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5FD" w:rsidRDefault="00C875FD" w:rsidP="00C875FD">
      <w:pPr>
        <w:pStyle w:val="a6"/>
        <w:shd w:val="clear" w:color="auto" w:fill="FFFFFF"/>
        <w:spacing w:line="600" w:lineRule="atLeast"/>
        <w:ind w:right="-334"/>
        <w:jc w:val="center"/>
        <w:rPr>
          <w:rFonts w:ascii="宋体,微软雅黑" w:eastAsia="宋体,微软雅黑"/>
          <w:color w:val="000000"/>
          <w:sz w:val="21"/>
          <w:szCs w:val="21"/>
        </w:rPr>
      </w:pPr>
      <w:r>
        <w:rPr>
          <w:rFonts w:ascii="楷体" w:eastAsia="楷体" w:hAnsi="楷体" w:hint="eastAsia"/>
          <w:b/>
          <w:bCs/>
          <w:color w:val="000000"/>
          <w:sz w:val="44"/>
          <w:szCs w:val="44"/>
          <w:shd w:val="clear" w:color="auto" w:fill="FFFFFF"/>
        </w:rPr>
        <w:t>《昭化区虎跳镇总体规划（2016-2030）》</w:t>
      </w:r>
      <w:r w:rsidR="002F429E">
        <w:rPr>
          <w:rFonts w:ascii="楷体" w:eastAsia="楷体" w:hAnsi="楷体" w:hint="eastAsia"/>
          <w:b/>
          <w:bCs/>
          <w:color w:val="000000"/>
          <w:sz w:val="44"/>
          <w:szCs w:val="44"/>
          <w:shd w:val="clear" w:color="auto" w:fill="FFFFFF"/>
        </w:rPr>
        <w:t>《昭化区虎跳镇控制性详细规划》</w:t>
      </w:r>
    </w:p>
    <w:p w:rsidR="00C875FD" w:rsidRDefault="00C875FD" w:rsidP="00C05C0C">
      <w:pPr>
        <w:pStyle w:val="a6"/>
        <w:shd w:val="clear" w:color="auto" w:fill="FFFFFF"/>
        <w:spacing w:line="600" w:lineRule="atLeast"/>
        <w:ind w:right="-334"/>
        <w:jc w:val="center"/>
        <w:rPr>
          <w:rFonts w:ascii="宋体,微软雅黑" w:eastAsia="宋体,微软雅黑"/>
          <w:color w:val="000000"/>
          <w:sz w:val="21"/>
          <w:szCs w:val="21"/>
        </w:rPr>
      </w:pPr>
      <w:r>
        <w:rPr>
          <w:rFonts w:ascii="楷体" w:eastAsia="楷体" w:hAnsi="楷体" w:hint="eastAsia"/>
          <w:b/>
          <w:bCs/>
          <w:color w:val="000000"/>
          <w:sz w:val="44"/>
          <w:szCs w:val="44"/>
          <w:shd w:val="clear" w:color="auto" w:fill="FFFFFF"/>
        </w:rPr>
        <w:t>规划公示</w:t>
      </w:r>
      <w:r>
        <w:rPr>
          <w:rFonts w:hint="eastAsia"/>
          <w:color w:val="000000"/>
          <w:sz w:val="21"/>
          <w:szCs w:val="21"/>
        </w:rPr>
        <w:t> </w:t>
      </w:r>
    </w:p>
    <w:p w:rsidR="00C875FD" w:rsidRDefault="00C875FD" w:rsidP="00C875FD">
      <w:pPr>
        <w:pStyle w:val="a6"/>
        <w:shd w:val="clear" w:color="auto" w:fill="FFFFFF"/>
        <w:spacing w:line="600" w:lineRule="atLeast"/>
        <w:ind w:right="-334" w:firstLine="640"/>
        <w:jc w:val="both"/>
        <w:rPr>
          <w:rFonts w:ascii="宋体,微软雅黑" w:eastAsia="宋体,微软雅黑"/>
          <w:color w:val="000000"/>
          <w:sz w:val="21"/>
          <w:szCs w:val="21"/>
        </w:rPr>
      </w:pPr>
      <w:r>
        <w:rPr>
          <w:rFonts w:ascii="楷体" w:eastAsia="楷体" w:hAnsi="楷体" w:hint="eastAsia"/>
          <w:color w:val="000000"/>
          <w:sz w:val="32"/>
          <w:szCs w:val="32"/>
          <w:shd w:val="clear" w:color="auto" w:fill="FFFFFF"/>
        </w:rPr>
        <w:t>为协调城乡空间布局，加强城乡规划管理，促进虎跳镇经济社会全面协调可持续发展，由南京博来城市规划设计研究有限公司编制完成了《昭化区虎跳镇总体规划（2016-2030）》</w:t>
      </w:r>
      <w:r w:rsidR="002F429E" w:rsidRPr="002F429E">
        <w:rPr>
          <w:rFonts w:ascii="楷体" w:eastAsia="楷体" w:hAnsi="楷体" w:hint="eastAsia"/>
          <w:bCs/>
          <w:color w:val="000000"/>
          <w:sz w:val="32"/>
          <w:szCs w:val="32"/>
          <w:shd w:val="clear" w:color="auto" w:fill="FFFFFF"/>
        </w:rPr>
        <w:t>《昭化区虎跳镇控制性详细规划》</w:t>
      </w:r>
      <w:r>
        <w:rPr>
          <w:rFonts w:ascii="楷体" w:eastAsia="楷体" w:hAnsi="楷体" w:hint="eastAsia"/>
          <w:color w:val="000000"/>
          <w:sz w:val="32"/>
          <w:szCs w:val="32"/>
          <w:shd w:val="clear" w:color="auto" w:fill="FFFFFF"/>
        </w:rPr>
        <w:t>，该规划成果已通过专家评审。为提高规划的民主性和科学性，使规划更加符合虎跳镇的发展实际，根据《中华人民共和国城乡规划法》、住建部《关于城乡规划公开公示的规定》、《四川省城乡规划条例》的有关规定，现将本规划予以公示，欢迎社会各界人士提出宝贵意见和建议：</w:t>
      </w:r>
    </w:p>
    <w:p w:rsidR="00C875FD" w:rsidRPr="00CA1DA1" w:rsidRDefault="00C875FD" w:rsidP="00C875FD">
      <w:pPr>
        <w:pStyle w:val="a6"/>
        <w:shd w:val="clear" w:color="auto" w:fill="FFFFFF"/>
        <w:spacing w:line="600" w:lineRule="atLeast"/>
        <w:ind w:right="-334" w:firstLine="640"/>
        <w:rPr>
          <w:rFonts w:ascii="楷体" w:eastAsia="楷体" w:hAnsi="楷体"/>
          <w:color w:val="000000"/>
          <w:sz w:val="32"/>
          <w:szCs w:val="32"/>
          <w:shd w:val="clear" w:color="auto" w:fill="FFFFFF"/>
        </w:rPr>
      </w:pPr>
      <w:r>
        <w:rPr>
          <w:rFonts w:ascii="楷体" w:eastAsia="楷体" w:hAnsi="楷体" w:hint="eastAsia"/>
          <w:b/>
          <w:bCs/>
          <w:color w:val="000000"/>
          <w:sz w:val="32"/>
          <w:szCs w:val="32"/>
          <w:shd w:val="clear" w:color="auto" w:fill="FFFFFF"/>
        </w:rPr>
        <w:t>一、公示方式</w:t>
      </w:r>
      <w:r>
        <w:rPr>
          <w:rFonts w:ascii="楷体" w:eastAsia="楷体" w:hAnsi="楷体" w:hint="eastAsia"/>
          <w:color w:val="000000"/>
          <w:sz w:val="32"/>
          <w:szCs w:val="32"/>
          <w:shd w:val="clear" w:color="auto" w:fill="FFFFFF"/>
        </w:rPr>
        <w:t>：</w:t>
      </w:r>
      <w:r w:rsidR="00CA1DA1" w:rsidRPr="00CA1DA1">
        <w:rPr>
          <w:rFonts w:ascii="楷体" w:eastAsia="楷体" w:hAnsi="楷体" w:hint="eastAsia"/>
          <w:color w:val="000000"/>
          <w:sz w:val="32"/>
          <w:szCs w:val="32"/>
          <w:shd w:val="clear" w:color="auto" w:fill="FFFFFF"/>
        </w:rPr>
        <w:t>网上公开：www.cnzh.gov.cn</w:t>
      </w:r>
    </w:p>
    <w:p w:rsidR="00C875FD" w:rsidRDefault="00C875FD" w:rsidP="00C875FD">
      <w:pPr>
        <w:pStyle w:val="a6"/>
        <w:shd w:val="clear" w:color="auto" w:fill="FFFFFF"/>
        <w:spacing w:line="600" w:lineRule="atLeast"/>
        <w:ind w:right="-334" w:firstLine="640"/>
        <w:rPr>
          <w:rFonts w:ascii="宋体,微软雅黑" w:eastAsia="宋体,微软雅黑"/>
          <w:color w:val="000000"/>
          <w:sz w:val="21"/>
          <w:szCs w:val="21"/>
        </w:rPr>
      </w:pPr>
      <w:r>
        <w:rPr>
          <w:rFonts w:ascii="楷体" w:eastAsia="楷体" w:hAnsi="楷体" w:hint="eastAsia"/>
          <w:b/>
          <w:bCs/>
          <w:color w:val="000000"/>
          <w:sz w:val="32"/>
          <w:szCs w:val="32"/>
          <w:shd w:val="clear" w:color="auto" w:fill="FFFFFF"/>
        </w:rPr>
        <w:t>二、公示期限</w:t>
      </w:r>
      <w:r>
        <w:rPr>
          <w:rFonts w:ascii="楷体" w:eastAsia="楷体" w:hAnsi="楷体" w:hint="eastAsia"/>
          <w:color w:val="000000"/>
          <w:sz w:val="32"/>
          <w:szCs w:val="32"/>
          <w:shd w:val="clear" w:color="auto" w:fill="FFFFFF"/>
        </w:rPr>
        <w:t>：2018年10月9日-2018年11月8日；</w:t>
      </w:r>
    </w:p>
    <w:p w:rsidR="00C875FD" w:rsidRDefault="00C875FD" w:rsidP="00C875FD">
      <w:pPr>
        <w:pStyle w:val="a6"/>
        <w:shd w:val="clear" w:color="auto" w:fill="FFFFFF"/>
        <w:spacing w:line="600" w:lineRule="atLeast"/>
        <w:ind w:right="-334" w:firstLine="640"/>
        <w:rPr>
          <w:rFonts w:ascii="宋体,微软雅黑" w:eastAsia="宋体,微软雅黑"/>
          <w:color w:val="000000"/>
          <w:sz w:val="21"/>
          <w:szCs w:val="21"/>
        </w:rPr>
      </w:pPr>
      <w:r>
        <w:rPr>
          <w:rFonts w:ascii="楷体" w:eastAsia="楷体" w:hAnsi="楷体" w:hint="eastAsia"/>
          <w:b/>
          <w:bCs/>
          <w:color w:val="000000"/>
          <w:sz w:val="32"/>
          <w:szCs w:val="32"/>
          <w:shd w:val="clear" w:color="auto" w:fill="FFFFFF"/>
        </w:rPr>
        <w:t>三、反映意见和建议方式：</w:t>
      </w:r>
      <w:bookmarkStart w:id="0" w:name="_GoBack"/>
      <w:bookmarkEnd w:id="0"/>
    </w:p>
    <w:p w:rsidR="00C875FD" w:rsidRDefault="00C875FD" w:rsidP="00C875FD">
      <w:pPr>
        <w:pStyle w:val="a6"/>
        <w:shd w:val="clear" w:color="auto" w:fill="FFFFFF"/>
        <w:spacing w:line="600" w:lineRule="atLeast"/>
        <w:ind w:right="-334" w:firstLine="1280"/>
        <w:rPr>
          <w:rFonts w:ascii="宋体,微软雅黑" w:eastAsia="宋体,微软雅黑"/>
          <w:color w:val="000000"/>
          <w:sz w:val="21"/>
          <w:szCs w:val="21"/>
        </w:rPr>
      </w:pPr>
      <w:r>
        <w:rPr>
          <w:rFonts w:ascii="楷体" w:eastAsia="楷体" w:hAnsi="楷体" w:hint="eastAsia"/>
          <w:color w:val="000000"/>
          <w:sz w:val="32"/>
          <w:szCs w:val="32"/>
          <w:shd w:val="clear" w:color="auto" w:fill="FFFFFF"/>
        </w:rPr>
        <w:t>1.电子邮箱：359895799@qq.com</w:t>
      </w:r>
    </w:p>
    <w:p w:rsidR="00C875FD" w:rsidRDefault="00C875FD" w:rsidP="00C875FD">
      <w:pPr>
        <w:pStyle w:val="a6"/>
        <w:shd w:val="clear" w:color="auto" w:fill="FFFFFF"/>
        <w:spacing w:line="600" w:lineRule="atLeast"/>
        <w:ind w:right="-334" w:firstLine="1292"/>
        <w:rPr>
          <w:rFonts w:ascii="宋体,微软雅黑" w:eastAsia="宋体,微软雅黑"/>
          <w:color w:val="000000"/>
          <w:sz w:val="21"/>
          <w:szCs w:val="21"/>
        </w:rPr>
      </w:pPr>
      <w:r>
        <w:rPr>
          <w:rFonts w:ascii="楷体" w:eastAsia="楷体" w:hAnsi="楷体" w:hint="eastAsia"/>
          <w:color w:val="000000"/>
          <w:sz w:val="32"/>
          <w:szCs w:val="32"/>
          <w:shd w:val="clear" w:color="auto" w:fill="FFFFFF"/>
        </w:rPr>
        <w:t>2.通信地址：</w:t>
      </w:r>
      <w:r w:rsidR="002F429E">
        <w:rPr>
          <w:rFonts w:ascii="楷体" w:eastAsia="楷体" w:hAnsi="楷体" w:hint="eastAsia"/>
          <w:color w:val="000000"/>
          <w:sz w:val="32"/>
          <w:szCs w:val="32"/>
          <w:shd w:val="clear" w:color="auto" w:fill="FFFFFF"/>
        </w:rPr>
        <w:t>广元市城乡规划局昭化分局</w:t>
      </w:r>
    </w:p>
    <w:p w:rsidR="00C875FD" w:rsidRDefault="00C875FD" w:rsidP="00C875FD">
      <w:pPr>
        <w:pStyle w:val="a6"/>
        <w:shd w:val="clear" w:color="auto" w:fill="FFFFFF"/>
        <w:spacing w:line="600" w:lineRule="atLeast"/>
        <w:ind w:right="-334" w:firstLine="1292"/>
        <w:rPr>
          <w:rFonts w:ascii="宋体,微软雅黑" w:eastAsia="宋体,微软雅黑"/>
          <w:color w:val="000000"/>
          <w:sz w:val="21"/>
          <w:szCs w:val="21"/>
        </w:rPr>
      </w:pPr>
      <w:r>
        <w:rPr>
          <w:rFonts w:ascii="楷体" w:eastAsia="楷体" w:hAnsi="楷体" w:hint="eastAsia"/>
          <w:color w:val="000000"/>
          <w:sz w:val="32"/>
          <w:szCs w:val="32"/>
          <w:shd w:val="clear" w:color="auto" w:fill="FFFFFF"/>
        </w:rPr>
        <w:t>3.联系电话：083</w:t>
      </w:r>
      <w:r w:rsidR="002F429E">
        <w:rPr>
          <w:rFonts w:ascii="楷体" w:eastAsia="楷体" w:hAnsi="楷体" w:hint="eastAsia"/>
          <w:color w:val="000000"/>
          <w:sz w:val="32"/>
          <w:szCs w:val="32"/>
          <w:shd w:val="clear" w:color="auto" w:fill="FFFFFF"/>
        </w:rPr>
        <w:t>9</w:t>
      </w:r>
      <w:r>
        <w:rPr>
          <w:rFonts w:ascii="楷体" w:eastAsia="楷体" w:hAnsi="楷体" w:hint="eastAsia"/>
          <w:color w:val="000000"/>
          <w:sz w:val="32"/>
          <w:szCs w:val="32"/>
          <w:shd w:val="clear" w:color="auto" w:fill="FFFFFF"/>
        </w:rPr>
        <w:t>-</w:t>
      </w:r>
      <w:r w:rsidR="002F429E">
        <w:rPr>
          <w:rFonts w:ascii="楷体" w:eastAsia="楷体" w:hAnsi="楷体" w:hint="eastAsia"/>
          <w:color w:val="000000"/>
          <w:sz w:val="32"/>
          <w:szCs w:val="32"/>
          <w:shd w:val="clear" w:color="auto" w:fill="FFFFFF"/>
        </w:rPr>
        <w:t>8725447</w:t>
      </w:r>
    </w:p>
    <w:p w:rsidR="00C05C0C" w:rsidRDefault="00C875FD" w:rsidP="002F429E">
      <w:pPr>
        <w:pStyle w:val="a6"/>
        <w:shd w:val="clear" w:color="auto" w:fill="FFFFFF"/>
        <w:spacing w:line="600" w:lineRule="atLeast"/>
        <w:ind w:right="-334" w:firstLine="640"/>
        <w:rPr>
          <w:rFonts w:ascii="楷体" w:eastAsia="楷体" w:hAnsi="楷体"/>
          <w:color w:val="000000"/>
          <w:sz w:val="32"/>
          <w:szCs w:val="32"/>
          <w:shd w:val="clear" w:color="auto" w:fill="FFFFFF"/>
        </w:rPr>
      </w:pPr>
      <w:r>
        <w:rPr>
          <w:rFonts w:ascii="楷体" w:eastAsia="楷体" w:hAnsi="楷体" w:hint="eastAsia"/>
          <w:color w:val="000000"/>
          <w:sz w:val="32"/>
          <w:szCs w:val="32"/>
          <w:shd w:val="clear" w:color="auto" w:fill="FFFFFF"/>
        </w:rPr>
        <w:t>附件：《虎跳镇总体规划（2016-2030）》</w:t>
      </w:r>
    </w:p>
    <w:p w:rsidR="00C875FD" w:rsidRDefault="00C05C0C" w:rsidP="00C05C0C">
      <w:pPr>
        <w:pStyle w:val="a6"/>
        <w:shd w:val="clear" w:color="auto" w:fill="FFFFFF"/>
        <w:spacing w:line="600" w:lineRule="atLeast"/>
        <w:ind w:right="-334" w:firstLineChars="500" w:firstLine="1600"/>
        <w:rPr>
          <w:rFonts w:ascii="宋体,微软雅黑" w:eastAsia="宋体,微软雅黑"/>
          <w:color w:val="000000"/>
          <w:sz w:val="21"/>
          <w:szCs w:val="21"/>
        </w:rPr>
      </w:pPr>
      <w:r w:rsidRPr="002F429E">
        <w:rPr>
          <w:rFonts w:ascii="楷体" w:eastAsia="楷体" w:hAnsi="楷体" w:hint="eastAsia"/>
          <w:bCs/>
          <w:color w:val="000000"/>
          <w:sz w:val="32"/>
          <w:szCs w:val="32"/>
          <w:shd w:val="clear" w:color="auto" w:fill="FFFFFF"/>
        </w:rPr>
        <w:t>《昭化区虎跳镇控制性详细规划》</w:t>
      </w:r>
      <w:r w:rsidR="00C875FD">
        <w:rPr>
          <w:rFonts w:hint="eastAsia"/>
          <w:color w:val="000000"/>
          <w:sz w:val="21"/>
          <w:szCs w:val="21"/>
        </w:rPr>
        <w:t> </w:t>
      </w:r>
    </w:p>
    <w:p w:rsidR="00C875FD" w:rsidRDefault="002F429E" w:rsidP="00C875FD">
      <w:pPr>
        <w:pStyle w:val="a6"/>
        <w:shd w:val="clear" w:color="auto" w:fill="FFFFFF"/>
        <w:spacing w:line="600" w:lineRule="atLeast"/>
        <w:ind w:right="-334" w:firstLine="3846"/>
        <w:jc w:val="right"/>
        <w:rPr>
          <w:rFonts w:ascii="宋体,微软雅黑" w:eastAsia="宋体,微软雅黑"/>
          <w:color w:val="000000"/>
          <w:sz w:val="21"/>
          <w:szCs w:val="21"/>
        </w:rPr>
      </w:pPr>
      <w:r>
        <w:rPr>
          <w:rFonts w:ascii="楷体" w:eastAsia="楷体" w:hAnsi="楷体" w:hint="eastAsia"/>
          <w:color w:val="000000"/>
          <w:sz w:val="32"/>
          <w:szCs w:val="32"/>
          <w:shd w:val="clear" w:color="auto" w:fill="FFFFFF"/>
        </w:rPr>
        <w:t>广元市城乡规划局昭化分局</w:t>
      </w:r>
    </w:p>
    <w:p w:rsidR="00C875FD" w:rsidRDefault="00C875FD" w:rsidP="00C875FD">
      <w:pPr>
        <w:pStyle w:val="a6"/>
        <w:shd w:val="clear" w:color="auto" w:fill="FFFFFF"/>
        <w:spacing w:line="600" w:lineRule="atLeast"/>
        <w:ind w:right="-334" w:firstLine="4160"/>
        <w:jc w:val="right"/>
        <w:rPr>
          <w:rFonts w:ascii="宋体,微软雅黑" w:eastAsia="宋体,微软雅黑"/>
          <w:color w:val="000000"/>
          <w:sz w:val="21"/>
          <w:szCs w:val="21"/>
        </w:rPr>
      </w:pPr>
      <w:r>
        <w:rPr>
          <w:rFonts w:ascii="楷体" w:eastAsia="楷体" w:hAnsi="楷体" w:hint="eastAsia"/>
          <w:color w:val="000000"/>
          <w:sz w:val="32"/>
          <w:szCs w:val="32"/>
          <w:shd w:val="clear" w:color="auto" w:fill="FFFFFF"/>
        </w:rPr>
        <w:t>201</w:t>
      </w:r>
      <w:r w:rsidR="002F429E">
        <w:rPr>
          <w:rFonts w:ascii="楷体" w:eastAsia="楷体" w:hAnsi="楷体" w:hint="eastAsia"/>
          <w:color w:val="000000"/>
          <w:sz w:val="32"/>
          <w:szCs w:val="32"/>
          <w:shd w:val="clear" w:color="auto" w:fill="FFFFFF"/>
        </w:rPr>
        <w:t>8</w:t>
      </w:r>
      <w:r>
        <w:rPr>
          <w:rFonts w:ascii="楷体" w:eastAsia="楷体" w:hAnsi="楷体" w:hint="eastAsia"/>
          <w:color w:val="000000"/>
          <w:sz w:val="32"/>
          <w:szCs w:val="32"/>
          <w:shd w:val="clear" w:color="auto" w:fill="FFFFFF"/>
        </w:rPr>
        <w:t>年</w:t>
      </w:r>
      <w:r w:rsidR="002F429E">
        <w:rPr>
          <w:rFonts w:ascii="楷体" w:eastAsia="楷体" w:hAnsi="楷体" w:hint="eastAsia"/>
          <w:color w:val="000000"/>
          <w:sz w:val="32"/>
          <w:szCs w:val="32"/>
          <w:shd w:val="clear" w:color="auto" w:fill="FFFFFF"/>
        </w:rPr>
        <w:t>10</w:t>
      </w:r>
      <w:r>
        <w:rPr>
          <w:rFonts w:ascii="楷体" w:eastAsia="楷体" w:hAnsi="楷体" w:hint="eastAsia"/>
          <w:color w:val="000000"/>
          <w:sz w:val="32"/>
          <w:szCs w:val="32"/>
          <w:shd w:val="clear" w:color="auto" w:fill="FFFFFF"/>
        </w:rPr>
        <w:t>月</w:t>
      </w:r>
      <w:r w:rsidR="002F429E">
        <w:rPr>
          <w:rFonts w:ascii="楷体" w:eastAsia="楷体" w:hAnsi="楷体" w:hint="eastAsia"/>
          <w:color w:val="000000"/>
          <w:sz w:val="32"/>
          <w:szCs w:val="32"/>
          <w:shd w:val="clear" w:color="auto" w:fill="FFFFFF"/>
        </w:rPr>
        <w:t>9</w:t>
      </w:r>
      <w:r>
        <w:rPr>
          <w:rFonts w:ascii="楷体" w:eastAsia="楷体" w:hAnsi="楷体" w:hint="eastAsia"/>
          <w:color w:val="000000"/>
          <w:sz w:val="32"/>
          <w:szCs w:val="32"/>
          <w:shd w:val="clear" w:color="auto" w:fill="FFFFFF"/>
        </w:rPr>
        <w:t>日</w:t>
      </w:r>
    </w:p>
    <w:p w:rsidR="00C875FD" w:rsidRPr="002F429E" w:rsidRDefault="00C875FD" w:rsidP="00C05C0C">
      <w:pPr>
        <w:pStyle w:val="1"/>
        <w:shd w:val="clear" w:color="auto" w:fill="FFFFFF"/>
        <w:spacing w:line="700" w:lineRule="atLeast"/>
        <w:rPr>
          <w:rFonts w:ascii="华文楷体" w:eastAsia="华文楷体" w:hAnsi="华文楷体"/>
          <w:color w:val="000000"/>
          <w:sz w:val="21"/>
          <w:szCs w:val="21"/>
        </w:rPr>
      </w:pPr>
      <w:r>
        <w:rPr>
          <w:rFonts w:ascii="楷体" w:eastAsia="楷体" w:hAnsi="楷体" w:hint="eastAsia"/>
          <w:b w:val="0"/>
          <w:bCs w:val="0"/>
          <w:color w:val="000000"/>
          <w:sz w:val="32"/>
          <w:szCs w:val="32"/>
        </w:rPr>
        <w:lastRenderedPageBreak/>
        <w:t>附件：</w:t>
      </w:r>
      <w:r>
        <w:rPr>
          <w:rFonts w:hint="eastAsia"/>
          <w:color w:val="000000"/>
          <w:sz w:val="21"/>
          <w:szCs w:val="21"/>
        </w:rPr>
        <w:t> </w:t>
      </w:r>
    </w:p>
    <w:p w:rsidR="002F429E" w:rsidRPr="002F429E" w:rsidRDefault="002F429E" w:rsidP="002F429E">
      <w:pPr>
        <w:spacing w:line="560" w:lineRule="exact"/>
        <w:jc w:val="center"/>
        <w:rPr>
          <w:rFonts w:ascii="华文楷体" w:eastAsia="华文楷体" w:hAnsi="华文楷体"/>
          <w:b/>
          <w:sz w:val="44"/>
          <w:szCs w:val="44"/>
        </w:rPr>
      </w:pPr>
      <w:r w:rsidRPr="002F429E">
        <w:rPr>
          <w:rFonts w:ascii="华文楷体" w:eastAsia="华文楷体" w:hAnsi="华文楷体"/>
          <w:b/>
          <w:sz w:val="44"/>
          <w:szCs w:val="44"/>
        </w:rPr>
        <w:t>昭化区</w:t>
      </w:r>
      <w:r w:rsidRPr="002F429E">
        <w:rPr>
          <w:rFonts w:ascii="华文楷体" w:eastAsia="华文楷体" w:hAnsi="华文楷体" w:hint="eastAsia"/>
          <w:b/>
          <w:sz w:val="44"/>
          <w:szCs w:val="44"/>
        </w:rPr>
        <w:t>虎跳镇</w:t>
      </w:r>
    </w:p>
    <w:p w:rsidR="002F429E" w:rsidRPr="002F429E" w:rsidRDefault="002F429E" w:rsidP="002F429E">
      <w:pPr>
        <w:spacing w:line="560" w:lineRule="exact"/>
        <w:jc w:val="center"/>
        <w:rPr>
          <w:rFonts w:ascii="华文楷体" w:eastAsia="华文楷体" w:hAnsi="华文楷体"/>
          <w:b/>
          <w:sz w:val="44"/>
          <w:szCs w:val="44"/>
        </w:rPr>
      </w:pPr>
      <w:r w:rsidRPr="002F429E">
        <w:rPr>
          <w:rFonts w:ascii="华文楷体" w:eastAsia="华文楷体" w:hAnsi="华文楷体" w:hint="eastAsia"/>
          <w:b/>
          <w:sz w:val="44"/>
          <w:szCs w:val="44"/>
        </w:rPr>
        <w:t>总体规划和控制性详细规划方案</w:t>
      </w:r>
    </w:p>
    <w:p w:rsidR="002F429E" w:rsidRPr="002F429E" w:rsidRDefault="002F429E" w:rsidP="002F429E">
      <w:pPr>
        <w:spacing w:line="500" w:lineRule="exact"/>
        <w:ind w:firstLineChars="200" w:firstLine="480"/>
        <w:rPr>
          <w:rFonts w:ascii="华文楷体" w:eastAsia="华文楷体" w:hAnsi="华文楷体"/>
          <w:sz w:val="24"/>
        </w:rPr>
      </w:pPr>
    </w:p>
    <w:p w:rsidR="002F429E" w:rsidRPr="002F429E" w:rsidRDefault="002F429E" w:rsidP="002F429E">
      <w:pPr>
        <w:spacing w:line="500" w:lineRule="exact"/>
        <w:ind w:firstLineChars="200" w:firstLine="601"/>
        <w:rPr>
          <w:rFonts w:ascii="华文楷体" w:eastAsia="华文楷体" w:hAnsi="华文楷体" w:cs="楷体_GB2312"/>
          <w:b/>
          <w:sz w:val="32"/>
          <w:szCs w:val="32"/>
        </w:rPr>
      </w:pPr>
      <w:r w:rsidRPr="002F429E">
        <w:rPr>
          <w:rFonts w:ascii="华文楷体" w:eastAsia="华文楷体" w:hAnsi="华文楷体" w:cs="楷体_GB2312"/>
          <w:b/>
          <w:sz w:val="30"/>
          <w:szCs w:val="30"/>
        </w:rPr>
        <w:t>一、</w:t>
      </w:r>
      <w:r w:rsidRPr="002F429E">
        <w:rPr>
          <w:rFonts w:ascii="华文楷体" w:eastAsia="华文楷体" w:hAnsi="华文楷体" w:cs="楷体_GB2312" w:hint="eastAsia"/>
          <w:b/>
          <w:sz w:val="32"/>
          <w:szCs w:val="32"/>
        </w:rPr>
        <w:t>虎跳镇总体规划</w:t>
      </w:r>
    </w:p>
    <w:p w:rsidR="002F429E" w:rsidRPr="002F429E" w:rsidRDefault="002F429E" w:rsidP="002F429E">
      <w:pPr>
        <w:spacing w:line="50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（一）规划概述梳理了规划依据、指导思想、规划原则，界定了规划期限和规划范围等内容。</w:t>
      </w:r>
    </w:p>
    <w:p w:rsidR="002F429E" w:rsidRPr="002F429E" w:rsidRDefault="002F429E" w:rsidP="002F429E">
      <w:pPr>
        <w:spacing w:line="50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（二）定位与规模明确了乡镇具体发展定位和发展目标。</w:t>
      </w:r>
    </w:p>
    <w:p w:rsidR="002F429E" w:rsidRPr="002F429E" w:rsidRDefault="002F429E" w:rsidP="002F429E">
      <w:pPr>
        <w:spacing w:line="50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（三）镇域规划</w:t>
      </w:r>
    </w:p>
    <w:p w:rsidR="002F429E" w:rsidRPr="002F429E" w:rsidRDefault="002F429E" w:rsidP="002F429E">
      <w:pPr>
        <w:spacing w:line="50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1.虎跳镇镇域总体规划定位：广元山水园林式度假小城镇；昭化区重要的</w:t>
      </w:r>
      <w:r w:rsidRPr="002F429E">
        <w:rPr>
          <w:rFonts w:ascii="华文楷体" w:eastAsia="华文楷体" w:hAnsi="华文楷体"/>
          <w:color w:val="000000"/>
          <w:sz w:val="30"/>
          <w:szCs w:val="30"/>
        </w:rPr>
        <w:t>宜居小</w:t>
      </w:r>
      <w:r w:rsidRPr="002F429E">
        <w:rPr>
          <w:rFonts w:ascii="华文楷体" w:eastAsia="华文楷体" w:hAnsi="华文楷体" w:hint="eastAsia"/>
          <w:color w:val="000000"/>
          <w:sz w:val="30"/>
          <w:szCs w:val="30"/>
        </w:rPr>
        <w:t>镇。</w:t>
      </w:r>
    </w:p>
    <w:p w:rsidR="002F429E" w:rsidRPr="002F429E" w:rsidRDefault="002F429E" w:rsidP="002F429E">
      <w:pPr>
        <w:spacing w:line="50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2.规划</w:t>
      </w:r>
      <w:r w:rsidRPr="002F429E">
        <w:rPr>
          <w:rFonts w:ascii="华文楷体" w:eastAsia="华文楷体" w:hAnsi="华文楷体"/>
          <w:color w:val="000000"/>
          <w:sz w:val="30"/>
          <w:szCs w:val="30"/>
        </w:rPr>
        <w:t>至</w:t>
      </w:r>
      <w:r w:rsidRPr="002F429E">
        <w:rPr>
          <w:rFonts w:ascii="华文楷体" w:eastAsia="华文楷体" w:hAnsi="华文楷体" w:hint="eastAsia"/>
          <w:color w:val="000000"/>
          <w:sz w:val="30"/>
          <w:szCs w:val="30"/>
        </w:rPr>
        <w:t>人口规模预测到2020年，虎跳镇镇域总人口为1.8万人，其中，城镇人口9000人，城镇化水平约为50%。城镇</w:t>
      </w:r>
      <w:r w:rsidRPr="002F429E">
        <w:rPr>
          <w:rFonts w:ascii="华文楷体" w:eastAsia="华文楷体" w:hAnsi="华文楷体"/>
          <w:color w:val="000000"/>
          <w:sz w:val="30"/>
          <w:szCs w:val="30"/>
        </w:rPr>
        <w:t>建设用地规模82.24公顷，</w:t>
      </w:r>
      <w:r w:rsidRPr="002F429E">
        <w:rPr>
          <w:rFonts w:ascii="华文楷体" w:eastAsia="华文楷体" w:hAnsi="华文楷体" w:hint="eastAsia"/>
          <w:color w:val="000000"/>
          <w:sz w:val="30"/>
          <w:szCs w:val="30"/>
        </w:rPr>
        <w:t>城镇建设区范围人口</w:t>
      </w:r>
      <w:r w:rsidRPr="002F429E">
        <w:rPr>
          <w:rFonts w:ascii="华文楷体" w:eastAsia="华文楷体" w:hAnsi="华文楷体"/>
          <w:color w:val="000000"/>
          <w:sz w:val="30"/>
          <w:szCs w:val="30"/>
        </w:rPr>
        <w:t>0.9</w:t>
      </w:r>
      <w:r w:rsidRPr="002F429E">
        <w:rPr>
          <w:rFonts w:ascii="华文楷体" w:eastAsia="华文楷体" w:hAnsi="华文楷体" w:hint="eastAsia"/>
          <w:color w:val="000000"/>
          <w:sz w:val="30"/>
          <w:szCs w:val="30"/>
        </w:rPr>
        <w:t>万人，</w:t>
      </w:r>
      <w:r w:rsidRPr="002F429E">
        <w:rPr>
          <w:rFonts w:ascii="华文楷体" w:eastAsia="华文楷体" w:hAnsi="华文楷体"/>
          <w:color w:val="000000"/>
          <w:sz w:val="30"/>
          <w:szCs w:val="30"/>
        </w:rPr>
        <w:t>人均建设用地91.38㎡/人。2030年，</w:t>
      </w:r>
      <w:r w:rsidRPr="002F429E">
        <w:rPr>
          <w:rFonts w:ascii="华文楷体" w:eastAsia="华文楷体" w:hAnsi="华文楷体" w:hint="eastAsia"/>
          <w:color w:val="000000"/>
          <w:sz w:val="30"/>
          <w:szCs w:val="30"/>
        </w:rPr>
        <w:t>城镇</w:t>
      </w:r>
      <w:r w:rsidRPr="002F429E">
        <w:rPr>
          <w:rFonts w:ascii="华文楷体" w:eastAsia="华文楷体" w:hAnsi="华文楷体"/>
          <w:color w:val="000000"/>
          <w:sz w:val="30"/>
          <w:szCs w:val="30"/>
        </w:rPr>
        <w:t>建设用地规模144.58公顷，</w:t>
      </w:r>
      <w:r w:rsidRPr="002F429E">
        <w:rPr>
          <w:rFonts w:ascii="华文楷体" w:eastAsia="华文楷体" w:hAnsi="华文楷体" w:hint="eastAsia"/>
          <w:color w:val="000000"/>
          <w:sz w:val="30"/>
          <w:szCs w:val="30"/>
        </w:rPr>
        <w:t>虎跳镇镇域总人口为2.5万人，城镇建设区范围人口</w:t>
      </w:r>
      <w:r w:rsidRPr="002F429E">
        <w:rPr>
          <w:rFonts w:ascii="华文楷体" w:eastAsia="华文楷体" w:hAnsi="华文楷体"/>
          <w:color w:val="000000"/>
          <w:sz w:val="30"/>
          <w:szCs w:val="30"/>
        </w:rPr>
        <w:t>1.6</w:t>
      </w:r>
      <w:r w:rsidRPr="002F429E">
        <w:rPr>
          <w:rFonts w:ascii="华文楷体" w:eastAsia="华文楷体" w:hAnsi="华文楷体" w:hint="eastAsia"/>
          <w:color w:val="000000"/>
          <w:sz w:val="30"/>
          <w:szCs w:val="30"/>
        </w:rPr>
        <w:t>万人，</w:t>
      </w:r>
      <w:r w:rsidRPr="002F429E">
        <w:rPr>
          <w:rFonts w:ascii="华文楷体" w:eastAsia="华文楷体" w:hAnsi="华文楷体"/>
          <w:color w:val="000000"/>
          <w:sz w:val="30"/>
          <w:szCs w:val="30"/>
        </w:rPr>
        <w:t>人均建设用地90.35㎡/人。</w:t>
      </w:r>
      <w:r w:rsidRPr="002F429E">
        <w:rPr>
          <w:rFonts w:ascii="华文楷体" w:eastAsia="华文楷体" w:hAnsi="华文楷体" w:hint="eastAsia"/>
          <w:color w:val="000000"/>
          <w:sz w:val="30"/>
          <w:szCs w:val="30"/>
        </w:rPr>
        <w:t>城镇化水平约为64%。</w:t>
      </w:r>
    </w:p>
    <w:p w:rsidR="002F429E" w:rsidRPr="002F429E" w:rsidRDefault="002F429E" w:rsidP="002F429E">
      <w:pPr>
        <w:spacing w:line="50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3.产业空间布局规划</w:t>
      </w:r>
    </w:p>
    <w:p w:rsidR="002F429E" w:rsidRPr="002F429E" w:rsidRDefault="002F429E" w:rsidP="002F429E">
      <w:pPr>
        <w:spacing w:line="50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规划形成“一心 、一带、四片区”的产业总体布局结构。 “一心”即虎跳新镇区，以商业、旅游等为主的综合服务中心。“一带”即沿江旅游经济发展带，以嘉陵江畔休闲旅游开发为主体的旅游经济发展带。“四片区”即指以冬枣为主导产业的东南西北四大农业片区。</w:t>
      </w:r>
    </w:p>
    <w:p w:rsidR="002F429E" w:rsidRPr="002F429E" w:rsidRDefault="002F429E" w:rsidP="002F429E">
      <w:pPr>
        <w:spacing w:line="50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4.旅游发展规划</w:t>
      </w:r>
    </w:p>
    <w:p w:rsidR="002F429E" w:rsidRPr="002F429E" w:rsidRDefault="002F429E" w:rsidP="002F429E">
      <w:pPr>
        <w:spacing w:line="50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规划形成“一个主题、一个中心、两条主线、三大体验片区、多点发展”的旅游空间格局。</w:t>
      </w:r>
    </w:p>
    <w:p w:rsidR="002F429E" w:rsidRPr="002F429E" w:rsidRDefault="002F429E" w:rsidP="002F429E">
      <w:pPr>
        <w:spacing w:line="50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lastRenderedPageBreak/>
        <w:t>5.镇域综合交通规划</w:t>
      </w:r>
    </w:p>
    <w:p w:rsidR="002F429E" w:rsidRPr="002F429E" w:rsidRDefault="002F429E" w:rsidP="002F429E">
      <w:pPr>
        <w:spacing w:line="50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公路方面保留广永路、虎张公路、虎陈公路、虎青公路，并按照二级公路标准适当拓宽，提升路面品质</w:t>
      </w:r>
      <w:r w:rsidRPr="002F429E">
        <w:rPr>
          <w:rFonts w:ascii="华文楷体" w:eastAsia="华文楷体" w:hAnsi="华文楷体"/>
          <w:color w:val="000000"/>
          <w:sz w:val="30"/>
          <w:szCs w:val="30"/>
        </w:rPr>
        <w:t>。</w:t>
      </w:r>
    </w:p>
    <w:p w:rsidR="002F429E" w:rsidRPr="002F429E" w:rsidRDefault="002F429E" w:rsidP="002F429E">
      <w:pPr>
        <w:spacing w:line="50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水运方面主要为嘉陵江航道，兼顾货运航道和沿江观光旅游线路，做好水上游览线路与陆地游览线路的有效衔接，串联虎跳镇域的各个资源点，保证一定的通行能力。</w:t>
      </w:r>
    </w:p>
    <w:p w:rsidR="002F429E" w:rsidRPr="002F429E" w:rsidRDefault="002F429E" w:rsidP="002F429E">
      <w:pPr>
        <w:spacing w:line="50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（四）镇区规划</w:t>
      </w:r>
    </w:p>
    <w:p w:rsidR="002F429E" w:rsidRPr="002F429E" w:rsidRDefault="002F429E" w:rsidP="002F429E">
      <w:pPr>
        <w:spacing w:line="50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1.用地布局规划</w:t>
      </w:r>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通过与土地利用规划的衔接以及对镇区的自然环境、用地条件、城镇功能等的评述，确定镇区空间发展策略为“西进、东拓，由北至南、沿江沿路发展”。</w:t>
      </w:r>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2.集镇道路交通规划</w:t>
      </w:r>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镇区现状道路线性相互交叉较为简洁，道路结构呈“方格网”布局。对外交通主要依托广永路、环湖路与虎跳大桥作为镇区主要的过境道路，承担镇区主要对外交通功能。</w:t>
      </w:r>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3.景观风貌规划</w:t>
      </w:r>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加强对镇区四周山脊轮廓线的保护，塑造独特的山水城镇天际轮廓线。规划形成“两</w:t>
      </w:r>
      <w:r w:rsidRPr="002F429E">
        <w:rPr>
          <w:rFonts w:ascii="华文楷体" w:eastAsia="华文楷体" w:hAnsi="华文楷体"/>
          <w:color w:val="000000"/>
          <w:sz w:val="30"/>
          <w:szCs w:val="30"/>
        </w:rPr>
        <w:t>心、</w:t>
      </w:r>
      <w:r w:rsidRPr="002F429E">
        <w:rPr>
          <w:rFonts w:ascii="华文楷体" w:eastAsia="华文楷体" w:hAnsi="华文楷体" w:hint="eastAsia"/>
          <w:color w:val="000000"/>
          <w:sz w:val="30"/>
          <w:szCs w:val="30"/>
        </w:rPr>
        <w:t>多点，一带、两轴、多廊道”的景观系统结构。两心：结合两个水库的综合</w:t>
      </w:r>
      <w:r w:rsidRPr="002F429E">
        <w:rPr>
          <w:rFonts w:ascii="华文楷体" w:eastAsia="华文楷体" w:hAnsi="华文楷体"/>
          <w:color w:val="000000"/>
          <w:sz w:val="30"/>
          <w:szCs w:val="30"/>
        </w:rPr>
        <w:t>公园打造</w:t>
      </w:r>
      <w:r w:rsidRPr="002F429E">
        <w:rPr>
          <w:rFonts w:ascii="华文楷体" w:eastAsia="华文楷体" w:hAnsi="华文楷体" w:hint="eastAsia"/>
          <w:color w:val="000000"/>
          <w:sz w:val="30"/>
          <w:szCs w:val="30"/>
        </w:rPr>
        <w:t>两</w:t>
      </w:r>
      <w:r w:rsidRPr="002F429E">
        <w:rPr>
          <w:rFonts w:ascii="华文楷体" w:eastAsia="华文楷体" w:hAnsi="华文楷体"/>
          <w:color w:val="000000"/>
          <w:sz w:val="30"/>
          <w:szCs w:val="30"/>
        </w:rPr>
        <w:t>个景观视觉中心</w:t>
      </w:r>
      <w:r w:rsidRPr="002F429E">
        <w:rPr>
          <w:rFonts w:ascii="华文楷体" w:eastAsia="华文楷体" w:hAnsi="华文楷体" w:hint="eastAsia"/>
          <w:color w:val="000000"/>
          <w:sz w:val="30"/>
          <w:szCs w:val="30"/>
        </w:rPr>
        <w:t>；多点：门户节点、社区公园节点；一带：沿嘉陵江的外围滨江风貌带；两轴：沿虎跳大街的镇区主要城市风貌景观轴，沿西塘水系的次要景观轴；多廊道：由镇区主要道路两侧绿地形成的城市绿地廊道。</w:t>
      </w:r>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（五）近期建设规划明确了近期建设重点空间及时序。</w:t>
      </w:r>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（六）规划实施声明了严格坚持乡镇空间管制和对规划设计及建设的控制等内容。</w:t>
      </w:r>
    </w:p>
    <w:p w:rsidR="002F429E" w:rsidRPr="002F429E" w:rsidRDefault="002F429E" w:rsidP="002F429E">
      <w:pPr>
        <w:spacing w:line="520" w:lineRule="exact"/>
        <w:ind w:firstLineChars="200" w:firstLine="601"/>
        <w:rPr>
          <w:rFonts w:ascii="华文楷体" w:eastAsia="华文楷体" w:hAnsi="华文楷体"/>
          <w:b/>
          <w:color w:val="000000"/>
          <w:sz w:val="30"/>
          <w:szCs w:val="30"/>
        </w:rPr>
      </w:pPr>
      <w:r>
        <w:rPr>
          <w:rFonts w:ascii="华文楷体" w:eastAsia="华文楷体" w:hAnsi="华文楷体" w:hint="eastAsia"/>
          <w:b/>
          <w:color w:val="000000"/>
          <w:sz w:val="30"/>
          <w:szCs w:val="30"/>
        </w:rPr>
        <w:t>二</w:t>
      </w:r>
      <w:r w:rsidRPr="002F429E">
        <w:rPr>
          <w:rFonts w:ascii="华文楷体" w:eastAsia="华文楷体" w:hAnsi="华文楷体" w:hint="eastAsia"/>
          <w:b/>
          <w:color w:val="000000"/>
          <w:sz w:val="30"/>
          <w:szCs w:val="30"/>
        </w:rPr>
        <w:t>、虎跳镇控制性详细规划</w:t>
      </w:r>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lastRenderedPageBreak/>
        <w:t>（一）规划背景梳理了规划依据、规划原则，界定了规划期限和规划范围等内容。</w:t>
      </w:r>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（二）现状分析主要梳理镇区现状用地、道路交通体系、基础设施等。</w:t>
      </w:r>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（三）定位与规模</w:t>
      </w:r>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 xml:space="preserve">虎跳镇的定位：广元市重点镇，以发展休闲旅游为主的小城镇。 </w:t>
      </w:r>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（四）规划功能结构与用地布局</w:t>
      </w:r>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规划范围总用地</w:t>
      </w:r>
      <w:r w:rsidRPr="002F429E">
        <w:rPr>
          <w:rFonts w:ascii="华文楷体" w:eastAsia="华文楷体" w:hAnsi="华文楷体"/>
          <w:color w:val="000000"/>
          <w:sz w:val="30"/>
          <w:szCs w:val="30"/>
        </w:rPr>
        <w:t>234.41</w:t>
      </w:r>
      <w:r w:rsidRPr="002F429E">
        <w:rPr>
          <w:rFonts w:ascii="华文楷体" w:eastAsia="华文楷体" w:hAnsi="华文楷体" w:hint="eastAsia"/>
          <w:color w:val="000000"/>
          <w:sz w:val="30"/>
          <w:szCs w:val="30"/>
        </w:rPr>
        <w:t>公顷，其中城镇建设用地</w:t>
      </w:r>
      <w:r w:rsidRPr="002F429E">
        <w:rPr>
          <w:rFonts w:ascii="华文楷体" w:eastAsia="华文楷体" w:hAnsi="华文楷体"/>
          <w:color w:val="000000"/>
          <w:sz w:val="30"/>
          <w:szCs w:val="30"/>
        </w:rPr>
        <w:t>144.58</w:t>
      </w:r>
      <w:r w:rsidRPr="002F429E">
        <w:rPr>
          <w:rFonts w:ascii="华文楷体" w:eastAsia="华文楷体" w:hAnsi="华文楷体" w:hint="eastAsia"/>
          <w:color w:val="000000"/>
          <w:sz w:val="30"/>
          <w:szCs w:val="30"/>
        </w:rPr>
        <w:t>公顷，占总用地的</w:t>
      </w:r>
      <w:r w:rsidRPr="002F429E">
        <w:rPr>
          <w:rFonts w:ascii="华文楷体" w:eastAsia="华文楷体" w:hAnsi="华文楷体"/>
          <w:color w:val="000000"/>
          <w:sz w:val="30"/>
          <w:szCs w:val="30"/>
        </w:rPr>
        <w:t>61.68％</w:t>
      </w:r>
      <w:r w:rsidRPr="002F429E">
        <w:rPr>
          <w:rFonts w:ascii="华文楷体" w:eastAsia="华文楷体" w:hAnsi="华文楷体" w:hint="eastAsia"/>
          <w:color w:val="000000"/>
          <w:sz w:val="30"/>
          <w:szCs w:val="30"/>
        </w:rPr>
        <w:t>；非城市建设用地</w:t>
      </w:r>
      <w:r w:rsidRPr="002F429E">
        <w:rPr>
          <w:rFonts w:ascii="华文楷体" w:eastAsia="华文楷体" w:hAnsi="华文楷体"/>
          <w:color w:val="000000"/>
          <w:sz w:val="30"/>
          <w:szCs w:val="30"/>
        </w:rPr>
        <w:t>89.83</w:t>
      </w:r>
      <w:r w:rsidRPr="002F429E">
        <w:rPr>
          <w:rFonts w:ascii="华文楷体" w:eastAsia="华文楷体" w:hAnsi="华文楷体" w:hint="eastAsia"/>
          <w:color w:val="000000"/>
          <w:sz w:val="30"/>
          <w:szCs w:val="30"/>
        </w:rPr>
        <w:t>公顷，占总用地面积的</w:t>
      </w:r>
      <w:r w:rsidRPr="002F429E">
        <w:rPr>
          <w:rFonts w:ascii="华文楷体" w:eastAsia="华文楷体" w:hAnsi="华文楷体"/>
          <w:color w:val="000000"/>
          <w:sz w:val="30"/>
          <w:szCs w:val="30"/>
        </w:rPr>
        <w:t>38.32</w:t>
      </w:r>
      <w:r w:rsidRPr="002F429E">
        <w:rPr>
          <w:rFonts w:ascii="华文楷体" w:eastAsia="华文楷体" w:hAnsi="华文楷体" w:hint="eastAsia"/>
          <w:color w:val="000000"/>
          <w:sz w:val="30"/>
          <w:szCs w:val="30"/>
        </w:rPr>
        <w:t>％。城市建设用地主要包括居住用地、公共管理与公共服务用地、商业服务设施用地、道路交通设施用地、市政公用设施用地和绿地与广场用地等。其中：居住用地面积为</w:t>
      </w:r>
      <w:r w:rsidRPr="002F429E">
        <w:rPr>
          <w:rFonts w:ascii="华文楷体" w:eastAsia="华文楷体" w:hAnsi="华文楷体"/>
          <w:color w:val="000000"/>
          <w:sz w:val="30"/>
          <w:szCs w:val="30"/>
        </w:rPr>
        <w:t>40.02</w:t>
      </w:r>
      <w:r w:rsidRPr="002F429E">
        <w:rPr>
          <w:rFonts w:ascii="华文楷体" w:eastAsia="华文楷体" w:hAnsi="华文楷体" w:hint="eastAsia"/>
          <w:color w:val="000000"/>
          <w:sz w:val="30"/>
          <w:szCs w:val="30"/>
        </w:rPr>
        <w:t>公顷，占城镇建设用地面积的</w:t>
      </w:r>
      <w:r w:rsidRPr="002F429E">
        <w:rPr>
          <w:rFonts w:ascii="华文楷体" w:eastAsia="华文楷体" w:hAnsi="华文楷体"/>
          <w:color w:val="000000"/>
          <w:sz w:val="30"/>
          <w:szCs w:val="30"/>
        </w:rPr>
        <w:t>28.19</w:t>
      </w:r>
      <w:r w:rsidRPr="002F429E">
        <w:rPr>
          <w:rFonts w:ascii="华文楷体" w:eastAsia="华文楷体" w:hAnsi="华文楷体" w:hint="eastAsia"/>
          <w:color w:val="000000"/>
          <w:sz w:val="30"/>
          <w:szCs w:val="30"/>
        </w:rPr>
        <w:t>%；公共管理与公共服务设施用地面积为</w:t>
      </w:r>
      <w:r w:rsidRPr="002F429E">
        <w:rPr>
          <w:rFonts w:ascii="华文楷体" w:eastAsia="华文楷体" w:hAnsi="华文楷体"/>
          <w:color w:val="000000"/>
          <w:sz w:val="30"/>
          <w:szCs w:val="30"/>
        </w:rPr>
        <w:t>11.12</w:t>
      </w:r>
      <w:r w:rsidRPr="002F429E">
        <w:rPr>
          <w:rFonts w:ascii="华文楷体" w:eastAsia="华文楷体" w:hAnsi="华文楷体" w:hint="eastAsia"/>
          <w:color w:val="000000"/>
          <w:sz w:val="30"/>
          <w:szCs w:val="30"/>
        </w:rPr>
        <w:t>公顷，占城镇建设用地面积的</w:t>
      </w:r>
      <w:r w:rsidRPr="002F429E">
        <w:rPr>
          <w:rFonts w:ascii="华文楷体" w:eastAsia="华文楷体" w:hAnsi="华文楷体"/>
          <w:color w:val="000000"/>
          <w:sz w:val="30"/>
          <w:szCs w:val="30"/>
        </w:rPr>
        <w:t>7.83</w:t>
      </w:r>
      <w:r w:rsidRPr="002F429E">
        <w:rPr>
          <w:rFonts w:ascii="华文楷体" w:eastAsia="华文楷体" w:hAnsi="华文楷体" w:hint="eastAsia"/>
          <w:color w:val="000000"/>
          <w:sz w:val="30"/>
          <w:szCs w:val="30"/>
        </w:rPr>
        <w:t>%；商业服务业设施用地面积为</w:t>
      </w:r>
      <w:r w:rsidRPr="002F429E">
        <w:rPr>
          <w:rFonts w:ascii="华文楷体" w:eastAsia="华文楷体" w:hAnsi="华文楷体"/>
          <w:color w:val="000000"/>
          <w:sz w:val="30"/>
          <w:szCs w:val="30"/>
        </w:rPr>
        <w:t>5.51</w:t>
      </w:r>
      <w:r w:rsidRPr="002F429E">
        <w:rPr>
          <w:rFonts w:ascii="华文楷体" w:eastAsia="华文楷体" w:hAnsi="华文楷体" w:hint="eastAsia"/>
          <w:color w:val="000000"/>
          <w:sz w:val="30"/>
          <w:szCs w:val="30"/>
        </w:rPr>
        <w:t>公顷，占城镇建设用地面积的</w:t>
      </w:r>
      <w:r w:rsidRPr="002F429E">
        <w:rPr>
          <w:rFonts w:ascii="华文楷体" w:eastAsia="华文楷体" w:hAnsi="华文楷体"/>
          <w:color w:val="000000"/>
          <w:sz w:val="30"/>
          <w:szCs w:val="30"/>
        </w:rPr>
        <w:t>3.88</w:t>
      </w:r>
      <w:r w:rsidRPr="002F429E">
        <w:rPr>
          <w:rFonts w:ascii="华文楷体" w:eastAsia="华文楷体" w:hAnsi="华文楷体" w:hint="eastAsia"/>
          <w:color w:val="000000"/>
          <w:sz w:val="30"/>
          <w:szCs w:val="30"/>
        </w:rPr>
        <w:t>%；工业用地面积为</w:t>
      </w:r>
      <w:r w:rsidRPr="002F429E">
        <w:rPr>
          <w:rFonts w:ascii="华文楷体" w:eastAsia="华文楷体" w:hAnsi="华文楷体"/>
          <w:color w:val="000000"/>
          <w:sz w:val="30"/>
          <w:szCs w:val="30"/>
        </w:rPr>
        <w:t>34.30</w:t>
      </w:r>
      <w:r w:rsidRPr="002F429E">
        <w:rPr>
          <w:rFonts w:ascii="华文楷体" w:eastAsia="华文楷体" w:hAnsi="华文楷体" w:hint="eastAsia"/>
          <w:color w:val="000000"/>
          <w:sz w:val="30"/>
          <w:szCs w:val="30"/>
        </w:rPr>
        <w:t>公顷，占城镇建设用地面积的</w:t>
      </w:r>
      <w:r w:rsidRPr="002F429E">
        <w:rPr>
          <w:rFonts w:ascii="华文楷体" w:eastAsia="华文楷体" w:hAnsi="华文楷体"/>
          <w:color w:val="000000"/>
          <w:sz w:val="30"/>
          <w:szCs w:val="30"/>
        </w:rPr>
        <w:t>24.16</w:t>
      </w:r>
      <w:r w:rsidRPr="002F429E">
        <w:rPr>
          <w:rFonts w:ascii="华文楷体" w:eastAsia="华文楷体" w:hAnsi="华文楷体" w:hint="eastAsia"/>
          <w:color w:val="000000"/>
          <w:sz w:val="30"/>
          <w:szCs w:val="30"/>
        </w:rPr>
        <w:t>%；道路与交通设施用地面积为</w:t>
      </w:r>
      <w:r w:rsidRPr="002F429E">
        <w:rPr>
          <w:rFonts w:ascii="华文楷体" w:eastAsia="华文楷体" w:hAnsi="华文楷体"/>
          <w:color w:val="000000"/>
          <w:sz w:val="30"/>
          <w:szCs w:val="30"/>
        </w:rPr>
        <w:t>33.16</w:t>
      </w:r>
      <w:r w:rsidRPr="002F429E">
        <w:rPr>
          <w:rFonts w:ascii="华文楷体" w:eastAsia="华文楷体" w:hAnsi="华文楷体" w:hint="eastAsia"/>
          <w:color w:val="000000"/>
          <w:sz w:val="30"/>
          <w:szCs w:val="30"/>
        </w:rPr>
        <w:t>公顷，占城镇建设用地面积的</w:t>
      </w:r>
      <w:r w:rsidRPr="002F429E">
        <w:rPr>
          <w:rFonts w:ascii="华文楷体" w:eastAsia="华文楷体" w:hAnsi="华文楷体"/>
          <w:color w:val="000000"/>
          <w:sz w:val="30"/>
          <w:szCs w:val="30"/>
        </w:rPr>
        <w:t>23.36</w:t>
      </w:r>
      <w:r w:rsidRPr="002F429E">
        <w:rPr>
          <w:rFonts w:ascii="华文楷体" w:eastAsia="华文楷体" w:hAnsi="华文楷体" w:hint="eastAsia"/>
          <w:color w:val="000000"/>
          <w:sz w:val="30"/>
          <w:szCs w:val="30"/>
        </w:rPr>
        <w:t>%；公用设施用地面积为</w:t>
      </w:r>
      <w:r w:rsidRPr="002F429E">
        <w:rPr>
          <w:rFonts w:ascii="华文楷体" w:eastAsia="华文楷体" w:hAnsi="华文楷体"/>
          <w:color w:val="000000"/>
          <w:sz w:val="30"/>
          <w:szCs w:val="30"/>
        </w:rPr>
        <w:t>1.21</w:t>
      </w:r>
      <w:r w:rsidRPr="002F429E">
        <w:rPr>
          <w:rFonts w:ascii="华文楷体" w:eastAsia="华文楷体" w:hAnsi="华文楷体" w:hint="eastAsia"/>
          <w:color w:val="000000"/>
          <w:sz w:val="30"/>
          <w:szCs w:val="30"/>
        </w:rPr>
        <w:t>公顷，占城镇建设用地面积的</w:t>
      </w:r>
      <w:r w:rsidRPr="002F429E">
        <w:rPr>
          <w:rFonts w:ascii="华文楷体" w:eastAsia="华文楷体" w:hAnsi="华文楷体"/>
          <w:color w:val="000000"/>
          <w:sz w:val="30"/>
          <w:szCs w:val="30"/>
        </w:rPr>
        <w:t>0.85</w:t>
      </w:r>
      <w:r w:rsidRPr="002F429E">
        <w:rPr>
          <w:rFonts w:ascii="华文楷体" w:eastAsia="华文楷体" w:hAnsi="华文楷体" w:hint="eastAsia"/>
          <w:color w:val="000000"/>
          <w:sz w:val="30"/>
          <w:szCs w:val="30"/>
        </w:rPr>
        <w:t>%；绿地与广场用地面积为</w:t>
      </w:r>
      <w:r w:rsidRPr="002F429E">
        <w:rPr>
          <w:rFonts w:ascii="华文楷体" w:eastAsia="华文楷体" w:hAnsi="华文楷体"/>
          <w:color w:val="000000"/>
          <w:sz w:val="30"/>
          <w:szCs w:val="30"/>
        </w:rPr>
        <w:t>19.26</w:t>
      </w:r>
      <w:r w:rsidRPr="002F429E">
        <w:rPr>
          <w:rFonts w:ascii="华文楷体" w:eastAsia="华文楷体" w:hAnsi="华文楷体" w:hint="eastAsia"/>
          <w:color w:val="000000"/>
          <w:sz w:val="30"/>
          <w:szCs w:val="30"/>
        </w:rPr>
        <w:t>公顷，占城镇建设用地面积的</w:t>
      </w:r>
      <w:r w:rsidRPr="002F429E">
        <w:rPr>
          <w:rFonts w:ascii="华文楷体" w:eastAsia="华文楷体" w:hAnsi="华文楷体"/>
          <w:color w:val="000000"/>
          <w:sz w:val="30"/>
          <w:szCs w:val="30"/>
        </w:rPr>
        <w:t>13.57%</w:t>
      </w:r>
      <w:r w:rsidRPr="002F429E">
        <w:rPr>
          <w:rFonts w:ascii="华文楷体" w:eastAsia="华文楷体" w:hAnsi="华文楷体" w:hint="eastAsia"/>
          <w:color w:val="000000"/>
          <w:sz w:val="30"/>
          <w:szCs w:val="30"/>
        </w:rPr>
        <w:t>。</w:t>
      </w:r>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（五）</w:t>
      </w:r>
      <w:r w:rsidRPr="002F429E">
        <w:rPr>
          <w:rFonts w:ascii="华文楷体" w:eastAsia="华文楷体" w:hAnsi="华文楷体"/>
          <w:color w:val="000000"/>
          <w:sz w:val="30"/>
          <w:szCs w:val="30"/>
        </w:rPr>
        <w:t>土地使用控制</w:t>
      </w:r>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1.</w:t>
      </w:r>
      <w:r w:rsidRPr="002F429E">
        <w:rPr>
          <w:rFonts w:ascii="华文楷体" w:eastAsia="华文楷体" w:hAnsi="华文楷体"/>
          <w:color w:val="000000"/>
          <w:sz w:val="30"/>
          <w:szCs w:val="30"/>
        </w:rPr>
        <w:t>建筑密度、容积率、绿地率控制指标表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869"/>
        <w:gridCol w:w="2574"/>
        <w:gridCol w:w="1717"/>
        <w:gridCol w:w="1685"/>
      </w:tblGrid>
      <w:tr w:rsidR="002F429E" w:rsidRPr="002F429E" w:rsidTr="00081197">
        <w:trPr>
          <w:cantSplit/>
          <w:trHeight w:hRule="exact" w:val="454"/>
          <w:jc w:val="center"/>
        </w:trPr>
        <w:tc>
          <w:tcPr>
            <w:tcW w:w="0" w:type="auto"/>
            <w:gridSpan w:val="2"/>
          </w:tcPr>
          <w:p w:rsidR="002F429E" w:rsidRPr="002F429E" w:rsidRDefault="002F429E" w:rsidP="00081197">
            <w:pPr>
              <w:jc w:val="center"/>
              <w:rPr>
                <w:rFonts w:ascii="华文楷体" w:eastAsia="华文楷体" w:hAnsi="华文楷体"/>
                <w:sz w:val="24"/>
                <w:szCs w:val="24"/>
              </w:rPr>
            </w:pPr>
          </w:p>
        </w:tc>
        <w:tc>
          <w:tcPr>
            <w:tcW w:w="2574" w:type="dxa"/>
            <w:shd w:val="clear" w:color="auto" w:fill="auto"/>
          </w:tcPr>
          <w:p w:rsidR="002F429E" w:rsidRPr="002F429E" w:rsidRDefault="002F429E" w:rsidP="00081197">
            <w:pPr>
              <w:jc w:val="center"/>
              <w:rPr>
                <w:rFonts w:ascii="华文楷体" w:eastAsia="华文楷体" w:hAnsi="华文楷体"/>
                <w:b/>
                <w:sz w:val="24"/>
                <w:szCs w:val="24"/>
              </w:rPr>
            </w:pPr>
            <w:r w:rsidRPr="002F429E">
              <w:rPr>
                <w:rFonts w:ascii="华文楷体" w:eastAsia="华文楷体" w:hAnsi="华文楷体"/>
                <w:b/>
                <w:sz w:val="24"/>
                <w:szCs w:val="24"/>
              </w:rPr>
              <w:t>建筑密度(≤%)</w:t>
            </w:r>
          </w:p>
        </w:tc>
        <w:tc>
          <w:tcPr>
            <w:tcW w:w="1717" w:type="dxa"/>
            <w:shd w:val="clear" w:color="auto" w:fill="auto"/>
          </w:tcPr>
          <w:p w:rsidR="002F429E" w:rsidRPr="002F429E" w:rsidRDefault="002F429E" w:rsidP="00081197">
            <w:pPr>
              <w:jc w:val="center"/>
              <w:rPr>
                <w:rFonts w:ascii="华文楷体" w:eastAsia="华文楷体" w:hAnsi="华文楷体"/>
                <w:b/>
                <w:sz w:val="24"/>
                <w:szCs w:val="24"/>
              </w:rPr>
            </w:pPr>
            <w:r w:rsidRPr="002F429E">
              <w:rPr>
                <w:rFonts w:ascii="华文楷体" w:eastAsia="华文楷体" w:hAnsi="华文楷体"/>
                <w:b/>
                <w:sz w:val="24"/>
                <w:szCs w:val="24"/>
              </w:rPr>
              <w:t>容积率(≤)</w:t>
            </w:r>
          </w:p>
        </w:tc>
        <w:tc>
          <w:tcPr>
            <w:tcW w:w="1685" w:type="dxa"/>
            <w:shd w:val="clear" w:color="auto" w:fill="auto"/>
          </w:tcPr>
          <w:p w:rsidR="002F429E" w:rsidRPr="002F429E" w:rsidRDefault="002F429E" w:rsidP="00081197">
            <w:pPr>
              <w:jc w:val="center"/>
              <w:rPr>
                <w:rFonts w:ascii="华文楷体" w:eastAsia="华文楷体" w:hAnsi="华文楷体"/>
                <w:b/>
                <w:sz w:val="24"/>
                <w:szCs w:val="24"/>
              </w:rPr>
            </w:pPr>
            <w:r w:rsidRPr="002F429E">
              <w:rPr>
                <w:rFonts w:ascii="华文楷体" w:eastAsia="华文楷体" w:hAnsi="华文楷体"/>
                <w:b/>
                <w:sz w:val="24"/>
                <w:szCs w:val="24"/>
              </w:rPr>
              <w:t>绿地率(≥%)</w:t>
            </w:r>
          </w:p>
        </w:tc>
      </w:tr>
      <w:tr w:rsidR="002F429E" w:rsidRPr="002F429E" w:rsidTr="00081197">
        <w:trPr>
          <w:cantSplit/>
          <w:trHeight w:hRule="exact" w:val="454"/>
          <w:jc w:val="center"/>
        </w:trPr>
        <w:tc>
          <w:tcPr>
            <w:tcW w:w="0" w:type="auto"/>
            <w:vMerge w:val="restart"/>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居住建筑</w:t>
            </w:r>
          </w:p>
        </w:tc>
        <w:tc>
          <w:tcPr>
            <w:tcW w:w="0" w:type="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低层</w:t>
            </w:r>
          </w:p>
        </w:tc>
        <w:tc>
          <w:tcPr>
            <w:tcW w:w="2574"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40</w:t>
            </w:r>
            <w:r w:rsidRPr="002F429E">
              <w:rPr>
                <w:rFonts w:ascii="华文楷体" w:eastAsia="华文楷体" w:hAnsi="华文楷体" w:hint="eastAsia"/>
                <w:sz w:val="24"/>
                <w:szCs w:val="24"/>
              </w:rPr>
              <w:t>%</w:t>
            </w:r>
          </w:p>
        </w:tc>
        <w:tc>
          <w:tcPr>
            <w:tcW w:w="1717"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1.2</w:t>
            </w:r>
          </w:p>
        </w:tc>
        <w:tc>
          <w:tcPr>
            <w:tcW w:w="1685"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30</w:t>
            </w:r>
            <w:r w:rsidRPr="002F429E">
              <w:rPr>
                <w:rFonts w:ascii="华文楷体" w:eastAsia="华文楷体" w:hAnsi="华文楷体" w:hint="eastAsia"/>
                <w:sz w:val="24"/>
                <w:szCs w:val="24"/>
              </w:rPr>
              <w:t>%</w:t>
            </w:r>
          </w:p>
        </w:tc>
      </w:tr>
      <w:tr w:rsidR="002F429E" w:rsidRPr="002F429E" w:rsidTr="00081197">
        <w:trPr>
          <w:cantSplit/>
          <w:trHeight w:hRule="exact" w:val="454"/>
          <w:jc w:val="center"/>
        </w:trPr>
        <w:tc>
          <w:tcPr>
            <w:tcW w:w="0" w:type="auto"/>
            <w:vMerge/>
          </w:tcPr>
          <w:p w:rsidR="002F429E" w:rsidRPr="002F429E" w:rsidRDefault="002F429E" w:rsidP="00081197">
            <w:pPr>
              <w:jc w:val="center"/>
              <w:rPr>
                <w:rFonts w:ascii="华文楷体" w:eastAsia="华文楷体" w:hAnsi="华文楷体"/>
                <w:sz w:val="24"/>
                <w:szCs w:val="24"/>
              </w:rPr>
            </w:pPr>
          </w:p>
        </w:tc>
        <w:tc>
          <w:tcPr>
            <w:tcW w:w="0" w:type="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多层</w:t>
            </w:r>
          </w:p>
        </w:tc>
        <w:tc>
          <w:tcPr>
            <w:tcW w:w="2574"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30</w:t>
            </w:r>
            <w:r w:rsidRPr="002F429E">
              <w:rPr>
                <w:rFonts w:ascii="华文楷体" w:eastAsia="华文楷体" w:hAnsi="华文楷体" w:hint="eastAsia"/>
                <w:sz w:val="24"/>
                <w:szCs w:val="24"/>
              </w:rPr>
              <w:t>%</w:t>
            </w:r>
          </w:p>
        </w:tc>
        <w:tc>
          <w:tcPr>
            <w:tcW w:w="1717"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1.8</w:t>
            </w:r>
          </w:p>
        </w:tc>
        <w:tc>
          <w:tcPr>
            <w:tcW w:w="1685"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30</w:t>
            </w:r>
            <w:r w:rsidRPr="002F429E">
              <w:rPr>
                <w:rFonts w:ascii="华文楷体" w:eastAsia="华文楷体" w:hAnsi="华文楷体" w:hint="eastAsia"/>
                <w:sz w:val="24"/>
                <w:szCs w:val="24"/>
              </w:rPr>
              <w:t>%</w:t>
            </w:r>
          </w:p>
        </w:tc>
      </w:tr>
      <w:tr w:rsidR="002F429E" w:rsidRPr="002F429E" w:rsidTr="00081197">
        <w:trPr>
          <w:cantSplit/>
          <w:trHeight w:hRule="exact" w:val="454"/>
          <w:jc w:val="center"/>
        </w:trPr>
        <w:tc>
          <w:tcPr>
            <w:tcW w:w="0" w:type="auto"/>
            <w:vMerge/>
          </w:tcPr>
          <w:p w:rsidR="002F429E" w:rsidRPr="002F429E" w:rsidRDefault="002F429E" w:rsidP="00081197">
            <w:pPr>
              <w:jc w:val="center"/>
              <w:rPr>
                <w:rFonts w:ascii="华文楷体" w:eastAsia="华文楷体" w:hAnsi="华文楷体"/>
                <w:sz w:val="24"/>
                <w:szCs w:val="24"/>
              </w:rPr>
            </w:pPr>
          </w:p>
        </w:tc>
        <w:tc>
          <w:tcPr>
            <w:tcW w:w="0" w:type="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hint="eastAsia"/>
                <w:sz w:val="24"/>
                <w:szCs w:val="24"/>
              </w:rPr>
              <w:t>小高层</w:t>
            </w:r>
          </w:p>
        </w:tc>
        <w:tc>
          <w:tcPr>
            <w:tcW w:w="2574"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hint="eastAsia"/>
                <w:sz w:val="24"/>
                <w:szCs w:val="24"/>
              </w:rPr>
              <w:t>25%</w:t>
            </w:r>
          </w:p>
        </w:tc>
        <w:tc>
          <w:tcPr>
            <w:tcW w:w="1717"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hint="eastAsia"/>
                <w:sz w:val="24"/>
                <w:szCs w:val="24"/>
              </w:rPr>
              <w:t>2.5</w:t>
            </w:r>
          </w:p>
        </w:tc>
        <w:tc>
          <w:tcPr>
            <w:tcW w:w="1685"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3</w:t>
            </w:r>
            <w:r w:rsidRPr="002F429E">
              <w:rPr>
                <w:rFonts w:ascii="华文楷体" w:eastAsia="华文楷体" w:hAnsi="华文楷体" w:hint="eastAsia"/>
                <w:sz w:val="24"/>
                <w:szCs w:val="24"/>
              </w:rPr>
              <w:t>5%</w:t>
            </w:r>
          </w:p>
        </w:tc>
      </w:tr>
      <w:tr w:rsidR="002F429E" w:rsidRPr="002F429E" w:rsidTr="00081197">
        <w:trPr>
          <w:cantSplit/>
          <w:trHeight w:hRule="exact" w:val="454"/>
          <w:jc w:val="center"/>
        </w:trPr>
        <w:tc>
          <w:tcPr>
            <w:tcW w:w="0" w:type="auto"/>
            <w:vMerge/>
          </w:tcPr>
          <w:p w:rsidR="002F429E" w:rsidRPr="002F429E" w:rsidRDefault="002F429E" w:rsidP="00081197">
            <w:pPr>
              <w:jc w:val="center"/>
              <w:rPr>
                <w:rFonts w:ascii="华文楷体" w:eastAsia="华文楷体" w:hAnsi="华文楷体"/>
                <w:sz w:val="24"/>
                <w:szCs w:val="24"/>
              </w:rPr>
            </w:pPr>
          </w:p>
        </w:tc>
        <w:tc>
          <w:tcPr>
            <w:tcW w:w="0" w:type="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高层</w:t>
            </w:r>
          </w:p>
        </w:tc>
        <w:tc>
          <w:tcPr>
            <w:tcW w:w="2574"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20</w:t>
            </w:r>
            <w:r w:rsidRPr="002F429E">
              <w:rPr>
                <w:rFonts w:ascii="华文楷体" w:eastAsia="华文楷体" w:hAnsi="华文楷体" w:hint="eastAsia"/>
                <w:sz w:val="24"/>
                <w:szCs w:val="24"/>
              </w:rPr>
              <w:t>%</w:t>
            </w:r>
          </w:p>
        </w:tc>
        <w:tc>
          <w:tcPr>
            <w:tcW w:w="1717"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3.5</w:t>
            </w:r>
          </w:p>
        </w:tc>
        <w:tc>
          <w:tcPr>
            <w:tcW w:w="1685"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3</w:t>
            </w:r>
            <w:r w:rsidRPr="002F429E">
              <w:rPr>
                <w:rFonts w:ascii="华文楷体" w:eastAsia="华文楷体" w:hAnsi="华文楷体" w:hint="eastAsia"/>
                <w:sz w:val="24"/>
                <w:szCs w:val="24"/>
              </w:rPr>
              <w:t>5%</w:t>
            </w:r>
          </w:p>
        </w:tc>
      </w:tr>
      <w:tr w:rsidR="002F429E" w:rsidRPr="002F429E" w:rsidTr="00081197">
        <w:trPr>
          <w:cantSplit/>
          <w:trHeight w:hRule="exact" w:val="454"/>
          <w:jc w:val="center"/>
        </w:trPr>
        <w:tc>
          <w:tcPr>
            <w:tcW w:w="0" w:type="auto"/>
            <w:vMerge w:val="restart"/>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hint="eastAsia"/>
                <w:sz w:val="24"/>
                <w:szCs w:val="24"/>
              </w:rPr>
              <w:t>商住建筑</w:t>
            </w:r>
          </w:p>
        </w:tc>
        <w:tc>
          <w:tcPr>
            <w:tcW w:w="0" w:type="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低层</w:t>
            </w:r>
          </w:p>
        </w:tc>
        <w:tc>
          <w:tcPr>
            <w:tcW w:w="2574"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40</w:t>
            </w:r>
            <w:r w:rsidRPr="002F429E">
              <w:rPr>
                <w:rFonts w:ascii="华文楷体" w:eastAsia="华文楷体" w:hAnsi="华文楷体" w:hint="eastAsia"/>
                <w:sz w:val="24"/>
                <w:szCs w:val="24"/>
              </w:rPr>
              <w:t>%</w:t>
            </w:r>
          </w:p>
        </w:tc>
        <w:tc>
          <w:tcPr>
            <w:tcW w:w="1717"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1.2</w:t>
            </w:r>
          </w:p>
        </w:tc>
        <w:tc>
          <w:tcPr>
            <w:tcW w:w="1685"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30</w:t>
            </w:r>
            <w:r w:rsidRPr="002F429E">
              <w:rPr>
                <w:rFonts w:ascii="华文楷体" w:eastAsia="华文楷体" w:hAnsi="华文楷体" w:hint="eastAsia"/>
                <w:sz w:val="24"/>
                <w:szCs w:val="24"/>
              </w:rPr>
              <w:t>%</w:t>
            </w:r>
          </w:p>
        </w:tc>
      </w:tr>
      <w:tr w:rsidR="002F429E" w:rsidRPr="002F429E" w:rsidTr="00081197">
        <w:trPr>
          <w:cantSplit/>
          <w:trHeight w:hRule="exact" w:val="454"/>
          <w:jc w:val="center"/>
        </w:trPr>
        <w:tc>
          <w:tcPr>
            <w:tcW w:w="0" w:type="auto"/>
            <w:vMerge/>
          </w:tcPr>
          <w:p w:rsidR="002F429E" w:rsidRPr="002F429E" w:rsidRDefault="002F429E" w:rsidP="00081197">
            <w:pPr>
              <w:jc w:val="center"/>
              <w:rPr>
                <w:rFonts w:ascii="华文楷体" w:eastAsia="华文楷体" w:hAnsi="华文楷体"/>
                <w:sz w:val="24"/>
                <w:szCs w:val="24"/>
              </w:rPr>
            </w:pPr>
          </w:p>
        </w:tc>
        <w:tc>
          <w:tcPr>
            <w:tcW w:w="0" w:type="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多层</w:t>
            </w:r>
          </w:p>
        </w:tc>
        <w:tc>
          <w:tcPr>
            <w:tcW w:w="2574"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30</w:t>
            </w:r>
            <w:r w:rsidRPr="002F429E">
              <w:rPr>
                <w:rFonts w:ascii="华文楷体" w:eastAsia="华文楷体" w:hAnsi="华文楷体" w:hint="eastAsia"/>
                <w:sz w:val="24"/>
                <w:szCs w:val="24"/>
              </w:rPr>
              <w:t>%</w:t>
            </w:r>
          </w:p>
        </w:tc>
        <w:tc>
          <w:tcPr>
            <w:tcW w:w="1717"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1.8</w:t>
            </w:r>
          </w:p>
        </w:tc>
        <w:tc>
          <w:tcPr>
            <w:tcW w:w="1685"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30</w:t>
            </w:r>
            <w:r w:rsidRPr="002F429E">
              <w:rPr>
                <w:rFonts w:ascii="华文楷体" w:eastAsia="华文楷体" w:hAnsi="华文楷体" w:hint="eastAsia"/>
                <w:sz w:val="24"/>
                <w:szCs w:val="24"/>
              </w:rPr>
              <w:t>%</w:t>
            </w:r>
          </w:p>
        </w:tc>
      </w:tr>
      <w:tr w:rsidR="002F429E" w:rsidRPr="002F429E" w:rsidTr="00081197">
        <w:trPr>
          <w:cantSplit/>
          <w:trHeight w:hRule="exact" w:val="454"/>
          <w:jc w:val="center"/>
        </w:trPr>
        <w:tc>
          <w:tcPr>
            <w:tcW w:w="0" w:type="auto"/>
            <w:vMerge/>
          </w:tcPr>
          <w:p w:rsidR="002F429E" w:rsidRPr="002F429E" w:rsidRDefault="002F429E" w:rsidP="00081197">
            <w:pPr>
              <w:jc w:val="center"/>
              <w:rPr>
                <w:rFonts w:ascii="华文楷体" w:eastAsia="华文楷体" w:hAnsi="华文楷体"/>
                <w:sz w:val="24"/>
                <w:szCs w:val="24"/>
              </w:rPr>
            </w:pPr>
          </w:p>
        </w:tc>
        <w:tc>
          <w:tcPr>
            <w:tcW w:w="0" w:type="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hint="eastAsia"/>
                <w:sz w:val="24"/>
                <w:szCs w:val="24"/>
              </w:rPr>
              <w:t>小高层</w:t>
            </w:r>
          </w:p>
        </w:tc>
        <w:tc>
          <w:tcPr>
            <w:tcW w:w="2574"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hint="eastAsia"/>
                <w:sz w:val="24"/>
                <w:szCs w:val="24"/>
              </w:rPr>
              <w:t>总建筑密度</w:t>
            </w:r>
            <w:r w:rsidRPr="002F429E">
              <w:rPr>
                <w:rFonts w:ascii="华文楷体" w:eastAsia="华文楷体" w:hAnsi="华文楷体"/>
                <w:sz w:val="24"/>
                <w:szCs w:val="24"/>
              </w:rPr>
              <w:t>≤</w:t>
            </w:r>
            <w:r w:rsidRPr="002F429E">
              <w:rPr>
                <w:rFonts w:ascii="华文楷体" w:eastAsia="华文楷体" w:hAnsi="华文楷体" w:hint="eastAsia"/>
                <w:sz w:val="24"/>
                <w:szCs w:val="24"/>
              </w:rPr>
              <w:t>40%</w:t>
            </w:r>
          </w:p>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hint="eastAsia"/>
                <w:sz w:val="24"/>
                <w:szCs w:val="24"/>
              </w:rPr>
              <w:t>居住高层主体建筑密度</w:t>
            </w:r>
            <w:r w:rsidRPr="002F429E">
              <w:rPr>
                <w:rFonts w:ascii="华文楷体" w:eastAsia="华文楷体" w:hAnsi="华文楷体"/>
                <w:sz w:val="24"/>
                <w:szCs w:val="24"/>
              </w:rPr>
              <w:t>≤</w:t>
            </w:r>
            <w:r w:rsidRPr="002F429E">
              <w:rPr>
                <w:rFonts w:ascii="华文楷体" w:eastAsia="华文楷体" w:hAnsi="华文楷体" w:hint="eastAsia"/>
                <w:sz w:val="24"/>
                <w:szCs w:val="24"/>
              </w:rPr>
              <w:t>25%</w:t>
            </w:r>
          </w:p>
        </w:tc>
        <w:tc>
          <w:tcPr>
            <w:tcW w:w="1717"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hint="eastAsia"/>
                <w:sz w:val="24"/>
                <w:szCs w:val="24"/>
              </w:rPr>
              <w:t>2.5</w:t>
            </w:r>
          </w:p>
        </w:tc>
        <w:tc>
          <w:tcPr>
            <w:tcW w:w="1685"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hint="eastAsia"/>
                <w:sz w:val="24"/>
                <w:szCs w:val="24"/>
              </w:rPr>
              <w:t>20%</w:t>
            </w:r>
          </w:p>
        </w:tc>
      </w:tr>
      <w:tr w:rsidR="002F429E" w:rsidRPr="002F429E" w:rsidTr="00081197">
        <w:trPr>
          <w:cantSplit/>
          <w:trHeight w:hRule="exact" w:val="454"/>
          <w:jc w:val="center"/>
        </w:trPr>
        <w:tc>
          <w:tcPr>
            <w:tcW w:w="0" w:type="auto"/>
            <w:vMerge/>
          </w:tcPr>
          <w:p w:rsidR="002F429E" w:rsidRPr="002F429E" w:rsidRDefault="002F429E" w:rsidP="00081197">
            <w:pPr>
              <w:jc w:val="center"/>
              <w:rPr>
                <w:rFonts w:ascii="华文楷体" w:eastAsia="华文楷体" w:hAnsi="华文楷体"/>
                <w:sz w:val="24"/>
                <w:szCs w:val="24"/>
              </w:rPr>
            </w:pPr>
          </w:p>
        </w:tc>
        <w:tc>
          <w:tcPr>
            <w:tcW w:w="0" w:type="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高层</w:t>
            </w:r>
          </w:p>
        </w:tc>
        <w:tc>
          <w:tcPr>
            <w:tcW w:w="2574"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hint="eastAsia"/>
                <w:sz w:val="24"/>
                <w:szCs w:val="24"/>
              </w:rPr>
              <w:t>总建筑密度</w:t>
            </w:r>
            <w:r w:rsidRPr="002F429E">
              <w:rPr>
                <w:rFonts w:ascii="华文楷体" w:eastAsia="华文楷体" w:hAnsi="华文楷体"/>
                <w:sz w:val="24"/>
                <w:szCs w:val="24"/>
              </w:rPr>
              <w:t>≤</w:t>
            </w:r>
            <w:r w:rsidRPr="002F429E">
              <w:rPr>
                <w:rFonts w:ascii="华文楷体" w:eastAsia="华文楷体" w:hAnsi="华文楷体" w:hint="eastAsia"/>
                <w:sz w:val="24"/>
                <w:szCs w:val="24"/>
              </w:rPr>
              <w:t>40%</w:t>
            </w:r>
          </w:p>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hint="eastAsia"/>
                <w:sz w:val="24"/>
                <w:szCs w:val="24"/>
              </w:rPr>
              <w:t>居住高层主体建筑密度</w:t>
            </w:r>
            <w:r w:rsidRPr="002F429E">
              <w:rPr>
                <w:rFonts w:ascii="华文楷体" w:eastAsia="华文楷体" w:hAnsi="华文楷体"/>
                <w:sz w:val="24"/>
                <w:szCs w:val="24"/>
              </w:rPr>
              <w:t>≤</w:t>
            </w:r>
            <w:r w:rsidRPr="002F429E">
              <w:rPr>
                <w:rFonts w:ascii="华文楷体" w:eastAsia="华文楷体" w:hAnsi="华文楷体" w:hint="eastAsia"/>
                <w:sz w:val="24"/>
                <w:szCs w:val="24"/>
              </w:rPr>
              <w:t>20%</w:t>
            </w:r>
          </w:p>
        </w:tc>
        <w:tc>
          <w:tcPr>
            <w:tcW w:w="1717"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hint="eastAsia"/>
                <w:sz w:val="24"/>
                <w:szCs w:val="24"/>
              </w:rPr>
              <w:t>3.5</w:t>
            </w:r>
          </w:p>
        </w:tc>
        <w:tc>
          <w:tcPr>
            <w:tcW w:w="1685"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hint="eastAsia"/>
                <w:sz w:val="24"/>
                <w:szCs w:val="24"/>
              </w:rPr>
              <w:t>20%</w:t>
            </w:r>
          </w:p>
        </w:tc>
      </w:tr>
      <w:tr w:rsidR="002F429E" w:rsidRPr="002F429E" w:rsidTr="00081197">
        <w:trPr>
          <w:cantSplit/>
          <w:trHeight w:hRule="exact" w:val="454"/>
          <w:jc w:val="center"/>
        </w:trPr>
        <w:tc>
          <w:tcPr>
            <w:tcW w:w="0" w:type="auto"/>
            <w:vMerge w:val="restart"/>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商业建筑</w:t>
            </w:r>
          </w:p>
        </w:tc>
        <w:tc>
          <w:tcPr>
            <w:tcW w:w="0" w:type="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低层</w:t>
            </w:r>
          </w:p>
        </w:tc>
        <w:tc>
          <w:tcPr>
            <w:tcW w:w="2574"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50</w:t>
            </w:r>
            <w:r w:rsidRPr="002F429E">
              <w:rPr>
                <w:rFonts w:ascii="华文楷体" w:eastAsia="华文楷体" w:hAnsi="华文楷体" w:hint="eastAsia"/>
                <w:sz w:val="24"/>
                <w:szCs w:val="24"/>
              </w:rPr>
              <w:t>%</w:t>
            </w:r>
          </w:p>
        </w:tc>
        <w:tc>
          <w:tcPr>
            <w:tcW w:w="1717"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1.6</w:t>
            </w:r>
          </w:p>
        </w:tc>
        <w:tc>
          <w:tcPr>
            <w:tcW w:w="1685" w:type="dxa"/>
          </w:tcPr>
          <w:p w:rsidR="002F429E" w:rsidRPr="002F429E" w:rsidRDefault="002F429E" w:rsidP="00081197">
            <w:pPr>
              <w:jc w:val="center"/>
              <w:rPr>
                <w:rFonts w:ascii="华文楷体" w:eastAsia="华文楷体" w:hAnsi="华文楷体"/>
                <w:sz w:val="24"/>
                <w:szCs w:val="24"/>
              </w:rPr>
            </w:pPr>
          </w:p>
        </w:tc>
      </w:tr>
      <w:tr w:rsidR="002F429E" w:rsidRPr="002F429E" w:rsidTr="00081197">
        <w:trPr>
          <w:cantSplit/>
          <w:trHeight w:hRule="exact" w:val="454"/>
          <w:jc w:val="center"/>
        </w:trPr>
        <w:tc>
          <w:tcPr>
            <w:tcW w:w="0" w:type="auto"/>
            <w:vMerge/>
          </w:tcPr>
          <w:p w:rsidR="002F429E" w:rsidRPr="002F429E" w:rsidRDefault="002F429E" w:rsidP="00081197">
            <w:pPr>
              <w:jc w:val="center"/>
              <w:rPr>
                <w:rFonts w:ascii="华文楷体" w:eastAsia="华文楷体" w:hAnsi="华文楷体"/>
                <w:sz w:val="24"/>
                <w:szCs w:val="24"/>
              </w:rPr>
            </w:pPr>
          </w:p>
        </w:tc>
        <w:tc>
          <w:tcPr>
            <w:tcW w:w="0" w:type="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多层</w:t>
            </w:r>
          </w:p>
        </w:tc>
        <w:tc>
          <w:tcPr>
            <w:tcW w:w="2574" w:type="dxa"/>
            <w:shd w:val="clear" w:color="auto" w:fill="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45</w:t>
            </w:r>
            <w:r w:rsidRPr="002F429E">
              <w:rPr>
                <w:rFonts w:ascii="华文楷体" w:eastAsia="华文楷体" w:hAnsi="华文楷体" w:hint="eastAsia"/>
                <w:sz w:val="24"/>
                <w:szCs w:val="24"/>
              </w:rPr>
              <w:t>%</w:t>
            </w:r>
          </w:p>
        </w:tc>
        <w:tc>
          <w:tcPr>
            <w:tcW w:w="1717" w:type="dxa"/>
            <w:shd w:val="clear" w:color="auto" w:fill="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2.5</w:t>
            </w:r>
          </w:p>
        </w:tc>
        <w:tc>
          <w:tcPr>
            <w:tcW w:w="1685" w:type="dxa"/>
            <w:shd w:val="clear" w:color="auto" w:fill="auto"/>
          </w:tcPr>
          <w:p w:rsidR="002F429E" w:rsidRPr="002F429E" w:rsidRDefault="002F429E" w:rsidP="00081197">
            <w:pPr>
              <w:jc w:val="center"/>
              <w:rPr>
                <w:rFonts w:ascii="华文楷体" w:eastAsia="华文楷体" w:hAnsi="华文楷体"/>
                <w:sz w:val="24"/>
                <w:szCs w:val="24"/>
              </w:rPr>
            </w:pPr>
          </w:p>
        </w:tc>
      </w:tr>
      <w:tr w:rsidR="002F429E" w:rsidRPr="002F429E" w:rsidTr="00081197">
        <w:trPr>
          <w:cantSplit/>
          <w:trHeight w:hRule="exact" w:val="454"/>
          <w:jc w:val="center"/>
        </w:trPr>
        <w:tc>
          <w:tcPr>
            <w:tcW w:w="0" w:type="auto"/>
            <w:vMerge/>
          </w:tcPr>
          <w:p w:rsidR="002F429E" w:rsidRPr="002F429E" w:rsidRDefault="002F429E" w:rsidP="00081197">
            <w:pPr>
              <w:jc w:val="center"/>
              <w:rPr>
                <w:rFonts w:ascii="华文楷体" w:eastAsia="华文楷体" w:hAnsi="华文楷体"/>
                <w:sz w:val="24"/>
                <w:szCs w:val="24"/>
              </w:rPr>
            </w:pPr>
          </w:p>
        </w:tc>
        <w:tc>
          <w:tcPr>
            <w:tcW w:w="0" w:type="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高层</w:t>
            </w:r>
          </w:p>
        </w:tc>
        <w:tc>
          <w:tcPr>
            <w:tcW w:w="2574" w:type="dxa"/>
            <w:shd w:val="clear" w:color="auto" w:fill="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hint="eastAsia"/>
                <w:sz w:val="24"/>
                <w:szCs w:val="24"/>
              </w:rPr>
              <w:t>总建筑密度</w:t>
            </w:r>
            <w:r w:rsidRPr="002F429E">
              <w:rPr>
                <w:rFonts w:ascii="华文楷体" w:eastAsia="华文楷体" w:hAnsi="华文楷体"/>
                <w:sz w:val="24"/>
                <w:szCs w:val="24"/>
              </w:rPr>
              <w:t>≤</w:t>
            </w:r>
            <w:r w:rsidRPr="002F429E">
              <w:rPr>
                <w:rFonts w:ascii="华文楷体" w:eastAsia="华文楷体" w:hAnsi="华文楷体" w:hint="eastAsia"/>
                <w:sz w:val="24"/>
                <w:szCs w:val="24"/>
              </w:rPr>
              <w:t>5</w:t>
            </w:r>
            <w:r w:rsidRPr="002F429E">
              <w:rPr>
                <w:rFonts w:ascii="华文楷体" w:eastAsia="华文楷体" w:hAnsi="华文楷体"/>
                <w:sz w:val="24"/>
                <w:szCs w:val="24"/>
              </w:rPr>
              <w:t>0</w:t>
            </w:r>
            <w:r w:rsidRPr="002F429E">
              <w:rPr>
                <w:rFonts w:ascii="华文楷体" w:eastAsia="华文楷体" w:hAnsi="华文楷体" w:hint="eastAsia"/>
                <w:sz w:val="24"/>
                <w:szCs w:val="24"/>
              </w:rPr>
              <w:t>%</w:t>
            </w:r>
          </w:p>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hint="eastAsia"/>
                <w:sz w:val="24"/>
                <w:szCs w:val="24"/>
              </w:rPr>
              <w:t>非居住高层主体建筑密度</w:t>
            </w:r>
            <w:r w:rsidRPr="002F429E">
              <w:rPr>
                <w:rFonts w:ascii="华文楷体" w:eastAsia="华文楷体" w:hAnsi="华文楷体"/>
                <w:sz w:val="24"/>
                <w:szCs w:val="24"/>
              </w:rPr>
              <w:t>≤</w:t>
            </w:r>
            <w:r w:rsidRPr="002F429E">
              <w:rPr>
                <w:rFonts w:ascii="华文楷体" w:eastAsia="华文楷体" w:hAnsi="华文楷体" w:hint="eastAsia"/>
                <w:sz w:val="24"/>
                <w:szCs w:val="24"/>
              </w:rPr>
              <w:t>25%</w:t>
            </w:r>
          </w:p>
        </w:tc>
        <w:tc>
          <w:tcPr>
            <w:tcW w:w="1717" w:type="dxa"/>
            <w:shd w:val="clear" w:color="auto" w:fill="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4.0</w:t>
            </w:r>
          </w:p>
        </w:tc>
        <w:tc>
          <w:tcPr>
            <w:tcW w:w="1685" w:type="dxa"/>
            <w:shd w:val="clear" w:color="auto" w:fill="auto"/>
          </w:tcPr>
          <w:p w:rsidR="002F429E" w:rsidRPr="002F429E" w:rsidRDefault="002F429E" w:rsidP="00081197">
            <w:pPr>
              <w:jc w:val="center"/>
              <w:rPr>
                <w:rFonts w:ascii="华文楷体" w:eastAsia="华文楷体" w:hAnsi="华文楷体"/>
                <w:sz w:val="24"/>
                <w:szCs w:val="24"/>
              </w:rPr>
            </w:pPr>
          </w:p>
        </w:tc>
      </w:tr>
      <w:tr w:rsidR="002F429E" w:rsidRPr="002F429E" w:rsidTr="00081197">
        <w:trPr>
          <w:cantSplit/>
          <w:trHeight w:hRule="exact" w:val="454"/>
          <w:jc w:val="center"/>
        </w:trPr>
        <w:tc>
          <w:tcPr>
            <w:tcW w:w="0" w:type="auto"/>
            <w:vMerge w:val="restart"/>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办公建筑</w:t>
            </w:r>
            <w:r w:rsidRPr="002F429E">
              <w:rPr>
                <w:rFonts w:ascii="华文楷体" w:eastAsia="华文楷体" w:hAnsi="华文楷体" w:hint="eastAsia"/>
                <w:sz w:val="24"/>
                <w:szCs w:val="24"/>
              </w:rPr>
              <w:t>、</w:t>
            </w:r>
            <w:r w:rsidRPr="002F429E">
              <w:rPr>
                <w:rFonts w:ascii="华文楷体" w:eastAsia="华文楷体" w:hAnsi="华文楷体"/>
                <w:sz w:val="24"/>
                <w:szCs w:val="24"/>
              </w:rPr>
              <w:t>宾馆</w:t>
            </w:r>
          </w:p>
        </w:tc>
        <w:tc>
          <w:tcPr>
            <w:tcW w:w="0" w:type="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多层</w:t>
            </w:r>
          </w:p>
        </w:tc>
        <w:tc>
          <w:tcPr>
            <w:tcW w:w="2574" w:type="dxa"/>
            <w:shd w:val="clear" w:color="auto" w:fill="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30</w:t>
            </w:r>
            <w:r w:rsidRPr="002F429E">
              <w:rPr>
                <w:rFonts w:ascii="华文楷体" w:eastAsia="华文楷体" w:hAnsi="华文楷体" w:hint="eastAsia"/>
                <w:sz w:val="24"/>
                <w:szCs w:val="24"/>
              </w:rPr>
              <w:t>%</w:t>
            </w:r>
          </w:p>
        </w:tc>
        <w:tc>
          <w:tcPr>
            <w:tcW w:w="1717" w:type="dxa"/>
            <w:shd w:val="clear" w:color="auto" w:fill="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1.8</w:t>
            </w:r>
          </w:p>
        </w:tc>
        <w:tc>
          <w:tcPr>
            <w:tcW w:w="1685" w:type="dxa"/>
            <w:shd w:val="clear" w:color="auto" w:fill="auto"/>
          </w:tcPr>
          <w:p w:rsidR="002F429E" w:rsidRPr="002F429E" w:rsidRDefault="002F429E" w:rsidP="00081197">
            <w:pPr>
              <w:jc w:val="center"/>
              <w:rPr>
                <w:rFonts w:ascii="华文楷体" w:eastAsia="华文楷体" w:hAnsi="华文楷体"/>
                <w:sz w:val="24"/>
                <w:szCs w:val="24"/>
              </w:rPr>
            </w:pPr>
          </w:p>
        </w:tc>
      </w:tr>
      <w:tr w:rsidR="002F429E" w:rsidRPr="002F429E" w:rsidTr="00081197">
        <w:trPr>
          <w:cantSplit/>
          <w:trHeight w:hRule="exact" w:val="454"/>
          <w:jc w:val="center"/>
        </w:trPr>
        <w:tc>
          <w:tcPr>
            <w:tcW w:w="0" w:type="auto"/>
            <w:vMerge/>
          </w:tcPr>
          <w:p w:rsidR="002F429E" w:rsidRPr="002F429E" w:rsidRDefault="002F429E" w:rsidP="00081197">
            <w:pPr>
              <w:jc w:val="center"/>
              <w:rPr>
                <w:rFonts w:ascii="华文楷体" w:eastAsia="华文楷体" w:hAnsi="华文楷体"/>
                <w:sz w:val="24"/>
                <w:szCs w:val="24"/>
              </w:rPr>
            </w:pPr>
          </w:p>
        </w:tc>
        <w:tc>
          <w:tcPr>
            <w:tcW w:w="0" w:type="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高层</w:t>
            </w:r>
          </w:p>
        </w:tc>
        <w:tc>
          <w:tcPr>
            <w:tcW w:w="2574" w:type="dxa"/>
            <w:shd w:val="clear" w:color="auto" w:fill="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25</w:t>
            </w:r>
            <w:r w:rsidRPr="002F429E">
              <w:rPr>
                <w:rFonts w:ascii="华文楷体" w:eastAsia="华文楷体" w:hAnsi="华文楷体" w:hint="eastAsia"/>
                <w:sz w:val="24"/>
                <w:szCs w:val="24"/>
              </w:rPr>
              <w:t>%</w:t>
            </w:r>
          </w:p>
        </w:tc>
        <w:tc>
          <w:tcPr>
            <w:tcW w:w="1717" w:type="dxa"/>
            <w:shd w:val="clear" w:color="auto" w:fill="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4.0</w:t>
            </w:r>
          </w:p>
        </w:tc>
        <w:tc>
          <w:tcPr>
            <w:tcW w:w="1685" w:type="dxa"/>
            <w:shd w:val="clear" w:color="auto" w:fill="auto"/>
          </w:tcPr>
          <w:p w:rsidR="002F429E" w:rsidRPr="002F429E" w:rsidRDefault="002F429E" w:rsidP="00081197">
            <w:pPr>
              <w:jc w:val="center"/>
              <w:rPr>
                <w:rFonts w:ascii="华文楷体" w:eastAsia="华文楷体" w:hAnsi="华文楷体"/>
                <w:sz w:val="24"/>
                <w:szCs w:val="24"/>
              </w:rPr>
            </w:pPr>
          </w:p>
        </w:tc>
      </w:tr>
      <w:tr w:rsidR="002F429E" w:rsidRPr="002F429E" w:rsidTr="00081197">
        <w:trPr>
          <w:cantSplit/>
          <w:trHeight w:hRule="exact" w:val="454"/>
          <w:jc w:val="center"/>
        </w:trPr>
        <w:tc>
          <w:tcPr>
            <w:tcW w:w="0" w:type="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市场</w:t>
            </w:r>
          </w:p>
        </w:tc>
        <w:tc>
          <w:tcPr>
            <w:tcW w:w="0" w:type="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≤3层</w:t>
            </w:r>
          </w:p>
        </w:tc>
        <w:tc>
          <w:tcPr>
            <w:tcW w:w="2574"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55</w:t>
            </w:r>
            <w:r w:rsidRPr="002F429E">
              <w:rPr>
                <w:rFonts w:ascii="华文楷体" w:eastAsia="华文楷体" w:hAnsi="华文楷体" w:hint="eastAsia"/>
                <w:sz w:val="24"/>
                <w:szCs w:val="24"/>
              </w:rPr>
              <w:t>%</w:t>
            </w:r>
          </w:p>
        </w:tc>
        <w:tc>
          <w:tcPr>
            <w:tcW w:w="1717"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1.6</w:t>
            </w:r>
          </w:p>
        </w:tc>
        <w:tc>
          <w:tcPr>
            <w:tcW w:w="1685" w:type="dxa"/>
          </w:tcPr>
          <w:p w:rsidR="002F429E" w:rsidRPr="002F429E" w:rsidRDefault="002F429E" w:rsidP="00081197">
            <w:pPr>
              <w:jc w:val="center"/>
              <w:rPr>
                <w:rFonts w:ascii="华文楷体" w:eastAsia="华文楷体" w:hAnsi="华文楷体"/>
                <w:sz w:val="24"/>
                <w:szCs w:val="24"/>
              </w:rPr>
            </w:pPr>
          </w:p>
        </w:tc>
      </w:tr>
      <w:tr w:rsidR="002F429E" w:rsidRPr="002F429E" w:rsidTr="00081197">
        <w:trPr>
          <w:cantSplit/>
          <w:trHeight w:hRule="exact" w:val="667"/>
          <w:jc w:val="center"/>
        </w:trPr>
        <w:tc>
          <w:tcPr>
            <w:tcW w:w="0" w:type="auto"/>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工业建筑</w:t>
            </w:r>
          </w:p>
        </w:tc>
        <w:tc>
          <w:tcPr>
            <w:tcW w:w="0" w:type="auto"/>
          </w:tcPr>
          <w:p w:rsidR="002F429E" w:rsidRPr="002F429E" w:rsidRDefault="002F429E" w:rsidP="00081197">
            <w:pPr>
              <w:jc w:val="center"/>
              <w:rPr>
                <w:rFonts w:ascii="华文楷体" w:eastAsia="华文楷体" w:hAnsi="华文楷体"/>
                <w:sz w:val="24"/>
                <w:szCs w:val="24"/>
              </w:rPr>
            </w:pPr>
          </w:p>
        </w:tc>
        <w:tc>
          <w:tcPr>
            <w:tcW w:w="2574"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hint="eastAsia"/>
                <w:sz w:val="24"/>
                <w:szCs w:val="24"/>
              </w:rPr>
              <w:t>≥30%；</w:t>
            </w:r>
            <w:r w:rsidRPr="002F429E">
              <w:rPr>
                <w:rFonts w:ascii="华文楷体" w:eastAsia="华文楷体" w:hAnsi="华文楷体"/>
                <w:sz w:val="24"/>
                <w:szCs w:val="24"/>
              </w:rPr>
              <w:t>≤</w:t>
            </w:r>
            <w:r w:rsidRPr="002F429E">
              <w:rPr>
                <w:rFonts w:ascii="华文楷体" w:eastAsia="华文楷体" w:hAnsi="华文楷体" w:hint="eastAsia"/>
                <w:sz w:val="24"/>
                <w:szCs w:val="24"/>
              </w:rPr>
              <w:t>50%</w:t>
            </w:r>
          </w:p>
        </w:tc>
        <w:tc>
          <w:tcPr>
            <w:tcW w:w="1717"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hint="eastAsia"/>
                <w:sz w:val="24"/>
                <w:szCs w:val="24"/>
              </w:rPr>
              <w:t>≥0.7</w:t>
            </w:r>
          </w:p>
        </w:tc>
        <w:tc>
          <w:tcPr>
            <w:tcW w:w="1685" w:type="dxa"/>
          </w:tcPr>
          <w:p w:rsidR="002F429E" w:rsidRPr="002F429E" w:rsidRDefault="002F429E" w:rsidP="00081197">
            <w:pPr>
              <w:jc w:val="center"/>
              <w:rPr>
                <w:rFonts w:ascii="华文楷体" w:eastAsia="华文楷体" w:hAnsi="华文楷体"/>
                <w:sz w:val="24"/>
                <w:szCs w:val="24"/>
              </w:rPr>
            </w:pPr>
            <w:r w:rsidRPr="002F429E">
              <w:rPr>
                <w:rFonts w:ascii="华文楷体" w:eastAsia="华文楷体" w:hAnsi="华文楷体"/>
                <w:sz w:val="24"/>
                <w:szCs w:val="24"/>
              </w:rPr>
              <w:t>≤</w:t>
            </w:r>
            <w:r w:rsidRPr="002F429E">
              <w:rPr>
                <w:rFonts w:ascii="华文楷体" w:eastAsia="华文楷体" w:hAnsi="华文楷体" w:hint="eastAsia"/>
                <w:sz w:val="24"/>
                <w:szCs w:val="24"/>
              </w:rPr>
              <w:t>15%</w:t>
            </w:r>
          </w:p>
        </w:tc>
      </w:tr>
    </w:tbl>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2.建筑后退</w:t>
      </w:r>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color w:val="000000"/>
          <w:sz w:val="30"/>
          <w:szCs w:val="30"/>
        </w:rPr>
        <w:t>沿公路、河道、铁路、电力线路保护区的建筑物，其退让距离按有关法律、法规执行。</w:t>
      </w:r>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color w:val="000000"/>
          <w:sz w:val="30"/>
          <w:szCs w:val="30"/>
        </w:rPr>
        <w:t>沿</w:t>
      </w:r>
      <w:r w:rsidRPr="002F429E">
        <w:rPr>
          <w:rFonts w:ascii="华文楷体" w:eastAsia="华文楷体" w:hAnsi="华文楷体" w:hint="eastAsia"/>
          <w:color w:val="000000"/>
          <w:sz w:val="30"/>
          <w:szCs w:val="30"/>
        </w:rPr>
        <w:t>≥</w:t>
      </w:r>
      <w:r w:rsidRPr="002F429E">
        <w:rPr>
          <w:rFonts w:ascii="华文楷体" w:eastAsia="华文楷体" w:hAnsi="华文楷体"/>
          <w:color w:val="000000"/>
          <w:sz w:val="30"/>
          <w:szCs w:val="30"/>
        </w:rPr>
        <w:t>24</w:t>
      </w:r>
      <w:r w:rsidRPr="002F429E">
        <w:rPr>
          <w:rFonts w:ascii="华文楷体" w:eastAsia="华文楷体" w:hAnsi="华文楷体" w:hint="eastAsia"/>
          <w:color w:val="000000"/>
          <w:sz w:val="30"/>
          <w:szCs w:val="30"/>
        </w:rPr>
        <w:t>米</w:t>
      </w:r>
      <w:r w:rsidRPr="002F429E">
        <w:rPr>
          <w:rFonts w:ascii="华文楷体" w:eastAsia="华文楷体" w:hAnsi="华文楷体"/>
          <w:color w:val="000000"/>
          <w:sz w:val="30"/>
          <w:szCs w:val="30"/>
        </w:rPr>
        <w:t xml:space="preserve">道路建设时，建筑需后退道路红线 </w:t>
      </w:r>
      <w:smartTag w:uri="urn:schemas-microsoft-com:office:smarttags" w:element="chmetcnv">
        <w:smartTagPr>
          <w:attr w:name="TCSC" w:val="0"/>
          <w:attr w:name="NumberType" w:val="1"/>
          <w:attr w:name="Negative" w:val="False"/>
          <w:attr w:name="HasSpace" w:val="False"/>
          <w:attr w:name="SourceValue" w:val="5"/>
          <w:attr w:name="UnitName" w:val="米"/>
        </w:smartTagPr>
        <w:r w:rsidRPr="002F429E">
          <w:rPr>
            <w:rFonts w:ascii="华文楷体" w:eastAsia="华文楷体" w:hAnsi="华文楷体"/>
            <w:color w:val="000000"/>
            <w:sz w:val="30"/>
            <w:szCs w:val="30"/>
          </w:rPr>
          <w:t>5米</w:t>
        </w:r>
        <w:r w:rsidRPr="002F429E">
          <w:rPr>
            <w:rFonts w:ascii="华文楷体" w:eastAsia="华文楷体" w:hAnsi="华文楷体" w:hint="eastAsia"/>
            <w:color w:val="000000"/>
            <w:sz w:val="30"/>
            <w:szCs w:val="30"/>
          </w:rPr>
          <w:t>。</w:t>
        </w:r>
      </w:smartTag>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color w:val="000000"/>
          <w:sz w:val="30"/>
          <w:szCs w:val="30"/>
        </w:rPr>
        <w:t>沿</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2F429E">
          <w:rPr>
            <w:rFonts w:ascii="华文楷体" w:eastAsia="华文楷体" w:hAnsi="华文楷体" w:hint="eastAsia"/>
            <w:color w:val="000000"/>
            <w:sz w:val="30"/>
            <w:szCs w:val="30"/>
          </w:rPr>
          <w:t>15米</w:t>
        </w:r>
      </w:smartTag>
      <w:r w:rsidRPr="002F429E">
        <w:rPr>
          <w:rFonts w:ascii="华文楷体" w:eastAsia="华文楷体" w:hAnsi="华文楷体" w:hint="eastAsia"/>
          <w:color w:val="000000"/>
          <w:sz w:val="30"/>
          <w:szCs w:val="30"/>
        </w:rPr>
        <w:t>≤B＜</w:t>
      </w:r>
      <w:smartTag w:uri="urn:schemas-microsoft-com:office:smarttags" w:element="chmetcnv">
        <w:smartTagPr>
          <w:attr w:name="TCSC" w:val="0"/>
          <w:attr w:name="NumberType" w:val="1"/>
          <w:attr w:name="Negative" w:val="False"/>
          <w:attr w:name="HasSpace" w:val="False"/>
          <w:attr w:name="SourceValue" w:val="24"/>
          <w:attr w:name="UnitName" w:val="米"/>
        </w:smartTagPr>
        <w:r w:rsidRPr="002F429E">
          <w:rPr>
            <w:rFonts w:ascii="华文楷体" w:eastAsia="华文楷体" w:hAnsi="华文楷体"/>
            <w:color w:val="000000"/>
            <w:sz w:val="30"/>
            <w:szCs w:val="30"/>
          </w:rPr>
          <w:t>2</w:t>
        </w:r>
        <w:r w:rsidRPr="002F429E">
          <w:rPr>
            <w:rFonts w:ascii="华文楷体" w:eastAsia="华文楷体" w:hAnsi="华文楷体" w:hint="eastAsia"/>
            <w:color w:val="000000"/>
            <w:sz w:val="30"/>
            <w:szCs w:val="30"/>
          </w:rPr>
          <w:t>4</w:t>
        </w:r>
        <w:r w:rsidRPr="002F429E">
          <w:rPr>
            <w:rFonts w:ascii="华文楷体" w:eastAsia="华文楷体" w:hAnsi="华文楷体"/>
            <w:color w:val="000000"/>
            <w:sz w:val="30"/>
            <w:szCs w:val="30"/>
          </w:rPr>
          <w:t>米</w:t>
        </w:r>
      </w:smartTag>
      <w:r w:rsidRPr="002F429E">
        <w:rPr>
          <w:rFonts w:ascii="华文楷体" w:eastAsia="华文楷体" w:hAnsi="华文楷体"/>
          <w:color w:val="000000"/>
          <w:sz w:val="30"/>
          <w:szCs w:val="30"/>
        </w:rPr>
        <w:t>道路建设时，建筑需后退道路红线</w:t>
      </w:r>
      <w:smartTag w:uri="urn:schemas-microsoft-com:office:smarttags" w:element="chmetcnv">
        <w:smartTagPr>
          <w:attr w:name="TCSC" w:val="0"/>
          <w:attr w:name="NumberType" w:val="1"/>
          <w:attr w:name="Negative" w:val="False"/>
          <w:attr w:name="HasSpace" w:val="False"/>
          <w:attr w:name="SourceValue" w:val="3"/>
          <w:attr w:name="UnitName" w:val="米"/>
        </w:smartTagPr>
        <w:r w:rsidRPr="002F429E">
          <w:rPr>
            <w:rFonts w:ascii="华文楷体" w:eastAsia="华文楷体" w:hAnsi="华文楷体"/>
            <w:color w:val="000000"/>
            <w:sz w:val="30"/>
            <w:szCs w:val="30"/>
          </w:rPr>
          <w:t>3米</w:t>
        </w:r>
        <w:r w:rsidRPr="002F429E">
          <w:rPr>
            <w:rFonts w:ascii="华文楷体" w:eastAsia="华文楷体" w:hAnsi="华文楷体" w:hint="eastAsia"/>
            <w:color w:val="000000"/>
            <w:sz w:val="30"/>
            <w:szCs w:val="30"/>
          </w:rPr>
          <w:t>。</w:t>
        </w:r>
      </w:smartTag>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color w:val="000000"/>
          <w:sz w:val="30"/>
          <w:szCs w:val="30"/>
        </w:rPr>
        <w:t>其余道路建筑后退道路红线不少于</w:t>
      </w:r>
      <w:smartTag w:uri="urn:schemas-microsoft-com:office:smarttags" w:element="chmetcnv">
        <w:smartTagPr>
          <w:attr w:name="TCSC" w:val="0"/>
          <w:attr w:name="NumberType" w:val="1"/>
          <w:attr w:name="Negative" w:val="False"/>
          <w:attr w:name="HasSpace" w:val="False"/>
          <w:attr w:name="SourceValue" w:val="2"/>
          <w:attr w:name="UnitName" w:val="米"/>
        </w:smartTagPr>
        <w:r w:rsidRPr="002F429E">
          <w:rPr>
            <w:rFonts w:ascii="华文楷体" w:eastAsia="华文楷体" w:hAnsi="华文楷体"/>
            <w:color w:val="000000"/>
            <w:sz w:val="30"/>
            <w:szCs w:val="30"/>
          </w:rPr>
          <w:t>2米</w:t>
        </w:r>
        <w:r w:rsidRPr="002F429E">
          <w:rPr>
            <w:rFonts w:ascii="华文楷体" w:eastAsia="华文楷体" w:hAnsi="华文楷体" w:hint="eastAsia"/>
            <w:color w:val="000000"/>
            <w:sz w:val="30"/>
            <w:szCs w:val="30"/>
          </w:rPr>
          <w:t>。</w:t>
        </w:r>
      </w:smartTag>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color w:val="000000"/>
          <w:sz w:val="30"/>
          <w:szCs w:val="30"/>
        </w:rPr>
        <w:t>大型公共建筑除要满足以上要求外，还要按建筑高度比例及人流量大小后退道路红线，或留出集散广场。所有后退红线的区域内只能用作绿化、停车场地的建设。</w:t>
      </w:r>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t>3.</w:t>
      </w:r>
      <w:r w:rsidRPr="002F429E">
        <w:rPr>
          <w:rFonts w:ascii="华文楷体" w:eastAsia="华文楷体" w:hAnsi="华文楷体"/>
          <w:color w:val="000000"/>
          <w:sz w:val="30"/>
          <w:szCs w:val="30"/>
        </w:rPr>
        <w:t>建筑高度控制</w:t>
      </w:r>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color w:val="000000"/>
          <w:sz w:val="30"/>
          <w:szCs w:val="30"/>
        </w:rPr>
        <w:t>住宅建筑：低层住宅HL≤</w:t>
      </w:r>
      <w:smartTag w:uri="urn:schemas-microsoft-com:office:smarttags" w:element="chmetcnv">
        <w:smartTagPr>
          <w:attr w:name="TCSC" w:val="0"/>
          <w:attr w:name="NumberType" w:val="1"/>
          <w:attr w:name="Negative" w:val="False"/>
          <w:attr w:name="HasSpace" w:val="False"/>
          <w:attr w:name="SourceValue" w:val="12"/>
          <w:attr w:name="UnitName" w:val="米"/>
        </w:smartTagPr>
        <w:r w:rsidRPr="002F429E">
          <w:rPr>
            <w:rFonts w:ascii="华文楷体" w:eastAsia="华文楷体" w:hAnsi="华文楷体"/>
            <w:color w:val="000000"/>
            <w:sz w:val="30"/>
            <w:szCs w:val="30"/>
          </w:rPr>
          <w:t>12米</w:t>
        </w:r>
      </w:smartTag>
      <w:r w:rsidRPr="002F429E">
        <w:rPr>
          <w:rFonts w:ascii="华文楷体" w:eastAsia="华文楷体" w:hAnsi="华文楷体"/>
          <w:color w:val="000000"/>
          <w:sz w:val="30"/>
          <w:szCs w:val="30"/>
        </w:rPr>
        <w:t>；多层住宅HL≤</w:t>
      </w:r>
      <w:smartTag w:uri="urn:schemas-microsoft-com:office:smarttags" w:element="chmetcnv">
        <w:smartTagPr>
          <w:attr w:name="TCSC" w:val="0"/>
          <w:attr w:name="NumberType" w:val="1"/>
          <w:attr w:name="Negative" w:val="False"/>
          <w:attr w:name="HasSpace" w:val="False"/>
          <w:attr w:name="SourceValue" w:val="24"/>
          <w:attr w:name="UnitName" w:val="米"/>
        </w:smartTagPr>
        <w:r w:rsidRPr="002F429E">
          <w:rPr>
            <w:rFonts w:ascii="华文楷体" w:eastAsia="华文楷体" w:hAnsi="华文楷体"/>
            <w:color w:val="000000"/>
            <w:sz w:val="30"/>
            <w:szCs w:val="30"/>
          </w:rPr>
          <w:t>24米</w:t>
        </w:r>
      </w:smartTag>
      <w:r w:rsidRPr="002F429E">
        <w:rPr>
          <w:rFonts w:ascii="华文楷体" w:eastAsia="华文楷体" w:hAnsi="华文楷体"/>
          <w:color w:val="000000"/>
          <w:sz w:val="30"/>
          <w:szCs w:val="30"/>
        </w:rPr>
        <w:t>；小高层住宅HL ≤</w:t>
      </w:r>
      <w:smartTag w:uri="urn:schemas-microsoft-com:office:smarttags" w:element="chmetcnv">
        <w:smartTagPr>
          <w:attr w:name="TCSC" w:val="0"/>
          <w:attr w:name="NumberType" w:val="1"/>
          <w:attr w:name="Negative" w:val="False"/>
          <w:attr w:name="HasSpace" w:val="False"/>
          <w:attr w:name="SourceValue" w:val="40"/>
          <w:attr w:name="UnitName" w:val="米"/>
        </w:smartTagPr>
        <w:r w:rsidRPr="002F429E">
          <w:rPr>
            <w:rFonts w:ascii="华文楷体" w:eastAsia="华文楷体" w:hAnsi="华文楷体"/>
            <w:color w:val="000000"/>
            <w:sz w:val="30"/>
            <w:szCs w:val="30"/>
          </w:rPr>
          <w:t>40米</w:t>
        </w:r>
      </w:smartTag>
      <w:r w:rsidRPr="002F429E">
        <w:rPr>
          <w:rFonts w:ascii="华文楷体" w:eastAsia="华文楷体" w:hAnsi="华文楷体" w:hint="eastAsia"/>
          <w:color w:val="000000"/>
          <w:sz w:val="30"/>
          <w:szCs w:val="30"/>
        </w:rPr>
        <w:t>；</w:t>
      </w:r>
      <w:r w:rsidRPr="002F429E">
        <w:rPr>
          <w:rFonts w:ascii="华文楷体" w:eastAsia="华文楷体" w:hAnsi="华文楷体"/>
          <w:color w:val="000000"/>
          <w:sz w:val="30"/>
          <w:szCs w:val="30"/>
        </w:rPr>
        <w:t>高层住宅</w:t>
      </w:r>
      <w:r w:rsidRPr="002F429E">
        <w:rPr>
          <w:rFonts w:ascii="华文楷体" w:eastAsia="华文楷体" w:hAnsi="华文楷体" w:hint="eastAsia"/>
          <w:color w:val="000000"/>
          <w:sz w:val="30"/>
          <w:szCs w:val="30"/>
        </w:rPr>
        <w:t>应分析与山体轮廓线的关系，采用点式布局方式。</w:t>
      </w:r>
      <w:r w:rsidRPr="002F429E">
        <w:rPr>
          <w:rFonts w:ascii="华文楷体" w:eastAsia="华文楷体" w:hAnsi="华文楷体"/>
          <w:color w:val="000000"/>
          <w:sz w:val="30"/>
          <w:szCs w:val="30"/>
        </w:rPr>
        <w:t xml:space="preserve"> </w:t>
      </w:r>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color w:val="000000"/>
          <w:sz w:val="30"/>
          <w:szCs w:val="30"/>
        </w:rPr>
        <w:t>公共建筑：低层建筑HL≤</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2F429E">
          <w:rPr>
            <w:rFonts w:ascii="华文楷体" w:eastAsia="华文楷体" w:hAnsi="华文楷体"/>
            <w:color w:val="000000"/>
            <w:sz w:val="30"/>
            <w:szCs w:val="30"/>
          </w:rPr>
          <w:t>15米</w:t>
        </w:r>
      </w:smartTag>
      <w:r w:rsidRPr="002F429E">
        <w:rPr>
          <w:rFonts w:ascii="华文楷体" w:eastAsia="华文楷体" w:hAnsi="华文楷体"/>
          <w:color w:val="000000"/>
          <w:sz w:val="30"/>
          <w:szCs w:val="30"/>
        </w:rPr>
        <w:t>；多层建筑HL≤</w:t>
      </w:r>
      <w:smartTag w:uri="urn:schemas-microsoft-com:office:smarttags" w:element="chmetcnv">
        <w:smartTagPr>
          <w:attr w:name="TCSC" w:val="0"/>
          <w:attr w:name="NumberType" w:val="1"/>
          <w:attr w:name="Negative" w:val="False"/>
          <w:attr w:name="HasSpace" w:val="False"/>
          <w:attr w:name="SourceValue" w:val="24"/>
          <w:attr w:name="UnitName" w:val="米"/>
        </w:smartTagPr>
        <w:r w:rsidRPr="002F429E">
          <w:rPr>
            <w:rFonts w:ascii="华文楷体" w:eastAsia="华文楷体" w:hAnsi="华文楷体"/>
            <w:color w:val="000000"/>
            <w:sz w:val="30"/>
            <w:szCs w:val="30"/>
          </w:rPr>
          <w:t>24米</w:t>
        </w:r>
      </w:smartTag>
      <w:r w:rsidRPr="002F429E">
        <w:rPr>
          <w:rFonts w:ascii="华文楷体" w:eastAsia="华文楷体" w:hAnsi="华文楷体" w:hint="eastAsia"/>
          <w:color w:val="000000"/>
          <w:sz w:val="30"/>
          <w:szCs w:val="30"/>
        </w:rPr>
        <w:t>；</w:t>
      </w:r>
      <w:r w:rsidRPr="002F429E">
        <w:rPr>
          <w:rFonts w:ascii="华文楷体" w:eastAsia="华文楷体" w:hAnsi="华文楷体"/>
          <w:color w:val="000000"/>
          <w:sz w:val="30"/>
          <w:szCs w:val="30"/>
        </w:rPr>
        <w:t>高层</w:t>
      </w:r>
      <w:r w:rsidRPr="002F429E">
        <w:rPr>
          <w:rFonts w:ascii="华文楷体" w:eastAsia="华文楷体" w:hAnsi="华文楷体" w:hint="eastAsia"/>
          <w:color w:val="000000"/>
          <w:sz w:val="30"/>
          <w:szCs w:val="30"/>
        </w:rPr>
        <w:t>商业建筑应分析与山体轮廓线的关系，采用点式布局方式。</w:t>
      </w:r>
      <w:r w:rsidRPr="002F429E">
        <w:rPr>
          <w:rFonts w:ascii="华文楷体" w:eastAsia="华文楷体" w:hAnsi="华文楷体"/>
          <w:color w:val="000000"/>
          <w:sz w:val="30"/>
          <w:szCs w:val="30"/>
        </w:rPr>
        <w:t xml:space="preserve"> </w:t>
      </w:r>
    </w:p>
    <w:p w:rsidR="002F429E" w:rsidRPr="002F429E" w:rsidRDefault="002F429E" w:rsidP="002F429E">
      <w:pPr>
        <w:spacing w:line="520" w:lineRule="exact"/>
        <w:ind w:firstLineChars="200" w:firstLine="600"/>
        <w:rPr>
          <w:rFonts w:ascii="华文楷体" w:eastAsia="华文楷体" w:hAnsi="华文楷体"/>
          <w:color w:val="000000"/>
          <w:sz w:val="30"/>
          <w:szCs w:val="30"/>
        </w:rPr>
      </w:pPr>
      <w:r w:rsidRPr="002F429E">
        <w:rPr>
          <w:rFonts w:ascii="华文楷体" w:eastAsia="华文楷体" w:hAnsi="华文楷体" w:hint="eastAsia"/>
          <w:color w:val="000000"/>
          <w:sz w:val="30"/>
          <w:szCs w:val="30"/>
        </w:rPr>
        <w:lastRenderedPageBreak/>
        <w:t>（六）道路交通规划</w:t>
      </w:r>
    </w:p>
    <w:p w:rsidR="00C875FD" w:rsidRPr="002F429E" w:rsidRDefault="002F429E" w:rsidP="002F429E">
      <w:pPr>
        <w:pStyle w:val="a6"/>
        <w:shd w:val="clear" w:color="auto" w:fill="FFFFFF"/>
        <w:spacing w:line="700" w:lineRule="atLeast"/>
        <w:ind w:firstLine="640"/>
        <w:rPr>
          <w:rFonts w:ascii="华文楷体" w:eastAsia="华文楷体" w:hAnsi="华文楷体"/>
          <w:color w:val="000000"/>
          <w:sz w:val="21"/>
          <w:szCs w:val="21"/>
        </w:rPr>
      </w:pPr>
      <w:r w:rsidRPr="002F429E">
        <w:rPr>
          <w:rFonts w:ascii="华文楷体" w:eastAsia="华文楷体" w:hAnsi="华文楷体" w:hint="eastAsia"/>
          <w:color w:val="000000"/>
          <w:sz w:val="30"/>
          <w:szCs w:val="30"/>
        </w:rPr>
        <w:t>镇区主要道路形成一个环状</w:t>
      </w:r>
      <w:r w:rsidRPr="002F429E">
        <w:rPr>
          <w:rFonts w:ascii="华文楷体" w:eastAsia="华文楷体" w:hAnsi="华文楷体"/>
          <w:color w:val="000000"/>
          <w:sz w:val="30"/>
          <w:szCs w:val="30"/>
        </w:rPr>
        <w:t>结构</w:t>
      </w:r>
      <w:r w:rsidRPr="002F429E">
        <w:rPr>
          <w:rFonts w:ascii="华文楷体" w:eastAsia="华文楷体" w:hAnsi="华文楷体" w:hint="eastAsia"/>
          <w:color w:val="000000"/>
          <w:sz w:val="30"/>
          <w:szCs w:val="30"/>
        </w:rPr>
        <w:t>，包括</w:t>
      </w:r>
      <w:r w:rsidRPr="002F429E">
        <w:rPr>
          <w:rFonts w:ascii="华文楷体" w:eastAsia="华文楷体" w:hAnsi="华文楷体"/>
          <w:color w:val="000000"/>
          <w:sz w:val="30"/>
          <w:szCs w:val="30"/>
        </w:rPr>
        <w:t>：环湖路、广永路</w:t>
      </w:r>
      <w:r w:rsidRPr="002F429E">
        <w:rPr>
          <w:rFonts w:ascii="华文楷体" w:eastAsia="华文楷体" w:hAnsi="华文楷体" w:hint="eastAsia"/>
          <w:color w:val="000000"/>
          <w:sz w:val="30"/>
          <w:szCs w:val="30"/>
        </w:rPr>
        <w:t>，</w:t>
      </w:r>
      <w:r w:rsidRPr="002F429E">
        <w:rPr>
          <w:rFonts w:ascii="华文楷体" w:eastAsia="华文楷体" w:hAnsi="华文楷体"/>
          <w:color w:val="000000"/>
          <w:sz w:val="30"/>
          <w:szCs w:val="30"/>
        </w:rPr>
        <w:t>共</w:t>
      </w:r>
      <w:r w:rsidRPr="002F429E">
        <w:rPr>
          <w:rFonts w:ascii="华文楷体" w:eastAsia="华文楷体" w:hAnsi="华文楷体" w:hint="eastAsia"/>
          <w:color w:val="000000"/>
          <w:sz w:val="30"/>
          <w:szCs w:val="30"/>
        </w:rPr>
        <w:t>2条；次要道路形成三横</w:t>
      </w:r>
      <w:r w:rsidRPr="002F429E">
        <w:rPr>
          <w:rFonts w:ascii="华文楷体" w:eastAsia="华文楷体" w:hAnsi="华文楷体"/>
          <w:color w:val="000000"/>
          <w:sz w:val="30"/>
          <w:szCs w:val="30"/>
        </w:rPr>
        <w:t>三纵</w:t>
      </w:r>
      <w:r w:rsidRPr="002F429E">
        <w:rPr>
          <w:rFonts w:ascii="华文楷体" w:eastAsia="华文楷体" w:hAnsi="华文楷体" w:hint="eastAsia"/>
          <w:color w:val="000000"/>
          <w:sz w:val="30"/>
          <w:szCs w:val="30"/>
        </w:rPr>
        <w:t>结构，包括</w:t>
      </w:r>
      <w:r w:rsidRPr="002F429E">
        <w:rPr>
          <w:rFonts w:ascii="华文楷体" w:eastAsia="华文楷体" w:hAnsi="华文楷体"/>
          <w:color w:val="000000"/>
          <w:sz w:val="30"/>
          <w:szCs w:val="30"/>
        </w:rPr>
        <w:t>：</w:t>
      </w:r>
      <w:r w:rsidRPr="002F429E">
        <w:rPr>
          <w:rFonts w:ascii="华文楷体" w:eastAsia="华文楷体" w:hAnsi="华文楷体" w:hint="eastAsia"/>
          <w:color w:val="000000"/>
          <w:sz w:val="30"/>
          <w:szCs w:val="30"/>
        </w:rPr>
        <w:t>亭子西路</w:t>
      </w:r>
      <w:r w:rsidRPr="002F429E">
        <w:rPr>
          <w:rFonts w:ascii="华文楷体" w:eastAsia="华文楷体" w:hAnsi="华文楷体"/>
          <w:color w:val="000000"/>
          <w:sz w:val="30"/>
          <w:szCs w:val="30"/>
        </w:rPr>
        <w:t>、亭子东路、场</w:t>
      </w:r>
      <w:r w:rsidRPr="002F429E">
        <w:rPr>
          <w:rFonts w:ascii="华文楷体" w:eastAsia="华文楷体" w:hAnsi="华文楷体" w:hint="eastAsia"/>
          <w:color w:val="000000"/>
          <w:sz w:val="30"/>
          <w:szCs w:val="30"/>
        </w:rPr>
        <w:t>镇北路</w:t>
      </w:r>
      <w:r w:rsidRPr="002F429E">
        <w:rPr>
          <w:rFonts w:ascii="华文楷体" w:eastAsia="华文楷体" w:hAnsi="华文楷体"/>
          <w:color w:val="000000"/>
          <w:sz w:val="30"/>
          <w:szCs w:val="30"/>
        </w:rPr>
        <w:t>、场</w:t>
      </w:r>
      <w:r w:rsidRPr="002F429E">
        <w:rPr>
          <w:rFonts w:ascii="华文楷体" w:eastAsia="华文楷体" w:hAnsi="华文楷体" w:hint="eastAsia"/>
          <w:color w:val="000000"/>
          <w:sz w:val="30"/>
          <w:szCs w:val="30"/>
        </w:rPr>
        <w:t>镇中路、</w:t>
      </w:r>
      <w:r w:rsidRPr="002F429E">
        <w:rPr>
          <w:rFonts w:ascii="华文楷体" w:eastAsia="华文楷体" w:hAnsi="华文楷体"/>
          <w:color w:val="000000"/>
          <w:sz w:val="30"/>
          <w:szCs w:val="30"/>
        </w:rPr>
        <w:t>场</w:t>
      </w:r>
      <w:r w:rsidRPr="002F429E">
        <w:rPr>
          <w:rFonts w:ascii="华文楷体" w:eastAsia="华文楷体" w:hAnsi="华文楷体" w:hint="eastAsia"/>
          <w:color w:val="000000"/>
          <w:sz w:val="30"/>
          <w:szCs w:val="30"/>
        </w:rPr>
        <w:t>镇南路、经二路</w:t>
      </w:r>
      <w:r w:rsidRPr="002F429E">
        <w:rPr>
          <w:rFonts w:ascii="华文楷体" w:eastAsia="华文楷体" w:hAnsi="华文楷体"/>
          <w:color w:val="000000"/>
          <w:sz w:val="30"/>
          <w:szCs w:val="30"/>
        </w:rPr>
        <w:t>、园区路、场</w:t>
      </w:r>
      <w:r w:rsidRPr="002F429E">
        <w:rPr>
          <w:rFonts w:ascii="华文楷体" w:eastAsia="华文楷体" w:hAnsi="华文楷体" w:hint="eastAsia"/>
          <w:color w:val="000000"/>
          <w:sz w:val="30"/>
          <w:szCs w:val="30"/>
        </w:rPr>
        <w:t>镇西路、</w:t>
      </w:r>
      <w:r w:rsidRPr="002F429E">
        <w:rPr>
          <w:rFonts w:ascii="华文楷体" w:eastAsia="华文楷体" w:hAnsi="华文楷体"/>
          <w:color w:val="000000"/>
          <w:sz w:val="30"/>
          <w:szCs w:val="30"/>
        </w:rPr>
        <w:t>虎跳大街、熊家沟路、东环路</w:t>
      </w:r>
      <w:r w:rsidRPr="002F429E">
        <w:rPr>
          <w:rFonts w:ascii="华文楷体" w:eastAsia="华文楷体" w:hAnsi="华文楷体" w:hint="eastAsia"/>
          <w:color w:val="000000"/>
          <w:sz w:val="30"/>
          <w:szCs w:val="30"/>
        </w:rPr>
        <w:t>，共11条；保持现状道路线形并按相关标准进行改建。道路红线宽度确定为：主要道路</w:t>
      </w:r>
      <w:r w:rsidRPr="002F429E">
        <w:rPr>
          <w:rFonts w:ascii="华文楷体" w:eastAsia="华文楷体" w:hAnsi="华文楷体"/>
          <w:color w:val="000000"/>
          <w:sz w:val="30"/>
          <w:szCs w:val="30"/>
        </w:rPr>
        <w:t>20</w:t>
      </w:r>
      <w:r w:rsidRPr="002F429E">
        <w:rPr>
          <w:rFonts w:ascii="华文楷体" w:eastAsia="华文楷体" w:hAnsi="华文楷体" w:hint="eastAsia"/>
          <w:color w:val="000000"/>
          <w:sz w:val="30"/>
          <w:szCs w:val="30"/>
        </w:rPr>
        <w:t>米、</w:t>
      </w:r>
      <w:r w:rsidRPr="002F429E">
        <w:rPr>
          <w:rFonts w:ascii="华文楷体" w:eastAsia="华文楷体" w:hAnsi="华文楷体"/>
          <w:color w:val="000000"/>
          <w:sz w:val="30"/>
          <w:szCs w:val="30"/>
        </w:rPr>
        <w:t>18</w:t>
      </w:r>
      <w:r w:rsidRPr="002F429E">
        <w:rPr>
          <w:rFonts w:ascii="华文楷体" w:eastAsia="华文楷体" w:hAnsi="华文楷体" w:hint="eastAsia"/>
          <w:color w:val="000000"/>
          <w:sz w:val="30"/>
          <w:szCs w:val="30"/>
        </w:rPr>
        <w:t>米；次要道路16米；支路1</w:t>
      </w:r>
      <w:r w:rsidRPr="002F429E">
        <w:rPr>
          <w:rFonts w:ascii="华文楷体" w:eastAsia="华文楷体" w:hAnsi="华文楷体"/>
          <w:color w:val="000000"/>
          <w:sz w:val="30"/>
          <w:szCs w:val="30"/>
        </w:rPr>
        <w:t>3</w:t>
      </w:r>
      <w:r w:rsidRPr="002F429E">
        <w:rPr>
          <w:rFonts w:ascii="华文楷体" w:eastAsia="华文楷体" w:hAnsi="华文楷体" w:hint="eastAsia"/>
          <w:color w:val="000000"/>
          <w:sz w:val="30"/>
          <w:szCs w:val="30"/>
        </w:rPr>
        <w:t>米、10米、7米</w:t>
      </w:r>
      <w:r w:rsidRPr="002F429E">
        <w:rPr>
          <w:rFonts w:ascii="华文楷体" w:eastAsia="华文楷体" w:hAnsi="华文楷体"/>
          <w:color w:val="000000"/>
          <w:sz w:val="30"/>
          <w:szCs w:val="30"/>
        </w:rPr>
        <w:t>、</w:t>
      </w:r>
      <w:r w:rsidRPr="002F429E">
        <w:rPr>
          <w:rFonts w:ascii="华文楷体" w:eastAsia="华文楷体" w:hAnsi="华文楷体" w:hint="eastAsia"/>
          <w:color w:val="000000"/>
          <w:sz w:val="30"/>
          <w:szCs w:val="30"/>
        </w:rPr>
        <w:t>5米。</w:t>
      </w:r>
      <w:r w:rsidR="00C875FD" w:rsidRPr="002F429E">
        <w:rPr>
          <w:rFonts w:ascii="华文楷体" w:eastAsia="华文楷体" w:hAnsi="华文楷体" w:hint="eastAsia"/>
          <w:color w:val="000000"/>
          <w:sz w:val="21"/>
          <w:szCs w:val="21"/>
        </w:rPr>
        <w:t> </w:t>
      </w:r>
    </w:p>
    <w:p w:rsidR="00C875FD" w:rsidRPr="002F429E" w:rsidRDefault="00C875FD" w:rsidP="00C875FD">
      <w:pPr>
        <w:pStyle w:val="a6"/>
        <w:shd w:val="clear" w:color="auto" w:fill="FFFFFF"/>
        <w:spacing w:line="700" w:lineRule="atLeast"/>
        <w:ind w:firstLine="419"/>
        <w:rPr>
          <w:rFonts w:ascii="华文楷体" w:eastAsia="华文楷体" w:hAnsi="华文楷体"/>
          <w:color w:val="000000"/>
          <w:sz w:val="21"/>
          <w:szCs w:val="21"/>
        </w:rPr>
      </w:pPr>
      <w:r w:rsidRPr="002F429E">
        <w:rPr>
          <w:rFonts w:ascii="华文楷体" w:eastAsia="华文楷体" w:hAnsi="华文楷体" w:hint="eastAsia"/>
          <w:color w:val="000000"/>
          <w:sz w:val="21"/>
          <w:szCs w:val="21"/>
        </w:rPr>
        <w:t> </w:t>
      </w:r>
    </w:p>
    <w:p w:rsidR="00C875FD" w:rsidRDefault="00C875FD" w:rsidP="002F429E">
      <w:pPr>
        <w:pStyle w:val="1"/>
        <w:shd w:val="clear" w:color="auto" w:fill="FFFFFF"/>
        <w:spacing w:before="0" w:beforeAutospacing="0" w:line="700" w:lineRule="atLeast"/>
        <w:ind w:firstLine="366"/>
        <w:rPr>
          <w:rFonts w:ascii="宋体,微软雅黑" w:eastAsia="宋体,微软雅黑"/>
          <w:color w:val="000000"/>
          <w:sz w:val="21"/>
          <w:szCs w:val="21"/>
        </w:rPr>
      </w:pPr>
      <w:r w:rsidRPr="002F429E">
        <w:rPr>
          <w:rFonts w:ascii="华文楷体" w:eastAsia="华文楷体" w:hAnsi="华文楷体" w:hint="eastAsia"/>
          <w:color w:val="000000"/>
          <w:sz w:val="28"/>
          <w:szCs w:val="28"/>
        </w:rPr>
        <w:t>  </w:t>
      </w:r>
    </w:p>
    <w:p w:rsidR="00C875FD" w:rsidRDefault="00C875FD" w:rsidP="00C875FD">
      <w:pPr>
        <w:pStyle w:val="a6"/>
        <w:shd w:val="clear" w:color="auto" w:fill="FFFFFF"/>
        <w:spacing w:line="700" w:lineRule="atLeast"/>
        <w:ind w:firstLine="640"/>
        <w:rPr>
          <w:rFonts w:ascii="宋体,微软雅黑" w:eastAsia="宋体,微软雅黑"/>
          <w:color w:val="000000"/>
          <w:sz w:val="21"/>
          <w:szCs w:val="21"/>
        </w:rPr>
      </w:pPr>
    </w:p>
    <w:p w:rsidR="00C875FD" w:rsidRDefault="00C875FD" w:rsidP="00C875FD">
      <w:pPr>
        <w:pStyle w:val="a6"/>
        <w:shd w:val="clear" w:color="auto" w:fill="FFFFFF"/>
        <w:spacing w:line="700" w:lineRule="atLeast"/>
        <w:ind w:firstLine="640"/>
        <w:rPr>
          <w:rFonts w:ascii="宋体,微软雅黑" w:eastAsia="宋体,微软雅黑"/>
          <w:color w:val="000000"/>
          <w:sz w:val="21"/>
          <w:szCs w:val="21"/>
        </w:rPr>
      </w:pPr>
      <w:r>
        <w:rPr>
          <w:rFonts w:ascii="楷体" w:eastAsia="楷体" w:hAnsi="楷体" w:hint="eastAsia"/>
          <w:b/>
          <w:bCs/>
          <w:color w:val="000000"/>
          <w:sz w:val="36"/>
          <w:szCs w:val="36"/>
          <w:u w:val="single"/>
          <w:shd w:val="clear" w:color="auto" w:fill="FFFFFF"/>
        </w:rPr>
        <w:t>相关附件请点击下载：</w:t>
      </w:r>
      <w:r w:rsidR="00C05C0C">
        <w:rPr>
          <w:rFonts w:ascii="宋体,微软雅黑" w:eastAsia="宋体,微软雅黑" w:hint="eastAsia"/>
          <w:color w:val="000000"/>
          <w:sz w:val="21"/>
          <w:szCs w:val="21"/>
        </w:rPr>
        <w:t xml:space="preserve"> </w:t>
      </w:r>
    </w:p>
    <w:p w:rsidR="00CE408E" w:rsidRPr="00C05C0C" w:rsidRDefault="00F94DA7" w:rsidP="00C875FD"/>
    <w:sectPr w:rsidR="00CE408E" w:rsidRPr="00C05C0C" w:rsidSect="00794C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A7" w:rsidRDefault="00F94DA7" w:rsidP="00F76493">
      <w:r>
        <w:separator/>
      </w:r>
    </w:p>
  </w:endnote>
  <w:endnote w:type="continuationSeparator" w:id="0">
    <w:p w:rsidR="00F94DA7" w:rsidRDefault="00F94DA7" w:rsidP="00F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宋体,微软雅黑">
    <w:altName w:val="宋体"/>
    <w:panose1 w:val="00000000000000000000"/>
    <w:charset w:val="86"/>
    <w:family w:val="roman"/>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A7" w:rsidRDefault="00F94DA7" w:rsidP="00F76493">
      <w:r>
        <w:separator/>
      </w:r>
    </w:p>
  </w:footnote>
  <w:footnote w:type="continuationSeparator" w:id="0">
    <w:p w:rsidR="00F94DA7" w:rsidRDefault="00F94DA7" w:rsidP="00F76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6493"/>
    <w:rsid w:val="000710FB"/>
    <w:rsid w:val="000A28A4"/>
    <w:rsid w:val="000F614B"/>
    <w:rsid w:val="002F429E"/>
    <w:rsid w:val="00794CB5"/>
    <w:rsid w:val="00C05C0C"/>
    <w:rsid w:val="00C875FD"/>
    <w:rsid w:val="00CA1DA1"/>
    <w:rsid w:val="00F40B57"/>
    <w:rsid w:val="00F56E61"/>
    <w:rsid w:val="00F76493"/>
    <w:rsid w:val="00F94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427EE7C7-0A8D-49E4-A24D-9F8C8BAE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CB5"/>
    <w:pPr>
      <w:widowControl w:val="0"/>
      <w:jc w:val="both"/>
    </w:pPr>
  </w:style>
  <w:style w:type="paragraph" w:styleId="1">
    <w:name w:val="heading 1"/>
    <w:basedOn w:val="a"/>
    <w:link w:val="1Char"/>
    <w:uiPriority w:val="9"/>
    <w:qFormat/>
    <w:rsid w:val="00C875F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875F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C875FD"/>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C875F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64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6493"/>
    <w:rPr>
      <w:sz w:val="18"/>
      <w:szCs w:val="18"/>
    </w:rPr>
  </w:style>
  <w:style w:type="paragraph" w:styleId="a4">
    <w:name w:val="footer"/>
    <w:basedOn w:val="a"/>
    <w:link w:val="Char0"/>
    <w:uiPriority w:val="99"/>
    <w:semiHidden/>
    <w:unhideWhenUsed/>
    <w:rsid w:val="00F764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6493"/>
    <w:rPr>
      <w:sz w:val="18"/>
      <w:szCs w:val="18"/>
    </w:rPr>
  </w:style>
  <w:style w:type="character" w:styleId="a5">
    <w:name w:val="Hyperlink"/>
    <w:basedOn w:val="a0"/>
    <w:uiPriority w:val="99"/>
    <w:unhideWhenUsed/>
    <w:rsid w:val="00F76493"/>
    <w:rPr>
      <w:strike w:val="0"/>
      <w:dstrike w:val="0"/>
      <w:color w:val="000000"/>
      <w:u w:val="none"/>
      <w:effect w:val="none"/>
    </w:rPr>
  </w:style>
  <w:style w:type="paragraph" w:styleId="a6">
    <w:name w:val="Normal (Web)"/>
    <w:basedOn w:val="a"/>
    <w:uiPriority w:val="99"/>
    <w:semiHidden/>
    <w:unhideWhenUsed/>
    <w:rsid w:val="00F76493"/>
    <w:pPr>
      <w:widowControl/>
      <w:jc w:val="left"/>
    </w:pPr>
    <w:rPr>
      <w:rFonts w:ascii="宋体" w:eastAsia="宋体" w:hAnsi="宋体" w:cs="宋体"/>
      <w:kern w:val="0"/>
      <w:sz w:val="24"/>
      <w:szCs w:val="24"/>
    </w:rPr>
  </w:style>
  <w:style w:type="paragraph" w:styleId="a7">
    <w:name w:val="Balloon Text"/>
    <w:basedOn w:val="a"/>
    <w:link w:val="Char1"/>
    <w:uiPriority w:val="99"/>
    <w:semiHidden/>
    <w:unhideWhenUsed/>
    <w:rsid w:val="00F76493"/>
    <w:rPr>
      <w:sz w:val="18"/>
      <w:szCs w:val="18"/>
    </w:rPr>
  </w:style>
  <w:style w:type="character" w:customStyle="1" w:styleId="Char1">
    <w:name w:val="批注框文本 Char"/>
    <w:basedOn w:val="a0"/>
    <w:link w:val="a7"/>
    <w:uiPriority w:val="99"/>
    <w:semiHidden/>
    <w:rsid w:val="00F76493"/>
    <w:rPr>
      <w:sz w:val="18"/>
      <w:szCs w:val="18"/>
    </w:rPr>
  </w:style>
  <w:style w:type="character" w:customStyle="1" w:styleId="1Char">
    <w:name w:val="标题 1 Char"/>
    <w:basedOn w:val="a0"/>
    <w:link w:val="1"/>
    <w:uiPriority w:val="9"/>
    <w:rsid w:val="00C875FD"/>
    <w:rPr>
      <w:rFonts w:ascii="宋体" w:eastAsia="宋体" w:hAnsi="宋体" w:cs="宋体"/>
      <w:b/>
      <w:bCs/>
      <w:kern w:val="36"/>
      <w:sz w:val="48"/>
      <w:szCs w:val="48"/>
    </w:rPr>
  </w:style>
  <w:style w:type="character" w:customStyle="1" w:styleId="2Char">
    <w:name w:val="标题 2 Char"/>
    <w:basedOn w:val="a0"/>
    <w:link w:val="2"/>
    <w:uiPriority w:val="9"/>
    <w:rsid w:val="00C875FD"/>
    <w:rPr>
      <w:rFonts w:ascii="宋体" w:eastAsia="宋体" w:hAnsi="宋体" w:cs="宋体"/>
      <w:b/>
      <w:bCs/>
      <w:kern w:val="0"/>
      <w:sz w:val="36"/>
      <w:szCs w:val="36"/>
    </w:rPr>
  </w:style>
  <w:style w:type="character" w:customStyle="1" w:styleId="3Char">
    <w:name w:val="标题 3 Char"/>
    <w:basedOn w:val="a0"/>
    <w:link w:val="3"/>
    <w:uiPriority w:val="9"/>
    <w:rsid w:val="00C875FD"/>
    <w:rPr>
      <w:rFonts w:ascii="宋体" w:eastAsia="宋体" w:hAnsi="宋体" w:cs="宋体"/>
      <w:b/>
      <w:bCs/>
      <w:kern w:val="0"/>
      <w:sz w:val="27"/>
      <w:szCs w:val="27"/>
    </w:rPr>
  </w:style>
  <w:style w:type="character" w:customStyle="1" w:styleId="4Char">
    <w:name w:val="标题 4 Char"/>
    <w:basedOn w:val="a0"/>
    <w:link w:val="4"/>
    <w:uiPriority w:val="9"/>
    <w:rsid w:val="00C875FD"/>
    <w:rPr>
      <w:rFonts w:ascii="宋体" w:eastAsia="宋体" w:hAnsi="宋体" w:cs="宋体"/>
      <w:b/>
      <w:bCs/>
      <w:kern w:val="0"/>
      <w:sz w:val="24"/>
      <w:szCs w:val="24"/>
    </w:rPr>
  </w:style>
  <w:style w:type="character" w:styleId="a8">
    <w:name w:val="FollowedHyperlink"/>
    <w:basedOn w:val="a0"/>
    <w:uiPriority w:val="99"/>
    <w:semiHidden/>
    <w:unhideWhenUsed/>
    <w:rsid w:val="00C875FD"/>
    <w:rPr>
      <w:color w:val="800080" w:themeColor="followedHyperlink"/>
      <w:u w:val="single"/>
    </w:rPr>
  </w:style>
  <w:style w:type="paragraph" w:styleId="a9">
    <w:name w:val="Date"/>
    <w:basedOn w:val="a"/>
    <w:next w:val="a"/>
    <w:link w:val="Char2"/>
    <w:rsid w:val="002F429E"/>
    <w:pPr>
      <w:ind w:leftChars="2500" w:left="100"/>
    </w:pPr>
    <w:rPr>
      <w:rFonts w:ascii="Times New Roman" w:eastAsia="宋体" w:hAnsi="Times New Roman" w:cs="Times New Roman"/>
      <w:szCs w:val="20"/>
    </w:rPr>
  </w:style>
  <w:style w:type="character" w:customStyle="1" w:styleId="Char2">
    <w:name w:val="日期 Char"/>
    <w:basedOn w:val="a0"/>
    <w:link w:val="a9"/>
    <w:rsid w:val="002F429E"/>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2231">
      <w:bodyDiv w:val="1"/>
      <w:marLeft w:val="0"/>
      <w:marRight w:val="0"/>
      <w:marTop w:val="0"/>
      <w:marBottom w:val="0"/>
      <w:divBdr>
        <w:top w:val="none" w:sz="0" w:space="0" w:color="auto"/>
        <w:left w:val="none" w:sz="0" w:space="0" w:color="auto"/>
        <w:bottom w:val="none" w:sz="0" w:space="0" w:color="auto"/>
        <w:right w:val="none" w:sz="0" w:space="0" w:color="auto"/>
      </w:divBdr>
      <w:divsChild>
        <w:div w:id="1792432805">
          <w:marLeft w:val="0"/>
          <w:marRight w:val="0"/>
          <w:marTop w:val="0"/>
          <w:marBottom w:val="0"/>
          <w:divBdr>
            <w:top w:val="none" w:sz="0" w:space="0" w:color="auto"/>
            <w:left w:val="single" w:sz="8" w:space="0" w:color="CCCCCC"/>
            <w:bottom w:val="none" w:sz="0" w:space="0" w:color="auto"/>
            <w:right w:val="single" w:sz="8" w:space="0" w:color="CCCCCC"/>
          </w:divBdr>
          <w:divsChild>
            <w:div w:id="1774741407">
              <w:marLeft w:val="0"/>
              <w:marRight w:val="0"/>
              <w:marTop w:val="0"/>
              <w:marBottom w:val="187"/>
              <w:divBdr>
                <w:top w:val="none" w:sz="0" w:space="0" w:color="auto"/>
                <w:left w:val="none" w:sz="0" w:space="0" w:color="auto"/>
                <w:bottom w:val="none" w:sz="0" w:space="0" w:color="auto"/>
                <w:right w:val="none" w:sz="0" w:space="0" w:color="auto"/>
              </w:divBdr>
              <w:divsChild>
                <w:div w:id="1181119585">
                  <w:marLeft w:val="0"/>
                  <w:marRight w:val="0"/>
                  <w:marTop w:val="0"/>
                  <w:marBottom w:val="0"/>
                  <w:divBdr>
                    <w:top w:val="none" w:sz="0" w:space="0" w:color="auto"/>
                    <w:left w:val="none" w:sz="0" w:space="0" w:color="auto"/>
                    <w:bottom w:val="none" w:sz="0" w:space="0" w:color="auto"/>
                    <w:right w:val="none" w:sz="0" w:space="0" w:color="auto"/>
                  </w:divBdr>
                  <w:divsChild>
                    <w:div w:id="784885632">
                      <w:marLeft w:val="0"/>
                      <w:marRight w:val="0"/>
                      <w:marTop w:val="0"/>
                      <w:marBottom w:val="0"/>
                      <w:divBdr>
                        <w:top w:val="none" w:sz="0" w:space="0" w:color="auto"/>
                        <w:left w:val="none" w:sz="0" w:space="0" w:color="auto"/>
                        <w:bottom w:val="none" w:sz="0" w:space="0" w:color="auto"/>
                        <w:right w:val="none" w:sz="0" w:space="0" w:color="auto"/>
                      </w:divBdr>
                      <w:divsChild>
                        <w:div w:id="1663243046">
                          <w:marLeft w:val="0"/>
                          <w:marRight w:val="0"/>
                          <w:marTop w:val="0"/>
                          <w:marBottom w:val="0"/>
                          <w:divBdr>
                            <w:top w:val="none" w:sz="0" w:space="0" w:color="auto"/>
                            <w:left w:val="none" w:sz="0" w:space="0" w:color="auto"/>
                            <w:bottom w:val="none" w:sz="0" w:space="0" w:color="auto"/>
                            <w:right w:val="none" w:sz="0" w:space="0" w:color="auto"/>
                          </w:divBdr>
                          <w:divsChild>
                            <w:div w:id="6539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629922">
      <w:bodyDiv w:val="1"/>
      <w:marLeft w:val="0"/>
      <w:marRight w:val="0"/>
      <w:marTop w:val="0"/>
      <w:marBottom w:val="0"/>
      <w:divBdr>
        <w:top w:val="none" w:sz="0" w:space="0" w:color="auto"/>
        <w:left w:val="none" w:sz="0" w:space="0" w:color="auto"/>
        <w:bottom w:val="none" w:sz="0" w:space="0" w:color="auto"/>
        <w:right w:val="none" w:sz="0" w:space="0" w:color="auto"/>
      </w:divBdr>
      <w:divsChild>
        <w:div w:id="997656961">
          <w:marLeft w:val="0"/>
          <w:marRight w:val="0"/>
          <w:marTop w:val="100"/>
          <w:marBottom w:val="100"/>
          <w:divBdr>
            <w:top w:val="none" w:sz="0" w:space="0" w:color="auto"/>
            <w:left w:val="none" w:sz="0" w:space="0" w:color="auto"/>
            <w:bottom w:val="none" w:sz="0" w:space="0" w:color="auto"/>
            <w:right w:val="none" w:sz="0" w:space="0" w:color="auto"/>
          </w:divBdr>
          <w:divsChild>
            <w:div w:id="2060392988">
              <w:marLeft w:val="0"/>
              <w:marRight w:val="0"/>
              <w:marTop w:val="0"/>
              <w:marBottom w:val="0"/>
              <w:divBdr>
                <w:top w:val="single" w:sz="8" w:space="0" w:color="E2E2E2"/>
                <w:left w:val="single" w:sz="8" w:space="0" w:color="E2E2E2"/>
                <w:bottom w:val="single" w:sz="8" w:space="0" w:color="E2E2E2"/>
                <w:right w:val="single" w:sz="8" w:space="0" w:color="E2E2E2"/>
              </w:divBdr>
              <w:divsChild>
                <w:div w:id="15945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3996">
      <w:bodyDiv w:val="1"/>
      <w:marLeft w:val="0"/>
      <w:marRight w:val="0"/>
      <w:marTop w:val="0"/>
      <w:marBottom w:val="0"/>
      <w:divBdr>
        <w:top w:val="none" w:sz="0" w:space="0" w:color="auto"/>
        <w:left w:val="none" w:sz="0" w:space="0" w:color="auto"/>
        <w:bottom w:val="none" w:sz="0" w:space="0" w:color="auto"/>
        <w:right w:val="none" w:sz="0" w:space="0" w:color="auto"/>
      </w:divBdr>
      <w:divsChild>
        <w:div w:id="1964268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443</Words>
  <Characters>2530</Characters>
  <Application>Microsoft Office Word</Application>
  <DocSecurity>0</DocSecurity>
  <Lines>21</Lines>
  <Paragraphs>5</Paragraphs>
  <ScaleCrop>false</ScaleCrop>
  <Company>China</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dc:creator>
  <cp:lastModifiedBy>ZL</cp:lastModifiedBy>
  <cp:revision>3</cp:revision>
  <dcterms:created xsi:type="dcterms:W3CDTF">2018-10-09T02:41:00Z</dcterms:created>
  <dcterms:modified xsi:type="dcterms:W3CDTF">2018-10-09T08:19:00Z</dcterms:modified>
</cp:coreProperties>
</file>