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2"/>
          <w:szCs w:val="32"/>
          <w:lang w:eastAsia="zh-CN"/>
        </w:rPr>
      </w:pPr>
      <w:bookmarkStart w:id="138" w:name="_GoBack"/>
      <w:r>
        <w:rPr>
          <w:rFonts w:hint="eastAsia" w:ascii="宋体" w:hAnsi="宋体" w:eastAsia="宋体" w:cs="宋体"/>
          <w:b/>
          <w:bCs/>
          <w:sz w:val="44"/>
          <w:szCs w:val="44"/>
          <w:lang w:eastAsia="zh-CN"/>
        </w:rPr>
        <w:t>关于《广元市昭化区综合交通运输“十四五”发展规划（征求意见稿）》向社会公开征求意见建议</w:t>
      </w:r>
    </w:p>
    <w:bookmarkEnd w:id="138"/>
    <w:p>
      <w:pPr>
        <w:ind w:firstLine="640" w:firstLineChars="200"/>
        <w:rPr>
          <w:rFonts w:hint="eastAsia" w:ascii="Times New Roman" w:hAnsi="Times New Roman" w:eastAsia="仿宋_GB2312" w:cs="仿宋_GB2312"/>
          <w:b w:val="0"/>
          <w:bCs w:val="0"/>
          <w:spacing w:val="0"/>
          <w:w w:val="100"/>
          <w:kern w:val="0"/>
          <w:sz w:val="32"/>
          <w:szCs w:val="32"/>
          <w:lang w:val="zh-CN"/>
        </w:rPr>
      </w:pPr>
    </w:p>
    <w:p>
      <w:pPr>
        <w:ind w:firstLine="640" w:firstLineChars="200"/>
        <w:rPr>
          <w:rFonts w:eastAsia="仿宋_GB2312"/>
          <w:color w:val="000000"/>
          <w:kern w:val="0"/>
          <w:sz w:val="32"/>
          <w:szCs w:val="32"/>
        </w:rPr>
      </w:pPr>
      <w:r>
        <w:rPr>
          <w:rFonts w:hint="eastAsia" w:ascii="Times New Roman" w:hAnsi="Times New Roman" w:eastAsia="仿宋_GB2312" w:cs="仿宋_GB2312"/>
          <w:b w:val="0"/>
          <w:bCs w:val="0"/>
          <w:spacing w:val="0"/>
          <w:w w:val="100"/>
          <w:kern w:val="0"/>
          <w:sz w:val="32"/>
          <w:szCs w:val="32"/>
          <w:lang w:val="zh-CN"/>
        </w:rPr>
        <w:t>交通运输是国民经济和社会发展的基础性、先导性、服务性行业，是经济社会发展的“先行官”。“十四五”时期，是昭化区加快推动广元东部新城建设、提升公共服务水平、实现绿色发展绿色崛起、构建对外开放新格局的重要时期，国家、省、市多重发展战略在昭化区交汇叠加，为我区交通发展带来新机遇。对标加快建设“千里嘉陵首善港城、千年蜀道宜居名城、绿色家居产业优城、诗意昭化幸福新城”的总体战略目标，进一步整合优化交通资源配置、促进综合交通协调发展，有力推动新时代昭化经济社会高质量发展。为此我局起草了</w:t>
      </w:r>
      <w:r>
        <w:rPr>
          <w:rFonts w:hint="eastAsia" w:ascii="仿宋" w:hAnsi="仿宋" w:eastAsia="仿宋" w:cs="仿宋"/>
          <w:sz w:val="32"/>
          <w:szCs w:val="32"/>
          <w:lang w:eastAsia="zh-CN"/>
        </w:rPr>
        <w:t>《广元市昭化区综合交通运输“十四五”发展规划（征求意见稿）》现向</w:t>
      </w:r>
      <w:r>
        <w:rPr>
          <w:rFonts w:eastAsia="仿宋_GB2312"/>
          <w:color w:val="000000"/>
          <w:kern w:val="0"/>
          <w:sz w:val="32"/>
          <w:szCs w:val="32"/>
        </w:rPr>
        <w:t>社会公开征求意见、建议，征求时间为202</w:t>
      </w:r>
      <w:r>
        <w:rPr>
          <w:rFonts w:hint="eastAsia" w:eastAsia="仿宋_GB2312"/>
          <w:color w:val="000000"/>
          <w:kern w:val="0"/>
          <w:sz w:val="32"/>
          <w:szCs w:val="32"/>
          <w:lang w:val="en-US" w:eastAsia="zh-CN"/>
        </w:rPr>
        <w:t>2</w:t>
      </w:r>
      <w:r>
        <w:rPr>
          <w:rFonts w:eastAsia="仿宋_GB2312"/>
          <w:color w:val="000000"/>
          <w:kern w:val="0"/>
          <w:sz w:val="32"/>
          <w:szCs w:val="32"/>
        </w:rPr>
        <w:t>年</w:t>
      </w:r>
      <w:r>
        <w:rPr>
          <w:rFonts w:hint="eastAsia" w:eastAsia="仿宋_GB2312"/>
          <w:color w:val="000000"/>
          <w:kern w:val="0"/>
          <w:sz w:val="32"/>
          <w:szCs w:val="32"/>
          <w:lang w:val="en-US" w:eastAsia="zh-CN"/>
        </w:rPr>
        <w:t>2</w:t>
      </w:r>
      <w:r>
        <w:rPr>
          <w:rFonts w:eastAsia="仿宋_GB2312"/>
          <w:color w:val="000000"/>
          <w:kern w:val="0"/>
          <w:sz w:val="32"/>
          <w:szCs w:val="32"/>
        </w:rPr>
        <w:t>月</w:t>
      </w:r>
      <w:r>
        <w:rPr>
          <w:rFonts w:hint="eastAsia" w:eastAsia="仿宋_GB2312"/>
          <w:color w:val="000000"/>
          <w:kern w:val="0"/>
          <w:sz w:val="32"/>
          <w:szCs w:val="32"/>
          <w:lang w:val="en-US" w:eastAsia="zh-CN"/>
        </w:rPr>
        <w:t>17</w:t>
      </w:r>
      <w:r>
        <w:rPr>
          <w:rFonts w:eastAsia="仿宋_GB2312"/>
          <w:color w:val="000000"/>
          <w:kern w:val="0"/>
          <w:sz w:val="32"/>
          <w:szCs w:val="32"/>
        </w:rPr>
        <w:t>日—202</w:t>
      </w:r>
      <w:r>
        <w:rPr>
          <w:rFonts w:hint="eastAsia" w:eastAsia="仿宋_GB2312"/>
          <w:color w:val="000000"/>
          <w:kern w:val="0"/>
          <w:sz w:val="32"/>
          <w:szCs w:val="32"/>
          <w:lang w:val="en-US" w:eastAsia="zh-CN"/>
        </w:rPr>
        <w:t>2</w:t>
      </w:r>
      <w:r>
        <w:rPr>
          <w:rFonts w:eastAsia="仿宋_GB2312"/>
          <w:color w:val="000000"/>
          <w:kern w:val="0"/>
          <w:sz w:val="32"/>
          <w:szCs w:val="32"/>
        </w:rPr>
        <w:t>年</w:t>
      </w:r>
      <w:r>
        <w:rPr>
          <w:rFonts w:hint="eastAsia" w:eastAsia="仿宋_GB2312"/>
          <w:color w:val="000000"/>
          <w:kern w:val="0"/>
          <w:sz w:val="32"/>
          <w:szCs w:val="32"/>
          <w:lang w:val="en-US" w:eastAsia="zh-CN"/>
        </w:rPr>
        <w:t>3</w:t>
      </w:r>
      <w:r>
        <w:rPr>
          <w:rFonts w:eastAsia="仿宋_GB2312"/>
          <w:color w:val="000000"/>
          <w:kern w:val="0"/>
          <w:sz w:val="32"/>
          <w:szCs w:val="32"/>
        </w:rPr>
        <w:t>月</w:t>
      </w:r>
      <w:r>
        <w:rPr>
          <w:rFonts w:hint="eastAsia" w:eastAsia="仿宋_GB2312"/>
          <w:color w:val="000000"/>
          <w:kern w:val="0"/>
          <w:sz w:val="32"/>
          <w:szCs w:val="32"/>
          <w:lang w:val="en-US" w:eastAsia="zh-CN"/>
        </w:rPr>
        <w:t>17</w:t>
      </w:r>
      <w:r>
        <w:rPr>
          <w:rFonts w:eastAsia="仿宋_GB2312"/>
          <w:color w:val="000000"/>
          <w:kern w:val="0"/>
          <w:sz w:val="32"/>
          <w:szCs w:val="32"/>
        </w:rPr>
        <w:t>日，可通过电子邮件反馈意见建议，邮箱：</w:t>
      </w:r>
      <w:r>
        <w:rPr>
          <w:rFonts w:eastAsia="仿宋_GB2312"/>
          <w:color w:val="000000"/>
          <w:kern w:val="0"/>
          <w:sz w:val="32"/>
          <w:szCs w:val="32"/>
        </w:rPr>
        <w:fldChar w:fldCharType="begin"/>
      </w:r>
      <w:r>
        <w:rPr>
          <w:rFonts w:eastAsia="仿宋_GB2312"/>
          <w:color w:val="000000"/>
          <w:kern w:val="0"/>
          <w:sz w:val="32"/>
          <w:szCs w:val="32"/>
        </w:rPr>
        <w:instrText xml:space="preserve"> HYPERLINK "mailto:357459036@qq.com。" </w:instrText>
      </w:r>
      <w:r>
        <w:rPr>
          <w:rFonts w:eastAsia="仿宋_GB2312"/>
          <w:color w:val="000000"/>
          <w:kern w:val="0"/>
          <w:sz w:val="32"/>
          <w:szCs w:val="32"/>
        </w:rPr>
        <w:fldChar w:fldCharType="separate"/>
      </w:r>
      <w:r>
        <w:rPr>
          <w:rStyle w:val="13"/>
          <w:rFonts w:eastAsia="仿宋_GB2312"/>
          <w:color w:val="000000"/>
          <w:kern w:val="0"/>
          <w:sz w:val="32"/>
          <w:szCs w:val="32"/>
        </w:rPr>
        <w:t>3</w:t>
      </w:r>
      <w:r>
        <w:rPr>
          <w:rStyle w:val="13"/>
          <w:rFonts w:hint="eastAsia" w:eastAsia="仿宋_GB2312"/>
          <w:color w:val="000000"/>
          <w:kern w:val="0"/>
          <w:sz w:val="32"/>
          <w:szCs w:val="32"/>
          <w:lang w:val="en-US" w:eastAsia="zh-CN"/>
        </w:rPr>
        <w:t>57459036</w:t>
      </w:r>
      <w:r>
        <w:rPr>
          <w:rStyle w:val="13"/>
          <w:rFonts w:eastAsia="仿宋_GB2312"/>
          <w:color w:val="000000"/>
          <w:kern w:val="0"/>
          <w:sz w:val="32"/>
          <w:szCs w:val="32"/>
        </w:rPr>
        <w:t>@qq.com。</w:t>
      </w:r>
      <w:r>
        <w:rPr>
          <w:rFonts w:eastAsia="仿宋_GB2312"/>
          <w:color w:val="000000"/>
          <w:kern w:val="0"/>
          <w:sz w:val="32"/>
          <w:szCs w:val="32"/>
        </w:rPr>
        <w:fldChar w:fldCharType="end"/>
      </w:r>
    </w:p>
    <w:p>
      <w:pPr>
        <w:ind w:firstLine="640" w:firstLineChars="200"/>
        <w:rPr>
          <w:rFonts w:eastAsia="仿宋_GB2312"/>
          <w:color w:val="000000"/>
          <w:kern w:val="0"/>
          <w:sz w:val="32"/>
          <w:szCs w:val="32"/>
        </w:rPr>
      </w:pPr>
    </w:p>
    <w:p>
      <w:pPr>
        <w:ind w:firstLine="640" w:firstLineChars="200"/>
        <w:rPr>
          <w:rFonts w:eastAsia="仿宋_GB2312"/>
          <w:color w:val="000000"/>
          <w:kern w:val="0"/>
          <w:sz w:val="32"/>
          <w:szCs w:val="32"/>
        </w:rPr>
      </w:pPr>
    </w:p>
    <w:p>
      <w:pPr>
        <w:ind w:firstLine="4480" w:firstLineChars="1400"/>
        <w:rPr>
          <w:rFonts w:hint="eastAsia" w:eastAsia="仿宋_GB2312"/>
          <w:color w:val="000000"/>
          <w:kern w:val="0"/>
          <w:sz w:val="32"/>
          <w:szCs w:val="32"/>
          <w:lang w:eastAsia="zh-CN"/>
        </w:rPr>
      </w:pPr>
      <w:r>
        <w:rPr>
          <w:rFonts w:hint="eastAsia" w:eastAsia="仿宋_GB2312"/>
          <w:color w:val="000000"/>
          <w:kern w:val="0"/>
          <w:sz w:val="32"/>
          <w:szCs w:val="32"/>
          <w:lang w:eastAsia="zh-CN"/>
        </w:rPr>
        <w:t>广元市昭化区交通运输局</w:t>
      </w:r>
    </w:p>
    <w:p>
      <w:pPr>
        <w:ind w:firstLine="5120" w:firstLineChars="1600"/>
        <w:rPr>
          <w:rFonts w:hint="eastAsia"/>
          <w:lang w:val="en-US" w:eastAsia="zh-CN"/>
        </w:rPr>
      </w:pPr>
      <w:r>
        <w:rPr>
          <w:rFonts w:hint="eastAsia" w:eastAsia="仿宋_GB2312"/>
          <w:color w:val="000000"/>
          <w:kern w:val="0"/>
          <w:sz w:val="32"/>
          <w:szCs w:val="32"/>
          <w:lang w:val="en-US" w:eastAsia="zh-CN"/>
        </w:rPr>
        <w:t>2022年2月17日</w:t>
      </w:r>
    </w:p>
    <w:p>
      <w:pPr>
        <w:keepNext w:val="0"/>
        <w:keepLines w:val="0"/>
        <w:pageBreakBefore w:val="0"/>
        <w:widowControl w:val="0"/>
        <w:kinsoku/>
        <w:wordWrap/>
        <w:overflowPunct/>
        <w:topLinePunct w:val="0"/>
        <w:autoSpaceDE/>
        <w:autoSpaceDN/>
        <w:bidi w:val="0"/>
        <w:adjustRightInd w:val="0"/>
        <w:snapToGrid/>
        <w:spacing w:line="576" w:lineRule="exact"/>
        <w:jc w:val="both"/>
        <w:textAlignment w:val="auto"/>
        <w:rPr>
          <w:rFonts w:hint="eastAsia" w:ascii="Times New Roman" w:hAnsi="Times New Roman" w:eastAsia="仿宋_GB2312" w:cs="仿宋_GB2312"/>
          <w:b w:val="0"/>
          <w:bCs w:val="0"/>
          <w:spacing w:val="0"/>
          <w:w w:val="100"/>
          <w:kern w:val="0"/>
          <w:sz w:val="32"/>
          <w:szCs w:val="32"/>
          <w:lang w:val="zh-CN"/>
        </w:rPr>
      </w:pPr>
    </w:p>
    <w:p>
      <w:pPr>
        <w:pStyle w:val="2"/>
        <w:rPr>
          <w:rFonts w:hint="eastAsia"/>
          <w:lang w:val="zh-CN"/>
        </w:rPr>
      </w:pPr>
    </w:p>
    <w:p>
      <w:pPr>
        <w:rPr>
          <w:rFonts w:hint="eastAsia"/>
          <w:lang w:val="zh-CN"/>
        </w:rPr>
      </w:pPr>
    </w:p>
    <w:p>
      <w:pPr>
        <w:pStyle w:val="2"/>
        <w:rPr>
          <w:rFonts w:hint="eastAsia"/>
          <w:lang w:val="zh-CN"/>
        </w:rPr>
      </w:pP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eastAsia="方正小标宋简体"/>
          <w:bCs/>
          <w:sz w:val="60"/>
          <w:szCs w:val="60"/>
        </w:rPr>
      </w:pPr>
      <w:bookmarkStart w:id="0" w:name="_Hlk60162314"/>
      <w:r>
        <w:rPr>
          <w:rFonts w:hint="eastAsia" w:ascii="方正小标宋简体" w:eastAsia="方正小标宋简体"/>
          <w:bCs/>
          <w:sz w:val="60"/>
          <w:szCs w:val="60"/>
        </w:rPr>
        <w:t>广元市昭化区综合交通运输</w:t>
      </w: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eastAsia="方正小标宋简体"/>
          <w:bCs/>
          <w:sz w:val="60"/>
          <w:szCs w:val="60"/>
          <w:lang w:eastAsia="zh-CN"/>
        </w:rPr>
      </w:pPr>
      <w:r>
        <w:rPr>
          <w:rFonts w:hint="eastAsia" w:ascii="方正小标宋简体" w:eastAsia="方正小标宋简体"/>
          <w:bCs/>
          <w:sz w:val="60"/>
          <w:szCs w:val="60"/>
        </w:rPr>
        <w:t>“十四五”发展规划</w:t>
      </w:r>
      <w:r>
        <w:rPr>
          <w:rFonts w:hint="eastAsia" w:ascii="方正小标宋简体" w:eastAsia="方正小标宋简体"/>
          <w:bCs/>
          <w:sz w:val="60"/>
          <w:szCs w:val="60"/>
          <w:lang w:eastAsia="zh-CN"/>
        </w:rPr>
        <w:t>（征求意见稿）</w:t>
      </w:r>
    </w:p>
    <w:bookmarkEnd w:id="0"/>
    <w:p>
      <w:pPr>
        <w:ind w:firstLine="0" w:firstLineChars="0"/>
        <w:rPr>
          <w:spacing w:val="16"/>
          <w:w w:val="96"/>
          <w:szCs w:val="32"/>
        </w:rPr>
      </w:pPr>
    </w:p>
    <w:p>
      <w:pPr>
        <w:ind w:firstLine="0" w:firstLineChars="0"/>
        <w:rPr>
          <w:spacing w:val="16"/>
          <w:w w:val="96"/>
          <w:szCs w:val="32"/>
        </w:rPr>
      </w:pPr>
    </w:p>
    <w:p>
      <w:pPr>
        <w:ind w:firstLine="0" w:firstLineChars="0"/>
        <w:rPr>
          <w:spacing w:val="16"/>
          <w:w w:val="96"/>
          <w:szCs w:val="32"/>
        </w:rPr>
      </w:pPr>
    </w:p>
    <w:p>
      <w:pPr>
        <w:ind w:firstLine="0" w:firstLineChars="0"/>
        <w:rPr>
          <w:spacing w:val="16"/>
          <w:w w:val="96"/>
          <w:szCs w:val="32"/>
        </w:rPr>
      </w:pPr>
    </w:p>
    <w:p>
      <w:pPr>
        <w:ind w:firstLine="0" w:firstLineChars="0"/>
        <w:jc w:val="center"/>
        <w:rPr>
          <w:rFonts w:eastAsia="方正小标宋_GBK"/>
          <w:spacing w:val="16"/>
          <w:w w:val="96"/>
          <w:sz w:val="44"/>
          <w:szCs w:val="44"/>
        </w:rPr>
      </w:pPr>
    </w:p>
    <w:p>
      <w:pPr>
        <w:ind w:firstLine="0" w:firstLineChars="0"/>
        <w:rPr>
          <w:rFonts w:eastAsia="方正小标宋_GBK"/>
          <w:spacing w:val="16"/>
          <w:w w:val="96"/>
          <w:sz w:val="44"/>
          <w:szCs w:val="44"/>
        </w:rPr>
      </w:pPr>
    </w:p>
    <w:p>
      <w:pPr>
        <w:ind w:firstLine="0" w:firstLineChars="0"/>
        <w:jc w:val="center"/>
        <w:rPr>
          <w:rFonts w:eastAsia="方正小标宋_GBK"/>
          <w:spacing w:val="16"/>
          <w:w w:val="96"/>
          <w:sz w:val="44"/>
          <w:szCs w:val="44"/>
        </w:rPr>
      </w:pPr>
    </w:p>
    <w:p>
      <w:pPr>
        <w:ind w:firstLine="0" w:firstLineChars="0"/>
        <w:jc w:val="center"/>
        <w:rPr>
          <w:rFonts w:eastAsia="方正小标宋_GBK"/>
          <w:spacing w:val="16"/>
          <w:w w:val="96"/>
          <w:sz w:val="44"/>
          <w:szCs w:val="44"/>
        </w:rPr>
      </w:pPr>
    </w:p>
    <w:p>
      <w:pPr>
        <w:ind w:firstLine="0" w:firstLineChars="0"/>
        <w:jc w:val="center"/>
        <w:rPr>
          <w:rFonts w:eastAsia="方正小标宋_GBK"/>
          <w:spacing w:val="16"/>
          <w:w w:val="96"/>
          <w:sz w:val="44"/>
          <w:szCs w:val="44"/>
        </w:rPr>
      </w:pPr>
    </w:p>
    <w:p>
      <w:pPr>
        <w:pStyle w:val="2"/>
        <w:outlineLvl w:val="9"/>
        <w:rPr>
          <w:rFonts w:eastAsia="方正小标宋_GBK"/>
          <w:spacing w:val="16"/>
          <w:w w:val="96"/>
          <w:sz w:val="44"/>
          <w:szCs w:val="44"/>
        </w:rPr>
      </w:pPr>
    </w:p>
    <w:p>
      <w:pPr>
        <w:rPr>
          <w:rFonts w:eastAsia="方正小标宋_GBK"/>
          <w:spacing w:val="16"/>
          <w:w w:val="96"/>
          <w:sz w:val="44"/>
          <w:szCs w:val="44"/>
        </w:rPr>
      </w:pPr>
    </w:p>
    <w:p>
      <w:pPr>
        <w:ind w:firstLine="0" w:firstLineChars="0"/>
        <w:jc w:val="both"/>
        <w:rPr>
          <w:rFonts w:eastAsia="方正小标宋_GBK"/>
          <w:spacing w:val="16"/>
          <w:w w:val="96"/>
          <w:sz w:val="44"/>
          <w:szCs w:val="44"/>
        </w:rPr>
      </w:pPr>
    </w:p>
    <w:p>
      <w:pPr>
        <w:spacing w:line="540" w:lineRule="exact"/>
        <w:ind w:firstLine="0" w:firstLineChars="0"/>
        <w:jc w:val="center"/>
        <w:rPr>
          <w:rFonts w:eastAsia="黑体"/>
          <w:szCs w:val="32"/>
        </w:rPr>
      </w:pPr>
      <w:r>
        <w:rPr>
          <w:rFonts w:hint="eastAsia" w:eastAsia="黑体"/>
          <w:szCs w:val="32"/>
        </w:rPr>
        <w:t>广元市昭化区交通运输局</w:t>
      </w:r>
    </w:p>
    <w:p>
      <w:pPr>
        <w:spacing w:line="540" w:lineRule="exact"/>
        <w:ind w:firstLine="0" w:firstLineChars="0"/>
        <w:jc w:val="center"/>
        <w:rPr>
          <w:rFonts w:eastAsia="黑体"/>
          <w:szCs w:val="32"/>
        </w:rPr>
        <w:sectPr>
          <w:headerReference r:id="rId6" w:type="first"/>
          <w:footerReference r:id="rId9" w:type="first"/>
          <w:headerReference r:id="rId4" w:type="default"/>
          <w:footerReference r:id="rId7" w:type="default"/>
          <w:headerReference r:id="rId5" w:type="even"/>
          <w:footerReference r:id="rId8" w:type="even"/>
          <w:pgSz w:w="11906"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439" w:charSpace="0"/>
        </w:sectPr>
      </w:pPr>
      <w:r>
        <w:rPr>
          <w:rFonts w:hint="eastAsia" w:eastAsia="黑体"/>
          <w:szCs w:val="32"/>
        </w:rPr>
        <w:t>二〇二二年三月</w:t>
      </w:r>
    </w:p>
    <w:p>
      <w:pPr>
        <w:pageBreakBefore w:val="0"/>
        <w:widowControl w:val="0"/>
        <w:kinsoku/>
        <w:wordWrap/>
        <w:overflowPunct/>
        <w:topLinePunct w:val="0"/>
        <w:autoSpaceDE/>
        <w:autoSpaceDN/>
        <w:bidi w:val="0"/>
        <w:spacing w:line="490" w:lineRule="exact"/>
        <w:ind w:firstLine="0" w:firstLineChars="0"/>
        <w:jc w:val="center"/>
        <w:textAlignment w:val="auto"/>
        <w:rPr>
          <w:rFonts w:hint="eastAsia" w:ascii="方正小标宋简体" w:hAnsi="方正小标宋简体" w:eastAsia="方正小标宋简体" w:cs="方正小标宋简体"/>
          <w:spacing w:val="-4"/>
          <w:sz w:val="44"/>
          <w:szCs w:val="48"/>
        </w:rPr>
      </w:pPr>
      <w:r>
        <w:rPr>
          <w:rFonts w:hint="eastAsia" w:ascii="方正小标宋简体" w:hAnsi="方正小标宋简体" w:eastAsia="方正小标宋简体" w:cs="方正小标宋简体"/>
          <w:spacing w:val="-4"/>
          <w:sz w:val="44"/>
          <w:szCs w:val="48"/>
        </w:rPr>
        <w:t xml:space="preserve">目 </w:t>
      </w:r>
      <w:r>
        <w:rPr>
          <w:rFonts w:hint="eastAsia" w:ascii="方正小标宋简体" w:hAnsi="方正小标宋简体" w:eastAsia="方正小标宋简体" w:cs="方正小标宋简体"/>
          <w:spacing w:val="-4"/>
          <w:sz w:val="44"/>
          <w:szCs w:val="48"/>
          <w:lang w:val="en-US" w:eastAsia="zh-CN"/>
        </w:rPr>
        <w:t xml:space="preserve">    </w:t>
      </w:r>
      <w:r>
        <w:rPr>
          <w:rFonts w:hint="eastAsia" w:ascii="方正小标宋简体" w:hAnsi="方正小标宋简体" w:eastAsia="方正小标宋简体" w:cs="方正小标宋简体"/>
          <w:spacing w:val="-4"/>
          <w:sz w:val="44"/>
          <w:szCs w:val="48"/>
        </w:rPr>
        <w:t>录</w:t>
      </w:r>
    </w:p>
    <w:p>
      <w:pPr>
        <w:pStyle w:val="15"/>
        <w:tabs>
          <w:tab w:val="right" w:leader="dot" w:pos="8844"/>
        </w:tabs>
        <w:ind w:left="0" w:leftChars="0" w:firstLine="0" w:firstLineChars="0"/>
        <w:rPr>
          <w:sz w:val="28"/>
          <w:szCs w:val="28"/>
        </w:rPr>
      </w:pP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ind w:left="0" w:leftChars="0" w:firstLine="0" w:firstLineChars="0"/>
        <w:textAlignment w:val="auto"/>
        <w:rPr>
          <w:sz w:val="28"/>
          <w:szCs w:val="28"/>
        </w:rPr>
      </w:pPr>
      <w:r>
        <w:rPr>
          <w:sz w:val="28"/>
          <w:szCs w:val="28"/>
        </w:rPr>
        <w:fldChar w:fldCharType="begin"/>
      </w:r>
      <w:r>
        <w:rPr>
          <w:sz w:val="28"/>
          <w:szCs w:val="28"/>
        </w:rPr>
        <w:instrText xml:space="preserve">TOC \o "1-2" \h \u </w:instrText>
      </w:r>
      <w:r>
        <w:rPr>
          <w:sz w:val="28"/>
          <w:szCs w:val="28"/>
        </w:rPr>
        <w:fldChar w:fldCharType="separate"/>
      </w:r>
      <w:r>
        <w:rPr>
          <w:sz w:val="28"/>
          <w:szCs w:val="28"/>
        </w:rPr>
        <w:fldChar w:fldCharType="begin"/>
      </w:r>
      <w:r>
        <w:rPr>
          <w:sz w:val="28"/>
          <w:szCs w:val="28"/>
        </w:rPr>
        <w:instrText xml:space="preserve"> HYPERLINK \l _Toc7708 </w:instrText>
      </w:r>
      <w:r>
        <w:rPr>
          <w:sz w:val="28"/>
          <w:szCs w:val="28"/>
        </w:rPr>
        <w:fldChar w:fldCharType="separate"/>
      </w:r>
      <w:r>
        <w:rPr>
          <w:rFonts w:hint="eastAsia" w:ascii="方正小标宋简体" w:hAnsi="方正小标宋简体" w:eastAsia="方正小标宋简体" w:cs="方正小标宋简体"/>
          <w:bCs/>
          <w:kern w:val="44"/>
          <w:sz w:val="28"/>
          <w:szCs w:val="28"/>
          <w:lang w:val="zh-CN" w:eastAsia="zh-CN" w:bidi="ar-SA"/>
        </w:rPr>
        <w:t>前     言</w:t>
      </w:r>
      <w:r>
        <w:rPr>
          <w:sz w:val="28"/>
          <w:szCs w:val="28"/>
        </w:rPr>
        <w:tab/>
      </w:r>
      <w:r>
        <w:rPr>
          <w:sz w:val="28"/>
          <w:szCs w:val="28"/>
        </w:rPr>
        <w:fldChar w:fldCharType="begin"/>
      </w:r>
      <w:r>
        <w:rPr>
          <w:sz w:val="28"/>
          <w:szCs w:val="28"/>
        </w:rPr>
        <w:instrText xml:space="preserve"> PAGEREF _Toc7708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_Toc1066 </w:instrText>
      </w:r>
      <w:r>
        <w:rPr>
          <w:b/>
          <w:sz w:val="28"/>
          <w:szCs w:val="28"/>
        </w:rPr>
        <w:fldChar w:fldCharType="separate"/>
      </w:r>
      <w:r>
        <w:rPr>
          <w:rFonts w:hint="eastAsia" w:ascii="方正小标宋简体" w:hAnsi="方正小标宋简体" w:eastAsia="方正小标宋简体" w:cs="方正小标宋简体"/>
          <w:b/>
          <w:sz w:val="28"/>
          <w:szCs w:val="28"/>
        </w:rPr>
        <w:t>第1章 发展基础</w:t>
      </w:r>
      <w:r>
        <w:rPr>
          <w:b/>
          <w:sz w:val="28"/>
          <w:szCs w:val="28"/>
        </w:rPr>
        <w:tab/>
      </w:r>
      <w:r>
        <w:rPr>
          <w:b/>
          <w:sz w:val="28"/>
          <w:szCs w:val="28"/>
        </w:rPr>
        <w:fldChar w:fldCharType="begin"/>
      </w:r>
      <w:r>
        <w:rPr>
          <w:b/>
          <w:sz w:val="28"/>
          <w:szCs w:val="28"/>
        </w:rPr>
        <w:instrText xml:space="preserve"> PAGEREF _Toc1066 \h </w:instrText>
      </w:r>
      <w:r>
        <w:rPr>
          <w:b/>
          <w:sz w:val="28"/>
          <w:szCs w:val="28"/>
        </w:rPr>
        <w:fldChar w:fldCharType="separate"/>
      </w:r>
      <w:r>
        <w:rPr>
          <w:b/>
          <w:sz w:val="28"/>
          <w:szCs w:val="28"/>
        </w:rPr>
        <w:t>6</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_Toc20332 </w:instrText>
      </w:r>
      <w:r>
        <w:rPr>
          <w:sz w:val="28"/>
          <w:szCs w:val="28"/>
        </w:rPr>
        <w:fldChar w:fldCharType="separate"/>
      </w:r>
      <w:r>
        <w:rPr>
          <w:rFonts w:ascii="Times New Roman" w:hAnsi="Times New Roman" w:eastAsia="黑体"/>
          <w:sz w:val="28"/>
          <w:szCs w:val="28"/>
        </w:rPr>
        <w:t xml:space="preserve">1.1 </w:t>
      </w:r>
      <w:r>
        <w:rPr>
          <w:rFonts w:hint="eastAsia" w:ascii="Times New Roman" w:hAnsi="Times New Roman" w:eastAsia="黑体"/>
          <w:sz w:val="28"/>
          <w:szCs w:val="28"/>
        </w:rPr>
        <w:t>经济社会概况</w:t>
      </w:r>
      <w:r>
        <w:rPr>
          <w:sz w:val="28"/>
          <w:szCs w:val="28"/>
        </w:rPr>
        <w:tab/>
      </w:r>
      <w:r>
        <w:rPr>
          <w:sz w:val="28"/>
          <w:szCs w:val="28"/>
        </w:rPr>
        <w:fldChar w:fldCharType="begin"/>
      </w:r>
      <w:r>
        <w:rPr>
          <w:sz w:val="28"/>
          <w:szCs w:val="28"/>
        </w:rPr>
        <w:instrText xml:space="preserve"> PAGEREF _Toc20332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_Toc32280 </w:instrText>
      </w:r>
      <w:r>
        <w:rPr>
          <w:sz w:val="28"/>
          <w:szCs w:val="28"/>
        </w:rPr>
        <w:fldChar w:fldCharType="separate"/>
      </w:r>
      <w:r>
        <w:rPr>
          <w:rFonts w:ascii="Times New Roman" w:hAnsi="Times New Roman" w:eastAsia="黑体"/>
          <w:sz w:val="28"/>
          <w:szCs w:val="28"/>
        </w:rPr>
        <w:t xml:space="preserve">1.2 </w:t>
      </w:r>
      <w:r>
        <w:rPr>
          <w:rFonts w:hint="eastAsia" w:ascii="Times New Roman" w:hAnsi="Times New Roman" w:eastAsia="黑体"/>
          <w:sz w:val="28"/>
          <w:szCs w:val="28"/>
        </w:rPr>
        <w:t>综合交通情况</w:t>
      </w:r>
      <w:r>
        <w:rPr>
          <w:sz w:val="28"/>
          <w:szCs w:val="28"/>
        </w:rPr>
        <w:tab/>
      </w:r>
      <w:r>
        <w:rPr>
          <w:sz w:val="28"/>
          <w:szCs w:val="28"/>
        </w:rPr>
        <w:fldChar w:fldCharType="begin"/>
      </w:r>
      <w:r>
        <w:rPr>
          <w:sz w:val="28"/>
          <w:szCs w:val="28"/>
        </w:rPr>
        <w:instrText xml:space="preserve"> PAGEREF _Toc32280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_Toc26289 </w:instrText>
      </w:r>
      <w:r>
        <w:rPr>
          <w:sz w:val="28"/>
          <w:szCs w:val="28"/>
        </w:rPr>
        <w:fldChar w:fldCharType="separate"/>
      </w:r>
      <w:r>
        <w:rPr>
          <w:rFonts w:ascii="Times New Roman" w:hAnsi="Times New Roman" w:eastAsia="黑体"/>
          <w:sz w:val="28"/>
          <w:szCs w:val="28"/>
        </w:rPr>
        <w:t xml:space="preserve">1.3 </w:t>
      </w:r>
      <w:r>
        <w:rPr>
          <w:rFonts w:hint="eastAsia" w:ascii="Times New Roman" w:hAnsi="Times New Roman" w:eastAsia="黑体"/>
          <w:sz w:val="28"/>
          <w:szCs w:val="28"/>
        </w:rPr>
        <w:t>规划范围及依据</w:t>
      </w:r>
      <w:r>
        <w:rPr>
          <w:sz w:val="28"/>
          <w:szCs w:val="28"/>
        </w:rPr>
        <w:tab/>
      </w:r>
      <w:r>
        <w:rPr>
          <w:sz w:val="28"/>
          <w:szCs w:val="28"/>
        </w:rPr>
        <w:fldChar w:fldCharType="begin"/>
      </w:r>
      <w:r>
        <w:rPr>
          <w:sz w:val="28"/>
          <w:szCs w:val="28"/>
        </w:rPr>
        <w:instrText xml:space="preserve"> PAGEREF _Toc26289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_Toc7483 </w:instrText>
      </w:r>
      <w:r>
        <w:rPr>
          <w:b/>
          <w:sz w:val="28"/>
          <w:szCs w:val="28"/>
        </w:rPr>
        <w:fldChar w:fldCharType="separate"/>
      </w:r>
      <w:r>
        <w:rPr>
          <w:rFonts w:hint="eastAsia"/>
          <w:b/>
          <w:sz w:val="28"/>
          <w:szCs w:val="28"/>
        </w:rPr>
        <w:t>第</w:t>
      </w:r>
      <w:r>
        <w:rPr>
          <w:b/>
          <w:sz w:val="28"/>
          <w:szCs w:val="28"/>
        </w:rPr>
        <w:t>2</w:t>
      </w:r>
      <w:r>
        <w:rPr>
          <w:rFonts w:hint="eastAsia"/>
          <w:b/>
          <w:sz w:val="28"/>
          <w:szCs w:val="28"/>
        </w:rPr>
        <w:t>章</w:t>
      </w:r>
      <w:r>
        <w:rPr>
          <w:b/>
          <w:sz w:val="28"/>
          <w:szCs w:val="28"/>
        </w:rPr>
        <w:t xml:space="preserve"> </w:t>
      </w:r>
      <w:r>
        <w:rPr>
          <w:rFonts w:hint="eastAsia"/>
          <w:b/>
          <w:sz w:val="28"/>
          <w:szCs w:val="28"/>
        </w:rPr>
        <w:t>形势要求</w:t>
      </w:r>
      <w:r>
        <w:rPr>
          <w:b/>
          <w:sz w:val="28"/>
          <w:szCs w:val="28"/>
        </w:rPr>
        <w:tab/>
      </w:r>
      <w:r>
        <w:rPr>
          <w:b/>
          <w:sz w:val="28"/>
          <w:szCs w:val="28"/>
        </w:rPr>
        <w:fldChar w:fldCharType="begin"/>
      </w:r>
      <w:r>
        <w:rPr>
          <w:b/>
          <w:sz w:val="28"/>
          <w:szCs w:val="28"/>
        </w:rPr>
        <w:instrText xml:space="preserve"> PAGEREF _Toc7483 \h </w:instrText>
      </w:r>
      <w:r>
        <w:rPr>
          <w:b/>
          <w:sz w:val="28"/>
          <w:szCs w:val="28"/>
        </w:rPr>
        <w:fldChar w:fldCharType="separate"/>
      </w:r>
      <w:r>
        <w:rPr>
          <w:b/>
          <w:sz w:val="28"/>
          <w:szCs w:val="28"/>
        </w:rPr>
        <w:t>35</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_Toc32265 </w:instrText>
      </w:r>
      <w:r>
        <w:rPr>
          <w:sz w:val="28"/>
          <w:szCs w:val="28"/>
        </w:rPr>
        <w:fldChar w:fldCharType="separate"/>
      </w:r>
      <w:r>
        <w:rPr>
          <w:rFonts w:ascii="Times New Roman" w:hAnsi="Times New Roman" w:eastAsia="黑体"/>
          <w:sz w:val="28"/>
          <w:szCs w:val="28"/>
        </w:rPr>
        <w:t xml:space="preserve">2.1 </w:t>
      </w:r>
      <w:r>
        <w:rPr>
          <w:rFonts w:hint="eastAsia" w:ascii="Times New Roman" w:hAnsi="Times New Roman" w:eastAsia="黑体"/>
          <w:sz w:val="28"/>
          <w:szCs w:val="28"/>
        </w:rPr>
        <w:t>发展形势</w:t>
      </w:r>
      <w:r>
        <w:rPr>
          <w:sz w:val="28"/>
          <w:szCs w:val="28"/>
        </w:rPr>
        <w:tab/>
      </w:r>
      <w:r>
        <w:rPr>
          <w:sz w:val="28"/>
          <w:szCs w:val="28"/>
        </w:rPr>
        <w:fldChar w:fldCharType="begin"/>
      </w:r>
      <w:r>
        <w:rPr>
          <w:sz w:val="28"/>
          <w:szCs w:val="28"/>
        </w:rPr>
        <w:instrText xml:space="preserve"> PAGEREF _Toc32265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_Toc3594 </w:instrText>
      </w:r>
      <w:r>
        <w:rPr>
          <w:sz w:val="28"/>
          <w:szCs w:val="28"/>
        </w:rPr>
        <w:fldChar w:fldCharType="separate"/>
      </w:r>
      <w:r>
        <w:rPr>
          <w:rFonts w:ascii="Times New Roman" w:hAnsi="Times New Roman" w:eastAsia="黑体"/>
          <w:sz w:val="28"/>
          <w:szCs w:val="28"/>
        </w:rPr>
        <w:t xml:space="preserve">2.2 </w:t>
      </w:r>
      <w:r>
        <w:rPr>
          <w:rFonts w:hint="eastAsia" w:ascii="Times New Roman" w:hAnsi="Times New Roman" w:eastAsia="黑体"/>
          <w:sz w:val="28"/>
          <w:szCs w:val="28"/>
        </w:rPr>
        <w:t>发展要求</w:t>
      </w:r>
      <w:r>
        <w:rPr>
          <w:sz w:val="28"/>
          <w:szCs w:val="28"/>
        </w:rPr>
        <w:tab/>
      </w:r>
      <w:r>
        <w:rPr>
          <w:sz w:val="28"/>
          <w:szCs w:val="28"/>
        </w:rPr>
        <w:fldChar w:fldCharType="begin"/>
      </w:r>
      <w:r>
        <w:rPr>
          <w:sz w:val="28"/>
          <w:szCs w:val="28"/>
        </w:rPr>
        <w:instrText xml:space="preserve"> PAGEREF _Toc3594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_Toc18358 </w:instrText>
      </w:r>
      <w:r>
        <w:rPr>
          <w:sz w:val="28"/>
          <w:szCs w:val="28"/>
        </w:rPr>
        <w:fldChar w:fldCharType="separate"/>
      </w:r>
      <w:r>
        <w:rPr>
          <w:rFonts w:ascii="Times New Roman" w:hAnsi="Times New Roman" w:eastAsia="黑体"/>
          <w:sz w:val="28"/>
          <w:szCs w:val="28"/>
        </w:rPr>
        <w:t xml:space="preserve">2.3 </w:t>
      </w:r>
      <w:r>
        <w:rPr>
          <w:rFonts w:hint="eastAsia" w:ascii="Times New Roman" w:hAnsi="Times New Roman" w:eastAsia="黑体"/>
          <w:sz w:val="28"/>
          <w:szCs w:val="28"/>
        </w:rPr>
        <w:t>发展阶段</w:t>
      </w:r>
      <w:r>
        <w:rPr>
          <w:sz w:val="28"/>
          <w:szCs w:val="28"/>
        </w:rPr>
        <w:tab/>
      </w:r>
      <w:r>
        <w:rPr>
          <w:sz w:val="28"/>
          <w:szCs w:val="28"/>
        </w:rPr>
        <w:fldChar w:fldCharType="begin"/>
      </w:r>
      <w:r>
        <w:rPr>
          <w:sz w:val="28"/>
          <w:szCs w:val="28"/>
        </w:rPr>
        <w:instrText xml:space="preserve"> PAGEREF _Toc18358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_Toc6874 </w:instrText>
      </w:r>
      <w:r>
        <w:rPr>
          <w:b/>
          <w:sz w:val="28"/>
          <w:szCs w:val="28"/>
        </w:rPr>
        <w:fldChar w:fldCharType="separate"/>
      </w:r>
      <w:r>
        <w:rPr>
          <w:rFonts w:hint="eastAsia"/>
          <w:b/>
          <w:sz w:val="28"/>
          <w:szCs w:val="28"/>
        </w:rPr>
        <w:t>第</w:t>
      </w:r>
      <w:r>
        <w:rPr>
          <w:b/>
          <w:sz w:val="28"/>
          <w:szCs w:val="28"/>
        </w:rPr>
        <w:t>3</w:t>
      </w:r>
      <w:r>
        <w:rPr>
          <w:rFonts w:hint="eastAsia"/>
          <w:b/>
          <w:sz w:val="28"/>
          <w:szCs w:val="28"/>
        </w:rPr>
        <w:t>章</w:t>
      </w:r>
      <w:r>
        <w:rPr>
          <w:b/>
          <w:sz w:val="28"/>
          <w:szCs w:val="28"/>
        </w:rPr>
        <w:t xml:space="preserve"> </w:t>
      </w:r>
      <w:r>
        <w:rPr>
          <w:rFonts w:hint="eastAsia"/>
          <w:b/>
          <w:sz w:val="28"/>
          <w:szCs w:val="28"/>
        </w:rPr>
        <w:t>发展预测</w:t>
      </w:r>
      <w:r>
        <w:rPr>
          <w:b/>
          <w:sz w:val="28"/>
          <w:szCs w:val="28"/>
        </w:rPr>
        <w:tab/>
      </w:r>
      <w:r>
        <w:rPr>
          <w:b/>
          <w:sz w:val="28"/>
          <w:szCs w:val="28"/>
        </w:rPr>
        <w:fldChar w:fldCharType="begin"/>
      </w:r>
      <w:r>
        <w:rPr>
          <w:b/>
          <w:sz w:val="28"/>
          <w:szCs w:val="28"/>
        </w:rPr>
        <w:instrText xml:space="preserve"> PAGEREF _Toc6874 \h </w:instrText>
      </w:r>
      <w:r>
        <w:rPr>
          <w:b/>
          <w:sz w:val="28"/>
          <w:szCs w:val="28"/>
        </w:rPr>
        <w:fldChar w:fldCharType="separate"/>
      </w:r>
      <w:r>
        <w:rPr>
          <w:b/>
          <w:sz w:val="28"/>
          <w:szCs w:val="28"/>
        </w:rPr>
        <w:t>43</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_Toc10600 </w:instrText>
      </w:r>
      <w:r>
        <w:rPr>
          <w:sz w:val="28"/>
          <w:szCs w:val="28"/>
        </w:rPr>
        <w:fldChar w:fldCharType="separate"/>
      </w:r>
      <w:r>
        <w:rPr>
          <w:rFonts w:ascii="Times New Roman" w:hAnsi="Times New Roman" w:eastAsia="黑体"/>
          <w:sz w:val="28"/>
          <w:szCs w:val="28"/>
        </w:rPr>
        <w:t xml:space="preserve">3.1 </w:t>
      </w:r>
      <w:r>
        <w:rPr>
          <w:rFonts w:hint="eastAsia" w:ascii="Times New Roman" w:hAnsi="Times New Roman" w:eastAsia="黑体"/>
          <w:sz w:val="28"/>
          <w:szCs w:val="28"/>
        </w:rPr>
        <w:t>主要经济指标预测</w:t>
      </w:r>
      <w:r>
        <w:rPr>
          <w:sz w:val="28"/>
          <w:szCs w:val="28"/>
        </w:rPr>
        <w:tab/>
      </w:r>
      <w:r>
        <w:rPr>
          <w:sz w:val="28"/>
          <w:szCs w:val="28"/>
        </w:rPr>
        <w:fldChar w:fldCharType="begin"/>
      </w:r>
      <w:r>
        <w:rPr>
          <w:sz w:val="28"/>
          <w:szCs w:val="28"/>
        </w:rPr>
        <w:instrText xml:space="preserve"> PAGEREF _Toc10600 \h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_Toc3200 </w:instrText>
      </w:r>
      <w:r>
        <w:rPr>
          <w:sz w:val="28"/>
          <w:szCs w:val="28"/>
        </w:rPr>
        <w:fldChar w:fldCharType="separate"/>
      </w:r>
      <w:r>
        <w:rPr>
          <w:rFonts w:ascii="Times New Roman" w:hAnsi="Times New Roman" w:eastAsia="黑体"/>
          <w:sz w:val="28"/>
          <w:szCs w:val="28"/>
        </w:rPr>
        <w:t xml:space="preserve">3.2 </w:t>
      </w:r>
      <w:r>
        <w:rPr>
          <w:rFonts w:hint="eastAsia" w:ascii="Times New Roman" w:hAnsi="Times New Roman" w:eastAsia="黑体"/>
          <w:sz w:val="28"/>
          <w:szCs w:val="28"/>
        </w:rPr>
        <w:t>交通发展需求分析</w:t>
      </w:r>
      <w:r>
        <w:rPr>
          <w:sz w:val="28"/>
          <w:szCs w:val="28"/>
        </w:rPr>
        <w:tab/>
      </w:r>
      <w:r>
        <w:rPr>
          <w:sz w:val="28"/>
          <w:szCs w:val="28"/>
        </w:rPr>
        <w:fldChar w:fldCharType="begin"/>
      </w:r>
      <w:r>
        <w:rPr>
          <w:sz w:val="28"/>
          <w:szCs w:val="28"/>
        </w:rPr>
        <w:instrText xml:space="preserve"> PAGEREF _Toc3200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_Toc736 </w:instrText>
      </w:r>
      <w:r>
        <w:rPr>
          <w:b/>
          <w:sz w:val="28"/>
          <w:szCs w:val="28"/>
        </w:rPr>
        <w:fldChar w:fldCharType="separate"/>
      </w:r>
      <w:r>
        <w:rPr>
          <w:rFonts w:hint="eastAsia" w:eastAsia="黑体"/>
          <w:b/>
          <w:bCs/>
          <w:kern w:val="44"/>
          <w:sz w:val="28"/>
          <w:szCs w:val="28"/>
        </w:rPr>
        <w:t>第</w:t>
      </w:r>
      <w:r>
        <w:rPr>
          <w:rFonts w:eastAsia="黑体"/>
          <w:b/>
          <w:bCs/>
          <w:kern w:val="44"/>
          <w:sz w:val="28"/>
          <w:szCs w:val="28"/>
        </w:rPr>
        <w:t>4</w:t>
      </w:r>
      <w:r>
        <w:rPr>
          <w:rFonts w:hint="eastAsia" w:eastAsia="黑体"/>
          <w:b/>
          <w:bCs/>
          <w:kern w:val="44"/>
          <w:sz w:val="28"/>
          <w:szCs w:val="28"/>
        </w:rPr>
        <w:t>章</w:t>
      </w:r>
      <w:r>
        <w:rPr>
          <w:rFonts w:eastAsia="黑体"/>
          <w:b/>
          <w:bCs/>
          <w:kern w:val="44"/>
          <w:sz w:val="28"/>
          <w:szCs w:val="28"/>
        </w:rPr>
        <w:t xml:space="preserve"> </w:t>
      </w:r>
      <w:r>
        <w:rPr>
          <w:rFonts w:hint="eastAsia" w:eastAsia="黑体"/>
          <w:b/>
          <w:bCs/>
          <w:kern w:val="44"/>
          <w:sz w:val="28"/>
          <w:szCs w:val="28"/>
        </w:rPr>
        <w:t>总体布局</w:t>
      </w:r>
      <w:r>
        <w:rPr>
          <w:b/>
          <w:sz w:val="28"/>
          <w:szCs w:val="28"/>
        </w:rPr>
        <w:tab/>
      </w:r>
      <w:r>
        <w:rPr>
          <w:b/>
          <w:sz w:val="28"/>
          <w:szCs w:val="28"/>
        </w:rPr>
        <w:fldChar w:fldCharType="begin"/>
      </w:r>
      <w:r>
        <w:rPr>
          <w:b/>
          <w:sz w:val="28"/>
          <w:szCs w:val="28"/>
        </w:rPr>
        <w:instrText xml:space="preserve"> PAGEREF _Toc736 \h </w:instrText>
      </w:r>
      <w:r>
        <w:rPr>
          <w:b/>
          <w:sz w:val="28"/>
          <w:szCs w:val="28"/>
        </w:rPr>
        <w:fldChar w:fldCharType="separate"/>
      </w:r>
      <w:r>
        <w:rPr>
          <w:b/>
          <w:sz w:val="28"/>
          <w:szCs w:val="28"/>
        </w:rPr>
        <w:t>51</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_Toc7412 </w:instrText>
      </w:r>
      <w:r>
        <w:rPr>
          <w:sz w:val="28"/>
          <w:szCs w:val="28"/>
        </w:rPr>
        <w:fldChar w:fldCharType="separate"/>
      </w:r>
      <w:r>
        <w:rPr>
          <w:rFonts w:eastAsia="黑体"/>
          <w:bCs/>
          <w:sz w:val="28"/>
          <w:szCs w:val="28"/>
        </w:rPr>
        <w:t xml:space="preserve">4.1 </w:t>
      </w:r>
      <w:r>
        <w:rPr>
          <w:rFonts w:hint="eastAsia" w:eastAsia="黑体"/>
          <w:bCs/>
          <w:sz w:val="28"/>
          <w:szCs w:val="28"/>
        </w:rPr>
        <w:t>战略定位</w:t>
      </w:r>
      <w:r>
        <w:rPr>
          <w:sz w:val="28"/>
          <w:szCs w:val="28"/>
        </w:rPr>
        <w:tab/>
      </w:r>
      <w:r>
        <w:rPr>
          <w:sz w:val="28"/>
          <w:szCs w:val="28"/>
        </w:rPr>
        <w:fldChar w:fldCharType="begin"/>
      </w:r>
      <w:r>
        <w:rPr>
          <w:sz w:val="28"/>
          <w:szCs w:val="28"/>
        </w:rPr>
        <w:instrText xml:space="preserve"> PAGEREF _Toc7412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_Toc653 </w:instrText>
      </w:r>
      <w:r>
        <w:rPr>
          <w:sz w:val="28"/>
          <w:szCs w:val="28"/>
        </w:rPr>
        <w:fldChar w:fldCharType="separate"/>
      </w:r>
      <w:r>
        <w:rPr>
          <w:rFonts w:eastAsia="黑体"/>
          <w:bCs/>
          <w:sz w:val="28"/>
          <w:szCs w:val="28"/>
        </w:rPr>
        <w:t xml:space="preserve">4.2 </w:t>
      </w:r>
      <w:r>
        <w:rPr>
          <w:rFonts w:hint="eastAsia" w:eastAsia="黑体"/>
          <w:bCs/>
          <w:sz w:val="28"/>
          <w:szCs w:val="28"/>
        </w:rPr>
        <w:t>布局框架</w:t>
      </w:r>
      <w:r>
        <w:rPr>
          <w:sz w:val="28"/>
          <w:szCs w:val="28"/>
        </w:rPr>
        <w:tab/>
      </w:r>
      <w:r>
        <w:rPr>
          <w:sz w:val="28"/>
          <w:szCs w:val="28"/>
        </w:rPr>
        <w:fldChar w:fldCharType="begin"/>
      </w:r>
      <w:r>
        <w:rPr>
          <w:sz w:val="28"/>
          <w:szCs w:val="28"/>
        </w:rPr>
        <w:instrText xml:space="preserve"> PAGEREF _Toc653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_Toc29688 </w:instrText>
      </w:r>
      <w:r>
        <w:rPr>
          <w:b/>
          <w:sz w:val="28"/>
          <w:szCs w:val="28"/>
        </w:rPr>
        <w:fldChar w:fldCharType="separate"/>
      </w:r>
      <w:r>
        <w:rPr>
          <w:rFonts w:hint="eastAsia" w:eastAsia="黑体"/>
          <w:b/>
          <w:bCs/>
          <w:kern w:val="44"/>
          <w:sz w:val="28"/>
          <w:szCs w:val="28"/>
        </w:rPr>
        <w:t>第</w:t>
      </w:r>
      <w:r>
        <w:rPr>
          <w:rFonts w:eastAsia="黑体"/>
          <w:b/>
          <w:bCs/>
          <w:kern w:val="44"/>
          <w:sz w:val="28"/>
          <w:szCs w:val="28"/>
        </w:rPr>
        <w:t>5</w:t>
      </w:r>
      <w:r>
        <w:rPr>
          <w:rFonts w:hint="eastAsia" w:eastAsia="黑体"/>
          <w:b/>
          <w:bCs/>
          <w:kern w:val="44"/>
          <w:sz w:val="28"/>
          <w:szCs w:val="28"/>
        </w:rPr>
        <w:t>章</w:t>
      </w:r>
      <w:r>
        <w:rPr>
          <w:rFonts w:eastAsia="黑体"/>
          <w:b/>
          <w:bCs/>
          <w:kern w:val="44"/>
          <w:sz w:val="28"/>
          <w:szCs w:val="28"/>
        </w:rPr>
        <w:t xml:space="preserve"> </w:t>
      </w:r>
      <w:r>
        <w:rPr>
          <w:rFonts w:hint="eastAsia" w:eastAsia="黑体"/>
          <w:b/>
          <w:bCs/>
          <w:kern w:val="44"/>
          <w:sz w:val="28"/>
          <w:szCs w:val="28"/>
        </w:rPr>
        <w:t>发展思路</w:t>
      </w:r>
      <w:r>
        <w:rPr>
          <w:b/>
          <w:sz w:val="28"/>
          <w:szCs w:val="28"/>
        </w:rPr>
        <w:tab/>
      </w:r>
      <w:r>
        <w:rPr>
          <w:b/>
          <w:sz w:val="28"/>
          <w:szCs w:val="28"/>
        </w:rPr>
        <w:fldChar w:fldCharType="begin"/>
      </w:r>
      <w:r>
        <w:rPr>
          <w:b/>
          <w:sz w:val="28"/>
          <w:szCs w:val="28"/>
        </w:rPr>
        <w:instrText xml:space="preserve"> PAGEREF _Toc29688 \h </w:instrText>
      </w:r>
      <w:r>
        <w:rPr>
          <w:b/>
          <w:sz w:val="28"/>
          <w:szCs w:val="28"/>
        </w:rPr>
        <w:fldChar w:fldCharType="separate"/>
      </w:r>
      <w:r>
        <w:rPr>
          <w:b/>
          <w:sz w:val="28"/>
          <w:szCs w:val="28"/>
        </w:rPr>
        <w:t>61</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_Toc16392 </w:instrText>
      </w:r>
      <w:r>
        <w:rPr>
          <w:sz w:val="28"/>
          <w:szCs w:val="28"/>
        </w:rPr>
        <w:fldChar w:fldCharType="separate"/>
      </w:r>
      <w:r>
        <w:rPr>
          <w:rFonts w:ascii="Times New Roman" w:hAnsi="Times New Roman" w:eastAsia="黑体"/>
          <w:sz w:val="28"/>
          <w:szCs w:val="28"/>
        </w:rPr>
        <w:t xml:space="preserve">5.1 </w:t>
      </w:r>
      <w:r>
        <w:rPr>
          <w:rFonts w:hint="eastAsia" w:ascii="Times New Roman" w:hAnsi="Times New Roman" w:eastAsia="黑体"/>
          <w:sz w:val="28"/>
          <w:szCs w:val="28"/>
        </w:rPr>
        <w:t>指导思想</w:t>
      </w:r>
      <w:r>
        <w:rPr>
          <w:sz w:val="28"/>
          <w:szCs w:val="28"/>
        </w:rPr>
        <w:tab/>
      </w:r>
      <w:r>
        <w:rPr>
          <w:sz w:val="28"/>
          <w:szCs w:val="28"/>
        </w:rPr>
        <w:fldChar w:fldCharType="begin"/>
      </w:r>
      <w:r>
        <w:rPr>
          <w:sz w:val="28"/>
          <w:szCs w:val="28"/>
        </w:rPr>
        <w:instrText xml:space="preserve"> PAGEREF _Toc16392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_Toc9748 </w:instrText>
      </w:r>
      <w:r>
        <w:rPr>
          <w:sz w:val="28"/>
          <w:szCs w:val="28"/>
        </w:rPr>
        <w:fldChar w:fldCharType="separate"/>
      </w:r>
      <w:r>
        <w:rPr>
          <w:rFonts w:ascii="Times New Roman" w:hAnsi="Times New Roman" w:eastAsia="黑体"/>
          <w:sz w:val="28"/>
          <w:szCs w:val="28"/>
        </w:rPr>
        <w:t xml:space="preserve">5.2 </w:t>
      </w:r>
      <w:r>
        <w:rPr>
          <w:rFonts w:hint="eastAsia" w:ascii="Times New Roman" w:hAnsi="Times New Roman" w:eastAsia="黑体"/>
          <w:sz w:val="28"/>
          <w:szCs w:val="28"/>
        </w:rPr>
        <w:t>基本原则</w:t>
      </w:r>
      <w:r>
        <w:rPr>
          <w:sz w:val="28"/>
          <w:szCs w:val="28"/>
        </w:rPr>
        <w:tab/>
      </w:r>
      <w:r>
        <w:rPr>
          <w:sz w:val="28"/>
          <w:szCs w:val="28"/>
        </w:rPr>
        <w:fldChar w:fldCharType="begin"/>
      </w:r>
      <w:r>
        <w:rPr>
          <w:sz w:val="28"/>
          <w:szCs w:val="28"/>
        </w:rPr>
        <w:instrText xml:space="preserve"> PAGEREF _Toc9748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_Toc21418 </w:instrText>
      </w:r>
      <w:r>
        <w:rPr>
          <w:sz w:val="28"/>
          <w:szCs w:val="28"/>
        </w:rPr>
        <w:fldChar w:fldCharType="separate"/>
      </w:r>
      <w:r>
        <w:rPr>
          <w:rFonts w:ascii="Times New Roman" w:hAnsi="Times New Roman" w:eastAsia="黑体"/>
          <w:sz w:val="28"/>
          <w:szCs w:val="28"/>
        </w:rPr>
        <w:t xml:space="preserve">5.3 </w:t>
      </w:r>
      <w:r>
        <w:rPr>
          <w:rFonts w:hint="eastAsia" w:ascii="Times New Roman" w:hAnsi="Times New Roman" w:eastAsia="黑体"/>
          <w:sz w:val="28"/>
          <w:szCs w:val="28"/>
        </w:rPr>
        <w:t>发展目标</w:t>
      </w:r>
      <w:r>
        <w:rPr>
          <w:sz w:val="28"/>
          <w:szCs w:val="28"/>
        </w:rPr>
        <w:tab/>
      </w:r>
      <w:r>
        <w:rPr>
          <w:sz w:val="28"/>
          <w:szCs w:val="28"/>
        </w:rPr>
        <w:fldChar w:fldCharType="begin"/>
      </w:r>
      <w:r>
        <w:rPr>
          <w:sz w:val="28"/>
          <w:szCs w:val="28"/>
        </w:rPr>
        <w:instrText xml:space="preserve"> PAGEREF _Toc21418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_Toc12396 </w:instrText>
      </w:r>
      <w:r>
        <w:rPr>
          <w:b/>
          <w:sz w:val="28"/>
          <w:szCs w:val="28"/>
        </w:rPr>
        <w:fldChar w:fldCharType="separate"/>
      </w:r>
      <w:r>
        <w:rPr>
          <w:rFonts w:hint="eastAsia"/>
          <w:b/>
          <w:sz w:val="28"/>
          <w:szCs w:val="28"/>
        </w:rPr>
        <w:t>第</w:t>
      </w:r>
      <w:r>
        <w:rPr>
          <w:b/>
          <w:sz w:val="28"/>
          <w:szCs w:val="28"/>
        </w:rPr>
        <w:t>6</w:t>
      </w:r>
      <w:r>
        <w:rPr>
          <w:rFonts w:hint="eastAsia"/>
          <w:b/>
          <w:sz w:val="28"/>
          <w:szCs w:val="28"/>
        </w:rPr>
        <w:t>章</w:t>
      </w:r>
      <w:r>
        <w:rPr>
          <w:b/>
          <w:sz w:val="28"/>
          <w:szCs w:val="28"/>
        </w:rPr>
        <w:t xml:space="preserve"> </w:t>
      </w:r>
      <w:r>
        <w:rPr>
          <w:rFonts w:hint="eastAsia"/>
          <w:b/>
          <w:sz w:val="28"/>
          <w:szCs w:val="28"/>
        </w:rPr>
        <w:t>重点任务及资金需求</w:t>
      </w:r>
      <w:r>
        <w:rPr>
          <w:b/>
          <w:sz w:val="28"/>
          <w:szCs w:val="28"/>
        </w:rPr>
        <w:tab/>
      </w:r>
      <w:r>
        <w:rPr>
          <w:b/>
          <w:sz w:val="28"/>
          <w:szCs w:val="28"/>
        </w:rPr>
        <w:fldChar w:fldCharType="begin"/>
      </w:r>
      <w:r>
        <w:rPr>
          <w:b/>
          <w:sz w:val="28"/>
          <w:szCs w:val="28"/>
        </w:rPr>
        <w:instrText xml:space="preserve"> PAGEREF _Toc12396 \h </w:instrText>
      </w:r>
      <w:r>
        <w:rPr>
          <w:b/>
          <w:sz w:val="28"/>
          <w:szCs w:val="28"/>
        </w:rPr>
        <w:fldChar w:fldCharType="separate"/>
      </w:r>
      <w:r>
        <w:rPr>
          <w:b/>
          <w:sz w:val="28"/>
          <w:szCs w:val="28"/>
        </w:rPr>
        <w:t>66</w:t>
      </w:r>
      <w:r>
        <w:rPr>
          <w:b/>
          <w:sz w:val="28"/>
          <w:szCs w:val="28"/>
        </w:rPr>
        <w:fldChar w:fldCharType="end"/>
      </w:r>
      <w:r>
        <w:rPr>
          <w:b/>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_Toc7049 </w:instrText>
      </w:r>
      <w:r>
        <w:rPr>
          <w:sz w:val="28"/>
          <w:szCs w:val="28"/>
        </w:rPr>
        <w:fldChar w:fldCharType="separate"/>
      </w:r>
      <w:r>
        <w:rPr>
          <w:rFonts w:ascii="Times New Roman" w:hAnsi="Times New Roman" w:eastAsia="黑体"/>
          <w:sz w:val="28"/>
          <w:szCs w:val="28"/>
        </w:rPr>
        <w:t xml:space="preserve">6.1 </w:t>
      </w:r>
      <w:r>
        <w:rPr>
          <w:rFonts w:hint="eastAsia" w:ascii="Times New Roman" w:hAnsi="Times New Roman" w:eastAsia="黑体"/>
          <w:sz w:val="28"/>
          <w:szCs w:val="28"/>
        </w:rPr>
        <w:t>重点任务</w:t>
      </w:r>
      <w:r>
        <w:rPr>
          <w:sz w:val="28"/>
          <w:szCs w:val="28"/>
        </w:rPr>
        <w:tab/>
      </w:r>
      <w:r>
        <w:rPr>
          <w:sz w:val="28"/>
          <w:szCs w:val="28"/>
        </w:rPr>
        <w:fldChar w:fldCharType="begin"/>
      </w:r>
      <w:r>
        <w:rPr>
          <w:sz w:val="28"/>
          <w:szCs w:val="28"/>
        </w:rPr>
        <w:instrText xml:space="preserve"> PAGEREF _Toc7049 \h </w:instrText>
      </w:r>
      <w:r>
        <w:rPr>
          <w:sz w:val="28"/>
          <w:szCs w:val="28"/>
        </w:rPr>
        <w:fldChar w:fldCharType="separate"/>
      </w:r>
      <w:r>
        <w:rPr>
          <w:sz w:val="28"/>
          <w:szCs w:val="28"/>
        </w:rPr>
        <w:t>66</w:t>
      </w:r>
      <w:r>
        <w:rPr>
          <w:sz w:val="28"/>
          <w:szCs w:val="28"/>
        </w:rPr>
        <w:fldChar w:fldCharType="end"/>
      </w:r>
      <w:r>
        <w:rPr>
          <w:sz w:val="28"/>
          <w:szCs w:val="28"/>
        </w:rPr>
        <w:fldChar w:fldCharType="end"/>
      </w:r>
    </w:p>
    <w:p>
      <w:pPr>
        <w:pStyle w:val="15"/>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sz w:val="28"/>
          <w:szCs w:val="28"/>
        </w:rPr>
      </w:pPr>
      <w:r>
        <w:rPr>
          <w:sz w:val="28"/>
          <w:szCs w:val="28"/>
        </w:rPr>
        <w:fldChar w:fldCharType="begin"/>
      </w:r>
      <w:r>
        <w:rPr>
          <w:sz w:val="28"/>
          <w:szCs w:val="28"/>
        </w:rPr>
        <w:instrText xml:space="preserve"> HYPERLINK \l _Toc52 </w:instrText>
      </w:r>
      <w:r>
        <w:rPr>
          <w:sz w:val="28"/>
          <w:szCs w:val="28"/>
        </w:rPr>
        <w:fldChar w:fldCharType="separate"/>
      </w:r>
      <w:r>
        <w:rPr>
          <w:rFonts w:ascii="Times New Roman" w:hAnsi="Times New Roman" w:eastAsia="黑体"/>
          <w:sz w:val="28"/>
          <w:szCs w:val="28"/>
        </w:rPr>
        <w:t xml:space="preserve">6.2 </w:t>
      </w:r>
      <w:r>
        <w:rPr>
          <w:rFonts w:hint="eastAsia" w:ascii="Times New Roman" w:hAnsi="Times New Roman" w:eastAsia="黑体"/>
          <w:sz w:val="28"/>
          <w:szCs w:val="28"/>
        </w:rPr>
        <w:t>资金测算</w:t>
      </w:r>
      <w:r>
        <w:rPr>
          <w:sz w:val="28"/>
          <w:szCs w:val="28"/>
        </w:rPr>
        <w:tab/>
      </w:r>
      <w:r>
        <w:rPr>
          <w:sz w:val="28"/>
          <w:szCs w:val="28"/>
        </w:rPr>
        <w:fldChar w:fldCharType="begin"/>
      </w:r>
      <w:r>
        <w:rPr>
          <w:sz w:val="28"/>
          <w:szCs w:val="28"/>
        </w:rPr>
        <w:instrText xml:space="preserve"> PAGEREF _Toc52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_Toc8607 </w:instrText>
      </w:r>
      <w:r>
        <w:rPr>
          <w:b/>
          <w:sz w:val="28"/>
          <w:szCs w:val="28"/>
        </w:rPr>
        <w:fldChar w:fldCharType="separate"/>
      </w:r>
      <w:r>
        <w:rPr>
          <w:rFonts w:hint="eastAsia"/>
          <w:b/>
          <w:sz w:val="28"/>
          <w:szCs w:val="28"/>
        </w:rPr>
        <w:t>第</w:t>
      </w:r>
      <w:r>
        <w:rPr>
          <w:b/>
          <w:sz w:val="28"/>
          <w:szCs w:val="28"/>
        </w:rPr>
        <w:t>7</w:t>
      </w:r>
      <w:r>
        <w:rPr>
          <w:rFonts w:hint="eastAsia"/>
          <w:b/>
          <w:sz w:val="28"/>
          <w:szCs w:val="28"/>
        </w:rPr>
        <w:t>章</w:t>
      </w:r>
      <w:r>
        <w:rPr>
          <w:b/>
          <w:sz w:val="28"/>
          <w:szCs w:val="28"/>
        </w:rPr>
        <w:t xml:space="preserve"> </w:t>
      </w:r>
      <w:r>
        <w:rPr>
          <w:rFonts w:hint="eastAsia"/>
          <w:b/>
          <w:sz w:val="28"/>
          <w:szCs w:val="28"/>
        </w:rPr>
        <w:t>保障措施</w:t>
      </w:r>
      <w:r>
        <w:rPr>
          <w:b/>
          <w:sz w:val="28"/>
          <w:szCs w:val="28"/>
        </w:rPr>
        <w:tab/>
      </w:r>
      <w:r>
        <w:rPr>
          <w:b/>
          <w:sz w:val="28"/>
          <w:szCs w:val="28"/>
        </w:rPr>
        <w:fldChar w:fldCharType="begin"/>
      </w:r>
      <w:r>
        <w:rPr>
          <w:b/>
          <w:sz w:val="28"/>
          <w:szCs w:val="28"/>
        </w:rPr>
        <w:instrText xml:space="preserve"> PAGEREF _Toc8607 \h </w:instrText>
      </w:r>
      <w:r>
        <w:rPr>
          <w:b/>
          <w:sz w:val="28"/>
          <w:szCs w:val="28"/>
        </w:rPr>
        <w:fldChar w:fldCharType="separate"/>
      </w:r>
      <w:r>
        <w:rPr>
          <w:b/>
          <w:sz w:val="28"/>
          <w:szCs w:val="28"/>
        </w:rPr>
        <w:t>88</w:t>
      </w:r>
      <w:r>
        <w:rPr>
          <w:b/>
          <w:sz w:val="28"/>
          <w:szCs w:val="28"/>
        </w:rPr>
        <w:fldChar w:fldCharType="end"/>
      </w:r>
      <w:r>
        <w:rPr>
          <w:b/>
          <w:sz w:val="28"/>
          <w:szCs w:val="28"/>
        </w:rPr>
        <w:fldChar w:fldCharType="end"/>
      </w:r>
    </w:p>
    <w:p>
      <w:pPr>
        <w:pStyle w:val="16"/>
        <w:keepNext w:val="0"/>
        <w:keepLines w:val="0"/>
        <w:pageBreakBefore w:val="0"/>
        <w:widowControl/>
        <w:tabs>
          <w:tab w:val="right" w:leader="dot" w:pos="8844"/>
        </w:tabs>
        <w:kinsoku/>
        <w:wordWrap/>
        <w:overflowPunct/>
        <w:topLinePunct w:val="0"/>
        <w:autoSpaceDE/>
        <w:autoSpaceDN/>
        <w:bidi w:val="0"/>
        <w:adjustRightInd/>
        <w:snapToGrid/>
        <w:spacing w:line="490" w:lineRule="exact"/>
        <w:textAlignment w:val="auto"/>
        <w:rPr>
          <w:b/>
          <w:sz w:val="28"/>
          <w:szCs w:val="28"/>
        </w:rPr>
      </w:pPr>
      <w:r>
        <w:rPr>
          <w:b/>
          <w:sz w:val="28"/>
          <w:szCs w:val="28"/>
        </w:rPr>
        <w:fldChar w:fldCharType="begin"/>
      </w:r>
      <w:r>
        <w:rPr>
          <w:b/>
          <w:sz w:val="28"/>
          <w:szCs w:val="28"/>
        </w:rPr>
        <w:instrText xml:space="preserve"> HYPERLINK \l _Toc19148 </w:instrText>
      </w:r>
      <w:r>
        <w:rPr>
          <w:b/>
          <w:sz w:val="28"/>
          <w:szCs w:val="28"/>
        </w:rPr>
        <w:fldChar w:fldCharType="separate"/>
      </w:r>
      <w:r>
        <w:rPr>
          <w:rFonts w:hint="eastAsia"/>
          <w:b/>
          <w:sz w:val="28"/>
          <w:szCs w:val="28"/>
        </w:rPr>
        <w:t>附表</w:t>
      </w:r>
      <w:r>
        <w:rPr>
          <w:b/>
          <w:sz w:val="28"/>
          <w:szCs w:val="28"/>
        </w:rPr>
        <w:tab/>
      </w:r>
      <w:r>
        <w:rPr>
          <w:b/>
          <w:sz w:val="28"/>
          <w:szCs w:val="28"/>
        </w:rPr>
        <w:fldChar w:fldCharType="begin"/>
      </w:r>
      <w:r>
        <w:rPr>
          <w:b/>
          <w:sz w:val="28"/>
          <w:szCs w:val="28"/>
        </w:rPr>
        <w:instrText xml:space="preserve"> PAGEREF _Toc19148 \h </w:instrText>
      </w:r>
      <w:r>
        <w:rPr>
          <w:b/>
          <w:sz w:val="28"/>
          <w:szCs w:val="28"/>
        </w:rPr>
        <w:fldChar w:fldCharType="separate"/>
      </w:r>
      <w:r>
        <w:rPr>
          <w:b/>
          <w:sz w:val="28"/>
          <w:szCs w:val="28"/>
        </w:rPr>
        <w:t>91</w:t>
      </w:r>
      <w:r>
        <w:rPr>
          <w:b/>
          <w:sz w:val="28"/>
          <w:szCs w:val="28"/>
        </w:rPr>
        <w:fldChar w:fldCharType="end"/>
      </w:r>
      <w:r>
        <w:rPr>
          <w:b/>
          <w:sz w:val="28"/>
          <w:szCs w:val="28"/>
        </w:rPr>
        <w:fldChar w:fldCharType="end"/>
      </w:r>
    </w:p>
    <w:p>
      <w:pPr>
        <w:keepNext w:val="0"/>
        <w:keepLines w:val="0"/>
        <w:pageBreakBefore w:val="0"/>
        <w:widowControl/>
        <w:kinsoku/>
        <w:wordWrap/>
        <w:overflowPunct/>
        <w:topLinePunct w:val="0"/>
        <w:autoSpaceDE/>
        <w:autoSpaceDN/>
        <w:bidi w:val="0"/>
        <w:adjustRightInd/>
        <w:snapToGrid/>
        <w:spacing w:line="490" w:lineRule="exact"/>
        <w:textAlignment w:val="auto"/>
      </w:pPr>
      <w:r>
        <w:rPr>
          <w:sz w:val="28"/>
          <w:szCs w:val="28"/>
        </w:rPr>
        <w:fldChar w:fldCharType="end"/>
      </w:r>
    </w:p>
    <w:p>
      <w:pPr>
        <w:keepNext w:val="0"/>
        <w:keepLines w:val="0"/>
        <w:pageBreakBefore w:val="0"/>
        <w:widowControl w:val="0"/>
        <w:kinsoku/>
        <w:wordWrap/>
        <w:overflowPunct/>
        <w:topLinePunct w:val="0"/>
        <w:autoSpaceDE/>
        <w:autoSpaceDN/>
        <w:bidi w:val="0"/>
        <w:adjustRightInd w:val="0"/>
        <w:snapToGrid/>
        <w:spacing w:line="576" w:lineRule="exact"/>
        <w:ind w:left="0" w:leftChars="0" w:firstLine="0" w:firstLineChars="0"/>
        <w:jc w:val="center"/>
        <w:textAlignment w:val="auto"/>
        <w:outlineLvl w:val="1"/>
        <w:rPr>
          <w:rFonts w:hint="eastAsia" w:ascii="方正小标宋简体" w:hAnsi="方正小标宋简体" w:eastAsia="方正小标宋简体" w:cs="方正小标宋简体"/>
          <w:bCs/>
          <w:kern w:val="44"/>
          <w:sz w:val="44"/>
          <w:szCs w:val="44"/>
          <w:lang w:val="zh-CN" w:eastAsia="zh-CN" w:bidi="ar-SA"/>
        </w:rPr>
      </w:pPr>
      <w:bookmarkStart w:id="1" w:name="_Toc7708"/>
      <w:r>
        <w:rPr>
          <w:rFonts w:hint="eastAsia" w:ascii="方正小标宋简体" w:hAnsi="方正小标宋简体" w:eastAsia="方正小标宋简体" w:cs="方正小标宋简体"/>
          <w:bCs/>
          <w:kern w:val="44"/>
          <w:sz w:val="44"/>
          <w:szCs w:val="44"/>
          <w:lang w:val="zh-CN" w:eastAsia="zh-CN" w:bidi="ar-SA"/>
        </w:rPr>
        <w:t>前     言</w:t>
      </w:r>
      <w:bookmarkEnd w:id="1"/>
    </w:p>
    <w:p>
      <w:pPr>
        <w:keepNext w:val="0"/>
        <w:keepLines w:val="0"/>
        <w:pageBreakBefore w:val="0"/>
        <w:widowControl w:val="0"/>
        <w:kinsoku/>
        <w:wordWrap/>
        <w:overflowPunct/>
        <w:topLinePunct w:val="0"/>
        <w:autoSpaceDE/>
        <w:autoSpaceDN/>
        <w:bidi w:val="0"/>
        <w:adjustRightInd w:val="0"/>
        <w:snapToGrid/>
        <w:spacing w:line="576" w:lineRule="exact"/>
        <w:ind w:firstLine="640" w:firstLineChars="200"/>
        <w:jc w:val="both"/>
        <w:textAlignment w:val="auto"/>
        <w:rPr>
          <w:rFonts w:hint="eastAsia" w:ascii="Times New Roman" w:hAnsi="Times New Roman" w:eastAsia="仿宋_GB2312" w:cs="仿宋_GB2312"/>
          <w:b w:val="0"/>
          <w:bCs w:val="0"/>
          <w:spacing w:val="0"/>
          <w:w w:val="100"/>
          <w:kern w:val="0"/>
          <w:sz w:val="32"/>
          <w:szCs w:val="32"/>
          <w:lang w:val="zh-CN"/>
        </w:rPr>
      </w:pPr>
    </w:p>
    <w:p>
      <w:pPr>
        <w:keepNext w:val="0"/>
        <w:keepLines w:val="0"/>
        <w:pageBreakBefore w:val="0"/>
        <w:widowControl w:val="0"/>
        <w:kinsoku/>
        <w:wordWrap/>
        <w:overflowPunct/>
        <w:topLinePunct w:val="0"/>
        <w:autoSpaceDE/>
        <w:autoSpaceDN/>
        <w:bidi w:val="0"/>
        <w:adjustRightInd w:val="0"/>
        <w:snapToGrid/>
        <w:spacing w:line="576" w:lineRule="exact"/>
        <w:ind w:firstLine="640" w:firstLineChars="200"/>
        <w:jc w:val="both"/>
        <w:textAlignment w:val="auto"/>
        <w:rPr>
          <w:rFonts w:hint="eastAsia" w:ascii="Times New Roman" w:hAnsi="Times New Roman" w:eastAsia="仿宋_GB2312" w:cs="仿宋_GB2312"/>
          <w:b w:val="0"/>
          <w:bCs w:val="0"/>
          <w:spacing w:val="0"/>
          <w:w w:val="100"/>
          <w:kern w:val="0"/>
          <w:sz w:val="32"/>
          <w:szCs w:val="32"/>
          <w:lang w:val="zh-CN"/>
        </w:rPr>
      </w:pPr>
      <w:r>
        <w:rPr>
          <w:rFonts w:hint="eastAsia" w:ascii="Times New Roman" w:hAnsi="Times New Roman" w:eastAsia="仿宋_GB2312" w:cs="仿宋_GB2312"/>
          <w:b w:val="0"/>
          <w:bCs w:val="0"/>
          <w:spacing w:val="0"/>
          <w:w w:val="100"/>
          <w:kern w:val="0"/>
          <w:sz w:val="32"/>
          <w:szCs w:val="32"/>
          <w:lang w:val="zh-CN"/>
        </w:rPr>
        <w:t>昭化区是隶属于广元市的重要市辖区，位于四川盆地北部、广元市中部，地处嘉陵江上游。“十三五”时期，区委、区政府高举习近平新时代中国特色社会主义思想伟大旗帜，深入贯彻党的十九大和习近平总书记对四川工作系列重要指示精神，全面落实党中央、省委和市委决策部署，全面实施“一干多支”发展战略和“三个一、三个三”兴广战略，全力推进交通运输事业高质量发展，交通基础设施规模保持高位运行，通达深度不断增加，运输服务水平和安全保障能力全面提升，综合运输体系建设成效显著，为全区经济社会发展奠定了坚实的交通基础，在服务社会主义新农村建设和人民群众安全、便捷出行方面发挥了重要作用，为服务昭化特色产业、推动经济社会又好又快发展贡献了强劲交通力量。</w:t>
      </w:r>
    </w:p>
    <w:p>
      <w:pPr>
        <w:keepNext w:val="0"/>
        <w:keepLines w:val="0"/>
        <w:pageBreakBefore w:val="0"/>
        <w:widowControl w:val="0"/>
        <w:kinsoku/>
        <w:wordWrap/>
        <w:overflowPunct/>
        <w:topLinePunct w:val="0"/>
        <w:autoSpaceDE/>
        <w:autoSpaceDN/>
        <w:bidi w:val="0"/>
        <w:adjustRightInd w:val="0"/>
        <w:snapToGrid/>
        <w:spacing w:line="576" w:lineRule="exact"/>
        <w:ind w:firstLine="640" w:firstLineChars="200"/>
        <w:jc w:val="both"/>
        <w:textAlignment w:val="auto"/>
        <w:rPr>
          <w:rFonts w:hint="eastAsia" w:ascii="Times New Roman" w:hAnsi="Times New Roman" w:eastAsia="仿宋_GB2312" w:cs="仿宋_GB2312"/>
          <w:b w:val="0"/>
          <w:bCs w:val="0"/>
          <w:spacing w:val="0"/>
          <w:w w:val="100"/>
          <w:kern w:val="0"/>
          <w:sz w:val="32"/>
          <w:szCs w:val="32"/>
          <w:lang w:val="zh-CN"/>
        </w:rPr>
      </w:pPr>
      <w:r>
        <w:rPr>
          <w:rFonts w:hint="eastAsia" w:ascii="Times New Roman" w:hAnsi="Times New Roman" w:eastAsia="仿宋_GB2312" w:cs="仿宋_GB2312"/>
          <w:b w:val="0"/>
          <w:bCs w:val="0"/>
          <w:spacing w:val="0"/>
          <w:w w:val="100"/>
          <w:kern w:val="0"/>
          <w:sz w:val="32"/>
          <w:szCs w:val="32"/>
          <w:lang w:val="zh-CN"/>
        </w:rPr>
        <w:t>“十四五”时期，是我国“两个一百年”奋斗目标的历史交汇期，是四川转型发展、创新发展、跨越发展的关键时期，也是昭化区加快推动广元东部新城建设、提升公共服务水平、实现绿色发展绿色崛起、构建对外开放新格局的重要时期，人民群众消费需求呈现多层次、多样化、个性化特征，交通运输发展外部环境发生一系列重大变化，多重战略在昭化区交汇叠加，为区域交通发展带来新机遇。站在历史新起点，对标加快建设“千里嘉陵首善港城、千年蜀道宜居名城、绿色家居产业优城、诗意昭化幸福新城”总体战略目标，深入贯彻落实《交通强国建设纲要》，围绕支撑广元加快建设川陕甘结合部现代化中心城市，系统谋划“十四五”时期综合交通运输发展的思路、目标、任务和举措，进一步整合优化交通资源配置、促进综合交通协调发展，有力推动新时代昭化经济社会高质量发展。</w:t>
      </w:r>
    </w:p>
    <w:p>
      <w:pPr>
        <w:keepNext w:val="0"/>
        <w:keepLines w:val="0"/>
        <w:pageBreakBefore w:val="0"/>
        <w:widowControl w:val="0"/>
        <w:kinsoku/>
        <w:wordWrap/>
        <w:overflowPunct/>
        <w:topLinePunct w:val="0"/>
        <w:autoSpaceDE/>
        <w:autoSpaceDN/>
        <w:bidi w:val="0"/>
        <w:adjustRightInd w:val="0"/>
        <w:snapToGrid/>
        <w:spacing w:line="576" w:lineRule="exact"/>
        <w:ind w:firstLine="640" w:firstLineChars="200"/>
        <w:jc w:val="both"/>
        <w:textAlignment w:val="auto"/>
        <w:rPr>
          <w:rFonts w:hint="eastAsia" w:ascii="Times New Roman" w:hAnsi="Times New Roman" w:eastAsia="仿宋_GB2312" w:cs="仿宋_GB2312"/>
          <w:b w:val="0"/>
          <w:bCs w:val="0"/>
          <w:spacing w:val="0"/>
          <w:w w:val="100"/>
          <w:kern w:val="0"/>
          <w:sz w:val="32"/>
          <w:szCs w:val="32"/>
          <w:lang w:val="zh-CN"/>
        </w:rPr>
      </w:pPr>
      <w:r>
        <w:rPr>
          <w:rFonts w:hint="eastAsia" w:ascii="Times New Roman" w:hAnsi="Times New Roman" w:eastAsia="仿宋_GB2312" w:cs="仿宋_GB2312"/>
          <w:b w:val="0"/>
          <w:bCs w:val="0"/>
          <w:spacing w:val="0"/>
          <w:w w:val="100"/>
          <w:kern w:val="0"/>
          <w:sz w:val="32"/>
          <w:szCs w:val="32"/>
          <w:lang w:val="zh-CN"/>
        </w:rPr>
        <w:t>交通运输是国民经济和社会发展的基础性、先导性、服务性行业，是经济社会发展的“先行官”。《广元市昭化区综合交通运输“十四五”发展规划》是国民经济和社会发展五年总体规划在交通运输领域的具体细化和落实，是统筹全区“十四五”时期综合交通运输发展的纲领和行动指南，是实现交通强国、交通强省建设在昭化区开好局、起好步的重要保障。同时，本规划可作为昭化区编制交通专项规划、确定重大项目、实施建设计划的基本遵循，对于支撑全区经济社会跨越发展、推动治蜀兴川兴广战略昭化实践再上新台阶、全面建设社会主义现代化昭化具有重要意义和作用。</w:t>
      </w:r>
    </w:p>
    <w:p>
      <w:pPr>
        <w:pStyle w:val="2"/>
        <w:outlineLvl w:val="9"/>
      </w:pPr>
    </w:p>
    <w:p>
      <w:pPr>
        <w:keepNext w:val="0"/>
        <w:keepLines w:val="0"/>
        <w:pageBreakBefore w:val="0"/>
        <w:widowControl w:val="0"/>
        <w:kinsoku/>
        <w:wordWrap/>
        <w:overflowPunct/>
        <w:topLinePunct w:val="0"/>
        <w:autoSpaceDE/>
        <w:autoSpaceDN/>
        <w:bidi w:val="0"/>
        <w:adjustRightInd w:val="0"/>
        <w:snapToGrid/>
        <w:spacing w:line="576" w:lineRule="exact"/>
        <w:ind w:left="0" w:leftChars="0" w:firstLine="0" w:firstLineChars="0"/>
        <w:jc w:val="both"/>
        <w:textAlignment w:val="auto"/>
      </w:pPr>
      <w:r>
        <w:br w:type="page"/>
      </w:r>
    </w:p>
    <w:p>
      <w:pPr>
        <w:pStyle w:val="3"/>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方正小标宋简体" w:hAnsi="方正小标宋简体" w:eastAsia="方正小标宋简体" w:cs="方正小标宋简体"/>
          <w:sz w:val="44"/>
        </w:rPr>
      </w:pPr>
      <w:bookmarkStart w:id="2" w:name="_Toc17949"/>
      <w:bookmarkStart w:id="3" w:name="_Toc1066"/>
      <w:bookmarkStart w:id="4" w:name="_Toc12729"/>
      <w:bookmarkStart w:id="5" w:name="_Toc28841"/>
      <w:bookmarkStart w:id="6" w:name="_Toc11227"/>
      <w:bookmarkStart w:id="7" w:name="_Toc28558"/>
      <w:bookmarkStart w:id="8" w:name="_Toc61624416"/>
      <w:r>
        <w:rPr>
          <w:rFonts w:hint="eastAsia" w:ascii="方正小标宋简体" w:hAnsi="方正小标宋简体" w:eastAsia="方正小标宋简体" w:cs="方正小标宋简体"/>
          <w:sz w:val="44"/>
        </w:rPr>
        <w:t>第1章 发展基础</w:t>
      </w:r>
      <w:bookmarkEnd w:id="2"/>
      <w:bookmarkEnd w:id="3"/>
      <w:bookmarkEnd w:id="4"/>
      <w:bookmarkEnd w:id="5"/>
      <w:bookmarkEnd w:id="6"/>
      <w:bookmarkEnd w:id="7"/>
      <w:bookmarkEnd w:id="8"/>
    </w:p>
    <w:p>
      <w:pPr>
        <w:pStyle w:val="2"/>
        <w:pageBreakBefore w:val="0"/>
        <w:widowControl w:val="0"/>
        <w:kinsoku/>
        <w:wordWrap/>
        <w:overflowPunct/>
        <w:topLinePunct w:val="0"/>
        <w:autoSpaceDE/>
        <w:autoSpaceDN/>
        <w:bidi w:val="0"/>
        <w:spacing w:line="530" w:lineRule="exact"/>
        <w:ind w:firstLine="0" w:firstLineChars="0"/>
        <w:jc w:val="both"/>
        <w:textAlignment w:val="auto"/>
        <w:rPr>
          <w:rFonts w:ascii="Times New Roman" w:hAnsi="Times New Roman" w:eastAsia="黑体"/>
          <w:sz w:val="36"/>
          <w:szCs w:val="36"/>
        </w:rPr>
      </w:pPr>
      <w:bookmarkStart w:id="9" w:name="_Toc20332"/>
      <w:bookmarkStart w:id="10" w:name="_Toc40192785"/>
      <w:bookmarkStart w:id="11" w:name="_Toc61624417"/>
      <w:bookmarkStart w:id="12" w:name="_Toc18594827"/>
    </w:p>
    <w:p>
      <w:pPr>
        <w:pStyle w:val="2"/>
        <w:pageBreakBefore w:val="0"/>
        <w:widowControl w:val="0"/>
        <w:kinsoku/>
        <w:wordWrap/>
        <w:overflowPunct/>
        <w:topLinePunct w:val="0"/>
        <w:autoSpaceDE/>
        <w:autoSpaceDN/>
        <w:bidi w:val="0"/>
        <w:spacing w:line="530" w:lineRule="exact"/>
        <w:ind w:firstLine="0" w:firstLineChars="0"/>
        <w:jc w:val="both"/>
        <w:textAlignment w:val="auto"/>
        <w:rPr>
          <w:rFonts w:ascii="Times New Roman" w:hAnsi="Times New Roman" w:eastAsia="黑体"/>
          <w:sz w:val="36"/>
          <w:szCs w:val="36"/>
        </w:rPr>
      </w:pPr>
      <w:r>
        <w:rPr>
          <w:rFonts w:ascii="Times New Roman" w:hAnsi="Times New Roman" w:eastAsia="黑体"/>
          <w:sz w:val="36"/>
          <w:szCs w:val="36"/>
        </w:rPr>
        <w:t xml:space="preserve">1.1 </w:t>
      </w:r>
      <w:r>
        <w:rPr>
          <w:rFonts w:hint="eastAsia" w:ascii="Times New Roman" w:hAnsi="Times New Roman" w:eastAsia="黑体"/>
          <w:sz w:val="36"/>
          <w:szCs w:val="36"/>
        </w:rPr>
        <w:t>经济社会概况</w:t>
      </w:r>
      <w:bookmarkEnd w:id="9"/>
      <w:bookmarkEnd w:id="10"/>
      <w:bookmarkEnd w:id="11"/>
      <w:bookmarkEnd w:id="12"/>
    </w:p>
    <w:p>
      <w:pPr>
        <w:pStyle w:val="4"/>
        <w:pageBreakBefore w:val="0"/>
        <w:widowControl w:val="0"/>
        <w:kinsoku/>
        <w:wordWrap/>
        <w:overflowPunct/>
        <w:topLinePunct w:val="0"/>
        <w:autoSpaceDE/>
        <w:autoSpaceDN/>
        <w:bidi w:val="0"/>
        <w:adjustRightInd w:val="0"/>
        <w:snapToGrid w:val="0"/>
        <w:spacing w:line="530" w:lineRule="exact"/>
        <w:ind w:left="6238" w:hanging="6238"/>
        <w:jc w:val="both"/>
        <w:textAlignment w:val="auto"/>
        <w:rPr>
          <w:bCs w:val="0"/>
        </w:rPr>
      </w:pPr>
      <w:r>
        <w:rPr>
          <w:bCs w:val="0"/>
        </w:rPr>
        <w:t xml:space="preserve">1.1.1 </w:t>
      </w:r>
      <w:r>
        <w:rPr>
          <w:rFonts w:hint="eastAsia"/>
          <w:bCs w:val="0"/>
        </w:rPr>
        <w:t>地理区位</w:t>
      </w:r>
    </w:p>
    <w:p>
      <w:pPr>
        <w:pageBreakBefore w:val="0"/>
        <w:widowControl w:val="0"/>
        <w:kinsoku/>
        <w:wordWrap/>
        <w:overflowPunct/>
        <w:topLinePunct w:val="0"/>
        <w:autoSpaceDE/>
        <w:autoSpaceDN/>
        <w:bidi w:val="0"/>
        <w:spacing w:line="530" w:lineRule="exact"/>
        <w:ind w:firstLine="640"/>
        <w:jc w:val="both"/>
        <w:textAlignment w:val="auto"/>
        <w:rPr>
          <w:szCs w:val="32"/>
        </w:rPr>
      </w:pPr>
      <w:r>
        <w:rPr>
          <w:rFonts w:hint="eastAsia"/>
          <w:szCs w:val="32"/>
        </w:rPr>
        <w:t>广元市昭化区位于四川盆地北部、广元市中部，东邻旺苍县，西及西南接剑阁县，东南与苍溪县相连，北与广元市利州区搭界，地理坐标为北纬</w:t>
      </w:r>
      <w:r>
        <w:rPr>
          <w:szCs w:val="32"/>
        </w:rPr>
        <w:t>31°53′41″</w:t>
      </w:r>
      <w:r>
        <w:rPr>
          <w:rFonts w:hint="eastAsia"/>
          <w:szCs w:val="32"/>
        </w:rPr>
        <w:t>～</w:t>
      </w:r>
      <w:r>
        <w:rPr>
          <w:szCs w:val="32"/>
        </w:rPr>
        <w:t>32°23′27″</w:t>
      </w:r>
      <w:r>
        <w:rPr>
          <w:rFonts w:hint="eastAsia"/>
          <w:szCs w:val="32"/>
        </w:rPr>
        <w:t>，东经</w:t>
      </w:r>
      <w:r>
        <w:rPr>
          <w:szCs w:val="32"/>
        </w:rPr>
        <w:t>105°33′59″</w:t>
      </w:r>
      <w:r>
        <w:rPr>
          <w:rFonts w:hint="eastAsia"/>
          <w:szCs w:val="32"/>
        </w:rPr>
        <w:t>～</w:t>
      </w:r>
      <w:r>
        <w:rPr>
          <w:szCs w:val="32"/>
        </w:rPr>
        <w:t>106°07′20″</w:t>
      </w:r>
      <w:r>
        <w:rPr>
          <w:rFonts w:hint="eastAsia"/>
          <w:szCs w:val="32"/>
        </w:rPr>
        <w:t>。全区总面积</w:t>
      </w:r>
      <w:r>
        <w:rPr>
          <w:szCs w:val="32"/>
        </w:rPr>
        <w:t>1434</w:t>
      </w:r>
      <w:r>
        <w:rPr>
          <w:rFonts w:hint="eastAsia"/>
          <w:szCs w:val="32"/>
        </w:rPr>
        <w:t>平方公里，辖</w:t>
      </w:r>
      <w:r>
        <w:rPr>
          <w:szCs w:val="32"/>
        </w:rPr>
        <w:t>12</w:t>
      </w:r>
      <w:r>
        <w:rPr>
          <w:rFonts w:hint="eastAsia"/>
          <w:szCs w:val="32"/>
        </w:rPr>
        <w:t>个镇，区政府驻元坝镇。</w:t>
      </w:r>
    </w:p>
    <w:p>
      <w:pPr>
        <w:pageBreakBefore w:val="0"/>
        <w:widowControl w:val="0"/>
        <w:kinsoku/>
        <w:wordWrap/>
        <w:overflowPunct/>
        <w:topLinePunct w:val="0"/>
        <w:autoSpaceDE/>
        <w:autoSpaceDN/>
        <w:bidi w:val="0"/>
        <w:spacing w:line="530" w:lineRule="exact"/>
        <w:ind w:firstLine="640"/>
        <w:jc w:val="both"/>
        <w:textAlignment w:val="auto"/>
        <w:rPr>
          <w:szCs w:val="32"/>
        </w:rPr>
      </w:pPr>
      <w:r>
        <w:rPr>
          <w:rFonts w:hint="eastAsia"/>
          <w:szCs w:val="32"/>
        </w:rPr>
        <w:t>昭化区地理区位如图</w:t>
      </w:r>
      <w:r>
        <w:rPr>
          <w:szCs w:val="32"/>
        </w:rPr>
        <w:t>1-1</w:t>
      </w:r>
      <w:r>
        <w:rPr>
          <w:rFonts w:hint="eastAsia"/>
          <w:szCs w:val="32"/>
        </w:rPr>
        <w:t>所示。</w:t>
      </w:r>
    </w:p>
    <w:p>
      <w:pPr>
        <w:spacing w:line="240" w:lineRule="auto"/>
        <w:ind w:firstLine="0" w:firstLineChars="0"/>
        <w:jc w:val="center"/>
        <w:rPr>
          <w:szCs w:val="32"/>
        </w:rPr>
      </w:pPr>
      <w:r>
        <w:rPr>
          <w:rFonts w:hint="eastAsia"/>
          <w:szCs w:val="32"/>
        </w:rPr>
        <w:drawing>
          <wp:inline distT="0" distB="0" distL="114300" distR="114300">
            <wp:extent cx="4359910" cy="3691890"/>
            <wp:effectExtent l="0" t="0" r="254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4359910" cy="3691890"/>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1-1 </w:t>
      </w:r>
      <w:r>
        <w:rPr>
          <w:rFonts w:hint="eastAsia" w:eastAsia="黑体"/>
          <w:sz w:val="28"/>
          <w:szCs w:val="28"/>
        </w:rPr>
        <w:t>广元市昭化区地理区位图</w:t>
      </w:r>
    </w:p>
    <w:p>
      <w:pPr>
        <w:pStyle w:val="4"/>
        <w:adjustRightInd w:val="0"/>
        <w:snapToGrid w:val="0"/>
        <w:spacing w:before="108" w:beforeLines="25" w:after="108" w:afterLines="25"/>
        <w:ind w:left="6238" w:hanging="6238"/>
        <w:rPr>
          <w:bCs w:val="0"/>
        </w:rPr>
      </w:pPr>
      <w:bookmarkStart w:id="13" w:name="_Toc40192786"/>
      <w:r>
        <w:rPr>
          <w:bCs w:val="0"/>
        </w:rPr>
        <w:t xml:space="preserve">1.1.2 </w:t>
      </w:r>
      <w:bookmarkEnd w:id="13"/>
      <w:r>
        <w:rPr>
          <w:rFonts w:hint="eastAsia"/>
          <w:bCs w:val="0"/>
        </w:rPr>
        <w:t>自然条件</w:t>
      </w:r>
    </w:p>
    <w:p>
      <w:pPr>
        <w:ind w:firstLine="640"/>
        <w:rPr>
          <w:rFonts w:eastAsia="黑体"/>
          <w:szCs w:val="32"/>
        </w:rPr>
      </w:pPr>
      <w:r>
        <w:rPr>
          <w:rFonts w:eastAsia="黑体"/>
          <w:szCs w:val="32"/>
        </w:rPr>
        <w:t>1.</w:t>
      </w:r>
      <w:r>
        <w:rPr>
          <w:rFonts w:hint="eastAsia" w:eastAsia="黑体"/>
          <w:szCs w:val="32"/>
        </w:rPr>
        <w:t>地形地貌</w:t>
      </w:r>
    </w:p>
    <w:p>
      <w:pPr>
        <w:ind w:firstLine="640"/>
        <w:rPr>
          <w:szCs w:val="32"/>
        </w:rPr>
      </w:pPr>
      <w:r>
        <w:rPr>
          <w:rFonts w:hint="eastAsia"/>
          <w:szCs w:val="32"/>
        </w:rPr>
        <w:t>昭化区属盆地丘陵向山区过渡地带，地形地貌以中低山为主，平均海拔</w:t>
      </w:r>
      <w:r>
        <w:rPr>
          <w:szCs w:val="32"/>
        </w:rPr>
        <w:t>900</w:t>
      </w:r>
      <w:r>
        <w:rPr>
          <w:rFonts w:hint="eastAsia"/>
          <w:szCs w:val="32"/>
        </w:rPr>
        <w:t>米。地质构造体系属米仓山、龙门山和盆北低山三大地貌交汇地带，大部份地区位于米仓山走廊以南，为典型的侵蚀台阶状中低山形。地势北高南低，延缓下降，江河溪沟纵横，山体切割强烈，地表起伏不平，地貌复杂多样，有河流冲击平坝、丘陵、台地、低山、中山等。海拔在</w:t>
      </w:r>
      <w:r>
        <w:rPr>
          <w:szCs w:val="32"/>
        </w:rPr>
        <w:t>400</w:t>
      </w:r>
      <w:r>
        <w:rPr>
          <w:rFonts w:hint="eastAsia"/>
          <w:szCs w:val="32"/>
        </w:rPr>
        <w:t>米至</w:t>
      </w:r>
      <w:r>
        <w:rPr>
          <w:szCs w:val="32"/>
        </w:rPr>
        <w:t>1254</w:t>
      </w:r>
      <w:r>
        <w:rPr>
          <w:rFonts w:hint="eastAsia"/>
          <w:szCs w:val="32"/>
        </w:rPr>
        <w:t>米之间。境内大部分地区属白垩系地质层，由砾岩、砂岩、泥岩互层组成，岩性变化较大；侏罗系、三迭系、第四系地质层也有分布。</w:t>
      </w:r>
    </w:p>
    <w:p>
      <w:pPr>
        <w:ind w:firstLine="640"/>
        <w:rPr>
          <w:szCs w:val="32"/>
        </w:rPr>
      </w:pPr>
      <w:r>
        <w:rPr>
          <w:rFonts w:hint="eastAsia"/>
          <w:szCs w:val="32"/>
        </w:rPr>
        <w:t>昭化区境内山脉众多，均属剑门山脉分支，主要山峰有：云台山（又名人头山）主山，位于大朝乡境内，最高峰海拔</w:t>
      </w:r>
      <w:r>
        <w:rPr>
          <w:szCs w:val="32"/>
        </w:rPr>
        <w:t>1254</w:t>
      </w:r>
      <w:r>
        <w:rPr>
          <w:rFonts w:hint="eastAsia"/>
          <w:szCs w:val="32"/>
        </w:rPr>
        <w:t>米，是区境内最高峰；大南山主山，属大南山分支，长约</w:t>
      </w:r>
      <w:r>
        <w:rPr>
          <w:szCs w:val="32"/>
        </w:rPr>
        <w:t>60</w:t>
      </w:r>
      <w:r>
        <w:rPr>
          <w:rFonts w:hint="eastAsia"/>
          <w:szCs w:val="32"/>
        </w:rPr>
        <w:t>公里，以海拔</w:t>
      </w:r>
      <w:r>
        <w:rPr>
          <w:szCs w:val="32"/>
        </w:rPr>
        <w:t>1167</w:t>
      </w:r>
      <w:r>
        <w:rPr>
          <w:rFonts w:hint="eastAsia"/>
          <w:szCs w:val="32"/>
        </w:rPr>
        <w:t>米的梅岭关为中心分为</w:t>
      </w:r>
      <w:r>
        <w:rPr>
          <w:szCs w:val="32"/>
        </w:rPr>
        <w:t>3</w:t>
      </w:r>
      <w:r>
        <w:rPr>
          <w:rFonts w:hint="eastAsia"/>
          <w:szCs w:val="32"/>
        </w:rPr>
        <w:t>支，东支延至磨滩镇赖子坝，南支延至香溪乡黑猫梁，西支延至射箭乡蒲家山。</w:t>
      </w:r>
    </w:p>
    <w:p>
      <w:pPr>
        <w:ind w:firstLine="640"/>
        <w:rPr>
          <w:szCs w:val="32"/>
        </w:rPr>
      </w:pPr>
      <w:r>
        <w:rPr>
          <w:rFonts w:hint="eastAsia"/>
          <w:szCs w:val="32"/>
        </w:rPr>
        <w:t>昭化区河流主要有过境河嘉陵江、白龙江、硬头河等。</w:t>
      </w:r>
    </w:p>
    <w:p>
      <w:pPr>
        <w:ind w:firstLine="640"/>
        <w:rPr>
          <w:szCs w:val="32"/>
        </w:rPr>
      </w:pPr>
      <w:r>
        <w:rPr>
          <w:rFonts w:hint="eastAsia"/>
          <w:szCs w:val="32"/>
        </w:rPr>
        <w:t>昭化区地形地貌情况如图</w:t>
      </w:r>
      <w:r>
        <w:rPr>
          <w:szCs w:val="32"/>
        </w:rPr>
        <w:t>1-2</w:t>
      </w:r>
      <w:r>
        <w:rPr>
          <w:rFonts w:hint="eastAsia"/>
          <w:szCs w:val="32"/>
        </w:rPr>
        <w:t>所示。</w:t>
      </w:r>
    </w:p>
    <w:p>
      <w:pPr>
        <w:ind w:firstLine="640"/>
        <w:rPr>
          <w:szCs w:val="32"/>
        </w:rPr>
      </w:pPr>
    </w:p>
    <w:p>
      <w:pPr>
        <w:ind w:firstLine="640"/>
        <w:rPr>
          <w:szCs w:val="32"/>
        </w:rPr>
      </w:pPr>
    </w:p>
    <w:p>
      <w:pPr>
        <w:ind w:firstLine="640"/>
        <w:rPr>
          <w:szCs w:val="32"/>
        </w:rPr>
      </w:pPr>
    </w:p>
    <w:p>
      <w:pPr>
        <w:spacing w:line="240" w:lineRule="auto"/>
        <w:ind w:firstLine="0" w:firstLineChars="0"/>
        <w:rPr>
          <w:szCs w:val="32"/>
        </w:rPr>
      </w:pPr>
      <w:r>
        <w:rPr>
          <w:rFonts w:hint="eastAsia"/>
          <w:szCs w:val="32"/>
        </w:rPr>
        <w:drawing>
          <wp:inline distT="0" distB="0" distL="114300" distR="114300">
            <wp:extent cx="2703195" cy="2294255"/>
            <wp:effectExtent l="0" t="0" r="190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lum bright="17999"/>
                    </a:blip>
                    <a:stretch>
                      <a:fillRect/>
                    </a:stretch>
                  </pic:blipFill>
                  <pic:spPr>
                    <a:xfrm>
                      <a:off x="0" y="0"/>
                      <a:ext cx="2703195" cy="2294255"/>
                    </a:xfrm>
                    <a:prstGeom prst="rect">
                      <a:avLst/>
                    </a:prstGeom>
                    <a:noFill/>
                    <a:ln>
                      <a:noFill/>
                    </a:ln>
                  </pic:spPr>
                </pic:pic>
              </a:graphicData>
            </a:graphic>
          </wp:inline>
        </w:drawing>
      </w:r>
      <w:r>
        <w:rPr>
          <w:rFonts w:hint="eastAsia"/>
          <w:szCs w:val="32"/>
        </w:rPr>
        <w:drawing>
          <wp:inline distT="0" distB="0" distL="114300" distR="114300">
            <wp:extent cx="2661920" cy="2288540"/>
            <wp:effectExtent l="0" t="0" r="5080"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lum bright="12000"/>
                    </a:blip>
                    <a:stretch>
                      <a:fillRect/>
                    </a:stretch>
                  </pic:blipFill>
                  <pic:spPr>
                    <a:xfrm>
                      <a:off x="0" y="0"/>
                      <a:ext cx="2661920" cy="2288540"/>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1-2 </w:t>
      </w:r>
      <w:r>
        <w:rPr>
          <w:rFonts w:hint="eastAsia" w:eastAsia="黑体"/>
          <w:sz w:val="28"/>
          <w:szCs w:val="28"/>
        </w:rPr>
        <w:t>昭化区地形地貌图</w:t>
      </w:r>
    </w:p>
    <w:p>
      <w:pPr>
        <w:ind w:firstLine="640"/>
        <w:rPr>
          <w:rFonts w:eastAsia="黑体"/>
          <w:szCs w:val="32"/>
        </w:rPr>
      </w:pPr>
      <w:r>
        <w:rPr>
          <w:rFonts w:eastAsia="黑体"/>
          <w:szCs w:val="32"/>
        </w:rPr>
        <w:t>2.</w:t>
      </w:r>
      <w:r>
        <w:rPr>
          <w:rFonts w:hint="eastAsia" w:eastAsia="黑体"/>
          <w:szCs w:val="32"/>
        </w:rPr>
        <w:t>气候条件</w:t>
      </w:r>
    </w:p>
    <w:p>
      <w:pPr>
        <w:ind w:firstLine="640"/>
        <w:rPr>
          <w:szCs w:val="32"/>
        </w:rPr>
      </w:pPr>
      <w:r>
        <w:rPr>
          <w:rFonts w:hint="eastAsia"/>
          <w:szCs w:val="32"/>
        </w:rPr>
        <w:t>昭化区境内属亚热带季风性湿润气候区，气候差异较大，形成了春迟、夏长、秋凉、冬冷四季分明的气候特点。建区以来有气象记载的境内年平均气温</w:t>
      </w:r>
      <w:r>
        <w:rPr>
          <w:szCs w:val="32"/>
        </w:rPr>
        <w:t>16.4</w:t>
      </w:r>
      <w:r>
        <w:rPr>
          <w:rFonts w:hint="eastAsia" w:ascii="宋体" w:hAnsi="宋体" w:eastAsia="宋体" w:cs="宋体"/>
          <w:szCs w:val="32"/>
        </w:rPr>
        <w:t>℃</w:t>
      </w:r>
      <w:r>
        <w:rPr>
          <w:rFonts w:hint="eastAsia"/>
          <w:szCs w:val="32"/>
        </w:rPr>
        <w:t>，最高气温</w:t>
      </w:r>
      <w:r>
        <w:rPr>
          <w:szCs w:val="32"/>
        </w:rPr>
        <w:t>40.5</w:t>
      </w:r>
      <w:r>
        <w:rPr>
          <w:rFonts w:hint="eastAsia" w:ascii="宋体" w:hAnsi="宋体" w:eastAsia="宋体" w:cs="宋体"/>
          <w:szCs w:val="32"/>
        </w:rPr>
        <w:t>℃</w:t>
      </w:r>
      <w:r>
        <w:rPr>
          <w:rFonts w:hint="eastAsia"/>
          <w:szCs w:val="32"/>
        </w:rPr>
        <w:t>（</w:t>
      </w:r>
      <w:r>
        <w:rPr>
          <w:szCs w:val="32"/>
        </w:rPr>
        <w:t>2000</w:t>
      </w:r>
      <w:r>
        <w:rPr>
          <w:rFonts w:hint="eastAsia"/>
          <w:szCs w:val="32"/>
        </w:rPr>
        <w:t>年</w:t>
      </w:r>
      <w:r>
        <w:rPr>
          <w:szCs w:val="32"/>
        </w:rPr>
        <w:t>8</w:t>
      </w:r>
      <w:r>
        <w:rPr>
          <w:rFonts w:hint="eastAsia"/>
          <w:szCs w:val="32"/>
        </w:rPr>
        <w:t>月</w:t>
      </w:r>
      <w:r>
        <w:rPr>
          <w:szCs w:val="32"/>
        </w:rPr>
        <w:t>15</w:t>
      </w:r>
      <w:r>
        <w:rPr>
          <w:rFonts w:hint="eastAsia"/>
          <w:szCs w:val="32"/>
        </w:rPr>
        <w:t>日），最低气温</w:t>
      </w:r>
      <w:r>
        <w:rPr>
          <w:szCs w:val="32"/>
        </w:rPr>
        <w:t>-6</w:t>
      </w:r>
      <w:r>
        <w:rPr>
          <w:rFonts w:hint="eastAsia" w:ascii="宋体" w:hAnsi="宋体" w:eastAsia="宋体" w:cs="宋体"/>
          <w:szCs w:val="32"/>
        </w:rPr>
        <w:t>℃</w:t>
      </w:r>
      <w:r>
        <w:rPr>
          <w:rFonts w:hint="eastAsia"/>
          <w:szCs w:val="32"/>
        </w:rPr>
        <w:t>（</w:t>
      </w:r>
      <w:r>
        <w:rPr>
          <w:szCs w:val="32"/>
        </w:rPr>
        <w:t>2008</w:t>
      </w:r>
      <w:r>
        <w:rPr>
          <w:rFonts w:hint="eastAsia"/>
          <w:szCs w:val="32"/>
        </w:rPr>
        <w:t>年</w:t>
      </w:r>
      <w:r>
        <w:rPr>
          <w:szCs w:val="32"/>
        </w:rPr>
        <w:t>1</w:t>
      </w:r>
      <w:r>
        <w:rPr>
          <w:rFonts w:hint="eastAsia"/>
          <w:szCs w:val="32"/>
        </w:rPr>
        <w:t>月</w:t>
      </w:r>
      <w:r>
        <w:rPr>
          <w:szCs w:val="32"/>
        </w:rPr>
        <w:t>30</w:t>
      </w:r>
      <w:r>
        <w:rPr>
          <w:rFonts w:hint="eastAsia"/>
          <w:szCs w:val="32"/>
        </w:rPr>
        <w:t>日）。常年日照时数</w:t>
      </w:r>
      <w:r>
        <w:rPr>
          <w:szCs w:val="32"/>
        </w:rPr>
        <w:t>1389.1</w:t>
      </w:r>
      <w:r>
        <w:rPr>
          <w:rFonts w:hint="eastAsia"/>
          <w:szCs w:val="32"/>
        </w:rPr>
        <w:t>小时，日照百分率</w:t>
      </w:r>
      <w:r>
        <w:rPr>
          <w:szCs w:val="32"/>
        </w:rPr>
        <w:t>31%</w:t>
      </w:r>
      <w:r>
        <w:rPr>
          <w:rFonts w:hint="eastAsia"/>
          <w:szCs w:val="32"/>
        </w:rPr>
        <w:t>，太阳辐射总量平均</w:t>
      </w:r>
      <w:r>
        <w:rPr>
          <w:szCs w:val="32"/>
        </w:rPr>
        <w:t>91.67</w:t>
      </w:r>
      <w:r>
        <w:rPr>
          <w:rFonts w:hint="eastAsia"/>
          <w:szCs w:val="32"/>
        </w:rPr>
        <w:t>千卡</w:t>
      </w:r>
      <w:r>
        <w:rPr>
          <w:szCs w:val="32"/>
        </w:rPr>
        <w:t>/</w:t>
      </w:r>
      <w:r>
        <w:rPr>
          <w:rFonts w:hint="eastAsia"/>
          <w:szCs w:val="32"/>
        </w:rPr>
        <w:t>平方米。年均无霜期</w:t>
      </w:r>
      <w:r>
        <w:rPr>
          <w:szCs w:val="32"/>
        </w:rPr>
        <w:t>286</w:t>
      </w:r>
      <w:r>
        <w:rPr>
          <w:rFonts w:hint="eastAsia"/>
          <w:szCs w:val="32"/>
        </w:rPr>
        <w:t>天。降水空间分布不均，南多北少，季节性降水明显，分干湿两季，降水集中在夏秋两季，冬春两季降水少。</w:t>
      </w:r>
    </w:p>
    <w:p>
      <w:pPr>
        <w:ind w:firstLine="640"/>
        <w:rPr>
          <w:rFonts w:eastAsia="黑体"/>
          <w:szCs w:val="32"/>
        </w:rPr>
      </w:pPr>
      <w:r>
        <w:rPr>
          <w:rFonts w:eastAsia="黑体"/>
          <w:szCs w:val="32"/>
        </w:rPr>
        <w:t>3.</w:t>
      </w:r>
      <w:r>
        <w:rPr>
          <w:rFonts w:hint="eastAsia" w:eastAsia="黑体"/>
          <w:szCs w:val="32"/>
        </w:rPr>
        <w:t>自然资源</w:t>
      </w:r>
    </w:p>
    <w:p>
      <w:pPr>
        <w:ind w:firstLine="640"/>
        <w:rPr>
          <w:szCs w:val="32"/>
        </w:rPr>
      </w:pPr>
      <w:r>
        <w:rPr>
          <w:rFonts w:hint="eastAsia" w:eastAsia="黑体"/>
          <w:szCs w:val="32"/>
        </w:rPr>
        <w:t>水资源。</w:t>
      </w:r>
      <w:r>
        <w:rPr>
          <w:rFonts w:hint="eastAsia"/>
          <w:szCs w:val="32"/>
        </w:rPr>
        <w:t>昭化区水域面积约</w:t>
      </w:r>
      <w:r>
        <w:rPr>
          <w:szCs w:val="32"/>
        </w:rPr>
        <w:t>14400</w:t>
      </w:r>
      <w:r>
        <w:rPr>
          <w:rFonts w:hint="eastAsia"/>
          <w:szCs w:val="32"/>
        </w:rPr>
        <w:t>公顷，水资源年平均总量</w:t>
      </w:r>
      <w:r>
        <w:rPr>
          <w:szCs w:val="32"/>
        </w:rPr>
        <w:t>113</w:t>
      </w:r>
      <w:r>
        <w:rPr>
          <w:rFonts w:hint="eastAsia"/>
          <w:szCs w:val="32"/>
        </w:rPr>
        <w:t>亿立方米。境内水平均径流</w:t>
      </w:r>
      <w:r>
        <w:rPr>
          <w:szCs w:val="32"/>
        </w:rPr>
        <w:t>7.57</w:t>
      </w:r>
      <w:r>
        <w:rPr>
          <w:rFonts w:hint="eastAsia"/>
          <w:szCs w:val="32"/>
        </w:rPr>
        <w:t>亿立方米，占境内水资源总量的</w:t>
      </w:r>
      <w:r>
        <w:rPr>
          <w:szCs w:val="32"/>
        </w:rPr>
        <w:t>6.79%</w:t>
      </w:r>
      <w:r>
        <w:rPr>
          <w:rFonts w:hint="eastAsia"/>
          <w:szCs w:val="32"/>
        </w:rPr>
        <w:t>；地下水平均径流</w:t>
      </w:r>
      <w:r>
        <w:rPr>
          <w:szCs w:val="32"/>
        </w:rPr>
        <w:t>0.35</w:t>
      </w:r>
      <w:r>
        <w:rPr>
          <w:rFonts w:hint="eastAsia"/>
          <w:szCs w:val="32"/>
        </w:rPr>
        <w:t>亿立方米，占境内水资源总量的</w:t>
      </w:r>
      <w:r>
        <w:rPr>
          <w:szCs w:val="32"/>
        </w:rPr>
        <w:t>0.31%</w:t>
      </w:r>
      <w:r>
        <w:rPr>
          <w:rFonts w:hint="eastAsia"/>
          <w:szCs w:val="32"/>
        </w:rPr>
        <w:t>；另有过境水平均径流</w:t>
      </w:r>
      <w:r>
        <w:rPr>
          <w:szCs w:val="32"/>
        </w:rPr>
        <w:t>105</w:t>
      </w:r>
      <w:r>
        <w:rPr>
          <w:rFonts w:hint="eastAsia"/>
          <w:szCs w:val="32"/>
        </w:rPr>
        <w:t>亿立方米，占境内水资源总量的</w:t>
      </w:r>
      <w:r>
        <w:rPr>
          <w:szCs w:val="32"/>
        </w:rPr>
        <w:t>92.90%</w:t>
      </w:r>
      <w:r>
        <w:rPr>
          <w:rFonts w:hint="eastAsia"/>
          <w:szCs w:val="32"/>
        </w:rPr>
        <w:t>。嘉陵江流经境内</w:t>
      </w:r>
      <w:r>
        <w:rPr>
          <w:szCs w:val="32"/>
        </w:rPr>
        <w:t>159</w:t>
      </w:r>
      <w:r>
        <w:rPr>
          <w:rFonts w:hint="eastAsia"/>
          <w:szCs w:val="32"/>
        </w:rPr>
        <w:t>公里（含支流白龙江</w:t>
      </w:r>
      <w:r>
        <w:rPr>
          <w:szCs w:val="32"/>
        </w:rPr>
        <w:t>10</w:t>
      </w:r>
      <w:r>
        <w:rPr>
          <w:rFonts w:hint="eastAsia"/>
          <w:szCs w:val="32"/>
        </w:rPr>
        <w:t>公里），过境水</w:t>
      </w:r>
      <w:r>
        <w:rPr>
          <w:szCs w:val="32"/>
        </w:rPr>
        <w:t>52.98</w:t>
      </w:r>
      <w:r>
        <w:rPr>
          <w:rFonts w:hint="eastAsia"/>
          <w:szCs w:val="32"/>
        </w:rPr>
        <w:t>亿立方米</w:t>
      </w:r>
      <w:r>
        <w:rPr>
          <w:szCs w:val="32"/>
        </w:rPr>
        <w:t xml:space="preserve"> </w:t>
      </w:r>
      <w:r>
        <w:rPr>
          <w:rFonts w:hint="eastAsia"/>
          <w:szCs w:val="32"/>
        </w:rPr>
        <w:t>。境内有中型水库</w:t>
      </w:r>
      <w:r>
        <w:rPr>
          <w:szCs w:val="32"/>
        </w:rPr>
        <w:t>2</w:t>
      </w:r>
      <w:r>
        <w:rPr>
          <w:rFonts w:hint="eastAsia"/>
          <w:szCs w:val="32"/>
        </w:rPr>
        <w:t>座（工农水库和紫云水库）、小（一）型水库</w:t>
      </w:r>
      <w:r>
        <w:rPr>
          <w:szCs w:val="32"/>
        </w:rPr>
        <w:t>9</w:t>
      </w:r>
      <w:r>
        <w:rPr>
          <w:rFonts w:hint="eastAsia"/>
          <w:szCs w:val="32"/>
        </w:rPr>
        <w:t>座、小（二）型水库</w:t>
      </w:r>
      <w:r>
        <w:rPr>
          <w:szCs w:val="32"/>
        </w:rPr>
        <w:t>66</w:t>
      </w:r>
      <w:r>
        <w:rPr>
          <w:rFonts w:hint="eastAsia"/>
          <w:szCs w:val="32"/>
        </w:rPr>
        <w:t>座，年工程蓄水量</w:t>
      </w:r>
      <w:r>
        <w:rPr>
          <w:szCs w:val="32"/>
        </w:rPr>
        <w:t>7100</w:t>
      </w:r>
      <w:r>
        <w:rPr>
          <w:rFonts w:hint="eastAsia"/>
          <w:szCs w:val="32"/>
        </w:rPr>
        <w:t>万立方米，常年蓄水</w:t>
      </w:r>
      <w:r>
        <w:rPr>
          <w:szCs w:val="32"/>
        </w:rPr>
        <w:t>5500</w:t>
      </w:r>
      <w:r>
        <w:rPr>
          <w:rFonts w:hint="eastAsia"/>
          <w:szCs w:val="32"/>
        </w:rPr>
        <w:t>万立方米。</w:t>
      </w:r>
    </w:p>
    <w:p>
      <w:pPr>
        <w:ind w:firstLine="640"/>
        <w:rPr>
          <w:szCs w:val="32"/>
        </w:rPr>
      </w:pPr>
      <w:r>
        <w:rPr>
          <w:rFonts w:hint="eastAsia" w:eastAsia="黑体"/>
          <w:szCs w:val="32"/>
        </w:rPr>
        <w:t>土地资源。</w:t>
      </w:r>
      <w:r>
        <w:rPr>
          <w:rFonts w:hint="eastAsia"/>
          <w:szCs w:val="32"/>
        </w:rPr>
        <w:t>昭化区幅员面积</w:t>
      </w:r>
      <w:r>
        <w:rPr>
          <w:szCs w:val="32"/>
        </w:rPr>
        <w:t>1434</w:t>
      </w:r>
      <w:r>
        <w:rPr>
          <w:rFonts w:hint="eastAsia"/>
          <w:szCs w:val="32"/>
        </w:rPr>
        <w:t>平方公里，其中耕地面积</w:t>
      </w:r>
      <w:r>
        <w:rPr>
          <w:szCs w:val="32"/>
        </w:rPr>
        <w:t>15997</w:t>
      </w:r>
      <w:r>
        <w:rPr>
          <w:rFonts w:hint="eastAsia"/>
          <w:szCs w:val="32"/>
        </w:rPr>
        <w:t>公顷，森林面积</w:t>
      </w:r>
      <w:r>
        <w:rPr>
          <w:szCs w:val="32"/>
        </w:rPr>
        <w:t>73389</w:t>
      </w:r>
      <w:r>
        <w:rPr>
          <w:rFonts w:hint="eastAsia"/>
          <w:szCs w:val="32"/>
        </w:rPr>
        <w:t>公顷（昭化区统计局数据）。</w:t>
      </w:r>
      <w:r>
        <w:rPr>
          <w:szCs w:val="32"/>
        </w:rPr>
        <w:t>2011</w:t>
      </w:r>
      <w:r>
        <w:rPr>
          <w:rFonts w:hint="eastAsia"/>
          <w:szCs w:val="32"/>
        </w:rPr>
        <w:t>年区镇城区规划区域面积</w:t>
      </w:r>
      <w:r>
        <w:rPr>
          <w:szCs w:val="32"/>
        </w:rPr>
        <w:t>5820</w:t>
      </w:r>
      <w:r>
        <w:rPr>
          <w:rFonts w:hint="eastAsia"/>
          <w:szCs w:val="32"/>
        </w:rPr>
        <w:t>公顷，用地面积</w:t>
      </w:r>
      <w:r>
        <w:rPr>
          <w:szCs w:val="32"/>
        </w:rPr>
        <w:t xml:space="preserve">1449.96 </w:t>
      </w:r>
      <w:r>
        <w:rPr>
          <w:rFonts w:hint="eastAsia"/>
          <w:szCs w:val="32"/>
        </w:rPr>
        <w:t>公顷。其中规划工业用地面积</w:t>
      </w:r>
      <w:r>
        <w:rPr>
          <w:szCs w:val="32"/>
        </w:rPr>
        <w:t>66.46</w:t>
      </w:r>
      <w:r>
        <w:rPr>
          <w:rFonts w:hint="eastAsia"/>
          <w:szCs w:val="32"/>
        </w:rPr>
        <w:t>公顷，居住区域面积</w:t>
      </w:r>
      <w:r>
        <w:rPr>
          <w:szCs w:val="32"/>
        </w:rPr>
        <w:t xml:space="preserve">885 </w:t>
      </w:r>
      <w:r>
        <w:rPr>
          <w:rFonts w:hint="eastAsia"/>
          <w:szCs w:val="32"/>
        </w:rPr>
        <w:t>公顷，公共设施用地面积</w:t>
      </w:r>
      <w:r>
        <w:rPr>
          <w:szCs w:val="32"/>
        </w:rPr>
        <w:t xml:space="preserve">170 </w:t>
      </w:r>
      <w:r>
        <w:rPr>
          <w:rFonts w:hint="eastAsia"/>
          <w:szCs w:val="32"/>
        </w:rPr>
        <w:t>公顷；规划道路用地</w:t>
      </w:r>
      <w:r>
        <w:rPr>
          <w:szCs w:val="32"/>
        </w:rPr>
        <w:t>155</w:t>
      </w:r>
      <w:r>
        <w:rPr>
          <w:rFonts w:hint="eastAsia"/>
          <w:szCs w:val="32"/>
        </w:rPr>
        <w:t>公顷，绿化用地</w:t>
      </w:r>
      <w:r>
        <w:rPr>
          <w:szCs w:val="32"/>
        </w:rPr>
        <w:t>185</w:t>
      </w:r>
      <w:r>
        <w:rPr>
          <w:rFonts w:hint="eastAsia"/>
          <w:szCs w:val="32"/>
        </w:rPr>
        <w:t>公顷，其它用地</w:t>
      </w:r>
      <w:r>
        <w:rPr>
          <w:szCs w:val="32"/>
        </w:rPr>
        <w:t>88.5</w:t>
      </w:r>
      <w:r>
        <w:rPr>
          <w:rFonts w:hint="eastAsia"/>
          <w:szCs w:val="32"/>
        </w:rPr>
        <w:t>公顷。</w:t>
      </w:r>
    </w:p>
    <w:p>
      <w:pPr>
        <w:ind w:firstLine="640"/>
        <w:rPr>
          <w:szCs w:val="32"/>
        </w:rPr>
      </w:pPr>
      <w:r>
        <w:rPr>
          <w:rFonts w:hint="eastAsia" w:eastAsia="黑体"/>
          <w:szCs w:val="32"/>
        </w:rPr>
        <w:t>生物资源。</w:t>
      </w:r>
      <w:r>
        <w:rPr>
          <w:rFonts w:hint="eastAsia"/>
          <w:szCs w:val="32"/>
        </w:rPr>
        <w:t>昭化区境内动植物中药材</w:t>
      </w:r>
      <w:r>
        <w:rPr>
          <w:szCs w:val="32"/>
        </w:rPr>
        <w:t>1000</w:t>
      </w:r>
      <w:r>
        <w:rPr>
          <w:rFonts w:hint="eastAsia"/>
          <w:szCs w:val="32"/>
        </w:rPr>
        <w:t>多种，其中</w:t>
      </w:r>
      <w:r>
        <w:rPr>
          <w:szCs w:val="32"/>
        </w:rPr>
        <w:t>20</w:t>
      </w:r>
      <w:r>
        <w:rPr>
          <w:rFonts w:hint="eastAsia"/>
          <w:szCs w:val="32"/>
        </w:rPr>
        <w:t>多种销往省内外。目前已查明的植物物种达</w:t>
      </w:r>
      <w:r>
        <w:rPr>
          <w:szCs w:val="32"/>
        </w:rPr>
        <w:t>180</w:t>
      </w:r>
      <w:r>
        <w:rPr>
          <w:rFonts w:hint="eastAsia"/>
          <w:szCs w:val="32"/>
        </w:rPr>
        <w:t>科、</w:t>
      </w:r>
      <w:r>
        <w:rPr>
          <w:szCs w:val="32"/>
        </w:rPr>
        <w:t>300</w:t>
      </w:r>
      <w:r>
        <w:rPr>
          <w:rFonts w:hint="eastAsia"/>
          <w:szCs w:val="32"/>
        </w:rPr>
        <w:t>属、</w:t>
      </w:r>
      <w:r>
        <w:rPr>
          <w:szCs w:val="32"/>
        </w:rPr>
        <w:t>900</w:t>
      </w:r>
      <w:r>
        <w:rPr>
          <w:rFonts w:hint="eastAsia"/>
          <w:szCs w:val="32"/>
        </w:rPr>
        <w:t>种，主要有菌类、苔藓、维管植物，另外具有开发价值的经济、药用、珍稀植物约有</w:t>
      </w:r>
      <w:r>
        <w:rPr>
          <w:szCs w:val="32"/>
        </w:rPr>
        <w:t>260</w:t>
      </w:r>
      <w:r>
        <w:rPr>
          <w:rFonts w:hint="eastAsia"/>
          <w:szCs w:val="32"/>
        </w:rPr>
        <w:t>余种，食用菌种类达</w:t>
      </w:r>
      <w:r>
        <w:rPr>
          <w:szCs w:val="32"/>
        </w:rPr>
        <w:t>8</w:t>
      </w:r>
      <w:r>
        <w:rPr>
          <w:rFonts w:hint="eastAsia"/>
          <w:szCs w:val="32"/>
        </w:rPr>
        <w:t>种以上。野生和半野生经济植物约</w:t>
      </w:r>
      <w:r>
        <w:rPr>
          <w:szCs w:val="32"/>
        </w:rPr>
        <w:t>500</w:t>
      </w:r>
      <w:r>
        <w:rPr>
          <w:rFonts w:hint="eastAsia"/>
          <w:szCs w:val="32"/>
        </w:rPr>
        <w:t>余种，可分为油料、香料、纤维、药材、食用菌、花卉、水果、蔬菜等</w:t>
      </w:r>
      <w:r>
        <w:rPr>
          <w:szCs w:val="32"/>
        </w:rPr>
        <w:t>10</w:t>
      </w:r>
      <w:r>
        <w:rPr>
          <w:rFonts w:hint="eastAsia"/>
          <w:szCs w:val="32"/>
        </w:rPr>
        <w:t>余种。境内森林主要品种有柏木林、桤木林、马尾松树林等。常见的野生动物有</w:t>
      </w:r>
      <w:r>
        <w:rPr>
          <w:szCs w:val="32"/>
        </w:rPr>
        <w:t>220</w:t>
      </w:r>
      <w:r>
        <w:rPr>
          <w:rFonts w:hint="eastAsia"/>
          <w:szCs w:val="32"/>
        </w:rPr>
        <w:t>余种，其中国家级野生动物</w:t>
      </w:r>
      <w:r>
        <w:rPr>
          <w:szCs w:val="32"/>
        </w:rPr>
        <w:t>5</w:t>
      </w:r>
      <w:r>
        <w:rPr>
          <w:rFonts w:hint="eastAsia"/>
          <w:szCs w:val="32"/>
        </w:rPr>
        <w:t>种，有桂麝、短尾猴、水獭、大灵猫、小灵猫等。</w:t>
      </w:r>
    </w:p>
    <w:p>
      <w:pPr>
        <w:ind w:firstLine="640"/>
        <w:rPr>
          <w:szCs w:val="32"/>
        </w:rPr>
      </w:pPr>
      <w:r>
        <w:rPr>
          <w:rFonts w:hint="eastAsia" w:eastAsia="黑体"/>
          <w:szCs w:val="32"/>
        </w:rPr>
        <w:t>矿产资源。</w:t>
      </w:r>
      <w:r>
        <w:rPr>
          <w:rFonts w:hint="eastAsia"/>
          <w:szCs w:val="32"/>
        </w:rPr>
        <w:t>昭化区境内矿藏丰富、分布集中，目前已探明的主要矿产资源有金、铁、铜、煤、石油、天然气、石灰石等</w:t>
      </w:r>
      <w:r>
        <w:rPr>
          <w:szCs w:val="32"/>
        </w:rPr>
        <w:t>10</w:t>
      </w:r>
      <w:r>
        <w:rPr>
          <w:rFonts w:hint="eastAsia"/>
          <w:szCs w:val="32"/>
        </w:rPr>
        <w:t>多种，其中金、煤、石油、天然气等矿藏贮量可观，已被陆续开发利用。矿产地</w:t>
      </w:r>
      <w:r>
        <w:rPr>
          <w:szCs w:val="32"/>
        </w:rPr>
        <w:t>32</w:t>
      </w:r>
      <w:r>
        <w:rPr>
          <w:rFonts w:hint="eastAsia"/>
          <w:szCs w:val="32"/>
        </w:rPr>
        <w:t>处，其中大型矿床</w:t>
      </w:r>
      <w:r>
        <w:rPr>
          <w:szCs w:val="32"/>
        </w:rPr>
        <w:t>8</w:t>
      </w:r>
      <w:r>
        <w:rPr>
          <w:rFonts w:hint="eastAsia"/>
          <w:szCs w:val="32"/>
        </w:rPr>
        <w:t>处，中型矿床</w:t>
      </w:r>
      <w:r>
        <w:rPr>
          <w:szCs w:val="32"/>
        </w:rPr>
        <w:t>10</w:t>
      </w:r>
      <w:r>
        <w:rPr>
          <w:rFonts w:hint="eastAsia"/>
          <w:szCs w:val="32"/>
        </w:rPr>
        <w:t>处，小型矿床</w:t>
      </w:r>
      <w:r>
        <w:rPr>
          <w:szCs w:val="32"/>
        </w:rPr>
        <w:t>15</w:t>
      </w:r>
      <w:r>
        <w:rPr>
          <w:rFonts w:hint="eastAsia"/>
          <w:szCs w:val="32"/>
        </w:rPr>
        <w:t>处。仅探明原煤储量达</w:t>
      </w:r>
      <w:r>
        <w:rPr>
          <w:szCs w:val="32"/>
        </w:rPr>
        <w:t>250</w:t>
      </w:r>
      <w:r>
        <w:rPr>
          <w:rFonts w:hint="eastAsia"/>
          <w:szCs w:val="32"/>
        </w:rPr>
        <w:t>万吨；砂金分布面积</w:t>
      </w:r>
      <w:r>
        <w:rPr>
          <w:szCs w:val="32"/>
        </w:rPr>
        <w:t>113.6</w:t>
      </w:r>
      <w:r>
        <w:rPr>
          <w:rFonts w:hint="eastAsia"/>
          <w:szCs w:val="32"/>
        </w:rPr>
        <w:t>平方公里，储量资源达</w:t>
      </w:r>
      <w:r>
        <w:rPr>
          <w:szCs w:val="32"/>
        </w:rPr>
        <w:t>30</w:t>
      </w:r>
      <w:r>
        <w:rPr>
          <w:rFonts w:hint="eastAsia"/>
          <w:szCs w:val="32"/>
        </w:rPr>
        <w:t>吨，含金量</w:t>
      </w:r>
      <w:r>
        <w:rPr>
          <w:szCs w:val="32"/>
        </w:rPr>
        <w:t>10</w:t>
      </w:r>
      <w:r>
        <w:rPr>
          <w:rFonts w:hint="eastAsia"/>
          <w:szCs w:val="32"/>
        </w:rPr>
        <w:t>克</w:t>
      </w:r>
      <w:r>
        <w:rPr>
          <w:szCs w:val="32"/>
        </w:rPr>
        <w:t>/</w:t>
      </w:r>
      <w:r>
        <w:rPr>
          <w:rFonts w:hint="eastAsia"/>
          <w:szCs w:val="32"/>
        </w:rPr>
        <w:t>立方米。</w:t>
      </w:r>
    </w:p>
    <w:p>
      <w:pPr>
        <w:ind w:firstLine="640"/>
        <w:rPr>
          <w:rFonts w:eastAsia="黑体"/>
          <w:szCs w:val="32"/>
        </w:rPr>
      </w:pPr>
      <w:r>
        <w:rPr>
          <w:rFonts w:eastAsia="黑体"/>
          <w:szCs w:val="32"/>
        </w:rPr>
        <w:t>4.</w:t>
      </w:r>
      <w:r>
        <w:rPr>
          <w:rFonts w:hint="eastAsia" w:eastAsia="黑体"/>
          <w:szCs w:val="32"/>
        </w:rPr>
        <w:t>旅游资源</w:t>
      </w:r>
    </w:p>
    <w:p>
      <w:pPr>
        <w:ind w:firstLine="640"/>
        <w:rPr>
          <w:szCs w:val="32"/>
        </w:rPr>
      </w:pPr>
      <w:r>
        <w:rPr>
          <w:rFonts w:hint="eastAsia"/>
          <w:szCs w:val="32"/>
        </w:rPr>
        <w:t>昭化境内旅游资源丰富，是川北蜀道旅游的重要组成部分。</w:t>
      </w:r>
      <w:r>
        <w:rPr>
          <w:szCs w:val="32"/>
        </w:rPr>
        <w:t>2008</w:t>
      </w:r>
      <w:r>
        <w:rPr>
          <w:rFonts w:hint="eastAsia"/>
          <w:szCs w:val="32"/>
        </w:rPr>
        <w:t>年昭化古城被建成国家</w:t>
      </w:r>
      <w:r>
        <w:rPr>
          <w:szCs w:val="32"/>
        </w:rPr>
        <w:t>4A</w:t>
      </w:r>
      <w:r>
        <w:rPr>
          <w:rFonts w:hint="eastAsia"/>
          <w:szCs w:val="32"/>
        </w:rPr>
        <w:t>级旅游景区，昭化镇被建成</w:t>
      </w:r>
      <w:r>
        <w:rPr>
          <w:szCs w:val="32"/>
        </w:rPr>
        <w:t>“</w:t>
      </w:r>
      <w:r>
        <w:rPr>
          <w:rFonts w:hint="eastAsia"/>
          <w:szCs w:val="32"/>
        </w:rPr>
        <w:t>中国历史文化名镇</w:t>
      </w:r>
      <w:r>
        <w:rPr>
          <w:szCs w:val="32"/>
        </w:rPr>
        <w:t>”</w:t>
      </w:r>
      <w:r>
        <w:rPr>
          <w:rFonts w:hint="eastAsia"/>
          <w:szCs w:val="32"/>
        </w:rPr>
        <w:t>。昭化古城被公认为剑门蜀道上的一颗灿烂明珠，旅游品位高，具有广阔的开发前景。古城门、古城墙、费</w:t>
      </w:r>
      <w:r>
        <w:rPr>
          <w:rFonts w:hint="eastAsia" w:eastAsia="微软雅黑"/>
          <w:szCs w:val="32"/>
        </w:rPr>
        <w:t>袆</w:t>
      </w:r>
      <w:r>
        <w:rPr>
          <w:rFonts w:hint="eastAsia"/>
          <w:szCs w:val="32"/>
        </w:rPr>
        <w:t>墓、桔柏古渡、天雄关、牛头山、人头山、金牛古道等留下了许多令人遐想的传说。</w:t>
      </w:r>
      <w:r>
        <w:rPr>
          <w:szCs w:val="32"/>
        </w:rPr>
        <w:t>2014</w:t>
      </w:r>
      <w:r>
        <w:rPr>
          <w:rFonts w:hint="eastAsia"/>
          <w:szCs w:val="32"/>
        </w:rPr>
        <w:t>年，昭化古城被授予四川特色旅游商品开发示范基地，大朝驿站旅游区获得</w:t>
      </w:r>
      <w:r>
        <w:rPr>
          <w:szCs w:val="32"/>
        </w:rPr>
        <w:t>2A</w:t>
      </w:r>
      <w:r>
        <w:rPr>
          <w:rFonts w:hint="eastAsia"/>
          <w:szCs w:val="32"/>
        </w:rPr>
        <w:t>景区授牌。此外，还有太公红军山、柏林沟古镇、紫云湖、平乐寺、将军岭等众多旅游资源。平乐景区有</w:t>
      </w:r>
      <w:r>
        <w:rPr>
          <w:szCs w:val="32"/>
        </w:rPr>
        <w:t>“</w:t>
      </w:r>
      <w:r>
        <w:rPr>
          <w:rFonts w:hint="eastAsia"/>
          <w:szCs w:val="32"/>
        </w:rPr>
        <w:t>利州</w:t>
      </w:r>
      <w:r>
        <w:rPr>
          <w:szCs w:val="32"/>
        </w:rPr>
        <w:t>”</w:t>
      </w:r>
      <w:r>
        <w:rPr>
          <w:rFonts w:hint="eastAsia"/>
          <w:szCs w:val="32"/>
        </w:rPr>
        <w:t>后花园之誉。</w:t>
      </w:r>
      <w:r>
        <w:rPr>
          <w:szCs w:val="32"/>
        </w:rPr>
        <w:t>2014</w:t>
      </w:r>
      <w:r>
        <w:rPr>
          <w:rFonts w:hint="eastAsia"/>
          <w:szCs w:val="32"/>
        </w:rPr>
        <w:t>年平乐旅游区创建为国家</w:t>
      </w:r>
      <w:r>
        <w:rPr>
          <w:szCs w:val="32"/>
        </w:rPr>
        <w:t>4A</w:t>
      </w:r>
      <w:r>
        <w:rPr>
          <w:rFonts w:hint="eastAsia"/>
          <w:szCs w:val="32"/>
        </w:rPr>
        <w:t>级景区。太公红军山是全省</w:t>
      </w:r>
      <w:r>
        <w:rPr>
          <w:szCs w:val="32"/>
        </w:rPr>
        <w:t>100</w:t>
      </w:r>
      <w:r>
        <w:rPr>
          <w:rFonts w:hint="eastAsia"/>
          <w:szCs w:val="32"/>
        </w:rPr>
        <w:t>个红色文化旅游经典景区之一，是广元市爱国主义教育基地。</w:t>
      </w:r>
    </w:p>
    <w:p>
      <w:pPr>
        <w:ind w:firstLine="640"/>
        <w:rPr>
          <w:szCs w:val="32"/>
        </w:rPr>
      </w:pPr>
      <w:r>
        <w:rPr>
          <w:rFonts w:hint="eastAsia"/>
          <w:szCs w:val="32"/>
        </w:rPr>
        <w:t>昭化区旅游资源情况见图</w:t>
      </w:r>
      <w:r>
        <w:rPr>
          <w:szCs w:val="32"/>
        </w:rPr>
        <w:t>1-3</w:t>
      </w:r>
      <w:r>
        <w:rPr>
          <w:rFonts w:hint="eastAsia"/>
          <w:szCs w:val="32"/>
        </w:rPr>
        <w:t>、</w:t>
      </w:r>
      <w:r>
        <w:rPr>
          <w:szCs w:val="32"/>
        </w:rPr>
        <w:t>1-4</w:t>
      </w:r>
      <w:r>
        <w:rPr>
          <w:rFonts w:hint="eastAsia"/>
          <w:szCs w:val="32"/>
        </w:rPr>
        <w:t>。</w:t>
      </w:r>
    </w:p>
    <w:p>
      <w:pPr>
        <w:spacing w:line="240" w:lineRule="auto"/>
        <w:ind w:firstLine="0" w:firstLineChars="0"/>
        <w:jc w:val="center"/>
        <w:rPr>
          <w:szCs w:val="32"/>
        </w:rPr>
      </w:pPr>
      <w:r>
        <w:rPr>
          <w:rFonts w:hint="eastAsia"/>
        </w:rPr>
        <w:drawing>
          <wp:inline distT="0" distB="0" distL="114300" distR="114300">
            <wp:extent cx="5327650" cy="4907915"/>
            <wp:effectExtent l="0" t="0" r="635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327650" cy="4907915"/>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1-3 </w:t>
      </w:r>
      <w:r>
        <w:rPr>
          <w:rFonts w:hint="eastAsia" w:eastAsia="黑体"/>
          <w:sz w:val="28"/>
          <w:szCs w:val="28"/>
        </w:rPr>
        <w:t>昭化区旅游资源分布图</w:t>
      </w:r>
    </w:p>
    <w:p>
      <w:pPr>
        <w:widowControl/>
        <w:shd w:val="clear" w:color="auto" w:fill="FFFFFF"/>
        <w:ind w:firstLine="0" w:firstLineChars="0"/>
        <w:jc w:val="center"/>
        <w:rPr>
          <w:rFonts w:eastAsia="黑体"/>
          <w:sz w:val="28"/>
          <w:szCs w:val="28"/>
        </w:rPr>
      </w:pPr>
    </w:p>
    <w:p>
      <w:pPr>
        <w:spacing w:line="240" w:lineRule="auto"/>
        <w:ind w:firstLine="0" w:firstLineChars="0"/>
        <w:rPr>
          <w:szCs w:val="32"/>
        </w:rPr>
      </w:pPr>
      <w:r>
        <w:rPr>
          <w:rFonts w:hint="eastAsia"/>
        </w:rPr>
        <w:drawing>
          <wp:inline distT="0" distB="0" distL="114300" distR="114300">
            <wp:extent cx="2656205" cy="2028190"/>
            <wp:effectExtent l="0" t="0" r="10795"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lum bright="23999"/>
                    </a:blip>
                    <a:stretch>
                      <a:fillRect/>
                    </a:stretch>
                  </pic:blipFill>
                  <pic:spPr>
                    <a:xfrm>
                      <a:off x="0" y="0"/>
                      <a:ext cx="2656205" cy="2028190"/>
                    </a:xfrm>
                    <a:prstGeom prst="rect">
                      <a:avLst/>
                    </a:prstGeom>
                    <a:noFill/>
                    <a:ln>
                      <a:noFill/>
                    </a:ln>
                  </pic:spPr>
                </pic:pic>
              </a:graphicData>
            </a:graphic>
          </wp:inline>
        </w:drawing>
      </w:r>
      <w:r>
        <w:rPr>
          <w:rFonts w:hint="eastAsia"/>
        </w:rPr>
        <w:drawing>
          <wp:inline distT="0" distB="0" distL="114300" distR="114300">
            <wp:extent cx="2685415" cy="2004060"/>
            <wp:effectExtent l="0" t="0" r="635" b="152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lum bright="12000"/>
                    </a:blip>
                    <a:stretch>
                      <a:fillRect/>
                    </a:stretch>
                  </pic:blipFill>
                  <pic:spPr>
                    <a:xfrm>
                      <a:off x="0" y="0"/>
                      <a:ext cx="2685415" cy="2004060"/>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1-4 </w:t>
      </w:r>
      <w:r>
        <w:rPr>
          <w:rFonts w:hint="eastAsia" w:eastAsia="黑体"/>
          <w:sz w:val="28"/>
          <w:szCs w:val="28"/>
        </w:rPr>
        <w:t>昭化区旅游景点景区图</w:t>
      </w:r>
    </w:p>
    <w:p>
      <w:pPr>
        <w:pStyle w:val="4"/>
        <w:adjustRightInd w:val="0"/>
        <w:snapToGrid w:val="0"/>
        <w:spacing w:before="108" w:beforeLines="25" w:after="108" w:afterLines="25"/>
        <w:ind w:left="6238" w:hanging="6238"/>
        <w:rPr>
          <w:b/>
          <w:bCs w:val="0"/>
        </w:rPr>
      </w:pPr>
      <w:bookmarkStart w:id="14" w:name="_Toc40192787"/>
      <w:r>
        <w:rPr>
          <w:bCs w:val="0"/>
        </w:rPr>
        <w:t xml:space="preserve">1.1.3 </w:t>
      </w:r>
      <w:bookmarkEnd w:id="14"/>
      <w:r>
        <w:rPr>
          <w:rFonts w:hint="eastAsia"/>
          <w:bCs w:val="0"/>
        </w:rPr>
        <w:t>经济发展</w:t>
      </w:r>
    </w:p>
    <w:p>
      <w:pPr>
        <w:widowControl/>
        <w:shd w:val="clear" w:color="auto" w:fill="FFFFFF"/>
        <w:ind w:firstLine="640"/>
        <w:rPr>
          <w:rFonts w:eastAsia="黑体"/>
          <w:szCs w:val="32"/>
        </w:rPr>
      </w:pPr>
      <w:r>
        <w:rPr>
          <w:rFonts w:eastAsia="黑体"/>
          <w:szCs w:val="32"/>
        </w:rPr>
        <w:t>1.</w:t>
      </w:r>
      <w:r>
        <w:rPr>
          <w:rFonts w:hint="eastAsia" w:eastAsia="黑体"/>
          <w:szCs w:val="32"/>
        </w:rPr>
        <w:t>行政区划</w:t>
      </w:r>
    </w:p>
    <w:p>
      <w:pPr>
        <w:widowControl/>
        <w:shd w:val="clear" w:color="auto" w:fill="FFFFFF"/>
        <w:ind w:firstLine="640"/>
        <w:rPr>
          <w:szCs w:val="32"/>
        </w:rPr>
      </w:pPr>
      <w:r>
        <w:rPr>
          <w:rFonts w:hint="eastAsia"/>
          <w:szCs w:val="32"/>
        </w:rPr>
        <w:t>昭化区辖</w:t>
      </w:r>
      <w:r>
        <w:rPr>
          <w:szCs w:val="32"/>
        </w:rPr>
        <w:t>12</w:t>
      </w:r>
      <w:r>
        <w:rPr>
          <w:rFonts w:hint="eastAsia"/>
          <w:szCs w:val="32"/>
        </w:rPr>
        <w:t>个镇</w:t>
      </w:r>
      <w:r>
        <w:rPr>
          <w:szCs w:val="32"/>
        </w:rPr>
        <w:t>:</w:t>
      </w:r>
      <w:r>
        <w:rPr>
          <w:rFonts w:hint="eastAsia"/>
          <w:szCs w:val="32"/>
        </w:rPr>
        <w:t>元坝镇、卫子镇、柏林沟镇、清水镇、王家镇、太公镇、虎跳镇、昭化镇、红岩镇、射箭镇、青牛镇、磨滩镇。区人民政府驻元坝镇。</w:t>
      </w:r>
    </w:p>
    <w:p>
      <w:pPr>
        <w:widowControl/>
        <w:shd w:val="clear" w:color="auto" w:fill="FFFFFF"/>
        <w:ind w:firstLine="640"/>
        <w:rPr>
          <w:rFonts w:eastAsia="黑体"/>
          <w:szCs w:val="32"/>
        </w:rPr>
      </w:pPr>
      <w:r>
        <w:rPr>
          <w:rFonts w:eastAsia="黑体"/>
          <w:szCs w:val="32"/>
        </w:rPr>
        <w:t>2.</w:t>
      </w:r>
      <w:r>
        <w:rPr>
          <w:rFonts w:hint="eastAsia" w:eastAsia="黑体"/>
          <w:szCs w:val="32"/>
        </w:rPr>
        <w:t>人口民族</w:t>
      </w:r>
    </w:p>
    <w:p>
      <w:pPr>
        <w:ind w:firstLine="640"/>
        <w:rPr>
          <w:szCs w:val="32"/>
        </w:rPr>
      </w:pPr>
      <w:r>
        <w:rPr>
          <w:rFonts w:hint="eastAsia"/>
          <w:szCs w:val="32"/>
        </w:rPr>
        <w:t>全区总户数</w:t>
      </w:r>
      <w:r>
        <w:rPr>
          <w:szCs w:val="32"/>
        </w:rPr>
        <w:t>75079</w:t>
      </w:r>
      <w:r>
        <w:rPr>
          <w:rFonts w:hint="eastAsia"/>
          <w:szCs w:val="32"/>
        </w:rPr>
        <w:t>户，总人口</w:t>
      </w:r>
      <w:r>
        <w:rPr>
          <w:szCs w:val="32"/>
        </w:rPr>
        <w:t>231008</w:t>
      </w:r>
      <w:r>
        <w:rPr>
          <w:rFonts w:hint="eastAsia"/>
          <w:szCs w:val="32"/>
        </w:rPr>
        <w:t>人。其中，女性</w:t>
      </w:r>
      <w:r>
        <w:rPr>
          <w:szCs w:val="32"/>
        </w:rPr>
        <w:t>118734</w:t>
      </w:r>
      <w:r>
        <w:rPr>
          <w:rFonts w:hint="eastAsia"/>
          <w:szCs w:val="32"/>
        </w:rPr>
        <w:t>人，男性</w:t>
      </w:r>
      <w:r>
        <w:rPr>
          <w:szCs w:val="32"/>
        </w:rPr>
        <w:t>112274</w:t>
      </w:r>
      <w:r>
        <w:rPr>
          <w:rFonts w:hint="eastAsia"/>
          <w:szCs w:val="32"/>
        </w:rPr>
        <w:t>人，分别占总人口的</w:t>
      </w:r>
      <w:r>
        <w:rPr>
          <w:szCs w:val="32"/>
        </w:rPr>
        <w:t>51.4%</w:t>
      </w:r>
      <w:r>
        <w:rPr>
          <w:rFonts w:hint="eastAsia"/>
          <w:szCs w:val="32"/>
        </w:rPr>
        <w:t>和</w:t>
      </w:r>
      <w:r>
        <w:rPr>
          <w:szCs w:val="32"/>
        </w:rPr>
        <w:t>48.6%</w:t>
      </w:r>
      <w:r>
        <w:rPr>
          <w:rFonts w:hint="eastAsia"/>
          <w:szCs w:val="32"/>
        </w:rPr>
        <w:t>。非农人口</w:t>
      </w:r>
      <w:r>
        <w:rPr>
          <w:szCs w:val="32"/>
        </w:rPr>
        <w:t>26870</w:t>
      </w:r>
      <w:r>
        <w:rPr>
          <w:rFonts w:hint="eastAsia"/>
          <w:szCs w:val="32"/>
        </w:rPr>
        <w:t>人，占总人口的</w:t>
      </w:r>
      <w:r>
        <w:rPr>
          <w:szCs w:val="32"/>
        </w:rPr>
        <w:t>11.6%</w:t>
      </w:r>
      <w:r>
        <w:rPr>
          <w:rFonts w:hint="eastAsia"/>
          <w:szCs w:val="32"/>
        </w:rPr>
        <w:t>。全年常住人口</w:t>
      </w:r>
      <w:r>
        <w:rPr>
          <w:szCs w:val="32"/>
        </w:rPr>
        <w:t>18.7</w:t>
      </w:r>
      <w:r>
        <w:rPr>
          <w:rFonts w:hint="eastAsia"/>
          <w:szCs w:val="32"/>
        </w:rPr>
        <w:t>万人，出生率</w:t>
      </w:r>
      <w:r>
        <w:rPr>
          <w:szCs w:val="32"/>
        </w:rPr>
        <w:t>10.12‰</w:t>
      </w:r>
      <w:r>
        <w:rPr>
          <w:rFonts w:hint="eastAsia"/>
          <w:szCs w:val="32"/>
        </w:rPr>
        <w:t>（其中符合政策生育率</w:t>
      </w:r>
      <w:r>
        <w:rPr>
          <w:szCs w:val="32"/>
        </w:rPr>
        <w:t>99.72%</w:t>
      </w:r>
      <w:r>
        <w:rPr>
          <w:rFonts w:hint="eastAsia"/>
          <w:szCs w:val="32"/>
        </w:rPr>
        <w:t>），死亡率</w:t>
      </w:r>
      <w:r>
        <w:rPr>
          <w:szCs w:val="32"/>
        </w:rPr>
        <w:t>6.66‰</w:t>
      </w:r>
      <w:r>
        <w:rPr>
          <w:rFonts w:hint="eastAsia"/>
          <w:szCs w:val="32"/>
        </w:rPr>
        <w:t>，人口自然增加率</w:t>
      </w:r>
      <w:r>
        <w:rPr>
          <w:szCs w:val="32"/>
        </w:rPr>
        <w:t>3.46‰</w:t>
      </w:r>
      <w:r>
        <w:rPr>
          <w:rFonts w:hint="eastAsia"/>
          <w:szCs w:val="32"/>
        </w:rPr>
        <w:t>。</w:t>
      </w:r>
    </w:p>
    <w:p>
      <w:pPr>
        <w:ind w:firstLine="640"/>
        <w:rPr>
          <w:szCs w:val="32"/>
        </w:rPr>
      </w:pPr>
      <w:r>
        <w:rPr>
          <w:rFonts w:hint="eastAsia"/>
          <w:szCs w:val="32"/>
        </w:rPr>
        <w:t>昭化区有汉族、回族、蒙古族、维吾尔族、苗族、布依族、彝族、朝鲜族、满族、土家族、侗族等</w:t>
      </w:r>
      <w:r>
        <w:rPr>
          <w:szCs w:val="32"/>
        </w:rPr>
        <w:t>15</w:t>
      </w:r>
      <w:r>
        <w:rPr>
          <w:rFonts w:hint="eastAsia"/>
          <w:szCs w:val="32"/>
        </w:rPr>
        <w:t>个民族，其中少数民族共有</w:t>
      </w:r>
      <w:r>
        <w:rPr>
          <w:szCs w:val="32"/>
        </w:rPr>
        <w:t>243</w:t>
      </w:r>
      <w:r>
        <w:rPr>
          <w:rFonts w:hint="eastAsia"/>
          <w:szCs w:val="32"/>
        </w:rPr>
        <w:t>人，回族在少数民族中人口最多。</w:t>
      </w:r>
    </w:p>
    <w:p>
      <w:pPr>
        <w:ind w:firstLine="640"/>
        <w:rPr>
          <w:szCs w:val="32"/>
        </w:rPr>
      </w:pPr>
      <w:r>
        <w:rPr>
          <w:rFonts w:hint="eastAsia"/>
          <w:szCs w:val="32"/>
        </w:rPr>
        <w:t>昭化区常住人口情况如图</w:t>
      </w:r>
      <w:r>
        <w:rPr>
          <w:szCs w:val="32"/>
        </w:rPr>
        <w:t>1-5</w:t>
      </w:r>
      <w:r>
        <w:rPr>
          <w:rFonts w:hint="eastAsia"/>
          <w:szCs w:val="32"/>
        </w:rPr>
        <w:t>所示。</w:t>
      </w:r>
    </w:p>
    <w:p>
      <w:pPr>
        <w:spacing w:line="240" w:lineRule="auto"/>
        <w:ind w:firstLine="0" w:firstLineChars="0"/>
        <w:jc w:val="center"/>
        <w:rPr>
          <w:szCs w:val="32"/>
        </w:rPr>
      </w:pPr>
      <w:r>
        <w:rPr>
          <w:rFonts w:hint="eastAsia"/>
        </w:rPr>
        <w:object>
          <v:shape id="_x0000_i1031" o:spt="75" type="#_x0000_t75" style="height:216pt;width:361pt;" o:ole="t" filled="f" stroked="f" coordsize="21600,21600">
            <v:path/>
            <v:fill on="f" focussize="0,0"/>
            <v:stroke on="f"/>
            <v:imagedata r:id="rId20" o:title=""/>
            <o:lock v:ext="edit" grouping="f" rotation="f" text="f" aspectratio="f"/>
            <w10:wrap type="none"/>
            <w10:anchorlock/>
          </v:shape>
          <o:OLEObject Type="Embed" ProgID="Excel.Chart.8" ShapeID="_x0000_i1031" DrawAspect="Content" ObjectID="_1468075725" r:id="rId19">
            <o:LockedField>false</o:LockedField>
          </o:OLEObject>
        </w:object>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1-5 </w:t>
      </w:r>
      <w:r>
        <w:rPr>
          <w:rFonts w:hint="eastAsia" w:eastAsia="黑体"/>
          <w:sz w:val="28"/>
          <w:szCs w:val="28"/>
        </w:rPr>
        <w:t>昭化区常住人口变化趋势图</w:t>
      </w:r>
    </w:p>
    <w:p>
      <w:pPr>
        <w:widowControl/>
        <w:shd w:val="clear" w:color="auto" w:fill="FFFFFF"/>
        <w:ind w:firstLine="640"/>
        <w:rPr>
          <w:rFonts w:eastAsia="黑体"/>
          <w:szCs w:val="32"/>
        </w:rPr>
      </w:pPr>
      <w:r>
        <w:rPr>
          <w:rFonts w:eastAsia="黑体"/>
          <w:szCs w:val="32"/>
        </w:rPr>
        <w:t>3.</w:t>
      </w:r>
      <w:r>
        <w:rPr>
          <w:rFonts w:hint="eastAsia" w:eastAsia="黑体"/>
          <w:szCs w:val="32"/>
        </w:rPr>
        <w:t>经济增长</w:t>
      </w:r>
    </w:p>
    <w:p>
      <w:pPr>
        <w:ind w:firstLine="640"/>
        <w:rPr>
          <w:szCs w:val="32"/>
        </w:rPr>
      </w:pPr>
      <w:r>
        <w:rPr>
          <w:szCs w:val="32"/>
        </w:rPr>
        <w:t>2019</w:t>
      </w:r>
      <w:r>
        <w:rPr>
          <w:rFonts w:hint="eastAsia"/>
          <w:szCs w:val="32"/>
        </w:rPr>
        <w:t>年实现地区生产总值（</w:t>
      </w:r>
      <w:r>
        <w:rPr>
          <w:szCs w:val="32"/>
        </w:rPr>
        <w:t>GDP</w:t>
      </w:r>
      <w:r>
        <w:rPr>
          <w:rFonts w:hint="eastAsia"/>
          <w:szCs w:val="32"/>
        </w:rPr>
        <w:t>）</w:t>
      </w:r>
      <w:r>
        <w:rPr>
          <w:szCs w:val="32"/>
        </w:rPr>
        <w:t>652441</w:t>
      </w:r>
      <w:r>
        <w:rPr>
          <w:rFonts w:hint="eastAsia"/>
          <w:szCs w:val="32"/>
        </w:rPr>
        <w:t>万元，按可比价格计算，比上年增长</w:t>
      </w:r>
      <w:r>
        <w:rPr>
          <w:szCs w:val="32"/>
        </w:rPr>
        <w:t>7.3%</w:t>
      </w:r>
      <w:r>
        <w:rPr>
          <w:rFonts w:hint="eastAsia"/>
          <w:szCs w:val="32"/>
        </w:rPr>
        <w:t>。其中，第一产业增加值</w:t>
      </w:r>
      <w:r>
        <w:rPr>
          <w:szCs w:val="32"/>
        </w:rPr>
        <w:t>159634</w:t>
      </w:r>
      <w:r>
        <w:rPr>
          <w:rFonts w:hint="eastAsia"/>
          <w:szCs w:val="32"/>
        </w:rPr>
        <w:t>万元，增长</w:t>
      </w:r>
      <w:r>
        <w:rPr>
          <w:szCs w:val="32"/>
        </w:rPr>
        <w:t>3.1%</w:t>
      </w:r>
      <w:r>
        <w:rPr>
          <w:rFonts w:hint="eastAsia"/>
          <w:szCs w:val="32"/>
        </w:rPr>
        <w:t>；第二产业增加值</w:t>
      </w:r>
      <w:r>
        <w:rPr>
          <w:szCs w:val="32"/>
        </w:rPr>
        <w:t>279236</w:t>
      </w:r>
      <w:r>
        <w:rPr>
          <w:rFonts w:hint="eastAsia"/>
          <w:szCs w:val="32"/>
        </w:rPr>
        <w:t>万元，增长</w:t>
      </w:r>
      <w:r>
        <w:rPr>
          <w:szCs w:val="32"/>
        </w:rPr>
        <w:t>7.5%</w:t>
      </w:r>
      <w:r>
        <w:rPr>
          <w:rFonts w:hint="eastAsia"/>
          <w:szCs w:val="32"/>
        </w:rPr>
        <w:t>；第三产业增加值</w:t>
      </w:r>
      <w:r>
        <w:rPr>
          <w:szCs w:val="32"/>
        </w:rPr>
        <w:t>213571</w:t>
      </w:r>
      <w:r>
        <w:rPr>
          <w:rFonts w:hint="eastAsia"/>
          <w:szCs w:val="32"/>
        </w:rPr>
        <w:t>万元，增长</w:t>
      </w:r>
      <w:r>
        <w:rPr>
          <w:szCs w:val="32"/>
        </w:rPr>
        <w:t>10.5%</w:t>
      </w:r>
      <w:r>
        <w:rPr>
          <w:rFonts w:hint="eastAsia"/>
          <w:szCs w:val="32"/>
        </w:rPr>
        <w:t>。三次产业对经济增长的贡献率分别为</w:t>
      </w:r>
      <w:r>
        <w:rPr>
          <w:szCs w:val="32"/>
        </w:rPr>
        <w:t>9.9%</w:t>
      </w:r>
      <w:r>
        <w:rPr>
          <w:rFonts w:hint="eastAsia"/>
          <w:szCs w:val="32"/>
        </w:rPr>
        <w:t>、</w:t>
      </w:r>
      <w:r>
        <w:rPr>
          <w:szCs w:val="32"/>
        </w:rPr>
        <w:t>51.7%</w:t>
      </w:r>
      <w:r>
        <w:rPr>
          <w:rFonts w:hint="eastAsia"/>
          <w:szCs w:val="32"/>
        </w:rPr>
        <w:t>、</w:t>
      </w:r>
      <w:r>
        <w:rPr>
          <w:szCs w:val="32"/>
        </w:rPr>
        <w:t>38.5%</w:t>
      </w:r>
      <w:r>
        <w:rPr>
          <w:rFonts w:hint="eastAsia"/>
          <w:szCs w:val="32"/>
        </w:rPr>
        <w:t>，拉动</w:t>
      </w:r>
      <w:r>
        <w:rPr>
          <w:szCs w:val="32"/>
        </w:rPr>
        <w:t>GDP</w:t>
      </w:r>
      <w:r>
        <w:rPr>
          <w:rFonts w:hint="eastAsia"/>
          <w:szCs w:val="32"/>
        </w:rPr>
        <w:t>增长</w:t>
      </w:r>
      <w:r>
        <w:rPr>
          <w:szCs w:val="32"/>
        </w:rPr>
        <w:t>0.7</w:t>
      </w:r>
      <w:r>
        <w:rPr>
          <w:rFonts w:hint="eastAsia"/>
          <w:szCs w:val="32"/>
        </w:rPr>
        <w:t>个百分点、</w:t>
      </w:r>
      <w:r>
        <w:rPr>
          <w:szCs w:val="32"/>
        </w:rPr>
        <w:t>3.8</w:t>
      </w:r>
      <w:r>
        <w:rPr>
          <w:rFonts w:hint="eastAsia"/>
          <w:szCs w:val="32"/>
        </w:rPr>
        <w:t>个百分点、</w:t>
      </w:r>
      <w:r>
        <w:rPr>
          <w:szCs w:val="32"/>
        </w:rPr>
        <w:t>2.8</w:t>
      </w:r>
      <w:r>
        <w:rPr>
          <w:rFonts w:hint="eastAsia"/>
          <w:szCs w:val="32"/>
        </w:rPr>
        <w:t>个百分点。三次产业结构由上年末的</w:t>
      </w:r>
      <w:r>
        <w:rPr>
          <w:szCs w:val="32"/>
        </w:rPr>
        <w:t>23.2:45.9:30.9</w:t>
      </w:r>
      <w:r>
        <w:rPr>
          <w:rFonts w:hint="eastAsia"/>
          <w:szCs w:val="32"/>
        </w:rPr>
        <w:t>调整为</w:t>
      </w:r>
      <w:r>
        <w:rPr>
          <w:szCs w:val="32"/>
        </w:rPr>
        <w:t>24.5:42.8:32.7</w:t>
      </w:r>
      <w:r>
        <w:rPr>
          <w:rFonts w:hint="eastAsia"/>
          <w:szCs w:val="32"/>
        </w:rPr>
        <w:t>。第二产业较上年下降</w:t>
      </w:r>
      <w:r>
        <w:rPr>
          <w:szCs w:val="32"/>
        </w:rPr>
        <w:t>3.1</w:t>
      </w:r>
      <w:r>
        <w:rPr>
          <w:rFonts w:hint="eastAsia"/>
          <w:szCs w:val="32"/>
        </w:rPr>
        <w:t>个百分点，第一、三产业分别较上年提高</w:t>
      </w:r>
      <w:r>
        <w:rPr>
          <w:szCs w:val="32"/>
        </w:rPr>
        <w:t>1.3</w:t>
      </w:r>
      <w:r>
        <w:rPr>
          <w:rFonts w:hint="eastAsia"/>
          <w:szCs w:val="32"/>
        </w:rPr>
        <w:t>个、</w:t>
      </w:r>
      <w:r>
        <w:rPr>
          <w:szCs w:val="32"/>
        </w:rPr>
        <w:t>1.8</w:t>
      </w:r>
      <w:r>
        <w:rPr>
          <w:rFonts w:hint="eastAsia"/>
          <w:szCs w:val="32"/>
        </w:rPr>
        <w:t>个百分点。</w:t>
      </w:r>
    </w:p>
    <w:p>
      <w:pPr>
        <w:ind w:firstLine="640"/>
        <w:rPr>
          <w:szCs w:val="32"/>
        </w:rPr>
      </w:pPr>
      <w:r>
        <w:rPr>
          <w:rFonts w:hint="eastAsia"/>
          <w:szCs w:val="32"/>
        </w:rPr>
        <w:t>按常住人口计算，人均</w:t>
      </w:r>
      <w:r>
        <w:rPr>
          <w:szCs w:val="32"/>
        </w:rPr>
        <w:t>GDP</w:t>
      </w:r>
      <w:r>
        <w:rPr>
          <w:rFonts w:hint="eastAsia"/>
          <w:szCs w:val="32"/>
        </w:rPr>
        <w:t>达到</w:t>
      </w:r>
      <w:r>
        <w:rPr>
          <w:szCs w:val="32"/>
        </w:rPr>
        <w:t>34983</w:t>
      </w:r>
      <w:r>
        <w:rPr>
          <w:rFonts w:hint="eastAsia"/>
          <w:szCs w:val="32"/>
        </w:rPr>
        <w:t>元，比上年增加</w:t>
      </w:r>
      <w:r>
        <w:rPr>
          <w:szCs w:val="32"/>
        </w:rPr>
        <w:t>5440</w:t>
      </w:r>
      <w:r>
        <w:rPr>
          <w:rFonts w:hint="eastAsia"/>
          <w:szCs w:val="32"/>
        </w:rPr>
        <w:t>元，增长</w:t>
      </w:r>
      <w:r>
        <w:rPr>
          <w:szCs w:val="32"/>
        </w:rPr>
        <w:t>6.5%</w:t>
      </w:r>
      <w:r>
        <w:rPr>
          <w:rFonts w:hint="eastAsia"/>
          <w:szCs w:val="32"/>
        </w:rPr>
        <w:t>。城镇化率达到</w:t>
      </w:r>
      <w:r>
        <w:rPr>
          <w:szCs w:val="32"/>
        </w:rPr>
        <w:t>37.68%</w:t>
      </w:r>
      <w:r>
        <w:rPr>
          <w:rFonts w:hint="eastAsia"/>
          <w:szCs w:val="32"/>
        </w:rPr>
        <w:t>，较上年提高</w:t>
      </w:r>
      <w:r>
        <w:rPr>
          <w:szCs w:val="32"/>
        </w:rPr>
        <w:t>1.47</w:t>
      </w:r>
      <w:r>
        <w:rPr>
          <w:rFonts w:hint="eastAsia"/>
          <w:szCs w:val="32"/>
        </w:rPr>
        <w:t>个百分点。建成区面积</w:t>
      </w:r>
      <w:r>
        <w:rPr>
          <w:szCs w:val="32"/>
        </w:rPr>
        <w:t>3.99</w:t>
      </w:r>
      <w:r>
        <w:rPr>
          <w:rFonts w:hint="eastAsia"/>
          <w:szCs w:val="32"/>
        </w:rPr>
        <w:t>平方公里。人均公园绿地面积</w:t>
      </w:r>
      <w:r>
        <w:rPr>
          <w:szCs w:val="32"/>
        </w:rPr>
        <w:t>18.75</w:t>
      </w:r>
      <w:r>
        <w:rPr>
          <w:rFonts w:hint="eastAsia"/>
          <w:szCs w:val="32"/>
        </w:rPr>
        <w:t>平方米，建成区绿化覆盖率、绿地率分别为</w:t>
      </w:r>
      <w:r>
        <w:rPr>
          <w:szCs w:val="32"/>
        </w:rPr>
        <w:t>36.37%</w:t>
      </w:r>
      <w:r>
        <w:rPr>
          <w:rFonts w:hint="eastAsia"/>
          <w:szCs w:val="32"/>
        </w:rPr>
        <w:t>和</w:t>
      </w:r>
      <w:r>
        <w:rPr>
          <w:szCs w:val="32"/>
        </w:rPr>
        <w:t>31.54%</w:t>
      </w:r>
      <w:r>
        <w:rPr>
          <w:rFonts w:hint="eastAsia"/>
          <w:szCs w:val="32"/>
        </w:rPr>
        <w:t>。</w:t>
      </w:r>
    </w:p>
    <w:p>
      <w:pPr>
        <w:widowControl/>
        <w:shd w:val="clear" w:color="auto" w:fill="FFFFFF"/>
        <w:ind w:firstLine="640"/>
        <w:rPr>
          <w:szCs w:val="32"/>
        </w:rPr>
      </w:pPr>
      <w:r>
        <w:rPr>
          <w:rFonts w:hint="eastAsia"/>
          <w:szCs w:val="32"/>
        </w:rPr>
        <w:t>昭化区历年经济社会发展情况见表</w:t>
      </w:r>
      <w:r>
        <w:rPr>
          <w:szCs w:val="32"/>
        </w:rPr>
        <w:t>1-1</w:t>
      </w:r>
      <w:r>
        <w:rPr>
          <w:rFonts w:hint="eastAsia"/>
          <w:szCs w:val="32"/>
        </w:rPr>
        <w:t>及图</w:t>
      </w:r>
      <w:r>
        <w:rPr>
          <w:szCs w:val="32"/>
        </w:rPr>
        <w:t>1-6</w:t>
      </w:r>
      <w:r>
        <w:rPr>
          <w:rFonts w:hint="eastAsia"/>
          <w:szCs w:val="32"/>
        </w:rPr>
        <w:t>、</w:t>
      </w:r>
      <w:r>
        <w:rPr>
          <w:szCs w:val="32"/>
        </w:rPr>
        <w:t>1-7</w:t>
      </w:r>
      <w:r>
        <w:rPr>
          <w:rFonts w:hint="eastAsia"/>
          <w:szCs w:val="32"/>
        </w:rPr>
        <w:t>和</w:t>
      </w:r>
      <w:r>
        <w:rPr>
          <w:szCs w:val="32"/>
        </w:rPr>
        <w:t>1-8</w:t>
      </w:r>
      <w:r>
        <w:rPr>
          <w:rFonts w:hint="eastAsia"/>
          <w:szCs w:val="32"/>
        </w:rPr>
        <w:t>所示。</w:t>
      </w:r>
    </w:p>
    <w:p>
      <w:pPr>
        <w:widowControl/>
        <w:shd w:val="clear" w:color="auto" w:fill="FFFFFF"/>
        <w:ind w:firstLine="0" w:firstLineChars="0"/>
        <w:jc w:val="center"/>
        <w:rPr>
          <w:rFonts w:eastAsia="黑体"/>
          <w:sz w:val="28"/>
          <w:szCs w:val="28"/>
        </w:rPr>
      </w:pPr>
      <w:r>
        <w:rPr>
          <w:rFonts w:hint="eastAsia" w:eastAsia="黑体"/>
          <w:sz w:val="28"/>
          <w:szCs w:val="28"/>
        </w:rPr>
        <w:t>表</w:t>
      </w:r>
      <w:r>
        <w:rPr>
          <w:rFonts w:eastAsia="黑体"/>
          <w:sz w:val="28"/>
          <w:szCs w:val="28"/>
        </w:rPr>
        <w:t xml:space="preserve">1-1 </w:t>
      </w:r>
      <w:r>
        <w:rPr>
          <w:rFonts w:hint="eastAsia" w:eastAsia="黑体"/>
          <w:sz w:val="28"/>
          <w:szCs w:val="28"/>
        </w:rPr>
        <w:t>昭化区历年经济社会发展情况</w:t>
      </w:r>
    </w:p>
    <w:tbl>
      <w:tblPr>
        <w:tblStyle w:val="10"/>
        <w:tblW w:w="0" w:type="auto"/>
        <w:jc w:val="center"/>
        <w:tblLayout w:type="fixed"/>
        <w:tblCellMar>
          <w:top w:w="0" w:type="dxa"/>
          <w:left w:w="108" w:type="dxa"/>
          <w:bottom w:w="0" w:type="dxa"/>
          <w:right w:w="108" w:type="dxa"/>
        </w:tblCellMar>
      </w:tblPr>
      <w:tblGrid>
        <w:gridCol w:w="1433"/>
        <w:gridCol w:w="1351"/>
        <w:gridCol w:w="1235"/>
        <w:gridCol w:w="1235"/>
        <w:gridCol w:w="1235"/>
        <w:gridCol w:w="1235"/>
        <w:gridCol w:w="1237"/>
      </w:tblGrid>
      <w:tr>
        <w:tblPrEx>
          <w:tblCellMar>
            <w:top w:w="0" w:type="dxa"/>
            <w:left w:w="108" w:type="dxa"/>
            <w:bottom w:w="0" w:type="dxa"/>
            <w:right w:w="108" w:type="dxa"/>
          </w:tblCellMar>
        </w:tblPrEx>
        <w:trPr>
          <w:trHeight w:val="454" w:hRule="atLeast"/>
          <w:jc w:val="center"/>
        </w:trPr>
        <w:tc>
          <w:tcPr>
            <w:tcW w:w="1433" w:type="dxa"/>
            <w:vMerge w:val="restart"/>
            <w:tcBorders>
              <w:top w:val="single" w:color="000000" w:sz="12" w:space="0"/>
              <w:left w:val="single" w:color="000000" w:sz="12" w:space="0"/>
              <w:bottom w:val="single" w:color="000000" w:sz="8" w:space="0"/>
              <w:right w:val="single" w:color="000000" w:sz="8" w:space="0"/>
            </w:tcBorders>
            <w:noWrap w:val="0"/>
            <w:vAlign w:val="center"/>
          </w:tcPr>
          <w:p>
            <w:pPr>
              <w:widowControl/>
              <w:spacing w:line="240" w:lineRule="auto"/>
              <w:ind w:firstLine="360" w:firstLineChars="150"/>
              <w:rPr>
                <w:rFonts w:eastAsia="黑体"/>
                <w:kern w:val="0"/>
                <w:sz w:val="24"/>
                <w:szCs w:val="24"/>
              </w:rPr>
            </w:pPr>
            <w:r>
              <w:rPr>
                <w:rFonts w:hint="eastAsia" w:eastAsia="黑体"/>
                <w:kern w:val="0"/>
                <w:sz w:val="24"/>
                <w:szCs w:val="24"/>
              </w:rPr>
              <w:t>年份</w:t>
            </w:r>
          </w:p>
        </w:tc>
        <w:tc>
          <w:tcPr>
            <w:tcW w:w="1351" w:type="dxa"/>
            <w:tcBorders>
              <w:top w:val="single" w:color="000000" w:sz="12" w:space="0"/>
              <w:left w:val="nil"/>
              <w:bottom w:val="nil"/>
              <w:right w:val="single" w:color="000000" w:sz="8" w:space="0"/>
            </w:tcBorders>
            <w:noWrap w:val="0"/>
            <w:vAlign w:val="center"/>
          </w:tcPr>
          <w:p>
            <w:pPr>
              <w:widowControl/>
              <w:spacing w:line="240" w:lineRule="auto"/>
              <w:ind w:firstLine="439" w:firstLineChars="183"/>
              <w:rPr>
                <w:rFonts w:eastAsia="黑体"/>
                <w:kern w:val="0"/>
                <w:sz w:val="24"/>
                <w:szCs w:val="24"/>
              </w:rPr>
            </w:pPr>
            <w:r>
              <w:rPr>
                <w:rFonts w:eastAsia="黑体"/>
                <w:kern w:val="0"/>
                <w:sz w:val="24"/>
                <w:szCs w:val="24"/>
              </w:rPr>
              <w:t>GDP</w:t>
            </w:r>
          </w:p>
        </w:tc>
        <w:tc>
          <w:tcPr>
            <w:tcW w:w="1235" w:type="dxa"/>
            <w:tcBorders>
              <w:top w:val="single" w:color="000000" w:sz="12" w:space="0"/>
              <w:left w:val="nil"/>
              <w:bottom w:val="nil"/>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第一产业</w:t>
            </w:r>
          </w:p>
        </w:tc>
        <w:tc>
          <w:tcPr>
            <w:tcW w:w="1235" w:type="dxa"/>
            <w:tcBorders>
              <w:top w:val="single" w:color="000000" w:sz="12" w:space="0"/>
              <w:left w:val="nil"/>
              <w:bottom w:val="nil"/>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第二产业</w:t>
            </w:r>
          </w:p>
        </w:tc>
        <w:tc>
          <w:tcPr>
            <w:tcW w:w="1235" w:type="dxa"/>
            <w:tcBorders>
              <w:top w:val="single" w:color="000000" w:sz="12" w:space="0"/>
              <w:left w:val="nil"/>
              <w:bottom w:val="nil"/>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第三产业</w:t>
            </w:r>
          </w:p>
        </w:tc>
        <w:tc>
          <w:tcPr>
            <w:tcW w:w="1235" w:type="dxa"/>
            <w:tcBorders>
              <w:top w:val="single" w:color="000000" w:sz="12" w:space="0"/>
              <w:left w:val="nil"/>
              <w:bottom w:val="nil"/>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常住人口</w:t>
            </w:r>
          </w:p>
        </w:tc>
        <w:tc>
          <w:tcPr>
            <w:tcW w:w="1237" w:type="dxa"/>
            <w:vMerge w:val="restart"/>
            <w:tcBorders>
              <w:top w:val="single" w:color="000000" w:sz="12" w:space="0"/>
              <w:left w:val="single" w:color="000000" w:sz="8" w:space="0"/>
              <w:bottom w:val="single" w:color="000000" w:sz="8" w:space="0"/>
              <w:right w:val="single" w:color="000000" w:sz="12"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人均</w:t>
            </w:r>
            <w:r>
              <w:rPr>
                <w:rFonts w:eastAsia="黑体"/>
                <w:kern w:val="0"/>
                <w:sz w:val="24"/>
                <w:szCs w:val="24"/>
              </w:rPr>
              <w:t>GDP</w:t>
            </w:r>
            <w:r>
              <w:rPr>
                <w:rFonts w:hint="eastAsia" w:eastAsia="黑体"/>
                <w:kern w:val="0"/>
                <w:sz w:val="24"/>
                <w:szCs w:val="24"/>
              </w:rPr>
              <w:t>（元）</w:t>
            </w:r>
          </w:p>
        </w:tc>
      </w:tr>
      <w:tr>
        <w:tblPrEx>
          <w:tblCellMar>
            <w:top w:w="0" w:type="dxa"/>
            <w:left w:w="108" w:type="dxa"/>
            <w:bottom w:w="0" w:type="dxa"/>
            <w:right w:w="108" w:type="dxa"/>
          </w:tblCellMar>
        </w:tblPrEx>
        <w:trPr>
          <w:trHeight w:val="454" w:hRule="atLeast"/>
          <w:jc w:val="center"/>
        </w:trPr>
        <w:tc>
          <w:tcPr>
            <w:tcW w:w="1433" w:type="dxa"/>
            <w:vMerge w:val="continue"/>
            <w:tcBorders>
              <w:top w:val="single" w:color="000000" w:sz="12" w:space="0"/>
              <w:left w:val="single" w:color="000000" w:sz="12" w:space="0"/>
              <w:bottom w:val="single" w:color="000000" w:sz="8" w:space="0"/>
              <w:right w:val="single" w:color="000000" w:sz="8" w:space="0"/>
            </w:tcBorders>
            <w:noWrap w:val="0"/>
            <w:vAlign w:val="center"/>
          </w:tcPr>
          <w:p>
            <w:pPr>
              <w:widowControl/>
              <w:spacing w:line="240" w:lineRule="auto"/>
              <w:ind w:firstLine="480"/>
              <w:jc w:val="center"/>
              <w:rPr>
                <w:rFonts w:eastAsia="黑体"/>
                <w:kern w:val="0"/>
                <w:sz w:val="24"/>
                <w:szCs w:val="24"/>
              </w:rPr>
            </w:pPr>
          </w:p>
        </w:tc>
        <w:tc>
          <w:tcPr>
            <w:tcW w:w="1351" w:type="dxa"/>
            <w:tcBorders>
              <w:top w:val="nil"/>
              <w:left w:val="nil"/>
              <w:bottom w:val="single" w:color="000000" w:sz="8" w:space="0"/>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（亿元）</w:t>
            </w:r>
          </w:p>
        </w:tc>
        <w:tc>
          <w:tcPr>
            <w:tcW w:w="1235" w:type="dxa"/>
            <w:tcBorders>
              <w:top w:val="nil"/>
              <w:left w:val="nil"/>
              <w:bottom w:val="single" w:color="000000" w:sz="8" w:space="0"/>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（亿元）</w:t>
            </w:r>
          </w:p>
        </w:tc>
        <w:tc>
          <w:tcPr>
            <w:tcW w:w="1235" w:type="dxa"/>
            <w:tcBorders>
              <w:top w:val="nil"/>
              <w:left w:val="nil"/>
              <w:bottom w:val="single" w:color="000000" w:sz="8" w:space="0"/>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（亿元）</w:t>
            </w:r>
          </w:p>
        </w:tc>
        <w:tc>
          <w:tcPr>
            <w:tcW w:w="1235" w:type="dxa"/>
            <w:tcBorders>
              <w:top w:val="nil"/>
              <w:left w:val="nil"/>
              <w:bottom w:val="single" w:color="000000" w:sz="8" w:space="0"/>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（亿元）</w:t>
            </w:r>
          </w:p>
        </w:tc>
        <w:tc>
          <w:tcPr>
            <w:tcW w:w="1235" w:type="dxa"/>
            <w:tcBorders>
              <w:top w:val="nil"/>
              <w:left w:val="nil"/>
              <w:bottom w:val="single" w:color="000000" w:sz="8" w:space="0"/>
              <w:right w:val="single" w:color="000000" w:sz="8"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（万人）</w:t>
            </w:r>
          </w:p>
        </w:tc>
        <w:tc>
          <w:tcPr>
            <w:tcW w:w="1237" w:type="dxa"/>
            <w:vMerge w:val="continue"/>
            <w:tcBorders>
              <w:top w:val="single" w:color="000000" w:sz="12" w:space="0"/>
              <w:left w:val="single" w:color="000000" w:sz="8" w:space="0"/>
              <w:bottom w:val="single" w:color="000000" w:sz="8" w:space="0"/>
              <w:right w:val="single" w:color="000000" w:sz="12" w:space="0"/>
            </w:tcBorders>
            <w:noWrap w:val="0"/>
            <w:vAlign w:val="center"/>
          </w:tcPr>
          <w:p>
            <w:pPr>
              <w:widowControl/>
              <w:spacing w:line="240" w:lineRule="auto"/>
              <w:ind w:firstLine="480"/>
              <w:jc w:val="center"/>
              <w:rPr>
                <w:rFonts w:eastAsia="黑体"/>
                <w:kern w:val="0"/>
                <w:sz w:val="24"/>
                <w:szCs w:val="24"/>
              </w:rPr>
            </w:pP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2009</w:t>
            </w:r>
          </w:p>
        </w:tc>
        <w:tc>
          <w:tcPr>
            <w:tcW w:w="1351"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18.46</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7.56</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5.02</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5.88</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21.33</w:t>
            </w:r>
          </w:p>
        </w:tc>
        <w:tc>
          <w:tcPr>
            <w:tcW w:w="1237" w:type="dxa"/>
            <w:tcBorders>
              <w:top w:val="nil"/>
              <w:left w:val="nil"/>
              <w:bottom w:val="single" w:color="000000" w:sz="8" w:space="0"/>
              <w:right w:val="single" w:color="000000" w:sz="12" w:space="0"/>
            </w:tcBorders>
            <w:noWrap w:val="0"/>
            <w:vAlign w:val="center"/>
          </w:tcPr>
          <w:p>
            <w:pPr>
              <w:widowControl/>
              <w:spacing w:line="300" w:lineRule="exact"/>
              <w:ind w:firstLine="199" w:firstLineChars="83"/>
              <w:jc w:val="center"/>
              <w:rPr>
                <w:kern w:val="0"/>
                <w:sz w:val="24"/>
                <w:szCs w:val="24"/>
              </w:rPr>
            </w:pPr>
            <w:r>
              <w:rPr>
                <w:kern w:val="0"/>
                <w:sz w:val="24"/>
                <w:szCs w:val="24"/>
              </w:rPr>
              <w:t>8881</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2010</w:t>
            </w:r>
          </w:p>
        </w:tc>
        <w:tc>
          <w:tcPr>
            <w:tcW w:w="1351"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22.60</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7.98</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8.07</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6.56</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21.33</w:t>
            </w:r>
          </w:p>
        </w:tc>
        <w:tc>
          <w:tcPr>
            <w:tcW w:w="1237" w:type="dxa"/>
            <w:tcBorders>
              <w:top w:val="nil"/>
              <w:left w:val="nil"/>
              <w:bottom w:val="single" w:color="000000" w:sz="8" w:space="0"/>
              <w:right w:val="single" w:color="000000" w:sz="12" w:space="0"/>
            </w:tcBorders>
            <w:noWrap w:val="0"/>
            <w:vAlign w:val="center"/>
          </w:tcPr>
          <w:p>
            <w:pPr>
              <w:widowControl/>
              <w:spacing w:line="300" w:lineRule="exact"/>
              <w:ind w:firstLine="199" w:firstLineChars="83"/>
              <w:jc w:val="center"/>
              <w:rPr>
                <w:kern w:val="0"/>
                <w:sz w:val="24"/>
                <w:szCs w:val="24"/>
              </w:rPr>
            </w:pPr>
            <w:r>
              <w:rPr>
                <w:kern w:val="0"/>
                <w:sz w:val="24"/>
                <w:szCs w:val="24"/>
              </w:rPr>
              <w:t>11841</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2011</w:t>
            </w:r>
          </w:p>
        </w:tc>
        <w:tc>
          <w:tcPr>
            <w:tcW w:w="1351"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29.61</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8.76</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13.32</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7.52</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17.10</w:t>
            </w:r>
          </w:p>
        </w:tc>
        <w:tc>
          <w:tcPr>
            <w:tcW w:w="1237" w:type="dxa"/>
            <w:tcBorders>
              <w:top w:val="nil"/>
              <w:left w:val="nil"/>
              <w:bottom w:val="single" w:color="000000" w:sz="8" w:space="0"/>
              <w:right w:val="single" w:color="000000" w:sz="12" w:space="0"/>
            </w:tcBorders>
            <w:noWrap w:val="0"/>
            <w:vAlign w:val="center"/>
          </w:tcPr>
          <w:p>
            <w:pPr>
              <w:widowControl/>
              <w:spacing w:line="300" w:lineRule="exact"/>
              <w:ind w:firstLine="199" w:firstLineChars="83"/>
              <w:jc w:val="center"/>
              <w:rPr>
                <w:kern w:val="0"/>
                <w:sz w:val="24"/>
                <w:szCs w:val="24"/>
              </w:rPr>
            </w:pPr>
            <w:r>
              <w:rPr>
                <w:kern w:val="0"/>
                <w:sz w:val="24"/>
                <w:szCs w:val="24"/>
              </w:rPr>
              <w:t>17436</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240" w:lineRule="exact"/>
              <w:ind w:firstLine="199" w:firstLineChars="83"/>
              <w:jc w:val="center"/>
              <w:rPr>
                <w:kern w:val="0"/>
                <w:sz w:val="24"/>
                <w:szCs w:val="24"/>
              </w:rPr>
            </w:pPr>
            <w:r>
              <w:rPr>
                <w:kern w:val="0"/>
                <w:sz w:val="24"/>
                <w:szCs w:val="24"/>
              </w:rPr>
              <w:t>2012</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34.47</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9.63</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16.42</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8.42</w:t>
            </w:r>
          </w:p>
        </w:tc>
        <w:tc>
          <w:tcPr>
            <w:tcW w:w="1235" w:type="dxa"/>
            <w:tcBorders>
              <w:top w:val="nil"/>
              <w:left w:val="nil"/>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17.50</w:t>
            </w:r>
          </w:p>
        </w:tc>
        <w:tc>
          <w:tcPr>
            <w:tcW w:w="1237" w:type="dxa"/>
            <w:tcBorders>
              <w:top w:val="nil"/>
              <w:left w:val="nil"/>
              <w:bottom w:val="single" w:color="000000" w:sz="8" w:space="0"/>
              <w:right w:val="single" w:color="000000" w:sz="12" w:space="0"/>
            </w:tcBorders>
            <w:noWrap w:val="0"/>
            <w:vAlign w:val="top"/>
          </w:tcPr>
          <w:p>
            <w:pPr>
              <w:spacing w:line="300" w:lineRule="exact"/>
              <w:ind w:firstLine="199" w:firstLineChars="83"/>
              <w:jc w:val="center"/>
              <w:rPr>
                <w:kern w:val="0"/>
                <w:sz w:val="24"/>
                <w:szCs w:val="24"/>
              </w:rPr>
            </w:pPr>
            <w:r>
              <w:rPr>
                <w:kern w:val="0"/>
                <w:sz w:val="24"/>
                <w:szCs w:val="24"/>
              </w:rPr>
              <w:t>19926</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2013</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36.98</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10.07</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17.50</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15.40</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17.69</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21021</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2014</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39.01</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10.29</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17.88</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10.84</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17.87</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21952</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2015</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41.08</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10.72</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18.45</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11.90</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18.34</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22683</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2016</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44.96</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11.44</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20.16</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13.37</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18.35</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24502</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2017</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50.07</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12.16</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22.67</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15.23</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18.42</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27224</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2018</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54.69</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12.69</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25.11</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16.89</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18.60</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29543</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2019</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65.24</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15.96</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27.92</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21.36</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18.70</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34983</w:t>
            </w:r>
          </w:p>
        </w:tc>
      </w:tr>
      <w:tr>
        <w:tblPrEx>
          <w:tblCellMar>
            <w:top w:w="0" w:type="dxa"/>
            <w:left w:w="108" w:type="dxa"/>
            <w:bottom w:w="0" w:type="dxa"/>
            <w:right w:w="108" w:type="dxa"/>
          </w:tblCellMar>
        </w:tblPrEx>
        <w:trPr>
          <w:trHeight w:val="454" w:hRule="atLeast"/>
          <w:jc w:val="center"/>
        </w:trPr>
        <w:tc>
          <w:tcPr>
            <w:tcW w:w="8961" w:type="dxa"/>
            <w:gridSpan w:val="7"/>
            <w:tcBorders>
              <w:top w:val="single" w:color="000000" w:sz="8" w:space="0"/>
              <w:left w:val="single" w:color="000000" w:sz="12" w:space="0"/>
              <w:bottom w:val="single" w:color="000000" w:sz="8" w:space="0"/>
              <w:right w:val="single" w:color="000000" w:sz="12" w:space="0"/>
            </w:tcBorders>
            <w:noWrap w:val="0"/>
            <w:vAlign w:val="center"/>
          </w:tcPr>
          <w:p>
            <w:pPr>
              <w:widowControl/>
              <w:spacing w:line="300" w:lineRule="exact"/>
              <w:ind w:firstLine="480"/>
              <w:jc w:val="center"/>
              <w:rPr>
                <w:rFonts w:eastAsia="黑体"/>
                <w:kern w:val="0"/>
                <w:sz w:val="24"/>
                <w:szCs w:val="24"/>
              </w:rPr>
            </w:pPr>
            <w:r>
              <w:rPr>
                <w:rFonts w:hint="eastAsia" w:eastAsia="黑体"/>
                <w:kern w:val="0"/>
                <w:sz w:val="24"/>
                <w:szCs w:val="24"/>
              </w:rPr>
              <w:t>年均增长率</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8" w:space="0"/>
              <w:right w:val="single" w:color="000000" w:sz="8" w:space="0"/>
            </w:tcBorders>
            <w:noWrap w:val="0"/>
            <w:vAlign w:val="center"/>
          </w:tcPr>
          <w:p>
            <w:pPr>
              <w:widowControl/>
              <w:spacing w:line="300" w:lineRule="exact"/>
              <w:ind w:firstLine="0" w:firstLineChars="0"/>
              <w:rPr>
                <w:kern w:val="0"/>
                <w:sz w:val="24"/>
                <w:szCs w:val="24"/>
              </w:rPr>
            </w:pPr>
            <w:r>
              <w:rPr>
                <w:kern w:val="0"/>
                <w:sz w:val="24"/>
                <w:szCs w:val="24"/>
              </w:rPr>
              <w:t>2009-2014</w:t>
            </w:r>
          </w:p>
        </w:tc>
        <w:tc>
          <w:tcPr>
            <w:tcW w:w="1351"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16.1%</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6.4%</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28.9%</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13.0%</w:t>
            </w:r>
          </w:p>
        </w:tc>
        <w:tc>
          <w:tcPr>
            <w:tcW w:w="1235" w:type="dxa"/>
            <w:tcBorders>
              <w:top w:val="nil"/>
              <w:left w:val="nil"/>
              <w:bottom w:val="single" w:color="000000" w:sz="8" w:space="0"/>
              <w:right w:val="single" w:color="000000" w:sz="8" w:space="0"/>
            </w:tcBorders>
            <w:noWrap w:val="0"/>
            <w:vAlign w:val="top"/>
          </w:tcPr>
          <w:p>
            <w:pPr>
              <w:widowControl/>
              <w:spacing w:line="300" w:lineRule="exact"/>
              <w:ind w:firstLine="199" w:firstLineChars="83"/>
              <w:jc w:val="center"/>
              <w:rPr>
                <w:kern w:val="0"/>
                <w:sz w:val="24"/>
                <w:szCs w:val="24"/>
              </w:rPr>
            </w:pPr>
            <w:r>
              <w:rPr>
                <w:kern w:val="0"/>
                <w:sz w:val="24"/>
                <w:szCs w:val="24"/>
              </w:rPr>
              <w:t>-3.5%</w:t>
            </w:r>
          </w:p>
        </w:tc>
        <w:tc>
          <w:tcPr>
            <w:tcW w:w="1237" w:type="dxa"/>
            <w:tcBorders>
              <w:top w:val="nil"/>
              <w:left w:val="nil"/>
              <w:bottom w:val="single" w:color="000000" w:sz="8" w:space="0"/>
              <w:right w:val="single" w:color="000000" w:sz="12" w:space="0"/>
            </w:tcBorders>
            <w:noWrap w:val="0"/>
            <w:vAlign w:val="top"/>
          </w:tcPr>
          <w:p>
            <w:pPr>
              <w:widowControl/>
              <w:spacing w:line="300" w:lineRule="exact"/>
              <w:ind w:firstLine="199" w:firstLineChars="83"/>
              <w:jc w:val="center"/>
              <w:rPr>
                <w:kern w:val="0"/>
                <w:sz w:val="24"/>
                <w:szCs w:val="24"/>
              </w:rPr>
            </w:pPr>
            <w:r>
              <w:rPr>
                <w:kern w:val="0"/>
                <w:sz w:val="24"/>
                <w:szCs w:val="24"/>
              </w:rPr>
              <w:t>19.8%</w:t>
            </w:r>
          </w:p>
        </w:tc>
      </w:tr>
      <w:tr>
        <w:tblPrEx>
          <w:tblCellMar>
            <w:top w:w="0" w:type="dxa"/>
            <w:left w:w="108" w:type="dxa"/>
            <w:bottom w:w="0" w:type="dxa"/>
            <w:right w:w="108" w:type="dxa"/>
          </w:tblCellMar>
        </w:tblPrEx>
        <w:trPr>
          <w:trHeight w:val="454" w:hRule="atLeast"/>
          <w:jc w:val="center"/>
        </w:trPr>
        <w:tc>
          <w:tcPr>
            <w:tcW w:w="1433" w:type="dxa"/>
            <w:tcBorders>
              <w:top w:val="nil"/>
              <w:left w:val="single" w:color="000000" w:sz="12" w:space="0"/>
              <w:bottom w:val="single" w:color="000000" w:sz="12" w:space="0"/>
              <w:right w:val="single" w:color="000000" w:sz="8" w:space="0"/>
            </w:tcBorders>
            <w:noWrap w:val="0"/>
            <w:vAlign w:val="center"/>
          </w:tcPr>
          <w:p>
            <w:pPr>
              <w:widowControl/>
              <w:spacing w:line="300" w:lineRule="exact"/>
              <w:ind w:firstLine="0" w:firstLineChars="0"/>
              <w:rPr>
                <w:kern w:val="0"/>
                <w:sz w:val="24"/>
                <w:szCs w:val="24"/>
              </w:rPr>
            </w:pPr>
            <w:r>
              <w:rPr>
                <w:kern w:val="0"/>
                <w:sz w:val="24"/>
                <w:szCs w:val="24"/>
              </w:rPr>
              <w:t>2014-2019</w:t>
            </w:r>
          </w:p>
        </w:tc>
        <w:tc>
          <w:tcPr>
            <w:tcW w:w="1351" w:type="dxa"/>
            <w:tcBorders>
              <w:top w:val="nil"/>
              <w:left w:val="nil"/>
              <w:bottom w:val="single" w:color="000000" w:sz="12"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10.8%</w:t>
            </w:r>
          </w:p>
        </w:tc>
        <w:tc>
          <w:tcPr>
            <w:tcW w:w="1235" w:type="dxa"/>
            <w:tcBorders>
              <w:top w:val="nil"/>
              <w:left w:val="nil"/>
              <w:bottom w:val="single" w:color="000000" w:sz="12"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9.2%</w:t>
            </w:r>
          </w:p>
        </w:tc>
        <w:tc>
          <w:tcPr>
            <w:tcW w:w="1235" w:type="dxa"/>
            <w:tcBorders>
              <w:top w:val="nil"/>
              <w:left w:val="nil"/>
              <w:bottom w:val="single" w:color="000000" w:sz="12"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9.3%</w:t>
            </w:r>
          </w:p>
        </w:tc>
        <w:tc>
          <w:tcPr>
            <w:tcW w:w="1235" w:type="dxa"/>
            <w:tcBorders>
              <w:top w:val="nil"/>
              <w:left w:val="nil"/>
              <w:bottom w:val="single" w:color="000000" w:sz="12"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14.5%</w:t>
            </w:r>
          </w:p>
        </w:tc>
        <w:tc>
          <w:tcPr>
            <w:tcW w:w="1235" w:type="dxa"/>
            <w:tcBorders>
              <w:top w:val="nil"/>
              <w:left w:val="nil"/>
              <w:bottom w:val="single" w:color="000000" w:sz="12" w:space="0"/>
              <w:right w:val="single" w:color="000000" w:sz="8" w:space="0"/>
            </w:tcBorders>
            <w:noWrap w:val="0"/>
            <w:vAlign w:val="center"/>
          </w:tcPr>
          <w:p>
            <w:pPr>
              <w:widowControl/>
              <w:spacing w:line="300" w:lineRule="exact"/>
              <w:ind w:firstLine="199" w:firstLineChars="83"/>
              <w:jc w:val="center"/>
              <w:rPr>
                <w:kern w:val="0"/>
                <w:sz w:val="24"/>
                <w:szCs w:val="24"/>
              </w:rPr>
            </w:pPr>
            <w:r>
              <w:rPr>
                <w:kern w:val="0"/>
                <w:sz w:val="24"/>
                <w:szCs w:val="24"/>
              </w:rPr>
              <w:t>0.9%</w:t>
            </w:r>
          </w:p>
        </w:tc>
        <w:tc>
          <w:tcPr>
            <w:tcW w:w="1237" w:type="dxa"/>
            <w:tcBorders>
              <w:top w:val="nil"/>
              <w:left w:val="nil"/>
              <w:bottom w:val="single" w:color="000000" w:sz="12" w:space="0"/>
              <w:right w:val="single" w:color="000000" w:sz="12" w:space="0"/>
            </w:tcBorders>
            <w:noWrap w:val="0"/>
            <w:vAlign w:val="center"/>
          </w:tcPr>
          <w:p>
            <w:pPr>
              <w:widowControl/>
              <w:spacing w:line="300" w:lineRule="exact"/>
              <w:ind w:firstLine="199" w:firstLineChars="83"/>
              <w:jc w:val="center"/>
              <w:rPr>
                <w:kern w:val="0"/>
                <w:sz w:val="24"/>
                <w:szCs w:val="24"/>
              </w:rPr>
            </w:pPr>
            <w:r>
              <w:rPr>
                <w:kern w:val="0"/>
                <w:sz w:val="24"/>
                <w:szCs w:val="24"/>
              </w:rPr>
              <w:t>9.8%</w:t>
            </w:r>
          </w:p>
        </w:tc>
      </w:tr>
    </w:tbl>
    <w:p>
      <w:pPr>
        <w:ind w:firstLine="0" w:firstLineChars="0"/>
        <w:rPr>
          <w:szCs w:val="21"/>
        </w:rPr>
      </w:pPr>
      <w:r>
        <w:rPr>
          <w:rFonts w:hint="eastAsia"/>
          <w:szCs w:val="21"/>
        </w:rPr>
        <w:t>注：</w:t>
      </w:r>
      <w:r>
        <w:rPr>
          <w:szCs w:val="21"/>
        </w:rPr>
        <w:t>1.</w:t>
      </w:r>
      <w:r>
        <w:rPr>
          <w:rFonts w:hint="eastAsia"/>
          <w:szCs w:val="21"/>
        </w:rPr>
        <w:t>资料来源于历年《四川省统计年鉴》；</w:t>
      </w:r>
    </w:p>
    <w:p>
      <w:pPr>
        <w:ind w:firstLine="640"/>
        <w:rPr>
          <w:szCs w:val="21"/>
        </w:rPr>
      </w:pPr>
      <w:r>
        <w:rPr>
          <w:szCs w:val="21"/>
        </w:rPr>
        <w:t>2.</w:t>
      </w:r>
      <w:r>
        <w:rPr>
          <w:rFonts w:hint="eastAsia"/>
          <w:szCs w:val="21"/>
        </w:rPr>
        <w:t>表内各项经济指标采用当年价，增长率按可比价计算。</w:t>
      </w:r>
    </w:p>
    <w:p>
      <w:pPr>
        <w:spacing w:line="240" w:lineRule="auto"/>
        <w:ind w:firstLine="0" w:firstLineChars="0"/>
        <w:jc w:val="center"/>
        <w:rPr>
          <w:szCs w:val="21"/>
        </w:rPr>
      </w:pPr>
      <w:r>
        <w:rPr>
          <w:rFonts w:hint="eastAsia"/>
          <w:szCs w:val="21"/>
        </w:rPr>
        <w:drawing>
          <wp:inline distT="0" distB="0" distL="114300" distR="114300">
            <wp:extent cx="4584700" cy="2755900"/>
            <wp:effectExtent l="0" t="0" r="6350"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4584700" cy="2755900"/>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1-6 </w:t>
      </w:r>
      <w:r>
        <w:rPr>
          <w:rFonts w:hint="eastAsia" w:eastAsia="黑体"/>
          <w:sz w:val="28"/>
          <w:szCs w:val="28"/>
        </w:rPr>
        <w:t>昭化区历年国民生产总值趋势图</w:t>
      </w:r>
    </w:p>
    <w:p>
      <w:pPr>
        <w:widowControl/>
        <w:shd w:val="clear" w:color="auto" w:fill="FFFFFF"/>
        <w:ind w:firstLine="560"/>
        <w:jc w:val="center"/>
        <w:rPr>
          <w:rFonts w:eastAsia="黑体"/>
          <w:sz w:val="28"/>
          <w:szCs w:val="28"/>
        </w:rPr>
      </w:pPr>
    </w:p>
    <w:p>
      <w:pPr>
        <w:spacing w:line="240" w:lineRule="auto"/>
        <w:ind w:firstLine="0" w:firstLineChars="0"/>
        <w:jc w:val="center"/>
        <w:rPr>
          <w:szCs w:val="21"/>
        </w:rPr>
      </w:pPr>
      <w:r>
        <w:rPr>
          <w:rFonts w:hint="eastAsia"/>
          <w:szCs w:val="21"/>
        </w:rPr>
        <w:drawing>
          <wp:inline distT="0" distB="0" distL="114300" distR="114300">
            <wp:extent cx="4584700" cy="2755900"/>
            <wp:effectExtent l="0" t="0" r="6350" b="635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4584700" cy="2755900"/>
                    </a:xfrm>
                    <a:prstGeom prst="rect">
                      <a:avLst/>
                    </a:prstGeom>
                    <a:noFill/>
                    <a:ln>
                      <a:noFill/>
                    </a:ln>
                  </pic:spPr>
                </pic:pic>
              </a:graphicData>
            </a:graphic>
          </wp:inline>
        </w:drawing>
      </w:r>
    </w:p>
    <w:p>
      <w:pPr>
        <w:widowControl/>
        <w:shd w:val="clear" w:color="auto" w:fill="FFFFFF"/>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1-7 </w:t>
      </w:r>
      <w:r>
        <w:rPr>
          <w:rFonts w:hint="eastAsia" w:eastAsia="黑体"/>
          <w:sz w:val="28"/>
          <w:szCs w:val="28"/>
        </w:rPr>
        <w:t>昭化区历年人均国民生产总值趋势图</w:t>
      </w:r>
    </w:p>
    <w:p>
      <w:pPr>
        <w:ind w:firstLine="640"/>
        <w:rPr>
          <w:szCs w:val="21"/>
        </w:rPr>
      </w:pPr>
    </w:p>
    <w:p>
      <w:pPr>
        <w:spacing w:line="240" w:lineRule="auto"/>
        <w:ind w:firstLine="0" w:firstLineChars="0"/>
        <w:jc w:val="center"/>
        <w:rPr>
          <w:szCs w:val="21"/>
        </w:rPr>
      </w:pPr>
      <w:r>
        <w:rPr>
          <w:rFonts w:hint="eastAsia"/>
          <w:szCs w:val="21"/>
        </w:rPr>
        <w:drawing>
          <wp:inline distT="0" distB="0" distL="114300" distR="114300">
            <wp:extent cx="5170170" cy="3389630"/>
            <wp:effectExtent l="0" t="0" r="11430" b="12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3"/>
                    <a:stretch>
                      <a:fillRect/>
                    </a:stretch>
                  </pic:blipFill>
                  <pic:spPr>
                    <a:xfrm>
                      <a:off x="0" y="0"/>
                      <a:ext cx="5170170" cy="3389630"/>
                    </a:xfrm>
                    <a:prstGeom prst="rect">
                      <a:avLst/>
                    </a:prstGeom>
                    <a:noFill/>
                    <a:ln>
                      <a:noFill/>
                    </a:ln>
                  </pic:spPr>
                </pic:pic>
              </a:graphicData>
            </a:graphic>
          </wp:inline>
        </w:drawing>
      </w:r>
    </w:p>
    <w:p>
      <w:pPr>
        <w:widowControl/>
        <w:shd w:val="clear" w:color="auto" w:fill="FFFFFF"/>
        <w:ind w:firstLine="560"/>
        <w:jc w:val="center"/>
        <w:rPr>
          <w:rFonts w:eastAsia="黑体"/>
          <w:sz w:val="28"/>
          <w:szCs w:val="28"/>
        </w:rPr>
      </w:pPr>
      <w:r>
        <w:rPr>
          <w:rFonts w:hint="eastAsia" w:eastAsia="黑体"/>
          <w:sz w:val="28"/>
          <w:szCs w:val="28"/>
        </w:rPr>
        <w:t>图</w:t>
      </w:r>
      <w:r>
        <w:rPr>
          <w:rFonts w:eastAsia="黑体"/>
          <w:sz w:val="28"/>
          <w:szCs w:val="28"/>
        </w:rPr>
        <w:t xml:space="preserve">1-8 </w:t>
      </w:r>
      <w:r>
        <w:rPr>
          <w:rFonts w:hint="eastAsia" w:eastAsia="黑体"/>
          <w:sz w:val="28"/>
          <w:szCs w:val="28"/>
        </w:rPr>
        <w:t>昭化区历年三次产业结构变化趋势图</w:t>
      </w:r>
    </w:p>
    <w:p>
      <w:pPr>
        <w:pStyle w:val="2"/>
        <w:spacing w:before="156" w:after="156" w:line="416" w:lineRule="auto"/>
        <w:ind w:firstLine="0" w:firstLineChars="0"/>
        <w:jc w:val="left"/>
        <w:rPr>
          <w:rFonts w:ascii="Times New Roman" w:hAnsi="Times New Roman" w:eastAsia="黑体"/>
          <w:sz w:val="36"/>
          <w:szCs w:val="36"/>
        </w:rPr>
      </w:pPr>
      <w:bookmarkStart w:id="15" w:name="_Toc61624418"/>
      <w:bookmarkStart w:id="16" w:name="_Toc32280"/>
      <w:r>
        <w:rPr>
          <w:rFonts w:ascii="Times New Roman" w:hAnsi="Times New Roman" w:eastAsia="黑体"/>
          <w:sz w:val="36"/>
          <w:szCs w:val="36"/>
        </w:rPr>
        <w:t xml:space="preserve">1.2 </w:t>
      </w:r>
      <w:r>
        <w:rPr>
          <w:rFonts w:hint="eastAsia" w:ascii="Times New Roman" w:hAnsi="Times New Roman" w:eastAsia="黑体"/>
          <w:sz w:val="36"/>
          <w:szCs w:val="36"/>
        </w:rPr>
        <w:t>综合交通情况</w:t>
      </w:r>
      <w:bookmarkEnd w:id="15"/>
      <w:bookmarkEnd w:id="16"/>
    </w:p>
    <w:p>
      <w:pPr>
        <w:pStyle w:val="4"/>
        <w:adjustRightInd w:val="0"/>
        <w:snapToGrid w:val="0"/>
        <w:spacing w:before="108" w:beforeLines="25" w:after="108" w:afterLines="25"/>
        <w:ind w:left="6238" w:hanging="6238"/>
        <w:rPr>
          <w:bCs w:val="0"/>
        </w:rPr>
      </w:pPr>
      <w:r>
        <w:rPr>
          <w:bCs w:val="0"/>
        </w:rPr>
        <w:t xml:space="preserve">1.2.1 </w:t>
      </w:r>
      <w:r>
        <w:rPr>
          <w:rFonts w:hint="eastAsia"/>
          <w:bCs w:val="0"/>
        </w:rPr>
        <w:t>总体概况</w:t>
      </w:r>
    </w:p>
    <w:p>
      <w:pPr>
        <w:ind w:firstLine="640"/>
      </w:pPr>
      <w:bookmarkStart w:id="17" w:name="_Hlk60162806"/>
      <w:r>
        <w:rPr>
          <w:rFonts w:hint="eastAsia"/>
        </w:rPr>
        <w:t>近年来，在省、市交通运输主管部门以及区委、区政府的坚强领导下，昭化交通基础设施建设取得较快发展，已基本形成以绵广、广巴、广南高速和</w:t>
      </w:r>
      <w:r>
        <w:rPr>
          <w:rFonts w:hint="eastAsia"/>
          <w:lang w:eastAsia="zh-CN"/>
        </w:rPr>
        <w:t>广</w:t>
      </w:r>
      <w:r>
        <w:rPr>
          <w:rFonts w:hint="eastAsia"/>
        </w:rPr>
        <w:t>巴、兰渝铁路以及嘉陵江航道为主骨架，以县乡村公路为基础的综合交通基础设施网络体系。</w:t>
      </w:r>
    </w:p>
    <w:bookmarkEnd w:id="17"/>
    <w:p>
      <w:pPr>
        <w:ind w:firstLine="640"/>
        <w:rPr>
          <w:rFonts w:eastAsia="黑体"/>
        </w:rPr>
      </w:pPr>
      <w:r>
        <w:rPr>
          <w:rFonts w:eastAsia="黑体"/>
        </w:rPr>
        <w:t>1.</w:t>
      </w:r>
      <w:r>
        <w:rPr>
          <w:rFonts w:hint="eastAsia" w:eastAsia="黑体"/>
        </w:rPr>
        <w:t>公路</w:t>
      </w:r>
    </w:p>
    <w:p>
      <w:pPr>
        <w:ind w:firstLine="640"/>
      </w:pPr>
      <w:r>
        <w:rPr>
          <w:rFonts w:hint="eastAsia"/>
        </w:rPr>
        <w:t>目前，昭化及周边区域已建成绵阳至广元、广元至巴中、广元至南充等高速公路，形成六个方向的高速公路网出口布局，区域高速公路骨架路网已经形成。公路网结构基本完善，按照行政等级划分，现有国道</w:t>
      </w:r>
      <w:r>
        <w:t>79km</w:t>
      </w:r>
      <w:r>
        <w:rPr>
          <w:rFonts w:hint="eastAsia"/>
        </w:rPr>
        <w:t>、省道</w:t>
      </w:r>
      <w:r>
        <w:t>71km</w:t>
      </w:r>
      <w:r>
        <w:rPr>
          <w:rFonts w:hint="eastAsia"/>
        </w:rPr>
        <w:t>，县道</w:t>
      </w:r>
      <w:r>
        <w:t>549km</w:t>
      </w:r>
      <w:r>
        <w:rPr>
          <w:rFonts w:hint="eastAsia"/>
        </w:rPr>
        <w:t>、乡道</w:t>
      </w:r>
      <w:r>
        <w:t>744km</w:t>
      </w:r>
      <w:r>
        <w:rPr>
          <w:rFonts w:hint="eastAsia"/>
        </w:rPr>
        <w:t>、村道</w:t>
      </w:r>
      <w:r>
        <w:t>1198</w:t>
      </w:r>
      <w:r>
        <w:rPr>
          <w:rFonts w:hint="eastAsia"/>
        </w:rPr>
        <w:t>公里；按技术等级划分，一级公路</w:t>
      </w:r>
      <w:r>
        <w:t>1km</w:t>
      </w:r>
      <w:r>
        <w:rPr>
          <w:rFonts w:hint="eastAsia"/>
        </w:rPr>
        <w:t>，二级公路</w:t>
      </w:r>
      <w:r>
        <w:t>93km</w:t>
      </w:r>
      <w:r>
        <w:rPr>
          <w:rFonts w:hint="eastAsia"/>
        </w:rPr>
        <w:t>、三级公路</w:t>
      </w:r>
      <w:r>
        <w:t>48km</w:t>
      </w:r>
      <w:r>
        <w:rPr>
          <w:rFonts w:hint="eastAsia"/>
        </w:rPr>
        <w:t>、四级公路</w:t>
      </w:r>
      <w:r>
        <w:t>1628km</w:t>
      </w:r>
      <w:r>
        <w:rPr>
          <w:rFonts w:hint="eastAsia"/>
        </w:rPr>
        <w:t>、等外公路</w:t>
      </w:r>
      <w:r>
        <w:t>872km</w:t>
      </w:r>
      <w:r>
        <w:rPr>
          <w:rFonts w:hint="eastAsia"/>
        </w:rPr>
        <w:t>；按照路面类型分，有铺装路面</w:t>
      </w:r>
      <w:r>
        <w:t>1643km</w:t>
      </w:r>
      <w:r>
        <w:rPr>
          <w:rFonts w:hint="eastAsia"/>
        </w:rPr>
        <w:t>，其中沥青混凝土路面</w:t>
      </w:r>
      <w:r>
        <w:t>377km</w:t>
      </w:r>
      <w:r>
        <w:rPr>
          <w:rFonts w:hint="eastAsia"/>
        </w:rPr>
        <w:t>、水泥混凝土路面</w:t>
      </w:r>
      <w:r>
        <w:t>1266km</w:t>
      </w:r>
      <w:r>
        <w:rPr>
          <w:rFonts w:hint="eastAsia"/>
        </w:rPr>
        <w:t>；未铺装路面</w:t>
      </w:r>
      <w:r>
        <w:t>999km</w:t>
      </w:r>
      <w:r>
        <w:rPr>
          <w:rFonts w:hint="eastAsia"/>
        </w:rPr>
        <w:t>。昭化区公路里程及分类情况见表</w:t>
      </w:r>
      <w:r>
        <w:t>1-2</w:t>
      </w:r>
      <w:r>
        <w:rPr>
          <w:rFonts w:hint="eastAsia"/>
        </w:rPr>
        <w:t>、</w:t>
      </w:r>
      <w:r>
        <w:t>1-3</w:t>
      </w:r>
      <w:r>
        <w:rPr>
          <w:rFonts w:hint="eastAsia"/>
        </w:rPr>
        <w:t>及图</w:t>
      </w:r>
      <w:r>
        <w:t>1-9</w:t>
      </w:r>
      <w:r>
        <w:rPr>
          <w:rFonts w:hint="eastAsia"/>
        </w:rPr>
        <w:t>、</w:t>
      </w:r>
      <w:r>
        <w:t>1-10</w:t>
      </w:r>
      <w:r>
        <w:rPr>
          <w:rFonts w:hint="eastAsia"/>
        </w:rPr>
        <w:t>、</w:t>
      </w:r>
      <w:r>
        <w:t>1-11</w:t>
      </w:r>
      <w:r>
        <w:rPr>
          <w:rFonts w:hint="eastAsia"/>
        </w:rPr>
        <w:t>。</w:t>
      </w:r>
    </w:p>
    <w:p>
      <w:pPr>
        <w:widowControl/>
        <w:shd w:val="clear" w:color="auto" w:fill="FFFFFF"/>
        <w:ind w:firstLine="0" w:firstLineChars="0"/>
        <w:jc w:val="center"/>
        <w:rPr>
          <w:rFonts w:eastAsia="黑体"/>
          <w:sz w:val="28"/>
          <w:szCs w:val="28"/>
        </w:rPr>
      </w:pPr>
      <w:r>
        <w:rPr>
          <w:rFonts w:hint="eastAsia" w:eastAsia="黑体"/>
          <w:sz w:val="28"/>
          <w:szCs w:val="28"/>
        </w:rPr>
        <w:t>表</w:t>
      </w:r>
      <w:r>
        <w:rPr>
          <w:rFonts w:eastAsia="黑体"/>
          <w:sz w:val="28"/>
          <w:szCs w:val="28"/>
        </w:rPr>
        <w:t>1</w:t>
      </w:r>
      <w:r>
        <w:rPr>
          <w:rFonts w:eastAsia="黑体"/>
          <w:sz w:val="28"/>
          <w:szCs w:val="28"/>
        </w:rPr>
        <w:noBreakHyphen/>
      </w:r>
      <w:r>
        <w:rPr>
          <w:rFonts w:eastAsia="黑体"/>
          <w:sz w:val="28"/>
          <w:szCs w:val="28"/>
        </w:rPr>
        <w:t xml:space="preserve">2 </w:t>
      </w:r>
      <w:r>
        <w:rPr>
          <w:rFonts w:hint="eastAsia" w:eastAsia="黑体"/>
          <w:sz w:val="28"/>
          <w:szCs w:val="28"/>
        </w:rPr>
        <w:t>昭化区公路网基本情况统计表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2474"/>
        <w:gridCol w:w="2200"/>
        <w:gridCol w:w="1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23" w:type="dxa"/>
            <w:gridSpan w:val="2"/>
            <w:tcBorders>
              <w:top w:val="single" w:color="auto" w:sz="12"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分类</w:t>
            </w:r>
          </w:p>
        </w:tc>
        <w:tc>
          <w:tcPr>
            <w:tcW w:w="2200" w:type="dxa"/>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通车里程</w:t>
            </w:r>
            <w:r>
              <w:rPr>
                <w:rFonts w:eastAsia="黑体"/>
                <w:kern w:val="0"/>
                <w:sz w:val="24"/>
                <w:szCs w:val="24"/>
              </w:rPr>
              <w:t>(</w:t>
            </w:r>
            <w:r>
              <w:rPr>
                <w:rFonts w:hint="eastAsia" w:eastAsia="黑体"/>
                <w:kern w:val="0"/>
                <w:sz w:val="24"/>
                <w:szCs w:val="24"/>
              </w:rPr>
              <w:t>公里</w:t>
            </w:r>
            <w:r>
              <w:rPr>
                <w:rFonts w:eastAsia="黑体"/>
                <w:kern w:val="0"/>
                <w:sz w:val="24"/>
                <w:szCs w:val="24"/>
              </w:rPr>
              <w:t>)</w:t>
            </w:r>
          </w:p>
        </w:tc>
        <w:tc>
          <w:tcPr>
            <w:tcW w:w="1923" w:type="dxa"/>
            <w:tcBorders>
              <w:top w:val="single" w:color="auto" w:sz="12"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所占比重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23" w:type="dxa"/>
            <w:gridSpan w:val="2"/>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公路总里程</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2641.3</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restart"/>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行政等级</w:t>
            </w: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国</w:t>
            </w:r>
            <w:r>
              <w:rPr>
                <w:rFonts w:eastAsia="黑体"/>
                <w:kern w:val="0"/>
                <w:sz w:val="24"/>
                <w:szCs w:val="24"/>
              </w:rPr>
              <w:t xml:space="preserve">  </w:t>
            </w:r>
            <w:r>
              <w:rPr>
                <w:rFonts w:hint="eastAsia" w:eastAsia="黑体"/>
                <w:kern w:val="0"/>
                <w:sz w:val="24"/>
                <w:szCs w:val="24"/>
              </w:rPr>
              <w:t>道</w:t>
            </w:r>
          </w:p>
        </w:tc>
        <w:tc>
          <w:tcPr>
            <w:tcW w:w="220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kern w:val="0"/>
                <w:sz w:val="24"/>
                <w:szCs w:val="24"/>
              </w:rPr>
            </w:pPr>
            <w:r>
              <w:rPr>
                <w:kern w:val="0"/>
                <w:sz w:val="24"/>
                <w:szCs w:val="24"/>
              </w:rPr>
              <w:t>79.4</w:t>
            </w:r>
          </w:p>
        </w:tc>
        <w:tc>
          <w:tcPr>
            <w:tcW w:w="1923" w:type="dxa"/>
            <w:tcBorders>
              <w:top w:val="single" w:color="auto" w:sz="4" w:space="0"/>
              <w:left w:val="single" w:color="auto" w:sz="4" w:space="0"/>
              <w:bottom w:val="single" w:color="auto" w:sz="4" w:space="0"/>
              <w:right w:val="single" w:color="auto" w:sz="12" w:space="0"/>
            </w:tcBorders>
            <w:noWrap w:val="0"/>
            <w:vAlign w:val="top"/>
          </w:tcPr>
          <w:p>
            <w:pPr>
              <w:widowControl/>
              <w:spacing w:line="240" w:lineRule="auto"/>
              <w:ind w:firstLine="0" w:firstLineChars="0"/>
              <w:jc w:val="center"/>
              <w:rPr>
                <w:kern w:val="0"/>
                <w:sz w:val="24"/>
                <w:szCs w:val="24"/>
              </w:rPr>
            </w:pPr>
            <w:r>
              <w:rPr>
                <w:kern w:val="0"/>
                <w:sz w:val="24"/>
                <w:szCs w:val="24"/>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省</w:t>
            </w:r>
            <w:r>
              <w:rPr>
                <w:rFonts w:eastAsia="黑体"/>
                <w:kern w:val="0"/>
                <w:sz w:val="24"/>
                <w:szCs w:val="24"/>
              </w:rPr>
              <w:t xml:space="preserve">  </w:t>
            </w:r>
            <w:r>
              <w:rPr>
                <w:rFonts w:hint="eastAsia" w:eastAsia="黑体"/>
                <w:kern w:val="0"/>
                <w:sz w:val="24"/>
                <w:szCs w:val="24"/>
              </w:rPr>
              <w:t>道</w:t>
            </w:r>
          </w:p>
        </w:tc>
        <w:tc>
          <w:tcPr>
            <w:tcW w:w="220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kern w:val="0"/>
                <w:sz w:val="24"/>
                <w:szCs w:val="24"/>
              </w:rPr>
            </w:pPr>
            <w:r>
              <w:rPr>
                <w:kern w:val="0"/>
                <w:sz w:val="24"/>
                <w:szCs w:val="24"/>
              </w:rPr>
              <w:t>71.2</w:t>
            </w:r>
          </w:p>
        </w:tc>
        <w:tc>
          <w:tcPr>
            <w:tcW w:w="1923" w:type="dxa"/>
            <w:tcBorders>
              <w:top w:val="single" w:color="auto" w:sz="4" w:space="0"/>
              <w:left w:val="single" w:color="auto" w:sz="4" w:space="0"/>
              <w:bottom w:val="single" w:color="auto" w:sz="4" w:space="0"/>
              <w:right w:val="single" w:color="auto" w:sz="12" w:space="0"/>
            </w:tcBorders>
            <w:noWrap w:val="0"/>
            <w:vAlign w:val="top"/>
          </w:tcPr>
          <w:p>
            <w:pPr>
              <w:widowControl/>
              <w:spacing w:line="240" w:lineRule="auto"/>
              <w:ind w:firstLine="0" w:firstLineChars="0"/>
              <w:jc w:val="center"/>
              <w:rPr>
                <w:kern w:val="0"/>
                <w:sz w:val="24"/>
                <w:szCs w:val="24"/>
              </w:rPr>
            </w:pPr>
            <w:r>
              <w:rPr>
                <w:kern w:val="0"/>
                <w:sz w:val="24"/>
                <w:szCs w:val="24"/>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县</w:t>
            </w:r>
            <w:r>
              <w:rPr>
                <w:rFonts w:eastAsia="黑体"/>
                <w:kern w:val="0"/>
                <w:sz w:val="24"/>
                <w:szCs w:val="24"/>
              </w:rPr>
              <w:t xml:space="preserve">  </w:t>
            </w:r>
            <w:r>
              <w:rPr>
                <w:rFonts w:hint="eastAsia" w:eastAsia="黑体"/>
                <w:kern w:val="0"/>
                <w:sz w:val="24"/>
                <w:szCs w:val="24"/>
              </w:rPr>
              <w:t>道</w:t>
            </w:r>
          </w:p>
        </w:tc>
        <w:tc>
          <w:tcPr>
            <w:tcW w:w="220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kern w:val="0"/>
                <w:sz w:val="24"/>
                <w:szCs w:val="24"/>
              </w:rPr>
            </w:pPr>
            <w:r>
              <w:rPr>
                <w:kern w:val="0"/>
                <w:sz w:val="24"/>
                <w:szCs w:val="24"/>
              </w:rPr>
              <w:t>548.7</w:t>
            </w:r>
          </w:p>
        </w:tc>
        <w:tc>
          <w:tcPr>
            <w:tcW w:w="1923" w:type="dxa"/>
            <w:tcBorders>
              <w:top w:val="single" w:color="auto" w:sz="4" w:space="0"/>
              <w:left w:val="single" w:color="auto" w:sz="4" w:space="0"/>
              <w:bottom w:val="single" w:color="auto" w:sz="4" w:space="0"/>
              <w:right w:val="single" w:color="auto" w:sz="12" w:space="0"/>
            </w:tcBorders>
            <w:noWrap w:val="0"/>
            <w:vAlign w:val="top"/>
          </w:tcPr>
          <w:p>
            <w:pPr>
              <w:widowControl/>
              <w:spacing w:line="240" w:lineRule="auto"/>
              <w:ind w:firstLine="0" w:firstLineChars="0"/>
              <w:jc w:val="center"/>
              <w:rPr>
                <w:kern w:val="0"/>
                <w:sz w:val="24"/>
                <w:szCs w:val="24"/>
              </w:rPr>
            </w:pPr>
            <w:r>
              <w:rPr>
                <w:kern w:val="0"/>
                <w:sz w:val="24"/>
                <w:szCs w:val="24"/>
              </w:rPr>
              <w:t>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乡</w:t>
            </w:r>
            <w:r>
              <w:rPr>
                <w:rFonts w:eastAsia="黑体"/>
                <w:kern w:val="0"/>
                <w:sz w:val="24"/>
                <w:szCs w:val="24"/>
              </w:rPr>
              <w:t xml:space="preserve">  </w:t>
            </w:r>
            <w:r>
              <w:rPr>
                <w:rFonts w:hint="eastAsia" w:eastAsia="黑体"/>
                <w:kern w:val="0"/>
                <w:sz w:val="24"/>
                <w:szCs w:val="24"/>
              </w:rPr>
              <w:t>道</w:t>
            </w:r>
          </w:p>
        </w:tc>
        <w:tc>
          <w:tcPr>
            <w:tcW w:w="220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kern w:val="0"/>
                <w:sz w:val="24"/>
                <w:szCs w:val="24"/>
              </w:rPr>
            </w:pPr>
            <w:r>
              <w:rPr>
                <w:kern w:val="0"/>
                <w:sz w:val="24"/>
                <w:szCs w:val="24"/>
              </w:rPr>
              <w:t>744.1</w:t>
            </w:r>
          </w:p>
        </w:tc>
        <w:tc>
          <w:tcPr>
            <w:tcW w:w="1923" w:type="dxa"/>
            <w:tcBorders>
              <w:top w:val="single" w:color="auto" w:sz="4" w:space="0"/>
              <w:left w:val="single" w:color="auto" w:sz="4" w:space="0"/>
              <w:bottom w:val="single" w:color="auto" w:sz="4" w:space="0"/>
              <w:right w:val="single" w:color="auto" w:sz="12" w:space="0"/>
            </w:tcBorders>
            <w:noWrap w:val="0"/>
            <w:vAlign w:val="top"/>
          </w:tcPr>
          <w:p>
            <w:pPr>
              <w:widowControl/>
              <w:spacing w:line="240" w:lineRule="auto"/>
              <w:ind w:firstLine="0" w:firstLineChars="0"/>
              <w:jc w:val="center"/>
              <w:rPr>
                <w:kern w:val="0"/>
                <w:sz w:val="24"/>
                <w:szCs w:val="24"/>
              </w:rPr>
            </w:pPr>
            <w:r>
              <w:rPr>
                <w:kern w:val="0"/>
                <w:sz w:val="24"/>
                <w:szCs w:val="24"/>
              </w:rPr>
              <w:t>28.2%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村</w:t>
            </w:r>
            <w:r>
              <w:rPr>
                <w:rFonts w:eastAsia="黑体"/>
                <w:kern w:val="0"/>
                <w:sz w:val="24"/>
                <w:szCs w:val="24"/>
              </w:rPr>
              <w:t xml:space="preserve">  </w:t>
            </w:r>
            <w:r>
              <w:rPr>
                <w:rFonts w:hint="eastAsia" w:eastAsia="黑体"/>
                <w:kern w:val="0"/>
                <w:sz w:val="24"/>
                <w:szCs w:val="24"/>
              </w:rPr>
              <w:t>道</w:t>
            </w:r>
          </w:p>
        </w:tc>
        <w:tc>
          <w:tcPr>
            <w:tcW w:w="220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kern w:val="0"/>
                <w:sz w:val="24"/>
                <w:szCs w:val="24"/>
              </w:rPr>
            </w:pPr>
            <w:r>
              <w:rPr>
                <w:kern w:val="0"/>
                <w:sz w:val="24"/>
                <w:szCs w:val="24"/>
              </w:rPr>
              <w:t>1198.0</w:t>
            </w:r>
          </w:p>
        </w:tc>
        <w:tc>
          <w:tcPr>
            <w:tcW w:w="1923" w:type="dxa"/>
            <w:tcBorders>
              <w:top w:val="single" w:color="auto" w:sz="4" w:space="0"/>
              <w:left w:val="single" w:color="auto" w:sz="4" w:space="0"/>
              <w:bottom w:val="single" w:color="auto" w:sz="4" w:space="0"/>
              <w:right w:val="single" w:color="auto" w:sz="12" w:space="0"/>
            </w:tcBorders>
            <w:noWrap w:val="0"/>
            <w:vAlign w:val="top"/>
          </w:tcPr>
          <w:p>
            <w:pPr>
              <w:widowControl/>
              <w:spacing w:line="240" w:lineRule="auto"/>
              <w:ind w:firstLine="0" w:firstLineChars="0"/>
              <w:jc w:val="center"/>
              <w:rPr>
                <w:kern w:val="0"/>
                <w:sz w:val="24"/>
                <w:szCs w:val="24"/>
              </w:rPr>
            </w:pPr>
            <w:r>
              <w:rPr>
                <w:kern w:val="0"/>
                <w:sz w:val="24"/>
                <w:szCs w:val="24"/>
              </w:rPr>
              <w:t>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restart"/>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技术等级</w:t>
            </w: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高速公路</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0</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一级公路</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0.8</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二级公路</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92.9</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三级公路</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48.1</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4" w:space="0"/>
              <w:right w:val="single" w:color="auto" w:sz="4" w:space="0"/>
            </w:tcBorders>
            <w:noWrap w:val="0"/>
            <w:vAlign w:val="center"/>
          </w:tcPr>
          <w:p>
            <w:pPr>
              <w:pStyle w:val="17"/>
              <w:rPr>
                <w:sz w:val="24"/>
                <w:szCs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sz w:val="24"/>
                <w:szCs w:val="24"/>
              </w:rPr>
            </w:pPr>
            <w:r>
              <w:rPr>
                <w:rFonts w:hint="eastAsia" w:eastAsia="黑体"/>
                <w:kern w:val="0"/>
                <w:sz w:val="24"/>
                <w:szCs w:val="24"/>
              </w:rPr>
              <w:t>四级公路</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1627.6</w:t>
            </w:r>
          </w:p>
        </w:tc>
        <w:tc>
          <w:tcPr>
            <w:tcW w:w="1923" w:type="dxa"/>
            <w:tcBorders>
              <w:top w:val="single" w:color="auto" w:sz="4" w:space="0"/>
              <w:left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49" w:type="dxa"/>
            <w:vMerge w:val="continue"/>
            <w:tcBorders>
              <w:top w:val="single" w:color="auto" w:sz="4" w:space="0"/>
              <w:left w:val="single" w:color="auto" w:sz="12" w:space="0"/>
              <w:bottom w:val="single" w:color="auto" w:sz="12" w:space="0"/>
              <w:right w:val="single" w:color="auto" w:sz="4" w:space="0"/>
            </w:tcBorders>
            <w:noWrap w:val="0"/>
            <w:vAlign w:val="center"/>
          </w:tcPr>
          <w:p>
            <w:pPr>
              <w:pStyle w:val="17"/>
              <w:rPr>
                <w:sz w:val="24"/>
                <w:szCs w:val="24"/>
              </w:rPr>
            </w:pPr>
          </w:p>
        </w:tc>
        <w:tc>
          <w:tcPr>
            <w:tcW w:w="2474" w:type="dxa"/>
            <w:tcBorders>
              <w:top w:val="single" w:color="auto" w:sz="4" w:space="0"/>
              <w:left w:val="single" w:color="auto" w:sz="4" w:space="0"/>
              <w:bottom w:val="single" w:color="auto" w:sz="12" w:space="0"/>
              <w:right w:val="single" w:color="auto" w:sz="4" w:space="0"/>
            </w:tcBorders>
            <w:noWrap w:val="0"/>
            <w:vAlign w:val="center"/>
          </w:tcPr>
          <w:p>
            <w:pPr>
              <w:widowControl/>
              <w:spacing w:line="240" w:lineRule="auto"/>
              <w:ind w:firstLine="0" w:firstLineChars="0"/>
              <w:jc w:val="center"/>
              <w:rPr>
                <w:rFonts w:eastAsia="黑体"/>
                <w:kern w:val="0"/>
                <w:sz w:val="24"/>
                <w:szCs w:val="24"/>
              </w:rPr>
            </w:pPr>
            <w:r>
              <w:rPr>
                <w:rFonts w:hint="eastAsia" w:eastAsia="黑体"/>
                <w:kern w:val="0"/>
                <w:sz w:val="24"/>
                <w:szCs w:val="24"/>
              </w:rPr>
              <w:t>等外公路</w:t>
            </w:r>
          </w:p>
        </w:tc>
        <w:tc>
          <w:tcPr>
            <w:tcW w:w="2200" w:type="dxa"/>
            <w:tcBorders>
              <w:top w:val="single" w:color="auto" w:sz="4" w:space="0"/>
              <w:left w:val="single" w:color="auto" w:sz="4" w:space="0"/>
              <w:bottom w:val="single" w:color="auto" w:sz="12" w:space="0"/>
              <w:right w:val="single" w:color="auto" w:sz="4" w:space="0"/>
            </w:tcBorders>
            <w:noWrap w:val="0"/>
            <w:vAlign w:val="center"/>
          </w:tcPr>
          <w:p>
            <w:pPr>
              <w:widowControl/>
              <w:spacing w:line="240" w:lineRule="auto"/>
              <w:ind w:firstLine="0" w:firstLineChars="0"/>
              <w:jc w:val="center"/>
              <w:rPr>
                <w:kern w:val="0"/>
                <w:sz w:val="24"/>
                <w:szCs w:val="24"/>
              </w:rPr>
            </w:pPr>
            <w:r>
              <w:rPr>
                <w:kern w:val="0"/>
                <w:sz w:val="24"/>
                <w:szCs w:val="24"/>
              </w:rPr>
              <w:t>871.8</w:t>
            </w:r>
          </w:p>
        </w:tc>
        <w:tc>
          <w:tcPr>
            <w:tcW w:w="1923" w:type="dxa"/>
            <w:tcBorders>
              <w:top w:val="single" w:color="auto" w:sz="4" w:space="0"/>
              <w:left w:val="single" w:color="auto" w:sz="4" w:space="0"/>
              <w:bottom w:val="single" w:color="auto" w:sz="12" w:space="0"/>
              <w:right w:val="single" w:color="auto" w:sz="12" w:space="0"/>
            </w:tcBorders>
            <w:noWrap w:val="0"/>
            <w:vAlign w:val="center"/>
          </w:tcPr>
          <w:p>
            <w:pPr>
              <w:widowControl/>
              <w:spacing w:line="240" w:lineRule="auto"/>
              <w:ind w:firstLine="0" w:firstLineChars="0"/>
              <w:jc w:val="center"/>
              <w:rPr>
                <w:kern w:val="0"/>
                <w:sz w:val="24"/>
                <w:szCs w:val="24"/>
              </w:rPr>
            </w:pPr>
            <w:r>
              <w:rPr>
                <w:kern w:val="0"/>
                <w:sz w:val="24"/>
                <w:szCs w:val="24"/>
              </w:rPr>
              <w:t>33.0%</w:t>
            </w:r>
          </w:p>
        </w:tc>
      </w:tr>
    </w:tbl>
    <w:p>
      <w:pPr>
        <w:spacing w:line="240" w:lineRule="auto"/>
        <w:ind w:firstLine="640"/>
      </w:pPr>
    </w:p>
    <w:p>
      <w:pPr>
        <w:spacing w:line="240" w:lineRule="auto"/>
        <w:ind w:firstLine="0" w:firstLineChars="0"/>
        <w:jc w:val="center"/>
      </w:pPr>
      <w:r>
        <w:rPr>
          <w:rFonts w:hint="eastAsia"/>
        </w:rPr>
        <w:object>
          <v:shape id="_x0000_i1035" o:spt="75" type="#_x0000_t75" style="height:216.5pt;width:361.45pt;" o:ole="t" filled="f" stroked="f" coordsize="21600,21600">
            <v:path/>
            <v:fill on="f" focussize="0,0"/>
            <v:stroke on="f"/>
            <v:imagedata r:id="rId25" o:title=""/>
            <o:lock v:ext="edit" grouping="f" rotation="f" text="f" aspectratio="f"/>
            <w10:wrap type="none"/>
            <w10:anchorlock/>
          </v:shape>
          <o:OLEObject Type="Embed" ProgID="Excel.Chart.8" ShapeID="_x0000_i1035" DrawAspect="Content" ObjectID="_1468075726" r:id="rId24">
            <o:LockedField>false</o:LockedField>
          </o:OLEObject>
        </w:object>
      </w:r>
    </w:p>
    <w:p>
      <w:pPr>
        <w:spacing w:line="240" w:lineRule="auto"/>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1-9 </w:t>
      </w:r>
      <w:r>
        <w:rPr>
          <w:rFonts w:hint="eastAsia" w:eastAsia="黑体"/>
          <w:sz w:val="28"/>
          <w:szCs w:val="28"/>
        </w:rPr>
        <w:t>昭化区公路行政等级结构图</w:t>
      </w:r>
    </w:p>
    <w:p>
      <w:pPr>
        <w:ind w:firstLine="640"/>
        <w:rPr>
          <w:rFonts w:eastAsia="黑体"/>
        </w:rPr>
      </w:pPr>
    </w:p>
    <w:p>
      <w:pPr>
        <w:spacing w:line="240" w:lineRule="auto"/>
        <w:ind w:firstLine="0" w:firstLineChars="0"/>
        <w:jc w:val="center"/>
      </w:pPr>
      <w:r>
        <w:rPr>
          <w:rFonts w:hint="eastAsia"/>
        </w:rPr>
        <w:object>
          <v:shape id="_x0000_i1036" o:spt="75" type="#_x0000_t75" style="height:216.5pt;width:361.45pt;" o:ole="t" filled="f" stroked="f" coordsize="21600,21600">
            <v:path/>
            <v:fill on="f" focussize="0,0"/>
            <v:stroke on="f"/>
            <v:imagedata r:id="rId27" o:title=""/>
            <o:lock v:ext="edit" grouping="f" rotation="f" text="f" aspectratio="f"/>
            <w10:wrap type="none"/>
            <w10:anchorlock/>
          </v:shape>
          <o:OLEObject Type="Embed" ProgID="Excel.Chart.8" ShapeID="_x0000_i1036" DrawAspect="Content" ObjectID="_1468075727" r:id="rId26">
            <o:LockedField>false</o:LockedField>
          </o:OLEObject>
        </w:object>
      </w:r>
    </w:p>
    <w:p>
      <w:pPr>
        <w:widowControl/>
        <w:shd w:val="clear" w:color="auto" w:fill="FFFFFF"/>
        <w:ind w:firstLine="0" w:firstLineChars="0"/>
        <w:jc w:val="center"/>
        <w:rPr>
          <w:rFonts w:eastAsia="黑体"/>
          <w:sz w:val="28"/>
          <w:szCs w:val="28"/>
        </w:rPr>
      </w:pPr>
      <w:r>
        <w:rPr>
          <w:rFonts w:eastAsia="黑体"/>
          <w:sz w:val="28"/>
          <w:szCs w:val="28"/>
        </w:rPr>
        <w:t xml:space="preserve">       </w:t>
      </w:r>
      <w:r>
        <w:rPr>
          <w:rFonts w:hint="eastAsia" w:eastAsia="黑体"/>
          <w:sz w:val="28"/>
          <w:szCs w:val="28"/>
        </w:rPr>
        <w:t>图</w:t>
      </w:r>
      <w:r>
        <w:rPr>
          <w:rFonts w:eastAsia="黑体"/>
          <w:sz w:val="28"/>
          <w:szCs w:val="28"/>
        </w:rPr>
        <w:t xml:space="preserve">1-10 </w:t>
      </w:r>
      <w:r>
        <w:rPr>
          <w:rFonts w:hint="eastAsia" w:eastAsia="黑体"/>
          <w:sz w:val="28"/>
          <w:szCs w:val="28"/>
        </w:rPr>
        <w:t>昭化区公路技术等级结构图</w:t>
      </w:r>
    </w:p>
    <w:p>
      <w:pPr>
        <w:ind w:firstLine="640"/>
        <w:rPr>
          <w:rFonts w:eastAsia="黑体"/>
        </w:rPr>
      </w:pPr>
    </w:p>
    <w:p>
      <w:pPr>
        <w:ind w:firstLine="640"/>
        <w:rPr>
          <w:rFonts w:eastAsia="黑体"/>
        </w:rPr>
      </w:pPr>
    </w:p>
    <w:p>
      <w:pPr>
        <w:widowControl/>
        <w:shd w:val="clear" w:color="auto" w:fill="FFFFFF"/>
        <w:ind w:firstLine="0" w:firstLineChars="0"/>
        <w:jc w:val="center"/>
        <w:rPr>
          <w:rFonts w:eastAsia="黑体"/>
          <w:sz w:val="28"/>
          <w:szCs w:val="28"/>
        </w:rPr>
      </w:pPr>
      <w:r>
        <w:rPr>
          <w:rFonts w:hint="eastAsia" w:eastAsia="黑体"/>
          <w:sz w:val="28"/>
          <w:szCs w:val="28"/>
        </w:rPr>
        <w:t>表</w:t>
      </w:r>
      <w:r>
        <w:rPr>
          <w:rFonts w:eastAsia="黑体"/>
          <w:sz w:val="28"/>
          <w:szCs w:val="28"/>
        </w:rPr>
        <w:t>1</w:t>
      </w:r>
      <w:r>
        <w:rPr>
          <w:rFonts w:eastAsia="黑体"/>
          <w:sz w:val="28"/>
          <w:szCs w:val="28"/>
        </w:rPr>
        <w:noBreakHyphen/>
      </w:r>
      <w:r>
        <w:rPr>
          <w:rFonts w:eastAsia="黑体"/>
          <w:sz w:val="28"/>
          <w:szCs w:val="28"/>
        </w:rPr>
        <w:t xml:space="preserve">3 </w:t>
      </w:r>
      <w:r>
        <w:rPr>
          <w:rFonts w:hint="eastAsia" w:eastAsia="黑体"/>
          <w:sz w:val="28"/>
          <w:szCs w:val="28"/>
        </w:rPr>
        <w:t>昭化区公路网路面类型情况统计表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39"/>
        <w:gridCol w:w="992"/>
        <w:gridCol w:w="1039"/>
        <w:gridCol w:w="1040"/>
        <w:gridCol w:w="1040"/>
        <w:gridCol w:w="1559"/>
        <w:gridCol w:w="226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vMerge w:val="restart"/>
            <w:tcBorders>
              <w:top w:val="single" w:color="auto" w:sz="12" w:space="0"/>
              <w:left w:val="single" w:color="auto" w:sz="12"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行政等级</w:t>
            </w:r>
          </w:p>
        </w:tc>
        <w:tc>
          <w:tcPr>
            <w:tcW w:w="992" w:type="dxa"/>
            <w:vMerge w:val="restart"/>
            <w:tcBorders>
              <w:top w:val="single" w:color="auto" w:sz="12"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合计</w:t>
            </w:r>
          </w:p>
        </w:tc>
        <w:tc>
          <w:tcPr>
            <w:tcW w:w="6946" w:type="dxa"/>
            <w:gridSpan w:val="5"/>
            <w:tcBorders>
              <w:top w:val="single" w:color="auto" w:sz="12" w:space="0"/>
              <w:left w:val="single" w:color="auto" w:sz="8" w:space="0"/>
              <w:bottom w:val="single" w:color="auto" w:sz="8" w:space="0"/>
              <w:right w:val="single" w:color="auto" w:sz="12" w:space="0"/>
            </w:tcBorders>
            <w:shd w:val="clear" w:color="000000" w:fill="FFFFFF"/>
            <w:noWrap w:val="0"/>
            <w:vAlign w:val="center"/>
          </w:tcPr>
          <w:p>
            <w:pPr>
              <w:widowControl/>
              <w:spacing w:line="240" w:lineRule="auto"/>
              <w:ind w:firstLine="420"/>
              <w:jc w:val="center"/>
              <w:rPr>
                <w:rFonts w:eastAsia="黑体"/>
                <w:kern w:val="0"/>
                <w:sz w:val="21"/>
                <w:szCs w:val="21"/>
              </w:rPr>
            </w:pPr>
            <w:r>
              <w:rPr>
                <w:rFonts w:hint="eastAsia" w:eastAsia="黑体"/>
                <w:kern w:val="0"/>
                <w:sz w:val="21"/>
                <w:szCs w:val="21"/>
              </w:rPr>
              <w:t>按路面类型分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vMerge w:val="continue"/>
            <w:tcBorders>
              <w:top w:val="single" w:color="auto" w:sz="8" w:space="0"/>
              <w:left w:val="single" w:color="auto" w:sz="12" w:space="0"/>
              <w:bottom w:val="single" w:color="auto" w:sz="8" w:space="0"/>
              <w:right w:val="single" w:color="auto" w:sz="8" w:space="0"/>
            </w:tcBorders>
            <w:shd w:val="clear" w:color="auto" w:fill="auto"/>
            <w:noWrap w:val="0"/>
            <w:vAlign w:val="center"/>
          </w:tcPr>
          <w:p>
            <w:pPr>
              <w:widowControl/>
              <w:spacing w:line="240" w:lineRule="auto"/>
              <w:ind w:firstLine="420"/>
              <w:jc w:val="center"/>
              <w:rPr>
                <w:rFonts w:eastAsia="黑体"/>
                <w:kern w:val="0"/>
                <w:sz w:val="21"/>
                <w:szCs w:val="21"/>
              </w:rPr>
            </w:pPr>
          </w:p>
        </w:tc>
        <w:tc>
          <w:tcPr>
            <w:tcW w:w="992"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pPr>
              <w:widowControl/>
              <w:spacing w:line="240" w:lineRule="auto"/>
              <w:ind w:firstLine="420"/>
              <w:jc w:val="center"/>
              <w:rPr>
                <w:rFonts w:eastAsia="黑体"/>
                <w:kern w:val="0"/>
                <w:sz w:val="21"/>
                <w:szCs w:val="21"/>
              </w:rPr>
            </w:pPr>
          </w:p>
        </w:tc>
        <w:tc>
          <w:tcPr>
            <w:tcW w:w="3119" w:type="dxa"/>
            <w:gridSpan w:val="3"/>
            <w:tcBorders>
              <w:top w:val="single" w:color="auto" w:sz="8"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420"/>
              <w:jc w:val="center"/>
              <w:rPr>
                <w:rFonts w:eastAsia="黑体"/>
                <w:kern w:val="0"/>
                <w:sz w:val="21"/>
                <w:szCs w:val="21"/>
              </w:rPr>
            </w:pPr>
            <w:r>
              <w:rPr>
                <w:rFonts w:hint="eastAsia" w:eastAsia="黑体"/>
                <w:kern w:val="0"/>
                <w:sz w:val="21"/>
                <w:szCs w:val="21"/>
              </w:rPr>
              <w:t>有铺装路面（高级）</w:t>
            </w:r>
          </w:p>
        </w:tc>
        <w:tc>
          <w:tcPr>
            <w:tcW w:w="1559" w:type="dxa"/>
            <w:vMerge w:val="restart"/>
            <w:tcBorders>
              <w:top w:val="single" w:color="auto" w:sz="8"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简易铺装路面</w:t>
            </w:r>
            <w:r>
              <w:rPr>
                <w:rFonts w:eastAsia="黑体"/>
                <w:kern w:val="0"/>
                <w:sz w:val="21"/>
                <w:szCs w:val="21"/>
              </w:rPr>
              <w:br w:type="textWrapping"/>
            </w:r>
            <w:r>
              <w:rPr>
                <w:rFonts w:hint="eastAsia" w:eastAsia="黑体"/>
                <w:kern w:val="0"/>
                <w:sz w:val="21"/>
                <w:szCs w:val="21"/>
              </w:rPr>
              <w:t>（次高级）</w:t>
            </w:r>
          </w:p>
        </w:tc>
        <w:tc>
          <w:tcPr>
            <w:tcW w:w="2268" w:type="dxa"/>
            <w:vMerge w:val="restart"/>
            <w:tcBorders>
              <w:top w:val="single" w:color="auto" w:sz="8" w:space="0"/>
              <w:left w:val="single" w:color="auto" w:sz="8" w:space="0"/>
              <w:bottom w:val="single" w:color="auto" w:sz="8" w:space="0"/>
              <w:right w:val="single" w:color="auto" w:sz="12"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未铺装路面</w:t>
            </w:r>
          </w:p>
          <w:p>
            <w:pPr>
              <w:widowControl/>
              <w:spacing w:line="240" w:lineRule="auto"/>
              <w:ind w:firstLine="0" w:firstLineChars="0"/>
              <w:rPr>
                <w:rFonts w:eastAsia="黑体"/>
                <w:kern w:val="0"/>
                <w:sz w:val="21"/>
                <w:szCs w:val="21"/>
              </w:rPr>
            </w:pPr>
            <w:r>
              <w:rPr>
                <w:rFonts w:hint="eastAsia" w:eastAsia="黑体"/>
                <w:kern w:val="0"/>
                <w:sz w:val="21"/>
                <w:szCs w:val="21"/>
              </w:rPr>
              <w:t>（中级、低级、无路面）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1139" w:type="dxa"/>
            <w:vMerge w:val="continue"/>
            <w:tcBorders>
              <w:top w:val="single" w:color="auto" w:sz="8" w:space="0"/>
              <w:left w:val="single" w:color="auto" w:sz="12" w:space="0"/>
              <w:bottom w:val="single" w:color="auto" w:sz="8" w:space="0"/>
              <w:right w:val="single" w:color="auto" w:sz="8" w:space="0"/>
            </w:tcBorders>
            <w:shd w:val="clear" w:color="auto" w:fill="auto"/>
            <w:noWrap w:val="0"/>
            <w:vAlign w:val="center"/>
          </w:tcPr>
          <w:p>
            <w:pPr>
              <w:widowControl/>
              <w:spacing w:line="240" w:lineRule="auto"/>
              <w:ind w:firstLine="480"/>
              <w:jc w:val="center"/>
              <w:rPr>
                <w:rFonts w:eastAsia="黑体"/>
                <w:kern w:val="0"/>
                <w:sz w:val="24"/>
                <w:szCs w:val="24"/>
              </w:rPr>
            </w:pPr>
          </w:p>
        </w:tc>
        <w:tc>
          <w:tcPr>
            <w:tcW w:w="992" w:type="dxa"/>
            <w:vMerge w:val="continue"/>
            <w:tcBorders>
              <w:top w:val="single" w:color="auto" w:sz="8" w:space="0"/>
              <w:left w:val="single" w:color="auto" w:sz="8" w:space="0"/>
              <w:bottom w:val="single" w:color="auto" w:sz="8" w:space="0"/>
              <w:right w:val="single" w:color="auto" w:sz="8" w:space="0"/>
            </w:tcBorders>
            <w:shd w:val="clear" w:color="auto" w:fill="auto"/>
            <w:noWrap w:val="0"/>
            <w:vAlign w:val="center"/>
          </w:tcPr>
          <w:p>
            <w:pPr>
              <w:widowControl/>
              <w:spacing w:line="240" w:lineRule="auto"/>
              <w:ind w:firstLine="480"/>
              <w:jc w:val="center"/>
              <w:rPr>
                <w:rFonts w:eastAsia="黑体"/>
                <w:kern w:val="0"/>
                <w:sz w:val="24"/>
                <w:szCs w:val="24"/>
              </w:rPr>
            </w:pP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合计</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沥青</w:t>
            </w:r>
          </w:p>
          <w:p>
            <w:pPr>
              <w:widowControl/>
              <w:spacing w:line="240" w:lineRule="auto"/>
              <w:ind w:firstLine="0" w:firstLineChars="0"/>
              <w:jc w:val="center"/>
              <w:rPr>
                <w:rFonts w:eastAsia="黑体"/>
                <w:kern w:val="0"/>
                <w:sz w:val="21"/>
                <w:szCs w:val="21"/>
              </w:rPr>
            </w:pPr>
            <w:r>
              <w:rPr>
                <w:rFonts w:hint="eastAsia" w:eastAsia="黑体"/>
                <w:kern w:val="0"/>
                <w:sz w:val="21"/>
                <w:szCs w:val="21"/>
              </w:rPr>
              <w:t>混凝土</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水泥</w:t>
            </w:r>
          </w:p>
          <w:p>
            <w:pPr>
              <w:widowControl/>
              <w:spacing w:line="240" w:lineRule="auto"/>
              <w:ind w:firstLine="0" w:firstLineChars="0"/>
              <w:jc w:val="center"/>
              <w:rPr>
                <w:rFonts w:eastAsia="黑体"/>
                <w:kern w:val="0"/>
                <w:sz w:val="21"/>
                <w:szCs w:val="21"/>
              </w:rPr>
            </w:pPr>
            <w:r>
              <w:rPr>
                <w:rFonts w:hint="eastAsia" w:eastAsia="黑体"/>
                <w:kern w:val="0"/>
                <w:sz w:val="21"/>
                <w:szCs w:val="21"/>
              </w:rPr>
              <w:t>混凝土</w:t>
            </w:r>
          </w:p>
        </w:tc>
        <w:tc>
          <w:tcPr>
            <w:tcW w:w="1559"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spacing w:line="240" w:lineRule="auto"/>
              <w:ind w:firstLine="480"/>
              <w:jc w:val="center"/>
              <w:rPr>
                <w:rFonts w:eastAsia="黑体"/>
                <w:kern w:val="0"/>
                <w:sz w:val="24"/>
                <w:szCs w:val="24"/>
              </w:rPr>
            </w:pPr>
          </w:p>
        </w:tc>
        <w:tc>
          <w:tcPr>
            <w:tcW w:w="2268"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spacing w:line="240" w:lineRule="auto"/>
              <w:ind w:firstLine="480"/>
              <w:jc w:val="center"/>
              <w:rPr>
                <w:rFonts w:eastAsia="黑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合计</w:t>
            </w:r>
          </w:p>
        </w:tc>
        <w:tc>
          <w:tcPr>
            <w:tcW w:w="992"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2641.3</w:t>
            </w: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1642.661</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376.998</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1265.663</w:t>
            </w:r>
          </w:p>
        </w:tc>
        <w:tc>
          <w:tcPr>
            <w:tcW w:w="155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8" w:space="0"/>
              <w:right w:val="single" w:color="auto" w:sz="12"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998.67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国道</w:t>
            </w:r>
          </w:p>
        </w:tc>
        <w:tc>
          <w:tcPr>
            <w:tcW w:w="992"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79.4</w:t>
            </w: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79.418</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79.418</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p>
        </w:tc>
        <w:tc>
          <w:tcPr>
            <w:tcW w:w="155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8" w:space="0"/>
              <w:right w:val="single" w:color="auto" w:sz="12" w:space="0"/>
            </w:tcBorders>
            <w:shd w:val="clear" w:color="000000" w:fill="FFFFFF"/>
            <w:noWrap/>
            <w:vAlign w:val="center"/>
          </w:tcPr>
          <w:p>
            <w:pPr>
              <w:widowControl/>
              <w:spacing w:line="240" w:lineRule="auto"/>
              <w:ind w:firstLine="420"/>
              <w:jc w:val="center"/>
              <w:rPr>
                <w:rFonts w:eastAsia="黑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省道</w:t>
            </w:r>
          </w:p>
        </w:tc>
        <w:tc>
          <w:tcPr>
            <w:tcW w:w="992"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71.2</w:t>
            </w: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70.96</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52.795</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18.165</w:t>
            </w:r>
          </w:p>
        </w:tc>
        <w:tc>
          <w:tcPr>
            <w:tcW w:w="155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8" w:space="0"/>
              <w:right w:val="single" w:color="auto" w:sz="12"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0.232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县道</w:t>
            </w:r>
          </w:p>
        </w:tc>
        <w:tc>
          <w:tcPr>
            <w:tcW w:w="992"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548.7</w:t>
            </w: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366.469</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223.968</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142.501</w:t>
            </w:r>
          </w:p>
        </w:tc>
        <w:tc>
          <w:tcPr>
            <w:tcW w:w="155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8" w:space="0"/>
              <w:right w:val="single" w:color="auto" w:sz="12"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182.238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乡道</w:t>
            </w:r>
          </w:p>
        </w:tc>
        <w:tc>
          <w:tcPr>
            <w:tcW w:w="992"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744.1</w:t>
            </w:r>
          </w:p>
        </w:tc>
        <w:tc>
          <w:tcPr>
            <w:tcW w:w="103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502.661</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17.81</w:t>
            </w:r>
          </w:p>
        </w:tc>
        <w:tc>
          <w:tcPr>
            <w:tcW w:w="1040"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484.851</w:t>
            </w:r>
          </w:p>
        </w:tc>
        <w:tc>
          <w:tcPr>
            <w:tcW w:w="1559"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8" w:space="0"/>
              <w:right w:val="single" w:color="auto" w:sz="12"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241.401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139" w:type="dxa"/>
            <w:tcBorders>
              <w:top w:val="single" w:color="auto" w:sz="8" w:space="0"/>
              <w:left w:val="single" w:color="auto" w:sz="12"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村道</w:t>
            </w:r>
          </w:p>
        </w:tc>
        <w:tc>
          <w:tcPr>
            <w:tcW w:w="992" w:type="dxa"/>
            <w:tcBorders>
              <w:top w:val="single" w:color="auto" w:sz="8" w:space="0"/>
              <w:left w:val="single" w:color="auto" w:sz="8"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1198.0</w:t>
            </w:r>
          </w:p>
        </w:tc>
        <w:tc>
          <w:tcPr>
            <w:tcW w:w="1039" w:type="dxa"/>
            <w:tcBorders>
              <w:top w:val="single" w:color="auto" w:sz="8" w:space="0"/>
              <w:left w:val="single" w:color="auto" w:sz="8"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623.153</w:t>
            </w:r>
          </w:p>
        </w:tc>
        <w:tc>
          <w:tcPr>
            <w:tcW w:w="1040" w:type="dxa"/>
            <w:tcBorders>
              <w:top w:val="single" w:color="auto" w:sz="8" w:space="0"/>
              <w:left w:val="single" w:color="auto" w:sz="8"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3.007</w:t>
            </w:r>
          </w:p>
        </w:tc>
        <w:tc>
          <w:tcPr>
            <w:tcW w:w="1040" w:type="dxa"/>
            <w:tcBorders>
              <w:top w:val="single" w:color="auto" w:sz="8" w:space="0"/>
              <w:left w:val="single" w:color="auto" w:sz="8"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620.146</w:t>
            </w:r>
          </w:p>
        </w:tc>
        <w:tc>
          <w:tcPr>
            <w:tcW w:w="1559" w:type="dxa"/>
            <w:tcBorders>
              <w:top w:val="single" w:color="auto" w:sz="8" w:space="0"/>
              <w:left w:val="single" w:color="auto" w:sz="8" w:space="0"/>
              <w:bottom w:val="single" w:color="auto" w:sz="12" w:space="0"/>
              <w:right w:val="single" w:color="auto" w:sz="8"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　</w:t>
            </w:r>
          </w:p>
        </w:tc>
        <w:tc>
          <w:tcPr>
            <w:tcW w:w="2268" w:type="dxa"/>
            <w:tcBorders>
              <w:top w:val="single" w:color="auto" w:sz="8" w:space="0"/>
              <w:left w:val="single" w:color="auto" w:sz="8" w:space="0"/>
              <w:bottom w:val="single" w:color="auto" w:sz="12" w:space="0"/>
              <w:right w:val="single" w:color="auto" w:sz="12" w:space="0"/>
            </w:tcBorders>
            <w:shd w:val="clear" w:color="000000" w:fill="FFFFFF"/>
            <w:noWrap/>
            <w:vAlign w:val="center"/>
          </w:tcPr>
          <w:p>
            <w:pPr>
              <w:widowControl/>
              <w:spacing w:line="240" w:lineRule="auto"/>
              <w:ind w:firstLine="0" w:firstLineChars="0"/>
              <w:jc w:val="center"/>
              <w:rPr>
                <w:rFonts w:eastAsia="黑体"/>
                <w:kern w:val="0"/>
                <w:sz w:val="21"/>
                <w:szCs w:val="21"/>
              </w:rPr>
            </w:pPr>
            <w:r>
              <w:rPr>
                <w:rFonts w:eastAsia="黑体"/>
                <w:kern w:val="0"/>
                <w:sz w:val="21"/>
                <w:szCs w:val="21"/>
              </w:rPr>
              <w:t>574.799</w:t>
            </w:r>
          </w:p>
        </w:tc>
      </w:tr>
    </w:tbl>
    <w:p>
      <w:pPr>
        <w:ind w:firstLine="640"/>
        <w:rPr>
          <w:rFonts w:eastAsia="黑体"/>
        </w:rPr>
      </w:pPr>
    </w:p>
    <w:p>
      <w:pPr>
        <w:spacing w:line="240" w:lineRule="auto"/>
        <w:ind w:firstLine="0" w:firstLineChars="0"/>
        <w:jc w:val="center"/>
        <w:rPr>
          <w:rFonts w:eastAsia="黑体"/>
        </w:rPr>
      </w:pPr>
      <w:r>
        <w:rPr>
          <w:rFonts w:hint="eastAsia"/>
        </w:rPr>
        <w:object>
          <v:shape id="_x0000_i1037" o:spt="75" type="#_x0000_t75" style="height:237.5pt;width:386.2pt;" o:ole="t" filled="f" o:preferrelative="t" stroked="f" coordsize="21600,21600">
            <v:path/>
            <v:fill on="f" focussize="0,0"/>
            <v:stroke on="f"/>
            <v:imagedata r:id="rId29" o:title=""/>
            <o:lock v:ext="edit" aspectratio="f"/>
            <w10:wrap type="none"/>
            <w10:anchorlock/>
          </v:shape>
          <o:OLEObject Type="Embed" ProgID="Excel.Chart.8" ShapeID="_x0000_i1037" DrawAspect="Content" ObjectID="_1468075728" r:id="rId28">
            <o:LockedField>false</o:LockedField>
          </o:OLEObject>
        </w:object>
      </w:r>
    </w:p>
    <w:p>
      <w:pPr>
        <w:ind w:firstLine="0" w:firstLineChars="0"/>
        <w:jc w:val="center"/>
        <w:rPr>
          <w:rFonts w:eastAsia="黑体"/>
        </w:rPr>
      </w:pPr>
      <w:r>
        <w:rPr>
          <w:rFonts w:hint="eastAsia" w:eastAsia="黑体"/>
          <w:sz w:val="28"/>
          <w:szCs w:val="28"/>
        </w:rPr>
        <w:t>图</w:t>
      </w:r>
      <w:r>
        <w:rPr>
          <w:rFonts w:eastAsia="黑体"/>
          <w:sz w:val="28"/>
          <w:szCs w:val="28"/>
        </w:rPr>
        <w:t xml:space="preserve">1-11 </w:t>
      </w:r>
      <w:r>
        <w:rPr>
          <w:rFonts w:hint="eastAsia" w:eastAsia="黑体"/>
          <w:sz w:val="28"/>
          <w:szCs w:val="28"/>
        </w:rPr>
        <w:t>昭化区公路路面类型结构图</w:t>
      </w:r>
    </w:p>
    <w:p>
      <w:pPr>
        <w:ind w:firstLine="640"/>
        <w:rPr>
          <w:rFonts w:eastAsia="黑体"/>
        </w:rPr>
      </w:pPr>
      <w:r>
        <w:rPr>
          <w:rFonts w:eastAsia="黑体"/>
        </w:rPr>
        <w:t>2.</w:t>
      </w:r>
      <w:r>
        <w:rPr>
          <w:rFonts w:hint="eastAsia" w:eastAsia="黑体"/>
        </w:rPr>
        <w:t>水运</w:t>
      </w:r>
    </w:p>
    <w:p>
      <w:pPr>
        <w:ind w:firstLine="640"/>
        <w:rPr>
          <w:rFonts w:eastAsia="黑体"/>
        </w:rPr>
      </w:pPr>
      <w:r>
        <w:rPr>
          <w:rFonts w:hint="eastAsia" w:eastAsia="黑体"/>
        </w:rPr>
        <w:t>（</w:t>
      </w:r>
      <w:r>
        <w:rPr>
          <w:rFonts w:eastAsia="黑体"/>
        </w:rPr>
        <w:t>1</w:t>
      </w:r>
      <w:r>
        <w:rPr>
          <w:rFonts w:hint="eastAsia" w:eastAsia="黑体"/>
        </w:rPr>
        <w:t>）内河航道</w:t>
      </w:r>
    </w:p>
    <w:p>
      <w:pPr>
        <w:ind w:firstLine="640"/>
      </w:pPr>
      <w:r>
        <w:rPr>
          <w:rFonts w:hint="eastAsia"/>
        </w:rPr>
        <w:t>嘉陵江干流昭化区从西北昭化镇彭家湾入境，由北向南流至徐家坪入苍溪县，流长</w:t>
      </w:r>
      <w:r>
        <w:t>159km</w:t>
      </w:r>
      <w:r>
        <w:rPr>
          <w:rFonts w:hint="eastAsia"/>
        </w:rPr>
        <w:t>，占嘉陵江全长</w:t>
      </w:r>
      <w:r>
        <w:t>1119 km</w:t>
      </w:r>
      <w:r>
        <w:rPr>
          <w:rFonts w:hint="eastAsia"/>
        </w:rPr>
        <w:t>的</w:t>
      </w:r>
      <w:r>
        <w:t>14.21%</w:t>
      </w:r>
      <w:r>
        <w:rPr>
          <w:rFonts w:hint="eastAsia"/>
        </w:rPr>
        <w:t>，流域面积</w:t>
      </w:r>
      <w:r>
        <w:t>900 km</w:t>
      </w:r>
      <w:r>
        <w:rPr>
          <w:vertAlign w:val="superscript"/>
        </w:rPr>
        <w:t>2</w:t>
      </w:r>
      <w:r>
        <w:rPr>
          <w:rFonts w:hint="eastAsia"/>
        </w:rPr>
        <w:t>。其入境口多年平均流量为</w:t>
      </w:r>
      <w:r>
        <w:t>220 m³/s</w:t>
      </w:r>
      <w:r>
        <w:rPr>
          <w:rFonts w:hint="eastAsia"/>
        </w:rPr>
        <w:t>，出境口多年平均流量为</w:t>
      </w:r>
      <w:r>
        <w:t>495 m³/s</w:t>
      </w:r>
      <w:r>
        <w:rPr>
          <w:rFonts w:hint="eastAsia"/>
        </w:rPr>
        <w:t>，年过境流量为</w:t>
      </w:r>
      <w:r>
        <w:t>52.98</w:t>
      </w:r>
      <w:r>
        <w:rPr>
          <w:rFonts w:hint="eastAsia"/>
        </w:rPr>
        <w:t>亿</w:t>
      </w:r>
      <w:r>
        <w:t>m³</w:t>
      </w:r>
      <w:r>
        <w:rPr>
          <w:rFonts w:hint="eastAsia"/>
        </w:rPr>
        <w:t>。嘉陵江广元～昭化段河道滩险较多，大部分为砂卵石浅滩，以弯、浅碍航为主，一般流速</w:t>
      </w:r>
      <w:r>
        <w:t>0.8m/s</w:t>
      </w:r>
      <w:r>
        <w:rPr>
          <w:rFonts w:hint="eastAsia"/>
        </w:rPr>
        <w:t>，航道等级为</w:t>
      </w:r>
      <w:r>
        <w:rPr>
          <w:rFonts w:hint="eastAsia" w:ascii="宋体" w:hAnsi="宋体" w:eastAsia="宋体" w:cs="宋体"/>
        </w:rPr>
        <w:t>Ⅵ</w:t>
      </w:r>
      <w:r>
        <w:rPr>
          <w:rFonts w:hint="eastAsia"/>
        </w:rPr>
        <w:t>级。</w:t>
      </w:r>
    </w:p>
    <w:p>
      <w:pPr>
        <w:ind w:firstLine="640"/>
      </w:pPr>
      <w:r>
        <w:rPr>
          <w:rFonts w:hint="eastAsia"/>
        </w:rPr>
        <w:t>白龙江是嘉陵江的主要支流，源于四川与甘肃交界处的郎木寺，由西北向东南方向流经昭化镇洪恩寺，接纳清江河水体，最终在昭化镇两河口处以东南流向曲流汇入嘉陵江。白龙江全长</w:t>
      </w:r>
      <w:r>
        <w:t>482km</w:t>
      </w:r>
      <w:r>
        <w:rPr>
          <w:rFonts w:hint="eastAsia"/>
        </w:rPr>
        <w:t>，通航河段里程</w:t>
      </w:r>
      <w:r>
        <w:t>81km</w:t>
      </w:r>
      <w:r>
        <w:rPr>
          <w:rFonts w:hint="eastAsia"/>
        </w:rPr>
        <w:t>。白龙江昭化境内</w:t>
      </w:r>
      <w:r>
        <w:t>10km</w:t>
      </w:r>
      <w:r>
        <w:rPr>
          <w:rFonts w:hint="eastAsia"/>
        </w:rPr>
        <w:t>航道，其中</w:t>
      </w:r>
      <w:r>
        <w:t>8km</w:t>
      </w:r>
      <w:r>
        <w:rPr>
          <w:rFonts w:hint="eastAsia"/>
        </w:rPr>
        <w:t>位于昭化库区（正常蓄水位</w:t>
      </w:r>
      <w:r>
        <w:t>466.00m</w:t>
      </w:r>
      <w:r>
        <w:rPr>
          <w:rFonts w:hint="eastAsia"/>
        </w:rPr>
        <w:t>）内，过境流量为</w:t>
      </w:r>
      <w:r>
        <w:t>90.96</w:t>
      </w:r>
      <w:r>
        <w:rPr>
          <w:rFonts w:hint="eastAsia"/>
        </w:rPr>
        <w:t>亿</w:t>
      </w:r>
      <w:r>
        <w:t>m³</w:t>
      </w:r>
      <w:r>
        <w:rPr>
          <w:rFonts w:hint="eastAsia"/>
        </w:rPr>
        <w:t>。</w:t>
      </w:r>
    </w:p>
    <w:p>
      <w:pPr>
        <w:spacing w:line="240" w:lineRule="auto"/>
        <w:ind w:firstLine="0" w:firstLineChars="0"/>
      </w:pPr>
      <w:r>
        <w:rPr>
          <w:rFonts w:hint="eastAsia"/>
        </w:rPr>
        <w:drawing>
          <wp:inline distT="0" distB="0" distL="114300" distR="114300">
            <wp:extent cx="2722880" cy="2061845"/>
            <wp:effectExtent l="0" t="0" r="1270" b="1460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30"/>
                    <a:stretch>
                      <a:fillRect/>
                    </a:stretch>
                  </pic:blipFill>
                  <pic:spPr>
                    <a:xfrm>
                      <a:off x="0" y="0"/>
                      <a:ext cx="2722880" cy="2061845"/>
                    </a:xfrm>
                    <a:prstGeom prst="rect">
                      <a:avLst/>
                    </a:prstGeom>
                    <a:noFill/>
                    <a:ln>
                      <a:noFill/>
                    </a:ln>
                  </pic:spPr>
                </pic:pic>
              </a:graphicData>
            </a:graphic>
          </wp:inline>
        </w:drawing>
      </w:r>
      <w:r>
        <w:rPr>
          <w:rFonts w:hint="eastAsia"/>
        </w:rPr>
        <w:drawing>
          <wp:inline distT="0" distB="0" distL="114300" distR="114300">
            <wp:extent cx="2634615" cy="2063115"/>
            <wp:effectExtent l="0" t="0" r="13335" b="133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31"/>
                    <a:stretch>
                      <a:fillRect/>
                    </a:stretch>
                  </pic:blipFill>
                  <pic:spPr>
                    <a:xfrm>
                      <a:off x="0" y="0"/>
                      <a:ext cx="2634615" cy="2063115"/>
                    </a:xfrm>
                    <a:prstGeom prst="rect">
                      <a:avLst/>
                    </a:prstGeom>
                    <a:noFill/>
                    <a:ln>
                      <a:noFill/>
                    </a:ln>
                  </pic:spPr>
                </pic:pic>
              </a:graphicData>
            </a:graphic>
          </wp:inline>
        </w:drawing>
      </w:r>
    </w:p>
    <w:p>
      <w:pPr>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1-12 </w:t>
      </w:r>
      <w:r>
        <w:rPr>
          <w:rFonts w:hint="eastAsia" w:eastAsia="黑体"/>
          <w:sz w:val="28"/>
          <w:szCs w:val="28"/>
        </w:rPr>
        <w:t>昭化区嘉陵江航道</w:t>
      </w:r>
    </w:p>
    <w:p>
      <w:pPr>
        <w:ind w:firstLine="640"/>
        <w:rPr>
          <w:rFonts w:eastAsia="黑体"/>
        </w:rPr>
      </w:pPr>
      <w:r>
        <w:rPr>
          <w:rFonts w:hint="eastAsia" w:eastAsia="黑体"/>
        </w:rPr>
        <w:t>（</w:t>
      </w:r>
      <w:r>
        <w:rPr>
          <w:rFonts w:eastAsia="黑体"/>
        </w:rPr>
        <w:t>2</w:t>
      </w:r>
      <w:r>
        <w:rPr>
          <w:rFonts w:hint="eastAsia" w:eastAsia="黑体"/>
        </w:rPr>
        <w:t>）港口码头</w:t>
      </w:r>
    </w:p>
    <w:p>
      <w:pPr>
        <w:ind w:firstLine="640"/>
      </w:pPr>
      <w:r>
        <w:rPr>
          <w:rFonts w:hint="eastAsia"/>
        </w:rPr>
        <w:t>广元港是川北、陕南、陇南的水陆联运港，为川北水陆物资集散枢纽，是嘉陵江高等级航道川内航运的起点。</w:t>
      </w:r>
    </w:p>
    <w:p>
      <w:pPr>
        <w:ind w:firstLine="640"/>
      </w:pPr>
      <w:r>
        <w:rPr>
          <w:rFonts w:hint="eastAsia"/>
        </w:rPr>
        <w:t>按照《广元港总体规划》，昭化港区是广元港的重要组成部分，主要由红岩作业区（一区）和桔柏渡客运作业区组成。</w:t>
      </w:r>
    </w:p>
    <w:p>
      <w:pPr>
        <w:ind w:firstLine="640"/>
      </w:pPr>
      <w:r>
        <w:rPr>
          <w:rFonts w:hint="eastAsia"/>
        </w:rPr>
        <w:t>红岩作业区（一区）：主要是为腹地内工业园区的原材料、产成品等提供运输服务，以集装箱</w:t>
      </w:r>
      <w:r>
        <w:t xml:space="preserve"> </w:t>
      </w:r>
      <w:r>
        <w:rPr>
          <w:rFonts w:hint="eastAsia"/>
        </w:rPr>
        <w:t>、煤炭、矿石运输为主；通过绵广、广陕、广甘高速公路、宝成铁路、兰渝铁路的辐射作用，吸纳绵阳、陇南、陕南等地区物资到作业区中转；目前，昭化港区红岩作业区（一区）一期工程共</w:t>
      </w:r>
      <w:r>
        <w:t>4</w:t>
      </w:r>
      <w:r>
        <w:rPr>
          <w:rFonts w:hint="eastAsia"/>
        </w:rPr>
        <w:t>个泊位，设计吞吐量达到集装箱</w:t>
      </w:r>
      <w:r>
        <w:t>6.5</w:t>
      </w:r>
      <w:r>
        <w:rPr>
          <w:rFonts w:hint="eastAsia"/>
        </w:rPr>
        <w:t>万</w:t>
      </w:r>
      <w:r>
        <w:t>TEU</w:t>
      </w:r>
      <w:r>
        <w:rPr>
          <w:rFonts w:hint="eastAsia"/>
        </w:rPr>
        <w:t>、件杂货</w:t>
      </w:r>
      <w:r>
        <w:t>90</w:t>
      </w:r>
      <w:r>
        <w:rPr>
          <w:rFonts w:hint="eastAsia"/>
        </w:rPr>
        <w:t>万</w:t>
      </w:r>
      <w:r>
        <w:t>t</w:t>
      </w:r>
      <w:r>
        <w:rPr>
          <w:rFonts w:hint="eastAsia"/>
        </w:rPr>
        <w:t>。自</w:t>
      </w:r>
      <w:r>
        <w:t>2011</w:t>
      </w:r>
      <w:r>
        <w:rPr>
          <w:rFonts w:hint="eastAsia"/>
        </w:rPr>
        <w:t>年</w:t>
      </w:r>
      <w:r>
        <w:t>12</w:t>
      </w:r>
      <w:r>
        <w:rPr>
          <w:rFonts w:hint="eastAsia"/>
        </w:rPr>
        <w:t>月</w:t>
      </w:r>
      <w:r>
        <w:t>25</w:t>
      </w:r>
      <w:r>
        <w:rPr>
          <w:rFonts w:hint="eastAsia"/>
        </w:rPr>
        <w:t>日开工，经过</w:t>
      </w:r>
      <w:r>
        <w:t>3</w:t>
      </w:r>
      <w:r>
        <w:rPr>
          <w:rFonts w:hint="eastAsia"/>
        </w:rPr>
        <w:t>年的建设，已于</w:t>
      </w:r>
      <w:r>
        <w:t>2014</w:t>
      </w:r>
      <w:r>
        <w:rPr>
          <w:rFonts w:hint="eastAsia"/>
        </w:rPr>
        <w:t>年年底开港试运营。</w:t>
      </w:r>
    </w:p>
    <w:p>
      <w:pPr>
        <w:ind w:firstLine="640"/>
      </w:pPr>
      <w:r>
        <w:rPr>
          <w:rFonts w:hint="eastAsia"/>
        </w:rPr>
        <w:t>桔柏渡客运作业区：主要为旅游和城镇生活游览提供运输服务；原左岸货运码头取消其功能，规划为预留岸线。</w:t>
      </w:r>
    </w:p>
    <w:p>
      <w:pPr>
        <w:ind w:firstLine="640"/>
      </w:pPr>
      <w:r>
        <w:rPr>
          <w:rFonts w:hint="eastAsia"/>
        </w:rPr>
        <w:t>昭化港区主要作业区和码头规划指标见表</w:t>
      </w:r>
      <w:r>
        <w:t>1-4</w:t>
      </w:r>
      <w:r>
        <w:rPr>
          <w:rFonts w:hint="eastAsia"/>
        </w:rPr>
        <w:t>及图</w:t>
      </w:r>
      <w:r>
        <w:t>1-13</w:t>
      </w:r>
      <w:r>
        <w:rPr>
          <w:rFonts w:hint="eastAsia"/>
        </w:rPr>
        <w:t>、</w:t>
      </w:r>
      <w:r>
        <w:t>1-14</w:t>
      </w:r>
      <w:r>
        <w:rPr>
          <w:rFonts w:hint="eastAsia"/>
        </w:rPr>
        <w:t>。</w:t>
      </w:r>
    </w:p>
    <w:p>
      <w:pPr>
        <w:ind w:firstLine="0" w:firstLineChars="0"/>
        <w:jc w:val="center"/>
        <w:rPr>
          <w:rFonts w:eastAsia="黑体"/>
          <w:sz w:val="28"/>
          <w:szCs w:val="28"/>
        </w:rPr>
      </w:pPr>
      <w:r>
        <w:rPr>
          <w:rFonts w:hint="eastAsia" w:eastAsia="黑体"/>
          <w:sz w:val="28"/>
          <w:szCs w:val="28"/>
        </w:rPr>
        <w:t>表</w:t>
      </w:r>
      <w:r>
        <w:rPr>
          <w:rFonts w:eastAsia="黑体"/>
          <w:sz w:val="28"/>
          <w:szCs w:val="28"/>
        </w:rPr>
        <w:t xml:space="preserve">1-4 </w:t>
      </w:r>
      <w:r>
        <w:rPr>
          <w:rFonts w:hint="eastAsia" w:eastAsia="黑体"/>
          <w:sz w:val="28"/>
          <w:szCs w:val="28"/>
        </w:rPr>
        <w:t>广元港昭化港区主要规划指标值</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5"/>
        <w:gridCol w:w="1269"/>
        <w:gridCol w:w="1269"/>
        <w:gridCol w:w="990"/>
        <w:gridCol w:w="1701"/>
        <w:gridCol w:w="1152"/>
        <w:gridCol w:w="1281"/>
        <w:gridCol w:w="6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25" w:type="dxa"/>
            <w:tcBorders>
              <w:top w:val="single" w:color="auto" w:sz="12"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1269" w:type="dxa"/>
            <w:tcBorders>
              <w:top w:val="single" w:color="auto" w:sz="12"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rFonts w:eastAsia="黑体"/>
                <w:kern w:val="0"/>
                <w:sz w:val="21"/>
                <w:szCs w:val="21"/>
              </w:rPr>
            </w:pPr>
            <w:r>
              <w:rPr>
                <w:rFonts w:hint="eastAsia" w:eastAsia="黑体"/>
                <w:kern w:val="0"/>
                <w:sz w:val="21"/>
                <w:szCs w:val="21"/>
              </w:rPr>
              <w:t>作业区名称</w:t>
            </w:r>
          </w:p>
        </w:tc>
        <w:tc>
          <w:tcPr>
            <w:tcW w:w="1269" w:type="dxa"/>
            <w:tcBorders>
              <w:top w:val="single" w:color="auto" w:sz="12"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rFonts w:eastAsia="黑体"/>
                <w:kern w:val="0"/>
                <w:sz w:val="21"/>
                <w:szCs w:val="21"/>
              </w:rPr>
            </w:pPr>
            <w:r>
              <w:rPr>
                <w:rFonts w:hint="eastAsia" w:eastAsia="黑体"/>
                <w:kern w:val="0"/>
                <w:sz w:val="21"/>
                <w:szCs w:val="21"/>
              </w:rPr>
              <w:t>主要功能</w:t>
            </w:r>
          </w:p>
        </w:tc>
        <w:tc>
          <w:tcPr>
            <w:tcW w:w="990"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黑体"/>
                <w:kern w:val="0"/>
                <w:sz w:val="21"/>
                <w:szCs w:val="21"/>
              </w:rPr>
            </w:pPr>
            <w:r>
              <w:rPr>
                <w:rFonts w:hint="eastAsia" w:eastAsia="黑体"/>
                <w:kern w:val="0"/>
                <w:sz w:val="21"/>
                <w:szCs w:val="21"/>
              </w:rPr>
              <w:t>泊位数（个）</w:t>
            </w:r>
          </w:p>
        </w:tc>
        <w:tc>
          <w:tcPr>
            <w:tcW w:w="1701"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黑体"/>
                <w:kern w:val="0"/>
                <w:sz w:val="21"/>
                <w:szCs w:val="21"/>
              </w:rPr>
            </w:pPr>
            <w:r>
              <w:rPr>
                <w:rFonts w:hint="eastAsia" w:eastAsia="黑体"/>
                <w:kern w:val="0"/>
                <w:sz w:val="21"/>
                <w:szCs w:val="21"/>
              </w:rPr>
              <w:t>通过能力</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eastAsia="黑体"/>
                <w:kern w:val="0"/>
                <w:sz w:val="21"/>
                <w:szCs w:val="21"/>
              </w:rPr>
            </w:pPr>
            <w:r>
              <w:rPr>
                <w:rFonts w:hint="eastAsia" w:eastAsia="黑体"/>
                <w:kern w:val="0"/>
                <w:sz w:val="21"/>
                <w:szCs w:val="21"/>
              </w:rPr>
              <w:t>（万</w:t>
            </w:r>
            <w:r>
              <w:rPr>
                <w:rFonts w:eastAsia="黑体"/>
                <w:kern w:val="0"/>
                <w:sz w:val="21"/>
                <w:szCs w:val="21"/>
              </w:rPr>
              <w:t>t/</w:t>
            </w:r>
            <w:r>
              <w:rPr>
                <w:rFonts w:hint="eastAsia" w:eastAsia="黑体"/>
                <w:kern w:val="0"/>
                <w:sz w:val="21"/>
                <w:szCs w:val="21"/>
              </w:rPr>
              <w:t>万人次）</w:t>
            </w:r>
          </w:p>
        </w:tc>
        <w:tc>
          <w:tcPr>
            <w:tcW w:w="1152"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黑体"/>
                <w:kern w:val="0"/>
                <w:sz w:val="21"/>
                <w:szCs w:val="21"/>
              </w:rPr>
            </w:pPr>
            <w:r>
              <w:rPr>
                <w:rFonts w:hint="eastAsia" w:eastAsia="黑体"/>
                <w:kern w:val="0"/>
                <w:sz w:val="21"/>
                <w:szCs w:val="21"/>
              </w:rPr>
              <w:t>水域面积（</w:t>
            </w:r>
            <w:r>
              <w:rPr>
                <w:rFonts w:eastAsia="黑体"/>
                <w:kern w:val="0"/>
                <w:sz w:val="21"/>
                <w:szCs w:val="21"/>
              </w:rPr>
              <w:t>m2</w:t>
            </w:r>
            <w:r>
              <w:rPr>
                <w:rFonts w:hint="eastAsia" w:eastAsia="黑体"/>
                <w:kern w:val="0"/>
                <w:sz w:val="21"/>
                <w:szCs w:val="21"/>
              </w:rPr>
              <w:t>）</w:t>
            </w:r>
          </w:p>
        </w:tc>
        <w:tc>
          <w:tcPr>
            <w:tcW w:w="1281"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黑体"/>
                <w:kern w:val="0"/>
                <w:sz w:val="21"/>
                <w:szCs w:val="21"/>
              </w:rPr>
            </w:pPr>
            <w:r>
              <w:rPr>
                <w:rFonts w:hint="eastAsia" w:eastAsia="黑体"/>
                <w:kern w:val="0"/>
                <w:sz w:val="21"/>
                <w:szCs w:val="21"/>
              </w:rPr>
              <w:t>占用土地（</w:t>
            </w:r>
            <w:r>
              <w:rPr>
                <w:rFonts w:eastAsia="黑体"/>
                <w:kern w:val="0"/>
                <w:sz w:val="21"/>
                <w:szCs w:val="21"/>
              </w:rPr>
              <w:t>m2</w:t>
            </w:r>
            <w:r>
              <w:rPr>
                <w:rFonts w:hint="eastAsia" w:eastAsia="黑体"/>
                <w:kern w:val="0"/>
                <w:sz w:val="21"/>
                <w:szCs w:val="21"/>
              </w:rPr>
              <w:t>）</w:t>
            </w:r>
          </w:p>
        </w:tc>
        <w:tc>
          <w:tcPr>
            <w:tcW w:w="686" w:type="dxa"/>
            <w:tcBorders>
              <w:top w:val="single" w:color="auto" w:sz="12"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5" w:type="dxa"/>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sz w:val="21"/>
                <w:szCs w:val="21"/>
              </w:rPr>
              <w:t>1</w:t>
            </w:r>
          </w:p>
        </w:tc>
        <w:tc>
          <w:tcPr>
            <w:tcW w:w="1269"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rFonts w:hint="eastAsia"/>
                <w:sz w:val="21"/>
                <w:szCs w:val="21"/>
              </w:rPr>
              <w:t>红岩作业区（一区）</w:t>
            </w:r>
          </w:p>
        </w:tc>
        <w:tc>
          <w:tcPr>
            <w:tcW w:w="1269"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rFonts w:hint="eastAsia"/>
                <w:sz w:val="21"/>
                <w:szCs w:val="21"/>
              </w:rPr>
              <w:t>集装箱、件杂、散货</w:t>
            </w:r>
          </w:p>
        </w:tc>
        <w:tc>
          <w:tcPr>
            <w:tcW w:w="990"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sz w:val="21"/>
                <w:szCs w:val="21"/>
              </w:rPr>
              <w:t>12</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sz w:val="21"/>
                <w:szCs w:val="21"/>
              </w:rPr>
              <w:t>35</w:t>
            </w:r>
            <w:r>
              <w:rPr>
                <w:rFonts w:hint="eastAsia"/>
                <w:sz w:val="21"/>
                <w:szCs w:val="21"/>
              </w:rPr>
              <w:t>万</w:t>
            </w:r>
            <w:r>
              <w:rPr>
                <w:sz w:val="21"/>
                <w:szCs w:val="21"/>
              </w:rPr>
              <w:t>TEU</w:t>
            </w:r>
            <w:r>
              <w:rPr>
                <w:rFonts w:hint="eastAsia"/>
                <w:sz w:val="21"/>
                <w:szCs w:val="21"/>
              </w:rPr>
              <w:t>、</w:t>
            </w:r>
            <w:r>
              <w:rPr>
                <w:sz w:val="21"/>
                <w:szCs w:val="21"/>
              </w:rPr>
              <w:t>260</w:t>
            </w:r>
          </w:p>
        </w:tc>
        <w:tc>
          <w:tcPr>
            <w:tcW w:w="1152"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sz w:val="21"/>
                <w:szCs w:val="21"/>
              </w:rPr>
              <w:t>38000</w:t>
            </w:r>
          </w:p>
        </w:tc>
        <w:tc>
          <w:tcPr>
            <w:tcW w:w="128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sz w:val="21"/>
                <w:szCs w:val="21"/>
              </w:rPr>
            </w:pPr>
            <w:r>
              <w:rPr>
                <w:sz w:val="21"/>
                <w:szCs w:val="21"/>
              </w:rPr>
              <w:t>510000</w:t>
            </w:r>
          </w:p>
        </w:tc>
        <w:tc>
          <w:tcPr>
            <w:tcW w:w="686"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5" w:type="dxa"/>
            <w:tcBorders>
              <w:top w:val="single" w:color="auto" w:sz="8" w:space="0"/>
              <w:left w:val="single" w:color="auto" w:sz="12"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sz w:val="21"/>
                <w:szCs w:val="21"/>
              </w:rPr>
              <w:t>2</w:t>
            </w:r>
          </w:p>
        </w:tc>
        <w:tc>
          <w:tcPr>
            <w:tcW w:w="1269"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rFonts w:hint="eastAsia"/>
                <w:sz w:val="21"/>
                <w:szCs w:val="21"/>
              </w:rPr>
              <w:t>桔柏渡客运作业区</w:t>
            </w:r>
          </w:p>
        </w:tc>
        <w:tc>
          <w:tcPr>
            <w:tcW w:w="1269"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rFonts w:hint="eastAsia"/>
                <w:sz w:val="21"/>
                <w:szCs w:val="21"/>
              </w:rPr>
              <w:t>客运</w:t>
            </w:r>
          </w:p>
        </w:tc>
        <w:tc>
          <w:tcPr>
            <w:tcW w:w="990"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sz w:val="21"/>
                <w:szCs w:val="21"/>
              </w:rPr>
              <w:t>2</w:t>
            </w:r>
          </w:p>
        </w:tc>
        <w:tc>
          <w:tcPr>
            <w:tcW w:w="1701"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sz w:val="21"/>
                <w:szCs w:val="21"/>
              </w:rPr>
              <w:t>30</w:t>
            </w:r>
          </w:p>
        </w:tc>
        <w:tc>
          <w:tcPr>
            <w:tcW w:w="1152"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sz w:val="21"/>
                <w:szCs w:val="21"/>
              </w:rPr>
              <w:t>31880</w:t>
            </w:r>
          </w:p>
        </w:tc>
        <w:tc>
          <w:tcPr>
            <w:tcW w:w="1281"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sz w:val="21"/>
                <w:szCs w:val="21"/>
              </w:rPr>
            </w:pPr>
            <w:r>
              <w:rPr>
                <w:sz w:val="21"/>
                <w:szCs w:val="21"/>
              </w:rPr>
              <w:t>46000</w:t>
            </w:r>
          </w:p>
        </w:tc>
        <w:tc>
          <w:tcPr>
            <w:tcW w:w="686" w:type="dxa"/>
            <w:tcBorders>
              <w:top w:val="single" w:color="auto" w:sz="8" w:space="0"/>
              <w:left w:val="single" w:color="auto" w:sz="8" w:space="0"/>
              <w:bottom w:val="single" w:color="auto" w:sz="12" w:space="0"/>
              <w:right w:val="single" w:color="auto" w:sz="12" w:space="0"/>
            </w:tcBorders>
            <w:noWrap w:val="0"/>
            <w:vAlign w:val="center"/>
          </w:tcPr>
          <w:p>
            <w:pPr>
              <w:spacing w:line="240" w:lineRule="auto"/>
              <w:ind w:firstLine="0" w:firstLineChars="0"/>
              <w:jc w:val="center"/>
              <w:rPr>
                <w:sz w:val="21"/>
                <w:szCs w:val="21"/>
              </w:rPr>
            </w:pPr>
          </w:p>
        </w:tc>
      </w:tr>
    </w:tbl>
    <w:p>
      <w:pPr>
        <w:ind w:firstLine="640"/>
      </w:pPr>
    </w:p>
    <w:p>
      <w:pPr>
        <w:spacing w:line="240" w:lineRule="auto"/>
        <w:ind w:firstLine="0" w:firstLineChars="0"/>
        <w:jc w:val="center"/>
      </w:pPr>
      <w:r>
        <w:rPr>
          <w:rFonts w:hint="eastAsia"/>
        </w:rPr>
        <w:drawing>
          <wp:inline distT="0" distB="0" distL="114300" distR="114300">
            <wp:extent cx="5398135" cy="4324985"/>
            <wp:effectExtent l="0" t="0" r="12065" b="1841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32"/>
                    <a:stretch>
                      <a:fillRect/>
                    </a:stretch>
                  </pic:blipFill>
                  <pic:spPr>
                    <a:xfrm>
                      <a:off x="0" y="0"/>
                      <a:ext cx="5398135" cy="4324985"/>
                    </a:xfrm>
                    <a:prstGeom prst="rect">
                      <a:avLst/>
                    </a:prstGeom>
                    <a:noFill/>
                    <a:ln>
                      <a:noFill/>
                    </a:ln>
                  </pic:spPr>
                </pic:pic>
              </a:graphicData>
            </a:graphic>
          </wp:inline>
        </w:drawing>
      </w:r>
    </w:p>
    <w:p>
      <w:pPr>
        <w:spacing w:line="240" w:lineRule="auto"/>
        <w:ind w:firstLine="0" w:firstLineChars="0"/>
        <w:jc w:val="center"/>
        <w:rPr>
          <w:rFonts w:eastAsia="黑体"/>
          <w:sz w:val="28"/>
          <w:szCs w:val="28"/>
        </w:rPr>
      </w:pPr>
      <w:r>
        <w:rPr>
          <w:rFonts w:hint="eastAsia" w:eastAsia="黑体"/>
          <w:sz w:val="28"/>
          <w:szCs w:val="28"/>
        </w:rPr>
        <w:t>图</w:t>
      </w:r>
      <w:r>
        <w:rPr>
          <w:rFonts w:eastAsia="黑体"/>
          <w:sz w:val="28"/>
          <w:szCs w:val="28"/>
        </w:rPr>
        <w:t xml:space="preserve">1-13 </w:t>
      </w:r>
      <w:r>
        <w:rPr>
          <w:rFonts w:hint="eastAsia" w:eastAsia="黑体"/>
          <w:sz w:val="28"/>
          <w:szCs w:val="28"/>
        </w:rPr>
        <w:t>广元港总体规划</w:t>
      </w:r>
    </w:p>
    <w:p>
      <w:pPr>
        <w:spacing w:line="240" w:lineRule="auto"/>
        <w:ind w:firstLine="0" w:firstLineChars="0"/>
        <w:jc w:val="center"/>
        <w:rPr>
          <w:rFonts w:eastAsia="黑体"/>
        </w:rPr>
      </w:pPr>
      <w:r>
        <w:rPr>
          <w:rFonts w:hint="eastAsia"/>
        </w:rPr>
        <w:drawing>
          <wp:inline distT="0" distB="0" distL="114300" distR="114300">
            <wp:extent cx="5461000" cy="7439025"/>
            <wp:effectExtent l="0" t="0" r="635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33"/>
                    <a:stretch>
                      <a:fillRect/>
                    </a:stretch>
                  </pic:blipFill>
                  <pic:spPr>
                    <a:xfrm>
                      <a:off x="0" y="0"/>
                      <a:ext cx="5461000" cy="7439025"/>
                    </a:xfrm>
                    <a:prstGeom prst="rect">
                      <a:avLst/>
                    </a:prstGeom>
                    <a:noFill/>
                    <a:ln>
                      <a:noFill/>
                    </a:ln>
                  </pic:spPr>
                </pic:pic>
              </a:graphicData>
            </a:graphic>
          </wp:inline>
        </w:drawing>
      </w:r>
    </w:p>
    <w:p>
      <w:pPr>
        <w:ind w:firstLine="0" w:firstLineChars="0"/>
        <w:jc w:val="center"/>
        <w:rPr>
          <w:rFonts w:eastAsia="黑体"/>
          <w:sz w:val="28"/>
          <w:szCs w:val="28"/>
        </w:rPr>
      </w:pPr>
      <w:r>
        <w:rPr>
          <w:rFonts w:hint="eastAsia" w:eastAsia="黑体"/>
          <w:sz w:val="28"/>
          <w:szCs w:val="28"/>
        </w:rPr>
        <w:t>表</w:t>
      </w:r>
      <w:r>
        <w:rPr>
          <w:rFonts w:eastAsia="黑体"/>
          <w:sz w:val="28"/>
          <w:szCs w:val="28"/>
        </w:rPr>
        <w:t xml:space="preserve">1-14 </w:t>
      </w:r>
      <w:r>
        <w:rPr>
          <w:rFonts w:hint="eastAsia" w:eastAsia="黑体"/>
          <w:sz w:val="28"/>
          <w:szCs w:val="28"/>
        </w:rPr>
        <w:t>广元港集疏运体系示意图</w:t>
      </w:r>
    </w:p>
    <w:p>
      <w:pPr>
        <w:ind w:firstLine="640"/>
        <w:rPr>
          <w:rFonts w:eastAsia="黑体"/>
        </w:rPr>
      </w:pPr>
    </w:p>
    <w:p>
      <w:pPr>
        <w:ind w:firstLine="640"/>
        <w:rPr>
          <w:rFonts w:eastAsia="黑体"/>
        </w:rPr>
      </w:pPr>
      <w:r>
        <w:rPr>
          <w:rFonts w:eastAsia="黑体"/>
        </w:rPr>
        <w:t>3.</w:t>
      </w:r>
      <w:r>
        <w:rPr>
          <w:rFonts w:hint="eastAsia" w:eastAsia="黑体"/>
        </w:rPr>
        <w:t>铁路</w:t>
      </w:r>
    </w:p>
    <w:p>
      <w:pPr>
        <w:ind w:firstLine="640"/>
      </w:pPr>
      <w:r>
        <w:rPr>
          <w:rFonts w:hint="eastAsia"/>
        </w:rPr>
        <w:t>广（元）巴（中）铁路、兰（州）渝（重庆）铁路过境。其中，广巴铁路于</w:t>
      </w:r>
      <w:r>
        <w:t>2011</w:t>
      </w:r>
      <w:r>
        <w:rPr>
          <w:rFonts w:hint="eastAsia"/>
        </w:rPr>
        <w:t>年建成运营，昭化境内全长</w:t>
      </w:r>
      <w:r>
        <w:t>16</w:t>
      </w:r>
      <w:r>
        <w:rPr>
          <w:rFonts w:hint="eastAsia"/>
        </w:rPr>
        <w:t>公里，设元坝货运站（四等站，主要运输煤炭、化肥等，无客运服务），向西通往广元、成都，向东通往巴中；兰渝铁路为国铁</w:t>
      </w:r>
      <w:r>
        <w:rPr>
          <w:rFonts w:hint="eastAsia" w:ascii="宋体" w:hAnsi="宋体" w:eastAsia="宋体" w:cs="宋体"/>
        </w:rPr>
        <w:t>Ⅰ</w:t>
      </w:r>
      <w:r>
        <w:rPr>
          <w:rFonts w:hint="eastAsia"/>
        </w:rPr>
        <w:t>级双线电气化客货共线快速铁路，设计时速</w:t>
      </w:r>
      <w:r>
        <w:t>160</w:t>
      </w:r>
      <w:r>
        <w:rPr>
          <w:rFonts w:hint="eastAsia"/>
        </w:rPr>
        <w:t>千米，于</w:t>
      </w:r>
      <w:r>
        <w:t>2015</w:t>
      </w:r>
      <w:r>
        <w:rPr>
          <w:rFonts w:hint="eastAsia"/>
        </w:rPr>
        <w:t>年</w:t>
      </w:r>
      <w:r>
        <w:t>12</w:t>
      </w:r>
      <w:r>
        <w:rPr>
          <w:rFonts w:hint="eastAsia"/>
        </w:rPr>
        <w:t>月建成投运，昭化境内全长</w:t>
      </w:r>
      <w:r>
        <w:t>36.1</w:t>
      </w:r>
      <w:r>
        <w:rPr>
          <w:rFonts w:hint="eastAsia"/>
        </w:rPr>
        <w:t>公里，在太公镇设红卫站，向北通往利州区，向南通往苍溪县、阆中市。</w:t>
      </w:r>
    </w:p>
    <w:p>
      <w:pPr>
        <w:ind w:firstLine="640"/>
        <w:rPr>
          <w:rFonts w:eastAsia="黑体"/>
        </w:rPr>
      </w:pPr>
      <w:r>
        <w:rPr>
          <w:rFonts w:eastAsia="黑体"/>
        </w:rPr>
        <w:t>4.</w:t>
      </w:r>
      <w:r>
        <w:rPr>
          <w:rFonts w:hint="eastAsia" w:eastAsia="黑体"/>
        </w:rPr>
        <w:t>航空</w:t>
      </w:r>
    </w:p>
    <w:p>
      <w:pPr>
        <w:ind w:firstLine="640"/>
      </w:pPr>
      <w:r>
        <w:rPr>
          <w:rFonts w:hint="eastAsia"/>
        </w:rPr>
        <w:t>昭化区境内尚未有建成机场，但由于距广元机场仅</w:t>
      </w:r>
      <w:r>
        <w:t>28</w:t>
      </w:r>
      <w:r>
        <w:rPr>
          <w:rFonts w:hint="eastAsia"/>
        </w:rPr>
        <w:t>公里，通过快速通道可便捷联系周边地区机场。</w:t>
      </w:r>
    </w:p>
    <w:p>
      <w:pPr>
        <w:pStyle w:val="4"/>
        <w:adjustRightInd w:val="0"/>
        <w:snapToGrid w:val="0"/>
        <w:spacing w:before="108" w:beforeLines="25" w:after="108" w:afterLines="25"/>
        <w:ind w:left="6238" w:hanging="6238"/>
        <w:rPr>
          <w:bCs w:val="0"/>
        </w:rPr>
      </w:pPr>
      <w:bookmarkStart w:id="18" w:name="_Toc15939"/>
      <w:bookmarkStart w:id="19" w:name="_Toc15062"/>
      <w:bookmarkStart w:id="20" w:name="_Toc30849"/>
      <w:bookmarkStart w:id="21" w:name="_Toc18620"/>
      <w:bookmarkStart w:id="22" w:name="_Toc13931"/>
      <w:r>
        <w:rPr>
          <w:bCs w:val="0"/>
        </w:rPr>
        <w:t>1.2.2 “</w:t>
      </w:r>
      <w:r>
        <w:rPr>
          <w:rFonts w:hint="eastAsia"/>
          <w:bCs w:val="0"/>
        </w:rPr>
        <w:t>十三五</w:t>
      </w:r>
      <w:r>
        <w:rPr>
          <w:bCs w:val="0"/>
        </w:rPr>
        <w:t>”</w:t>
      </w:r>
      <w:r>
        <w:rPr>
          <w:rFonts w:hint="eastAsia"/>
          <w:bCs w:val="0"/>
        </w:rPr>
        <w:t>发展成就</w:t>
      </w:r>
      <w:bookmarkEnd w:id="18"/>
      <w:bookmarkEnd w:id="19"/>
      <w:bookmarkEnd w:id="20"/>
      <w:bookmarkEnd w:id="21"/>
      <w:bookmarkEnd w:id="22"/>
    </w:p>
    <w:p>
      <w:pPr>
        <w:ind w:firstLine="640"/>
        <w:rPr>
          <w:szCs w:val="32"/>
        </w:rPr>
      </w:pPr>
      <w:r>
        <w:rPr>
          <w:szCs w:val="32"/>
        </w:rPr>
        <w:t>“</w:t>
      </w:r>
      <w:r>
        <w:rPr>
          <w:rFonts w:hint="eastAsia"/>
          <w:szCs w:val="32"/>
        </w:rPr>
        <w:t>十三五</w:t>
      </w:r>
      <w:r>
        <w:rPr>
          <w:szCs w:val="32"/>
        </w:rPr>
        <w:t>”</w:t>
      </w:r>
      <w:r>
        <w:rPr>
          <w:rFonts w:hint="eastAsia"/>
          <w:szCs w:val="32"/>
        </w:rPr>
        <w:t>期是昭化区全面建成小康社会的决胜时期，是发挥综合交通规模网络效应的重要时期，投资规模大、发展速度快、民生效益突出。在区委、区政府的坚强领导下，在市交通运输局的大力支持下，全区交通运输贯彻落实新发展理念，牢牢把握稳中求进工作总基调，加快推动基础设施、运输服务等取得积极成效，为昭化区经济社会高质量发展和决胜脱贫攻坚提供了坚实的交通保障。</w:t>
      </w:r>
    </w:p>
    <w:p>
      <w:pPr>
        <w:ind w:firstLine="640"/>
        <w:rPr>
          <w:rFonts w:eastAsia="黑体"/>
          <w:szCs w:val="32"/>
        </w:rPr>
      </w:pPr>
      <w:r>
        <w:rPr>
          <w:rFonts w:eastAsia="黑体"/>
          <w:bCs/>
          <w:szCs w:val="32"/>
        </w:rPr>
        <w:t>1.</w:t>
      </w:r>
      <w:r>
        <w:rPr>
          <w:rFonts w:hint="eastAsia" w:eastAsia="黑体"/>
          <w:bCs/>
          <w:szCs w:val="32"/>
        </w:rPr>
        <w:t>基础设施供给能力明显提升</w:t>
      </w:r>
    </w:p>
    <w:p>
      <w:pPr>
        <w:ind w:firstLine="640"/>
        <w:rPr>
          <w:szCs w:val="32"/>
        </w:rPr>
      </w:pPr>
      <w:r>
        <w:rPr>
          <w:szCs w:val="32"/>
        </w:rPr>
        <w:t>——</w:t>
      </w:r>
      <w:r>
        <w:rPr>
          <w:rFonts w:hint="eastAsia" w:eastAsia="黑体"/>
          <w:szCs w:val="32"/>
        </w:rPr>
        <w:t>交通建设投资高位运行</w:t>
      </w:r>
      <w:r>
        <w:rPr>
          <w:rFonts w:hint="eastAsia"/>
          <w:szCs w:val="32"/>
        </w:rPr>
        <w:t>。</w:t>
      </w:r>
      <w:r>
        <w:rPr>
          <w:szCs w:val="32"/>
        </w:rPr>
        <w:t>2016—2020</w:t>
      </w:r>
      <w:r>
        <w:rPr>
          <w:rFonts w:hint="eastAsia"/>
          <w:szCs w:val="32"/>
        </w:rPr>
        <w:t>年，全区累计完成交通建设投资</w:t>
      </w:r>
      <w:r>
        <w:rPr>
          <w:szCs w:val="32"/>
        </w:rPr>
        <w:t>32.5</w:t>
      </w:r>
      <w:r>
        <w:rPr>
          <w:rFonts w:hint="eastAsia"/>
          <w:szCs w:val="32"/>
        </w:rPr>
        <w:t>亿元，累计争取到位上级补助资金</w:t>
      </w:r>
      <w:r>
        <w:rPr>
          <w:szCs w:val="32"/>
        </w:rPr>
        <w:t>20.64</w:t>
      </w:r>
      <w:r>
        <w:rPr>
          <w:rFonts w:hint="eastAsia"/>
          <w:szCs w:val="32"/>
        </w:rPr>
        <w:t>亿元，建设投资再创新高，全面完成</w:t>
      </w:r>
      <w:r>
        <w:rPr>
          <w:szCs w:val="32"/>
        </w:rPr>
        <w:t>“</w:t>
      </w:r>
      <w:r>
        <w:rPr>
          <w:rFonts w:hint="eastAsia"/>
          <w:szCs w:val="32"/>
        </w:rPr>
        <w:t>十三五</w:t>
      </w:r>
      <w:r>
        <w:rPr>
          <w:szCs w:val="32"/>
        </w:rPr>
        <w:t>”</w:t>
      </w:r>
      <w:r>
        <w:rPr>
          <w:rFonts w:hint="eastAsia"/>
          <w:szCs w:val="32"/>
        </w:rPr>
        <w:t>规划主要发展目标，有效发挥了交通基础设施投资在稳增长中的关键作用。</w:t>
      </w:r>
    </w:p>
    <w:p>
      <w:pPr>
        <w:ind w:firstLine="640"/>
        <w:rPr>
          <w:szCs w:val="32"/>
        </w:rPr>
      </w:pPr>
      <w:r>
        <w:rPr>
          <w:szCs w:val="32"/>
        </w:rPr>
        <w:t>——</w:t>
      </w:r>
      <w:r>
        <w:rPr>
          <w:rFonts w:hint="eastAsia" w:eastAsia="黑体"/>
          <w:szCs w:val="32"/>
        </w:rPr>
        <w:t>对外通道建设加快推进</w:t>
      </w:r>
      <w:r>
        <w:rPr>
          <w:rFonts w:hint="eastAsia"/>
          <w:szCs w:val="32"/>
        </w:rPr>
        <w:t>。</w:t>
      </w:r>
      <w:r>
        <w:rPr>
          <w:szCs w:val="32"/>
        </w:rPr>
        <w:t>“</w:t>
      </w:r>
      <w:r>
        <w:rPr>
          <w:rFonts w:hint="eastAsia"/>
          <w:szCs w:val="32"/>
        </w:rPr>
        <w:t>十三五</w:t>
      </w:r>
      <w:r>
        <w:rPr>
          <w:szCs w:val="32"/>
        </w:rPr>
        <w:t>”</w:t>
      </w:r>
      <w:r>
        <w:rPr>
          <w:rFonts w:hint="eastAsia"/>
          <w:szCs w:val="32"/>
        </w:rPr>
        <w:t>期，铁路建设取得历史性突破，兰渝铁路（国铁</w:t>
      </w:r>
      <w:r>
        <w:rPr>
          <w:rFonts w:hint="eastAsia" w:ascii="宋体" w:hAnsi="宋体" w:eastAsia="宋体" w:cs="宋体"/>
          <w:szCs w:val="32"/>
        </w:rPr>
        <w:t>Ⅰ</w:t>
      </w:r>
      <w:r>
        <w:rPr>
          <w:rFonts w:hint="eastAsia"/>
          <w:szCs w:val="32"/>
        </w:rPr>
        <w:t>级双线电气化客货共线快速铁路，设计速度</w:t>
      </w:r>
      <w:r>
        <w:rPr>
          <w:szCs w:val="32"/>
        </w:rPr>
        <w:t>160—200km/h</w:t>
      </w:r>
      <w:r>
        <w:rPr>
          <w:rFonts w:hint="eastAsia"/>
          <w:szCs w:val="32"/>
        </w:rPr>
        <w:t>，昭化境</w:t>
      </w:r>
      <w:r>
        <w:rPr>
          <w:szCs w:val="32"/>
        </w:rPr>
        <w:t>36</w:t>
      </w:r>
      <w:r>
        <w:rPr>
          <w:rFonts w:hint="eastAsia"/>
          <w:szCs w:val="32"/>
        </w:rPr>
        <w:t>公里，设红卫站）于</w:t>
      </w:r>
      <w:r>
        <w:rPr>
          <w:szCs w:val="32"/>
        </w:rPr>
        <w:t>201</w:t>
      </w:r>
      <w:r>
        <w:rPr>
          <w:rFonts w:hint="eastAsia"/>
          <w:szCs w:val="32"/>
          <w:lang w:val="en-US" w:eastAsia="zh-CN"/>
        </w:rPr>
        <w:t>5</w:t>
      </w:r>
      <w:r>
        <w:rPr>
          <w:rFonts w:hint="eastAsia"/>
          <w:szCs w:val="32"/>
        </w:rPr>
        <w:t>年建成运行，成为境内又一条南北向对外大通道。目前，昭化区已基本形成以兰渝铁路、广巴铁路和</w:t>
      </w:r>
      <w:r>
        <w:rPr>
          <w:szCs w:val="32"/>
        </w:rPr>
        <w:t>G5</w:t>
      </w:r>
      <w:r>
        <w:rPr>
          <w:rFonts w:hint="eastAsia"/>
          <w:szCs w:val="32"/>
        </w:rPr>
        <w:t>京昆高速、</w:t>
      </w:r>
      <w:r>
        <w:rPr>
          <w:szCs w:val="32"/>
        </w:rPr>
        <w:t>G75</w:t>
      </w:r>
      <w:r>
        <w:rPr>
          <w:rFonts w:hint="eastAsia"/>
          <w:szCs w:val="32"/>
        </w:rPr>
        <w:t>兰海高速、</w:t>
      </w:r>
      <w:r>
        <w:rPr>
          <w:szCs w:val="32"/>
        </w:rPr>
        <w:t>G5012</w:t>
      </w:r>
      <w:r>
        <w:rPr>
          <w:rFonts w:hint="eastAsia"/>
          <w:szCs w:val="32"/>
        </w:rPr>
        <w:t>恩广高速以及嘉陵江航道为主骨架的对外综合运输通道骨架网络。</w:t>
      </w:r>
    </w:p>
    <w:p>
      <w:pPr>
        <w:ind w:firstLine="640"/>
        <w:rPr>
          <w:szCs w:val="32"/>
        </w:rPr>
      </w:pPr>
      <w:r>
        <w:rPr>
          <w:szCs w:val="32"/>
        </w:rPr>
        <w:t>——</w:t>
      </w:r>
      <w:r>
        <w:rPr>
          <w:rFonts w:hint="eastAsia" w:eastAsia="黑体"/>
          <w:szCs w:val="32"/>
        </w:rPr>
        <w:t>路网规模结构持续优化。</w:t>
      </w:r>
      <w:r>
        <w:rPr>
          <w:rFonts w:hint="eastAsia"/>
          <w:szCs w:val="32"/>
        </w:rPr>
        <w:t>加快推进</w:t>
      </w:r>
      <w:r>
        <w:rPr>
          <w:szCs w:val="32"/>
        </w:rPr>
        <w:t>G212</w:t>
      </w:r>
      <w:r>
        <w:rPr>
          <w:rFonts w:hint="eastAsia"/>
          <w:szCs w:val="32"/>
        </w:rPr>
        <w:t>线灾后恢复重建工程、</w:t>
      </w:r>
      <w:r>
        <w:rPr>
          <w:szCs w:val="32"/>
        </w:rPr>
        <w:t>S202</w:t>
      </w:r>
      <w:r>
        <w:rPr>
          <w:rFonts w:hint="eastAsia"/>
          <w:szCs w:val="32"/>
        </w:rPr>
        <w:t>线昭化城区段改建工程等重点项目建设，</w:t>
      </w:r>
      <w:r>
        <w:rPr>
          <w:szCs w:val="32"/>
        </w:rPr>
        <w:t>“</w:t>
      </w:r>
      <w:r>
        <w:rPr>
          <w:rFonts w:hint="eastAsia"/>
          <w:szCs w:val="32"/>
        </w:rPr>
        <w:t>十三五</w:t>
      </w:r>
      <w:r>
        <w:rPr>
          <w:szCs w:val="32"/>
        </w:rPr>
        <w:t>”</w:t>
      </w:r>
      <w:r>
        <w:rPr>
          <w:rFonts w:hint="eastAsia"/>
          <w:szCs w:val="32"/>
        </w:rPr>
        <w:t>期累计完成灾毁恢复工程</w:t>
      </w:r>
      <w:r>
        <w:rPr>
          <w:szCs w:val="32"/>
        </w:rPr>
        <w:t>16.4</w:t>
      </w:r>
      <w:r>
        <w:rPr>
          <w:rFonts w:hint="eastAsia"/>
          <w:szCs w:val="32"/>
        </w:rPr>
        <w:t>公里，新改建完成普通国省干线公路</w:t>
      </w:r>
      <w:r>
        <w:rPr>
          <w:szCs w:val="32"/>
        </w:rPr>
        <w:t>74.4</w:t>
      </w:r>
      <w:r>
        <w:rPr>
          <w:rFonts w:hint="eastAsia"/>
          <w:szCs w:val="32"/>
        </w:rPr>
        <w:t>公里。目前，全区公路网总里程达</w:t>
      </w:r>
      <w:r>
        <w:rPr>
          <w:szCs w:val="32"/>
        </w:rPr>
        <w:t>2641</w:t>
      </w:r>
      <w:r>
        <w:rPr>
          <w:rFonts w:hint="eastAsia"/>
          <w:szCs w:val="32"/>
        </w:rPr>
        <w:t>公里，同比</w:t>
      </w:r>
      <w:r>
        <w:rPr>
          <w:szCs w:val="32"/>
        </w:rPr>
        <w:t>2015</w:t>
      </w:r>
      <w:r>
        <w:rPr>
          <w:rFonts w:hint="eastAsia"/>
          <w:szCs w:val="32"/>
        </w:rPr>
        <w:t>年末增加</w:t>
      </w:r>
      <w:r>
        <w:rPr>
          <w:szCs w:val="32"/>
        </w:rPr>
        <w:t>401</w:t>
      </w:r>
      <w:r>
        <w:rPr>
          <w:rFonts w:hint="eastAsia"/>
          <w:szCs w:val="32"/>
        </w:rPr>
        <w:t>公里，其中二级及以上普通公路超过</w:t>
      </w:r>
      <w:r>
        <w:rPr>
          <w:szCs w:val="32"/>
        </w:rPr>
        <w:t>90</w:t>
      </w:r>
      <w:r>
        <w:rPr>
          <w:rFonts w:hint="eastAsia"/>
          <w:szCs w:val="32"/>
        </w:rPr>
        <w:t>公里，路网衔接转换效率明显提升，通行服务水平和安全保障能力大幅增强。</w:t>
      </w:r>
    </w:p>
    <w:p>
      <w:pPr>
        <w:ind w:firstLine="640"/>
        <w:rPr>
          <w:szCs w:val="32"/>
        </w:rPr>
      </w:pPr>
      <w:r>
        <w:rPr>
          <w:szCs w:val="32"/>
        </w:rPr>
        <w:t>——</w:t>
      </w:r>
      <w:r>
        <w:rPr>
          <w:rFonts w:hint="eastAsia" w:eastAsia="黑体"/>
          <w:szCs w:val="32"/>
        </w:rPr>
        <w:t>交通扶贫任务提前收官</w:t>
      </w:r>
      <w:r>
        <w:rPr>
          <w:rFonts w:hint="eastAsia"/>
          <w:szCs w:val="32"/>
        </w:rPr>
        <w:t>。聚焦</w:t>
      </w:r>
      <w:r>
        <w:rPr>
          <w:szCs w:val="32"/>
        </w:rPr>
        <w:t>“</w:t>
      </w:r>
      <w:r>
        <w:rPr>
          <w:rFonts w:hint="eastAsia"/>
          <w:szCs w:val="32"/>
        </w:rPr>
        <w:t>两不愁、三保障</w:t>
      </w:r>
      <w:r>
        <w:rPr>
          <w:szCs w:val="32"/>
        </w:rPr>
        <w:t>”</w:t>
      </w:r>
      <w:r>
        <w:rPr>
          <w:rFonts w:hint="eastAsia"/>
          <w:szCs w:val="32"/>
        </w:rPr>
        <w:t>，以通乡油路、通村硬化路、畅返不畅整治为重点，强化措施和要素保障，全力加快农村公路建设，推动</w:t>
      </w:r>
      <w:r>
        <w:rPr>
          <w:szCs w:val="32"/>
        </w:rPr>
        <w:t>“</w:t>
      </w:r>
      <w:r>
        <w:rPr>
          <w:rFonts w:hint="eastAsia"/>
          <w:szCs w:val="32"/>
        </w:rPr>
        <w:t>交通</w:t>
      </w:r>
      <w:r>
        <w:rPr>
          <w:szCs w:val="32"/>
        </w:rPr>
        <w:t>+</w:t>
      </w:r>
      <w:r>
        <w:rPr>
          <w:rFonts w:hint="eastAsia"/>
          <w:szCs w:val="32"/>
        </w:rPr>
        <w:t>特色旅游</w:t>
      </w:r>
      <w:r>
        <w:rPr>
          <w:szCs w:val="32"/>
        </w:rPr>
        <w:t>”“</w:t>
      </w:r>
      <w:r>
        <w:rPr>
          <w:rFonts w:hint="eastAsia"/>
          <w:szCs w:val="32"/>
        </w:rPr>
        <w:t>交通</w:t>
      </w:r>
      <w:r>
        <w:rPr>
          <w:szCs w:val="32"/>
        </w:rPr>
        <w:t>+</w:t>
      </w:r>
      <w:r>
        <w:rPr>
          <w:rFonts w:hint="eastAsia"/>
          <w:szCs w:val="32"/>
        </w:rPr>
        <w:t>特色农业</w:t>
      </w:r>
      <w:r>
        <w:rPr>
          <w:szCs w:val="32"/>
        </w:rPr>
        <w:t>”</w:t>
      </w:r>
      <w:r>
        <w:rPr>
          <w:rFonts w:hint="eastAsia"/>
          <w:szCs w:val="32"/>
        </w:rPr>
        <w:t>发展。</w:t>
      </w:r>
      <w:r>
        <w:rPr>
          <w:szCs w:val="32"/>
        </w:rPr>
        <w:t>“</w:t>
      </w:r>
      <w:r>
        <w:rPr>
          <w:rFonts w:hint="eastAsia"/>
          <w:szCs w:val="32"/>
        </w:rPr>
        <w:t>十三五</w:t>
      </w:r>
      <w:r>
        <w:rPr>
          <w:szCs w:val="32"/>
        </w:rPr>
        <w:t>”</w:t>
      </w:r>
      <w:r>
        <w:rPr>
          <w:rFonts w:hint="eastAsia"/>
          <w:szCs w:val="32"/>
        </w:rPr>
        <w:t>期累计实施农村公路改善项目</w:t>
      </w:r>
      <w:r>
        <w:rPr>
          <w:szCs w:val="32"/>
        </w:rPr>
        <w:t>78.5</w:t>
      </w:r>
      <w:r>
        <w:rPr>
          <w:rFonts w:hint="eastAsia"/>
          <w:szCs w:val="32"/>
        </w:rPr>
        <w:t>公里，开工建设旅游（产业）路</w:t>
      </w:r>
      <w:r>
        <w:rPr>
          <w:szCs w:val="32"/>
        </w:rPr>
        <w:t>2</w:t>
      </w:r>
      <w:r>
        <w:rPr>
          <w:rFonts w:hint="eastAsia"/>
          <w:szCs w:val="32"/>
        </w:rPr>
        <w:t>条</w:t>
      </w:r>
      <w:r>
        <w:rPr>
          <w:szCs w:val="32"/>
        </w:rPr>
        <w:t>59.8</w:t>
      </w:r>
      <w:r>
        <w:rPr>
          <w:rFonts w:hint="eastAsia"/>
          <w:szCs w:val="32"/>
        </w:rPr>
        <w:t>公里、美丽乡村路</w:t>
      </w:r>
      <w:r>
        <w:rPr>
          <w:szCs w:val="32"/>
        </w:rPr>
        <w:t>5</w:t>
      </w:r>
      <w:r>
        <w:rPr>
          <w:rFonts w:hint="eastAsia"/>
          <w:szCs w:val="32"/>
        </w:rPr>
        <w:t>条</w:t>
      </w:r>
      <w:r>
        <w:rPr>
          <w:szCs w:val="32"/>
        </w:rPr>
        <w:t>87.1</w:t>
      </w:r>
      <w:r>
        <w:rPr>
          <w:rFonts w:hint="eastAsia"/>
          <w:szCs w:val="32"/>
        </w:rPr>
        <w:t>公里，通村公路（含撤并村）建设</w:t>
      </w:r>
      <w:r>
        <w:rPr>
          <w:szCs w:val="32"/>
        </w:rPr>
        <w:t>324</w:t>
      </w:r>
      <w:r>
        <w:rPr>
          <w:rFonts w:hint="eastAsia"/>
          <w:szCs w:val="32"/>
        </w:rPr>
        <w:t>公里、加宽</w:t>
      </w:r>
      <w:r>
        <w:rPr>
          <w:szCs w:val="32"/>
        </w:rPr>
        <w:t>657</w:t>
      </w:r>
      <w:r>
        <w:rPr>
          <w:rFonts w:hint="eastAsia"/>
          <w:szCs w:val="32"/>
        </w:rPr>
        <w:t>公里，通乡通村硬化路整治</w:t>
      </w:r>
      <w:r>
        <w:rPr>
          <w:szCs w:val="32"/>
        </w:rPr>
        <w:t>46.2</w:t>
      </w:r>
      <w:r>
        <w:rPr>
          <w:rFonts w:hint="eastAsia"/>
          <w:szCs w:val="32"/>
        </w:rPr>
        <w:t>公里，实现</w:t>
      </w:r>
      <w:r>
        <w:rPr>
          <w:szCs w:val="32"/>
        </w:rPr>
        <w:t>100%</w:t>
      </w:r>
      <w:r>
        <w:rPr>
          <w:rFonts w:hint="eastAsia"/>
          <w:szCs w:val="32"/>
        </w:rPr>
        <w:t>的乡镇和建制村通客车。</w:t>
      </w:r>
    </w:p>
    <w:p>
      <w:pPr>
        <w:ind w:firstLine="640"/>
        <w:rPr>
          <w:rFonts w:eastAsia="黑体"/>
          <w:bCs/>
          <w:szCs w:val="32"/>
        </w:rPr>
      </w:pPr>
      <w:r>
        <w:rPr>
          <w:rFonts w:eastAsia="黑体"/>
          <w:bCs/>
          <w:szCs w:val="32"/>
        </w:rPr>
        <w:t>2.</w:t>
      </w:r>
      <w:r>
        <w:rPr>
          <w:rFonts w:hint="eastAsia" w:eastAsia="黑体"/>
          <w:bCs/>
          <w:szCs w:val="32"/>
        </w:rPr>
        <w:t>运输服务保障能力大幅增强</w:t>
      </w:r>
    </w:p>
    <w:p>
      <w:pPr>
        <w:widowControl/>
        <w:ind w:firstLine="640"/>
        <w:rPr>
          <w:szCs w:val="32"/>
        </w:rPr>
      </w:pPr>
      <w:r>
        <w:rPr>
          <w:szCs w:val="32"/>
        </w:rPr>
        <w:t>——</w:t>
      </w:r>
      <w:r>
        <w:rPr>
          <w:rFonts w:hint="eastAsia" w:eastAsia="黑体"/>
          <w:szCs w:val="32"/>
        </w:rPr>
        <w:t>运输服务水平稳步提升</w:t>
      </w:r>
      <w:r>
        <w:rPr>
          <w:rFonts w:hint="eastAsia"/>
          <w:szCs w:val="32"/>
        </w:rPr>
        <w:t>。目前，昭化区客运出行主要依靠公路、铁路等陆路交通方式，其中，公路运输是客运主体。“十三五”期，充分考虑出行特征，积极拓展客运网络，班线客运通达能力明显提升，城乡客运一体化进程显著加快，全区客货运输整体呈现稳中有升发展态势，已实现</w:t>
      </w:r>
      <w:r>
        <w:rPr>
          <w:szCs w:val="32"/>
        </w:rPr>
        <w:t>100%</w:t>
      </w:r>
      <w:r>
        <w:rPr>
          <w:rFonts w:hint="eastAsia"/>
          <w:szCs w:val="32"/>
        </w:rPr>
        <w:t>的乡镇和建制村通客车，城乡客运基本公共服务均等化程度明显提升。</w:t>
      </w:r>
    </w:p>
    <w:p>
      <w:pPr>
        <w:widowControl/>
        <w:ind w:firstLine="640"/>
        <w:rPr>
          <w:szCs w:val="32"/>
        </w:rPr>
      </w:pPr>
      <w:r>
        <w:rPr>
          <w:rFonts w:eastAsia="黑体"/>
          <w:szCs w:val="32"/>
        </w:rPr>
        <w:t>——</w:t>
      </w:r>
      <w:r>
        <w:rPr>
          <w:rFonts w:hint="eastAsia" w:eastAsia="黑体"/>
          <w:szCs w:val="32"/>
        </w:rPr>
        <w:t>客运枢纽站场更加完善。</w:t>
      </w:r>
      <w:r>
        <w:rPr>
          <w:rFonts w:hint="eastAsia"/>
          <w:szCs w:val="32"/>
        </w:rPr>
        <w:t>以客货枢纽建设为重点，加快建设客运枢纽、县级客运站、乡镇客运站、村级招呼站等道路运输站场体系，截至</w:t>
      </w:r>
      <w:r>
        <w:rPr>
          <w:szCs w:val="32"/>
        </w:rPr>
        <w:t>2020</w:t>
      </w:r>
      <w:r>
        <w:rPr>
          <w:rFonts w:hint="eastAsia"/>
          <w:szCs w:val="32"/>
        </w:rPr>
        <w:t>年底，全区共建有二级客运站</w:t>
      </w:r>
      <w:r>
        <w:rPr>
          <w:szCs w:val="32"/>
        </w:rPr>
        <w:t>1</w:t>
      </w:r>
      <w:r>
        <w:rPr>
          <w:rFonts w:hint="eastAsia"/>
          <w:szCs w:val="32"/>
        </w:rPr>
        <w:t>个（元坝镇汽车客运站）、三级客运站</w:t>
      </w:r>
      <w:r>
        <w:rPr>
          <w:szCs w:val="32"/>
        </w:rPr>
        <w:t>1</w:t>
      </w:r>
      <w:r>
        <w:rPr>
          <w:rFonts w:hint="eastAsia"/>
          <w:szCs w:val="32"/>
        </w:rPr>
        <w:t>个（王家镇汽车客运站）、四级客运站</w:t>
      </w:r>
      <w:r>
        <w:rPr>
          <w:szCs w:val="32"/>
        </w:rPr>
        <w:t>7</w:t>
      </w:r>
      <w:r>
        <w:rPr>
          <w:rFonts w:hint="eastAsia"/>
          <w:szCs w:val="32"/>
        </w:rPr>
        <w:t>个，另有运营五级客运站及招呼站</w:t>
      </w:r>
      <w:r>
        <w:rPr>
          <w:szCs w:val="32"/>
        </w:rPr>
        <w:t>19</w:t>
      </w:r>
      <w:r>
        <w:rPr>
          <w:rFonts w:hint="eastAsia"/>
          <w:szCs w:val="32"/>
        </w:rPr>
        <w:t>个，客运出行设施进一步完善。</w:t>
      </w:r>
    </w:p>
    <w:p>
      <w:pPr>
        <w:widowControl/>
        <w:ind w:firstLine="640"/>
        <w:rPr>
          <w:szCs w:val="32"/>
        </w:rPr>
      </w:pPr>
      <w:r>
        <w:rPr>
          <w:szCs w:val="32"/>
        </w:rPr>
        <w:t>——</w:t>
      </w:r>
      <w:r>
        <w:rPr>
          <w:rFonts w:hint="eastAsia" w:eastAsia="黑体"/>
          <w:szCs w:val="32"/>
        </w:rPr>
        <w:t>便民服务措施深入推进</w:t>
      </w:r>
      <w:r>
        <w:rPr>
          <w:rFonts w:hint="eastAsia"/>
          <w:szCs w:val="32"/>
        </w:rPr>
        <w:t>。全区所有高速公路车道已实现</w:t>
      </w:r>
      <w:r>
        <w:rPr>
          <w:szCs w:val="32"/>
        </w:rPr>
        <w:t>ETC</w:t>
      </w:r>
      <w:r>
        <w:rPr>
          <w:rFonts w:hint="eastAsia"/>
          <w:szCs w:val="32"/>
        </w:rPr>
        <w:t>全覆盖，所有高速公路收费站车道完成高清车牌识别改造，实现收费站移动支付全覆盖。网约车，共享单车、分时租赁等规范发展，多式联运、甩挂运输、网络货运、城市共同配送等加快发展，已开通定制客运试点线路</w:t>
      </w:r>
      <w:r>
        <w:t>#</w:t>
      </w:r>
      <w:r>
        <w:rPr>
          <w:rFonts w:hint="eastAsia"/>
          <w:szCs w:val="32"/>
        </w:rPr>
        <w:t>条。。</w:t>
      </w:r>
    </w:p>
    <w:p>
      <w:pPr>
        <w:ind w:firstLine="640"/>
        <w:rPr>
          <w:rFonts w:eastAsia="黑体"/>
          <w:bCs/>
          <w:szCs w:val="32"/>
        </w:rPr>
      </w:pPr>
      <w:r>
        <w:rPr>
          <w:rFonts w:eastAsia="黑体"/>
          <w:bCs/>
          <w:szCs w:val="32"/>
        </w:rPr>
        <w:t>3.</w:t>
      </w:r>
      <w:r>
        <w:rPr>
          <w:rFonts w:hint="eastAsia" w:eastAsia="黑体"/>
          <w:bCs/>
          <w:szCs w:val="32"/>
        </w:rPr>
        <w:t>行业治理能力水平显著提高</w:t>
      </w:r>
    </w:p>
    <w:p>
      <w:pPr>
        <w:ind w:firstLine="640"/>
      </w:pPr>
      <w:r>
        <w:rPr>
          <w:szCs w:val="32"/>
        </w:rPr>
        <w:t>——</w:t>
      </w:r>
      <w:r>
        <w:rPr>
          <w:rFonts w:hint="eastAsia" w:eastAsia="黑体"/>
          <w:szCs w:val="32"/>
        </w:rPr>
        <w:t>公路管养能力持续加强</w:t>
      </w:r>
      <w:r>
        <w:rPr>
          <w:rFonts w:hint="eastAsia"/>
          <w:b/>
          <w:bCs/>
        </w:rPr>
        <w:t>。</w:t>
      </w:r>
      <w:r>
        <w:rPr>
          <w:rFonts w:hint="eastAsia"/>
        </w:rPr>
        <w:t>交通安全及信息化水平进一步提升，大型客货车、危险品车辆安全</w:t>
      </w:r>
      <w:r>
        <w:t>GPS</w:t>
      </w:r>
      <w:r>
        <w:rPr>
          <w:rFonts w:hint="eastAsia"/>
        </w:rPr>
        <w:t>监控系统安装率达</w:t>
      </w:r>
      <w:r>
        <w:t>100%</w:t>
      </w:r>
      <w:r>
        <w:rPr>
          <w:rFonts w:hint="eastAsia"/>
        </w:rPr>
        <w:t>。公路养护新技术、新材料得到推广和运用，干线公路</w:t>
      </w:r>
      <w:r>
        <w:t>PQI</w:t>
      </w:r>
      <w:r>
        <w:rPr>
          <w:rFonts w:hint="eastAsia"/>
        </w:rPr>
        <w:t>常年保持在</w:t>
      </w:r>
      <w:r>
        <w:t>90</w:t>
      </w:r>
      <w:r>
        <w:rPr>
          <w:rFonts w:hint="eastAsia"/>
        </w:rPr>
        <w:t>以上。积极强化落实行业监管责任和乡镇、村主体责任，推动农村公路养护管理常态化，管养体制机制逐步健全，行业管理各项长效工作机制不断完善。</w:t>
      </w:r>
    </w:p>
    <w:p>
      <w:pPr>
        <w:ind w:firstLine="640"/>
      </w:pPr>
      <w:r>
        <w:rPr>
          <w:szCs w:val="32"/>
        </w:rPr>
        <w:t>——</w:t>
      </w:r>
      <w:r>
        <w:rPr>
          <w:rFonts w:hint="eastAsia" w:eastAsia="黑体"/>
          <w:szCs w:val="32"/>
        </w:rPr>
        <w:t>安全生产形势保持稳定</w:t>
      </w:r>
      <w:r>
        <w:rPr>
          <w:rFonts w:hint="eastAsia"/>
          <w:b/>
          <w:bCs/>
        </w:rPr>
        <w:t>。</w:t>
      </w:r>
      <w:r>
        <w:rPr>
          <w:rFonts w:hint="eastAsia"/>
          <w:szCs w:val="32"/>
        </w:rPr>
        <w:t>交通运输安全生产形势保持稳定，全系统未发生重特大安全生产事故。</w:t>
      </w:r>
      <w:r>
        <w:rPr>
          <w:rFonts w:hint="eastAsia"/>
        </w:rPr>
        <w:t>实现</w:t>
      </w:r>
      <w:r>
        <w:t>“</w:t>
      </w:r>
      <w:r>
        <w:rPr>
          <w:rFonts w:hint="eastAsia"/>
        </w:rPr>
        <w:t>两客一危</w:t>
      </w:r>
      <w:r>
        <w:t>”</w:t>
      </w:r>
      <w:r>
        <w:rPr>
          <w:rFonts w:hint="eastAsia"/>
        </w:rPr>
        <w:t>重点车辆动态监控，监控入网率达</w:t>
      </w:r>
      <w:r>
        <w:t>100%</w:t>
      </w:r>
      <w:r>
        <w:rPr>
          <w:rFonts w:hint="eastAsia"/>
        </w:rPr>
        <w:t>。通客车建制村生命安全防护工程及时补充排查，国省干线公路按规定设置固定超限检测点，加大超载超限整治力度。积极推进昭化区水上交通安全监控室建设改造工程、海事巡逻艇、海事应急抢险救助艇、防洪系锚设施等巡航救助一体化项目建设，水上安全监管及应急保障能力明显提升。</w:t>
      </w:r>
    </w:p>
    <w:p>
      <w:pPr>
        <w:ind w:firstLine="640"/>
        <w:rPr>
          <w:b/>
          <w:bCs/>
        </w:rPr>
      </w:pPr>
      <w:r>
        <w:rPr>
          <w:szCs w:val="32"/>
        </w:rPr>
        <w:t>——</w:t>
      </w:r>
      <w:r>
        <w:rPr>
          <w:rFonts w:hint="eastAsia" w:eastAsia="黑体"/>
          <w:szCs w:val="32"/>
        </w:rPr>
        <w:t>行业改革创新深入推进</w:t>
      </w:r>
      <w:r>
        <w:rPr>
          <w:rFonts w:hint="eastAsia"/>
          <w:b/>
          <w:bCs/>
        </w:rPr>
        <w:t>。</w:t>
      </w:r>
      <w:r>
        <w:rPr>
          <w:rFonts w:hint="eastAsia"/>
        </w:rPr>
        <w:t>探索应用</w:t>
      </w:r>
      <w:r>
        <w:t>PPP</w:t>
      </w:r>
      <w:r>
        <w:rPr>
          <w:rFonts w:hint="eastAsia"/>
        </w:rPr>
        <w:t>模式推进普通国省干线项目建设，积极吸引社会资本；通过整合涉农资金、采取银行贷款、发动收益村民捐资等方式，拓宽项目筹资来源，推动农村公路建设。道路运输改革不断深化，稳妥推进全区出租车汽车行业改革，规范网约车发展。深入推进</w:t>
      </w:r>
      <w:r>
        <w:t>“</w:t>
      </w:r>
      <w:r>
        <w:rPr>
          <w:rFonts w:hint="eastAsia"/>
        </w:rPr>
        <w:t>放管服</w:t>
      </w:r>
      <w:r>
        <w:t>”</w:t>
      </w:r>
      <w:r>
        <w:rPr>
          <w:rFonts w:hint="eastAsia"/>
        </w:rPr>
        <w:t>改革，群众满意率和按时结办率均达</w:t>
      </w:r>
      <w:r>
        <w:t>100%</w:t>
      </w:r>
      <w:r>
        <w:rPr>
          <w:rFonts w:hint="eastAsia"/>
        </w:rPr>
        <w:t>。</w:t>
      </w:r>
    </w:p>
    <w:p>
      <w:pPr>
        <w:pStyle w:val="4"/>
        <w:adjustRightInd w:val="0"/>
        <w:snapToGrid w:val="0"/>
        <w:spacing w:before="108" w:beforeLines="25" w:after="108" w:afterLines="25"/>
        <w:ind w:left="6238" w:hanging="6238"/>
        <w:rPr>
          <w:bCs w:val="0"/>
        </w:rPr>
      </w:pPr>
      <w:bookmarkStart w:id="23" w:name="_Toc5976"/>
      <w:r>
        <w:rPr>
          <w:bCs w:val="0"/>
        </w:rPr>
        <w:t xml:space="preserve">1.2.3 </w:t>
      </w:r>
      <w:r>
        <w:rPr>
          <w:rFonts w:hint="eastAsia"/>
          <w:bCs w:val="0"/>
        </w:rPr>
        <w:t>存在主要问题</w:t>
      </w:r>
      <w:bookmarkEnd w:id="23"/>
    </w:p>
    <w:p>
      <w:pPr>
        <w:ind w:firstLine="640"/>
        <w:rPr>
          <w:szCs w:val="32"/>
        </w:rPr>
      </w:pPr>
      <w:bookmarkStart w:id="24" w:name="_Hlk60162919"/>
      <w:r>
        <w:rPr>
          <w:rFonts w:hint="eastAsia"/>
          <w:szCs w:val="32"/>
        </w:rPr>
        <w:t>对标交通强国</w:t>
      </w:r>
      <w:r>
        <w:rPr>
          <w:szCs w:val="32"/>
        </w:rPr>
        <w:t>“</w:t>
      </w:r>
      <w:r>
        <w:rPr>
          <w:rFonts w:hint="eastAsia"/>
          <w:szCs w:val="32"/>
        </w:rPr>
        <w:t>四个一流</w:t>
      </w:r>
      <w:r>
        <w:rPr>
          <w:szCs w:val="32"/>
        </w:rPr>
        <w:t>”</w:t>
      </w:r>
      <w:r>
        <w:rPr>
          <w:rStyle w:val="14"/>
          <w:szCs w:val="32"/>
        </w:rPr>
        <w:footnoteReference w:id="0"/>
      </w:r>
      <w:r>
        <w:rPr>
          <w:rFonts w:hint="eastAsia"/>
          <w:szCs w:val="32"/>
        </w:rPr>
        <w:t>以及主动融入成渝地区双城经济圈、西部陆海新通道等国家战略和区委全面建设社会主义现代化“四城新区”的发展目标，</w:t>
      </w:r>
      <w:bookmarkEnd w:id="24"/>
      <w:r>
        <w:rPr>
          <w:rFonts w:hint="eastAsia"/>
          <w:szCs w:val="32"/>
        </w:rPr>
        <w:t>昭化综合交通运输发展仍存在一些短板和薄弱环节，主要表现在以下方面：</w:t>
      </w:r>
    </w:p>
    <w:p>
      <w:pPr>
        <w:autoSpaceDE w:val="0"/>
        <w:autoSpaceDN w:val="0"/>
        <w:adjustRightInd w:val="0"/>
        <w:ind w:firstLine="640" w:firstLineChars="0"/>
      </w:pPr>
      <w:r>
        <w:rPr>
          <w:rFonts w:eastAsia="黑体"/>
          <w:bCs/>
          <w:szCs w:val="32"/>
        </w:rPr>
        <w:t>1.</w:t>
      </w:r>
      <w:r>
        <w:rPr>
          <w:rFonts w:hint="eastAsia" w:eastAsia="黑体"/>
          <w:bCs/>
          <w:szCs w:val="32"/>
        </w:rPr>
        <w:t>对外开放通道还不健全</w:t>
      </w:r>
      <w:r>
        <w:rPr>
          <w:rFonts w:hint="eastAsia"/>
          <w:szCs w:val="32"/>
        </w:rPr>
        <w:t>。目前，昭化区主要</w:t>
      </w:r>
      <w:bookmarkStart w:id="25" w:name="_Hlk60162984"/>
      <w:r>
        <w:rPr>
          <w:rFonts w:hint="eastAsia"/>
          <w:szCs w:val="32"/>
        </w:rPr>
        <w:t>对外联系通道</w:t>
      </w:r>
      <w:r>
        <w:rPr>
          <w:kern w:val="0"/>
          <w:szCs w:val="32"/>
          <w:lang w:val="zh-CN"/>
        </w:rPr>
        <w:t xml:space="preserve"> “</w:t>
      </w:r>
      <w:r>
        <w:rPr>
          <w:rFonts w:hint="eastAsia"/>
          <w:kern w:val="0"/>
          <w:szCs w:val="32"/>
          <w:lang w:val="zh-CN"/>
        </w:rPr>
        <w:t>能力不强、结构不优</w:t>
      </w:r>
      <w:r>
        <w:rPr>
          <w:kern w:val="0"/>
          <w:szCs w:val="32"/>
          <w:lang w:val="zh-CN"/>
        </w:rPr>
        <w:t>”</w:t>
      </w:r>
      <w:bookmarkEnd w:id="25"/>
      <w:r>
        <w:rPr>
          <w:rFonts w:hint="eastAsia"/>
          <w:kern w:val="0"/>
          <w:szCs w:val="32"/>
          <w:lang w:val="zh-CN"/>
        </w:rPr>
        <w:t>问题仍较突出，</w:t>
      </w:r>
      <w:r>
        <w:rPr>
          <w:rFonts w:hint="eastAsia"/>
          <w:kern w:val="0"/>
          <w:szCs w:val="32"/>
        </w:rPr>
        <w:t>主动融入成渝地区双城经济圈等国家战略的支撑能力有待提高</w:t>
      </w:r>
      <w:r>
        <w:rPr>
          <w:rFonts w:hint="eastAsia"/>
          <w:kern w:val="0"/>
          <w:szCs w:val="32"/>
          <w:lang w:val="zh-CN"/>
        </w:rPr>
        <w:t>。</w:t>
      </w:r>
      <w:r>
        <w:rPr>
          <w:rFonts w:hint="eastAsia" w:eastAsia="黑体"/>
          <w:kern w:val="0"/>
          <w:szCs w:val="32"/>
          <w:lang w:val="zh-CN"/>
        </w:rPr>
        <w:t>一是</w:t>
      </w:r>
      <w:r>
        <w:rPr>
          <w:rFonts w:hint="eastAsia"/>
          <w:szCs w:val="32"/>
        </w:rPr>
        <w:t>已建成广巴铁路、兰渝铁路技术标准较低，西成高铁自昭化西北部外缘擦境而过，境内缺乏高速铁路运输通道，难以满足与重庆、西安等西部中心城市日益增长的快速交通发展需求。</w:t>
      </w:r>
      <w:r>
        <w:rPr>
          <w:rFonts w:hint="eastAsia" w:eastAsia="黑体"/>
          <w:kern w:val="0"/>
          <w:szCs w:val="32"/>
          <w:lang w:val="zh-CN"/>
        </w:rPr>
        <w:t>二是</w:t>
      </w:r>
      <w:r>
        <w:rPr>
          <w:szCs w:val="32"/>
        </w:rPr>
        <w:t>G5</w:t>
      </w:r>
      <w:r>
        <w:rPr>
          <w:rFonts w:hint="eastAsia"/>
          <w:szCs w:val="32"/>
        </w:rPr>
        <w:t>京昆高速广陕段作为联系成渝地区双城经济圈</w:t>
      </w:r>
      <w:r>
        <w:rPr>
          <w:szCs w:val="32"/>
        </w:rPr>
        <w:t>“</w:t>
      </w:r>
      <w:r>
        <w:rPr>
          <w:rFonts w:hint="eastAsia"/>
          <w:szCs w:val="32"/>
        </w:rPr>
        <w:t>主核</w:t>
      </w:r>
      <w:r>
        <w:rPr>
          <w:szCs w:val="32"/>
        </w:rPr>
        <w:t>”</w:t>
      </w:r>
      <w:r>
        <w:rPr>
          <w:rFonts w:hint="eastAsia"/>
          <w:szCs w:val="32"/>
        </w:rPr>
        <w:t>成都的重要高速公路，通道单一</w:t>
      </w:r>
      <w:r>
        <w:rPr>
          <w:rFonts w:hint="eastAsia"/>
        </w:rPr>
        <w:t>且交通量大、拥堵频繁、服务水平偏低，亟需扩容提升。</w:t>
      </w:r>
      <w:r>
        <w:rPr>
          <w:rFonts w:hint="eastAsia" w:eastAsia="黑体"/>
          <w:kern w:val="0"/>
          <w:szCs w:val="32"/>
          <w:lang w:val="zh-CN"/>
        </w:rPr>
        <w:t>三是</w:t>
      </w:r>
      <w:r>
        <w:rPr>
          <w:rFonts w:hint="eastAsia"/>
        </w:rPr>
        <w:t>区域综合交通基础设施门类有缺失，辖区内缺乏机场规划布局，嘉陵江航道未能实现全线通航，不能满足通江达海的发展需要。</w:t>
      </w:r>
    </w:p>
    <w:p>
      <w:pPr>
        <w:autoSpaceDE w:val="0"/>
        <w:autoSpaceDN w:val="0"/>
        <w:adjustRightInd w:val="0"/>
        <w:ind w:firstLine="640"/>
        <w:rPr>
          <w:kern w:val="0"/>
          <w:szCs w:val="32"/>
          <w:lang w:val="zh-CN"/>
        </w:rPr>
      </w:pPr>
      <w:r>
        <w:rPr>
          <w:rFonts w:eastAsia="黑体"/>
          <w:bCs/>
          <w:szCs w:val="32"/>
        </w:rPr>
        <w:t>2.</w:t>
      </w:r>
      <w:r>
        <w:rPr>
          <w:rFonts w:hint="eastAsia" w:eastAsia="黑体"/>
          <w:bCs/>
          <w:szCs w:val="32"/>
        </w:rPr>
        <w:t>公路等级结构有待完善。一是</w:t>
      </w:r>
      <w:bookmarkStart w:id="26" w:name="_Hlk60163028"/>
      <w:r>
        <w:rPr>
          <w:rFonts w:hint="eastAsia"/>
          <w:szCs w:val="32"/>
        </w:rPr>
        <w:t>公路技术等级总体偏低，</w:t>
      </w:r>
      <w:bookmarkEnd w:id="26"/>
      <w:r>
        <w:rPr>
          <w:rFonts w:hint="eastAsia"/>
          <w:szCs w:val="32"/>
        </w:rPr>
        <w:t>四级及以下技术等级公路占路网总规模的</w:t>
      </w:r>
      <w:r>
        <w:rPr>
          <w:szCs w:val="32"/>
        </w:rPr>
        <w:t>94.6%</w:t>
      </w:r>
      <w:r>
        <w:rPr>
          <w:rFonts w:hint="eastAsia"/>
          <w:szCs w:val="32"/>
        </w:rPr>
        <w:t>，仍存在约</w:t>
      </w:r>
      <w:r>
        <w:rPr>
          <w:szCs w:val="32"/>
        </w:rPr>
        <w:t>872</w:t>
      </w:r>
      <w:r>
        <w:rPr>
          <w:rFonts w:hint="eastAsia"/>
          <w:szCs w:val="32"/>
        </w:rPr>
        <w:t>公里的等外公路和</w:t>
      </w:r>
      <w:r>
        <w:rPr>
          <w:szCs w:val="32"/>
        </w:rPr>
        <w:t>999</w:t>
      </w:r>
      <w:r>
        <w:rPr>
          <w:rFonts w:hint="eastAsia"/>
          <w:szCs w:val="32"/>
        </w:rPr>
        <w:t>公里的未铺装路面公路，普通省道三级及以上技术等级占比仅为</w:t>
      </w:r>
      <w:r>
        <w:rPr>
          <w:szCs w:val="32"/>
        </w:rPr>
        <w:t>21.3%</w:t>
      </w:r>
      <w:r>
        <w:rPr>
          <w:rFonts w:hint="eastAsia"/>
          <w:szCs w:val="32"/>
        </w:rPr>
        <w:t>。</w:t>
      </w:r>
      <w:r>
        <w:rPr>
          <w:rFonts w:hint="eastAsia" w:eastAsia="黑体"/>
          <w:bCs/>
          <w:szCs w:val="32"/>
        </w:rPr>
        <w:t>二是</w:t>
      </w:r>
      <w:r>
        <w:rPr>
          <w:rFonts w:hint="eastAsia"/>
          <w:szCs w:val="32"/>
        </w:rPr>
        <w:t>农村公路覆盖范围不足，乡镇间、建制村间联网程度低，通达深度与满足村民</w:t>
      </w:r>
      <w:r>
        <w:rPr>
          <w:szCs w:val="32"/>
        </w:rPr>
        <w:t>“</w:t>
      </w:r>
      <w:r>
        <w:rPr>
          <w:rFonts w:hint="eastAsia"/>
          <w:szCs w:val="32"/>
        </w:rPr>
        <w:t>抬脚有路、出门上车</w:t>
      </w:r>
      <w:r>
        <w:rPr>
          <w:szCs w:val="32"/>
        </w:rPr>
        <w:t>”</w:t>
      </w:r>
      <w:r>
        <w:rPr>
          <w:rFonts w:hint="eastAsia"/>
          <w:szCs w:val="32"/>
        </w:rPr>
        <w:t>的发展要求相比还有较大差距，仍有</w:t>
      </w:r>
      <w:r>
        <w:rPr>
          <w:rFonts w:hint="eastAsia"/>
        </w:rPr>
        <w:t>部分</w:t>
      </w:r>
      <w:r>
        <w:rPr>
          <w:szCs w:val="32"/>
        </w:rPr>
        <w:t>30</w:t>
      </w:r>
      <w:r>
        <w:rPr>
          <w:rFonts w:hint="eastAsia"/>
          <w:szCs w:val="32"/>
        </w:rPr>
        <w:t>户及以上自然村未通硬化路。</w:t>
      </w:r>
      <w:r>
        <w:rPr>
          <w:rFonts w:hint="eastAsia" w:eastAsia="黑体"/>
          <w:bCs/>
          <w:szCs w:val="32"/>
        </w:rPr>
        <w:t>三是</w:t>
      </w:r>
      <w:r>
        <w:rPr>
          <w:rFonts w:hint="eastAsia"/>
          <w:szCs w:val="32"/>
        </w:rPr>
        <w:t>路网衔接转换效率较低，高速公路、干线公路与城市道路的衔接不畅，部分公路街道化严重，城镇交通与过境交通相互干扰，运行效率低下，对于全面支撑县域经济发展还较为乏力。</w:t>
      </w:r>
    </w:p>
    <w:p>
      <w:pPr>
        <w:autoSpaceDE w:val="0"/>
        <w:autoSpaceDN w:val="0"/>
        <w:adjustRightInd w:val="0"/>
        <w:ind w:firstLine="640"/>
      </w:pPr>
      <w:r>
        <w:rPr>
          <w:rFonts w:eastAsia="黑体"/>
          <w:bCs/>
          <w:szCs w:val="32"/>
        </w:rPr>
        <w:t>3.</w:t>
      </w:r>
      <w:r>
        <w:rPr>
          <w:rFonts w:hint="eastAsia" w:eastAsia="黑体"/>
          <w:bCs/>
          <w:szCs w:val="32"/>
        </w:rPr>
        <w:t>运输服务品质亟待提升。一是</w:t>
      </w:r>
      <w:r>
        <w:rPr>
          <w:rFonts w:hint="eastAsia"/>
          <w:szCs w:val="32"/>
        </w:rPr>
        <w:t>公路货运量占综合运输比重较高，物流运输成本总体偏高，</w:t>
      </w:r>
      <w:r>
        <w:rPr>
          <w:rFonts w:hint="eastAsia"/>
        </w:rPr>
        <w:t>嘉陵江川境段虽已实现复航，但公水联运发展滞后，</w:t>
      </w:r>
      <w:r>
        <w:rPr>
          <w:rFonts w:hint="eastAsia"/>
          <w:szCs w:val="32"/>
        </w:rPr>
        <w:t>水运优势未有效发挥。</w:t>
      </w:r>
      <w:r>
        <w:rPr>
          <w:rFonts w:hint="eastAsia" w:eastAsia="黑体"/>
          <w:szCs w:val="32"/>
        </w:rPr>
        <w:t>二是</w:t>
      </w:r>
      <w:r>
        <w:rPr>
          <w:rFonts w:hint="eastAsia"/>
          <w:szCs w:val="32"/>
        </w:rPr>
        <w:t>客运服务质量不高，旅客联程运输、定制客运程度较低，运输组织方式相对单一，客运服务水平难以满足个性化、多样化、品质化出行需求；农村客运便捷性、舒适度有待提高，</w:t>
      </w:r>
      <w:r>
        <w:rPr>
          <w:szCs w:val="32"/>
        </w:rPr>
        <w:t>“</w:t>
      </w:r>
      <w:r>
        <w:rPr>
          <w:rFonts w:hint="eastAsia"/>
          <w:szCs w:val="32"/>
        </w:rPr>
        <w:t>开得通、留不住、乘车贵</w:t>
      </w:r>
      <w:r>
        <w:rPr>
          <w:szCs w:val="32"/>
        </w:rPr>
        <w:t>”</w:t>
      </w:r>
      <w:r>
        <w:rPr>
          <w:rFonts w:hint="eastAsia"/>
          <w:szCs w:val="32"/>
        </w:rPr>
        <w:t>矛盾依然突出，还不能有效适应并充分满足城乡居民出行需要。</w:t>
      </w:r>
      <w:r>
        <w:rPr>
          <w:rFonts w:hint="eastAsia" w:eastAsia="黑体"/>
          <w:szCs w:val="32"/>
        </w:rPr>
        <w:t>三是</w:t>
      </w:r>
      <w:r>
        <w:rPr>
          <w:rFonts w:hint="eastAsia"/>
          <w:szCs w:val="32"/>
        </w:rPr>
        <w:t>货运有效供给能力不足，县级货运站、乡镇配送网点覆盖率低，货运流通单向性特征明显、时效性不强；公路干线运输集约化程度不高、组织方式有待优化，中长途货车空驶率较高。</w:t>
      </w:r>
    </w:p>
    <w:p>
      <w:pPr>
        <w:widowControl/>
        <w:ind w:firstLine="640"/>
        <w:rPr>
          <w:bCs/>
          <w:kern w:val="0"/>
          <w:szCs w:val="32"/>
          <w:lang w:val="zh-CN"/>
        </w:rPr>
      </w:pPr>
      <w:r>
        <w:rPr>
          <w:rFonts w:eastAsia="黑体"/>
          <w:bCs/>
          <w:szCs w:val="32"/>
        </w:rPr>
        <w:t>4.</w:t>
      </w:r>
      <w:r>
        <w:rPr>
          <w:rFonts w:hint="eastAsia" w:eastAsia="黑体"/>
          <w:bCs/>
          <w:szCs w:val="32"/>
        </w:rPr>
        <w:t>行业综合治理仍需加强。</w:t>
      </w:r>
      <w:r>
        <w:rPr>
          <w:rFonts w:hint="eastAsia" w:eastAsia="黑体"/>
          <w:kern w:val="0"/>
          <w:szCs w:val="32"/>
          <w:lang w:val="zh-CN"/>
        </w:rPr>
        <w:t>一是</w:t>
      </w:r>
      <w:r>
        <w:rPr>
          <w:rFonts w:hint="eastAsia"/>
          <w:szCs w:val="28"/>
        </w:rPr>
        <w:t>行业治理方式仍然比较传统，管理质量和效率有待提高，对互联网、大数据、云计算等现代信息技术的应用能力不足。</w:t>
      </w:r>
      <w:r>
        <w:rPr>
          <w:rFonts w:hint="eastAsia" w:eastAsia="黑体"/>
          <w:kern w:val="0"/>
          <w:szCs w:val="32"/>
          <w:lang w:val="zh-CN"/>
        </w:rPr>
        <w:t>二是</w:t>
      </w:r>
      <w:r>
        <w:rPr>
          <w:rFonts w:hint="eastAsia"/>
          <w:szCs w:val="32"/>
        </w:rPr>
        <w:t>养护管理压力持续增加，现代化公路养护管理体系不健全，养护管理各层级间的职能和关系尚待进一步界定和理顺，县乡村三级养护主体职责尚未落实到位，养护资金保障不到位，部分农村公路</w:t>
      </w:r>
      <w:r>
        <w:rPr>
          <w:szCs w:val="32"/>
        </w:rPr>
        <w:t>“</w:t>
      </w:r>
      <w:r>
        <w:rPr>
          <w:rFonts w:hint="eastAsia"/>
          <w:szCs w:val="32"/>
        </w:rPr>
        <w:t>缺管失养</w:t>
      </w:r>
      <w:r>
        <w:rPr>
          <w:szCs w:val="32"/>
        </w:rPr>
        <w:t>”</w:t>
      </w:r>
      <w:r>
        <w:rPr>
          <w:rFonts w:hint="eastAsia"/>
          <w:szCs w:val="32"/>
        </w:rPr>
        <w:t>，</w:t>
      </w:r>
      <w:r>
        <w:rPr>
          <w:rFonts w:hint="eastAsia"/>
          <w:bCs/>
          <w:kern w:val="0"/>
          <w:szCs w:val="32"/>
          <w:lang w:val="zh-CN"/>
        </w:rPr>
        <w:t>因养护不到位导致的</w:t>
      </w:r>
      <w:r>
        <w:rPr>
          <w:bCs/>
          <w:kern w:val="0"/>
          <w:szCs w:val="32"/>
          <w:lang w:val="zh-CN"/>
        </w:rPr>
        <w:t>“</w:t>
      </w:r>
      <w:r>
        <w:rPr>
          <w:rFonts w:hint="eastAsia"/>
          <w:bCs/>
          <w:kern w:val="0"/>
          <w:szCs w:val="32"/>
          <w:lang w:val="zh-CN"/>
        </w:rPr>
        <w:t>畅返不畅</w:t>
      </w:r>
      <w:r>
        <w:rPr>
          <w:bCs/>
          <w:kern w:val="0"/>
          <w:szCs w:val="32"/>
          <w:lang w:val="zh-CN"/>
        </w:rPr>
        <w:t>”</w:t>
      </w:r>
      <w:r>
        <w:rPr>
          <w:rFonts w:hint="eastAsia"/>
          <w:bCs/>
          <w:kern w:val="0"/>
          <w:szCs w:val="32"/>
          <w:lang w:val="zh-CN"/>
        </w:rPr>
        <w:t>等问题仍不同程度存在，</w:t>
      </w:r>
      <w:r>
        <w:rPr>
          <w:rFonts w:hint="eastAsia"/>
          <w:bCs/>
          <w:kern w:val="0"/>
          <w:szCs w:val="32"/>
        </w:rPr>
        <w:t>同时</w:t>
      </w:r>
      <w:r>
        <w:rPr>
          <w:rFonts w:hint="eastAsia"/>
          <w:szCs w:val="32"/>
        </w:rPr>
        <w:t>养护市场化滞后，专业化养护能力还不足。</w:t>
      </w:r>
      <w:r>
        <w:rPr>
          <w:rFonts w:hint="eastAsia" w:eastAsia="黑体"/>
          <w:kern w:val="0"/>
          <w:szCs w:val="32"/>
          <w:lang w:val="zh-CN"/>
        </w:rPr>
        <w:t>三是</w:t>
      </w:r>
      <w:r>
        <w:rPr>
          <w:rFonts w:hint="eastAsia"/>
          <w:bCs/>
          <w:kern w:val="0"/>
          <w:szCs w:val="32"/>
          <w:lang w:val="zh-CN"/>
        </w:rPr>
        <w:t>城市公交柴油车依然存在，电动化、清洁化水平不高，与交通运输绿色、低碳发展理念仍不相适应。</w:t>
      </w:r>
    </w:p>
    <w:p>
      <w:pPr>
        <w:pStyle w:val="2"/>
        <w:spacing w:before="156" w:after="156" w:line="416" w:lineRule="auto"/>
        <w:ind w:firstLine="0" w:firstLineChars="0"/>
        <w:jc w:val="left"/>
        <w:rPr>
          <w:rFonts w:ascii="Times New Roman" w:hAnsi="Times New Roman" w:eastAsia="黑体"/>
          <w:sz w:val="36"/>
          <w:szCs w:val="36"/>
        </w:rPr>
      </w:pPr>
      <w:bookmarkStart w:id="27" w:name="_Toc61624419"/>
      <w:bookmarkStart w:id="28" w:name="_Toc26289"/>
      <w:r>
        <w:rPr>
          <w:rFonts w:ascii="Times New Roman" w:hAnsi="Times New Roman" w:eastAsia="黑体"/>
          <w:sz w:val="36"/>
          <w:szCs w:val="36"/>
        </w:rPr>
        <w:t xml:space="preserve">1.3 </w:t>
      </w:r>
      <w:r>
        <w:rPr>
          <w:rFonts w:hint="eastAsia" w:ascii="Times New Roman" w:hAnsi="Times New Roman" w:eastAsia="黑体"/>
          <w:sz w:val="36"/>
          <w:szCs w:val="36"/>
        </w:rPr>
        <w:t>规划范围及依据</w:t>
      </w:r>
      <w:bookmarkEnd w:id="27"/>
      <w:bookmarkEnd w:id="28"/>
    </w:p>
    <w:p>
      <w:pPr>
        <w:pStyle w:val="4"/>
        <w:adjustRightInd w:val="0"/>
        <w:snapToGrid w:val="0"/>
        <w:spacing w:before="108" w:beforeLines="25" w:after="108" w:afterLines="25"/>
        <w:ind w:left="6238" w:hanging="6238"/>
        <w:rPr>
          <w:bCs w:val="0"/>
        </w:rPr>
      </w:pPr>
      <w:r>
        <w:rPr>
          <w:bCs w:val="0"/>
        </w:rPr>
        <w:t xml:space="preserve">1.3.1 </w:t>
      </w:r>
      <w:r>
        <w:rPr>
          <w:rFonts w:hint="eastAsia"/>
          <w:bCs w:val="0"/>
        </w:rPr>
        <w:t>规划范围</w:t>
      </w:r>
    </w:p>
    <w:p>
      <w:pPr>
        <w:widowControl/>
        <w:ind w:firstLine="640"/>
        <w:rPr>
          <w:bCs/>
          <w:kern w:val="0"/>
          <w:szCs w:val="32"/>
          <w:lang w:val="zh-CN"/>
        </w:rPr>
      </w:pPr>
      <w:r>
        <w:rPr>
          <w:rFonts w:hint="eastAsia" w:eastAsia="黑体"/>
          <w:bCs/>
          <w:kern w:val="0"/>
          <w:szCs w:val="32"/>
          <w:lang w:val="zh-CN"/>
        </w:rPr>
        <w:t>规划范围</w:t>
      </w:r>
      <w:r>
        <w:rPr>
          <w:rFonts w:hint="eastAsia"/>
          <w:bCs/>
          <w:kern w:val="0"/>
          <w:szCs w:val="32"/>
          <w:lang w:val="zh-CN"/>
        </w:rPr>
        <w:t>：广元市昭化区全域，共</w:t>
      </w:r>
      <w:r>
        <w:rPr>
          <w:bCs/>
          <w:kern w:val="0"/>
          <w:szCs w:val="32"/>
          <w:lang w:val="zh-CN"/>
        </w:rPr>
        <w:t>12</w:t>
      </w:r>
      <w:r>
        <w:rPr>
          <w:rFonts w:hint="eastAsia"/>
          <w:bCs/>
          <w:kern w:val="0"/>
          <w:szCs w:val="32"/>
          <w:lang w:val="zh-CN"/>
        </w:rPr>
        <w:t>个镇，面积</w:t>
      </w:r>
      <w:r>
        <w:rPr>
          <w:szCs w:val="32"/>
        </w:rPr>
        <w:t>1434</w:t>
      </w:r>
      <w:r>
        <w:rPr>
          <w:rFonts w:hint="eastAsia"/>
          <w:szCs w:val="32"/>
        </w:rPr>
        <w:t>平方公里</w:t>
      </w:r>
      <w:r>
        <w:rPr>
          <w:rFonts w:hint="eastAsia"/>
          <w:bCs/>
          <w:kern w:val="0"/>
          <w:szCs w:val="32"/>
          <w:lang w:val="zh-CN"/>
        </w:rPr>
        <w:t>。</w:t>
      </w:r>
    </w:p>
    <w:p>
      <w:pPr>
        <w:widowControl/>
        <w:ind w:firstLine="640"/>
        <w:rPr>
          <w:bCs/>
          <w:kern w:val="0"/>
          <w:szCs w:val="32"/>
          <w:lang w:val="zh-CN"/>
        </w:rPr>
      </w:pPr>
      <w:r>
        <w:rPr>
          <w:rFonts w:hint="eastAsia" w:eastAsia="黑体"/>
          <w:bCs/>
          <w:kern w:val="0"/>
          <w:szCs w:val="32"/>
          <w:lang w:val="zh-CN"/>
        </w:rPr>
        <w:t>规划对象</w:t>
      </w:r>
      <w:r>
        <w:rPr>
          <w:rFonts w:hint="eastAsia"/>
          <w:bCs/>
          <w:kern w:val="0"/>
          <w:szCs w:val="32"/>
          <w:lang w:val="zh-CN"/>
        </w:rPr>
        <w:t>：包括铁路、公路、水路等多种运输方式，统筹考虑与民航机场的衔接。</w:t>
      </w:r>
    </w:p>
    <w:p>
      <w:pPr>
        <w:pStyle w:val="4"/>
        <w:adjustRightInd w:val="0"/>
        <w:snapToGrid w:val="0"/>
        <w:spacing w:before="108" w:beforeLines="25" w:after="108" w:afterLines="25"/>
        <w:ind w:left="6238" w:hanging="6238"/>
        <w:rPr>
          <w:bCs w:val="0"/>
        </w:rPr>
      </w:pPr>
      <w:r>
        <w:rPr>
          <w:bCs w:val="0"/>
        </w:rPr>
        <w:t xml:space="preserve">1.3.2 </w:t>
      </w:r>
      <w:r>
        <w:rPr>
          <w:rFonts w:hint="eastAsia"/>
          <w:bCs w:val="0"/>
        </w:rPr>
        <w:t>规划依据</w:t>
      </w:r>
    </w:p>
    <w:p>
      <w:pPr>
        <w:spacing w:before="156" w:after="156"/>
        <w:ind w:firstLine="640"/>
      </w:pPr>
      <w:r>
        <w:rPr>
          <w:rFonts w:hint="eastAsia"/>
        </w:rPr>
        <w:t>以国家、省、市相关经济社会和交通运输规划为依据，编制昭化区综合交通运输</w:t>
      </w:r>
      <w:r>
        <w:t>“</w:t>
      </w:r>
      <w:r>
        <w:rPr>
          <w:rFonts w:hint="eastAsia"/>
        </w:rPr>
        <w:t>十四五</w:t>
      </w:r>
      <w:r>
        <w:t>”</w:t>
      </w:r>
      <w:r>
        <w:rPr>
          <w:rFonts w:hint="eastAsia"/>
        </w:rPr>
        <w:t>发展规划。具体包括：</w:t>
      </w:r>
    </w:p>
    <w:p>
      <w:pPr>
        <w:spacing w:before="156" w:after="156"/>
        <w:ind w:firstLine="640"/>
      </w:pPr>
      <w:r>
        <w:t>1.</w:t>
      </w:r>
      <w:r>
        <w:rPr>
          <w:rFonts w:hint="eastAsia"/>
        </w:rPr>
        <w:t>《中共四川省委关于深入学习贯彻习近平总书记对四川工作系列重要指示精神的决定》（川委发〔</w:t>
      </w:r>
      <w:r>
        <w:t>2018</w:t>
      </w:r>
      <w:r>
        <w:rPr>
          <w:rFonts w:hint="eastAsia"/>
        </w:rPr>
        <w:t>〕</w:t>
      </w:r>
      <w:r>
        <w:t>16</w:t>
      </w:r>
      <w:r>
        <w:rPr>
          <w:rFonts w:hint="eastAsia"/>
        </w:rPr>
        <w:t>号）</w:t>
      </w:r>
      <w:bookmarkStart w:id="29" w:name="_Hlk60135290"/>
      <w:r>
        <w:rPr>
          <w:rFonts w:hint="eastAsia"/>
        </w:rPr>
        <w:t>（</w:t>
      </w:r>
      <w:r>
        <w:t>2018</w:t>
      </w:r>
      <w:r>
        <w:rPr>
          <w:rFonts w:hint="eastAsia"/>
        </w:rPr>
        <w:t>年</w:t>
      </w:r>
      <w:r>
        <w:t>6</w:t>
      </w:r>
      <w:r>
        <w:rPr>
          <w:rFonts w:hint="eastAsia"/>
        </w:rPr>
        <w:t>月</w:t>
      </w:r>
      <w:r>
        <w:t>30</w:t>
      </w:r>
      <w:r>
        <w:rPr>
          <w:rFonts w:hint="eastAsia"/>
        </w:rPr>
        <w:t>日中国共产党四川省第十一届委员会第三次全体会议通过）</w:t>
      </w:r>
      <w:bookmarkEnd w:id="29"/>
      <w:r>
        <w:rPr>
          <w:rFonts w:hint="eastAsia"/>
        </w:rPr>
        <w:t>；</w:t>
      </w:r>
    </w:p>
    <w:p>
      <w:pPr>
        <w:spacing w:before="156" w:after="156"/>
        <w:ind w:firstLine="640"/>
      </w:pPr>
      <w:r>
        <w:t>2.</w:t>
      </w:r>
      <w:r>
        <w:rPr>
          <w:rFonts w:hint="eastAsia"/>
        </w:rPr>
        <w:t>《中共四川省委关于全面推动高质量发展的决定》（川委发〔</w:t>
      </w:r>
      <w:r>
        <w:t>2018</w:t>
      </w:r>
      <w:r>
        <w:rPr>
          <w:rFonts w:hint="eastAsia"/>
        </w:rPr>
        <w:t>〕</w:t>
      </w:r>
      <w:r>
        <w:t>17</w:t>
      </w:r>
      <w:r>
        <w:rPr>
          <w:rFonts w:hint="eastAsia"/>
        </w:rPr>
        <w:t>号）（</w:t>
      </w:r>
      <w:r>
        <w:t>2018</w:t>
      </w:r>
      <w:r>
        <w:rPr>
          <w:rFonts w:hint="eastAsia"/>
        </w:rPr>
        <w:t>年</w:t>
      </w:r>
      <w:r>
        <w:t>6</w:t>
      </w:r>
      <w:r>
        <w:rPr>
          <w:rFonts w:hint="eastAsia"/>
        </w:rPr>
        <w:t>月</w:t>
      </w:r>
      <w:r>
        <w:t>30</w:t>
      </w:r>
      <w:r>
        <w:rPr>
          <w:rFonts w:hint="eastAsia"/>
        </w:rPr>
        <w:t>日中国共产党四川省第十一届委员会第三次全体会议通过）</w:t>
      </w:r>
      <w:r>
        <w:t>;</w:t>
      </w:r>
    </w:p>
    <w:p>
      <w:pPr>
        <w:spacing w:before="156" w:after="156"/>
        <w:ind w:firstLine="640"/>
      </w:pPr>
      <w:r>
        <w:t>3.</w:t>
      </w:r>
      <w:r>
        <w:rPr>
          <w:rFonts w:hint="eastAsia"/>
        </w:rPr>
        <w:t>《关于实施</w:t>
      </w:r>
      <w:r>
        <w:t>“</w:t>
      </w:r>
      <w:r>
        <w:rPr>
          <w:rFonts w:hint="eastAsia"/>
        </w:rPr>
        <w:t>一干多支</w:t>
      </w:r>
      <w:r>
        <w:t>”</w:t>
      </w:r>
      <w:r>
        <w:rPr>
          <w:rFonts w:hint="eastAsia"/>
        </w:rPr>
        <w:t>发展战略推动全省区域协同发展的指导意见》（川委发〔</w:t>
      </w:r>
      <w:r>
        <w:t>2018</w:t>
      </w:r>
      <w:r>
        <w:rPr>
          <w:rFonts w:hint="eastAsia"/>
        </w:rPr>
        <w:t>〕</w:t>
      </w:r>
      <w:r>
        <w:t>25</w:t>
      </w:r>
      <w:r>
        <w:rPr>
          <w:rFonts w:hint="eastAsia"/>
        </w:rPr>
        <w:t>号）；</w:t>
      </w:r>
    </w:p>
    <w:p>
      <w:pPr>
        <w:spacing w:before="156" w:after="156"/>
        <w:ind w:firstLine="640"/>
      </w:pPr>
      <w:r>
        <w:t>4.</w:t>
      </w:r>
      <w:r>
        <w:rPr>
          <w:rFonts w:hint="eastAsia"/>
        </w:rPr>
        <w:t>《中共四川省委关于制定四川省国民经济和社会发展第十四个五年规划和二</w:t>
      </w:r>
      <w:r>
        <w:rPr>
          <w:rFonts w:hint="eastAsia" w:eastAsia="微软雅黑"/>
        </w:rPr>
        <w:t>〇</w:t>
      </w:r>
      <w:r>
        <w:rPr>
          <w:rFonts w:hint="eastAsia"/>
        </w:rPr>
        <w:t>三五年远景目标的建议》（</w:t>
      </w:r>
      <w:r>
        <w:t>2020</w:t>
      </w:r>
      <w:r>
        <w:rPr>
          <w:rFonts w:hint="eastAsia"/>
        </w:rPr>
        <w:t>年</w:t>
      </w:r>
      <w:r>
        <w:t>12</w:t>
      </w:r>
      <w:r>
        <w:rPr>
          <w:rFonts w:hint="eastAsia"/>
        </w:rPr>
        <w:t>月</w:t>
      </w:r>
      <w:r>
        <w:t>4</w:t>
      </w:r>
      <w:r>
        <w:rPr>
          <w:rFonts w:hint="eastAsia"/>
        </w:rPr>
        <w:t>日中国共产党四川省第十一届委员会第八次全体会议通过）；</w:t>
      </w:r>
    </w:p>
    <w:p>
      <w:pPr>
        <w:spacing w:before="156" w:after="156"/>
        <w:ind w:firstLine="640"/>
      </w:pPr>
      <w:r>
        <w:t>5.</w:t>
      </w:r>
      <w:r>
        <w:rPr>
          <w:rFonts w:hint="eastAsia"/>
        </w:rPr>
        <w:t>《中共广元市委关于深入学习贯彻习近平总书记对四川工作系列重要指示精神坚定落实省委十一届三次全会各项决策部署奋力推动治蜀兴川广元实践再上新台阶的决定》（</w:t>
      </w:r>
      <w:r>
        <w:t>2018</w:t>
      </w:r>
      <w:r>
        <w:rPr>
          <w:rFonts w:hint="eastAsia"/>
        </w:rPr>
        <w:t>年</w:t>
      </w:r>
      <w:r>
        <w:t>7</w:t>
      </w:r>
      <w:r>
        <w:rPr>
          <w:rFonts w:hint="eastAsia"/>
        </w:rPr>
        <w:t>月</w:t>
      </w:r>
      <w:r>
        <w:t>29</w:t>
      </w:r>
      <w:r>
        <w:rPr>
          <w:rFonts w:hint="eastAsia"/>
        </w:rPr>
        <w:t>日中国共产党广元市第七届委员会第七次全体会议通过）；</w:t>
      </w:r>
    </w:p>
    <w:p>
      <w:pPr>
        <w:spacing w:before="156" w:after="156"/>
        <w:ind w:firstLine="640"/>
      </w:pPr>
      <w:r>
        <w:t>6.</w:t>
      </w:r>
      <w:r>
        <w:rPr>
          <w:rFonts w:hint="eastAsia"/>
        </w:rPr>
        <w:t>《中共广元市委关于全面推动高质量发展的决定》（</w:t>
      </w:r>
      <w:r>
        <w:t>2018</w:t>
      </w:r>
      <w:r>
        <w:rPr>
          <w:rFonts w:hint="eastAsia"/>
        </w:rPr>
        <w:t>年</w:t>
      </w:r>
      <w:r>
        <w:t>7</w:t>
      </w:r>
      <w:r>
        <w:rPr>
          <w:rFonts w:hint="eastAsia"/>
        </w:rPr>
        <w:t>月</w:t>
      </w:r>
      <w:r>
        <w:t>29</w:t>
      </w:r>
      <w:r>
        <w:rPr>
          <w:rFonts w:hint="eastAsia"/>
        </w:rPr>
        <w:t>日中国共产党广元市第七届委员会第七次全体会议通过）；</w:t>
      </w:r>
    </w:p>
    <w:p>
      <w:pPr>
        <w:spacing w:before="156" w:after="156"/>
        <w:ind w:firstLine="640"/>
      </w:pPr>
      <w:r>
        <w:t>7.</w:t>
      </w:r>
      <w:r>
        <w:rPr>
          <w:rFonts w:hint="eastAsia"/>
        </w:rPr>
        <w:t>《解放思想</w:t>
      </w:r>
      <w:r>
        <w:t xml:space="preserve"> </w:t>
      </w:r>
      <w:r>
        <w:rPr>
          <w:rFonts w:hint="eastAsia"/>
        </w:rPr>
        <w:t>担当实干</w:t>
      </w:r>
      <w:r>
        <w:t xml:space="preserve"> </w:t>
      </w:r>
      <w:r>
        <w:rPr>
          <w:rFonts w:hint="eastAsia"/>
        </w:rPr>
        <w:t>奋勇争先</w:t>
      </w:r>
      <w:r>
        <w:t xml:space="preserve"> </w:t>
      </w:r>
      <w:r>
        <w:rPr>
          <w:rFonts w:hint="eastAsia"/>
        </w:rPr>
        <w:t>为加快建设川陕甘结合部现代化中心城市而努力奋斗》（</w:t>
      </w:r>
      <w:r>
        <w:t>2021</w:t>
      </w:r>
      <w:r>
        <w:rPr>
          <w:rFonts w:hint="eastAsia"/>
        </w:rPr>
        <w:t>年</w:t>
      </w:r>
      <w:r>
        <w:t>8</w:t>
      </w:r>
      <w:r>
        <w:rPr>
          <w:rFonts w:hint="eastAsia"/>
        </w:rPr>
        <w:t>月</w:t>
      </w:r>
      <w:r>
        <w:t>7</w:t>
      </w:r>
      <w:r>
        <w:rPr>
          <w:rFonts w:hint="eastAsia"/>
        </w:rPr>
        <w:t>日中国共产党广元市第八次代表大会报告）；</w:t>
      </w:r>
    </w:p>
    <w:p>
      <w:pPr>
        <w:spacing w:before="156" w:after="156"/>
        <w:ind w:firstLine="640"/>
      </w:pPr>
      <w:r>
        <w:t>8.</w:t>
      </w:r>
      <w:r>
        <w:rPr>
          <w:rFonts w:hint="eastAsia"/>
        </w:rPr>
        <w:t>《牢记嘱托再启程开拓奋进谱新篇为全面建设社会主义现代化四城新区而努力奋斗》（</w:t>
      </w:r>
      <w:r>
        <w:t>2021</w:t>
      </w:r>
      <w:r>
        <w:rPr>
          <w:rFonts w:hint="eastAsia"/>
        </w:rPr>
        <w:t>年</w:t>
      </w:r>
      <w:r>
        <w:t>8</w:t>
      </w:r>
      <w:r>
        <w:rPr>
          <w:rFonts w:hint="eastAsia"/>
        </w:rPr>
        <w:t>月</w:t>
      </w:r>
      <w:r>
        <w:t>16</w:t>
      </w:r>
      <w:r>
        <w:rPr>
          <w:rFonts w:hint="eastAsia"/>
        </w:rPr>
        <w:t>日中国共产党广元市昭化区第八次代表大会报告）；</w:t>
      </w:r>
    </w:p>
    <w:p>
      <w:pPr>
        <w:spacing w:before="156" w:after="156"/>
        <w:ind w:firstLine="640"/>
      </w:pPr>
      <w:r>
        <w:t>9.</w:t>
      </w:r>
      <w:r>
        <w:rPr>
          <w:rFonts w:hint="eastAsia"/>
        </w:rPr>
        <w:t>《交通强国建设纲要》；</w:t>
      </w:r>
    </w:p>
    <w:p>
      <w:pPr>
        <w:spacing w:before="156" w:after="156"/>
        <w:ind w:firstLine="640"/>
      </w:pPr>
      <w:r>
        <w:t>10.</w:t>
      </w:r>
      <w:r>
        <w:rPr>
          <w:rFonts w:hint="eastAsia"/>
        </w:rPr>
        <w:t>《关于贯彻落实</w:t>
      </w:r>
      <w:r>
        <w:t>&lt;</w:t>
      </w:r>
      <w:r>
        <w:rPr>
          <w:rFonts w:hint="eastAsia"/>
        </w:rPr>
        <w:t>交通强国建设纲要</w:t>
      </w:r>
      <w:r>
        <w:t>&gt;</w:t>
      </w:r>
      <w:r>
        <w:rPr>
          <w:rFonts w:hint="eastAsia"/>
        </w:rPr>
        <w:t>加快建设交通强省的实施意见》；</w:t>
      </w:r>
    </w:p>
    <w:p>
      <w:pPr>
        <w:ind w:firstLine="640"/>
      </w:pPr>
      <w:r>
        <w:t>11.</w:t>
      </w:r>
      <w:r>
        <w:rPr>
          <w:rFonts w:hint="eastAsia"/>
        </w:rPr>
        <w:t>《广元市国民经济和社会发展第十四个五年规划纲要》；</w:t>
      </w:r>
    </w:p>
    <w:p>
      <w:pPr>
        <w:ind w:firstLine="640"/>
      </w:pPr>
      <w:r>
        <w:t>12.</w:t>
      </w:r>
      <w:r>
        <w:rPr>
          <w:rFonts w:hint="eastAsia"/>
        </w:rPr>
        <w:t>《广元市昭化区国民经济和社会发展第十四个五年规划和二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三五年远景目标纲要</w:t>
      </w:r>
      <w:r>
        <w:rPr>
          <w:rFonts w:hint="eastAsia"/>
        </w:rPr>
        <w:t>》；</w:t>
      </w:r>
    </w:p>
    <w:p>
      <w:pPr>
        <w:ind w:firstLine="640"/>
      </w:pPr>
      <w:r>
        <w:t>13.</w:t>
      </w:r>
      <w:r>
        <w:rPr>
          <w:rFonts w:hint="eastAsia"/>
        </w:rPr>
        <w:t>《公路“十四五”发展规划》；</w:t>
      </w:r>
    </w:p>
    <w:p>
      <w:pPr>
        <w:ind w:firstLine="640"/>
      </w:pPr>
      <w:r>
        <w:t>14.</w:t>
      </w:r>
      <w:r>
        <w:rPr>
          <w:rFonts w:hint="eastAsia"/>
        </w:rPr>
        <w:t>《四川省“十四五”综合交通运输发展规划》；</w:t>
      </w:r>
    </w:p>
    <w:p>
      <w:pPr>
        <w:ind w:firstLine="640"/>
      </w:pPr>
      <w:r>
        <w:t>15.</w:t>
      </w:r>
      <w:r>
        <w:rPr>
          <w:rFonts w:hint="eastAsia"/>
        </w:rPr>
        <w:t>《四川省“十四五”公路水路交通运输发展规划》；</w:t>
      </w:r>
    </w:p>
    <w:p>
      <w:pPr>
        <w:ind w:firstLine="640"/>
      </w:pPr>
      <w:r>
        <w:t>16.</w:t>
      </w:r>
      <w:r>
        <w:rPr>
          <w:rFonts w:hint="eastAsia"/>
        </w:rPr>
        <w:t>《广元市</w:t>
      </w:r>
      <w:r>
        <w:t>“</w:t>
      </w:r>
      <w:r>
        <w:rPr>
          <w:rFonts w:hint="eastAsia"/>
        </w:rPr>
        <w:t>十四五</w:t>
      </w:r>
      <w:r>
        <w:t>”</w:t>
      </w:r>
      <w:r>
        <w:rPr>
          <w:rFonts w:hint="eastAsia"/>
        </w:rPr>
        <w:t>综合交通运输发展规划》；</w:t>
      </w:r>
    </w:p>
    <w:p>
      <w:pPr>
        <w:spacing w:before="156" w:after="156"/>
        <w:ind w:firstLine="640"/>
      </w:pPr>
      <w:r>
        <w:t>17.</w:t>
      </w:r>
      <w:r>
        <w:rPr>
          <w:rFonts w:hint="eastAsia"/>
        </w:rPr>
        <w:t>《国家公路网规划（</w:t>
      </w:r>
      <w:r>
        <w:t>2013</w:t>
      </w:r>
      <w:r>
        <w:rPr>
          <w:rFonts w:hint="eastAsia"/>
        </w:rPr>
        <w:t>年</w:t>
      </w:r>
      <w:r>
        <w:t>—2030</w:t>
      </w:r>
      <w:r>
        <w:rPr>
          <w:rFonts w:hint="eastAsia"/>
        </w:rPr>
        <w:t>年）》；</w:t>
      </w:r>
    </w:p>
    <w:p>
      <w:pPr>
        <w:spacing w:before="156" w:after="156"/>
        <w:ind w:firstLine="640"/>
      </w:pPr>
      <w:r>
        <w:t>18.</w:t>
      </w:r>
      <w:r>
        <w:rPr>
          <w:rFonts w:hint="eastAsia"/>
        </w:rPr>
        <w:t>《国家物流枢纽布局和建设规划》（发改经贸〔</w:t>
      </w:r>
      <w:r>
        <w:t>2018</w:t>
      </w:r>
      <w:r>
        <w:rPr>
          <w:rFonts w:hint="eastAsia"/>
        </w:rPr>
        <w:t>〕</w:t>
      </w:r>
      <w:r>
        <w:t>1886</w:t>
      </w:r>
      <w:r>
        <w:rPr>
          <w:rFonts w:hint="eastAsia"/>
        </w:rPr>
        <w:t>号）；</w:t>
      </w:r>
    </w:p>
    <w:p>
      <w:pPr>
        <w:spacing w:before="156" w:after="156"/>
        <w:ind w:firstLine="640"/>
      </w:pPr>
      <w:r>
        <w:t>19.</w:t>
      </w:r>
      <w:r>
        <w:rPr>
          <w:rFonts w:hint="eastAsia"/>
        </w:rPr>
        <w:t>《四川省川陕革命老区振兴发展规划实施方案》；</w:t>
      </w:r>
    </w:p>
    <w:p>
      <w:pPr>
        <w:spacing w:before="156" w:after="156"/>
        <w:ind w:firstLine="640"/>
      </w:pPr>
      <w:r>
        <w:t>20.</w:t>
      </w:r>
      <w:r>
        <w:rPr>
          <w:rFonts w:hint="eastAsia"/>
        </w:rPr>
        <w:t>《四川省高速公路网规划（</w:t>
      </w:r>
      <w:r>
        <w:t>2019—2035</w:t>
      </w:r>
      <w:r>
        <w:rPr>
          <w:rFonts w:hint="eastAsia"/>
        </w:rPr>
        <w:t>年）》；</w:t>
      </w:r>
    </w:p>
    <w:p>
      <w:pPr>
        <w:spacing w:before="156" w:after="156"/>
        <w:ind w:firstLine="640"/>
      </w:pPr>
      <w:r>
        <w:t>21.</w:t>
      </w:r>
      <w:r>
        <w:rPr>
          <w:rFonts w:hint="eastAsia"/>
        </w:rPr>
        <w:t>《四川省普通省道网布局规划（</w:t>
      </w:r>
      <w:r>
        <w:t>2014—2030</w:t>
      </w:r>
      <w:r>
        <w:rPr>
          <w:rFonts w:hint="eastAsia"/>
        </w:rPr>
        <w:t>年）》；</w:t>
      </w:r>
    </w:p>
    <w:p>
      <w:pPr>
        <w:pStyle w:val="5"/>
        <w:ind w:firstLine="640"/>
        <w:rPr>
          <w:rFonts w:eastAsia="仿宋_GB2312"/>
          <w:sz w:val="32"/>
        </w:rPr>
      </w:pPr>
      <w:r>
        <w:rPr>
          <w:rFonts w:eastAsia="仿宋_GB2312"/>
          <w:sz w:val="32"/>
        </w:rPr>
        <w:t>22.</w:t>
      </w:r>
      <w:r>
        <w:rPr>
          <w:rFonts w:hint="eastAsia" w:eastAsia="仿宋_GB2312"/>
          <w:sz w:val="32"/>
        </w:rPr>
        <w:t>《</w:t>
      </w:r>
      <w:r>
        <w:fldChar w:fldCharType="begin"/>
      </w:r>
      <w:r>
        <w:instrText xml:space="preserve">HYPERLINK "http://www.gov.cn/xinwen/2019-08/15/5421375/files/345c17c4bbaf4606ac36f49b149cbaec.pdf" \t "http://www.gov.cn/xinwen/2019-08/15/_blank"</w:instrText>
      </w:r>
      <w:r>
        <w:fldChar w:fldCharType="separate"/>
      </w:r>
      <w:r>
        <w:rPr>
          <w:rFonts w:hint="eastAsia" w:eastAsia="仿宋_GB2312"/>
          <w:sz w:val="32"/>
        </w:rPr>
        <w:t>西部陆海新通道总体规划</w:t>
      </w:r>
      <w:r>
        <w:fldChar w:fldCharType="end"/>
      </w:r>
      <w:r>
        <w:rPr>
          <w:rFonts w:hint="eastAsia" w:eastAsia="仿宋_GB2312"/>
          <w:sz w:val="32"/>
        </w:rPr>
        <w:t>》；</w:t>
      </w:r>
      <w:r>
        <w:rPr>
          <w:rFonts w:eastAsia="仿宋_GB2312"/>
          <w:sz w:val="32"/>
        </w:rPr>
        <w:t xml:space="preserve"> </w:t>
      </w:r>
    </w:p>
    <w:p>
      <w:pPr>
        <w:pStyle w:val="5"/>
        <w:ind w:firstLine="640"/>
        <w:rPr>
          <w:rFonts w:eastAsia="仿宋_GB2312"/>
          <w:sz w:val="32"/>
        </w:rPr>
      </w:pPr>
      <w:r>
        <w:rPr>
          <w:rFonts w:eastAsia="仿宋_GB2312"/>
          <w:sz w:val="32"/>
        </w:rPr>
        <w:t>23.</w:t>
      </w:r>
      <w:r>
        <w:rPr>
          <w:rFonts w:hint="eastAsia" w:eastAsia="仿宋_GB2312"/>
          <w:sz w:val="32"/>
        </w:rPr>
        <w:t>《国家乡村振兴战略规划（</w:t>
      </w:r>
      <w:r>
        <w:rPr>
          <w:rFonts w:eastAsia="仿宋_GB2312"/>
          <w:sz w:val="32"/>
        </w:rPr>
        <w:t>2018-2022</w:t>
      </w:r>
      <w:r>
        <w:rPr>
          <w:rFonts w:hint="eastAsia" w:eastAsia="仿宋_GB2312"/>
          <w:sz w:val="32"/>
        </w:rPr>
        <w:t>年）》；</w:t>
      </w:r>
    </w:p>
    <w:p>
      <w:pPr>
        <w:pStyle w:val="5"/>
        <w:ind w:firstLine="640"/>
        <w:rPr>
          <w:rFonts w:eastAsia="仿宋_GB2312"/>
          <w:sz w:val="32"/>
        </w:rPr>
      </w:pPr>
      <w:r>
        <w:rPr>
          <w:rFonts w:eastAsia="仿宋_GB2312"/>
          <w:sz w:val="32"/>
        </w:rPr>
        <w:t>24.</w:t>
      </w:r>
      <w:r>
        <w:rPr>
          <w:rFonts w:hint="eastAsia" w:eastAsia="仿宋_GB2312"/>
          <w:sz w:val="32"/>
        </w:rPr>
        <w:t>《四川省乡村振兴战略规划（</w:t>
      </w:r>
      <w:r>
        <w:rPr>
          <w:rFonts w:eastAsia="仿宋_GB2312"/>
          <w:sz w:val="32"/>
        </w:rPr>
        <w:t>2018-2022</w:t>
      </w:r>
      <w:r>
        <w:rPr>
          <w:rFonts w:hint="eastAsia" w:eastAsia="仿宋_GB2312"/>
          <w:sz w:val="32"/>
        </w:rPr>
        <w:t>年）》；</w:t>
      </w:r>
    </w:p>
    <w:p>
      <w:pPr>
        <w:ind w:firstLine="640"/>
      </w:pPr>
      <w:r>
        <w:t>25.</w:t>
      </w:r>
      <w:r>
        <w:rPr>
          <w:rFonts w:hint="eastAsia"/>
        </w:rPr>
        <w:t>《广元港总体规划》；</w:t>
      </w:r>
    </w:p>
    <w:p>
      <w:pPr>
        <w:ind w:firstLine="640"/>
      </w:pPr>
      <w:r>
        <w:t>26.</w:t>
      </w:r>
      <w:r>
        <w:rPr>
          <w:rFonts w:hint="eastAsia"/>
        </w:rPr>
        <w:t>《四川省港口集疏运体系布局规划》；</w:t>
      </w:r>
    </w:p>
    <w:p>
      <w:pPr>
        <w:ind w:firstLine="640"/>
      </w:pPr>
      <w:r>
        <w:t>27.</w:t>
      </w:r>
      <w:r>
        <w:rPr>
          <w:rFonts w:hint="eastAsia"/>
        </w:rPr>
        <w:t>《四川省通用机场布局规划（</w:t>
      </w:r>
      <w:r>
        <w:t>2016-2030</w:t>
      </w:r>
      <w:r>
        <w:rPr>
          <w:rFonts w:hint="eastAsia"/>
        </w:rPr>
        <w:t>）》；</w:t>
      </w:r>
    </w:p>
    <w:p>
      <w:pPr>
        <w:ind w:firstLine="640"/>
      </w:pPr>
      <w:r>
        <w:t>28.</w:t>
      </w:r>
      <w:r>
        <w:rPr>
          <w:rFonts w:hint="eastAsia"/>
        </w:rPr>
        <w:t>《中长期铁路网规划》；</w:t>
      </w:r>
    </w:p>
    <w:p>
      <w:pPr>
        <w:ind w:firstLine="640"/>
        <w:sectPr>
          <w:headerReference r:id="rId10" w:type="default"/>
          <w:footerReference r:id="rId11" w:type="default"/>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435" w:charSpace="0"/>
        </w:sectPr>
      </w:pPr>
      <w:r>
        <w:t xml:space="preserve">29. </w:t>
      </w:r>
      <w:r>
        <w:rPr>
          <w:rFonts w:hint="eastAsia"/>
        </w:rPr>
        <w:t>其他相关规划和文件。</w:t>
      </w:r>
    </w:p>
    <w:p>
      <w:pPr>
        <w:pStyle w:val="3"/>
        <w:adjustRightInd w:val="0"/>
        <w:snapToGrid w:val="0"/>
        <w:spacing w:before="435" w:beforeLines="100" w:after="435" w:afterLines="100"/>
        <w:ind w:firstLine="0" w:firstLineChars="0"/>
        <w:jc w:val="center"/>
        <w:rPr>
          <w:rFonts w:hint="eastAsia" w:ascii="方正小标宋简体" w:hAnsi="方正小标宋简体" w:eastAsia="方正小标宋简体" w:cs="方正小标宋简体"/>
          <w:sz w:val="44"/>
        </w:rPr>
      </w:pPr>
      <w:bookmarkStart w:id="30" w:name="_Toc7483"/>
      <w:bookmarkStart w:id="31" w:name="_Toc61624420"/>
      <w:r>
        <w:rPr>
          <w:rFonts w:hint="eastAsia" w:ascii="方正小标宋简体" w:hAnsi="方正小标宋简体" w:eastAsia="方正小标宋简体" w:cs="方正小标宋简体"/>
          <w:sz w:val="44"/>
        </w:rPr>
        <w:t>第2章 形势要求</w:t>
      </w:r>
      <w:bookmarkEnd w:id="30"/>
      <w:bookmarkEnd w:id="31"/>
    </w:p>
    <w:p>
      <w:pPr>
        <w:pStyle w:val="2"/>
        <w:spacing w:before="156" w:after="156" w:line="416" w:lineRule="auto"/>
        <w:ind w:firstLine="0" w:firstLineChars="0"/>
        <w:jc w:val="left"/>
        <w:rPr>
          <w:rFonts w:ascii="Times New Roman" w:hAnsi="Times New Roman" w:eastAsia="黑体"/>
          <w:sz w:val="36"/>
          <w:szCs w:val="36"/>
        </w:rPr>
      </w:pPr>
      <w:bookmarkStart w:id="32" w:name="_Toc3698"/>
      <w:bookmarkStart w:id="33" w:name="_Toc61624421"/>
      <w:bookmarkStart w:id="34" w:name="_Toc32265"/>
      <w:r>
        <w:rPr>
          <w:rFonts w:ascii="Times New Roman" w:hAnsi="Times New Roman" w:eastAsia="黑体"/>
          <w:sz w:val="36"/>
          <w:szCs w:val="36"/>
        </w:rPr>
        <w:t xml:space="preserve">2.1 </w:t>
      </w:r>
      <w:r>
        <w:rPr>
          <w:rFonts w:hint="eastAsia" w:ascii="Times New Roman" w:hAnsi="Times New Roman" w:eastAsia="黑体"/>
          <w:sz w:val="36"/>
          <w:szCs w:val="36"/>
        </w:rPr>
        <w:t>发展形势</w:t>
      </w:r>
      <w:bookmarkEnd w:id="32"/>
      <w:bookmarkEnd w:id="33"/>
      <w:bookmarkEnd w:id="34"/>
    </w:p>
    <w:p>
      <w:pPr>
        <w:spacing w:line="600" w:lineRule="exact"/>
        <w:ind w:firstLine="640"/>
        <w:rPr>
          <w:szCs w:val="32"/>
        </w:rPr>
      </w:pPr>
      <w:r>
        <w:rPr>
          <w:rFonts w:hint="eastAsia"/>
          <w:szCs w:val="32"/>
        </w:rPr>
        <w:t>党的十九大提出建设交通强国，是以习近平同志为核心的党中央立足国情、着眼全局、面向未来作出的重大战略决策，是新时代做好交通工作的总抓手。</w:t>
      </w:r>
      <w:r>
        <w:rPr>
          <w:szCs w:val="32"/>
        </w:rPr>
        <w:t>2019</w:t>
      </w:r>
      <w:r>
        <w:rPr>
          <w:rFonts w:hint="eastAsia"/>
          <w:szCs w:val="32"/>
        </w:rPr>
        <w:t>年</w:t>
      </w:r>
      <w:r>
        <w:rPr>
          <w:szCs w:val="32"/>
        </w:rPr>
        <w:t>9</w:t>
      </w:r>
      <w:r>
        <w:rPr>
          <w:rFonts w:hint="eastAsia"/>
          <w:szCs w:val="32"/>
        </w:rPr>
        <w:t>月，党中央、国务院印发了《交通强国建设纲要》，为建设交通强国提供了顶层设计和系统谋划。为深入贯彻党中央、国务院的决策部署，进一步提升四川在全国交通发展格局中的战略位势，</w:t>
      </w:r>
      <w:r>
        <w:rPr>
          <w:szCs w:val="32"/>
        </w:rPr>
        <w:t>2020</w:t>
      </w:r>
      <w:r>
        <w:rPr>
          <w:rFonts w:hint="eastAsia"/>
          <w:szCs w:val="32"/>
        </w:rPr>
        <w:t>年</w:t>
      </w:r>
      <w:r>
        <w:rPr>
          <w:szCs w:val="32"/>
        </w:rPr>
        <w:t>8</w:t>
      </w:r>
      <w:r>
        <w:rPr>
          <w:rFonts w:hint="eastAsia"/>
          <w:szCs w:val="32"/>
        </w:rPr>
        <w:t>月，四川省委、省人民政府印发了《关于贯彻落实</w:t>
      </w:r>
      <w:r>
        <w:rPr>
          <w:szCs w:val="32"/>
        </w:rPr>
        <w:t>&lt;</w:t>
      </w:r>
      <w:r>
        <w:rPr>
          <w:rFonts w:hint="eastAsia"/>
          <w:szCs w:val="32"/>
        </w:rPr>
        <w:t>交通强国建设纲要</w:t>
      </w:r>
      <w:r>
        <w:rPr>
          <w:szCs w:val="32"/>
        </w:rPr>
        <w:t xml:space="preserve">&gt; </w:t>
      </w:r>
      <w:r>
        <w:rPr>
          <w:rFonts w:hint="eastAsia"/>
          <w:szCs w:val="32"/>
        </w:rPr>
        <w:t>加快建设交通强省的实施意见》。按照交通强国、交通强省建设最新要求，结合经济社会发展需要，交通运输要为建成现代化产城一体城乡融合绿色发展的昭化新区提供更有力的支撑和引导，迫切需要加快推进交通基础设施建设。</w:t>
      </w:r>
    </w:p>
    <w:p>
      <w:pPr>
        <w:spacing w:line="600" w:lineRule="exact"/>
        <w:ind w:firstLine="640"/>
        <w:rPr>
          <w:szCs w:val="32"/>
        </w:rPr>
      </w:pPr>
      <w:r>
        <w:rPr>
          <w:rFonts w:hint="eastAsia"/>
          <w:szCs w:val="32"/>
        </w:rPr>
        <w:t>从国家层面看，当前我国经济已由高速增长阶段转向全面推进高质量发展阶段，党的十九大报告提出建设现代化经济体系是跨越关口的迫切要求和经济发展的战略目标，必须以供给侧结构性改革为主线，推动经济发展、质量变革、效率变革、动力变革，提高全要素生产率。国家加快实施新一轮西部大开发、乡村振兴、交通强国等发展战略，成渝地区双城经济圈建设上升为国家重大区域战略，并成为实施长江经济带和一带一路战略的重要组成部分，将有利于充分发挥四川沟通西南西北、连接国内国外的独特区位优势，助推优化交通基础设施布局，强化与周边地区互联互通，有效引领中国西部地区发展、拓展全国经济增长新空间，融入全方位对外开放发展新格局。</w:t>
      </w:r>
    </w:p>
    <w:p>
      <w:pPr>
        <w:spacing w:line="600" w:lineRule="exact"/>
        <w:ind w:firstLine="640"/>
        <w:rPr>
          <w:szCs w:val="32"/>
        </w:rPr>
      </w:pPr>
      <w:r>
        <w:rPr>
          <w:rFonts w:hint="eastAsia"/>
          <w:szCs w:val="32"/>
        </w:rPr>
        <w:t>从全省层面看，省委十一届三次全会作出全面推动高质量发展的决定，提出必须全面落实新发展理念，实施</w:t>
      </w:r>
      <w:r>
        <w:rPr>
          <w:szCs w:val="32"/>
        </w:rPr>
        <w:t>“</w:t>
      </w:r>
      <w:r>
        <w:rPr>
          <w:rFonts w:hint="eastAsia"/>
          <w:szCs w:val="32"/>
        </w:rPr>
        <w:t>一干多支</w:t>
      </w:r>
      <w:r>
        <w:rPr>
          <w:szCs w:val="32"/>
        </w:rPr>
        <w:t>”</w:t>
      </w:r>
      <w:r>
        <w:rPr>
          <w:rFonts w:hint="eastAsia"/>
          <w:szCs w:val="32"/>
        </w:rPr>
        <w:t>发展战略，对内形成</w:t>
      </w:r>
      <w:r>
        <w:rPr>
          <w:szCs w:val="32"/>
        </w:rPr>
        <w:t>“</w:t>
      </w:r>
      <w:r>
        <w:rPr>
          <w:rFonts w:hint="eastAsia"/>
          <w:szCs w:val="32"/>
        </w:rPr>
        <w:t>一干多支、五区协同</w:t>
      </w:r>
      <w:r>
        <w:rPr>
          <w:szCs w:val="32"/>
        </w:rPr>
        <w:t>”</w:t>
      </w:r>
      <w:r>
        <w:rPr>
          <w:rFonts w:hint="eastAsia"/>
          <w:szCs w:val="32"/>
        </w:rPr>
        <w:t>区域协调发展格局，对外形成</w:t>
      </w:r>
      <w:r>
        <w:rPr>
          <w:szCs w:val="32"/>
        </w:rPr>
        <w:t>“</w:t>
      </w:r>
      <w:r>
        <w:rPr>
          <w:rFonts w:hint="eastAsia"/>
          <w:szCs w:val="32"/>
        </w:rPr>
        <w:t>四向拓展、全域开放</w:t>
      </w:r>
      <w:r>
        <w:rPr>
          <w:szCs w:val="32"/>
        </w:rPr>
        <w:t>”</w:t>
      </w:r>
      <w:r>
        <w:rPr>
          <w:rFonts w:hint="eastAsia"/>
          <w:szCs w:val="32"/>
        </w:rPr>
        <w:t>立体全面开放格局，奠定经济强省坚实基础。十一届三次全会提出将聚力提升以综合交通为重点的现代基础设施体系，壮大区域发展重要支点，支持广元建设川陕甘结合部区域中心城市和北向东出桥头堡；十一届七次全会提出推动成渝地区双城经济圈建设，支持广元建设成渝地区北向重要门户枢纽、成渝地区绿色产品供给地和产业协作配套基地，将有利于广元进一步完善交通基础设施网络、构建现代综合交通运输体系，加快融入成渝地区双城经济圈交通运输一体化发展。</w:t>
      </w:r>
      <w:r>
        <w:rPr>
          <w:szCs w:val="32"/>
        </w:rPr>
        <w:t xml:space="preserve"> </w:t>
      </w:r>
    </w:p>
    <w:p>
      <w:pPr>
        <w:spacing w:line="600" w:lineRule="exact"/>
        <w:ind w:firstLine="640"/>
        <w:rPr>
          <w:szCs w:val="32"/>
        </w:rPr>
      </w:pPr>
      <w:r>
        <w:rPr>
          <w:rFonts w:hint="eastAsia"/>
          <w:szCs w:val="32"/>
        </w:rPr>
        <w:t>从全市层面看，</w:t>
      </w:r>
      <w:bookmarkStart w:id="35" w:name="_Hlk89365913"/>
      <w:r>
        <w:rPr>
          <w:rFonts w:hint="eastAsia"/>
          <w:szCs w:val="32"/>
        </w:rPr>
        <w:t>广元市第八次代表大会强调贯彻省委“一干多支、五区协同”“四向拓展、全域开放”战略部署，立足新发展阶段、贯彻新发展理念、融入新发展格局，进一步拓通道、密网络、强设施、畅循环，构建现代化路网体系、物流体系、城镇体系，大力发展枢纽经济，</w:t>
      </w:r>
      <w:bookmarkEnd w:id="35"/>
      <w:r>
        <w:rPr>
          <w:rFonts w:hint="eastAsia"/>
          <w:szCs w:val="32"/>
        </w:rPr>
        <w:t>大力推进通江达海、连通南北、控带西部、融入亚欧的全国性综合交通枢纽基本形成，国家物流枢纽承载城市加快建设，成渝地区北向重要门户枢纽地位进一步彰显，有利于昭化依托自身地处川陕甘结合部的区位优势，积极推进交通基础设施共建共享，尽快完善高速公路、高速铁路</w:t>
      </w:r>
      <w:r>
        <w:rPr>
          <w:szCs w:val="32"/>
        </w:rPr>
        <w:t>“</w:t>
      </w:r>
      <w:r>
        <w:rPr>
          <w:rFonts w:hint="eastAsia"/>
          <w:szCs w:val="32"/>
        </w:rPr>
        <w:t>大动脉</w:t>
      </w:r>
      <w:r>
        <w:rPr>
          <w:szCs w:val="32"/>
        </w:rPr>
        <w:t>”</w:t>
      </w:r>
      <w:r>
        <w:rPr>
          <w:rFonts w:hint="eastAsia"/>
          <w:szCs w:val="32"/>
        </w:rPr>
        <w:t>，进一步联通乡道、村道等</w:t>
      </w:r>
      <w:r>
        <w:rPr>
          <w:szCs w:val="32"/>
        </w:rPr>
        <w:t>“</w:t>
      </w:r>
      <w:r>
        <w:rPr>
          <w:rFonts w:hint="eastAsia"/>
          <w:szCs w:val="32"/>
        </w:rPr>
        <w:t>毛细血管</w:t>
      </w:r>
      <w:r>
        <w:rPr>
          <w:szCs w:val="32"/>
        </w:rPr>
        <w:t>”</w:t>
      </w:r>
      <w:r>
        <w:rPr>
          <w:rFonts w:hint="eastAsia"/>
          <w:szCs w:val="32"/>
        </w:rPr>
        <w:t>，提高交通路网互联互通水平，加快对接</w:t>
      </w:r>
      <w:r>
        <w:rPr>
          <w:szCs w:val="32"/>
        </w:rPr>
        <w:t>“</w:t>
      </w:r>
      <w:r>
        <w:rPr>
          <w:rFonts w:hint="eastAsia"/>
          <w:szCs w:val="32"/>
        </w:rPr>
        <w:t>一干</w:t>
      </w:r>
      <w:r>
        <w:rPr>
          <w:szCs w:val="32"/>
        </w:rPr>
        <w:t>”</w:t>
      </w:r>
      <w:r>
        <w:rPr>
          <w:rFonts w:hint="eastAsia"/>
          <w:szCs w:val="32"/>
        </w:rPr>
        <w:t>、融入</w:t>
      </w:r>
      <w:r>
        <w:rPr>
          <w:szCs w:val="32"/>
        </w:rPr>
        <w:t>“</w:t>
      </w:r>
      <w:r>
        <w:rPr>
          <w:rFonts w:hint="eastAsia"/>
          <w:szCs w:val="32"/>
        </w:rPr>
        <w:t>一圈</w:t>
      </w:r>
      <w:r>
        <w:rPr>
          <w:szCs w:val="32"/>
        </w:rPr>
        <w:t>”</w:t>
      </w:r>
      <w:r>
        <w:rPr>
          <w:rFonts w:hint="eastAsia"/>
          <w:szCs w:val="32"/>
        </w:rPr>
        <w:t>、助力</w:t>
      </w:r>
      <w:r>
        <w:rPr>
          <w:szCs w:val="32"/>
        </w:rPr>
        <w:t>“</w:t>
      </w:r>
      <w:r>
        <w:rPr>
          <w:rFonts w:hint="eastAsia"/>
          <w:szCs w:val="32"/>
        </w:rPr>
        <w:t>一市</w:t>
      </w:r>
      <w:r>
        <w:rPr>
          <w:szCs w:val="32"/>
        </w:rPr>
        <w:t>”</w:t>
      </w:r>
      <w:r>
        <w:rPr>
          <w:rFonts w:hint="eastAsia"/>
          <w:szCs w:val="32"/>
        </w:rPr>
        <w:t>共同发展。</w:t>
      </w:r>
    </w:p>
    <w:p>
      <w:pPr>
        <w:pStyle w:val="2"/>
        <w:spacing w:before="156" w:after="156" w:line="416" w:lineRule="auto"/>
        <w:ind w:firstLine="0" w:firstLineChars="0"/>
        <w:jc w:val="left"/>
        <w:rPr>
          <w:rFonts w:ascii="Times New Roman" w:hAnsi="Times New Roman" w:eastAsia="黑体"/>
          <w:sz w:val="36"/>
          <w:szCs w:val="36"/>
        </w:rPr>
      </w:pPr>
      <w:bookmarkStart w:id="36" w:name="_Toc61624422"/>
      <w:bookmarkStart w:id="37" w:name="_Toc3594"/>
      <w:r>
        <w:rPr>
          <w:rFonts w:ascii="Times New Roman" w:hAnsi="Times New Roman" w:eastAsia="黑体"/>
          <w:sz w:val="36"/>
          <w:szCs w:val="36"/>
        </w:rPr>
        <w:t xml:space="preserve">2.2 </w:t>
      </w:r>
      <w:r>
        <w:rPr>
          <w:rFonts w:hint="eastAsia" w:ascii="Times New Roman" w:hAnsi="Times New Roman" w:eastAsia="黑体"/>
          <w:sz w:val="36"/>
          <w:szCs w:val="36"/>
        </w:rPr>
        <w:t>发展要求</w:t>
      </w:r>
      <w:bookmarkEnd w:id="36"/>
      <w:bookmarkEnd w:id="37"/>
    </w:p>
    <w:p>
      <w:pPr>
        <w:spacing w:line="600" w:lineRule="exact"/>
        <w:ind w:firstLine="640"/>
        <w:rPr>
          <w:szCs w:val="32"/>
        </w:rPr>
      </w:pPr>
      <w:r>
        <w:rPr>
          <w:rFonts w:hint="eastAsia"/>
          <w:szCs w:val="32"/>
        </w:rPr>
        <w:t>抢抓机遇、加快发展，全面提升昭化在全市乃至全省区域发展格局中的优势地位，进一步适应经济社会发展新形势，充分发挥好交通作为发展先行官的重大使命，对今后一个时期昭化的综合交通运输发展提出新的更高要求。</w:t>
      </w:r>
    </w:p>
    <w:p>
      <w:pPr>
        <w:spacing w:line="600" w:lineRule="exact"/>
        <w:ind w:firstLine="643"/>
        <w:rPr>
          <w:rFonts w:eastAsia="楷体_GB2312"/>
          <w:b/>
          <w:szCs w:val="32"/>
        </w:rPr>
      </w:pPr>
      <w:r>
        <w:rPr>
          <w:rFonts w:eastAsia="楷体_GB2312"/>
          <w:b/>
          <w:szCs w:val="32"/>
        </w:rPr>
        <w:t>1.</w:t>
      </w:r>
      <w:r>
        <w:rPr>
          <w:rFonts w:hint="eastAsia" w:eastAsia="楷体_GB2312"/>
          <w:b/>
          <w:szCs w:val="32"/>
        </w:rPr>
        <w:t>贯彻落实新经济发展战略，需要重新审定发展定位</w:t>
      </w:r>
    </w:p>
    <w:p>
      <w:pPr>
        <w:spacing w:line="600" w:lineRule="exact"/>
        <w:ind w:firstLine="640"/>
        <w:rPr>
          <w:szCs w:val="32"/>
        </w:rPr>
      </w:pPr>
      <w:r>
        <w:rPr>
          <w:rFonts w:hint="eastAsia"/>
          <w:szCs w:val="32"/>
        </w:rPr>
        <w:t>在国家整体经济增长放缓、全球需求市场萎缩、经济社会发展不确定性增加等新形势下，</w:t>
      </w:r>
      <w:r>
        <w:rPr>
          <w:szCs w:val="32"/>
        </w:rPr>
        <w:t>2020</w:t>
      </w:r>
      <w:r>
        <w:rPr>
          <w:rFonts w:hint="eastAsia"/>
          <w:szCs w:val="32"/>
        </w:rPr>
        <w:t>年</w:t>
      </w:r>
      <w:r>
        <w:rPr>
          <w:szCs w:val="32"/>
        </w:rPr>
        <w:t>7</w:t>
      </w:r>
      <w:r>
        <w:rPr>
          <w:rFonts w:hint="eastAsia"/>
          <w:szCs w:val="32"/>
        </w:rPr>
        <w:t>月召开的中央政治局会议强调，要加快形成以国内大循环为主体、国内国际双循环相互促进的新发展格局，助力我国经济社会可持续健康增长。目前，成渝地区双城经济圈建设上升为国家发展战略为新时代成渝地区高质量发展擘画了美好蓝图、提供了根本遵循；省委十一届三次全会支持广元加快建设川陕甘结合部区域中心城市和四川北向东出桥头堡，为加强广元与成渝地区双核的功能协作注入了新的强劲动力；广元市第八次代表大会要求进一步拓通道、密网络、强设施、畅循环，构建现代化路网体系、物流体系、城镇体系，大力发展枢纽经济，为昭化交通运输发展指明了前进方向、带来了重大机遇。昭化作为连接我国西南、西北的重要交通节点，是西部地区打通东向出川通江达海大通道、积极融入成渝地区双城经济圈的必经之地，是全市交通基础设施的重要承载地，新的发展战略对昭化交通运输发展提出了更高要求，迫切需要站在新的历史起点，以更高的基点、更宽的视野、更大的气魄重新审视、调整交通发展定位、目标和战略，通过对各种交通运输方式的有效衔接和系统整合，构建更加完善的综合交通运输体系，为经济社会发展提供有力支撑。</w:t>
      </w:r>
    </w:p>
    <w:p>
      <w:pPr>
        <w:spacing w:line="600" w:lineRule="exact"/>
        <w:ind w:firstLine="643"/>
        <w:rPr>
          <w:rFonts w:eastAsia="楷体_GB2312"/>
          <w:b/>
          <w:szCs w:val="32"/>
        </w:rPr>
      </w:pPr>
      <w:r>
        <w:rPr>
          <w:rFonts w:eastAsia="楷体_GB2312"/>
          <w:b/>
          <w:szCs w:val="32"/>
        </w:rPr>
        <w:t>2.</w:t>
      </w:r>
      <w:r>
        <w:rPr>
          <w:rFonts w:hint="eastAsia" w:eastAsia="楷体_GB2312"/>
          <w:b/>
          <w:szCs w:val="32"/>
        </w:rPr>
        <w:t>充分发挥支撑引领作用，需要完善骨架交通网络</w:t>
      </w:r>
    </w:p>
    <w:p>
      <w:pPr>
        <w:spacing w:line="600" w:lineRule="exact"/>
        <w:ind w:firstLine="640"/>
        <w:rPr>
          <w:szCs w:val="32"/>
        </w:rPr>
      </w:pPr>
      <w:r>
        <w:rPr>
          <w:rFonts w:hint="eastAsia"/>
          <w:szCs w:val="32"/>
        </w:rPr>
        <w:t>长期以来，交通基础设施建设的滞后一直是制约经济社会发展的关键因素，不论是交通干线的辐射范围、通畅程度，还是交通枢纽的完善程度，都还不能完全满足未来经济社会发展要求和巨大的交通运输需求。适应当前经济发展新格局，无论从支撑需求升级，还是从拉动经济增长的角度，</w:t>
      </w:r>
      <w:r>
        <w:rPr>
          <w:szCs w:val="32"/>
        </w:rPr>
        <w:t>“</w:t>
      </w:r>
      <w:r>
        <w:rPr>
          <w:rFonts w:hint="eastAsia"/>
          <w:szCs w:val="32"/>
        </w:rPr>
        <w:t>十四五”时期，昭化交通都需要按照适度超前、有效拉动、精准发力的原则，保持合理投资增速和一定的发展规模与速度，主动发挥稳增长作用，全力巩固稳中向好的发展态势，提升交通在扩大供给与需求、促进投资与消费的双重功效，继续大力推进快速铁路、高速公路、机场等重大交通基础设施建设，依托外围大通道实现借道发展，完善对外综合运输大通道，主动融入西部陆海新通道、融入京津冀、长三角、粤港澳大湾区，以大通道促进大发展，发展通道经济，推动融合发展；不断推动加快重要交通枢纽节点建设，进一步改善对内对外的交通条件，形成内联外通的骨架交通网络，不断提高区域之间的通道能力，增强交通运输对昭化经济社会快速发展的支撑和引导作用。</w:t>
      </w:r>
    </w:p>
    <w:p>
      <w:pPr>
        <w:spacing w:line="600" w:lineRule="exact"/>
        <w:ind w:firstLine="643"/>
        <w:rPr>
          <w:rFonts w:eastAsia="楷体_GB2312"/>
          <w:b/>
          <w:szCs w:val="32"/>
        </w:rPr>
      </w:pPr>
      <w:r>
        <w:rPr>
          <w:rFonts w:eastAsia="楷体_GB2312"/>
          <w:b/>
          <w:szCs w:val="32"/>
        </w:rPr>
        <w:t>3.</w:t>
      </w:r>
      <w:r>
        <w:rPr>
          <w:rFonts w:hint="eastAsia" w:eastAsia="楷体_GB2312"/>
          <w:b/>
          <w:szCs w:val="32"/>
        </w:rPr>
        <w:t>加快建设人民满意交通，需要提升运输服务水平</w:t>
      </w:r>
    </w:p>
    <w:p>
      <w:pPr>
        <w:spacing w:line="600" w:lineRule="exact"/>
        <w:ind w:firstLine="640"/>
        <w:rPr>
          <w:szCs w:val="32"/>
        </w:rPr>
      </w:pPr>
      <w:r>
        <w:rPr>
          <w:rFonts w:hint="eastAsia"/>
          <w:szCs w:val="32"/>
        </w:rPr>
        <w:t>随着居民收入和生活水平的不断提高，城乡居民多样化出行需求迅速增长，客运的安全、舒适、便捷等服务要求更加突出；另一方面，随着社会需求的进一步扩大和产业结构、消费结构的优化升级，货运的经济、快捷、安全、专业化等要求越来越高。满足人民日益增长的美好生活需要，使人民对交通的获得感更加充实、幸福感更可持续、安全感更有保障，需要不断优化和完善交通基础设施网络，加强重要经济生产生活节点与机场、车站、码头等交通集散地的联系，优化货运主通道结构，大力发展集约化物流，加快创新运输模式和产品，完善旅客联程运输系统，提高综合运输服务质量和效率，进一步增强交通运输总体供给能力和服务水平，全力支撑昭化建成中国西部（广元）重要的绿色家居生产基地、川陕甘区域性商贸物流基地、全市重要的绿色食品加工基地、国家级旅游度假区和全域旅游示范区。</w:t>
      </w:r>
    </w:p>
    <w:p>
      <w:pPr>
        <w:ind w:firstLine="643"/>
        <w:rPr>
          <w:rFonts w:eastAsia="楷体_GB2312"/>
          <w:b/>
          <w:szCs w:val="32"/>
        </w:rPr>
      </w:pPr>
      <w:r>
        <w:rPr>
          <w:rFonts w:eastAsia="楷体_GB2312"/>
          <w:b/>
          <w:szCs w:val="32"/>
        </w:rPr>
        <w:t>4.</w:t>
      </w:r>
      <w:r>
        <w:rPr>
          <w:rFonts w:hint="eastAsia" w:eastAsia="楷体_GB2312"/>
          <w:b/>
          <w:szCs w:val="32"/>
        </w:rPr>
        <w:t>助推乡村振兴战略实施，需要推进城乡交通一体化</w:t>
      </w:r>
    </w:p>
    <w:p>
      <w:pPr>
        <w:ind w:firstLine="640"/>
        <w:rPr>
          <w:szCs w:val="32"/>
        </w:rPr>
      </w:pPr>
      <w:r>
        <w:rPr>
          <w:rFonts w:hint="eastAsia"/>
          <w:szCs w:val="32"/>
        </w:rPr>
        <w:t>在完成全面建成小康任务的发展基础上，城乡发展的不协调仍然是昭化经济社会发展面临的重要问题，城乡融合发展的交通基础条件仍显薄弱。顺畅、便捷、高效、城乡一体的交通运输网络是促进昭化区经济协调发展的基础和支撑，以民生幸福为根本，坚持生产空间、生活空间、生态空间</w:t>
      </w:r>
      <w:r>
        <w:rPr>
          <w:szCs w:val="32"/>
        </w:rPr>
        <w:t>“</w:t>
      </w:r>
      <w:r>
        <w:rPr>
          <w:rFonts w:hint="eastAsia"/>
          <w:szCs w:val="32"/>
        </w:rPr>
        <w:t>三生合一</w:t>
      </w:r>
      <w:r>
        <w:rPr>
          <w:szCs w:val="32"/>
        </w:rPr>
        <w:t>”</w:t>
      </w:r>
      <w:r>
        <w:rPr>
          <w:rFonts w:hint="eastAsia"/>
          <w:szCs w:val="32"/>
        </w:rPr>
        <w:t>，建设幸福城市、推进乡村振兴，打造幸福和谐美丽新农村，需要进一步快推进重要干线公路提档升级，着力补齐农村公路短板，提升城乡之间、乡镇间、乡镇内连通水平，加强中心城区与乡镇的连接，充分发挥其辐射带动作用，支撑农业农村发展；同时，加快建设城乡一体化的客货运输网络，进一步完善农村公路，适当提高农村公路的道路等级和通达深度，适度发展农村客运，推进基本公共服务均等化，充分发挥交通运输对经济社会发展的先行引领作用。</w:t>
      </w:r>
    </w:p>
    <w:p>
      <w:pPr>
        <w:ind w:firstLine="643"/>
        <w:rPr>
          <w:rFonts w:eastAsia="楷体_GB2312"/>
          <w:b/>
          <w:szCs w:val="32"/>
        </w:rPr>
      </w:pPr>
      <w:r>
        <w:rPr>
          <w:rFonts w:eastAsia="楷体_GB2312"/>
          <w:b/>
          <w:szCs w:val="32"/>
        </w:rPr>
        <w:t>5.</w:t>
      </w:r>
      <w:r>
        <w:rPr>
          <w:rFonts w:hint="eastAsia" w:eastAsia="楷体_GB2312"/>
          <w:b/>
          <w:szCs w:val="32"/>
        </w:rPr>
        <w:t>注重交通生态文明建设，需要走可持续发展的道路</w:t>
      </w:r>
    </w:p>
    <w:p>
      <w:pPr>
        <w:ind w:firstLine="640"/>
        <w:rPr>
          <w:szCs w:val="32"/>
        </w:rPr>
      </w:pPr>
      <w:r>
        <w:rPr>
          <w:rFonts w:hint="eastAsia"/>
          <w:szCs w:val="32"/>
        </w:rPr>
        <w:t>绿水青山就是金山银山。当前，昭化正处于加快转变经济发展方式的攻坚时期，全力培育绿色产业，持续推进传统产业绿色化改造，加快形成资源消耗低、环境污染少、投入产出高的产业结构和生产方式要求大力发展绿色交通。一方面在加快交通基础设施建设过程中，把节约资源和保护环境贯穿于交通基础设施的设计、建设的全过程，注重对国土空间的集约利用，保护自然环境，特别是加强生态敏感区、自然保护区、重点流域、天然林保护区的生态环境保护；另一方面要大力发展综合交通体系，利用多式联运和甩挂运输，充分发挥多种运输方式的整体优势和组合效率，提高交通发展的集约性、环保性和安全性，走可持续发展道路，促进经济、社会、自然和谐发展。</w:t>
      </w:r>
    </w:p>
    <w:p>
      <w:pPr>
        <w:pStyle w:val="2"/>
        <w:spacing w:before="156" w:after="156" w:line="416" w:lineRule="auto"/>
        <w:ind w:firstLine="0" w:firstLineChars="0"/>
        <w:jc w:val="left"/>
        <w:rPr>
          <w:rFonts w:ascii="Times New Roman" w:hAnsi="Times New Roman" w:eastAsia="黑体"/>
          <w:sz w:val="36"/>
          <w:szCs w:val="36"/>
        </w:rPr>
      </w:pPr>
      <w:bookmarkStart w:id="38" w:name="_Toc49165126"/>
      <w:bookmarkStart w:id="39" w:name="_Toc18358"/>
      <w:bookmarkStart w:id="40" w:name="_Toc61624423"/>
      <w:r>
        <w:rPr>
          <w:rFonts w:ascii="Times New Roman" w:hAnsi="Times New Roman" w:eastAsia="黑体"/>
          <w:sz w:val="36"/>
          <w:szCs w:val="36"/>
        </w:rPr>
        <w:t xml:space="preserve">2.3 </w:t>
      </w:r>
      <w:bookmarkEnd w:id="38"/>
      <w:r>
        <w:rPr>
          <w:rFonts w:hint="eastAsia" w:ascii="Times New Roman" w:hAnsi="Times New Roman" w:eastAsia="黑体"/>
          <w:sz w:val="36"/>
          <w:szCs w:val="36"/>
        </w:rPr>
        <w:t>发展阶段</w:t>
      </w:r>
      <w:bookmarkEnd w:id="39"/>
      <w:bookmarkEnd w:id="40"/>
    </w:p>
    <w:p>
      <w:pPr>
        <w:ind w:firstLine="424" w:firstLineChars="202"/>
        <w:rPr>
          <w:szCs w:val="32"/>
        </w:rPr>
      </w:pPr>
      <w:r>
        <w:rPr>
          <w:rFonts w:hint="eastAsia"/>
          <w:szCs w:val="32"/>
        </w:rPr>
        <w:t>从交通运输行业自身实际看，昭化区交通运输行业发展取得显著成绩，</w:t>
      </w:r>
      <w:bookmarkStart w:id="41" w:name="_Hlk60163351"/>
      <w:r>
        <w:rPr>
          <w:rFonts w:hint="eastAsia"/>
          <w:szCs w:val="32"/>
        </w:rPr>
        <w:t>交通基础设施建设进程不断加快，总体仍处于基础设施大规模集中建设阶段，并正在进入加快构建综合交通运输体系、努力促进交通运输全面发展的转型阶段，交通运输发展将呈现出新的趋势与特征。</w:t>
      </w:r>
    </w:p>
    <w:bookmarkEnd w:id="41"/>
    <w:p>
      <w:pPr>
        <w:ind w:firstLine="424" w:firstLineChars="202"/>
        <w:rPr>
          <w:rFonts w:eastAsia="楷体_GB2312"/>
          <w:b/>
          <w:bCs/>
        </w:rPr>
      </w:pPr>
      <w:r>
        <w:rPr>
          <w:rFonts w:eastAsia="楷体_GB2312"/>
          <w:b/>
          <w:bCs/>
        </w:rPr>
        <w:t>1.</w:t>
      </w:r>
      <w:bookmarkStart w:id="42" w:name="_Hlk60163383"/>
      <w:r>
        <w:rPr>
          <w:rFonts w:hint="eastAsia" w:eastAsia="楷体_GB2312"/>
          <w:b/>
          <w:bCs/>
        </w:rPr>
        <w:t>完善交通基础设施网络的加速期</w:t>
      </w:r>
    </w:p>
    <w:bookmarkEnd w:id="42"/>
    <w:p>
      <w:pPr>
        <w:ind w:firstLine="424" w:firstLineChars="202"/>
        <w:rPr>
          <w:kern w:val="0"/>
          <w:szCs w:val="28"/>
        </w:rPr>
      </w:pPr>
      <w:r>
        <w:rPr>
          <w:rFonts w:hint="eastAsia"/>
          <w:kern w:val="0"/>
          <w:szCs w:val="28"/>
        </w:rPr>
        <w:t>当前昭化交通基础设施总量不足、质量不高，仍然是制约昭化经济社会发展的最大瓶颈，</w:t>
      </w:r>
      <w:r>
        <w:rPr>
          <w:kern w:val="0"/>
          <w:szCs w:val="28"/>
        </w:rPr>
        <w:t>“</w:t>
      </w:r>
      <w:r>
        <w:rPr>
          <w:rFonts w:hint="eastAsia"/>
          <w:kern w:val="0"/>
          <w:szCs w:val="28"/>
        </w:rPr>
        <w:t>十四五”时期基础设施建设仍是昭化交通运输发展的重中之重。</w:t>
      </w:r>
      <w:r>
        <w:rPr>
          <w:rFonts w:hint="eastAsia"/>
          <w:szCs w:val="32"/>
        </w:rPr>
        <w:t>昭化交通未来将</w:t>
      </w:r>
      <w:r>
        <w:rPr>
          <w:rFonts w:hint="eastAsia"/>
          <w:kern w:val="0"/>
          <w:szCs w:val="28"/>
        </w:rPr>
        <w:t>继续加大交通基础设施建设力度，提升基础设施供给能力和服务能力，加速完善交通基础设施网络</w:t>
      </w:r>
      <w:r>
        <w:rPr>
          <w:rFonts w:hint="eastAsia"/>
          <w:szCs w:val="32"/>
        </w:rPr>
        <w:t>。</w:t>
      </w:r>
    </w:p>
    <w:p>
      <w:pPr>
        <w:ind w:firstLine="424" w:firstLineChars="202"/>
        <w:rPr>
          <w:rFonts w:eastAsia="楷体_GB2312"/>
          <w:b/>
          <w:bCs/>
        </w:rPr>
      </w:pPr>
      <w:r>
        <w:rPr>
          <w:rFonts w:eastAsia="楷体_GB2312"/>
          <w:b/>
          <w:bCs/>
        </w:rPr>
        <w:t>2.</w:t>
      </w:r>
      <w:bookmarkStart w:id="43" w:name="_Hlk60163413"/>
      <w:r>
        <w:rPr>
          <w:rFonts w:hint="eastAsia" w:eastAsia="楷体_GB2312"/>
          <w:b/>
          <w:bCs/>
        </w:rPr>
        <w:t>巩固交通脱贫攻坚成果的关键期</w:t>
      </w:r>
      <w:bookmarkEnd w:id="43"/>
    </w:p>
    <w:p>
      <w:pPr>
        <w:ind w:firstLine="424" w:firstLineChars="202"/>
        <w:rPr>
          <w:szCs w:val="32"/>
        </w:rPr>
      </w:pPr>
      <w:r>
        <w:rPr>
          <w:rFonts w:hint="eastAsia"/>
          <w:kern w:val="0"/>
          <w:szCs w:val="28"/>
        </w:rPr>
        <w:t>在</w:t>
      </w:r>
      <w:r>
        <w:rPr>
          <w:szCs w:val="32"/>
        </w:rPr>
        <w:t>“</w:t>
      </w:r>
      <w:r>
        <w:rPr>
          <w:rFonts w:hint="eastAsia"/>
          <w:szCs w:val="32"/>
        </w:rPr>
        <w:t>十三五</w:t>
      </w:r>
      <w:r>
        <w:rPr>
          <w:szCs w:val="32"/>
        </w:rPr>
        <w:t>”</w:t>
      </w:r>
      <w:r>
        <w:rPr>
          <w:rFonts w:hint="eastAsia"/>
          <w:kern w:val="0"/>
          <w:szCs w:val="28"/>
        </w:rPr>
        <w:t>全面完成交通脱贫攻坚的基础上，</w:t>
      </w:r>
      <w:r>
        <w:rPr>
          <w:szCs w:val="32"/>
        </w:rPr>
        <w:t>“</w:t>
      </w:r>
      <w:r>
        <w:rPr>
          <w:rFonts w:hint="eastAsia"/>
          <w:szCs w:val="32"/>
        </w:rPr>
        <w:t>十四五”时期仍然是昭化巩固脱贫攻坚成果，打好减贫</w:t>
      </w:r>
      <w:r>
        <w:rPr>
          <w:szCs w:val="32"/>
        </w:rPr>
        <w:t>“</w:t>
      </w:r>
      <w:r>
        <w:rPr>
          <w:rFonts w:hint="eastAsia"/>
          <w:szCs w:val="32"/>
        </w:rPr>
        <w:t>接续战</w:t>
      </w:r>
      <w:r>
        <w:rPr>
          <w:szCs w:val="32"/>
        </w:rPr>
        <w:t>”</w:t>
      </w:r>
      <w:r>
        <w:rPr>
          <w:rFonts w:hint="eastAsia"/>
          <w:szCs w:val="32"/>
        </w:rPr>
        <w:t>的关键时期。昭化交通未来将继续改善贫困地区交通状况，提升交通基本公共服务均等化水平，支撑乡村振兴发展和创建国家脱贫后高质量发展创新改革试验区。</w:t>
      </w:r>
    </w:p>
    <w:p>
      <w:pPr>
        <w:ind w:firstLine="424" w:firstLineChars="202"/>
        <w:rPr>
          <w:rFonts w:eastAsia="楷体_GB2312"/>
          <w:b/>
          <w:bCs/>
        </w:rPr>
      </w:pPr>
      <w:r>
        <w:rPr>
          <w:rFonts w:eastAsia="楷体_GB2312"/>
          <w:b/>
          <w:bCs/>
        </w:rPr>
        <w:t>3.</w:t>
      </w:r>
      <w:bookmarkStart w:id="44" w:name="_Hlk44507474"/>
      <w:r>
        <w:rPr>
          <w:rFonts w:hint="eastAsia" w:eastAsia="楷体_GB2312"/>
          <w:b/>
          <w:bCs/>
        </w:rPr>
        <w:t>推进交通运输高质量发展的起步期</w:t>
      </w:r>
      <w:bookmarkEnd w:id="44"/>
    </w:p>
    <w:p>
      <w:pPr>
        <w:autoSpaceDE w:val="0"/>
        <w:autoSpaceDN w:val="0"/>
        <w:adjustRightInd w:val="0"/>
        <w:ind w:firstLine="640"/>
        <w:rPr>
          <w:kern w:val="0"/>
          <w:szCs w:val="28"/>
        </w:rPr>
      </w:pPr>
      <w:r>
        <w:rPr>
          <w:kern w:val="0"/>
          <w:szCs w:val="28"/>
        </w:rPr>
        <w:t>“</w:t>
      </w:r>
      <w:r>
        <w:rPr>
          <w:rFonts w:hint="eastAsia"/>
          <w:kern w:val="0"/>
          <w:szCs w:val="28"/>
        </w:rPr>
        <w:t>十四五”时期，昭化在全力推进基础设施建设的同时，要顺应全国交通运输发展由基本适应向提质增效转变趋势，兼顾交通高质量发展，注重</w:t>
      </w:r>
      <w:r>
        <w:rPr>
          <w:rFonts w:hint="eastAsia"/>
          <w:szCs w:val="32"/>
        </w:rPr>
        <w:t>各种运输方式高效衔接，注重生态环保和资源集约利用，注重新一代信息技术在交通领域的推广应用，为实现交通现代化奠定基础。</w:t>
      </w:r>
    </w:p>
    <w:p>
      <w:pPr>
        <w:ind w:firstLine="640"/>
        <w:rPr>
          <w:szCs w:val="32"/>
        </w:rPr>
      </w:pPr>
    </w:p>
    <w:p>
      <w:pPr>
        <w:ind w:firstLine="640"/>
        <w:rPr>
          <w:szCs w:val="32"/>
        </w:rPr>
        <w:sectPr>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435" w:charSpace="0"/>
        </w:sectPr>
      </w:pPr>
    </w:p>
    <w:p>
      <w:pPr>
        <w:pStyle w:val="3"/>
        <w:adjustRightInd w:val="0"/>
        <w:snapToGrid w:val="0"/>
        <w:spacing w:before="312" w:beforeLines="100" w:after="312" w:afterLines="100"/>
        <w:ind w:firstLine="0" w:firstLineChars="0"/>
        <w:jc w:val="center"/>
        <w:rPr>
          <w:rFonts w:hint="eastAsia" w:ascii="方正小标宋简体" w:hAnsi="方正小标宋简体" w:eastAsia="方正小标宋简体" w:cs="方正小标宋简体"/>
          <w:sz w:val="44"/>
        </w:rPr>
      </w:pPr>
      <w:bookmarkStart w:id="45" w:name="_Toc61624424"/>
      <w:bookmarkStart w:id="46" w:name="_Toc6874"/>
      <w:r>
        <w:rPr>
          <w:rFonts w:hint="eastAsia" w:ascii="方正小标宋简体" w:hAnsi="方正小标宋简体" w:eastAsia="方正小标宋简体" w:cs="方正小标宋简体"/>
          <w:sz w:val="44"/>
        </w:rPr>
        <w:t>第3章 发展预测</w:t>
      </w:r>
      <w:bookmarkEnd w:id="45"/>
      <w:bookmarkEnd w:id="46"/>
    </w:p>
    <w:p>
      <w:pPr>
        <w:pStyle w:val="2"/>
        <w:spacing w:before="156" w:after="156" w:line="416" w:lineRule="auto"/>
        <w:ind w:firstLine="0" w:firstLineChars="0"/>
        <w:jc w:val="left"/>
        <w:rPr>
          <w:rFonts w:ascii="Times New Roman" w:hAnsi="Times New Roman" w:eastAsia="黑体"/>
          <w:sz w:val="36"/>
          <w:szCs w:val="36"/>
        </w:rPr>
      </w:pPr>
      <w:bookmarkStart w:id="47" w:name="_Toc61624425"/>
      <w:bookmarkStart w:id="48" w:name="_Toc10600"/>
      <w:r>
        <w:rPr>
          <w:rFonts w:ascii="Times New Roman" w:hAnsi="Times New Roman" w:eastAsia="黑体"/>
          <w:sz w:val="36"/>
          <w:szCs w:val="36"/>
        </w:rPr>
        <w:t xml:space="preserve">3.1 </w:t>
      </w:r>
      <w:r>
        <w:rPr>
          <w:rFonts w:hint="eastAsia" w:ascii="Times New Roman" w:hAnsi="Times New Roman" w:eastAsia="黑体"/>
          <w:sz w:val="36"/>
          <w:szCs w:val="36"/>
        </w:rPr>
        <w:t>主要经济指标预测</w:t>
      </w:r>
      <w:bookmarkEnd w:id="47"/>
      <w:bookmarkEnd w:id="48"/>
    </w:p>
    <w:p>
      <w:pPr>
        <w:ind w:firstLine="640"/>
        <w:rPr>
          <w:szCs w:val="32"/>
        </w:rPr>
      </w:pPr>
      <w:r>
        <w:rPr>
          <w:rFonts w:hint="eastAsia"/>
          <w:szCs w:val="32"/>
        </w:rPr>
        <w:t>经济社会和交通运输是相互依赖和相互促进的关系，经济的快速增长和人民生活的提高，为交通运输的发展扩大了需求空间。社会经济发展预测是交通运输的基础，因此，有必要对昭化区经济社会发展进行预测，从而对未来客货运需求有一个宏观的把握。</w:t>
      </w:r>
    </w:p>
    <w:p>
      <w:pPr>
        <w:pStyle w:val="4"/>
        <w:adjustRightInd w:val="0"/>
        <w:snapToGrid w:val="0"/>
        <w:spacing w:before="78" w:beforeLines="25" w:after="78" w:afterLines="25"/>
        <w:ind w:left="6238" w:hanging="6238"/>
        <w:rPr>
          <w:bCs w:val="0"/>
        </w:rPr>
      </w:pPr>
      <w:r>
        <w:rPr>
          <w:bCs w:val="0"/>
        </w:rPr>
        <w:t xml:space="preserve">3.1.1 </w:t>
      </w:r>
      <w:r>
        <w:rPr>
          <w:rFonts w:hint="eastAsia"/>
          <w:bCs w:val="0"/>
        </w:rPr>
        <w:t>基本思路</w:t>
      </w:r>
    </w:p>
    <w:p>
      <w:pPr>
        <w:ind w:firstLine="640"/>
        <w:rPr>
          <w:szCs w:val="32"/>
        </w:rPr>
      </w:pPr>
      <w:r>
        <w:rPr>
          <w:rFonts w:hint="eastAsia"/>
          <w:szCs w:val="32"/>
        </w:rPr>
        <w:t>当今世界正经历百年未有之大变局，国际环境日趋复杂，不稳定性不确定性明显增加。我国经济已由高速增长阶段转向高质量发展阶段，高债务杠杆、高要素价格、高结构风险、高环境压力相互叠加，结构性、体制性、周期性问题相互交织。</w:t>
      </w:r>
      <w:r>
        <w:rPr>
          <w:szCs w:val="32"/>
        </w:rPr>
        <w:t>“</w:t>
      </w:r>
      <w:r>
        <w:rPr>
          <w:rFonts w:hint="eastAsia"/>
          <w:szCs w:val="32"/>
        </w:rPr>
        <w:t>十四五”时期将是我国经济</w:t>
      </w:r>
      <w:r>
        <w:rPr>
          <w:szCs w:val="32"/>
        </w:rPr>
        <w:t>“</w:t>
      </w:r>
      <w:r>
        <w:rPr>
          <w:rFonts w:hint="eastAsia"/>
          <w:szCs w:val="32"/>
        </w:rPr>
        <w:t>滚石上山、爬坡过坎</w:t>
      </w:r>
      <w:r>
        <w:rPr>
          <w:szCs w:val="32"/>
        </w:rPr>
        <w:t>”</w:t>
      </w:r>
      <w:r>
        <w:rPr>
          <w:rFonts w:hint="eastAsia"/>
          <w:szCs w:val="32"/>
        </w:rPr>
        <w:t>的关键时期。但也需看到，我国作为世界最大市场的消费支撑潜力正逐步显现，以新要素、新基建、新产业为核心的经济新动能已初现雏形，国内大循环为主体、国际国内双循环相互促进的新发展格局正加速形成，长期来看，我国经济稳中向好、长期向好基本趋势不会改变。</w:t>
      </w:r>
    </w:p>
    <w:p>
      <w:pPr>
        <w:ind w:firstLine="640"/>
        <w:rPr>
          <w:szCs w:val="32"/>
        </w:rPr>
      </w:pPr>
      <w:r>
        <w:rPr>
          <w:rFonts w:hint="eastAsia"/>
          <w:szCs w:val="32"/>
        </w:rPr>
        <w:t>根据国内外大的经济社会背景和发展趋势，结合昭化区特殊的地理环境资源及深厚的历史人文旅游环境，确立科学的预测思路方法，通过历年社会经济发展实际的分析，参考与广元及昭化发展阶段、发展历程类似地区的发展经验，科学进行社会经济的发展预测。</w:t>
      </w:r>
    </w:p>
    <w:p>
      <w:pPr>
        <w:pStyle w:val="4"/>
        <w:adjustRightInd w:val="0"/>
        <w:snapToGrid w:val="0"/>
        <w:spacing w:before="78" w:beforeLines="25" w:after="78" w:afterLines="25"/>
        <w:ind w:left="6238" w:hanging="6238"/>
        <w:rPr>
          <w:bCs w:val="0"/>
        </w:rPr>
      </w:pPr>
      <w:r>
        <w:rPr>
          <w:bCs w:val="0"/>
        </w:rPr>
        <w:t xml:space="preserve">3.1.2 </w:t>
      </w:r>
      <w:r>
        <w:rPr>
          <w:rFonts w:hint="eastAsia"/>
          <w:bCs w:val="0"/>
        </w:rPr>
        <w:t>预测过程及结果</w:t>
      </w:r>
    </w:p>
    <w:p>
      <w:pPr>
        <w:ind w:firstLine="640"/>
        <w:rPr>
          <w:szCs w:val="32"/>
        </w:rPr>
      </w:pPr>
      <w:r>
        <w:rPr>
          <w:rFonts w:hint="eastAsia"/>
          <w:szCs w:val="32"/>
        </w:rPr>
        <w:t>经济社会发展预测结合昭化区国民经济发展规划及历年社会经济发展数据，采用回归分析法、增长率法等多种方法进行预测，取加权平均值作为最终预测结果。</w:t>
      </w:r>
    </w:p>
    <w:p>
      <w:pPr>
        <w:ind w:firstLine="640" w:firstLineChars="0"/>
        <w:rPr>
          <w:rFonts w:eastAsia="黑体"/>
          <w:szCs w:val="32"/>
        </w:rPr>
      </w:pPr>
      <w:r>
        <w:rPr>
          <w:rFonts w:eastAsia="黑体"/>
          <w:szCs w:val="32"/>
        </w:rPr>
        <w:t>1.GM</w:t>
      </w:r>
      <w:r>
        <w:rPr>
          <w:rFonts w:hint="eastAsia" w:eastAsia="黑体"/>
          <w:szCs w:val="32"/>
        </w:rPr>
        <w:t>（</w:t>
      </w:r>
      <w:r>
        <w:rPr>
          <w:rFonts w:eastAsia="黑体"/>
          <w:szCs w:val="32"/>
        </w:rPr>
        <w:t>1,1</w:t>
      </w:r>
      <w:r>
        <w:rPr>
          <w:rFonts w:hint="eastAsia" w:eastAsia="黑体"/>
          <w:szCs w:val="32"/>
        </w:rPr>
        <w:t>）灰色残值模型</w:t>
      </w:r>
    </w:p>
    <w:p>
      <w:pPr>
        <w:ind w:firstLine="640" w:firstLineChars="0"/>
      </w:pPr>
      <w:r>
        <w:rPr>
          <w:rFonts w:hint="eastAsia"/>
        </w:rPr>
        <w:t>灰色预测模型是目前经济预测的常用方法，灰色系统建模的主要目的是寻找因素之间的动态发展规律，进而对因素的发展变化进行预测，对因素之间的动态关系进行协调。当</w:t>
      </w:r>
      <w:r>
        <w:t>GM</w:t>
      </w:r>
      <w:r>
        <w:rPr>
          <w:rFonts w:hint="eastAsia"/>
        </w:rPr>
        <w:t>（</w:t>
      </w:r>
      <w:r>
        <w:t>1,1</w:t>
      </w:r>
      <w:r>
        <w:rPr>
          <w:rFonts w:hint="eastAsia"/>
        </w:rPr>
        <w:t>）灰色模型的精度不符合要求时，可用残差序列建立模型对原来模型进行修正，以提高精度。</w:t>
      </w:r>
      <w:r>
        <w:t>GM</w:t>
      </w:r>
      <w:r>
        <w:rPr>
          <w:rFonts w:hint="eastAsia"/>
        </w:rPr>
        <w:t>（</w:t>
      </w:r>
      <w:r>
        <w:t>1,1</w:t>
      </w:r>
      <w:r>
        <w:rPr>
          <w:rFonts w:hint="eastAsia"/>
        </w:rPr>
        <w:t>）灰色残差预测模型：</w:t>
      </w:r>
    </w:p>
    <w:p>
      <w:pPr>
        <w:spacing w:line="240" w:lineRule="auto"/>
        <w:ind w:firstLine="0" w:firstLineChars="0"/>
        <w:jc w:val="center"/>
      </w:pPr>
      <w:r>
        <w:rPr>
          <w:rFonts w:hint="eastAsia"/>
          <w:position w:val="-24"/>
        </w:rPr>
        <w:object>
          <v:shape id="_x0000_i1042" o:spt="75" type="#_x0000_t75" style="height:41.9pt;width:274.1pt;" o:ole="t" filled="f" o:preferrelative="t" stroked="f" coordsize="21600,21600">
            <v:path/>
            <v:fill on="f" focussize="0,0"/>
            <v:stroke on="f"/>
            <v:imagedata r:id="rId35" o:title=""/>
            <o:lock v:ext="edit" aspectratio="t"/>
            <w10:wrap type="none"/>
            <w10:anchorlock/>
          </v:shape>
          <o:OLEObject Type="Embed" ProgID="Msxml2.SAXXMLReader.5.0" ShapeID="_x0000_i1042" DrawAspect="Content" ObjectID="_1468075729" r:id="rId34">
            <o:LockedField>false</o:LockedField>
          </o:OLEObject>
        </w:object>
      </w:r>
    </w:p>
    <w:p>
      <w:pPr>
        <w:ind w:firstLine="640" w:firstLineChars="0"/>
      </w:pPr>
      <w:r>
        <w:rPr>
          <w:rFonts w:hint="eastAsia"/>
        </w:rPr>
        <w:t>其中</w:t>
      </w:r>
      <w:r>
        <w:t xml:space="preserve">: </w:t>
      </w:r>
      <w:r>
        <w:rPr>
          <w:rFonts w:hint="eastAsia"/>
          <w:position w:val="-6"/>
        </w:rPr>
        <w:drawing>
          <wp:inline distT="0" distB="0" distL="114300" distR="114300">
            <wp:extent cx="114300" cy="180975"/>
            <wp:effectExtent l="0" t="0" r="0" b="889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36"/>
                    <a:stretch>
                      <a:fillRect/>
                    </a:stretch>
                  </pic:blipFill>
                  <pic:spPr>
                    <a:xfrm>
                      <a:off x="0" y="0"/>
                      <a:ext cx="114300" cy="180975"/>
                    </a:xfrm>
                    <a:prstGeom prst="rect">
                      <a:avLst/>
                    </a:prstGeom>
                    <a:noFill/>
                    <a:ln>
                      <a:noFill/>
                    </a:ln>
                  </pic:spPr>
                </pic:pic>
              </a:graphicData>
            </a:graphic>
          </wp:inline>
        </w:drawing>
      </w:r>
      <w:r>
        <w:t>=</w:t>
      </w:r>
      <w:r>
        <w:rPr>
          <w:rFonts w:hint="eastAsia"/>
        </w:rPr>
        <w:t>年份；</w:t>
      </w:r>
      <w:r>
        <w:rPr>
          <w:rFonts w:hint="eastAsia"/>
          <w:position w:val="-6"/>
        </w:rPr>
        <w:drawing>
          <wp:inline distT="0" distB="0" distL="114300" distR="114300">
            <wp:extent cx="114300" cy="142240"/>
            <wp:effectExtent l="0" t="0" r="0" b="1270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37"/>
                    <a:stretch>
                      <a:fillRect/>
                    </a:stretch>
                  </pic:blipFill>
                  <pic:spPr>
                    <a:xfrm>
                      <a:off x="0" y="0"/>
                      <a:ext cx="114300" cy="142240"/>
                    </a:xfrm>
                    <a:prstGeom prst="rect">
                      <a:avLst/>
                    </a:prstGeom>
                    <a:noFill/>
                    <a:ln>
                      <a:noFill/>
                    </a:ln>
                  </pic:spPr>
                </pic:pic>
              </a:graphicData>
            </a:graphic>
          </wp:inline>
        </w:drawing>
      </w:r>
      <w:r>
        <w:t>=</w:t>
      </w:r>
      <w:r>
        <w:rPr>
          <w:rFonts w:hint="eastAsia"/>
        </w:rPr>
        <w:t>内生控制灰数；</w:t>
      </w:r>
      <w:r>
        <w:rPr>
          <w:rFonts w:hint="eastAsia"/>
          <w:position w:val="-6"/>
        </w:rPr>
        <w:drawing>
          <wp:inline distT="0" distB="0" distL="114300" distR="114300">
            <wp:extent cx="114300" cy="142240"/>
            <wp:effectExtent l="0" t="0" r="0" b="1143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8"/>
                    <a:stretch>
                      <a:fillRect/>
                    </a:stretch>
                  </pic:blipFill>
                  <pic:spPr>
                    <a:xfrm>
                      <a:off x="0" y="0"/>
                      <a:ext cx="114300" cy="142240"/>
                    </a:xfrm>
                    <a:prstGeom prst="rect">
                      <a:avLst/>
                    </a:prstGeom>
                    <a:noFill/>
                    <a:ln>
                      <a:noFill/>
                    </a:ln>
                  </pic:spPr>
                </pic:pic>
              </a:graphicData>
            </a:graphic>
          </wp:inline>
        </w:drawing>
      </w:r>
      <w:r>
        <w:t>=</w:t>
      </w:r>
      <w:r>
        <w:rPr>
          <w:rFonts w:hint="eastAsia"/>
        </w:rPr>
        <w:t>发展灰数。</w:t>
      </w:r>
    </w:p>
    <w:p>
      <w:pPr>
        <w:ind w:firstLine="130" w:firstLineChars="62"/>
        <w:rPr>
          <w:szCs w:val="32"/>
        </w:rPr>
      </w:pPr>
      <w:r>
        <w:rPr>
          <w:rFonts w:hint="eastAsia"/>
          <w:szCs w:val="32"/>
        </w:rPr>
        <w:t>经过昭化区历年</w:t>
      </w:r>
      <w:r>
        <w:rPr>
          <w:szCs w:val="32"/>
        </w:rPr>
        <w:t>GDP</w:t>
      </w:r>
      <w:r>
        <w:rPr>
          <w:rFonts w:hint="eastAsia"/>
          <w:szCs w:val="32"/>
        </w:rPr>
        <w:t>数据分析，得到灰色残值预测模型为：</w:t>
      </w:r>
    </w:p>
    <w:p>
      <w:pPr>
        <w:ind w:firstLine="130" w:firstLineChars="62"/>
        <w:jc w:val="center"/>
        <w:rPr>
          <w:szCs w:val="32"/>
        </w:rPr>
      </w:pPr>
      <w:r>
        <w:rPr>
          <w:rFonts w:hint="eastAsia"/>
          <w:position w:val="-10"/>
        </w:rPr>
        <w:drawing>
          <wp:inline distT="0" distB="0" distL="114300" distR="114300">
            <wp:extent cx="2987040" cy="313055"/>
            <wp:effectExtent l="0" t="0" r="3810" b="1206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9"/>
                    <a:stretch>
                      <a:fillRect/>
                    </a:stretch>
                  </pic:blipFill>
                  <pic:spPr>
                    <a:xfrm>
                      <a:off x="0" y="0"/>
                      <a:ext cx="2987040" cy="313055"/>
                    </a:xfrm>
                    <a:prstGeom prst="rect">
                      <a:avLst/>
                    </a:prstGeom>
                    <a:noFill/>
                    <a:ln>
                      <a:noFill/>
                    </a:ln>
                  </pic:spPr>
                </pic:pic>
              </a:graphicData>
            </a:graphic>
          </wp:inline>
        </w:drawing>
      </w:r>
    </w:p>
    <w:p>
      <w:pPr>
        <w:ind w:firstLine="130" w:firstLineChars="62"/>
        <w:rPr>
          <w:szCs w:val="32"/>
        </w:rPr>
      </w:pPr>
      <w:r>
        <w:rPr>
          <w:rFonts w:hint="eastAsia"/>
          <w:szCs w:val="32"/>
        </w:rPr>
        <w:t>模型精度控制为：</w:t>
      </w:r>
      <w:r>
        <w:rPr>
          <w:rFonts w:hint="eastAsia"/>
          <w:position w:val="-10"/>
        </w:rPr>
        <w:drawing>
          <wp:inline distT="0" distB="0" distL="114300" distR="114300">
            <wp:extent cx="1026160" cy="209550"/>
            <wp:effectExtent l="0" t="0" r="254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40"/>
                    <a:stretch>
                      <a:fillRect/>
                    </a:stretch>
                  </pic:blipFill>
                  <pic:spPr>
                    <a:xfrm>
                      <a:off x="0" y="0"/>
                      <a:ext cx="1026160" cy="209550"/>
                    </a:xfrm>
                    <a:prstGeom prst="rect">
                      <a:avLst/>
                    </a:prstGeom>
                    <a:noFill/>
                    <a:ln>
                      <a:noFill/>
                    </a:ln>
                  </pic:spPr>
                </pic:pic>
              </a:graphicData>
            </a:graphic>
          </wp:inline>
        </w:drawing>
      </w:r>
      <w:r>
        <w:rPr>
          <w:rFonts w:hint="eastAsia"/>
        </w:rPr>
        <w:t>，</w:t>
      </w:r>
      <w:r>
        <w:rPr>
          <w:rFonts w:hint="eastAsia"/>
          <w:position w:val="-6"/>
        </w:rPr>
        <w:drawing>
          <wp:inline distT="0" distB="0" distL="114300" distR="114300">
            <wp:extent cx="1000760" cy="199390"/>
            <wp:effectExtent l="0" t="0" r="8890" b="1079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1"/>
                    <a:stretch>
                      <a:fillRect/>
                    </a:stretch>
                  </pic:blipFill>
                  <pic:spPr>
                    <a:xfrm>
                      <a:off x="0" y="0"/>
                      <a:ext cx="1000760" cy="199390"/>
                    </a:xfrm>
                    <a:prstGeom prst="rect">
                      <a:avLst/>
                    </a:prstGeom>
                    <a:noFill/>
                    <a:ln>
                      <a:noFill/>
                    </a:ln>
                  </pic:spPr>
                </pic:pic>
              </a:graphicData>
            </a:graphic>
          </wp:inline>
        </w:drawing>
      </w:r>
      <w:r>
        <w:rPr>
          <w:rFonts w:hint="eastAsia"/>
        </w:rPr>
        <w:t>，模型优。</w:t>
      </w:r>
    </w:p>
    <w:p>
      <w:pPr>
        <w:ind w:firstLine="640" w:firstLineChars="0"/>
        <w:rPr>
          <w:rFonts w:eastAsia="黑体"/>
          <w:szCs w:val="32"/>
        </w:rPr>
      </w:pPr>
      <w:r>
        <w:rPr>
          <w:rFonts w:eastAsia="黑体"/>
          <w:szCs w:val="32"/>
        </w:rPr>
        <w:t>2.</w:t>
      </w:r>
      <w:r>
        <w:rPr>
          <w:rFonts w:hint="eastAsia" w:eastAsia="黑体"/>
          <w:szCs w:val="32"/>
        </w:rPr>
        <w:t>对数线形模型</w:t>
      </w:r>
    </w:p>
    <w:p>
      <w:pPr>
        <w:ind w:firstLine="640"/>
        <w:rPr>
          <w:szCs w:val="32"/>
        </w:rPr>
      </w:pPr>
      <w:r>
        <w:rPr>
          <w:rFonts w:hint="eastAsia"/>
          <w:szCs w:val="32"/>
        </w:rPr>
        <w:t>以昭化区</w:t>
      </w:r>
      <w:r>
        <w:rPr>
          <w:szCs w:val="32"/>
        </w:rPr>
        <w:t>2009-2019</w:t>
      </w:r>
      <w:r>
        <w:rPr>
          <w:rFonts w:hint="eastAsia"/>
          <w:szCs w:val="32"/>
        </w:rPr>
        <w:t>年国内生产总值数据为基础，以国内生产总值为因变量，以时间序列为自变量建立对数线形回归模型，分析两者之间的相关性，回归模型如下。</w:t>
      </w:r>
    </w:p>
    <w:p>
      <w:pPr>
        <w:ind w:firstLine="130" w:firstLineChars="62"/>
        <w:jc w:val="center"/>
      </w:pPr>
      <w:r>
        <w:rPr>
          <w:rFonts w:hint="eastAsia"/>
          <w:position w:val="-10"/>
        </w:rPr>
        <w:drawing>
          <wp:inline distT="0" distB="0" distL="114300" distR="114300">
            <wp:extent cx="2288540" cy="294640"/>
            <wp:effectExtent l="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42"/>
                    <a:stretch>
                      <a:fillRect/>
                    </a:stretch>
                  </pic:blipFill>
                  <pic:spPr>
                    <a:xfrm>
                      <a:off x="0" y="0"/>
                      <a:ext cx="2288540" cy="294640"/>
                    </a:xfrm>
                    <a:prstGeom prst="rect">
                      <a:avLst/>
                    </a:prstGeom>
                    <a:noFill/>
                    <a:ln>
                      <a:noFill/>
                    </a:ln>
                  </pic:spPr>
                </pic:pic>
              </a:graphicData>
            </a:graphic>
          </wp:inline>
        </w:drawing>
      </w:r>
    </w:p>
    <w:p>
      <w:pPr>
        <w:ind w:firstLine="130" w:firstLineChars="62"/>
        <w:jc w:val="center"/>
      </w:pPr>
      <w:r>
        <w:rPr>
          <w:rFonts w:hint="eastAsia"/>
        </w:rPr>
        <w:t>式中：</w:t>
      </w:r>
      <w:r>
        <w:rPr>
          <w:rFonts w:hint="eastAsia"/>
          <w:position w:val="-10"/>
        </w:rPr>
        <w:drawing>
          <wp:inline distT="0" distB="0" distL="114300" distR="114300">
            <wp:extent cx="189230" cy="208280"/>
            <wp:effectExtent l="0" t="0" r="0" b="127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43"/>
                    <a:stretch>
                      <a:fillRect/>
                    </a:stretch>
                  </pic:blipFill>
                  <pic:spPr>
                    <a:xfrm>
                      <a:off x="0" y="0"/>
                      <a:ext cx="189230" cy="208280"/>
                    </a:xfrm>
                    <a:prstGeom prst="rect">
                      <a:avLst/>
                    </a:prstGeom>
                    <a:noFill/>
                    <a:ln>
                      <a:noFill/>
                    </a:ln>
                  </pic:spPr>
                </pic:pic>
              </a:graphicData>
            </a:graphic>
          </wp:inline>
        </w:drawing>
      </w:r>
      <w:r>
        <w:t>——</w:t>
      </w:r>
      <w:r>
        <w:rPr>
          <w:rFonts w:hint="eastAsia"/>
        </w:rPr>
        <w:t>地区国民生产总值（</w:t>
      </w:r>
      <w:r>
        <w:t>GDP</w:t>
      </w:r>
      <w:r>
        <w:rPr>
          <w:rFonts w:hint="eastAsia"/>
        </w:rPr>
        <w:t>）；</w:t>
      </w:r>
    </w:p>
    <w:p>
      <w:pPr>
        <w:ind w:firstLine="1600" w:firstLineChars="762"/>
      </w:pPr>
      <w:r>
        <w:rPr>
          <w:rFonts w:hint="eastAsia"/>
          <w:position w:val="-6"/>
        </w:rPr>
        <w:drawing>
          <wp:inline distT="0" distB="0" distL="114300" distR="114300">
            <wp:extent cx="152400" cy="160655"/>
            <wp:effectExtent l="0" t="0" r="0" b="12065"/>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44"/>
                    <a:stretch>
                      <a:fillRect/>
                    </a:stretch>
                  </pic:blipFill>
                  <pic:spPr>
                    <a:xfrm>
                      <a:off x="0" y="0"/>
                      <a:ext cx="152400" cy="160655"/>
                    </a:xfrm>
                    <a:prstGeom prst="rect">
                      <a:avLst/>
                    </a:prstGeom>
                    <a:noFill/>
                    <a:ln>
                      <a:noFill/>
                    </a:ln>
                  </pic:spPr>
                </pic:pic>
              </a:graphicData>
            </a:graphic>
          </wp:inline>
        </w:drawing>
      </w:r>
      <w:r>
        <w:t>——</w:t>
      </w:r>
      <w:r>
        <w:rPr>
          <w:rFonts w:hint="eastAsia"/>
        </w:rPr>
        <w:t>年份。</w:t>
      </w:r>
    </w:p>
    <w:p>
      <w:pPr>
        <w:ind w:firstLine="130" w:firstLineChars="62"/>
      </w:pPr>
      <w:r>
        <w:rPr>
          <w:rFonts w:hint="eastAsia"/>
        </w:rPr>
        <w:t>模型精度控制为：</w:t>
      </w:r>
      <w:r>
        <w:rPr>
          <w:rFonts w:hint="eastAsia"/>
          <w:position w:val="-6"/>
        </w:rPr>
        <w:drawing>
          <wp:inline distT="0" distB="0" distL="114300" distR="114300">
            <wp:extent cx="928370" cy="237490"/>
            <wp:effectExtent l="0" t="0" r="5080" b="1270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45"/>
                    <a:stretch>
                      <a:fillRect/>
                    </a:stretch>
                  </pic:blipFill>
                  <pic:spPr>
                    <a:xfrm>
                      <a:off x="0" y="0"/>
                      <a:ext cx="928370" cy="237490"/>
                    </a:xfrm>
                    <a:prstGeom prst="rect">
                      <a:avLst/>
                    </a:prstGeom>
                    <a:noFill/>
                    <a:ln>
                      <a:noFill/>
                    </a:ln>
                  </pic:spPr>
                </pic:pic>
              </a:graphicData>
            </a:graphic>
          </wp:inline>
        </w:drawing>
      </w:r>
      <w:r>
        <w:rPr>
          <w:rFonts w:hint="eastAsia"/>
        </w:rPr>
        <w:t>，模型拟合较好，模型优。</w:t>
      </w:r>
    </w:p>
    <w:p>
      <w:pPr>
        <w:ind w:firstLine="0" w:firstLineChars="0"/>
      </w:pPr>
      <w:r>
        <w:drawing>
          <wp:anchor distT="0" distB="0" distL="114300" distR="114300" simplePos="0" relativeHeight="251659264" behindDoc="0" locked="0" layoutInCell="1" allowOverlap="1">
            <wp:simplePos x="0" y="0"/>
            <wp:positionH relativeFrom="column">
              <wp:posOffset>-26670</wp:posOffset>
            </wp:positionH>
            <wp:positionV relativeFrom="paragraph">
              <wp:posOffset>84455</wp:posOffset>
            </wp:positionV>
            <wp:extent cx="5507990" cy="3340735"/>
            <wp:effectExtent l="9525" t="9525" r="26035" b="2159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6"/>
                    <a:stretch>
                      <a:fillRect/>
                    </a:stretch>
                  </pic:blipFill>
                  <pic:spPr>
                    <a:xfrm>
                      <a:off x="0" y="0"/>
                      <a:ext cx="5507990" cy="3340735"/>
                    </a:xfrm>
                    <a:prstGeom prst="rect">
                      <a:avLst/>
                    </a:prstGeom>
                    <a:noFill/>
                    <a:ln w="6350" cap="flat" cmpd="sng">
                      <a:solidFill>
                        <a:srgbClr val="000000"/>
                      </a:solidFill>
                      <a:prstDash val="solid"/>
                      <a:miter/>
                      <a:headEnd type="none" w="med" len="med"/>
                      <a:tailEnd type="none" w="med" len="med"/>
                    </a:ln>
                  </pic:spPr>
                </pic:pic>
              </a:graphicData>
            </a:graphic>
          </wp:anchor>
        </w:drawing>
      </w: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0" w:firstLineChars="0"/>
        <w:jc w:val="center"/>
        <w:rPr>
          <w:rFonts w:eastAsia="黑体"/>
          <w:sz w:val="28"/>
          <w:szCs w:val="28"/>
        </w:rPr>
      </w:pPr>
      <w:r>
        <w:rPr>
          <w:rFonts w:hint="eastAsia" w:eastAsia="黑体"/>
          <w:sz w:val="28"/>
          <w:szCs w:val="28"/>
        </w:rPr>
        <w:t>图</w:t>
      </w:r>
      <w:r>
        <w:rPr>
          <w:rFonts w:eastAsia="黑体"/>
          <w:sz w:val="28"/>
          <w:szCs w:val="28"/>
        </w:rPr>
        <w:t xml:space="preserve">3-1 </w:t>
      </w:r>
      <w:r>
        <w:rPr>
          <w:rFonts w:hint="eastAsia" w:eastAsia="黑体"/>
          <w:sz w:val="28"/>
          <w:szCs w:val="28"/>
        </w:rPr>
        <w:t>昭化区</w:t>
      </w:r>
      <w:r>
        <w:rPr>
          <w:rFonts w:eastAsia="黑体"/>
          <w:sz w:val="28"/>
          <w:szCs w:val="28"/>
        </w:rPr>
        <w:t>GDP</w:t>
      </w:r>
      <w:r>
        <w:rPr>
          <w:rFonts w:hint="eastAsia" w:eastAsia="黑体"/>
          <w:sz w:val="28"/>
          <w:szCs w:val="28"/>
        </w:rPr>
        <w:t>回归分析图</w:t>
      </w:r>
    </w:p>
    <w:p>
      <w:pPr>
        <w:ind w:firstLine="640" w:firstLineChars="0"/>
        <w:rPr>
          <w:rFonts w:eastAsia="黑体"/>
          <w:szCs w:val="32"/>
        </w:rPr>
      </w:pPr>
      <w:r>
        <w:rPr>
          <w:rFonts w:eastAsia="黑体"/>
          <w:szCs w:val="32"/>
        </w:rPr>
        <w:t>3.</w:t>
      </w:r>
      <w:r>
        <w:rPr>
          <w:rFonts w:hint="eastAsia" w:eastAsia="黑体"/>
          <w:szCs w:val="32"/>
        </w:rPr>
        <w:t>增长率法</w:t>
      </w:r>
    </w:p>
    <w:p>
      <w:pPr>
        <w:pStyle w:val="19"/>
        <w:spacing w:line="640" w:lineRule="exact"/>
        <w:ind w:firstLine="640" w:firstLineChars="200"/>
        <w:jc w:val="both"/>
        <w:rPr>
          <w:rFonts w:eastAsia="仿宋_GB2312"/>
          <w:color w:val="auto"/>
          <w:kern w:val="2"/>
          <w:sz w:val="32"/>
          <w:szCs w:val="32"/>
        </w:rPr>
      </w:pPr>
      <w:r>
        <w:rPr>
          <w:rFonts w:hint="eastAsia" w:eastAsia="仿宋_GB2312"/>
          <w:color w:val="auto"/>
          <w:kern w:val="2"/>
          <w:sz w:val="32"/>
          <w:szCs w:val="32"/>
        </w:rPr>
        <w:t>目前，我国经济正处于从高速增长转变为中高速增长的新常态阶段，需要不断优化经济结构，保持经济稳定增长。根据统计资料，昭化区</w:t>
      </w:r>
      <w:r>
        <w:rPr>
          <w:rFonts w:eastAsia="仿宋_GB2312"/>
          <w:color w:val="auto"/>
          <w:kern w:val="2"/>
          <w:sz w:val="32"/>
          <w:szCs w:val="32"/>
        </w:rPr>
        <w:t>“</w:t>
      </w:r>
      <w:r>
        <w:rPr>
          <w:rFonts w:hint="eastAsia" w:eastAsia="仿宋_GB2312"/>
          <w:color w:val="auto"/>
          <w:kern w:val="2"/>
          <w:sz w:val="32"/>
          <w:szCs w:val="32"/>
        </w:rPr>
        <w:t>十二五</w:t>
      </w:r>
      <w:r>
        <w:rPr>
          <w:rFonts w:eastAsia="仿宋_GB2312"/>
          <w:color w:val="auto"/>
          <w:kern w:val="2"/>
          <w:sz w:val="32"/>
          <w:szCs w:val="32"/>
        </w:rPr>
        <w:t>”</w:t>
      </w:r>
      <w:r>
        <w:rPr>
          <w:rFonts w:hint="eastAsia" w:eastAsia="仿宋_GB2312"/>
          <w:color w:val="auto"/>
          <w:kern w:val="2"/>
          <w:sz w:val="32"/>
          <w:szCs w:val="32"/>
        </w:rPr>
        <w:t>期间（</w:t>
      </w:r>
      <w:r>
        <w:rPr>
          <w:rFonts w:eastAsia="仿宋_GB2312"/>
          <w:color w:val="auto"/>
          <w:kern w:val="2"/>
          <w:sz w:val="32"/>
          <w:szCs w:val="32"/>
        </w:rPr>
        <w:t>2011</w:t>
      </w:r>
      <w:r>
        <w:rPr>
          <w:rFonts w:hint="eastAsia" w:eastAsia="仿宋_GB2312"/>
          <w:color w:val="auto"/>
          <w:kern w:val="2"/>
          <w:sz w:val="32"/>
          <w:szCs w:val="32"/>
        </w:rPr>
        <w:t>年</w:t>
      </w:r>
      <w:r>
        <w:rPr>
          <w:rFonts w:eastAsia="仿宋_GB2312"/>
          <w:color w:val="auto"/>
          <w:kern w:val="2"/>
          <w:sz w:val="32"/>
          <w:szCs w:val="32"/>
        </w:rPr>
        <w:t>~2015</w:t>
      </w:r>
      <w:r>
        <w:rPr>
          <w:rFonts w:hint="eastAsia" w:eastAsia="仿宋_GB2312"/>
          <w:color w:val="auto"/>
          <w:kern w:val="2"/>
          <w:sz w:val="32"/>
          <w:szCs w:val="32"/>
        </w:rPr>
        <w:t>年）的</w:t>
      </w:r>
      <w:r>
        <w:rPr>
          <w:rFonts w:eastAsia="仿宋_GB2312"/>
          <w:color w:val="auto"/>
          <w:kern w:val="2"/>
          <w:sz w:val="32"/>
          <w:szCs w:val="32"/>
        </w:rPr>
        <w:t>GDP</w:t>
      </w:r>
      <w:r>
        <w:rPr>
          <w:rFonts w:hint="eastAsia" w:eastAsia="仿宋_GB2312"/>
          <w:color w:val="auto"/>
          <w:kern w:val="2"/>
          <w:sz w:val="32"/>
          <w:szCs w:val="32"/>
        </w:rPr>
        <w:t>实际年均增长率达到</w:t>
      </w:r>
      <w:r>
        <w:rPr>
          <w:rFonts w:eastAsia="仿宋_GB2312"/>
          <w:color w:val="auto"/>
          <w:kern w:val="2"/>
          <w:sz w:val="32"/>
          <w:szCs w:val="32"/>
        </w:rPr>
        <w:t>12.7%</w:t>
      </w:r>
      <w:r>
        <w:rPr>
          <w:rFonts w:hint="eastAsia" w:eastAsia="仿宋_GB2312"/>
          <w:color w:val="auto"/>
          <w:kern w:val="2"/>
          <w:sz w:val="32"/>
          <w:szCs w:val="32"/>
        </w:rPr>
        <w:t>，</w:t>
      </w:r>
      <w:r>
        <w:rPr>
          <w:rFonts w:eastAsia="仿宋_GB2312"/>
          <w:color w:val="auto"/>
          <w:kern w:val="2"/>
          <w:sz w:val="32"/>
          <w:szCs w:val="32"/>
        </w:rPr>
        <w:t>2016</w:t>
      </w:r>
      <w:r>
        <w:rPr>
          <w:rFonts w:hint="eastAsia" w:eastAsia="仿宋_GB2312"/>
          <w:color w:val="auto"/>
          <w:kern w:val="2"/>
          <w:sz w:val="32"/>
          <w:szCs w:val="32"/>
        </w:rPr>
        <w:t>年</w:t>
      </w:r>
      <w:r>
        <w:rPr>
          <w:rFonts w:eastAsia="仿宋_GB2312"/>
          <w:color w:val="auto"/>
          <w:kern w:val="2"/>
          <w:sz w:val="32"/>
          <w:szCs w:val="32"/>
        </w:rPr>
        <w:t>~2019</w:t>
      </w:r>
      <w:r>
        <w:rPr>
          <w:rFonts w:hint="eastAsia" w:eastAsia="仿宋_GB2312"/>
          <w:color w:val="auto"/>
          <w:kern w:val="2"/>
          <w:sz w:val="32"/>
          <w:szCs w:val="32"/>
        </w:rPr>
        <w:t>年的实际</w:t>
      </w:r>
      <w:r>
        <w:rPr>
          <w:rFonts w:eastAsia="仿宋_GB2312"/>
          <w:color w:val="auto"/>
          <w:kern w:val="2"/>
          <w:sz w:val="32"/>
          <w:szCs w:val="32"/>
        </w:rPr>
        <w:t>GDP</w:t>
      </w:r>
      <w:r>
        <w:rPr>
          <w:rFonts w:hint="eastAsia" w:eastAsia="仿宋_GB2312"/>
          <w:color w:val="auto"/>
          <w:kern w:val="2"/>
          <w:sz w:val="32"/>
          <w:szCs w:val="32"/>
        </w:rPr>
        <w:t>年均经济增长速度约为</w:t>
      </w:r>
      <w:r>
        <w:rPr>
          <w:rFonts w:eastAsia="仿宋_GB2312"/>
          <w:color w:val="auto"/>
          <w:kern w:val="2"/>
          <w:sz w:val="32"/>
          <w:szCs w:val="32"/>
        </w:rPr>
        <w:t>10.8%</w:t>
      </w:r>
      <w:r>
        <w:rPr>
          <w:rFonts w:hint="eastAsia" w:eastAsia="仿宋_GB2312"/>
          <w:color w:val="auto"/>
          <w:kern w:val="2"/>
          <w:sz w:val="32"/>
          <w:szCs w:val="32"/>
        </w:rPr>
        <w:t>，可见</w:t>
      </w:r>
      <w:r>
        <w:rPr>
          <w:rFonts w:eastAsia="仿宋_GB2312"/>
          <w:color w:val="auto"/>
          <w:kern w:val="2"/>
          <w:sz w:val="32"/>
          <w:szCs w:val="32"/>
        </w:rPr>
        <w:t>“</w:t>
      </w:r>
      <w:r>
        <w:rPr>
          <w:rFonts w:hint="eastAsia" w:eastAsia="仿宋_GB2312"/>
          <w:color w:val="auto"/>
          <w:kern w:val="2"/>
          <w:sz w:val="32"/>
          <w:szCs w:val="32"/>
        </w:rPr>
        <w:t>十二五</w:t>
      </w:r>
      <w:r>
        <w:rPr>
          <w:rFonts w:eastAsia="仿宋_GB2312"/>
          <w:color w:val="auto"/>
          <w:kern w:val="2"/>
          <w:sz w:val="32"/>
          <w:szCs w:val="32"/>
        </w:rPr>
        <w:t>”</w:t>
      </w:r>
      <w:r>
        <w:rPr>
          <w:rFonts w:hint="eastAsia" w:eastAsia="仿宋_GB2312"/>
          <w:color w:val="auto"/>
          <w:kern w:val="2"/>
          <w:sz w:val="32"/>
          <w:szCs w:val="32"/>
        </w:rPr>
        <w:t>期间经济增长率已有较大降低。</w:t>
      </w:r>
    </w:p>
    <w:p>
      <w:pPr>
        <w:pStyle w:val="19"/>
        <w:spacing w:line="640" w:lineRule="exact"/>
        <w:ind w:firstLine="640" w:firstLineChars="200"/>
        <w:jc w:val="both"/>
        <w:rPr>
          <w:rFonts w:eastAsia="仿宋_GB2312"/>
          <w:color w:val="auto"/>
          <w:kern w:val="2"/>
          <w:sz w:val="32"/>
          <w:szCs w:val="32"/>
        </w:rPr>
      </w:pPr>
      <w:r>
        <w:rPr>
          <w:rFonts w:hint="eastAsia" w:eastAsia="仿宋_GB2312"/>
          <w:color w:val="auto"/>
          <w:kern w:val="2"/>
          <w:sz w:val="32"/>
          <w:szCs w:val="32"/>
        </w:rPr>
        <w:t>结合四川省、广元市和昭化区的整体经济发展环境和趋势分析，昭化未来的经济将继续保持稳定增长，但增长速度会逐步减缓。参考昭化区历年的规划和实际增长情况，本次规划确定</w:t>
      </w:r>
      <w:r>
        <w:rPr>
          <w:rFonts w:eastAsia="仿宋_GB2312"/>
          <w:color w:val="auto"/>
          <w:kern w:val="2"/>
          <w:sz w:val="32"/>
          <w:szCs w:val="32"/>
        </w:rPr>
        <w:t>2020</w:t>
      </w:r>
      <w:r>
        <w:rPr>
          <w:rFonts w:hint="eastAsia" w:eastAsia="仿宋_GB2312"/>
          <w:color w:val="auto"/>
          <w:kern w:val="2"/>
          <w:sz w:val="32"/>
          <w:szCs w:val="32"/>
        </w:rPr>
        <w:t>年</w:t>
      </w:r>
      <w:r>
        <w:rPr>
          <w:rFonts w:eastAsia="仿宋_GB2312"/>
          <w:color w:val="auto"/>
          <w:kern w:val="2"/>
          <w:sz w:val="32"/>
          <w:szCs w:val="32"/>
        </w:rPr>
        <w:t>~2025</w:t>
      </w:r>
      <w:r>
        <w:rPr>
          <w:rFonts w:hint="eastAsia" w:eastAsia="仿宋_GB2312"/>
          <w:color w:val="auto"/>
          <w:kern w:val="2"/>
          <w:sz w:val="32"/>
          <w:szCs w:val="32"/>
        </w:rPr>
        <w:t>年经济增长率为</w:t>
      </w:r>
      <w:r>
        <w:rPr>
          <w:rFonts w:eastAsia="仿宋_GB2312"/>
          <w:color w:val="auto"/>
          <w:kern w:val="2"/>
          <w:sz w:val="32"/>
          <w:szCs w:val="32"/>
        </w:rPr>
        <w:t>8%</w:t>
      </w:r>
      <w:r>
        <w:rPr>
          <w:rFonts w:hint="eastAsia" w:eastAsia="仿宋_GB2312"/>
          <w:color w:val="auto"/>
          <w:kern w:val="2"/>
          <w:sz w:val="32"/>
          <w:szCs w:val="32"/>
        </w:rPr>
        <w:t>。</w:t>
      </w:r>
    </w:p>
    <w:p>
      <w:pPr>
        <w:ind w:firstLine="640" w:firstLineChars="0"/>
        <w:rPr>
          <w:rFonts w:eastAsia="黑体"/>
          <w:szCs w:val="32"/>
        </w:rPr>
      </w:pPr>
      <w:r>
        <w:rPr>
          <w:rFonts w:eastAsia="黑体"/>
          <w:szCs w:val="32"/>
        </w:rPr>
        <w:t>4.</w:t>
      </w:r>
      <w:r>
        <w:rPr>
          <w:rFonts w:hint="eastAsia" w:eastAsia="黑体"/>
          <w:szCs w:val="32"/>
        </w:rPr>
        <w:t>预测结果</w:t>
      </w:r>
    </w:p>
    <w:p>
      <w:pPr>
        <w:pStyle w:val="19"/>
        <w:spacing w:line="640" w:lineRule="exact"/>
        <w:ind w:firstLine="640" w:firstLineChars="200"/>
        <w:rPr>
          <w:rFonts w:eastAsia="仿宋_GB2312"/>
          <w:color w:val="auto"/>
          <w:kern w:val="2"/>
          <w:sz w:val="32"/>
          <w:szCs w:val="32"/>
        </w:rPr>
      </w:pPr>
      <w:r>
        <w:rPr>
          <w:rFonts w:hint="eastAsia" w:eastAsia="仿宋_GB2312"/>
          <w:color w:val="auto"/>
          <w:kern w:val="2"/>
          <w:sz w:val="32"/>
          <w:szCs w:val="32"/>
        </w:rPr>
        <w:t>根据上述三种预测结果取加权平均值，得出本次规划期限内特征年</w:t>
      </w:r>
      <w:r>
        <w:rPr>
          <w:rFonts w:eastAsia="仿宋_GB2312"/>
          <w:color w:val="auto"/>
          <w:kern w:val="2"/>
          <w:sz w:val="32"/>
          <w:szCs w:val="32"/>
        </w:rPr>
        <w:t>2020</w:t>
      </w:r>
      <w:r>
        <w:rPr>
          <w:rFonts w:hint="eastAsia" w:eastAsia="仿宋_GB2312"/>
          <w:color w:val="auto"/>
          <w:kern w:val="2"/>
          <w:sz w:val="32"/>
          <w:szCs w:val="32"/>
        </w:rPr>
        <w:t>年及</w:t>
      </w:r>
      <w:r>
        <w:rPr>
          <w:rFonts w:eastAsia="仿宋_GB2312"/>
          <w:color w:val="auto"/>
          <w:kern w:val="2"/>
          <w:sz w:val="32"/>
          <w:szCs w:val="32"/>
        </w:rPr>
        <w:t>2025</w:t>
      </w:r>
      <w:r>
        <w:rPr>
          <w:rFonts w:hint="eastAsia" w:eastAsia="仿宋_GB2312"/>
          <w:color w:val="auto"/>
          <w:kern w:val="2"/>
          <w:sz w:val="32"/>
          <w:szCs w:val="32"/>
        </w:rPr>
        <w:t>年昭化区国内生产总值预测结果，详见下表所示。</w:t>
      </w:r>
    </w:p>
    <w:p>
      <w:pPr>
        <w:ind w:firstLine="173" w:firstLineChars="62"/>
        <w:jc w:val="center"/>
        <w:rPr>
          <w:rFonts w:eastAsia="黑体"/>
          <w:sz w:val="28"/>
          <w:szCs w:val="28"/>
        </w:rPr>
      </w:pPr>
      <w:r>
        <w:rPr>
          <w:rFonts w:hint="eastAsia" w:eastAsia="黑体"/>
          <w:sz w:val="28"/>
          <w:szCs w:val="28"/>
        </w:rPr>
        <w:t>表</w:t>
      </w:r>
      <w:r>
        <w:rPr>
          <w:rFonts w:eastAsia="黑体"/>
          <w:sz w:val="28"/>
          <w:szCs w:val="28"/>
        </w:rPr>
        <w:t xml:space="preserve">3-1 </w:t>
      </w:r>
      <w:r>
        <w:rPr>
          <w:rFonts w:hint="eastAsia" w:eastAsia="黑体"/>
          <w:sz w:val="28"/>
          <w:szCs w:val="28"/>
        </w:rPr>
        <w:t>昭化区</w:t>
      </w:r>
      <w:r>
        <w:rPr>
          <w:rFonts w:eastAsia="黑体"/>
          <w:sz w:val="28"/>
          <w:szCs w:val="28"/>
        </w:rPr>
        <w:t>GDP</w:t>
      </w:r>
      <w:r>
        <w:rPr>
          <w:rFonts w:hint="eastAsia" w:eastAsia="黑体"/>
          <w:sz w:val="28"/>
          <w:szCs w:val="28"/>
        </w:rPr>
        <w:t>预测结果表</w:t>
      </w:r>
    </w:p>
    <w:tbl>
      <w:tblPr>
        <w:tblStyle w:val="10"/>
        <w:tblW w:w="0" w:type="auto"/>
        <w:tblInd w:w="10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027"/>
        <w:gridCol w:w="1737"/>
        <w:gridCol w:w="1737"/>
        <w:gridCol w:w="870"/>
        <w:gridCol w:w="867"/>
        <w:gridCol w:w="17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80" w:hRule="atLeast"/>
        </w:trPr>
        <w:tc>
          <w:tcPr>
            <w:tcW w:w="2027" w:type="dxa"/>
            <w:tcBorders>
              <w:top w:val="single" w:color="auto" w:sz="12" w:space="0"/>
              <w:left w:val="single" w:color="auto" w:sz="12"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p>
        </w:tc>
        <w:tc>
          <w:tcPr>
            <w:tcW w:w="1737" w:type="dxa"/>
            <w:tcBorders>
              <w:top w:val="single" w:color="auto" w:sz="12"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hint="eastAsia" w:eastAsia="黑体"/>
                <w:color w:val="auto"/>
                <w:kern w:val="2"/>
              </w:rPr>
              <w:t>预测指标</w:t>
            </w:r>
          </w:p>
        </w:tc>
        <w:tc>
          <w:tcPr>
            <w:tcW w:w="1737" w:type="dxa"/>
            <w:tcBorders>
              <w:top w:val="single" w:color="auto" w:sz="12"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eastAsia="黑体"/>
                <w:color w:val="auto"/>
                <w:kern w:val="2"/>
              </w:rPr>
              <w:t>2015</w:t>
            </w:r>
            <w:r>
              <w:rPr>
                <w:rFonts w:hint="eastAsia" w:eastAsia="黑体"/>
                <w:color w:val="auto"/>
                <w:kern w:val="2"/>
              </w:rPr>
              <w:t>年</w:t>
            </w:r>
          </w:p>
        </w:tc>
        <w:tc>
          <w:tcPr>
            <w:tcW w:w="1737" w:type="dxa"/>
            <w:gridSpan w:val="2"/>
            <w:tcBorders>
              <w:top w:val="single" w:color="auto" w:sz="12"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eastAsia="黑体"/>
                <w:color w:val="auto"/>
                <w:kern w:val="2"/>
              </w:rPr>
              <w:t>2020</w:t>
            </w:r>
            <w:r>
              <w:rPr>
                <w:rFonts w:hint="eastAsia" w:eastAsia="黑体"/>
                <w:color w:val="auto"/>
                <w:kern w:val="2"/>
              </w:rPr>
              <w:t>年</w:t>
            </w:r>
          </w:p>
        </w:tc>
        <w:tc>
          <w:tcPr>
            <w:tcW w:w="1738" w:type="dxa"/>
            <w:tcBorders>
              <w:top w:val="single" w:color="auto" w:sz="12" w:space="0"/>
              <w:left w:val="single" w:color="auto" w:sz="8" w:space="0"/>
              <w:bottom w:val="single" w:color="auto" w:sz="8"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eastAsia="黑体"/>
                <w:color w:val="auto"/>
                <w:kern w:val="2"/>
              </w:rPr>
              <w:t>2025</w:t>
            </w:r>
            <w:r>
              <w:rPr>
                <w:rFonts w:hint="eastAsia" w:eastAsia="黑体"/>
                <w:color w:val="auto"/>
                <w:kern w:val="2"/>
              </w:rPr>
              <w:t>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trPr>
        <w:tc>
          <w:tcPr>
            <w:tcW w:w="2027" w:type="dxa"/>
            <w:tcBorders>
              <w:top w:val="single" w:color="auto" w:sz="8" w:space="0"/>
              <w:left w:val="single" w:color="auto" w:sz="12"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hint="eastAsia" w:eastAsia="黑体"/>
                <w:color w:val="auto"/>
                <w:kern w:val="2"/>
              </w:rPr>
              <w:t>灰色残值法</w:t>
            </w:r>
          </w:p>
        </w:tc>
        <w:tc>
          <w:tcPr>
            <w:tcW w:w="1737" w:type="dxa"/>
            <w:vMerge w:val="restart"/>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GDP</w:t>
            </w:r>
            <w:r>
              <w:rPr>
                <w:rFonts w:hint="eastAsia" w:eastAsia="仿宋_GB2312"/>
                <w:color w:val="auto"/>
                <w:kern w:val="2"/>
              </w:rPr>
              <w:t>（亿元）</w:t>
            </w:r>
          </w:p>
        </w:tc>
        <w:tc>
          <w:tcPr>
            <w:tcW w:w="1737" w:type="dxa"/>
            <w:vMerge w:val="restart"/>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41.08</w:t>
            </w:r>
          </w:p>
        </w:tc>
        <w:tc>
          <w:tcPr>
            <w:tcW w:w="1737" w:type="dxa"/>
            <w:gridSpan w:val="2"/>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63.8</w:t>
            </w:r>
          </w:p>
        </w:tc>
        <w:tc>
          <w:tcPr>
            <w:tcW w:w="1738" w:type="dxa"/>
            <w:tcBorders>
              <w:top w:val="single" w:color="auto" w:sz="8" w:space="0"/>
              <w:left w:val="single" w:color="auto" w:sz="8" w:space="0"/>
              <w:bottom w:val="single" w:color="auto" w:sz="8"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96.8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trPr>
        <w:tc>
          <w:tcPr>
            <w:tcW w:w="2027" w:type="dxa"/>
            <w:tcBorders>
              <w:top w:val="single" w:color="auto" w:sz="8" w:space="0"/>
              <w:left w:val="single" w:color="auto" w:sz="12"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hint="eastAsia" w:eastAsia="黑体"/>
                <w:color w:val="auto"/>
                <w:kern w:val="2"/>
              </w:rPr>
              <w:t>对数线形回归法</w:t>
            </w: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gridSpan w:val="2"/>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64.4</w:t>
            </w:r>
          </w:p>
        </w:tc>
        <w:tc>
          <w:tcPr>
            <w:tcW w:w="1738" w:type="dxa"/>
            <w:tcBorders>
              <w:top w:val="single" w:color="auto" w:sz="8" w:space="0"/>
              <w:left w:val="single" w:color="auto" w:sz="8" w:space="0"/>
              <w:bottom w:val="single" w:color="auto" w:sz="8"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84.7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trPr>
        <w:tc>
          <w:tcPr>
            <w:tcW w:w="2027" w:type="dxa"/>
            <w:tcBorders>
              <w:top w:val="single" w:color="auto" w:sz="8" w:space="0"/>
              <w:left w:val="single" w:color="auto" w:sz="12"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hint="eastAsia" w:eastAsia="黑体"/>
                <w:color w:val="auto"/>
                <w:kern w:val="2"/>
              </w:rPr>
              <w:t>增长率法</w:t>
            </w: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gridSpan w:val="2"/>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70.5</w:t>
            </w:r>
          </w:p>
        </w:tc>
        <w:tc>
          <w:tcPr>
            <w:tcW w:w="1738" w:type="dxa"/>
            <w:tcBorders>
              <w:top w:val="single" w:color="auto" w:sz="8" w:space="0"/>
              <w:left w:val="single" w:color="auto" w:sz="8" w:space="0"/>
              <w:bottom w:val="single" w:color="auto" w:sz="8"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103.5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74" w:hRule="atLeast"/>
        </w:trPr>
        <w:tc>
          <w:tcPr>
            <w:tcW w:w="2027" w:type="dxa"/>
            <w:vMerge w:val="restart"/>
            <w:tcBorders>
              <w:top w:val="single" w:color="auto" w:sz="8" w:space="0"/>
              <w:left w:val="single" w:color="auto" w:sz="12"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黑体"/>
                <w:color w:val="auto"/>
                <w:kern w:val="2"/>
              </w:rPr>
            </w:pPr>
            <w:r>
              <w:rPr>
                <w:rFonts w:hint="eastAsia" w:eastAsia="黑体"/>
                <w:color w:val="auto"/>
                <w:kern w:val="2"/>
              </w:rPr>
              <w:t>推荐值</w:t>
            </w: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vMerge w:val="continue"/>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gridSpan w:val="2"/>
            <w:tcBorders>
              <w:top w:val="single" w:color="auto" w:sz="8" w:space="0"/>
              <w:left w:val="single" w:color="auto" w:sz="8" w:space="0"/>
              <w:bottom w:val="single" w:color="auto" w:sz="8"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66.2</w:t>
            </w:r>
          </w:p>
        </w:tc>
        <w:tc>
          <w:tcPr>
            <w:tcW w:w="1738" w:type="dxa"/>
            <w:tcBorders>
              <w:top w:val="single" w:color="auto" w:sz="8" w:space="0"/>
              <w:left w:val="single" w:color="auto" w:sz="8" w:space="0"/>
              <w:bottom w:val="single" w:color="auto" w:sz="8"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95.0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1" w:hRule="atLeast"/>
        </w:trPr>
        <w:tc>
          <w:tcPr>
            <w:tcW w:w="2027" w:type="dxa"/>
            <w:vMerge w:val="continue"/>
            <w:tcBorders>
              <w:top w:val="single" w:color="auto" w:sz="8" w:space="0"/>
              <w:left w:val="single" w:color="auto" w:sz="12" w:space="0"/>
              <w:bottom w:val="single" w:color="auto" w:sz="12"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p>
        </w:tc>
        <w:tc>
          <w:tcPr>
            <w:tcW w:w="1737" w:type="dxa"/>
            <w:tcBorders>
              <w:top w:val="single" w:color="auto" w:sz="8" w:space="0"/>
              <w:left w:val="single" w:color="auto" w:sz="8" w:space="0"/>
              <w:bottom w:val="single" w:color="auto" w:sz="12"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hint="eastAsia" w:eastAsia="仿宋_GB2312"/>
                <w:color w:val="auto"/>
                <w:kern w:val="2"/>
              </w:rPr>
              <w:t>增长率（</w:t>
            </w:r>
            <w:r>
              <w:rPr>
                <w:rFonts w:eastAsia="仿宋_GB2312"/>
                <w:color w:val="auto"/>
                <w:kern w:val="2"/>
              </w:rPr>
              <w:t>%</w:t>
            </w:r>
            <w:r>
              <w:rPr>
                <w:rFonts w:hint="eastAsia" w:eastAsia="仿宋_GB2312"/>
                <w:color w:val="auto"/>
                <w:kern w:val="2"/>
              </w:rPr>
              <w:t>）</w:t>
            </w:r>
          </w:p>
        </w:tc>
        <w:tc>
          <w:tcPr>
            <w:tcW w:w="2607" w:type="dxa"/>
            <w:gridSpan w:val="2"/>
            <w:tcBorders>
              <w:top w:val="single" w:color="auto" w:sz="8" w:space="0"/>
              <w:left w:val="single" w:color="auto" w:sz="8" w:space="0"/>
              <w:bottom w:val="single" w:color="auto" w:sz="12" w:space="0"/>
              <w:right w:val="single" w:color="auto" w:sz="8"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10.0</w:t>
            </w:r>
          </w:p>
        </w:tc>
        <w:tc>
          <w:tcPr>
            <w:tcW w:w="2605" w:type="dxa"/>
            <w:gridSpan w:val="2"/>
            <w:tcBorders>
              <w:top w:val="single" w:color="auto" w:sz="8" w:space="0"/>
              <w:left w:val="single" w:color="auto" w:sz="8" w:space="0"/>
              <w:bottom w:val="single" w:color="auto" w:sz="12" w:space="0"/>
              <w:right w:val="single" w:color="auto" w:sz="12" w:space="0"/>
            </w:tcBorders>
            <w:noWrap w:val="0"/>
            <w:vAlign w:val="center"/>
          </w:tcPr>
          <w:p>
            <w:pPr>
              <w:pStyle w:val="19"/>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eastAsia="仿宋_GB2312"/>
                <w:color w:val="auto"/>
                <w:kern w:val="2"/>
              </w:rPr>
            </w:pPr>
            <w:r>
              <w:rPr>
                <w:rFonts w:eastAsia="仿宋_GB2312"/>
                <w:color w:val="auto"/>
                <w:kern w:val="2"/>
              </w:rPr>
              <w:t>7.5</w:t>
            </w:r>
          </w:p>
        </w:tc>
      </w:tr>
    </w:tbl>
    <w:p>
      <w:pPr>
        <w:pStyle w:val="2"/>
        <w:spacing w:before="156" w:after="156" w:line="416" w:lineRule="auto"/>
        <w:ind w:firstLine="0" w:firstLineChars="0"/>
        <w:jc w:val="left"/>
        <w:rPr>
          <w:rFonts w:ascii="Times New Roman" w:hAnsi="Times New Roman"/>
        </w:rPr>
      </w:pPr>
      <w:bookmarkStart w:id="49" w:name="_Toc61624426"/>
      <w:bookmarkStart w:id="50" w:name="_Toc3200"/>
      <w:r>
        <w:rPr>
          <w:rFonts w:ascii="Times New Roman" w:hAnsi="Times New Roman" w:eastAsia="黑体"/>
          <w:sz w:val="36"/>
          <w:szCs w:val="36"/>
        </w:rPr>
        <w:t xml:space="preserve">3.2 </w:t>
      </w:r>
      <w:r>
        <w:rPr>
          <w:rFonts w:hint="eastAsia" w:ascii="Times New Roman" w:hAnsi="Times New Roman" w:eastAsia="黑体"/>
          <w:sz w:val="36"/>
          <w:szCs w:val="36"/>
        </w:rPr>
        <w:t>交通发展需求分析</w:t>
      </w:r>
      <w:bookmarkEnd w:id="49"/>
      <w:bookmarkEnd w:id="50"/>
    </w:p>
    <w:p>
      <w:pPr>
        <w:pStyle w:val="4"/>
        <w:adjustRightInd w:val="0"/>
        <w:snapToGrid w:val="0"/>
        <w:spacing w:before="78" w:beforeLines="25" w:after="78" w:afterLines="25"/>
        <w:ind w:left="6238" w:hanging="6238"/>
        <w:rPr>
          <w:bCs w:val="0"/>
        </w:rPr>
      </w:pPr>
      <w:r>
        <w:rPr>
          <w:bCs w:val="0"/>
        </w:rPr>
        <w:t xml:space="preserve">3.2.1 </w:t>
      </w:r>
      <w:r>
        <w:rPr>
          <w:rFonts w:hint="eastAsia"/>
          <w:bCs w:val="0"/>
        </w:rPr>
        <w:t>运输发展现状</w:t>
      </w:r>
    </w:p>
    <w:p>
      <w:pPr>
        <w:ind w:firstLine="640"/>
      </w:pPr>
      <w:r>
        <w:rPr>
          <w:rFonts w:hint="eastAsia"/>
        </w:rPr>
        <w:t>目前，昭化区综合交通运输网络主要由铁路、公路和水运构成，其中公路交通运输所占比重最大，全区</w:t>
      </w:r>
      <w:r>
        <w:t>95%</w:t>
      </w:r>
      <w:r>
        <w:rPr>
          <w:rFonts w:hint="eastAsia"/>
        </w:rPr>
        <w:t>以上的客、货运量主要由公路运输完成。</w:t>
      </w:r>
      <w:r>
        <w:t>2019</w:t>
      </w:r>
      <w:r>
        <w:rPr>
          <w:rFonts w:hint="eastAsia"/>
        </w:rPr>
        <w:t>年，全年公路客运周转量达</w:t>
      </w:r>
      <w:r>
        <w:t>3001</w:t>
      </w:r>
      <w:r>
        <w:rPr>
          <w:rFonts w:hint="eastAsia"/>
        </w:rPr>
        <w:t>万人公里，比上年下降</w:t>
      </w:r>
      <w:r>
        <w:t>18.1%</w:t>
      </w:r>
      <w:r>
        <w:rPr>
          <w:rFonts w:hint="eastAsia"/>
        </w:rPr>
        <w:t>；公路货运周转量达</w:t>
      </w:r>
      <w:r>
        <w:t>106471</w:t>
      </w:r>
      <w:r>
        <w:rPr>
          <w:rFonts w:hint="eastAsia"/>
        </w:rPr>
        <w:t>万吨公里，比上年增长</w:t>
      </w:r>
      <w:r>
        <w:t>10.7%</w:t>
      </w:r>
      <w:r>
        <w:rPr>
          <w:rFonts w:hint="eastAsia"/>
        </w:rPr>
        <w:t>。</w:t>
      </w:r>
    </w:p>
    <w:p>
      <w:pPr>
        <w:ind w:firstLine="640"/>
      </w:pPr>
      <w:r>
        <w:rPr>
          <w:rFonts w:hint="eastAsia"/>
        </w:rPr>
        <w:t>水路运输方面，随着渡改公路桥、渡改人行桥的加快实施，客渡船数量持续减少；同时，受宏观经济形势和能源需求疲弱态势，水上货运规模日益萎缩，全区水路客货物运输量均有较明显下降。</w:t>
      </w:r>
    </w:p>
    <w:p>
      <w:pPr>
        <w:pStyle w:val="4"/>
        <w:adjustRightInd w:val="0"/>
        <w:snapToGrid w:val="0"/>
        <w:spacing w:before="78" w:beforeLines="25" w:after="78" w:afterLines="25"/>
        <w:ind w:left="6238" w:hanging="6238"/>
        <w:rPr>
          <w:bCs w:val="0"/>
        </w:rPr>
      </w:pPr>
      <w:r>
        <w:rPr>
          <w:bCs w:val="0"/>
        </w:rPr>
        <w:t xml:space="preserve">3.2.2 </w:t>
      </w:r>
      <w:r>
        <w:rPr>
          <w:rFonts w:hint="eastAsia"/>
          <w:bCs w:val="0"/>
        </w:rPr>
        <w:t>总体需求特征</w:t>
      </w:r>
    </w:p>
    <w:p>
      <w:pPr>
        <w:spacing w:line="600" w:lineRule="exact"/>
        <w:ind w:firstLine="643"/>
        <w:rPr>
          <w:rFonts w:eastAsia="楷体_GB2312"/>
          <w:b/>
        </w:rPr>
      </w:pPr>
      <w:r>
        <w:rPr>
          <w:rFonts w:eastAsia="楷体_GB2312"/>
          <w:b/>
        </w:rPr>
        <w:t>1.</w:t>
      </w:r>
      <w:r>
        <w:rPr>
          <w:rFonts w:hint="eastAsia" w:eastAsia="楷体_GB2312"/>
          <w:b/>
        </w:rPr>
        <w:t>客运需求特征</w:t>
      </w:r>
    </w:p>
    <w:p>
      <w:pPr>
        <w:spacing w:line="600" w:lineRule="exact"/>
        <w:ind w:firstLine="643"/>
        <w:rPr>
          <w:rFonts w:eastAsia="黑体"/>
          <w:bCs/>
        </w:rPr>
      </w:pPr>
      <w:r>
        <w:rPr>
          <w:rFonts w:hint="eastAsia" w:eastAsia="楷体_GB2312"/>
          <w:b/>
          <w:bCs/>
        </w:rPr>
        <w:t>（</w:t>
      </w:r>
      <w:r>
        <w:rPr>
          <w:rFonts w:eastAsia="楷体_GB2312"/>
          <w:b/>
          <w:bCs/>
        </w:rPr>
        <w:t>1</w:t>
      </w:r>
      <w:r>
        <w:rPr>
          <w:rFonts w:hint="eastAsia" w:eastAsia="楷体_GB2312"/>
          <w:b/>
          <w:bCs/>
        </w:rPr>
        <w:t>）对外客流需求快速增长</w:t>
      </w:r>
      <w:r>
        <w:rPr>
          <w:rFonts w:hint="eastAsia" w:eastAsia="楷体_GB2312"/>
          <w:b/>
        </w:rPr>
        <w:t>。</w:t>
      </w:r>
      <w:r>
        <w:rPr>
          <w:rFonts w:hint="eastAsia"/>
        </w:rPr>
        <w:t>省委十一届三次全会提出要深入推进全面开放合作，坚定把</w:t>
      </w:r>
      <w:r>
        <w:t>“</w:t>
      </w:r>
      <w:r>
        <w:rPr>
          <w:rFonts w:hint="eastAsia"/>
        </w:rPr>
        <w:t>四向拓展、全域开放</w:t>
      </w:r>
      <w:r>
        <w:t>”</w:t>
      </w:r>
      <w:r>
        <w:rPr>
          <w:rFonts w:hint="eastAsia"/>
        </w:rPr>
        <w:t>作为四川融入全球经济格局、抢占未来发展制高点的关键之举强力推进，扩大开放是加快发展的必由之路。随着</w:t>
      </w:r>
      <w:r>
        <w:t>“</w:t>
      </w:r>
      <w:r>
        <w:rPr>
          <w:rFonts w:hint="eastAsia"/>
        </w:rPr>
        <w:t>一带一路</w:t>
      </w:r>
      <w:r>
        <w:t>”</w:t>
      </w:r>
      <w:r>
        <w:rPr>
          <w:rFonts w:hint="eastAsia"/>
        </w:rPr>
        <w:t>建设、长江经济带发展，以及成渝地区双城经济圈建设等重大战略深入推进，广元及昭化将主动承接东部沿海发达地区、成渝发展双核的产业转移，积极参与国际国内合作，将极大增强经济活力和新引力，与周边经贸往来与人员交流合作均将更为频繁，跨区域客运市场需求广阔，全社会客运需求将保持持续旺盛的发展态势。</w:t>
      </w:r>
    </w:p>
    <w:p>
      <w:pPr>
        <w:spacing w:line="600" w:lineRule="exact"/>
        <w:ind w:firstLine="643"/>
      </w:pPr>
      <w:r>
        <w:rPr>
          <w:rFonts w:hint="eastAsia" w:eastAsia="楷体_GB2312"/>
          <w:b/>
          <w:bCs/>
        </w:rPr>
        <w:t>（</w:t>
      </w:r>
      <w:r>
        <w:rPr>
          <w:rFonts w:eastAsia="楷体_GB2312"/>
          <w:b/>
          <w:bCs/>
        </w:rPr>
        <w:t>2</w:t>
      </w:r>
      <w:r>
        <w:rPr>
          <w:rFonts w:hint="eastAsia" w:eastAsia="楷体_GB2312"/>
          <w:b/>
          <w:bCs/>
        </w:rPr>
        <w:t>）城际客流需求日趋活跃。</w:t>
      </w:r>
      <w:r>
        <w:rPr>
          <w:rFonts w:hint="eastAsia"/>
        </w:rPr>
        <w:t>针对四川发展缺乏强有力的支点，区域发展差异明显，为全面推动高质量发展，奋力推动治蜀兴川再上新台阶，省委、省政府作出</w:t>
      </w:r>
      <w:r>
        <w:t>“</w:t>
      </w:r>
      <w:r>
        <w:rPr>
          <w:rFonts w:hint="eastAsia"/>
        </w:rPr>
        <w:t>一干多支、五区协同</w:t>
      </w:r>
      <w:r>
        <w:t>”</w:t>
      </w:r>
      <w:r>
        <w:rPr>
          <w:rFonts w:hint="eastAsia"/>
        </w:rPr>
        <w:t>的重大部署，支持成都建设全面体现新发展理念的国家中心城市，同时壮大区域发展重要支点。随着</w:t>
      </w:r>
      <w:r>
        <w:t>“</w:t>
      </w:r>
      <w:r>
        <w:rPr>
          <w:rFonts w:hint="eastAsia"/>
        </w:rPr>
        <w:t>主干</w:t>
      </w:r>
      <w:r>
        <w:t>”</w:t>
      </w:r>
      <w:r>
        <w:rPr>
          <w:rFonts w:hint="eastAsia"/>
        </w:rPr>
        <w:t>引领带动、</w:t>
      </w:r>
      <w:r>
        <w:t>“</w:t>
      </w:r>
      <w:r>
        <w:rPr>
          <w:rFonts w:hint="eastAsia"/>
        </w:rPr>
        <w:t>多支</w:t>
      </w:r>
      <w:r>
        <w:t>”</w:t>
      </w:r>
      <w:r>
        <w:rPr>
          <w:rFonts w:hint="eastAsia"/>
        </w:rPr>
        <w:t>竞相发展、</w:t>
      </w:r>
      <w:r>
        <w:t>“</w:t>
      </w:r>
      <w:r>
        <w:rPr>
          <w:rFonts w:hint="eastAsia"/>
        </w:rPr>
        <w:t>干</w:t>
      </w:r>
      <w:r>
        <w:t>”“</w:t>
      </w:r>
      <w:r>
        <w:rPr>
          <w:rFonts w:hint="eastAsia"/>
        </w:rPr>
        <w:t>支</w:t>
      </w:r>
      <w:r>
        <w:t>”</w:t>
      </w:r>
      <w:r>
        <w:rPr>
          <w:rFonts w:hint="eastAsia"/>
        </w:rPr>
        <w:t>协同联动发展格局的逐渐发展，首位城市与各市（州）之间、市（州）与市（州）之间、市（州）与县（区、市）之间交流合作将更加频繁，经济往来进一步加强，由此产生的以城际为主的客流将逐步活跃，同时城际交通网的加快完善，也将促进城际间客运需求进一步膨胀。</w:t>
      </w:r>
    </w:p>
    <w:p>
      <w:pPr>
        <w:spacing w:line="600" w:lineRule="exact"/>
        <w:ind w:firstLine="643"/>
        <w:rPr>
          <w:rFonts w:eastAsia="楷体_GB2312"/>
          <w:b/>
          <w:bCs/>
        </w:rPr>
      </w:pPr>
      <w:r>
        <w:rPr>
          <w:rFonts w:hint="eastAsia" w:eastAsia="楷体_GB2312"/>
          <w:b/>
          <w:bCs/>
        </w:rPr>
        <w:t>（</w:t>
      </w:r>
      <w:r>
        <w:rPr>
          <w:rFonts w:eastAsia="楷体_GB2312"/>
          <w:b/>
          <w:bCs/>
        </w:rPr>
        <w:t>3</w:t>
      </w:r>
      <w:r>
        <w:rPr>
          <w:rFonts w:hint="eastAsia" w:eastAsia="楷体_GB2312"/>
          <w:b/>
          <w:bCs/>
        </w:rPr>
        <w:t>）城乡客运需求逐步激发。</w:t>
      </w:r>
      <w:r>
        <w:rPr>
          <w:rFonts w:hint="eastAsia"/>
        </w:rPr>
        <w:t>在全面建成小康社会的基础上，加快推进新型城镇化建设、统筹区域和城乡发展是乡村振兴发展战略的重要任务。随着把城乡作为一个整体，统筹安排城乡规划、产业发展、基础设施、公共服务和社会管理，并有序推进农业转移人口市民化、统筹解决农业转移人口的住房、就业、养老、子女教育等问题，城乡分割分治的二元结构将被逐步打破，城乡之间生产要素的自由流动更加频繁，转移人口由于身份转变和生产生活方式转变带来的个体出行需求也更加强烈。交通运输作为基础、服务性行业，将向广大农村地区继续延伸和覆盖，出行条件的不断改善，将使市域和农村客运需求得到进一步激发。</w:t>
      </w:r>
    </w:p>
    <w:p>
      <w:pPr>
        <w:spacing w:line="600" w:lineRule="exact"/>
        <w:ind w:firstLine="643"/>
      </w:pPr>
      <w:r>
        <w:rPr>
          <w:rFonts w:hint="eastAsia" w:eastAsia="楷体_GB2312"/>
          <w:b/>
          <w:bCs/>
        </w:rPr>
        <w:t>（</w:t>
      </w:r>
      <w:r>
        <w:rPr>
          <w:rFonts w:eastAsia="楷体_GB2312"/>
          <w:b/>
          <w:bCs/>
        </w:rPr>
        <w:t>4</w:t>
      </w:r>
      <w:r>
        <w:rPr>
          <w:rFonts w:hint="eastAsia" w:eastAsia="楷体_GB2312"/>
          <w:b/>
          <w:bCs/>
        </w:rPr>
        <w:t>）多样化出行需求不断增加。</w:t>
      </w:r>
      <w:r>
        <w:rPr>
          <w:rFonts w:hint="eastAsia"/>
        </w:rPr>
        <w:t>交通基础设施的不断完善，人们的出行方式将有更多选择。随着西成高铁的建成通车，以及水上旅游的加快发展，综合运输市场结构将发生重大调整，铁路和水路客运出行总量呈上涨趋势。同时，由于昭化区旅游需求更加旺盛，拥有昭化古城、平乐旅游景区、柏林湖国家湿地公园等知名景区景点，在全域旅游和文旅强省建设的大背景下，昭化区未来旅游需求旺盛，</w:t>
      </w:r>
      <w:r>
        <w:t>“</w:t>
      </w:r>
      <w:r>
        <w:rPr>
          <w:rFonts w:hint="eastAsia"/>
        </w:rPr>
        <w:t>交通</w:t>
      </w:r>
      <w:r>
        <w:t>+</w:t>
      </w:r>
      <w:r>
        <w:rPr>
          <w:rFonts w:hint="eastAsia"/>
        </w:rPr>
        <w:t>旅游</w:t>
      </w:r>
      <w:r>
        <w:t>”</w:t>
      </w:r>
      <w:r>
        <w:rPr>
          <w:rFonts w:hint="eastAsia"/>
        </w:rPr>
        <w:t>融合发展等新业态新模式潜力巨大，且以娱乐、购物、健身、休闲等为目的的城乡间出行需求也将明显增多，对交通出行和品质服务的要求将由</w:t>
      </w:r>
      <w:r>
        <w:t>“</w:t>
      </w:r>
      <w:r>
        <w:rPr>
          <w:rFonts w:hint="eastAsia"/>
        </w:rPr>
        <w:t>走得了</w:t>
      </w:r>
      <w:r>
        <w:t>”</w:t>
      </w:r>
      <w:r>
        <w:rPr>
          <w:rFonts w:hint="eastAsia"/>
        </w:rPr>
        <w:t>向</w:t>
      </w:r>
      <w:r>
        <w:t>“</w:t>
      </w:r>
      <w:r>
        <w:rPr>
          <w:rFonts w:hint="eastAsia"/>
        </w:rPr>
        <w:t>走得安全、走得便捷、走得舒心</w:t>
      </w:r>
      <w:r>
        <w:t>”</w:t>
      </w:r>
      <w:r>
        <w:rPr>
          <w:rFonts w:hint="eastAsia"/>
        </w:rPr>
        <w:t>转变。</w:t>
      </w:r>
    </w:p>
    <w:p>
      <w:pPr>
        <w:spacing w:line="600" w:lineRule="exact"/>
        <w:ind w:firstLine="643"/>
        <w:rPr>
          <w:rFonts w:eastAsia="楷体_GB2312"/>
          <w:b/>
        </w:rPr>
      </w:pPr>
      <w:r>
        <w:rPr>
          <w:rFonts w:eastAsia="楷体_GB2312"/>
          <w:b/>
        </w:rPr>
        <w:t>2.</w:t>
      </w:r>
      <w:r>
        <w:rPr>
          <w:rFonts w:hint="eastAsia" w:eastAsia="楷体_GB2312"/>
          <w:b/>
        </w:rPr>
        <w:t>货运需求特征</w:t>
      </w:r>
    </w:p>
    <w:p>
      <w:pPr>
        <w:keepNext w:val="0"/>
        <w:keepLines w:val="0"/>
        <w:pageBreakBefore w:val="0"/>
        <w:widowControl w:val="0"/>
        <w:kinsoku/>
        <w:wordWrap/>
        <w:overflowPunct/>
        <w:topLinePunct w:val="0"/>
        <w:autoSpaceDE/>
        <w:autoSpaceDN/>
        <w:bidi w:val="0"/>
        <w:adjustRightInd/>
        <w:snapToGrid/>
        <w:spacing w:line="576" w:lineRule="exact"/>
        <w:ind w:firstLine="643"/>
        <w:textAlignment w:val="auto"/>
      </w:pPr>
      <w:r>
        <w:rPr>
          <w:rFonts w:hint="eastAsia" w:eastAsia="楷体_GB2312"/>
          <w:b/>
        </w:rPr>
        <w:t>（</w:t>
      </w:r>
      <w:r>
        <w:rPr>
          <w:rFonts w:eastAsia="楷体_GB2312"/>
          <w:b/>
        </w:rPr>
        <w:t>1</w:t>
      </w:r>
      <w:r>
        <w:rPr>
          <w:rFonts w:hint="eastAsia" w:eastAsia="楷体_GB2312"/>
          <w:b/>
        </w:rPr>
        <w:t>）货运需求总量稳步增加。</w:t>
      </w:r>
      <w:r>
        <w:rPr>
          <w:rFonts w:hint="eastAsia"/>
        </w:rPr>
        <w:t>省委、省政府提出加快建设经济强省，要求推动新旧动能转换，加快产业转型升级，构建高端突破、优势凸显的现代产业支撑。工业经济的快速发展为全省货物运输提供了广阔的市场空间，特别是随着工业转型升级，以及广元港的加快建设，物流中心的集聚效应将更强，同时也要求货物运输提供高质量的运输组织服务。乡村振兴战略实施，以</w:t>
      </w:r>
      <w:r>
        <w:t>“</w:t>
      </w:r>
      <w:r>
        <w:rPr>
          <w:rFonts w:hint="eastAsia"/>
        </w:rPr>
        <w:t>特色农产品出口、进城，工业品下乡</w:t>
      </w:r>
      <w:r>
        <w:t>”</w:t>
      </w:r>
      <w:r>
        <w:rPr>
          <w:rFonts w:hint="eastAsia"/>
        </w:rPr>
        <w:t>等新兴运输货物量将呈现快速增长态势，高时效的农副产品快速转运需求将急剧增长。</w:t>
      </w:r>
    </w:p>
    <w:p>
      <w:pPr>
        <w:keepNext w:val="0"/>
        <w:keepLines w:val="0"/>
        <w:pageBreakBefore w:val="0"/>
        <w:widowControl w:val="0"/>
        <w:kinsoku/>
        <w:wordWrap/>
        <w:overflowPunct/>
        <w:topLinePunct w:val="0"/>
        <w:autoSpaceDE/>
        <w:autoSpaceDN/>
        <w:bidi w:val="0"/>
        <w:adjustRightInd/>
        <w:snapToGrid/>
        <w:spacing w:line="576" w:lineRule="exact"/>
        <w:ind w:firstLine="643"/>
        <w:textAlignment w:val="auto"/>
      </w:pPr>
      <w:r>
        <w:rPr>
          <w:rFonts w:hint="eastAsia" w:eastAsia="楷体_GB2312"/>
          <w:b/>
        </w:rPr>
        <w:t>（</w:t>
      </w:r>
      <w:r>
        <w:rPr>
          <w:rFonts w:eastAsia="楷体_GB2312"/>
          <w:b/>
        </w:rPr>
        <w:t>2</w:t>
      </w:r>
      <w:r>
        <w:rPr>
          <w:rFonts w:hint="eastAsia" w:eastAsia="楷体_GB2312"/>
          <w:b/>
        </w:rPr>
        <w:t>）现代物流转型发展迫切。</w:t>
      </w:r>
      <w:r>
        <w:rPr>
          <w:rFonts w:hint="eastAsia"/>
        </w:rPr>
        <w:t>服务业充分发展是现代产业发展的趋势，是产业结构优化升级的重要抓手，也是交通运输长远发展的重要增长点。随着产业结构调整与产品结构升级，大宗物资运输比重降低，一般消费品、轻质化和高附加值货物比重增加，重量轻、货值高、体积小、批次多、对服务要求高的货物运输量将大幅增长，要求传统货运在满足基本运输需求基础上，能提供更多配送、仓储、包装等附加服务，进一步降低实惠物流成本，推动物流降本增效，实现传统货运向现代物流的转型发展。</w:t>
      </w:r>
    </w:p>
    <w:p>
      <w:pPr>
        <w:keepNext w:val="0"/>
        <w:keepLines w:val="0"/>
        <w:pageBreakBefore w:val="0"/>
        <w:widowControl w:val="0"/>
        <w:kinsoku/>
        <w:wordWrap/>
        <w:overflowPunct/>
        <w:topLinePunct w:val="0"/>
        <w:autoSpaceDE/>
        <w:autoSpaceDN/>
        <w:bidi w:val="0"/>
        <w:adjustRightInd/>
        <w:snapToGrid/>
        <w:spacing w:line="576" w:lineRule="exact"/>
        <w:ind w:firstLine="643"/>
        <w:textAlignment w:val="auto"/>
        <w:sectPr>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312" w:charSpace="0"/>
        </w:sectPr>
      </w:pPr>
      <w:r>
        <w:rPr>
          <w:rFonts w:hint="eastAsia" w:eastAsia="楷体_GB2312"/>
          <w:b/>
        </w:rPr>
        <w:t>（</w:t>
      </w:r>
      <w:r>
        <w:rPr>
          <w:rFonts w:eastAsia="楷体_GB2312"/>
          <w:b/>
        </w:rPr>
        <w:t>3</w:t>
      </w:r>
      <w:r>
        <w:rPr>
          <w:rFonts w:hint="eastAsia" w:eastAsia="楷体_GB2312"/>
          <w:b/>
        </w:rPr>
        <w:t>）多式联运需求更加旺盛。</w:t>
      </w:r>
      <w:r>
        <w:rPr>
          <w:rFonts w:hint="eastAsia"/>
        </w:rPr>
        <w:t>为支撑</w:t>
      </w:r>
      <w:r>
        <w:t>“</w:t>
      </w:r>
      <w:r>
        <w:rPr>
          <w:rFonts w:hint="eastAsia"/>
        </w:rPr>
        <w:t>一干多支、五区协同</w:t>
      </w:r>
      <w:r>
        <w:t>”</w:t>
      </w:r>
      <w:r>
        <w:rPr>
          <w:rFonts w:hint="eastAsia"/>
        </w:rPr>
        <w:t>发展战略，全省提出要强力推进以立体交通为重点的开放大通道建设，打造现代综合交通运输体系。市委、市政府要求拓展通道、构建枢纽、完善网络、提升功能、支撑发展、做强门户，着力构建安全、便捷、高效、绿色的现代综合交通运输体系，其关键之一是要加强铁路、公路、水路、航空等多种运输方式的有效衔接，实现各种运输体系的高效整合，特别是随着产业结构升级，发展多式联运以节约物流成本的需求也逐渐显现，各种运输方式将发挥各自技术特长、优势互补，实现货运无缝衔接的需求也将进一步凸显。</w:t>
      </w:r>
    </w:p>
    <w:p>
      <w:pPr>
        <w:keepNext/>
        <w:keepLines/>
        <w:adjustRightInd w:val="0"/>
        <w:snapToGrid w:val="0"/>
        <w:spacing w:before="312" w:beforeLines="100" w:after="312" w:afterLines="100"/>
        <w:ind w:firstLine="0" w:firstLineChars="0"/>
        <w:jc w:val="center"/>
        <w:outlineLvl w:val="0"/>
        <w:rPr>
          <w:rFonts w:hint="eastAsia" w:ascii="方正小标宋简体" w:hAnsi="方正小标宋简体" w:eastAsia="方正小标宋简体" w:cs="方正小标宋简体"/>
          <w:bCs/>
          <w:kern w:val="44"/>
          <w:sz w:val="44"/>
          <w:szCs w:val="44"/>
        </w:rPr>
      </w:pPr>
      <w:bookmarkStart w:id="51" w:name="_Toc61624427"/>
      <w:bookmarkStart w:id="52" w:name="_Toc736"/>
      <w:bookmarkStart w:id="53" w:name="_Toc31589"/>
      <w:r>
        <w:rPr>
          <w:rFonts w:hint="eastAsia" w:ascii="方正小标宋简体" w:hAnsi="方正小标宋简体" w:eastAsia="方正小标宋简体" w:cs="方正小标宋简体"/>
          <w:bCs/>
          <w:kern w:val="44"/>
          <w:sz w:val="44"/>
          <w:szCs w:val="44"/>
        </w:rPr>
        <w:t>第4章 总体布局</w:t>
      </w:r>
      <w:bookmarkEnd w:id="51"/>
      <w:bookmarkEnd w:id="52"/>
    </w:p>
    <w:p>
      <w:pPr>
        <w:keepNext/>
        <w:keepLines/>
        <w:spacing w:before="156" w:after="156" w:line="416" w:lineRule="auto"/>
        <w:ind w:firstLine="0" w:firstLineChars="0"/>
        <w:jc w:val="left"/>
        <w:outlineLvl w:val="1"/>
        <w:rPr>
          <w:rFonts w:eastAsia="黑体"/>
          <w:bCs/>
          <w:sz w:val="36"/>
          <w:szCs w:val="36"/>
        </w:rPr>
      </w:pPr>
      <w:bookmarkStart w:id="54" w:name="_Toc7412"/>
      <w:bookmarkStart w:id="55" w:name="_Toc61624428"/>
      <w:r>
        <w:rPr>
          <w:rFonts w:eastAsia="黑体"/>
          <w:bCs/>
          <w:sz w:val="36"/>
          <w:szCs w:val="36"/>
        </w:rPr>
        <w:t xml:space="preserve">4.1 </w:t>
      </w:r>
      <w:r>
        <w:rPr>
          <w:rFonts w:hint="eastAsia" w:eastAsia="黑体"/>
          <w:bCs/>
          <w:sz w:val="36"/>
          <w:szCs w:val="36"/>
        </w:rPr>
        <w:t>战略定位</w:t>
      </w:r>
      <w:bookmarkEnd w:id="54"/>
      <w:bookmarkEnd w:id="55"/>
    </w:p>
    <w:p>
      <w:pPr>
        <w:ind w:firstLine="640"/>
        <w:rPr>
          <w:szCs w:val="32"/>
        </w:rPr>
      </w:pPr>
      <w:r>
        <w:rPr>
          <w:rFonts w:hint="eastAsia"/>
          <w:szCs w:val="32"/>
        </w:rPr>
        <w:t>四川省《关于贯彻落实</w:t>
      </w:r>
      <w:r>
        <w:rPr>
          <w:szCs w:val="32"/>
        </w:rPr>
        <w:t>&lt;</w:t>
      </w:r>
      <w:r>
        <w:rPr>
          <w:rFonts w:hint="eastAsia"/>
          <w:szCs w:val="32"/>
        </w:rPr>
        <w:t>交通强国建设纲要</w:t>
      </w:r>
      <w:r>
        <w:rPr>
          <w:szCs w:val="32"/>
        </w:rPr>
        <w:t>&gt;</w:t>
      </w:r>
      <w:r>
        <w:rPr>
          <w:rFonts w:hint="eastAsia"/>
          <w:szCs w:val="32"/>
        </w:rPr>
        <w:t>加快建设交通强省的实施意见》中明确提出：建设多层级、一体化的综合交通枢纽体系。强化成都国际性综合交通枢纽功能，打造泸州</w:t>
      </w:r>
      <w:r>
        <w:rPr>
          <w:szCs w:val="32"/>
        </w:rPr>
        <w:t>—</w:t>
      </w:r>
      <w:r>
        <w:rPr>
          <w:rFonts w:hint="eastAsia"/>
          <w:szCs w:val="32"/>
        </w:rPr>
        <w:t>宜宾、万州</w:t>
      </w:r>
      <w:r>
        <w:rPr>
          <w:szCs w:val="32"/>
        </w:rPr>
        <w:t>—</w:t>
      </w:r>
      <w:r>
        <w:rPr>
          <w:rFonts w:hint="eastAsia"/>
          <w:szCs w:val="32"/>
        </w:rPr>
        <w:t>达州</w:t>
      </w:r>
      <w:r>
        <w:rPr>
          <w:szCs w:val="32"/>
        </w:rPr>
        <w:t>—</w:t>
      </w:r>
      <w:r>
        <w:rPr>
          <w:rFonts w:hint="eastAsia"/>
          <w:szCs w:val="32"/>
        </w:rPr>
        <w:t>开州、攀枝花、广元等全国性综合交通枢纽，培育南充</w:t>
      </w:r>
      <w:r>
        <w:rPr>
          <w:szCs w:val="32"/>
        </w:rPr>
        <w:t>—</w:t>
      </w:r>
      <w:r>
        <w:rPr>
          <w:rFonts w:hint="eastAsia"/>
          <w:szCs w:val="32"/>
        </w:rPr>
        <w:t>遂宁</w:t>
      </w:r>
      <w:r>
        <w:rPr>
          <w:szCs w:val="32"/>
        </w:rPr>
        <w:t>—</w:t>
      </w:r>
      <w:r>
        <w:rPr>
          <w:rFonts w:hint="eastAsia"/>
          <w:szCs w:val="32"/>
        </w:rPr>
        <w:t>广安、内江</w:t>
      </w:r>
      <w:r>
        <w:rPr>
          <w:szCs w:val="32"/>
        </w:rPr>
        <w:t>—</w:t>
      </w:r>
      <w:r>
        <w:rPr>
          <w:rFonts w:hint="eastAsia"/>
          <w:szCs w:val="32"/>
        </w:rPr>
        <w:t>自贡、绵阳、乐山等区域性综合交通枢纽，加强枢纽港站一体化规划建设。</w:t>
      </w:r>
    </w:p>
    <w:p>
      <w:pPr>
        <w:ind w:firstLine="640"/>
        <w:rPr>
          <w:szCs w:val="32"/>
        </w:rPr>
      </w:pPr>
      <w:r>
        <w:rPr>
          <w:rFonts w:hint="eastAsia"/>
          <w:szCs w:val="32"/>
        </w:rPr>
        <w:t>昭化区综合交通运输发展的总体战略定位是：围绕支撑广元市打造川陕甘结合部现代化中心城市，加强交通基础设施建设，提升公路、铁路、水运畅通衔接能力，推进“</w:t>
      </w:r>
      <w:bookmarkStart w:id="56" w:name="_Hlk75883054"/>
      <w:r>
        <w:rPr>
          <w:rFonts w:hint="eastAsia"/>
          <w:szCs w:val="32"/>
        </w:rPr>
        <w:t>五纵五横十连线</w:t>
      </w:r>
      <w:bookmarkEnd w:id="56"/>
      <w:r>
        <w:rPr>
          <w:rFonts w:hint="eastAsia"/>
          <w:szCs w:val="32"/>
        </w:rPr>
        <w:t>”</w:t>
      </w:r>
      <w:r>
        <w:rPr>
          <w:szCs w:val="32"/>
          <w:vertAlign w:val="superscript"/>
        </w:rPr>
        <w:footnoteReference w:id="1"/>
      </w:r>
      <w:r>
        <w:rPr>
          <w:rFonts w:hint="eastAsia"/>
          <w:szCs w:val="32"/>
        </w:rPr>
        <w:t>内联外畅公路骨干网络建设，推进铁路货运和水运实现大连接，推进港口航运区域协同发展，打造连接西南西北的重要交通节点，打造综合交通一体化发展的先行区，打造“交通</w:t>
      </w:r>
      <w:r>
        <w:rPr>
          <w:szCs w:val="32"/>
        </w:rPr>
        <w:t>+</w:t>
      </w:r>
      <w:r>
        <w:rPr>
          <w:rFonts w:hint="eastAsia"/>
          <w:szCs w:val="32"/>
        </w:rPr>
        <w:t>”融合发展的示范区，提升经济辐射力，资源集成力、开放影响力，为</w:t>
      </w:r>
      <w:bookmarkStart w:id="57" w:name="_Hlk61623412"/>
      <w:r>
        <w:rPr>
          <w:rFonts w:hint="eastAsia"/>
          <w:szCs w:val="32"/>
        </w:rPr>
        <w:t>广元打造全国性综合交通枢纽</w:t>
      </w:r>
      <w:bookmarkEnd w:id="57"/>
      <w:r>
        <w:rPr>
          <w:rFonts w:hint="eastAsia"/>
          <w:szCs w:val="32"/>
        </w:rPr>
        <w:t>提供有力支撑。</w:t>
      </w:r>
    </w:p>
    <w:p>
      <w:pPr>
        <w:pageBreakBefore w:val="0"/>
        <w:widowControl w:val="0"/>
        <w:kinsoku/>
        <w:wordWrap/>
        <w:overflowPunct/>
        <w:topLinePunct w:val="0"/>
        <w:autoSpaceDE/>
        <w:autoSpaceDN/>
        <w:bidi w:val="0"/>
        <w:adjustRightInd/>
        <w:snapToGrid/>
        <w:spacing w:line="620" w:lineRule="exact"/>
        <w:ind w:firstLine="640"/>
        <w:textAlignment w:val="auto"/>
        <w:rPr>
          <w:rFonts w:eastAsia="黑体"/>
          <w:szCs w:val="32"/>
        </w:rPr>
      </w:pPr>
      <w:r>
        <w:rPr>
          <w:rFonts w:eastAsia="黑体"/>
          <w:szCs w:val="32"/>
        </w:rPr>
        <w:t>1.</w:t>
      </w:r>
      <w:bookmarkStart w:id="58" w:name="_Hlk60163261"/>
      <w:r>
        <w:rPr>
          <w:rFonts w:hint="eastAsia" w:eastAsia="黑体"/>
          <w:szCs w:val="32"/>
        </w:rPr>
        <w:t>打造连接西南西北的重要交通节点</w:t>
      </w:r>
      <w:bookmarkEnd w:id="58"/>
    </w:p>
    <w:p>
      <w:pPr>
        <w:pageBreakBefore w:val="0"/>
        <w:widowControl w:val="0"/>
        <w:kinsoku/>
        <w:wordWrap/>
        <w:overflowPunct/>
        <w:topLinePunct w:val="0"/>
        <w:autoSpaceDE/>
        <w:autoSpaceDN/>
        <w:bidi w:val="0"/>
        <w:adjustRightInd/>
        <w:snapToGrid/>
        <w:spacing w:line="620" w:lineRule="exact"/>
        <w:ind w:firstLine="640"/>
        <w:textAlignment w:val="auto"/>
        <w:rPr>
          <w:szCs w:val="32"/>
        </w:rPr>
      </w:pPr>
      <w:r>
        <w:rPr>
          <w:rFonts w:hint="eastAsia"/>
          <w:szCs w:val="32"/>
        </w:rPr>
        <w:t>昭化区位于川甘陕三省接合部，地处中国中西部交接地带上，是西北连接西南的重要通道，在助推广元建设四川北向东出桥头堡上有优势、有基础。依托兰渝、广巴铁路，绵广、广巴、广南高速，以及嘉陵江航道，积极对接成都、重庆、西安等西部中心城市，推动交通基础设施与运输服务</w:t>
      </w:r>
      <w:r>
        <w:rPr>
          <w:szCs w:val="32"/>
        </w:rPr>
        <w:t>“</w:t>
      </w:r>
      <w:r>
        <w:rPr>
          <w:rFonts w:hint="eastAsia"/>
          <w:szCs w:val="32"/>
        </w:rPr>
        <w:t>软</w:t>
      </w:r>
      <w:r>
        <w:rPr>
          <w:szCs w:val="32"/>
        </w:rPr>
        <w:t>”“</w:t>
      </w:r>
      <w:r>
        <w:rPr>
          <w:rFonts w:hint="eastAsia"/>
          <w:szCs w:val="32"/>
        </w:rPr>
        <w:t>硬</w:t>
      </w:r>
      <w:r>
        <w:rPr>
          <w:szCs w:val="32"/>
        </w:rPr>
        <w:t>”</w:t>
      </w:r>
      <w:r>
        <w:rPr>
          <w:rFonts w:hint="eastAsia"/>
          <w:szCs w:val="32"/>
        </w:rPr>
        <w:t>联通，把交通区位优势转化为发展优势，大力发展通道经济和枢纽经济，打造连接西南西北、实现西部地区通江达海的重要交通节点。</w:t>
      </w:r>
    </w:p>
    <w:p>
      <w:pPr>
        <w:pageBreakBefore w:val="0"/>
        <w:widowControl w:val="0"/>
        <w:kinsoku/>
        <w:wordWrap/>
        <w:overflowPunct/>
        <w:topLinePunct w:val="0"/>
        <w:autoSpaceDE/>
        <w:autoSpaceDN/>
        <w:bidi w:val="0"/>
        <w:adjustRightInd/>
        <w:snapToGrid/>
        <w:spacing w:line="620" w:lineRule="exact"/>
        <w:ind w:firstLine="640"/>
        <w:textAlignment w:val="auto"/>
        <w:rPr>
          <w:rFonts w:eastAsia="黑体"/>
          <w:szCs w:val="32"/>
        </w:rPr>
      </w:pPr>
      <w:r>
        <w:rPr>
          <w:rFonts w:eastAsia="黑体"/>
          <w:szCs w:val="32"/>
        </w:rPr>
        <w:t>2.</w:t>
      </w:r>
      <w:bookmarkStart w:id="59" w:name="_Hlk60163273"/>
      <w:r>
        <w:rPr>
          <w:rFonts w:hint="eastAsia" w:eastAsia="黑体"/>
          <w:szCs w:val="32"/>
        </w:rPr>
        <w:t>打造</w:t>
      </w:r>
      <w:bookmarkStart w:id="60" w:name="_Hlk61622962"/>
      <w:r>
        <w:rPr>
          <w:rFonts w:hint="eastAsia" w:eastAsia="黑体"/>
          <w:szCs w:val="32"/>
        </w:rPr>
        <w:t>综合交通一体化发展的先行区</w:t>
      </w:r>
      <w:bookmarkEnd w:id="59"/>
      <w:bookmarkEnd w:id="60"/>
    </w:p>
    <w:p>
      <w:pPr>
        <w:pageBreakBefore w:val="0"/>
        <w:widowControl w:val="0"/>
        <w:kinsoku/>
        <w:wordWrap/>
        <w:overflowPunct/>
        <w:topLinePunct w:val="0"/>
        <w:autoSpaceDE/>
        <w:autoSpaceDN/>
        <w:bidi w:val="0"/>
        <w:adjustRightInd/>
        <w:snapToGrid/>
        <w:spacing w:line="620" w:lineRule="exact"/>
        <w:ind w:firstLine="640"/>
        <w:textAlignment w:val="auto"/>
        <w:rPr>
          <w:szCs w:val="32"/>
        </w:rPr>
      </w:pPr>
      <w:r>
        <w:rPr>
          <w:rFonts w:hint="eastAsia"/>
          <w:szCs w:val="32"/>
        </w:rPr>
        <w:t>昭化区综合交通运输体系中涵盖了公路、铁路、水运等交通运输方式，同时距离广元机场仅</w:t>
      </w:r>
      <w:r>
        <w:rPr>
          <w:szCs w:val="32"/>
        </w:rPr>
        <w:t>28</w:t>
      </w:r>
      <w:r>
        <w:rPr>
          <w:rFonts w:hint="eastAsia"/>
          <w:szCs w:val="32"/>
        </w:rPr>
        <w:t>公里，区域范围内各种交通方式相对较为齐全且多数干线交通网络已经建成，相比其他县级行政单位具有明显的先发优势。依托综合交通基础设施网络，加强城乡之间、区域之间和不同运输方式之间的有效衔接，推动建设一体化的综合交通运输体系，为全省其他地区综合交通运输发展提供经验借鉴。</w:t>
      </w:r>
    </w:p>
    <w:p>
      <w:pPr>
        <w:pageBreakBefore w:val="0"/>
        <w:widowControl w:val="0"/>
        <w:kinsoku/>
        <w:wordWrap/>
        <w:overflowPunct/>
        <w:topLinePunct w:val="0"/>
        <w:autoSpaceDE/>
        <w:autoSpaceDN/>
        <w:bidi w:val="0"/>
        <w:adjustRightInd/>
        <w:snapToGrid/>
        <w:spacing w:line="620" w:lineRule="exact"/>
        <w:ind w:firstLine="640"/>
        <w:textAlignment w:val="auto"/>
        <w:rPr>
          <w:rFonts w:eastAsia="黑体"/>
          <w:szCs w:val="32"/>
        </w:rPr>
      </w:pPr>
      <w:r>
        <w:rPr>
          <w:rFonts w:eastAsia="黑体"/>
          <w:szCs w:val="32"/>
        </w:rPr>
        <w:t>3.</w:t>
      </w:r>
      <w:bookmarkStart w:id="61" w:name="_Hlk60163287"/>
      <w:r>
        <w:rPr>
          <w:rFonts w:hint="eastAsia" w:eastAsia="黑体"/>
          <w:szCs w:val="32"/>
        </w:rPr>
        <w:t>打造</w:t>
      </w:r>
      <w:bookmarkStart w:id="62" w:name="_Hlk61622978"/>
      <w:r>
        <w:rPr>
          <w:rFonts w:eastAsia="黑体"/>
          <w:szCs w:val="32"/>
        </w:rPr>
        <w:t>“</w:t>
      </w:r>
      <w:r>
        <w:rPr>
          <w:rFonts w:hint="eastAsia" w:eastAsia="黑体"/>
          <w:szCs w:val="32"/>
        </w:rPr>
        <w:t>交通</w:t>
      </w:r>
      <w:r>
        <w:rPr>
          <w:rFonts w:eastAsia="黑体"/>
          <w:szCs w:val="32"/>
        </w:rPr>
        <w:t>+”</w:t>
      </w:r>
      <w:r>
        <w:rPr>
          <w:rFonts w:hint="eastAsia" w:eastAsia="黑体"/>
          <w:szCs w:val="32"/>
        </w:rPr>
        <w:t>融合发展的示范区</w:t>
      </w:r>
      <w:bookmarkEnd w:id="61"/>
      <w:bookmarkEnd w:id="62"/>
    </w:p>
    <w:p>
      <w:pPr>
        <w:pageBreakBefore w:val="0"/>
        <w:widowControl w:val="0"/>
        <w:kinsoku/>
        <w:wordWrap/>
        <w:overflowPunct/>
        <w:topLinePunct w:val="0"/>
        <w:autoSpaceDE/>
        <w:autoSpaceDN/>
        <w:bidi w:val="0"/>
        <w:adjustRightInd/>
        <w:snapToGrid/>
        <w:spacing w:line="600" w:lineRule="exact"/>
        <w:ind w:firstLine="640"/>
        <w:textAlignment w:val="auto"/>
        <w:rPr>
          <w:szCs w:val="32"/>
        </w:rPr>
      </w:pPr>
      <w:r>
        <w:rPr>
          <w:rFonts w:hint="eastAsia"/>
          <w:szCs w:val="32"/>
        </w:rPr>
        <w:t>昭化区集川陕革命老区、盆周山区、国家重点生态功能区于一体，需要在进一步巩固交通脱贫攻坚成果的基础上，着力加强交通基础设施建设，提升城乡一体化发展水平。充分依托昭化区丰富的自然风光、历史人文、红色文化等特色旅游资源优势，加快转变发展方式推进绿色交通运输体系建设，强化乡村旅游交通基础设施支撑，推动交通运输与旅游资源、新兴产业、特色农业等融合发展，为特殊困难地区加快发展提供样板示范。</w:t>
      </w:r>
    </w:p>
    <w:p>
      <w:pPr>
        <w:keepNext/>
        <w:keepLines/>
        <w:pageBreakBefore w:val="0"/>
        <w:widowControl w:val="0"/>
        <w:kinsoku/>
        <w:wordWrap/>
        <w:overflowPunct/>
        <w:topLinePunct w:val="0"/>
        <w:autoSpaceDE/>
        <w:autoSpaceDN/>
        <w:bidi w:val="0"/>
        <w:adjustRightInd/>
        <w:snapToGrid/>
        <w:spacing w:line="600" w:lineRule="exact"/>
        <w:ind w:firstLine="0" w:firstLineChars="0"/>
        <w:jc w:val="left"/>
        <w:textAlignment w:val="auto"/>
        <w:outlineLvl w:val="1"/>
        <w:rPr>
          <w:rFonts w:eastAsia="黑体"/>
          <w:bCs/>
          <w:sz w:val="36"/>
          <w:szCs w:val="36"/>
        </w:rPr>
      </w:pPr>
      <w:bookmarkStart w:id="63" w:name="_Toc61624429"/>
      <w:bookmarkStart w:id="64" w:name="_Toc653"/>
      <w:r>
        <w:rPr>
          <w:rFonts w:eastAsia="黑体"/>
          <w:bCs/>
          <w:sz w:val="36"/>
          <w:szCs w:val="36"/>
        </w:rPr>
        <w:t xml:space="preserve">4.2 </w:t>
      </w:r>
      <w:r>
        <w:rPr>
          <w:rFonts w:hint="eastAsia" w:eastAsia="黑体"/>
          <w:bCs/>
          <w:sz w:val="36"/>
          <w:szCs w:val="36"/>
        </w:rPr>
        <w:t>布局框架</w:t>
      </w:r>
      <w:bookmarkEnd w:id="63"/>
      <w:bookmarkEnd w:id="64"/>
    </w:p>
    <w:p>
      <w:pPr>
        <w:pageBreakBefore w:val="0"/>
        <w:widowControl w:val="0"/>
        <w:kinsoku/>
        <w:wordWrap/>
        <w:overflowPunct/>
        <w:topLinePunct w:val="0"/>
        <w:autoSpaceDE/>
        <w:autoSpaceDN/>
        <w:bidi w:val="0"/>
        <w:adjustRightInd/>
        <w:snapToGrid/>
        <w:spacing w:line="600" w:lineRule="exact"/>
        <w:ind w:firstLine="640"/>
        <w:textAlignment w:val="auto"/>
        <w:rPr>
          <w:szCs w:val="32"/>
        </w:rPr>
      </w:pPr>
      <w:r>
        <w:rPr>
          <w:rFonts w:hint="eastAsia"/>
          <w:szCs w:val="32"/>
        </w:rPr>
        <w:t>从昭化区综合运输通道的现状布局情况来看，目前已建成广巴、兰渝铁路技术标准较低，绵广高速拥堵严重，难以满足在新型发展战略要求下，与广元、成都、西安等大中城市日益增长的快速交通发展需求。按照支撑广元市区域中心城市和北向东出桥头堡建设的整体角度出发，依托昭化作为联系西南、西北的重要交通节点的区位优势，推进各种要素和资源紧密融入国家重大发展战略，纵深对接国内主要经济区和城市群发展，进一步完善区域交通基础设施网络布局和结构。</w:t>
      </w:r>
    </w:p>
    <w:p>
      <w:pPr>
        <w:pageBreakBefore w:val="0"/>
        <w:widowControl w:val="0"/>
        <w:kinsoku/>
        <w:wordWrap/>
        <w:overflowPunct/>
        <w:topLinePunct w:val="0"/>
        <w:autoSpaceDE/>
        <w:autoSpaceDN/>
        <w:bidi w:val="0"/>
        <w:adjustRightInd/>
        <w:snapToGrid/>
        <w:spacing w:line="600" w:lineRule="exact"/>
        <w:ind w:firstLine="640"/>
        <w:jc w:val="left"/>
        <w:textAlignment w:val="auto"/>
        <w:rPr>
          <w:szCs w:val="32"/>
        </w:rPr>
      </w:pPr>
      <w:r>
        <w:rPr>
          <w:rFonts w:hint="eastAsia"/>
          <w:szCs w:val="32"/>
        </w:rPr>
        <w:t>昭化区综合交通网布局主要包括铁路、公路、水运和航空等多种方式，其网络结构与城镇空间布局和产业布局相协调，与经济高质量发展和生态环境保护相适应，与乡村振兴和保障改善民生相交融。</w:t>
      </w:r>
    </w:p>
    <w:p>
      <w:pPr>
        <w:pageBreakBefore w:val="0"/>
        <w:widowControl w:val="0"/>
        <w:kinsoku/>
        <w:wordWrap/>
        <w:overflowPunct/>
        <w:topLinePunct w:val="0"/>
        <w:autoSpaceDE/>
        <w:autoSpaceDN/>
        <w:bidi w:val="0"/>
        <w:adjustRightInd/>
        <w:snapToGrid/>
        <w:spacing w:line="600" w:lineRule="exact"/>
        <w:ind w:firstLine="643"/>
        <w:textAlignment w:val="auto"/>
        <w:rPr>
          <w:rFonts w:eastAsia="楷体_GB2312"/>
          <w:b/>
          <w:szCs w:val="32"/>
        </w:rPr>
      </w:pPr>
      <w:r>
        <w:rPr>
          <w:rFonts w:hint="eastAsia" w:eastAsia="楷体_GB2312"/>
          <w:b/>
          <w:szCs w:val="32"/>
        </w:rPr>
        <w:t>（一）铁路</w:t>
      </w:r>
    </w:p>
    <w:p>
      <w:pPr>
        <w:pageBreakBefore w:val="0"/>
        <w:widowControl w:val="0"/>
        <w:kinsoku/>
        <w:wordWrap/>
        <w:overflowPunct/>
        <w:topLinePunct w:val="0"/>
        <w:autoSpaceDE/>
        <w:autoSpaceDN/>
        <w:bidi w:val="0"/>
        <w:adjustRightInd/>
        <w:snapToGrid/>
        <w:spacing w:line="600" w:lineRule="exact"/>
        <w:ind w:firstLine="640"/>
        <w:jc w:val="left"/>
        <w:textAlignment w:val="auto"/>
        <w:rPr>
          <w:szCs w:val="32"/>
        </w:rPr>
      </w:pPr>
      <w:r>
        <w:rPr>
          <w:szCs w:val="32"/>
        </w:rPr>
        <w:t>1.</w:t>
      </w:r>
      <w:r>
        <w:rPr>
          <w:rFonts w:hint="eastAsia"/>
          <w:szCs w:val="32"/>
        </w:rPr>
        <w:t>已建成广巴铁路是昭化东向联系巴中、达州等地，实现川东北经济区一体化发展，并承接西北地区通过达州联系万州港，实现中国西部地区通江大海的重要通道。</w:t>
      </w:r>
    </w:p>
    <w:p>
      <w:pPr>
        <w:pageBreakBefore w:val="0"/>
        <w:widowControl w:val="0"/>
        <w:kinsoku/>
        <w:wordWrap/>
        <w:overflowPunct/>
        <w:topLinePunct w:val="0"/>
        <w:autoSpaceDE/>
        <w:autoSpaceDN/>
        <w:bidi w:val="0"/>
        <w:adjustRightInd/>
        <w:snapToGrid/>
        <w:spacing w:line="600" w:lineRule="exact"/>
        <w:ind w:firstLine="640"/>
        <w:textAlignment w:val="auto"/>
        <w:rPr>
          <w:szCs w:val="32"/>
        </w:rPr>
      </w:pPr>
      <w:r>
        <w:rPr>
          <w:szCs w:val="32"/>
        </w:rPr>
        <w:t>2.</w:t>
      </w:r>
      <w:r>
        <w:rPr>
          <w:rFonts w:hint="eastAsia"/>
          <w:szCs w:val="32"/>
        </w:rPr>
        <w:t>已建成兰渝铁路联系成渝地区双城经济圈中心城市重庆，同时连接兰州</w:t>
      </w:r>
      <w:r>
        <w:rPr>
          <w:szCs w:val="32"/>
        </w:rPr>
        <w:t>—</w:t>
      </w:r>
      <w:r>
        <w:rPr>
          <w:rFonts w:hint="eastAsia"/>
          <w:szCs w:val="32"/>
        </w:rPr>
        <w:t>西宁城市圈，是加快推进昭化融入成渝地区双城经济圈建设，以及支撑广元西向拓展、对接丝绸之路经济带的对外开放大通道。</w:t>
      </w:r>
    </w:p>
    <w:p>
      <w:pPr>
        <w:pageBreakBefore w:val="0"/>
        <w:widowControl w:val="0"/>
        <w:kinsoku/>
        <w:wordWrap/>
        <w:overflowPunct/>
        <w:topLinePunct w:val="0"/>
        <w:autoSpaceDE/>
        <w:autoSpaceDN/>
        <w:bidi w:val="0"/>
        <w:adjustRightInd/>
        <w:snapToGrid/>
        <w:spacing w:line="600" w:lineRule="exact"/>
        <w:ind w:firstLine="643"/>
        <w:textAlignment w:val="auto"/>
        <w:rPr>
          <w:rFonts w:eastAsia="楷体_GB2312"/>
          <w:b/>
          <w:szCs w:val="32"/>
        </w:rPr>
      </w:pPr>
      <w:r>
        <w:rPr>
          <w:rFonts w:hint="eastAsia" w:eastAsia="楷体_GB2312"/>
          <w:b/>
          <w:szCs w:val="32"/>
        </w:rPr>
        <w:t>（二）公路</w:t>
      </w:r>
    </w:p>
    <w:p>
      <w:pPr>
        <w:pageBreakBefore w:val="0"/>
        <w:widowControl w:val="0"/>
        <w:kinsoku/>
        <w:wordWrap/>
        <w:overflowPunct/>
        <w:topLinePunct w:val="0"/>
        <w:autoSpaceDE/>
        <w:autoSpaceDN/>
        <w:bidi w:val="0"/>
        <w:adjustRightInd/>
        <w:snapToGrid/>
        <w:spacing w:line="600" w:lineRule="exact"/>
        <w:ind w:firstLine="643"/>
        <w:jc w:val="left"/>
        <w:textAlignment w:val="auto"/>
        <w:rPr>
          <w:rFonts w:eastAsia="楷体_GB2312"/>
          <w:b/>
          <w:szCs w:val="32"/>
        </w:rPr>
      </w:pPr>
      <w:r>
        <w:rPr>
          <w:rFonts w:eastAsia="楷体_GB2312"/>
          <w:b/>
          <w:szCs w:val="32"/>
        </w:rPr>
        <w:t>1.</w:t>
      </w:r>
      <w:r>
        <w:rPr>
          <w:rFonts w:hint="eastAsia" w:eastAsia="楷体_GB2312"/>
          <w:b/>
          <w:szCs w:val="32"/>
        </w:rPr>
        <w:t>高速公路</w:t>
      </w:r>
    </w:p>
    <w:p>
      <w:pPr>
        <w:pageBreakBefore w:val="0"/>
        <w:widowControl w:val="0"/>
        <w:kinsoku/>
        <w:wordWrap/>
        <w:overflowPunct/>
        <w:topLinePunct w:val="0"/>
        <w:autoSpaceDE/>
        <w:autoSpaceDN/>
        <w:bidi w:val="0"/>
        <w:adjustRightInd/>
        <w:snapToGrid/>
        <w:spacing w:line="600" w:lineRule="exact"/>
        <w:ind w:firstLine="640"/>
        <w:jc w:val="left"/>
        <w:textAlignment w:val="auto"/>
        <w:rPr>
          <w:szCs w:val="32"/>
        </w:rPr>
      </w:pPr>
      <w:r>
        <w:rPr>
          <w:szCs w:val="32"/>
        </w:rPr>
        <w:t>——</w:t>
      </w:r>
      <w:r>
        <w:rPr>
          <w:rFonts w:hint="eastAsia"/>
          <w:szCs w:val="32"/>
        </w:rPr>
        <w:t>已建成绵阳至广元高速公路和规划待建的</w:t>
      </w:r>
      <w:r>
        <w:rPr>
          <w:szCs w:val="32"/>
        </w:rPr>
        <w:t>G5</w:t>
      </w:r>
      <w:r>
        <w:rPr>
          <w:rFonts w:hint="eastAsia"/>
          <w:szCs w:val="32"/>
        </w:rPr>
        <w:t>京昆高速广元至绵阳、广元至川陕界段扩容项目，是连接成渝地区双城经济圈中心城市成都，以及加强与西安等西部区域中心城市并进一步沟通华北、对接京津冀的重要高速公路，是支撑广元市融入南向、深化北向的重要通道。</w:t>
      </w:r>
    </w:p>
    <w:p>
      <w:pPr>
        <w:pageBreakBefore w:val="0"/>
        <w:widowControl w:val="0"/>
        <w:kinsoku/>
        <w:wordWrap/>
        <w:overflowPunct/>
        <w:topLinePunct w:val="0"/>
        <w:autoSpaceDE/>
        <w:autoSpaceDN/>
        <w:bidi w:val="0"/>
        <w:adjustRightInd/>
        <w:snapToGrid/>
        <w:spacing w:line="600" w:lineRule="exact"/>
        <w:ind w:firstLine="640"/>
        <w:jc w:val="left"/>
        <w:textAlignment w:val="auto"/>
        <w:rPr>
          <w:szCs w:val="32"/>
        </w:rPr>
      </w:pPr>
      <w:r>
        <w:rPr>
          <w:szCs w:val="32"/>
        </w:rPr>
        <w:t>——</w:t>
      </w:r>
      <w:r>
        <w:rPr>
          <w:rFonts w:hint="eastAsia"/>
          <w:szCs w:val="32"/>
        </w:rPr>
        <w:t>已建成广元至南充高速公路，与兰渝铁路共同构成南向联系重庆的综合运输大通道，是加快融入成渝地区双城经济圈中心城市重庆，构建四川西南陆海大通道的重要组成部分。</w:t>
      </w:r>
    </w:p>
    <w:p>
      <w:pPr>
        <w:pageBreakBefore w:val="0"/>
        <w:widowControl w:val="0"/>
        <w:kinsoku/>
        <w:wordWrap/>
        <w:overflowPunct/>
        <w:topLinePunct w:val="0"/>
        <w:autoSpaceDE/>
        <w:autoSpaceDN/>
        <w:bidi w:val="0"/>
        <w:adjustRightInd/>
        <w:snapToGrid/>
        <w:spacing w:line="600" w:lineRule="exact"/>
        <w:ind w:firstLine="640"/>
        <w:jc w:val="left"/>
        <w:textAlignment w:val="auto"/>
        <w:rPr>
          <w:szCs w:val="32"/>
        </w:rPr>
      </w:pPr>
      <w:r>
        <w:rPr>
          <w:szCs w:val="32"/>
        </w:rPr>
        <w:t>——</w:t>
      </w:r>
      <w:r>
        <w:rPr>
          <w:rFonts w:hint="eastAsia"/>
          <w:szCs w:val="32"/>
        </w:rPr>
        <w:t>已建成的广元至巴中高速公路和规划待建的</w:t>
      </w:r>
      <w:r>
        <w:rPr>
          <w:szCs w:val="32"/>
        </w:rPr>
        <w:t>G5012</w:t>
      </w:r>
      <w:r>
        <w:rPr>
          <w:rFonts w:hint="eastAsia"/>
          <w:szCs w:val="32"/>
        </w:rPr>
        <w:t>恩广高速广元至达州段扩容项目，与广巴铁路共同构成东向出川重要交通走廊，是加快推进川东北经济圈一体化发展，快捷联系我国东中部并进一步沟通长三角的重要交通基础设施保障。</w:t>
      </w:r>
    </w:p>
    <w:p>
      <w:pPr>
        <w:spacing w:line="600" w:lineRule="exact"/>
        <w:ind w:firstLine="640"/>
        <w:jc w:val="left"/>
        <w:rPr>
          <w:szCs w:val="32"/>
        </w:rPr>
      </w:pPr>
    </w:p>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8"/>
              </w:rPr>
            </w:pPr>
            <w:bookmarkStart w:id="65" w:name="_Hlk60304489"/>
            <w:r>
              <w:rPr>
                <w:rFonts w:hint="eastAsia" w:eastAsia="黑体"/>
                <w:sz w:val="28"/>
                <w:szCs w:val="28"/>
              </w:rPr>
              <w:t>专栏</w:t>
            </w:r>
            <w:r>
              <w:rPr>
                <w:rFonts w:eastAsia="黑体"/>
                <w:sz w:val="28"/>
                <w:szCs w:val="28"/>
              </w:rPr>
              <w:t>1  G5</w:t>
            </w:r>
            <w:r>
              <w:rPr>
                <w:rFonts w:hint="eastAsia" w:eastAsia="黑体"/>
                <w:sz w:val="28"/>
                <w:szCs w:val="28"/>
              </w:rPr>
              <w:t>京昆高速公路广元至绵阳段扩容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76"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spacing w:line="600" w:lineRule="exact"/>
              <w:ind w:firstLine="560"/>
              <w:rPr>
                <w:bCs/>
                <w:snapToGrid w:val="0"/>
                <w:kern w:val="0"/>
                <w:sz w:val="28"/>
                <w:szCs w:val="28"/>
              </w:rPr>
            </w:pPr>
            <w:r>
              <w:rPr>
                <w:rFonts w:hint="eastAsia"/>
                <w:bCs/>
                <w:snapToGrid w:val="0"/>
                <w:kern w:val="0"/>
                <w:sz w:val="28"/>
                <w:szCs w:val="28"/>
              </w:rPr>
              <w:t>广元至绵阳段扩容项目是</w:t>
            </w:r>
            <w:r>
              <w:rPr>
                <w:bCs/>
                <w:snapToGrid w:val="0"/>
                <w:kern w:val="0"/>
                <w:sz w:val="28"/>
                <w:szCs w:val="28"/>
              </w:rPr>
              <w:t>G5</w:t>
            </w:r>
            <w:r>
              <w:rPr>
                <w:rFonts w:hint="eastAsia"/>
                <w:bCs/>
                <w:snapToGrid w:val="0"/>
                <w:kern w:val="0"/>
                <w:sz w:val="28"/>
                <w:szCs w:val="28"/>
              </w:rPr>
              <w:t>京昆高速重要的一段，也是四川省高速公路网中成都放射线</w:t>
            </w:r>
            <w:r>
              <w:rPr>
                <w:bCs/>
                <w:snapToGrid w:val="0"/>
                <w:kern w:val="0"/>
                <w:sz w:val="28"/>
                <w:szCs w:val="28"/>
              </w:rPr>
              <w:t>“</w:t>
            </w:r>
            <w:r>
              <w:rPr>
                <w:rFonts w:hint="eastAsia"/>
                <w:bCs/>
                <w:snapToGrid w:val="0"/>
                <w:kern w:val="0"/>
                <w:sz w:val="28"/>
                <w:szCs w:val="28"/>
              </w:rPr>
              <w:t>成都至广元至陕西</w:t>
            </w:r>
            <w:r>
              <w:rPr>
                <w:bCs/>
                <w:snapToGrid w:val="0"/>
                <w:kern w:val="0"/>
                <w:sz w:val="28"/>
                <w:szCs w:val="28"/>
              </w:rPr>
              <w:t>”</w:t>
            </w:r>
            <w:r>
              <w:rPr>
                <w:rFonts w:hint="eastAsia"/>
                <w:bCs/>
                <w:snapToGrid w:val="0"/>
                <w:kern w:val="0"/>
                <w:sz w:val="28"/>
                <w:szCs w:val="28"/>
              </w:rPr>
              <w:t>的组成部分，在国家和区域高速公路网中居重要地位。</w:t>
            </w:r>
          </w:p>
          <w:p>
            <w:pPr>
              <w:spacing w:line="600" w:lineRule="exact"/>
              <w:ind w:firstLine="560"/>
              <w:rPr>
                <w:bCs/>
                <w:snapToGrid w:val="0"/>
                <w:kern w:val="0"/>
                <w:sz w:val="28"/>
                <w:szCs w:val="28"/>
              </w:rPr>
            </w:pPr>
            <w:r>
              <w:rPr>
                <w:rFonts w:hint="eastAsia" w:eastAsia="黑体"/>
                <w:bCs/>
                <w:snapToGrid w:val="0"/>
                <w:kern w:val="0"/>
                <w:sz w:val="28"/>
                <w:szCs w:val="28"/>
              </w:rPr>
              <w:t>路线走向</w:t>
            </w:r>
            <w:r>
              <w:rPr>
                <w:rFonts w:hint="eastAsia"/>
                <w:bCs/>
                <w:snapToGrid w:val="0"/>
                <w:kern w:val="0"/>
                <w:sz w:val="28"/>
                <w:szCs w:val="28"/>
              </w:rPr>
              <w:t>：</w:t>
            </w:r>
            <w:r>
              <w:rPr>
                <w:bCs/>
                <w:snapToGrid w:val="0"/>
                <w:kern w:val="0"/>
                <w:sz w:val="28"/>
                <w:szCs w:val="28"/>
              </w:rPr>
              <w:t>G5</w:t>
            </w:r>
            <w:r>
              <w:rPr>
                <w:rFonts w:hint="eastAsia"/>
                <w:bCs/>
                <w:snapToGrid w:val="0"/>
                <w:kern w:val="0"/>
                <w:sz w:val="28"/>
                <w:szCs w:val="28"/>
              </w:rPr>
              <w:t>京昆高速公路广元至绵阳段扩容项目起于广元绕城高速黑水塘附近，对接恩广高速，并与建成的恩广、兰海高速形成枢纽互通式立体交叉，随后一路向西南方向延伸，在昭化区红岩镇约</w:t>
            </w:r>
            <w:r>
              <w:rPr>
                <w:bCs/>
                <w:snapToGrid w:val="0"/>
                <w:kern w:val="0"/>
                <w:sz w:val="28"/>
                <w:szCs w:val="28"/>
              </w:rPr>
              <w:t>2</w:t>
            </w:r>
            <w:r>
              <w:rPr>
                <w:rFonts w:hint="eastAsia"/>
                <w:bCs/>
                <w:snapToGrid w:val="0"/>
                <w:kern w:val="0"/>
                <w:sz w:val="28"/>
                <w:szCs w:val="28"/>
              </w:rPr>
              <w:t>公里处跨越嘉陵江，途径广元港、剑阁高观，从剑阁老县城普安镇东侧过境，随后途经柳沟、武连、演武，绵阳市梓潼许州，从梓潼县西侧过境，经徐家、在魏城东南侧对接</w:t>
            </w:r>
            <w:r>
              <w:rPr>
                <w:bCs/>
                <w:snapToGrid w:val="0"/>
                <w:kern w:val="0"/>
                <w:sz w:val="28"/>
                <w:szCs w:val="28"/>
              </w:rPr>
              <w:t>G5</w:t>
            </w:r>
            <w:r>
              <w:rPr>
                <w:rFonts w:hint="eastAsia"/>
                <w:bCs/>
                <w:snapToGrid w:val="0"/>
                <w:kern w:val="0"/>
                <w:sz w:val="28"/>
                <w:szCs w:val="28"/>
              </w:rPr>
              <w:t>京昆高速绵阳至成都段扩容起点。</w:t>
            </w:r>
          </w:p>
          <w:p>
            <w:pPr>
              <w:spacing w:line="600" w:lineRule="exact"/>
              <w:ind w:firstLine="560"/>
              <w:rPr>
                <w:bCs/>
                <w:snapToGrid w:val="0"/>
                <w:kern w:val="0"/>
                <w:sz w:val="28"/>
                <w:szCs w:val="28"/>
              </w:rPr>
            </w:pPr>
            <w:r>
              <w:rPr>
                <w:rFonts w:hint="eastAsia" w:eastAsia="黑体"/>
                <w:bCs/>
                <w:snapToGrid w:val="0"/>
                <w:kern w:val="0"/>
                <w:sz w:val="28"/>
                <w:szCs w:val="28"/>
              </w:rPr>
              <w:t>技术标准：</w:t>
            </w:r>
            <w:r>
              <w:rPr>
                <w:rFonts w:hint="eastAsia"/>
                <w:bCs/>
                <w:snapToGrid w:val="0"/>
                <w:kern w:val="0"/>
                <w:sz w:val="28"/>
                <w:szCs w:val="28"/>
              </w:rPr>
              <w:t>路线全长约</w:t>
            </w:r>
            <w:r>
              <w:rPr>
                <w:bCs/>
                <w:snapToGrid w:val="0"/>
                <w:kern w:val="0"/>
                <w:sz w:val="28"/>
                <w:szCs w:val="28"/>
              </w:rPr>
              <w:t>124</w:t>
            </w:r>
            <w:r>
              <w:rPr>
                <w:rFonts w:hint="eastAsia"/>
                <w:bCs/>
                <w:snapToGrid w:val="0"/>
                <w:kern w:val="0"/>
                <w:sz w:val="28"/>
                <w:szCs w:val="28"/>
              </w:rPr>
              <w:t>公里，采用新建</w:t>
            </w:r>
            <w:r>
              <w:rPr>
                <w:bCs/>
                <w:snapToGrid w:val="0"/>
                <w:kern w:val="0"/>
                <w:sz w:val="28"/>
                <w:szCs w:val="28"/>
              </w:rPr>
              <w:t>34.5</w:t>
            </w:r>
            <w:r>
              <w:rPr>
                <w:rFonts w:hint="eastAsia"/>
                <w:bCs/>
                <w:snapToGrid w:val="0"/>
                <w:kern w:val="0"/>
                <w:sz w:val="28"/>
                <w:szCs w:val="28"/>
              </w:rPr>
              <w:t>米双向六车道、设计车速</w:t>
            </w:r>
            <w:r>
              <w:rPr>
                <w:bCs/>
                <w:snapToGrid w:val="0"/>
                <w:kern w:val="0"/>
                <w:sz w:val="28"/>
                <w:szCs w:val="28"/>
              </w:rPr>
              <w:t>120km/h</w:t>
            </w:r>
            <w:r>
              <w:rPr>
                <w:rFonts w:hint="eastAsia"/>
                <w:bCs/>
                <w:snapToGrid w:val="0"/>
                <w:kern w:val="0"/>
                <w:sz w:val="28"/>
                <w:szCs w:val="28"/>
              </w:rPr>
              <w:t>高速公路技术标准建设，全线共设置桥梁</w:t>
            </w:r>
            <w:r>
              <w:rPr>
                <w:bCs/>
                <w:snapToGrid w:val="0"/>
                <w:kern w:val="0"/>
                <w:sz w:val="28"/>
                <w:szCs w:val="28"/>
              </w:rPr>
              <w:t>88</w:t>
            </w:r>
            <w:r>
              <w:rPr>
                <w:rFonts w:hint="eastAsia"/>
                <w:bCs/>
                <w:snapToGrid w:val="0"/>
                <w:kern w:val="0"/>
                <w:sz w:val="28"/>
                <w:szCs w:val="28"/>
              </w:rPr>
              <w:t>座、隧道</w:t>
            </w:r>
            <w:r>
              <w:rPr>
                <w:bCs/>
                <w:snapToGrid w:val="0"/>
                <w:kern w:val="0"/>
                <w:sz w:val="28"/>
                <w:szCs w:val="28"/>
              </w:rPr>
              <w:t>23</w:t>
            </w:r>
            <w:r>
              <w:rPr>
                <w:rFonts w:hint="eastAsia"/>
                <w:bCs/>
                <w:snapToGrid w:val="0"/>
                <w:kern w:val="0"/>
                <w:sz w:val="28"/>
                <w:szCs w:val="28"/>
              </w:rPr>
              <w:t>座，桥隧比约</w:t>
            </w:r>
            <w:r>
              <w:rPr>
                <w:bCs/>
                <w:snapToGrid w:val="0"/>
                <w:kern w:val="0"/>
                <w:sz w:val="28"/>
                <w:szCs w:val="28"/>
              </w:rPr>
              <w:t>62%</w:t>
            </w:r>
            <w:r>
              <w:rPr>
                <w:rFonts w:hint="eastAsia"/>
                <w:bCs/>
                <w:snapToGrid w:val="0"/>
                <w:kern w:val="0"/>
                <w:sz w:val="28"/>
                <w:szCs w:val="28"/>
              </w:rPr>
              <w:t>，设置服务区</w:t>
            </w:r>
            <w:r>
              <w:rPr>
                <w:bCs/>
                <w:snapToGrid w:val="0"/>
                <w:kern w:val="0"/>
                <w:sz w:val="28"/>
                <w:szCs w:val="28"/>
              </w:rPr>
              <w:t>2</w:t>
            </w:r>
            <w:r>
              <w:rPr>
                <w:rFonts w:hint="eastAsia"/>
                <w:bCs/>
                <w:snapToGrid w:val="0"/>
                <w:kern w:val="0"/>
                <w:sz w:val="28"/>
                <w:szCs w:val="28"/>
              </w:rPr>
              <w:t>处、停车区</w:t>
            </w:r>
            <w:r>
              <w:rPr>
                <w:bCs/>
                <w:snapToGrid w:val="0"/>
                <w:kern w:val="0"/>
                <w:sz w:val="28"/>
                <w:szCs w:val="28"/>
              </w:rPr>
              <w:t>3</w:t>
            </w:r>
            <w:r>
              <w:rPr>
                <w:rFonts w:hint="eastAsia"/>
                <w:bCs/>
                <w:snapToGrid w:val="0"/>
                <w:kern w:val="0"/>
                <w:sz w:val="28"/>
                <w:szCs w:val="28"/>
              </w:rPr>
              <w:t>处，项目估算总投资约</w:t>
            </w:r>
            <w:r>
              <w:rPr>
                <w:bCs/>
                <w:snapToGrid w:val="0"/>
                <w:kern w:val="0"/>
                <w:sz w:val="28"/>
                <w:szCs w:val="28"/>
              </w:rPr>
              <w:t>285</w:t>
            </w:r>
            <w:r>
              <w:rPr>
                <w:rFonts w:hint="eastAsia"/>
                <w:bCs/>
                <w:snapToGrid w:val="0"/>
                <w:kern w:val="0"/>
                <w:sz w:val="28"/>
                <w:szCs w:val="28"/>
              </w:rPr>
              <w:t>亿元。</w:t>
            </w:r>
          </w:p>
          <w:p>
            <w:pPr>
              <w:spacing w:line="600" w:lineRule="exact"/>
              <w:ind w:firstLine="560"/>
              <w:rPr>
                <w:bCs/>
                <w:snapToGrid w:val="0"/>
                <w:kern w:val="0"/>
                <w:sz w:val="28"/>
                <w:szCs w:val="28"/>
              </w:rPr>
            </w:pPr>
            <w:r>
              <w:rPr>
                <w:rFonts w:hint="eastAsia" w:eastAsia="黑体"/>
                <w:bCs/>
                <w:snapToGrid w:val="0"/>
                <w:kern w:val="0"/>
                <w:sz w:val="28"/>
                <w:szCs w:val="28"/>
              </w:rPr>
              <w:t>功能定位：</w:t>
            </w:r>
            <w:r>
              <w:rPr>
                <w:rFonts w:hint="eastAsia"/>
                <w:bCs/>
                <w:snapToGrid w:val="0"/>
                <w:kern w:val="0"/>
                <w:sz w:val="28"/>
                <w:szCs w:val="28"/>
              </w:rPr>
              <w:t>项目的建设将有效缓解</w:t>
            </w:r>
            <w:r>
              <w:rPr>
                <w:bCs/>
                <w:snapToGrid w:val="0"/>
                <w:kern w:val="0"/>
                <w:sz w:val="28"/>
                <w:szCs w:val="28"/>
              </w:rPr>
              <w:t>G5</w:t>
            </w:r>
            <w:r>
              <w:rPr>
                <w:rFonts w:hint="eastAsia"/>
                <w:bCs/>
                <w:snapToGrid w:val="0"/>
                <w:kern w:val="0"/>
                <w:sz w:val="28"/>
                <w:szCs w:val="28"/>
              </w:rPr>
              <w:t>京昆高速绵阳至广元段交通压力，提高国家高速公路大通道通行能力和服务水平；同时，将进一步加强成德绵广城市之间的交流与合作，全面改善区域经济纵深发展条件；加快四川省现代综合运输体系建设步伐，构建区域交通运输大通道，有利于促进区域均衡发展，推动形成</w:t>
            </w:r>
            <w:r>
              <w:rPr>
                <w:bCs/>
                <w:snapToGrid w:val="0"/>
                <w:kern w:val="0"/>
                <w:sz w:val="28"/>
                <w:szCs w:val="28"/>
              </w:rPr>
              <w:t>“</w:t>
            </w:r>
            <w:r>
              <w:rPr>
                <w:rFonts w:hint="eastAsia"/>
                <w:bCs/>
                <w:snapToGrid w:val="0"/>
                <w:kern w:val="0"/>
                <w:sz w:val="28"/>
                <w:szCs w:val="28"/>
              </w:rPr>
              <w:t>一干多支</w:t>
            </w:r>
            <w:r>
              <w:rPr>
                <w:bCs/>
                <w:snapToGrid w:val="0"/>
                <w:kern w:val="0"/>
                <w:sz w:val="28"/>
                <w:szCs w:val="28"/>
              </w:rPr>
              <w:t>”</w:t>
            </w:r>
            <w:r>
              <w:rPr>
                <w:rFonts w:hint="eastAsia"/>
                <w:bCs/>
                <w:snapToGrid w:val="0"/>
                <w:kern w:val="0"/>
                <w:sz w:val="28"/>
                <w:szCs w:val="28"/>
              </w:rPr>
              <w:t>发展新格局。</w:t>
            </w:r>
          </w:p>
        </w:tc>
      </w:tr>
      <w:bookmarkEnd w:id="65"/>
    </w:tbl>
    <w:p>
      <w:pPr>
        <w:spacing w:line="600" w:lineRule="exact"/>
        <w:ind w:firstLine="643"/>
        <w:jc w:val="left"/>
        <w:rPr>
          <w:rFonts w:eastAsia="楷体_GB2312"/>
          <w:b/>
          <w:szCs w:val="32"/>
        </w:rPr>
      </w:pPr>
    </w:p>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8"/>
              </w:rPr>
            </w:pPr>
            <w:r>
              <w:rPr>
                <w:rFonts w:hint="eastAsia" w:eastAsia="黑体"/>
                <w:sz w:val="28"/>
                <w:szCs w:val="28"/>
              </w:rPr>
              <w:t>专栏</w:t>
            </w:r>
            <w:r>
              <w:rPr>
                <w:rFonts w:eastAsia="黑体"/>
                <w:sz w:val="28"/>
                <w:szCs w:val="28"/>
              </w:rPr>
              <w:t>2  G5012</w:t>
            </w:r>
            <w:r>
              <w:rPr>
                <w:rFonts w:hint="eastAsia" w:eastAsia="黑体"/>
                <w:sz w:val="28"/>
                <w:szCs w:val="28"/>
              </w:rPr>
              <w:t>恩广高速广元至达州段扩容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76"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bCs/>
                <w:snapToGrid w:val="0"/>
                <w:kern w:val="0"/>
                <w:sz w:val="28"/>
                <w:szCs w:val="28"/>
              </w:rPr>
            </w:pPr>
            <w:r>
              <w:rPr>
                <w:bCs/>
                <w:snapToGrid w:val="0"/>
                <w:kern w:val="0"/>
                <w:sz w:val="28"/>
                <w:szCs w:val="28"/>
              </w:rPr>
              <w:t>G5012</w:t>
            </w:r>
            <w:r>
              <w:rPr>
                <w:rFonts w:hint="eastAsia"/>
                <w:bCs/>
                <w:snapToGrid w:val="0"/>
                <w:kern w:val="0"/>
                <w:sz w:val="28"/>
                <w:szCs w:val="28"/>
              </w:rPr>
              <w:t>恩广高速广元至达州段扩容是《四川省高速公路网规划（</w:t>
            </w:r>
            <w:r>
              <w:rPr>
                <w:bCs/>
                <w:snapToGrid w:val="0"/>
                <w:kern w:val="0"/>
                <w:sz w:val="28"/>
                <w:szCs w:val="28"/>
              </w:rPr>
              <w:t>2022—2035</w:t>
            </w:r>
            <w:r>
              <w:rPr>
                <w:rFonts w:hint="eastAsia"/>
                <w:bCs/>
                <w:snapToGrid w:val="0"/>
                <w:kern w:val="0"/>
                <w:sz w:val="28"/>
                <w:szCs w:val="28"/>
              </w:rPr>
              <w:t>年）》布局的重要扩容改造项目，远期结合发展需求适时推进建设实施，提升主要通道通行能力。</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bCs/>
                <w:snapToGrid w:val="0"/>
                <w:kern w:val="0"/>
                <w:sz w:val="28"/>
                <w:szCs w:val="28"/>
              </w:rPr>
            </w:pPr>
            <w:r>
              <w:rPr>
                <w:rFonts w:hint="eastAsia" w:eastAsia="黑体"/>
                <w:bCs/>
                <w:snapToGrid w:val="0"/>
                <w:kern w:val="0"/>
                <w:sz w:val="28"/>
                <w:szCs w:val="28"/>
              </w:rPr>
              <w:t>路线走向：</w:t>
            </w:r>
            <w:r>
              <w:rPr>
                <w:bCs/>
                <w:snapToGrid w:val="0"/>
                <w:kern w:val="0"/>
                <w:sz w:val="28"/>
                <w:szCs w:val="28"/>
              </w:rPr>
              <w:t>G5012</w:t>
            </w:r>
            <w:r>
              <w:rPr>
                <w:rFonts w:hint="eastAsia"/>
                <w:bCs/>
                <w:snapToGrid w:val="0"/>
                <w:kern w:val="0"/>
                <w:sz w:val="28"/>
                <w:szCs w:val="28"/>
              </w:rPr>
              <w:t>恩广高速广元至达州段扩容共分为两段，其中：广元至通江段采用原路加宽改造，通江至重庆段另选通道修建新线。路线起于广元绕城高速公路，沿广巴高速、巴万高速经昭化、旺苍、巴中至通江实施原路改扩建；自通江县南面东山附近另建新线，接规划的镇巴至广安高速公路，经铁佛镇、文峰乡进入平昌县笔山镇境内，路线在马渡乡北面进入宣汉境内，经胡家镇至普光镇西南侧与</w:t>
            </w:r>
            <w:r>
              <w:rPr>
                <w:bCs/>
                <w:snapToGrid w:val="0"/>
                <w:kern w:val="0"/>
                <w:sz w:val="28"/>
                <w:szCs w:val="28"/>
              </w:rPr>
              <w:t>G65</w:t>
            </w:r>
            <w:r>
              <w:rPr>
                <w:rFonts w:hint="eastAsia"/>
                <w:bCs/>
                <w:snapToGrid w:val="0"/>
                <w:kern w:val="0"/>
                <w:sz w:val="28"/>
                <w:szCs w:val="28"/>
              </w:rPr>
              <w:t>包茂高速公路交叉相接，经清溪镇、南坝镇、塔河乡进入重庆境内，此后路线经天和乡至止点开州区北面郭家镇附近接城开高速公路。</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bCs/>
                <w:snapToGrid w:val="0"/>
                <w:kern w:val="0"/>
                <w:sz w:val="28"/>
                <w:szCs w:val="28"/>
              </w:rPr>
            </w:pPr>
            <w:r>
              <w:rPr>
                <w:rFonts w:hint="eastAsia" w:eastAsia="黑体"/>
                <w:bCs/>
                <w:snapToGrid w:val="0"/>
                <w:kern w:val="0"/>
                <w:sz w:val="28"/>
                <w:szCs w:val="28"/>
              </w:rPr>
              <w:t>技术标准：</w:t>
            </w:r>
            <w:r>
              <w:rPr>
                <w:rFonts w:hint="eastAsia"/>
                <w:bCs/>
                <w:snapToGrid w:val="0"/>
                <w:kern w:val="0"/>
                <w:sz w:val="28"/>
                <w:szCs w:val="28"/>
              </w:rPr>
              <w:t>路线全长约</w:t>
            </w:r>
            <w:r>
              <w:rPr>
                <w:bCs/>
                <w:snapToGrid w:val="0"/>
                <w:kern w:val="0"/>
                <w:sz w:val="28"/>
                <w:szCs w:val="28"/>
              </w:rPr>
              <w:t>330</w:t>
            </w:r>
            <w:r>
              <w:rPr>
                <w:rFonts w:hint="eastAsia"/>
                <w:bCs/>
                <w:snapToGrid w:val="0"/>
                <w:kern w:val="0"/>
                <w:sz w:val="28"/>
                <w:szCs w:val="28"/>
              </w:rPr>
              <w:t>公里，其中：原路改造提升</w:t>
            </w:r>
            <w:r>
              <w:rPr>
                <w:bCs/>
                <w:snapToGrid w:val="0"/>
                <w:kern w:val="0"/>
                <w:sz w:val="28"/>
                <w:szCs w:val="28"/>
              </w:rPr>
              <w:t>175</w:t>
            </w:r>
            <w:r>
              <w:rPr>
                <w:rFonts w:hint="eastAsia"/>
                <w:bCs/>
                <w:snapToGrid w:val="0"/>
                <w:kern w:val="0"/>
                <w:sz w:val="28"/>
                <w:szCs w:val="28"/>
              </w:rPr>
              <w:t>公里，按双向八车道高速公路技术标准建设；按设计速度</w:t>
            </w:r>
            <w:r>
              <w:rPr>
                <w:bCs/>
                <w:snapToGrid w:val="0"/>
                <w:kern w:val="0"/>
                <w:sz w:val="28"/>
                <w:szCs w:val="28"/>
              </w:rPr>
              <w:t>80Km/h</w:t>
            </w:r>
            <w:r>
              <w:rPr>
                <w:rFonts w:hint="eastAsia"/>
                <w:bCs/>
                <w:snapToGrid w:val="0"/>
                <w:kern w:val="0"/>
                <w:sz w:val="28"/>
                <w:szCs w:val="28"/>
              </w:rPr>
              <w:t>、双向</w:t>
            </w:r>
            <w:r>
              <w:rPr>
                <w:bCs/>
                <w:snapToGrid w:val="0"/>
                <w:kern w:val="0"/>
                <w:sz w:val="28"/>
                <w:szCs w:val="28"/>
              </w:rPr>
              <w:t>4</w:t>
            </w:r>
            <w:r>
              <w:rPr>
                <w:rFonts w:hint="eastAsia"/>
                <w:bCs/>
                <w:snapToGrid w:val="0"/>
                <w:kern w:val="0"/>
                <w:sz w:val="28"/>
                <w:szCs w:val="28"/>
              </w:rPr>
              <w:t>车道</w:t>
            </w:r>
            <w:r>
              <w:rPr>
                <w:bCs/>
                <w:snapToGrid w:val="0"/>
                <w:kern w:val="0"/>
                <w:sz w:val="28"/>
                <w:szCs w:val="28"/>
              </w:rPr>
              <w:t>25.5</w:t>
            </w:r>
            <w:r>
              <w:rPr>
                <w:rFonts w:hint="eastAsia"/>
                <w:bCs/>
                <w:snapToGrid w:val="0"/>
                <w:kern w:val="0"/>
                <w:sz w:val="28"/>
                <w:szCs w:val="28"/>
              </w:rPr>
              <w:t>米路基宽度技术标准规划新建高速公路</w:t>
            </w:r>
            <w:r>
              <w:rPr>
                <w:bCs/>
                <w:snapToGrid w:val="0"/>
                <w:kern w:val="0"/>
                <w:sz w:val="28"/>
                <w:szCs w:val="28"/>
              </w:rPr>
              <w:t>155</w:t>
            </w:r>
            <w:r>
              <w:rPr>
                <w:rFonts w:hint="eastAsia"/>
                <w:bCs/>
                <w:snapToGrid w:val="0"/>
                <w:kern w:val="0"/>
                <w:sz w:val="28"/>
                <w:szCs w:val="28"/>
              </w:rPr>
              <w:t>公里。主要控制点包括昭化区、旺苍县、恩阳区、通江县、宣汉县、开州区。</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bCs/>
                <w:snapToGrid w:val="0"/>
                <w:kern w:val="0"/>
                <w:sz w:val="28"/>
                <w:szCs w:val="28"/>
              </w:rPr>
            </w:pPr>
            <w:r>
              <w:rPr>
                <w:rFonts w:hint="eastAsia" w:eastAsia="黑体"/>
                <w:bCs/>
                <w:snapToGrid w:val="0"/>
                <w:kern w:val="0"/>
                <w:sz w:val="28"/>
                <w:szCs w:val="28"/>
              </w:rPr>
              <w:t>功能定位：</w:t>
            </w:r>
            <w:r>
              <w:rPr>
                <w:rFonts w:hint="eastAsia"/>
                <w:bCs/>
                <w:snapToGrid w:val="0"/>
                <w:kern w:val="0"/>
                <w:sz w:val="28"/>
                <w:szCs w:val="28"/>
              </w:rPr>
              <w:t>项目的建设将进一步有效改善国家高速公路大通道的通行服务水平，增强我国西部地区与东中部地区的交通联系，提高东向出川通道能力，有力促进川东北经济区一体化发展，有效支撑成渝地区双城经济圈建设。</w:t>
            </w:r>
          </w:p>
        </w:tc>
      </w:tr>
    </w:tbl>
    <w:p>
      <w:pPr>
        <w:spacing w:line="240" w:lineRule="auto"/>
        <w:ind w:firstLine="0" w:firstLineChars="0"/>
        <w:jc w:val="center"/>
        <w:rPr>
          <w:rFonts w:eastAsia="黑体"/>
          <w:sz w:val="28"/>
          <w:szCs w:val="28"/>
        </w:rPr>
      </w:pPr>
    </w:p>
    <w:p>
      <w:pPr>
        <w:spacing w:line="240" w:lineRule="auto"/>
        <w:ind w:firstLine="0" w:firstLineChars="0"/>
        <w:jc w:val="center"/>
        <w:rPr>
          <w:rFonts w:eastAsia="黑体"/>
          <w:sz w:val="28"/>
          <w:szCs w:val="28"/>
        </w:rPr>
      </w:pPr>
      <w:r>
        <w:rPr>
          <w:rFonts w:hint="eastAsia"/>
        </w:rPr>
        <w:drawing>
          <wp:inline distT="0" distB="0" distL="114300" distR="114300">
            <wp:extent cx="5532755" cy="4928870"/>
            <wp:effectExtent l="0" t="0" r="10795" b="5080"/>
            <wp:docPr id="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pic:cNvPicPr>
                      <a:picLocks noChangeAspect="1"/>
                    </pic:cNvPicPr>
                  </pic:nvPicPr>
                  <pic:blipFill>
                    <a:blip r:embed="rId47"/>
                    <a:stretch>
                      <a:fillRect/>
                    </a:stretch>
                  </pic:blipFill>
                  <pic:spPr>
                    <a:xfrm>
                      <a:off x="0" y="0"/>
                      <a:ext cx="5532755" cy="4928870"/>
                    </a:xfrm>
                    <a:prstGeom prst="rect">
                      <a:avLst/>
                    </a:prstGeom>
                    <a:noFill/>
                    <a:ln>
                      <a:noFill/>
                    </a:ln>
                  </pic:spPr>
                </pic:pic>
              </a:graphicData>
            </a:graphic>
          </wp:inline>
        </w:drawing>
      </w:r>
    </w:p>
    <w:p>
      <w:pPr>
        <w:spacing w:line="240" w:lineRule="auto"/>
        <w:ind w:firstLine="0" w:firstLineChars="0"/>
        <w:jc w:val="center"/>
        <w:rPr>
          <w:rFonts w:eastAsia="黑体"/>
          <w:sz w:val="28"/>
          <w:szCs w:val="28"/>
        </w:rPr>
      </w:pPr>
      <w:r>
        <w:rPr>
          <w:rFonts w:hint="eastAsia" w:eastAsia="黑体"/>
          <w:sz w:val="28"/>
          <w:szCs w:val="28"/>
        </w:rPr>
        <w:t>图</w:t>
      </w:r>
      <w:r>
        <w:rPr>
          <w:rFonts w:eastAsia="黑体"/>
          <w:sz w:val="28"/>
          <w:szCs w:val="28"/>
        </w:rPr>
        <w:t xml:space="preserve">4-1 </w:t>
      </w:r>
      <w:r>
        <w:rPr>
          <w:rFonts w:hint="eastAsia" w:eastAsia="黑体"/>
          <w:sz w:val="28"/>
          <w:szCs w:val="28"/>
        </w:rPr>
        <w:t>昭化区高速公路布局图</w:t>
      </w:r>
    </w:p>
    <w:p>
      <w:pPr>
        <w:spacing w:line="600" w:lineRule="exact"/>
        <w:ind w:firstLine="643"/>
        <w:jc w:val="left"/>
        <w:rPr>
          <w:rFonts w:eastAsia="楷体_GB2312"/>
          <w:b/>
          <w:szCs w:val="32"/>
        </w:rPr>
      </w:pPr>
      <w:r>
        <w:rPr>
          <w:rFonts w:eastAsia="楷体_GB2312"/>
          <w:b/>
          <w:szCs w:val="32"/>
        </w:rPr>
        <w:t>2.</w:t>
      </w:r>
      <w:r>
        <w:rPr>
          <w:rFonts w:hint="eastAsia" w:eastAsia="楷体_GB2312"/>
          <w:b/>
          <w:szCs w:val="32"/>
        </w:rPr>
        <w:t>干线公路</w:t>
      </w:r>
    </w:p>
    <w:p>
      <w:pPr>
        <w:spacing w:line="600" w:lineRule="exact"/>
        <w:ind w:firstLine="640"/>
        <w:jc w:val="left"/>
        <w:rPr>
          <w:szCs w:val="32"/>
        </w:rPr>
      </w:pPr>
      <w:r>
        <w:rPr>
          <w:rFonts w:hint="eastAsia"/>
          <w:szCs w:val="32"/>
        </w:rPr>
        <w:t>根据《国家公路网规划（</w:t>
      </w:r>
      <w:r>
        <w:rPr>
          <w:szCs w:val="32"/>
        </w:rPr>
        <w:t>2013</w:t>
      </w:r>
      <w:r>
        <w:rPr>
          <w:rFonts w:hint="eastAsia"/>
          <w:szCs w:val="32"/>
        </w:rPr>
        <w:t>年</w:t>
      </w:r>
      <w:r>
        <w:rPr>
          <w:szCs w:val="32"/>
        </w:rPr>
        <w:t>—2030</w:t>
      </w:r>
      <w:r>
        <w:rPr>
          <w:rFonts w:hint="eastAsia"/>
          <w:szCs w:val="32"/>
        </w:rPr>
        <w:t>年）》和《四川省普通省道网布局规划（</w:t>
      </w:r>
      <w:r>
        <w:rPr>
          <w:szCs w:val="32"/>
        </w:rPr>
        <w:t>2022—2035</w:t>
      </w:r>
      <w:r>
        <w:rPr>
          <w:rFonts w:hint="eastAsia"/>
          <w:szCs w:val="32"/>
        </w:rPr>
        <w:t>年）》，昭化区境内共布局规划</w:t>
      </w:r>
      <w:r>
        <w:rPr>
          <w:szCs w:val="32"/>
        </w:rPr>
        <w:t>G212</w:t>
      </w:r>
      <w:r>
        <w:rPr>
          <w:rFonts w:hint="eastAsia"/>
          <w:szCs w:val="32"/>
        </w:rPr>
        <w:t>、</w:t>
      </w:r>
      <w:r>
        <w:rPr>
          <w:szCs w:val="32"/>
        </w:rPr>
        <w:t>G542</w:t>
      </w:r>
      <w:r>
        <w:rPr>
          <w:rFonts w:hint="eastAsia"/>
          <w:szCs w:val="32"/>
        </w:rPr>
        <w:t>和</w:t>
      </w:r>
      <w:r>
        <w:rPr>
          <w:szCs w:val="32"/>
        </w:rPr>
        <w:t>S224</w:t>
      </w:r>
      <w:r>
        <w:rPr>
          <w:rFonts w:hint="eastAsia"/>
          <w:szCs w:val="32"/>
        </w:rPr>
        <w:t>线等多条普通国省干线公路。积极抢抓《国家综合立体交通网规划纲要》和四川省普通省道网规划调整的机遇，争取更多公路项目纳入普通国省道布局规划，进一步完善干线公路网布局。</w:t>
      </w:r>
    </w:p>
    <w:p>
      <w:pPr>
        <w:spacing w:line="600" w:lineRule="exact"/>
        <w:ind w:firstLine="640"/>
        <w:jc w:val="left"/>
        <w:rPr>
          <w:szCs w:val="32"/>
        </w:rPr>
      </w:pPr>
    </w:p>
    <w:p>
      <w:pPr>
        <w:spacing w:line="240" w:lineRule="auto"/>
        <w:ind w:firstLine="0" w:firstLineChars="0"/>
        <w:jc w:val="center"/>
        <w:rPr>
          <w:szCs w:val="32"/>
        </w:rPr>
      </w:pPr>
      <w:r>
        <w:rPr>
          <w:rFonts w:hint="eastAsia"/>
        </w:rPr>
        <w:drawing>
          <wp:inline distT="0" distB="0" distL="114300" distR="114300">
            <wp:extent cx="5678805" cy="6621145"/>
            <wp:effectExtent l="0" t="0" r="17145" b="8255"/>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48"/>
                    <a:stretch>
                      <a:fillRect/>
                    </a:stretch>
                  </pic:blipFill>
                  <pic:spPr>
                    <a:xfrm>
                      <a:off x="0" y="0"/>
                      <a:ext cx="5678805" cy="6621145"/>
                    </a:xfrm>
                    <a:prstGeom prst="rect">
                      <a:avLst/>
                    </a:prstGeom>
                    <a:noFill/>
                    <a:ln>
                      <a:noFill/>
                    </a:ln>
                  </pic:spPr>
                </pic:pic>
              </a:graphicData>
            </a:graphic>
          </wp:inline>
        </w:drawing>
      </w:r>
    </w:p>
    <w:p>
      <w:pPr>
        <w:ind w:firstLine="0" w:firstLineChars="0"/>
        <w:jc w:val="center"/>
        <w:rPr>
          <w:rFonts w:eastAsia="黑体"/>
          <w:sz w:val="28"/>
          <w:szCs w:val="28"/>
        </w:rPr>
      </w:pPr>
      <w:r>
        <w:rPr>
          <w:rFonts w:hint="eastAsia" w:eastAsia="黑体"/>
          <w:sz w:val="28"/>
          <w:szCs w:val="28"/>
        </w:rPr>
        <w:t>图</w:t>
      </w:r>
      <w:r>
        <w:rPr>
          <w:rFonts w:eastAsia="黑体"/>
          <w:sz w:val="28"/>
          <w:szCs w:val="28"/>
        </w:rPr>
        <w:t xml:space="preserve">4-2 </w:t>
      </w:r>
      <w:r>
        <w:rPr>
          <w:rFonts w:hint="eastAsia" w:eastAsia="黑体"/>
          <w:sz w:val="28"/>
          <w:szCs w:val="28"/>
        </w:rPr>
        <w:t>昭化区普通国省干线布局图</w:t>
      </w:r>
    </w:p>
    <w:p>
      <w:pPr>
        <w:spacing w:line="600" w:lineRule="exact"/>
        <w:ind w:firstLine="643"/>
        <w:jc w:val="left"/>
        <w:rPr>
          <w:rFonts w:eastAsia="楷体_GB2312"/>
          <w:b/>
          <w:szCs w:val="32"/>
        </w:rPr>
      </w:pPr>
      <w:r>
        <w:rPr>
          <w:rFonts w:eastAsia="楷体_GB2312"/>
          <w:b/>
          <w:szCs w:val="32"/>
        </w:rPr>
        <w:t>3.</w:t>
      </w:r>
      <w:r>
        <w:rPr>
          <w:rFonts w:hint="eastAsia" w:eastAsia="楷体_GB2312"/>
          <w:b/>
          <w:szCs w:val="32"/>
        </w:rPr>
        <w:t>农村公路</w:t>
      </w:r>
    </w:p>
    <w:p>
      <w:pPr>
        <w:spacing w:line="600" w:lineRule="exact"/>
        <w:ind w:firstLine="640"/>
        <w:jc w:val="left"/>
        <w:rPr>
          <w:szCs w:val="32"/>
        </w:rPr>
      </w:pPr>
      <w:r>
        <w:rPr>
          <w:rFonts w:hint="eastAsia"/>
          <w:szCs w:val="32"/>
        </w:rPr>
        <w:t>充分利用全省农村公路网规划编制的发展机遇，紧紧围绕服务支撑乡村振兴战略实施和农业农村发展，坚持调布局、优结构、重衔接、保生态，科学布局农村公路网，形成布局合理、干支衔接、标准适当、经济适用的农村公路网络。</w:t>
      </w:r>
    </w:p>
    <w:p>
      <w:pPr>
        <w:spacing w:line="600" w:lineRule="exact"/>
        <w:ind w:firstLine="643"/>
        <w:rPr>
          <w:rFonts w:eastAsia="楷体_GB2312"/>
          <w:b/>
          <w:szCs w:val="32"/>
        </w:rPr>
      </w:pPr>
      <w:r>
        <w:rPr>
          <w:rFonts w:hint="eastAsia" w:eastAsia="楷体_GB2312"/>
          <w:b/>
          <w:szCs w:val="32"/>
        </w:rPr>
        <w:t>（三）内河航道</w:t>
      </w:r>
    </w:p>
    <w:p>
      <w:pPr>
        <w:spacing w:line="600" w:lineRule="exact"/>
        <w:ind w:firstLine="640"/>
        <w:jc w:val="left"/>
        <w:rPr>
          <w:szCs w:val="32"/>
        </w:rPr>
      </w:pPr>
      <w:r>
        <w:rPr>
          <w:rFonts w:hint="eastAsia"/>
          <w:szCs w:val="32"/>
        </w:rPr>
        <w:t>抢抓国家加快长江经济带建设、打造长江黄金水道的机遇，充分利用内河水运资源优势，规划布局嘉陵江和白龙江航道，嘉陵江梯级渠化完成后达到</w:t>
      </w:r>
      <w:r>
        <w:rPr>
          <w:rFonts w:hint="eastAsia" w:ascii="宋体" w:hAnsi="宋体" w:eastAsia="宋体" w:cs="宋体"/>
          <w:szCs w:val="32"/>
        </w:rPr>
        <w:t>Ⅲ</w:t>
      </w:r>
      <w:r>
        <w:rPr>
          <w:rFonts w:hint="eastAsia"/>
          <w:szCs w:val="32"/>
        </w:rPr>
        <w:t>级标准，全年可通行</w:t>
      </w:r>
      <w:r>
        <w:rPr>
          <w:szCs w:val="32"/>
        </w:rPr>
        <w:t>500</w:t>
      </w:r>
      <w:r>
        <w:rPr>
          <w:rFonts w:hint="eastAsia"/>
          <w:szCs w:val="32"/>
        </w:rPr>
        <w:t>吨级船舶，丰水期可通行</w:t>
      </w:r>
      <w:r>
        <w:rPr>
          <w:szCs w:val="32"/>
        </w:rPr>
        <w:t>1000</w:t>
      </w:r>
      <w:r>
        <w:rPr>
          <w:rFonts w:hint="eastAsia"/>
          <w:szCs w:val="32"/>
        </w:rPr>
        <w:t>吨级船舶，形成从广元出发，经南充、广安至重庆水路运输的</w:t>
      </w:r>
      <w:r>
        <w:rPr>
          <w:szCs w:val="32"/>
        </w:rPr>
        <w:t>“</w:t>
      </w:r>
      <w:r>
        <w:rPr>
          <w:rFonts w:hint="eastAsia"/>
          <w:szCs w:val="32"/>
        </w:rPr>
        <w:t>黄金大通道</w:t>
      </w:r>
      <w:r>
        <w:rPr>
          <w:szCs w:val="32"/>
        </w:rPr>
        <w:t>”</w:t>
      </w:r>
      <w:r>
        <w:rPr>
          <w:rFonts w:hint="eastAsia"/>
          <w:szCs w:val="32"/>
        </w:rPr>
        <w:t>，助力广元打造进出川门户型综合交通枢纽和四川北向东出桥头堡、建设川陕甘结合部区域中心城市。</w:t>
      </w:r>
    </w:p>
    <w:p>
      <w:pPr>
        <w:spacing w:line="600" w:lineRule="exact"/>
        <w:ind w:firstLine="643"/>
        <w:rPr>
          <w:rFonts w:eastAsia="楷体_GB2312"/>
          <w:b/>
          <w:szCs w:val="32"/>
        </w:rPr>
      </w:pPr>
      <w:r>
        <w:rPr>
          <w:rFonts w:hint="eastAsia" w:eastAsia="楷体_GB2312"/>
          <w:b/>
          <w:szCs w:val="32"/>
        </w:rPr>
        <w:t>（四）机场</w:t>
      </w:r>
    </w:p>
    <w:p>
      <w:pPr>
        <w:spacing w:line="600" w:lineRule="exact"/>
        <w:ind w:firstLine="640"/>
        <w:jc w:val="left"/>
        <w:rPr>
          <w:szCs w:val="32"/>
        </w:rPr>
      </w:pPr>
      <w:r>
        <w:rPr>
          <w:rFonts w:hint="eastAsia"/>
          <w:szCs w:val="32"/>
        </w:rPr>
        <w:t>机场是综合交通运输的重要组成部分。加强汇报争取，积极跟踪广元机场搬迁工作，力争机场选址昭化；积极加快推进</w:t>
      </w:r>
      <w:r>
        <w:rPr>
          <w:rFonts w:hint="eastAsia"/>
          <w:szCs w:val="32"/>
          <w:lang w:eastAsia="zh-CN"/>
        </w:rPr>
        <w:t>柏林沟停机坪建设工作</w:t>
      </w:r>
      <w:r>
        <w:rPr>
          <w:rFonts w:hint="eastAsia"/>
          <w:szCs w:val="32"/>
        </w:rPr>
        <w:t>。</w:t>
      </w:r>
    </w:p>
    <w:p>
      <w:pPr>
        <w:spacing w:line="600" w:lineRule="exact"/>
        <w:ind w:firstLine="643"/>
        <w:rPr>
          <w:rFonts w:eastAsia="楷体_GB2312"/>
          <w:b/>
          <w:szCs w:val="32"/>
        </w:rPr>
      </w:pPr>
      <w:r>
        <w:rPr>
          <w:rFonts w:hint="eastAsia" w:eastAsia="楷体_GB2312"/>
          <w:b/>
          <w:szCs w:val="32"/>
        </w:rPr>
        <w:t>（五）枢纽站场</w:t>
      </w:r>
    </w:p>
    <w:p>
      <w:pPr>
        <w:spacing w:line="600" w:lineRule="exact"/>
        <w:ind w:firstLine="640"/>
        <w:jc w:val="left"/>
        <w:rPr>
          <w:szCs w:val="32"/>
        </w:rPr>
      </w:pPr>
      <w:r>
        <w:rPr>
          <w:rFonts w:hint="eastAsia"/>
          <w:szCs w:val="32"/>
        </w:rPr>
        <w:t>广元港作为千里嘉陵第一港，是四川省重要港口之一，是通过嘉陵江长江延伸至我国西部内陆最深的水运口岸；是广元融入成渝、联动川陕、对接西北，建设川陕甘结合部经济强市的重要保障。依托嘉陵江、白龙江航道建设内河水运码头，加快将广元港建设成为具备铁公水联运和中转换乘的现代化综合性港口。</w:t>
      </w:r>
    </w:p>
    <w:p>
      <w:pPr>
        <w:spacing w:line="600" w:lineRule="exact"/>
        <w:ind w:firstLine="640"/>
        <w:jc w:val="left"/>
        <w:rPr>
          <w:szCs w:val="32"/>
        </w:rPr>
        <w:sectPr>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312" w:charSpace="0"/>
        </w:sectPr>
      </w:pPr>
      <w:r>
        <w:rPr>
          <w:rFonts w:hint="eastAsia"/>
          <w:szCs w:val="32"/>
        </w:rPr>
        <w:t>统筹考虑运输量、运输线路布局和地理区位等要素，科学合理布局客运运输站点，形成县域内级配合理、功能完善的多层次综合运输枢纽站场体系。</w:t>
      </w:r>
    </w:p>
    <w:p>
      <w:pPr>
        <w:keepNext/>
        <w:keepLines/>
        <w:adjustRightInd w:val="0"/>
        <w:snapToGrid w:val="0"/>
        <w:spacing w:before="312" w:beforeLines="100" w:after="312" w:afterLines="100"/>
        <w:ind w:firstLine="0" w:firstLineChars="0"/>
        <w:jc w:val="center"/>
        <w:outlineLvl w:val="0"/>
        <w:rPr>
          <w:rFonts w:hint="eastAsia" w:ascii="方正小标宋简体" w:hAnsi="方正小标宋简体" w:eastAsia="方正小标宋简体" w:cs="方正小标宋简体"/>
          <w:sz w:val="44"/>
        </w:rPr>
      </w:pPr>
      <w:bookmarkStart w:id="66" w:name="_Toc61624430"/>
      <w:bookmarkStart w:id="67" w:name="_Toc29688"/>
      <w:r>
        <w:rPr>
          <w:rFonts w:hint="eastAsia" w:ascii="方正小标宋简体" w:hAnsi="方正小标宋简体" w:eastAsia="方正小标宋简体" w:cs="方正小标宋简体"/>
          <w:bCs/>
          <w:kern w:val="44"/>
          <w:sz w:val="44"/>
          <w:szCs w:val="44"/>
        </w:rPr>
        <w:t>第5章 发展思路</w:t>
      </w:r>
      <w:bookmarkEnd w:id="53"/>
      <w:bookmarkEnd w:id="66"/>
      <w:bookmarkEnd w:id="67"/>
    </w:p>
    <w:p>
      <w:pPr>
        <w:pStyle w:val="2"/>
        <w:spacing w:before="156" w:after="156" w:line="416" w:lineRule="auto"/>
        <w:ind w:firstLine="0" w:firstLineChars="0"/>
        <w:jc w:val="left"/>
        <w:rPr>
          <w:rFonts w:ascii="Times New Roman" w:hAnsi="Times New Roman" w:eastAsia="黑体"/>
          <w:sz w:val="36"/>
          <w:szCs w:val="36"/>
        </w:rPr>
      </w:pPr>
      <w:bookmarkStart w:id="68" w:name="_Toc18594835"/>
      <w:bookmarkStart w:id="69" w:name="_Toc61624431"/>
      <w:bookmarkStart w:id="70" w:name="_Toc28840"/>
      <w:bookmarkStart w:id="71" w:name="_Toc16392"/>
      <w:r>
        <w:rPr>
          <w:rFonts w:ascii="Times New Roman" w:hAnsi="Times New Roman" w:eastAsia="黑体"/>
          <w:sz w:val="36"/>
          <w:szCs w:val="36"/>
        </w:rPr>
        <w:t xml:space="preserve">5.1 </w:t>
      </w:r>
      <w:r>
        <w:rPr>
          <w:rFonts w:hint="eastAsia" w:ascii="Times New Roman" w:hAnsi="Times New Roman" w:eastAsia="黑体"/>
          <w:sz w:val="36"/>
          <w:szCs w:val="36"/>
        </w:rPr>
        <w:t>指导思想</w:t>
      </w:r>
      <w:bookmarkEnd w:id="68"/>
      <w:bookmarkEnd w:id="69"/>
      <w:bookmarkEnd w:id="70"/>
      <w:bookmarkEnd w:id="71"/>
    </w:p>
    <w:p>
      <w:pPr>
        <w:ind w:firstLine="640"/>
      </w:pPr>
      <w:r>
        <w:rPr>
          <w:rFonts w:hint="eastAsia"/>
        </w:rPr>
        <w:t>以习近平新时代中国特色社会主义思想为指导，全面贯彻党的十九大和习近平总书记对四川工作系列重要指示精神，深入贯彻省委“一干多支、五区协同”“四向拓展、全域开放”战略部署、广元市第八次党代会和昭化区第八次党代会精神，坚持高质量发展要求，坚持以供给侧结构性改革为主线，坚持深化市场化改革、扩大高水平开放，以促进交通运输发展提质增效、转型升级为导向，紧扣加快建设“千里嘉陵首善港城、千年蜀道宜居名城、绿色家居产业优城、诗意昭化幸福新城”的总体发展定位，加快构建能力充分、结构合理、覆盖广泛、衔接顺畅的现代综合交通网络体系，有力支撑治蜀兴川兴广战略昭化实践再上新台阶。</w:t>
      </w:r>
    </w:p>
    <w:p>
      <w:pPr>
        <w:pStyle w:val="2"/>
        <w:spacing w:before="156" w:after="156" w:line="416" w:lineRule="auto"/>
        <w:ind w:firstLine="0" w:firstLineChars="0"/>
        <w:jc w:val="left"/>
        <w:rPr>
          <w:rFonts w:ascii="Times New Roman" w:hAnsi="Times New Roman" w:eastAsia="黑体"/>
          <w:sz w:val="36"/>
          <w:szCs w:val="36"/>
        </w:rPr>
      </w:pPr>
      <w:bookmarkStart w:id="72" w:name="_Toc61624432"/>
      <w:bookmarkStart w:id="73" w:name="_Toc5038"/>
      <w:bookmarkStart w:id="74" w:name="_Toc18594836"/>
      <w:bookmarkStart w:id="75" w:name="_Toc9748"/>
      <w:r>
        <w:rPr>
          <w:rFonts w:ascii="Times New Roman" w:hAnsi="Times New Roman" w:eastAsia="黑体"/>
          <w:sz w:val="36"/>
          <w:szCs w:val="36"/>
        </w:rPr>
        <w:t xml:space="preserve">5.2 </w:t>
      </w:r>
      <w:r>
        <w:rPr>
          <w:rFonts w:hint="eastAsia" w:ascii="Times New Roman" w:hAnsi="Times New Roman" w:eastAsia="黑体"/>
          <w:sz w:val="36"/>
          <w:szCs w:val="36"/>
        </w:rPr>
        <w:t>基本原则</w:t>
      </w:r>
      <w:bookmarkEnd w:id="72"/>
      <w:bookmarkEnd w:id="73"/>
      <w:bookmarkEnd w:id="74"/>
      <w:bookmarkEnd w:id="75"/>
    </w:p>
    <w:p>
      <w:pPr>
        <w:ind w:firstLine="643"/>
      </w:pPr>
      <w:bookmarkStart w:id="76" w:name="_Toc18594838"/>
      <w:r>
        <w:rPr>
          <w:b/>
        </w:rPr>
        <w:t>1.</w:t>
      </w:r>
      <w:r>
        <w:rPr>
          <w:rFonts w:hint="eastAsia"/>
          <w:b/>
        </w:rPr>
        <w:t>稳中求进，适度超前。</w:t>
      </w:r>
      <w:r>
        <w:rPr>
          <w:rFonts w:hint="eastAsia"/>
        </w:rPr>
        <w:t>按照支撑广元打造全国性综合交通枢纽的总体部署，在满足现阶段客货运输需求的基础上，着眼于昭化经济社会发展的阶段性目标和需求增长趋势，前瞻性的加快交通基础设施建设，提高交通运输的战略支撑力，并处理好发展速度、规模与资金、资源环境承载力的关系。</w:t>
      </w:r>
    </w:p>
    <w:p>
      <w:pPr>
        <w:ind w:firstLine="643"/>
      </w:pPr>
      <w:r>
        <w:rPr>
          <w:b/>
        </w:rPr>
        <w:t>2.</w:t>
      </w:r>
      <w:r>
        <w:rPr>
          <w:rFonts w:hint="eastAsia"/>
          <w:b/>
        </w:rPr>
        <w:t>服务大局，服务民生</w:t>
      </w:r>
      <w:r>
        <w:rPr>
          <w:rFonts w:hint="eastAsia"/>
        </w:rPr>
        <w:t>。以服务经济社会发展全局为中心，以满足新时代人民群众对美好出行的新要求作为落脚点，强化重大交通基础设施项目对昭化经济社会发展战略的引领支撑作用，抓好保障和改善民生的各项工作，增强人民群众的获得感、幸福感、安全感。</w:t>
      </w:r>
    </w:p>
    <w:p>
      <w:pPr>
        <w:ind w:firstLine="643"/>
      </w:pPr>
      <w:r>
        <w:rPr>
          <w:b/>
        </w:rPr>
        <w:t>3.</w:t>
      </w:r>
      <w:r>
        <w:rPr>
          <w:rFonts w:hint="eastAsia"/>
          <w:b/>
        </w:rPr>
        <w:t>统筹融合，注重衔接。</w:t>
      </w:r>
      <w:r>
        <w:rPr>
          <w:rFonts w:hint="eastAsia"/>
        </w:rPr>
        <w:t>注重公铁水等各种交通方式之间的统筹协调，发挥综合交通基础设施网络效应和规模效应，提升交通运输整体性和协调性。宜路则路、宜水则水，促进综合运输走廊内空间资源的共用共享。优化综合交通枢纽布局，提高各种运输方式衔接和组合效率。</w:t>
      </w:r>
    </w:p>
    <w:p>
      <w:pPr>
        <w:ind w:firstLine="643"/>
      </w:pPr>
      <w:r>
        <w:rPr>
          <w:b/>
        </w:rPr>
        <w:t>4.</w:t>
      </w:r>
      <w:r>
        <w:rPr>
          <w:rFonts w:hint="eastAsia"/>
          <w:b/>
        </w:rPr>
        <w:t>集约绿色，优化供给。</w:t>
      </w:r>
      <w:r>
        <w:rPr>
          <w:rFonts w:hint="eastAsia"/>
        </w:rPr>
        <w:t>充分考虑昭化资源禀赋条件及环境承载力，以国土空间规划为依据，注重节约集约利用土地、水域等资源，促进交通与自然和谐共生。充分利用存量资源，扩大优质增量供给，以最小的资源消耗和环境代价实现供需动态平衡。</w:t>
      </w:r>
    </w:p>
    <w:p>
      <w:pPr>
        <w:pStyle w:val="2"/>
        <w:spacing w:before="156" w:after="156" w:line="416" w:lineRule="auto"/>
        <w:ind w:firstLine="0" w:firstLineChars="0"/>
        <w:jc w:val="left"/>
        <w:rPr>
          <w:rFonts w:ascii="Times New Roman" w:hAnsi="Times New Roman" w:eastAsia="黑体"/>
          <w:sz w:val="36"/>
          <w:szCs w:val="36"/>
        </w:rPr>
      </w:pPr>
      <w:bookmarkStart w:id="77" w:name="_Toc61624433"/>
      <w:bookmarkStart w:id="78" w:name="_Toc21418"/>
      <w:r>
        <w:rPr>
          <w:rFonts w:ascii="Times New Roman" w:hAnsi="Times New Roman" w:eastAsia="黑体"/>
          <w:sz w:val="36"/>
          <w:szCs w:val="36"/>
        </w:rPr>
        <w:t xml:space="preserve">5.3 </w:t>
      </w:r>
      <w:r>
        <w:rPr>
          <w:rFonts w:hint="eastAsia" w:ascii="Times New Roman" w:hAnsi="Times New Roman" w:eastAsia="黑体"/>
          <w:sz w:val="36"/>
          <w:szCs w:val="36"/>
        </w:rPr>
        <w:t>发展目标</w:t>
      </w:r>
      <w:bookmarkEnd w:id="77"/>
      <w:bookmarkEnd w:id="78"/>
    </w:p>
    <w:bookmarkEnd w:id="76"/>
    <w:p>
      <w:pPr>
        <w:spacing w:line="600" w:lineRule="exact"/>
        <w:ind w:firstLine="640"/>
        <w:rPr>
          <w:szCs w:val="32"/>
        </w:rPr>
      </w:pPr>
      <w:bookmarkStart w:id="79" w:name="_Hlk60163505"/>
      <w:r>
        <w:rPr>
          <w:rFonts w:hint="eastAsia"/>
          <w:szCs w:val="32"/>
        </w:rPr>
        <w:t>到</w:t>
      </w:r>
      <w:r>
        <w:rPr>
          <w:szCs w:val="32"/>
        </w:rPr>
        <w:t>2025</w:t>
      </w:r>
      <w:r>
        <w:rPr>
          <w:rFonts w:hint="eastAsia"/>
          <w:szCs w:val="32"/>
        </w:rPr>
        <w:t>年，昭化区综合交通建设发展取得突破性进展，</w:t>
      </w:r>
      <w:bookmarkEnd w:id="79"/>
      <w:r>
        <w:rPr>
          <w:rFonts w:hint="eastAsia"/>
          <w:szCs w:val="32"/>
        </w:rPr>
        <w:t>现代综合交通网络基本成型，城乡居民出行更便捷、更公平，货运与现代物流业更具竞争力，信息化、智能化有效引领行业转型升级，交通运输治理能力显著提升，有效支撑和保障经济社会高质量发展。</w:t>
      </w:r>
    </w:p>
    <w:p>
      <w:pPr>
        <w:spacing w:line="600" w:lineRule="exact"/>
        <w:ind w:firstLine="640"/>
        <w:rPr>
          <w:szCs w:val="32"/>
        </w:rPr>
      </w:pPr>
      <w:r>
        <w:rPr>
          <w:rFonts w:eastAsia="黑体"/>
          <w:szCs w:val="32"/>
        </w:rPr>
        <w:t>——</w:t>
      </w:r>
      <w:bookmarkStart w:id="80" w:name="_Hlk60163519"/>
      <w:r>
        <w:rPr>
          <w:rFonts w:hint="eastAsia" w:eastAsia="黑体"/>
          <w:szCs w:val="32"/>
        </w:rPr>
        <w:t>能力充分、结构合理、衔接顺畅的现代综合交通网络基本成型。</w:t>
      </w:r>
      <w:r>
        <w:rPr>
          <w:rFonts w:hint="eastAsia"/>
          <w:szCs w:val="32"/>
        </w:rPr>
        <w:t>直达成渝、沟通周边、连接各大经济区，以高速公路和铁路、水运为主体的对外综合运输大通道全面建成，全区建成铁路</w:t>
      </w:r>
      <w:r>
        <w:rPr>
          <w:szCs w:val="32"/>
        </w:rPr>
        <w:t>52</w:t>
      </w:r>
      <w:r>
        <w:rPr>
          <w:rFonts w:hint="eastAsia"/>
          <w:szCs w:val="32"/>
        </w:rPr>
        <w:t>公里，规划高速公路基本建成，嘉陵江航道等级全面提升，形成</w:t>
      </w:r>
      <w:r>
        <w:rPr>
          <w:szCs w:val="32"/>
        </w:rPr>
        <w:t>5</w:t>
      </w:r>
      <w:r>
        <w:rPr>
          <w:rFonts w:hint="eastAsia"/>
          <w:szCs w:val="32"/>
        </w:rPr>
        <w:t>个方向的对外综合交通出口通道；</w:t>
      </w:r>
      <w:bookmarkEnd w:id="80"/>
      <w:bookmarkStart w:id="81" w:name="_Hlk60163575"/>
      <w:r>
        <w:rPr>
          <w:rFonts w:hint="eastAsia"/>
          <w:szCs w:val="32"/>
        </w:rPr>
        <w:t>境内</w:t>
      </w:r>
      <w:r>
        <w:rPr>
          <w:szCs w:val="32"/>
        </w:rPr>
        <w:t>“</w:t>
      </w:r>
      <w:r>
        <w:rPr>
          <w:rFonts w:hint="eastAsia"/>
          <w:szCs w:val="32"/>
        </w:rPr>
        <w:t>五纵五横十连线</w:t>
      </w:r>
      <w:r>
        <w:rPr>
          <w:szCs w:val="32"/>
        </w:rPr>
        <w:t>”</w:t>
      </w:r>
      <w:r>
        <w:rPr>
          <w:rFonts w:hint="eastAsia"/>
          <w:szCs w:val="32"/>
        </w:rPr>
        <w:t>干线公路网基本建成，路网结构进一步优化，普通国道全部达到二级及以上技术标准、普通省道达到三级及以上技术标准，所有重要乡镇实现干线公路两条及以上链接；农村公路向进村入户进一步倾斜，基本实现全区</w:t>
      </w:r>
      <w:r>
        <w:rPr>
          <w:szCs w:val="32"/>
        </w:rPr>
        <w:t>30</w:t>
      </w:r>
      <w:r>
        <w:rPr>
          <w:rFonts w:hint="eastAsia"/>
          <w:szCs w:val="32"/>
        </w:rPr>
        <w:t>户及以上自然村（村民小组）全部通硬化路，连接主要居民聚居点、农业产业园区及乡村旅游景点延伸，实现城区到乡镇、乡镇到村半小时通达，所有乡镇半小时上高速，建成</w:t>
      </w:r>
      <w:r>
        <w:rPr>
          <w:szCs w:val="32"/>
        </w:rPr>
        <w:t>“</w:t>
      </w:r>
      <w:r>
        <w:rPr>
          <w:rFonts w:hint="eastAsia"/>
          <w:szCs w:val="32"/>
        </w:rPr>
        <w:t>半小时昭化</w:t>
      </w:r>
      <w:r>
        <w:rPr>
          <w:szCs w:val="32"/>
        </w:rPr>
        <w:t>”</w:t>
      </w:r>
      <w:bookmarkEnd w:id="81"/>
      <w:r>
        <w:rPr>
          <w:rFonts w:hint="eastAsia"/>
          <w:szCs w:val="32"/>
        </w:rPr>
        <w:t>。</w:t>
      </w:r>
    </w:p>
    <w:p>
      <w:pPr>
        <w:spacing w:line="600" w:lineRule="exact"/>
        <w:ind w:firstLine="640"/>
        <w:rPr>
          <w:szCs w:val="32"/>
        </w:rPr>
      </w:pPr>
      <w:r>
        <w:rPr>
          <w:rFonts w:eastAsia="黑体"/>
          <w:szCs w:val="32"/>
        </w:rPr>
        <w:t>——</w:t>
      </w:r>
      <w:bookmarkStart w:id="82" w:name="_Hlk60163657"/>
      <w:r>
        <w:rPr>
          <w:rFonts w:hint="eastAsia" w:eastAsia="黑体"/>
          <w:szCs w:val="32"/>
        </w:rPr>
        <w:t>便捷多样、公平体面的一体化出行服务体系，以及高效的货运服务体系基本形成。</w:t>
      </w:r>
      <w:r>
        <w:rPr>
          <w:rFonts w:hint="eastAsia"/>
          <w:szCs w:val="32"/>
        </w:rPr>
        <w:t>综合交通枢纽站场体系进一步完善，各乡镇均建有乡镇客运站和农村物流配送点，实现各种运输方式间、城乡交通间的有效衔接。交通基础设施规模及服务能力充分适应经济社会发展需求，布局结构、技术结构、功能结构优化合理，在物理和逻辑上高效衔接。乡村客运长效发展机制基本健全，农村预约响应式农村客运加快发展，多样化的客运服务有效提升公众出行满意率；货运与物流业转型发展取得重大进展，运输市场更加开放、更具活力、更加集约，更好地满足城乡居民运输服务需求。</w:t>
      </w:r>
    </w:p>
    <w:bookmarkEnd w:id="82"/>
    <w:p>
      <w:pPr>
        <w:spacing w:line="600" w:lineRule="exact"/>
        <w:ind w:firstLine="640"/>
        <w:rPr>
          <w:szCs w:val="32"/>
        </w:rPr>
      </w:pPr>
      <w:r>
        <w:rPr>
          <w:rFonts w:eastAsia="黑体"/>
          <w:szCs w:val="32"/>
        </w:rPr>
        <w:t>——</w:t>
      </w:r>
      <w:bookmarkStart w:id="83" w:name="_Hlk60163715"/>
      <w:r>
        <w:rPr>
          <w:rFonts w:hint="eastAsia" w:eastAsia="黑体"/>
          <w:szCs w:val="32"/>
        </w:rPr>
        <w:t>新技术、新材料广泛应用，信息、智能技术应用能力显著增强。</w:t>
      </w:r>
      <w:r>
        <w:rPr>
          <w:rFonts w:hint="eastAsia"/>
          <w:szCs w:val="32"/>
        </w:rPr>
        <w:t>依托现代化基础设施，打造保障有力的运输服务和支持保障系统，交通发展全面跨入科技主导、资源利用集约高效、与环境和谐统一的新阶段。交通运输设施、装备、管理等方面的创新应用能力大幅提升，关键工艺技术、高端产品、管理集成等在行业建设管理中更加广泛应用。现代信息技术在交通运输各领域全过程深度融合，基本形成现代化的交通运输信息网络体系，公众出行信息化智能化服务、货运与物流信息化和政务信息化水平显著提升。</w:t>
      </w:r>
    </w:p>
    <w:p>
      <w:pPr>
        <w:spacing w:line="600" w:lineRule="exact"/>
        <w:ind w:firstLine="640"/>
        <w:rPr>
          <w:szCs w:val="32"/>
        </w:rPr>
      </w:pPr>
      <w:r>
        <w:rPr>
          <w:rFonts w:eastAsia="黑体"/>
          <w:szCs w:val="32"/>
        </w:rPr>
        <w:t>——</w:t>
      </w:r>
      <w:r>
        <w:rPr>
          <w:rFonts w:hint="eastAsia" w:eastAsia="黑体"/>
          <w:szCs w:val="32"/>
        </w:rPr>
        <w:t>交通运输治理能力，以及行业管理和安全运营水平持续提升。</w:t>
      </w:r>
      <w:r>
        <w:rPr>
          <w:rFonts w:hint="eastAsia"/>
          <w:szCs w:val="32"/>
        </w:rPr>
        <w:t>公路养护服务水平显著提升，安全监管能力显著增强，重要干线公路实现监测检测全覆盖，渡口安全隐患逐步消除，广大沿河邻水群众生产生活条件大幅改善；绿色循环低碳的价值取向贯穿发展全过程和各领域，交通运输碳排放强度较</w:t>
      </w:r>
      <w:r>
        <w:rPr>
          <w:szCs w:val="32"/>
        </w:rPr>
        <w:t>2020</w:t>
      </w:r>
      <w:r>
        <w:rPr>
          <w:rFonts w:hint="eastAsia"/>
          <w:szCs w:val="32"/>
        </w:rPr>
        <w:t>年底下降率</w:t>
      </w:r>
      <w:r>
        <w:rPr>
          <w:szCs w:val="32"/>
        </w:rPr>
        <w:t>5%</w:t>
      </w:r>
      <w:r>
        <w:rPr>
          <w:rFonts w:hint="eastAsia"/>
          <w:szCs w:val="32"/>
        </w:rPr>
        <w:t>；依法行政水平和行政效率明显提高，交通运输许可事项</w:t>
      </w:r>
      <w:r>
        <w:rPr>
          <w:szCs w:val="32"/>
        </w:rPr>
        <w:t>“</w:t>
      </w:r>
      <w:r>
        <w:rPr>
          <w:rFonts w:hint="eastAsia"/>
          <w:szCs w:val="32"/>
        </w:rPr>
        <w:t>不见面</w:t>
      </w:r>
      <w:r>
        <w:rPr>
          <w:szCs w:val="32"/>
        </w:rPr>
        <w:t>”</w:t>
      </w:r>
      <w:r>
        <w:rPr>
          <w:rFonts w:hint="eastAsia"/>
          <w:szCs w:val="32"/>
        </w:rPr>
        <w:t>审批率</w:t>
      </w:r>
      <w:r>
        <w:rPr>
          <w:szCs w:val="32"/>
        </w:rPr>
        <w:t>100%</w:t>
      </w:r>
      <w:r>
        <w:rPr>
          <w:rFonts w:hint="eastAsia"/>
          <w:szCs w:val="32"/>
        </w:rPr>
        <w:t>。</w:t>
      </w:r>
    </w:p>
    <w:p>
      <w:pPr>
        <w:ind w:firstLine="640"/>
      </w:pPr>
    </w:p>
    <w:bookmarkEnd w:id="83"/>
    <w:p>
      <w:pPr>
        <w:ind w:firstLine="173" w:firstLineChars="62"/>
        <w:jc w:val="center"/>
        <w:rPr>
          <w:rFonts w:eastAsia="黑体"/>
          <w:sz w:val="28"/>
          <w:szCs w:val="28"/>
        </w:rPr>
      </w:pPr>
      <w:r>
        <w:rPr>
          <w:rFonts w:hint="eastAsia" w:eastAsia="黑体"/>
          <w:sz w:val="28"/>
          <w:szCs w:val="28"/>
        </w:rPr>
        <w:t>表</w:t>
      </w:r>
      <w:r>
        <w:rPr>
          <w:rFonts w:eastAsia="黑体"/>
          <w:sz w:val="28"/>
          <w:szCs w:val="28"/>
        </w:rPr>
        <w:t>5-1 “</w:t>
      </w:r>
      <w:r>
        <w:rPr>
          <w:rFonts w:hint="eastAsia" w:eastAsia="黑体"/>
          <w:sz w:val="28"/>
          <w:szCs w:val="28"/>
        </w:rPr>
        <w:t>十四五</w:t>
      </w:r>
      <w:r>
        <w:rPr>
          <w:rFonts w:eastAsia="黑体"/>
          <w:sz w:val="28"/>
          <w:szCs w:val="28"/>
        </w:rPr>
        <w:t>”</w:t>
      </w:r>
      <w:r>
        <w:rPr>
          <w:rFonts w:hint="eastAsia" w:eastAsia="黑体"/>
          <w:sz w:val="28"/>
          <w:szCs w:val="28"/>
        </w:rPr>
        <w:t>昭化区综合交通运输发展规划指标表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95"/>
        <w:gridCol w:w="5301"/>
        <w:gridCol w:w="1134"/>
        <w:gridCol w:w="1134"/>
        <w:gridCol w:w="12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tblHeader/>
          <w:jc w:val="center"/>
        </w:trPr>
        <w:tc>
          <w:tcPr>
            <w:tcW w:w="795" w:type="dxa"/>
            <w:tcBorders>
              <w:top w:val="single" w:color="auto" w:sz="12"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领域</w:t>
            </w:r>
          </w:p>
        </w:tc>
        <w:tc>
          <w:tcPr>
            <w:tcW w:w="5301" w:type="dxa"/>
            <w:tcBorders>
              <w:top w:val="single" w:color="auto" w:sz="12"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具体指标</w:t>
            </w:r>
          </w:p>
        </w:tc>
        <w:tc>
          <w:tcPr>
            <w:tcW w:w="1134" w:type="dxa"/>
            <w:tcBorders>
              <w:top w:val="single" w:color="auto" w:sz="12"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eastAsia="黑体"/>
                <w:bCs/>
                <w:snapToGrid w:val="0"/>
                <w:kern w:val="0"/>
                <w:sz w:val="24"/>
                <w:szCs w:val="24"/>
              </w:rPr>
              <w:t>2020</w:t>
            </w:r>
            <w:r>
              <w:rPr>
                <w:rFonts w:hint="eastAsia" w:eastAsia="黑体"/>
                <w:bCs/>
                <w:snapToGrid w:val="0"/>
                <w:kern w:val="0"/>
                <w:sz w:val="24"/>
                <w:szCs w:val="24"/>
              </w:rPr>
              <w:t>年</w:t>
            </w:r>
          </w:p>
        </w:tc>
        <w:tc>
          <w:tcPr>
            <w:tcW w:w="1134" w:type="dxa"/>
            <w:tcBorders>
              <w:top w:val="single" w:color="auto" w:sz="12"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eastAsia="黑体"/>
                <w:bCs/>
                <w:snapToGrid w:val="0"/>
                <w:kern w:val="0"/>
                <w:sz w:val="24"/>
                <w:szCs w:val="24"/>
              </w:rPr>
              <w:t>2025</w:t>
            </w:r>
            <w:r>
              <w:rPr>
                <w:rFonts w:hint="eastAsia" w:eastAsia="黑体"/>
                <w:bCs/>
                <w:snapToGrid w:val="0"/>
                <w:kern w:val="0"/>
                <w:sz w:val="24"/>
                <w:szCs w:val="24"/>
              </w:rPr>
              <w:t>年</w:t>
            </w:r>
          </w:p>
        </w:tc>
        <w:tc>
          <w:tcPr>
            <w:tcW w:w="1275" w:type="dxa"/>
            <w:tcBorders>
              <w:top w:val="single" w:color="auto" w:sz="12"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指标类型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restart"/>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对外通道</w:t>
            </w: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铁路通车里程（公里）</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52</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52</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高速公路通车里程（公里）</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153</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普通国道二级及以上比例（</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restart"/>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区域路网</w:t>
            </w: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普通省道三级及以上比例（</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2.5</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乡镇通三级及以上公路比例（</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建制村通等级公路比例（</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restart"/>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枢纽布局</w:t>
            </w: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在营客运场站数量（个）</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26</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53</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48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市级客运站、旅游码头无障碍设施覆盖率（</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货运枢纽（物流园区）数量（个）</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13</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村级物流快递公共取送点（个）</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107</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restart"/>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rFonts w:eastAsia="黑体"/>
                <w:bCs/>
                <w:snapToGrid w:val="0"/>
                <w:kern w:val="0"/>
                <w:sz w:val="24"/>
                <w:szCs w:val="24"/>
              </w:rPr>
            </w:pPr>
            <w:r>
              <w:rPr>
                <w:rFonts w:hint="eastAsia" w:eastAsia="黑体"/>
                <w:bCs/>
                <w:snapToGrid w:val="0"/>
                <w:kern w:val="0"/>
                <w:sz w:val="24"/>
                <w:szCs w:val="24"/>
              </w:rPr>
              <w:t>运输保障</w:t>
            </w: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重要干线公路路网监测覆盖率（</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一般灾害情况下应急救援到达时间（小时）</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=&lt;2</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5301"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交通运输碳排放强度下降率（</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w:t>
            </w:r>
          </w:p>
        </w:tc>
        <w:tc>
          <w:tcPr>
            <w:tcW w:w="1134" w:type="dxa"/>
            <w:tcBorders>
              <w:top w:val="single" w:color="auto" w:sz="8" w:space="0"/>
              <w:left w:val="single" w:color="auto" w:sz="8" w:space="0"/>
              <w:bottom w:val="single" w:color="auto" w:sz="8"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5</w:t>
            </w:r>
          </w:p>
        </w:tc>
        <w:tc>
          <w:tcPr>
            <w:tcW w:w="1275" w:type="dxa"/>
            <w:tcBorders>
              <w:top w:val="single" w:color="auto" w:sz="8" w:space="0"/>
              <w:left w:val="single" w:color="auto" w:sz="8" w:space="0"/>
              <w:bottom w:val="single" w:color="auto" w:sz="8"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795" w:type="dxa"/>
            <w:vMerge w:val="continue"/>
            <w:tcBorders>
              <w:top w:val="single" w:color="auto" w:sz="8" w:space="0"/>
              <w:left w:val="single" w:color="auto" w:sz="12" w:space="0"/>
              <w:bottom w:val="single" w:color="auto" w:sz="12" w:space="0"/>
              <w:right w:val="single" w:color="auto" w:sz="8" w:space="0"/>
            </w:tcBorders>
            <w:noWrap w:val="0"/>
            <w:vAlign w:val="center"/>
          </w:tcPr>
          <w:p>
            <w:pPr>
              <w:spacing w:line="240" w:lineRule="auto"/>
              <w:ind w:firstLine="0" w:firstLineChars="0"/>
              <w:jc w:val="center"/>
              <w:rPr>
                <w:bCs/>
                <w:snapToGrid w:val="0"/>
                <w:kern w:val="0"/>
                <w:sz w:val="24"/>
                <w:szCs w:val="24"/>
              </w:rPr>
            </w:pPr>
          </w:p>
        </w:tc>
        <w:tc>
          <w:tcPr>
            <w:tcW w:w="5301"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交通运输许可事项</w:t>
            </w:r>
            <w:r>
              <w:rPr>
                <w:bCs/>
                <w:snapToGrid w:val="0"/>
                <w:kern w:val="0"/>
                <w:sz w:val="24"/>
                <w:szCs w:val="24"/>
              </w:rPr>
              <w:t>“</w:t>
            </w:r>
            <w:r>
              <w:rPr>
                <w:rFonts w:hint="eastAsia"/>
                <w:bCs/>
                <w:snapToGrid w:val="0"/>
                <w:kern w:val="0"/>
                <w:sz w:val="24"/>
                <w:szCs w:val="24"/>
              </w:rPr>
              <w:t>最多跑一次</w:t>
            </w:r>
            <w:r>
              <w:rPr>
                <w:bCs/>
                <w:snapToGrid w:val="0"/>
                <w:kern w:val="0"/>
                <w:sz w:val="24"/>
                <w:szCs w:val="24"/>
              </w:rPr>
              <w:t>”</w:t>
            </w:r>
            <w:r>
              <w:rPr>
                <w:rFonts w:hint="eastAsia"/>
                <w:bCs/>
                <w:snapToGrid w:val="0"/>
                <w:kern w:val="0"/>
                <w:sz w:val="24"/>
                <w:szCs w:val="24"/>
              </w:rPr>
              <w:t>审批率（</w:t>
            </w:r>
            <w:r>
              <w:rPr>
                <w:bCs/>
                <w:snapToGrid w:val="0"/>
                <w:kern w:val="0"/>
                <w:sz w:val="24"/>
                <w:szCs w:val="24"/>
              </w:rPr>
              <w:t>%</w:t>
            </w:r>
            <w:r>
              <w:rPr>
                <w:rFonts w:hint="eastAsia"/>
                <w:bCs/>
                <w:snapToGrid w:val="0"/>
                <w:kern w:val="0"/>
                <w:sz w:val="24"/>
                <w:szCs w:val="24"/>
              </w:rPr>
              <w:t>）</w:t>
            </w:r>
          </w:p>
        </w:tc>
        <w:tc>
          <w:tcPr>
            <w:tcW w:w="1134"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w:t>
            </w:r>
          </w:p>
        </w:tc>
        <w:tc>
          <w:tcPr>
            <w:tcW w:w="1134" w:type="dxa"/>
            <w:tcBorders>
              <w:top w:val="single" w:color="auto" w:sz="8" w:space="0"/>
              <w:left w:val="single" w:color="auto" w:sz="8" w:space="0"/>
              <w:bottom w:val="single" w:color="auto" w:sz="12" w:space="0"/>
              <w:right w:val="single" w:color="auto" w:sz="8" w:space="0"/>
            </w:tcBorders>
            <w:noWrap w:val="0"/>
            <w:vAlign w:val="center"/>
          </w:tcPr>
          <w:p>
            <w:pPr>
              <w:spacing w:line="240" w:lineRule="auto"/>
              <w:ind w:firstLine="0" w:firstLineChars="0"/>
              <w:jc w:val="center"/>
              <w:rPr>
                <w:bCs/>
                <w:snapToGrid w:val="0"/>
                <w:kern w:val="0"/>
                <w:sz w:val="24"/>
                <w:szCs w:val="24"/>
              </w:rPr>
            </w:pPr>
            <w:r>
              <w:rPr>
                <w:bCs/>
                <w:snapToGrid w:val="0"/>
                <w:kern w:val="0"/>
                <w:sz w:val="24"/>
                <w:szCs w:val="24"/>
              </w:rPr>
              <w:t>100</w:t>
            </w:r>
          </w:p>
        </w:tc>
        <w:tc>
          <w:tcPr>
            <w:tcW w:w="1275" w:type="dxa"/>
            <w:tcBorders>
              <w:top w:val="single" w:color="auto" w:sz="8" w:space="0"/>
              <w:left w:val="single" w:color="auto" w:sz="8" w:space="0"/>
              <w:bottom w:val="single" w:color="auto" w:sz="12" w:space="0"/>
              <w:right w:val="single" w:color="auto" w:sz="12" w:space="0"/>
            </w:tcBorders>
            <w:noWrap w:val="0"/>
            <w:vAlign w:val="center"/>
          </w:tcPr>
          <w:p>
            <w:pPr>
              <w:spacing w:line="240" w:lineRule="auto"/>
              <w:ind w:firstLine="0" w:firstLineChars="0"/>
              <w:jc w:val="center"/>
              <w:rPr>
                <w:bCs/>
                <w:snapToGrid w:val="0"/>
                <w:kern w:val="0"/>
                <w:sz w:val="24"/>
                <w:szCs w:val="24"/>
              </w:rPr>
            </w:pPr>
            <w:r>
              <w:rPr>
                <w:rFonts w:hint="eastAsia"/>
                <w:bCs/>
                <w:snapToGrid w:val="0"/>
                <w:kern w:val="0"/>
                <w:sz w:val="24"/>
                <w:szCs w:val="24"/>
              </w:rPr>
              <w:t>预期性</w:t>
            </w:r>
          </w:p>
        </w:tc>
      </w:tr>
    </w:tbl>
    <w:p>
      <w:pPr>
        <w:spacing w:before="156" w:after="156"/>
        <w:ind w:left="0" w:leftChars="0" w:firstLine="0" w:firstLineChars="0"/>
        <w:jc w:val="center"/>
        <w:rPr>
          <w:rFonts w:hint="eastAsia" w:ascii="方正小标宋简体" w:hAnsi="方正小标宋简体" w:eastAsia="方正小标宋简体" w:cs="方正小标宋简体"/>
          <w:sz w:val="44"/>
        </w:rPr>
      </w:pPr>
      <w:r>
        <w:rPr>
          <w:rFonts w:hint="eastAsia" w:ascii="方正小标宋简体" w:hAnsi="方正小标宋简体" w:eastAsia="方正小标宋简体" w:cs="方正小标宋简体"/>
        </w:rPr>
        <w:br w:type="page"/>
      </w:r>
      <w:bookmarkStart w:id="84" w:name="_Toc25213"/>
      <w:bookmarkStart w:id="85" w:name="_Toc12396"/>
      <w:bookmarkStart w:id="86" w:name="_Toc61624434"/>
      <w:r>
        <w:rPr>
          <w:rFonts w:hint="eastAsia" w:ascii="方正小标宋简体" w:hAnsi="方正小标宋简体" w:eastAsia="方正小标宋简体" w:cs="方正小标宋简体"/>
          <w:sz w:val="44"/>
        </w:rPr>
        <w:t>第6章 重点任务</w:t>
      </w:r>
      <w:bookmarkEnd w:id="84"/>
      <w:r>
        <w:rPr>
          <w:rFonts w:hint="eastAsia" w:ascii="方正小标宋简体" w:hAnsi="方正小标宋简体" w:eastAsia="方正小标宋简体" w:cs="方正小标宋简体"/>
          <w:sz w:val="44"/>
        </w:rPr>
        <w:t>及资金需求</w:t>
      </w:r>
      <w:bookmarkEnd w:id="85"/>
      <w:bookmarkEnd w:id="86"/>
    </w:p>
    <w:p>
      <w:pPr>
        <w:pStyle w:val="2"/>
        <w:spacing w:before="156" w:after="156" w:line="416" w:lineRule="auto"/>
        <w:ind w:firstLine="0" w:firstLineChars="0"/>
        <w:jc w:val="left"/>
        <w:rPr>
          <w:rFonts w:ascii="Times New Roman" w:hAnsi="Times New Roman" w:eastAsia="黑体"/>
          <w:sz w:val="36"/>
          <w:szCs w:val="36"/>
        </w:rPr>
      </w:pPr>
      <w:bookmarkStart w:id="87" w:name="_Toc7049"/>
      <w:bookmarkStart w:id="88" w:name="_Toc61624435"/>
      <w:r>
        <w:rPr>
          <w:rFonts w:ascii="Times New Roman" w:hAnsi="Times New Roman" w:eastAsia="黑体"/>
          <w:sz w:val="36"/>
          <w:szCs w:val="36"/>
        </w:rPr>
        <w:t xml:space="preserve">6.1 </w:t>
      </w:r>
      <w:r>
        <w:rPr>
          <w:rFonts w:hint="eastAsia" w:ascii="Times New Roman" w:hAnsi="Times New Roman" w:eastAsia="黑体"/>
          <w:sz w:val="36"/>
          <w:szCs w:val="36"/>
        </w:rPr>
        <w:t>重点任务</w:t>
      </w:r>
      <w:bookmarkEnd w:id="87"/>
      <w:bookmarkEnd w:id="88"/>
    </w:p>
    <w:p>
      <w:pPr>
        <w:ind w:firstLine="640"/>
        <w:rPr>
          <w:kern w:val="0"/>
          <w:szCs w:val="32"/>
        </w:rPr>
      </w:pPr>
      <w:r>
        <w:rPr>
          <w:kern w:val="0"/>
          <w:szCs w:val="32"/>
        </w:rPr>
        <w:t>“</w:t>
      </w:r>
      <w:r>
        <w:rPr>
          <w:rFonts w:hint="eastAsia"/>
          <w:kern w:val="0"/>
          <w:szCs w:val="32"/>
        </w:rPr>
        <w:t>十四五”时期，昭化区将立足交通运输发展实际和阶段性特征，围绕市委市政府、区委区政府重大战略部署，坚持问题导向、目标导向，</w:t>
      </w:r>
      <w:bookmarkStart w:id="89" w:name="_Hlk60163853"/>
      <w:r>
        <w:rPr>
          <w:rFonts w:hint="eastAsia"/>
          <w:kern w:val="0"/>
          <w:szCs w:val="32"/>
        </w:rPr>
        <w:t>全力加快推进</w:t>
      </w:r>
      <w:r>
        <w:rPr>
          <w:kern w:val="0"/>
          <w:szCs w:val="32"/>
        </w:rPr>
        <w:t>“</w:t>
      </w:r>
      <w:r>
        <w:rPr>
          <w:rFonts w:hint="eastAsia" w:eastAsia="黑体"/>
          <w:kern w:val="0"/>
          <w:szCs w:val="32"/>
        </w:rPr>
        <w:t>五大工程</w:t>
      </w:r>
      <w:r>
        <w:rPr>
          <w:kern w:val="0"/>
          <w:szCs w:val="32"/>
        </w:rPr>
        <w:t>”</w:t>
      </w:r>
      <w:r>
        <w:rPr>
          <w:rFonts w:hint="eastAsia"/>
          <w:kern w:val="0"/>
          <w:szCs w:val="32"/>
        </w:rPr>
        <w:t>建设，加快构建现代综合交通运输体系。</w:t>
      </w:r>
    </w:p>
    <w:bookmarkEnd w:id="89"/>
    <w:p>
      <w:pPr>
        <w:pStyle w:val="4"/>
        <w:adjustRightInd w:val="0"/>
        <w:snapToGrid w:val="0"/>
        <w:spacing w:before="78" w:beforeLines="25" w:after="78" w:afterLines="25"/>
        <w:ind w:left="6238" w:hanging="6238"/>
        <w:rPr>
          <w:bCs w:val="0"/>
        </w:rPr>
      </w:pPr>
      <w:bookmarkStart w:id="90" w:name="_Toc28741"/>
      <w:r>
        <w:rPr>
          <w:bCs w:val="0"/>
        </w:rPr>
        <w:t xml:space="preserve">6.1.1 </w:t>
      </w:r>
      <w:bookmarkStart w:id="91" w:name="_Hlk60163892"/>
      <w:r>
        <w:rPr>
          <w:rFonts w:hint="eastAsia"/>
          <w:bCs w:val="0"/>
        </w:rPr>
        <w:t>加快路网畅通工程，着力构建高效互联交通网络</w:t>
      </w:r>
      <w:bookmarkEnd w:id="90"/>
      <w:bookmarkEnd w:id="91"/>
    </w:p>
    <w:p>
      <w:pPr>
        <w:autoSpaceDE w:val="0"/>
        <w:autoSpaceDN w:val="0"/>
        <w:adjustRightInd w:val="0"/>
        <w:ind w:firstLine="643"/>
        <w:rPr>
          <w:bCs/>
        </w:rPr>
      </w:pPr>
      <w:r>
        <w:rPr>
          <w:rFonts w:eastAsia="楷体_GB2312"/>
          <w:b/>
          <w:bCs/>
        </w:rPr>
        <w:t>1.</w:t>
      </w:r>
      <w:r>
        <w:rPr>
          <w:rFonts w:hint="eastAsia" w:eastAsia="楷体_GB2312"/>
          <w:b/>
          <w:bCs/>
        </w:rPr>
        <w:t>加</w:t>
      </w:r>
      <w:bookmarkStart w:id="92" w:name="_Hlk60163913"/>
      <w:r>
        <w:rPr>
          <w:rFonts w:hint="eastAsia" w:eastAsia="楷体_GB2312"/>
          <w:b/>
          <w:bCs/>
        </w:rPr>
        <w:t>快推进对外通道能力提升。</w:t>
      </w:r>
      <w:r>
        <w:rPr>
          <w:rFonts w:hint="eastAsia" w:eastAsia="黑体"/>
          <w:bCs/>
        </w:rPr>
        <w:t>一是</w:t>
      </w:r>
      <w:r>
        <w:rPr>
          <w:rFonts w:hint="eastAsia"/>
          <w:kern w:val="0"/>
          <w:szCs w:val="32"/>
          <w:lang w:val="zh-CN"/>
        </w:rPr>
        <w:t>尽早开工建设</w:t>
      </w:r>
      <w:r>
        <w:rPr>
          <w:kern w:val="0"/>
          <w:szCs w:val="32"/>
          <w:lang w:val="zh-CN"/>
        </w:rPr>
        <w:t>G5</w:t>
      </w:r>
      <w:r>
        <w:rPr>
          <w:rFonts w:hint="eastAsia"/>
          <w:kern w:val="0"/>
          <w:szCs w:val="32"/>
          <w:lang w:val="zh-CN"/>
        </w:rPr>
        <w:t>京昆高速广元至绵阳、广元至川陕界段扩容项目，并力争</w:t>
      </w:r>
      <w:r>
        <w:rPr>
          <w:kern w:val="0"/>
          <w:szCs w:val="32"/>
          <w:lang w:val="zh-CN"/>
        </w:rPr>
        <w:t>“</w:t>
      </w:r>
      <w:r>
        <w:rPr>
          <w:rFonts w:hint="eastAsia"/>
          <w:kern w:val="0"/>
          <w:szCs w:val="32"/>
          <w:lang w:val="zh-CN"/>
        </w:rPr>
        <w:t>十四五”时期建成通车，进一步疏通南联成渝地区双城经济圈</w:t>
      </w:r>
      <w:r>
        <w:rPr>
          <w:kern w:val="0"/>
          <w:szCs w:val="32"/>
          <w:lang w:val="zh-CN"/>
        </w:rPr>
        <w:t>“</w:t>
      </w:r>
      <w:r>
        <w:rPr>
          <w:rFonts w:hint="eastAsia"/>
          <w:kern w:val="0"/>
          <w:szCs w:val="32"/>
          <w:lang w:val="zh-CN"/>
        </w:rPr>
        <w:t>主核</w:t>
      </w:r>
      <w:r>
        <w:rPr>
          <w:kern w:val="0"/>
          <w:szCs w:val="32"/>
          <w:lang w:val="zh-CN"/>
        </w:rPr>
        <w:t>”</w:t>
      </w:r>
      <w:r>
        <w:rPr>
          <w:rFonts w:hint="eastAsia"/>
          <w:kern w:val="0"/>
          <w:szCs w:val="32"/>
          <w:lang w:val="zh-CN"/>
        </w:rPr>
        <w:t>成都的交通瓶颈，提升京昆大通道运行效能。</w:t>
      </w:r>
      <w:r>
        <w:rPr>
          <w:rFonts w:hint="eastAsia" w:eastAsia="黑体"/>
          <w:bCs/>
        </w:rPr>
        <w:t>二是</w:t>
      </w:r>
      <w:r>
        <w:rPr>
          <w:rFonts w:hint="eastAsia"/>
          <w:szCs w:val="32"/>
        </w:rPr>
        <w:t>积极争取上级支持，力争广元经巴中至达州高铁、兰渝高铁纳入上位规划，并争取</w:t>
      </w:r>
      <w:r>
        <w:rPr>
          <w:szCs w:val="32"/>
        </w:rPr>
        <w:t>“</w:t>
      </w:r>
      <w:r>
        <w:rPr>
          <w:rFonts w:hint="eastAsia"/>
          <w:szCs w:val="32"/>
        </w:rPr>
        <w:t>十四五”时期启动前期工作，提升对外通道通行能力，快捷联系长三角经济区和粤港澳大湾区；协调加快启动广元至巴中铁路扩能改造前期工作，争取早日开工建设，</w:t>
      </w:r>
      <w:r>
        <w:rPr>
          <w:rFonts w:hint="eastAsia"/>
          <w:bCs/>
        </w:rPr>
        <w:t>提升广元联系达州、直达万州港通江达海能力，助力进出川门户型综合交通枢纽建设。</w:t>
      </w:r>
      <w:r>
        <w:rPr>
          <w:rFonts w:hint="eastAsia" w:eastAsia="黑体"/>
          <w:bCs/>
        </w:rPr>
        <w:t>三是</w:t>
      </w:r>
      <w:r>
        <w:rPr>
          <w:rFonts w:hint="eastAsia"/>
          <w:szCs w:val="32"/>
        </w:rPr>
        <w:t>积</w:t>
      </w:r>
      <w:bookmarkStart w:id="93" w:name="_Hlk60320546"/>
      <w:r>
        <w:rPr>
          <w:rFonts w:hint="eastAsia"/>
          <w:szCs w:val="32"/>
        </w:rPr>
        <w:t>极加强</w:t>
      </w:r>
      <w:r>
        <w:rPr>
          <w:szCs w:val="32"/>
        </w:rPr>
        <w:t>G5012</w:t>
      </w:r>
      <w:r>
        <w:rPr>
          <w:rFonts w:hint="eastAsia"/>
          <w:szCs w:val="32"/>
        </w:rPr>
        <w:t>恩广高速广元至达州段扩容项目前期方案研究，</w:t>
      </w:r>
      <w:bookmarkEnd w:id="93"/>
      <w:r>
        <w:rPr>
          <w:rFonts w:hint="eastAsia"/>
          <w:szCs w:val="32"/>
        </w:rPr>
        <w:t>科学论证扩容方式和路线方案，争取尽早启动项目前期工作，为远期建设实施做好前期准备。</w:t>
      </w:r>
      <w:r>
        <w:rPr>
          <w:rFonts w:hint="eastAsia" w:eastAsia="黑体"/>
          <w:bCs/>
        </w:rPr>
        <w:t>四是</w:t>
      </w:r>
      <w:r>
        <w:rPr>
          <w:rFonts w:hint="eastAsia"/>
          <w:bCs/>
        </w:rPr>
        <w:t>主动承接广元机场远期搬迁工作，力争机场选址昭化，新建柏林沟森林防火直升机停机坪，补齐区域航空发展短板，构建铁、公、水、航一体发展的综合交通运输体系。</w:t>
      </w:r>
    </w:p>
    <w:bookmarkEnd w:id="92"/>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8"/>
              </w:rPr>
            </w:pPr>
            <w:bookmarkStart w:id="94" w:name="_Hlk60143559"/>
            <w:r>
              <w:rPr>
                <w:rFonts w:hint="eastAsia" w:eastAsia="黑体"/>
                <w:sz w:val="28"/>
                <w:szCs w:val="28"/>
              </w:rPr>
              <w:t>专栏</w:t>
            </w:r>
            <w:r>
              <w:rPr>
                <w:rFonts w:eastAsia="黑体"/>
                <w:sz w:val="28"/>
                <w:szCs w:val="28"/>
              </w:rPr>
              <w:t xml:space="preserve">1  </w:t>
            </w:r>
            <w:r>
              <w:rPr>
                <w:rFonts w:hint="eastAsia" w:eastAsia="黑体"/>
                <w:sz w:val="28"/>
                <w:szCs w:val="28"/>
              </w:rPr>
              <w:t>对外运输通道重点建设项目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676"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spacing w:line="600" w:lineRule="exact"/>
              <w:ind w:firstLine="560"/>
              <w:rPr>
                <w:rFonts w:eastAsia="黑体"/>
                <w:bCs/>
                <w:snapToGrid w:val="0"/>
                <w:kern w:val="0"/>
                <w:sz w:val="28"/>
                <w:szCs w:val="28"/>
              </w:rPr>
            </w:pPr>
            <w:r>
              <w:rPr>
                <w:rFonts w:eastAsia="黑体"/>
                <w:bCs/>
                <w:snapToGrid w:val="0"/>
                <w:kern w:val="0"/>
                <w:sz w:val="28"/>
                <w:szCs w:val="28"/>
              </w:rPr>
              <w:t>1.</w:t>
            </w:r>
            <w:r>
              <w:rPr>
                <w:rFonts w:hint="eastAsia" w:eastAsia="黑体"/>
                <w:bCs/>
                <w:snapToGrid w:val="0"/>
                <w:kern w:val="0"/>
                <w:sz w:val="28"/>
                <w:szCs w:val="28"/>
              </w:rPr>
              <w:t>铁路</w:t>
            </w:r>
          </w:p>
          <w:p>
            <w:pPr>
              <w:spacing w:line="600" w:lineRule="exact"/>
              <w:ind w:firstLine="560"/>
              <w:rPr>
                <w:bCs/>
                <w:snapToGrid w:val="0"/>
                <w:kern w:val="0"/>
                <w:sz w:val="28"/>
                <w:szCs w:val="28"/>
              </w:rPr>
            </w:pPr>
            <w:r>
              <w:rPr>
                <w:rFonts w:hint="eastAsia"/>
                <w:bCs/>
                <w:snapToGrid w:val="0"/>
                <w:kern w:val="0"/>
                <w:sz w:val="28"/>
                <w:szCs w:val="28"/>
              </w:rPr>
              <w:t>积极加快推进广元经巴中至达州高铁、兰渝高铁研究，力争纳入国家相关规划，并为</w:t>
            </w:r>
            <w:r>
              <w:rPr>
                <w:bCs/>
                <w:snapToGrid w:val="0"/>
                <w:kern w:val="0"/>
                <w:sz w:val="28"/>
                <w:szCs w:val="28"/>
              </w:rPr>
              <w:t>“</w:t>
            </w:r>
            <w:r>
              <w:rPr>
                <w:rFonts w:hint="eastAsia"/>
                <w:bCs/>
                <w:snapToGrid w:val="0"/>
                <w:kern w:val="0"/>
                <w:sz w:val="28"/>
                <w:szCs w:val="28"/>
              </w:rPr>
              <w:t>十五五</w:t>
            </w:r>
            <w:r>
              <w:rPr>
                <w:bCs/>
                <w:snapToGrid w:val="0"/>
                <w:kern w:val="0"/>
                <w:sz w:val="28"/>
                <w:szCs w:val="28"/>
              </w:rPr>
              <w:t>”</w:t>
            </w:r>
            <w:r>
              <w:rPr>
                <w:rFonts w:hint="eastAsia"/>
                <w:bCs/>
                <w:snapToGrid w:val="0"/>
                <w:kern w:val="0"/>
                <w:sz w:val="28"/>
                <w:szCs w:val="28"/>
              </w:rPr>
              <w:t>时期启动建设做好前期准备；加强汇报对接，力争</w:t>
            </w:r>
            <w:r>
              <w:rPr>
                <w:bCs/>
                <w:snapToGrid w:val="0"/>
                <w:kern w:val="0"/>
                <w:sz w:val="28"/>
                <w:szCs w:val="28"/>
              </w:rPr>
              <w:t>“</w:t>
            </w:r>
            <w:r>
              <w:rPr>
                <w:rFonts w:hint="eastAsia"/>
                <w:bCs/>
                <w:snapToGrid w:val="0"/>
                <w:kern w:val="0"/>
                <w:sz w:val="28"/>
                <w:szCs w:val="28"/>
              </w:rPr>
              <w:t>十四五”时期启动实施广元至巴中铁路改造项目，按照</w:t>
            </w:r>
            <w:r>
              <w:rPr>
                <w:bCs/>
                <w:snapToGrid w:val="0"/>
                <w:kern w:val="0"/>
                <w:sz w:val="28"/>
                <w:szCs w:val="28"/>
              </w:rPr>
              <w:t xml:space="preserve">I </w:t>
            </w:r>
            <w:r>
              <w:rPr>
                <w:rFonts w:hint="eastAsia"/>
                <w:bCs/>
                <w:snapToGrid w:val="0"/>
                <w:kern w:val="0"/>
                <w:sz w:val="28"/>
                <w:szCs w:val="28"/>
              </w:rPr>
              <w:t>级铁路、</w:t>
            </w:r>
            <w:r>
              <w:rPr>
                <w:bCs/>
                <w:snapToGrid w:val="0"/>
                <w:kern w:val="0"/>
                <w:sz w:val="28"/>
                <w:szCs w:val="28"/>
              </w:rPr>
              <w:t>160km/h</w:t>
            </w:r>
            <w:r>
              <w:rPr>
                <w:rFonts w:hint="eastAsia"/>
                <w:bCs/>
                <w:snapToGrid w:val="0"/>
                <w:kern w:val="0"/>
                <w:sz w:val="28"/>
                <w:szCs w:val="28"/>
              </w:rPr>
              <w:t>扩能改造，并于</w:t>
            </w:r>
            <w:r>
              <w:rPr>
                <w:bCs/>
                <w:snapToGrid w:val="0"/>
                <w:kern w:val="0"/>
                <w:sz w:val="28"/>
                <w:szCs w:val="28"/>
              </w:rPr>
              <w:t>2024</w:t>
            </w:r>
            <w:r>
              <w:rPr>
                <w:rFonts w:hint="eastAsia"/>
                <w:bCs/>
                <w:snapToGrid w:val="0"/>
                <w:kern w:val="0"/>
                <w:sz w:val="28"/>
                <w:szCs w:val="28"/>
              </w:rPr>
              <w:t>年前</w:t>
            </w:r>
            <w:bookmarkStart w:id="95" w:name="_Hlk61598125"/>
            <w:r>
              <w:rPr>
                <w:rFonts w:hint="eastAsia"/>
                <w:bCs/>
                <w:snapToGrid w:val="0"/>
                <w:kern w:val="0"/>
                <w:sz w:val="28"/>
                <w:szCs w:val="28"/>
              </w:rPr>
              <w:t>开工。</w:t>
            </w:r>
          </w:p>
          <w:bookmarkEnd w:id="95"/>
          <w:p>
            <w:pPr>
              <w:spacing w:line="600" w:lineRule="exact"/>
              <w:ind w:firstLine="560"/>
              <w:rPr>
                <w:b/>
                <w:bCs/>
                <w:snapToGrid w:val="0"/>
                <w:kern w:val="0"/>
                <w:sz w:val="28"/>
                <w:szCs w:val="28"/>
              </w:rPr>
            </w:pPr>
            <w:r>
              <w:rPr>
                <w:rFonts w:eastAsia="黑体"/>
                <w:bCs/>
                <w:snapToGrid w:val="0"/>
                <w:kern w:val="0"/>
                <w:sz w:val="28"/>
                <w:szCs w:val="28"/>
              </w:rPr>
              <w:t>2.</w:t>
            </w:r>
            <w:r>
              <w:rPr>
                <w:rFonts w:hint="eastAsia" w:eastAsia="黑体"/>
                <w:bCs/>
                <w:snapToGrid w:val="0"/>
                <w:kern w:val="0"/>
                <w:sz w:val="28"/>
                <w:szCs w:val="28"/>
              </w:rPr>
              <w:t>机场</w:t>
            </w:r>
          </w:p>
          <w:p>
            <w:pPr>
              <w:snapToGrid w:val="0"/>
              <w:spacing w:line="600" w:lineRule="exact"/>
              <w:ind w:firstLine="560"/>
              <w:rPr>
                <w:bCs/>
                <w:snapToGrid w:val="0"/>
                <w:kern w:val="0"/>
                <w:sz w:val="28"/>
                <w:szCs w:val="28"/>
              </w:rPr>
            </w:pPr>
            <w:r>
              <w:rPr>
                <w:rFonts w:hint="eastAsia"/>
                <w:bCs/>
                <w:snapToGrid w:val="0"/>
                <w:kern w:val="0"/>
                <w:sz w:val="28"/>
                <w:szCs w:val="28"/>
              </w:rPr>
              <w:t>规划布局广元盘龙机场二期，新建柏林沟森林防火直升机停机坪。</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3.</w:t>
            </w:r>
            <w:r>
              <w:rPr>
                <w:rFonts w:hint="eastAsia" w:eastAsia="黑体"/>
                <w:bCs/>
                <w:snapToGrid w:val="0"/>
                <w:kern w:val="0"/>
                <w:sz w:val="28"/>
                <w:szCs w:val="28"/>
              </w:rPr>
              <w:t>高速公路</w:t>
            </w:r>
          </w:p>
          <w:p>
            <w:pPr>
              <w:spacing w:line="600" w:lineRule="exact"/>
              <w:ind w:firstLine="560"/>
              <w:rPr>
                <w:bCs/>
                <w:snapToGrid w:val="0"/>
                <w:kern w:val="0"/>
                <w:sz w:val="28"/>
                <w:szCs w:val="28"/>
              </w:rPr>
            </w:pPr>
            <w:r>
              <w:rPr>
                <w:bCs/>
                <w:snapToGrid w:val="0"/>
                <w:kern w:val="0"/>
                <w:sz w:val="28"/>
                <w:szCs w:val="28"/>
              </w:rPr>
              <w:t>G5</w:t>
            </w:r>
            <w:r>
              <w:rPr>
                <w:rFonts w:hint="eastAsia"/>
                <w:bCs/>
                <w:snapToGrid w:val="0"/>
                <w:kern w:val="0"/>
                <w:sz w:val="28"/>
                <w:szCs w:val="28"/>
              </w:rPr>
              <w:t>京昆高速广元至绵阳、广元至川陕界段扩容项目，按照双向六车道技术标准新建，全长</w:t>
            </w:r>
            <w:r>
              <w:rPr>
                <w:bCs/>
                <w:snapToGrid w:val="0"/>
                <w:kern w:val="0"/>
                <w:sz w:val="28"/>
                <w:szCs w:val="28"/>
              </w:rPr>
              <w:t>194</w:t>
            </w:r>
            <w:r>
              <w:rPr>
                <w:rFonts w:hint="eastAsia"/>
                <w:bCs/>
                <w:snapToGrid w:val="0"/>
                <w:kern w:val="0"/>
                <w:sz w:val="28"/>
                <w:szCs w:val="28"/>
              </w:rPr>
              <w:t>公里，其中昭化境内约</w:t>
            </w:r>
            <w:r>
              <w:rPr>
                <w:bCs/>
                <w:snapToGrid w:val="0"/>
                <w:kern w:val="0"/>
                <w:sz w:val="28"/>
                <w:szCs w:val="28"/>
              </w:rPr>
              <w:t>21</w:t>
            </w:r>
            <w:r>
              <w:rPr>
                <w:rFonts w:hint="eastAsia"/>
                <w:bCs/>
                <w:snapToGrid w:val="0"/>
                <w:kern w:val="0"/>
                <w:sz w:val="28"/>
                <w:szCs w:val="28"/>
              </w:rPr>
              <w:t>公里。</w:t>
            </w:r>
          </w:p>
        </w:tc>
      </w:tr>
      <w:bookmarkEnd w:id="94"/>
    </w:tbl>
    <w:p>
      <w:pPr>
        <w:ind w:firstLine="643"/>
      </w:pPr>
      <w:r>
        <w:rPr>
          <w:rFonts w:eastAsia="楷体_GB2312"/>
          <w:b/>
          <w:bCs/>
        </w:rPr>
        <w:t>2.</w:t>
      </w:r>
      <w:bookmarkStart w:id="96" w:name="_Hlk60164100"/>
      <w:r>
        <w:rPr>
          <w:rFonts w:hint="eastAsia" w:eastAsia="楷体_GB2312"/>
          <w:b/>
          <w:bCs/>
        </w:rPr>
        <w:t>加快普通干线公路提档升级。</w:t>
      </w:r>
      <w:r>
        <w:rPr>
          <w:rFonts w:hint="eastAsia" w:eastAsia="黑体"/>
        </w:rPr>
        <w:t>一是</w:t>
      </w:r>
      <w:r>
        <w:rPr>
          <w:rFonts w:hint="eastAsia"/>
        </w:rPr>
        <w:t>聚焦提升城区、重点镇对外连通效率，加快实施</w:t>
      </w:r>
      <w:r>
        <w:t>G212</w:t>
      </w:r>
      <w:r>
        <w:rPr>
          <w:rFonts w:hint="eastAsia"/>
        </w:rPr>
        <w:t>昭化城区过境（乔家沟至肖家河）段工程（含韩家垭隧道）、</w:t>
      </w:r>
      <w:r>
        <w:t>G542</w:t>
      </w:r>
      <w:r>
        <w:rPr>
          <w:rFonts w:hint="eastAsia"/>
        </w:rPr>
        <w:t>线泉坝（利州界）至白水（旺苍界）改线工程、</w:t>
      </w:r>
      <w:r>
        <w:t>S205</w:t>
      </w:r>
      <w:r>
        <w:rPr>
          <w:rFonts w:hint="eastAsia"/>
        </w:rPr>
        <w:t>线摆宴坝至白骨塔段改线工程、</w:t>
      </w:r>
      <w:r>
        <w:t>S205</w:t>
      </w:r>
      <w:r>
        <w:rPr>
          <w:rFonts w:hint="eastAsia"/>
        </w:rPr>
        <w:t>昭化至朝阳段改建工程，以及新增</w:t>
      </w:r>
      <w:r>
        <w:t>S224</w:t>
      </w:r>
      <w:r>
        <w:rPr>
          <w:rFonts w:hint="eastAsia"/>
        </w:rPr>
        <w:t>线红岩镇至磨滩镇（旺苍界）段改建工程和</w:t>
      </w:r>
      <w:r>
        <w:t>S521</w:t>
      </w:r>
      <w:r>
        <w:rPr>
          <w:rFonts w:hint="eastAsia"/>
        </w:rPr>
        <w:t>线虎跳镇（剑阁木马）至虎跳大桥段改建工程建设，进一步提升国省干线公路技术等级。</w:t>
      </w:r>
      <w:r>
        <w:rPr>
          <w:rFonts w:hint="eastAsia" w:eastAsia="黑体"/>
        </w:rPr>
        <w:t>二是</w:t>
      </w:r>
      <w:r>
        <w:rPr>
          <w:rFonts w:hint="eastAsia"/>
        </w:rPr>
        <w:t>聚焦推进区域通行快速化，进一步提升重要产业园区和旅游景区对外联系水平，加快昭化古城至龙转弯段等项目建设，提升重要站场枢纽集疏能力和区域互联互通水平。</w:t>
      </w:r>
      <w:r>
        <w:rPr>
          <w:rFonts w:hint="eastAsia" w:eastAsia="黑体"/>
        </w:rPr>
        <w:t>三是</w:t>
      </w:r>
      <w:r>
        <w:rPr>
          <w:rFonts w:hint="eastAsia"/>
        </w:rPr>
        <w:t>聚焦提升路网衔接转换水平，争取新增</w:t>
      </w:r>
      <w:r>
        <w:t>G75</w:t>
      </w:r>
      <w:r>
        <w:rPr>
          <w:rFonts w:hint="eastAsia"/>
        </w:rPr>
        <w:t>兰海高速柏林沟出口、昭化战胜出口以及绵广复线高速红岩出口，并分别新建高速公路连接线</w:t>
      </w:r>
      <w:r>
        <w:t>1.9</w:t>
      </w:r>
      <w:r>
        <w:rPr>
          <w:rFonts w:hint="eastAsia"/>
        </w:rPr>
        <w:t>公里（二级公路）、</w:t>
      </w:r>
      <w:r>
        <w:t>4.8</w:t>
      </w:r>
      <w:r>
        <w:rPr>
          <w:rFonts w:hint="eastAsia"/>
        </w:rPr>
        <w:t>公里（一级公路）、</w:t>
      </w:r>
      <w:r>
        <w:t>1.5</w:t>
      </w:r>
      <w:r>
        <w:rPr>
          <w:rFonts w:hint="eastAsia"/>
        </w:rPr>
        <w:t>公里（二级公路），加强高速公路、干线公路与城镇道路之间的良好衔接，实现不同层次路网有效转换。</w:t>
      </w:r>
    </w:p>
    <w:bookmarkEnd w:id="96"/>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8"/>
              </w:rPr>
            </w:pPr>
            <w:r>
              <w:rPr>
                <w:rFonts w:hint="eastAsia" w:eastAsia="黑体"/>
                <w:sz w:val="28"/>
                <w:szCs w:val="28"/>
              </w:rPr>
              <w:t>专栏</w:t>
            </w:r>
            <w:r>
              <w:rPr>
                <w:rFonts w:eastAsia="黑体"/>
                <w:sz w:val="28"/>
                <w:szCs w:val="28"/>
              </w:rPr>
              <w:t xml:space="preserve">2  </w:t>
            </w:r>
            <w:r>
              <w:rPr>
                <w:rFonts w:hint="eastAsia" w:eastAsia="黑体"/>
                <w:sz w:val="28"/>
                <w:szCs w:val="28"/>
              </w:rPr>
              <w:t>普通干线公路重点建设项目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109"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spacing w:line="600" w:lineRule="exact"/>
              <w:ind w:firstLine="560"/>
              <w:rPr>
                <w:rFonts w:eastAsia="黑体"/>
                <w:bCs/>
                <w:snapToGrid w:val="0"/>
                <w:kern w:val="0"/>
                <w:sz w:val="28"/>
                <w:szCs w:val="28"/>
              </w:rPr>
            </w:pPr>
            <w:r>
              <w:rPr>
                <w:rFonts w:eastAsia="黑体"/>
                <w:bCs/>
                <w:snapToGrid w:val="0"/>
                <w:kern w:val="0"/>
                <w:sz w:val="28"/>
                <w:szCs w:val="28"/>
              </w:rPr>
              <w:t>1.</w:t>
            </w:r>
            <w:r>
              <w:rPr>
                <w:rFonts w:hint="eastAsia" w:eastAsia="黑体"/>
                <w:bCs/>
                <w:snapToGrid w:val="0"/>
                <w:kern w:val="0"/>
                <w:sz w:val="28"/>
                <w:szCs w:val="28"/>
              </w:rPr>
              <w:t>普通国省道</w:t>
            </w:r>
          </w:p>
          <w:p>
            <w:pPr>
              <w:spacing w:line="600" w:lineRule="exact"/>
              <w:ind w:firstLine="560"/>
              <w:rPr>
                <w:bCs/>
                <w:snapToGrid w:val="0"/>
                <w:kern w:val="0"/>
                <w:sz w:val="28"/>
                <w:szCs w:val="28"/>
              </w:rPr>
            </w:pPr>
            <w:r>
              <w:rPr>
                <w:rFonts w:hint="eastAsia"/>
                <w:bCs/>
                <w:snapToGrid w:val="0"/>
                <w:kern w:val="0"/>
                <w:sz w:val="28"/>
                <w:szCs w:val="28"/>
              </w:rPr>
              <w:t>规划建设</w:t>
            </w:r>
            <w:r>
              <w:rPr>
                <w:bCs/>
                <w:snapToGrid w:val="0"/>
                <w:kern w:val="0"/>
                <w:sz w:val="28"/>
                <w:szCs w:val="28"/>
              </w:rPr>
              <w:t>G212</w:t>
            </w:r>
            <w:r>
              <w:rPr>
                <w:rFonts w:hint="eastAsia"/>
                <w:bCs/>
                <w:snapToGrid w:val="0"/>
                <w:kern w:val="0"/>
                <w:sz w:val="28"/>
                <w:szCs w:val="28"/>
              </w:rPr>
              <w:t>昭化城区过境（乔家沟至肖家河）段工程（含韩家垭隧道）（一级公路、</w:t>
            </w:r>
            <w:r>
              <w:rPr>
                <w:bCs/>
                <w:snapToGrid w:val="0"/>
                <w:kern w:val="0"/>
                <w:sz w:val="28"/>
                <w:szCs w:val="28"/>
              </w:rPr>
              <w:t>23.8</w:t>
            </w:r>
            <w:r>
              <w:rPr>
                <w:rFonts w:hint="eastAsia"/>
                <w:bCs/>
                <w:snapToGrid w:val="0"/>
                <w:kern w:val="0"/>
                <w:sz w:val="28"/>
                <w:szCs w:val="28"/>
              </w:rPr>
              <w:t>公里）、</w:t>
            </w:r>
            <w:r>
              <w:rPr>
                <w:bCs/>
                <w:snapToGrid w:val="0"/>
                <w:kern w:val="0"/>
                <w:sz w:val="28"/>
                <w:szCs w:val="28"/>
              </w:rPr>
              <w:t>G542</w:t>
            </w:r>
            <w:r>
              <w:rPr>
                <w:rFonts w:hint="eastAsia"/>
                <w:bCs/>
                <w:snapToGrid w:val="0"/>
                <w:kern w:val="0"/>
                <w:sz w:val="28"/>
                <w:szCs w:val="28"/>
              </w:rPr>
              <w:t>线泉坝（利州界）至白水（旺苍界）改线工程（一级公路、</w:t>
            </w:r>
            <w:r>
              <w:rPr>
                <w:bCs/>
                <w:snapToGrid w:val="0"/>
                <w:kern w:val="0"/>
                <w:sz w:val="28"/>
                <w:szCs w:val="28"/>
              </w:rPr>
              <w:t>14</w:t>
            </w:r>
            <w:r>
              <w:rPr>
                <w:rFonts w:hint="eastAsia"/>
                <w:bCs/>
                <w:snapToGrid w:val="0"/>
                <w:kern w:val="0"/>
                <w:sz w:val="28"/>
                <w:szCs w:val="28"/>
              </w:rPr>
              <w:t>公里）</w:t>
            </w:r>
            <w:bookmarkStart w:id="97" w:name="_Hlk93241222"/>
            <w:r>
              <w:rPr>
                <w:rFonts w:hint="eastAsia"/>
                <w:bCs/>
                <w:snapToGrid w:val="0"/>
                <w:kern w:val="0"/>
                <w:sz w:val="28"/>
                <w:szCs w:val="28"/>
              </w:rPr>
              <w:t>、</w:t>
            </w:r>
            <w:bookmarkEnd w:id="97"/>
            <w:r>
              <w:rPr>
                <w:bCs/>
                <w:snapToGrid w:val="0"/>
                <w:kern w:val="0"/>
                <w:sz w:val="28"/>
                <w:szCs w:val="28"/>
              </w:rPr>
              <w:t>S205</w:t>
            </w:r>
            <w:r>
              <w:rPr>
                <w:rFonts w:hint="eastAsia"/>
                <w:bCs/>
                <w:snapToGrid w:val="0"/>
                <w:kern w:val="0"/>
                <w:sz w:val="28"/>
                <w:szCs w:val="28"/>
              </w:rPr>
              <w:t>线摆宴坝至白骨塔段改线工程（二级公路、</w:t>
            </w:r>
            <w:r>
              <w:rPr>
                <w:bCs/>
                <w:snapToGrid w:val="0"/>
                <w:kern w:val="0"/>
                <w:sz w:val="28"/>
                <w:szCs w:val="28"/>
              </w:rPr>
              <w:t>12.4</w:t>
            </w:r>
            <w:r>
              <w:rPr>
                <w:rFonts w:hint="eastAsia"/>
                <w:bCs/>
                <w:snapToGrid w:val="0"/>
                <w:kern w:val="0"/>
                <w:sz w:val="28"/>
                <w:szCs w:val="28"/>
              </w:rPr>
              <w:t>公里）、</w:t>
            </w:r>
            <w:bookmarkStart w:id="98" w:name="_Hlk98185206"/>
            <w:r>
              <w:rPr>
                <w:bCs/>
                <w:snapToGrid w:val="0"/>
                <w:kern w:val="0"/>
                <w:sz w:val="28"/>
                <w:szCs w:val="28"/>
              </w:rPr>
              <w:t>S205</w:t>
            </w:r>
            <w:r>
              <w:rPr>
                <w:rFonts w:hint="eastAsia"/>
                <w:bCs/>
                <w:snapToGrid w:val="0"/>
                <w:kern w:val="0"/>
                <w:sz w:val="28"/>
                <w:szCs w:val="28"/>
              </w:rPr>
              <w:t>昭化至朝阳段改建工程</w:t>
            </w:r>
            <w:bookmarkEnd w:id="98"/>
            <w:r>
              <w:rPr>
                <w:rFonts w:hint="eastAsia"/>
                <w:bCs/>
                <w:snapToGrid w:val="0"/>
                <w:kern w:val="0"/>
                <w:sz w:val="28"/>
                <w:szCs w:val="28"/>
              </w:rPr>
              <w:t>（三级公路、</w:t>
            </w:r>
            <w:r>
              <w:rPr>
                <w:bCs/>
                <w:snapToGrid w:val="0"/>
                <w:kern w:val="0"/>
                <w:sz w:val="28"/>
                <w:szCs w:val="28"/>
              </w:rPr>
              <w:t>10.7</w:t>
            </w:r>
            <w:r>
              <w:rPr>
                <w:rFonts w:hint="eastAsia"/>
                <w:bCs/>
                <w:snapToGrid w:val="0"/>
                <w:kern w:val="0"/>
                <w:sz w:val="28"/>
                <w:szCs w:val="28"/>
              </w:rPr>
              <w:t>公里）、</w:t>
            </w:r>
            <w:bookmarkStart w:id="99" w:name="_Hlk98185224"/>
            <w:r>
              <w:rPr>
                <w:bCs/>
                <w:snapToGrid w:val="0"/>
                <w:kern w:val="0"/>
                <w:sz w:val="28"/>
                <w:szCs w:val="28"/>
              </w:rPr>
              <w:t>S224</w:t>
            </w:r>
            <w:r>
              <w:rPr>
                <w:rFonts w:hint="eastAsia"/>
                <w:bCs/>
                <w:snapToGrid w:val="0"/>
                <w:kern w:val="0"/>
                <w:sz w:val="28"/>
                <w:szCs w:val="28"/>
              </w:rPr>
              <w:t>线红岩镇至磨滩镇（旺苍界）段改建工程（二级公路、</w:t>
            </w:r>
            <w:r>
              <w:rPr>
                <w:bCs/>
                <w:snapToGrid w:val="0"/>
                <w:kern w:val="0"/>
                <w:sz w:val="28"/>
                <w:szCs w:val="28"/>
              </w:rPr>
              <w:t>61.2</w:t>
            </w:r>
            <w:r>
              <w:rPr>
                <w:rFonts w:hint="eastAsia"/>
                <w:bCs/>
                <w:snapToGrid w:val="0"/>
                <w:kern w:val="0"/>
                <w:sz w:val="28"/>
                <w:szCs w:val="28"/>
              </w:rPr>
              <w:t>公里）、</w:t>
            </w:r>
            <w:r>
              <w:rPr>
                <w:bCs/>
                <w:snapToGrid w:val="0"/>
                <w:kern w:val="0"/>
                <w:sz w:val="28"/>
                <w:szCs w:val="28"/>
              </w:rPr>
              <w:t>S521</w:t>
            </w:r>
            <w:r>
              <w:rPr>
                <w:rFonts w:hint="eastAsia"/>
                <w:bCs/>
                <w:snapToGrid w:val="0"/>
                <w:kern w:val="0"/>
                <w:sz w:val="28"/>
                <w:szCs w:val="28"/>
              </w:rPr>
              <w:t>线虎跳镇（剑阁木马）至虎跳大桥段改建工程</w:t>
            </w:r>
            <w:bookmarkEnd w:id="99"/>
            <w:r>
              <w:rPr>
                <w:rFonts w:hint="eastAsia"/>
                <w:bCs/>
                <w:snapToGrid w:val="0"/>
                <w:kern w:val="0"/>
                <w:sz w:val="28"/>
                <w:szCs w:val="28"/>
              </w:rPr>
              <w:t>（二级公路、</w:t>
            </w:r>
            <w:r>
              <w:rPr>
                <w:bCs/>
                <w:snapToGrid w:val="0"/>
                <w:kern w:val="0"/>
                <w:sz w:val="28"/>
                <w:szCs w:val="28"/>
              </w:rPr>
              <w:t>10.1</w:t>
            </w:r>
            <w:r>
              <w:rPr>
                <w:rFonts w:hint="eastAsia"/>
                <w:bCs/>
                <w:snapToGrid w:val="0"/>
                <w:kern w:val="0"/>
                <w:sz w:val="28"/>
                <w:szCs w:val="28"/>
              </w:rPr>
              <w:t>公里）等项目。</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b/>
                <w:bCs/>
                <w:snapToGrid w:val="0"/>
                <w:kern w:val="0"/>
                <w:sz w:val="28"/>
                <w:szCs w:val="28"/>
              </w:rPr>
            </w:pPr>
            <w:r>
              <w:rPr>
                <w:rFonts w:eastAsia="黑体"/>
                <w:bCs/>
                <w:snapToGrid w:val="0"/>
                <w:kern w:val="0"/>
                <w:sz w:val="28"/>
                <w:szCs w:val="28"/>
              </w:rPr>
              <w:t>2.</w:t>
            </w:r>
            <w:r>
              <w:rPr>
                <w:rFonts w:hint="eastAsia" w:eastAsia="黑体"/>
                <w:bCs/>
                <w:snapToGrid w:val="0"/>
                <w:kern w:val="0"/>
                <w:sz w:val="28"/>
                <w:szCs w:val="28"/>
              </w:rPr>
              <w:t>快速通道及经济干线</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bCs/>
                <w:snapToGrid w:val="0"/>
                <w:kern w:val="0"/>
                <w:sz w:val="28"/>
                <w:szCs w:val="28"/>
              </w:rPr>
            </w:pPr>
            <w:r>
              <w:rPr>
                <w:rFonts w:hint="eastAsia"/>
                <w:bCs/>
                <w:snapToGrid w:val="0"/>
                <w:kern w:val="0"/>
                <w:sz w:val="28"/>
                <w:szCs w:val="28"/>
              </w:rPr>
              <w:t>规划建设宝红路（昭化古城至龙转弯段）改扩建工程（三级公路、</w:t>
            </w:r>
            <w:r>
              <w:rPr>
                <w:bCs/>
                <w:snapToGrid w:val="0"/>
                <w:kern w:val="0"/>
                <w:sz w:val="28"/>
                <w:szCs w:val="28"/>
              </w:rPr>
              <w:t>1.86</w:t>
            </w:r>
            <w:r>
              <w:rPr>
                <w:rFonts w:hint="eastAsia"/>
                <w:bCs/>
                <w:snapToGrid w:val="0"/>
                <w:kern w:val="0"/>
                <w:sz w:val="28"/>
                <w:szCs w:val="28"/>
              </w:rPr>
              <w:t>公里），以及</w:t>
            </w:r>
            <w:r>
              <w:rPr>
                <w:bCs/>
                <w:snapToGrid w:val="0"/>
                <w:kern w:val="0"/>
                <w:sz w:val="28"/>
                <w:szCs w:val="28"/>
              </w:rPr>
              <w:t>100</w:t>
            </w:r>
            <w:r>
              <w:rPr>
                <w:rFonts w:hint="eastAsia"/>
                <w:bCs/>
                <w:snapToGrid w:val="0"/>
                <w:kern w:val="0"/>
                <w:sz w:val="28"/>
                <w:szCs w:val="28"/>
              </w:rPr>
              <w:t>公里农业产业园区新建工程。</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rFonts w:eastAsia="黑体"/>
                <w:bCs/>
                <w:snapToGrid w:val="0"/>
                <w:kern w:val="0"/>
                <w:sz w:val="28"/>
                <w:szCs w:val="28"/>
              </w:rPr>
            </w:pPr>
            <w:r>
              <w:rPr>
                <w:rFonts w:eastAsia="黑体"/>
                <w:bCs/>
                <w:snapToGrid w:val="0"/>
                <w:kern w:val="0"/>
                <w:sz w:val="28"/>
                <w:szCs w:val="28"/>
              </w:rPr>
              <w:t>3.</w:t>
            </w:r>
            <w:r>
              <w:rPr>
                <w:rFonts w:hint="eastAsia" w:eastAsia="黑体"/>
                <w:bCs/>
                <w:snapToGrid w:val="0"/>
                <w:kern w:val="0"/>
                <w:sz w:val="28"/>
                <w:szCs w:val="28"/>
              </w:rPr>
              <w:t>高速公路连接线</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bCs/>
                <w:snapToGrid w:val="0"/>
                <w:kern w:val="0"/>
                <w:sz w:val="28"/>
                <w:szCs w:val="28"/>
              </w:rPr>
            </w:pPr>
            <w:r>
              <w:rPr>
                <w:rFonts w:hint="eastAsia"/>
                <w:bCs/>
                <w:snapToGrid w:val="0"/>
                <w:kern w:val="0"/>
                <w:sz w:val="28"/>
                <w:szCs w:val="28"/>
              </w:rPr>
              <w:t>新增</w:t>
            </w:r>
            <w:r>
              <w:rPr>
                <w:bCs/>
                <w:snapToGrid w:val="0"/>
                <w:kern w:val="0"/>
                <w:sz w:val="28"/>
                <w:szCs w:val="28"/>
              </w:rPr>
              <w:t>G75</w:t>
            </w:r>
            <w:bookmarkStart w:id="100" w:name="_Hlk60148770"/>
            <w:r>
              <w:rPr>
                <w:rFonts w:hint="eastAsia"/>
                <w:bCs/>
                <w:snapToGrid w:val="0"/>
                <w:kern w:val="0"/>
                <w:sz w:val="28"/>
                <w:szCs w:val="28"/>
              </w:rPr>
              <w:t>兰海高速柏林沟</w:t>
            </w:r>
            <w:bookmarkEnd w:id="100"/>
            <w:r>
              <w:rPr>
                <w:rFonts w:hint="eastAsia"/>
                <w:bCs/>
                <w:snapToGrid w:val="0"/>
                <w:kern w:val="0"/>
                <w:sz w:val="28"/>
                <w:szCs w:val="28"/>
              </w:rPr>
              <w:t>出口，选址白马村附近设置单喇叭互通，互通连接线长约</w:t>
            </w:r>
            <w:r>
              <w:rPr>
                <w:bCs/>
                <w:snapToGrid w:val="0"/>
                <w:kern w:val="0"/>
                <w:sz w:val="28"/>
                <w:szCs w:val="28"/>
              </w:rPr>
              <w:t>1.9</w:t>
            </w:r>
            <w:r>
              <w:rPr>
                <w:rFonts w:hint="eastAsia"/>
                <w:bCs/>
                <w:snapToGrid w:val="0"/>
                <w:kern w:val="0"/>
                <w:sz w:val="28"/>
                <w:szCs w:val="28"/>
              </w:rPr>
              <w:t>公里，按照二级公路技术标准建设，接平行于高速的在建二级公路。互通连接线估算投资约</w:t>
            </w:r>
            <w:r>
              <w:rPr>
                <w:bCs/>
                <w:snapToGrid w:val="0"/>
                <w:kern w:val="0"/>
                <w:sz w:val="28"/>
                <w:szCs w:val="28"/>
              </w:rPr>
              <w:t>11477</w:t>
            </w:r>
            <w:r>
              <w:rPr>
                <w:rFonts w:hint="eastAsia"/>
                <w:bCs/>
                <w:snapToGrid w:val="0"/>
                <w:kern w:val="0"/>
                <w:sz w:val="28"/>
                <w:szCs w:val="28"/>
              </w:rPr>
              <w:t>万元。</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bCs/>
                <w:snapToGrid w:val="0"/>
                <w:kern w:val="0"/>
                <w:sz w:val="28"/>
                <w:szCs w:val="28"/>
              </w:rPr>
            </w:pPr>
            <w:r>
              <w:rPr>
                <w:rFonts w:hint="eastAsia"/>
                <w:bCs/>
                <w:snapToGrid w:val="0"/>
                <w:kern w:val="0"/>
                <w:sz w:val="28"/>
                <w:szCs w:val="28"/>
              </w:rPr>
              <w:t>新增</w:t>
            </w:r>
            <w:r>
              <w:rPr>
                <w:bCs/>
                <w:snapToGrid w:val="0"/>
                <w:kern w:val="0"/>
                <w:sz w:val="28"/>
                <w:szCs w:val="28"/>
              </w:rPr>
              <w:t>G75</w:t>
            </w:r>
            <w:r>
              <w:rPr>
                <w:rFonts w:hint="eastAsia"/>
                <w:bCs/>
                <w:snapToGrid w:val="0"/>
                <w:kern w:val="0"/>
                <w:sz w:val="28"/>
                <w:szCs w:val="28"/>
              </w:rPr>
              <w:t>兰海高速昭化出口，选址在战胜村附近，设置变异</w:t>
            </w:r>
            <w:r>
              <w:rPr>
                <w:bCs/>
                <w:snapToGrid w:val="0"/>
                <w:kern w:val="0"/>
                <w:sz w:val="28"/>
                <w:szCs w:val="28"/>
              </w:rPr>
              <w:t>Y</w:t>
            </w:r>
            <w:r>
              <w:rPr>
                <w:rFonts w:hint="eastAsia"/>
                <w:bCs/>
                <w:snapToGrid w:val="0"/>
                <w:kern w:val="0"/>
                <w:sz w:val="28"/>
                <w:szCs w:val="28"/>
              </w:rPr>
              <w:t>形互通。互通连接线长约</w:t>
            </w:r>
            <w:r>
              <w:rPr>
                <w:bCs/>
                <w:snapToGrid w:val="0"/>
                <w:kern w:val="0"/>
                <w:sz w:val="28"/>
                <w:szCs w:val="28"/>
              </w:rPr>
              <w:t>4.8</w:t>
            </w:r>
            <w:r>
              <w:rPr>
                <w:rFonts w:hint="eastAsia"/>
                <w:bCs/>
                <w:snapToGrid w:val="0"/>
                <w:kern w:val="0"/>
                <w:sz w:val="28"/>
                <w:szCs w:val="28"/>
              </w:rPr>
              <w:t>公里，按照二级公路技术标准建设，接广元港进港大道。互通连接线估算投资约</w:t>
            </w:r>
            <w:r>
              <w:rPr>
                <w:bCs/>
                <w:snapToGrid w:val="0"/>
                <w:kern w:val="0"/>
                <w:sz w:val="28"/>
                <w:szCs w:val="28"/>
              </w:rPr>
              <w:t>2.3</w:t>
            </w:r>
            <w:r>
              <w:rPr>
                <w:rFonts w:hint="eastAsia"/>
                <w:bCs/>
                <w:snapToGrid w:val="0"/>
                <w:kern w:val="0"/>
                <w:sz w:val="28"/>
                <w:szCs w:val="28"/>
              </w:rPr>
              <w:t>亿元。</w:t>
            </w:r>
          </w:p>
          <w:p>
            <w:pPr>
              <w:keepNext w:val="0"/>
              <w:keepLines w:val="0"/>
              <w:pageBreakBefore w:val="0"/>
              <w:widowControl w:val="0"/>
              <w:kinsoku/>
              <w:wordWrap/>
              <w:overflowPunct/>
              <w:topLinePunct w:val="0"/>
              <w:autoSpaceDE/>
              <w:autoSpaceDN/>
              <w:bidi w:val="0"/>
              <w:adjustRightInd/>
              <w:snapToGrid/>
              <w:spacing w:line="640" w:lineRule="exact"/>
              <w:ind w:firstLine="560"/>
              <w:textAlignment w:val="auto"/>
              <w:rPr>
                <w:bCs/>
                <w:snapToGrid w:val="0"/>
                <w:kern w:val="0"/>
                <w:sz w:val="28"/>
                <w:szCs w:val="24"/>
              </w:rPr>
            </w:pPr>
            <w:r>
              <w:rPr>
                <w:rFonts w:hint="eastAsia"/>
                <w:bCs/>
                <w:snapToGrid w:val="0"/>
                <w:kern w:val="0"/>
                <w:sz w:val="28"/>
                <w:szCs w:val="28"/>
              </w:rPr>
              <w:t>新增</w:t>
            </w:r>
            <w:r>
              <w:rPr>
                <w:bCs/>
                <w:snapToGrid w:val="0"/>
                <w:kern w:val="0"/>
                <w:sz w:val="28"/>
                <w:szCs w:val="28"/>
              </w:rPr>
              <w:t>G5</w:t>
            </w:r>
            <w:r>
              <w:rPr>
                <w:rFonts w:hint="eastAsia"/>
                <w:bCs/>
                <w:snapToGrid w:val="0"/>
                <w:kern w:val="0"/>
                <w:sz w:val="28"/>
                <w:szCs w:val="28"/>
              </w:rPr>
              <w:t>绵广高速公路扩容红岩出口，选址在红岩镇北侧，采用单喇叭</w:t>
            </w:r>
            <w:r>
              <w:rPr>
                <w:bCs/>
                <w:snapToGrid w:val="0"/>
                <w:kern w:val="0"/>
                <w:sz w:val="28"/>
                <w:szCs w:val="28"/>
              </w:rPr>
              <w:t>A</w:t>
            </w:r>
            <w:r>
              <w:rPr>
                <w:rFonts w:hint="eastAsia"/>
                <w:bCs/>
                <w:snapToGrid w:val="0"/>
                <w:kern w:val="0"/>
                <w:sz w:val="28"/>
                <w:szCs w:val="28"/>
              </w:rPr>
              <w:t>型互通。互通连接线长</w:t>
            </w:r>
            <w:r>
              <w:rPr>
                <w:bCs/>
                <w:snapToGrid w:val="0"/>
                <w:kern w:val="0"/>
                <w:sz w:val="28"/>
                <w:szCs w:val="28"/>
              </w:rPr>
              <w:t>1.5km</w:t>
            </w:r>
            <w:r>
              <w:rPr>
                <w:rFonts w:hint="eastAsia"/>
                <w:bCs/>
                <w:snapToGrid w:val="0"/>
                <w:kern w:val="0"/>
                <w:sz w:val="28"/>
                <w:szCs w:val="28"/>
              </w:rPr>
              <w:t>，采用二级公路标准，路基宽</w:t>
            </w:r>
            <w:r>
              <w:rPr>
                <w:bCs/>
                <w:snapToGrid w:val="0"/>
                <w:kern w:val="0"/>
                <w:sz w:val="28"/>
                <w:szCs w:val="28"/>
              </w:rPr>
              <w:t>12m</w:t>
            </w:r>
            <w:r>
              <w:rPr>
                <w:rFonts w:hint="eastAsia"/>
                <w:bCs/>
                <w:snapToGrid w:val="0"/>
                <w:kern w:val="0"/>
                <w:sz w:val="28"/>
                <w:szCs w:val="28"/>
              </w:rPr>
              <w:t>，与建成的进港道路红岩嘉陵江大桥相接，服务于红岩港及周边城镇上下行高速。互通连接线估算投资约</w:t>
            </w:r>
            <w:r>
              <w:rPr>
                <w:bCs/>
                <w:snapToGrid w:val="0"/>
                <w:kern w:val="0"/>
                <w:sz w:val="28"/>
                <w:szCs w:val="28"/>
              </w:rPr>
              <w:t>2.2</w:t>
            </w:r>
            <w:r>
              <w:rPr>
                <w:rFonts w:hint="eastAsia"/>
                <w:bCs/>
                <w:snapToGrid w:val="0"/>
                <w:kern w:val="0"/>
                <w:sz w:val="28"/>
                <w:szCs w:val="28"/>
              </w:rPr>
              <w:t>亿元。</w:t>
            </w:r>
          </w:p>
        </w:tc>
      </w:tr>
    </w:tbl>
    <w:p>
      <w:pPr>
        <w:adjustRightInd w:val="0"/>
        <w:snapToGrid w:val="0"/>
        <w:spacing w:line="240" w:lineRule="auto"/>
        <w:ind w:firstLine="0" w:firstLineChars="0"/>
        <w:jc w:val="center"/>
        <w:rPr>
          <w:rFonts w:eastAsia="楷体_GB2312"/>
          <w:b/>
          <w:bCs/>
        </w:rPr>
      </w:pPr>
      <w:r>
        <w:rPr>
          <w:rFonts w:hint="eastAsia" w:eastAsia="楷体_GB2312"/>
          <w:b/>
        </w:rPr>
        <w:drawing>
          <wp:inline distT="0" distB="0" distL="114300" distR="114300">
            <wp:extent cx="4802505" cy="3155950"/>
            <wp:effectExtent l="0" t="0" r="17145" b="635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pic:cNvPicPr>
                  </pic:nvPicPr>
                  <pic:blipFill>
                    <a:blip r:embed="rId49">
                      <a:lum bright="23999"/>
                    </a:blip>
                    <a:stretch>
                      <a:fillRect/>
                    </a:stretch>
                  </pic:blipFill>
                  <pic:spPr>
                    <a:xfrm>
                      <a:off x="0" y="0"/>
                      <a:ext cx="4802505" cy="3155950"/>
                    </a:xfrm>
                    <a:prstGeom prst="rect">
                      <a:avLst/>
                    </a:prstGeom>
                    <a:noFill/>
                    <a:ln>
                      <a:noFill/>
                    </a:ln>
                  </pic:spPr>
                </pic:pic>
              </a:graphicData>
            </a:graphic>
          </wp:inline>
        </w:drawing>
      </w:r>
    </w:p>
    <w:p>
      <w:pPr>
        <w:adjustRightInd w:val="0"/>
        <w:snapToGrid w:val="0"/>
        <w:spacing w:line="240" w:lineRule="auto"/>
        <w:ind w:firstLine="0" w:firstLineChars="0"/>
        <w:jc w:val="center"/>
        <w:rPr>
          <w:rFonts w:eastAsia="黑体"/>
          <w:sz w:val="28"/>
          <w:szCs w:val="28"/>
        </w:rPr>
      </w:pPr>
      <w:r>
        <w:rPr>
          <w:rFonts w:hint="eastAsia" w:eastAsia="黑体"/>
          <w:sz w:val="28"/>
          <w:szCs w:val="28"/>
        </w:rPr>
        <w:t>图</w:t>
      </w:r>
      <w:r>
        <w:rPr>
          <w:rFonts w:eastAsia="黑体"/>
          <w:sz w:val="28"/>
          <w:szCs w:val="28"/>
        </w:rPr>
        <w:t>6-1 G5</w:t>
      </w:r>
      <w:r>
        <w:rPr>
          <w:rFonts w:hint="eastAsia" w:eastAsia="黑体"/>
          <w:sz w:val="28"/>
          <w:szCs w:val="28"/>
        </w:rPr>
        <w:t>绵广扩容红岩平面布置图</w:t>
      </w:r>
    </w:p>
    <w:p>
      <w:pPr>
        <w:adjustRightInd w:val="0"/>
        <w:snapToGrid w:val="0"/>
        <w:spacing w:line="240" w:lineRule="auto"/>
        <w:ind w:firstLine="0" w:firstLineChars="0"/>
        <w:jc w:val="center"/>
        <w:rPr>
          <w:rFonts w:eastAsia="黑体"/>
          <w:sz w:val="28"/>
          <w:szCs w:val="28"/>
        </w:rPr>
      </w:pPr>
    </w:p>
    <w:p>
      <w:pPr>
        <w:adjustRightInd w:val="0"/>
        <w:snapToGrid w:val="0"/>
        <w:spacing w:line="240" w:lineRule="auto"/>
        <w:ind w:firstLine="0" w:firstLineChars="0"/>
        <w:jc w:val="center"/>
        <w:rPr>
          <w:rFonts w:eastAsia="楷体_GB2312"/>
          <w:b/>
          <w:bCs/>
        </w:rPr>
      </w:pPr>
      <w:r>
        <w:rPr>
          <w:rFonts w:hint="eastAsia"/>
        </w:rPr>
        <w:drawing>
          <wp:inline distT="0" distB="0" distL="114300" distR="114300">
            <wp:extent cx="4925695" cy="4189730"/>
            <wp:effectExtent l="0" t="0" r="8255" b="1270"/>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50">
                      <a:lum bright="35999"/>
                    </a:blip>
                    <a:stretch>
                      <a:fillRect/>
                    </a:stretch>
                  </pic:blipFill>
                  <pic:spPr>
                    <a:xfrm>
                      <a:off x="0" y="0"/>
                      <a:ext cx="4925695" cy="4189730"/>
                    </a:xfrm>
                    <a:prstGeom prst="rect">
                      <a:avLst/>
                    </a:prstGeom>
                    <a:noFill/>
                    <a:ln>
                      <a:noFill/>
                    </a:ln>
                  </pic:spPr>
                </pic:pic>
              </a:graphicData>
            </a:graphic>
          </wp:inline>
        </w:drawing>
      </w:r>
    </w:p>
    <w:p>
      <w:pPr>
        <w:adjustRightInd w:val="0"/>
        <w:snapToGrid w:val="0"/>
        <w:spacing w:line="240" w:lineRule="auto"/>
        <w:ind w:firstLine="0" w:firstLineChars="0"/>
        <w:jc w:val="center"/>
        <w:rPr>
          <w:rFonts w:eastAsia="黑体"/>
          <w:sz w:val="28"/>
          <w:szCs w:val="28"/>
        </w:rPr>
      </w:pPr>
      <w:r>
        <w:rPr>
          <w:rFonts w:hint="eastAsia" w:eastAsia="黑体"/>
          <w:sz w:val="28"/>
          <w:szCs w:val="28"/>
        </w:rPr>
        <w:t>图</w:t>
      </w:r>
      <w:r>
        <w:rPr>
          <w:rFonts w:eastAsia="黑体"/>
          <w:sz w:val="28"/>
          <w:szCs w:val="28"/>
        </w:rPr>
        <w:t xml:space="preserve">6-2 G75 </w:t>
      </w:r>
      <w:r>
        <w:rPr>
          <w:rFonts w:hint="eastAsia" w:eastAsia="黑体"/>
          <w:sz w:val="28"/>
          <w:szCs w:val="28"/>
        </w:rPr>
        <w:t>兰海高速柏林沟出口、昭化战胜出口布局图</w:t>
      </w:r>
    </w:p>
    <w:p>
      <w:pPr>
        <w:adjustRightInd w:val="0"/>
        <w:snapToGrid w:val="0"/>
        <w:ind w:firstLine="643"/>
        <w:rPr>
          <w:szCs w:val="32"/>
        </w:rPr>
      </w:pPr>
      <w:r>
        <w:rPr>
          <w:rFonts w:eastAsia="楷体_GB2312"/>
          <w:b/>
          <w:bCs/>
        </w:rPr>
        <w:t>3.</w:t>
      </w:r>
      <w:bookmarkStart w:id="101" w:name="_Hlk60164217"/>
      <w:r>
        <w:rPr>
          <w:rFonts w:hint="eastAsia" w:eastAsia="楷体_GB2312"/>
          <w:b/>
          <w:bCs/>
        </w:rPr>
        <w:t>加快农村基础路网提质扩面。</w:t>
      </w:r>
      <w:r>
        <w:rPr>
          <w:rFonts w:hint="eastAsia" w:eastAsia="黑体"/>
        </w:rPr>
        <w:t>一是拓展路网覆盖深度。</w:t>
      </w:r>
      <w:r>
        <w:rPr>
          <w:rFonts w:hint="eastAsia"/>
        </w:rPr>
        <w:t>加快推进尚未达标的常驻人口</w:t>
      </w:r>
      <w:r>
        <w:t>30</w:t>
      </w:r>
      <w:r>
        <w:rPr>
          <w:rFonts w:hint="eastAsia"/>
        </w:rPr>
        <w:t>户及以上的村民小组</w:t>
      </w:r>
      <w:r>
        <w:t>786</w:t>
      </w:r>
      <w:r>
        <w:rPr>
          <w:rFonts w:hint="eastAsia"/>
        </w:rPr>
        <w:t>公里通组硬化路，以及</w:t>
      </w:r>
      <w:r>
        <w:t>390</w:t>
      </w:r>
      <w:r>
        <w:rPr>
          <w:rFonts w:hint="eastAsia"/>
        </w:rPr>
        <w:t>公里撤并村联网路建设，推动农村公路向进村入户延伸，进一步改善农民群众出行条件。</w:t>
      </w:r>
      <w:r>
        <w:rPr>
          <w:rFonts w:hint="eastAsia" w:eastAsia="黑体"/>
        </w:rPr>
        <w:t>二是提升路网通行能力。</w:t>
      </w:r>
      <w:r>
        <w:rPr>
          <w:rFonts w:hint="eastAsia"/>
        </w:rPr>
        <w:t>围绕推进</w:t>
      </w:r>
      <w:r>
        <w:t>“</w:t>
      </w:r>
      <w:r>
        <w:rPr>
          <w:rFonts w:hint="eastAsia"/>
        </w:rPr>
        <w:t>美丽四川宜居乡村</w:t>
      </w:r>
      <w:r>
        <w:t>”</w:t>
      </w:r>
      <w:r>
        <w:rPr>
          <w:rFonts w:hint="eastAsia"/>
        </w:rPr>
        <w:t>建设，以建制村通双车道、乡镇通三级公路以及改善旅游景区景点和产业园区对外连通公路条件为重点，加快</w:t>
      </w:r>
      <w:r>
        <w:t>215</w:t>
      </w:r>
      <w:r>
        <w:rPr>
          <w:rFonts w:hint="eastAsia"/>
        </w:rPr>
        <w:t>公里美丽乡村路建设，着力推进县乡道提档升级，</w:t>
      </w:r>
      <w:r>
        <w:rPr>
          <w:rFonts w:hint="eastAsia"/>
          <w:szCs w:val="32"/>
        </w:rPr>
        <w:t>力争实现重点产业园区和乡村旅游景点等级公路全覆盖，</w:t>
      </w:r>
      <w:r>
        <w:rPr>
          <w:rFonts w:hint="eastAsia"/>
        </w:rPr>
        <w:t>提升路网总体技术等级和服务保障能力，带动农村地区</w:t>
      </w:r>
      <w:r>
        <w:t>“</w:t>
      </w:r>
      <w:r>
        <w:rPr>
          <w:rFonts w:hint="eastAsia"/>
        </w:rPr>
        <w:t>交通</w:t>
      </w:r>
      <w:r>
        <w:t>+</w:t>
      </w:r>
      <w:r>
        <w:rPr>
          <w:rFonts w:hint="eastAsia"/>
        </w:rPr>
        <w:t>旅游</w:t>
      </w:r>
      <w:r>
        <w:t>”“</w:t>
      </w:r>
      <w:r>
        <w:rPr>
          <w:rFonts w:hint="eastAsia"/>
        </w:rPr>
        <w:t>交通</w:t>
      </w:r>
      <w:r>
        <w:t>+</w:t>
      </w:r>
      <w:r>
        <w:rPr>
          <w:rFonts w:hint="eastAsia"/>
        </w:rPr>
        <w:t>特色农业</w:t>
      </w:r>
      <w:r>
        <w:t>”</w:t>
      </w:r>
      <w:r>
        <w:rPr>
          <w:rFonts w:hint="eastAsia"/>
        </w:rPr>
        <w:t>发展。</w:t>
      </w:r>
      <w:r>
        <w:rPr>
          <w:rFonts w:hint="eastAsia" w:eastAsia="黑体"/>
        </w:rPr>
        <w:t>三是增强路网安全水平。</w:t>
      </w:r>
      <w:r>
        <w:rPr>
          <w:rFonts w:hint="eastAsia"/>
          <w:szCs w:val="32"/>
        </w:rPr>
        <w:t>持续加大公路安全防护投入，大力实施农村公路安保工程和危桥改造，处置长陡下坡路段，提升公路本质安全水平，农村公路支撑乡村振兴发展作用更加突出。</w:t>
      </w:r>
    </w:p>
    <w:bookmarkEnd w:id="101"/>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4"/>
              </w:rPr>
            </w:pPr>
            <w:r>
              <w:rPr>
                <w:rFonts w:hint="eastAsia" w:eastAsia="黑体"/>
                <w:sz w:val="28"/>
                <w:szCs w:val="28"/>
              </w:rPr>
              <w:t>专栏</w:t>
            </w:r>
            <w:r>
              <w:rPr>
                <w:rFonts w:eastAsia="黑体"/>
                <w:sz w:val="28"/>
                <w:szCs w:val="28"/>
              </w:rPr>
              <w:t xml:space="preserve">3  </w:t>
            </w:r>
            <w:r>
              <w:rPr>
                <w:rFonts w:hint="eastAsia" w:eastAsia="黑体"/>
                <w:sz w:val="28"/>
                <w:szCs w:val="28"/>
              </w:rPr>
              <w:t>农村公路重点建设项目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580" w:lineRule="exact"/>
              <w:ind w:firstLine="560"/>
              <w:textAlignment w:val="auto"/>
              <w:rPr>
                <w:rFonts w:eastAsia="黑体"/>
                <w:bCs/>
                <w:snapToGrid w:val="0"/>
                <w:kern w:val="0"/>
                <w:sz w:val="28"/>
                <w:szCs w:val="28"/>
              </w:rPr>
            </w:pPr>
            <w:r>
              <w:rPr>
                <w:rFonts w:eastAsia="黑体"/>
                <w:bCs/>
                <w:snapToGrid w:val="0"/>
                <w:kern w:val="0"/>
                <w:sz w:val="28"/>
                <w:szCs w:val="28"/>
              </w:rPr>
              <w:t>1.</w:t>
            </w:r>
            <w:r>
              <w:rPr>
                <w:rFonts w:hint="eastAsia" w:eastAsia="黑体"/>
                <w:bCs/>
                <w:snapToGrid w:val="0"/>
                <w:kern w:val="0"/>
                <w:sz w:val="28"/>
                <w:szCs w:val="28"/>
              </w:rPr>
              <w:t>拓展路网覆盖深度</w:t>
            </w:r>
          </w:p>
          <w:p>
            <w:pPr>
              <w:keepNext w:val="0"/>
              <w:keepLines w:val="0"/>
              <w:pageBreakBefore w:val="0"/>
              <w:widowControl w:val="0"/>
              <w:kinsoku/>
              <w:wordWrap/>
              <w:overflowPunct/>
              <w:topLinePunct w:val="0"/>
              <w:autoSpaceDE/>
              <w:autoSpaceDN/>
              <w:bidi w:val="0"/>
              <w:adjustRightInd/>
              <w:snapToGrid w:val="0"/>
              <w:spacing w:line="580" w:lineRule="exact"/>
              <w:ind w:firstLine="560"/>
              <w:textAlignment w:val="auto"/>
              <w:rPr>
                <w:bCs/>
                <w:snapToGrid w:val="0"/>
                <w:kern w:val="0"/>
                <w:sz w:val="28"/>
                <w:szCs w:val="28"/>
              </w:rPr>
            </w:pPr>
            <w:r>
              <w:rPr>
                <w:rFonts w:hint="eastAsia"/>
                <w:bCs/>
                <w:snapToGrid w:val="0"/>
                <w:kern w:val="0"/>
                <w:sz w:val="28"/>
                <w:szCs w:val="28"/>
              </w:rPr>
              <w:t>加快常驻人口</w:t>
            </w:r>
            <w:r>
              <w:rPr>
                <w:bCs/>
                <w:snapToGrid w:val="0"/>
                <w:kern w:val="0"/>
                <w:sz w:val="28"/>
                <w:szCs w:val="28"/>
              </w:rPr>
              <w:t>30</w:t>
            </w:r>
            <w:r>
              <w:rPr>
                <w:rFonts w:hint="eastAsia"/>
                <w:bCs/>
                <w:snapToGrid w:val="0"/>
                <w:kern w:val="0"/>
                <w:sz w:val="28"/>
                <w:szCs w:val="28"/>
              </w:rPr>
              <w:t>户以上村民小组通组路硬化</w:t>
            </w:r>
            <w:r>
              <w:rPr>
                <w:bCs/>
                <w:snapToGrid w:val="0"/>
                <w:kern w:val="0"/>
                <w:sz w:val="28"/>
                <w:szCs w:val="28"/>
              </w:rPr>
              <w:t>786</w:t>
            </w:r>
            <w:r>
              <w:rPr>
                <w:rFonts w:hint="eastAsia"/>
                <w:bCs/>
                <w:snapToGrid w:val="0"/>
                <w:kern w:val="0"/>
                <w:sz w:val="28"/>
                <w:szCs w:val="28"/>
              </w:rPr>
              <w:t>公里，</w:t>
            </w:r>
            <w:r>
              <w:rPr>
                <w:bCs/>
                <w:snapToGrid w:val="0"/>
                <w:kern w:val="0"/>
                <w:sz w:val="28"/>
                <w:szCs w:val="28"/>
              </w:rPr>
              <w:t>390</w:t>
            </w:r>
            <w:r>
              <w:rPr>
                <w:rFonts w:hint="eastAsia"/>
                <w:bCs/>
                <w:snapToGrid w:val="0"/>
                <w:kern w:val="0"/>
                <w:sz w:val="28"/>
                <w:szCs w:val="28"/>
              </w:rPr>
              <w:t>公里撤并建制村联网路。</w:t>
            </w:r>
          </w:p>
          <w:p>
            <w:pPr>
              <w:keepNext w:val="0"/>
              <w:keepLines w:val="0"/>
              <w:pageBreakBefore w:val="0"/>
              <w:widowControl w:val="0"/>
              <w:kinsoku/>
              <w:wordWrap/>
              <w:overflowPunct/>
              <w:topLinePunct w:val="0"/>
              <w:autoSpaceDE/>
              <w:autoSpaceDN/>
              <w:bidi w:val="0"/>
              <w:adjustRightInd/>
              <w:snapToGrid w:val="0"/>
              <w:spacing w:line="580" w:lineRule="exact"/>
              <w:ind w:firstLine="560"/>
              <w:textAlignment w:val="auto"/>
              <w:rPr>
                <w:rFonts w:eastAsia="黑体"/>
                <w:bCs/>
                <w:snapToGrid w:val="0"/>
                <w:kern w:val="0"/>
                <w:sz w:val="28"/>
                <w:szCs w:val="28"/>
              </w:rPr>
            </w:pPr>
            <w:r>
              <w:rPr>
                <w:rFonts w:eastAsia="黑体"/>
                <w:bCs/>
                <w:snapToGrid w:val="0"/>
                <w:kern w:val="0"/>
                <w:sz w:val="28"/>
                <w:szCs w:val="28"/>
              </w:rPr>
              <w:t>2.</w:t>
            </w:r>
            <w:r>
              <w:rPr>
                <w:rFonts w:hint="eastAsia" w:eastAsia="黑体"/>
                <w:bCs/>
                <w:snapToGrid w:val="0"/>
                <w:kern w:val="0"/>
                <w:sz w:val="28"/>
                <w:szCs w:val="28"/>
              </w:rPr>
              <w:t>提升路网通行能力</w:t>
            </w:r>
          </w:p>
          <w:p>
            <w:pPr>
              <w:keepNext w:val="0"/>
              <w:keepLines w:val="0"/>
              <w:pageBreakBefore w:val="0"/>
              <w:widowControl w:val="0"/>
              <w:kinsoku/>
              <w:wordWrap/>
              <w:overflowPunct/>
              <w:topLinePunct w:val="0"/>
              <w:autoSpaceDE/>
              <w:autoSpaceDN/>
              <w:bidi w:val="0"/>
              <w:adjustRightInd/>
              <w:snapToGrid w:val="0"/>
              <w:spacing w:line="580" w:lineRule="exact"/>
              <w:ind w:firstLine="560"/>
              <w:textAlignment w:val="auto"/>
              <w:rPr>
                <w:bCs/>
                <w:snapToGrid w:val="0"/>
                <w:kern w:val="0"/>
                <w:sz w:val="28"/>
                <w:szCs w:val="28"/>
              </w:rPr>
            </w:pPr>
            <w:r>
              <w:rPr>
                <w:rFonts w:hint="eastAsia"/>
                <w:bCs/>
                <w:snapToGrid w:val="0"/>
                <w:kern w:val="0"/>
                <w:sz w:val="28"/>
                <w:szCs w:val="28"/>
              </w:rPr>
              <w:t>提升县乡公路通行条件，实施美丽乡村路</w:t>
            </w:r>
            <w:r>
              <w:rPr>
                <w:bCs/>
                <w:snapToGrid w:val="0"/>
                <w:kern w:val="0"/>
                <w:sz w:val="28"/>
                <w:szCs w:val="28"/>
              </w:rPr>
              <w:t>215</w:t>
            </w:r>
            <w:r>
              <w:rPr>
                <w:rFonts w:hint="eastAsia"/>
                <w:bCs/>
                <w:snapToGrid w:val="0"/>
                <w:kern w:val="0"/>
                <w:sz w:val="28"/>
                <w:szCs w:val="28"/>
              </w:rPr>
              <w:t>公里，实现具备条件的建制村通双车道。</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3.</w:t>
            </w:r>
            <w:r>
              <w:rPr>
                <w:rFonts w:hint="eastAsia" w:eastAsia="黑体"/>
                <w:bCs/>
                <w:snapToGrid w:val="0"/>
                <w:kern w:val="0"/>
                <w:sz w:val="28"/>
                <w:szCs w:val="28"/>
              </w:rPr>
              <w:t>提高路网安全水平</w:t>
            </w:r>
          </w:p>
          <w:p>
            <w:pPr>
              <w:snapToGrid w:val="0"/>
              <w:spacing w:line="600" w:lineRule="exact"/>
              <w:ind w:firstLine="560"/>
              <w:rPr>
                <w:bCs/>
                <w:snapToGrid w:val="0"/>
                <w:kern w:val="0"/>
                <w:sz w:val="28"/>
                <w:szCs w:val="28"/>
              </w:rPr>
            </w:pPr>
            <w:r>
              <w:rPr>
                <w:rFonts w:hint="eastAsia"/>
                <w:bCs/>
                <w:snapToGrid w:val="0"/>
                <w:kern w:val="0"/>
                <w:sz w:val="28"/>
                <w:szCs w:val="28"/>
              </w:rPr>
              <w:t>实施安保工程</w:t>
            </w:r>
            <w:r>
              <w:rPr>
                <w:bCs/>
                <w:snapToGrid w:val="0"/>
                <w:kern w:val="0"/>
                <w:sz w:val="28"/>
                <w:szCs w:val="28"/>
              </w:rPr>
              <w:t>800</w:t>
            </w:r>
            <w:r>
              <w:rPr>
                <w:rFonts w:hint="eastAsia"/>
                <w:bCs/>
                <w:snapToGrid w:val="0"/>
                <w:kern w:val="0"/>
                <w:sz w:val="28"/>
                <w:szCs w:val="28"/>
              </w:rPr>
              <w:t>公里、危桥改造</w:t>
            </w:r>
            <w:r>
              <w:rPr>
                <w:bCs/>
                <w:snapToGrid w:val="0"/>
                <w:kern w:val="0"/>
                <w:sz w:val="28"/>
                <w:szCs w:val="28"/>
              </w:rPr>
              <w:t>30</w:t>
            </w:r>
            <w:r>
              <w:rPr>
                <w:rFonts w:hint="eastAsia"/>
                <w:bCs/>
                <w:snapToGrid w:val="0"/>
                <w:kern w:val="0"/>
                <w:sz w:val="28"/>
                <w:szCs w:val="28"/>
              </w:rPr>
              <w:t>座，新建桥梁</w:t>
            </w:r>
            <w:r>
              <w:rPr>
                <w:bCs/>
                <w:snapToGrid w:val="0"/>
                <w:kern w:val="0"/>
                <w:sz w:val="28"/>
                <w:szCs w:val="28"/>
              </w:rPr>
              <w:t>50</w:t>
            </w:r>
            <w:r>
              <w:rPr>
                <w:rFonts w:hint="eastAsia"/>
                <w:bCs/>
                <w:snapToGrid w:val="0"/>
                <w:kern w:val="0"/>
                <w:sz w:val="28"/>
                <w:szCs w:val="28"/>
              </w:rPr>
              <w:t>座、渡改公路桥</w:t>
            </w:r>
            <w:r>
              <w:rPr>
                <w:bCs/>
                <w:snapToGrid w:val="0"/>
                <w:kern w:val="0"/>
                <w:sz w:val="28"/>
                <w:szCs w:val="28"/>
              </w:rPr>
              <w:t>4</w:t>
            </w:r>
            <w:r>
              <w:rPr>
                <w:rFonts w:hint="eastAsia"/>
                <w:bCs/>
                <w:snapToGrid w:val="0"/>
                <w:kern w:val="0"/>
                <w:sz w:val="28"/>
                <w:szCs w:val="28"/>
              </w:rPr>
              <w:t>座。</w:t>
            </w:r>
          </w:p>
        </w:tc>
      </w:tr>
    </w:tbl>
    <w:p>
      <w:pPr>
        <w:pStyle w:val="4"/>
        <w:adjustRightInd w:val="0"/>
        <w:snapToGrid w:val="0"/>
        <w:spacing w:before="78" w:beforeLines="25" w:after="78" w:afterLines="25"/>
        <w:ind w:left="6238" w:hanging="6238"/>
        <w:rPr>
          <w:bCs w:val="0"/>
        </w:rPr>
      </w:pPr>
      <w:bookmarkStart w:id="102" w:name="_Toc25698"/>
      <w:r>
        <w:rPr>
          <w:bCs w:val="0"/>
        </w:rPr>
        <w:t xml:space="preserve">6.1.2 </w:t>
      </w:r>
      <w:bookmarkStart w:id="103" w:name="_Hlk60164340"/>
      <w:r>
        <w:rPr>
          <w:rFonts w:hint="eastAsia"/>
          <w:bCs w:val="0"/>
        </w:rPr>
        <w:t>加快站场完善工程，</w:t>
      </w:r>
      <w:bookmarkEnd w:id="103"/>
      <w:r>
        <w:rPr>
          <w:rFonts w:hint="eastAsia"/>
          <w:bCs w:val="0"/>
        </w:rPr>
        <w:t>着力打造综合交通枢纽体系</w:t>
      </w:r>
      <w:bookmarkEnd w:id="102"/>
    </w:p>
    <w:p>
      <w:pPr>
        <w:ind w:firstLine="643"/>
        <w:rPr>
          <w:rFonts w:eastAsia="楷体_GB2312"/>
          <w:b/>
          <w:bCs/>
        </w:rPr>
      </w:pPr>
      <w:bookmarkStart w:id="104" w:name="_Hlk60164381"/>
      <w:r>
        <w:rPr>
          <w:rFonts w:eastAsia="楷体_GB2312"/>
          <w:b/>
          <w:bCs/>
        </w:rPr>
        <w:t>1.</w:t>
      </w:r>
      <w:r>
        <w:rPr>
          <w:rFonts w:hint="eastAsia" w:eastAsia="楷体_GB2312"/>
          <w:b/>
          <w:bCs/>
        </w:rPr>
        <w:t>提升综合交通枢纽能级</w:t>
      </w:r>
    </w:p>
    <w:p>
      <w:pPr>
        <w:ind w:firstLine="640"/>
        <w:rPr>
          <w:szCs w:val="32"/>
        </w:rPr>
      </w:pPr>
      <w:r>
        <w:rPr>
          <w:rFonts w:hint="eastAsia"/>
          <w:szCs w:val="32"/>
        </w:rPr>
        <w:t>围绕建设连接西南西北重要交通节点，完善红岩作业区（一区）配套工程，构建货场、物流、仓储相配套的集疏运体系，完善公铁、铁水联运设施设备配置，强化现代信息技术应用，研究培育发展航运总部经济，将其打造辐射成渝的集装箱和散货物流集散地。加快推进广巴铁路红卫货运站提档升级，规划建设明觉五房至红岩港货运铁路支线，着力完善空铁、公铁联运设施设备配置，进一步强化现代信息技术的推广应用，打造展示广元市和昭化区交通运输发展形象的重要窗口。</w:t>
      </w:r>
    </w:p>
    <w:p>
      <w:pPr>
        <w:ind w:firstLine="643"/>
        <w:rPr>
          <w:szCs w:val="32"/>
        </w:rPr>
      </w:pPr>
      <w:r>
        <w:rPr>
          <w:rFonts w:eastAsia="楷体_GB2312"/>
          <w:b/>
          <w:bCs/>
        </w:rPr>
        <w:t>2.</w:t>
      </w:r>
      <w:r>
        <w:rPr>
          <w:rFonts w:hint="eastAsia" w:eastAsia="楷体_GB2312"/>
          <w:b/>
          <w:bCs/>
        </w:rPr>
        <w:t>完善货运站场规划布局</w:t>
      </w:r>
    </w:p>
    <w:p>
      <w:pPr>
        <w:ind w:firstLine="640"/>
        <w:rPr>
          <w:szCs w:val="32"/>
        </w:rPr>
      </w:pPr>
      <w:r>
        <w:rPr>
          <w:rFonts w:hint="eastAsia"/>
          <w:szCs w:val="32"/>
        </w:rPr>
        <w:t>加强重要城镇及重点工业园区周边公路货运站场规划布局，重点建设红岩、虎跳、元坝物流园区，卫子物流中心以及一批乡镇货运站，逐步形成和完善由区级物流园区、乡镇物流中心、农村物流网点构成的三级交通物流系网络，建设广元中南部重要的物流集散地。积极发展智慧物流，加快开展项目策划、选址和用地规划，建设昭化区交通运输信息化指挥中心、智能物流建设项目。支持具备条件的货运站建设面向农村、辐射广泛的共同配送中心，并配置农产品仓储保鲜冷链物流设施，依托便利店、智能快递寄存柜建设村级物流快递公共取送点，拓展农村物流覆盖深度。</w:t>
      </w:r>
    </w:p>
    <w:p>
      <w:pPr>
        <w:ind w:firstLine="643"/>
        <w:rPr>
          <w:rFonts w:eastAsia="楷体_GB2312"/>
          <w:b/>
          <w:bCs/>
        </w:rPr>
      </w:pPr>
      <w:r>
        <w:rPr>
          <w:rFonts w:eastAsia="楷体_GB2312"/>
          <w:b/>
          <w:bCs/>
        </w:rPr>
        <w:t>3.</w:t>
      </w:r>
      <w:r>
        <w:rPr>
          <w:rFonts w:hint="eastAsia" w:eastAsia="楷体_GB2312"/>
          <w:b/>
          <w:bCs/>
        </w:rPr>
        <w:t>构建道路客运站场体系</w:t>
      </w:r>
    </w:p>
    <w:p>
      <w:pPr>
        <w:ind w:firstLine="640"/>
      </w:pPr>
      <w:r>
        <w:rPr>
          <w:rFonts w:hint="eastAsia"/>
        </w:rPr>
        <w:t>加快推进元坝综合交通枢纽站、昭化古城客运站建设，加快推进虎跳、太公、磨滩等</w:t>
      </w:r>
      <w:r>
        <w:t>7</w:t>
      </w:r>
      <w:r>
        <w:rPr>
          <w:rFonts w:hint="eastAsia"/>
        </w:rPr>
        <w:t>个乡镇客运站升级改造，同时整合物流、电商快递、汽车维修、公路养护、商业服务等复合功能，打造卫子、红岩等</w:t>
      </w:r>
      <w:r>
        <w:t>4</w:t>
      </w:r>
      <w:r>
        <w:rPr>
          <w:rFonts w:hint="eastAsia"/>
        </w:rPr>
        <w:t>个</w:t>
      </w:r>
      <w:r>
        <w:t>“</w:t>
      </w:r>
      <w:r>
        <w:rPr>
          <w:rFonts w:hint="eastAsia"/>
        </w:rPr>
        <w:t>一点多能</w:t>
      </w:r>
      <w:r>
        <w:t>”</w:t>
      </w:r>
      <w:r>
        <w:rPr>
          <w:rFonts w:hint="eastAsia"/>
        </w:rPr>
        <w:t>的综合运输服务站，提高乡镇客运站使用效率；在重点交通干道沿线规划建设一批港湾站、招呼站（牌），进一步规范车辆停靠。结合公交线网布局，规划建设一批公交枢纽站、换乘站，提高城市公交集疏运能力，方便群众中转换乘。</w:t>
      </w:r>
    </w:p>
    <w:bookmarkEnd w:id="104"/>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29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296" w:type="dxa"/>
            <w:tcBorders>
              <w:top w:val="single" w:color="auto" w:sz="12" w:space="0"/>
              <w:left w:val="single" w:color="auto" w:sz="12" w:space="0"/>
              <w:bottom w:val="single" w:color="000000" w:sz="4" w:space="0"/>
              <w:right w:val="single" w:color="auto" w:sz="12" w:space="0"/>
            </w:tcBorders>
            <w:noWrap w:val="0"/>
            <w:vAlign w:val="center"/>
          </w:tcPr>
          <w:p>
            <w:pPr>
              <w:spacing w:line="240" w:lineRule="auto"/>
              <w:ind w:firstLine="0" w:firstLineChars="0"/>
              <w:jc w:val="center"/>
              <w:rPr>
                <w:rFonts w:eastAsia="楷体"/>
                <w:b/>
                <w:bCs/>
                <w:snapToGrid w:val="0"/>
                <w:kern w:val="0"/>
                <w:sz w:val="28"/>
                <w:szCs w:val="28"/>
              </w:rPr>
            </w:pPr>
            <w:r>
              <w:rPr>
                <w:rFonts w:hint="eastAsia" w:eastAsia="黑体"/>
                <w:sz w:val="28"/>
                <w:szCs w:val="28"/>
              </w:rPr>
              <w:t>专栏</w:t>
            </w:r>
            <w:r>
              <w:rPr>
                <w:rFonts w:eastAsia="黑体"/>
                <w:sz w:val="28"/>
                <w:szCs w:val="28"/>
              </w:rPr>
              <w:t xml:space="preserve">4 </w:t>
            </w:r>
            <w:r>
              <w:rPr>
                <w:rFonts w:hint="eastAsia" w:eastAsia="黑体"/>
                <w:sz w:val="28"/>
                <w:szCs w:val="28"/>
              </w:rPr>
              <w:t>道路客货站场重点建设项目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8296" w:type="dxa"/>
            <w:tcBorders>
              <w:top w:val="single" w:color="000000" w:sz="4" w:space="0"/>
              <w:left w:val="single" w:color="auto" w:sz="12" w:space="0"/>
              <w:bottom w:val="single" w:color="auto" w:sz="12" w:space="0"/>
              <w:right w:val="single" w:color="auto" w:sz="12" w:space="0"/>
            </w:tcBorders>
            <w:noWrap w:val="0"/>
            <w:vAlign w:val="top"/>
          </w:tcPr>
          <w:p>
            <w:pPr>
              <w:spacing w:line="600" w:lineRule="exact"/>
              <w:ind w:firstLine="560"/>
              <w:rPr>
                <w:rFonts w:eastAsia="黑体"/>
                <w:snapToGrid w:val="0"/>
                <w:kern w:val="0"/>
                <w:sz w:val="28"/>
                <w:szCs w:val="28"/>
              </w:rPr>
            </w:pPr>
            <w:r>
              <w:rPr>
                <w:rFonts w:hint="eastAsia" w:eastAsia="黑体"/>
                <w:snapToGrid w:val="0"/>
                <w:kern w:val="0"/>
                <w:sz w:val="28"/>
                <w:szCs w:val="28"/>
              </w:rPr>
              <w:t>一、客运站</w:t>
            </w:r>
          </w:p>
          <w:p>
            <w:pPr>
              <w:spacing w:line="600" w:lineRule="exact"/>
              <w:ind w:firstLine="560"/>
              <w:rPr>
                <w:rFonts w:eastAsia="黑体"/>
                <w:snapToGrid w:val="0"/>
                <w:kern w:val="0"/>
                <w:sz w:val="28"/>
                <w:szCs w:val="28"/>
              </w:rPr>
            </w:pPr>
            <w:r>
              <w:rPr>
                <w:rFonts w:eastAsia="黑体"/>
                <w:snapToGrid w:val="0"/>
                <w:kern w:val="0"/>
                <w:sz w:val="28"/>
                <w:szCs w:val="28"/>
              </w:rPr>
              <w:t>1.</w:t>
            </w:r>
            <w:r>
              <w:rPr>
                <w:rFonts w:hint="eastAsia" w:eastAsia="黑体"/>
                <w:snapToGrid w:val="0"/>
                <w:kern w:val="0"/>
                <w:sz w:val="28"/>
                <w:szCs w:val="28"/>
              </w:rPr>
              <w:t>客运枢纽站（</w:t>
            </w:r>
            <w:r>
              <w:rPr>
                <w:rFonts w:eastAsia="黑体"/>
                <w:snapToGrid w:val="0"/>
                <w:kern w:val="0"/>
                <w:sz w:val="28"/>
                <w:szCs w:val="28"/>
              </w:rPr>
              <w:t>1</w:t>
            </w:r>
            <w:r>
              <w:rPr>
                <w:rFonts w:hint="eastAsia" w:eastAsia="黑体"/>
                <w:snapToGrid w:val="0"/>
                <w:kern w:val="0"/>
                <w:sz w:val="28"/>
                <w:szCs w:val="28"/>
              </w:rPr>
              <w:t>个）</w:t>
            </w:r>
          </w:p>
          <w:p>
            <w:pPr>
              <w:spacing w:line="600" w:lineRule="exact"/>
              <w:ind w:firstLine="560"/>
              <w:rPr>
                <w:snapToGrid w:val="0"/>
                <w:kern w:val="0"/>
                <w:sz w:val="28"/>
                <w:szCs w:val="28"/>
              </w:rPr>
            </w:pPr>
            <w:r>
              <w:rPr>
                <w:rFonts w:hint="eastAsia"/>
                <w:snapToGrid w:val="0"/>
                <w:kern w:val="0"/>
                <w:sz w:val="28"/>
                <w:szCs w:val="28"/>
              </w:rPr>
              <w:t>元坝综合交通枢纽站。</w:t>
            </w:r>
          </w:p>
          <w:p>
            <w:pPr>
              <w:spacing w:line="600" w:lineRule="exact"/>
              <w:ind w:firstLine="560"/>
              <w:rPr>
                <w:rFonts w:eastAsia="黑体"/>
                <w:snapToGrid w:val="0"/>
                <w:kern w:val="0"/>
                <w:sz w:val="28"/>
                <w:szCs w:val="28"/>
              </w:rPr>
            </w:pPr>
            <w:r>
              <w:rPr>
                <w:rFonts w:eastAsia="黑体"/>
                <w:snapToGrid w:val="0"/>
                <w:kern w:val="0"/>
                <w:sz w:val="28"/>
                <w:szCs w:val="28"/>
              </w:rPr>
              <w:t>2.</w:t>
            </w:r>
            <w:r>
              <w:rPr>
                <w:rFonts w:hint="eastAsia" w:eastAsia="黑体"/>
                <w:snapToGrid w:val="0"/>
                <w:kern w:val="0"/>
                <w:sz w:val="28"/>
                <w:szCs w:val="28"/>
              </w:rPr>
              <w:t>乡镇客运站（</w:t>
            </w:r>
            <w:r>
              <w:rPr>
                <w:rFonts w:eastAsia="黑体"/>
                <w:snapToGrid w:val="0"/>
                <w:kern w:val="0"/>
                <w:sz w:val="28"/>
                <w:szCs w:val="28"/>
              </w:rPr>
              <w:t>12</w:t>
            </w:r>
            <w:r>
              <w:rPr>
                <w:rFonts w:hint="eastAsia" w:eastAsia="黑体"/>
                <w:snapToGrid w:val="0"/>
                <w:kern w:val="0"/>
                <w:sz w:val="28"/>
                <w:szCs w:val="28"/>
              </w:rPr>
              <w:t>个）</w:t>
            </w:r>
          </w:p>
          <w:p>
            <w:pPr>
              <w:spacing w:line="600" w:lineRule="exact"/>
              <w:ind w:firstLine="560"/>
              <w:rPr>
                <w:snapToGrid w:val="0"/>
                <w:kern w:val="0"/>
                <w:sz w:val="28"/>
                <w:szCs w:val="28"/>
              </w:rPr>
            </w:pPr>
            <w:r>
              <w:rPr>
                <w:rFonts w:hint="eastAsia"/>
                <w:snapToGrid w:val="0"/>
                <w:kern w:val="0"/>
                <w:sz w:val="28"/>
                <w:szCs w:val="28"/>
              </w:rPr>
              <w:t>新建昭化古城客运站；改建虎跳、磨滩、柏林沟、太公、射箭、明觉、王家交通运输综合服务站，新建卫子、红岩、清水、青牛交通运输综合服务站。</w:t>
            </w:r>
          </w:p>
          <w:p>
            <w:pPr>
              <w:spacing w:line="600" w:lineRule="exact"/>
              <w:ind w:firstLine="560"/>
              <w:rPr>
                <w:rFonts w:eastAsia="黑体"/>
                <w:snapToGrid w:val="0"/>
                <w:kern w:val="0"/>
                <w:sz w:val="28"/>
                <w:szCs w:val="28"/>
              </w:rPr>
            </w:pPr>
            <w:r>
              <w:rPr>
                <w:rFonts w:eastAsia="黑体"/>
                <w:snapToGrid w:val="0"/>
                <w:kern w:val="0"/>
                <w:sz w:val="28"/>
                <w:szCs w:val="28"/>
              </w:rPr>
              <w:t>3.</w:t>
            </w:r>
            <w:r>
              <w:rPr>
                <w:rFonts w:hint="eastAsia" w:eastAsia="黑体"/>
                <w:snapToGrid w:val="0"/>
                <w:kern w:val="0"/>
                <w:sz w:val="28"/>
                <w:szCs w:val="28"/>
              </w:rPr>
              <w:t>乡镇港湾站</w:t>
            </w:r>
            <w:r>
              <w:rPr>
                <w:rFonts w:eastAsia="黑体"/>
                <w:snapToGrid w:val="0"/>
                <w:kern w:val="0"/>
                <w:sz w:val="28"/>
                <w:szCs w:val="28"/>
              </w:rPr>
              <w:t>15</w:t>
            </w:r>
            <w:r>
              <w:rPr>
                <w:rFonts w:hint="eastAsia" w:eastAsia="黑体"/>
                <w:snapToGrid w:val="0"/>
                <w:kern w:val="0"/>
                <w:sz w:val="28"/>
                <w:szCs w:val="28"/>
              </w:rPr>
              <w:t>个</w:t>
            </w:r>
          </w:p>
          <w:p>
            <w:pPr>
              <w:spacing w:line="600" w:lineRule="exact"/>
              <w:ind w:firstLine="560"/>
              <w:rPr>
                <w:rFonts w:eastAsia="黑体"/>
                <w:snapToGrid w:val="0"/>
                <w:kern w:val="0"/>
                <w:sz w:val="28"/>
                <w:szCs w:val="28"/>
              </w:rPr>
            </w:pPr>
            <w:r>
              <w:rPr>
                <w:rFonts w:eastAsia="黑体"/>
                <w:snapToGrid w:val="0"/>
                <w:kern w:val="0"/>
                <w:sz w:val="28"/>
                <w:szCs w:val="28"/>
              </w:rPr>
              <w:t>4.</w:t>
            </w:r>
            <w:r>
              <w:rPr>
                <w:rFonts w:hint="eastAsia" w:eastAsia="黑体"/>
                <w:snapToGrid w:val="0"/>
                <w:kern w:val="0"/>
                <w:sz w:val="28"/>
                <w:szCs w:val="28"/>
              </w:rPr>
              <w:t>村级招呼站（牌）</w:t>
            </w:r>
            <w:r>
              <w:rPr>
                <w:rFonts w:eastAsia="黑体"/>
                <w:snapToGrid w:val="0"/>
                <w:kern w:val="0"/>
                <w:sz w:val="28"/>
                <w:szCs w:val="28"/>
              </w:rPr>
              <w:t>30</w:t>
            </w:r>
            <w:r>
              <w:rPr>
                <w:rFonts w:hint="eastAsia" w:eastAsia="黑体"/>
                <w:snapToGrid w:val="0"/>
                <w:kern w:val="0"/>
                <w:sz w:val="28"/>
                <w:szCs w:val="28"/>
              </w:rPr>
              <w:t>个</w:t>
            </w:r>
          </w:p>
          <w:p>
            <w:pPr>
              <w:spacing w:line="600" w:lineRule="exact"/>
              <w:ind w:firstLine="560"/>
              <w:rPr>
                <w:rFonts w:eastAsia="黑体"/>
                <w:snapToGrid w:val="0"/>
                <w:kern w:val="0"/>
                <w:sz w:val="28"/>
                <w:szCs w:val="28"/>
              </w:rPr>
            </w:pPr>
            <w:r>
              <w:rPr>
                <w:rFonts w:hint="eastAsia" w:eastAsia="黑体"/>
                <w:snapToGrid w:val="0"/>
                <w:kern w:val="0"/>
                <w:sz w:val="28"/>
                <w:szCs w:val="28"/>
              </w:rPr>
              <w:t>二、货运站（</w:t>
            </w:r>
            <w:r>
              <w:rPr>
                <w:rFonts w:eastAsia="黑体"/>
                <w:snapToGrid w:val="0"/>
                <w:kern w:val="0"/>
                <w:sz w:val="28"/>
                <w:szCs w:val="28"/>
              </w:rPr>
              <w:t>6</w:t>
            </w:r>
            <w:r>
              <w:rPr>
                <w:rFonts w:hint="eastAsia" w:eastAsia="黑体"/>
                <w:snapToGrid w:val="0"/>
                <w:kern w:val="0"/>
                <w:sz w:val="28"/>
                <w:szCs w:val="28"/>
              </w:rPr>
              <w:t>个）</w:t>
            </w:r>
          </w:p>
          <w:p>
            <w:pPr>
              <w:spacing w:line="600" w:lineRule="exact"/>
              <w:ind w:firstLine="560"/>
              <w:rPr>
                <w:snapToGrid w:val="0"/>
                <w:kern w:val="0"/>
                <w:sz w:val="28"/>
                <w:szCs w:val="28"/>
              </w:rPr>
            </w:pPr>
            <w:r>
              <w:rPr>
                <w:rFonts w:hint="eastAsia"/>
                <w:snapToGrid w:val="0"/>
                <w:kern w:val="0"/>
                <w:sz w:val="28"/>
                <w:szCs w:val="28"/>
              </w:rPr>
              <w:t>昭化区智能物流建设项目，昭化区交通运输信息化指挥中心，红岩物流园区、虎跳物流园区、元坝物流园区，卫子物流中心。</w:t>
            </w:r>
          </w:p>
        </w:tc>
      </w:tr>
    </w:tbl>
    <w:p>
      <w:pPr>
        <w:pStyle w:val="4"/>
        <w:adjustRightInd w:val="0"/>
        <w:snapToGrid w:val="0"/>
        <w:spacing w:before="78" w:beforeLines="25" w:after="78" w:afterLines="25"/>
        <w:ind w:left="6238" w:hanging="6238"/>
        <w:rPr>
          <w:bCs w:val="0"/>
        </w:rPr>
      </w:pPr>
      <w:bookmarkStart w:id="105" w:name="_Toc9307"/>
      <w:r>
        <w:rPr>
          <w:bCs w:val="0"/>
        </w:rPr>
        <w:t xml:space="preserve">6.1.3 </w:t>
      </w:r>
      <w:bookmarkStart w:id="106" w:name="_Hlk60164515"/>
      <w:r>
        <w:rPr>
          <w:rFonts w:hint="eastAsia"/>
          <w:bCs w:val="0"/>
        </w:rPr>
        <w:t>加快客运转型工程</w:t>
      </w:r>
      <w:bookmarkEnd w:id="106"/>
      <w:r>
        <w:rPr>
          <w:rFonts w:hint="eastAsia"/>
          <w:bCs w:val="0"/>
        </w:rPr>
        <w:t>，着力推进出行服务便捷舒适</w:t>
      </w:r>
      <w:bookmarkEnd w:id="105"/>
    </w:p>
    <w:p>
      <w:pPr>
        <w:ind w:firstLine="643"/>
        <w:rPr>
          <w:rFonts w:eastAsia="楷体_GB2312"/>
          <w:b/>
        </w:rPr>
      </w:pPr>
      <w:bookmarkStart w:id="107" w:name="_Hlk60164554"/>
      <w:r>
        <w:rPr>
          <w:rFonts w:eastAsia="楷体_GB2312"/>
          <w:b/>
        </w:rPr>
        <w:t>1.</w:t>
      </w:r>
      <w:r>
        <w:rPr>
          <w:rFonts w:hint="eastAsia" w:eastAsia="楷体_GB2312"/>
          <w:b/>
        </w:rPr>
        <w:t>推进城际出行快速化</w:t>
      </w:r>
    </w:p>
    <w:p>
      <w:pPr>
        <w:ind w:firstLine="640"/>
      </w:pPr>
      <w:r>
        <w:rPr>
          <w:rFonts w:hint="eastAsia" w:eastAsia="黑体"/>
        </w:rPr>
        <w:t>一是发展旅客联程运输。</w:t>
      </w:r>
      <w:r>
        <w:rPr>
          <w:rFonts w:hint="eastAsia"/>
        </w:rPr>
        <w:t>积极发展与高铁直接接驳的联程客运，丰富元坝综合交通枢纽站与西成高铁广元站间的联运巴士专线，提高公铁联程运输效率。加密城市客运与广元机场之间的发车班次，切实发挥城市客运集疏运能力。</w:t>
      </w:r>
      <w:r>
        <w:rPr>
          <w:rFonts w:hint="eastAsia" w:eastAsia="黑体"/>
        </w:rPr>
        <w:t>二是优化道路客运组织。</w:t>
      </w:r>
      <w:r>
        <w:rPr>
          <w:rFonts w:hint="eastAsia"/>
        </w:rPr>
        <w:t>沿主要干线实施道路客运公交化改造，建立面向区域的道路客运网络，开通昭化至广元、成都主城区等地定制客运班线，提升客运实载率，满足区域高密度、品质化出行需求。</w:t>
      </w:r>
      <w:r>
        <w:rPr>
          <w:rFonts w:hint="eastAsia" w:eastAsia="黑体"/>
        </w:rPr>
        <w:t>三是提升站场服务品质。</w:t>
      </w:r>
      <w:r>
        <w:rPr>
          <w:rFonts w:hint="eastAsia"/>
        </w:rPr>
        <w:t>突出</w:t>
      </w:r>
      <w:r>
        <w:t>“</w:t>
      </w:r>
      <w:r>
        <w:rPr>
          <w:rFonts w:hint="eastAsia"/>
        </w:rPr>
        <w:t>智慧车站</w:t>
      </w:r>
      <w:r>
        <w:t>”</w:t>
      </w:r>
      <w:r>
        <w:rPr>
          <w:rFonts w:hint="eastAsia"/>
        </w:rPr>
        <w:t>理念，全面升级主要汽车客运站检票系统，新增身份证、二维码、人脸识别等验票功能，推行道路客运电子客票。在元坝综合交通枢纽站开辟汽车租赁服务网点、快递服务点等服务，为旅客出行提供便利。</w:t>
      </w:r>
    </w:p>
    <w:p>
      <w:pPr>
        <w:ind w:firstLine="643"/>
        <w:rPr>
          <w:rFonts w:eastAsia="楷体_GB2312"/>
          <w:b/>
        </w:rPr>
      </w:pPr>
      <w:r>
        <w:rPr>
          <w:rFonts w:eastAsia="楷体_GB2312"/>
          <w:b/>
        </w:rPr>
        <w:t>2.</w:t>
      </w:r>
      <w:r>
        <w:rPr>
          <w:rFonts w:hint="eastAsia" w:eastAsia="楷体_GB2312"/>
          <w:b/>
        </w:rPr>
        <w:t>推进城市出行便捷化</w:t>
      </w:r>
    </w:p>
    <w:p>
      <w:pPr>
        <w:ind w:firstLine="640"/>
      </w:pPr>
      <w:r>
        <w:rPr>
          <w:rFonts w:hint="eastAsia" w:eastAsia="黑体"/>
        </w:rPr>
        <w:t>一是优化线网布局。</w:t>
      </w:r>
      <w:r>
        <w:rPr>
          <w:rFonts w:hint="eastAsia"/>
        </w:rPr>
        <w:t>加强公众出行规律和客流特征分析，配合开展中心城区公交规划，优化调整城市公交线网和站点布局，加强常规公交与城际客运服务有机衔接，推进常规公交网络和社区接驳公交融合发展，推动优质多元公共交通系统和安心舒适慢行系统深度融合，降低乘客全程出行时间。</w:t>
      </w:r>
      <w:r>
        <w:rPr>
          <w:rFonts w:hint="eastAsia" w:eastAsia="黑体"/>
        </w:rPr>
        <w:t>二是提高运行效率。</w:t>
      </w:r>
      <w:r>
        <w:rPr>
          <w:rFonts w:hint="eastAsia"/>
        </w:rPr>
        <w:t>加强与广元利州区衔接，共同推动发展大容量快速化公共交通，在中心城区交通密集区域构建系统化、网络化公交专用道，同步推进公交优先信号系统建设，逐步形成城市公共交通优先通行网络。</w:t>
      </w:r>
      <w:r>
        <w:rPr>
          <w:rFonts w:hint="eastAsia" w:eastAsia="黑体"/>
        </w:rPr>
        <w:t>三是强化智慧绿色建设。</w:t>
      </w:r>
      <w:r>
        <w:rPr>
          <w:rFonts w:hint="eastAsia"/>
        </w:rPr>
        <w:t>推进昭化区与广元市域所有县（区）实现公交电子支付手段兼容互认，推广公交电子站牌、公交掌上</w:t>
      </w:r>
      <w:r>
        <w:t>APP</w:t>
      </w:r>
      <w:r>
        <w:rPr>
          <w:rFonts w:hint="eastAsia"/>
        </w:rPr>
        <w:t>等设施产品的应用，提供准确、可靠的公交车实时位置等信息服务，提升乘客公交出行感知水平。积极引导城市公交车辆更新换代，逐步实现电动化。</w:t>
      </w:r>
      <w:r>
        <w:rPr>
          <w:rFonts w:hint="eastAsia" w:eastAsia="黑体"/>
        </w:rPr>
        <w:t>四是提升个性客运服务。</w:t>
      </w:r>
      <w:r>
        <w:rPr>
          <w:rFonts w:hint="eastAsia"/>
        </w:rPr>
        <w:t>规范、倡导并普及共享出行模式，科学引导城市巡游出租汽车、网约车、分时租赁、共享汽车、私人小客车合乘等健康发展，鼓励需求响应式定制客运等多样化公共交通服务发展，推动实现出行工具共享、出行体验升级。</w:t>
      </w:r>
    </w:p>
    <w:p>
      <w:pPr>
        <w:ind w:firstLine="643"/>
        <w:rPr>
          <w:rFonts w:eastAsia="楷体_GB2312"/>
          <w:b/>
        </w:rPr>
      </w:pPr>
      <w:r>
        <w:rPr>
          <w:rFonts w:eastAsia="楷体_GB2312"/>
          <w:b/>
        </w:rPr>
        <w:t>3.</w:t>
      </w:r>
      <w:r>
        <w:rPr>
          <w:rFonts w:hint="eastAsia" w:eastAsia="楷体_GB2312"/>
          <w:b/>
        </w:rPr>
        <w:t>推进城乡出行一体化</w:t>
      </w:r>
    </w:p>
    <w:p>
      <w:pPr>
        <w:ind w:firstLine="640"/>
      </w:pPr>
      <w:r>
        <w:rPr>
          <w:rFonts w:hint="eastAsia" w:eastAsia="黑体"/>
        </w:rPr>
        <w:t>一是建设美丽清新乡村客运。</w:t>
      </w:r>
      <w:r>
        <w:rPr>
          <w:rFonts w:hint="eastAsia"/>
        </w:rPr>
        <w:t>大力实施乡村客运金通工程，推动乡村客运标志、村级招呼站（牌）、车辆标识、从业人员辨识物</w:t>
      </w:r>
      <w:r>
        <w:t>“</w:t>
      </w:r>
      <w:r>
        <w:rPr>
          <w:rFonts w:hint="eastAsia"/>
        </w:rPr>
        <w:t>四统一</w:t>
      </w:r>
      <w:r>
        <w:t>”</w:t>
      </w:r>
      <w:r>
        <w:rPr>
          <w:rFonts w:hint="eastAsia"/>
        </w:rPr>
        <w:t>，将乡村客运发展有机融入美丽乡村建设。</w:t>
      </w:r>
      <w:r>
        <w:rPr>
          <w:rFonts w:hint="eastAsia" w:eastAsia="黑体"/>
        </w:rPr>
        <w:t>二是建设安全绿色乡村客运。</w:t>
      </w:r>
      <w:r>
        <w:rPr>
          <w:rFonts w:hint="eastAsia"/>
        </w:rPr>
        <w:t>选择适应昭化乡村公路通行条件的适配车辆，并对乡村客运车辆卫星定位监控设备安装和应用全覆盖。鼓励乡村客运发展纯电动、</w:t>
      </w:r>
      <w:r>
        <w:t>CNG</w:t>
      </w:r>
      <w:r>
        <w:rPr>
          <w:rFonts w:hint="eastAsia"/>
        </w:rPr>
        <w:t>、</w:t>
      </w:r>
      <w:r>
        <w:t>LNG</w:t>
      </w:r>
      <w:r>
        <w:rPr>
          <w:rFonts w:hint="eastAsia"/>
        </w:rPr>
        <w:t>等绿色环保车辆，减少尾气排放，实现绿色发展。</w:t>
      </w:r>
      <w:r>
        <w:rPr>
          <w:rFonts w:hint="eastAsia" w:eastAsia="黑体"/>
        </w:rPr>
        <w:t>三是建设便捷优质乡村客运。</w:t>
      </w:r>
      <w:r>
        <w:rPr>
          <w:rFonts w:hint="eastAsia"/>
        </w:rPr>
        <w:t>加快完善辖区内部客运网络，推进具备条件的线路公交化改造，因地制宜发展片区经营、循环运行、需求响应等模式，适时开行赶场车、学生车、就医出行车、</w:t>
      </w:r>
      <w:r>
        <w:t>“</w:t>
      </w:r>
      <w:r>
        <w:rPr>
          <w:rFonts w:hint="eastAsia"/>
        </w:rPr>
        <w:t>乡村网约车</w:t>
      </w:r>
      <w:r>
        <w:t>”</w:t>
      </w:r>
      <w:r>
        <w:rPr>
          <w:rFonts w:hint="eastAsia"/>
        </w:rPr>
        <w:t>，最大程度满足群众出行需求。</w:t>
      </w:r>
      <w:r>
        <w:rPr>
          <w:rFonts w:hint="eastAsia" w:eastAsia="黑体"/>
        </w:rPr>
        <w:t>四是建设精细管理乡村客运。</w:t>
      </w:r>
      <w:r>
        <w:rPr>
          <w:rFonts w:hint="eastAsia"/>
        </w:rPr>
        <w:t>充分用好全省乡村客运管理服务平台，对村级招呼站（牌）、客运车辆、驾驶员实行数字化管理，实现客运服务一键可约、车辆位置一键可询等功能。</w:t>
      </w:r>
      <w:r>
        <w:rPr>
          <w:rFonts w:hint="eastAsia" w:eastAsia="黑体"/>
        </w:rPr>
        <w:t>五是推进水路客运提档升级。</w:t>
      </w:r>
      <w:r>
        <w:rPr>
          <w:rFonts w:hint="eastAsia"/>
        </w:rPr>
        <w:t>加大张王渡、罗家渡等客运作业区和湖库便民码头的改造力度，推进旅游客船提档升级，结合景观特点，因地制宜发展画舫船、邮轮、游艇船等多种船型，加强客船电动化改造，加强水上安全设施建设，夯实水运安全基础。</w:t>
      </w:r>
    </w:p>
    <w:p>
      <w:pPr>
        <w:ind w:firstLine="643"/>
        <w:rPr>
          <w:rFonts w:eastAsia="楷体_GB2312"/>
          <w:b/>
        </w:rPr>
      </w:pPr>
      <w:r>
        <w:rPr>
          <w:rFonts w:eastAsia="楷体_GB2312"/>
          <w:b/>
        </w:rPr>
        <w:t>4.</w:t>
      </w:r>
      <w:r>
        <w:rPr>
          <w:rFonts w:hint="eastAsia" w:eastAsia="楷体_GB2312"/>
          <w:b/>
        </w:rPr>
        <w:t>推进运游融合品质化</w:t>
      </w:r>
    </w:p>
    <w:p>
      <w:pPr>
        <w:ind w:firstLine="640"/>
      </w:pPr>
      <w:r>
        <w:rPr>
          <w:rFonts w:hint="eastAsia" w:eastAsia="黑体"/>
        </w:rPr>
        <w:t>一是拓展客运站场旅游功能。</w:t>
      </w:r>
      <w:r>
        <w:rPr>
          <w:rFonts w:hint="eastAsia"/>
        </w:rPr>
        <w:t>加强汽车站资源统筹利用和升级改造，融合旅游集散中心功能，形成</w:t>
      </w:r>
      <w:r>
        <w:t>“</w:t>
      </w:r>
      <w:r>
        <w:rPr>
          <w:rFonts w:hint="eastAsia"/>
        </w:rPr>
        <w:t>客运枢纽</w:t>
      </w:r>
      <w:r>
        <w:t>+</w:t>
      </w:r>
      <w:r>
        <w:rPr>
          <w:rFonts w:hint="eastAsia"/>
        </w:rPr>
        <w:t>旅游集散中心综合体</w:t>
      </w:r>
      <w:r>
        <w:t>”</w:t>
      </w:r>
      <w:r>
        <w:rPr>
          <w:rFonts w:hint="eastAsia"/>
        </w:rPr>
        <w:t>，促使客运站由单一售票功能向集旅游景区门票、酒店预订、跟团游等多维合一的综合性服务平台和旅游集散中心转型。鼓励乡镇客运站依托本地特色，整合普通国省道服务区功能，因地制宜打造休闲型、服务型和观光型驿站，建设</w:t>
      </w:r>
      <w:r>
        <w:t>G212</w:t>
      </w:r>
      <w:r>
        <w:rPr>
          <w:rFonts w:hint="eastAsia"/>
        </w:rPr>
        <w:t>元坝镇主题服务区。</w:t>
      </w:r>
      <w:r>
        <w:rPr>
          <w:rFonts w:hint="eastAsia" w:eastAsia="黑体"/>
        </w:rPr>
        <w:t>二是大力发展水上旅游观光。</w:t>
      </w:r>
      <w:r>
        <w:rPr>
          <w:rFonts w:hint="eastAsia"/>
        </w:rPr>
        <w:t>依托嘉陵江山水人文旅游线试点工程，大力发展水上旅游圈，结合沿线景观特点，布设行船路线，新建昭化镇、青牛镇、工农水库、紫云</w:t>
      </w:r>
      <w:bookmarkStart w:id="108" w:name="_Hlk93241936"/>
      <w:r>
        <w:rPr>
          <w:rFonts w:hint="eastAsia"/>
        </w:rPr>
        <w:t>湖</w:t>
      </w:r>
      <w:bookmarkEnd w:id="108"/>
      <w:r>
        <w:rPr>
          <w:rFonts w:hint="eastAsia"/>
        </w:rPr>
        <w:t>等地旅游码头，加快桔柏渡旅游码头改造，完善旅游客运码头布局，加强客运码头旅游功能改造，突出</w:t>
      </w:r>
      <w:r>
        <w:t>“</w:t>
      </w:r>
      <w:r>
        <w:rPr>
          <w:rFonts w:hint="eastAsia"/>
        </w:rPr>
        <w:t>一码头一特色</w:t>
      </w:r>
      <w:r>
        <w:t>”</w:t>
      </w:r>
      <w:r>
        <w:rPr>
          <w:rFonts w:hint="eastAsia"/>
        </w:rPr>
        <w:t>。</w:t>
      </w:r>
      <w:r>
        <w:rPr>
          <w:rFonts w:hint="eastAsia" w:eastAsia="黑体"/>
        </w:rPr>
        <w:t>三是积极打造超级服务区。</w:t>
      </w:r>
      <w:r>
        <w:rPr>
          <w:rFonts w:hint="eastAsia"/>
        </w:rPr>
        <w:t>依托</w:t>
      </w:r>
      <w:r>
        <w:t>G5</w:t>
      </w:r>
      <w:r>
        <w:rPr>
          <w:rFonts w:hint="eastAsia"/>
        </w:rPr>
        <w:t>京昆高速公路广元至绵阳、广元至川陕界段扩容项目的新建优势，积极拓展昭化服务区旅游、休闲购物、物流、客运、地方特色资源等功能，打造具有较大影响力的超级服务区，形成集中展现昭化经济社会和交通发展水平的平台。</w:t>
      </w:r>
      <w:r>
        <w:rPr>
          <w:rFonts w:hint="eastAsia" w:eastAsia="黑体"/>
        </w:rPr>
        <w:t>四是探索发展航空旅游。</w:t>
      </w:r>
      <w:r>
        <w:rPr>
          <w:rFonts w:hint="eastAsia"/>
        </w:rPr>
        <w:t>围绕</w:t>
      </w:r>
      <w:r>
        <w:rPr>
          <w:rFonts w:hint="eastAsia"/>
          <w:lang w:eastAsia="zh-CN"/>
        </w:rPr>
        <w:t>柏林沟停机坪</w:t>
      </w:r>
      <w:r>
        <w:rPr>
          <w:rFonts w:hint="eastAsia"/>
        </w:rPr>
        <w:t>布局，开放低空旅游航线，开展航空培训、抢险救灾等业务，探索</w:t>
      </w:r>
      <w:r>
        <w:t>“</w:t>
      </w:r>
      <w:r>
        <w:rPr>
          <w:rFonts w:hint="eastAsia"/>
        </w:rPr>
        <w:t>通航</w:t>
      </w:r>
      <w:r>
        <w:t>+</w:t>
      </w:r>
      <w:r>
        <w:rPr>
          <w:rFonts w:hint="eastAsia"/>
        </w:rPr>
        <w:t>旅游</w:t>
      </w:r>
      <w:r>
        <w:t>”</w:t>
      </w:r>
      <w:r>
        <w:rPr>
          <w:rFonts w:hint="eastAsia"/>
        </w:rPr>
        <w:t>融合发展新业态。</w:t>
      </w:r>
    </w:p>
    <w:bookmarkEnd w:id="107"/>
    <w:p>
      <w:pPr>
        <w:pStyle w:val="4"/>
        <w:adjustRightInd w:val="0"/>
        <w:snapToGrid w:val="0"/>
        <w:spacing w:before="78" w:beforeLines="25" w:after="78" w:afterLines="25"/>
        <w:ind w:left="6238" w:hanging="6238"/>
        <w:rPr>
          <w:bCs w:val="0"/>
        </w:rPr>
      </w:pPr>
      <w:bookmarkStart w:id="109" w:name="_Toc29041"/>
      <w:r>
        <w:rPr>
          <w:bCs w:val="0"/>
        </w:rPr>
        <w:t xml:space="preserve">6.1.4 </w:t>
      </w:r>
      <w:bookmarkStart w:id="110" w:name="_Hlk60164951"/>
      <w:r>
        <w:rPr>
          <w:rFonts w:hint="eastAsia"/>
          <w:bCs w:val="0"/>
        </w:rPr>
        <w:t>加快货运升级工程</w:t>
      </w:r>
      <w:bookmarkEnd w:id="110"/>
      <w:r>
        <w:rPr>
          <w:rFonts w:hint="eastAsia"/>
          <w:bCs w:val="0"/>
        </w:rPr>
        <w:t>，着力促进交通物流降本增效</w:t>
      </w:r>
      <w:bookmarkEnd w:id="109"/>
    </w:p>
    <w:p>
      <w:pPr>
        <w:ind w:firstLine="643"/>
        <w:rPr>
          <w:rFonts w:eastAsia="楷体_GB2312"/>
          <w:b/>
        </w:rPr>
      </w:pPr>
      <w:bookmarkStart w:id="111" w:name="_Hlk60164973"/>
      <w:r>
        <w:rPr>
          <w:rFonts w:eastAsia="楷体_GB2312"/>
          <w:b/>
        </w:rPr>
        <w:t>1.</w:t>
      </w:r>
      <w:r>
        <w:rPr>
          <w:rFonts w:hint="eastAsia" w:eastAsia="楷体_GB2312"/>
          <w:b/>
        </w:rPr>
        <w:t>打造现代物流服务网络</w:t>
      </w:r>
    </w:p>
    <w:p>
      <w:pPr>
        <w:ind w:firstLine="640"/>
        <w:rPr>
          <w:kern w:val="0"/>
          <w:szCs w:val="32"/>
        </w:rPr>
      </w:pPr>
      <w:r>
        <w:rPr>
          <w:rFonts w:hint="eastAsia" w:eastAsia="黑体"/>
        </w:rPr>
        <w:t>一是拓展铁路货运网络。</w:t>
      </w:r>
      <w:r>
        <w:rPr>
          <w:rFonts w:hint="eastAsia"/>
          <w:kern w:val="0"/>
          <w:szCs w:val="32"/>
        </w:rPr>
        <w:t>以兰渝铁路、广巴铁路为依托，加强与成都、重庆、西安、兰州对接联系，借力</w:t>
      </w:r>
      <w:r>
        <w:rPr>
          <w:kern w:val="0"/>
          <w:szCs w:val="32"/>
        </w:rPr>
        <w:t>“</w:t>
      </w:r>
      <w:r>
        <w:rPr>
          <w:rFonts w:hint="eastAsia"/>
          <w:kern w:val="0"/>
          <w:szCs w:val="32"/>
        </w:rPr>
        <w:t>蓉欧</w:t>
      </w:r>
      <w:r>
        <w:rPr>
          <w:kern w:val="0"/>
          <w:szCs w:val="32"/>
        </w:rPr>
        <w:t>”“</w:t>
      </w:r>
      <w:r>
        <w:rPr>
          <w:rFonts w:hint="eastAsia"/>
          <w:kern w:val="0"/>
          <w:szCs w:val="32"/>
        </w:rPr>
        <w:t>渝新欧</w:t>
      </w:r>
      <w:r>
        <w:rPr>
          <w:kern w:val="0"/>
          <w:szCs w:val="32"/>
        </w:rPr>
        <w:t>”</w:t>
      </w:r>
      <w:r>
        <w:rPr>
          <w:rFonts w:hint="eastAsia"/>
          <w:kern w:val="0"/>
          <w:szCs w:val="32"/>
        </w:rPr>
        <w:t>等中欧国际班列、西部陆海新通道、达州经万州至长江通江达海新通道，全面融入长江经济带、丝绸之路经济带，拓展国际国内两个市场</w:t>
      </w:r>
      <w:r>
        <w:rPr>
          <w:rFonts w:hint="eastAsia" w:eastAsia="黑体"/>
        </w:rPr>
        <w:t>。二是提升内河航运能力。</w:t>
      </w:r>
      <w:r>
        <w:rPr>
          <w:rFonts w:hint="eastAsia"/>
          <w:kern w:val="0"/>
          <w:szCs w:val="32"/>
        </w:rPr>
        <w:t>加快嘉陵江虎跳锚地、红岩水上服务区、嘉陵江水</w:t>
      </w:r>
      <w:r>
        <w:rPr>
          <w:rFonts w:hint="eastAsia"/>
          <w:kern w:val="0"/>
          <w:szCs w:val="32"/>
          <w:lang w:eastAsia="zh-CN"/>
        </w:rPr>
        <w:t>东坝</w:t>
      </w:r>
      <w:r>
        <w:rPr>
          <w:rFonts w:hint="eastAsia"/>
          <w:kern w:val="0"/>
          <w:szCs w:val="32"/>
        </w:rPr>
        <w:t>航电枢纽等建设，加快推进嘉陵江航道整治工程，配套建设支撑保障系统，进一步提升嘉陵江航运能力，形成技术先进、管理科学、功能完善的现代化水运体系</w:t>
      </w:r>
      <w:r>
        <w:rPr>
          <w:rFonts w:hint="eastAsia"/>
        </w:rPr>
        <w:t>。</w:t>
      </w:r>
    </w:p>
    <w:p>
      <w:pPr>
        <w:ind w:firstLine="643"/>
        <w:rPr>
          <w:rFonts w:eastAsia="楷体_GB2312"/>
          <w:b/>
        </w:rPr>
      </w:pPr>
      <w:r>
        <w:rPr>
          <w:rFonts w:eastAsia="楷体_GB2312"/>
          <w:b/>
        </w:rPr>
        <w:t>2.</w:t>
      </w:r>
      <w:r>
        <w:rPr>
          <w:rFonts w:hint="eastAsia" w:eastAsia="楷体_GB2312"/>
          <w:b/>
        </w:rPr>
        <w:t>大力发展现代多式联运</w:t>
      </w:r>
    </w:p>
    <w:p>
      <w:pPr>
        <w:ind w:firstLine="640"/>
      </w:pPr>
      <w:r>
        <w:rPr>
          <w:rFonts w:hint="eastAsia" w:eastAsia="黑体"/>
        </w:rPr>
        <w:t>一是加强市场培育</w:t>
      </w:r>
      <w:r>
        <w:rPr>
          <w:rFonts w:hint="eastAsia"/>
        </w:rPr>
        <w:t>。鼓励物流运输企业向多式联运经营人转变，支持红岩作业区、红卫货运站、元坝站与第三方物流企业联合组建多式联运专业化经营主体，建设多式联运综合货运站场，打通多式联运</w:t>
      </w:r>
      <w:r>
        <w:t>“</w:t>
      </w:r>
      <w:r>
        <w:rPr>
          <w:rFonts w:hint="eastAsia"/>
        </w:rPr>
        <w:t>中间一公里</w:t>
      </w:r>
      <w:r>
        <w:t>”</w:t>
      </w:r>
      <w:r>
        <w:rPr>
          <w:rFonts w:hint="eastAsia"/>
        </w:rPr>
        <w:t>，开展跨区域联运合作，发展枢纽经济。完善多式联运标准，推广</w:t>
      </w:r>
      <w:r>
        <w:t>“</w:t>
      </w:r>
      <w:r>
        <w:rPr>
          <w:rFonts w:hint="eastAsia"/>
        </w:rPr>
        <w:t>一单制</w:t>
      </w:r>
      <w:r>
        <w:t>”</w:t>
      </w:r>
      <w:r>
        <w:rPr>
          <w:rFonts w:hint="eastAsia"/>
        </w:rPr>
        <w:t>联运服务模式，加快运输、仓储、装卸等标准化作业，推行条码识别、射频识别、电子赋码等技术，提高物流装卸和通行效率。</w:t>
      </w:r>
      <w:r>
        <w:rPr>
          <w:rFonts w:hint="eastAsia" w:eastAsia="黑体"/>
        </w:rPr>
        <w:t>二是强化转运协作。</w:t>
      </w:r>
      <w:r>
        <w:rPr>
          <w:rFonts w:hint="eastAsia"/>
        </w:rPr>
        <w:t>推进运载单元、快速转运设备、专用载运机具等实施标准化、专业化改造，优化铁路、水路运输两端短驳环节，规范转运流程，引导关联企业加强信息系统互联互通和协同建设，促进运力调配、班线计划等数据资源互联共享。大力发展铁水联运、江海直达、滚装运输、卡车航班，探索试点铁路驮背运输。</w:t>
      </w:r>
    </w:p>
    <w:p>
      <w:pPr>
        <w:ind w:firstLine="643"/>
        <w:rPr>
          <w:rFonts w:eastAsia="楷体_GB2312"/>
          <w:b/>
        </w:rPr>
      </w:pPr>
      <w:r>
        <w:rPr>
          <w:rFonts w:eastAsia="楷体_GB2312"/>
          <w:b/>
        </w:rPr>
        <w:t>3.</w:t>
      </w:r>
      <w:r>
        <w:rPr>
          <w:rFonts w:hint="eastAsia" w:eastAsia="楷体_GB2312"/>
          <w:b/>
        </w:rPr>
        <w:t>推动道路货运转型升级</w:t>
      </w:r>
    </w:p>
    <w:p>
      <w:pPr>
        <w:ind w:firstLine="640"/>
        <w:rPr>
          <w:rFonts w:eastAsia="楷体_GB2312"/>
          <w:b/>
        </w:rPr>
      </w:pPr>
      <w:r>
        <w:rPr>
          <w:rFonts w:hint="eastAsia" w:eastAsia="黑体"/>
        </w:rPr>
        <w:t>一是强化货运服务创新。</w:t>
      </w:r>
      <w:r>
        <w:rPr>
          <w:rFonts w:hint="eastAsia"/>
          <w:kern w:val="0"/>
        </w:rPr>
        <w:t>发展货运大车队、集装箱与挂车共享租赁、长途接驳甩挂、货车租赁、智慧高速公路货车编组等集约化组织模式。大力发展</w:t>
      </w:r>
      <w:r>
        <w:rPr>
          <w:kern w:val="0"/>
        </w:rPr>
        <w:t>“</w:t>
      </w:r>
      <w:r>
        <w:rPr>
          <w:rFonts w:hint="eastAsia"/>
          <w:kern w:val="0"/>
        </w:rPr>
        <w:t>互联网</w:t>
      </w:r>
      <w:r>
        <w:rPr>
          <w:kern w:val="0"/>
        </w:rPr>
        <w:t>+”</w:t>
      </w:r>
      <w:r>
        <w:rPr>
          <w:rFonts w:hint="eastAsia"/>
          <w:kern w:val="0"/>
        </w:rPr>
        <w:t>高效物流，创新智慧物流营运模式，鼓励提供定制化物流服务，推广网络货运、冷链快递、即时直递、无接触寄递等新业态。</w:t>
      </w:r>
      <w:r>
        <w:rPr>
          <w:rFonts w:hint="eastAsia" w:eastAsia="黑体"/>
        </w:rPr>
        <w:t>二是加快车辆装备升级。</w:t>
      </w:r>
      <w:r>
        <w:rPr>
          <w:rFonts w:hint="eastAsia"/>
          <w:kern w:val="0"/>
        </w:rPr>
        <w:t>严格实施营运车辆达标车型准入管理，加快淘汰中重型柴油货车、高耗低效非标准汽车列车及罐车等老旧柴油货车。</w:t>
      </w:r>
      <w:r>
        <w:rPr>
          <w:rFonts w:hint="eastAsia"/>
        </w:rPr>
        <w:t>积极货运车型标准化，推广符合国家标准的中置轴汽车列车、厢式半挂车，推动运载单元改造升级</w:t>
      </w:r>
      <w:r>
        <w:rPr>
          <w:rFonts w:hint="eastAsia"/>
          <w:kern w:val="0"/>
        </w:rPr>
        <w:t>。</w:t>
      </w:r>
      <w:r>
        <w:rPr>
          <w:rFonts w:hint="eastAsia" w:eastAsia="黑体"/>
        </w:rPr>
        <w:t>三是改善货运从业环境。</w:t>
      </w:r>
      <w:r>
        <w:rPr>
          <w:rFonts w:hint="eastAsia"/>
        </w:rPr>
        <w:t>推动全区货运车辆电子道路运输证和</w:t>
      </w:r>
      <w:r>
        <w:t>ETC</w:t>
      </w:r>
      <w:r>
        <w:rPr>
          <w:rFonts w:hint="eastAsia"/>
        </w:rPr>
        <w:t>卡</w:t>
      </w:r>
      <w:r>
        <w:t>“</w:t>
      </w:r>
      <w:r>
        <w:rPr>
          <w:rFonts w:hint="eastAsia"/>
        </w:rPr>
        <w:t>两卡合一</w:t>
      </w:r>
      <w:r>
        <w:t>”</w:t>
      </w:r>
      <w:r>
        <w:rPr>
          <w:rFonts w:hint="eastAsia"/>
        </w:rPr>
        <w:t>，协作推进辖区营运货车不停车收费全覆盖。</w:t>
      </w:r>
    </w:p>
    <w:p>
      <w:pPr>
        <w:ind w:firstLine="643"/>
        <w:rPr>
          <w:rFonts w:eastAsia="楷体_GB2312"/>
          <w:b/>
        </w:rPr>
      </w:pPr>
      <w:r>
        <w:rPr>
          <w:rFonts w:eastAsia="楷体_GB2312"/>
          <w:b/>
        </w:rPr>
        <w:t>4.</w:t>
      </w:r>
      <w:r>
        <w:rPr>
          <w:rFonts w:hint="eastAsia" w:eastAsia="楷体_GB2312"/>
          <w:b/>
        </w:rPr>
        <w:t>统筹城乡物流协调发展</w:t>
      </w:r>
    </w:p>
    <w:p>
      <w:pPr>
        <w:ind w:firstLine="640"/>
      </w:pPr>
      <w:r>
        <w:rPr>
          <w:rFonts w:hint="eastAsia" w:eastAsia="黑体"/>
        </w:rPr>
        <w:t>一是实施农村物流金</w:t>
      </w:r>
      <w:r>
        <w:rPr>
          <w:rFonts w:hint="eastAsia" w:eastAsia="黑体"/>
          <w:lang w:eastAsia="zh-CN"/>
        </w:rPr>
        <w:t>通</w:t>
      </w:r>
      <w:r>
        <w:rPr>
          <w:rFonts w:hint="eastAsia" w:eastAsia="黑体"/>
        </w:rPr>
        <w:t>工程。</w:t>
      </w:r>
      <w:r>
        <w:rPr>
          <w:rFonts w:hint="eastAsia"/>
        </w:rPr>
        <w:t>积极参与四川省农村智慧物流提质增效项目建设，加强宣传推广力度，引导电商企业、货运经营者和广大货主入驻服务平台，促进供需双方信息共享。支持农资商贸供销、农产品经销企业以线上平台为手段，以线下运输线网为载体，</w:t>
      </w:r>
      <w:r>
        <w:rPr>
          <w:rFonts w:hint="eastAsia"/>
          <w:szCs w:val="32"/>
        </w:rPr>
        <w:t>发挥</w:t>
      </w:r>
      <w:r>
        <w:rPr>
          <w:szCs w:val="32"/>
        </w:rPr>
        <w:t>“</w:t>
      </w:r>
      <w:r>
        <w:rPr>
          <w:rFonts w:hint="eastAsia"/>
          <w:szCs w:val="32"/>
        </w:rPr>
        <w:t>村村通客车</w:t>
      </w:r>
      <w:r>
        <w:rPr>
          <w:szCs w:val="32"/>
        </w:rPr>
        <w:t>”</w:t>
      </w:r>
      <w:r>
        <w:rPr>
          <w:rFonts w:hint="eastAsia"/>
          <w:szCs w:val="32"/>
        </w:rPr>
        <w:t>的网络优势，开通</w:t>
      </w:r>
      <w:r>
        <w:rPr>
          <w:szCs w:val="32"/>
        </w:rPr>
        <w:t>“</w:t>
      </w:r>
      <w:r>
        <w:rPr>
          <w:rFonts w:hint="eastAsia"/>
          <w:szCs w:val="32"/>
        </w:rPr>
        <w:t>交邮、交快</w:t>
      </w:r>
      <w:r>
        <w:rPr>
          <w:szCs w:val="32"/>
        </w:rPr>
        <w:t>”</w:t>
      </w:r>
      <w:r>
        <w:rPr>
          <w:rFonts w:hint="eastAsia"/>
          <w:szCs w:val="32"/>
        </w:rPr>
        <w:t>合作精品线路，</w:t>
      </w:r>
      <w:r>
        <w:rPr>
          <w:rFonts w:hint="eastAsia"/>
        </w:rPr>
        <w:t>协同开展</w:t>
      </w:r>
      <w:r>
        <w:rPr>
          <w:rFonts w:hint="eastAsia"/>
          <w:szCs w:val="32"/>
        </w:rPr>
        <w:t>集中共配、共享物流</w:t>
      </w:r>
      <w:r>
        <w:rPr>
          <w:rFonts w:hint="eastAsia"/>
        </w:rPr>
        <w:t>，</w:t>
      </w:r>
      <w:r>
        <w:rPr>
          <w:rFonts w:hint="eastAsia"/>
          <w:szCs w:val="32"/>
        </w:rPr>
        <w:t>不断拓展农村物流的服务范围、服务领域，畅通城乡物流双向流通渠道。</w:t>
      </w:r>
      <w:r>
        <w:rPr>
          <w:rFonts w:hint="eastAsia" w:eastAsia="黑体"/>
        </w:rPr>
        <w:t>二是优化城市配送组织管理。</w:t>
      </w:r>
      <w:r>
        <w:rPr>
          <w:rFonts w:hint="eastAsia"/>
        </w:rPr>
        <w:t>完善城市配送跨部门协同工作机制，创新车辆便利化通行管控政策，简化通行证办理流程，推广网上申请办理。引导物流快递与电商、实体商业企业协同建立联盟，推广统一配送、共同配送、</w:t>
      </w:r>
      <w:r>
        <w:t>“</w:t>
      </w:r>
      <w:r>
        <w:rPr>
          <w:rFonts w:hint="eastAsia"/>
        </w:rPr>
        <w:t>仓配</w:t>
      </w:r>
      <w:r>
        <w:t>”</w:t>
      </w:r>
      <w:r>
        <w:rPr>
          <w:rFonts w:hint="eastAsia"/>
        </w:rPr>
        <w:t>一体、干线甩挂运输与城市共同配送一体化、无人机（车）配送等模式，实现资源共享。</w:t>
      </w:r>
      <w:bookmarkEnd w:id="111"/>
    </w:p>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4"/>
              </w:rPr>
            </w:pPr>
            <w:r>
              <w:rPr>
                <w:rFonts w:hint="eastAsia" w:eastAsia="黑体"/>
                <w:sz w:val="28"/>
                <w:szCs w:val="28"/>
              </w:rPr>
              <w:t>专栏</w:t>
            </w:r>
            <w:r>
              <w:rPr>
                <w:rFonts w:eastAsia="黑体"/>
                <w:sz w:val="28"/>
                <w:szCs w:val="28"/>
              </w:rPr>
              <w:t xml:space="preserve">5  </w:t>
            </w:r>
            <w:r>
              <w:rPr>
                <w:rFonts w:hint="eastAsia" w:eastAsia="黑体"/>
                <w:sz w:val="28"/>
                <w:szCs w:val="28"/>
              </w:rPr>
              <w:t>内河水运重点建设项目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snapToGrid w:val="0"/>
              <w:spacing w:line="600" w:lineRule="exact"/>
              <w:ind w:firstLine="560"/>
              <w:rPr>
                <w:rFonts w:eastAsia="黑体"/>
                <w:bCs/>
                <w:snapToGrid w:val="0"/>
                <w:kern w:val="0"/>
                <w:sz w:val="28"/>
                <w:szCs w:val="28"/>
              </w:rPr>
            </w:pPr>
            <w:r>
              <w:rPr>
                <w:rFonts w:eastAsia="黑体"/>
                <w:bCs/>
                <w:snapToGrid w:val="0"/>
                <w:kern w:val="0"/>
                <w:sz w:val="28"/>
                <w:szCs w:val="28"/>
              </w:rPr>
              <w:t>1.</w:t>
            </w:r>
            <w:r>
              <w:rPr>
                <w:rFonts w:hint="eastAsia" w:eastAsia="黑体"/>
                <w:bCs/>
                <w:snapToGrid w:val="0"/>
                <w:kern w:val="0"/>
                <w:sz w:val="28"/>
                <w:szCs w:val="28"/>
              </w:rPr>
              <w:t>航道建设</w:t>
            </w:r>
          </w:p>
          <w:p>
            <w:pPr>
              <w:snapToGrid w:val="0"/>
              <w:spacing w:line="600" w:lineRule="exact"/>
              <w:ind w:firstLine="560"/>
              <w:rPr>
                <w:bCs/>
                <w:snapToGrid w:val="0"/>
                <w:kern w:val="0"/>
                <w:sz w:val="28"/>
                <w:szCs w:val="28"/>
              </w:rPr>
            </w:pPr>
            <w:r>
              <w:rPr>
                <w:rFonts w:hint="eastAsia"/>
                <w:bCs/>
                <w:snapToGrid w:val="0"/>
                <w:kern w:val="0"/>
                <w:sz w:val="28"/>
                <w:szCs w:val="28"/>
              </w:rPr>
              <w:t>加快嘉陵江水</w:t>
            </w:r>
            <w:r>
              <w:rPr>
                <w:rFonts w:hint="eastAsia"/>
                <w:bCs/>
                <w:snapToGrid w:val="0"/>
                <w:kern w:val="0"/>
                <w:sz w:val="28"/>
                <w:szCs w:val="28"/>
                <w:lang w:eastAsia="zh-CN"/>
              </w:rPr>
              <w:t>东</w:t>
            </w:r>
            <w:r>
              <w:rPr>
                <w:rFonts w:hint="eastAsia"/>
                <w:bCs/>
                <w:snapToGrid w:val="0"/>
                <w:kern w:val="0"/>
                <w:sz w:val="28"/>
                <w:szCs w:val="28"/>
              </w:rPr>
              <w:t>坝航电枢纽建设，实施嘉陵江航道整治工程。</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2.</w:t>
            </w:r>
            <w:r>
              <w:rPr>
                <w:rFonts w:hint="eastAsia" w:eastAsia="黑体"/>
                <w:bCs/>
                <w:snapToGrid w:val="0"/>
                <w:kern w:val="0"/>
                <w:sz w:val="28"/>
                <w:szCs w:val="28"/>
              </w:rPr>
              <w:t>港口建设</w:t>
            </w:r>
          </w:p>
          <w:p>
            <w:pPr>
              <w:snapToGrid w:val="0"/>
              <w:spacing w:line="600" w:lineRule="exact"/>
              <w:ind w:firstLine="560"/>
              <w:rPr>
                <w:bCs/>
                <w:snapToGrid w:val="0"/>
                <w:kern w:val="0"/>
                <w:sz w:val="28"/>
                <w:szCs w:val="28"/>
              </w:rPr>
            </w:pPr>
            <w:r>
              <w:rPr>
                <w:rFonts w:hint="eastAsia"/>
                <w:bCs/>
                <w:snapToGrid w:val="0"/>
                <w:kern w:val="0"/>
                <w:sz w:val="28"/>
                <w:szCs w:val="28"/>
              </w:rPr>
              <w:t>加快建设嘉陵江虎跳锚地、红岩水上服务区、虎跳水上服务区。</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3.</w:t>
            </w:r>
            <w:r>
              <w:rPr>
                <w:rFonts w:hint="eastAsia" w:eastAsia="黑体"/>
                <w:bCs/>
                <w:snapToGrid w:val="0"/>
                <w:kern w:val="0"/>
                <w:sz w:val="28"/>
                <w:szCs w:val="28"/>
              </w:rPr>
              <w:t>渡口码头提档升级</w:t>
            </w:r>
          </w:p>
          <w:p>
            <w:pPr>
              <w:snapToGrid w:val="0"/>
              <w:spacing w:line="600" w:lineRule="exact"/>
              <w:ind w:firstLine="560"/>
              <w:rPr>
                <w:bCs/>
                <w:snapToGrid w:val="0"/>
                <w:kern w:val="0"/>
                <w:sz w:val="28"/>
                <w:szCs w:val="28"/>
              </w:rPr>
            </w:pPr>
            <w:r>
              <w:rPr>
                <w:rFonts w:hint="eastAsia"/>
                <w:bCs/>
                <w:snapToGrid w:val="0"/>
                <w:kern w:val="0"/>
                <w:sz w:val="28"/>
                <w:szCs w:val="28"/>
              </w:rPr>
              <w:t>加快推进桔柏渡、张王渡、罗家渡等</w:t>
            </w:r>
            <w:r>
              <w:rPr>
                <w:bCs/>
                <w:snapToGrid w:val="0"/>
                <w:kern w:val="0"/>
                <w:sz w:val="28"/>
                <w:szCs w:val="28"/>
              </w:rPr>
              <w:t>8</w:t>
            </w:r>
            <w:r>
              <w:rPr>
                <w:rFonts w:hint="eastAsia"/>
                <w:bCs/>
                <w:snapToGrid w:val="0"/>
                <w:kern w:val="0"/>
                <w:sz w:val="28"/>
                <w:szCs w:val="28"/>
              </w:rPr>
              <w:t>个客渡改造和朝阳扎挡河、丁家胡溪等</w:t>
            </w:r>
            <w:r>
              <w:rPr>
                <w:bCs/>
                <w:snapToGrid w:val="0"/>
                <w:kern w:val="0"/>
                <w:sz w:val="28"/>
                <w:szCs w:val="28"/>
              </w:rPr>
              <w:t>8</w:t>
            </w:r>
            <w:r>
              <w:rPr>
                <w:rFonts w:hint="eastAsia"/>
                <w:bCs/>
                <w:snapToGrid w:val="0"/>
                <w:kern w:val="0"/>
                <w:sz w:val="28"/>
                <w:szCs w:val="28"/>
              </w:rPr>
              <w:t>个便民客货码头提档升级。</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4.</w:t>
            </w:r>
            <w:r>
              <w:rPr>
                <w:rFonts w:hint="eastAsia" w:eastAsia="黑体"/>
                <w:bCs/>
                <w:snapToGrid w:val="0"/>
                <w:kern w:val="0"/>
                <w:sz w:val="28"/>
                <w:szCs w:val="28"/>
              </w:rPr>
              <w:t>客船提档升级</w:t>
            </w:r>
          </w:p>
          <w:p>
            <w:pPr>
              <w:snapToGrid w:val="0"/>
              <w:spacing w:line="600" w:lineRule="exact"/>
              <w:ind w:firstLine="560"/>
              <w:rPr>
                <w:bCs/>
                <w:snapToGrid w:val="0"/>
                <w:kern w:val="0"/>
                <w:sz w:val="28"/>
                <w:szCs w:val="28"/>
              </w:rPr>
            </w:pPr>
            <w:r>
              <w:rPr>
                <w:rFonts w:hint="eastAsia"/>
                <w:bCs/>
                <w:snapToGrid w:val="0"/>
                <w:kern w:val="0"/>
                <w:sz w:val="28"/>
                <w:szCs w:val="28"/>
              </w:rPr>
              <w:t>更新</w:t>
            </w:r>
            <w:r>
              <w:rPr>
                <w:bCs/>
                <w:snapToGrid w:val="0"/>
                <w:kern w:val="0"/>
                <w:sz w:val="28"/>
                <w:szCs w:val="28"/>
              </w:rPr>
              <w:t>10</w:t>
            </w:r>
            <w:r>
              <w:rPr>
                <w:rFonts w:hint="eastAsia"/>
                <w:bCs/>
                <w:snapToGrid w:val="0"/>
                <w:kern w:val="0"/>
                <w:sz w:val="28"/>
                <w:szCs w:val="28"/>
              </w:rPr>
              <w:t>艘</w:t>
            </w:r>
            <w:r>
              <w:rPr>
                <w:bCs/>
                <w:snapToGrid w:val="0"/>
                <w:kern w:val="0"/>
                <w:sz w:val="28"/>
                <w:szCs w:val="28"/>
              </w:rPr>
              <w:t>20</w:t>
            </w:r>
            <w:r>
              <w:rPr>
                <w:rFonts w:hint="eastAsia"/>
                <w:bCs/>
                <w:snapToGrid w:val="0"/>
                <w:kern w:val="0"/>
                <w:sz w:val="28"/>
                <w:szCs w:val="28"/>
              </w:rPr>
              <w:t>客位清洁能源标准船型。</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5.</w:t>
            </w:r>
            <w:r>
              <w:rPr>
                <w:rFonts w:hint="eastAsia" w:eastAsia="黑体"/>
                <w:bCs/>
                <w:snapToGrid w:val="0"/>
                <w:kern w:val="0"/>
                <w:sz w:val="28"/>
                <w:szCs w:val="28"/>
              </w:rPr>
              <w:t>旅游码头</w:t>
            </w:r>
          </w:p>
          <w:p>
            <w:pPr>
              <w:snapToGrid w:val="0"/>
              <w:spacing w:line="600" w:lineRule="exact"/>
              <w:ind w:firstLine="560"/>
              <w:rPr>
                <w:bCs/>
                <w:snapToGrid w:val="0"/>
                <w:kern w:val="0"/>
                <w:sz w:val="28"/>
                <w:szCs w:val="28"/>
              </w:rPr>
            </w:pPr>
            <w:r>
              <w:rPr>
                <w:rFonts w:hint="eastAsia"/>
                <w:bCs/>
                <w:snapToGrid w:val="0"/>
                <w:kern w:val="0"/>
                <w:sz w:val="28"/>
                <w:szCs w:val="28"/>
              </w:rPr>
              <w:t>新改建青牛、昭化等</w:t>
            </w:r>
            <w:r>
              <w:rPr>
                <w:bCs/>
                <w:snapToGrid w:val="0"/>
                <w:kern w:val="0"/>
                <w:sz w:val="28"/>
                <w:szCs w:val="28"/>
              </w:rPr>
              <w:t>6</w:t>
            </w:r>
            <w:r>
              <w:rPr>
                <w:rFonts w:hint="eastAsia"/>
                <w:bCs/>
                <w:snapToGrid w:val="0"/>
                <w:kern w:val="0"/>
                <w:sz w:val="28"/>
                <w:szCs w:val="28"/>
              </w:rPr>
              <w:t>座水上旅游综合码头。</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6.</w:t>
            </w:r>
            <w:r>
              <w:rPr>
                <w:rFonts w:hint="eastAsia" w:eastAsia="黑体"/>
                <w:bCs/>
                <w:snapToGrid w:val="0"/>
                <w:kern w:val="0"/>
                <w:sz w:val="28"/>
                <w:szCs w:val="28"/>
              </w:rPr>
              <w:t>水上安全设施</w:t>
            </w:r>
          </w:p>
          <w:p>
            <w:pPr>
              <w:snapToGrid w:val="0"/>
              <w:spacing w:line="600" w:lineRule="exact"/>
              <w:ind w:firstLine="560"/>
              <w:rPr>
                <w:bCs/>
                <w:snapToGrid w:val="0"/>
                <w:kern w:val="0"/>
                <w:sz w:val="28"/>
                <w:szCs w:val="28"/>
              </w:rPr>
            </w:pPr>
            <w:r>
              <w:rPr>
                <w:rFonts w:hint="eastAsia"/>
                <w:bCs/>
                <w:snapToGrid w:val="0"/>
                <w:kern w:val="0"/>
                <w:sz w:val="28"/>
                <w:szCs w:val="28"/>
              </w:rPr>
              <w:t>实施海事服务中心交通安全监控系统改造，新建龙爪湾、柏林沟、红岩水上应急救助基地泊位</w:t>
            </w:r>
            <w:r>
              <w:rPr>
                <w:bCs/>
                <w:snapToGrid w:val="0"/>
                <w:kern w:val="0"/>
                <w:sz w:val="28"/>
                <w:szCs w:val="28"/>
              </w:rPr>
              <w:t>4</w:t>
            </w:r>
            <w:r>
              <w:rPr>
                <w:rFonts w:hint="eastAsia"/>
                <w:bCs/>
                <w:snapToGrid w:val="0"/>
                <w:kern w:val="0"/>
                <w:sz w:val="28"/>
                <w:szCs w:val="28"/>
              </w:rPr>
              <w:t>个，采购监管无人机</w:t>
            </w:r>
            <w:r>
              <w:rPr>
                <w:bCs/>
                <w:snapToGrid w:val="0"/>
                <w:kern w:val="0"/>
                <w:sz w:val="28"/>
                <w:szCs w:val="28"/>
              </w:rPr>
              <w:t>1</w:t>
            </w:r>
            <w:r>
              <w:rPr>
                <w:rFonts w:hint="eastAsia"/>
                <w:bCs/>
                <w:snapToGrid w:val="0"/>
                <w:kern w:val="0"/>
                <w:sz w:val="28"/>
                <w:szCs w:val="28"/>
              </w:rPr>
              <w:t>架、应急抢险救助艇</w:t>
            </w:r>
            <w:r>
              <w:rPr>
                <w:bCs/>
                <w:snapToGrid w:val="0"/>
                <w:kern w:val="0"/>
                <w:sz w:val="28"/>
                <w:szCs w:val="28"/>
              </w:rPr>
              <w:t>1</w:t>
            </w:r>
            <w:r>
              <w:rPr>
                <w:rFonts w:hint="eastAsia"/>
                <w:bCs/>
                <w:snapToGrid w:val="0"/>
                <w:kern w:val="0"/>
                <w:sz w:val="28"/>
                <w:szCs w:val="28"/>
              </w:rPr>
              <w:t>艘。</w:t>
            </w:r>
          </w:p>
        </w:tc>
      </w:tr>
    </w:tbl>
    <w:p>
      <w:pPr>
        <w:pStyle w:val="4"/>
        <w:adjustRightInd w:val="0"/>
        <w:snapToGrid w:val="0"/>
        <w:spacing w:before="78" w:beforeLines="25" w:after="78" w:afterLines="25"/>
        <w:ind w:left="6238" w:hanging="6238"/>
        <w:rPr>
          <w:bCs w:val="0"/>
        </w:rPr>
      </w:pPr>
      <w:bookmarkStart w:id="112" w:name="_Toc32092"/>
      <w:r>
        <w:rPr>
          <w:bCs w:val="0"/>
        </w:rPr>
        <w:t>6.1.5</w:t>
      </w:r>
      <w:bookmarkStart w:id="113" w:name="_Hlk60165257"/>
      <w:r>
        <w:rPr>
          <w:bCs w:val="0"/>
        </w:rPr>
        <w:t xml:space="preserve"> </w:t>
      </w:r>
      <w:r>
        <w:rPr>
          <w:rFonts w:hint="eastAsia"/>
          <w:bCs w:val="0"/>
        </w:rPr>
        <w:t>加快治理提效工程，着力提升行业</w:t>
      </w:r>
      <w:bookmarkEnd w:id="112"/>
      <w:r>
        <w:rPr>
          <w:rFonts w:hint="eastAsia"/>
          <w:bCs w:val="0"/>
        </w:rPr>
        <w:t>发展综合效能</w:t>
      </w:r>
    </w:p>
    <w:p>
      <w:pPr>
        <w:ind w:firstLine="643"/>
        <w:rPr>
          <w:rFonts w:eastAsia="楷体_GB2312"/>
          <w:b/>
        </w:rPr>
      </w:pPr>
      <w:r>
        <w:rPr>
          <w:rFonts w:eastAsia="楷体_GB2312"/>
          <w:b/>
        </w:rPr>
        <w:t>1.</w:t>
      </w:r>
      <w:r>
        <w:rPr>
          <w:rFonts w:hint="eastAsia" w:eastAsia="楷体_GB2312"/>
          <w:b/>
        </w:rPr>
        <w:t>加快养护体制改革</w:t>
      </w:r>
    </w:p>
    <w:p>
      <w:pPr>
        <w:ind w:firstLine="640"/>
      </w:pPr>
      <w:r>
        <w:rPr>
          <w:rFonts w:hint="eastAsia"/>
        </w:rPr>
        <w:t>严格落实国务院办公厅《关于深化农村公路管理养护体制改革的意见》，科学划分高速公路、国道、省道和农村公路的养护管理职责，基本建立以市、区财政投入为主、多渠道筹措为辅的资金保障机制，建立健全农村公路建设养护管理责任制，形成权责清晰、建养并重、齐抓共管的管理养护体制机制。探索创新公路养护模式，研究推进区域公路一体化、政府购买服务、养护工程打包、购买灾毁保险等方式，推动公路养护管理向规范化、专业化、市场化方向发展。推动昭化区机械化养护和应急保通中心逐步配置较为完善的现代化养护装备和应急装备物资，兼具公路水路养护和应急职能。</w:t>
      </w:r>
    </w:p>
    <w:p>
      <w:pPr>
        <w:ind w:firstLine="643"/>
        <w:rPr>
          <w:rFonts w:eastAsia="楷体_GB2312"/>
          <w:b/>
        </w:rPr>
      </w:pPr>
      <w:r>
        <w:rPr>
          <w:rFonts w:eastAsia="楷体_GB2312"/>
          <w:b/>
        </w:rPr>
        <w:t>2.</w:t>
      </w:r>
      <w:r>
        <w:rPr>
          <w:rFonts w:hint="eastAsia" w:eastAsia="楷体_GB2312"/>
          <w:b/>
        </w:rPr>
        <w:t>加快智慧交通建设</w:t>
      </w:r>
    </w:p>
    <w:p>
      <w:pPr>
        <w:ind w:firstLine="640"/>
        <w:rPr>
          <w:szCs w:val="32"/>
        </w:rPr>
      </w:pPr>
      <w:r>
        <w:rPr>
          <w:rFonts w:hint="eastAsia"/>
          <w:szCs w:val="32"/>
        </w:rPr>
        <w:t>加快推进公铁联运信息服务平台建设，加强货运信息统一对接，实现多方资源共享和高效运作。加强重要普通国省道路段、重点客货运输站场等基础设施的监测网络建设。推动养护管理信息化系统建设，落实数据收集和更新，为公路、桥梁的日常养护和计划制订提供即时数据支持。推广电子客票，推动交通旅游服务大数据收集和分析应用，构建面向乘客的智能公交服务系统，推广无接触的信息化支付手段，站台、手机</w:t>
      </w:r>
      <w:r>
        <w:rPr>
          <w:szCs w:val="32"/>
        </w:rPr>
        <w:t>APP</w:t>
      </w:r>
      <w:r>
        <w:rPr>
          <w:rFonts w:hint="eastAsia"/>
          <w:szCs w:val="32"/>
        </w:rPr>
        <w:t>等多途径查询公交车实时位置、预计出行时间等信息，打造智慧运输服务体系。</w:t>
      </w:r>
    </w:p>
    <w:p>
      <w:pPr>
        <w:ind w:firstLine="643"/>
        <w:rPr>
          <w:rFonts w:eastAsia="楷体_GB2312"/>
          <w:b/>
        </w:rPr>
      </w:pPr>
      <w:r>
        <w:rPr>
          <w:rFonts w:eastAsia="楷体_GB2312"/>
          <w:b/>
        </w:rPr>
        <w:t>3.</w:t>
      </w:r>
      <w:r>
        <w:rPr>
          <w:rFonts w:hint="eastAsia" w:eastAsia="楷体_GB2312"/>
          <w:b/>
        </w:rPr>
        <w:t>加强安全稳定保障</w:t>
      </w:r>
    </w:p>
    <w:p>
      <w:pPr>
        <w:ind w:firstLine="640"/>
      </w:pPr>
      <w:r>
        <w:rPr>
          <w:rFonts w:hint="eastAsia"/>
        </w:rPr>
        <w:t>规范落实公路水路运输、基础设施建设等重点领域企业安全生产责任，督促企业加快建设安全风险管控、隐患排查治理和安全生产标准化</w:t>
      </w:r>
      <w:r>
        <w:t>“</w:t>
      </w:r>
      <w:r>
        <w:rPr>
          <w:rFonts w:hint="eastAsia"/>
        </w:rPr>
        <w:t>三位一体</w:t>
      </w:r>
      <w:r>
        <w:t>”</w:t>
      </w:r>
      <w:r>
        <w:rPr>
          <w:rFonts w:hint="eastAsia"/>
        </w:rPr>
        <w:t>的安全生产预防控制体系。全面排查公路水路安全隐患路段、航段，分级分类辨析风险隐患，因地制宜安设生命安全护栏、交通标志标线或开展边坡整治，及时改造四、五类危桥；完善水上安全监管及应急救援体系，加强智慧交通技术应用，建设广元市昭化区交通运输应急指挥中心；推广应用客运班线和接送学生等营运车辆主动安全智能防控技术，坚持</w:t>
      </w:r>
      <w:r>
        <w:t>“</w:t>
      </w:r>
      <w:r>
        <w:rPr>
          <w:rFonts w:hint="eastAsia"/>
        </w:rPr>
        <w:t>双超</w:t>
      </w:r>
      <w:r>
        <w:t>”</w:t>
      </w:r>
      <w:r>
        <w:rPr>
          <w:rFonts w:hint="eastAsia"/>
        </w:rPr>
        <w:t>治理常态化。全面总结在防控新型冠状病毒疫情等方面取得经验和不足，进一步完善交通运输应急预案，强化应急运力储备和演练</w:t>
      </w:r>
      <w:r>
        <w:rPr>
          <w:rFonts w:hint="eastAsia"/>
          <w:kern w:val="0"/>
          <w:szCs w:val="32"/>
        </w:rPr>
        <w:t>。</w:t>
      </w:r>
    </w:p>
    <w:p>
      <w:pPr>
        <w:ind w:firstLine="643"/>
        <w:rPr>
          <w:rFonts w:eastAsia="楷体_GB2312"/>
          <w:b/>
        </w:rPr>
      </w:pPr>
      <w:r>
        <w:rPr>
          <w:rFonts w:eastAsia="楷体_GB2312"/>
          <w:b/>
        </w:rPr>
        <w:t>4.</w:t>
      </w:r>
      <w:r>
        <w:rPr>
          <w:rFonts w:hint="eastAsia" w:eastAsia="楷体_GB2312"/>
          <w:b/>
        </w:rPr>
        <w:t>推进绿色交通发展</w:t>
      </w:r>
    </w:p>
    <w:p>
      <w:pPr>
        <w:ind w:firstLine="640"/>
      </w:pPr>
      <w:r>
        <w:rPr>
          <w:rFonts w:hint="eastAsia"/>
        </w:rPr>
        <w:t>积极布局高速公路、国省沿线快速充电基础设施，形成覆盖全区的快充网络，构建新能源充电桩网络体系。加快淘汰高能耗、低效率的老旧车辆和船舶，重点提升城市公交、城市配送车辆电动化水平，推进嘉陵江旅游船舶使用岸电。</w:t>
      </w:r>
      <w:r>
        <w:rPr>
          <w:rFonts w:hint="eastAsia"/>
          <w:szCs w:val="32"/>
        </w:rPr>
        <w:t>加快</w:t>
      </w:r>
      <w:r>
        <w:rPr>
          <w:szCs w:val="32"/>
        </w:rPr>
        <w:t>400</w:t>
      </w:r>
      <w:r>
        <w:rPr>
          <w:rFonts w:hint="eastAsia"/>
          <w:szCs w:val="32"/>
        </w:rPr>
        <w:t>总吨以下船舶污染防治设施的建设，逐步推行以</w:t>
      </w:r>
      <w:r>
        <w:rPr>
          <w:szCs w:val="32"/>
        </w:rPr>
        <w:t>400</w:t>
      </w:r>
      <w:r>
        <w:rPr>
          <w:rFonts w:hint="eastAsia"/>
          <w:szCs w:val="32"/>
        </w:rPr>
        <w:t>总吨及以下运输船舶</w:t>
      </w:r>
      <w:r>
        <w:rPr>
          <w:szCs w:val="32"/>
        </w:rPr>
        <w:t>“</w:t>
      </w:r>
      <w:r>
        <w:rPr>
          <w:rFonts w:hint="eastAsia"/>
          <w:szCs w:val="32"/>
        </w:rPr>
        <w:t>船上储存交岸处置</w:t>
      </w:r>
      <w:r>
        <w:rPr>
          <w:szCs w:val="32"/>
        </w:rPr>
        <w:t>”</w:t>
      </w:r>
      <w:r>
        <w:rPr>
          <w:rFonts w:hint="eastAsia"/>
          <w:szCs w:val="32"/>
        </w:rPr>
        <w:t>为主的排放治理模式。</w:t>
      </w:r>
      <w:r>
        <w:rPr>
          <w:rFonts w:hint="eastAsia"/>
        </w:rPr>
        <w:t>推广沥青路面温拌技术、冷再生技术，旧沥青路面材料循环再生技术，旧水泥路面原位碎石化利用及加铺技术。</w:t>
      </w:r>
    </w:p>
    <w:p>
      <w:pPr>
        <w:ind w:firstLine="643"/>
        <w:rPr>
          <w:rFonts w:eastAsia="楷体_GB2312"/>
          <w:b/>
        </w:rPr>
      </w:pPr>
      <w:bookmarkStart w:id="114" w:name="_Toc29059"/>
      <w:r>
        <w:rPr>
          <w:rFonts w:eastAsia="楷体_GB2312"/>
          <w:b/>
        </w:rPr>
        <w:t>5.</w:t>
      </w:r>
      <w:r>
        <w:rPr>
          <w:rFonts w:hint="eastAsia" w:eastAsia="楷体_GB2312"/>
          <w:b/>
        </w:rPr>
        <w:t>加大交通执法力度</w:t>
      </w:r>
    </w:p>
    <w:p>
      <w:pPr>
        <w:ind w:firstLine="640"/>
        <w:rPr>
          <w:szCs w:val="32"/>
        </w:rPr>
      </w:pPr>
      <w:r>
        <w:rPr>
          <w:rFonts w:hint="eastAsia"/>
          <w:szCs w:val="32"/>
        </w:rPr>
        <w:t>深入推进交通执法体制改革，确定合理的执法队伍人员，探索综合执法的改革思路，拓宽用人渠道，严把入口关，吸收一批法律和管理专业的优秀从业者加入到交通执法队伍。建立灵活的交通执法机制，加强和公安交警等相关政府职能部门的联系，建立信息共享平台，与公安部门领导干部定期沟通。积极鼓励创新，针对执法人员严重不足的现象，大力开展电子化执法，推广网上行政许可审批，健全行政处罚的计算机软件系统，探索电子监控、同步录音和录像取证在交通执法中的作用，简化法律文书，规范行政执法的自由裁量权。</w:t>
      </w:r>
    </w:p>
    <w:bookmarkEnd w:id="113"/>
    <w:tbl>
      <w:tblPr>
        <w:tblStyle w:val="1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8774" w:type="dxa"/>
            <w:tcBorders>
              <w:top w:val="single" w:color="auto" w:sz="12" w:space="0"/>
              <w:left w:val="single" w:color="auto" w:sz="12" w:space="0"/>
              <w:bottom w:val="single" w:color="000000" w:sz="4" w:space="0"/>
              <w:right w:val="single" w:color="auto" w:sz="12" w:space="0"/>
            </w:tcBorders>
            <w:noWrap w:val="0"/>
            <w:vAlign w:val="center"/>
          </w:tcPr>
          <w:p>
            <w:pPr>
              <w:snapToGrid w:val="0"/>
              <w:spacing w:line="240" w:lineRule="auto"/>
              <w:ind w:firstLine="0" w:firstLineChars="0"/>
              <w:jc w:val="center"/>
              <w:rPr>
                <w:rFonts w:eastAsia="楷体_GB2312"/>
                <w:b/>
                <w:bCs/>
                <w:snapToGrid w:val="0"/>
                <w:kern w:val="0"/>
                <w:sz w:val="28"/>
                <w:szCs w:val="24"/>
              </w:rPr>
            </w:pPr>
            <w:r>
              <w:rPr>
                <w:rFonts w:hint="eastAsia" w:eastAsia="黑体"/>
                <w:sz w:val="28"/>
                <w:szCs w:val="28"/>
              </w:rPr>
              <w:t>专栏</w:t>
            </w:r>
            <w:r>
              <w:rPr>
                <w:rFonts w:eastAsia="黑体"/>
                <w:sz w:val="28"/>
                <w:szCs w:val="28"/>
              </w:rPr>
              <w:t xml:space="preserve">6 </w:t>
            </w:r>
            <w:r>
              <w:rPr>
                <w:rFonts w:hint="eastAsia" w:eastAsia="黑体"/>
                <w:sz w:val="28"/>
                <w:szCs w:val="28"/>
              </w:rPr>
              <w:t>信息化及其他专项重点建设项目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8774" w:type="dxa"/>
            <w:tcBorders>
              <w:top w:val="single" w:color="000000" w:sz="4" w:space="0"/>
              <w:left w:val="single" w:color="auto" w:sz="12" w:space="0"/>
              <w:bottom w:val="single" w:color="auto" w:sz="12" w:space="0"/>
              <w:right w:val="single" w:color="auto" w:sz="12" w:space="0"/>
            </w:tcBorders>
            <w:noWrap w:val="0"/>
            <w:vAlign w:val="top"/>
          </w:tcPr>
          <w:p>
            <w:pPr>
              <w:snapToGrid w:val="0"/>
              <w:spacing w:line="600" w:lineRule="exact"/>
              <w:ind w:firstLine="560"/>
              <w:rPr>
                <w:rFonts w:eastAsia="黑体"/>
                <w:bCs/>
                <w:snapToGrid w:val="0"/>
                <w:kern w:val="0"/>
                <w:sz w:val="28"/>
                <w:szCs w:val="28"/>
              </w:rPr>
            </w:pPr>
            <w:r>
              <w:rPr>
                <w:rFonts w:eastAsia="黑体"/>
                <w:bCs/>
                <w:snapToGrid w:val="0"/>
                <w:kern w:val="0"/>
                <w:sz w:val="28"/>
                <w:szCs w:val="28"/>
              </w:rPr>
              <w:t>1.</w:t>
            </w:r>
            <w:r>
              <w:rPr>
                <w:rFonts w:hint="eastAsia" w:eastAsia="黑体"/>
                <w:bCs/>
                <w:snapToGrid w:val="0"/>
                <w:kern w:val="0"/>
                <w:sz w:val="28"/>
                <w:szCs w:val="28"/>
              </w:rPr>
              <w:t>安全应急</w:t>
            </w:r>
          </w:p>
          <w:p>
            <w:pPr>
              <w:snapToGrid w:val="0"/>
              <w:spacing w:line="600" w:lineRule="exact"/>
              <w:ind w:firstLine="560"/>
              <w:rPr>
                <w:bCs/>
                <w:snapToGrid w:val="0"/>
                <w:kern w:val="0"/>
                <w:sz w:val="28"/>
                <w:szCs w:val="28"/>
              </w:rPr>
            </w:pPr>
            <w:r>
              <w:rPr>
                <w:rFonts w:hint="eastAsia"/>
                <w:bCs/>
                <w:snapToGrid w:val="0"/>
                <w:kern w:val="0"/>
                <w:sz w:val="28"/>
                <w:szCs w:val="28"/>
              </w:rPr>
              <w:t>新建昭化区交通运输应急指挥中心，并配套相关设备，建设</w:t>
            </w:r>
            <w:r>
              <w:rPr>
                <w:bCs/>
                <w:snapToGrid w:val="0"/>
                <w:kern w:val="0"/>
                <w:sz w:val="28"/>
                <w:szCs w:val="28"/>
              </w:rPr>
              <w:t>G212</w:t>
            </w:r>
            <w:r>
              <w:rPr>
                <w:rFonts w:hint="eastAsia"/>
                <w:bCs/>
                <w:snapToGrid w:val="0"/>
                <w:kern w:val="0"/>
                <w:sz w:val="28"/>
                <w:szCs w:val="28"/>
              </w:rPr>
              <w:t>超限检测站。</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2.</w:t>
            </w:r>
            <w:r>
              <w:rPr>
                <w:rFonts w:hint="eastAsia" w:eastAsia="黑体"/>
                <w:bCs/>
                <w:snapToGrid w:val="0"/>
                <w:kern w:val="0"/>
                <w:sz w:val="28"/>
                <w:szCs w:val="28"/>
              </w:rPr>
              <w:t>信息化</w:t>
            </w:r>
          </w:p>
          <w:p>
            <w:pPr>
              <w:snapToGrid w:val="0"/>
              <w:spacing w:line="600" w:lineRule="exact"/>
              <w:ind w:firstLine="560"/>
              <w:rPr>
                <w:bCs/>
                <w:snapToGrid w:val="0"/>
                <w:kern w:val="0"/>
                <w:sz w:val="28"/>
                <w:szCs w:val="28"/>
              </w:rPr>
            </w:pPr>
            <w:r>
              <w:rPr>
                <w:rFonts w:hint="eastAsia"/>
                <w:bCs/>
                <w:snapToGrid w:val="0"/>
                <w:kern w:val="0"/>
                <w:sz w:val="28"/>
                <w:szCs w:val="28"/>
              </w:rPr>
              <w:t>实施腾胜港航公司安全监管信息化工程和广元远航船舶公司安全监管信息化工程。</w:t>
            </w:r>
          </w:p>
          <w:p>
            <w:pPr>
              <w:snapToGrid w:val="0"/>
              <w:spacing w:line="600" w:lineRule="exact"/>
              <w:ind w:firstLine="560"/>
              <w:rPr>
                <w:rFonts w:eastAsia="黑体"/>
                <w:bCs/>
                <w:snapToGrid w:val="0"/>
                <w:kern w:val="0"/>
                <w:sz w:val="28"/>
                <w:szCs w:val="28"/>
              </w:rPr>
            </w:pPr>
            <w:r>
              <w:rPr>
                <w:rFonts w:eastAsia="黑体"/>
                <w:bCs/>
                <w:snapToGrid w:val="0"/>
                <w:kern w:val="0"/>
                <w:sz w:val="28"/>
                <w:szCs w:val="28"/>
              </w:rPr>
              <w:t>3.</w:t>
            </w:r>
            <w:r>
              <w:rPr>
                <w:rFonts w:hint="eastAsia" w:eastAsia="黑体"/>
                <w:bCs/>
                <w:snapToGrid w:val="0"/>
                <w:kern w:val="0"/>
                <w:sz w:val="28"/>
                <w:szCs w:val="28"/>
              </w:rPr>
              <w:t>养护工程</w:t>
            </w:r>
          </w:p>
          <w:p>
            <w:pPr>
              <w:snapToGrid w:val="0"/>
              <w:spacing w:line="600" w:lineRule="exact"/>
              <w:ind w:firstLine="560"/>
              <w:rPr>
                <w:bCs/>
                <w:snapToGrid w:val="0"/>
                <w:kern w:val="0"/>
                <w:sz w:val="28"/>
                <w:szCs w:val="28"/>
              </w:rPr>
            </w:pPr>
            <w:r>
              <w:rPr>
                <w:rFonts w:hint="eastAsia"/>
                <w:bCs/>
                <w:snapToGrid w:val="0"/>
                <w:kern w:val="0"/>
                <w:sz w:val="28"/>
                <w:szCs w:val="28"/>
              </w:rPr>
              <w:t>积极推进预防性养护和常规性养护工程实施。</w:t>
            </w:r>
          </w:p>
        </w:tc>
      </w:tr>
    </w:tbl>
    <w:p>
      <w:pPr>
        <w:pStyle w:val="2"/>
        <w:spacing w:before="156" w:after="156" w:line="416" w:lineRule="auto"/>
        <w:ind w:firstLine="0" w:firstLineChars="0"/>
        <w:jc w:val="left"/>
        <w:rPr>
          <w:rFonts w:ascii="Times New Roman" w:hAnsi="Times New Roman" w:eastAsia="黑体"/>
          <w:sz w:val="36"/>
          <w:szCs w:val="36"/>
        </w:rPr>
      </w:pPr>
      <w:bookmarkStart w:id="115" w:name="_Toc52"/>
      <w:bookmarkStart w:id="116" w:name="_Toc61624436"/>
      <w:r>
        <w:rPr>
          <w:rFonts w:ascii="Times New Roman" w:hAnsi="Times New Roman" w:eastAsia="黑体"/>
          <w:sz w:val="36"/>
          <w:szCs w:val="36"/>
        </w:rPr>
        <w:t xml:space="preserve">6.2 </w:t>
      </w:r>
      <w:r>
        <w:rPr>
          <w:rFonts w:hint="eastAsia" w:ascii="Times New Roman" w:hAnsi="Times New Roman" w:eastAsia="黑体"/>
          <w:sz w:val="36"/>
          <w:szCs w:val="36"/>
        </w:rPr>
        <w:t>资金测算</w:t>
      </w:r>
      <w:bookmarkEnd w:id="114"/>
      <w:bookmarkEnd w:id="115"/>
      <w:bookmarkEnd w:id="116"/>
    </w:p>
    <w:p>
      <w:pPr>
        <w:pStyle w:val="4"/>
        <w:adjustRightInd w:val="0"/>
        <w:snapToGrid w:val="0"/>
        <w:spacing w:before="78" w:beforeLines="25" w:after="78" w:afterLines="25"/>
        <w:ind w:left="6238" w:hanging="6238"/>
        <w:rPr>
          <w:bCs w:val="0"/>
        </w:rPr>
      </w:pPr>
      <w:bookmarkStart w:id="117" w:name="_Toc49797762"/>
      <w:r>
        <w:rPr>
          <w:bCs w:val="0"/>
        </w:rPr>
        <w:t xml:space="preserve">6.2.1 </w:t>
      </w:r>
      <w:r>
        <w:rPr>
          <w:rFonts w:hint="eastAsia"/>
          <w:bCs w:val="0"/>
        </w:rPr>
        <w:t>投资匡算</w:t>
      </w:r>
      <w:bookmarkEnd w:id="117"/>
    </w:p>
    <w:p>
      <w:pPr>
        <w:ind w:firstLine="640"/>
        <w:rPr>
          <w:szCs w:val="32"/>
        </w:rPr>
      </w:pPr>
      <w:bookmarkStart w:id="118" w:name="_Hlk60165792"/>
      <w:r>
        <w:rPr>
          <w:rFonts w:hint="eastAsia"/>
          <w:szCs w:val="32"/>
        </w:rPr>
        <w:t>经初步测算，昭化区</w:t>
      </w:r>
      <w:r>
        <w:rPr>
          <w:szCs w:val="32"/>
        </w:rPr>
        <w:t>“</w:t>
      </w:r>
      <w:r>
        <w:rPr>
          <w:rFonts w:hint="eastAsia"/>
          <w:szCs w:val="32"/>
        </w:rPr>
        <w:t>十四五”时期间综合交通运输建设计划投资</w:t>
      </w:r>
      <w:bookmarkStart w:id="119" w:name="_Hlk60320751"/>
      <w:r>
        <w:rPr>
          <w:szCs w:val="32"/>
        </w:rPr>
        <w:t>131</w:t>
      </w:r>
      <w:r>
        <w:rPr>
          <w:rFonts w:hint="eastAsia"/>
          <w:szCs w:val="32"/>
        </w:rPr>
        <w:t>亿元，其中：航空</w:t>
      </w:r>
      <w:r>
        <w:rPr>
          <w:szCs w:val="32"/>
        </w:rPr>
        <w:t>100</w:t>
      </w:r>
      <w:r>
        <w:rPr>
          <w:rFonts w:hint="eastAsia"/>
          <w:szCs w:val="32"/>
        </w:rPr>
        <w:t>万元、高速公路及其连接线</w:t>
      </w:r>
      <w:r>
        <w:rPr>
          <w:szCs w:val="32"/>
        </w:rPr>
        <w:t>4.3</w:t>
      </w:r>
      <w:r>
        <w:rPr>
          <w:rFonts w:hint="eastAsia"/>
          <w:szCs w:val="32"/>
        </w:rPr>
        <w:t>亿元、国省干线公路</w:t>
      </w:r>
      <w:r>
        <w:rPr>
          <w:szCs w:val="32"/>
        </w:rPr>
        <w:t>50</w:t>
      </w:r>
      <w:r>
        <w:rPr>
          <w:rFonts w:hint="eastAsia"/>
          <w:szCs w:val="32"/>
        </w:rPr>
        <w:t>亿元、农村公路</w:t>
      </w:r>
      <w:r>
        <w:rPr>
          <w:szCs w:val="32"/>
        </w:rPr>
        <w:t>61.7</w:t>
      </w:r>
      <w:r>
        <w:rPr>
          <w:rFonts w:hint="eastAsia"/>
          <w:szCs w:val="32"/>
        </w:rPr>
        <w:t>亿元、航道码头</w:t>
      </w:r>
      <w:r>
        <w:rPr>
          <w:szCs w:val="32"/>
        </w:rPr>
        <w:t>7.5</w:t>
      </w:r>
      <w:r>
        <w:rPr>
          <w:rFonts w:hint="eastAsia"/>
          <w:szCs w:val="32"/>
        </w:rPr>
        <w:t>亿元、客运场站</w:t>
      </w:r>
      <w:r>
        <w:rPr>
          <w:szCs w:val="32"/>
        </w:rPr>
        <w:t>0.9</w:t>
      </w:r>
      <w:r>
        <w:rPr>
          <w:rFonts w:hint="eastAsia"/>
          <w:szCs w:val="32"/>
        </w:rPr>
        <w:t>亿元、货运站（物流园区）</w:t>
      </w:r>
      <w:r>
        <w:rPr>
          <w:szCs w:val="32"/>
        </w:rPr>
        <w:t>5.9</w:t>
      </w:r>
      <w:r>
        <w:rPr>
          <w:rFonts w:hint="eastAsia"/>
          <w:szCs w:val="32"/>
        </w:rPr>
        <w:t>亿元、养护及其他专项</w:t>
      </w:r>
      <w:r>
        <w:rPr>
          <w:szCs w:val="32"/>
        </w:rPr>
        <w:t>0.7</w:t>
      </w:r>
      <w:r>
        <w:rPr>
          <w:rFonts w:hint="eastAsia"/>
          <w:szCs w:val="32"/>
        </w:rPr>
        <w:t>亿元。</w:t>
      </w:r>
    </w:p>
    <w:bookmarkEnd w:id="118"/>
    <w:bookmarkEnd w:id="119"/>
    <w:p>
      <w:pPr>
        <w:pStyle w:val="20"/>
        <w:spacing w:before="78" w:after="78"/>
        <w:ind w:firstLine="562"/>
        <w:rPr>
          <w:rFonts w:eastAsia="黑体"/>
          <w:b w:val="0"/>
          <w:sz w:val="28"/>
          <w:szCs w:val="28"/>
        </w:rPr>
      </w:pPr>
      <w:r>
        <w:rPr>
          <w:rFonts w:hint="eastAsia" w:eastAsia="黑体"/>
          <w:b w:val="0"/>
          <w:sz w:val="28"/>
          <w:szCs w:val="28"/>
        </w:rPr>
        <w:t>表</w:t>
      </w:r>
      <w:r>
        <w:rPr>
          <w:rFonts w:eastAsia="黑体"/>
          <w:b w:val="0"/>
          <w:sz w:val="28"/>
          <w:szCs w:val="28"/>
        </w:rPr>
        <w:t>6-1 “</w:t>
      </w:r>
      <w:r>
        <w:rPr>
          <w:rFonts w:hint="eastAsia" w:eastAsia="黑体"/>
          <w:b w:val="0"/>
          <w:sz w:val="28"/>
          <w:szCs w:val="28"/>
        </w:rPr>
        <w:t>十四五”时期昭化区交通重点建设项目投资匡算表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35"/>
        <w:gridCol w:w="697"/>
        <w:gridCol w:w="2264"/>
        <w:gridCol w:w="2616"/>
        <w:gridCol w:w="18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blHeader/>
          <w:jc w:val="center"/>
        </w:trPr>
        <w:tc>
          <w:tcPr>
            <w:tcW w:w="935" w:type="dxa"/>
            <w:tcBorders>
              <w:top w:val="single" w:color="auto" w:sz="12" w:space="0"/>
              <w:left w:val="single" w:color="auto" w:sz="12" w:space="0"/>
              <w:bottom w:val="single" w:color="auto" w:sz="8" w:space="0"/>
              <w:right w:val="single" w:color="auto" w:sz="8" w:space="0"/>
            </w:tcBorders>
            <w:noWrap/>
            <w:vAlign w:val="center"/>
          </w:tcPr>
          <w:p>
            <w:pPr>
              <w:widowControl/>
              <w:adjustRightInd w:val="0"/>
              <w:snapToGrid w:val="0"/>
              <w:ind w:firstLine="0" w:firstLineChars="0"/>
              <w:rPr>
                <w:rFonts w:eastAsia="黑体"/>
                <w:kern w:val="0"/>
                <w:sz w:val="24"/>
                <w:szCs w:val="24"/>
              </w:rPr>
            </w:pPr>
            <w:r>
              <w:rPr>
                <w:rFonts w:hint="eastAsia" w:eastAsia="黑体"/>
                <w:kern w:val="0"/>
                <w:sz w:val="24"/>
                <w:szCs w:val="24"/>
              </w:rPr>
              <w:t>序号</w:t>
            </w:r>
          </w:p>
        </w:tc>
        <w:tc>
          <w:tcPr>
            <w:tcW w:w="2961" w:type="dxa"/>
            <w:gridSpan w:val="2"/>
            <w:tcBorders>
              <w:top w:val="single" w:color="auto" w:sz="12" w:space="0"/>
              <w:left w:val="single" w:color="auto" w:sz="8" w:space="0"/>
              <w:bottom w:val="single" w:color="auto" w:sz="8" w:space="0"/>
              <w:right w:val="single" w:color="auto" w:sz="8" w:space="0"/>
            </w:tcBorders>
            <w:noWrap/>
            <w:vAlign w:val="center"/>
          </w:tcPr>
          <w:p>
            <w:pPr>
              <w:widowControl/>
              <w:adjustRightInd w:val="0"/>
              <w:snapToGrid w:val="0"/>
              <w:ind w:firstLine="0" w:firstLineChars="0"/>
              <w:jc w:val="center"/>
              <w:rPr>
                <w:rFonts w:eastAsia="黑体"/>
                <w:kern w:val="0"/>
                <w:sz w:val="24"/>
                <w:szCs w:val="24"/>
              </w:rPr>
            </w:pPr>
            <w:r>
              <w:rPr>
                <w:rFonts w:hint="eastAsia" w:eastAsia="黑体"/>
                <w:kern w:val="0"/>
                <w:sz w:val="24"/>
                <w:szCs w:val="24"/>
              </w:rPr>
              <w:t>项目类别</w:t>
            </w:r>
          </w:p>
        </w:tc>
        <w:tc>
          <w:tcPr>
            <w:tcW w:w="2616" w:type="dxa"/>
            <w:tcBorders>
              <w:top w:val="single" w:color="auto" w:sz="12" w:space="0"/>
              <w:left w:val="single" w:color="auto" w:sz="8" w:space="0"/>
              <w:bottom w:val="single" w:color="auto" w:sz="8" w:space="0"/>
              <w:right w:val="single" w:color="auto" w:sz="8" w:space="0"/>
            </w:tcBorders>
            <w:noWrap/>
            <w:vAlign w:val="center"/>
          </w:tcPr>
          <w:p>
            <w:pPr>
              <w:widowControl/>
              <w:adjustRightInd w:val="0"/>
              <w:snapToGrid w:val="0"/>
              <w:ind w:firstLine="480"/>
              <w:rPr>
                <w:rFonts w:eastAsia="黑体"/>
                <w:kern w:val="0"/>
                <w:sz w:val="24"/>
                <w:szCs w:val="24"/>
              </w:rPr>
            </w:pPr>
            <w:r>
              <w:rPr>
                <w:rFonts w:hint="eastAsia" w:eastAsia="黑体"/>
                <w:kern w:val="0"/>
                <w:sz w:val="24"/>
                <w:szCs w:val="24"/>
              </w:rPr>
              <w:t>资金需求（万元）</w:t>
            </w:r>
          </w:p>
        </w:tc>
        <w:tc>
          <w:tcPr>
            <w:tcW w:w="1856" w:type="dxa"/>
            <w:tcBorders>
              <w:top w:val="single" w:color="auto" w:sz="12" w:space="0"/>
              <w:left w:val="single" w:color="auto" w:sz="8" w:space="0"/>
              <w:bottom w:val="single" w:color="auto" w:sz="8" w:space="0"/>
              <w:right w:val="single" w:color="auto" w:sz="12" w:space="0"/>
            </w:tcBorders>
            <w:noWrap/>
            <w:vAlign w:val="center"/>
          </w:tcPr>
          <w:p>
            <w:pPr>
              <w:widowControl/>
              <w:adjustRightInd w:val="0"/>
              <w:snapToGrid w:val="0"/>
              <w:ind w:firstLine="480"/>
              <w:rPr>
                <w:rFonts w:eastAsia="黑体"/>
                <w:kern w:val="0"/>
                <w:sz w:val="24"/>
                <w:szCs w:val="24"/>
              </w:rPr>
            </w:pPr>
            <w:r>
              <w:rPr>
                <w:rFonts w:hint="eastAsia" w:eastAsia="黑体"/>
                <w:kern w:val="0"/>
                <w:sz w:val="24"/>
                <w:szCs w:val="24"/>
              </w:rPr>
              <w:t>占比（</w:t>
            </w:r>
            <w:r>
              <w:rPr>
                <w:rFonts w:eastAsia="黑体"/>
                <w:kern w:val="0"/>
                <w:sz w:val="24"/>
                <w:szCs w:val="24"/>
              </w:rPr>
              <w:t>%</w:t>
            </w:r>
            <w:r>
              <w:rPr>
                <w:rFonts w:hint="eastAsia" w:eastAsia="黑体"/>
                <w:kern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1</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航空</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100</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2</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公路</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1162913</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88.5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3</w:t>
            </w:r>
          </w:p>
        </w:tc>
        <w:tc>
          <w:tcPr>
            <w:tcW w:w="697" w:type="dxa"/>
            <w:vMerge w:val="restart"/>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0" w:firstLineChars="0"/>
              <w:rPr>
                <w:kern w:val="0"/>
                <w:sz w:val="24"/>
                <w:szCs w:val="24"/>
              </w:rPr>
            </w:pPr>
            <w:r>
              <w:rPr>
                <w:rFonts w:hint="eastAsia"/>
                <w:kern w:val="0"/>
                <w:sz w:val="24"/>
                <w:szCs w:val="24"/>
              </w:rPr>
              <w:t>其中</w:t>
            </w:r>
          </w:p>
        </w:tc>
        <w:tc>
          <w:tcPr>
            <w:tcW w:w="2264" w:type="dxa"/>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0" w:firstLineChars="0"/>
              <w:jc w:val="center"/>
              <w:rPr>
                <w:kern w:val="0"/>
                <w:sz w:val="24"/>
                <w:szCs w:val="24"/>
              </w:rPr>
            </w:pPr>
            <w:r>
              <w:rPr>
                <w:rFonts w:hint="eastAsia"/>
                <w:kern w:val="0"/>
                <w:sz w:val="24"/>
                <w:szCs w:val="24"/>
              </w:rPr>
              <w:t>高速公路及连接线</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43477</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4</w:t>
            </w:r>
          </w:p>
        </w:tc>
        <w:tc>
          <w:tcPr>
            <w:tcW w:w="697"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adjustRightInd w:val="0"/>
              <w:snapToGrid w:val="0"/>
              <w:ind w:firstLine="480"/>
              <w:jc w:val="center"/>
              <w:rPr>
                <w:kern w:val="0"/>
                <w:sz w:val="24"/>
                <w:szCs w:val="24"/>
              </w:rPr>
            </w:pPr>
          </w:p>
        </w:tc>
        <w:tc>
          <w:tcPr>
            <w:tcW w:w="2264" w:type="dxa"/>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国省干线</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502162</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38.2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5</w:t>
            </w:r>
          </w:p>
        </w:tc>
        <w:tc>
          <w:tcPr>
            <w:tcW w:w="697"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adjustRightInd w:val="0"/>
              <w:snapToGrid w:val="0"/>
              <w:ind w:firstLine="480"/>
              <w:jc w:val="center"/>
              <w:rPr>
                <w:kern w:val="0"/>
                <w:sz w:val="24"/>
                <w:szCs w:val="24"/>
              </w:rPr>
            </w:pPr>
          </w:p>
        </w:tc>
        <w:tc>
          <w:tcPr>
            <w:tcW w:w="2264" w:type="dxa"/>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农村公路</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617274</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6</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航道码头</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75370</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5.7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7</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客运场站</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8930</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8</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货运站（物流园区）</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59200</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35" w:type="dxa"/>
            <w:tcBorders>
              <w:top w:val="single" w:color="auto" w:sz="8" w:space="0"/>
              <w:left w:val="single" w:color="auto" w:sz="12" w:space="0"/>
              <w:bottom w:val="single" w:color="auto" w:sz="8" w:space="0"/>
              <w:right w:val="single" w:color="auto" w:sz="8" w:space="0"/>
            </w:tcBorders>
            <w:noWrap/>
            <w:vAlign w:val="top"/>
          </w:tcPr>
          <w:p>
            <w:pPr>
              <w:widowControl/>
              <w:adjustRightInd w:val="0"/>
              <w:snapToGrid w:val="0"/>
              <w:ind w:firstLine="0" w:firstLineChars="0"/>
              <w:jc w:val="center"/>
              <w:rPr>
                <w:kern w:val="0"/>
                <w:sz w:val="24"/>
                <w:szCs w:val="24"/>
              </w:rPr>
            </w:pPr>
            <w:r>
              <w:rPr>
                <w:kern w:val="0"/>
                <w:sz w:val="24"/>
                <w:szCs w:val="24"/>
              </w:rPr>
              <w:t>9</w:t>
            </w:r>
          </w:p>
        </w:tc>
        <w:tc>
          <w:tcPr>
            <w:tcW w:w="2961" w:type="dxa"/>
            <w:gridSpan w:val="2"/>
            <w:tcBorders>
              <w:top w:val="single" w:color="auto" w:sz="8" w:space="0"/>
              <w:left w:val="single" w:color="auto" w:sz="8" w:space="0"/>
              <w:bottom w:val="single" w:color="auto" w:sz="8"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养护及其他专项</w:t>
            </w:r>
          </w:p>
        </w:tc>
        <w:tc>
          <w:tcPr>
            <w:tcW w:w="2616" w:type="dxa"/>
            <w:tcBorders>
              <w:top w:val="single" w:color="auto" w:sz="8" w:space="0"/>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6800</w:t>
            </w:r>
          </w:p>
        </w:tc>
        <w:tc>
          <w:tcPr>
            <w:tcW w:w="1856" w:type="dxa"/>
            <w:tcBorders>
              <w:top w:val="single" w:color="auto" w:sz="8" w:space="0"/>
              <w:left w:val="single" w:color="auto" w:sz="8" w:space="0"/>
              <w:bottom w:val="single" w:color="auto" w:sz="8"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896" w:type="dxa"/>
            <w:gridSpan w:val="3"/>
            <w:tcBorders>
              <w:top w:val="single" w:color="auto" w:sz="8" w:space="0"/>
              <w:left w:val="single" w:color="auto" w:sz="12" w:space="0"/>
              <w:bottom w:val="single" w:color="auto" w:sz="12" w:space="0"/>
              <w:right w:val="single" w:color="auto" w:sz="8" w:space="0"/>
            </w:tcBorders>
            <w:noWrap/>
            <w:vAlign w:val="center"/>
          </w:tcPr>
          <w:p>
            <w:pPr>
              <w:widowControl/>
              <w:adjustRightInd w:val="0"/>
              <w:snapToGrid w:val="0"/>
              <w:ind w:firstLine="480"/>
              <w:jc w:val="center"/>
              <w:rPr>
                <w:kern w:val="0"/>
                <w:sz w:val="24"/>
                <w:szCs w:val="24"/>
              </w:rPr>
            </w:pPr>
            <w:r>
              <w:rPr>
                <w:rFonts w:hint="eastAsia"/>
                <w:kern w:val="0"/>
                <w:sz w:val="24"/>
                <w:szCs w:val="24"/>
              </w:rPr>
              <w:t>合计</w:t>
            </w:r>
          </w:p>
        </w:tc>
        <w:tc>
          <w:tcPr>
            <w:tcW w:w="2616" w:type="dxa"/>
            <w:tcBorders>
              <w:top w:val="single" w:color="auto" w:sz="8" w:space="0"/>
              <w:left w:val="single" w:color="auto" w:sz="8" w:space="0"/>
              <w:bottom w:val="single" w:color="auto" w:sz="12" w:space="0"/>
              <w:right w:val="single" w:color="auto" w:sz="8"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1313313</w:t>
            </w:r>
          </w:p>
        </w:tc>
        <w:tc>
          <w:tcPr>
            <w:tcW w:w="1856" w:type="dxa"/>
            <w:tcBorders>
              <w:top w:val="single" w:color="auto" w:sz="8" w:space="0"/>
              <w:left w:val="single" w:color="auto" w:sz="8" w:space="0"/>
              <w:bottom w:val="single" w:color="auto" w:sz="12" w:space="0"/>
              <w:right w:val="single" w:color="auto" w:sz="12" w:space="0"/>
            </w:tcBorders>
            <w:noWrap/>
            <w:vAlign w:val="center"/>
          </w:tcPr>
          <w:p>
            <w:pPr>
              <w:widowControl/>
              <w:spacing w:line="240" w:lineRule="auto"/>
              <w:ind w:firstLine="0" w:firstLineChars="0"/>
              <w:jc w:val="center"/>
              <w:rPr>
                <w:rFonts w:eastAsia="等线"/>
                <w:sz w:val="24"/>
                <w:szCs w:val="24"/>
              </w:rPr>
            </w:pPr>
            <w:r>
              <w:rPr>
                <w:rFonts w:eastAsia="等线"/>
                <w:sz w:val="24"/>
                <w:szCs w:val="24"/>
              </w:rPr>
              <w:t>100</w:t>
            </w:r>
          </w:p>
        </w:tc>
      </w:tr>
    </w:tbl>
    <w:p>
      <w:pPr>
        <w:pStyle w:val="4"/>
        <w:adjustRightInd w:val="0"/>
        <w:snapToGrid w:val="0"/>
        <w:spacing w:before="78" w:beforeLines="25" w:after="78" w:afterLines="25"/>
        <w:ind w:left="6238" w:hanging="6238"/>
        <w:rPr>
          <w:bCs w:val="0"/>
        </w:rPr>
      </w:pPr>
      <w:bookmarkStart w:id="120" w:name="_Toc49797763"/>
      <w:r>
        <w:rPr>
          <w:bCs w:val="0"/>
        </w:rPr>
        <w:t xml:space="preserve">6.2.2 </w:t>
      </w:r>
      <w:r>
        <w:rPr>
          <w:rFonts w:hint="eastAsia"/>
          <w:bCs w:val="0"/>
        </w:rPr>
        <w:t>资金平衡</w:t>
      </w:r>
      <w:bookmarkEnd w:id="120"/>
    </w:p>
    <w:p>
      <w:pPr>
        <w:ind w:firstLine="640"/>
        <w:rPr>
          <w:szCs w:val="32"/>
        </w:rPr>
      </w:pPr>
      <w:r>
        <w:rPr>
          <w:rFonts w:hint="eastAsia"/>
          <w:szCs w:val="32"/>
        </w:rPr>
        <w:t>根据</w:t>
      </w:r>
      <w:r>
        <w:rPr>
          <w:szCs w:val="32"/>
        </w:rPr>
        <w:t>“</w:t>
      </w:r>
      <w:r>
        <w:rPr>
          <w:rFonts w:hint="eastAsia"/>
          <w:szCs w:val="32"/>
        </w:rPr>
        <w:t>十四五”时期国家和省交通建设资金的投向，结合区级财力实际，积极做好资金统筹平衡。铁路主要依靠国家投资；通用机场主要吸引社会投资；高速公路建设主要采用</w:t>
      </w:r>
      <w:r>
        <w:rPr>
          <w:szCs w:val="32"/>
        </w:rPr>
        <w:t>BOT</w:t>
      </w:r>
      <w:r>
        <w:rPr>
          <w:rFonts w:hint="eastAsia"/>
          <w:szCs w:val="32"/>
        </w:rPr>
        <w:t>等方式；普通国省干线公路积极争取部省补助资金；农村公路、重要枢纽站场建设在争取国省补助资金的基础上进一步拓展融资渠道，通过县级财政、贷款、招商引资等方式统筹解决。</w:t>
      </w:r>
    </w:p>
    <w:p>
      <w:pPr>
        <w:ind w:firstLine="640"/>
        <w:rPr>
          <w:szCs w:val="32"/>
        </w:rPr>
      </w:pPr>
      <w:r>
        <w:rPr>
          <w:szCs w:val="32"/>
        </w:rPr>
        <w:t>1.</w:t>
      </w:r>
      <w:r>
        <w:rPr>
          <w:rFonts w:hint="eastAsia"/>
          <w:szCs w:val="32"/>
        </w:rPr>
        <w:t>大力争取各级财政支持。加强向交通运输厅汇报对接，积极争取将更多的普通国省道、运输场站、农村公路和养护工程项目纳入交通运输部和省级</w:t>
      </w:r>
      <w:r>
        <w:rPr>
          <w:szCs w:val="32"/>
        </w:rPr>
        <w:t>“</w:t>
      </w:r>
      <w:r>
        <w:rPr>
          <w:rFonts w:hint="eastAsia"/>
          <w:szCs w:val="32"/>
        </w:rPr>
        <w:t>十四五</w:t>
      </w:r>
      <w:r>
        <w:rPr>
          <w:szCs w:val="32"/>
        </w:rPr>
        <w:t>”</w:t>
      </w:r>
      <w:r>
        <w:rPr>
          <w:rFonts w:hint="eastAsia"/>
          <w:szCs w:val="32"/>
        </w:rPr>
        <w:t>综合交通运输发展规划，进一步争取中央和省级资金支持。积极争取区委、区政府加大对交通建设的财政资金投入，特别是向经济效益明显的重点项目倾斜。</w:t>
      </w:r>
    </w:p>
    <w:p>
      <w:pPr>
        <w:ind w:firstLine="640"/>
        <w:rPr>
          <w:szCs w:val="32"/>
        </w:rPr>
      </w:pPr>
      <w:r>
        <w:rPr>
          <w:szCs w:val="32"/>
        </w:rPr>
        <w:t>2.</w:t>
      </w:r>
      <w:r>
        <w:rPr>
          <w:rFonts w:hint="eastAsia"/>
          <w:szCs w:val="32"/>
        </w:rPr>
        <w:t>努力创新投融资模式。在继续采取国家投资、市场融资等政策的同时，探索创新</w:t>
      </w:r>
      <w:r>
        <w:rPr>
          <w:szCs w:val="32"/>
        </w:rPr>
        <w:t>“BOT+EPC”“BOT+EPC+</w:t>
      </w:r>
      <w:r>
        <w:rPr>
          <w:rFonts w:hint="eastAsia"/>
          <w:szCs w:val="32"/>
        </w:rPr>
        <w:t>补助</w:t>
      </w:r>
      <w:r>
        <w:rPr>
          <w:szCs w:val="32"/>
        </w:rPr>
        <w:t>”“</w:t>
      </w:r>
      <w:r>
        <w:rPr>
          <w:rFonts w:hint="eastAsia"/>
          <w:szCs w:val="32"/>
        </w:rPr>
        <w:t>股权合作</w:t>
      </w:r>
      <w:r>
        <w:rPr>
          <w:szCs w:val="32"/>
        </w:rPr>
        <w:t>+EPC+</w:t>
      </w:r>
      <w:r>
        <w:rPr>
          <w:rFonts w:hint="eastAsia"/>
          <w:szCs w:val="32"/>
        </w:rPr>
        <w:t>补助</w:t>
      </w:r>
      <w:r>
        <w:rPr>
          <w:szCs w:val="32"/>
        </w:rPr>
        <w:t>”</w:t>
      </w:r>
      <w:r>
        <w:rPr>
          <w:rFonts w:hint="eastAsia"/>
          <w:szCs w:val="32"/>
        </w:rPr>
        <w:t>等建设模式在交通建设上的应用。将公路建设与其他见效快、收益高的产业打捆招商，政府与企业各自出资，共担风险、共享收益，采取出让公路冠名权、广告权、资源开发权等方式，多方筹集农村公路建设和养护资金等。加强金融投资政策研究，充分利用国家开发银行、国家商业银行和其他金融信贷机构的政策性贷款和商业贷款，最大限度争取支持。</w:t>
      </w:r>
    </w:p>
    <w:p>
      <w:pPr>
        <w:ind w:firstLine="640"/>
        <w:rPr>
          <w:szCs w:val="32"/>
        </w:rPr>
      </w:pPr>
      <w:r>
        <w:rPr>
          <w:szCs w:val="32"/>
        </w:rPr>
        <w:t>3.</w:t>
      </w:r>
      <w:r>
        <w:rPr>
          <w:rFonts w:hint="eastAsia"/>
          <w:szCs w:val="32"/>
        </w:rPr>
        <w:t>科学降低建设成本。狠抓项目管理，在项目建设前需周密安排、科学部署、合理计划、优化设计、控制规模，避免重复建设和反复建设，通过施工招投标制度，选择实力雄厚，管理规范的企业，在保证质量的前提下尽量降低造价，节省项目总投资。</w:t>
      </w:r>
    </w:p>
    <w:p>
      <w:pPr>
        <w:ind w:firstLine="640"/>
        <w:rPr>
          <w:szCs w:val="32"/>
        </w:rPr>
        <w:sectPr>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312" w:charSpace="0"/>
        </w:sectPr>
      </w:pPr>
      <w:bookmarkStart w:id="121" w:name="_Hlk60165803"/>
      <w:r>
        <w:rPr>
          <w:szCs w:val="32"/>
        </w:rPr>
        <w:t>“</w:t>
      </w:r>
      <w:r>
        <w:rPr>
          <w:rFonts w:hint="eastAsia"/>
          <w:szCs w:val="32"/>
        </w:rPr>
        <w:t>十四五”时期，全区综合交通建设初步资金平衡方案为：争取部省补助资金</w:t>
      </w:r>
      <w:r>
        <w:rPr>
          <w:szCs w:val="32"/>
        </w:rPr>
        <w:t>18.8</w:t>
      </w:r>
      <w:r>
        <w:rPr>
          <w:rFonts w:hint="eastAsia"/>
          <w:szCs w:val="32"/>
        </w:rPr>
        <w:t>亿元，区级财政</w:t>
      </w:r>
      <w:r>
        <w:rPr>
          <w:szCs w:val="32"/>
        </w:rPr>
        <w:t>52.5</w:t>
      </w:r>
      <w:r>
        <w:rPr>
          <w:rFonts w:hint="eastAsia"/>
          <w:szCs w:val="32"/>
        </w:rPr>
        <w:t>亿元，银行贷款、招商引资等其他方式筹集</w:t>
      </w:r>
      <w:r>
        <w:rPr>
          <w:szCs w:val="32"/>
        </w:rPr>
        <w:t>60.0</w:t>
      </w:r>
      <w:r>
        <w:rPr>
          <w:rFonts w:hint="eastAsia"/>
          <w:szCs w:val="32"/>
        </w:rPr>
        <w:t>亿元。</w:t>
      </w:r>
      <w:bookmarkEnd w:id="121"/>
    </w:p>
    <w:p>
      <w:pPr>
        <w:pStyle w:val="3"/>
        <w:adjustRightInd w:val="0"/>
        <w:snapToGrid w:val="0"/>
        <w:spacing w:before="435" w:beforeLines="100" w:after="435" w:afterLines="100"/>
        <w:ind w:firstLine="0" w:firstLineChars="0"/>
        <w:jc w:val="center"/>
        <w:rPr>
          <w:rFonts w:hint="eastAsia" w:ascii="方正小标宋简体" w:hAnsi="方正小标宋简体" w:eastAsia="方正小标宋简体" w:cs="方正小标宋简体"/>
          <w:sz w:val="44"/>
        </w:rPr>
      </w:pPr>
      <w:bookmarkStart w:id="122" w:name="_Toc61624437"/>
      <w:bookmarkStart w:id="123" w:name="_Toc8607"/>
      <w:r>
        <w:rPr>
          <w:rFonts w:hint="eastAsia" w:ascii="方正小标宋简体" w:hAnsi="方正小标宋简体" w:eastAsia="方正小标宋简体" w:cs="方正小标宋简体"/>
          <w:sz w:val="44"/>
        </w:rPr>
        <w:t>第7章 保障措施</w:t>
      </w:r>
      <w:bookmarkEnd w:id="122"/>
      <w:bookmarkEnd w:id="123"/>
    </w:p>
    <w:p>
      <w:pPr>
        <w:ind w:firstLine="643"/>
      </w:pPr>
      <w:r>
        <w:rPr>
          <w:rFonts w:hint="eastAsia" w:eastAsia="楷体_GB2312"/>
          <w:b/>
        </w:rPr>
        <w:t>（一）加强组织领导</w:t>
      </w:r>
      <w:r>
        <w:rPr>
          <w:rFonts w:hint="eastAsia"/>
          <w:b/>
        </w:rPr>
        <w:t>。</w:t>
      </w:r>
      <w:r>
        <w:rPr>
          <w:rFonts w:hint="eastAsia"/>
        </w:rPr>
        <w:t>综合交通运输</w:t>
      </w:r>
      <w:r>
        <w:t>“</w:t>
      </w:r>
      <w:r>
        <w:rPr>
          <w:rFonts w:hint="eastAsia"/>
        </w:rPr>
        <w:t>十四五</w:t>
      </w:r>
      <w:r>
        <w:t>”</w:t>
      </w:r>
      <w:r>
        <w:rPr>
          <w:rFonts w:hint="eastAsia"/>
        </w:rPr>
        <w:t>发展规划事关昭化交通运输行业发展大计，要主动加强向区委、区政府汇报，将行业发展上升至党委政府部署，切实加强组织领导，上下联动，紧密配合，分解细化规划确定的主要目标和重点任务，明确各部门责任分工，确保规划落到实处。规划涉及的公路、铁路等相关部门要加强沟通配合，制定和完善相关配套政策措施，为规划实施创造有利条件。</w:t>
      </w:r>
    </w:p>
    <w:p>
      <w:pPr>
        <w:spacing w:line="600" w:lineRule="exact"/>
        <w:ind w:firstLine="424" w:firstLineChars="202"/>
        <w:rPr>
          <w:szCs w:val="32"/>
        </w:rPr>
      </w:pPr>
      <w:r>
        <w:rPr>
          <w:rFonts w:hint="eastAsia" w:eastAsia="楷体_GB2312"/>
          <w:b/>
        </w:rPr>
        <w:t>（二）强化项目管理</w:t>
      </w:r>
      <w:r>
        <w:rPr>
          <w:rFonts w:hint="eastAsia"/>
          <w:b/>
        </w:rPr>
        <w:t>。</w:t>
      </w:r>
      <w:r>
        <w:rPr>
          <w:rFonts w:hint="eastAsia"/>
        </w:rPr>
        <w:t>要</w:t>
      </w:r>
      <w:r>
        <w:rPr>
          <w:rFonts w:hint="eastAsia"/>
          <w:szCs w:val="32"/>
        </w:rPr>
        <w:t>细化工作方案，制定交通年度重点任务清单，分项目、分批次、有序实施。根据清单制定重点项目前期工作计划，加快规划选址、用地、环评、水保等方面前期工作和项目审批进度，加强与自然资源、环保等部门沟通衔接，充分领会意向政策，加大征地拆迁、砂石材料供应等要素保障，推动项目尽早开工建设。深化部门互动、上下联动，整合各方力量，形成合力。全面落实生态安全质量管理责任和廉政责任，努力打造品质工程、平安工程和阳光工程。</w:t>
      </w:r>
    </w:p>
    <w:p>
      <w:pPr>
        <w:ind w:firstLine="643"/>
      </w:pPr>
      <w:r>
        <w:rPr>
          <w:rFonts w:hint="eastAsia" w:eastAsia="楷体_GB2312"/>
          <w:b/>
        </w:rPr>
        <w:t>（三）拓宽投融资渠道</w:t>
      </w:r>
      <w:r>
        <w:rPr>
          <w:rFonts w:hint="eastAsia"/>
          <w:b/>
        </w:rPr>
        <w:t>。</w:t>
      </w:r>
      <w:r>
        <w:rPr>
          <w:rFonts w:hint="eastAsia"/>
          <w:szCs w:val="32"/>
        </w:rPr>
        <w:t>主动加强向交通运输厅、市交通运输局汇报衔接，及时掌握国家和省</w:t>
      </w:r>
      <w:r>
        <w:rPr>
          <w:szCs w:val="32"/>
        </w:rPr>
        <w:t>“</w:t>
      </w:r>
      <w:r>
        <w:rPr>
          <w:rFonts w:hint="eastAsia"/>
          <w:szCs w:val="32"/>
        </w:rPr>
        <w:t>十四五</w:t>
      </w:r>
      <w:r>
        <w:rPr>
          <w:szCs w:val="32"/>
        </w:rPr>
        <w:t>”</w:t>
      </w:r>
      <w:r>
        <w:rPr>
          <w:rFonts w:hint="eastAsia"/>
          <w:szCs w:val="32"/>
        </w:rPr>
        <w:t>规划政策机遇，争取将事关昭化区发展的重大项目纳入国家和省规划盘子争取支持。</w:t>
      </w:r>
      <w:r>
        <w:rPr>
          <w:rFonts w:hint="eastAsia"/>
        </w:rPr>
        <w:t>探索创新</w:t>
      </w:r>
      <w:r>
        <w:t>“BOT+EPC”“BOT+EPC+</w:t>
      </w:r>
      <w:r>
        <w:rPr>
          <w:rFonts w:hint="eastAsia"/>
        </w:rPr>
        <w:t>补助</w:t>
      </w:r>
      <w:r>
        <w:t>”“</w:t>
      </w:r>
      <w:r>
        <w:rPr>
          <w:rFonts w:hint="eastAsia"/>
        </w:rPr>
        <w:t>股权合作</w:t>
      </w:r>
      <w:r>
        <w:t>+EPC+</w:t>
      </w:r>
      <w:r>
        <w:rPr>
          <w:rFonts w:hint="eastAsia"/>
        </w:rPr>
        <w:t>补助</w:t>
      </w:r>
      <w:r>
        <w:t>”</w:t>
      </w:r>
      <w:r>
        <w:rPr>
          <w:rFonts w:hint="eastAsia"/>
        </w:rPr>
        <w:t>等建设模式在交通建设上的应用。将公路建设与其他见效快、收益高的产业打捆招商，政府与企业各自出资，共担风险、共享收益。加强金融投资政策研究，充分利用国家开发银行、国家商业银行和其他金融信贷机构的政策性贷款和商业贷款，最大限度争取支持。</w:t>
      </w:r>
    </w:p>
    <w:p>
      <w:pPr>
        <w:ind w:firstLine="643"/>
      </w:pPr>
      <w:r>
        <w:rPr>
          <w:rFonts w:hint="eastAsia" w:eastAsia="楷体_GB2312"/>
          <w:b/>
        </w:rPr>
        <w:t>（四）加强人才建设。</w:t>
      </w:r>
      <w:r>
        <w:rPr>
          <w:rFonts w:hint="eastAsia"/>
        </w:rPr>
        <w:t>进一步加强交通运输专业人才引进和培养，建设结构优化、素质优良的人才队伍，为全区交通运输科学发展和转型升级提供人才保障和智力支持。通过制定相关政策、建立激励机制，营造有利于人才聚集和成长的发展环境。根据生产、工作的实际需要，有目的、有针对性开展各类岗位培训、专业技术人员的知识、技术更新教育，全面提高交通职工队伍的政治素质和业务水平，充实交通职工队伍。</w:t>
      </w:r>
    </w:p>
    <w:p>
      <w:pPr>
        <w:ind w:firstLine="643"/>
      </w:pPr>
      <w:r>
        <w:rPr>
          <w:rFonts w:hint="eastAsia" w:eastAsia="楷体_GB2312"/>
          <w:b/>
        </w:rPr>
        <w:t>（五）强化督导考核。</w:t>
      </w:r>
      <w:r>
        <w:rPr>
          <w:rFonts w:hint="eastAsia"/>
        </w:rPr>
        <w:t>建立规划执行情况监测、评估和调整工作机制。实行规划项目建设进度定期报送制度，密切跟踪规划实施情况，及时协调解决实施过程中遇到的重大问题和困难，确保规划有序推进。持续监测规划实施中的内外部环境，及时把握交通运输发展出现的新情况、新问题，组织开展规划执行情况全面评估，适时调整规划和相关政策，进一步增强规划的指导性和可操作性。</w:t>
      </w:r>
    </w:p>
    <w:p>
      <w:pPr>
        <w:spacing w:line="600" w:lineRule="exact"/>
        <w:ind w:firstLine="643"/>
        <w:sectPr>
          <w:pgSz w:w="11905" w:h="16838"/>
          <w:pgMar w:top="2098" w:right="1587" w:bottom="1984" w:left="1474" w:header="851" w:footer="1559" w:gutter="0"/>
          <w:pgBorders>
            <w:top w:val="none" w:sz="0" w:space="0"/>
            <w:left w:val="none" w:sz="0" w:space="0"/>
            <w:bottom w:val="none" w:sz="0" w:space="0"/>
            <w:right w:val="none" w:sz="0" w:space="0"/>
          </w:pgBorders>
          <w:pgNumType w:fmt="decimal"/>
          <w:cols w:space="720" w:num="1"/>
          <w:rtlGutter w:val="0"/>
          <w:docGrid w:type="linesAndChars" w:linePitch="435" w:charSpace="0"/>
        </w:sectPr>
      </w:pPr>
      <w:r>
        <w:rPr>
          <w:rFonts w:hint="eastAsia" w:eastAsia="楷体_GB2312"/>
          <w:b/>
          <w:szCs w:val="32"/>
        </w:rPr>
        <w:t>（六）营造良好氛围。</w:t>
      </w:r>
      <w:r>
        <w:rPr>
          <w:rFonts w:hint="eastAsia"/>
          <w:kern w:val="0"/>
          <w:szCs w:val="32"/>
        </w:rPr>
        <w:t>交通建设最终目的是为了促进地方经济社会发展，为了让广大群众享受到高品质的交通基本公共服务，交通建设需要各部门密切配合、统筹协调、共同完成。规划实施过程中需要</w:t>
      </w:r>
      <w:r>
        <w:rPr>
          <w:rFonts w:hint="eastAsia"/>
          <w:szCs w:val="32"/>
        </w:rPr>
        <w:t>加强舆论宣传引导，巩固已有的交通发展成果，继续发扬全社会办交通的优良传统，营造大众积极广泛参与交通建设的良好氛围。同时，完善交通规划、建设、运营管理过程中的公众参与和监督机制，做好相关信息公示公开，保障群众可以通过合理的程序和渠道参与实施和监督工作。</w:t>
      </w:r>
    </w:p>
    <w:p>
      <w:pPr>
        <w:pStyle w:val="3"/>
        <w:adjustRightInd w:val="0"/>
        <w:snapToGrid w:val="0"/>
        <w:spacing w:before="435" w:beforeLines="100" w:after="435" w:afterLines="100"/>
        <w:ind w:firstLine="0" w:firstLineChars="0"/>
        <w:rPr>
          <w:rFonts w:hint="eastAsia" w:ascii="方正小标宋简体" w:hAnsi="方正小标宋简体" w:eastAsia="方正小标宋简体" w:cs="方正小标宋简体"/>
          <w:sz w:val="44"/>
        </w:rPr>
      </w:pPr>
      <w:bookmarkStart w:id="124" w:name="_Toc61624438"/>
      <w:bookmarkStart w:id="125" w:name="_Toc19148"/>
      <w:r>
        <w:rPr>
          <w:rFonts w:hint="eastAsia" w:ascii="方正小标宋简体" w:hAnsi="方正小标宋简体" w:eastAsia="方正小标宋简体" w:cs="方正小标宋简体"/>
          <w:sz w:val="44"/>
        </w:rPr>
        <w:t>附表</w:t>
      </w:r>
      <w:bookmarkEnd w:id="124"/>
      <w:bookmarkEnd w:id="125"/>
    </w:p>
    <w:p>
      <w:pPr>
        <w:widowControl/>
        <w:spacing w:line="240" w:lineRule="auto"/>
        <w:ind w:firstLine="0" w:firstLineChars="0"/>
        <w:jc w:val="center"/>
        <w:rPr>
          <w:rFonts w:eastAsia="黑体"/>
        </w:rPr>
      </w:pPr>
    </w:p>
    <w:p>
      <w:pPr>
        <w:widowControl/>
        <w:spacing w:line="240" w:lineRule="auto"/>
        <w:ind w:firstLine="0" w:firstLineChars="0"/>
        <w:jc w:val="center"/>
        <w:outlineLvl w:val="0"/>
        <w:rPr>
          <w:rFonts w:eastAsia="黑体"/>
        </w:rPr>
      </w:pPr>
      <w:bookmarkStart w:id="126" w:name="_Toc29674"/>
      <w:r>
        <w:rPr>
          <w:rFonts w:hint="eastAsia" w:eastAsia="黑体"/>
        </w:rPr>
        <w:t>附表</w:t>
      </w:r>
      <w:r>
        <w:rPr>
          <w:rFonts w:eastAsia="黑体"/>
        </w:rPr>
        <w:t>1</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航空建设项目</w:t>
      </w:r>
      <w:bookmarkEnd w:id="126"/>
    </w:p>
    <w:p>
      <w:pPr>
        <w:widowControl/>
        <w:spacing w:line="240" w:lineRule="auto"/>
        <w:ind w:firstLine="0" w:firstLineChars="0"/>
        <w:jc w:val="center"/>
        <w:rPr>
          <w:rFonts w:eastAsia="黑体"/>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714"/>
        <w:gridCol w:w="1216"/>
        <w:gridCol w:w="1856"/>
        <w:gridCol w:w="1219"/>
        <w:gridCol w:w="1128"/>
        <w:gridCol w:w="1306"/>
        <w:gridCol w:w="846"/>
        <w:gridCol w:w="85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3714"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121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规模</w:t>
            </w:r>
          </w:p>
          <w:p>
            <w:pPr>
              <w:widowControl/>
              <w:spacing w:line="240" w:lineRule="auto"/>
              <w:ind w:firstLine="0" w:firstLineChars="0"/>
              <w:jc w:val="center"/>
              <w:rPr>
                <w:rFonts w:eastAsia="黑体"/>
                <w:kern w:val="0"/>
                <w:sz w:val="21"/>
                <w:szCs w:val="21"/>
              </w:rPr>
            </w:pPr>
            <w:r>
              <w:rPr>
                <w:rFonts w:hint="eastAsia" w:eastAsia="黑体"/>
                <w:kern w:val="0"/>
                <w:sz w:val="21"/>
                <w:szCs w:val="21"/>
              </w:rPr>
              <w:t>（公里）</w:t>
            </w:r>
          </w:p>
        </w:tc>
        <w:tc>
          <w:tcPr>
            <w:tcW w:w="185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技术标准</w:t>
            </w:r>
          </w:p>
        </w:tc>
        <w:tc>
          <w:tcPr>
            <w:tcW w:w="1219"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建设性质</w:t>
            </w:r>
          </w:p>
        </w:tc>
        <w:tc>
          <w:tcPr>
            <w:tcW w:w="112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投资总额（万元）</w:t>
            </w:r>
          </w:p>
        </w:tc>
        <w:tc>
          <w:tcPr>
            <w:tcW w:w="130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规划期投资（万元）</w:t>
            </w:r>
          </w:p>
        </w:tc>
        <w:tc>
          <w:tcPr>
            <w:tcW w:w="1702"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建设时序</w:t>
            </w:r>
          </w:p>
        </w:tc>
        <w:tc>
          <w:tcPr>
            <w:tcW w:w="90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371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85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1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84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85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c>
          <w:tcPr>
            <w:tcW w:w="906" w:type="dxa"/>
            <w:vMerge w:val="continue"/>
            <w:tcBorders>
              <w:top w:val="single" w:color="auto" w:sz="4" w:space="0"/>
              <w:left w:val="single" w:color="auto" w:sz="4" w:space="0"/>
              <w:bottom w:val="single" w:color="auto" w:sz="4" w:space="0"/>
              <w:right w:val="single" w:color="auto" w:sz="4" w:space="0"/>
            </w:tcBorders>
            <w:shd w:val="clear" w:color="000000" w:fill="B4C6E7"/>
            <w:noWrap w:val="0"/>
            <w:vAlign w:val="top"/>
          </w:tcPr>
          <w:p>
            <w:pPr>
              <w:widowControl/>
              <w:spacing w:line="240" w:lineRule="auto"/>
              <w:ind w:firstLine="0" w:firstLineChars="0"/>
              <w:jc w:val="center"/>
              <w:rPr>
                <w:rFonts w:eastAsia="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371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盘龙机场改扩建</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改扩建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2024</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hint="eastAsia" w:eastAsia="宋体"/>
                <w:kern w:val="0"/>
                <w:sz w:val="21"/>
                <w:szCs w:val="21"/>
              </w:rPr>
              <w:t>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w:t>
            </w:r>
          </w:p>
        </w:tc>
        <w:tc>
          <w:tcPr>
            <w:tcW w:w="371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bookmarkStart w:id="127" w:name="_Hlk98184574"/>
            <w:r>
              <w:rPr>
                <w:rFonts w:hint="eastAsia"/>
                <w:kern w:val="0"/>
                <w:sz w:val="21"/>
                <w:szCs w:val="21"/>
              </w:rPr>
              <w:t>柏林沟森林防火直升机停机坪</w:t>
            </w:r>
            <w:bookmarkEnd w:id="127"/>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highlight w:val="yellow"/>
              </w:rPr>
            </w:pP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highlight w:val="yellow"/>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100</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100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90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9"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kern w:val="0"/>
                <w:sz w:val="21"/>
                <w:szCs w:val="21"/>
              </w:rPr>
            </w:pPr>
            <w:r>
              <w:rPr>
                <w:rFonts w:hint="eastAsia"/>
                <w:b/>
                <w:kern w:val="0"/>
                <w:sz w:val="21"/>
                <w:szCs w:val="21"/>
              </w:rPr>
              <w:t>合计</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r>
              <w:rPr>
                <w:b/>
                <w:kern w:val="0"/>
                <w:sz w:val="21"/>
                <w:szCs w:val="21"/>
              </w:rPr>
              <w:t>100</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r>
              <w:rPr>
                <w:b/>
                <w:kern w:val="0"/>
                <w:sz w:val="21"/>
                <w:szCs w:val="21"/>
              </w:rPr>
              <w:t>100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kern w:val="0"/>
                <w:sz w:val="21"/>
                <w:szCs w:val="21"/>
              </w:rPr>
            </w:pPr>
          </w:p>
        </w:tc>
      </w:tr>
    </w:tbl>
    <w:p>
      <w:pPr>
        <w:ind w:firstLine="640"/>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outlineLvl w:val="0"/>
        <w:rPr>
          <w:rFonts w:eastAsia="黑体"/>
        </w:rPr>
      </w:pPr>
      <w:bookmarkStart w:id="128" w:name="_Toc25555"/>
      <w:r>
        <w:rPr>
          <w:rFonts w:hint="eastAsia" w:eastAsia="黑体"/>
        </w:rPr>
        <w:t>附表</w:t>
      </w:r>
      <w:r>
        <w:rPr>
          <w:rFonts w:eastAsia="黑体"/>
        </w:rPr>
        <w:t>2</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铁路建设项目</w:t>
      </w:r>
      <w:bookmarkEnd w:id="128"/>
    </w:p>
    <w:p>
      <w:pPr>
        <w:widowControl/>
        <w:spacing w:line="240" w:lineRule="auto"/>
        <w:ind w:firstLine="0" w:firstLineChars="0"/>
        <w:jc w:val="center"/>
        <w:rPr>
          <w:rFonts w:eastAsia="黑体"/>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36"/>
        <w:gridCol w:w="1216"/>
        <w:gridCol w:w="1856"/>
        <w:gridCol w:w="1219"/>
        <w:gridCol w:w="1128"/>
        <w:gridCol w:w="1306"/>
        <w:gridCol w:w="846"/>
        <w:gridCol w:w="856"/>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820"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2736"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121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规模</w:t>
            </w:r>
          </w:p>
          <w:p>
            <w:pPr>
              <w:widowControl/>
              <w:spacing w:line="240" w:lineRule="auto"/>
              <w:ind w:firstLine="0" w:firstLineChars="0"/>
              <w:jc w:val="center"/>
              <w:rPr>
                <w:rFonts w:eastAsia="黑体"/>
                <w:kern w:val="0"/>
                <w:sz w:val="21"/>
                <w:szCs w:val="21"/>
              </w:rPr>
            </w:pPr>
            <w:r>
              <w:rPr>
                <w:rFonts w:hint="eastAsia" w:eastAsia="黑体"/>
                <w:kern w:val="0"/>
                <w:sz w:val="21"/>
                <w:szCs w:val="21"/>
              </w:rPr>
              <w:t>（公里）</w:t>
            </w:r>
          </w:p>
        </w:tc>
        <w:tc>
          <w:tcPr>
            <w:tcW w:w="185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技术标准</w:t>
            </w:r>
          </w:p>
        </w:tc>
        <w:tc>
          <w:tcPr>
            <w:tcW w:w="1219"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建设性质</w:t>
            </w:r>
          </w:p>
        </w:tc>
        <w:tc>
          <w:tcPr>
            <w:tcW w:w="112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投资总额（万元）</w:t>
            </w:r>
          </w:p>
        </w:tc>
        <w:tc>
          <w:tcPr>
            <w:tcW w:w="130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规划期投资（万元）</w:t>
            </w:r>
          </w:p>
        </w:tc>
        <w:tc>
          <w:tcPr>
            <w:tcW w:w="1702"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建设时序</w:t>
            </w:r>
          </w:p>
        </w:tc>
        <w:tc>
          <w:tcPr>
            <w:tcW w:w="147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8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273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85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1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84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85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c>
          <w:tcPr>
            <w:tcW w:w="1478" w:type="dxa"/>
            <w:vMerge w:val="continue"/>
            <w:tcBorders>
              <w:top w:val="single" w:color="auto" w:sz="4" w:space="0"/>
              <w:left w:val="single" w:color="auto" w:sz="4" w:space="0"/>
              <w:bottom w:val="single" w:color="auto" w:sz="4" w:space="0"/>
              <w:right w:val="single" w:color="auto" w:sz="4" w:space="0"/>
            </w:tcBorders>
            <w:shd w:val="clear" w:color="000000" w:fill="B4C6E7"/>
            <w:noWrap w:val="0"/>
            <w:vAlign w:val="top"/>
          </w:tcPr>
          <w:p>
            <w:pPr>
              <w:widowControl/>
              <w:spacing w:line="240" w:lineRule="auto"/>
              <w:ind w:firstLine="0" w:firstLineChars="0"/>
              <w:jc w:val="center"/>
              <w:rPr>
                <w:rFonts w:eastAsia="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w:t>
            </w:r>
          </w:p>
        </w:tc>
        <w:tc>
          <w:tcPr>
            <w:tcW w:w="27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广元经巴中至达州高铁</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eastAsia="宋体"/>
                <w:kern w:val="0"/>
                <w:sz w:val="21"/>
                <w:szCs w:val="21"/>
              </w:rPr>
              <w:t>350km/h</w:t>
            </w:r>
            <w:r>
              <w:rPr>
                <w:rFonts w:hint="eastAsia" w:eastAsia="宋体"/>
                <w:kern w:val="0"/>
                <w:sz w:val="21"/>
                <w:szCs w:val="21"/>
              </w:rPr>
              <w:t>高速铁路</w:t>
            </w: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2028</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2033</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w:t>
            </w:r>
          </w:p>
        </w:tc>
        <w:tc>
          <w:tcPr>
            <w:tcW w:w="27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兰渝高铁</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eastAsia="宋体"/>
                <w:kern w:val="0"/>
                <w:sz w:val="21"/>
                <w:szCs w:val="21"/>
              </w:rPr>
              <w:t>350km/h</w:t>
            </w:r>
            <w:r>
              <w:rPr>
                <w:rFonts w:hint="eastAsia" w:eastAsia="宋体"/>
                <w:kern w:val="0"/>
                <w:sz w:val="21"/>
                <w:szCs w:val="21"/>
              </w:rPr>
              <w:t>高速铁路</w:t>
            </w: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2026</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2029</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w:t>
            </w:r>
          </w:p>
        </w:tc>
        <w:tc>
          <w:tcPr>
            <w:tcW w:w="27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广元至巴中铁路扩能改造（含柳桥广元东站））</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158</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eastAsia="宋体"/>
                <w:kern w:val="0"/>
                <w:sz w:val="21"/>
                <w:szCs w:val="21"/>
              </w:rPr>
              <w:t xml:space="preserve">I </w:t>
            </w:r>
            <w:r>
              <w:rPr>
                <w:rFonts w:hint="eastAsia" w:eastAsia="宋体"/>
                <w:kern w:val="0"/>
                <w:sz w:val="21"/>
                <w:szCs w:val="21"/>
              </w:rPr>
              <w:t>级，</w:t>
            </w:r>
            <w:r>
              <w:rPr>
                <w:rFonts w:eastAsia="宋体"/>
                <w:kern w:val="0"/>
                <w:sz w:val="21"/>
                <w:szCs w:val="21"/>
              </w:rPr>
              <w:t>160km/h</w:t>
            </w: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改造</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2024</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国家投资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exac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w:t>
            </w:r>
          </w:p>
        </w:tc>
        <w:tc>
          <w:tcPr>
            <w:tcW w:w="27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bookmarkStart w:id="129" w:name="_Hlk69215141"/>
            <w:r>
              <w:rPr>
                <w:rFonts w:hint="eastAsia" w:ascii="宋体" w:hAnsi="宋体" w:cs="宋体"/>
                <w:kern w:val="0"/>
                <w:sz w:val="21"/>
                <w:szCs w:val="21"/>
              </w:rPr>
              <w:t>明觉五房至广元港红岩作业区进港铁路</w:t>
            </w:r>
            <w:bookmarkEnd w:id="129"/>
            <w:r>
              <w:rPr>
                <w:rFonts w:hint="eastAsia" w:ascii="宋体" w:hAnsi="宋体" w:cs="宋体"/>
                <w:kern w:val="0"/>
                <w:sz w:val="21"/>
                <w:szCs w:val="21"/>
              </w:rPr>
              <w:t>项目</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17.7</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eastAsia="宋体"/>
                <w:kern w:val="0"/>
                <w:sz w:val="21"/>
                <w:szCs w:val="21"/>
              </w:rPr>
              <w:t xml:space="preserve">I </w:t>
            </w:r>
            <w:r>
              <w:rPr>
                <w:rFonts w:hint="eastAsia" w:eastAsia="宋体"/>
                <w:kern w:val="0"/>
                <w:sz w:val="21"/>
                <w:szCs w:val="21"/>
              </w:rPr>
              <w:t>级</w:t>
            </w: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41600</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2026</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2028</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jc w:val="center"/>
        </w:trPr>
        <w:tc>
          <w:tcPr>
            <w:tcW w:w="82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宋体" w:eastAsia="宋体" w:cs="宋体"/>
                <w:kern w:val="0"/>
                <w:sz w:val="21"/>
                <w:szCs w:val="21"/>
              </w:rPr>
            </w:pPr>
            <w:r>
              <w:rPr>
                <w:rFonts w:eastAsia="宋体"/>
                <w:kern w:val="0"/>
                <w:sz w:val="21"/>
                <w:szCs w:val="21"/>
              </w:rPr>
              <w:t>5</w:t>
            </w:r>
          </w:p>
        </w:tc>
        <w:tc>
          <w:tcPr>
            <w:tcW w:w="27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eastAsia="宋体" w:cs="宋体"/>
                <w:kern w:val="0"/>
                <w:sz w:val="21"/>
                <w:szCs w:val="21"/>
              </w:rPr>
            </w:pPr>
            <w:r>
              <w:rPr>
                <w:rFonts w:hint="eastAsia" w:ascii="宋体" w:hAnsi="宋体" w:cs="宋体"/>
                <w:kern w:val="0"/>
                <w:sz w:val="21"/>
                <w:szCs w:val="21"/>
              </w:rPr>
              <w:t>红卫货运站改建</w:t>
            </w:r>
          </w:p>
        </w:tc>
        <w:tc>
          <w:tcPr>
            <w:tcW w:w="121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eastAsia="宋体" w:cs="宋体"/>
                <w:kern w:val="0"/>
                <w:sz w:val="21"/>
                <w:szCs w:val="21"/>
              </w:rPr>
            </w:pPr>
            <w:r>
              <w:rPr>
                <w:rFonts w:eastAsia="宋体"/>
                <w:kern w:val="0"/>
                <w:sz w:val="21"/>
                <w:szCs w:val="21"/>
              </w:rPr>
              <w:t>——</w:t>
            </w:r>
          </w:p>
        </w:tc>
        <w:tc>
          <w:tcPr>
            <w:tcW w:w="1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eastAsia="宋体" w:cs="宋体"/>
                <w:kern w:val="0"/>
                <w:sz w:val="21"/>
                <w:szCs w:val="21"/>
              </w:rPr>
            </w:pPr>
            <w:r>
              <w:rPr>
                <w:rFonts w:hint="eastAsia" w:ascii="宋体" w:hAnsi="宋体" w:cs="宋体"/>
                <w:kern w:val="0"/>
                <w:sz w:val="21"/>
                <w:szCs w:val="21"/>
              </w:rPr>
              <w:t>增加客运功能</w:t>
            </w: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eastAsia="宋体" w:cs="宋体"/>
                <w:kern w:val="0"/>
                <w:sz w:val="21"/>
                <w:szCs w:val="21"/>
              </w:rPr>
            </w:pPr>
            <w:r>
              <w:rPr>
                <w:rFonts w:hint="eastAsia" w:ascii="宋体" w:hAnsi="宋体" w:cs="宋体"/>
                <w:kern w:val="0"/>
                <w:sz w:val="21"/>
                <w:szCs w:val="21"/>
              </w:rPr>
              <w:t>新改建</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35000</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2026</w:t>
            </w: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2027</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847"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kern w:val="0"/>
                <w:sz w:val="21"/>
                <w:szCs w:val="21"/>
              </w:rPr>
            </w:pPr>
            <w:r>
              <w:rPr>
                <w:rFonts w:hint="eastAsia"/>
                <w:b/>
                <w:kern w:val="0"/>
                <w:sz w:val="21"/>
                <w:szCs w:val="21"/>
              </w:rPr>
              <w:t>合计</w:t>
            </w:r>
          </w:p>
        </w:tc>
        <w:tc>
          <w:tcPr>
            <w:tcW w:w="11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r>
              <w:rPr>
                <w:b/>
                <w:kern w:val="0"/>
                <w:sz w:val="21"/>
                <w:szCs w:val="21"/>
              </w:rPr>
              <w:t>76600</w:t>
            </w:r>
          </w:p>
        </w:tc>
        <w:tc>
          <w:tcPr>
            <w:tcW w:w="13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r>
              <w:rPr>
                <w:rFonts w:eastAsia="宋体"/>
                <w:kern w:val="0"/>
                <w:sz w:val="21"/>
                <w:szCs w:val="21"/>
              </w:rPr>
              <w:t>——</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p>
        </w:tc>
        <w:tc>
          <w:tcPr>
            <w:tcW w:w="8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kern w:val="0"/>
                <w:sz w:val="21"/>
                <w:szCs w:val="21"/>
              </w:rPr>
            </w:pPr>
          </w:p>
        </w:tc>
        <w:tc>
          <w:tcPr>
            <w:tcW w:w="1478"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center"/>
              <w:rPr>
                <w:rFonts w:eastAsia="宋体"/>
                <w:kern w:val="0"/>
                <w:sz w:val="21"/>
                <w:szCs w:val="21"/>
              </w:rPr>
            </w:pPr>
          </w:p>
        </w:tc>
      </w:tr>
    </w:tbl>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outlineLvl w:val="0"/>
        <w:rPr>
          <w:rFonts w:eastAsia="黑体"/>
        </w:rPr>
      </w:pPr>
      <w:bookmarkStart w:id="130" w:name="_Toc1729"/>
      <w:r>
        <w:rPr>
          <w:rFonts w:hint="eastAsia" w:eastAsia="黑体"/>
        </w:rPr>
        <w:t>附表</w:t>
      </w:r>
      <w:r>
        <w:rPr>
          <w:rFonts w:eastAsia="黑体"/>
        </w:rPr>
        <w:t>3</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公路建设项目</w:t>
      </w:r>
      <w:bookmarkEnd w:id="130"/>
    </w:p>
    <w:p>
      <w:pPr>
        <w:widowControl/>
        <w:spacing w:line="240" w:lineRule="auto"/>
        <w:ind w:firstLine="0" w:firstLineChars="0"/>
        <w:jc w:val="cente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48"/>
        <w:gridCol w:w="1134"/>
        <w:gridCol w:w="1091"/>
        <w:gridCol w:w="1177"/>
        <w:gridCol w:w="1134"/>
        <w:gridCol w:w="1275"/>
        <w:gridCol w:w="851"/>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9"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4248"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里程</w:t>
            </w:r>
            <w:r>
              <w:rPr>
                <w:rFonts w:eastAsia="黑体"/>
                <w:kern w:val="0"/>
                <w:sz w:val="21"/>
                <w:szCs w:val="21"/>
              </w:rPr>
              <w:t xml:space="preserve"> </w:t>
            </w:r>
          </w:p>
          <w:p>
            <w:pPr>
              <w:widowControl/>
              <w:spacing w:line="240" w:lineRule="auto"/>
              <w:ind w:firstLine="0" w:firstLineChars="0"/>
              <w:jc w:val="center"/>
              <w:rPr>
                <w:rFonts w:eastAsia="黑体"/>
                <w:kern w:val="0"/>
                <w:sz w:val="21"/>
                <w:szCs w:val="21"/>
              </w:rPr>
            </w:pPr>
            <w:r>
              <w:rPr>
                <w:rFonts w:hint="eastAsia" w:eastAsia="黑体"/>
                <w:kern w:val="0"/>
                <w:sz w:val="21"/>
                <w:szCs w:val="21"/>
              </w:rPr>
              <w:t>（公里）</w:t>
            </w:r>
          </w:p>
        </w:tc>
        <w:tc>
          <w:tcPr>
            <w:tcW w:w="1091"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技术标准</w:t>
            </w:r>
          </w:p>
        </w:tc>
        <w:tc>
          <w:tcPr>
            <w:tcW w:w="1177"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建设性质</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投资总额（万元）</w:t>
            </w:r>
          </w:p>
        </w:tc>
        <w:tc>
          <w:tcPr>
            <w:tcW w:w="1275"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规划期投资（万元）</w:t>
            </w:r>
          </w:p>
        </w:tc>
        <w:tc>
          <w:tcPr>
            <w:tcW w:w="1701"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建设时序</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42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09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7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850"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c>
          <w:tcPr>
            <w:tcW w:w="1134" w:type="dxa"/>
            <w:vMerge w:val="continue"/>
            <w:tcBorders>
              <w:top w:val="single" w:color="auto" w:sz="4" w:space="0"/>
              <w:left w:val="single" w:color="auto" w:sz="4" w:space="0"/>
              <w:bottom w:val="single" w:color="auto" w:sz="4" w:space="0"/>
              <w:right w:val="single" w:color="auto" w:sz="4" w:space="0"/>
            </w:tcBorders>
            <w:shd w:val="clear" w:color="000000" w:fill="B4C6E7"/>
            <w:noWrap w:val="0"/>
            <w:vAlign w:val="top"/>
          </w:tcPr>
          <w:p>
            <w:pPr>
              <w:widowControl/>
              <w:spacing w:line="240" w:lineRule="auto"/>
              <w:ind w:firstLine="0" w:firstLineChars="0"/>
              <w:jc w:val="center"/>
              <w:rPr>
                <w:rFonts w:eastAsia="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color w:val="000000"/>
                <w:kern w:val="0"/>
                <w:sz w:val="21"/>
                <w:szCs w:val="21"/>
              </w:rPr>
            </w:pPr>
            <w:r>
              <w:rPr>
                <w:rFonts w:hint="eastAsia"/>
                <w:b/>
                <w:bCs/>
                <w:color w:val="000000"/>
                <w:kern w:val="0"/>
                <w:sz w:val="21"/>
                <w:szCs w:val="21"/>
              </w:rPr>
              <w:t>一、高速公路及连接线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202.2</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color w:val="000000"/>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56477</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43477</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color w:val="000000"/>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color w:val="000000"/>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sz w:val="21"/>
                <w:szCs w:val="21"/>
              </w:rPr>
              <w:t>G5</w:t>
            </w:r>
            <w:r>
              <w:rPr>
                <w:rFonts w:hint="eastAsia"/>
                <w:sz w:val="21"/>
                <w:szCs w:val="21"/>
              </w:rPr>
              <w:t>京昆高速广元至绵阳（红岩互通）、广元至川陕界段（泉坝超级服务区）扩容工程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194</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高速公路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国家投资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G75</w:t>
            </w:r>
            <w:r>
              <w:rPr>
                <w:rFonts w:hint="eastAsia"/>
                <w:color w:val="000000"/>
                <w:kern w:val="0"/>
                <w:sz w:val="21"/>
                <w:szCs w:val="21"/>
              </w:rPr>
              <w:t>兰海高速新增柏林沟互通式立交工程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11477</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11477</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G75</w:t>
            </w:r>
            <w:r>
              <w:rPr>
                <w:rFonts w:hint="eastAsia"/>
                <w:color w:val="000000"/>
                <w:kern w:val="0"/>
                <w:sz w:val="21"/>
                <w:szCs w:val="21"/>
              </w:rPr>
              <w:t>兰海高速昭化战胜出口</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4.8</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23000</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G5</w:t>
            </w:r>
            <w:r>
              <w:rPr>
                <w:rFonts w:hint="eastAsia"/>
                <w:color w:val="000000"/>
                <w:kern w:val="0"/>
                <w:sz w:val="21"/>
                <w:szCs w:val="21"/>
              </w:rPr>
              <w:t>绵广高速扩容红岩出口连接线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22000</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r>
              <w:rPr>
                <w:rFonts w:hint="eastAsia"/>
                <w:b/>
                <w:bCs/>
                <w:kern w:val="0"/>
                <w:sz w:val="21"/>
                <w:szCs w:val="21"/>
              </w:rPr>
              <w:t>二、国省干线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132.2</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565462</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502162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left"/>
              <w:rPr>
                <w:color w:val="000000"/>
                <w:kern w:val="0"/>
                <w:sz w:val="21"/>
                <w:szCs w:val="21"/>
              </w:rPr>
            </w:pPr>
            <w:r>
              <w:rPr>
                <w:color w:val="000000"/>
                <w:kern w:val="0"/>
                <w:sz w:val="21"/>
                <w:szCs w:val="21"/>
              </w:rPr>
              <w:t>G212</w:t>
            </w:r>
            <w:r>
              <w:rPr>
                <w:rFonts w:hint="eastAsia" w:ascii="宋体" w:hAnsi="宋体" w:cs="宋体"/>
                <w:color w:val="000000"/>
                <w:kern w:val="0"/>
                <w:sz w:val="21"/>
                <w:szCs w:val="21"/>
              </w:rPr>
              <w:t>昭化城区元坝镇过境（乔家沟至肖家河）段工程（含韩家垭隧道）</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23.7</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一级公路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254700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254700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w:t>
            </w:r>
          </w:p>
        </w:tc>
        <w:tc>
          <w:tcPr>
            <w:tcW w:w="4248"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jc w:val="left"/>
              <w:rPr>
                <w:color w:val="000000"/>
                <w:kern w:val="0"/>
                <w:sz w:val="21"/>
                <w:szCs w:val="21"/>
              </w:rPr>
            </w:pPr>
            <w:r>
              <w:rPr>
                <w:sz w:val="21"/>
                <w:szCs w:val="21"/>
              </w:rPr>
              <w:t>G542</w:t>
            </w:r>
            <w:r>
              <w:rPr>
                <w:rFonts w:hint="eastAsia"/>
                <w:sz w:val="21"/>
                <w:szCs w:val="21"/>
              </w:rPr>
              <w:t>泉坝（利州界）至白水（旺苍界）改线工程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一级公路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130000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130000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S205</w:t>
            </w:r>
            <w:r>
              <w:rPr>
                <w:rFonts w:hint="eastAsia"/>
                <w:color w:val="000000"/>
                <w:kern w:val="0"/>
                <w:sz w:val="21"/>
                <w:szCs w:val="21"/>
              </w:rPr>
              <w:t>昭化区昭化镇过境（摆宴坝至白骨塔）段改线工程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12.4</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28490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28490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S205</w:t>
            </w:r>
            <w:r>
              <w:rPr>
                <w:rFonts w:hint="eastAsia"/>
                <w:color w:val="000000"/>
                <w:kern w:val="0"/>
                <w:sz w:val="21"/>
                <w:szCs w:val="21"/>
              </w:rPr>
              <w:t>昭化至朝阳段道路改建工程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10.7</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18972</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18972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黄莲铺至柏杨大桥段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textAlignment w:val="center"/>
              <w:rPr>
                <w:color w:val="000000"/>
                <w:kern w:val="0"/>
                <w:sz w:val="21"/>
                <w:szCs w:val="21"/>
              </w:rPr>
            </w:pPr>
            <w:r>
              <w:rPr>
                <w:sz w:val="21"/>
                <w:szCs w:val="21"/>
              </w:rPr>
              <w:t>S224</w:t>
            </w:r>
            <w:r>
              <w:rPr>
                <w:rFonts w:hint="eastAsia"/>
                <w:sz w:val="21"/>
                <w:szCs w:val="21"/>
              </w:rPr>
              <w:t>昭化区红岩镇至磨滩镇（旺苍界）段改建工程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61.2</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109800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60000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sz w:val="21"/>
                <w:szCs w:val="21"/>
              </w:rPr>
              <w:t>S521</w:t>
            </w:r>
            <w:r>
              <w:rPr>
                <w:rFonts w:hint="eastAsia"/>
                <w:sz w:val="21"/>
                <w:szCs w:val="21"/>
              </w:rPr>
              <w:t>昭化区虎跳镇（剑阁木马）至虎跳大桥段改建工程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10.1</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23500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bCs/>
                <w:kern w:val="0"/>
                <w:sz w:val="21"/>
                <w:szCs w:val="21"/>
              </w:rPr>
              <w:t>三、快速通道及经济干线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101.86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bCs/>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bCs/>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14090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14090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昭化区宝红路（昭化古城至龙转弯段）改扩建工程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1.86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2090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2090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rPr>
                <w:color w:val="000000"/>
                <w:kern w:val="0"/>
                <w:sz w:val="21"/>
                <w:szCs w:val="21"/>
              </w:rPr>
            </w:pPr>
            <w:r>
              <w:rPr>
                <w:rFonts w:hint="eastAsia"/>
                <w:color w:val="000000"/>
                <w:kern w:val="0"/>
                <w:sz w:val="21"/>
                <w:szCs w:val="21"/>
              </w:rPr>
              <w:t>农业产业园区道路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100</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四级公路</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color w:val="000000"/>
                <w:kern w:val="0"/>
                <w:sz w:val="21"/>
                <w:szCs w:val="21"/>
              </w:rPr>
            </w:pPr>
            <w:r>
              <w:rPr>
                <w:color w:val="000000"/>
                <w:kern w:val="0"/>
                <w:sz w:val="21"/>
                <w:szCs w:val="21"/>
              </w:rPr>
              <w:t>2024</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b/>
                <w:bCs/>
                <w:color w:val="000000"/>
                <w:kern w:val="0"/>
                <w:sz w:val="21"/>
                <w:szCs w:val="21"/>
              </w:rPr>
              <w:t>四、美丽乡村路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215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bCs/>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b/>
                <w:bCs/>
                <w:color w:val="000000"/>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410544</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410544</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X165</w:t>
            </w:r>
            <w:r>
              <w:rPr>
                <w:rFonts w:hint="eastAsia"/>
                <w:color w:val="000000"/>
                <w:kern w:val="0"/>
                <w:sz w:val="21"/>
                <w:szCs w:val="21"/>
              </w:rPr>
              <w:t>射箭乡至红岩镇公路（射箭场镇至红岩大桥）改建工程</w:t>
            </w:r>
          </w:p>
          <w:p>
            <w:pPr>
              <w:widowControl/>
              <w:spacing w:line="240" w:lineRule="auto"/>
              <w:ind w:firstLine="0" w:firstLineChars="0"/>
              <w:jc w:val="left"/>
              <w:rPr>
                <w:color w:val="000000"/>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15.5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102838</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102838</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2018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X174</w:t>
            </w:r>
            <w:r>
              <w:rPr>
                <w:rFonts w:hint="eastAsia"/>
                <w:color w:val="000000"/>
                <w:kern w:val="0"/>
                <w:sz w:val="21"/>
                <w:szCs w:val="21"/>
              </w:rPr>
              <w:t>虎跳镇至青牛乡公路（南流大桥至青牛）段改建工程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22000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22000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Y167</w:t>
            </w:r>
            <w:r>
              <w:rPr>
                <w:rFonts w:hint="eastAsia"/>
                <w:color w:val="000000"/>
                <w:kern w:val="0"/>
                <w:sz w:val="21"/>
                <w:szCs w:val="21"/>
              </w:rPr>
              <w:t>卫子镇</w:t>
            </w:r>
            <w:r>
              <w:rPr>
                <w:color w:val="000000"/>
                <w:kern w:val="0"/>
                <w:sz w:val="21"/>
                <w:szCs w:val="21"/>
              </w:rPr>
              <w:t>-</w:t>
            </w:r>
            <w:r>
              <w:rPr>
                <w:rFonts w:hint="eastAsia"/>
                <w:color w:val="000000"/>
                <w:kern w:val="0"/>
                <w:sz w:val="21"/>
                <w:szCs w:val="21"/>
              </w:rPr>
              <w:t>新荣村公路（蒲家桥至新荣村）段改建工程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四级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X168/X169</w:t>
            </w:r>
            <w:r>
              <w:rPr>
                <w:rFonts w:hint="eastAsia"/>
                <w:color w:val="000000"/>
                <w:kern w:val="0"/>
                <w:sz w:val="21"/>
                <w:szCs w:val="21"/>
              </w:rPr>
              <w:t>王家镇至工农水库段公路改建工程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16.2</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21800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21800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Y142/Y154/X169</w:t>
            </w:r>
            <w:r>
              <w:rPr>
                <w:rFonts w:hint="eastAsia"/>
                <w:color w:val="000000"/>
                <w:kern w:val="0"/>
                <w:sz w:val="21"/>
                <w:szCs w:val="21"/>
              </w:rPr>
              <w:t>磨滩镇（长青村龙潭河经至旺苍界）段公路改建工程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15.1</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32000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32000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X161/X175</w:t>
            </w:r>
            <w:r>
              <w:rPr>
                <w:rFonts w:hint="eastAsia"/>
                <w:color w:val="000000"/>
                <w:kern w:val="0"/>
                <w:sz w:val="21"/>
                <w:szCs w:val="21"/>
              </w:rPr>
              <w:t>虎跳大桥至清水段改建工程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15.6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30712</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30712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7</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X164</w:t>
            </w:r>
            <w:r>
              <w:rPr>
                <w:rFonts w:hint="eastAsia"/>
                <w:color w:val="000000"/>
                <w:kern w:val="0"/>
                <w:sz w:val="21"/>
                <w:szCs w:val="21"/>
              </w:rPr>
              <w:t>广元</w:t>
            </w:r>
            <w:r>
              <w:rPr>
                <w:color w:val="000000"/>
                <w:kern w:val="0"/>
                <w:sz w:val="21"/>
                <w:szCs w:val="21"/>
              </w:rPr>
              <w:t>-</w:t>
            </w:r>
            <w:r>
              <w:rPr>
                <w:rFonts w:hint="eastAsia"/>
                <w:color w:val="000000"/>
                <w:kern w:val="0"/>
                <w:sz w:val="21"/>
                <w:szCs w:val="21"/>
              </w:rPr>
              <w:t>红岩镇公路（广吉大桥至潼梓观）段改建工程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14500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14500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X170</w:t>
            </w:r>
            <w:r>
              <w:rPr>
                <w:rFonts w:hint="eastAsia"/>
                <w:color w:val="000000"/>
                <w:kern w:val="0"/>
                <w:sz w:val="21"/>
                <w:szCs w:val="21"/>
              </w:rPr>
              <w:t>白水镇</w:t>
            </w:r>
            <w:r>
              <w:rPr>
                <w:color w:val="000000"/>
                <w:kern w:val="0"/>
                <w:sz w:val="21"/>
                <w:szCs w:val="21"/>
              </w:rPr>
              <w:t>-</w:t>
            </w:r>
            <w:r>
              <w:rPr>
                <w:rFonts w:hint="eastAsia"/>
                <w:color w:val="000000"/>
                <w:kern w:val="0"/>
                <w:sz w:val="21"/>
                <w:szCs w:val="21"/>
              </w:rPr>
              <w:t>大朝乡公路（潼梓观至金花村）段改建工程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13.5</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14850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14850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9</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X175/X178</w:t>
            </w:r>
            <w:r>
              <w:rPr>
                <w:rFonts w:hint="eastAsia"/>
                <w:color w:val="000000"/>
                <w:kern w:val="0"/>
                <w:sz w:val="21"/>
                <w:szCs w:val="21"/>
              </w:rPr>
              <w:t>南流大桥至木马镇段改建工程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12.4</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25000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10</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X180</w:t>
            </w:r>
            <w:r>
              <w:rPr>
                <w:rFonts w:hint="eastAsia"/>
                <w:color w:val="000000"/>
                <w:kern w:val="0"/>
                <w:sz w:val="21"/>
                <w:szCs w:val="21"/>
              </w:rPr>
              <w:t>黄龙乡</w:t>
            </w:r>
            <w:r>
              <w:rPr>
                <w:color w:val="000000"/>
                <w:kern w:val="0"/>
                <w:sz w:val="21"/>
                <w:szCs w:val="21"/>
              </w:rPr>
              <w:t>-</w:t>
            </w:r>
            <w:r>
              <w:rPr>
                <w:rFonts w:hint="eastAsia"/>
                <w:color w:val="000000"/>
                <w:kern w:val="0"/>
                <w:sz w:val="21"/>
                <w:szCs w:val="21"/>
              </w:rPr>
              <w:t>石井铺公路（太平村至黄龙场镇）段改建工程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11</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X170</w:t>
            </w:r>
            <w:r>
              <w:rPr>
                <w:rFonts w:hint="eastAsia"/>
                <w:color w:val="000000"/>
                <w:kern w:val="0"/>
                <w:sz w:val="21"/>
                <w:szCs w:val="21"/>
              </w:rPr>
              <w:t>白水镇</w:t>
            </w:r>
            <w:r>
              <w:rPr>
                <w:color w:val="000000"/>
                <w:kern w:val="0"/>
                <w:sz w:val="21"/>
                <w:szCs w:val="21"/>
              </w:rPr>
              <w:t>-</w:t>
            </w:r>
            <w:r>
              <w:rPr>
                <w:rFonts w:hint="eastAsia"/>
                <w:color w:val="000000"/>
                <w:kern w:val="0"/>
                <w:sz w:val="21"/>
                <w:szCs w:val="21"/>
              </w:rPr>
              <w:t>大朝乡公路（黑水塘至射箭场镇）段改建工程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8.1</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二级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12150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12150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12</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Y137/Y180</w:t>
            </w:r>
            <w:r>
              <w:rPr>
                <w:rFonts w:hint="eastAsia"/>
                <w:color w:val="000000"/>
                <w:kern w:val="0"/>
                <w:sz w:val="21"/>
                <w:szCs w:val="21"/>
              </w:rPr>
              <w:t>柏林沟至</w:t>
            </w:r>
            <w:r>
              <w:rPr>
                <w:color w:val="000000"/>
                <w:kern w:val="0"/>
                <w:sz w:val="21"/>
                <w:szCs w:val="21"/>
              </w:rPr>
              <w:t>G212</w:t>
            </w:r>
            <w:r>
              <w:rPr>
                <w:rFonts w:hint="eastAsia"/>
                <w:color w:val="000000"/>
                <w:kern w:val="0"/>
                <w:sz w:val="21"/>
                <w:szCs w:val="21"/>
              </w:rPr>
              <w:t>线段改建工程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7.8</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四级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6240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6240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13</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X171</w:t>
            </w:r>
            <w:r>
              <w:rPr>
                <w:rFonts w:hint="eastAsia"/>
                <w:color w:val="000000"/>
                <w:kern w:val="0"/>
                <w:sz w:val="21"/>
                <w:szCs w:val="21"/>
              </w:rPr>
              <w:t>白果乡</w:t>
            </w:r>
            <w:r>
              <w:rPr>
                <w:color w:val="000000"/>
                <w:kern w:val="0"/>
                <w:sz w:val="21"/>
                <w:szCs w:val="21"/>
              </w:rPr>
              <w:t>-</w:t>
            </w:r>
            <w:r>
              <w:rPr>
                <w:rFonts w:hint="eastAsia"/>
                <w:color w:val="000000"/>
                <w:kern w:val="0"/>
                <w:sz w:val="21"/>
                <w:szCs w:val="21"/>
              </w:rPr>
              <w:t>文村乡公路（白果至石井铺）段改建工程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15.6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23100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23100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2024</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X164</w:t>
            </w:r>
            <w:r>
              <w:rPr>
                <w:rFonts w:hint="eastAsia"/>
                <w:color w:val="000000"/>
                <w:kern w:val="0"/>
                <w:sz w:val="21"/>
                <w:szCs w:val="21"/>
              </w:rPr>
              <w:t>广元</w:t>
            </w:r>
            <w:r>
              <w:rPr>
                <w:color w:val="000000"/>
                <w:kern w:val="0"/>
                <w:sz w:val="21"/>
                <w:szCs w:val="21"/>
              </w:rPr>
              <w:t>-</w:t>
            </w:r>
            <w:r>
              <w:rPr>
                <w:rFonts w:hint="eastAsia"/>
                <w:color w:val="000000"/>
                <w:kern w:val="0"/>
                <w:sz w:val="21"/>
                <w:szCs w:val="21"/>
              </w:rPr>
              <w:t>红岩镇公路（黑水塘至潼梓观）段改建工程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7.2</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10800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10800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15</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X160</w:t>
            </w:r>
            <w:r>
              <w:rPr>
                <w:rFonts w:hint="eastAsia"/>
                <w:color w:val="000000"/>
                <w:kern w:val="0"/>
                <w:sz w:val="21"/>
                <w:szCs w:val="21"/>
              </w:rPr>
              <w:t>丁家乡至永宁镇公路（江口大桥至虎跳）段改建工程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11.3</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12430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12430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2027</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16</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w:t>
            </w:r>
            <w:r>
              <w:rPr>
                <w:color w:val="000000"/>
                <w:kern w:val="0"/>
                <w:sz w:val="21"/>
                <w:szCs w:val="21"/>
              </w:rPr>
              <w:t>Y177</w:t>
            </w:r>
            <w:r>
              <w:rPr>
                <w:rFonts w:hint="eastAsia"/>
                <w:color w:val="000000"/>
                <w:kern w:val="0"/>
                <w:sz w:val="21"/>
                <w:szCs w:val="21"/>
              </w:rPr>
              <w:t>张家至清水幸福美丽乡村路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12.907</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21941.9</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21941.9</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17</w:t>
            </w:r>
          </w:p>
        </w:tc>
        <w:tc>
          <w:tcPr>
            <w:tcW w:w="42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color w:val="000000"/>
                <w:kern w:val="0"/>
                <w:sz w:val="21"/>
                <w:szCs w:val="21"/>
              </w:rPr>
            </w:pPr>
            <w:r>
              <w:rPr>
                <w:rFonts w:hint="eastAsia"/>
                <w:color w:val="000000"/>
                <w:kern w:val="0"/>
                <w:sz w:val="21"/>
                <w:szCs w:val="21"/>
              </w:rPr>
              <w:t>昭化区柏林沟至清水、文村改建道路工程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17.46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三级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改建</w:t>
            </w:r>
          </w:p>
        </w:tc>
        <w:tc>
          <w:tcPr>
            <w:tcW w:w="1134" w:type="dxa"/>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29682</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29682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r>
              <w:rPr>
                <w:rFonts w:hint="eastAsia"/>
                <w:b/>
                <w:bCs/>
                <w:kern w:val="0"/>
                <w:sz w:val="21"/>
                <w:szCs w:val="21"/>
              </w:rPr>
              <w:t>五、农村公路</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1976</w:t>
            </w:r>
          </w:p>
        </w:tc>
        <w:tc>
          <w:tcPr>
            <w:tcW w:w="109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192640</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192640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通组硬化路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786</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四级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43230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43230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撤并建制村联网</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390</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四级</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14000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农村公路安保工程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800</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40000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40000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危桥改造</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30</w:t>
            </w:r>
            <w:r>
              <w:rPr>
                <w:rFonts w:hint="eastAsia"/>
                <w:color w:val="000000"/>
                <w:kern w:val="0"/>
                <w:sz w:val="21"/>
                <w:szCs w:val="21"/>
              </w:rPr>
              <w:t>座</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改造</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39600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39600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5</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桥梁新改建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50</w:t>
            </w:r>
            <w:r>
              <w:rPr>
                <w:rFonts w:hint="eastAsia"/>
                <w:color w:val="000000"/>
                <w:kern w:val="0"/>
                <w:sz w:val="21"/>
                <w:szCs w:val="21"/>
              </w:rPr>
              <w:t>座</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6</w:t>
            </w:r>
          </w:p>
        </w:tc>
        <w:tc>
          <w:tcPr>
            <w:tcW w:w="42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渡改公路桥</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r>
              <w:rPr>
                <w:rFonts w:hint="eastAsia"/>
                <w:color w:val="000000"/>
                <w:kern w:val="0"/>
                <w:sz w:val="21"/>
                <w:szCs w:val="21"/>
              </w:rPr>
              <w:t>座</w:t>
            </w: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27810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27810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color w:val="000000"/>
                <w:kern w:val="0"/>
                <w:sz w:val="21"/>
                <w:szCs w:val="21"/>
              </w:rPr>
            </w:pPr>
            <w:r>
              <w:rPr>
                <w:color w:val="000000"/>
                <w:kern w:val="0"/>
                <w:sz w:val="21"/>
                <w:szCs w:val="21"/>
              </w:rPr>
              <w:t>2021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kern w:val="0"/>
                <w:sz w:val="21"/>
                <w:szCs w:val="21"/>
              </w:rPr>
            </w:pPr>
            <w:r>
              <w:rPr>
                <w:rFonts w:hint="eastAsia"/>
                <w:b/>
                <w:kern w:val="0"/>
                <w:sz w:val="21"/>
                <w:szCs w:val="21"/>
              </w:rPr>
              <w:t>合计</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kern w:val="0"/>
                <w:sz w:val="21"/>
                <w:szCs w:val="21"/>
              </w:rPr>
            </w:pPr>
          </w:p>
        </w:tc>
        <w:tc>
          <w:tcPr>
            <w:tcW w:w="109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b/>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b/>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kern w:val="0"/>
                <w:sz w:val="21"/>
                <w:szCs w:val="21"/>
              </w:rPr>
            </w:pPr>
            <w:r>
              <w:rPr>
                <w:rFonts w:eastAsia="宋体"/>
                <w:b/>
                <w:kern w:val="0"/>
                <w:sz w:val="21"/>
                <w:szCs w:val="21"/>
              </w:rPr>
              <w:t>1239213</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kern w:val="0"/>
                <w:sz w:val="21"/>
                <w:szCs w:val="21"/>
              </w:rPr>
            </w:pPr>
            <w:r>
              <w:rPr>
                <w:rFonts w:eastAsia="宋体"/>
                <w:b/>
                <w:kern w:val="0"/>
                <w:sz w:val="21"/>
                <w:szCs w:val="21"/>
              </w:rPr>
              <w:t>1162913</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kern w:val="0"/>
                <w:sz w:val="21"/>
                <w:szCs w:val="21"/>
              </w:rPr>
            </w:pPr>
          </w:p>
        </w:tc>
      </w:tr>
    </w:tbl>
    <w:p>
      <w:pPr>
        <w:widowControl/>
        <w:spacing w:line="240" w:lineRule="auto"/>
        <w:ind w:firstLine="0" w:firstLineChars="0"/>
        <w:jc w:val="center"/>
        <w:rPr>
          <w:rFonts w:eastAsia="黑体"/>
        </w:rPr>
      </w:pPr>
    </w:p>
    <w:p>
      <w:pPr>
        <w:pStyle w:val="21"/>
        <w:spacing w:before="217" w:after="217"/>
      </w:pPr>
    </w:p>
    <w:p>
      <w:pPr>
        <w:pStyle w:val="21"/>
        <w:spacing w:before="217" w:after="217"/>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rPr>
          <w:rFonts w:eastAsia="黑体"/>
        </w:rPr>
      </w:pPr>
    </w:p>
    <w:p>
      <w:pPr>
        <w:widowControl/>
        <w:spacing w:line="240" w:lineRule="auto"/>
        <w:ind w:firstLine="0" w:firstLineChars="0"/>
        <w:jc w:val="center"/>
        <w:outlineLvl w:val="0"/>
        <w:rPr>
          <w:rFonts w:eastAsia="黑体"/>
        </w:rPr>
      </w:pPr>
      <w:bookmarkStart w:id="131" w:name="_Toc26795"/>
      <w:r>
        <w:rPr>
          <w:rFonts w:hint="eastAsia" w:eastAsia="黑体"/>
        </w:rPr>
        <w:t>附表</w:t>
      </w:r>
      <w:r>
        <w:rPr>
          <w:rFonts w:eastAsia="黑体"/>
        </w:rPr>
        <w:t xml:space="preserve">3-1: </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农村公路重点建设项目</w:t>
      </w:r>
      <w:bookmarkEnd w:id="131"/>
    </w:p>
    <w:p>
      <w:pPr>
        <w:widowControl/>
        <w:spacing w:line="240" w:lineRule="auto"/>
        <w:ind w:firstLine="0" w:firstLineChars="0"/>
        <w:jc w:val="center"/>
        <w:rPr>
          <w:rFonts w:eastAsia="黑体"/>
        </w:rPr>
      </w:pP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394"/>
        <w:gridCol w:w="4678"/>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blHeader/>
        </w:trPr>
        <w:tc>
          <w:tcPr>
            <w:tcW w:w="852"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4394"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4678"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主要建设内容</w:t>
            </w:r>
          </w:p>
        </w:tc>
        <w:tc>
          <w:tcPr>
            <w:tcW w:w="1134"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建设属性</w:t>
            </w:r>
          </w:p>
        </w:tc>
        <w:tc>
          <w:tcPr>
            <w:tcW w:w="1134"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建设地点</w:t>
            </w:r>
          </w:p>
        </w:tc>
        <w:tc>
          <w:tcPr>
            <w:tcW w:w="1134"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开工时间</w:t>
            </w:r>
          </w:p>
        </w:tc>
        <w:tc>
          <w:tcPr>
            <w:tcW w:w="1134"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竣工时间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虎跳镇竹江村村道升级改造工程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6.3km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2366</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虎跳镇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青牛镇莲池村村道升级改造工程</w:t>
            </w:r>
            <w:r>
              <w:rPr>
                <w:kern w:val="0"/>
                <w:sz w:val="21"/>
                <w:szCs w:val="21"/>
              </w:rPr>
              <w:t>2</w:t>
            </w:r>
            <w:r>
              <w:rPr>
                <w:rFonts w:hint="eastAsia"/>
                <w:kern w:val="0"/>
                <w:sz w:val="21"/>
                <w:szCs w:val="21"/>
              </w:rPr>
              <w:t>号路</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1.4km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374</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青牛镇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3</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青牛镇莲池村村道升级改造工程</w:t>
            </w:r>
            <w:r>
              <w:rPr>
                <w:kern w:val="0"/>
                <w:sz w:val="21"/>
                <w:szCs w:val="21"/>
              </w:rPr>
              <w:t>1</w:t>
            </w:r>
            <w:r>
              <w:rPr>
                <w:rFonts w:hint="eastAsia"/>
                <w:kern w:val="0"/>
                <w:sz w:val="21"/>
                <w:szCs w:val="21"/>
              </w:rPr>
              <w:t>号路</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2.8km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695</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青牛镇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磨滩镇中华村道改造升级工程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10.9km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3271</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磨滩镇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磨滩镇（王磨路至工农水库）改造升级</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4.9km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1500</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磨滩镇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6</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元坝镇五一村村道升级改造工程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1.6km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442</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元坝镇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7</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射箭镇红花村经利华村至明觉场镇升级改造</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10.2km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2564</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射箭镇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8</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昭化镇牛头村村道升级改造工程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4.6km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1176</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昭化镇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9</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红岩镇会果村村道升级改造工程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12km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3068</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红岩镇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10</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柏林沟镇明安村村道升级改造工程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4.3km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2690</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柏林沟镇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11</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卫子镇新荣村村道改造升级工程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4.2km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380</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卫子镇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12</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王家镇安平村村道升级改造工程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3.7km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1000</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王家镇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13</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白头村至水磨村道升级改造工程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11.9km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3000</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太公镇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14</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清水镇胜利桥至龙凤村段村道建设工程</w:t>
            </w:r>
          </w:p>
        </w:tc>
        <w:tc>
          <w:tcPr>
            <w:tcW w:w="4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kern w:val="0"/>
                <w:sz w:val="21"/>
                <w:szCs w:val="21"/>
              </w:rPr>
              <w:t>路线长</w:t>
            </w:r>
            <w:r>
              <w:rPr>
                <w:kern w:val="0"/>
                <w:sz w:val="21"/>
                <w:szCs w:val="21"/>
              </w:rPr>
              <w:t>7.8km</w:t>
            </w:r>
            <w:r>
              <w:rPr>
                <w:rFonts w:hint="eastAsia"/>
                <w:kern w:val="0"/>
                <w:sz w:val="21"/>
                <w:szCs w:val="21"/>
              </w:rPr>
              <w:t>，路基宽</w:t>
            </w:r>
            <w:r>
              <w:rPr>
                <w:kern w:val="0"/>
                <w:sz w:val="21"/>
                <w:szCs w:val="21"/>
              </w:rPr>
              <w:t>6.5m</w:t>
            </w:r>
            <w:r>
              <w:rPr>
                <w:rFonts w:hint="eastAsia"/>
                <w:kern w:val="0"/>
                <w:sz w:val="21"/>
                <w:szCs w:val="21"/>
              </w:rPr>
              <w:t>，总投资</w:t>
            </w:r>
            <w:r>
              <w:rPr>
                <w:kern w:val="0"/>
                <w:sz w:val="21"/>
                <w:szCs w:val="21"/>
              </w:rPr>
              <w:t>2028</w:t>
            </w:r>
            <w:r>
              <w:rPr>
                <w:rFonts w:hint="eastAsia"/>
                <w:kern w:val="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清水镇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2024</w:t>
            </w:r>
          </w:p>
        </w:tc>
      </w:tr>
    </w:tbl>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pPr>
    </w:p>
    <w:p>
      <w:pPr>
        <w:widowControl/>
        <w:spacing w:line="240" w:lineRule="auto"/>
        <w:ind w:firstLine="0" w:firstLineChars="0"/>
        <w:jc w:val="center"/>
        <w:outlineLvl w:val="0"/>
        <w:rPr>
          <w:rFonts w:eastAsia="黑体"/>
        </w:rPr>
      </w:pPr>
      <w:bookmarkStart w:id="132" w:name="_Toc15037"/>
      <w:r>
        <w:rPr>
          <w:rFonts w:hint="eastAsia" w:eastAsia="黑体"/>
        </w:rPr>
        <w:t>附表</w:t>
      </w:r>
      <w:r>
        <w:rPr>
          <w:rFonts w:eastAsia="黑体"/>
        </w:rPr>
        <w:t>3-2</w:t>
      </w:r>
      <w:r>
        <w:rPr>
          <w:rFonts w:hint="eastAsia" w:eastAsia="黑体"/>
        </w:rPr>
        <w:t>：昭化区远期规划干线公路建设项目</w:t>
      </w:r>
      <w:bookmarkEnd w:id="132"/>
    </w:p>
    <w:p>
      <w:pPr>
        <w:widowControl/>
        <w:spacing w:line="240" w:lineRule="auto"/>
        <w:ind w:firstLine="0" w:firstLineChars="0"/>
        <w:jc w:val="center"/>
        <w:rPr>
          <w:rFonts w:eastAsia="黑体"/>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78"/>
        <w:gridCol w:w="1134"/>
        <w:gridCol w:w="1275"/>
        <w:gridCol w:w="1134"/>
        <w:gridCol w:w="1276"/>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序号</w:t>
            </w:r>
          </w:p>
        </w:tc>
        <w:tc>
          <w:tcPr>
            <w:tcW w:w="4678"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项目名称</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规模</w:t>
            </w:r>
          </w:p>
          <w:p>
            <w:pPr>
              <w:widowControl/>
              <w:spacing w:line="300" w:lineRule="exact"/>
              <w:ind w:firstLine="0" w:firstLineChars="0"/>
              <w:jc w:val="center"/>
              <w:rPr>
                <w:rFonts w:eastAsia="黑体"/>
                <w:kern w:val="0"/>
                <w:sz w:val="21"/>
                <w:szCs w:val="21"/>
              </w:rPr>
            </w:pPr>
            <w:r>
              <w:rPr>
                <w:rFonts w:hint="eastAsia" w:eastAsia="黑体"/>
                <w:kern w:val="0"/>
                <w:sz w:val="21"/>
                <w:szCs w:val="21"/>
              </w:rPr>
              <w:t>（公里）</w:t>
            </w:r>
          </w:p>
        </w:tc>
        <w:tc>
          <w:tcPr>
            <w:tcW w:w="1275"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技术标准</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建设性质</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投资总额（万元）</w:t>
            </w:r>
          </w:p>
        </w:tc>
        <w:tc>
          <w:tcPr>
            <w:tcW w:w="1701"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建设时序</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467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ind w:firstLine="0" w:firstLineChars="0"/>
              <w:jc w:val="left"/>
              <w:rPr>
                <w:rFonts w:eastAsia="黑体"/>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开工年</w:t>
            </w:r>
          </w:p>
        </w:tc>
        <w:tc>
          <w:tcPr>
            <w:tcW w:w="850"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完工年</w:t>
            </w: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B4C6E7"/>
            <w:noWrap w:val="0"/>
            <w:vAlign w:val="top"/>
          </w:tcPr>
          <w:p>
            <w:pPr>
              <w:widowControl/>
              <w:spacing w:line="300" w:lineRule="exact"/>
              <w:ind w:firstLine="0" w:firstLineChars="0"/>
              <w:jc w:val="center"/>
              <w:rPr>
                <w:rFonts w:eastAsia="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52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宋体" w:eastAsia="宋体" w:cs="宋体"/>
                <w:kern w:val="0"/>
                <w:sz w:val="21"/>
                <w:szCs w:val="21"/>
              </w:rPr>
            </w:pPr>
            <w:r>
              <w:rPr>
                <w:rFonts w:hint="eastAsia"/>
                <w:b/>
                <w:bCs/>
                <w:kern w:val="0"/>
                <w:sz w:val="21"/>
                <w:szCs w:val="21"/>
              </w:rPr>
              <w:t>一、国省干线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128</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213812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rFonts w:ascii="宋体" w:eastAsia="宋体" w:cs="宋体"/>
                <w:kern w:val="0"/>
                <w:sz w:val="21"/>
                <w:szCs w:val="21"/>
              </w:rPr>
            </w:pPr>
            <w:r>
              <w:rPr>
                <w:kern w:val="0"/>
                <w:sz w:val="21"/>
                <w:szCs w:val="21"/>
              </w:rPr>
              <w:t>G212</w:t>
            </w:r>
            <w:r>
              <w:rPr>
                <w:rFonts w:hint="eastAsia"/>
                <w:kern w:val="0"/>
                <w:sz w:val="21"/>
                <w:szCs w:val="21"/>
              </w:rPr>
              <w:t>线卫子至清水段公路改建工程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34</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hint="eastAsia"/>
                <w:kern w:val="0"/>
                <w:sz w:val="21"/>
                <w:szCs w:val="21"/>
              </w:rPr>
              <w:t>一级公路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95000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2035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S224</w:t>
            </w:r>
            <w:r>
              <w:rPr>
                <w:rFonts w:hint="eastAsia"/>
                <w:kern w:val="0"/>
                <w:sz w:val="21"/>
                <w:szCs w:val="21"/>
              </w:rPr>
              <w:t>昭化区红岩镇至卫子段改建工程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39</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42800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2027</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S205</w:t>
            </w:r>
            <w:r>
              <w:rPr>
                <w:rFonts w:hint="eastAsia"/>
                <w:kern w:val="0"/>
                <w:sz w:val="21"/>
                <w:szCs w:val="21"/>
              </w:rPr>
              <w:t>线红岩至丁家段改建工程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39.4</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45300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2027</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4</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S521</w:t>
            </w:r>
            <w:r>
              <w:rPr>
                <w:rFonts w:hint="eastAsia"/>
                <w:kern w:val="0"/>
                <w:sz w:val="21"/>
                <w:szCs w:val="21"/>
              </w:rPr>
              <w:t>昭化区虎跳镇至清水镇段改线工程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15.6</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30712</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2027</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52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bCs/>
                <w:kern w:val="0"/>
                <w:sz w:val="21"/>
                <w:szCs w:val="21"/>
              </w:rPr>
              <w:t>二、快速通道及经济干线</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460</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1478234</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1</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红岩高速出口经太公至柏林沟高速出口快速通道</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38</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一级公路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228000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2</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柏林沟至虎跳（含太公隧道）快速路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15.5</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64000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2033</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3</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元坝至昭化（射箭）快速通道</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31</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77500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2027</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2029</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4</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G542</w:t>
            </w:r>
            <w:r>
              <w:rPr>
                <w:rFonts w:hint="eastAsia"/>
                <w:kern w:val="0"/>
                <w:sz w:val="21"/>
                <w:szCs w:val="21"/>
              </w:rPr>
              <w:t>线经王家、柏林沟、太公</w:t>
            </w:r>
            <w:r>
              <w:rPr>
                <w:kern w:val="0"/>
                <w:sz w:val="21"/>
                <w:szCs w:val="21"/>
              </w:rPr>
              <w:t>(</w:t>
            </w:r>
            <w:r>
              <w:rPr>
                <w:rFonts w:hint="eastAsia"/>
                <w:kern w:val="0"/>
                <w:sz w:val="21"/>
                <w:szCs w:val="21"/>
              </w:rPr>
              <w:t>红卫火车站</w:t>
            </w:r>
            <w:r>
              <w:rPr>
                <w:kern w:val="0"/>
                <w:sz w:val="21"/>
                <w:szCs w:val="21"/>
              </w:rPr>
              <w:t>)</w:t>
            </w:r>
            <w:r>
              <w:rPr>
                <w:rFonts w:hint="eastAsia"/>
                <w:kern w:val="0"/>
                <w:sz w:val="21"/>
                <w:szCs w:val="21"/>
              </w:rPr>
              <w:t>、石井铺至</w:t>
            </w:r>
            <w:r>
              <w:rPr>
                <w:kern w:val="0"/>
                <w:sz w:val="21"/>
                <w:szCs w:val="21"/>
              </w:rPr>
              <w:t>S205</w:t>
            </w:r>
            <w:r>
              <w:rPr>
                <w:rFonts w:hint="eastAsia"/>
                <w:kern w:val="0"/>
                <w:sz w:val="21"/>
                <w:szCs w:val="21"/>
              </w:rPr>
              <w:t>线（白果附近）快速通道</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83</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370000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2033</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5</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红岩经沙坝至剑门关（剑阁界）旅游公路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14</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32000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2030</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6</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昭化经大朝至剑阁界大蜀道旅游公路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25.5</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50000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7</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虎跳至永宁镇段改建工程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16</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18000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2027</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8</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磨滩镇经金华村至苍溪界改建工程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11</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四级公路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3300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2027</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9</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栖凤峡</w:t>
            </w:r>
            <w:r>
              <w:rPr>
                <w:kern w:val="0"/>
                <w:sz w:val="21"/>
                <w:szCs w:val="21"/>
              </w:rPr>
              <w:t>-</w:t>
            </w:r>
            <w:r>
              <w:rPr>
                <w:rFonts w:hint="eastAsia"/>
                <w:kern w:val="0"/>
                <w:sz w:val="21"/>
                <w:szCs w:val="21"/>
              </w:rPr>
              <w:t>平乐寺</w:t>
            </w:r>
            <w:r>
              <w:rPr>
                <w:kern w:val="0"/>
                <w:sz w:val="21"/>
                <w:szCs w:val="21"/>
              </w:rPr>
              <w:t>-</w:t>
            </w:r>
            <w:r>
              <w:rPr>
                <w:rFonts w:hint="eastAsia"/>
                <w:kern w:val="0"/>
                <w:sz w:val="21"/>
                <w:szCs w:val="21"/>
              </w:rPr>
              <w:t>紫云湖旅游公路二期</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28.5</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21319</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10</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丁家至太公公路改建工程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13.5</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17668</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2027</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11</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卫子镇经柏林沟镇至清水公路改建工程</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25</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19947</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2030</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12</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ind w:firstLine="420"/>
              <w:jc w:val="left"/>
              <w:textAlignment w:val="center"/>
              <w:rPr>
                <w:kern w:val="0"/>
                <w:sz w:val="21"/>
                <w:szCs w:val="21"/>
              </w:rPr>
            </w:pPr>
            <w:r>
              <w:rPr>
                <w:rFonts w:hint="eastAsia"/>
                <w:kern w:val="0"/>
                <w:sz w:val="21"/>
                <w:szCs w:val="21"/>
              </w:rPr>
              <w:t>亭子湖环湖旅游公路（二期）</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142</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二级公路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新建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560000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2026</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2030</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kern w:val="0"/>
                <w:sz w:val="21"/>
                <w:szCs w:val="21"/>
              </w:rPr>
            </w:pPr>
            <w:r>
              <w:rPr>
                <w:kern w:val="0"/>
                <w:sz w:val="21"/>
                <w:szCs w:val="21"/>
              </w:rPr>
              <w:t>13</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陈江至江口等级提升</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17</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三级公路</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rFonts w:hint="eastAsia"/>
                <w:kern w:val="0"/>
                <w:sz w:val="21"/>
                <w:szCs w:val="21"/>
              </w:rPr>
              <w:t>改建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16500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2028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kern w:val="0"/>
                <w:sz w:val="21"/>
                <w:szCs w:val="21"/>
              </w:rPr>
            </w:pPr>
            <w:r>
              <w:rPr>
                <w:kern w:val="0"/>
                <w:sz w:val="21"/>
                <w:szCs w:val="21"/>
              </w:rPr>
              <w:t>2030</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kern w:val="0"/>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52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b/>
                <w:bCs/>
                <w:kern w:val="0"/>
                <w:sz w:val="21"/>
                <w:szCs w:val="21"/>
              </w:rPr>
            </w:pPr>
            <w:r>
              <w:rPr>
                <w:rFonts w:hint="eastAsia"/>
                <w:b/>
                <w:bCs/>
                <w:kern w:val="0"/>
                <w:sz w:val="21"/>
                <w:szCs w:val="21"/>
              </w:rPr>
              <w:t>合计</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r>
              <w:rPr>
                <w:b/>
                <w:bCs/>
                <w:kern w:val="0"/>
                <w:sz w:val="21"/>
                <w:szCs w:val="21"/>
              </w:rPr>
              <w:t>1692046</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firstLine="0" w:firstLineChars="0"/>
              <w:jc w:val="center"/>
              <w:rPr>
                <w:b/>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ind w:firstLine="0" w:firstLineChars="0"/>
              <w:jc w:val="center"/>
              <w:rPr>
                <w:rFonts w:eastAsia="宋体"/>
                <w:b/>
                <w:bCs/>
                <w:kern w:val="0"/>
                <w:sz w:val="21"/>
                <w:szCs w:val="21"/>
                <w:highlight w:val="red"/>
              </w:rPr>
            </w:pPr>
          </w:p>
        </w:tc>
      </w:tr>
    </w:tbl>
    <w:p>
      <w:pPr>
        <w:widowControl/>
        <w:spacing w:line="240" w:lineRule="auto"/>
        <w:ind w:firstLine="0" w:firstLineChars="0"/>
        <w:jc w:val="center"/>
        <w:rPr>
          <w:rFonts w:eastAsia="黑体"/>
        </w:rPr>
      </w:pPr>
    </w:p>
    <w:p>
      <w:pPr>
        <w:widowControl/>
        <w:spacing w:line="240" w:lineRule="auto"/>
        <w:ind w:firstLine="0" w:firstLineChars="0"/>
        <w:jc w:val="center"/>
        <w:outlineLvl w:val="0"/>
        <w:rPr>
          <w:rFonts w:eastAsia="黑体"/>
        </w:rPr>
      </w:pPr>
      <w:bookmarkStart w:id="133" w:name="_Toc5447"/>
      <w:r>
        <w:rPr>
          <w:rFonts w:hint="eastAsia" w:eastAsia="黑体"/>
        </w:rPr>
        <w:t>附表</w:t>
      </w:r>
      <w:r>
        <w:rPr>
          <w:rFonts w:eastAsia="黑体"/>
        </w:rPr>
        <w:t>4</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内河水运建设项目</w:t>
      </w:r>
      <w:bookmarkEnd w:id="133"/>
    </w:p>
    <w:p>
      <w:pPr>
        <w:widowControl/>
        <w:spacing w:line="240" w:lineRule="auto"/>
        <w:ind w:firstLine="0" w:firstLineChars="0"/>
        <w:jc w:val="center"/>
        <w:rPr>
          <w:rFonts w:eastAsia="黑体"/>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557"/>
        <w:gridCol w:w="5815"/>
        <w:gridCol w:w="1560"/>
        <w:gridCol w:w="1275"/>
        <w:gridCol w:w="11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0" w:type="dxa"/>
            <w:vMerge w:val="restart"/>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2557" w:type="dxa"/>
            <w:vMerge w:val="restart"/>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5815" w:type="dxa"/>
            <w:vMerge w:val="restart"/>
            <w:tcBorders>
              <w:top w:val="single" w:color="auto" w:sz="4" w:space="0"/>
              <w:left w:val="single" w:color="auto" w:sz="4" w:space="0"/>
              <w:bottom w:val="single" w:color="auto" w:sz="4" w:space="0"/>
              <w:right w:val="single" w:color="auto" w:sz="4" w:space="0"/>
            </w:tcBorders>
            <w:shd w:val="clear" w:color="auto"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建设规模</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所在水域</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总投资</w:t>
            </w:r>
          </w:p>
          <w:p>
            <w:pPr>
              <w:widowControl/>
              <w:spacing w:line="240" w:lineRule="auto"/>
              <w:ind w:firstLine="0" w:firstLineChars="0"/>
              <w:jc w:val="center"/>
              <w:rPr>
                <w:rFonts w:eastAsia="黑体"/>
                <w:kern w:val="0"/>
                <w:sz w:val="21"/>
                <w:szCs w:val="21"/>
              </w:rPr>
            </w:pPr>
            <w:r>
              <w:rPr>
                <w:rFonts w:hint="eastAsia" w:eastAsia="黑体"/>
                <w:kern w:val="0"/>
                <w:sz w:val="21"/>
                <w:szCs w:val="21"/>
              </w:rPr>
              <w:t>（万元）</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300" w:lineRule="exact"/>
              <w:ind w:firstLine="0" w:firstLineChars="0"/>
              <w:jc w:val="center"/>
              <w:rPr>
                <w:rFonts w:eastAsia="黑体"/>
                <w:kern w:val="0"/>
                <w:sz w:val="21"/>
                <w:szCs w:val="21"/>
              </w:rPr>
            </w:pPr>
            <w:r>
              <w:rPr>
                <w:rFonts w:hint="eastAsia" w:eastAsia="黑体"/>
                <w:kern w:val="0"/>
                <w:sz w:val="21"/>
                <w:szCs w:val="21"/>
              </w:rPr>
              <w:t>规划期</w:t>
            </w:r>
          </w:p>
          <w:p>
            <w:pPr>
              <w:widowControl/>
              <w:spacing w:line="300" w:lineRule="exact"/>
              <w:ind w:firstLine="0" w:firstLineChars="0"/>
              <w:jc w:val="center"/>
              <w:rPr>
                <w:rFonts w:eastAsia="黑体"/>
                <w:kern w:val="0"/>
                <w:sz w:val="21"/>
                <w:szCs w:val="21"/>
              </w:rPr>
            </w:pPr>
            <w:r>
              <w:rPr>
                <w:rFonts w:hint="eastAsia" w:eastAsia="黑体"/>
                <w:kern w:val="0"/>
                <w:sz w:val="21"/>
                <w:szCs w:val="21"/>
              </w:rPr>
              <w:t>投资</w:t>
            </w:r>
          </w:p>
          <w:p>
            <w:pPr>
              <w:widowControl/>
              <w:spacing w:line="300" w:lineRule="exact"/>
              <w:ind w:firstLine="0" w:firstLineChars="0"/>
              <w:jc w:val="center"/>
              <w:rPr>
                <w:rFonts w:eastAsia="黑体"/>
                <w:kern w:val="0"/>
                <w:sz w:val="21"/>
                <w:szCs w:val="21"/>
              </w:rPr>
            </w:pPr>
            <w:r>
              <w:rPr>
                <w:rFonts w:hint="eastAsia" w:eastAsia="黑体"/>
                <w:kern w:val="0"/>
                <w:sz w:val="21"/>
                <w:szCs w:val="21"/>
              </w:rPr>
              <w:t>（万元）</w:t>
            </w:r>
          </w:p>
        </w:tc>
        <w:tc>
          <w:tcPr>
            <w:tcW w:w="1843" w:type="dxa"/>
            <w:gridSpan w:val="2"/>
            <w:tcBorders>
              <w:top w:val="single" w:color="auto" w:sz="4" w:space="0"/>
              <w:left w:val="single" w:color="auto" w:sz="4" w:space="0"/>
              <w:bottom w:val="single" w:color="auto" w:sz="4" w:space="0"/>
              <w:right w:val="single" w:color="auto" w:sz="4" w:space="0"/>
            </w:tcBorders>
            <w:shd w:val="clear" w:color="auto"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规划建设年份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00"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p>
        </w:tc>
        <w:tc>
          <w:tcPr>
            <w:tcW w:w="2557"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p>
        </w:tc>
        <w:tc>
          <w:tcPr>
            <w:tcW w:w="5815"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240" w:lineRule="auto"/>
              <w:ind w:firstLine="0" w:firstLineChars="0"/>
              <w:jc w:val="center"/>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B4C6E7"/>
            <w:noWrap w:val="0"/>
            <w:vAlign w:val="center"/>
          </w:tcPr>
          <w:p>
            <w:pPr>
              <w:widowControl/>
              <w:spacing w:line="300" w:lineRule="exact"/>
              <w:ind w:firstLine="0" w:firstLineChars="0"/>
              <w:jc w:val="center"/>
              <w:rPr>
                <w:rFonts w:eastAsia="黑体"/>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992" w:type="dxa"/>
            <w:tcBorders>
              <w:top w:val="single" w:color="auto" w:sz="4" w:space="0"/>
              <w:left w:val="single" w:color="auto" w:sz="4" w:space="0"/>
              <w:bottom w:val="single" w:color="auto" w:sz="4" w:space="0"/>
              <w:right w:val="single" w:color="auto" w:sz="4" w:space="0"/>
            </w:tcBorders>
            <w:shd w:val="clear" w:color="auto"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rPr>
                <w:b/>
                <w:bCs/>
                <w:kern w:val="0"/>
                <w:sz w:val="21"/>
                <w:szCs w:val="21"/>
              </w:rPr>
            </w:pPr>
            <w:r>
              <w:rPr>
                <w:rFonts w:hint="eastAsia"/>
                <w:b/>
                <w:bCs/>
                <w:kern w:val="0"/>
                <w:sz w:val="21"/>
                <w:szCs w:val="21"/>
              </w:rPr>
              <w:t>一、航道建设项目（含航电枢纽、航道整治、船闸建设</w:t>
            </w:r>
            <w:r>
              <w:rPr>
                <w:b/>
                <w:bCs/>
                <w:kern w:val="0"/>
                <w:sz w:val="21"/>
                <w:szCs w:val="21"/>
              </w:rPr>
              <w:t>)</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r>
              <w:rPr>
                <w:b/>
                <w:bCs/>
                <w:kern w:val="0"/>
                <w:sz w:val="21"/>
                <w:szCs w:val="21"/>
              </w:rPr>
              <w:t>160760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300" w:lineRule="exact"/>
              <w:ind w:firstLine="0" w:firstLineChars="0"/>
              <w:jc w:val="center"/>
              <w:rPr>
                <w:b/>
                <w:bCs/>
                <w:kern w:val="0"/>
                <w:sz w:val="21"/>
                <w:szCs w:val="21"/>
              </w:rPr>
            </w:pPr>
            <w:r>
              <w:rPr>
                <w:b/>
                <w:bCs/>
                <w:kern w:val="0"/>
                <w:sz w:val="21"/>
                <w:szCs w:val="21"/>
              </w:rPr>
              <w:t>64800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sz w:val="21"/>
                <w:szCs w:val="21"/>
              </w:rPr>
              <w:t>水东坝航电枢纽项目</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四级船闸</w:t>
            </w:r>
            <w:r>
              <w:rPr>
                <w:kern w:val="0"/>
                <w:sz w:val="21"/>
                <w:szCs w:val="21"/>
              </w:rPr>
              <w:t>1</w:t>
            </w:r>
            <w:r>
              <w:rPr>
                <w:rFonts w:hint="eastAsia"/>
                <w:kern w:val="0"/>
                <w:sz w:val="21"/>
                <w:szCs w:val="21"/>
              </w:rPr>
              <w:t>座，渠化航道</w:t>
            </w:r>
            <w:r>
              <w:rPr>
                <w:kern w:val="0"/>
                <w:sz w:val="21"/>
                <w:szCs w:val="21"/>
              </w:rPr>
              <w:t>25</w:t>
            </w:r>
            <w:r>
              <w:rPr>
                <w:rFonts w:hint="eastAsia"/>
                <w:kern w:val="0"/>
                <w:sz w:val="21"/>
                <w:szCs w:val="21"/>
              </w:rPr>
              <w:t>公里，装机容量</w:t>
            </w:r>
            <w:r>
              <w:rPr>
                <w:kern w:val="0"/>
                <w:sz w:val="21"/>
                <w:szCs w:val="21"/>
              </w:rPr>
              <w:t>4</w:t>
            </w:r>
            <w:r>
              <w:rPr>
                <w:rFonts w:hint="eastAsia"/>
                <w:kern w:val="0"/>
                <w:sz w:val="21"/>
                <w:szCs w:val="21"/>
              </w:rPr>
              <w:t>万千瓦</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158800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63800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嘉陵江航道整治</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整治航道</w:t>
            </w:r>
            <w:r>
              <w:rPr>
                <w:kern w:val="0"/>
                <w:sz w:val="21"/>
                <w:szCs w:val="21"/>
              </w:rPr>
              <w:t>110</w:t>
            </w:r>
            <w:r>
              <w:rPr>
                <w:rFonts w:hint="eastAsia"/>
                <w:kern w:val="0"/>
                <w:sz w:val="21"/>
                <w:szCs w:val="21"/>
              </w:rPr>
              <w:t>公里</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1000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马蹄滩库区航道整治</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48</w:t>
            </w:r>
            <w:r>
              <w:rPr>
                <w:rFonts w:hint="eastAsia"/>
                <w:kern w:val="0"/>
                <w:sz w:val="21"/>
                <w:szCs w:val="21"/>
              </w:rPr>
              <w:t>公里，平均水深</w:t>
            </w:r>
            <w:r>
              <w:rPr>
                <w:kern w:val="0"/>
                <w:sz w:val="21"/>
                <w:szCs w:val="21"/>
              </w:rPr>
              <w:t>3</w:t>
            </w:r>
            <w:r>
              <w:rPr>
                <w:rFonts w:hint="eastAsia"/>
                <w:kern w:val="0"/>
                <w:sz w:val="21"/>
                <w:szCs w:val="21"/>
              </w:rPr>
              <w:t>米转弯半径</w:t>
            </w:r>
            <w:r>
              <w:rPr>
                <w:kern w:val="0"/>
                <w:sz w:val="21"/>
                <w:szCs w:val="21"/>
              </w:rPr>
              <w:t>80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960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2026</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color w:val="000000"/>
                <w:kern w:val="0"/>
                <w:sz w:val="21"/>
                <w:szCs w:val="21"/>
              </w:rPr>
            </w:pPr>
            <w:r>
              <w:rPr>
                <w:kern w:val="0"/>
                <w:sz w:val="21"/>
                <w:szCs w:val="21"/>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rPr>
                <w:b/>
                <w:bCs/>
                <w:kern w:val="0"/>
                <w:sz w:val="21"/>
                <w:szCs w:val="21"/>
              </w:rPr>
            </w:pPr>
            <w:r>
              <w:rPr>
                <w:rFonts w:hint="eastAsia"/>
                <w:b/>
                <w:bCs/>
                <w:kern w:val="0"/>
                <w:sz w:val="21"/>
                <w:szCs w:val="21"/>
              </w:rPr>
              <w:t>二、港口建设项目（含港口作业区、锚地、水上服务区项目）</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r>
              <w:rPr>
                <w:b/>
                <w:bCs/>
                <w:kern w:val="0"/>
                <w:sz w:val="21"/>
                <w:szCs w:val="21"/>
              </w:rPr>
              <w:t>1750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b/>
                <w:bCs/>
                <w:kern w:val="0"/>
                <w:sz w:val="21"/>
                <w:szCs w:val="21"/>
              </w:rPr>
            </w:pPr>
            <w:r>
              <w:rPr>
                <w:b/>
                <w:bCs/>
                <w:kern w:val="0"/>
                <w:sz w:val="21"/>
                <w:szCs w:val="21"/>
              </w:rPr>
              <w:t>1750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虎跳锚地</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系船桩</w:t>
            </w:r>
            <w:r>
              <w:rPr>
                <w:kern w:val="0"/>
                <w:sz w:val="21"/>
                <w:szCs w:val="21"/>
              </w:rPr>
              <w:t>20</w:t>
            </w:r>
            <w:r>
              <w:rPr>
                <w:rFonts w:hint="eastAsia"/>
                <w:kern w:val="0"/>
                <w:sz w:val="21"/>
                <w:szCs w:val="21"/>
              </w:rPr>
              <w:t>个，道路</w:t>
            </w:r>
            <w:r>
              <w:rPr>
                <w:kern w:val="0"/>
                <w:sz w:val="21"/>
                <w:szCs w:val="21"/>
              </w:rPr>
              <w:t>2</w:t>
            </w:r>
            <w:r>
              <w:rPr>
                <w:rFonts w:hint="eastAsia"/>
                <w:kern w:val="0"/>
                <w:sz w:val="21"/>
                <w:szCs w:val="21"/>
              </w:rPr>
              <w:t>千米，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红岩水上服务区</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rPr>
                <w:kern w:val="0"/>
                <w:sz w:val="21"/>
                <w:szCs w:val="21"/>
              </w:rPr>
            </w:pPr>
            <w:r>
              <w:rPr>
                <w:rFonts w:hint="eastAsia"/>
                <w:kern w:val="0"/>
                <w:sz w:val="21"/>
                <w:szCs w:val="21"/>
              </w:rPr>
              <w:t>水上加油站一个，</w:t>
            </w:r>
            <w:r>
              <w:rPr>
                <w:kern w:val="0"/>
                <w:sz w:val="21"/>
                <w:szCs w:val="21"/>
              </w:rPr>
              <w:t>800</w:t>
            </w:r>
            <w:r>
              <w:rPr>
                <w:rFonts w:hint="eastAsia"/>
                <w:kern w:val="0"/>
                <w:sz w:val="21"/>
                <w:szCs w:val="21"/>
              </w:rPr>
              <w:t>平旅客服务中心，</w:t>
            </w:r>
            <w:r>
              <w:rPr>
                <w:kern w:val="0"/>
                <w:sz w:val="21"/>
                <w:szCs w:val="21"/>
              </w:rPr>
              <w:t>1000</w:t>
            </w:r>
            <w:r>
              <w:rPr>
                <w:rFonts w:hint="eastAsia"/>
                <w:kern w:val="0"/>
                <w:sz w:val="21"/>
                <w:szCs w:val="21"/>
              </w:rPr>
              <w:t>平货物仓库等</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虎跳水上服务区</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水上加油站一个，</w:t>
            </w:r>
            <w:r>
              <w:rPr>
                <w:kern w:val="0"/>
                <w:sz w:val="21"/>
                <w:szCs w:val="21"/>
              </w:rPr>
              <w:t>600</w:t>
            </w:r>
            <w:r>
              <w:rPr>
                <w:rFonts w:hint="eastAsia"/>
                <w:kern w:val="0"/>
                <w:sz w:val="21"/>
                <w:szCs w:val="21"/>
              </w:rPr>
              <w:t>平旅客服务中心，</w:t>
            </w:r>
            <w:r>
              <w:rPr>
                <w:kern w:val="0"/>
                <w:sz w:val="21"/>
                <w:szCs w:val="21"/>
              </w:rPr>
              <w:t>1200</w:t>
            </w:r>
            <w:r>
              <w:rPr>
                <w:rFonts w:hint="eastAsia"/>
                <w:kern w:val="0"/>
                <w:sz w:val="21"/>
                <w:szCs w:val="21"/>
              </w:rPr>
              <w:t>平货物仓库</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rPr>
                <w:b/>
                <w:bCs/>
                <w:kern w:val="0"/>
                <w:sz w:val="21"/>
                <w:szCs w:val="21"/>
              </w:rPr>
            </w:pPr>
            <w:r>
              <w:rPr>
                <w:rFonts w:hint="eastAsia"/>
                <w:b/>
                <w:bCs/>
                <w:kern w:val="0"/>
                <w:sz w:val="21"/>
                <w:szCs w:val="21"/>
              </w:rPr>
              <w:t>三、渡口码头提档升级改造（含库湖便民码头）</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r>
              <w:rPr>
                <w:b/>
                <w:bCs/>
                <w:kern w:val="0"/>
                <w:sz w:val="21"/>
                <w:szCs w:val="21"/>
              </w:rPr>
              <w:t>2330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b/>
                <w:bCs/>
                <w:kern w:val="0"/>
                <w:sz w:val="21"/>
                <w:szCs w:val="21"/>
              </w:rPr>
            </w:pPr>
            <w:r>
              <w:rPr>
                <w:b/>
                <w:bCs/>
                <w:kern w:val="0"/>
                <w:sz w:val="21"/>
                <w:szCs w:val="21"/>
              </w:rPr>
              <w:t>2330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水通坝客渡改造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100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张王渡客渡改造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100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罗家渡客渡改造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100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120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120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4</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南流渡客渡改造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100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5</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水观音客渡改造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6</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冯家河客渡改造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7</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王家河客渡改造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8</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马家沟客渡改造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9</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朝阳扎挡河便民客货码头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10</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丁家胡溪便民客货码头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陈江陵江便民客货码头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射箭齐坎河便民客货码头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香溪口便民客货码头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14</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张家场镇便民客货码头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15</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汰子河便民客货码头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16</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青牛场镇便民客货码头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泊位，连接路</w:t>
            </w:r>
            <w:r>
              <w:rPr>
                <w:kern w:val="0"/>
                <w:sz w:val="21"/>
                <w:szCs w:val="21"/>
              </w:rPr>
              <w:t>120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kern w:val="0"/>
                <w:sz w:val="21"/>
                <w:szCs w:val="21"/>
              </w:rPr>
            </w:pPr>
            <w:r>
              <w:rPr>
                <w:rFonts w:hint="eastAsia"/>
                <w:b/>
                <w:bCs/>
                <w:kern w:val="0"/>
                <w:sz w:val="21"/>
                <w:szCs w:val="21"/>
              </w:rPr>
              <w:t>四、客船提档升级</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r>
              <w:rPr>
                <w:b/>
                <w:kern w:val="0"/>
                <w:sz w:val="21"/>
                <w:szCs w:val="21"/>
              </w:rPr>
              <w:t>1500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b/>
                <w:kern w:val="0"/>
                <w:sz w:val="21"/>
                <w:szCs w:val="21"/>
              </w:rPr>
              <w:t>1500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rFonts w:hint="eastAsia"/>
                <w:kern w:val="0"/>
                <w:sz w:val="21"/>
                <w:szCs w:val="21"/>
              </w:rPr>
              <w:t>川昭化渡</w:t>
            </w:r>
            <w:r>
              <w:rPr>
                <w:kern w:val="0"/>
                <w:sz w:val="21"/>
                <w:szCs w:val="21"/>
              </w:rPr>
              <w:t>0002</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川昭化渡</w:t>
            </w:r>
            <w:r>
              <w:rPr>
                <w:kern w:val="0"/>
                <w:sz w:val="21"/>
                <w:szCs w:val="21"/>
              </w:rPr>
              <w:t>0006</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川昭化渡</w:t>
            </w:r>
            <w:r>
              <w:rPr>
                <w:kern w:val="0"/>
                <w:sz w:val="21"/>
                <w:szCs w:val="21"/>
              </w:rPr>
              <w:t>0031</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4</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0033</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5</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0035</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6</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0037</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7</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0038</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8</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0039</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9</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0040</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10</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川元坝渡</w:t>
            </w:r>
            <w:r>
              <w:rPr>
                <w:kern w:val="0"/>
                <w:sz w:val="21"/>
                <w:szCs w:val="21"/>
              </w:rPr>
              <w:t>0041</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w:t>
            </w:r>
            <w:r>
              <w:rPr>
                <w:rFonts w:hint="eastAsia"/>
                <w:kern w:val="0"/>
                <w:sz w:val="21"/>
                <w:szCs w:val="21"/>
              </w:rPr>
              <w:t>客位清洁能源标准船型</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kern w:val="0"/>
                <w:sz w:val="21"/>
                <w:szCs w:val="21"/>
              </w:rPr>
            </w:pPr>
            <w:r>
              <w:rPr>
                <w:rFonts w:hint="eastAsia"/>
                <w:b/>
                <w:bCs/>
                <w:kern w:val="0"/>
                <w:sz w:val="21"/>
                <w:szCs w:val="21"/>
              </w:rPr>
              <w:t>五、水上旅游码头建设</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r>
              <w:rPr>
                <w:b/>
                <w:kern w:val="0"/>
                <w:sz w:val="21"/>
                <w:szCs w:val="21"/>
              </w:rPr>
              <w:t>2800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b/>
                <w:bCs/>
                <w:kern w:val="0"/>
                <w:sz w:val="21"/>
                <w:szCs w:val="21"/>
              </w:rPr>
            </w:pPr>
            <w:r>
              <w:rPr>
                <w:b/>
                <w:bCs/>
                <w:kern w:val="0"/>
                <w:sz w:val="21"/>
                <w:szCs w:val="21"/>
              </w:rPr>
              <w:t>1900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青牛旅游综合码头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450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昭化旅游综合码头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450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工农水库旅游综合码头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100T*4</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rFonts w:hint="eastAsia"/>
                <w:kern w:val="0"/>
                <w:sz w:val="21"/>
                <w:szCs w:val="21"/>
              </w:rPr>
              <w:t>工农水库</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350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350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4</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白马寺旅游综合码头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插江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200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2024</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5</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紫云湖旅游综合码头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紫云湖</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200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6</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桔柏渡旅游码头改造</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500T*1</w:t>
            </w:r>
            <w:r>
              <w:rPr>
                <w:rFonts w:hint="eastAsia"/>
                <w:kern w:val="0"/>
                <w:sz w:val="21"/>
                <w:szCs w:val="21"/>
              </w:rPr>
              <w:t>泊位，连接仿古道路</w:t>
            </w:r>
            <w:r>
              <w:rPr>
                <w:kern w:val="0"/>
                <w:sz w:val="21"/>
                <w:szCs w:val="21"/>
              </w:rPr>
              <w:t>200</w:t>
            </w:r>
            <w:r>
              <w:rPr>
                <w:rFonts w:hint="eastAsia"/>
                <w:kern w:val="0"/>
                <w:sz w:val="21"/>
                <w:szCs w:val="21"/>
              </w:rPr>
              <w:t>米</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250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7</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香溪旅游综合码头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2026</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8</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张家旅游综合码头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500T*2</w:t>
            </w:r>
            <w:r>
              <w:rPr>
                <w:rFonts w:hint="eastAsia"/>
                <w:kern w:val="0"/>
                <w:sz w:val="21"/>
                <w:szCs w:val="21"/>
              </w:rPr>
              <w:t>泊位，包含客货综合功能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2027</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color w:val="000000"/>
                <w:kern w:val="0"/>
                <w:sz w:val="21"/>
                <w:szCs w:val="21"/>
              </w:rPr>
            </w:pPr>
            <w:r>
              <w:rPr>
                <w:kern w:val="0"/>
                <w:sz w:val="21"/>
                <w:szCs w:val="21"/>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kern w:val="0"/>
                <w:sz w:val="21"/>
                <w:szCs w:val="21"/>
              </w:rPr>
            </w:pPr>
            <w:r>
              <w:rPr>
                <w:rFonts w:hint="eastAsia"/>
                <w:b/>
                <w:bCs/>
                <w:kern w:val="0"/>
                <w:sz w:val="21"/>
                <w:szCs w:val="21"/>
              </w:rPr>
              <w:t>六、水上安全设施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r>
              <w:rPr>
                <w:b/>
                <w:kern w:val="0"/>
                <w:sz w:val="21"/>
                <w:szCs w:val="21"/>
              </w:rPr>
              <w:t>3090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b/>
                <w:kern w:val="0"/>
                <w:sz w:val="21"/>
                <w:szCs w:val="21"/>
              </w:rPr>
              <w:t>3090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海事服务中心</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交通安全监控系统改造</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200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ind w:firstLine="0" w:firstLineChars="0"/>
              <w:jc w:val="center"/>
              <w:rPr>
                <w:kern w:val="0"/>
                <w:sz w:val="21"/>
                <w:szCs w:val="21"/>
              </w:rPr>
            </w:pPr>
            <w:r>
              <w:rPr>
                <w:kern w:val="0"/>
                <w:sz w:val="21"/>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rFonts w:hint="eastAsia"/>
                <w:kern w:val="0"/>
                <w:sz w:val="21"/>
                <w:szCs w:val="21"/>
              </w:rPr>
              <w:t>海事巡逻艇</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kern w:val="0"/>
                <w:sz w:val="21"/>
                <w:szCs w:val="21"/>
              </w:rPr>
              <w:t>12*3.5*1.5</w:t>
            </w:r>
            <w:r>
              <w:rPr>
                <w:rFonts w:hint="eastAsia"/>
                <w:kern w:val="0"/>
                <w:sz w:val="21"/>
                <w:szCs w:val="21"/>
              </w:rPr>
              <w:t>海事巡逻艇</w:t>
            </w:r>
            <w:r>
              <w:rPr>
                <w:kern w:val="0"/>
                <w:sz w:val="21"/>
                <w:szCs w:val="21"/>
              </w:rPr>
              <w:t>3</w:t>
            </w:r>
            <w:r>
              <w:rPr>
                <w:rFonts w:hint="eastAsia"/>
                <w:kern w:val="0"/>
                <w:sz w:val="21"/>
                <w:szCs w:val="21"/>
              </w:rPr>
              <w:t>艘</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rFonts w:hint="eastAsia"/>
                <w:kern w:val="0"/>
                <w:sz w:val="21"/>
                <w:szCs w:val="21"/>
              </w:rPr>
              <w:t>嘉陵江</w:t>
            </w:r>
          </w:p>
          <w:p>
            <w:pPr>
              <w:widowControl/>
              <w:spacing w:line="300" w:lineRule="exact"/>
              <w:ind w:firstLine="0" w:firstLineChars="0"/>
              <w:jc w:val="center"/>
              <w:rPr>
                <w:kern w:val="0"/>
                <w:sz w:val="21"/>
                <w:szCs w:val="21"/>
              </w:rPr>
            </w:pPr>
            <w:r>
              <w:rPr>
                <w:rFonts w:hint="eastAsia"/>
                <w:kern w:val="0"/>
                <w:sz w:val="21"/>
                <w:szCs w:val="21"/>
              </w:rPr>
              <w:t>插江</w:t>
            </w:r>
          </w:p>
          <w:p>
            <w:pPr>
              <w:widowControl/>
              <w:spacing w:line="300" w:lineRule="exact"/>
              <w:ind w:firstLine="0" w:firstLineChars="0"/>
              <w:jc w:val="center"/>
              <w:rPr>
                <w:kern w:val="0"/>
                <w:sz w:val="21"/>
                <w:szCs w:val="21"/>
              </w:rPr>
            </w:pPr>
            <w:r>
              <w:rPr>
                <w:rFonts w:hint="eastAsia"/>
                <w:kern w:val="0"/>
                <w:sz w:val="21"/>
                <w:szCs w:val="21"/>
              </w:rPr>
              <w:t>紫云水库</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kern w:val="0"/>
                <w:sz w:val="21"/>
                <w:szCs w:val="21"/>
              </w:rPr>
              <w:t>360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300" w:lineRule="exact"/>
              <w:ind w:firstLine="0" w:firstLineChars="0"/>
              <w:jc w:val="center"/>
              <w:rPr>
                <w:kern w:val="0"/>
                <w:sz w:val="21"/>
                <w:szCs w:val="21"/>
              </w:rPr>
            </w:pPr>
            <w:r>
              <w:rPr>
                <w:kern w:val="0"/>
                <w:sz w:val="21"/>
                <w:szCs w:val="21"/>
              </w:rPr>
              <w:t>360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kern w:val="0"/>
                <w:sz w:val="21"/>
                <w:szCs w:val="21"/>
              </w:rPr>
              <w:t>2022</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监管无人航空器</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专用无人机</w:t>
            </w:r>
            <w:r>
              <w:rPr>
                <w:kern w:val="0"/>
                <w:sz w:val="21"/>
                <w:szCs w:val="21"/>
              </w:rPr>
              <w:t>1</w:t>
            </w:r>
            <w:r>
              <w:rPr>
                <w:rFonts w:hint="eastAsia"/>
                <w:kern w:val="0"/>
                <w:sz w:val="21"/>
                <w:szCs w:val="21"/>
              </w:rPr>
              <w:t>架及相关配套设施</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180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180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4</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龙爪湾海事工作码头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泊位</w:t>
            </w:r>
            <w:r>
              <w:rPr>
                <w:kern w:val="0"/>
                <w:sz w:val="21"/>
                <w:szCs w:val="21"/>
              </w:rPr>
              <w:t>1</w:t>
            </w:r>
            <w:r>
              <w:rPr>
                <w:rFonts w:hint="eastAsia"/>
                <w:kern w:val="0"/>
                <w:sz w:val="21"/>
                <w:szCs w:val="21"/>
              </w:rPr>
              <w:t>个及仓库</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00" w:lineRule="exact"/>
              <w:ind w:firstLine="0" w:firstLineChars="0"/>
              <w:jc w:val="center"/>
              <w:rPr>
                <w:kern w:val="0"/>
                <w:sz w:val="21"/>
                <w:szCs w:val="21"/>
              </w:rPr>
            </w:pPr>
            <w:r>
              <w:rPr>
                <w:rFonts w:hint="eastAsia"/>
                <w:kern w:val="0"/>
                <w:sz w:val="21"/>
                <w:szCs w:val="21"/>
              </w:rPr>
              <w:t>嘉陵江亭子口库区</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700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700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5</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柏林沟海事工作码头</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泊位</w:t>
            </w:r>
            <w:r>
              <w:rPr>
                <w:kern w:val="0"/>
                <w:sz w:val="21"/>
                <w:szCs w:val="21"/>
              </w:rPr>
              <w:t>1</w:t>
            </w:r>
            <w:r>
              <w:rPr>
                <w:rFonts w:hint="eastAsia"/>
                <w:kern w:val="0"/>
                <w:sz w:val="21"/>
                <w:szCs w:val="21"/>
              </w:rPr>
              <w:t>个及仓库</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柏林沟库区</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700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700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6</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红岩水上应急救助基地</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泊位</w:t>
            </w:r>
            <w:r>
              <w:rPr>
                <w:kern w:val="0"/>
                <w:sz w:val="21"/>
                <w:szCs w:val="21"/>
              </w:rPr>
              <w:t>2</w:t>
            </w:r>
            <w:r>
              <w:rPr>
                <w:rFonts w:hint="eastAsia"/>
                <w:kern w:val="0"/>
                <w:sz w:val="21"/>
                <w:szCs w:val="21"/>
              </w:rPr>
              <w:t>个、</w:t>
            </w:r>
            <w:r>
              <w:rPr>
                <w:kern w:val="0"/>
                <w:sz w:val="21"/>
                <w:szCs w:val="21"/>
              </w:rPr>
              <w:t>35</w:t>
            </w:r>
            <w:r>
              <w:rPr>
                <w:rFonts w:hint="eastAsia"/>
                <w:kern w:val="0"/>
                <w:sz w:val="21"/>
                <w:szCs w:val="21"/>
              </w:rPr>
              <w:t>米级趸船</w:t>
            </w:r>
            <w:r>
              <w:rPr>
                <w:kern w:val="0"/>
                <w:sz w:val="21"/>
                <w:szCs w:val="21"/>
              </w:rPr>
              <w:t>1</w:t>
            </w:r>
            <w:r>
              <w:rPr>
                <w:rFonts w:hint="eastAsia"/>
                <w:kern w:val="0"/>
                <w:sz w:val="21"/>
                <w:szCs w:val="21"/>
              </w:rPr>
              <w:t>艘及仓库</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500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500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rPr>
            </w:pPr>
            <w:r>
              <w:rPr>
                <w:kern w:val="0"/>
                <w:sz w:val="21"/>
                <w:szCs w:val="21"/>
              </w:rPr>
              <w:t>7</w:t>
            </w:r>
          </w:p>
        </w:tc>
        <w:tc>
          <w:tcPr>
            <w:tcW w:w="255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海事应急抢险救助艇</w:t>
            </w:r>
          </w:p>
        </w:tc>
        <w:tc>
          <w:tcPr>
            <w:tcW w:w="581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800</w:t>
            </w:r>
            <w:r>
              <w:rPr>
                <w:rFonts w:hint="eastAsia"/>
                <w:kern w:val="0"/>
                <w:sz w:val="21"/>
                <w:szCs w:val="21"/>
              </w:rPr>
              <w:t>马力救助艇</w:t>
            </w:r>
            <w:r>
              <w:rPr>
                <w:kern w:val="0"/>
                <w:sz w:val="21"/>
                <w:szCs w:val="21"/>
              </w:rPr>
              <w:t>1</w:t>
            </w:r>
            <w:r>
              <w:rPr>
                <w:rFonts w:hint="eastAsia"/>
                <w:kern w:val="0"/>
                <w:sz w:val="21"/>
                <w:szCs w:val="21"/>
              </w:rPr>
              <w:t>艘及仓库</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rFonts w:hint="eastAsia"/>
                <w:kern w:val="0"/>
                <w:sz w:val="21"/>
                <w:szCs w:val="21"/>
              </w:rPr>
              <w:t>嘉陵江</w:t>
            </w: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450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kern w:val="0"/>
                <w:sz w:val="21"/>
                <w:szCs w:val="21"/>
              </w:rPr>
            </w:pPr>
            <w:r>
              <w:rPr>
                <w:kern w:val="0"/>
                <w:sz w:val="21"/>
                <w:szCs w:val="21"/>
              </w:rPr>
              <w:t>450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2024</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r>
              <w:rPr>
                <w:kern w:val="0"/>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kern w:val="0"/>
                <w:sz w:val="21"/>
                <w:szCs w:val="21"/>
              </w:rPr>
            </w:pPr>
            <w:r>
              <w:rPr>
                <w:rFonts w:hint="eastAsia"/>
                <w:b/>
                <w:kern w:val="0"/>
                <w:sz w:val="21"/>
                <w:szCs w:val="21"/>
              </w:rPr>
              <w:t>合计</w:t>
            </w:r>
          </w:p>
        </w:tc>
        <w:tc>
          <w:tcPr>
            <w:tcW w:w="15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b/>
                <w:kern w:val="0"/>
                <w:sz w:val="21"/>
                <w:szCs w:val="21"/>
              </w:rPr>
            </w:pPr>
            <w:r>
              <w:rPr>
                <w:b/>
                <w:kern w:val="0"/>
                <w:sz w:val="21"/>
                <w:szCs w:val="21"/>
              </w:rPr>
              <w:t>172230</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b/>
                <w:bCs/>
                <w:kern w:val="0"/>
                <w:sz w:val="21"/>
                <w:szCs w:val="21"/>
              </w:rPr>
            </w:pPr>
            <w:r>
              <w:rPr>
                <w:b/>
                <w:bCs/>
                <w:kern w:val="0"/>
                <w:sz w:val="21"/>
                <w:szCs w:val="21"/>
              </w:rPr>
              <w:t>75370</w:t>
            </w:r>
          </w:p>
        </w:tc>
        <w:tc>
          <w:tcPr>
            <w:tcW w:w="85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kern w:val="0"/>
                <w:sz w:val="21"/>
                <w:szCs w:val="21"/>
              </w:rPr>
            </w:pP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240" w:lineRule="auto"/>
              <w:ind w:firstLine="0" w:firstLineChars="0"/>
              <w:jc w:val="center"/>
              <w:rPr>
                <w:color w:val="000000"/>
                <w:kern w:val="0"/>
                <w:sz w:val="21"/>
                <w:szCs w:val="21"/>
              </w:rPr>
            </w:pPr>
          </w:p>
        </w:tc>
      </w:tr>
    </w:tbl>
    <w:p>
      <w:pPr>
        <w:widowControl/>
        <w:spacing w:line="240" w:lineRule="auto"/>
        <w:ind w:firstLine="0" w:firstLineChars="0"/>
        <w:jc w:val="center"/>
        <w:outlineLvl w:val="0"/>
        <w:rPr>
          <w:rFonts w:eastAsia="黑体"/>
        </w:rPr>
      </w:pPr>
      <w:bookmarkStart w:id="134" w:name="_Toc10970"/>
      <w:r>
        <w:rPr>
          <w:rFonts w:hint="eastAsia" w:eastAsia="黑体"/>
        </w:rPr>
        <w:t>附表</w:t>
      </w:r>
      <w:r>
        <w:rPr>
          <w:rFonts w:eastAsia="黑体"/>
        </w:rPr>
        <w:t>5</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运输站场、物流建设项目</w:t>
      </w:r>
      <w:bookmarkEnd w:id="134"/>
    </w:p>
    <w:p>
      <w:pPr>
        <w:widowControl/>
        <w:spacing w:line="240" w:lineRule="auto"/>
        <w:ind w:firstLine="0" w:firstLineChars="0"/>
        <w:jc w:val="center"/>
        <w:rPr>
          <w:rFonts w:eastAsia="黑体"/>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261"/>
        <w:gridCol w:w="1134"/>
        <w:gridCol w:w="1134"/>
        <w:gridCol w:w="1417"/>
        <w:gridCol w:w="1418"/>
        <w:gridCol w:w="1548"/>
        <w:gridCol w:w="846"/>
        <w:gridCol w:w="846"/>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29"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3261"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里程</w:t>
            </w:r>
            <w:r>
              <w:rPr>
                <w:rFonts w:eastAsia="黑体"/>
                <w:kern w:val="0"/>
                <w:sz w:val="21"/>
                <w:szCs w:val="21"/>
              </w:rPr>
              <w:t xml:space="preserve">   </w:t>
            </w:r>
            <w:r>
              <w:rPr>
                <w:rFonts w:hint="eastAsia" w:eastAsia="黑体"/>
                <w:kern w:val="0"/>
                <w:sz w:val="21"/>
                <w:szCs w:val="21"/>
              </w:rPr>
              <w:t>（公里）</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技术标准</w:t>
            </w:r>
          </w:p>
        </w:tc>
        <w:tc>
          <w:tcPr>
            <w:tcW w:w="1417"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建设性质</w:t>
            </w:r>
          </w:p>
        </w:tc>
        <w:tc>
          <w:tcPr>
            <w:tcW w:w="141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投资总额（万元）</w:t>
            </w:r>
          </w:p>
        </w:tc>
        <w:tc>
          <w:tcPr>
            <w:tcW w:w="154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规划期投资（万元）</w:t>
            </w:r>
          </w:p>
        </w:tc>
        <w:tc>
          <w:tcPr>
            <w:tcW w:w="1692"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建设时序</w:t>
            </w:r>
          </w:p>
        </w:tc>
        <w:tc>
          <w:tcPr>
            <w:tcW w:w="1301"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326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41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84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84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c>
          <w:tcPr>
            <w:tcW w:w="1301" w:type="dxa"/>
            <w:vMerge w:val="continue"/>
            <w:tcBorders>
              <w:top w:val="single" w:color="auto" w:sz="4" w:space="0"/>
              <w:left w:val="single" w:color="auto" w:sz="4" w:space="0"/>
              <w:bottom w:val="single" w:color="auto" w:sz="4" w:space="0"/>
              <w:right w:val="single" w:color="auto" w:sz="4" w:space="0"/>
            </w:tcBorders>
            <w:shd w:val="clear" w:color="000000" w:fill="B4C6E7"/>
            <w:noWrap w:val="0"/>
            <w:vAlign w:val="top"/>
          </w:tcPr>
          <w:p>
            <w:pPr>
              <w:widowControl/>
              <w:spacing w:line="240" w:lineRule="auto"/>
              <w:ind w:firstLine="0" w:firstLineChars="0"/>
              <w:jc w:val="center"/>
              <w:rPr>
                <w:rFonts w:eastAsia="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bCs/>
                <w:kern w:val="0"/>
                <w:sz w:val="21"/>
                <w:szCs w:val="21"/>
              </w:rPr>
              <w:t>一、客运场站</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8930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8930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bookmarkStart w:id="135" w:name="_Hlk60315010"/>
            <w:r>
              <w:rPr>
                <w:rFonts w:hint="eastAsia"/>
                <w:kern w:val="0"/>
                <w:sz w:val="21"/>
                <w:szCs w:val="21"/>
              </w:rPr>
              <w:t>元坝综合交通枢纽站</w:t>
            </w:r>
            <w:bookmarkEnd w:id="135"/>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二级站</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7000</w:t>
            </w:r>
          </w:p>
        </w:tc>
        <w:tc>
          <w:tcPr>
            <w:tcW w:w="15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7000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2024</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r>
              <w:rPr>
                <w:rFonts w:hint="eastAsia"/>
                <w:kern w:val="0"/>
                <w:sz w:val="21"/>
                <w:szCs w:val="21"/>
              </w:rPr>
              <w:t>昭化古城运输服务站</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二级站</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1200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1200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2023</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3</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left"/>
              <w:rPr>
                <w:color w:val="000000"/>
                <w:kern w:val="0"/>
                <w:sz w:val="21"/>
                <w:szCs w:val="21"/>
              </w:rPr>
            </w:pPr>
            <w:r>
              <w:rPr>
                <w:rFonts w:hint="eastAsia"/>
                <w:color w:val="000000"/>
                <w:kern w:val="0"/>
                <w:sz w:val="21"/>
                <w:szCs w:val="21"/>
              </w:rPr>
              <w:t>改建虎跳、磨滩、柏林沟、太公、射箭、明觉、王家</w:t>
            </w:r>
            <w:r>
              <w:rPr>
                <w:color w:val="000000"/>
                <w:kern w:val="0"/>
                <w:sz w:val="21"/>
                <w:szCs w:val="21"/>
              </w:rPr>
              <w:t>7</w:t>
            </w:r>
            <w:r>
              <w:rPr>
                <w:rFonts w:hint="eastAsia"/>
                <w:color w:val="000000"/>
                <w:kern w:val="0"/>
                <w:sz w:val="21"/>
                <w:szCs w:val="21"/>
              </w:rPr>
              <w:t>个镇交通运输综合服务站</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rFonts w:hint="eastAsia"/>
                <w:color w:val="000000"/>
                <w:kern w:val="0"/>
                <w:sz w:val="21"/>
                <w:szCs w:val="21"/>
              </w:rPr>
              <w:t>改建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280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ind w:firstLine="0" w:firstLineChars="0"/>
              <w:jc w:val="center"/>
              <w:rPr>
                <w:color w:val="000000"/>
                <w:kern w:val="0"/>
                <w:sz w:val="21"/>
                <w:szCs w:val="21"/>
              </w:rPr>
            </w:pPr>
            <w:r>
              <w:rPr>
                <w:color w:val="000000"/>
                <w:kern w:val="0"/>
                <w:sz w:val="21"/>
                <w:szCs w:val="21"/>
              </w:rPr>
              <w:t>280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2022</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left"/>
              <w:rPr>
                <w:color w:val="000000"/>
                <w:kern w:val="0"/>
                <w:sz w:val="21"/>
                <w:szCs w:val="21"/>
              </w:rPr>
            </w:pPr>
            <w:r>
              <w:rPr>
                <w:rFonts w:hint="eastAsia"/>
                <w:color w:val="000000"/>
                <w:kern w:val="0"/>
                <w:sz w:val="21"/>
                <w:szCs w:val="21"/>
              </w:rPr>
              <w:t>新建卫子、红岩、清水、青牛</w:t>
            </w:r>
            <w:r>
              <w:rPr>
                <w:color w:val="000000"/>
                <w:kern w:val="0"/>
                <w:sz w:val="21"/>
                <w:szCs w:val="21"/>
              </w:rPr>
              <w:t>4</w:t>
            </w:r>
            <w:r>
              <w:rPr>
                <w:rFonts w:hint="eastAsia"/>
                <w:color w:val="000000"/>
                <w:kern w:val="0"/>
                <w:sz w:val="21"/>
                <w:szCs w:val="21"/>
              </w:rPr>
              <w:t>个交通运输综合服务站</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rFonts w:hint="eastAsia"/>
                <w:color w:val="000000"/>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240</w:t>
            </w:r>
          </w:p>
        </w:tc>
        <w:tc>
          <w:tcPr>
            <w:tcW w:w="1548"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240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color w:val="000000"/>
                <w:kern w:val="0"/>
                <w:sz w:val="21"/>
                <w:szCs w:val="21"/>
              </w:rPr>
            </w:pPr>
            <w:r>
              <w:rPr>
                <w:color w:val="000000"/>
                <w:kern w:val="0"/>
                <w:sz w:val="21"/>
                <w:szCs w:val="21"/>
              </w:rPr>
              <w:t>2022</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r>
              <w:rPr>
                <w:rFonts w:hint="eastAsia"/>
                <w:kern w:val="0"/>
                <w:sz w:val="21"/>
                <w:szCs w:val="21"/>
              </w:rPr>
              <w:t>农村客运港湾站</w:t>
            </w:r>
            <w:r>
              <w:rPr>
                <w:kern w:val="0"/>
                <w:sz w:val="21"/>
                <w:szCs w:val="21"/>
              </w:rPr>
              <w:t>15</w:t>
            </w:r>
            <w:r>
              <w:rPr>
                <w:rFonts w:hint="eastAsia"/>
                <w:kern w:val="0"/>
                <w:sz w:val="21"/>
                <w:szCs w:val="21"/>
              </w:rPr>
              <w:t>个</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120</w:t>
            </w:r>
          </w:p>
        </w:tc>
        <w:tc>
          <w:tcPr>
            <w:tcW w:w="15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120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2021</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6</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r>
              <w:rPr>
                <w:rFonts w:hint="eastAsia"/>
                <w:kern w:val="0"/>
                <w:sz w:val="21"/>
                <w:szCs w:val="21"/>
              </w:rPr>
              <w:t>农村客运招呼站</w:t>
            </w:r>
            <w:r>
              <w:rPr>
                <w:kern w:val="0"/>
                <w:sz w:val="21"/>
                <w:szCs w:val="21"/>
              </w:rPr>
              <w:t>30</w:t>
            </w:r>
            <w:r>
              <w:rPr>
                <w:rFonts w:hint="eastAsia"/>
                <w:kern w:val="0"/>
                <w:sz w:val="21"/>
                <w:szCs w:val="21"/>
              </w:rPr>
              <w:t>个</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90</w:t>
            </w:r>
          </w:p>
        </w:tc>
        <w:tc>
          <w:tcPr>
            <w:tcW w:w="154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90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2021</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bCs/>
                <w:kern w:val="0"/>
                <w:sz w:val="21"/>
                <w:szCs w:val="21"/>
              </w:rPr>
              <w:t>二、货运场站</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186000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55400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kern w:val="0"/>
                <w:sz w:val="21"/>
                <w:szCs w:val="21"/>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昭化区智能物流建设项目</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5000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2028</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2030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红岩物流园区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63000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18000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2024</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3</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虎跳物流园区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45000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16000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2024</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元坝物流园区</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12000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2028</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卫子物流中心</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20000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6400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2027</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6</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昭化区交通运输信息化指挥中心</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3000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3000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2023</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kern w:val="0"/>
                <w:sz w:val="21"/>
                <w:szCs w:val="21"/>
              </w:rPr>
            </w:pPr>
            <w:r>
              <w:rPr>
                <w:rFonts w:hint="eastAsia"/>
                <w:b/>
                <w:bCs/>
                <w:kern w:val="0"/>
                <w:sz w:val="21"/>
                <w:szCs w:val="21"/>
              </w:rPr>
              <w:t>三、物流场站服务体系</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3800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3800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G212</w:t>
            </w:r>
            <w:r>
              <w:rPr>
                <w:rFonts w:hint="eastAsia"/>
                <w:kern w:val="0"/>
                <w:sz w:val="21"/>
                <w:szCs w:val="21"/>
              </w:rPr>
              <w:t>超限检测站</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500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kern w:val="0"/>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非现场执法系统</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1100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1100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3</w:t>
            </w:r>
          </w:p>
        </w:tc>
        <w:tc>
          <w:tcPr>
            <w:tcW w:w="32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bookmarkStart w:id="136" w:name="_Hlk98183434"/>
            <w:r>
              <w:rPr>
                <w:kern w:val="0"/>
                <w:sz w:val="21"/>
                <w:szCs w:val="21"/>
              </w:rPr>
              <w:t>G212</w:t>
            </w:r>
            <w:r>
              <w:rPr>
                <w:rFonts w:hint="eastAsia"/>
                <w:kern w:val="0"/>
                <w:sz w:val="21"/>
                <w:szCs w:val="21"/>
              </w:rPr>
              <w:t>元坝镇主题服务区</w:t>
            </w:r>
            <w:bookmarkEnd w:id="136"/>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2200</w:t>
            </w:r>
          </w:p>
        </w:tc>
        <w:tc>
          <w:tcPr>
            <w:tcW w:w="1548" w:type="dxa"/>
            <w:tcBorders>
              <w:top w:val="nil"/>
              <w:left w:val="nil"/>
              <w:bottom w:val="single" w:color="auto" w:sz="8" w:space="0"/>
              <w:right w:val="single" w:color="auto" w:sz="8" w:space="0"/>
            </w:tcBorders>
            <w:noWrap w:val="0"/>
            <w:vAlign w:val="center"/>
          </w:tcPr>
          <w:p>
            <w:pPr>
              <w:widowControl/>
              <w:spacing w:line="240" w:lineRule="auto"/>
              <w:ind w:firstLine="0" w:firstLineChars="0"/>
              <w:jc w:val="center"/>
              <w:rPr>
                <w:kern w:val="0"/>
                <w:sz w:val="21"/>
                <w:szCs w:val="21"/>
              </w:rPr>
            </w:pPr>
            <w:r>
              <w:rPr>
                <w:kern w:val="0"/>
                <w:sz w:val="21"/>
                <w:szCs w:val="21"/>
              </w:rPr>
              <w:t>2200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rFonts w:hint="eastAsia"/>
                <w:b/>
                <w:kern w:val="0"/>
                <w:sz w:val="21"/>
                <w:szCs w:val="21"/>
              </w:rPr>
              <w:t>合计</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198730</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b/>
                <w:bCs/>
                <w:kern w:val="0"/>
                <w:sz w:val="21"/>
                <w:szCs w:val="21"/>
              </w:rPr>
            </w:pPr>
            <w:r>
              <w:rPr>
                <w:b/>
                <w:bCs/>
                <w:kern w:val="0"/>
                <w:sz w:val="21"/>
                <w:szCs w:val="21"/>
              </w:rPr>
              <w:t>68130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p>
        </w:tc>
      </w:tr>
    </w:tbl>
    <w:p>
      <w:pPr>
        <w:widowControl/>
        <w:spacing w:line="240" w:lineRule="auto"/>
        <w:ind w:firstLine="0" w:firstLineChars="0"/>
        <w:jc w:val="left"/>
      </w:pPr>
    </w:p>
    <w:p>
      <w:pPr>
        <w:widowControl/>
        <w:spacing w:line="240" w:lineRule="auto"/>
        <w:ind w:firstLine="0" w:firstLineChars="0"/>
        <w:jc w:val="center"/>
        <w:outlineLvl w:val="0"/>
        <w:rPr>
          <w:rFonts w:eastAsia="黑体"/>
        </w:rPr>
      </w:pPr>
      <w:bookmarkStart w:id="137" w:name="_Toc29753"/>
      <w:r>
        <w:rPr>
          <w:rFonts w:hint="eastAsia" w:eastAsia="黑体"/>
        </w:rPr>
        <w:t>附表</w:t>
      </w:r>
      <w:r>
        <w:rPr>
          <w:rFonts w:eastAsia="黑体"/>
        </w:rPr>
        <w:t>6</w:t>
      </w:r>
      <w:r>
        <w:rPr>
          <w:rFonts w:hint="eastAsia" w:eastAsia="黑体"/>
        </w:rPr>
        <w:t>：昭化区</w:t>
      </w:r>
      <w:r>
        <w:rPr>
          <w:rFonts w:eastAsia="黑体"/>
        </w:rPr>
        <w:t>“</w:t>
      </w:r>
      <w:r>
        <w:rPr>
          <w:rFonts w:hint="eastAsia" w:eastAsia="黑体"/>
        </w:rPr>
        <w:t>十四五</w:t>
      </w:r>
      <w:r>
        <w:rPr>
          <w:rFonts w:eastAsia="黑体"/>
        </w:rPr>
        <w:t>”</w:t>
      </w:r>
      <w:r>
        <w:rPr>
          <w:rFonts w:hint="eastAsia" w:eastAsia="黑体"/>
        </w:rPr>
        <w:t>养护及其他专项建设项目</w:t>
      </w:r>
      <w:bookmarkEnd w:id="137"/>
    </w:p>
    <w:p>
      <w:pPr>
        <w:widowControl/>
        <w:spacing w:line="240" w:lineRule="auto"/>
        <w:ind w:firstLine="0" w:firstLineChars="0"/>
        <w:jc w:val="center"/>
        <w:rPr>
          <w:rFonts w:eastAsia="黑体"/>
        </w:rPr>
      </w:pP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4206"/>
        <w:gridCol w:w="3636"/>
        <w:gridCol w:w="1137"/>
        <w:gridCol w:w="1275"/>
        <w:gridCol w:w="1426"/>
        <w:gridCol w:w="846"/>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blHeader/>
        </w:trPr>
        <w:tc>
          <w:tcPr>
            <w:tcW w:w="798"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序号</w:t>
            </w:r>
          </w:p>
        </w:tc>
        <w:tc>
          <w:tcPr>
            <w:tcW w:w="4206" w:type="dxa"/>
            <w:vMerge w:val="restart"/>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项目名称</w:t>
            </w:r>
          </w:p>
        </w:tc>
        <w:tc>
          <w:tcPr>
            <w:tcW w:w="363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建设内容</w:t>
            </w:r>
          </w:p>
        </w:tc>
        <w:tc>
          <w:tcPr>
            <w:tcW w:w="1137"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建设性质</w:t>
            </w:r>
          </w:p>
        </w:tc>
        <w:tc>
          <w:tcPr>
            <w:tcW w:w="1275"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投资总额</w:t>
            </w:r>
          </w:p>
          <w:p>
            <w:pPr>
              <w:widowControl/>
              <w:spacing w:line="240" w:lineRule="auto"/>
              <w:ind w:firstLine="0" w:firstLineChars="0"/>
              <w:jc w:val="center"/>
              <w:rPr>
                <w:rFonts w:eastAsia="黑体"/>
                <w:kern w:val="0"/>
                <w:sz w:val="21"/>
                <w:szCs w:val="21"/>
              </w:rPr>
            </w:pPr>
            <w:r>
              <w:rPr>
                <w:rFonts w:hint="eastAsia" w:eastAsia="黑体"/>
                <w:kern w:val="0"/>
                <w:sz w:val="21"/>
                <w:szCs w:val="21"/>
              </w:rPr>
              <w:t>（万元）</w:t>
            </w:r>
          </w:p>
        </w:tc>
        <w:tc>
          <w:tcPr>
            <w:tcW w:w="1426" w:type="dxa"/>
            <w:vMerge w:val="restart"/>
            <w:tcBorders>
              <w:top w:val="single" w:color="auto" w:sz="4" w:space="0"/>
              <w:left w:val="single" w:color="auto" w:sz="4" w:space="0"/>
              <w:bottom w:val="single" w:color="auto" w:sz="4" w:space="0"/>
              <w:right w:val="single" w:color="auto" w:sz="4" w:space="0"/>
            </w:tcBorders>
            <w:shd w:val="clear" w:color="000000" w:fill="B4C6E7"/>
            <w:noWrap w:val="0"/>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规划期投资</w:t>
            </w:r>
          </w:p>
          <w:p>
            <w:pPr>
              <w:widowControl/>
              <w:spacing w:line="240" w:lineRule="auto"/>
              <w:ind w:firstLine="0" w:firstLineChars="0"/>
              <w:jc w:val="center"/>
              <w:rPr>
                <w:rFonts w:eastAsia="黑体"/>
                <w:kern w:val="0"/>
                <w:sz w:val="21"/>
                <w:szCs w:val="21"/>
              </w:rPr>
            </w:pPr>
            <w:r>
              <w:rPr>
                <w:rFonts w:hint="eastAsia" w:eastAsia="黑体"/>
                <w:kern w:val="0"/>
                <w:sz w:val="21"/>
                <w:szCs w:val="21"/>
              </w:rPr>
              <w:t>（万元）</w:t>
            </w:r>
          </w:p>
        </w:tc>
        <w:tc>
          <w:tcPr>
            <w:tcW w:w="1693"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79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420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363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13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142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黑体"/>
                <w:kern w:val="0"/>
                <w:sz w:val="21"/>
                <w:szCs w:val="21"/>
              </w:rPr>
            </w:pPr>
          </w:p>
        </w:tc>
        <w:tc>
          <w:tcPr>
            <w:tcW w:w="846"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开工年</w:t>
            </w:r>
          </w:p>
        </w:tc>
        <w:tc>
          <w:tcPr>
            <w:tcW w:w="847" w:type="dxa"/>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spacing w:line="240" w:lineRule="auto"/>
              <w:ind w:firstLine="0" w:firstLineChars="0"/>
              <w:jc w:val="center"/>
              <w:rPr>
                <w:rFonts w:eastAsia="黑体"/>
                <w:kern w:val="0"/>
                <w:sz w:val="21"/>
                <w:szCs w:val="21"/>
              </w:rPr>
            </w:pPr>
            <w:r>
              <w:rPr>
                <w:rFonts w:hint="eastAsia" w:eastAsia="黑体"/>
                <w:kern w:val="0"/>
                <w:sz w:val="21"/>
                <w:szCs w:val="21"/>
              </w:rPr>
              <w:t>完工年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64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b/>
                <w:kern w:val="0"/>
                <w:sz w:val="21"/>
                <w:szCs w:val="21"/>
              </w:rPr>
            </w:pPr>
            <w:r>
              <w:rPr>
                <w:rFonts w:hint="eastAsia"/>
                <w:b/>
                <w:kern w:val="0"/>
                <w:sz w:val="21"/>
                <w:szCs w:val="21"/>
              </w:rPr>
              <w:t>一、安全应急</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5000</w:t>
            </w:r>
          </w:p>
        </w:tc>
        <w:tc>
          <w:tcPr>
            <w:tcW w:w="142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5000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42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交通运输应急指挥中心</w:t>
            </w:r>
          </w:p>
        </w:tc>
        <w:tc>
          <w:tcPr>
            <w:tcW w:w="36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指挥中心及相关配套设施</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5000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5000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864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kern w:val="0"/>
                <w:sz w:val="21"/>
                <w:szCs w:val="21"/>
              </w:rPr>
              <w:t>二、信息化</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800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800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kern w:val="0"/>
                <w:sz w:val="21"/>
                <w:szCs w:val="21"/>
              </w:rPr>
            </w:pPr>
            <w:r>
              <w:rPr>
                <w:kern w:val="0"/>
                <w:sz w:val="21"/>
                <w:szCs w:val="21"/>
              </w:rPr>
              <w:t>1</w:t>
            </w:r>
          </w:p>
        </w:tc>
        <w:tc>
          <w:tcPr>
            <w:tcW w:w="4206" w:type="dxa"/>
            <w:tcBorders>
              <w:top w:val="single" w:color="auto" w:sz="4" w:space="0"/>
              <w:left w:val="single" w:color="auto" w:sz="4" w:space="0"/>
              <w:bottom w:val="single" w:color="auto" w:sz="4" w:space="0"/>
              <w:right w:val="single" w:color="auto" w:sz="4" w:space="0"/>
            </w:tcBorders>
            <w:shd w:val="clear" w:color="000000" w:fill="FFFFFF"/>
            <w:noWrap/>
            <w:vAlign w:val="bottom"/>
          </w:tcPr>
          <w:p>
            <w:pPr>
              <w:widowControl/>
              <w:spacing w:line="240" w:lineRule="auto"/>
              <w:ind w:firstLine="0" w:firstLineChars="0"/>
              <w:jc w:val="center"/>
              <w:rPr>
                <w:kern w:val="0"/>
                <w:sz w:val="21"/>
                <w:szCs w:val="21"/>
              </w:rPr>
            </w:pPr>
            <w:r>
              <w:rPr>
                <w:rFonts w:hint="eastAsia"/>
                <w:kern w:val="0"/>
                <w:sz w:val="21"/>
                <w:szCs w:val="21"/>
              </w:rPr>
              <w:t>腾胜港航公司安全监管信息化项目</w:t>
            </w:r>
          </w:p>
        </w:tc>
        <w:tc>
          <w:tcPr>
            <w:tcW w:w="3636" w:type="dxa"/>
            <w:tcBorders>
              <w:top w:val="single" w:color="auto" w:sz="4" w:space="0"/>
              <w:left w:val="single" w:color="auto" w:sz="4" w:space="0"/>
              <w:bottom w:val="single" w:color="auto" w:sz="4" w:space="0"/>
              <w:right w:val="single" w:color="auto" w:sz="4" w:space="0"/>
            </w:tcBorders>
            <w:shd w:val="clear" w:color="000000" w:fill="FFFFFF"/>
            <w:noWrap/>
            <w:vAlign w:val="bottom"/>
          </w:tcPr>
          <w:p>
            <w:pPr>
              <w:widowControl/>
              <w:spacing w:line="240" w:lineRule="auto"/>
              <w:ind w:firstLine="0" w:firstLineChars="0"/>
              <w:rPr>
                <w:kern w:val="0"/>
                <w:sz w:val="21"/>
                <w:szCs w:val="21"/>
              </w:rPr>
            </w:pPr>
            <w:r>
              <w:rPr>
                <w:rFonts w:hint="eastAsia"/>
                <w:kern w:val="0"/>
                <w:sz w:val="21"/>
                <w:szCs w:val="21"/>
              </w:rPr>
              <w:t>企业标准化信息系统</w:t>
            </w:r>
            <w:r>
              <w:rPr>
                <w:kern w:val="0"/>
                <w:sz w:val="21"/>
                <w:szCs w:val="21"/>
              </w:rPr>
              <w:t>1</w:t>
            </w:r>
            <w:r>
              <w:rPr>
                <w:rFonts w:hint="eastAsia"/>
                <w:kern w:val="0"/>
                <w:sz w:val="21"/>
                <w:szCs w:val="21"/>
              </w:rPr>
              <w:t>处及配套设施</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400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2021</w:t>
            </w: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kern w:val="0"/>
                <w:sz w:val="21"/>
                <w:szCs w:val="21"/>
              </w:rPr>
            </w:pPr>
            <w:r>
              <w:rPr>
                <w:kern w:val="0"/>
                <w:sz w:val="21"/>
                <w:szCs w:val="21"/>
              </w:rPr>
              <w:t>2</w:t>
            </w:r>
          </w:p>
        </w:tc>
        <w:tc>
          <w:tcPr>
            <w:tcW w:w="4206" w:type="dxa"/>
            <w:tcBorders>
              <w:top w:val="nil"/>
              <w:left w:val="single" w:color="auto" w:sz="4" w:space="0"/>
              <w:bottom w:val="single" w:color="auto" w:sz="4" w:space="0"/>
              <w:right w:val="single" w:color="auto" w:sz="4" w:space="0"/>
            </w:tcBorders>
            <w:shd w:val="clear" w:color="000000" w:fill="FFFFFF"/>
            <w:noWrap/>
            <w:vAlign w:val="bottom"/>
          </w:tcPr>
          <w:p>
            <w:pPr>
              <w:ind w:firstLine="420"/>
              <w:jc w:val="center"/>
              <w:rPr>
                <w:kern w:val="0"/>
                <w:sz w:val="21"/>
                <w:szCs w:val="21"/>
              </w:rPr>
            </w:pPr>
            <w:r>
              <w:rPr>
                <w:rFonts w:hint="eastAsia"/>
                <w:kern w:val="0"/>
                <w:sz w:val="21"/>
                <w:szCs w:val="21"/>
              </w:rPr>
              <w:t>广元远航船舶公司安全监管信息化项目</w:t>
            </w:r>
          </w:p>
        </w:tc>
        <w:tc>
          <w:tcPr>
            <w:tcW w:w="3636" w:type="dxa"/>
            <w:tcBorders>
              <w:top w:val="nil"/>
              <w:left w:val="single" w:color="auto" w:sz="4" w:space="0"/>
              <w:bottom w:val="single" w:color="auto" w:sz="4" w:space="0"/>
              <w:right w:val="single" w:color="auto" w:sz="4" w:space="0"/>
            </w:tcBorders>
            <w:shd w:val="clear" w:color="000000" w:fill="FFFFFF"/>
            <w:noWrap/>
            <w:vAlign w:val="bottom"/>
          </w:tcPr>
          <w:p>
            <w:pPr>
              <w:ind w:firstLine="0" w:firstLineChars="0"/>
              <w:rPr>
                <w:kern w:val="0"/>
                <w:sz w:val="21"/>
                <w:szCs w:val="21"/>
              </w:rPr>
            </w:pPr>
            <w:r>
              <w:rPr>
                <w:rFonts w:hint="eastAsia"/>
                <w:kern w:val="0"/>
                <w:sz w:val="21"/>
                <w:szCs w:val="21"/>
              </w:rPr>
              <w:t>企业标准化信息系统</w:t>
            </w:r>
            <w:r>
              <w:rPr>
                <w:kern w:val="0"/>
                <w:sz w:val="21"/>
                <w:szCs w:val="21"/>
              </w:rPr>
              <w:t>1</w:t>
            </w:r>
            <w:r>
              <w:rPr>
                <w:rFonts w:hint="eastAsia"/>
                <w:kern w:val="0"/>
                <w:sz w:val="21"/>
                <w:szCs w:val="21"/>
              </w:rPr>
              <w:t>处及配套设施</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新建</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400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400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kern w:val="0"/>
                <w:sz w:val="21"/>
                <w:szCs w:val="21"/>
              </w:rPr>
              <w:t>2022</w:t>
            </w: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864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kern w:val="0"/>
                <w:sz w:val="21"/>
                <w:szCs w:val="21"/>
              </w:rPr>
            </w:pPr>
            <w:r>
              <w:rPr>
                <w:rFonts w:hint="eastAsia"/>
                <w:b/>
                <w:kern w:val="0"/>
                <w:sz w:val="21"/>
                <w:szCs w:val="21"/>
              </w:rPr>
              <w:t>三、养护工程及其他</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1000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1000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kern w:val="0"/>
                <w:sz w:val="21"/>
                <w:szCs w:val="21"/>
              </w:rPr>
              <w:t>1</w:t>
            </w:r>
          </w:p>
        </w:tc>
        <w:tc>
          <w:tcPr>
            <w:tcW w:w="420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养护工程</w:t>
            </w:r>
          </w:p>
        </w:tc>
        <w:tc>
          <w:tcPr>
            <w:tcW w:w="363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预防性及常规性养护</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r>
              <w:rPr>
                <w:rFonts w:hint="eastAsia"/>
                <w:kern w:val="0"/>
                <w:sz w:val="21"/>
                <w:szCs w:val="21"/>
              </w:rPr>
              <w:t>改建</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1000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kern w:val="0"/>
                <w:sz w:val="21"/>
                <w:szCs w:val="21"/>
              </w:rPr>
            </w:pPr>
            <w:r>
              <w:rPr>
                <w:rFonts w:eastAsia="宋体"/>
                <w:kern w:val="0"/>
                <w:sz w:val="21"/>
                <w:szCs w:val="21"/>
              </w:rPr>
              <w:t>1000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2021</w:t>
            </w: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r>
              <w:rPr>
                <w:rFonts w:eastAsia="宋体"/>
                <w:kern w:val="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864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kern w:val="0"/>
                <w:sz w:val="21"/>
                <w:szCs w:val="21"/>
              </w:rPr>
            </w:pPr>
            <w:r>
              <w:rPr>
                <w:rFonts w:hint="eastAsia"/>
                <w:b/>
                <w:kern w:val="0"/>
                <w:sz w:val="21"/>
                <w:szCs w:val="21"/>
              </w:rPr>
              <w:t>合计</w:t>
            </w:r>
          </w:p>
        </w:tc>
        <w:tc>
          <w:tcPr>
            <w:tcW w:w="113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kern w:val="0"/>
                <w:sz w:val="21"/>
                <w:szCs w:val="21"/>
              </w:rPr>
            </w:pP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6800</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b/>
                <w:bCs/>
                <w:kern w:val="0"/>
                <w:sz w:val="21"/>
                <w:szCs w:val="21"/>
              </w:rPr>
            </w:pPr>
            <w:r>
              <w:rPr>
                <w:rFonts w:eastAsia="宋体"/>
                <w:b/>
                <w:bCs/>
                <w:kern w:val="0"/>
                <w:sz w:val="21"/>
                <w:szCs w:val="21"/>
              </w:rPr>
              <w:t>6800</w:t>
            </w:r>
          </w:p>
        </w:tc>
        <w:tc>
          <w:tcPr>
            <w:tcW w:w="84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c>
          <w:tcPr>
            <w:tcW w:w="8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eastAsia="宋体"/>
                <w:kern w:val="0"/>
                <w:sz w:val="21"/>
                <w:szCs w:val="21"/>
              </w:rPr>
            </w:pPr>
          </w:p>
        </w:tc>
      </w:tr>
    </w:tbl>
    <w:p>
      <w:pPr>
        <w:widowControl/>
        <w:spacing w:line="240" w:lineRule="auto"/>
        <w:ind w:firstLine="0" w:firstLineChars="0"/>
        <w:jc w:val="center"/>
        <w:sectPr>
          <w:pgSz w:w="16838" w:h="11906" w:orient="landscape"/>
          <w:pgMar w:top="1588" w:right="1588" w:bottom="1588" w:left="1588" w:header="851" w:footer="992" w:gutter="0"/>
          <w:pgBorders>
            <w:top w:val="none" w:sz="0" w:space="0"/>
            <w:left w:val="none" w:sz="0" w:space="0"/>
            <w:bottom w:val="none" w:sz="0" w:space="0"/>
            <w:right w:val="none" w:sz="0" w:space="0"/>
          </w:pgBorders>
          <w:pgNumType w:fmt="decimal"/>
          <w:cols w:space="720" w:num="1"/>
          <w:docGrid w:type="linesAndChars" w:linePitch="435" w:charSpace="0"/>
        </w:sectPr>
      </w:pPr>
      <w:r>
        <w:br w:type="textWrapping"/>
      </w:r>
    </w:p>
    <w:p>
      <w:pPr>
        <w:rPr>
          <w:rFonts w:hint="eastAsia" w:ascii="仿宋" w:hAnsi="仿宋" w:eastAsia="仿宋" w:cs="仿宋"/>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spacing w:line="240" w:lineRule="auto"/>
      <w:ind w:right="134" w:rightChars="64"/>
      <w:jc w:val="right"/>
      <w:textAlignment w:val="auto"/>
    </w:pPr>
    <w:r>
      <w:rPr>
        <w:rStyle w:val="12"/>
        <w:rFonts w:hint="eastAsia" w:ascii="宋体" w:hAnsi="宋体" w:eastAsia="宋体"/>
        <w:sz w:val="28"/>
        <w:szCs w:val="28"/>
      </w:rPr>
      <w:t xml:space="preserve">— </w:t>
    </w:r>
    <w:r>
      <w:rPr>
        <w:rFonts w:ascii="宋体" w:hAnsi="宋体" w:eastAsia="宋体"/>
        <w:sz w:val="28"/>
        <w:szCs w:val="28"/>
      </w:rPr>
      <w:fldChar w:fldCharType="begin"/>
    </w:r>
    <w:r>
      <w:rPr>
        <w:rStyle w:val="12"/>
        <w:rFonts w:ascii="宋体" w:hAnsi="宋体" w:eastAsia="宋体"/>
        <w:sz w:val="28"/>
        <w:szCs w:val="28"/>
      </w:rPr>
      <w:instrText xml:space="preserve">PAGE  </w:instrText>
    </w:r>
    <w:r>
      <w:rPr>
        <w:rFonts w:ascii="宋体" w:hAnsi="宋体" w:eastAsia="宋体"/>
        <w:sz w:val="28"/>
        <w:szCs w:val="28"/>
      </w:rPr>
      <w:fldChar w:fldCharType="separate"/>
    </w:r>
    <w:r>
      <w:rPr>
        <w:rStyle w:val="12"/>
        <w:rFonts w:ascii="宋体" w:hAnsi="宋体" w:eastAsia="宋体"/>
        <w:sz w:val="28"/>
        <w:szCs w:val="28"/>
      </w:rPr>
      <w:t>6</w:t>
    </w:r>
    <w:r>
      <w:rPr>
        <w:rFonts w:ascii="宋体" w:hAnsi="宋体" w:eastAsia="宋体"/>
        <w:sz w:val="28"/>
        <w:szCs w:val="28"/>
      </w:rPr>
      <w:fldChar w:fldCharType="end"/>
    </w:r>
    <w:r>
      <w:rPr>
        <w:rStyle w:val="12"/>
        <w:rFonts w:hint="eastAsia" w:ascii="宋体" w:hAnsi="宋体" w:eastAsia="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firstLine="280" w:firstLineChars="100"/>
      <w:textAlignment w:val="auto"/>
    </w:pPr>
    <w:r>
      <w:rPr>
        <w:rStyle w:val="12"/>
        <w:rFonts w:hint="eastAsia" w:ascii="宋体" w:hAnsi="宋体" w:eastAsia="宋体"/>
        <w:sz w:val="28"/>
        <w:szCs w:val="28"/>
      </w:rPr>
      <w:t xml:space="preserve">— </w:t>
    </w:r>
    <w:r>
      <w:rPr>
        <w:rFonts w:ascii="宋体" w:hAnsi="宋体" w:eastAsia="宋体"/>
        <w:sz w:val="28"/>
        <w:szCs w:val="28"/>
      </w:rPr>
      <w:fldChar w:fldCharType="begin"/>
    </w:r>
    <w:r>
      <w:rPr>
        <w:rStyle w:val="12"/>
        <w:rFonts w:ascii="宋体" w:hAnsi="宋体" w:eastAsia="宋体"/>
        <w:sz w:val="28"/>
        <w:szCs w:val="28"/>
      </w:rPr>
      <w:instrText xml:space="preserve">PAGE  </w:instrText>
    </w:r>
    <w:r>
      <w:rPr>
        <w:rFonts w:ascii="宋体" w:hAnsi="宋体" w:eastAsia="宋体"/>
        <w:sz w:val="28"/>
        <w:szCs w:val="28"/>
      </w:rPr>
      <w:fldChar w:fldCharType="separate"/>
    </w:r>
    <w:r>
      <w:rPr>
        <w:rStyle w:val="12"/>
        <w:rFonts w:ascii="宋体" w:hAnsi="宋体" w:eastAsia="宋体"/>
        <w:sz w:val="28"/>
        <w:szCs w:val="28"/>
      </w:rPr>
      <w:t>6</w:t>
    </w:r>
    <w:r>
      <w:rPr>
        <w:rFonts w:ascii="宋体" w:hAnsi="宋体" w:eastAsia="宋体"/>
        <w:sz w:val="28"/>
        <w:szCs w:val="28"/>
      </w:rPr>
      <w:fldChar w:fldCharType="end"/>
    </w:r>
    <w:r>
      <w:rPr>
        <w:rStyle w:val="12"/>
        <w:rFonts w:hint="eastAsia" w:ascii="宋体" w:hAnsi="宋体" w:eastAsia="宋体"/>
        <w:sz w:val="28"/>
        <w:szCs w:val="28"/>
      </w:rPr>
      <w:t xml:space="preserve"> —</w:t>
    </w:r>
    <w:r>
      <w:rPr>
        <w:rStyle w:val="12"/>
        <w:rFonts w:hint="eastAsia" w:ascii="宋体" w:hAnsi="宋体" w:eastAsia="宋体"/>
        <w:sz w:val="28"/>
        <w:szCs w:val="28"/>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val="0"/>
      <w:overflowPunct/>
      <w:topLinePunct w:val="0"/>
      <w:autoSpaceDE/>
      <w:autoSpaceDN/>
      <w:bidi w:val="0"/>
      <w:adjustRightInd/>
      <w:snapToGrid w:val="0"/>
      <w:spacing w:line="240" w:lineRule="auto"/>
      <w:ind w:left="0" w:leftChars="0" w:firstLine="280" w:firstLineChars="100"/>
      <w:jc w:val="right"/>
      <w:textAlignment w:val="auto"/>
      <w:rPr>
        <w:rFonts w:hint="default" w:eastAsia="宋体"/>
        <w:sz w:val="28"/>
        <w:szCs w:val="28"/>
        <w:lang w:val="en-US" w:eastAsia="zh-CN"/>
      </w:rPr>
    </w:pPr>
    <w:r>
      <w:rPr>
        <w:rStyle w:val="12"/>
        <w:rFonts w:hint="eastAsia" w:ascii="宋体" w:hAnsi="宋体" w:eastAsia="宋体"/>
        <w:sz w:val="28"/>
        <w:szCs w:val="28"/>
      </w:rPr>
      <w:t xml:space="preserve">— </w:t>
    </w:r>
    <w:r>
      <w:rPr>
        <w:rFonts w:ascii="宋体" w:hAnsi="宋体" w:eastAsia="宋体"/>
        <w:sz w:val="28"/>
        <w:szCs w:val="28"/>
      </w:rPr>
      <w:fldChar w:fldCharType="begin"/>
    </w:r>
    <w:r>
      <w:rPr>
        <w:rStyle w:val="12"/>
        <w:rFonts w:ascii="宋体" w:hAnsi="宋体" w:eastAsia="宋体"/>
        <w:sz w:val="28"/>
        <w:szCs w:val="28"/>
      </w:rPr>
      <w:instrText xml:space="preserve">PAGE  </w:instrText>
    </w:r>
    <w:r>
      <w:rPr>
        <w:rFonts w:ascii="宋体" w:hAnsi="宋体" w:eastAsia="宋体"/>
        <w:sz w:val="28"/>
        <w:szCs w:val="28"/>
      </w:rPr>
      <w:fldChar w:fldCharType="separate"/>
    </w:r>
    <w:r>
      <w:rPr>
        <w:rStyle w:val="12"/>
        <w:rFonts w:ascii="宋体" w:hAnsi="宋体" w:eastAsia="宋体"/>
        <w:sz w:val="28"/>
        <w:szCs w:val="28"/>
      </w:rPr>
      <w:t>6</w:t>
    </w:r>
    <w:r>
      <w:rPr>
        <w:rFonts w:ascii="宋体" w:hAnsi="宋体" w:eastAsia="宋体"/>
        <w:sz w:val="28"/>
        <w:szCs w:val="28"/>
      </w:rPr>
      <w:fldChar w:fldCharType="end"/>
    </w:r>
    <w:r>
      <w:rPr>
        <w:rStyle w:val="12"/>
        <w:rFonts w:hint="eastAsia" w:ascii="宋体" w:hAnsi="宋体" w:eastAsia="宋体"/>
        <w:sz w:val="28"/>
        <w:szCs w:val="28"/>
      </w:rPr>
      <w:t xml:space="preserve"> —</w:t>
    </w:r>
    <w:r>
      <w:rPr>
        <w:rStyle w:val="12"/>
        <w:rFonts w:hint="eastAsia" w:ascii="宋体" w:hAnsi="宋体" w:eastAsia="宋体"/>
        <w:sz w:val="28"/>
        <w:szCs w:val="2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9"/>
        <w:ind w:firstLine="360"/>
      </w:pPr>
      <w:r>
        <w:rPr>
          <w:rStyle w:val="14"/>
        </w:rPr>
        <w:footnoteRef/>
      </w:r>
      <w:r>
        <w:t xml:space="preserve"> </w:t>
      </w:r>
      <w:r>
        <w:rPr>
          <w:rFonts w:hint="eastAsia"/>
          <w:sz w:val="21"/>
          <w:szCs w:val="21"/>
        </w:rPr>
        <w:t>四个一流：一流设施、一流技术、一流管理、一流服务。</w:t>
      </w:r>
    </w:p>
  </w:footnote>
  <w:footnote w:id="1">
    <w:p>
      <w:pPr>
        <w:pStyle w:val="9"/>
        <w:ind w:firstLine="360"/>
        <w:jc w:val="both"/>
      </w:pPr>
      <w:r>
        <w:rPr>
          <w:rStyle w:val="14"/>
        </w:rPr>
        <w:footnoteRef/>
      </w:r>
      <w:r>
        <w:t xml:space="preserve"> </w:t>
      </w:r>
      <w:r>
        <w:rPr>
          <w:rFonts w:hint="eastAsia"/>
        </w:rPr>
        <w:t>“五纵”：国道</w:t>
      </w:r>
      <w:r>
        <w:t>212</w:t>
      </w:r>
      <w:r>
        <w:rPr>
          <w:rFonts w:hint="eastAsia"/>
        </w:rPr>
        <w:t>线、省道</w:t>
      </w:r>
      <w:r>
        <w:t>205</w:t>
      </w:r>
      <w:r>
        <w:rPr>
          <w:rFonts w:hint="eastAsia"/>
        </w:rPr>
        <w:t>线、亭子湖环湖旅游路、昭化</w:t>
      </w:r>
      <w:r>
        <w:t>—</w:t>
      </w:r>
      <w:r>
        <w:rPr>
          <w:rFonts w:hint="eastAsia"/>
        </w:rPr>
        <w:t>大朝</w:t>
      </w:r>
      <w:r>
        <w:t>—</w:t>
      </w:r>
      <w:r>
        <w:rPr>
          <w:rFonts w:hint="eastAsia"/>
        </w:rPr>
        <w:t>沙坝、栖凤峡</w:t>
      </w:r>
      <w:r>
        <w:t>—</w:t>
      </w:r>
      <w:r>
        <w:rPr>
          <w:rFonts w:hint="eastAsia"/>
        </w:rPr>
        <w:t>平乐寺</w:t>
      </w:r>
      <w:r>
        <w:t>—</w:t>
      </w:r>
      <w:r>
        <w:rPr>
          <w:rFonts w:hint="eastAsia"/>
        </w:rPr>
        <w:t>紫云湖</w:t>
      </w:r>
      <w:r>
        <w:t>—</w:t>
      </w:r>
      <w:r>
        <w:rPr>
          <w:rFonts w:hint="eastAsia"/>
        </w:rPr>
        <w:t>王家</w:t>
      </w:r>
      <w:r>
        <w:t>—</w:t>
      </w:r>
      <w:r>
        <w:rPr>
          <w:rFonts w:hint="eastAsia"/>
        </w:rPr>
        <w:t>文村；“五横”：国道</w:t>
      </w:r>
      <w:r>
        <w:t>542</w:t>
      </w:r>
      <w:r>
        <w:rPr>
          <w:rFonts w:hint="eastAsia"/>
        </w:rPr>
        <w:t>线、元坝</w:t>
      </w:r>
      <w:r>
        <w:t>—</w:t>
      </w:r>
      <w:r>
        <w:rPr>
          <w:rFonts w:hint="eastAsia"/>
        </w:rPr>
        <w:t>昭化快速通道、红岩</w:t>
      </w:r>
      <w:r>
        <w:t>—</w:t>
      </w:r>
      <w:r>
        <w:rPr>
          <w:rFonts w:hint="eastAsia"/>
        </w:rPr>
        <w:t>白果</w:t>
      </w:r>
      <w:r>
        <w:t>—</w:t>
      </w:r>
      <w:r>
        <w:rPr>
          <w:rFonts w:hint="eastAsia"/>
        </w:rPr>
        <w:t>石井铺</w:t>
      </w:r>
      <w:r>
        <w:t>—</w:t>
      </w:r>
      <w:r>
        <w:rPr>
          <w:rFonts w:hint="eastAsia"/>
        </w:rPr>
        <w:t>卫子</w:t>
      </w:r>
      <w:r>
        <w:t>—</w:t>
      </w:r>
      <w:r>
        <w:rPr>
          <w:rFonts w:hint="eastAsia"/>
        </w:rPr>
        <w:t>王家</w:t>
      </w:r>
      <w:r>
        <w:t>—</w:t>
      </w:r>
      <w:r>
        <w:rPr>
          <w:rFonts w:hint="eastAsia"/>
        </w:rPr>
        <w:t>磨滩、黄龙</w:t>
      </w:r>
      <w:r>
        <w:t>—</w:t>
      </w:r>
      <w:r>
        <w:rPr>
          <w:rFonts w:hint="eastAsia"/>
        </w:rPr>
        <w:t>太公</w:t>
      </w:r>
      <w:r>
        <w:t>—</w:t>
      </w:r>
      <w:r>
        <w:rPr>
          <w:rFonts w:hint="eastAsia"/>
        </w:rPr>
        <w:t>柏林沟</w:t>
      </w:r>
      <w:r>
        <w:t>—</w:t>
      </w:r>
      <w:r>
        <w:rPr>
          <w:rFonts w:hint="eastAsia"/>
        </w:rPr>
        <w:t>文村、</w:t>
      </w:r>
      <w:r>
        <w:t xml:space="preserve"> </w:t>
      </w:r>
      <w:r>
        <w:rPr>
          <w:rFonts w:hint="eastAsia"/>
        </w:rPr>
        <w:t>陈江</w:t>
      </w:r>
      <w:r>
        <w:t>—</w:t>
      </w:r>
      <w:r>
        <w:rPr>
          <w:rFonts w:hint="eastAsia"/>
        </w:rPr>
        <w:t>虎跳</w:t>
      </w:r>
      <w:r>
        <w:t>—</w:t>
      </w:r>
      <w:r>
        <w:rPr>
          <w:rFonts w:hint="eastAsia"/>
        </w:rPr>
        <w:t>张家</w:t>
      </w:r>
      <w:r>
        <w:t>—</w:t>
      </w:r>
      <w:r>
        <w:rPr>
          <w:rFonts w:hint="eastAsia"/>
        </w:rPr>
        <w:t>清水；“十连线”：昭化</w:t>
      </w:r>
      <w:r>
        <w:t>—</w:t>
      </w:r>
      <w:r>
        <w:rPr>
          <w:rFonts w:hint="eastAsia"/>
        </w:rPr>
        <w:t>大朝</w:t>
      </w:r>
      <w:r>
        <w:t>—</w:t>
      </w:r>
      <w:r>
        <w:rPr>
          <w:rFonts w:hint="eastAsia"/>
        </w:rPr>
        <w:t>剑门关界、朝阳</w:t>
      </w:r>
      <w:r>
        <w:t>—</w:t>
      </w:r>
      <w:r>
        <w:rPr>
          <w:rFonts w:hint="eastAsia"/>
        </w:rPr>
        <w:t>沙坝、红岩</w:t>
      </w:r>
      <w:r>
        <w:t>—</w:t>
      </w:r>
      <w:r>
        <w:rPr>
          <w:rFonts w:hint="eastAsia"/>
        </w:rPr>
        <w:t>沙坝</w:t>
      </w:r>
      <w:r>
        <w:t>—</w:t>
      </w:r>
      <w:r>
        <w:rPr>
          <w:rFonts w:hint="eastAsia"/>
        </w:rPr>
        <w:t>剑门界、红岩</w:t>
      </w:r>
      <w:r>
        <w:t>—</w:t>
      </w:r>
      <w:r>
        <w:rPr>
          <w:rFonts w:hint="eastAsia"/>
        </w:rPr>
        <w:t>明觉</w:t>
      </w:r>
      <w:r>
        <w:t>—</w:t>
      </w:r>
      <w:r>
        <w:rPr>
          <w:rFonts w:hint="eastAsia"/>
        </w:rPr>
        <w:t>黑水塘、紫云</w:t>
      </w:r>
      <w:r>
        <w:t>—</w:t>
      </w:r>
      <w:r>
        <w:rPr>
          <w:rFonts w:hint="eastAsia"/>
        </w:rPr>
        <w:t>黑水塘、卫子</w:t>
      </w:r>
      <w:r>
        <w:t>—</w:t>
      </w:r>
      <w:r>
        <w:rPr>
          <w:rFonts w:hint="eastAsia"/>
        </w:rPr>
        <w:t>柏林沟、太公</w:t>
      </w:r>
      <w:r>
        <w:t>—</w:t>
      </w:r>
      <w:r>
        <w:rPr>
          <w:rFonts w:hint="eastAsia"/>
        </w:rPr>
        <w:t>虎跳、虎跳</w:t>
      </w:r>
      <w:r>
        <w:t>—</w:t>
      </w:r>
      <w:r>
        <w:rPr>
          <w:rFonts w:hint="eastAsia"/>
        </w:rPr>
        <w:t>青牛、红岩</w:t>
      </w:r>
      <w:r>
        <w:t>—</w:t>
      </w:r>
      <w:r>
        <w:rPr>
          <w:rFonts w:hint="eastAsia"/>
        </w:rPr>
        <w:t>太公</w:t>
      </w:r>
      <w:r>
        <w:t>—</w:t>
      </w:r>
      <w:r>
        <w:rPr>
          <w:rFonts w:hint="eastAsia"/>
        </w:rPr>
        <w:t>柏林沟、太公</w:t>
      </w:r>
      <w:r>
        <w:t>—</w:t>
      </w:r>
      <w:r>
        <w:rPr>
          <w:rFonts w:hint="eastAsia"/>
        </w:rPr>
        <w:t>黄龙</w:t>
      </w:r>
      <w:r>
        <w:t>—</w:t>
      </w:r>
      <w:r>
        <w:rPr>
          <w:rFonts w:hint="eastAsia"/>
        </w:rPr>
        <w:t>太平。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line="240" w:lineRule="auto"/>
      <w:ind w:firstLine="360" w:firstLineChars="200"/>
      <w:jc w:val="center"/>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val="0"/>
      <w:pBdr>
        <w:top w:val="none" w:color="auto" w:sz="0" w:space="1"/>
        <w:left w:val="none" w:color="auto" w:sz="0" w:space="4"/>
        <w:bottom w:val="none" w:color="auto" w:sz="0" w:space="1"/>
        <w:right w:val="none" w:color="auto" w:sz="0" w:space="4"/>
        <w:between w:val="none" w:color="auto" w:sz="0" w:space="0"/>
      </w:pBdr>
      <w:snapToGrid w:val="0"/>
      <w:spacing w:line="640" w:lineRule="exact"/>
      <w:ind w:firstLine="360" w:firstLineChars="20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34819F"/>
    <w:multiLevelType w:val="multilevel"/>
    <w:tmpl w:val="6F34819F"/>
    <w:lvl w:ilvl="0" w:tentative="0">
      <w:start w:val="1"/>
      <w:numFmt w:val="decimal"/>
      <w:pStyle w:val="8"/>
      <w:lvlText w:val="第%1章"/>
      <w:lvlJc w:val="left"/>
      <w:pPr>
        <w:tabs>
          <w:tab w:val="left" w:pos="0"/>
        </w:tabs>
        <w:ind w:left="425" w:hanging="425"/>
      </w:pPr>
      <w:rPr>
        <w:rFonts w:hint="eastAsia" w:ascii="Times New Roman" w:hAnsi="Times New Roman" w:cs="Times New Roman"/>
        <w:i w:val="0"/>
        <w:iCs w:val="0"/>
        <w:caps w:val="0"/>
        <w:smallCaps w:val="0"/>
        <w:strike w:val="0"/>
        <w:dstrike w:val="0"/>
        <w:vanish w:val="0"/>
        <w:spacing w:val="0"/>
        <w:position w:val="0"/>
        <w:u w:val="none"/>
        <w:vertAlign w:val="baseline"/>
      </w:rPr>
    </w:lvl>
    <w:lvl w:ilvl="1" w:tentative="0">
      <w:start w:val="1"/>
      <w:numFmt w:val="decimal"/>
      <w:isLgl/>
      <w:lvlText w:val="%1.%2"/>
      <w:lvlJc w:val="left"/>
      <w:pPr>
        <w:tabs>
          <w:tab w:val="left" w:pos="0"/>
        </w:tabs>
        <w:ind w:left="709" w:hanging="567"/>
      </w:pPr>
      <w:rPr>
        <w:rFonts w:hint="default" w:ascii="Times New Roman" w:hAnsi="Times New Roman" w:cs="Times New Roman"/>
      </w:rPr>
    </w:lvl>
    <w:lvl w:ilvl="2" w:tentative="0">
      <w:start w:val="1"/>
      <w:numFmt w:val="decimal"/>
      <w:isLgl/>
      <w:lvlText w:val="%1.%2.%3"/>
      <w:lvlJc w:val="left"/>
      <w:pPr>
        <w:tabs>
          <w:tab w:val="left" w:pos="0"/>
        </w:tabs>
        <w:ind w:left="709" w:hanging="709"/>
      </w:pPr>
      <w:rPr>
        <w:rFonts w:hint="eastAsia" w:cs="Times New Roman"/>
        <w:sz w:val="32"/>
        <w:szCs w:val="32"/>
      </w:rPr>
    </w:lvl>
    <w:lvl w:ilvl="3" w:tentative="0">
      <w:start w:val="1"/>
      <w:numFmt w:val="decimal"/>
      <w:isLgl/>
      <w:lvlText w:val="%1.%2.%3.%4."/>
      <w:lvlJc w:val="left"/>
      <w:pPr>
        <w:tabs>
          <w:tab w:val="left" w:pos="0"/>
        </w:tabs>
        <w:ind w:left="851" w:hanging="851"/>
      </w:pPr>
      <w:rPr>
        <w:rFonts w:hint="eastAsia" w:cs="Times New Roman"/>
      </w:rPr>
    </w:lvl>
    <w:lvl w:ilvl="4" w:tentative="0">
      <w:start w:val="1"/>
      <w:numFmt w:val="decimal"/>
      <w:isLgl/>
      <w:lvlText w:val="%1.%2.%3.%4.%5."/>
      <w:lvlJc w:val="left"/>
      <w:pPr>
        <w:tabs>
          <w:tab w:val="left" w:pos="0"/>
        </w:tabs>
        <w:ind w:left="992" w:hanging="992"/>
      </w:pPr>
      <w:rPr>
        <w:rFonts w:hint="eastAsia" w:cs="Times New Roman"/>
      </w:rPr>
    </w:lvl>
    <w:lvl w:ilvl="5" w:tentative="0">
      <w:start w:val="1"/>
      <w:numFmt w:val="decimal"/>
      <w:lvlText w:val="%1.%2.%3.%4.%5.%6."/>
      <w:lvlJc w:val="left"/>
      <w:pPr>
        <w:tabs>
          <w:tab w:val="left" w:pos="0"/>
        </w:tabs>
        <w:ind w:left="1134" w:hanging="1134"/>
      </w:pPr>
      <w:rPr>
        <w:rFonts w:hint="eastAsia" w:cs="Times New Roman"/>
      </w:rPr>
    </w:lvl>
    <w:lvl w:ilvl="6" w:tentative="0">
      <w:start w:val="1"/>
      <w:numFmt w:val="decimal"/>
      <w:lvlText w:val="%1.%2.%3.%4.%5.%6.%7."/>
      <w:lvlJc w:val="left"/>
      <w:pPr>
        <w:tabs>
          <w:tab w:val="left" w:pos="0"/>
        </w:tabs>
        <w:ind w:left="1276" w:hanging="1276"/>
      </w:pPr>
      <w:rPr>
        <w:rFonts w:hint="eastAsia" w:cs="Times New Roman"/>
      </w:rPr>
    </w:lvl>
    <w:lvl w:ilvl="7" w:tentative="0">
      <w:start w:val="1"/>
      <w:numFmt w:val="decimal"/>
      <w:lvlText w:val="%1.%2.%3.%4.%5.%6.%7.%8."/>
      <w:lvlJc w:val="left"/>
      <w:pPr>
        <w:tabs>
          <w:tab w:val="left" w:pos="0"/>
        </w:tabs>
        <w:ind w:left="1418" w:hanging="1418"/>
      </w:pPr>
      <w:rPr>
        <w:rFonts w:hint="eastAsia" w:cs="Times New Roman"/>
      </w:rPr>
    </w:lvl>
    <w:lvl w:ilvl="8" w:tentative="0">
      <w:start w:val="1"/>
      <w:numFmt w:val="decimal"/>
      <w:lvlText w:val="%1.%2.%3.%4.%5.%6.%7.%8.%9."/>
      <w:lvlJc w:val="left"/>
      <w:pPr>
        <w:tabs>
          <w:tab w:val="left" w:pos="0"/>
        </w:tabs>
        <w:ind w:left="1559" w:hanging="1559"/>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NjlkMGIzYzhmYjc4NjEzMzg4ZjUzZmE0ZDlhN2IifQ=="/>
  </w:docVars>
  <w:rsids>
    <w:rsidRoot w:val="49786AFA"/>
    <w:rsid w:val="49786A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uiPriority w:val="0"/>
    <w:pPr>
      <w:keepNext/>
      <w:keepLines/>
      <w:outlineLvl w:val="0"/>
    </w:pPr>
    <w:rPr>
      <w:rFonts w:eastAsia="黑体"/>
      <w:bCs/>
      <w:kern w:val="44"/>
      <w:szCs w:val="44"/>
    </w:rPr>
  </w:style>
  <w:style w:type="paragraph" w:styleId="2">
    <w:name w:val="heading 2"/>
    <w:basedOn w:val="1"/>
    <w:next w:val="1"/>
    <w:qFormat/>
    <w:uiPriority w:val="0"/>
    <w:pPr>
      <w:keepNext/>
      <w:keepLines/>
      <w:outlineLvl w:val="1"/>
    </w:pPr>
    <w:rPr>
      <w:rFonts w:ascii="Calibri Light" w:hAnsi="Calibri Light" w:eastAsia="楷体_GB2312"/>
      <w:bCs/>
      <w:szCs w:val="32"/>
    </w:rPr>
  </w:style>
  <w:style w:type="paragraph" w:styleId="4">
    <w:name w:val="heading 3"/>
    <w:basedOn w:val="1"/>
    <w:next w:val="1"/>
    <w:uiPriority w:val="0"/>
    <w:pPr>
      <w:keepNext/>
      <w:keepLines/>
      <w:ind w:firstLine="0" w:firstLineChars="0"/>
      <w:outlineLvl w:val="2"/>
    </w:pPr>
    <w:rPr>
      <w:rFonts w:eastAsia="黑体"/>
      <w:bCs/>
      <w:szCs w:val="3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Body Text"/>
    <w:basedOn w:val="1"/>
    <w:qFormat/>
    <w:uiPriority w:val="0"/>
    <w:pPr>
      <w:spacing w:after="120" w:line="360" w:lineRule="auto"/>
    </w:pPr>
    <w:rPr>
      <w:rFonts w:eastAsia="宋体"/>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List"/>
    <w:basedOn w:val="1"/>
    <w:qFormat/>
    <w:uiPriority w:val="0"/>
    <w:pPr>
      <w:numPr>
        <w:ilvl w:val="0"/>
        <w:numId w:val="1"/>
      </w:numPr>
      <w:adjustRightInd w:val="0"/>
      <w:spacing w:line="360" w:lineRule="auto"/>
      <w:textAlignment w:val="baseline"/>
    </w:pPr>
    <w:rPr>
      <w:rFonts w:ascii="Arial" w:hAnsi="Arial"/>
      <w:kern w:val="0"/>
      <w:sz w:val="24"/>
      <w:szCs w:val="24"/>
    </w:rPr>
  </w:style>
  <w:style w:type="paragraph" w:styleId="9">
    <w:name w:val="footnote text"/>
    <w:basedOn w:val="1"/>
    <w:semiHidden/>
    <w:qFormat/>
    <w:uiPriority w:val="0"/>
    <w:pPr>
      <w:snapToGrid w:val="0"/>
      <w:spacing w:line="360" w:lineRule="auto"/>
      <w:ind w:firstLine="640"/>
      <w:jc w:val="left"/>
    </w:pPr>
    <w:rPr>
      <w:sz w:val="18"/>
      <w:szCs w:val="18"/>
    </w:rPr>
  </w:style>
  <w:style w:type="character" w:styleId="12">
    <w:name w:val="page number"/>
    <w:basedOn w:val="11"/>
    <w:qFormat/>
    <w:uiPriority w:val="0"/>
  </w:style>
  <w:style w:type="character" w:styleId="13">
    <w:name w:val="Hyperlink"/>
    <w:basedOn w:val="11"/>
    <w:qFormat/>
    <w:uiPriority w:val="0"/>
    <w:rPr>
      <w:color w:val="0000FF"/>
      <w:u w:val="single"/>
    </w:rPr>
  </w:style>
  <w:style w:type="character" w:styleId="14">
    <w:name w:val="footnote reference"/>
    <w:basedOn w:val="11"/>
    <w:semiHidden/>
    <w:qFormat/>
    <w:uiPriority w:val="0"/>
    <w:rPr>
      <w:rFonts w:cs="Times New Roman"/>
      <w:vertAlign w:val="superscript"/>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表格"/>
    <w:basedOn w:val="18"/>
    <w:qFormat/>
    <w:uiPriority w:val="0"/>
    <w:pPr>
      <w:ind w:firstLine="0" w:firstLineChars="0"/>
    </w:pPr>
    <w:rPr>
      <w:sz w:val="21"/>
    </w:rPr>
  </w:style>
  <w:style w:type="paragraph" w:customStyle="1" w:styleId="18">
    <w:name w:val="No Spacing"/>
    <w:qFormat/>
    <w:uiPriority w:val="0"/>
    <w:pPr>
      <w:widowControl w:val="0"/>
      <w:ind w:firstLine="200" w:firstLineChars="200"/>
      <w:jc w:val="both"/>
    </w:pPr>
    <w:rPr>
      <w:rFonts w:ascii="Times New Roman" w:hAnsi="Times New Roman" w:eastAsia="仿宋_GB2312" w:cs="Times New Roman"/>
      <w:kern w:val="2"/>
      <w:sz w:val="32"/>
      <w:szCs w:val="22"/>
      <w:lang w:val="en-US" w:eastAsia="zh-CN" w:bidi="ar-SA"/>
    </w:rPr>
  </w:style>
  <w:style w:type="paragraph" w:customStyle="1" w:styleId="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
    <w:name w:val="图&amp;表名"/>
    <w:basedOn w:val="1"/>
    <w:qFormat/>
    <w:uiPriority w:val="0"/>
    <w:pPr>
      <w:spacing w:beforeLines="25" w:afterLines="25" w:line="360" w:lineRule="auto"/>
      <w:ind w:firstLine="0" w:firstLineChars="0"/>
      <w:jc w:val="center"/>
    </w:pPr>
    <w:rPr>
      <w:b/>
      <w:sz w:val="24"/>
      <w:szCs w:val="24"/>
    </w:rPr>
  </w:style>
  <w:style w:type="paragraph" w:customStyle="1" w:styleId="21">
    <w:name w:val="正 文"/>
    <w:basedOn w:val="1"/>
    <w:qFormat/>
    <w:uiPriority w:val="0"/>
    <w:pPr>
      <w:widowControl/>
      <w:adjustRightInd w:val="0"/>
      <w:snapToGrid w:val="0"/>
      <w:spacing w:beforeLines="50" w:afterLines="50" w:line="360" w:lineRule="auto"/>
      <w:ind w:firstLine="480"/>
    </w:pPr>
    <w:rPr>
      <w:rFonts w:eastAsia="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wmf"/><Relationship Id="rId44" Type="http://schemas.openxmlformats.org/officeDocument/2006/relationships/image" Target="media/image27.wmf"/><Relationship Id="rId43" Type="http://schemas.openxmlformats.org/officeDocument/2006/relationships/image" Target="media/image26.wmf"/><Relationship Id="rId42" Type="http://schemas.openxmlformats.org/officeDocument/2006/relationships/image" Target="media/image25.wmf"/><Relationship Id="rId41" Type="http://schemas.openxmlformats.org/officeDocument/2006/relationships/image" Target="media/image24.wmf"/><Relationship Id="rId40" Type="http://schemas.openxmlformats.org/officeDocument/2006/relationships/image" Target="media/image23.wmf"/><Relationship Id="rId4" Type="http://schemas.openxmlformats.org/officeDocument/2006/relationships/header" Target="header1.xml"/><Relationship Id="rId39" Type="http://schemas.openxmlformats.org/officeDocument/2006/relationships/image" Target="media/image22.wmf"/><Relationship Id="rId38" Type="http://schemas.openxmlformats.org/officeDocument/2006/relationships/image" Target="media/image21.wmf"/><Relationship Id="rId37" Type="http://schemas.openxmlformats.org/officeDocument/2006/relationships/image" Target="media/image20.wmf"/><Relationship Id="rId36" Type="http://schemas.openxmlformats.org/officeDocument/2006/relationships/image" Target="media/image19.wmf"/><Relationship Id="rId35" Type="http://schemas.openxmlformats.org/officeDocument/2006/relationships/image" Target="media/image18.wmf"/><Relationship Id="rId34" Type="http://schemas.openxmlformats.org/officeDocument/2006/relationships/oleObject" Target="embeddings/oleObject5.bin"/><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oleObject" Target="embeddings/oleObject4.bin"/><Relationship Id="rId27" Type="http://schemas.openxmlformats.org/officeDocument/2006/relationships/image" Target="media/image12.png"/><Relationship Id="rId26" Type="http://schemas.openxmlformats.org/officeDocument/2006/relationships/oleObject" Target="embeddings/oleObject3.bin"/><Relationship Id="rId25" Type="http://schemas.openxmlformats.org/officeDocument/2006/relationships/image" Target="media/image11.png"/><Relationship Id="rId24" Type="http://schemas.openxmlformats.org/officeDocument/2006/relationships/oleObject" Target="embeddings/oleObject2.bin"/><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2022-12-29T09:19:00Z</dcterms:created>
  <dc:creator>cheng繨爺</dc:creator>
  <cp:lastModifiedBy>cheng繨爺</cp:lastModifiedBy>
  <dcterms:modified xsi:type="dcterms:W3CDTF">2022-12-29T09:32:09Z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1E0A2946C4704E1E983925E86A06496B</vt:lpwstr>
  </property>
</Properties>
</file>