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rPr>
          <w:rFonts w:hint="eastAsia"/>
          <w:lang w:val="en-US" w:eastAsia="zh-CN"/>
        </w:rPr>
      </w:pPr>
    </w:p>
    <w:p>
      <w:pP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方正小标宋简体" w:cs="Times New Roman"/>
          <w:color w:val="000000"/>
          <w:sz w:val="56"/>
          <w:szCs w:val="56"/>
          <w:lang w:val="en-US" w:eastAsia="zh-CN"/>
        </w:rPr>
      </w:pPr>
      <w:bookmarkStart w:id="0" w:name="_Toc25625"/>
      <w:r>
        <w:rPr>
          <w:rFonts w:hint="default" w:ascii="Times New Roman" w:hAnsi="Times New Roman" w:eastAsia="方正小标宋简体" w:cs="Times New Roman"/>
          <w:color w:val="000000"/>
          <w:sz w:val="56"/>
          <w:szCs w:val="56"/>
          <w:lang w:val="en-US" w:eastAsia="zh-CN"/>
        </w:rPr>
        <w:t>广元市昭化区科学技术协会</w:t>
      </w:r>
      <w:bookmarkEnd w:id="0"/>
    </w:p>
    <w:p>
      <w:pPr>
        <w:pStyle w:val="2"/>
        <w:rPr>
          <w:rFonts w:hint="eastAsia"/>
          <w:sz w:val="56"/>
          <w:szCs w:val="56"/>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方正小标宋简体" w:cs="Times New Roman"/>
          <w:color w:val="000000"/>
          <w:kern w:val="2"/>
          <w:sz w:val="56"/>
          <w:szCs w:val="56"/>
          <w:lang w:val="en-US" w:eastAsia="zh-CN" w:bidi="ar-SA"/>
        </w:rPr>
      </w:pPr>
      <w:r>
        <w:rPr>
          <w:rFonts w:hint="eastAsia" w:ascii="Times New Roman" w:hAnsi="Times New Roman" w:eastAsia="方正小标宋简体" w:cs="Times New Roman"/>
          <w:color w:val="000000"/>
          <w:kern w:val="2"/>
          <w:sz w:val="56"/>
          <w:szCs w:val="56"/>
          <w:lang w:val="en-US" w:eastAsia="zh-CN" w:bidi="ar-SA"/>
        </w:rPr>
        <w:t>2024年部门预算编制说明</w:t>
      </w:r>
    </w:p>
    <w:p>
      <w:pP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br w:type="page"/>
      </w:r>
    </w:p>
    <w:p>
      <w:pPr>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目   录</w:t>
      </w:r>
    </w:p>
    <w:sdt>
      <w:sdtPr>
        <w:rPr>
          <w:rFonts w:ascii="宋体" w:hAnsi="宋体" w:eastAsia="宋体" w:cs="Times New Roman"/>
          <w:color w:val="auto"/>
          <w:kern w:val="2"/>
          <w:sz w:val="21"/>
          <w:szCs w:val="24"/>
          <w:lang w:val="en-US" w:eastAsia="zh-CN" w:bidi="ar-SA"/>
        </w:rPr>
        <w:id w:val="147483247"/>
        <w15:color w:val="DBDBDB"/>
        <w:docPartObj>
          <w:docPartGallery w:val="Table of Contents"/>
          <w:docPartUnique/>
        </w:docPartObj>
      </w:sdtPr>
      <w:sdtEndPr>
        <w:rPr>
          <w:rFonts w:hint="eastAsia" w:ascii="Calibri" w:hAnsi="Calibri" w:eastAsia="宋体" w:cs="Times New Roman"/>
          <w:b/>
          <w:color w:val="auto"/>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rPr>
          </w:pPr>
          <w:r>
            <w:rPr>
              <w:rFonts w:hint="eastAsia"/>
              <w:lang w:val="en-US" w:eastAsia="zh-CN"/>
            </w:rPr>
            <w:fldChar w:fldCharType="begin"/>
          </w:r>
          <w:r>
            <w:rPr>
              <w:rFonts w:hint="eastAsia"/>
              <w:lang w:val="en-US" w:eastAsia="zh-CN"/>
            </w:rPr>
            <w:instrText xml:space="preserve">TOC \o "1-2" \h \u </w:instrText>
          </w:r>
          <w:r>
            <w:rPr>
              <w:rFonts w:hint="eastAsia"/>
              <w:lang w:val="en-US" w:eastAsia="zh-CN"/>
            </w:rPr>
            <w:fldChar w:fldCharType="separate"/>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_Toc15169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lang w:val="en-US" w:eastAsia="zh-CN"/>
            </w:rPr>
            <w:t>一、基本职能及主要工作</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_Toc15169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1</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6"/>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_Toc1030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rPr>
            <w:t>（一）</w:t>
          </w:r>
          <w:r>
            <w:rPr>
              <w:rFonts w:hint="default" w:ascii="Times New Roman" w:hAnsi="Times New Roman" w:eastAsia="仿宋_GB2312" w:cs="Times New Roman"/>
              <w:b w:val="0"/>
              <w:bCs/>
              <w:sz w:val="32"/>
              <w:szCs w:val="32"/>
              <w:lang w:eastAsia="zh-CN"/>
            </w:rPr>
            <w:t>区科协</w:t>
          </w:r>
          <w:r>
            <w:rPr>
              <w:rFonts w:hint="default" w:ascii="Times New Roman" w:hAnsi="Times New Roman" w:eastAsia="仿宋_GB2312" w:cs="Times New Roman"/>
              <w:b w:val="0"/>
              <w:bCs/>
              <w:sz w:val="32"/>
              <w:szCs w:val="32"/>
              <w:lang w:val="en-US" w:eastAsia="zh-CN"/>
            </w:rPr>
            <w:t>单位</w:t>
          </w:r>
          <w:r>
            <w:rPr>
              <w:rFonts w:hint="default" w:ascii="Times New Roman" w:hAnsi="Times New Roman" w:eastAsia="仿宋_GB2312" w:cs="Times New Roman"/>
              <w:b w:val="0"/>
              <w:bCs/>
              <w:sz w:val="32"/>
              <w:szCs w:val="32"/>
            </w:rPr>
            <w:t>职能简介</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_Toc1030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1</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6"/>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_Toc11801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rPr>
            <w:t>（二）</w:t>
          </w:r>
          <w:r>
            <w:rPr>
              <w:rFonts w:hint="default" w:ascii="Times New Roman" w:hAnsi="Times New Roman" w:eastAsia="仿宋_GB2312" w:cs="Times New Roman"/>
              <w:b w:val="0"/>
              <w:bCs/>
              <w:sz w:val="32"/>
              <w:szCs w:val="32"/>
              <w:lang w:eastAsia="zh-CN"/>
            </w:rPr>
            <w:t>区科协</w:t>
          </w:r>
          <w:r>
            <w:rPr>
              <w:rFonts w:hint="default" w:ascii="Times New Roman" w:hAnsi="Times New Roman" w:eastAsia="仿宋_GB2312" w:cs="Times New Roman"/>
              <w:b w:val="0"/>
              <w:bCs/>
              <w:sz w:val="32"/>
              <w:szCs w:val="32"/>
            </w:rPr>
            <w:t>202</w:t>
          </w:r>
          <w:r>
            <w:rPr>
              <w:rFonts w:hint="default" w:ascii="Times New Roman" w:hAnsi="Times New Roman" w:eastAsia="仿宋_GB2312" w:cs="Times New Roman"/>
              <w:b w:val="0"/>
              <w:bCs/>
              <w:sz w:val="32"/>
              <w:szCs w:val="32"/>
              <w:lang w:val="en-US" w:eastAsia="zh-CN"/>
            </w:rPr>
            <w:t>4</w:t>
          </w:r>
          <w:r>
            <w:rPr>
              <w:rFonts w:hint="default" w:ascii="Times New Roman" w:hAnsi="Times New Roman" w:eastAsia="仿宋_GB2312" w:cs="Times New Roman"/>
              <w:b w:val="0"/>
              <w:bCs/>
              <w:sz w:val="32"/>
              <w:szCs w:val="32"/>
            </w:rPr>
            <w:t>年重点工作</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_Toc11801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1</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_Toc6893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lang w:val="en-US" w:eastAsia="zh-CN"/>
            </w:rPr>
            <w:t>二、部门预算单位构成</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_Toc6893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2</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_Toc27317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lang w:val="en-US" w:eastAsia="zh-CN"/>
            </w:rPr>
            <w:t>三、收支预算情况说明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_Toc27317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2</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6"/>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_Toc29252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lang w:val="en-US" w:eastAsia="zh-CN"/>
            </w:rPr>
            <w:t>（一）收入预算情况</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_Toc29252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2</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6"/>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_Toc2511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lang w:val="en-US" w:eastAsia="zh-CN"/>
            </w:rPr>
            <w:t>（二）支出预算情况</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_Toc2511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2</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_Toc16311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lang w:val="en-US" w:eastAsia="zh-CN"/>
            </w:rPr>
            <w:t>四、财政拨款收支预算情况说明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_Toc16311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2</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_Toc21206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lang w:val="en-US" w:eastAsia="zh-CN"/>
            </w:rPr>
            <w:t>五、一般公共预算当年拨款情况说明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_Toc21206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6"/>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_Toc15265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lang w:val="en-US" w:eastAsia="zh-CN"/>
            </w:rPr>
            <w:t>（一）一般公共预算当年拨款规模变化情况</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_Toc15265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6"/>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_Toc6331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lang w:val="en-US" w:eastAsia="zh-CN"/>
            </w:rPr>
            <w:t>（二）一般公共预算当年拨款结构情况</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_Toc6331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6"/>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_Toc297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lang w:val="en-US" w:eastAsia="zh-CN"/>
            </w:rPr>
            <w:t>（三）一般公共预算当年拨款具体使用情况</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_Toc297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_Toc13849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lang w:val="en-US" w:eastAsia="zh-CN"/>
            </w:rPr>
            <w:t>六、一般公共预算基本支出情况说明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_Toc13849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4</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_Toc17483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lang w:val="en-US" w:eastAsia="zh-CN"/>
            </w:rPr>
            <w:t>七、“三公”经费财政拨款预算安排情况说明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_Toc17483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4</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_Toc24935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lang w:val="en-US" w:eastAsia="zh-CN"/>
            </w:rPr>
            <w:t>八、政府性基金预算支出情况说明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_Toc24935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5</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_Toc26978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lang w:val="en-US" w:eastAsia="zh-CN"/>
            </w:rPr>
            <w:t>九、国有资本经营预算支出情况说明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_Toc26978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5</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_Toc13259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lang w:val="en-US" w:eastAsia="zh-CN"/>
            </w:rPr>
            <w:t>十、其他重要事项的情况说明</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_Toc13259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5</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pStyle w:val="15"/>
            <w:keepNext w:val="0"/>
            <w:keepLines w:val="0"/>
            <w:pageBreakBefore w:val="0"/>
            <w:widowControl/>
            <w:tabs>
              <w:tab w:val="right" w:leader="dot" w:pos="8845"/>
            </w:tabs>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val="0"/>
              <w:bCs/>
              <w:sz w:val="32"/>
              <w:szCs w:val="32"/>
              <w:lang w:val="en-US" w:eastAsia="zh-CN"/>
            </w:rPr>
            <w:fldChar w:fldCharType="begin"/>
          </w:r>
          <w:r>
            <w:rPr>
              <w:rFonts w:hint="default" w:ascii="Times New Roman" w:hAnsi="Times New Roman" w:eastAsia="仿宋_GB2312" w:cs="Times New Roman"/>
              <w:b w:val="0"/>
              <w:bCs/>
              <w:sz w:val="32"/>
              <w:szCs w:val="32"/>
              <w:lang w:val="en-US" w:eastAsia="zh-CN"/>
            </w:rPr>
            <w:instrText xml:space="preserve"> HYPERLINK \l _Toc9941 </w:instrText>
          </w:r>
          <w:r>
            <w:rPr>
              <w:rFonts w:hint="default" w:ascii="Times New Roman" w:hAnsi="Times New Roman" w:eastAsia="仿宋_GB2312" w:cs="Times New Roman"/>
              <w:b w:val="0"/>
              <w:bCs/>
              <w:sz w:val="32"/>
              <w:szCs w:val="32"/>
              <w:lang w:val="en-US" w:eastAsia="zh-CN"/>
            </w:rPr>
            <w:fldChar w:fldCharType="separate"/>
          </w:r>
          <w:r>
            <w:rPr>
              <w:rFonts w:hint="default" w:ascii="Times New Roman" w:hAnsi="Times New Roman" w:eastAsia="仿宋_GB2312" w:cs="Times New Roman"/>
              <w:b w:val="0"/>
              <w:bCs/>
              <w:sz w:val="32"/>
              <w:szCs w:val="32"/>
              <w:lang w:val="en-US" w:eastAsia="zh-CN"/>
            </w:rPr>
            <w:t>十一、名词解释</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_Toc9941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6</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sz w:val="32"/>
              <w:szCs w:val="32"/>
              <w:lang w:val="en-US" w:eastAsia="zh-CN"/>
            </w:rPr>
            <w:fldChar w:fldCharType="end"/>
          </w:r>
        </w:p>
        <w:p>
          <w:pPr>
            <w:rPr>
              <w:rFonts w:hint="eastAsia" w:ascii="Calibri" w:hAnsi="Calibri" w:eastAsia="宋体" w:cs="Times New Roman"/>
              <w:b/>
              <w:color w:val="auto"/>
              <w:kern w:val="2"/>
              <w:sz w:val="21"/>
              <w:szCs w:val="24"/>
              <w:lang w:val="en-US" w:eastAsia="zh-CN" w:bidi="ar-SA"/>
            </w:rPr>
            <w:sectPr>
              <w:pgSz w:w="11906" w:h="16838"/>
              <w:pgMar w:top="2098" w:right="1474" w:bottom="1984" w:left="1587" w:header="720" w:footer="1559" w:gutter="0"/>
              <w:pgNumType w:fmt="decimal"/>
              <w:cols w:space="720" w:num="1"/>
              <w:docGrid w:type="lines" w:linePitch="312" w:charSpace="0"/>
            </w:sectPr>
          </w:pPr>
          <w:r>
            <w:rPr>
              <w:rFonts w:hint="eastAsia"/>
              <w:b/>
              <w:lang w:val="en-US" w:eastAsia="zh-CN"/>
            </w:rPr>
            <w:fldChar w:fldCharType="end"/>
          </w:r>
        </w:p>
      </w:sdtContent>
    </w:sdt>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1" w:name="_Toc15169"/>
      <w:r>
        <w:rPr>
          <w:rFonts w:hint="eastAsia" w:ascii="黑体" w:hAnsi="黑体" w:eastAsia="黑体" w:cs="黑体"/>
          <w:sz w:val="32"/>
          <w:szCs w:val="32"/>
          <w:lang w:val="en-US" w:eastAsia="zh-CN"/>
        </w:rPr>
        <w:t>基本职能</w:t>
      </w:r>
      <w:r>
        <w:rPr>
          <w:rFonts w:hint="default" w:ascii="Times New Roman" w:hAnsi="Times New Roman" w:eastAsia="黑体" w:cs="Times New Roman"/>
          <w:sz w:val="32"/>
          <w:szCs w:val="32"/>
          <w:lang w:val="en-US" w:eastAsia="zh-CN"/>
        </w:rPr>
        <w:t>及主要工作</w:t>
      </w:r>
      <w:bookmarkEnd w:id="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b w:val="0"/>
          <w:bCs w:val="0"/>
          <w:sz w:val="32"/>
          <w:szCs w:val="32"/>
        </w:rPr>
      </w:pPr>
      <w:bookmarkStart w:id="2" w:name="_Toc1030"/>
      <w:r>
        <w:rPr>
          <w:rFonts w:hint="default" w:ascii="Times New Roman" w:hAnsi="Times New Roman" w:eastAsia="楷体_GB2312" w:cs="Times New Roman"/>
          <w:b w:val="0"/>
          <w:bCs w:val="0"/>
          <w:sz w:val="32"/>
          <w:szCs w:val="32"/>
        </w:rPr>
        <w:t>（一）</w:t>
      </w:r>
      <w:r>
        <w:rPr>
          <w:rFonts w:hint="default" w:ascii="Times New Roman" w:hAnsi="Times New Roman" w:eastAsia="楷体_GB2312" w:cs="Times New Roman"/>
          <w:b w:val="0"/>
          <w:bCs w:val="0"/>
          <w:sz w:val="32"/>
          <w:szCs w:val="32"/>
          <w:lang w:eastAsia="zh-CN"/>
        </w:rPr>
        <w:t>区科协</w:t>
      </w:r>
      <w:r>
        <w:rPr>
          <w:rFonts w:hint="default" w:ascii="Times New Roman" w:hAnsi="Times New Roman" w:eastAsia="楷体_GB2312" w:cs="Times New Roman"/>
          <w:b w:val="0"/>
          <w:bCs w:val="0"/>
          <w:sz w:val="32"/>
          <w:szCs w:val="32"/>
          <w:lang w:val="en-US" w:eastAsia="zh-CN"/>
        </w:rPr>
        <w:t>单位</w:t>
      </w:r>
      <w:r>
        <w:rPr>
          <w:rFonts w:hint="default" w:ascii="Times New Roman" w:hAnsi="Times New Roman" w:eastAsia="楷体_GB2312" w:cs="Times New Roman"/>
          <w:b w:val="0"/>
          <w:bCs w:val="0"/>
          <w:sz w:val="32"/>
          <w:szCs w:val="32"/>
        </w:rPr>
        <w:t>职能简介</w:t>
      </w:r>
      <w:bookmarkEnd w:id="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1.组织学术活动，开展学术交流；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2.弘扬科学精神，普及科学知识；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3.牵头实施《全民科学素质纲要》；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4.反映科学技术工作者的意见和要求，维护科技工作者的合法权益，为科技团体和科技工作者服务；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5.宣传、表彰、举荐优秀科学技术工作者；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6.参与科学论证、决策咨询和科技咨询服务；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7.开展民间科学技术合作与交流活动；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8.对全区各类科技团体进行管理和业务指导；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9.完成区委区政府和上级交办的其他工作任务。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b w:val="0"/>
          <w:bCs w:val="0"/>
          <w:sz w:val="32"/>
          <w:szCs w:val="32"/>
        </w:rPr>
      </w:pPr>
      <w:bookmarkStart w:id="3" w:name="_Toc11801"/>
      <w:r>
        <w:rPr>
          <w:rFonts w:hint="default" w:ascii="Times New Roman" w:hAnsi="Times New Roman" w:eastAsia="楷体_GB2312" w:cs="Times New Roman"/>
          <w:b w:val="0"/>
          <w:bCs w:val="0"/>
          <w:sz w:val="32"/>
          <w:szCs w:val="32"/>
        </w:rPr>
        <w:t>（二）</w:t>
      </w:r>
      <w:r>
        <w:rPr>
          <w:rFonts w:hint="default" w:ascii="Times New Roman" w:hAnsi="Times New Roman" w:eastAsia="楷体_GB2312" w:cs="Times New Roman"/>
          <w:b w:val="0"/>
          <w:bCs w:val="0"/>
          <w:sz w:val="32"/>
          <w:szCs w:val="32"/>
          <w:lang w:eastAsia="zh-CN"/>
        </w:rPr>
        <w:t>区科协</w:t>
      </w:r>
      <w:r>
        <w:rPr>
          <w:rFonts w:hint="default" w:ascii="Times New Roman" w:hAnsi="Times New Roman" w:eastAsia="楷体_GB2312" w:cs="Times New Roman"/>
          <w:b w:val="0"/>
          <w:bCs w:val="0"/>
          <w:sz w:val="32"/>
          <w:szCs w:val="32"/>
        </w:rPr>
        <w:t>202</w:t>
      </w:r>
      <w:r>
        <w:rPr>
          <w:rFonts w:hint="default" w:ascii="Times New Roman" w:hAnsi="Times New Roman" w:eastAsia="楷体_GB2312" w:cs="Times New Roman"/>
          <w:b w:val="0"/>
          <w:bCs w:val="0"/>
          <w:sz w:val="32"/>
          <w:szCs w:val="32"/>
          <w:lang w:val="en-US" w:eastAsia="zh-CN"/>
        </w:rPr>
        <w:t>4</w:t>
      </w:r>
      <w:r>
        <w:rPr>
          <w:rFonts w:hint="default" w:ascii="Times New Roman" w:hAnsi="Times New Roman" w:eastAsia="楷体_GB2312" w:cs="Times New Roman"/>
          <w:b w:val="0"/>
          <w:bCs w:val="0"/>
          <w:sz w:val="32"/>
          <w:szCs w:val="32"/>
        </w:rPr>
        <w:t>年重点工作</w:t>
      </w:r>
      <w:bookmarkEnd w:id="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b w:val="0"/>
          <w:bCs w:val="0"/>
          <w:color w:val="000000"/>
          <w:kern w:val="2"/>
          <w:sz w:val="32"/>
          <w:szCs w:val="32"/>
          <w:lang w:val="en-US" w:eastAsia="zh-CN" w:bidi="ar-SA"/>
        </w:rPr>
      </w:pPr>
      <w:r>
        <w:rPr>
          <w:rFonts w:hint="default" w:ascii="Times New Roman" w:hAnsi="Times New Roman" w:eastAsia="楷体_GB2312" w:cs="Times New Roman"/>
          <w:sz w:val="32"/>
          <w:szCs w:val="32"/>
          <w:lang w:val="en-US" w:eastAsia="zh-CN"/>
        </w:rPr>
        <w:t>1.</w:t>
      </w:r>
      <w:r>
        <w:rPr>
          <w:rFonts w:hint="default" w:ascii="Times New Roman" w:hAnsi="Times New Roman" w:eastAsia="仿宋" w:cs="Times New Roman"/>
          <w:b w:val="0"/>
          <w:bCs w:val="0"/>
          <w:color w:val="000000"/>
          <w:kern w:val="2"/>
          <w:sz w:val="32"/>
          <w:szCs w:val="32"/>
          <w:lang w:val="en-US" w:eastAsia="zh-CN" w:bidi="ar-SA"/>
        </w:rPr>
        <w:t>持续抓好主题教育，深入学习习近平新时代中国特色社会主义思想，全面贯彻党的二十大以及省市区委各级会议精神，确保党中央和省委、市委、区委各项决策部署在科协落地生根、见到实效。</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 w:cs="Times New Roman"/>
          <w:b w:val="0"/>
          <w:bCs w:val="0"/>
          <w:color w:val="000000"/>
          <w:kern w:val="2"/>
          <w:sz w:val="32"/>
          <w:szCs w:val="32"/>
          <w:lang w:val="en-US" w:eastAsia="zh-CN" w:bidi="ar-SA"/>
        </w:rPr>
      </w:pPr>
      <w:r>
        <w:rPr>
          <w:rFonts w:hint="default" w:ascii="Times New Roman" w:hAnsi="Times New Roman" w:eastAsia="仿宋" w:cs="Times New Roman"/>
          <w:b w:val="0"/>
          <w:bCs w:val="0"/>
          <w:color w:val="000000"/>
          <w:kern w:val="2"/>
          <w:sz w:val="32"/>
          <w:szCs w:val="32"/>
          <w:lang w:val="en-US" w:eastAsia="zh-CN" w:bidi="ar-SA"/>
        </w:rPr>
        <w:t>2.持续做好天府科技云服务、省市区各级院士（专家）工作站建站、科普基地创建等各项重点业务工作，做到线下与线上有机融合。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 w:cs="Times New Roman"/>
          <w:b w:val="0"/>
          <w:bCs w:val="0"/>
          <w:color w:val="000000"/>
          <w:kern w:val="2"/>
          <w:sz w:val="32"/>
          <w:szCs w:val="32"/>
          <w:lang w:val="en-US" w:eastAsia="zh-CN" w:bidi="ar-SA"/>
        </w:rPr>
        <w:t>3.</w:t>
      </w:r>
      <w:r>
        <w:rPr>
          <w:rFonts w:hint="default" w:ascii="Times New Roman" w:hAnsi="Times New Roman" w:eastAsia="仿宋_GB2312" w:cs="Times New Roman"/>
          <w:sz w:val="32"/>
          <w:szCs w:val="32"/>
          <w:lang w:val="en-US" w:eastAsia="zh-CN"/>
        </w:rPr>
        <w:t>持续</w:t>
      </w:r>
      <w:r>
        <w:rPr>
          <w:rFonts w:hint="default" w:ascii="Times New Roman" w:hAnsi="Times New Roman" w:eastAsia="仿宋_GB2312" w:cs="Times New Roman"/>
          <w:sz w:val="32"/>
          <w:szCs w:val="32"/>
        </w:rPr>
        <w:t>充实科普力量，壮大科普队伍，</w:t>
      </w:r>
      <w:r>
        <w:rPr>
          <w:rFonts w:hint="default" w:ascii="Times New Roman" w:hAnsi="Times New Roman" w:eastAsia="仿宋_GB2312" w:cs="Times New Roman"/>
          <w:sz w:val="32"/>
          <w:szCs w:val="32"/>
          <w:lang w:val="en-US" w:eastAsia="zh-CN"/>
        </w:rPr>
        <w:t>发挥现有资源作用，挖掘潜在资源潜力，</w:t>
      </w:r>
      <w:r>
        <w:rPr>
          <w:rFonts w:hint="default" w:ascii="Times New Roman" w:hAnsi="Times New Roman" w:eastAsia="仿宋_GB2312" w:cs="Times New Roman"/>
          <w:sz w:val="32"/>
          <w:szCs w:val="32"/>
        </w:rPr>
        <w:t>努力</w:t>
      </w:r>
      <w:r>
        <w:rPr>
          <w:rFonts w:hint="default"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rPr>
        <w:t>更多的科技工作者、企事业单位</w:t>
      </w:r>
      <w:r>
        <w:rPr>
          <w:rFonts w:hint="default" w:ascii="Times New Roman" w:hAnsi="Times New Roman" w:eastAsia="仿宋_GB2312" w:cs="Times New Roman"/>
          <w:sz w:val="32"/>
          <w:szCs w:val="32"/>
          <w:lang w:val="en-US" w:eastAsia="zh-CN"/>
        </w:rPr>
        <w:t>服好务</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不断提升我区公民科学素质</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4" w:name="_Toc6893"/>
      <w:r>
        <w:rPr>
          <w:rFonts w:hint="default" w:ascii="Times New Roman" w:hAnsi="Times New Roman" w:eastAsia="黑体" w:cs="Times New Roman"/>
          <w:sz w:val="32"/>
          <w:szCs w:val="32"/>
          <w:lang w:val="en-US" w:eastAsia="zh-CN"/>
        </w:rPr>
        <w:t>二、部门预算单位构成</w:t>
      </w:r>
      <w:bookmarkEnd w:id="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 w:cs="Times New Roman"/>
          <w:sz w:val="32"/>
          <w:szCs w:val="32"/>
          <w:lang w:val="en-US" w:eastAsia="zh-CN"/>
        </w:rPr>
        <w:t>区科协下属二级预算单位0个，其中行政单位0个，参照公务员法管理的事业单位0个，其他事业单位0个。</w:t>
      </w:r>
      <w:r>
        <w:rPr>
          <w:rFonts w:hint="default" w:ascii="Times New Roman" w:hAnsi="Times New Roman" w:eastAsia="仿宋_GB2312" w:cs="Times New Roman"/>
          <w:sz w:val="32"/>
          <w:szCs w:val="32"/>
          <w:lang w:val="en-US" w:eastAsia="zh-CN"/>
        </w:rPr>
        <w:t>本单位无下属机构，无内设机构。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rPr>
      </w:pPr>
      <w:bookmarkStart w:id="5" w:name="_Toc27317"/>
      <w:r>
        <w:rPr>
          <w:rFonts w:hint="default" w:ascii="Times New Roman" w:hAnsi="Times New Roman" w:eastAsia="黑体" w:cs="Times New Roman"/>
          <w:sz w:val="32"/>
          <w:szCs w:val="32"/>
          <w:lang w:val="en-US" w:eastAsia="zh-CN"/>
        </w:rPr>
        <w:t>三、收支预算情况说明</w:t>
      </w:r>
      <w:bookmarkEnd w:id="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 w:cs="Times New Roman"/>
          <w:sz w:val="32"/>
          <w:szCs w:val="32"/>
          <w:lang w:val="en-US" w:eastAsia="zh-CN"/>
        </w:rPr>
        <w:t>按照综合预算的原则，区科协所有收入和支出均纳入部门预算管理。收入包括：一般公共预算拨款收入；支出包括：科学技术支出、社会保障和就业支出、卫生健康支出。区科协2024年</w:t>
      </w:r>
      <w:r>
        <w:rPr>
          <w:rFonts w:hint="default" w:ascii="Times New Roman" w:hAnsi="Times New Roman" w:eastAsia="仿宋_GB2312" w:cs="Times New Roman"/>
          <w:sz w:val="32"/>
          <w:szCs w:val="32"/>
          <w:lang w:val="en-US" w:eastAsia="zh-CN"/>
        </w:rPr>
        <w:t>收支预算总数75.27万元，比2023年收支预算总数增加6.58万元，</w:t>
      </w:r>
      <w:r>
        <w:rPr>
          <w:rFonts w:hint="default" w:ascii="Times New Roman" w:hAnsi="Times New Roman" w:eastAsia="仿宋" w:cs="Times New Roman"/>
          <w:sz w:val="32"/>
          <w:szCs w:val="32"/>
          <w:lang w:val="en-US" w:eastAsia="zh-CN"/>
        </w:rPr>
        <w:t>主要原因：</w:t>
      </w:r>
      <w:r>
        <w:rPr>
          <w:rFonts w:hint="default" w:ascii="Times New Roman" w:hAnsi="Times New Roman" w:eastAsia="仿宋_GB2312" w:cs="Times New Roman"/>
          <w:color w:val="000000"/>
          <w:sz w:val="32"/>
          <w:szCs w:val="32"/>
          <w:highlight w:val="none"/>
          <w:lang w:eastAsia="zh-CN"/>
        </w:rPr>
        <w:t>一是两名干部晋档晋级后工资增加</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CN"/>
        </w:rPr>
        <w:t>二是</w:t>
      </w:r>
      <w:r>
        <w:rPr>
          <w:rFonts w:hint="default" w:ascii="Times New Roman" w:hAnsi="Times New Roman" w:eastAsia="仿宋_GB2312" w:cs="Times New Roman"/>
          <w:color w:val="000000"/>
          <w:sz w:val="32"/>
          <w:szCs w:val="32"/>
          <w:highlight w:val="none"/>
          <w:lang w:val="en-US" w:eastAsia="zh-CN"/>
        </w:rPr>
        <w:t>2024年增加了老科协发展资金、临聘人员工资两个其他运转类经费。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6" w:name="_Toc29252"/>
      <w:r>
        <w:rPr>
          <w:rFonts w:hint="default" w:ascii="Times New Roman" w:hAnsi="Times New Roman" w:eastAsia="楷体_GB2312" w:cs="Times New Roman"/>
          <w:sz w:val="32"/>
          <w:szCs w:val="32"/>
          <w:lang w:val="en-US" w:eastAsia="zh-CN"/>
        </w:rPr>
        <w:t>（一）收入预算情况</w:t>
      </w:r>
      <w:bookmarkEnd w:id="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区科协2024年收入预算75.27万元，其中：上年结转0万元；一般公共预算拨款收入75.27万元，占100%。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7" w:name="_Toc2511"/>
      <w:r>
        <w:rPr>
          <w:rFonts w:hint="default" w:ascii="Times New Roman" w:hAnsi="Times New Roman" w:eastAsia="楷体_GB2312" w:cs="Times New Roman"/>
          <w:sz w:val="32"/>
          <w:szCs w:val="32"/>
          <w:lang w:val="en-US" w:eastAsia="zh-CN"/>
        </w:rPr>
        <w:t>（二）支出预算情况</w:t>
      </w:r>
      <w:bookmarkEnd w:id="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区科协2024年支出预算75.27万元，其中：基本支出48.27万元，占64%；项目支出27万元，占36%。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rPr>
      </w:pPr>
      <w:bookmarkStart w:id="8" w:name="_Toc16311"/>
      <w:r>
        <w:rPr>
          <w:rFonts w:hint="default" w:ascii="Times New Roman" w:hAnsi="Times New Roman" w:eastAsia="黑体" w:cs="Times New Roman"/>
          <w:sz w:val="32"/>
          <w:szCs w:val="32"/>
          <w:lang w:val="en-US" w:eastAsia="zh-CN"/>
        </w:rPr>
        <w:t>四、财政拨款收支预算情况说明</w:t>
      </w:r>
      <w:bookmarkEnd w:id="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区科协2024年财政拨款收支预算总数75.27万元,比2023年财政拨款收支预算总数增加6.58万元，主要原因：</w:t>
      </w:r>
      <w:r>
        <w:rPr>
          <w:rFonts w:hint="default" w:ascii="Times New Roman" w:hAnsi="Times New Roman" w:eastAsia="仿宋_GB2312" w:cs="Times New Roman"/>
          <w:color w:val="000000"/>
          <w:sz w:val="32"/>
          <w:szCs w:val="32"/>
          <w:highlight w:val="none"/>
          <w:lang w:eastAsia="zh-CN"/>
        </w:rPr>
        <w:t>一是两名干部晋档晋级后工资增加</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CN"/>
        </w:rPr>
        <w:t>二是</w:t>
      </w:r>
      <w:r>
        <w:rPr>
          <w:rFonts w:hint="default" w:ascii="Times New Roman" w:hAnsi="Times New Roman" w:eastAsia="仿宋_GB2312" w:cs="Times New Roman"/>
          <w:color w:val="000000"/>
          <w:sz w:val="32"/>
          <w:szCs w:val="32"/>
          <w:highlight w:val="none"/>
          <w:lang w:val="en-US" w:eastAsia="zh-CN"/>
        </w:rPr>
        <w:t>2024年增加了老科协发展资金、临聘人员工资两个其他运转类经费。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收入包括：本年一般公共预算拨款收入75.27万元、上年结转一般公共预算拨款收入0万元；支出包括：科学技术支出64.77万元、社会保障和就业支出8.79万元、卫生健康支出1.71万元。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9" w:name="_Toc21206"/>
      <w:r>
        <w:rPr>
          <w:rFonts w:hint="default" w:ascii="Times New Roman" w:hAnsi="Times New Roman" w:eastAsia="黑体" w:cs="Times New Roman"/>
          <w:sz w:val="32"/>
          <w:szCs w:val="32"/>
          <w:lang w:val="en-US" w:eastAsia="zh-CN"/>
        </w:rPr>
        <w:t>五、一般公共预算当年拨款情况说明</w:t>
      </w:r>
      <w:bookmarkEnd w:id="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10" w:name="_Toc15265"/>
      <w:r>
        <w:rPr>
          <w:rFonts w:hint="default" w:ascii="Times New Roman" w:hAnsi="Times New Roman" w:eastAsia="楷体_GB2312" w:cs="Times New Roman"/>
          <w:sz w:val="32"/>
          <w:szCs w:val="32"/>
          <w:lang w:val="en-US" w:eastAsia="zh-CN"/>
        </w:rPr>
        <w:t>（一）一般公共预算当年拨款规模变化情况</w:t>
      </w:r>
      <w:bookmarkEnd w:id="1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区科协2024年一般公共预算当年拨款75.27万元，比2023年预算数增加6.58万元，主要原因：</w:t>
      </w:r>
      <w:r>
        <w:rPr>
          <w:rFonts w:hint="default" w:ascii="Times New Roman" w:hAnsi="Times New Roman" w:eastAsia="仿宋_GB2312" w:cs="Times New Roman"/>
          <w:color w:val="000000"/>
          <w:sz w:val="32"/>
          <w:szCs w:val="32"/>
          <w:highlight w:val="none"/>
          <w:lang w:eastAsia="zh-CN"/>
        </w:rPr>
        <w:t>一是两名干部晋档晋级后工资增加</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CN"/>
        </w:rPr>
        <w:t>二是</w:t>
      </w:r>
      <w:r>
        <w:rPr>
          <w:rFonts w:hint="default" w:ascii="Times New Roman" w:hAnsi="Times New Roman" w:eastAsia="仿宋_GB2312" w:cs="Times New Roman"/>
          <w:color w:val="000000"/>
          <w:sz w:val="32"/>
          <w:szCs w:val="32"/>
          <w:highlight w:val="none"/>
          <w:lang w:val="en-US" w:eastAsia="zh-CN"/>
        </w:rPr>
        <w:t>2024年增加了老科协发展资金、临聘人员工资两个其他运转类经费。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11" w:name="_Toc6331"/>
      <w:r>
        <w:rPr>
          <w:rFonts w:hint="default" w:ascii="Times New Roman" w:hAnsi="Times New Roman" w:eastAsia="楷体_GB2312" w:cs="Times New Roman"/>
          <w:sz w:val="32"/>
          <w:szCs w:val="32"/>
          <w:lang w:val="en-US" w:eastAsia="zh-CN"/>
        </w:rPr>
        <w:t>（二）一般公共预算当年拨款结构情况</w:t>
      </w:r>
      <w:bookmarkEnd w:id="1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 w:cs="Times New Roman"/>
          <w:sz w:val="32"/>
          <w:szCs w:val="32"/>
          <w:lang w:val="en-US" w:eastAsia="zh-CN"/>
        </w:rPr>
        <w:t>科学技术支出</w:t>
      </w:r>
      <w:r>
        <w:rPr>
          <w:rFonts w:hint="default" w:ascii="Times New Roman" w:hAnsi="Times New Roman" w:eastAsia="仿宋_GB2312" w:cs="Times New Roman"/>
          <w:sz w:val="32"/>
          <w:szCs w:val="32"/>
          <w:lang w:val="en-US" w:eastAsia="zh-CN"/>
        </w:rPr>
        <w:t>支出64.77万元，占86%；社会保障和就业支出8.79万元，占12%；卫生健康支出1.71万元，占2%。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12" w:name="_Toc297"/>
      <w:r>
        <w:rPr>
          <w:rFonts w:hint="default" w:ascii="Times New Roman" w:hAnsi="Times New Roman" w:eastAsia="楷体_GB2312" w:cs="Times New Roman"/>
          <w:sz w:val="32"/>
          <w:szCs w:val="32"/>
          <w:lang w:val="en-US" w:eastAsia="zh-CN"/>
        </w:rPr>
        <w:t>（三）一般公共预算当年拨款具体使用情况</w:t>
      </w:r>
      <w:bookmarkEnd w:id="1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科学技术支出（类）科学技术事务管理（款）行政运行（项）2024年预算数为37.77万元，主要用于：区科协机关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科学技术支出（类）科学技术事务管理（款）其他科学技术管理事务支出（项）2024年预算数为10万元，主要用于：区科协管理事务日常开支以及向上争取资金、老科协发展等工作经费，包括办公费、印刷费、差旅费、会务费、临聘人员工资等其他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3.科学技术支出（类）科学技术普及（款）其他科学技术普及支出（项）2024年预算数为17万元，主要用于：区科协开展科学技术普及、技术培训、科学技术推广等。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4.社会保障和就业（类）行政事业单位养老支出（款）机关事业单位基本养老保险缴费支出（项）2024年预算数为</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val="en-US" w:eastAsia="zh-CN"/>
        </w:rPr>
        <w:t>.79万元，主要用于：实施养老保险制度由单位缴纳的基本养老保险费等支出。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val="en-US" w:eastAsia="zh-CN"/>
        </w:rPr>
        <w:t>社会保障和就业（类）</w:t>
      </w:r>
      <w:r>
        <w:rPr>
          <w:rFonts w:hint="eastAsia" w:ascii="Times New Roman" w:hAnsi="Times New Roman" w:eastAsia="仿宋" w:cs="Times New Roman"/>
          <w:sz w:val="32"/>
          <w:szCs w:val="32"/>
          <w:lang w:val="en-US" w:eastAsia="zh-CN"/>
        </w:rPr>
        <w:t>其他就业补助支出</w:t>
      </w:r>
      <w:r>
        <w:rPr>
          <w:rFonts w:hint="default" w:ascii="Times New Roman" w:hAnsi="Times New Roman" w:eastAsia="仿宋" w:cs="Times New Roman"/>
          <w:sz w:val="32"/>
          <w:szCs w:val="32"/>
          <w:lang w:val="en-US" w:eastAsia="zh-CN"/>
        </w:rPr>
        <w:t>（款）</w:t>
      </w:r>
      <w:r>
        <w:rPr>
          <w:rFonts w:hint="eastAsia" w:ascii="Times New Roman" w:hAnsi="Times New Roman" w:eastAsia="仿宋" w:cs="Times New Roman"/>
          <w:sz w:val="32"/>
          <w:szCs w:val="32"/>
          <w:lang w:val="en-US" w:eastAsia="zh-CN"/>
        </w:rPr>
        <w:t>其他用于促进就业的补助支出（项）</w:t>
      </w:r>
      <w:r>
        <w:rPr>
          <w:rFonts w:hint="default" w:ascii="Times New Roman" w:hAnsi="Times New Roman" w:eastAsia="仿宋" w:cs="Times New Roman"/>
          <w:sz w:val="32"/>
          <w:szCs w:val="32"/>
          <w:lang w:val="en-US" w:eastAsia="zh-CN"/>
        </w:rPr>
        <w:t>2024年预算数为</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val="en-US" w:eastAsia="zh-CN"/>
        </w:rPr>
        <w:t>万元，主要用于：</w:t>
      </w:r>
      <w:r>
        <w:rPr>
          <w:rFonts w:hint="eastAsia" w:ascii="Times New Roman" w:hAnsi="Times New Roman" w:eastAsia="仿宋" w:cs="Times New Roman"/>
          <w:sz w:val="32"/>
          <w:szCs w:val="32"/>
          <w:lang w:val="en-US" w:eastAsia="zh-CN"/>
        </w:rPr>
        <w:t>本单位其他促进就业等的补助支出。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lang w:val="en-US" w:eastAsia="zh-CN"/>
        </w:rPr>
        <w:t>.卫生健康支出（类）行政事业单位医疗（款）行政单位医疗（项）2024年预算数为1.71万元，主要用于：区科协按规定由单位缴纳的基本医疗保险和其他保险支出。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rPr>
      </w:pPr>
      <w:bookmarkStart w:id="13" w:name="_Toc13849"/>
      <w:r>
        <w:rPr>
          <w:rFonts w:hint="default" w:ascii="Times New Roman" w:hAnsi="Times New Roman" w:eastAsia="黑体" w:cs="Times New Roman"/>
          <w:sz w:val="32"/>
          <w:szCs w:val="32"/>
          <w:lang w:val="en-US" w:eastAsia="zh-CN"/>
        </w:rPr>
        <w:t>六、一般公共预算基本支出情况说明</w:t>
      </w:r>
      <w:bookmarkEnd w:id="13"/>
      <w:bookmarkStart w:id="29" w:name="_GoBack"/>
      <w:bookmarkEnd w:id="2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区科协2024年一般公共预算基本支出48.27万元，其中：人员经费41.73万元，主要包括：基本工资、津贴补贴、奖金、社会保险缴费、住房公积金等支出。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公用经费6.54万元，主要包括：办公费、印刷费、电费、邮电费、物业管理费、差旅费、会议费、培训费、公务接待费、劳务费、工会经费、其他交通费用等支出。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rPr>
      </w:pPr>
      <w:bookmarkStart w:id="14" w:name="_Toc17483"/>
      <w:r>
        <w:rPr>
          <w:rFonts w:hint="default" w:ascii="Times New Roman" w:hAnsi="Times New Roman" w:eastAsia="黑体" w:cs="Times New Roman"/>
          <w:sz w:val="32"/>
          <w:szCs w:val="32"/>
          <w:lang w:val="en-US" w:eastAsia="zh-CN"/>
        </w:rPr>
        <w:t>七、“三公”经费财政拨款预算安排情况说明</w:t>
      </w:r>
      <w:bookmarkEnd w:id="1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区科协2024年“三公”经费财政拨款预算数0.28万元，其中：公务接待费0.28万元，公务用车购置及运行维护费0万元，因公出国（境）经费0万元。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15" w:name="_Toc27554"/>
      <w:r>
        <w:rPr>
          <w:rFonts w:hint="default" w:ascii="Times New Roman" w:hAnsi="Times New Roman" w:eastAsia="楷体_GB2312" w:cs="Times New Roman"/>
          <w:sz w:val="32"/>
          <w:szCs w:val="32"/>
          <w:lang w:val="en-US" w:eastAsia="zh-CN"/>
        </w:rPr>
        <w:t>（一）公务接待费</w:t>
      </w:r>
      <w:bookmarkEnd w:id="1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公务接待费与2023年预算相比持平。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16" w:name="_Toc13578"/>
      <w:r>
        <w:rPr>
          <w:rFonts w:hint="default" w:ascii="Times New Roman" w:hAnsi="Times New Roman" w:eastAsia="楷体_GB2312" w:cs="Times New Roman"/>
          <w:sz w:val="32"/>
          <w:szCs w:val="32"/>
          <w:lang w:val="en-US" w:eastAsia="zh-CN"/>
        </w:rPr>
        <w:t>公务用车购置及运行维护费</w:t>
      </w:r>
      <w:bookmarkEnd w:id="1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区科协2024年无公务用车购置及运行维护费</w:t>
      </w:r>
      <w:r>
        <w:rPr>
          <w:rFonts w:hint="default" w:ascii="Times New Roman" w:hAnsi="Times New Roman" w:eastAsia="仿宋" w:cs="Times New Roman"/>
          <w:sz w:val="32"/>
          <w:szCs w:val="32"/>
          <w:lang w:val="en-US" w:eastAsia="zh-CN"/>
        </w:rPr>
        <w:t>预算拨款安排的支出</w:t>
      </w:r>
      <w:r>
        <w:rPr>
          <w:rFonts w:hint="default" w:ascii="Times New Roman" w:hAnsi="Times New Roman" w:eastAsia="仿宋_GB2312" w:cs="Times New Roman"/>
          <w:sz w:val="32"/>
          <w:szCs w:val="32"/>
          <w:lang w:val="en-US" w:eastAsia="zh-CN"/>
        </w:rPr>
        <w:t>，与2023年预算相比持平</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单位现无公务用车。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2024年安排公务用车购置费0万元。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2024年安排公务用车运行维护费0万元。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仿宋_GB2312" w:cs="Times New Roman"/>
          <w:sz w:val="32"/>
          <w:szCs w:val="32"/>
          <w:lang w:val="en-US" w:eastAsia="zh-CN"/>
        </w:rPr>
      </w:pPr>
      <w:bookmarkStart w:id="17" w:name="_Toc15096"/>
      <w:r>
        <w:rPr>
          <w:rFonts w:hint="default" w:ascii="Times New Roman" w:hAnsi="Times New Roman" w:eastAsia="仿宋_GB2312" w:cs="Times New Roman"/>
          <w:sz w:val="32"/>
          <w:szCs w:val="32"/>
          <w:lang w:val="en-US" w:eastAsia="zh-CN"/>
        </w:rPr>
        <w:t>（</w:t>
      </w:r>
      <w:r>
        <w:rPr>
          <w:rFonts w:hint="default" w:ascii="Times New Roman" w:hAnsi="Times New Roman" w:eastAsia="楷体_GB2312" w:cs="Times New Roman"/>
          <w:sz w:val="32"/>
          <w:szCs w:val="32"/>
          <w:lang w:val="en-US" w:eastAsia="zh-CN"/>
        </w:rPr>
        <w:t>三）因公出国（境）经费</w:t>
      </w:r>
      <w:bookmarkEnd w:id="1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_GB2312" w:cs="Times New Roman"/>
          <w:sz w:val="32"/>
          <w:szCs w:val="32"/>
          <w:lang w:val="en-US" w:eastAsia="zh-CN"/>
        </w:rPr>
        <w:t>区科协2024年无</w:t>
      </w:r>
      <w:r>
        <w:rPr>
          <w:rFonts w:hint="default" w:ascii="Times New Roman" w:hAnsi="Times New Roman" w:eastAsia="仿宋" w:cs="Times New Roman"/>
          <w:sz w:val="32"/>
          <w:szCs w:val="32"/>
          <w:lang w:val="en-US" w:eastAsia="zh-CN"/>
        </w:rPr>
        <w:t>因公出国（境）经费预算拨款安排的支出</w:t>
      </w:r>
      <w:r>
        <w:rPr>
          <w:rFonts w:hint="default" w:ascii="Times New Roman" w:hAnsi="Times New Roman" w:eastAsia="仿宋_GB2312" w:cs="Times New Roman"/>
          <w:sz w:val="32"/>
          <w:szCs w:val="32"/>
          <w:lang w:val="en-US" w:eastAsia="zh-CN"/>
        </w:rPr>
        <w:t>，与2023年预算相比持平</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18" w:name="_Toc24935"/>
      <w:r>
        <w:rPr>
          <w:rFonts w:hint="default" w:ascii="Times New Roman" w:hAnsi="Times New Roman" w:eastAsia="黑体" w:cs="Times New Roman"/>
          <w:sz w:val="32"/>
          <w:szCs w:val="32"/>
          <w:lang w:val="en-US" w:eastAsia="zh-CN"/>
        </w:rPr>
        <w:t>八、政府性基金预算支出情况说明</w:t>
      </w:r>
      <w:bookmarkEnd w:id="1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区科协2024年无政府性基金预算拨款安排的支出。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19" w:name="_Toc26978"/>
      <w:r>
        <w:rPr>
          <w:rFonts w:hint="default" w:ascii="Times New Roman" w:hAnsi="Times New Roman" w:eastAsia="黑体" w:cs="Times New Roman"/>
          <w:sz w:val="32"/>
          <w:szCs w:val="32"/>
          <w:lang w:val="en-US" w:eastAsia="zh-CN"/>
        </w:rPr>
        <w:t>九、国有资本经营预算支出情况说明</w:t>
      </w:r>
      <w:bookmarkEnd w:id="1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区科协2024年无国有资本经营预算拨款安排的支出。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rPr>
      </w:pPr>
      <w:bookmarkStart w:id="20" w:name="_Toc13259"/>
      <w:r>
        <w:rPr>
          <w:rFonts w:hint="default" w:ascii="Times New Roman" w:hAnsi="Times New Roman" w:eastAsia="黑体" w:cs="Times New Roman"/>
          <w:sz w:val="32"/>
          <w:szCs w:val="32"/>
          <w:lang w:val="en-US" w:eastAsia="zh-CN"/>
        </w:rPr>
        <w:t>十、其他重要事项的情况说明</w:t>
      </w:r>
      <w:bookmarkEnd w:id="2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21" w:name="_Toc28915"/>
      <w:r>
        <w:rPr>
          <w:rFonts w:hint="default" w:ascii="Times New Roman" w:hAnsi="Times New Roman" w:eastAsia="楷体_GB2312" w:cs="Times New Roman"/>
          <w:sz w:val="32"/>
          <w:szCs w:val="32"/>
          <w:lang w:val="en-US" w:eastAsia="zh-CN"/>
        </w:rPr>
        <w:t>（一）机关运行经费</w:t>
      </w:r>
      <w:bookmarkEnd w:id="2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2024年，区科协机关运行经费为6.54万元，与2023年相比持平，2024年无下属机构使用机关运行经费。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22" w:name="_Toc23045"/>
      <w:r>
        <w:rPr>
          <w:rFonts w:hint="default" w:ascii="Times New Roman" w:hAnsi="Times New Roman" w:eastAsia="楷体_GB2312" w:cs="Times New Roman"/>
          <w:sz w:val="32"/>
          <w:szCs w:val="32"/>
          <w:lang w:val="en-US" w:eastAsia="zh-CN"/>
        </w:rPr>
        <w:t>（二）政府采购情况</w:t>
      </w:r>
      <w:bookmarkEnd w:id="2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2024年，区科协安排政府采购预算0万元。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23" w:name="_Toc7198"/>
      <w:r>
        <w:rPr>
          <w:rFonts w:hint="default" w:ascii="Times New Roman" w:hAnsi="Times New Roman" w:eastAsia="楷体_GB2312" w:cs="Times New Roman"/>
          <w:sz w:val="32"/>
          <w:szCs w:val="32"/>
          <w:lang w:val="en-US" w:eastAsia="zh-CN"/>
        </w:rPr>
        <w:t>（三）国有资产占有使用情况</w:t>
      </w:r>
      <w:bookmarkEnd w:id="2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截至2023年底，区科协共有车辆0辆。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2024年部门预算安排车辆购置经费0万元。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rPr>
      </w:pPr>
      <w:bookmarkStart w:id="24" w:name="_Toc278"/>
      <w:r>
        <w:rPr>
          <w:rFonts w:hint="default" w:ascii="Times New Roman" w:hAnsi="Times New Roman" w:eastAsia="楷体_GB2312" w:cs="Times New Roman"/>
          <w:sz w:val="32"/>
          <w:szCs w:val="32"/>
          <w:lang w:val="en-US" w:eastAsia="zh-CN"/>
        </w:rPr>
        <w:t>（四）绩效目标设置情况</w:t>
      </w:r>
      <w:bookmarkEnd w:id="2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2024年区科协开展绩效目标管理的项目4个，涉及预算27万元。其中：运转类项目4个，涉及预算27万元。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rPr>
      </w:pPr>
      <w:bookmarkStart w:id="25" w:name="_Toc9941"/>
      <w:r>
        <w:rPr>
          <w:rFonts w:hint="default" w:ascii="Times New Roman" w:hAnsi="Times New Roman" w:eastAsia="黑体" w:cs="Times New Roman"/>
          <w:sz w:val="32"/>
          <w:szCs w:val="32"/>
          <w:lang w:val="en-US" w:eastAsia="zh-CN"/>
        </w:rPr>
        <w:t>十一、名词解释</w:t>
      </w:r>
      <w:bookmarkEnd w:id="2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（一）财政拨款收入</w:t>
      </w:r>
      <w:r>
        <w:rPr>
          <w:rFonts w:hint="eastAsia" w:ascii="Times New Roman" w:hAnsi="Times New Roman" w:eastAsia="楷体_GB2312" w:cs="Times New Roman"/>
          <w:sz w:val="32"/>
          <w:szCs w:val="32"/>
          <w:lang w:val="en-US" w:eastAsia="zh-CN"/>
        </w:rPr>
        <w:t>：</w:t>
      </w:r>
      <w:r>
        <w:rPr>
          <w:rFonts w:hint="default" w:ascii="Times New Roman" w:hAnsi="Times New Roman" w:eastAsia="仿宋_GB2312" w:cs="Times New Roman"/>
          <w:sz w:val="32"/>
          <w:szCs w:val="32"/>
          <w:lang w:val="en-US" w:eastAsia="zh-CN"/>
        </w:rPr>
        <w:t>指本级财政当年安排的财政预算收入。按现行管理制度,部门预算中反映的财政拨款包括一般公共预算拨款和政府性基金预算拨款。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_GB2312" w:cs="Times New Roman"/>
          <w:sz w:val="32"/>
          <w:szCs w:val="32"/>
          <w:lang w:val="en-US" w:eastAsia="zh-CN"/>
        </w:rPr>
        <w:t>（二）基本支出。</w:t>
      </w:r>
      <w:r>
        <w:rPr>
          <w:rFonts w:hint="default" w:ascii="Times New Roman" w:hAnsi="Times New Roman" w:eastAsia="仿宋" w:cs="Times New Roman"/>
          <w:sz w:val="32"/>
          <w:szCs w:val="32"/>
          <w:lang w:val="en-US" w:eastAsia="zh-CN"/>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_GB2312" w:cs="Times New Roman"/>
          <w:sz w:val="32"/>
          <w:szCs w:val="32"/>
          <w:lang w:val="en-US" w:eastAsia="zh-CN"/>
        </w:rPr>
        <w:t>（三）项目支出。</w:t>
      </w:r>
      <w:r>
        <w:rPr>
          <w:rFonts w:hint="default" w:ascii="Times New Roman" w:hAnsi="Times New Roman" w:eastAsia="仿宋" w:cs="Times New Roman"/>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_GB2312" w:cs="Times New Roman"/>
          <w:sz w:val="32"/>
          <w:szCs w:val="32"/>
          <w:lang w:val="en-US" w:eastAsia="zh-CN"/>
        </w:rPr>
        <w:t>（四）“三公”经费。</w:t>
      </w:r>
      <w:r>
        <w:rPr>
          <w:rFonts w:hint="default" w:ascii="Times New Roman" w:hAnsi="Times New Roman" w:eastAsia="仿宋" w:cs="Times New Roman"/>
          <w:sz w:val="32"/>
          <w:szCs w:val="32"/>
          <w:lang w:val="en-US" w:eastAsia="zh-CN"/>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_GB2312" w:cs="Times New Roman"/>
          <w:sz w:val="32"/>
          <w:szCs w:val="32"/>
          <w:lang w:val="en-US" w:eastAsia="zh-CN"/>
        </w:rPr>
        <w:t>（五）上年结转：</w:t>
      </w:r>
      <w:r>
        <w:rPr>
          <w:rFonts w:hint="default" w:ascii="Times New Roman" w:hAnsi="Times New Roman" w:eastAsia="仿宋" w:cs="Times New Roman"/>
          <w:sz w:val="32"/>
          <w:szCs w:val="32"/>
          <w:lang w:val="en-US" w:eastAsia="zh-CN"/>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_GB2312" w:cs="Times New Roman"/>
          <w:sz w:val="32"/>
          <w:szCs w:val="32"/>
          <w:lang w:val="en-US" w:eastAsia="zh-CN"/>
        </w:rPr>
        <w:t>（六）社会保障和就业（类）行政事业单位养老支出（款）机关事业单位基本养老保险缴费支出（项）：</w:t>
      </w:r>
      <w:r>
        <w:rPr>
          <w:rFonts w:hint="default" w:ascii="Times New Roman" w:hAnsi="Times New Roman" w:eastAsia="仿宋" w:cs="Times New Roman"/>
          <w:sz w:val="32"/>
          <w:szCs w:val="32"/>
          <w:lang w:val="en-US" w:eastAsia="zh-CN"/>
        </w:rPr>
        <w:t>指部门实施养老保险制度由单位缴纳的养老保险的支出。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_GB2312" w:cs="Times New Roman"/>
          <w:sz w:val="32"/>
          <w:szCs w:val="32"/>
          <w:lang w:val="en-US" w:eastAsia="zh-CN"/>
        </w:rPr>
        <w:t>（七）卫生健康（类）行政事业单位医疗（款）行政单位医疗（项）：</w:t>
      </w:r>
      <w:r>
        <w:rPr>
          <w:rFonts w:hint="default" w:ascii="Times New Roman" w:hAnsi="Times New Roman" w:eastAsia="仿宋" w:cs="Times New Roman"/>
          <w:sz w:val="32"/>
          <w:szCs w:val="32"/>
          <w:lang w:val="en-US" w:eastAsia="zh-CN"/>
        </w:rPr>
        <w:t>指机关及参公管理事业单位用于单位应缴纳基本医疗保险支出。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_GB2312" w:cs="Times New Roman"/>
          <w:sz w:val="32"/>
          <w:szCs w:val="32"/>
          <w:lang w:val="en-US" w:eastAsia="zh-CN"/>
        </w:rPr>
        <w:t>（八）住房保障（类）住房改革支出（款）住房公积金（项）：</w:t>
      </w:r>
      <w:r>
        <w:rPr>
          <w:rFonts w:hint="default" w:ascii="Times New Roman" w:hAnsi="Times New Roman" w:eastAsia="仿宋" w:cs="Times New Roman"/>
          <w:sz w:val="32"/>
          <w:szCs w:val="32"/>
          <w:lang w:val="en-US" w:eastAsia="zh-CN"/>
        </w:rPr>
        <w:t>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_GB2312" w:cs="Times New Roman"/>
          <w:sz w:val="32"/>
          <w:szCs w:val="32"/>
          <w:lang w:val="en-US" w:eastAsia="zh-CN"/>
        </w:rPr>
        <w:t>（九）科学技术（类）科学技术管理事务（款）:</w:t>
      </w:r>
      <w:r>
        <w:rPr>
          <w:rFonts w:hint="default" w:ascii="Times New Roman" w:hAnsi="Times New Roman" w:eastAsia="仿宋" w:cs="Times New Roman"/>
          <w:sz w:val="32"/>
          <w:szCs w:val="32"/>
          <w:lang w:val="en-US" w:eastAsia="zh-CN"/>
        </w:rPr>
        <w:t>指科学技术管理事务方面的支出。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_GB2312" w:cs="Times New Roman"/>
          <w:sz w:val="32"/>
          <w:szCs w:val="32"/>
          <w:lang w:val="en-US" w:eastAsia="zh-CN"/>
        </w:rPr>
        <w:t>（十）科学技术（类）科学技术普及（款）其他科学技术普及（项）：</w:t>
      </w:r>
      <w:r>
        <w:rPr>
          <w:rFonts w:hint="default" w:ascii="Times New Roman" w:hAnsi="Times New Roman" w:eastAsia="仿宋" w:cs="Times New Roman"/>
          <w:sz w:val="32"/>
          <w:szCs w:val="32"/>
          <w:lang w:val="en-US" w:eastAsia="zh-CN"/>
        </w:rPr>
        <w:t>指用于其他科学技术普及方面的支出。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_GB2312" w:cs="Times New Roman"/>
          <w:sz w:val="32"/>
          <w:szCs w:val="32"/>
          <w:lang w:val="en-US" w:eastAsia="zh-CN"/>
        </w:rPr>
        <w:t>（十一）机关运行经费：</w:t>
      </w:r>
      <w:r>
        <w:rPr>
          <w:rFonts w:hint="default" w:ascii="Times New Roman" w:hAnsi="Times New Roman" w:eastAsia="仿宋" w:cs="Times New Roman"/>
          <w:sz w:val="32"/>
          <w:szCs w:val="32"/>
          <w:lang w:val="en-US" w:eastAsia="zh-CN"/>
        </w:rPr>
        <w:t>为保障行政单位（包括参照公务员法管理的事业单位）运行用于购买货物和服务的各项资金，包括办公及印刷费、邮电费、差旅费、会议费、培训费、日常维修费、办公用房水电费、办公用房物业管理费以及其他费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仿宋_GB2312" w:cs="Times New Roman"/>
          <w:sz w:val="32"/>
          <w:szCs w:val="32"/>
          <w:lang w:val="en-US" w:eastAsia="zh-CN"/>
        </w:rPr>
      </w:pPr>
      <w:bookmarkStart w:id="26" w:name="_Toc29779"/>
      <w:r>
        <w:rPr>
          <w:rFonts w:hint="default" w:ascii="Times New Roman" w:hAnsi="Times New Roman" w:eastAsia="仿宋_GB2312" w:cs="Times New Roman"/>
          <w:sz w:val="32"/>
          <w:szCs w:val="32"/>
          <w:lang w:val="en-US" w:eastAsia="zh-CN"/>
        </w:rPr>
        <w:t>附件：1.部门预算公开表</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outlineLvl w:val="0"/>
        <w:rPr>
          <w:rFonts w:hint="default" w:ascii="Times New Roman" w:hAnsi="Times New Roman" w:eastAsia="仿宋_GB2312" w:cs="Times New Roman"/>
          <w:sz w:val="32"/>
          <w:szCs w:val="32"/>
          <w:lang w:val="en-US" w:eastAsia="zh-CN"/>
        </w:rPr>
      </w:pPr>
      <w:bookmarkStart w:id="27" w:name="_Toc22939"/>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项目支出绩效目标表</w:t>
      </w:r>
      <w:bookmarkEnd w:id="27"/>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outlineLvl w:val="0"/>
        <w:rPr>
          <w:rFonts w:hint="eastAsia" w:ascii="仿宋_GB2312" w:hAnsi="仿宋_GB2312" w:eastAsia="仿宋_GB2312" w:cs="仿宋_GB2312"/>
          <w:b/>
          <w:bCs/>
          <w:sz w:val="32"/>
          <w:szCs w:val="32"/>
          <w:lang w:eastAsia="zh-CN"/>
        </w:rPr>
      </w:pPr>
      <w:bookmarkStart w:id="28" w:name="_Toc25257"/>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部门整体支出绩效目标表</w:t>
      </w:r>
      <w:bookmarkEnd w:id="28"/>
    </w:p>
    <w:sectPr>
      <w:footerReference r:id="rId3" w:type="default"/>
      <w:pgSz w:w="11906" w:h="16838"/>
      <w:pgMar w:top="2098" w:right="1474" w:bottom="1984" w:left="1587" w:header="720" w:footer="155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Microsoft Sans Serif"/>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6"/>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8B5DC2"/>
    <w:multiLevelType w:val="singleLevel"/>
    <w:tmpl w:val="4D8B5DC2"/>
    <w:lvl w:ilvl="0" w:tentative="0">
      <w:start w:val="1"/>
      <w:numFmt w:val="chineseCounting"/>
      <w:suff w:val="nothing"/>
      <w:lvlText w:val="%1、"/>
      <w:lvlJc w:val="left"/>
      <w:rPr>
        <w:rFonts w:hint="eastAsia"/>
      </w:rPr>
    </w:lvl>
  </w:abstractNum>
  <w:abstractNum w:abstractNumId="1">
    <w:nsid w:val="5BFCE1D6"/>
    <w:multiLevelType w:val="singleLevel"/>
    <w:tmpl w:val="5BFCE1D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M2E0NGFiZDliNWM2ZjBiY2UzYzczMDQ5MGQzYmUifQ=="/>
  </w:docVars>
  <w:rsids>
    <w:rsidRoot w:val="00000000"/>
    <w:rsid w:val="012352D1"/>
    <w:rsid w:val="019171BD"/>
    <w:rsid w:val="05645225"/>
    <w:rsid w:val="06A27ABB"/>
    <w:rsid w:val="0B5F3AA9"/>
    <w:rsid w:val="123A18DC"/>
    <w:rsid w:val="169C6A11"/>
    <w:rsid w:val="18D25671"/>
    <w:rsid w:val="1AB9150E"/>
    <w:rsid w:val="1F3A2363"/>
    <w:rsid w:val="1F7BF06F"/>
    <w:rsid w:val="1FEE4B73"/>
    <w:rsid w:val="203A6D77"/>
    <w:rsid w:val="20624CDE"/>
    <w:rsid w:val="23CE9849"/>
    <w:rsid w:val="244E6ED1"/>
    <w:rsid w:val="25B14902"/>
    <w:rsid w:val="287537D3"/>
    <w:rsid w:val="2BDB5ACD"/>
    <w:rsid w:val="364A71DE"/>
    <w:rsid w:val="39F304DD"/>
    <w:rsid w:val="3D5B544A"/>
    <w:rsid w:val="40512E9E"/>
    <w:rsid w:val="4C3C017D"/>
    <w:rsid w:val="53364FA6"/>
    <w:rsid w:val="54244390"/>
    <w:rsid w:val="54662A63"/>
    <w:rsid w:val="58064E12"/>
    <w:rsid w:val="58E0085D"/>
    <w:rsid w:val="5BFEE015"/>
    <w:rsid w:val="63EDCF55"/>
    <w:rsid w:val="63FBFBCF"/>
    <w:rsid w:val="669360FD"/>
    <w:rsid w:val="679D4EBC"/>
    <w:rsid w:val="68FF6A83"/>
    <w:rsid w:val="69FE67F0"/>
    <w:rsid w:val="6AF11874"/>
    <w:rsid w:val="6FBBC9CF"/>
    <w:rsid w:val="72BDE561"/>
    <w:rsid w:val="73AD4B35"/>
    <w:rsid w:val="75EE5489"/>
    <w:rsid w:val="78462278"/>
    <w:rsid w:val="7942222E"/>
    <w:rsid w:val="7997EA6C"/>
    <w:rsid w:val="7AEAE675"/>
    <w:rsid w:val="7BAFCE5D"/>
    <w:rsid w:val="7C523723"/>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1">
    <w:name w:val="Default Paragraph Font"/>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0"/>
    <w:pPr>
      <w:ind w:firstLine="420" w:firstLineChars="200"/>
    </w:pPr>
  </w:style>
  <w:style w:type="paragraph" w:styleId="3">
    <w:name w:val="Body Text Indent"/>
    <w:basedOn w:val="1"/>
    <w:next w:val="2"/>
    <w:qFormat/>
    <w:uiPriority w:val="0"/>
    <w:pPr>
      <w:ind w:left="420" w:leftChars="200"/>
    </w:pPr>
  </w:style>
  <w:style w:type="paragraph" w:styleId="4">
    <w:name w:val="caption"/>
    <w:basedOn w:val="1"/>
    <w:next w:val="1"/>
    <w:qFormat/>
    <w:uiPriority w:val="0"/>
    <w:pPr>
      <w:widowControl w:val="0"/>
      <w:suppressLineNumbers/>
      <w:suppressAutoHyphens/>
      <w:spacing w:before="120" w:after="120"/>
    </w:pPr>
    <w:rPr>
      <w:i/>
      <w:iCs/>
      <w:sz w:val="24"/>
      <w:szCs w:val="24"/>
    </w:rPr>
  </w:style>
  <w:style w:type="paragraph" w:styleId="5">
    <w:name w:val="Body Text"/>
    <w:basedOn w:val="1"/>
    <w:qFormat/>
    <w:uiPriority w:val="0"/>
    <w:pPr>
      <w:spacing w:before="0" w:after="140" w:line="276" w:lineRule="auto"/>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5"/>
    <w:qFormat/>
    <w:uiPriority w:val="0"/>
  </w:style>
  <w:style w:type="paragraph" w:styleId="9">
    <w:name w:val="Normal (Web)"/>
    <w:basedOn w:val="1"/>
    <w:qFormat/>
    <w:uiPriority w:val="0"/>
    <w:rPr>
      <w:sz w:val="24"/>
    </w:rPr>
  </w:style>
  <w:style w:type="character" w:customStyle="1" w:styleId="12">
    <w:name w:val="默认段落字体1"/>
    <w:qFormat/>
    <w:uiPriority w:val="0"/>
  </w:style>
  <w:style w:type="paragraph" w:customStyle="1" w:styleId="13">
    <w:name w:val="Heading"/>
    <w:basedOn w:val="1"/>
    <w:next w:val="5"/>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qFormat/>
    <w:uiPriority w:val="0"/>
    <w:pPr>
      <w:widowControl w:val="0"/>
      <w:suppressLineNumbers/>
      <w:suppressAutoHyphens/>
    </w:p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Administrator</cp:lastModifiedBy>
  <dcterms:modified xsi:type="dcterms:W3CDTF">2024-04-09T07:28:43Z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9CEC688C497C4B7EAADD00F65D0FCEFE_13</vt:lpwstr>
  </property>
</Properties>
</file>