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pBdr>
          <w:top w:val="none" w:color="auto" w:sz="0" w:space="0"/>
          <w:left w:val="none" w:color="auto" w:sz="0" w:space="0"/>
          <w:bottom w:val="none" w:color="auto" w:sz="0" w:space="0"/>
          <w:right w:val="none" w:color="auto" w:sz="0" w:space="0"/>
        </w:pBdr>
        <w:suppressAutoHyphens/>
        <w:kinsoku/>
        <w:wordWrap/>
        <w:overflowPunct/>
        <w:topLinePunct w:val="0"/>
        <w:autoSpaceDE/>
        <w:autoSpaceDN/>
        <w:bidi w:val="0"/>
        <w:adjustRightInd/>
        <w:snapToGrid/>
        <w:spacing w:before="0" w:beforeAutospacing="0" w:after="0" w:afterAutospacing="0" w:line="240" w:lineRule="auto"/>
        <w:jc w:val="center"/>
        <w:textAlignment w:val="auto"/>
        <w:outlineLvl w:val="0"/>
        <w:rPr>
          <w:rFonts w:hint="eastAsia" w:ascii="方正小标宋简体" w:hAnsi="方正小标宋简体" w:eastAsia="方正小标宋简体" w:cs="方正小标宋简体"/>
          <w:sz w:val="72"/>
          <w:szCs w:val="72"/>
          <w:lang w:val="en-US" w:eastAsia="zh-CN"/>
        </w:rPr>
      </w:pPr>
    </w:p>
    <w:p>
      <w:pPr>
        <w:pStyle w:val="7"/>
        <w:keepNext w:val="0"/>
        <w:keepLines w:val="0"/>
        <w:pageBreakBefore w:val="0"/>
        <w:widowControl/>
        <w:pBdr>
          <w:top w:val="none" w:color="auto" w:sz="0" w:space="0"/>
          <w:left w:val="none" w:color="auto" w:sz="0" w:space="0"/>
          <w:bottom w:val="none" w:color="auto" w:sz="0" w:space="0"/>
          <w:right w:val="none" w:color="auto" w:sz="0" w:space="0"/>
        </w:pBdr>
        <w:suppressAutoHyphens/>
        <w:kinsoku/>
        <w:wordWrap/>
        <w:overflowPunct/>
        <w:topLinePunct w:val="0"/>
        <w:autoSpaceDE/>
        <w:autoSpaceDN/>
        <w:bidi w:val="0"/>
        <w:adjustRightInd/>
        <w:snapToGrid/>
        <w:spacing w:before="0" w:beforeAutospacing="0" w:after="0" w:afterAutospacing="0" w:line="240" w:lineRule="auto"/>
        <w:jc w:val="center"/>
        <w:textAlignment w:val="auto"/>
        <w:outlineLvl w:val="0"/>
        <w:rPr>
          <w:rFonts w:hint="eastAsia" w:ascii="方正小标宋简体" w:hAnsi="方正小标宋简体" w:eastAsia="方正小标宋简体" w:cs="方正小标宋简体"/>
          <w:sz w:val="72"/>
          <w:szCs w:val="72"/>
          <w:lang w:val="en-US" w:eastAsia="zh-CN"/>
        </w:rPr>
      </w:pPr>
      <w:bookmarkStart w:id="0" w:name="_Toc11722"/>
      <w:r>
        <w:rPr>
          <w:rFonts w:hint="eastAsia" w:ascii="方正小标宋简体" w:hAnsi="方正小标宋简体" w:eastAsia="方正小标宋简体" w:cs="方正小标宋简体"/>
          <w:sz w:val="72"/>
          <w:szCs w:val="72"/>
          <w:lang w:val="en-US" w:eastAsia="zh-CN"/>
        </w:rPr>
        <w:t>广元市昭化区</w:t>
      </w:r>
    </w:p>
    <w:p>
      <w:pPr>
        <w:pStyle w:val="7"/>
        <w:keepNext w:val="0"/>
        <w:keepLines w:val="0"/>
        <w:pageBreakBefore w:val="0"/>
        <w:widowControl/>
        <w:pBdr>
          <w:top w:val="none" w:color="auto" w:sz="0" w:space="0"/>
          <w:left w:val="none" w:color="auto" w:sz="0" w:space="0"/>
          <w:bottom w:val="none" w:color="auto" w:sz="0" w:space="0"/>
          <w:right w:val="none" w:color="auto" w:sz="0" w:space="0"/>
        </w:pBdr>
        <w:suppressAutoHyphens/>
        <w:kinsoku/>
        <w:wordWrap/>
        <w:overflowPunct/>
        <w:topLinePunct w:val="0"/>
        <w:autoSpaceDE/>
        <w:autoSpaceDN/>
        <w:bidi w:val="0"/>
        <w:adjustRightInd/>
        <w:snapToGrid/>
        <w:spacing w:before="0" w:beforeAutospacing="0" w:after="0" w:afterAutospacing="0" w:line="240" w:lineRule="auto"/>
        <w:jc w:val="center"/>
        <w:textAlignment w:val="auto"/>
        <w:outlineLvl w:val="0"/>
        <w:rPr>
          <w:rFonts w:hint="eastAsia"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磨滩镇人民政府</w:t>
      </w:r>
      <w:bookmarkEnd w:id="0"/>
    </w:p>
    <w:p>
      <w:pPr>
        <w:pStyle w:val="7"/>
        <w:keepNext w:val="0"/>
        <w:keepLines w:val="0"/>
        <w:pageBreakBefore w:val="0"/>
        <w:widowControl/>
        <w:pBdr>
          <w:top w:val="none" w:color="auto" w:sz="0" w:space="0"/>
          <w:left w:val="none" w:color="auto" w:sz="0" w:space="0"/>
          <w:bottom w:val="none" w:color="auto" w:sz="0" w:space="0"/>
          <w:right w:val="none" w:color="auto" w:sz="0" w:space="0"/>
        </w:pBdr>
        <w:suppressAutoHyphens/>
        <w:kinsoku/>
        <w:wordWrap/>
        <w:overflowPunct/>
        <w:topLinePunct w:val="0"/>
        <w:autoSpaceDE/>
        <w:autoSpaceDN/>
        <w:bidi w:val="0"/>
        <w:adjustRightInd/>
        <w:snapToGrid/>
        <w:spacing w:before="0" w:beforeAutospacing="0" w:after="0" w:afterAutospacing="0" w:line="240" w:lineRule="auto"/>
        <w:jc w:val="center"/>
        <w:textAlignment w:val="auto"/>
        <w:outlineLvl w:val="0"/>
        <w:rPr>
          <w:rFonts w:hint="default"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lang w:val="en-US" w:eastAsia="zh-CN"/>
        </w:rPr>
        <w:t>2023年部门预算编制说明</w:t>
      </w:r>
    </w:p>
    <w:p>
      <w:pPr>
        <w:pStyle w:val="7"/>
        <w:keepNext w:val="0"/>
        <w:keepLines w:val="0"/>
        <w:pageBreakBefore w:val="0"/>
        <w:widowControl/>
        <w:pBdr>
          <w:top w:val="none" w:color="auto" w:sz="0" w:space="0"/>
          <w:left w:val="none" w:color="auto" w:sz="0" w:space="0"/>
          <w:bottom w:val="none" w:color="auto" w:sz="0" w:space="0"/>
          <w:right w:val="none" w:color="auto" w:sz="0" w:space="0"/>
        </w:pBdr>
        <w:suppressAutoHyphens/>
        <w:kinsoku/>
        <w:wordWrap/>
        <w:overflowPunct/>
        <w:topLinePunct w:val="0"/>
        <w:autoSpaceDE/>
        <w:autoSpaceDN/>
        <w:bidi w:val="0"/>
        <w:adjustRightInd/>
        <w:snapToGrid/>
        <w:spacing w:before="0" w:beforeAutospacing="0" w:after="0" w:afterAutospacing="0" w:line="240" w:lineRule="auto"/>
        <w:jc w:val="center"/>
        <w:textAlignment w:val="auto"/>
        <w:outlineLvl w:val="0"/>
        <w:rPr>
          <w:rFonts w:hint="eastAsia" w:ascii="方正小标宋简体" w:hAnsi="方正小标宋简体" w:eastAsia="方正小标宋简体" w:cs="方正小标宋简体"/>
          <w:sz w:val="72"/>
          <w:szCs w:val="72"/>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left"/>
        <w:rPr>
          <w:rFonts w:hint="eastAsia" w:ascii="方正小标宋简体" w:hAnsi="方正小标宋简体" w:eastAsia="方正小标宋简体" w:cs="方正小标宋简体"/>
          <w:i w:val="0"/>
          <w:caps w:val="0"/>
          <w:color w:val="333333"/>
          <w:spacing w:val="0"/>
          <w:kern w:val="0"/>
          <w:sz w:val="28"/>
          <w:szCs w:val="28"/>
          <w:shd w:val="clear" w:color="auto" w:fill="FFFFFF"/>
          <w:lang w:val="en-US" w:eastAsia="zh-CN" w:bidi="ar"/>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left"/>
        <w:rPr>
          <w:rFonts w:hint="eastAsia" w:ascii="方正小标宋简体" w:hAnsi="方正小标宋简体" w:eastAsia="方正小标宋简体" w:cs="方正小标宋简体"/>
          <w:i w:val="0"/>
          <w:caps w:val="0"/>
          <w:color w:val="333333"/>
          <w:spacing w:val="0"/>
          <w:kern w:val="0"/>
          <w:sz w:val="28"/>
          <w:szCs w:val="28"/>
          <w:shd w:val="clear" w:color="auto" w:fill="FFFFFF"/>
          <w:lang w:val="en-US" w:eastAsia="zh-CN" w:bidi="ar"/>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left"/>
        <w:rPr>
          <w:rFonts w:hint="eastAsia" w:ascii="方正小标宋简体" w:hAnsi="方正小标宋简体" w:eastAsia="方正小标宋简体" w:cs="方正小标宋简体"/>
          <w:i w:val="0"/>
          <w:caps w:val="0"/>
          <w:color w:val="333333"/>
          <w:spacing w:val="0"/>
          <w:kern w:val="0"/>
          <w:sz w:val="28"/>
          <w:szCs w:val="28"/>
          <w:shd w:val="clear" w:color="auto" w:fill="FFFFFF"/>
          <w:lang w:val="en-US" w:eastAsia="zh-CN" w:bidi="ar"/>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left"/>
        <w:rPr>
          <w:rFonts w:hint="eastAsia" w:ascii="方正小标宋简体" w:hAnsi="方正小标宋简体" w:eastAsia="方正小标宋简体" w:cs="方正小标宋简体"/>
          <w:i w:val="0"/>
          <w:caps w:val="0"/>
          <w:color w:val="333333"/>
          <w:spacing w:val="0"/>
          <w:kern w:val="0"/>
          <w:sz w:val="28"/>
          <w:szCs w:val="28"/>
          <w:shd w:val="clear" w:color="auto" w:fill="FFFFFF"/>
          <w:lang w:val="en-US" w:eastAsia="zh-CN" w:bidi="ar"/>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left"/>
        <w:rPr>
          <w:rFonts w:hint="eastAsia" w:ascii="方正小标宋简体" w:hAnsi="方正小标宋简体" w:eastAsia="方正小标宋简体" w:cs="方正小标宋简体"/>
          <w:i w:val="0"/>
          <w:caps w:val="0"/>
          <w:color w:val="333333"/>
          <w:spacing w:val="0"/>
          <w:kern w:val="0"/>
          <w:sz w:val="28"/>
          <w:szCs w:val="28"/>
          <w:shd w:val="clear" w:color="auto" w:fill="FFFFFF"/>
          <w:lang w:val="en-US" w:eastAsia="zh-CN" w:bidi="ar"/>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left"/>
        <w:rPr>
          <w:rFonts w:hint="eastAsia" w:ascii="方正小标宋简体" w:hAnsi="方正小标宋简体" w:eastAsia="方正小标宋简体" w:cs="方正小标宋简体"/>
          <w:i w:val="0"/>
          <w:caps w:val="0"/>
          <w:color w:val="333333"/>
          <w:spacing w:val="0"/>
          <w:kern w:val="0"/>
          <w:sz w:val="28"/>
          <w:szCs w:val="28"/>
          <w:shd w:val="clear" w:color="auto" w:fill="FFFFFF"/>
          <w:lang w:val="en-US" w:eastAsia="zh-CN" w:bidi="ar"/>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left"/>
        <w:rPr>
          <w:rFonts w:hint="eastAsia" w:ascii="方正小标宋简体" w:hAnsi="方正小标宋简体" w:eastAsia="方正小标宋简体" w:cs="方正小标宋简体"/>
          <w:i w:val="0"/>
          <w:caps w:val="0"/>
          <w:color w:val="333333"/>
          <w:spacing w:val="0"/>
          <w:kern w:val="0"/>
          <w:sz w:val="28"/>
          <w:szCs w:val="28"/>
          <w:shd w:val="clear" w:color="auto" w:fill="FFFFFF"/>
          <w:lang w:val="en-US" w:eastAsia="zh-CN" w:bidi="ar"/>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left"/>
        <w:rPr>
          <w:rFonts w:hint="eastAsia" w:ascii="方正小标宋简体" w:hAnsi="方正小标宋简体" w:eastAsia="方正小标宋简体" w:cs="方正小标宋简体"/>
          <w:i w:val="0"/>
          <w:caps w:val="0"/>
          <w:color w:val="333333"/>
          <w:spacing w:val="0"/>
          <w:kern w:val="0"/>
          <w:sz w:val="28"/>
          <w:szCs w:val="28"/>
          <w:shd w:val="clear" w:color="auto" w:fill="FFFFFF"/>
          <w:lang w:val="en-US" w:eastAsia="zh-CN" w:bidi="ar"/>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left"/>
        <w:rPr>
          <w:rFonts w:hint="eastAsia" w:ascii="方正小标宋简体" w:hAnsi="方正小标宋简体" w:eastAsia="方正小标宋简体" w:cs="方正小标宋简体"/>
          <w:i w:val="0"/>
          <w:caps w:val="0"/>
          <w:color w:val="333333"/>
          <w:spacing w:val="0"/>
          <w:kern w:val="0"/>
          <w:sz w:val="28"/>
          <w:szCs w:val="28"/>
          <w:shd w:val="clear" w:color="auto" w:fill="FFFFFF"/>
          <w:lang w:val="en-US" w:eastAsia="zh-CN" w:bidi="ar"/>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left"/>
        <w:rPr>
          <w:rFonts w:hint="eastAsia" w:ascii="方正小标宋简体" w:hAnsi="方正小标宋简体" w:eastAsia="方正小标宋简体" w:cs="方正小标宋简体"/>
          <w:i w:val="0"/>
          <w:caps w:val="0"/>
          <w:color w:val="333333"/>
          <w:spacing w:val="0"/>
          <w:kern w:val="0"/>
          <w:sz w:val="40"/>
          <w:szCs w:val="40"/>
          <w:shd w:val="clear" w:color="auto" w:fill="FFFFFF"/>
          <w:lang w:val="en-US" w:eastAsia="zh-CN" w:bidi="ar"/>
        </w:rPr>
      </w:pPr>
    </w:p>
    <w:sdt>
      <w:sdtPr>
        <w:rPr>
          <w:rFonts w:hint="eastAsia" w:ascii="方正小标宋简体" w:hAnsi="方正小标宋简体" w:eastAsia="方正小标宋简体" w:cs="方正小标宋简体"/>
          <w:color w:val="auto"/>
          <w:kern w:val="2"/>
          <w:sz w:val="32"/>
          <w:szCs w:val="32"/>
          <w:lang w:val="en-US" w:eastAsia="zh-CN" w:bidi="ar-SA"/>
        </w:rPr>
        <w:id w:val="147459893"/>
        <w15:color w:val="DBDBDB"/>
        <w:docPartObj>
          <w:docPartGallery w:val="Table of Contents"/>
          <w:docPartUnique/>
        </w:docPartObj>
      </w:sdtPr>
      <w:sdtEndPr>
        <w:rPr>
          <w:rFonts w:hint="eastAsia" w:ascii="方正小标宋简体" w:hAnsi="方正小标宋简体" w:eastAsia="方正小标宋简体" w:cs="方正小标宋简体"/>
          <w:i w:val="0"/>
          <w:caps w:val="0"/>
          <w:color w:val="333333"/>
          <w:spacing w:val="0"/>
          <w:kern w:val="0"/>
          <w:sz w:val="24"/>
          <w:szCs w:val="28"/>
          <w:shd w:val="clear" w:color="auto" w:fill="FFFFFF"/>
          <w:lang w:val="en-US" w:eastAsia="zh-CN" w:bidi="ar"/>
        </w:rPr>
      </w:sdtEndPr>
      <w:sdtContent>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目</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rPr>
            <w:t>录</w:t>
          </w:r>
        </w:p>
        <w:p>
          <w:pPr>
            <w:pStyle w:val="2"/>
            <w:rPr>
              <w:rFonts w:hint="default" w:eastAsia="仿宋_GB2312"/>
              <w:color w:val="auto"/>
              <w:sz w:val="28"/>
              <w:szCs w:val="44"/>
              <w:lang w:val="en-US" w:eastAsia="zh-CN"/>
            </w:rPr>
          </w:pPr>
          <w:r>
            <w:rPr>
              <w:rFonts w:hint="eastAsia" w:eastAsia="仿宋_GB2312"/>
              <w:color w:val="auto"/>
              <w:sz w:val="28"/>
              <w:szCs w:val="44"/>
              <w:lang w:val="en-US" w:eastAsia="zh-CN"/>
            </w:rPr>
            <w:t>公开时间：2023年3月13日</w:t>
          </w:r>
        </w:p>
        <w:p>
          <w:pPr>
            <w:pStyle w:val="1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begin"/>
          </w: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instrText xml:space="preserve">TOC \o "1-1" \h \u </w:instrText>
          </w: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separate"/>
          </w: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begin"/>
          </w:r>
          <w:r>
            <w:rPr>
              <w:rFonts w:hint="eastAsia" w:ascii="仿宋_GB2312" w:hAnsi="仿宋_GB2312" w:eastAsia="仿宋_GB2312" w:cs="仿宋_GB2312"/>
              <w:i w:val="0"/>
              <w:caps w:val="0"/>
              <w:spacing w:val="0"/>
              <w:kern w:val="0"/>
              <w:sz w:val="28"/>
              <w:szCs w:val="28"/>
              <w:shd w:val="clear" w:color="auto" w:fill="FFFFFF"/>
              <w:lang w:val="en-US" w:eastAsia="zh-CN" w:bidi="ar"/>
            </w:rPr>
            <w:instrText xml:space="preserve"> HYPERLINK \l _Toc4615 </w:instrText>
          </w:r>
          <w:r>
            <w:rPr>
              <w:rFonts w:hint="eastAsia" w:ascii="仿宋_GB2312" w:hAnsi="仿宋_GB2312" w:eastAsia="仿宋_GB2312" w:cs="仿宋_GB2312"/>
              <w:i w:val="0"/>
              <w:caps w:val="0"/>
              <w:spacing w:val="0"/>
              <w:kern w:val="0"/>
              <w:sz w:val="28"/>
              <w:szCs w:val="28"/>
              <w:shd w:val="clear" w:color="auto" w:fill="FFFFFF"/>
              <w:lang w:val="en-US" w:eastAsia="zh-CN" w:bidi="ar"/>
            </w:rPr>
            <w:fldChar w:fldCharType="separate"/>
          </w:r>
          <w:r>
            <w:rPr>
              <w:rFonts w:hint="eastAsia" w:ascii="仿宋_GB2312" w:hAnsi="仿宋_GB2312" w:eastAsia="仿宋_GB2312" w:cs="仿宋_GB2312"/>
              <w:i w:val="0"/>
              <w:caps w:val="0"/>
              <w:spacing w:val="0"/>
              <w:kern w:val="0"/>
              <w:sz w:val="28"/>
              <w:szCs w:val="28"/>
              <w:shd w:val="clear" w:color="auto" w:fill="FFFFFF"/>
              <w:lang w:val="en-US" w:eastAsia="zh-CN" w:bidi="ar"/>
            </w:rPr>
            <w:t>一、基本职能及主要工作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_Toc4615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end"/>
          </w:r>
        </w:p>
        <w:p>
          <w:pPr>
            <w:pStyle w:val="1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begin"/>
          </w:r>
          <w:r>
            <w:rPr>
              <w:rFonts w:hint="eastAsia" w:ascii="仿宋_GB2312" w:hAnsi="仿宋_GB2312" w:eastAsia="仿宋_GB2312" w:cs="仿宋_GB2312"/>
              <w:i w:val="0"/>
              <w:caps w:val="0"/>
              <w:spacing w:val="0"/>
              <w:kern w:val="0"/>
              <w:sz w:val="28"/>
              <w:szCs w:val="28"/>
              <w:shd w:val="clear" w:color="auto" w:fill="FFFFFF"/>
              <w:lang w:val="en-US" w:eastAsia="zh-CN" w:bidi="ar"/>
            </w:rPr>
            <w:instrText xml:space="preserve"> HYPERLINK \l _Toc16530 </w:instrText>
          </w:r>
          <w:r>
            <w:rPr>
              <w:rFonts w:hint="eastAsia" w:ascii="仿宋_GB2312" w:hAnsi="仿宋_GB2312" w:eastAsia="仿宋_GB2312" w:cs="仿宋_GB2312"/>
              <w:i w:val="0"/>
              <w:caps w:val="0"/>
              <w:spacing w:val="0"/>
              <w:kern w:val="0"/>
              <w:sz w:val="28"/>
              <w:szCs w:val="28"/>
              <w:shd w:val="clear" w:color="auto" w:fill="FFFFFF"/>
              <w:lang w:val="en-US" w:eastAsia="zh-CN" w:bidi="ar"/>
            </w:rPr>
            <w:fldChar w:fldCharType="separate"/>
          </w:r>
          <w:r>
            <w:rPr>
              <w:rFonts w:hint="eastAsia" w:ascii="仿宋_GB2312" w:hAnsi="仿宋_GB2312" w:eastAsia="仿宋_GB2312" w:cs="仿宋_GB2312"/>
              <w:i w:val="0"/>
              <w:caps w:val="0"/>
              <w:spacing w:val="0"/>
              <w:kern w:val="0"/>
              <w:sz w:val="28"/>
              <w:szCs w:val="28"/>
              <w:shd w:val="clear" w:color="auto" w:fill="FFFFFF"/>
              <w:lang w:val="en-US" w:eastAsia="zh-CN" w:bidi="ar"/>
            </w:rPr>
            <w:t>二、部门预算单位构成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end"/>
          </w:r>
        </w:p>
        <w:p>
          <w:pPr>
            <w:pStyle w:val="1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begin"/>
          </w:r>
          <w:r>
            <w:rPr>
              <w:rFonts w:hint="eastAsia" w:ascii="仿宋_GB2312" w:hAnsi="仿宋_GB2312" w:eastAsia="仿宋_GB2312" w:cs="仿宋_GB2312"/>
              <w:i w:val="0"/>
              <w:caps w:val="0"/>
              <w:spacing w:val="0"/>
              <w:kern w:val="0"/>
              <w:sz w:val="28"/>
              <w:szCs w:val="28"/>
              <w:shd w:val="clear" w:color="auto" w:fill="FFFFFF"/>
              <w:lang w:val="en-US" w:eastAsia="zh-CN" w:bidi="ar"/>
            </w:rPr>
            <w:instrText xml:space="preserve"> HYPERLINK \l _Toc9749 </w:instrText>
          </w:r>
          <w:r>
            <w:rPr>
              <w:rFonts w:hint="eastAsia" w:ascii="仿宋_GB2312" w:hAnsi="仿宋_GB2312" w:eastAsia="仿宋_GB2312" w:cs="仿宋_GB2312"/>
              <w:i w:val="0"/>
              <w:caps w:val="0"/>
              <w:spacing w:val="0"/>
              <w:kern w:val="0"/>
              <w:sz w:val="28"/>
              <w:szCs w:val="28"/>
              <w:shd w:val="clear" w:color="auto" w:fill="FFFFFF"/>
              <w:lang w:val="en-US" w:eastAsia="zh-CN" w:bidi="ar"/>
            </w:rPr>
            <w:fldChar w:fldCharType="separate"/>
          </w:r>
          <w:r>
            <w:rPr>
              <w:rFonts w:hint="eastAsia" w:ascii="仿宋_GB2312" w:hAnsi="仿宋_GB2312" w:eastAsia="仿宋_GB2312" w:cs="仿宋_GB2312"/>
              <w:i w:val="0"/>
              <w:caps w:val="0"/>
              <w:spacing w:val="0"/>
              <w:kern w:val="0"/>
              <w:sz w:val="28"/>
              <w:szCs w:val="28"/>
              <w:shd w:val="clear" w:color="auto" w:fill="FFFFFF"/>
              <w:lang w:val="en-US" w:eastAsia="zh-CN" w:bidi="ar"/>
            </w:rPr>
            <w:t>三、收支预算情况说明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end"/>
          </w:r>
        </w:p>
        <w:p>
          <w:pPr>
            <w:pStyle w:val="1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begin"/>
          </w:r>
          <w:r>
            <w:rPr>
              <w:rFonts w:hint="eastAsia" w:ascii="仿宋_GB2312" w:hAnsi="仿宋_GB2312" w:eastAsia="仿宋_GB2312" w:cs="仿宋_GB2312"/>
              <w:i w:val="0"/>
              <w:caps w:val="0"/>
              <w:spacing w:val="0"/>
              <w:kern w:val="0"/>
              <w:sz w:val="28"/>
              <w:szCs w:val="28"/>
              <w:shd w:val="clear" w:color="auto" w:fill="FFFFFF"/>
              <w:lang w:val="en-US" w:eastAsia="zh-CN" w:bidi="ar"/>
            </w:rPr>
            <w:instrText xml:space="preserve"> HYPERLINK \l _Toc22864 </w:instrText>
          </w:r>
          <w:r>
            <w:rPr>
              <w:rFonts w:hint="eastAsia" w:ascii="仿宋_GB2312" w:hAnsi="仿宋_GB2312" w:eastAsia="仿宋_GB2312" w:cs="仿宋_GB2312"/>
              <w:i w:val="0"/>
              <w:caps w:val="0"/>
              <w:spacing w:val="0"/>
              <w:kern w:val="0"/>
              <w:sz w:val="28"/>
              <w:szCs w:val="28"/>
              <w:shd w:val="clear" w:color="auto" w:fill="FFFFFF"/>
              <w:lang w:val="en-US" w:eastAsia="zh-CN" w:bidi="ar"/>
            </w:rPr>
            <w:fldChar w:fldCharType="separate"/>
          </w:r>
          <w:r>
            <w:rPr>
              <w:rFonts w:hint="eastAsia" w:ascii="仿宋_GB2312" w:hAnsi="仿宋_GB2312" w:eastAsia="仿宋_GB2312" w:cs="仿宋_GB2312"/>
              <w:i w:val="0"/>
              <w:caps w:val="0"/>
              <w:spacing w:val="0"/>
              <w:kern w:val="0"/>
              <w:sz w:val="28"/>
              <w:szCs w:val="28"/>
              <w:shd w:val="clear" w:color="auto" w:fill="FFFFFF"/>
              <w:lang w:val="en-US" w:eastAsia="zh-CN" w:bidi="ar"/>
            </w:rPr>
            <w:t>四、财政拨款收支预算情况说明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_Toc22864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end"/>
          </w:r>
        </w:p>
        <w:p>
          <w:pPr>
            <w:pStyle w:val="1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begin"/>
          </w:r>
          <w:r>
            <w:rPr>
              <w:rFonts w:hint="eastAsia" w:ascii="仿宋_GB2312" w:hAnsi="仿宋_GB2312" w:eastAsia="仿宋_GB2312" w:cs="仿宋_GB2312"/>
              <w:i w:val="0"/>
              <w:caps w:val="0"/>
              <w:spacing w:val="0"/>
              <w:kern w:val="0"/>
              <w:sz w:val="28"/>
              <w:szCs w:val="28"/>
              <w:shd w:val="clear" w:color="auto" w:fill="FFFFFF"/>
              <w:lang w:val="en-US" w:eastAsia="zh-CN" w:bidi="ar"/>
            </w:rPr>
            <w:instrText xml:space="preserve"> HYPERLINK \l _Toc11972 </w:instrText>
          </w:r>
          <w:r>
            <w:rPr>
              <w:rFonts w:hint="eastAsia" w:ascii="仿宋_GB2312" w:hAnsi="仿宋_GB2312" w:eastAsia="仿宋_GB2312" w:cs="仿宋_GB2312"/>
              <w:i w:val="0"/>
              <w:caps w:val="0"/>
              <w:spacing w:val="0"/>
              <w:kern w:val="0"/>
              <w:sz w:val="28"/>
              <w:szCs w:val="28"/>
              <w:shd w:val="clear" w:color="auto" w:fill="FFFFFF"/>
              <w:lang w:val="en-US" w:eastAsia="zh-CN" w:bidi="ar"/>
            </w:rPr>
            <w:fldChar w:fldCharType="separate"/>
          </w:r>
          <w:r>
            <w:rPr>
              <w:rFonts w:hint="eastAsia" w:ascii="仿宋_GB2312" w:hAnsi="仿宋_GB2312" w:eastAsia="仿宋_GB2312" w:cs="仿宋_GB2312"/>
              <w:i w:val="0"/>
              <w:caps w:val="0"/>
              <w:spacing w:val="0"/>
              <w:kern w:val="0"/>
              <w:sz w:val="28"/>
              <w:szCs w:val="28"/>
              <w:shd w:val="clear" w:color="auto" w:fill="FFFFFF"/>
              <w:lang w:val="en-US" w:eastAsia="zh-CN" w:bidi="ar"/>
            </w:rPr>
            <w:t>五、一般公共预算当年拨款情况说明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end"/>
          </w:r>
        </w:p>
        <w:p>
          <w:pPr>
            <w:pStyle w:val="1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begin"/>
          </w:r>
          <w:r>
            <w:rPr>
              <w:rFonts w:hint="eastAsia" w:ascii="仿宋_GB2312" w:hAnsi="仿宋_GB2312" w:eastAsia="仿宋_GB2312" w:cs="仿宋_GB2312"/>
              <w:i w:val="0"/>
              <w:caps w:val="0"/>
              <w:spacing w:val="0"/>
              <w:kern w:val="0"/>
              <w:sz w:val="28"/>
              <w:szCs w:val="28"/>
              <w:shd w:val="clear" w:color="auto" w:fill="FFFFFF"/>
              <w:lang w:val="en-US" w:eastAsia="zh-CN" w:bidi="ar"/>
            </w:rPr>
            <w:instrText xml:space="preserve"> HYPERLINK \l _Toc20907 </w:instrText>
          </w:r>
          <w:r>
            <w:rPr>
              <w:rFonts w:hint="eastAsia" w:ascii="仿宋_GB2312" w:hAnsi="仿宋_GB2312" w:eastAsia="仿宋_GB2312" w:cs="仿宋_GB2312"/>
              <w:i w:val="0"/>
              <w:caps w:val="0"/>
              <w:spacing w:val="0"/>
              <w:kern w:val="0"/>
              <w:sz w:val="28"/>
              <w:szCs w:val="28"/>
              <w:shd w:val="clear" w:color="auto" w:fill="FFFFFF"/>
              <w:lang w:val="en-US" w:eastAsia="zh-CN" w:bidi="ar"/>
            </w:rPr>
            <w:fldChar w:fldCharType="separate"/>
          </w:r>
          <w:r>
            <w:rPr>
              <w:rFonts w:hint="eastAsia" w:ascii="仿宋_GB2312" w:hAnsi="仿宋_GB2312" w:eastAsia="仿宋_GB2312" w:cs="仿宋_GB2312"/>
              <w:i w:val="0"/>
              <w:caps w:val="0"/>
              <w:spacing w:val="0"/>
              <w:kern w:val="0"/>
              <w:sz w:val="28"/>
              <w:szCs w:val="28"/>
              <w:shd w:val="clear" w:color="auto" w:fill="FFFFFF"/>
              <w:lang w:val="en-US" w:eastAsia="zh-CN" w:bidi="ar"/>
            </w:rPr>
            <w:t>六、一般公共预算基本支出情况说明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end"/>
          </w:r>
        </w:p>
        <w:p>
          <w:pPr>
            <w:pStyle w:val="1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begin"/>
          </w:r>
          <w:r>
            <w:rPr>
              <w:rFonts w:hint="eastAsia" w:ascii="仿宋_GB2312" w:hAnsi="仿宋_GB2312" w:eastAsia="仿宋_GB2312" w:cs="仿宋_GB2312"/>
              <w:i w:val="0"/>
              <w:caps w:val="0"/>
              <w:spacing w:val="0"/>
              <w:kern w:val="0"/>
              <w:sz w:val="28"/>
              <w:szCs w:val="28"/>
              <w:shd w:val="clear" w:color="auto" w:fill="FFFFFF"/>
              <w:lang w:val="en-US" w:eastAsia="zh-CN" w:bidi="ar"/>
            </w:rPr>
            <w:instrText xml:space="preserve"> HYPERLINK \l _Toc27935 </w:instrText>
          </w:r>
          <w:r>
            <w:rPr>
              <w:rFonts w:hint="eastAsia" w:ascii="仿宋_GB2312" w:hAnsi="仿宋_GB2312" w:eastAsia="仿宋_GB2312" w:cs="仿宋_GB2312"/>
              <w:i w:val="0"/>
              <w:caps w:val="0"/>
              <w:spacing w:val="0"/>
              <w:kern w:val="0"/>
              <w:sz w:val="28"/>
              <w:szCs w:val="28"/>
              <w:shd w:val="clear" w:color="auto" w:fill="FFFFFF"/>
              <w:lang w:val="en-US" w:eastAsia="zh-CN" w:bidi="ar"/>
            </w:rPr>
            <w:fldChar w:fldCharType="separate"/>
          </w:r>
          <w:r>
            <w:rPr>
              <w:rFonts w:hint="eastAsia" w:ascii="仿宋_GB2312" w:hAnsi="仿宋_GB2312" w:eastAsia="仿宋_GB2312" w:cs="仿宋_GB2312"/>
              <w:i w:val="0"/>
              <w:caps w:val="0"/>
              <w:spacing w:val="0"/>
              <w:kern w:val="0"/>
              <w:sz w:val="28"/>
              <w:szCs w:val="28"/>
              <w:shd w:val="clear" w:color="auto" w:fill="FFFFFF"/>
              <w:lang w:val="en-US" w:eastAsia="zh-CN" w:bidi="ar"/>
            </w:rPr>
            <w:t>七、“三公”经费财政拨款预算安排情况说明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_Toc27935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end"/>
          </w:r>
        </w:p>
        <w:p>
          <w:pPr>
            <w:pStyle w:val="1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begin"/>
          </w:r>
          <w:r>
            <w:rPr>
              <w:rFonts w:hint="eastAsia" w:ascii="仿宋_GB2312" w:hAnsi="仿宋_GB2312" w:eastAsia="仿宋_GB2312" w:cs="仿宋_GB2312"/>
              <w:i w:val="0"/>
              <w:caps w:val="0"/>
              <w:spacing w:val="0"/>
              <w:kern w:val="0"/>
              <w:sz w:val="28"/>
              <w:szCs w:val="28"/>
              <w:shd w:val="clear" w:color="auto" w:fill="FFFFFF"/>
              <w:lang w:val="en-US" w:eastAsia="zh-CN" w:bidi="ar"/>
            </w:rPr>
            <w:instrText xml:space="preserve"> HYPERLINK \l _Toc1146 </w:instrText>
          </w:r>
          <w:r>
            <w:rPr>
              <w:rFonts w:hint="eastAsia" w:ascii="仿宋_GB2312" w:hAnsi="仿宋_GB2312" w:eastAsia="仿宋_GB2312" w:cs="仿宋_GB2312"/>
              <w:i w:val="0"/>
              <w:caps w:val="0"/>
              <w:spacing w:val="0"/>
              <w:kern w:val="0"/>
              <w:sz w:val="28"/>
              <w:szCs w:val="28"/>
              <w:shd w:val="clear" w:color="auto" w:fill="FFFFFF"/>
              <w:lang w:val="en-US" w:eastAsia="zh-CN" w:bidi="ar"/>
            </w:rPr>
            <w:fldChar w:fldCharType="separate"/>
          </w:r>
          <w:r>
            <w:rPr>
              <w:rFonts w:hint="eastAsia" w:ascii="仿宋_GB2312" w:hAnsi="仿宋_GB2312" w:eastAsia="仿宋_GB2312" w:cs="仿宋_GB2312"/>
              <w:i w:val="0"/>
              <w:caps w:val="0"/>
              <w:spacing w:val="0"/>
              <w:kern w:val="0"/>
              <w:sz w:val="28"/>
              <w:szCs w:val="28"/>
              <w:shd w:val="clear" w:color="auto" w:fill="FFFFFF"/>
              <w:lang w:val="en-US" w:eastAsia="zh-CN" w:bidi="ar"/>
            </w:rPr>
            <w:t>八、政府性基金预算支出情况说明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end"/>
          </w:r>
        </w:p>
        <w:p>
          <w:pPr>
            <w:pStyle w:val="1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begin"/>
          </w:r>
          <w:r>
            <w:rPr>
              <w:rFonts w:hint="eastAsia" w:ascii="仿宋_GB2312" w:hAnsi="仿宋_GB2312" w:eastAsia="仿宋_GB2312" w:cs="仿宋_GB2312"/>
              <w:i w:val="0"/>
              <w:caps w:val="0"/>
              <w:spacing w:val="0"/>
              <w:kern w:val="0"/>
              <w:sz w:val="28"/>
              <w:szCs w:val="28"/>
              <w:shd w:val="clear" w:color="auto" w:fill="FFFFFF"/>
              <w:lang w:val="en-US" w:eastAsia="zh-CN" w:bidi="ar"/>
            </w:rPr>
            <w:instrText xml:space="preserve"> HYPERLINK \l _Toc24239 </w:instrText>
          </w:r>
          <w:r>
            <w:rPr>
              <w:rFonts w:hint="eastAsia" w:ascii="仿宋_GB2312" w:hAnsi="仿宋_GB2312" w:eastAsia="仿宋_GB2312" w:cs="仿宋_GB2312"/>
              <w:i w:val="0"/>
              <w:caps w:val="0"/>
              <w:spacing w:val="0"/>
              <w:kern w:val="0"/>
              <w:sz w:val="28"/>
              <w:szCs w:val="28"/>
              <w:shd w:val="clear" w:color="auto" w:fill="FFFFFF"/>
              <w:lang w:val="en-US" w:eastAsia="zh-CN" w:bidi="ar"/>
            </w:rPr>
            <w:fldChar w:fldCharType="separate"/>
          </w:r>
          <w:r>
            <w:rPr>
              <w:rFonts w:hint="eastAsia" w:ascii="仿宋_GB2312" w:hAnsi="仿宋_GB2312" w:eastAsia="仿宋_GB2312" w:cs="仿宋_GB2312"/>
              <w:i w:val="0"/>
              <w:caps w:val="0"/>
              <w:spacing w:val="0"/>
              <w:kern w:val="0"/>
              <w:sz w:val="28"/>
              <w:szCs w:val="28"/>
              <w:shd w:val="clear" w:color="auto" w:fill="FFFFFF"/>
              <w:lang w:val="en-US" w:eastAsia="zh-CN" w:bidi="ar"/>
            </w:rPr>
            <w:t>九、国有资本经营预算支出情况说明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_Toc24239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end"/>
          </w:r>
        </w:p>
        <w:p>
          <w:pPr>
            <w:pStyle w:val="1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begin"/>
          </w:r>
          <w:r>
            <w:rPr>
              <w:rFonts w:hint="eastAsia" w:ascii="仿宋_GB2312" w:hAnsi="仿宋_GB2312" w:eastAsia="仿宋_GB2312" w:cs="仿宋_GB2312"/>
              <w:i w:val="0"/>
              <w:caps w:val="0"/>
              <w:spacing w:val="0"/>
              <w:kern w:val="0"/>
              <w:sz w:val="28"/>
              <w:szCs w:val="28"/>
              <w:shd w:val="clear" w:color="auto" w:fill="FFFFFF"/>
              <w:lang w:val="en-US" w:eastAsia="zh-CN" w:bidi="ar"/>
            </w:rPr>
            <w:instrText xml:space="preserve"> HYPERLINK \l _Toc5870 </w:instrText>
          </w:r>
          <w:r>
            <w:rPr>
              <w:rFonts w:hint="eastAsia" w:ascii="仿宋_GB2312" w:hAnsi="仿宋_GB2312" w:eastAsia="仿宋_GB2312" w:cs="仿宋_GB2312"/>
              <w:i w:val="0"/>
              <w:caps w:val="0"/>
              <w:spacing w:val="0"/>
              <w:kern w:val="0"/>
              <w:sz w:val="28"/>
              <w:szCs w:val="28"/>
              <w:shd w:val="clear" w:color="auto" w:fill="FFFFFF"/>
              <w:lang w:val="en-US" w:eastAsia="zh-CN" w:bidi="ar"/>
            </w:rPr>
            <w:fldChar w:fldCharType="separate"/>
          </w:r>
          <w:r>
            <w:rPr>
              <w:rFonts w:hint="eastAsia" w:ascii="仿宋_GB2312" w:hAnsi="仿宋_GB2312" w:eastAsia="仿宋_GB2312" w:cs="仿宋_GB2312"/>
              <w:i w:val="0"/>
              <w:caps w:val="0"/>
              <w:spacing w:val="0"/>
              <w:kern w:val="0"/>
              <w:sz w:val="28"/>
              <w:szCs w:val="28"/>
              <w:shd w:val="clear" w:color="auto" w:fill="FFFFFF"/>
              <w:lang w:val="en-US" w:eastAsia="zh-CN" w:bidi="ar"/>
            </w:rPr>
            <w:t>十、其他重要事项的情况说明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_Toc5870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end"/>
          </w:r>
        </w:p>
        <w:p>
          <w:pPr>
            <w:pStyle w:val="1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begin"/>
          </w:r>
          <w:r>
            <w:rPr>
              <w:rFonts w:hint="eastAsia" w:ascii="仿宋_GB2312" w:hAnsi="仿宋_GB2312" w:eastAsia="仿宋_GB2312" w:cs="仿宋_GB2312"/>
              <w:i w:val="0"/>
              <w:caps w:val="0"/>
              <w:spacing w:val="0"/>
              <w:kern w:val="0"/>
              <w:sz w:val="28"/>
              <w:szCs w:val="28"/>
              <w:shd w:val="clear" w:color="auto" w:fill="FFFFFF"/>
              <w:lang w:val="en-US" w:eastAsia="zh-CN" w:bidi="ar"/>
            </w:rPr>
            <w:instrText xml:space="preserve"> HYPERLINK \l _Toc25224 </w:instrText>
          </w:r>
          <w:r>
            <w:rPr>
              <w:rFonts w:hint="eastAsia" w:ascii="仿宋_GB2312" w:hAnsi="仿宋_GB2312" w:eastAsia="仿宋_GB2312" w:cs="仿宋_GB2312"/>
              <w:i w:val="0"/>
              <w:caps w:val="0"/>
              <w:spacing w:val="0"/>
              <w:kern w:val="0"/>
              <w:sz w:val="28"/>
              <w:szCs w:val="28"/>
              <w:shd w:val="clear" w:color="auto" w:fill="FFFFFF"/>
              <w:lang w:val="en-US" w:eastAsia="zh-CN" w:bidi="ar"/>
            </w:rPr>
            <w:fldChar w:fldCharType="separate"/>
          </w:r>
          <w:r>
            <w:rPr>
              <w:rFonts w:hint="eastAsia" w:ascii="仿宋_GB2312" w:hAnsi="仿宋_GB2312" w:eastAsia="仿宋_GB2312" w:cs="仿宋_GB2312"/>
              <w:i w:val="0"/>
              <w:caps w:val="0"/>
              <w:spacing w:val="0"/>
              <w:kern w:val="0"/>
              <w:sz w:val="28"/>
              <w:szCs w:val="28"/>
              <w:shd w:val="clear" w:color="auto" w:fill="FFFFFF"/>
              <w:lang w:val="en-US" w:eastAsia="zh-CN" w:bidi="ar"/>
            </w:rPr>
            <w:t>十一、名词解释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_Toc25224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0"/>
            <w:jc w:val="left"/>
            <w:rPr>
              <w:rFonts w:hint="eastAsia" w:ascii="方正小标宋简体" w:hAnsi="方正小标宋简体" w:eastAsia="方正小标宋简体" w:cs="方正小标宋简体"/>
              <w:i w:val="0"/>
              <w:caps w:val="0"/>
              <w:color w:val="333333"/>
              <w:spacing w:val="0"/>
              <w:kern w:val="0"/>
              <w:sz w:val="28"/>
              <w:szCs w:val="28"/>
              <w:shd w:val="clear" w:color="auto" w:fill="FFFFFF"/>
              <w:lang w:val="en-US" w:eastAsia="zh-CN" w:bidi="ar"/>
            </w:rPr>
          </w:pPr>
          <w:r>
            <w:rPr>
              <w:rFonts w:hint="eastAsia" w:ascii="仿宋_GB2312" w:hAnsi="仿宋_GB2312" w:eastAsia="仿宋_GB2312" w:cs="仿宋_GB2312"/>
              <w:i w:val="0"/>
              <w:caps w:val="0"/>
              <w:color w:val="333333"/>
              <w:spacing w:val="0"/>
              <w:kern w:val="0"/>
              <w:sz w:val="28"/>
              <w:szCs w:val="28"/>
              <w:shd w:val="clear" w:color="auto" w:fill="FFFFFF"/>
              <w:lang w:val="en-US" w:eastAsia="zh-CN" w:bidi="ar"/>
            </w:rPr>
            <w:fldChar w:fldCharType="end"/>
          </w:r>
        </w:p>
      </w:sdtContent>
    </w:sdt>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6" w:lineRule="atLeast"/>
        <w:ind w:left="0" w:right="0" w:firstLine="640"/>
        <w:jc w:val="both"/>
        <w:textAlignment w:val="auto"/>
        <w:outlineLvl w:val="0"/>
        <w:rPr>
          <w:rFonts w:ascii="黑体" w:hAnsi="宋体" w:eastAsia="黑体" w:cs="黑体"/>
          <w:i w:val="0"/>
          <w:caps w:val="0"/>
          <w:color w:val="333333"/>
          <w:spacing w:val="0"/>
          <w:kern w:val="0"/>
          <w:sz w:val="32"/>
          <w:szCs w:val="32"/>
          <w:shd w:val="clear" w:color="auto" w:fill="FFFFFF"/>
          <w:lang w:val="en-US" w:eastAsia="zh-CN" w:bidi="ar"/>
        </w:rPr>
      </w:pPr>
      <w:bookmarkStart w:id="1" w:name="_Toc4615"/>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6" w:lineRule="atLeast"/>
        <w:ind w:left="0" w:right="0" w:firstLine="640"/>
        <w:jc w:val="both"/>
        <w:textAlignment w:val="auto"/>
        <w:outlineLvl w:val="0"/>
        <w:rPr>
          <w:rFonts w:ascii="黑体" w:hAnsi="宋体" w:eastAsia="黑体" w:cs="黑体"/>
          <w:i w:val="0"/>
          <w:caps w:val="0"/>
          <w:color w:val="333333"/>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6" w:lineRule="atLeast"/>
        <w:ind w:left="0" w:right="0" w:firstLine="640"/>
        <w:jc w:val="both"/>
        <w:textAlignment w:val="auto"/>
        <w:outlineLvl w:val="0"/>
        <w:rPr>
          <w:rFonts w:ascii="黑体" w:hAnsi="宋体" w:eastAsia="黑体" w:cs="黑体"/>
          <w:i w:val="0"/>
          <w:caps w:val="0"/>
          <w:color w:val="333333"/>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6" w:lineRule="atLeast"/>
        <w:ind w:left="0" w:right="0" w:firstLine="640"/>
        <w:jc w:val="both"/>
        <w:textAlignment w:val="auto"/>
        <w:outlineLvl w:val="0"/>
        <w:rPr>
          <w:rFonts w:ascii="黑体" w:hAnsi="宋体" w:eastAsia="黑体" w:cs="黑体"/>
          <w:i w:val="0"/>
          <w:caps w:val="0"/>
          <w:color w:val="333333"/>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6" w:lineRule="atLeast"/>
        <w:ind w:left="0" w:right="0" w:firstLine="640"/>
        <w:jc w:val="both"/>
        <w:textAlignment w:val="auto"/>
        <w:outlineLvl w:val="0"/>
        <w:rPr>
          <w:rFonts w:ascii="黑体" w:hAnsi="宋体" w:eastAsia="黑体" w:cs="黑体"/>
          <w:i w:val="0"/>
          <w:caps w:val="0"/>
          <w:color w:val="333333"/>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6" w:lineRule="atLeast"/>
        <w:ind w:left="0" w:right="0" w:firstLine="640"/>
        <w:jc w:val="both"/>
        <w:textAlignment w:val="auto"/>
        <w:outlineLvl w:val="0"/>
        <w:rPr>
          <w:rFonts w:ascii="黑体" w:hAnsi="宋体" w:eastAsia="黑体" w:cs="黑体"/>
          <w:i w:val="0"/>
          <w:caps w:val="0"/>
          <w:color w:val="333333"/>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6" w:lineRule="atLeast"/>
        <w:ind w:left="0" w:right="0" w:firstLine="640"/>
        <w:jc w:val="both"/>
        <w:textAlignment w:val="auto"/>
        <w:outlineLvl w:val="0"/>
        <w:rPr>
          <w:rFonts w:ascii="黑体" w:hAnsi="宋体" w:eastAsia="黑体" w:cs="黑体"/>
          <w:i w:val="0"/>
          <w:caps w:val="0"/>
          <w:color w:val="333333"/>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leftChars="0" w:right="0" w:firstLine="640"/>
        <w:jc w:val="both"/>
        <w:textAlignment w:val="auto"/>
        <w:outlineLvl w:val="0"/>
        <w:rPr>
          <w:rFonts w:ascii="黑体" w:hAnsi="宋体" w:eastAsia="黑体" w:cs="黑体"/>
          <w:i w:val="0"/>
          <w:caps w:val="0"/>
          <w:color w:val="333333"/>
          <w:spacing w:val="0"/>
          <w:kern w:val="0"/>
          <w:sz w:val="32"/>
          <w:szCs w:val="32"/>
          <w:shd w:val="clear" w:color="auto" w:fill="FFFFFF"/>
          <w:lang w:val="en-US" w:eastAsia="zh-CN" w:bidi="ar"/>
        </w:rPr>
        <w:sectPr>
          <w:pgSz w:w="11906" w:h="16838"/>
          <w:pgMar w:top="1440" w:right="1800" w:bottom="1440" w:left="1800" w:header="851" w:footer="992" w:gutter="0"/>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leftChars="0" w:right="0" w:firstLine="640"/>
        <w:jc w:val="both"/>
        <w:textAlignment w:val="auto"/>
        <w:outlineLvl w:val="0"/>
        <w:rPr>
          <w:rFonts w:hint="default" w:ascii="Times New Roman" w:hAnsi="Times New Roman" w:cs="Times New Roman"/>
          <w:i w:val="0"/>
          <w:caps w:val="0"/>
          <w:color w:val="333333"/>
          <w:spacing w:val="0"/>
          <w:sz w:val="32"/>
          <w:szCs w:val="32"/>
        </w:rPr>
      </w:pPr>
      <w:r>
        <w:rPr>
          <w:rFonts w:ascii="黑体" w:hAnsi="宋体" w:eastAsia="黑体" w:cs="黑体"/>
          <w:i w:val="0"/>
          <w:caps w:val="0"/>
          <w:color w:val="333333"/>
          <w:spacing w:val="0"/>
          <w:kern w:val="0"/>
          <w:sz w:val="32"/>
          <w:szCs w:val="32"/>
          <w:shd w:val="clear" w:color="auto" w:fill="FFFFFF"/>
          <w:lang w:val="en-US" w:eastAsia="zh-CN" w:bidi="ar"/>
        </w:rPr>
        <w:t>一、基本职能及主要工作</w:t>
      </w:r>
      <w:bookmarkEnd w:id="1"/>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74"/>
        <w:jc w:val="both"/>
        <w:textAlignment w:val="auto"/>
        <w:rPr>
          <w:rFonts w:hint="eastAsia" w:ascii="楷体_GB2312" w:eastAsia="楷体_GB2312" w:cs="楷体_GB2312"/>
          <w:b/>
          <w:i w:val="0"/>
          <w:caps w:val="0"/>
          <w:color w:val="333333"/>
          <w:spacing w:val="0"/>
          <w:sz w:val="32"/>
          <w:szCs w:val="32"/>
          <w:shd w:val="clear" w:color="auto" w:fill="FFFFFF"/>
        </w:rPr>
      </w:pPr>
      <w:r>
        <w:rPr>
          <w:rFonts w:ascii="楷体_GB2312" w:eastAsia="楷体_GB2312" w:cs="楷体_GB2312"/>
          <w:b/>
          <w:i w:val="0"/>
          <w:caps w:val="0"/>
          <w:color w:val="333333"/>
          <w:spacing w:val="0"/>
          <w:sz w:val="32"/>
          <w:szCs w:val="32"/>
          <w:shd w:val="clear" w:color="auto" w:fill="FFFFFF"/>
        </w:rPr>
        <w:t>（一）</w:t>
      </w:r>
      <w:r>
        <w:rPr>
          <w:rFonts w:hint="eastAsia" w:ascii="楷体_GB2312" w:eastAsia="楷体_GB2312" w:cs="楷体_GB2312"/>
          <w:b/>
          <w:i w:val="0"/>
          <w:caps w:val="0"/>
          <w:color w:val="333333"/>
          <w:spacing w:val="0"/>
          <w:sz w:val="32"/>
          <w:szCs w:val="32"/>
          <w:shd w:val="clear" w:color="auto" w:fill="FFFFFF"/>
          <w:lang w:val="en-US" w:eastAsia="zh-CN"/>
        </w:rPr>
        <w:t>磨滩镇人民政府</w:t>
      </w:r>
      <w:r>
        <w:rPr>
          <w:rFonts w:hint="eastAsia" w:ascii="楷体_GB2312" w:eastAsia="楷体_GB2312" w:cs="楷体_GB2312"/>
          <w:b/>
          <w:i w:val="0"/>
          <w:caps w:val="0"/>
          <w:color w:val="333333"/>
          <w:spacing w:val="0"/>
          <w:sz w:val="32"/>
          <w:szCs w:val="32"/>
          <w:shd w:val="clear" w:color="auto" w:fill="FFFFFF"/>
        </w:rPr>
        <w:t>职能简介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74"/>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落实国家政策，严格依法行政，发挥经济管理职能，加强政策引导，制定发展规划，服务市场主体和营造发展环境，搞好市场监管，大力促进社会事业发展，发展镇村经济、文化和社会事业，提供公共服务，维护社会稳定，构建社会主义和谐社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74"/>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2.执行本级人民代表大会的决议和上级国家行政机关的决定和命令，发布决定和命令。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74"/>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3.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74"/>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4.制定并组织实施镇村建设规划，部署重点工程建设，地方道路建设及公共设施，水利设施的管理，负责土地、林木、水等自然资源和生态环境的保护，做好护林防火工作。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74"/>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5.负责本行政区域内的民政、计划生育、文化教育、卫生、体育等社会公益事业的综合性工作，维护一切经济单位和个人的正当经济权益，取缔非法经济活动，调解和处理民事纠纷，打击刑事犯罪维护社会稳定。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74"/>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6.按计划组织本级财政收入和地方税的征收，完成国家财政计划，不断培植税源，管好财政资金，增强财政实力。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74"/>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7.抓好精神文明建设，丰富群众文化生活，提倡移风易俗，反对封建迷信，破除陈规陋习，树立社会主义新风尚。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74"/>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8.完成上级交办的其它事项。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74"/>
        <w:jc w:val="both"/>
        <w:textAlignment w:val="auto"/>
        <w:rPr>
          <w:rFonts w:hint="eastAsia" w:ascii="楷体_GB2312" w:eastAsia="楷体_GB2312" w:cs="楷体_GB2312"/>
          <w:b/>
          <w:i w:val="0"/>
          <w:caps w:val="0"/>
          <w:color w:val="333333"/>
          <w:spacing w:val="0"/>
          <w:sz w:val="32"/>
          <w:szCs w:val="32"/>
          <w:shd w:val="clear" w:color="auto" w:fill="FFFFFF"/>
        </w:rPr>
      </w:pPr>
      <w:r>
        <w:rPr>
          <w:rFonts w:hint="eastAsia" w:ascii="楷体_GB2312" w:eastAsia="楷体_GB2312" w:cs="楷体_GB2312"/>
          <w:b/>
          <w:i w:val="0"/>
          <w:caps w:val="0"/>
          <w:color w:val="333333"/>
          <w:spacing w:val="0"/>
          <w:sz w:val="32"/>
          <w:szCs w:val="32"/>
          <w:shd w:val="clear" w:color="auto" w:fill="FFFFFF"/>
        </w:rPr>
        <w:t>（二）</w:t>
      </w:r>
      <w:r>
        <w:rPr>
          <w:rFonts w:hint="eastAsia" w:ascii="楷体_GB2312" w:eastAsia="楷体_GB2312" w:cs="楷体_GB2312"/>
          <w:b/>
          <w:i w:val="0"/>
          <w:caps w:val="0"/>
          <w:color w:val="333333"/>
          <w:spacing w:val="0"/>
          <w:sz w:val="32"/>
          <w:szCs w:val="32"/>
          <w:shd w:val="clear" w:color="auto" w:fill="FFFFFF"/>
          <w:lang w:val="en-US" w:eastAsia="zh-CN"/>
        </w:rPr>
        <w:t>磨滩镇人民政府</w:t>
      </w:r>
      <w:r>
        <w:rPr>
          <w:rFonts w:hint="eastAsia" w:ascii="楷体_GB2312" w:eastAsia="楷体_GB2312" w:cs="楷体_GB2312"/>
          <w:b/>
          <w:i w:val="0"/>
          <w:caps w:val="0"/>
          <w:color w:val="333333"/>
          <w:spacing w:val="0"/>
          <w:sz w:val="32"/>
          <w:szCs w:val="32"/>
          <w:shd w:val="clear" w:color="auto" w:fill="FFFFFF"/>
        </w:rPr>
        <w:t>202</w:t>
      </w:r>
      <w:r>
        <w:rPr>
          <w:rFonts w:hint="eastAsia" w:ascii="楷体_GB2312" w:eastAsia="楷体_GB2312" w:cs="楷体_GB2312"/>
          <w:b/>
          <w:i w:val="0"/>
          <w:caps w:val="0"/>
          <w:color w:val="333333"/>
          <w:spacing w:val="0"/>
          <w:sz w:val="32"/>
          <w:szCs w:val="32"/>
          <w:shd w:val="clear" w:color="auto" w:fill="FFFFFF"/>
          <w:lang w:val="en-US" w:eastAsia="zh-CN"/>
        </w:rPr>
        <w:t>3</w:t>
      </w:r>
      <w:r>
        <w:rPr>
          <w:rFonts w:hint="eastAsia" w:ascii="楷体_GB2312" w:eastAsia="楷体_GB2312" w:cs="楷体_GB2312"/>
          <w:b/>
          <w:i w:val="0"/>
          <w:caps w:val="0"/>
          <w:color w:val="333333"/>
          <w:spacing w:val="0"/>
          <w:sz w:val="32"/>
          <w:szCs w:val="32"/>
          <w:shd w:val="clear" w:color="auto" w:fill="FFFFFF"/>
        </w:rPr>
        <w:t>年重点工作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74"/>
        <w:jc w:val="both"/>
        <w:textAlignment w:val="auto"/>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1.坚持以民生保障为根本，防止辖区内百姓返贫致贫，</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持续</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巩固脱贫成效</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74"/>
        <w:jc w:val="both"/>
        <w:textAlignment w:val="auto"/>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2.坚持绿色发展为导向，促进人与自然和谐共生，</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加快发展特色产业。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74"/>
        <w:jc w:val="both"/>
        <w:textAlignment w:val="auto"/>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3.坚持以优化营商环境为重点，加快项目投资建设，</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做优做强镇域经济。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74"/>
        <w:jc w:val="both"/>
        <w:textAlignment w:val="auto"/>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4.坚持以提升治理能力为抓手，建设法治服务型政府，</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持续抓好基层治理。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74"/>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5、坚持以理论学习为方法，强化学习观念和学习意识，</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突出做好自身建设。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74"/>
        <w:jc w:val="both"/>
        <w:textAlignment w:val="auto"/>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6.坚持以人民群众对美好生活的向往为目标，下大力气解决群众“急难愁盼”的问题，</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认真办好民生实事。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leftChars="0" w:right="0" w:firstLine="674"/>
        <w:jc w:val="both"/>
        <w:textAlignment w:val="auto"/>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7.坚持以党风廉政建设为核心，把党的全面领导贯彻政府工作始终，</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全面加强党的建设。</w:t>
      </w:r>
    </w:p>
    <w:p>
      <w:pPr>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leftChars="0" w:right="0" w:firstLine="668"/>
        <w:jc w:val="both"/>
        <w:textAlignment w:val="auto"/>
        <w:outlineLvl w:val="0"/>
        <w:rPr>
          <w:rFonts w:hint="default" w:ascii="Times New Roman" w:hAnsi="Times New Roman" w:cs="Times New Roman"/>
          <w:i w:val="0"/>
          <w:caps w:val="0"/>
          <w:color w:val="333333"/>
          <w:spacing w:val="0"/>
          <w:sz w:val="32"/>
          <w:szCs w:val="32"/>
        </w:rPr>
      </w:pPr>
      <w:bookmarkStart w:id="2" w:name="_Toc16530"/>
      <w:r>
        <w:rPr>
          <w:rFonts w:hint="eastAsia" w:ascii="黑体" w:hAnsi="宋体" w:eastAsia="黑体" w:cs="黑体"/>
          <w:i w:val="0"/>
          <w:caps w:val="0"/>
          <w:color w:val="333333"/>
          <w:spacing w:val="0"/>
          <w:kern w:val="0"/>
          <w:sz w:val="32"/>
          <w:szCs w:val="32"/>
          <w:shd w:val="clear" w:color="auto" w:fill="FFFFFF"/>
          <w:lang w:val="en-US" w:eastAsia="zh-CN" w:bidi="ar"/>
        </w:rPr>
        <w:t>二、部门预算单位构成</w:t>
      </w:r>
      <w:bookmarkEnd w:id="2"/>
    </w:p>
    <w:p>
      <w:pPr>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leftChars="0" w:right="0" w:firstLine="668"/>
        <w:jc w:val="both"/>
        <w:textAlignment w:val="auto"/>
        <w:rPr>
          <w:rFonts w:hint="eastAsia"/>
          <w:lang w:val="en-US" w:eastAsia="zh-CN"/>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磨滩镇人民政府属一级预算单位，无下属二级预算单位。</w:t>
      </w:r>
    </w:p>
    <w:p>
      <w:pPr>
        <w:keepNext w:val="0"/>
        <w:keepLines w:val="0"/>
        <w:pageBreakBefore w:val="0"/>
        <w:widowControl/>
        <w:numPr>
          <w:ilvl w:val="0"/>
          <w:numId w:val="1"/>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leftChars="0" w:right="0" w:firstLine="669"/>
        <w:jc w:val="both"/>
        <w:textAlignment w:val="auto"/>
        <w:outlineLvl w:val="0"/>
        <w:rPr>
          <w:rFonts w:hint="eastAsia" w:ascii="黑体" w:hAnsi="宋体" w:eastAsia="黑体" w:cs="黑体"/>
          <w:i w:val="0"/>
          <w:caps w:val="0"/>
          <w:color w:val="333333"/>
          <w:spacing w:val="0"/>
          <w:kern w:val="0"/>
          <w:sz w:val="32"/>
          <w:szCs w:val="32"/>
          <w:shd w:val="clear" w:color="auto" w:fill="FFFFFF"/>
          <w:lang w:val="en-US" w:eastAsia="zh-CN" w:bidi="ar"/>
        </w:rPr>
      </w:pPr>
      <w:bookmarkStart w:id="3" w:name="_Toc9749"/>
      <w:r>
        <w:rPr>
          <w:rFonts w:hint="eastAsia" w:ascii="黑体" w:hAnsi="宋体" w:eastAsia="黑体" w:cs="黑体"/>
          <w:i w:val="0"/>
          <w:caps w:val="0"/>
          <w:color w:val="333333"/>
          <w:spacing w:val="0"/>
          <w:kern w:val="0"/>
          <w:sz w:val="32"/>
          <w:szCs w:val="32"/>
          <w:shd w:val="clear" w:color="auto" w:fill="FFFFFF"/>
          <w:lang w:val="en-US" w:eastAsia="zh-CN" w:bidi="ar"/>
        </w:rPr>
        <w:t>收支预算情况说明</w:t>
      </w:r>
      <w:bookmarkEnd w:id="3"/>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outlineLvl w:val="0"/>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按照综合预算的原则，磨滩镇人民政府所有收入和支出均纳入部门预算管理。收入包括：一般公共预算拨款收入、上年结转；支出包括：一般公共服务支出、教育支出、社会保障和就业支出、卫生健康支出、住房保障支出。磨滩镇人民政府2023年收支总预算1112.75万元，比2022年收支预算总数减少142.23万元，扣除上年结转资金、一次性安排等因素后，同口径减少142.23万元，主要原因是其它运转类项目整合，人员减少。</w:t>
      </w:r>
    </w:p>
    <w:p>
      <w:pPr>
        <w:keepNext w:val="0"/>
        <w:keepLines w:val="0"/>
        <w:pageBreakBefore w:val="0"/>
        <w:widowControl/>
        <w:numPr>
          <w:ilvl w:val="0"/>
          <w:numId w:val="2"/>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leftChars="0" w:right="0" w:firstLine="668"/>
        <w:jc w:val="both"/>
        <w:textAlignment w:val="auto"/>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收入预算情况</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磨滩镇人民政府2023年收入预算</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1112.75</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万元，其中：一般公共预算拨款收入</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1112.75</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万元，占</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100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w:t>
      </w:r>
    </w:p>
    <w:p>
      <w:pPr>
        <w:keepNext w:val="0"/>
        <w:keepLines w:val="0"/>
        <w:pageBreakBefore w:val="0"/>
        <w:widowControl/>
        <w:numPr>
          <w:ilvl w:val="0"/>
          <w:numId w:val="2"/>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leftChars="0" w:right="0" w:rightChars="0" w:firstLine="668" w:firstLineChars="0"/>
        <w:jc w:val="both"/>
        <w:textAlignment w:val="auto"/>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支出预算情况</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磨滩镇人民政府2023年支出预算1112.75万元，其中：基本支出732.09万元，占65.79%；项目支出380.66万元，占34.21%。</w:t>
      </w:r>
      <w:bookmarkStart w:id="4" w:name="_Toc22864"/>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rPr>
          <w:rFonts w:hint="eastAsia"/>
          <w:lang w:val="en-US" w:eastAsia="zh-CN"/>
        </w:rPr>
      </w:pPr>
      <w:r>
        <w:rPr>
          <w:rFonts w:hint="eastAsia" w:ascii="黑体" w:hAnsi="宋体" w:eastAsia="黑体" w:cs="黑体"/>
          <w:i w:val="0"/>
          <w:caps w:val="0"/>
          <w:color w:val="333333"/>
          <w:spacing w:val="0"/>
          <w:kern w:val="0"/>
          <w:sz w:val="32"/>
          <w:szCs w:val="32"/>
          <w:shd w:val="clear" w:color="auto" w:fill="FFFFFF"/>
          <w:lang w:val="en-US" w:eastAsia="zh-CN" w:bidi="ar"/>
        </w:rPr>
        <w:t>四、财政拨款收支预算情况说明</w:t>
      </w:r>
      <w:bookmarkEnd w:id="4"/>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磨滩镇人民政府2023年财政拨款收支总预算1112.75万元，比2022年财政拨款收支总预算减少142.23万元，扣除上年结转资金、一次性安排等因素后，同口径减少142.23万元，主要原因是其它运转类项目整合，人员减少。</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1112.75万元；支出包括：一般公共服务支出583.92万元、社会保障和就业支出107.16万元、卫生健康支出27.59万元、城乡社区支出2万元、农林水支出341.72万元、住房保障支出50.37万元。</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黑体" w:hAnsi="宋体" w:eastAsia="黑体" w:cs="黑体"/>
          <w:i w:val="0"/>
          <w:caps w:val="0"/>
          <w:color w:val="333333"/>
          <w:spacing w:val="0"/>
          <w:kern w:val="0"/>
          <w:sz w:val="32"/>
          <w:szCs w:val="32"/>
          <w:shd w:val="clear" w:color="auto" w:fill="FFFFFF"/>
          <w:lang w:val="en-US" w:eastAsia="zh-CN" w:bidi="ar"/>
        </w:rPr>
      </w:pPr>
      <w:bookmarkStart w:id="5" w:name="_Toc11972"/>
      <w:r>
        <w:rPr>
          <w:rFonts w:hint="eastAsia" w:ascii="黑体" w:hAnsi="宋体" w:eastAsia="黑体" w:cs="黑体"/>
          <w:i w:val="0"/>
          <w:caps w:val="0"/>
          <w:color w:val="333333"/>
          <w:spacing w:val="0"/>
          <w:kern w:val="0"/>
          <w:sz w:val="32"/>
          <w:szCs w:val="32"/>
          <w:shd w:val="clear" w:color="auto" w:fill="FFFFFF"/>
          <w:lang w:val="en-US" w:eastAsia="zh-CN" w:bidi="ar"/>
        </w:rPr>
        <w:t>五、一般公共预算当年拨款情况说明</w:t>
      </w:r>
      <w:bookmarkEnd w:id="5"/>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3" w:firstLineChars="200"/>
        <w:jc w:val="both"/>
        <w:textAlignment w:val="auto"/>
        <w:rPr>
          <w:rFonts w:hint="default" w:ascii="Times New Roman" w:hAnsi="Times New Roman" w:cs="Times New Roman"/>
          <w:i w:val="0"/>
          <w:caps w:val="0"/>
          <w:color w:val="333333"/>
          <w:spacing w:val="0"/>
          <w:sz w:val="32"/>
          <w:szCs w:val="32"/>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（一）一般公共预算当年拨款规模变化情况</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磨滩镇人民政府2023年一般公共预算当年拨款</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1112.75</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万元，比2022年预算数减少142.23万元，主要原因是其它运转类项目整合，人员减少。</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3" w:firstLineChars="200"/>
        <w:jc w:val="both"/>
        <w:textAlignment w:val="auto"/>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（二）一般公共预算当年拨款结构情况</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一般公共服务支出</w:t>
      </w:r>
      <w:r>
        <w:rPr>
          <w:rFonts w:hint="eastAsia" w:ascii="Times New Roman" w:hAnsi="Times New Roman" w:cs="Times New Roman"/>
          <w:i w:val="0"/>
          <w:caps w:val="0"/>
          <w:color w:val="333333"/>
          <w:spacing w:val="0"/>
          <w:kern w:val="0"/>
          <w:sz w:val="32"/>
          <w:szCs w:val="32"/>
          <w:shd w:val="clear" w:color="auto" w:fill="FFFFFF"/>
          <w:lang w:val="en-US" w:eastAsia="zh-CN" w:bidi="ar"/>
        </w:rPr>
        <w:t>583.92</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万元，占</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52.48</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%；社会保障和就业支出</w:t>
      </w:r>
      <w:r>
        <w:rPr>
          <w:rFonts w:hint="eastAsia" w:ascii="Times New Roman" w:hAnsi="Times New Roman" w:cs="Times New Roman"/>
          <w:i w:val="0"/>
          <w:caps w:val="0"/>
          <w:color w:val="333333"/>
          <w:spacing w:val="0"/>
          <w:kern w:val="0"/>
          <w:sz w:val="32"/>
          <w:szCs w:val="32"/>
          <w:shd w:val="clear" w:color="auto" w:fill="FFFFFF"/>
          <w:lang w:val="en-US" w:eastAsia="zh-CN" w:bidi="ar"/>
        </w:rPr>
        <w:t>107.16</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万元，占9.63%；卫生健康支出</w:t>
      </w:r>
      <w:r>
        <w:rPr>
          <w:rFonts w:hint="eastAsia" w:ascii="Times New Roman" w:hAnsi="Times New Roman" w:cs="Times New Roman"/>
          <w:i w:val="0"/>
          <w:caps w:val="0"/>
          <w:color w:val="333333"/>
          <w:spacing w:val="0"/>
          <w:kern w:val="0"/>
          <w:sz w:val="32"/>
          <w:szCs w:val="32"/>
          <w:shd w:val="clear" w:color="auto" w:fill="FFFFFF"/>
          <w:lang w:val="en-US" w:eastAsia="zh-CN" w:bidi="ar"/>
        </w:rPr>
        <w:t>27.59</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万元，占2.48%；城乡社区支出2万元，占0.18%；农林水支出341.72万元，占30.71%；住房保障支出</w:t>
      </w:r>
      <w:r>
        <w:rPr>
          <w:rFonts w:hint="eastAsia" w:ascii="Times New Roman" w:hAnsi="Times New Roman" w:cs="Times New Roman"/>
          <w:i w:val="0"/>
          <w:caps w:val="0"/>
          <w:color w:val="333333"/>
          <w:spacing w:val="0"/>
          <w:kern w:val="0"/>
          <w:sz w:val="32"/>
          <w:szCs w:val="32"/>
          <w:shd w:val="clear" w:color="auto" w:fill="FFFFFF"/>
          <w:lang w:val="en-US" w:eastAsia="zh-CN" w:bidi="ar"/>
        </w:rPr>
        <w:t>50.37</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万元，占4.53%。</w:t>
      </w:r>
    </w:p>
    <w:p>
      <w:pPr>
        <w:keepNext w:val="0"/>
        <w:keepLines w:val="0"/>
        <w:pageBreakBefore w:val="0"/>
        <w:widowControl/>
        <w:numPr>
          <w:ilvl w:val="0"/>
          <w:numId w:val="2"/>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leftChars="0" w:right="0" w:rightChars="0" w:firstLine="668" w:firstLineChars="0"/>
        <w:jc w:val="both"/>
        <w:textAlignment w:val="auto"/>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一般公共预算当年拨款具体使用情况</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1.一般公共服务（类）人大事务（款）代表工作（项）2023年预算数为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1.44</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万元，主要用于：保障代表工作正常运行的基本支出。</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2.一般公共服务（类）人大事务（款）其他人大事务支出（项）2023年预算数为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4.50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xml:space="preserve">万元，主要用于：开展人大事务管理工作的日常支出，人大代表之家阵地建设的支出。  </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3.一般公共服务（类）政府办公厅（室）及相关机构事务（款）行政运行（项）2023年预算数为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577.98</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万元，主要用于：</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保障机构正常运行、开展日常工作的基本支出</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4.社会保障和就业（类）行政事业单位养老支出（款）行政单位离退休（项）2023年预算数为40万元，主要用于：机关及参公管理事业单位离退休人员经费支出。</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5.社会保障和就业（类）行政事业单位养老支出（款）机关事业单位基本养老保险缴费支出（项）2023年预算数为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67.16</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万元，主要用于：</w:t>
      </w:r>
      <w:r>
        <w:rPr>
          <w:rFonts w:hint="default" w:ascii="仿宋_GB2312" w:hAnsi="微软雅黑" w:eastAsia="仿宋_GB2312" w:cs="仿宋_GB2312"/>
          <w:color w:val="auto"/>
          <w:sz w:val="32"/>
          <w:szCs w:val="32"/>
        </w:rPr>
        <w:t>实施养老保险制度后，部门按规定由单位缴纳的基本养老保险费的支出</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6.卫生健康（类）行政事业单位医疗（款）行政单位医疗（项）2023年预算数为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27.59</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万元，主要用于：单位按规定由单位缴纳的基本医疗保险支出。</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7.城乡社区支出（类）城乡社区环境卫生（款）城乡社区环境卫生（项）2023年预算数为2万元，主要用于：道路清扫、垃圾清运与处理、公厕建设与维护、园林绿化等方面的支出。</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8.农林水支出（类）农业农村（款）行政运行（项）2023年预算数为10万元，主要用于：打造一个现代农业园区，推动我镇现代农业稳步向前发展的支出。</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9.农林水支出（类）巩固脱贫攻坚成果衔接乡村振兴（款）其他巩固脱贫攻坚成果衔接乡村振兴支出（项）2023年预算数为72.32万元，主要用于：巩固拓展脱贫攻坚成果同乡村振兴有效衔接方面的支出。</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10.农林水支出（类）农村综合改革（款）对村民委员会和村党支部的补助（项）2023年预算数为259.40万元，主要用于：对村民委员会和村党支部的补助支出。</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11.住房保障（类）住房改革支出（款）住房公积金（项）2023年预算数为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50.37</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万元，主要用于：部门按规定为职工缴纳的住房公积金支出。</w:t>
      </w:r>
      <w:bookmarkStart w:id="6" w:name="_Toc20907"/>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黑体" w:hAnsi="宋体" w:eastAsia="黑体" w:cs="黑体"/>
          <w:i w:val="0"/>
          <w:caps w:val="0"/>
          <w:color w:val="333333"/>
          <w:spacing w:val="0"/>
          <w:kern w:val="0"/>
          <w:sz w:val="32"/>
          <w:szCs w:val="32"/>
          <w:shd w:val="clear" w:color="auto" w:fill="FFFFFF"/>
          <w:lang w:val="en-US" w:eastAsia="zh-CN" w:bidi="ar"/>
        </w:rPr>
      </w:pPr>
      <w:r>
        <w:rPr>
          <w:rFonts w:hint="eastAsia" w:ascii="黑体" w:hAnsi="宋体" w:eastAsia="黑体" w:cs="黑体"/>
          <w:i w:val="0"/>
          <w:caps w:val="0"/>
          <w:color w:val="333333"/>
          <w:spacing w:val="0"/>
          <w:kern w:val="0"/>
          <w:sz w:val="32"/>
          <w:szCs w:val="32"/>
          <w:shd w:val="clear" w:color="auto" w:fill="FFFFFF"/>
          <w:lang w:val="en-US" w:eastAsia="zh-CN" w:bidi="ar"/>
        </w:rPr>
        <w:t>六、一般公共预算基本支出情况说明</w:t>
      </w:r>
      <w:bookmarkEnd w:id="6"/>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磨滩镇人民政府2023年一般公共预算基本支出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732.09</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万元，其中：人员经费</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630.89</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万元，主要包括：基本工资、津贴补贴、奖金、社会保险缴费、离休费、住房公积金等支出。</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公用经费</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101.20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万元，主要包括：办公费、印刷费、水费、电费、邮电费、差旅费、租赁费、公务接待费、其他交通费用等支出。</w:t>
      </w:r>
      <w:bookmarkStart w:id="7" w:name="_Toc27935"/>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黑体" w:hAnsi="宋体" w:eastAsia="黑体" w:cs="黑体"/>
          <w:i w:val="0"/>
          <w:caps w:val="0"/>
          <w:color w:val="333333"/>
          <w:spacing w:val="0"/>
          <w:kern w:val="0"/>
          <w:sz w:val="32"/>
          <w:szCs w:val="32"/>
          <w:shd w:val="clear" w:color="auto" w:fill="FFFFFF"/>
          <w:lang w:val="en-US" w:eastAsia="zh-CN" w:bidi="ar"/>
        </w:rPr>
      </w:pPr>
      <w:r>
        <w:rPr>
          <w:rFonts w:hint="eastAsia" w:ascii="黑体" w:hAnsi="宋体" w:eastAsia="黑体" w:cs="黑体"/>
          <w:i w:val="0"/>
          <w:caps w:val="0"/>
          <w:color w:val="333333"/>
          <w:spacing w:val="0"/>
          <w:kern w:val="0"/>
          <w:sz w:val="32"/>
          <w:szCs w:val="32"/>
          <w:shd w:val="clear" w:color="auto" w:fill="FFFFFF"/>
          <w:lang w:val="en-US" w:eastAsia="zh-CN" w:bidi="ar"/>
        </w:rPr>
        <w:t>七、“三公”经费财政拨款预算安排情况说明</w:t>
      </w:r>
      <w:bookmarkEnd w:id="7"/>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磨滩镇人民政府2023年“三公”经费财政拨款预算数</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7.2</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万元，其中：公务接待费</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7.2</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万元，公务用车购置及运行维护费</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万元，因公出国（境）经费</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w:t>
      </w:r>
    </w:p>
    <w:p>
      <w:pPr>
        <w:keepNext w:val="0"/>
        <w:keepLines w:val="0"/>
        <w:pageBreakBefore w:val="0"/>
        <w:widowControl/>
        <w:numPr>
          <w:ilvl w:val="0"/>
          <w:numId w:val="3"/>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3" w:firstLineChars="200"/>
        <w:jc w:val="both"/>
        <w:textAlignment w:val="auto"/>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公务接待费与2022年预算持平。</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2023年公务接待费计划用于执行接待考察调研、检查指导等公务活动开支的交通费、住宿费、用餐费等。</w:t>
      </w:r>
    </w:p>
    <w:p>
      <w:pPr>
        <w:keepNext w:val="0"/>
        <w:keepLines w:val="0"/>
        <w:pageBreakBefore w:val="0"/>
        <w:widowControl/>
        <w:numPr>
          <w:ilvl w:val="0"/>
          <w:numId w:val="3"/>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leftChars="0" w:right="0" w:rightChars="0" w:firstLine="643" w:firstLineChars="200"/>
        <w:jc w:val="both"/>
        <w:textAlignment w:val="auto"/>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公务用车购置及运行维护费与2022年预算持平。</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单位现有公务用车</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辆，其中：轿车</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辆，旅行车（含商务车）</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辆，越野车</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xml:space="preserve">辆。 </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2023年安排公务用车运行维护费</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万元，用于</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辆公务用车燃油、过路（桥）、维修、保险等方面支出。</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rightChars="0" w:firstLine="643" w:firstLineChars="200"/>
        <w:jc w:val="both"/>
        <w:textAlignment w:val="auto"/>
        <w:rPr>
          <w:rFonts w:hint="eastAsia" w:ascii="黑体" w:hAnsi="宋体" w:eastAsia="黑体" w:cs="黑体"/>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b/>
          <w:bCs/>
          <w:i w:val="0"/>
          <w:caps w:val="0"/>
          <w:color w:val="333333"/>
          <w:spacing w:val="0"/>
          <w:kern w:val="0"/>
          <w:sz w:val="32"/>
          <w:szCs w:val="32"/>
          <w:shd w:val="clear" w:color="auto" w:fill="FFFFFF"/>
          <w:lang w:val="en-US" w:eastAsia="zh-CN" w:bidi="ar"/>
        </w:rPr>
        <w:t>（三）因公出国（境）经费</w:t>
      </w:r>
      <w:r>
        <w:rPr>
          <w:rFonts w:hint="eastAsia" w:ascii="楷体_GB2312" w:hAnsi="Times New Roman" w:eastAsia="楷体_GB2312" w:cs="楷体_GB2312"/>
          <w:b/>
          <w:bCs/>
          <w:i w:val="0"/>
          <w:caps w:val="0"/>
          <w:color w:val="333333"/>
          <w:spacing w:val="0"/>
          <w:kern w:val="0"/>
          <w:sz w:val="32"/>
          <w:szCs w:val="32"/>
          <w:shd w:val="clear" w:color="auto" w:fill="FFFFFF"/>
          <w:lang w:val="en-US" w:eastAsia="zh-CN" w:bidi="ar"/>
        </w:rPr>
        <w:t>与2022年预算</w:t>
      </w: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持平</w:t>
      </w:r>
      <w:r>
        <w:rPr>
          <w:rFonts w:hint="eastAsia" w:ascii="楷体_GB2312" w:hAnsi="Times New Roman" w:eastAsia="楷体_GB2312" w:cs="楷体_GB2312"/>
          <w:b/>
          <w:bCs/>
          <w:i w:val="0"/>
          <w:caps w:val="0"/>
          <w:color w:val="333333"/>
          <w:spacing w:val="0"/>
          <w:kern w:val="0"/>
          <w:sz w:val="32"/>
          <w:szCs w:val="32"/>
          <w:shd w:val="clear" w:color="auto" w:fill="FFFFFF"/>
          <w:lang w:val="en-US" w:eastAsia="zh-CN" w:bidi="ar"/>
        </w:rPr>
        <w:t>。</w:t>
      </w:r>
      <w:bookmarkStart w:id="8" w:name="_Toc1146"/>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rPr>
          <w:rFonts w:hint="eastAsia" w:ascii="黑体" w:hAnsi="宋体" w:eastAsia="黑体" w:cs="黑体"/>
          <w:i w:val="0"/>
          <w:caps w:val="0"/>
          <w:color w:val="333333"/>
          <w:spacing w:val="0"/>
          <w:kern w:val="0"/>
          <w:sz w:val="32"/>
          <w:szCs w:val="32"/>
          <w:shd w:val="clear" w:color="auto" w:fill="FFFFFF"/>
          <w:lang w:val="en-US" w:eastAsia="zh-CN" w:bidi="ar"/>
        </w:rPr>
      </w:pPr>
      <w:r>
        <w:rPr>
          <w:rFonts w:hint="eastAsia" w:ascii="黑体" w:hAnsi="宋体" w:eastAsia="黑体" w:cs="黑体"/>
          <w:i w:val="0"/>
          <w:caps w:val="0"/>
          <w:color w:val="333333"/>
          <w:spacing w:val="0"/>
          <w:kern w:val="0"/>
          <w:sz w:val="32"/>
          <w:szCs w:val="32"/>
          <w:shd w:val="clear" w:color="auto" w:fill="FFFFFF"/>
          <w:lang w:val="en-US" w:eastAsia="zh-CN" w:bidi="ar"/>
        </w:rPr>
        <w:t>八、政府性基金预算支出情况说明</w:t>
      </w:r>
      <w:bookmarkEnd w:id="8"/>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磨滩镇人民政府2023年没有使用政府性基金预算拨款安排的支出。</w:t>
      </w:r>
      <w:bookmarkStart w:id="9" w:name="_Toc24239"/>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rPr>
          <w:rFonts w:hint="eastAsia" w:ascii="黑体" w:hAnsi="宋体" w:eastAsia="黑体" w:cs="黑体"/>
          <w:i w:val="0"/>
          <w:caps w:val="0"/>
          <w:color w:val="333333"/>
          <w:spacing w:val="0"/>
          <w:kern w:val="0"/>
          <w:sz w:val="32"/>
          <w:szCs w:val="32"/>
          <w:shd w:val="clear" w:color="auto" w:fill="FFFFFF"/>
          <w:lang w:val="en-US" w:eastAsia="zh-CN" w:bidi="ar"/>
        </w:rPr>
      </w:pPr>
      <w:r>
        <w:rPr>
          <w:rFonts w:hint="eastAsia" w:ascii="黑体" w:hAnsi="宋体" w:eastAsia="黑体" w:cs="黑体"/>
          <w:i w:val="0"/>
          <w:caps w:val="0"/>
          <w:color w:val="333333"/>
          <w:spacing w:val="0"/>
          <w:kern w:val="0"/>
          <w:sz w:val="32"/>
          <w:szCs w:val="32"/>
          <w:shd w:val="clear" w:color="auto" w:fill="FFFFFF"/>
          <w:lang w:val="en-US" w:eastAsia="zh-CN" w:bidi="ar"/>
        </w:rPr>
        <w:t>九、国有资本经营预算支出情况说明</w:t>
      </w:r>
      <w:bookmarkEnd w:id="9"/>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磨滩镇人民政府2023年没有使用国有资本经营预算拨款安排的支出。</w:t>
      </w:r>
      <w:bookmarkStart w:id="10" w:name="_Toc5870"/>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rPr>
          <w:rFonts w:hint="eastAsia" w:ascii="黑体" w:hAnsi="宋体" w:eastAsia="黑体" w:cs="黑体"/>
          <w:i w:val="0"/>
          <w:caps w:val="0"/>
          <w:color w:val="333333"/>
          <w:spacing w:val="0"/>
          <w:kern w:val="0"/>
          <w:sz w:val="32"/>
          <w:szCs w:val="32"/>
          <w:shd w:val="clear" w:color="auto" w:fill="FFFFFF"/>
          <w:lang w:val="en-US" w:eastAsia="zh-CN" w:bidi="ar"/>
        </w:rPr>
      </w:pPr>
      <w:r>
        <w:rPr>
          <w:rFonts w:hint="eastAsia" w:ascii="黑体" w:hAnsi="宋体" w:eastAsia="黑体" w:cs="黑体"/>
          <w:i w:val="0"/>
          <w:caps w:val="0"/>
          <w:color w:val="333333"/>
          <w:spacing w:val="0"/>
          <w:kern w:val="0"/>
          <w:sz w:val="32"/>
          <w:szCs w:val="32"/>
          <w:shd w:val="clear" w:color="auto" w:fill="FFFFFF"/>
          <w:lang w:val="en-US" w:eastAsia="zh-CN" w:bidi="ar"/>
        </w:rPr>
        <w:t>十、其他重要事项的情况说明</w:t>
      </w:r>
      <w:bookmarkEnd w:id="10"/>
    </w:p>
    <w:p>
      <w:pPr>
        <w:keepNext w:val="0"/>
        <w:keepLines w:val="0"/>
        <w:pageBreakBefore w:val="0"/>
        <w:widowControl/>
        <w:numPr>
          <w:ilvl w:val="0"/>
          <w:numId w:val="4"/>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rightChars="0" w:firstLine="643" w:firstLineChars="200"/>
        <w:jc w:val="both"/>
        <w:textAlignment w:val="auto"/>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机关运行经费</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2023年，磨滩镇人民政府下属等</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家0单位的机关运行经费财政拨款预算为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万元，比2022年预算增加（减少）0万元，上升（下降）</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w:t>
      </w:r>
    </w:p>
    <w:p>
      <w:pPr>
        <w:keepNext w:val="0"/>
        <w:keepLines w:val="0"/>
        <w:pageBreakBefore w:val="0"/>
        <w:widowControl/>
        <w:numPr>
          <w:ilvl w:val="0"/>
          <w:numId w:val="4"/>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leftChars="0" w:right="0" w:rightChars="0" w:firstLine="643" w:firstLineChars="200"/>
        <w:jc w:val="both"/>
        <w:textAlignment w:val="auto"/>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政府采购情况</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2023年，磨滩镇人民政府安排政府采购预算</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w:t>
      </w:r>
    </w:p>
    <w:p>
      <w:pPr>
        <w:keepNext w:val="0"/>
        <w:keepLines w:val="0"/>
        <w:pageBreakBefore w:val="0"/>
        <w:widowControl/>
        <w:numPr>
          <w:ilvl w:val="0"/>
          <w:numId w:val="4"/>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leftChars="0" w:right="0" w:rightChars="0" w:firstLine="643" w:firstLineChars="200"/>
        <w:jc w:val="both"/>
        <w:textAlignment w:val="auto"/>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国有资产占有使用情况</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截至2022年底，单位无车辆。无单位价值200万元以上大型设备。</w:t>
      </w:r>
    </w:p>
    <w:p>
      <w:pPr>
        <w:keepNext w:val="0"/>
        <w:keepLines w:val="0"/>
        <w:pageBreakBefore w:val="0"/>
        <w:widowControl/>
        <w:numPr>
          <w:ilvl w:val="0"/>
          <w:numId w:val="4"/>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leftChars="0" w:right="0" w:rightChars="0" w:firstLine="643" w:firstLineChars="200"/>
        <w:jc w:val="both"/>
        <w:textAlignment w:val="auto"/>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绩效目标设置情况</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绩效目标是预算编制的前提和基础，2023年磨滩镇人民政府部门预算项目均按要求编制了绩效目标，从项目完成、项目效益、满意度等方面设置了绩效指标，综合反映项目预期完成的数量、成本、时效、质量，预期达到的社会效益、经济效益、生态效益、可持续影响以及服务对象满意度等情况。</w:t>
      </w:r>
      <w:bookmarkStart w:id="11" w:name="_Toc25224"/>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黑体" w:hAnsi="宋体" w:eastAsia="黑体" w:cs="黑体"/>
          <w:i w:val="0"/>
          <w:caps w:val="0"/>
          <w:color w:val="333333"/>
          <w:spacing w:val="0"/>
          <w:kern w:val="0"/>
          <w:sz w:val="32"/>
          <w:szCs w:val="32"/>
          <w:shd w:val="clear" w:color="auto" w:fill="FFFFFF"/>
          <w:lang w:val="en-US" w:eastAsia="zh-CN" w:bidi="ar"/>
        </w:rPr>
      </w:pPr>
      <w:r>
        <w:rPr>
          <w:rFonts w:hint="eastAsia" w:ascii="黑体" w:hAnsi="宋体" w:eastAsia="黑体" w:cs="黑体"/>
          <w:i w:val="0"/>
          <w:caps w:val="0"/>
          <w:color w:val="333333"/>
          <w:spacing w:val="0"/>
          <w:kern w:val="0"/>
          <w:sz w:val="32"/>
          <w:szCs w:val="32"/>
          <w:shd w:val="clear" w:color="auto" w:fill="FFFFFF"/>
          <w:lang w:val="en-US" w:eastAsia="zh-CN" w:bidi="ar"/>
        </w:rPr>
        <w:t>十一、名词解释</w:t>
      </w:r>
      <w:bookmarkEnd w:id="11"/>
    </w:p>
    <w:p>
      <w:pPr>
        <w:keepNext w:val="0"/>
        <w:keepLines w:val="0"/>
        <w:pageBreakBefore w:val="0"/>
        <w:widowControl/>
        <w:numPr>
          <w:ilvl w:val="0"/>
          <w:numId w:val="5"/>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仿宋_GB2312" w:hAnsi="微软雅黑" w:eastAsia="仿宋_GB2312" w:cs="仿宋_GB2312"/>
          <w:color w:val="auto"/>
          <w:sz w:val="32"/>
          <w:szCs w:val="32"/>
          <w:highlight w:val="none"/>
          <w:lang w:val="en-US" w:eastAsia="zh-CN"/>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一般公共预算拨款收入：指省级财政当年拨付的资金。</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（二）上年结转：指以前年度尚未完成，结转到本年仍按原规定用途继续使用的资金。</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（三）一般公共服务（类）人大事务（款）代表工作（项）：指用于保障代表工作正常运行的基本支出。</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（四）一般公共服务（类）人大事务（款）其他人大事务支出（项）：指机关单位开展人大事务管理工作的日常支出。</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（五）一般公共服务（类）政府办公厅（室）及相关机构事务（款）行政运行（项）：指</w:t>
      </w:r>
      <w:r>
        <w:rPr>
          <w:rFonts w:hint="default" w:ascii="仿宋_GB2312" w:hAnsi="微软雅黑" w:eastAsia="仿宋_GB2312" w:cs="仿宋_GB2312"/>
          <w:color w:val="auto"/>
          <w:sz w:val="32"/>
          <w:szCs w:val="32"/>
          <w:highlight w:val="none"/>
          <w:lang w:val="en-US" w:eastAsia="zh-CN"/>
        </w:rPr>
        <w:t>用于保障机构正常运行、开展日常工作的基本支出</w:t>
      </w:r>
      <w:r>
        <w:rPr>
          <w:rFonts w:hint="eastAsia" w:ascii="仿宋_GB2312" w:hAnsi="微软雅黑" w:eastAsia="仿宋_GB2312" w:cs="仿宋_GB2312"/>
          <w:color w:val="auto"/>
          <w:sz w:val="32"/>
          <w:szCs w:val="32"/>
          <w:highlight w:val="none"/>
          <w:lang w:val="en-US" w:eastAsia="zh-CN"/>
        </w:rPr>
        <w:t>。</w:t>
      </w:r>
    </w:p>
    <w:p>
      <w:pPr>
        <w:keepNext w:val="0"/>
        <w:keepLines w:val="0"/>
        <w:pageBreakBefore w:val="0"/>
        <w:widowControl/>
        <w:numPr>
          <w:ilvl w:val="0"/>
          <w:numId w:val="4"/>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社会保障和就业（类）行政事业单位养老支出（款）行政单位离退休（项）：指行政及参公管理事业单位离退休人员的支出。</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（七）社会保障和就业（类）行政事业单位养老支出（款）机关事业单位基本养老保险缴费支出（项）：指部门实施养老保险制度由单位缴纳的养老保险的支出。</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（八）卫生健康（类）行政事业单位医疗（款）行政单位医疗（项）：指机关及参公管理事业单位用于单位应缴纳基本医疗保险支出。</w:t>
      </w:r>
    </w:p>
    <w:p>
      <w:pPr>
        <w:keepNext w:val="0"/>
        <w:keepLines w:val="0"/>
        <w:pageBreakBefore w:val="0"/>
        <w:widowControl/>
        <w:numPr>
          <w:ilvl w:val="0"/>
          <w:numId w:val="6"/>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城乡社区支出（类）城乡社区环境卫生（款）城乡社区环境卫生（项）：指用于城乡社区道路清扫、垃圾清运与处理、公厕建设与维护、园林绿化等方面的支出。</w:t>
      </w:r>
    </w:p>
    <w:p>
      <w:pPr>
        <w:keepNext w:val="0"/>
        <w:keepLines w:val="0"/>
        <w:pageBreakBefore w:val="0"/>
        <w:widowControl/>
        <w:numPr>
          <w:ilvl w:val="0"/>
          <w:numId w:val="6"/>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农林水支出（类）农业农村（款）农村道路建设（项）：指用于农村公路、乡村道路建设方面的支出。</w:t>
      </w:r>
    </w:p>
    <w:p>
      <w:pPr>
        <w:keepNext w:val="0"/>
        <w:keepLines w:val="0"/>
        <w:pageBreakBefore w:val="0"/>
        <w:widowControl/>
        <w:numPr>
          <w:ilvl w:val="0"/>
          <w:numId w:val="6"/>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农林水支出（类）巩固脱贫攻坚成果衔接乡村振兴（款）其他巩固脱贫攻坚成果衔接乡村振兴支出（项）：指用于巩固拓展脱贫攻坚成果同乡村振兴有效衔接方面的支出。</w:t>
      </w:r>
    </w:p>
    <w:p>
      <w:pPr>
        <w:keepNext w:val="0"/>
        <w:keepLines w:val="0"/>
        <w:pageBreakBefore w:val="0"/>
        <w:widowControl/>
        <w:numPr>
          <w:ilvl w:val="0"/>
          <w:numId w:val="6"/>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农林水支出（类）农村综合改革（款）对村民委员会和村党支部的补助（项）：指对村民委员会和村党支部的补助支出，以及建立县级基本财力保障机制安排的村级组织运转奖补资金。</w:t>
      </w:r>
    </w:p>
    <w:p>
      <w:pPr>
        <w:keepNext w:val="0"/>
        <w:keepLines w:val="0"/>
        <w:pageBreakBefore w:val="0"/>
        <w:widowControl/>
        <w:numPr>
          <w:ilvl w:val="0"/>
          <w:numId w:val="6"/>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住房保障（类）住房改革支出（款）住房公积金（项）：指按照《住房公积金管理条例》的规定，由单位及其在职职工缴存的长期住房储金。</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（十四）基本支出：指为保证机构正常运转，完成日常工作任务而发生的人员支出和公用支出。</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（十五）项目支出：指在基本支出之外为完成特定行政任务和事业发展目标所发生的支出。</w:t>
      </w:r>
    </w:p>
    <w:p>
      <w:pPr>
        <w:keepNext w:val="0"/>
        <w:keepLines w:val="0"/>
        <w:pageBreakBefore w:val="0"/>
        <w:widowControl/>
        <w:numPr>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rightChars="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十六）“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十七）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pStyle w:val="8"/>
        <w:keepNext w:val="0"/>
        <w:keepLines w:val="0"/>
        <w:pageBreakBefore w:val="0"/>
        <w:widowControl w:val="0"/>
        <w:kinsoku/>
        <w:wordWrap/>
        <w:overflowPunct/>
        <w:topLinePunct w:val="0"/>
        <w:autoSpaceDE/>
        <w:autoSpaceDN/>
        <w:bidi w:val="0"/>
        <w:adjustRightInd/>
        <w:snapToGrid/>
        <w:spacing w:after="0" w:line="576"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附件1：部门预算公开报表</w:t>
      </w:r>
    </w:p>
    <w:p>
      <w:pPr>
        <w:pStyle w:val="8"/>
        <w:keepNext w:val="0"/>
        <w:keepLines w:val="0"/>
        <w:pageBreakBefore w:val="0"/>
        <w:widowControl w:val="0"/>
        <w:kinsoku/>
        <w:wordWrap/>
        <w:overflowPunct/>
        <w:topLinePunct w:val="0"/>
        <w:autoSpaceDE/>
        <w:autoSpaceDN/>
        <w:bidi w:val="0"/>
        <w:adjustRightInd/>
        <w:snapToGrid/>
        <w:spacing w:after="0" w:line="576"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附件2：部门预算项目绩效目标批复表</w:t>
      </w:r>
    </w:p>
    <w:p>
      <w:pPr>
        <w:pStyle w:val="8"/>
        <w:keepNext w:val="0"/>
        <w:keepLines w:val="0"/>
        <w:pageBreakBefore w:val="0"/>
        <w:widowControl w:val="0"/>
        <w:kinsoku/>
        <w:wordWrap/>
        <w:overflowPunct/>
        <w:topLinePunct w:val="0"/>
        <w:autoSpaceDE/>
        <w:autoSpaceDN/>
        <w:bidi w:val="0"/>
        <w:adjustRightInd/>
        <w:snapToGrid/>
        <w:spacing w:after="0" w:line="576"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附件3：部门整体目标批复表</w:t>
      </w:r>
    </w:p>
    <w:p>
      <w:pPr>
        <w:pStyle w:val="8"/>
        <w:keepNext w:val="0"/>
        <w:keepLines w:val="0"/>
        <w:pageBreakBefore w:val="0"/>
        <w:kinsoku/>
        <w:wordWrap/>
        <w:overflowPunct/>
        <w:topLinePunct w:val="0"/>
        <w:autoSpaceDE/>
        <w:autoSpaceDN/>
        <w:bidi w:val="0"/>
        <w:adjustRightInd/>
        <w:snapToGrid/>
        <w:spacing w:line="576" w:lineRule="exact"/>
        <w:ind w:left="0" w:leftChars="0"/>
        <w:textAlignment w:val="auto"/>
        <w:rPr>
          <w:rFonts w:hint="default"/>
        </w:rPr>
      </w:pPr>
      <w:bookmarkStart w:id="12" w:name="_GoBack"/>
      <w:bookmarkEnd w:id="12"/>
    </w:p>
    <w:p>
      <w:pPr>
        <w:keepNext w:val="0"/>
        <w:keepLines w:val="0"/>
        <w:pageBreakBefore w:val="0"/>
        <w:kinsoku/>
        <w:wordWrap/>
        <w:overflowPunct/>
        <w:topLinePunct w:val="0"/>
        <w:autoSpaceDE/>
        <w:autoSpaceDN/>
        <w:bidi w:val="0"/>
        <w:adjustRightInd/>
        <w:snapToGrid/>
        <w:spacing w:line="576" w:lineRule="exact"/>
        <w:ind w:left="0" w:leftChars="0"/>
        <w:textAlignment w:val="auto"/>
      </w:pPr>
    </w:p>
    <w:sectPr>
      <w:footerReference r:id="rId3" w:type="default"/>
      <w:pgSz w:w="11906" w:h="16838"/>
      <w:pgMar w:top="2098" w:right="1474" w:bottom="1984" w:left="1587" w:header="851" w:footer="1474" w:gutter="0"/>
      <w:pgNumType w:fmt="decimal"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3</w:t>
                          </w:r>
                          <w:r>
                            <w:rPr>
                              <w:sz w:val="28"/>
                              <w:szCs w:val="44"/>
                            </w:rPr>
                            <w:fldChar w:fldCharType="end"/>
                          </w:r>
                          <w:r>
                            <w:rPr>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3</w:t>
                    </w:r>
                    <w:r>
                      <w:rPr>
                        <w:sz w:val="28"/>
                        <w:szCs w:val="44"/>
                      </w:rPr>
                      <w:fldChar w:fldCharType="end"/>
                    </w:r>
                    <w:r>
                      <w:rPr>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696DA"/>
    <w:multiLevelType w:val="singleLevel"/>
    <w:tmpl w:val="831696DA"/>
    <w:lvl w:ilvl="0" w:tentative="0">
      <w:start w:val="1"/>
      <w:numFmt w:val="chineseCounting"/>
      <w:suff w:val="nothing"/>
      <w:lvlText w:val="（%1）"/>
      <w:lvlJc w:val="left"/>
      <w:rPr>
        <w:rFonts w:hint="eastAsia"/>
      </w:rPr>
    </w:lvl>
  </w:abstractNum>
  <w:abstractNum w:abstractNumId="1">
    <w:nsid w:val="BC3FF052"/>
    <w:multiLevelType w:val="singleLevel"/>
    <w:tmpl w:val="BC3FF052"/>
    <w:lvl w:ilvl="0" w:tentative="0">
      <w:start w:val="1"/>
      <w:numFmt w:val="chineseCounting"/>
      <w:suff w:val="nothing"/>
      <w:lvlText w:val="（%1）"/>
      <w:lvlJc w:val="left"/>
      <w:rPr>
        <w:rFonts w:hint="eastAsia"/>
      </w:rPr>
    </w:lvl>
  </w:abstractNum>
  <w:abstractNum w:abstractNumId="2">
    <w:nsid w:val="0ACE7D37"/>
    <w:multiLevelType w:val="singleLevel"/>
    <w:tmpl w:val="0ACE7D37"/>
    <w:lvl w:ilvl="0" w:tentative="0">
      <w:start w:val="1"/>
      <w:numFmt w:val="chineseCounting"/>
      <w:suff w:val="nothing"/>
      <w:lvlText w:val="（%1）"/>
      <w:lvlJc w:val="left"/>
      <w:rPr>
        <w:rFonts w:hint="eastAsia"/>
      </w:rPr>
    </w:lvl>
  </w:abstractNum>
  <w:abstractNum w:abstractNumId="3">
    <w:nsid w:val="47BF568C"/>
    <w:multiLevelType w:val="singleLevel"/>
    <w:tmpl w:val="47BF568C"/>
    <w:lvl w:ilvl="0" w:tentative="0">
      <w:start w:val="9"/>
      <w:numFmt w:val="chineseCounting"/>
      <w:suff w:val="nothing"/>
      <w:lvlText w:val="（%1）"/>
      <w:lvlJc w:val="left"/>
      <w:rPr>
        <w:rFonts w:hint="eastAsia"/>
      </w:rPr>
    </w:lvl>
  </w:abstractNum>
  <w:abstractNum w:abstractNumId="4">
    <w:nsid w:val="6192D72A"/>
    <w:multiLevelType w:val="singleLevel"/>
    <w:tmpl w:val="6192D72A"/>
    <w:lvl w:ilvl="0" w:tentative="0">
      <w:start w:val="3"/>
      <w:numFmt w:val="chineseCounting"/>
      <w:suff w:val="nothing"/>
      <w:lvlText w:val="%1、"/>
      <w:lvlJc w:val="left"/>
      <w:rPr>
        <w:rFonts w:hint="eastAsia"/>
      </w:rPr>
    </w:lvl>
  </w:abstractNum>
  <w:abstractNum w:abstractNumId="5">
    <w:nsid w:val="6DDCED0E"/>
    <w:multiLevelType w:val="singleLevel"/>
    <w:tmpl w:val="6DDCED0E"/>
    <w:lvl w:ilvl="0" w:tentative="0">
      <w:start w:val="1"/>
      <w:numFmt w:val="chineseCounting"/>
      <w:suff w:val="nothing"/>
      <w:lvlText w:val="（%1）"/>
      <w:lvlJc w:val="left"/>
      <w:rPr>
        <w:rFonts w:hint="eastAsia"/>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mMDZjNjRiYjViYjBhY2JkOWE0MjgwNzUyODdmNTcifQ=="/>
  </w:docVars>
  <w:rsids>
    <w:rsidRoot w:val="78D86806"/>
    <w:rsid w:val="001F3ADA"/>
    <w:rsid w:val="0B08096D"/>
    <w:rsid w:val="126E31DD"/>
    <w:rsid w:val="18BC23E2"/>
    <w:rsid w:val="1A5A5A32"/>
    <w:rsid w:val="1DD60AEA"/>
    <w:rsid w:val="237073E4"/>
    <w:rsid w:val="33042D62"/>
    <w:rsid w:val="3684526B"/>
    <w:rsid w:val="3F343AA4"/>
    <w:rsid w:val="43EA5F5A"/>
    <w:rsid w:val="49146FD8"/>
    <w:rsid w:val="50F02E21"/>
    <w:rsid w:val="59F81919"/>
    <w:rsid w:val="602D48D2"/>
    <w:rsid w:val="683D085A"/>
    <w:rsid w:val="78D86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章标题"/>
    <w:basedOn w:val="1"/>
    <w:next w:val="3"/>
    <w:qFormat/>
    <w:uiPriority w:val="0"/>
    <w:pPr>
      <w:widowControl/>
      <w:spacing w:before="158" w:after="153" w:line="323" w:lineRule="atLeast"/>
      <w:ind w:right="-120"/>
      <w:jc w:val="center"/>
      <w:textAlignment w:val="baseline"/>
    </w:pPr>
    <w:rPr>
      <w:color w:val="FF0000"/>
      <w:sz w:val="18"/>
    </w:rPr>
  </w:style>
  <w:style w:type="paragraph" w:customStyle="1" w:styleId="3">
    <w:name w:val="节标题"/>
    <w:basedOn w:val="1"/>
    <w:next w:val="1"/>
    <w:qFormat/>
    <w:uiPriority w:val="0"/>
    <w:pPr>
      <w:widowControl/>
      <w:spacing w:line="289" w:lineRule="atLeast"/>
      <w:jc w:val="center"/>
      <w:textAlignment w:val="baseline"/>
    </w:pPr>
    <w:rPr>
      <w:color w:val="000000"/>
      <w:sz w:val="28"/>
    </w:rPr>
  </w:style>
  <w:style w:type="paragraph" w:styleId="4">
    <w:name w:val="Body Text Indent"/>
    <w:basedOn w:val="1"/>
    <w:unhideWhenUsed/>
    <w:qFormat/>
    <w:uiPriority w:val="99"/>
    <w:pPr>
      <w:spacing w:after="120"/>
      <w:ind w:left="420" w:left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2"/>
    <w:basedOn w:val="4"/>
    <w:next w:val="1"/>
    <w:qFormat/>
    <w:uiPriority w:val="0"/>
    <w:pPr>
      <w:ind w:firstLine="420" w:firstLineChars="200"/>
    </w:pPr>
  </w:style>
  <w:style w:type="paragraph" w:customStyle="1" w:styleId="11">
    <w:name w:val="Default"/>
    <w:basedOn w:val="1"/>
    <w:qFormat/>
    <w:uiPriority w:val="0"/>
    <w:pPr>
      <w:autoSpaceDE w:val="0"/>
      <w:autoSpaceDN w:val="0"/>
      <w:adjustRightInd w:val="0"/>
      <w:jc w:val="left"/>
    </w:pPr>
    <w:rPr>
      <w:rFonts w:ascii="Calibri" w:hAnsi="Calibri" w:eastAsia="宋体" w:cs="宋体"/>
      <w:color w:val="000000"/>
      <w:kern w:val="0"/>
      <w:sz w:val="24"/>
    </w:rPr>
  </w:style>
  <w:style w:type="paragraph" w:customStyle="1" w:styleId="12">
    <w:name w:val="WPSOffice手动目录 1"/>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4573</Words>
  <Characters>4914</Characters>
  <Lines>0</Lines>
  <Paragraphs>0</Paragraphs>
  <TotalTime>14</TotalTime>
  <ScaleCrop>false</ScaleCrop>
  <LinksUpToDate>false</LinksUpToDate>
  <CharactersWithSpaces>4971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2023-03-09T01:47:00Z</dcterms:created>
  <dc:creator>。。。。。</dc:creator>
  <cp:lastModifiedBy>幸福.定格在指尖</cp:lastModifiedBy>
  <dcterms:modified xsi:type="dcterms:W3CDTF">2023-03-13T02:57:06Z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628165F71386460DADBAF73FDADB1A2A</vt:lpwstr>
  </property>
</Properties>
</file>