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default" w:ascii="黑体" w:hAnsi="黑体" w:eastAsia="黑体" w:cs="Times New Roman"/>
          <w:color w:val="000000"/>
          <w:sz w:val="44"/>
          <w:szCs w:val="44"/>
          <w:lang w:val="en-US" w:eastAsia="zh-CN"/>
        </w:rPr>
      </w:pPr>
      <w:r>
        <w:rPr>
          <w:rFonts w:hint="eastAsia" w:ascii="黑体" w:hAnsi="黑体" w:eastAsia="黑体" w:cs="Times New Roman"/>
          <w:color w:val="000000"/>
          <w:sz w:val="44"/>
          <w:szCs w:val="44"/>
          <w:lang w:val="en-US" w:eastAsia="zh-CN"/>
        </w:rPr>
        <w:t>2019年</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黑体" w:hAnsi="黑体" w:eastAsia="黑体" w:cs="Times New Roman"/>
          <w:color w:val="000000"/>
          <w:sz w:val="44"/>
          <w:szCs w:val="44"/>
        </w:rPr>
      </w:pPr>
      <w:r>
        <w:rPr>
          <w:rFonts w:hint="eastAsia" w:ascii="黑体" w:hAnsi="黑体" w:eastAsia="黑体" w:cs="Times New Roman"/>
          <w:color w:val="000000"/>
          <w:sz w:val="44"/>
          <w:szCs w:val="44"/>
          <w:lang w:val="en-US" w:eastAsia="zh-CN"/>
        </w:rPr>
        <w:t>四川省广元市昭化区红岩镇人民政府</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黑体" w:hAnsi="黑体" w:eastAsia="黑体" w:cs="Times New Roman"/>
          <w:color w:val="000000"/>
          <w:sz w:val="44"/>
          <w:szCs w:val="44"/>
        </w:rPr>
      </w:pPr>
      <w:r>
        <w:rPr>
          <w:rFonts w:hint="eastAsia" w:ascii="黑体" w:hAnsi="黑体" w:eastAsia="黑体" w:cs="Times New Roman"/>
          <w:color w:val="000000"/>
          <w:sz w:val="44"/>
          <w:szCs w:val="44"/>
          <w:lang w:val="en-US" w:eastAsia="zh-CN"/>
        </w:rPr>
        <w:t>决    算</w:t>
      </w: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widowControl/>
        <w:jc w:val="center"/>
        <w:rPr>
          <w:rFonts w:hint="eastAsia" w:ascii="黑体" w:hAnsi="黑体" w:eastAsia="黑体" w:cs="Times New Roman"/>
          <w:color w:val="000000"/>
          <w:sz w:val="48"/>
          <w:szCs w:val="48"/>
        </w:rPr>
      </w:pPr>
      <w:r>
        <w:rPr>
          <w:rFonts w:hint="eastAsia" w:ascii="黑体" w:hAnsi="黑体" w:eastAsia="黑体" w:cs="Times New Roman"/>
          <w:color w:val="000000"/>
          <w:sz w:val="48"/>
          <w:szCs w:val="48"/>
          <w:lang w:val="en-US" w:eastAsia="zh-CN"/>
        </w:rPr>
        <w:t>目录</w:t>
      </w:r>
    </w:p>
    <w:p>
      <w:pPr>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iCs w:val="0"/>
          <w:caps w:val="0"/>
          <w:color w:val="000000"/>
          <w:spacing w:val="0"/>
          <w:sz w:val="24"/>
          <w:szCs w:val="24"/>
        </w:rPr>
      </w:pPr>
    </w:p>
    <w:p>
      <w:pPr>
        <w:pStyle w:val="6"/>
        <w:ind w:left="0" w:leftChars="0" w:firstLine="0" w:firstLineChars="0"/>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"_Toc15396599" </w:instrText>
      </w:r>
      <w:r>
        <w:rPr>
          <w:rFonts w:hint="eastAsia" w:ascii="仿宋" w:hAnsi="仿宋" w:eastAsia="仿宋"/>
          <w:sz w:val="28"/>
          <w:szCs w:val="28"/>
        </w:rPr>
        <w:fldChar w:fldCharType="separate"/>
      </w:r>
      <w:r>
        <w:rPr>
          <w:rFonts w:hint="eastAsia" w:ascii="仿宋" w:hAnsi="仿宋" w:eastAsia="仿宋"/>
          <w:sz w:val="28"/>
          <w:szCs w:val="28"/>
        </w:rPr>
        <w:t>第一部分 部门概况</w:t>
      </w:r>
      <w:r>
        <w:rPr>
          <w:rFonts w:hint="eastAsia"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"_Toc15396600" </w:instrText>
      </w:r>
      <w:r>
        <w:rPr>
          <w:rFonts w:hint="eastAsia" w:ascii="仿宋" w:hAnsi="仿宋" w:eastAsia="仿宋"/>
          <w:sz w:val="28"/>
          <w:szCs w:val="28"/>
        </w:rPr>
        <w:fldChar w:fldCharType="separate"/>
      </w:r>
      <w:r>
        <w:rPr>
          <w:rFonts w:hint="eastAsia" w:ascii="仿宋" w:hAnsi="仿宋" w:eastAsia="仿宋"/>
          <w:sz w:val="28"/>
          <w:szCs w:val="28"/>
        </w:rPr>
        <w:t>一、基本职能及主要工作</w:t>
      </w:r>
      <w:r>
        <w:rPr>
          <w:rFonts w:hint="eastAsia"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"_Toc15396601" </w:instrText>
      </w:r>
      <w:r>
        <w:rPr>
          <w:rFonts w:hint="eastAsia" w:ascii="仿宋" w:hAnsi="仿宋" w:eastAsia="仿宋"/>
          <w:sz w:val="28"/>
          <w:szCs w:val="28"/>
        </w:rPr>
        <w:fldChar w:fldCharType="separate"/>
      </w:r>
      <w:r>
        <w:rPr>
          <w:rFonts w:hint="eastAsia" w:ascii="仿宋" w:hAnsi="仿宋" w:eastAsia="仿宋"/>
          <w:sz w:val="28"/>
          <w:szCs w:val="28"/>
        </w:rPr>
        <w:t>二、机构设置</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_Toc15396601 \h </w:instrText>
      </w:r>
      <w:r>
        <w:rPr>
          <w:rFonts w:hint="eastAsia" w:ascii="仿宋" w:hAnsi="仿宋" w:eastAsia="仿宋"/>
          <w:sz w:val="28"/>
          <w:szCs w:val="28"/>
        </w:rPr>
        <w:fldChar w:fldCharType="separate"/>
      </w:r>
      <w:r>
        <w:rPr>
          <w:rFonts w:hint="eastAsia"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ind w:left="0" w:leftChars="0" w:firstLine="0" w:firstLineChars="0"/>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"_Toc15396602" </w:instrText>
      </w:r>
      <w:r>
        <w:rPr>
          <w:rFonts w:hint="eastAsia" w:ascii="仿宋" w:hAnsi="仿宋" w:eastAsia="仿宋"/>
          <w:sz w:val="28"/>
          <w:szCs w:val="28"/>
        </w:rPr>
        <w:fldChar w:fldCharType="separate"/>
      </w:r>
      <w:r>
        <w:rPr>
          <w:rFonts w:hint="eastAsia" w:ascii="仿宋" w:hAnsi="仿宋" w:eastAsia="仿宋"/>
          <w:sz w:val="28"/>
          <w:szCs w:val="28"/>
        </w:rPr>
        <w:t>第二部分 2018年度部门决算情况说明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_Toc15396602 \h </w:instrText>
      </w:r>
      <w:r>
        <w:rPr>
          <w:rFonts w:hint="eastAsia" w:ascii="仿宋" w:hAnsi="仿宋" w:eastAsia="仿宋"/>
          <w:sz w:val="28"/>
          <w:szCs w:val="28"/>
        </w:rPr>
        <w:fldChar w:fldCharType="separate"/>
      </w:r>
      <w:r>
        <w:rPr>
          <w:rFonts w:hint="eastAsia" w:ascii="仿宋" w:hAnsi="仿宋" w:eastAsia="仿宋"/>
          <w:sz w:val="28"/>
          <w:szCs w:val="28"/>
        </w:rPr>
        <w:t>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"_Toc15396603" </w:instrText>
      </w:r>
      <w:r>
        <w:rPr>
          <w:rFonts w:hint="eastAsia" w:ascii="仿宋" w:hAnsi="仿宋" w:eastAsia="仿宋"/>
          <w:sz w:val="28"/>
          <w:szCs w:val="28"/>
        </w:rPr>
        <w:fldChar w:fldCharType="separate"/>
      </w:r>
      <w:r>
        <w:rPr>
          <w:rFonts w:hint="eastAsia" w:ascii="仿宋" w:hAnsi="仿宋" w:eastAsia="仿宋"/>
          <w:sz w:val="28"/>
          <w:szCs w:val="28"/>
        </w:rPr>
        <w:t>一、收入支出决算总体情况说明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_Toc15396603 \h </w:instrText>
      </w:r>
      <w:r>
        <w:rPr>
          <w:rFonts w:hint="eastAsia" w:ascii="仿宋" w:hAnsi="仿宋" w:eastAsia="仿宋"/>
          <w:sz w:val="28"/>
          <w:szCs w:val="28"/>
        </w:rPr>
        <w:fldChar w:fldCharType="separate"/>
      </w:r>
      <w:r>
        <w:rPr>
          <w:rFonts w:hint="eastAsia" w:ascii="仿宋" w:hAnsi="仿宋" w:eastAsia="仿宋"/>
          <w:sz w:val="28"/>
          <w:szCs w:val="28"/>
        </w:rPr>
        <w:t>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"_Toc15396604" </w:instrText>
      </w:r>
      <w:r>
        <w:rPr>
          <w:rFonts w:hint="eastAsia" w:ascii="仿宋" w:hAnsi="仿宋" w:eastAsia="仿宋"/>
          <w:sz w:val="28"/>
          <w:szCs w:val="28"/>
        </w:rPr>
        <w:fldChar w:fldCharType="separate"/>
      </w:r>
      <w:r>
        <w:rPr>
          <w:rFonts w:hint="eastAsia" w:ascii="仿宋" w:hAnsi="仿宋" w:eastAsia="仿宋"/>
          <w:sz w:val="28"/>
          <w:szCs w:val="28"/>
        </w:rPr>
        <w:t>二、收入决算情况说明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_Toc15396604 \h </w:instrText>
      </w:r>
      <w:r>
        <w:rPr>
          <w:rFonts w:hint="eastAsia" w:ascii="仿宋" w:hAnsi="仿宋" w:eastAsia="仿宋"/>
          <w:sz w:val="28"/>
          <w:szCs w:val="28"/>
        </w:rPr>
        <w:fldChar w:fldCharType="separate"/>
      </w:r>
      <w:r>
        <w:rPr>
          <w:rFonts w:hint="eastAsia" w:ascii="仿宋" w:hAnsi="仿宋" w:eastAsia="仿宋"/>
          <w:sz w:val="28"/>
          <w:szCs w:val="28"/>
        </w:rPr>
        <w:t>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"_Toc15396605" </w:instrText>
      </w:r>
      <w:r>
        <w:rPr>
          <w:rFonts w:hint="eastAsia" w:ascii="仿宋" w:hAnsi="仿宋" w:eastAsia="仿宋"/>
          <w:sz w:val="28"/>
          <w:szCs w:val="28"/>
        </w:rPr>
        <w:fldChar w:fldCharType="separate"/>
      </w:r>
      <w:r>
        <w:rPr>
          <w:rFonts w:hint="eastAsia" w:ascii="仿宋" w:hAnsi="仿宋" w:eastAsia="仿宋"/>
          <w:sz w:val="28"/>
          <w:szCs w:val="28"/>
        </w:rPr>
        <w:t>三、支出决算情况说明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_Toc15396605 \h </w:instrText>
      </w:r>
      <w:r>
        <w:rPr>
          <w:rFonts w:hint="eastAsia" w:ascii="仿宋" w:hAnsi="仿宋" w:eastAsia="仿宋"/>
          <w:sz w:val="28"/>
          <w:szCs w:val="28"/>
        </w:rPr>
        <w:fldChar w:fldCharType="separate"/>
      </w:r>
      <w:r>
        <w:rPr>
          <w:rFonts w:hint="eastAsia" w:ascii="仿宋" w:hAnsi="仿宋" w:eastAsia="仿宋"/>
          <w:sz w:val="28"/>
          <w:szCs w:val="28"/>
        </w:rPr>
        <w:t>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"_Toc15396606" </w:instrText>
      </w:r>
      <w:r>
        <w:rPr>
          <w:rFonts w:hint="eastAsia" w:ascii="仿宋" w:hAnsi="仿宋" w:eastAsia="仿宋"/>
          <w:sz w:val="28"/>
          <w:szCs w:val="28"/>
        </w:rPr>
        <w:fldChar w:fldCharType="separate"/>
      </w:r>
      <w:r>
        <w:rPr>
          <w:rFonts w:hint="eastAsia" w:ascii="仿宋" w:hAnsi="仿宋" w:eastAsia="仿宋"/>
          <w:sz w:val="28"/>
          <w:szCs w:val="28"/>
        </w:rPr>
        <w:t>四、财政拨款收入支出决算总体情况说明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_Toc15396606 \h </w:instrText>
      </w:r>
      <w:r>
        <w:rPr>
          <w:rFonts w:hint="eastAsia" w:ascii="仿宋" w:hAnsi="仿宋" w:eastAsia="仿宋"/>
          <w:sz w:val="28"/>
          <w:szCs w:val="28"/>
        </w:rPr>
        <w:fldChar w:fldCharType="separate"/>
      </w:r>
      <w:r>
        <w:rPr>
          <w:rFonts w:hint="eastAsia" w:ascii="仿宋" w:hAnsi="仿宋" w:eastAsia="仿宋"/>
          <w:sz w:val="28"/>
          <w:szCs w:val="28"/>
        </w:rPr>
        <w:t>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"_Toc15396607" </w:instrText>
      </w:r>
      <w:r>
        <w:rPr>
          <w:rFonts w:hint="eastAsia" w:ascii="仿宋" w:hAnsi="仿宋" w:eastAsia="仿宋"/>
          <w:sz w:val="28"/>
          <w:szCs w:val="28"/>
        </w:rPr>
        <w:fldChar w:fldCharType="separate"/>
      </w:r>
      <w:r>
        <w:rPr>
          <w:rFonts w:hint="eastAsia" w:ascii="仿宋" w:hAnsi="仿宋" w:eastAsia="仿宋"/>
          <w:sz w:val="28"/>
          <w:szCs w:val="28"/>
        </w:rPr>
        <w:t>五、一般公共预算财政拨款支出决算情况说明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_Toc15396607 \h </w:instrText>
      </w:r>
      <w:r>
        <w:rPr>
          <w:rFonts w:hint="eastAsia" w:ascii="仿宋" w:hAnsi="仿宋" w:eastAsia="仿宋"/>
          <w:sz w:val="28"/>
          <w:szCs w:val="28"/>
        </w:rPr>
        <w:fldChar w:fldCharType="separate"/>
      </w:r>
      <w:r>
        <w:rPr>
          <w:rFonts w:hint="eastAsia" w:ascii="仿宋" w:hAnsi="仿宋" w:eastAsia="仿宋"/>
          <w:sz w:val="28"/>
          <w:szCs w:val="28"/>
        </w:rPr>
        <w:t>7</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"_Toc15396608" </w:instrText>
      </w:r>
      <w:r>
        <w:rPr>
          <w:rFonts w:hint="eastAsia" w:ascii="仿宋" w:hAnsi="仿宋" w:eastAsia="仿宋"/>
          <w:sz w:val="28"/>
          <w:szCs w:val="28"/>
        </w:rPr>
        <w:fldChar w:fldCharType="separate"/>
      </w:r>
      <w:r>
        <w:rPr>
          <w:rFonts w:hint="eastAsia" w:ascii="仿宋" w:hAnsi="仿宋" w:eastAsia="仿宋"/>
          <w:sz w:val="28"/>
          <w:szCs w:val="28"/>
        </w:rPr>
        <w:t>六、一般公共预算财政拨款基本支出决算情况说明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_Toc15396608 \h </w:instrText>
      </w:r>
      <w:r>
        <w:rPr>
          <w:rFonts w:hint="eastAsia" w:ascii="仿宋" w:hAnsi="仿宋" w:eastAsia="仿宋"/>
          <w:sz w:val="28"/>
          <w:szCs w:val="28"/>
        </w:rPr>
        <w:fldChar w:fldCharType="separate"/>
      </w:r>
      <w:r>
        <w:rPr>
          <w:rFonts w:hint="eastAsia" w:ascii="仿宋" w:hAnsi="仿宋" w:eastAsia="仿宋"/>
          <w:sz w:val="28"/>
          <w:szCs w:val="28"/>
        </w:rPr>
        <w:t>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"_Toc15396609" </w:instrText>
      </w:r>
      <w:r>
        <w:rPr>
          <w:rFonts w:hint="eastAsia" w:ascii="仿宋" w:hAnsi="仿宋" w:eastAsia="仿宋"/>
          <w:sz w:val="28"/>
          <w:szCs w:val="28"/>
        </w:rPr>
        <w:fldChar w:fldCharType="separate"/>
      </w:r>
      <w:r>
        <w:rPr>
          <w:rFonts w:hint="eastAsia" w:ascii="仿宋" w:hAnsi="仿宋" w:eastAsia="仿宋"/>
          <w:sz w:val="28"/>
          <w:szCs w:val="28"/>
        </w:rPr>
        <w:t>七、“三公”经费财政拨款支出决算情况说明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_Toc15396609 \h </w:instrText>
      </w:r>
      <w:r>
        <w:rPr>
          <w:rFonts w:hint="eastAsia" w:ascii="仿宋" w:hAnsi="仿宋" w:eastAsia="仿宋"/>
          <w:sz w:val="28"/>
          <w:szCs w:val="28"/>
        </w:rPr>
        <w:fldChar w:fldCharType="separate"/>
      </w:r>
      <w:r>
        <w:rPr>
          <w:rFonts w:hint="eastAsia" w:ascii="仿宋" w:hAnsi="仿宋" w:eastAsia="仿宋"/>
          <w:sz w:val="28"/>
          <w:szCs w:val="28"/>
        </w:rPr>
        <w:t>9</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"_Toc15396610" </w:instrText>
      </w:r>
      <w:r>
        <w:rPr>
          <w:rFonts w:hint="eastAsia" w:ascii="仿宋" w:hAnsi="仿宋" w:eastAsia="仿宋"/>
          <w:sz w:val="28"/>
          <w:szCs w:val="28"/>
        </w:rPr>
        <w:fldChar w:fldCharType="separate"/>
      </w:r>
      <w:r>
        <w:rPr>
          <w:rFonts w:hint="eastAsia" w:ascii="仿宋" w:hAnsi="仿宋" w:eastAsia="仿宋"/>
          <w:sz w:val="28"/>
          <w:szCs w:val="28"/>
        </w:rPr>
        <w:t>八、政府性基金预算支出决算情况说明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_Toc15396610 \h </w:instrText>
      </w:r>
      <w:r>
        <w:rPr>
          <w:rFonts w:hint="eastAsia" w:ascii="仿宋" w:hAnsi="仿宋" w:eastAsia="仿宋"/>
          <w:sz w:val="28"/>
          <w:szCs w:val="28"/>
        </w:rPr>
        <w:fldChar w:fldCharType="separate"/>
      </w:r>
      <w:r>
        <w:rPr>
          <w:rFonts w:hint="eastAsia" w:ascii="仿宋" w:hAnsi="仿宋" w:eastAsia="仿宋"/>
          <w:sz w:val="28"/>
          <w:szCs w:val="28"/>
        </w:rPr>
        <w:t>9</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"_Toc15396611" </w:instrText>
      </w:r>
      <w:r>
        <w:rPr>
          <w:rFonts w:hint="eastAsia" w:ascii="仿宋" w:hAnsi="仿宋" w:eastAsia="仿宋"/>
          <w:sz w:val="28"/>
          <w:szCs w:val="28"/>
        </w:rPr>
        <w:fldChar w:fldCharType="separate"/>
      </w:r>
      <w:r>
        <w:rPr>
          <w:rFonts w:hint="eastAsia" w:ascii="仿宋" w:hAnsi="仿宋" w:eastAsia="仿宋"/>
          <w:sz w:val="28"/>
          <w:szCs w:val="28"/>
        </w:rPr>
        <w:t>九、 国有资本经营预算支出决算情况说明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_Toc15396611 \h </w:instrText>
      </w:r>
      <w:r>
        <w:rPr>
          <w:rFonts w:hint="eastAsia" w:ascii="仿宋" w:hAnsi="仿宋" w:eastAsia="仿宋"/>
          <w:sz w:val="28"/>
          <w:szCs w:val="28"/>
        </w:rPr>
        <w:fldChar w:fldCharType="separate"/>
      </w:r>
      <w:r>
        <w:rPr>
          <w:rFonts w:hint="eastAsia" w:ascii="仿宋" w:hAnsi="仿宋" w:eastAsia="仿宋"/>
          <w:sz w:val="28"/>
          <w:szCs w:val="28"/>
        </w:rPr>
        <w:t>9</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lang w:val="en-US" w:eastAsia="zh-CN"/>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"_Toc15396611" </w:instrText>
      </w:r>
      <w:r>
        <w:rPr>
          <w:rFonts w:hint="eastAsia" w:ascii="仿宋" w:hAnsi="仿宋" w:eastAsia="仿宋"/>
          <w:sz w:val="28"/>
          <w:szCs w:val="28"/>
        </w:rPr>
        <w:fldChar w:fldCharType="separate"/>
      </w:r>
      <w:r>
        <w:rPr>
          <w:rFonts w:hint="eastAsia" w:ascii="仿宋" w:hAnsi="仿宋" w:eastAsia="仿宋"/>
          <w:sz w:val="28"/>
          <w:szCs w:val="28"/>
          <w:lang w:eastAsia="zh-CN"/>
        </w:rPr>
        <w:t>十</w:t>
      </w:r>
      <w:r>
        <w:rPr>
          <w:rFonts w:hint="eastAsia" w:ascii="仿宋" w:hAnsi="仿宋" w:eastAsia="仿宋"/>
          <w:sz w:val="28"/>
          <w:szCs w:val="28"/>
        </w:rPr>
        <w:t xml:space="preserve">、 </w:t>
      </w:r>
      <w:r>
        <w:rPr>
          <w:rFonts w:hint="eastAsia" w:ascii="仿宋" w:hAnsi="仿宋" w:eastAsia="仿宋"/>
          <w:sz w:val="28"/>
          <w:szCs w:val="28"/>
          <w:lang w:eastAsia="zh-CN"/>
        </w:rPr>
        <w:t>预算绩效情况说明</w:t>
      </w:r>
      <w:r>
        <w:rPr>
          <w:rFonts w:hint="eastAsia" w:ascii="仿宋" w:hAnsi="仿宋" w:eastAsia="仿宋"/>
          <w:sz w:val="28"/>
          <w:szCs w:val="28"/>
        </w:rPr>
        <w:tab/>
      </w:r>
      <w:r>
        <w:rPr>
          <w:rFonts w:hint="eastAsia" w:ascii="仿宋" w:hAnsi="仿宋" w:eastAsia="仿宋"/>
          <w:sz w:val="28"/>
          <w:szCs w:val="28"/>
          <w:lang w:val="en-US" w:eastAsia="zh-CN"/>
        </w:rPr>
        <w:t>1</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"_Toc15396612" </w:instrText>
      </w:r>
      <w:r>
        <w:rPr>
          <w:rFonts w:hint="eastAsia" w:ascii="仿宋" w:hAnsi="仿宋" w:eastAsia="仿宋"/>
          <w:sz w:val="28"/>
          <w:szCs w:val="28"/>
        </w:rPr>
        <w:fldChar w:fldCharType="separate"/>
      </w:r>
      <w:r>
        <w:rPr>
          <w:rFonts w:hint="eastAsia" w:ascii="仿宋" w:hAnsi="仿宋" w:eastAsia="仿宋"/>
          <w:sz w:val="28"/>
          <w:szCs w:val="28"/>
        </w:rPr>
        <w:t>十一、其他重要事项的情况说明</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_Toc15396612 \h </w:instrText>
      </w:r>
      <w:r>
        <w:rPr>
          <w:rFonts w:hint="eastAsia" w:ascii="仿宋" w:hAnsi="仿宋" w:eastAsia="仿宋"/>
          <w:sz w:val="28"/>
          <w:szCs w:val="28"/>
        </w:rPr>
        <w:fldChar w:fldCharType="separate"/>
      </w:r>
      <w:r>
        <w:rPr>
          <w:rFonts w:hint="eastAsia" w:ascii="仿宋" w:hAnsi="仿宋" w:eastAsia="仿宋"/>
          <w:sz w:val="28"/>
          <w:szCs w:val="28"/>
        </w:rPr>
        <w:t>14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ind w:left="0" w:leftChars="0" w:firstLine="0" w:firstLineChars="0"/>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"_Toc15396613" </w:instrText>
      </w:r>
      <w:r>
        <w:rPr>
          <w:rFonts w:hint="eastAsia" w:ascii="仿宋" w:hAnsi="仿宋" w:eastAsia="仿宋"/>
          <w:sz w:val="28"/>
          <w:szCs w:val="28"/>
        </w:rPr>
        <w:fldChar w:fldCharType="separate"/>
      </w:r>
      <w:r>
        <w:rPr>
          <w:rFonts w:hint="eastAsia" w:ascii="仿宋" w:hAnsi="仿宋" w:eastAsia="仿宋"/>
          <w:sz w:val="28"/>
          <w:szCs w:val="28"/>
        </w:rPr>
        <w:t>第三部分 名词解释</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_Toc15396613 \h </w:instrText>
      </w:r>
      <w:r>
        <w:rPr>
          <w:rFonts w:hint="eastAsia" w:ascii="仿宋" w:hAnsi="仿宋" w:eastAsia="仿宋"/>
          <w:sz w:val="28"/>
          <w:szCs w:val="28"/>
        </w:rPr>
        <w:fldChar w:fldCharType="separate"/>
      </w:r>
      <w:r>
        <w:rPr>
          <w:rFonts w:hint="eastAsia" w:ascii="仿宋" w:hAnsi="仿宋" w:eastAsia="仿宋"/>
          <w:sz w:val="28"/>
          <w:szCs w:val="28"/>
        </w:rPr>
        <w:t>16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ind w:left="0" w:leftChars="0" w:firstLine="0" w:firstLineChars="0"/>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"_Toc15396614" </w:instrText>
      </w:r>
      <w:r>
        <w:rPr>
          <w:rFonts w:hint="eastAsia" w:ascii="仿宋" w:hAnsi="仿宋" w:eastAsia="仿宋"/>
          <w:sz w:val="28"/>
          <w:szCs w:val="28"/>
        </w:rPr>
        <w:fldChar w:fldCharType="separate"/>
      </w:r>
      <w:r>
        <w:rPr>
          <w:rFonts w:hint="eastAsia" w:ascii="仿宋" w:hAnsi="仿宋" w:eastAsia="仿宋"/>
          <w:sz w:val="28"/>
          <w:szCs w:val="28"/>
        </w:rPr>
        <w:t>第四部分 附件</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_Toc15396614 \h </w:instrText>
      </w:r>
      <w:r>
        <w:rPr>
          <w:rFonts w:hint="eastAsia" w:ascii="仿宋" w:hAnsi="仿宋" w:eastAsia="仿宋"/>
          <w:sz w:val="28"/>
          <w:szCs w:val="28"/>
        </w:rPr>
        <w:fldChar w:fldCharType="separate"/>
      </w:r>
      <w:r>
        <w:rPr>
          <w:rFonts w:hint="eastAsia" w:ascii="仿宋" w:hAnsi="仿宋" w:eastAsia="仿宋"/>
          <w:sz w:val="28"/>
          <w:szCs w:val="28"/>
        </w:rPr>
        <w:t>18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"_Toc15396615" </w:instrText>
      </w:r>
      <w:r>
        <w:rPr>
          <w:rFonts w:hint="eastAsia" w:ascii="仿宋" w:hAnsi="仿宋" w:eastAsia="仿宋"/>
          <w:sz w:val="28"/>
          <w:szCs w:val="28"/>
        </w:rPr>
        <w:fldChar w:fldCharType="separate"/>
      </w:r>
      <w:r>
        <w:rPr>
          <w:rFonts w:hint="eastAsia" w:ascii="仿宋" w:hAnsi="仿宋" w:eastAsia="仿宋"/>
          <w:sz w:val="28"/>
          <w:szCs w:val="28"/>
        </w:rPr>
        <w:t>附件1</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_Toc15396615 \h </w:instrText>
      </w:r>
      <w:r>
        <w:rPr>
          <w:rFonts w:hint="eastAsia" w:ascii="仿宋" w:hAnsi="仿宋" w:eastAsia="仿宋"/>
          <w:sz w:val="28"/>
          <w:szCs w:val="28"/>
        </w:rPr>
        <w:fldChar w:fldCharType="separate"/>
      </w:r>
      <w:r>
        <w:rPr>
          <w:rFonts w:hint="eastAsia" w:ascii="仿宋" w:hAnsi="仿宋" w:eastAsia="仿宋"/>
          <w:sz w:val="28"/>
          <w:szCs w:val="28"/>
        </w:rPr>
        <w:t>18</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"_Toc15396617" </w:instrText>
      </w:r>
      <w:r>
        <w:rPr>
          <w:rFonts w:hint="eastAsia" w:ascii="仿宋" w:hAnsi="仿宋" w:eastAsia="仿宋"/>
          <w:sz w:val="28"/>
          <w:szCs w:val="28"/>
        </w:rPr>
        <w:fldChar w:fldCharType="separate"/>
      </w:r>
      <w:r>
        <w:rPr>
          <w:rFonts w:hint="eastAsia" w:ascii="仿宋" w:hAnsi="仿宋" w:eastAsia="仿宋"/>
          <w:sz w:val="28"/>
          <w:szCs w:val="28"/>
        </w:rPr>
        <w:t>附件2</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_Toc15396617 \h </w:instrText>
      </w:r>
      <w:r>
        <w:rPr>
          <w:rFonts w:hint="eastAsia" w:ascii="仿宋" w:hAnsi="仿宋" w:eastAsia="仿宋"/>
          <w:sz w:val="28"/>
          <w:szCs w:val="28"/>
        </w:rPr>
        <w:fldChar w:fldCharType="separate"/>
      </w:r>
      <w:r>
        <w:rPr>
          <w:rFonts w:hint="eastAsia" w:ascii="仿宋" w:hAnsi="仿宋" w:eastAsia="仿宋"/>
          <w:sz w:val="28"/>
          <w:szCs w:val="28"/>
        </w:rPr>
        <w:t>24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ind w:left="0" w:leftChars="0" w:firstLine="0" w:firstLineChars="0"/>
        <w:rPr>
          <w:rFonts w:hint="eastAsia"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"_Toc15396618" </w:instrText>
      </w:r>
      <w:r>
        <w:rPr>
          <w:rFonts w:hint="eastAsia" w:ascii="仿宋" w:hAnsi="仿宋" w:eastAsia="仿宋"/>
          <w:sz w:val="28"/>
          <w:szCs w:val="28"/>
        </w:rPr>
        <w:fldChar w:fldCharType="separate"/>
      </w:r>
      <w:r>
        <w:rPr>
          <w:rFonts w:hint="eastAsia" w:ascii="仿宋" w:hAnsi="仿宋" w:eastAsia="仿宋"/>
          <w:sz w:val="28"/>
          <w:szCs w:val="28"/>
        </w:rPr>
        <w:t>第五部分 附表</w:t>
      </w:r>
      <w:r>
        <w:rPr>
          <w:rFonts w:hint="eastAsia" w:ascii="仿宋" w:hAnsi="仿宋" w:eastAsia="仿宋"/>
          <w:sz w:val="28"/>
          <w:szCs w:val="28"/>
        </w:rPr>
        <w:tab/>
      </w:r>
      <w:r>
        <w:rPr>
          <w:rFonts w:hint="eastAsia" w:ascii="仿宋" w:hAnsi="仿宋" w:eastAsia="仿宋"/>
          <w:sz w:val="28"/>
          <w:szCs w:val="28"/>
          <w:lang w:val="en-US" w:eastAsia="zh-CN"/>
        </w:rPr>
        <w:t>34</w:t>
      </w:r>
      <w:r>
        <w:rPr>
          <w:rFonts w:hint="eastAsia" w:ascii="仿宋" w:hAnsi="仿宋" w:eastAsia="仿宋"/>
          <w:sz w:val="28"/>
          <w:szCs w:val="28"/>
        </w:rPr>
        <w:fldChar w:fldCharType="end"/>
      </w:r>
    </w:p>
    <w:p>
      <w:pPr>
        <w:pStyle w:val="6"/>
        <w:numPr>
          <w:ilvl w:val="0"/>
          <w:numId w:val="1"/>
        </w:numPr>
        <w:rPr>
          <w:rFonts w:hint="eastAsia" w:ascii="仿宋" w:hAnsi="仿宋" w:eastAsia="仿宋"/>
          <w:sz w:val="28"/>
          <w:szCs w:val="28"/>
          <w:lang w:val="en-US" w:eastAsia="zh-CN"/>
        </w:rPr>
      </w:pP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"_Toc15396619" </w:instrText>
      </w:r>
      <w:r>
        <w:rPr>
          <w:rFonts w:hint="eastAsia" w:ascii="仿宋" w:hAnsi="仿宋" w:eastAsia="仿宋"/>
          <w:sz w:val="28"/>
          <w:szCs w:val="28"/>
        </w:rPr>
        <w:fldChar w:fldCharType="separate"/>
      </w:r>
      <w:r>
        <w:rPr>
          <w:rFonts w:hint="eastAsia" w:ascii="仿宋" w:hAnsi="仿宋" w:eastAsia="仿宋"/>
          <w:sz w:val="28"/>
          <w:szCs w:val="28"/>
        </w:rPr>
        <w:t>收入支出决算总表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_Toc15396619 \h </w:instrText>
      </w:r>
      <w:r>
        <w:rPr>
          <w:rFonts w:hint="eastAsia" w:ascii="仿宋" w:hAnsi="仿宋" w:eastAsia="仿宋"/>
          <w:sz w:val="28"/>
          <w:szCs w:val="28"/>
        </w:rPr>
        <w:fldChar w:fldCharType="separate"/>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rPr>
        <w:fldChar w:fldCharType="end"/>
      </w:r>
      <w:r>
        <w:rPr>
          <w:rFonts w:hint="eastAsia" w:ascii="仿宋" w:hAnsi="仿宋" w:eastAsia="仿宋"/>
          <w:sz w:val="28"/>
          <w:szCs w:val="28"/>
          <w:lang w:val="en-US" w:eastAsia="zh-CN"/>
        </w:rPr>
        <w:t>4</w:t>
      </w:r>
    </w:p>
    <w:p>
      <w:pPr>
        <w:pStyle w:val="6"/>
        <w:numPr>
          <w:ilvl w:val="0"/>
          <w:numId w:val="1"/>
        </w:numPr>
        <w:rPr>
          <w:rFonts w:hint="eastAsia"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"_Toc15396620" </w:instrText>
      </w:r>
      <w:r>
        <w:rPr>
          <w:rFonts w:hint="eastAsia" w:ascii="仿宋" w:hAnsi="仿宋" w:eastAsia="仿宋"/>
          <w:sz w:val="28"/>
          <w:szCs w:val="28"/>
        </w:rPr>
        <w:fldChar w:fldCharType="separate"/>
      </w:r>
      <w:r>
        <w:rPr>
          <w:rFonts w:hint="eastAsia" w:ascii="仿宋" w:hAnsi="仿宋" w:eastAsia="仿宋"/>
          <w:sz w:val="28"/>
          <w:szCs w:val="28"/>
        </w:rPr>
        <w:t>收入总表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_Toc15396620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"_Toc15396621" </w:instrText>
      </w:r>
      <w:r>
        <w:rPr>
          <w:rFonts w:hint="eastAsia" w:ascii="仿宋" w:hAnsi="仿宋" w:eastAsia="仿宋"/>
          <w:sz w:val="28"/>
          <w:szCs w:val="28"/>
        </w:rPr>
        <w:fldChar w:fldCharType="separate"/>
      </w:r>
      <w:r>
        <w:rPr>
          <w:rFonts w:hint="eastAsia" w:ascii="仿宋" w:hAnsi="仿宋" w:eastAsia="仿宋"/>
          <w:sz w:val="28"/>
          <w:szCs w:val="28"/>
        </w:rPr>
        <w:t>支出总表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_Toc15396621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四、</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"_Toc15396622" </w:instrText>
      </w:r>
      <w:r>
        <w:rPr>
          <w:rFonts w:hint="eastAsia" w:ascii="仿宋" w:hAnsi="仿宋" w:eastAsia="仿宋"/>
          <w:sz w:val="28"/>
          <w:szCs w:val="28"/>
        </w:rPr>
        <w:fldChar w:fldCharType="separate"/>
      </w:r>
      <w:r>
        <w:rPr>
          <w:rFonts w:hint="eastAsia" w:ascii="仿宋" w:hAnsi="仿宋" w:eastAsia="仿宋"/>
          <w:sz w:val="28"/>
          <w:szCs w:val="28"/>
        </w:rPr>
        <w:t>财政拨款收入支出决算总表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_Toc15396622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"_Toc15396624" </w:instrText>
      </w:r>
      <w:r>
        <w:rPr>
          <w:rFonts w:hint="eastAsia" w:ascii="仿宋" w:hAnsi="仿宋" w:eastAsia="仿宋"/>
          <w:sz w:val="28"/>
          <w:szCs w:val="28"/>
        </w:rPr>
        <w:fldChar w:fldCharType="separate"/>
      </w:r>
      <w:r>
        <w:rPr>
          <w:rFonts w:hint="eastAsia" w:ascii="仿宋" w:hAnsi="仿宋" w:eastAsia="仿宋"/>
          <w:sz w:val="28"/>
          <w:szCs w:val="28"/>
        </w:rPr>
        <w:t>一般公共预算财政拨款支出决算表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_Toc15396624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七、</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"_Toc15396625" </w:instrText>
      </w:r>
      <w:r>
        <w:rPr>
          <w:rFonts w:hint="eastAsia" w:ascii="仿宋" w:hAnsi="仿宋" w:eastAsia="仿宋"/>
          <w:sz w:val="28"/>
          <w:szCs w:val="28"/>
        </w:rPr>
        <w:fldChar w:fldCharType="separate"/>
      </w:r>
      <w:r>
        <w:rPr>
          <w:rFonts w:hint="eastAsia" w:ascii="仿宋" w:hAnsi="仿宋" w:eastAsia="仿宋"/>
          <w:sz w:val="28"/>
          <w:szCs w:val="28"/>
        </w:rPr>
        <w:t>一般公共预算财政拨款支出决算明细表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_Toc15396625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八、</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"_Toc15396626" </w:instrText>
      </w:r>
      <w:r>
        <w:rPr>
          <w:rFonts w:hint="eastAsia" w:ascii="仿宋" w:hAnsi="仿宋" w:eastAsia="仿宋"/>
          <w:sz w:val="28"/>
          <w:szCs w:val="28"/>
        </w:rPr>
        <w:fldChar w:fldCharType="separate"/>
      </w:r>
      <w:r>
        <w:rPr>
          <w:rFonts w:hint="eastAsia" w:ascii="仿宋" w:hAnsi="仿宋" w:eastAsia="仿宋"/>
          <w:sz w:val="28"/>
          <w:szCs w:val="28"/>
        </w:rPr>
        <w:t>一般公共预算财政拨款基本支出决算表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_Toc15396626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九、</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"_Toc15396627" </w:instrText>
      </w:r>
      <w:r>
        <w:rPr>
          <w:rFonts w:hint="eastAsia" w:ascii="仿宋" w:hAnsi="仿宋" w:eastAsia="仿宋"/>
          <w:sz w:val="28"/>
          <w:szCs w:val="28"/>
        </w:rPr>
        <w:fldChar w:fldCharType="separate"/>
      </w:r>
      <w:r>
        <w:rPr>
          <w:rFonts w:hint="eastAsia" w:ascii="仿宋" w:hAnsi="仿宋" w:eastAsia="仿宋"/>
          <w:sz w:val="28"/>
          <w:szCs w:val="28"/>
        </w:rPr>
        <w:t>一般公共预算财政拨款项目支出决算表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_Toc15396627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"_Toc15396628" </w:instrText>
      </w:r>
      <w:r>
        <w:rPr>
          <w:rFonts w:hint="eastAsia" w:ascii="仿宋" w:hAnsi="仿宋" w:eastAsia="仿宋"/>
          <w:sz w:val="28"/>
          <w:szCs w:val="28"/>
        </w:rPr>
        <w:fldChar w:fldCharType="separate"/>
      </w:r>
      <w:r>
        <w:rPr>
          <w:rFonts w:hint="eastAsia" w:ascii="仿宋" w:hAnsi="仿宋" w:eastAsia="仿宋"/>
          <w:sz w:val="28"/>
          <w:szCs w:val="28"/>
        </w:rPr>
        <w:t>一般公共预算财政拨款“三公”经费支出决算表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_Toc15396628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十一、</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"_Toc15396629" </w:instrText>
      </w:r>
      <w:r>
        <w:rPr>
          <w:rFonts w:hint="eastAsia" w:ascii="仿宋" w:hAnsi="仿宋" w:eastAsia="仿宋"/>
          <w:sz w:val="28"/>
          <w:szCs w:val="28"/>
        </w:rPr>
        <w:fldChar w:fldCharType="separate"/>
      </w:r>
      <w:r>
        <w:rPr>
          <w:rFonts w:hint="eastAsia" w:ascii="仿宋" w:hAnsi="仿宋" w:eastAsia="仿宋"/>
          <w:sz w:val="28"/>
          <w:szCs w:val="28"/>
        </w:rPr>
        <w:t>政府性基金预算财政拨款收入支出决算表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_Toc15396629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十二、</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"_Toc15396630" </w:instrText>
      </w:r>
      <w:r>
        <w:rPr>
          <w:rFonts w:hint="eastAsia" w:ascii="仿宋" w:hAnsi="仿宋" w:eastAsia="仿宋"/>
          <w:sz w:val="28"/>
          <w:szCs w:val="28"/>
        </w:rPr>
        <w:fldChar w:fldCharType="separate"/>
      </w:r>
      <w:r>
        <w:rPr>
          <w:rFonts w:hint="eastAsia" w:ascii="仿宋" w:hAnsi="仿宋" w:eastAsia="仿宋"/>
          <w:sz w:val="28"/>
          <w:szCs w:val="28"/>
        </w:rPr>
        <w:t>政府性基金预算财政拨款“三公”经费支出决算表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_Toc15396630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6"/>
        <w:rPr>
          <w:rFonts w:hint="eastAsia" w:ascii="仿宋" w:hAnsi="仿宋" w:eastAsia="仿宋"/>
          <w:sz w:val="28"/>
          <w:szCs w:val="28"/>
        </w:rPr>
      </w:pPr>
      <w:r>
        <w:rPr>
          <w:rFonts w:hint="eastAsia" w:ascii="仿宋" w:hAnsi="仿宋" w:eastAsia="仿宋"/>
          <w:sz w:val="28"/>
          <w:szCs w:val="28"/>
        </w:rPr>
        <w:t>十三、</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"_Toc15396631" </w:instrText>
      </w:r>
      <w:r>
        <w:rPr>
          <w:rFonts w:hint="eastAsia" w:ascii="仿宋" w:hAnsi="仿宋" w:eastAsia="仿宋"/>
          <w:sz w:val="28"/>
          <w:szCs w:val="28"/>
        </w:rPr>
        <w:fldChar w:fldCharType="separate"/>
      </w:r>
      <w:r>
        <w:rPr>
          <w:rFonts w:hint="eastAsia" w:ascii="仿宋" w:hAnsi="仿宋" w:eastAsia="仿宋"/>
          <w:sz w:val="28"/>
          <w:szCs w:val="28"/>
        </w:rPr>
        <w:t>国有资本经营预算支出决算表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_Toc15396631 \h </w:instrText>
      </w:r>
      <w:r>
        <w:rPr>
          <w:rFonts w:hint="eastAsia" w:ascii="仿宋" w:hAnsi="仿宋" w:eastAsia="仿宋"/>
          <w:sz w:val="28"/>
          <w:szCs w:val="28"/>
        </w:rPr>
        <w:fldChar w:fldCharType="separate"/>
      </w:r>
      <w:r>
        <w:rPr>
          <w:rFonts w:hint="eastAsia" w:ascii="仿宋" w:hAnsi="仿宋" w:eastAsia="仿宋"/>
          <w:sz w:val="28"/>
          <w:szCs w:val="28"/>
        </w:rPr>
        <w:t>3</w:t>
      </w:r>
      <w:r>
        <w:rPr>
          <w:rFonts w:hint="eastAsia" w:ascii="仿宋" w:hAnsi="仿宋" w:eastAsia="仿宋"/>
          <w:sz w:val="28"/>
          <w:szCs w:val="28"/>
          <w:lang w:val="en-US" w:eastAsia="zh-CN"/>
        </w:rPr>
        <w:t>4</w:t>
      </w:r>
      <w:r>
        <w:rPr>
          <w:rFonts w:hint="eastAsia" w:ascii="仿宋" w:hAnsi="仿宋" w:eastAsia="仿宋"/>
          <w:sz w:val="28"/>
          <w:szCs w:val="28"/>
        </w:rPr>
        <w:fldChar w:fldCharType="end"/>
      </w:r>
      <w:r>
        <w:rPr>
          <w:rFonts w:hint="eastAsia" w:ascii="仿宋" w:hAnsi="仿宋" w:eastAsia="仿宋"/>
          <w:sz w:val="28"/>
          <w:szCs w:val="28"/>
        </w:rPr>
        <w:fldChar w:fldCharType="end"/>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pStyle w:val="7"/>
        <w:keepNext w:val="0"/>
        <w:keepLines w:val="0"/>
        <w:widowControl/>
        <w:suppressLineNumbers w:val="0"/>
        <w:shd w:val="clear" w:fill="FFFFFF"/>
        <w:spacing w:before="210" w:beforeAutospacing="0" w:after="210" w:afterAutospacing="0" w:line="450" w:lineRule="atLeast"/>
        <w:ind w:left="0" w:right="0" w:firstLine="420"/>
        <w:jc w:val="center"/>
        <w:rPr>
          <w:rFonts w:hint="eastAsia" w:ascii="黑体" w:hAnsi="黑体" w:eastAsia="黑体" w:cs="Times New Roman"/>
          <w:b w:val="0"/>
          <w:bCs/>
          <w:kern w:val="44"/>
          <w:sz w:val="44"/>
          <w:szCs w:val="44"/>
          <w:lang w:val="en-US" w:eastAsia="zh-CN" w:bidi="ar-SA"/>
        </w:rPr>
      </w:pPr>
      <w:r>
        <w:rPr>
          <w:rFonts w:hint="eastAsia" w:ascii="黑体" w:hAnsi="黑体" w:eastAsia="黑体" w:cs="Times New Roman"/>
          <w:b w:val="0"/>
          <w:bCs/>
          <w:kern w:val="44"/>
          <w:sz w:val="44"/>
          <w:szCs w:val="44"/>
          <w:lang w:val="en-US" w:eastAsia="zh-CN" w:bidi="ar-SA"/>
        </w:rPr>
        <w:t>第一部分 部门概况</w:t>
      </w:r>
    </w:p>
    <w:p>
      <w:pPr>
        <w:pStyle w:val="3"/>
        <w:keepNext/>
        <w:keepLines/>
        <w:spacing w:before="260" w:beforeAutospacing="0" w:after="260" w:afterAutospacing="0" w:line="416" w:lineRule="auto"/>
        <w:jc w:val="both"/>
        <w:outlineLvl w:val="1"/>
        <w:rPr>
          <w:rFonts w:hint="eastAsia" w:ascii="黑体" w:hAnsi="黑体" w:eastAsia="黑体" w:cstheme="majorBidi"/>
          <w:b w:val="0"/>
          <w:color w:val="000000"/>
          <w:kern w:val="2"/>
          <w:sz w:val="32"/>
          <w:szCs w:val="32"/>
          <w:lang w:bidi="ar-SA"/>
        </w:rPr>
      </w:pPr>
    </w:p>
    <w:p>
      <w:pPr>
        <w:pStyle w:val="3"/>
        <w:keepNext/>
        <w:keepLines/>
        <w:spacing w:before="260" w:beforeAutospacing="0" w:after="260" w:afterAutospacing="0" w:line="416" w:lineRule="auto"/>
        <w:jc w:val="both"/>
        <w:outlineLvl w:val="1"/>
        <w:rPr>
          <w:rFonts w:hint="eastAsia" w:ascii="黑体" w:hAnsi="黑体" w:eastAsia="黑体" w:cstheme="majorBidi"/>
          <w:b w:val="0"/>
          <w:color w:val="000000"/>
          <w:kern w:val="2"/>
          <w:sz w:val="32"/>
          <w:szCs w:val="32"/>
          <w:lang w:bidi="ar-SA"/>
        </w:rPr>
      </w:pPr>
      <w:r>
        <w:rPr>
          <w:rFonts w:hint="eastAsia" w:ascii="黑体" w:hAnsi="黑体" w:eastAsia="黑体" w:cstheme="majorBidi"/>
          <w:b w:val="0"/>
          <w:color w:val="000000"/>
          <w:kern w:val="2"/>
          <w:sz w:val="32"/>
          <w:szCs w:val="32"/>
          <w:lang w:bidi="ar-SA"/>
        </w:rPr>
        <w:t>一、基本职能及主要工作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（一）主要职能。</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1.制定和组织实施经济、科技和社会发展计划，制定资源开发技术改造和产业结构调整方案，组织指导好各业生产,搞好商品流通，协调好本办事处与外地区的经济交流与合作，抓好招商引资，人才引进项目开发,不断培育市场体系，组织经济运行,促进经济发展。</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2.制定并组织实施村镇建设规划，部署重点工程建设，地方道路建设及公共设施，水利设施的管理，负责土地、林木、水等自然资源和生态环境的保护，做好护林防火工作。</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3.负责本行政区域内的民政、计划生育、文化教育、卫生、体育等社会公益事业的综合性工作，维护一切经济单位和个人的正当经济权益，取缔非法经济活动，调解和处理民事纠纷，打击刑事犯罪维护社会稳定。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4.按计划组织本级财政收入和地方税的征收，完成国家财政计划，不断培植税源，管好财政资金，增强财政实力。</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5.抓好精神文明建设，丰富群众文化生活，提倡移风易俗，反对封建迷信，破除陈规陋习，树立社会主义新风尚。</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6.执行本级人民代表大会的决议和上级国家行政机关的决定和命令，发布决定和命令。</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7.执行本行政区域内的经济和社会发展计划、预算。管理本行政区域内的经济、教育、科学、文化、卫生、体育事业和财政、民政、公安、司法行政、计划生育等行政工作。</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8.保护好社会主义全民所有的财产和劳动群众集体所有财产，保护公民私有的合法财产，维护社会秩序，保障公民的人身权利、民主权利和其他权利。</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9.保障农村集体经济组织应有的自主权</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10.保障少数民族的权利和尊重少数民族的风俗习惯。</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rPr>
        <w:t>11.完成和办理上级人民政府交办的其他事项。</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cs="Times New Roman"/>
          <w:bCs/>
          <w:color w:val="000000"/>
          <w:sz w:val="32"/>
          <w:szCs w:val="32"/>
          <w:lang w:val="en-US"/>
        </w:rPr>
      </w:pPr>
      <w:r>
        <w:rPr>
          <w:rFonts w:hint="eastAsia" w:ascii="仿宋" w:hAnsi="仿宋" w:eastAsia="仿宋" w:cs="Times New Roman"/>
          <w:bCs/>
          <w:color w:val="000000"/>
          <w:sz w:val="32"/>
          <w:szCs w:val="32"/>
          <w:lang w:val="en-US"/>
        </w:rPr>
        <w:t>（二）2019年重点工作完成情况。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rPr>
        <w:t>红岩镇严格按照预算法规定的各项预算收支完成了当年的各项预算收支任务。</w:t>
      </w:r>
    </w:p>
    <w:p>
      <w:pPr>
        <w:pStyle w:val="3"/>
        <w:keepNext/>
        <w:keepLines/>
        <w:spacing w:before="260" w:beforeAutospacing="0" w:after="260" w:afterAutospacing="0" w:line="416" w:lineRule="auto"/>
        <w:jc w:val="both"/>
        <w:outlineLvl w:val="1"/>
        <w:rPr>
          <w:rFonts w:hint="eastAsia" w:ascii="黑体" w:hAnsi="黑体" w:eastAsia="黑体" w:cstheme="majorBidi"/>
          <w:b w:val="0"/>
          <w:color w:val="000000"/>
          <w:kern w:val="2"/>
          <w:sz w:val="32"/>
          <w:szCs w:val="32"/>
          <w:lang w:val="en-US" w:bidi="ar-SA"/>
        </w:rPr>
      </w:pPr>
      <w:r>
        <w:rPr>
          <w:rFonts w:hint="eastAsia" w:ascii="黑体" w:hAnsi="黑体" w:eastAsia="黑体" w:cstheme="majorBidi"/>
          <w:b w:val="0"/>
          <w:color w:val="000000"/>
          <w:kern w:val="2"/>
          <w:sz w:val="32"/>
          <w:szCs w:val="32"/>
          <w:lang w:val="en-US" w:bidi="ar-SA"/>
        </w:rPr>
        <w:t>二、机构设置</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红岩镇人民政府属于一级预算单位，政府单位机构数1个，其中行政单位1个，参照公务员法管理的事业单位0个，其他事业单位0个。</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pStyle w:val="7"/>
        <w:keepNext w:val="0"/>
        <w:keepLines w:val="0"/>
        <w:widowControl/>
        <w:suppressLineNumbers w:val="0"/>
        <w:shd w:val="clear" w:fill="FFFFFF"/>
        <w:spacing w:before="210" w:beforeAutospacing="0" w:after="210" w:afterAutospacing="0" w:line="450" w:lineRule="atLeast"/>
        <w:ind w:left="0" w:right="0" w:firstLine="420"/>
        <w:jc w:val="center"/>
        <w:rPr>
          <w:rFonts w:hint="eastAsia" w:ascii="黑体" w:hAnsi="黑体" w:eastAsia="黑体" w:cs="Times New Roman"/>
          <w:b w:val="0"/>
          <w:bCs/>
          <w:kern w:val="44"/>
          <w:sz w:val="44"/>
          <w:szCs w:val="44"/>
          <w:lang w:val="en-US" w:eastAsia="zh-CN" w:bidi="ar-SA"/>
        </w:rPr>
      </w:pPr>
      <w:r>
        <w:rPr>
          <w:rFonts w:hint="eastAsia" w:ascii="黑体" w:hAnsi="黑体" w:eastAsia="黑体" w:cs="Times New Roman"/>
          <w:b w:val="0"/>
          <w:bCs/>
          <w:kern w:val="44"/>
          <w:sz w:val="44"/>
          <w:szCs w:val="44"/>
          <w:lang w:val="en-US" w:eastAsia="zh-CN" w:bidi="ar-SA"/>
        </w:rPr>
        <w:t>第二部分 2019年度部门决算情况说明</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cs="Times New Roman"/>
          <w:bCs/>
          <w:color w:val="000000"/>
          <w:sz w:val="32"/>
          <w:szCs w:val="32"/>
          <w:lang w:val="en-US"/>
        </w:rPr>
      </w:pP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 w:hAnsi="仿宋" w:eastAsia="仿宋" w:cs="Times New Roman"/>
          <w:b/>
          <w:bCs w:val="0"/>
          <w:color w:val="000000"/>
          <w:sz w:val="32"/>
          <w:szCs w:val="32"/>
          <w:lang w:val="en-US"/>
        </w:rPr>
      </w:pPr>
      <w:r>
        <w:rPr>
          <w:rFonts w:hint="eastAsia" w:ascii="仿宋" w:hAnsi="仿宋" w:eastAsia="仿宋" w:cs="Times New Roman"/>
          <w:b/>
          <w:bCs w:val="0"/>
          <w:color w:val="000000"/>
          <w:sz w:val="32"/>
          <w:szCs w:val="32"/>
          <w:lang w:val="en-US"/>
        </w:rPr>
        <w:t>一、 收入支出决算总体情况说明</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rPr>
      </w:pPr>
      <w:r>
        <w:rPr>
          <w:rFonts w:hint="eastAsia" w:ascii="仿宋" w:hAnsi="仿宋" w:eastAsia="仿宋" w:cs="仿宋"/>
          <w:b w:val="0"/>
          <w:i w:val="0"/>
          <w:caps w:val="0"/>
          <w:color w:val="333333"/>
          <w:spacing w:val="0"/>
          <w:sz w:val="32"/>
          <w:szCs w:val="32"/>
          <w:shd w:val="clear" w:color="auto" w:fill="FFFFFF"/>
          <w:lang w:val="en-US" w:eastAsia="zh-CN"/>
        </w:rPr>
        <w:t>2019年度收、支总计1101.52万元。与2018年相比，收、支总计减少249.04万元，下降59.68%。主要变动原因是项目支出减少。</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 w:hAnsi="仿宋" w:eastAsia="仿宋" w:cs="Times New Roman"/>
          <w:b/>
          <w:bCs w:val="0"/>
          <w:color w:val="000000"/>
          <w:sz w:val="32"/>
          <w:szCs w:val="32"/>
          <w:lang w:val="en-US"/>
        </w:rPr>
      </w:pPr>
      <w:r>
        <w:rPr>
          <w:rFonts w:hint="eastAsia" w:ascii="仿宋" w:hAnsi="仿宋" w:eastAsia="仿宋" w:cs="Times New Roman"/>
          <w:b/>
          <w:bCs w:val="0"/>
          <w:color w:val="000000"/>
          <w:sz w:val="32"/>
          <w:szCs w:val="32"/>
          <w:lang w:val="en-US"/>
        </w:rPr>
        <w:t>二、 收入决算情况说明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2019年本年收入合计544.51万元，其中：一般公共预算财政拨款收入544.51万元，占100%；政府性基金预算财政拨款收入0万元，占0% ；上级补助收入0万元，占0%；事业收入0万元，占0%；经营收入0万元，占0%；附属单位上缴收入0万元，占0%；其他收入0万元，占0%。</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 w:hAnsi="仿宋" w:eastAsia="仿宋" w:cs="Times New Roman"/>
          <w:b/>
          <w:bCs w:val="0"/>
          <w:color w:val="000000"/>
          <w:sz w:val="32"/>
          <w:szCs w:val="32"/>
          <w:lang w:val="en-US"/>
        </w:rPr>
      </w:pPr>
      <w:r>
        <w:rPr>
          <w:rFonts w:hint="eastAsia" w:ascii="仿宋" w:hAnsi="仿宋" w:eastAsia="仿宋" w:cs="Times New Roman"/>
          <w:b/>
          <w:bCs w:val="0"/>
          <w:color w:val="000000"/>
          <w:sz w:val="32"/>
          <w:szCs w:val="32"/>
          <w:lang w:val="en-US"/>
        </w:rPr>
        <w:t>三、 支出决算情况说明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2019年本年支出合计557.01万元，其中：基本支出465.39万元，占83.55%；项目支出91.62万元，占16.45%；上缴上级支出0万元，占0%；经营支出0万元，占0%；对附属单位补助支出0万元，占0%。</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 w:hAnsi="仿宋" w:eastAsia="仿宋" w:cs="Times New Roman"/>
          <w:b/>
          <w:bCs w:val="0"/>
          <w:color w:val="000000"/>
          <w:sz w:val="32"/>
          <w:szCs w:val="32"/>
          <w:lang w:val="en-US" w:eastAsia="zh-CN"/>
        </w:rPr>
      </w:pPr>
      <w:r>
        <w:rPr>
          <w:rFonts w:hint="eastAsia" w:ascii="仿宋" w:hAnsi="仿宋" w:eastAsia="仿宋" w:cs="Times New Roman"/>
          <w:b/>
          <w:bCs w:val="0"/>
          <w:color w:val="000000"/>
          <w:sz w:val="32"/>
          <w:szCs w:val="32"/>
          <w:lang w:val="en-US" w:eastAsia="zh-CN"/>
        </w:rPr>
        <w:t>四、财政拨款收入支出决算总体情况说明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2019年度收、支总计1101.52万元。与2018年相比，收、支总计减少249.04万元，下降59.68%。主要变动原因是项目支出减少。</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 w:hAnsi="仿宋" w:eastAsia="仿宋" w:cs="Times New Roman"/>
          <w:b/>
          <w:bCs w:val="0"/>
          <w:color w:val="000000"/>
          <w:sz w:val="32"/>
          <w:szCs w:val="32"/>
          <w:lang w:val="en-US" w:eastAsia="zh-CN"/>
        </w:rPr>
      </w:pPr>
      <w:r>
        <w:rPr>
          <w:rFonts w:hint="eastAsia" w:ascii="仿宋" w:hAnsi="仿宋" w:eastAsia="仿宋" w:cs="Times New Roman"/>
          <w:b/>
          <w:bCs w:val="0"/>
          <w:color w:val="000000"/>
          <w:sz w:val="32"/>
          <w:szCs w:val="32"/>
          <w:lang w:val="en-US" w:eastAsia="zh-CN"/>
        </w:rPr>
        <w:t>五、一般公共预算财政拨款支出决算情况说明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（一）一般公共预算财政拨款支出决算总体情况</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2019年一般公共预算财政拨款支出557.01万元，占本年支出合计的100%。与2018年相比，一般公共预算财政拨款减少237.06万元，下降29.85%。主要变动原因是扶贫项目支出减少。</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（二）一般公共预算财政拨款支出决算结构情况</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一般公共预算财政拨款支出557.01万元，主要用于以下方面:一般公共服务（类）支出178.18万元，占31.99%；公共安全（类）支出20.8万元，占3.73%；文化体育与传媒（类）支出0.84万元，占0.15%；社会保障和就业（类）支出53.3万元，占9.57%；医疗卫生与计划生育（类）支出15.5万元，占2.78%；城乡社区（类）支出5万元，占0.9%；农林水（类）支出262.33万元，占47.1%；住房保障支出21.06万元，占3.78%。</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（三）一般公共预算财政拨款支出决算具体情况</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2019年般公共预算支出决算数为557.01，完成预算100%。其中：</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1.一般公共服务（类）: 支出决算为178.18万元，完成预算100%。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2.公共安全（类）: 支出决算为20.8万元，完完成预算100%。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3.文化体育与传媒（类）: 支出决算为0.84万元，完成预算100%。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4.社会保障和就业（类）：支出决算53.3万元，完成预算100%。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5.医疗卫生与计划生育（类）：支出决算15.5万元，占2.78%完成预算100%。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6.城乡社区（类）支出：支出决算5万元，完成预算100%。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7.农林水（类）：支出决算262.33万元，完成预算100%。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8.住房保障（类）：支出决算21.06万元，完成预算100%。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六、一般公共预算财政拨款基本支出决算情况说明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2019年一般公共预算财政拨款基本支出465.39万元，其中：</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人员经费378.14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  日常公用经费87.25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kinsoku/>
        <w:wordWrap/>
        <w:overflowPunct/>
        <w:topLinePunct w:val="0"/>
        <w:autoSpaceDE/>
        <w:autoSpaceDN/>
        <w:bidi w:val="0"/>
        <w:adjustRightInd/>
        <w:spacing w:line="576" w:lineRule="exact"/>
        <w:ind w:firstLine="643" w:firstLineChars="200"/>
        <w:jc w:val="both"/>
        <w:textAlignment w:val="auto"/>
        <w:rPr>
          <w:rFonts w:hint="eastAsia" w:ascii="仿宋" w:hAnsi="仿宋" w:eastAsia="仿宋" w:cs="Times New Roman"/>
          <w:b/>
          <w:bCs w:val="0"/>
          <w:color w:val="000000"/>
          <w:sz w:val="32"/>
          <w:szCs w:val="32"/>
          <w:lang w:val="en-US" w:eastAsia="zh-CN"/>
        </w:rPr>
      </w:pPr>
      <w:r>
        <w:rPr>
          <w:rFonts w:hint="eastAsia" w:ascii="仿宋" w:hAnsi="仿宋" w:eastAsia="仿宋" w:cs="Times New Roman"/>
          <w:b/>
          <w:bCs w:val="0"/>
          <w:color w:val="000000"/>
          <w:sz w:val="32"/>
          <w:szCs w:val="32"/>
          <w:lang w:val="en-US" w:eastAsia="zh-CN"/>
        </w:rPr>
        <w:t>七、“三公”经费财政拨款支出决算情况说明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（一）“三公”经费财政拨款支出决算总体情况说明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2019年“三公”经费财政拨款支出决算为7.9万元，完成预算7.9万，与预算数持平。</w:t>
      </w:r>
    </w:p>
    <w:p>
      <w:pPr>
        <w:spacing w:line="600" w:lineRule="exact"/>
        <w:ind w:firstLine="643" w:firstLineChars="200"/>
        <w:outlineLvl w:val="2"/>
        <w:rPr>
          <w:rFonts w:hint="eastAsia" w:ascii="仿宋" w:hAnsi="仿宋" w:eastAsia="仿宋" w:cs="Times New Roman"/>
          <w:b/>
          <w:color w:val="000000"/>
          <w:sz w:val="32"/>
          <w:szCs w:val="32"/>
          <w:lang w:val="en-US" w:eastAsia="zh-CN"/>
        </w:rPr>
      </w:pPr>
      <w:r>
        <w:rPr>
          <w:rFonts w:hint="eastAsia" w:ascii="仿宋" w:hAnsi="仿宋" w:eastAsia="仿宋" w:cs="Times New Roman"/>
          <w:b/>
          <w:color w:val="000000"/>
          <w:sz w:val="32"/>
          <w:szCs w:val="32"/>
          <w:lang w:val="en-US" w:eastAsia="zh-CN"/>
        </w:rPr>
        <w:t>（二）“三公”经费财政拨款支出决算具体情况说明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2019年“三公”经费财政拨款支出决算中，因公出国（境）费支出决算0万元，占0%；公务用车购置及运行维护费支出决算0万元，占0%；公务接待费支出决算7.9万元，占100%。具体情况如下：</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1. </w:t>
      </w:r>
      <w:r>
        <w:rPr>
          <w:rFonts w:hint="eastAsia" w:ascii="仿宋" w:hAnsi="仿宋" w:eastAsia="仿宋" w:cs="仿宋"/>
          <w:b/>
          <w:bCs/>
          <w:i w:val="0"/>
          <w:caps w:val="0"/>
          <w:color w:val="333333"/>
          <w:spacing w:val="0"/>
          <w:sz w:val="32"/>
          <w:szCs w:val="32"/>
          <w:shd w:val="clear" w:color="auto" w:fill="FFFFFF"/>
          <w:lang w:val="en-US" w:eastAsia="zh-CN"/>
        </w:rPr>
        <w:t>因公出国（境）</w:t>
      </w:r>
      <w:r>
        <w:rPr>
          <w:rFonts w:hint="eastAsia" w:ascii="仿宋" w:hAnsi="仿宋" w:eastAsia="仿宋" w:cs="仿宋"/>
          <w:b w:val="0"/>
          <w:i w:val="0"/>
          <w:caps w:val="0"/>
          <w:color w:val="333333"/>
          <w:spacing w:val="0"/>
          <w:sz w:val="32"/>
          <w:szCs w:val="32"/>
          <w:shd w:val="clear" w:color="auto" w:fill="FFFFFF"/>
          <w:lang w:val="en-US" w:eastAsia="zh-CN"/>
        </w:rPr>
        <w:t>经费支出0万元，完成预算0%。全年安排因公出国（境）团组0次，出国（境）0人。</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w:t>
      </w:r>
      <w:r>
        <w:rPr>
          <w:rFonts w:hint="eastAsia" w:ascii="仿宋" w:hAnsi="仿宋" w:eastAsia="仿宋" w:cs="仿宋"/>
          <w:b/>
          <w:bCs/>
          <w:i w:val="0"/>
          <w:caps w:val="0"/>
          <w:color w:val="333333"/>
          <w:spacing w:val="0"/>
          <w:sz w:val="32"/>
          <w:szCs w:val="32"/>
          <w:shd w:val="clear" w:color="auto" w:fill="FFFFFF"/>
          <w:lang w:val="en-US" w:eastAsia="zh-CN"/>
        </w:rPr>
        <w:t>公务用车购置及运行维护费</w:t>
      </w:r>
      <w:r>
        <w:rPr>
          <w:rFonts w:hint="eastAsia" w:ascii="仿宋" w:hAnsi="仿宋" w:eastAsia="仿宋" w:cs="仿宋"/>
          <w:b w:val="0"/>
          <w:i w:val="0"/>
          <w:caps w:val="0"/>
          <w:color w:val="333333"/>
          <w:spacing w:val="0"/>
          <w:sz w:val="32"/>
          <w:szCs w:val="32"/>
          <w:shd w:val="clear" w:color="auto" w:fill="FFFFFF"/>
          <w:lang w:val="en-US" w:eastAsia="zh-CN"/>
        </w:rPr>
        <w:t>支出0万元,完成预算0%。</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其中：公务用车购置支出0万元。公务用车运行维护费支出0万元。</w:t>
      </w:r>
    </w:p>
    <w:p>
      <w:pPr>
        <w:keepNext w:val="0"/>
        <w:keepLines w:val="0"/>
        <w:widowControl/>
        <w:numPr>
          <w:ilvl w:val="0"/>
          <w:numId w:val="2"/>
        </w:numPr>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公务接待费</w:t>
      </w:r>
      <w:r>
        <w:rPr>
          <w:rFonts w:hint="eastAsia" w:ascii="仿宋" w:hAnsi="仿宋" w:eastAsia="仿宋" w:cs="仿宋"/>
          <w:b w:val="0"/>
          <w:i w:val="0"/>
          <w:caps w:val="0"/>
          <w:color w:val="333333"/>
          <w:spacing w:val="0"/>
          <w:sz w:val="32"/>
          <w:szCs w:val="32"/>
          <w:shd w:val="clear" w:color="auto" w:fill="FFFFFF"/>
          <w:lang w:val="en-US" w:eastAsia="zh-CN"/>
        </w:rPr>
        <w:t>支出7.9万元，完成预算100%。公务接待费支出决算比2018年减少0.08万元，下降1%。</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其中：国内公务接待支出7.9万元，主要用于执行公务、开展业务活动开支的交通费、住宿费、用餐费等。国内公务接待310批次，3150人次（不包括陪同人员），共计支出7.9万元，均为用餐费。</w:t>
      </w:r>
    </w:p>
    <w:p>
      <w:pPr>
        <w:keepNext w:val="0"/>
        <w:keepLines w:val="0"/>
        <w:widowControl/>
        <w:numPr>
          <w:ilvl w:val="0"/>
          <w:numId w:val="2"/>
        </w:numPr>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bCs w:val="0"/>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外事接待支出</w:t>
      </w:r>
      <w:r>
        <w:rPr>
          <w:rFonts w:hint="eastAsia" w:ascii="仿宋" w:hAnsi="仿宋" w:eastAsia="仿宋" w:cs="仿宋"/>
          <w:b w:val="0"/>
          <w:bCs w:val="0"/>
          <w:i w:val="0"/>
          <w:caps w:val="0"/>
          <w:color w:val="333333"/>
          <w:spacing w:val="0"/>
          <w:sz w:val="32"/>
          <w:szCs w:val="32"/>
          <w:shd w:val="clear" w:color="auto" w:fill="FFFFFF"/>
          <w:lang w:val="en-US" w:eastAsia="zh-CN"/>
        </w:rPr>
        <w:t>0万元，外事接待0批次，0人，共计支出0万元。</w:t>
      </w:r>
    </w:p>
    <w:p>
      <w:pPr>
        <w:pageBreakBefore w:val="0"/>
        <w:kinsoku/>
        <w:wordWrap/>
        <w:overflowPunct/>
        <w:topLinePunct w:val="0"/>
        <w:bidi w:val="0"/>
        <w:spacing w:line="600" w:lineRule="exact"/>
        <w:ind w:firstLine="800" w:firstLineChars="250"/>
        <w:textAlignment w:val="auto"/>
        <w:outlineLvl w:val="1"/>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八、政府性基金预算支出决算情况说明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2019年政府性基金预算拨款支出0万元。</w:t>
      </w:r>
    </w:p>
    <w:p>
      <w:pPr>
        <w:pageBreakBefore w:val="0"/>
        <w:kinsoku/>
        <w:wordWrap/>
        <w:overflowPunct/>
        <w:topLinePunct w:val="0"/>
        <w:bidi w:val="0"/>
        <w:spacing w:line="600" w:lineRule="exact"/>
        <w:ind w:firstLine="800" w:firstLineChars="250"/>
        <w:textAlignment w:val="auto"/>
        <w:outlineLvl w:val="1"/>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九、国有资本经营预算支出决算情况说明</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2019年国有资本经营预算拨款支0万元。</w:t>
      </w:r>
    </w:p>
    <w:p>
      <w:pPr>
        <w:pageBreakBefore w:val="0"/>
        <w:kinsoku/>
        <w:wordWrap/>
        <w:overflowPunct/>
        <w:topLinePunct w:val="0"/>
        <w:bidi w:val="0"/>
        <w:spacing w:line="600" w:lineRule="exact"/>
        <w:ind w:firstLine="800" w:firstLineChars="250"/>
        <w:textAlignment w:val="auto"/>
        <w:outlineLvl w:val="1"/>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十、其他重要事项的情况说明</w:t>
      </w:r>
    </w:p>
    <w:p>
      <w:pPr>
        <w:pageBreakBefore w:val="0"/>
        <w:kinsoku/>
        <w:wordWrap/>
        <w:overflowPunct/>
        <w:topLinePunct w:val="0"/>
        <w:bidi w:val="0"/>
        <w:spacing w:line="600" w:lineRule="exact"/>
        <w:ind w:firstLine="643" w:firstLineChars="200"/>
        <w:textAlignment w:val="auto"/>
        <w:outlineLvl w:val="2"/>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lang w:val="en-US" w:eastAsia="zh-CN"/>
        </w:rPr>
        <w:t>（一）机关运行经费支出情况</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2019年，红岩镇机关运行经费支出157.36万元，比2018年减少237.01万元，下降44.25%。主要原因是人员变动、城乡事务减少、脱贫攻坚相关经费减少。</w:t>
      </w:r>
    </w:p>
    <w:p>
      <w:pPr>
        <w:pageBreakBefore w:val="0"/>
        <w:kinsoku/>
        <w:wordWrap/>
        <w:overflowPunct/>
        <w:topLinePunct w:val="0"/>
        <w:bidi w:val="0"/>
        <w:spacing w:line="600" w:lineRule="exact"/>
        <w:ind w:firstLine="643" w:firstLineChars="200"/>
        <w:textAlignment w:val="auto"/>
        <w:outlineLvl w:val="2"/>
        <w:rPr>
          <w:rFonts w:hint="eastAsia" w:ascii="仿宋" w:hAnsi="仿宋" w:eastAsia="仿宋" w:cs="Times New Roman"/>
          <w:b/>
          <w:color w:val="000000"/>
          <w:sz w:val="32"/>
          <w:szCs w:val="32"/>
          <w:lang w:val="en-US" w:eastAsia="zh-CN"/>
        </w:rPr>
      </w:pPr>
      <w:r>
        <w:rPr>
          <w:rFonts w:hint="eastAsia" w:ascii="仿宋" w:hAnsi="仿宋" w:eastAsia="仿宋" w:cs="Times New Roman"/>
          <w:b/>
          <w:color w:val="000000"/>
          <w:sz w:val="32"/>
          <w:szCs w:val="32"/>
          <w:lang w:val="en-US" w:eastAsia="zh-CN"/>
        </w:rPr>
        <w:t>（二）政府采购支出情况</w:t>
      </w:r>
      <w:bookmarkStart w:id="1" w:name="_GoBack"/>
      <w:bookmarkEnd w:id="1"/>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2019年，广元市昭化区红岩镇人民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ageBreakBefore w:val="0"/>
        <w:kinsoku/>
        <w:wordWrap/>
        <w:overflowPunct/>
        <w:topLinePunct w:val="0"/>
        <w:bidi w:val="0"/>
        <w:spacing w:line="600" w:lineRule="exact"/>
        <w:ind w:firstLine="643" w:firstLineChars="200"/>
        <w:textAlignment w:val="auto"/>
        <w:outlineLvl w:val="2"/>
        <w:rPr>
          <w:rFonts w:hint="eastAsia" w:ascii="仿宋" w:hAnsi="仿宋" w:eastAsia="仿宋" w:cs="Times New Roman"/>
          <w:b/>
          <w:color w:val="000000"/>
          <w:sz w:val="32"/>
          <w:szCs w:val="32"/>
          <w:lang w:val="en-US" w:eastAsia="zh-CN"/>
        </w:rPr>
      </w:pPr>
      <w:r>
        <w:rPr>
          <w:rFonts w:hint="eastAsia" w:ascii="仿宋" w:hAnsi="仿宋" w:eastAsia="仿宋" w:cs="Times New Roman"/>
          <w:b/>
          <w:color w:val="000000"/>
          <w:sz w:val="32"/>
          <w:szCs w:val="32"/>
          <w:lang w:val="en-US" w:eastAsia="zh-CN"/>
        </w:rPr>
        <w:t>（三）国有资产占有使用情况</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截至2019年12月31日，广元市昭化区红岩镇人民政府共有车辆0辆，其中：部级领导干部用车0辆、一般公务用车0辆、一般执法执勤用车0辆、特种专业技术用车0辆、其他用车0辆，单价50万元以上通用设备0台（套），单价100万元以上专用设备0台（套）。</w:t>
      </w:r>
    </w:p>
    <w:p>
      <w:pPr>
        <w:pageBreakBefore w:val="0"/>
        <w:kinsoku/>
        <w:wordWrap/>
        <w:overflowPunct/>
        <w:topLinePunct w:val="0"/>
        <w:bidi w:val="0"/>
        <w:spacing w:line="600" w:lineRule="exact"/>
        <w:ind w:firstLine="643" w:firstLineChars="200"/>
        <w:textAlignment w:val="auto"/>
        <w:outlineLvl w:val="2"/>
        <w:rPr>
          <w:rFonts w:hint="eastAsia" w:ascii="仿宋" w:hAnsi="仿宋" w:eastAsia="仿宋" w:cs="Times New Roman"/>
          <w:b/>
          <w:color w:val="000000"/>
          <w:sz w:val="32"/>
          <w:szCs w:val="32"/>
          <w:lang w:val="en-US" w:eastAsia="zh-CN"/>
        </w:rPr>
      </w:pPr>
      <w:r>
        <w:rPr>
          <w:rFonts w:hint="eastAsia" w:ascii="仿宋" w:hAnsi="仿宋" w:eastAsia="仿宋" w:cs="Times New Roman"/>
          <w:b/>
          <w:color w:val="000000"/>
          <w:sz w:val="32"/>
          <w:szCs w:val="32"/>
          <w:lang w:val="en-US" w:eastAsia="zh-CN"/>
        </w:rPr>
        <w:t>（四）预算绩效管理情况</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根据预算绩效管理要求，本部门（单位）在年初预算编制阶段，组织对2019年农村公共运行维护资金项目开展了预算事前绩效评估，对1个项目编制了绩效目标，预算执行过程中，选取1个项目开展绩效监控，年终执行完毕后，对1个项目开展了绩效目标完成情况自评。</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本部门按要求对2019年部门整体支出开展绩效自评，从评价情况来看红岩镇2019年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2019年基本完成，在保障机关运转、履行职能职责上整体情况良好。通过对红岩镇2019年部门财务管理三级指标的分析考评，红岩镇2019年部门财务管理绩效评价得分为86分，综合评价结果为。本部门还自行组织了1个项目绩效评价，从评价情况来看基层组织活动和公共运行维护资金的实施，在项目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基层组织活动和公共运行维护资金三级指标的分析考评，该项目的绩效评价得分为94分(具体指标分值见附件)，综合评价结果为优级。</w:t>
      </w:r>
    </w:p>
    <w:p>
      <w:pPr>
        <w:pageBreakBefore w:val="0"/>
        <w:kinsoku/>
        <w:wordWrap/>
        <w:overflowPunct/>
        <w:topLinePunct w:val="0"/>
        <w:bidi w:val="0"/>
        <w:spacing w:line="600" w:lineRule="exact"/>
        <w:ind w:firstLine="643" w:firstLineChars="200"/>
        <w:textAlignment w:val="auto"/>
        <w:rPr>
          <w:rFonts w:hint="eastAsia" w:ascii="仿宋_GB2312" w:hAnsi="Times New Roman" w:eastAsia="仿宋_GB2312" w:cs="Times New Roman"/>
          <w:color w:val="000000"/>
          <w:sz w:val="32"/>
          <w:szCs w:val="32"/>
          <w:lang w:val="en-US" w:eastAsia="zh-CN"/>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r>
        <w:rPr>
          <w:rFonts w:hint="eastAsia" w:ascii="仿宋_GB2312" w:hAnsi="Times New Roman" w:eastAsia="仿宋_GB2312" w:cs="Times New Roman"/>
          <w:color w:val="000000"/>
          <w:sz w:val="32"/>
          <w:szCs w:val="32"/>
          <w:lang w:val="en-US" w:eastAsia="zh-CN"/>
        </w:rPr>
        <w:br w:type="textWrapping"/>
      </w:r>
      <w:r>
        <w:rPr>
          <w:rFonts w:hint="eastAsia" w:ascii="仿宋_GB2312" w:hAnsi="Times New Roman" w:eastAsia="仿宋_GB2312" w:cs="Times New Roman"/>
          <w:color w:val="000000"/>
          <w:sz w:val="32"/>
          <w:szCs w:val="32"/>
          <w:lang w:val="en-US" w:eastAsia="zh-CN"/>
        </w:rPr>
        <w:t>本部门在2019年度部门决算中反映农村公共运行维护资金项目绩效目标实际完成情况。已全部进行公示。</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农村公共运行维护资金项目绩效目标完成情况综述。项目全年预算数35万元，执行数为35万元，完成预算的100%。保障了加强基层组织建设，提高基层公共服务保障水平和社会治理能力，完成6村基础设施维护，维持6个村1个（社区）正常运行等。发现的主要问题：一是村社干部及农户对农村公共服务运行维护机制建设认识尚不到位，存在重建设、轻管理消极思想，对既有的建设成果不珍惜，不能长时间保持与维护。二是项目申报、实施、管理等系列程序尚缺乏一套完整、详细、有效的制度和奖惩措施，导致在项目实施过程中，存在有些具体细节不好把握的问题，如有待规范规定维护项目应有保质期标准等。三是资金存在严重不足，如有些村有道路由于遭受过暴雨毁损，没有足够的资金进行维护，个别山坪塘漏水无资金维修，日常道路保洁因为资金受限，工资太低，无人愿意清扫等问题。下一步改进措施：一是规范性出台一套项目管理的奖惩制度，促进村社及农户对维护项目成果的珍惜和保持。二是进一步完善法规程序，加强公开透明，避免民主参与流于形式。三是加大项目资金整合力度，促进到村项目由分散使用向综合投入转变。</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p>
    <w:tbl>
      <w:tblPr>
        <w:tblStyle w:val="8"/>
        <w:tblW w:w="9960" w:type="dxa"/>
        <w:tblInd w:w="0" w:type="dxa"/>
        <w:shd w:val="clear" w:color="auto" w:fill="FFFFFF"/>
        <w:tblLayout w:type="autofit"/>
        <w:tblCellMar>
          <w:top w:w="15" w:type="dxa"/>
          <w:left w:w="15" w:type="dxa"/>
          <w:bottom w:w="15" w:type="dxa"/>
          <w:right w:w="15" w:type="dxa"/>
        </w:tblCellMar>
      </w:tblPr>
      <w:tblGrid>
        <w:gridCol w:w="510"/>
        <w:gridCol w:w="1536"/>
        <w:gridCol w:w="1112"/>
        <w:gridCol w:w="2467"/>
        <w:gridCol w:w="2394"/>
        <w:gridCol w:w="1941"/>
      </w:tblGrid>
      <w:tr>
        <w:tblPrEx>
          <w:tblCellMar>
            <w:top w:w="15" w:type="dxa"/>
            <w:left w:w="15" w:type="dxa"/>
            <w:bottom w:w="15" w:type="dxa"/>
            <w:right w:w="15" w:type="dxa"/>
          </w:tblCellMar>
        </w:tblPrEx>
        <w:tc>
          <w:tcPr>
            <w:tcW w:w="9960" w:type="dxa"/>
            <w:gridSpan w:val="6"/>
            <w:tcBorders>
              <w:top w:val="nil"/>
              <w:left w:val="nil"/>
              <w:bottom w:val="nil"/>
              <w:right w:val="nil"/>
            </w:tcBorders>
            <w:shd w:val="clear" w:color="auto" w:fill="FFFFFF"/>
            <w:tcMar>
              <w:top w:w="45" w:type="dxa"/>
              <w:left w:w="75" w:type="dxa"/>
              <w:bottom w:w="45" w:type="dxa"/>
              <w:right w:w="75" w:type="dxa"/>
            </w:tcMar>
            <w:vAlign w:val="center"/>
          </w:tcPr>
          <w:p>
            <w:pPr>
              <w:pStyle w:val="7"/>
              <w:keepNext w:val="0"/>
              <w:keepLines w:val="0"/>
              <w:widowControl/>
              <w:suppressLineNumbers w:val="0"/>
              <w:spacing w:before="75" w:beforeAutospacing="0" w:after="75" w:afterAutospacing="0" w:line="450" w:lineRule="atLeast"/>
              <w:ind w:left="4173" w:right="0" w:hanging="1422"/>
              <w:jc w:val="both"/>
              <w:textAlignment w:val="center"/>
            </w:pPr>
            <w:r>
              <w:rPr>
                <w:rFonts w:ascii="黑体" w:hAnsi="宋体" w:eastAsia="黑体" w:cs="黑体"/>
                <w:i w:val="0"/>
                <w:iCs w:val="0"/>
                <w:caps w:val="0"/>
                <w:color w:val="000000"/>
                <w:spacing w:val="0"/>
                <w:sz w:val="36"/>
                <w:szCs w:val="36"/>
              </w:rPr>
              <w:t>项目支出绩效目标完成情况表</w:t>
            </w:r>
            <w:r>
              <w:rPr>
                <w:rFonts w:hint="eastAsia" w:ascii="宋体" w:hAnsi="宋体" w:eastAsia="宋体" w:cs="宋体"/>
                <w:b/>
                <w:bCs/>
                <w:i w:val="0"/>
                <w:iCs w:val="0"/>
                <w:caps w:val="0"/>
                <w:color w:val="000000"/>
                <w:spacing w:val="0"/>
                <w:sz w:val="36"/>
                <w:szCs w:val="36"/>
              </w:rPr>
              <w:br w:type="textWrapping"/>
            </w:r>
            <w:r>
              <w:rPr>
                <w:rFonts w:hint="eastAsia" w:ascii="宋体" w:hAnsi="宋体" w:eastAsia="宋体" w:cs="宋体"/>
                <w:i w:val="0"/>
                <w:iCs w:val="0"/>
                <w:caps w:val="0"/>
                <w:color w:val="000000"/>
                <w:spacing w:val="0"/>
                <w:sz w:val="36"/>
                <w:szCs w:val="36"/>
              </w:rPr>
              <w:t>(2019 年度)</w:t>
            </w:r>
          </w:p>
        </w:tc>
      </w:tr>
      <w:tr>
        <w:tblPrEx>
          <w:tblCellMar>
            <w:top w:w="15" w:type="dxa"/>
            <w:left w:w="15" w:type="dxa"/>
            <w:bottom w:w="15" w:type="dxa"/>
            <w:right w:w="15" w:type="dxa"/>
          </w:tblCellMar>
        </w:tblPrEx>
        <w:tc>
          <w:tcPr>
            <w:tcW w:w="3075" w:type="dxa"/>
            <w:gridSpan w:val="3"/>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项目名称</w:t>
            </w:r>
          </w:p>
        </w:tc>
        <w:tc>
          <w:tcPr>
            <w:tcW w:w="6870" w:type="dxa"/>
            <w:gridSpan w:val="3"/>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基层活动和公共服务运行经费</w:t>
            </w:r>
          </w:p>
        </w:tc>
      </w:tr>
      <w:tr>
        <w:tblPrEx>
          <w:shd w:val="clear" w:color="auto" w:fill="FFFFFF"/>
          <w:tblCellMar>
            <w:top w:w="15" w:type="dxa"/>
            <w:left w:w="15" w:type="dxa"/>
            <w:bottom w:w="15" w:type="dxa"/>
            <w:right w:w="15" w:type="dxa"/>
          </w:tblCellMar>
        </w:tblPrEx>
        <w:tc>
          <w:tcPr>
            <w:tcW w:w="3075" w:type="dxa"/>
            <w:gridSpan w:val="3"/>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预算单位</w:t>
            </w:r>
          </w:p>
        </w:tc>
        <w:tc>
          <w:tcPr>
            <w:tcW w:w="6870" w:type="dxa"/>
            <w:gridSpan w:val="3"/>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广元市昭化区红岩镇人民政府</w:t>
            </w:r>
          </w:p>
        </w:tc>
      </w:tr>
      <w:tr>
        <w:tblPrEx>
          <w:tblCellMar>
            <w:top w:w="15" w:type="dxa"/>
            <w:left w:w="15" w:type="dxa"/>
            <w:bottom w:w="15" w:type="dxa"/>
            <w:right w:w="15" w:type="dxa"/>
          </w:tblCellMar>
        </w:tblPrEx>
        <w:tc>
          <w:tcPr>
            <w:tcW w:w="3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预算执行情况(万元)</w:t>
            </w: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预算数:</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35万元</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执行数:</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35万元</w:t>
            </w:r>
          </w:p>
        </w:tc>
      </w:tr>
      <w:tr>
        <w:tblPrEx>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其中-财政拨款:</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35万元</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其中-财政拨款:</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35万元</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2685" w:type="dxa"/>
            <w:gridSpan w:val="2"/>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其它资金:</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0</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其它资金:</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tblCellMar>
            <w:top w:w="15" w:type="dxa"/>
            <w:left w:w="15" w:type="dxa"/>
            <w:bottom w:w="15" w:type="dxa"/>
            <w:right w:w="15" w:type="dxa"/>
          </w:tblCellMar>
        </w:tblPrEx>
        <w:tc>
          <w:tcPr>
            <w:tcW w:w="3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年度目标完成情况</w:t>
            </w:r>
          </w:p>
        </w:tc>
        <w:tc>
          <w:tcPr>
            <w:tcW w:w="5190" w:type="dxa"/>
            <w:gridSpan w:val="3"/>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预期目标</w:t>
            </w:r>
          </w:p>
        </w:tc>
        <w:tc>
          <w:tcPr>
            <w:tcW w:w="4380" w:type="dxa"/>
            <w:gridSpan w:val="2"/>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实际完成目标</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190" w:type="dxa"/>
            <w:gridSpan w:val="3"/>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firstLine="480"/>
              <w:jc w:val="both"/>
              <w:textAlignment w:val="center"/>
            </w:pPr>
            <w:r>
              <w:rPr>
                <w:rFonts w:hint="eastAsia" w:ascii="宋体" w:hAnsi="宋体" w:eastAsia="宋体" w:cs="宋体"/>
                <w:i w:val="0"/>
                <w:iCs w:val="0"/>
                <w:caps w:val="0"/>
                <w:color w:val="000000"/>
                <w:spacing w:val="0"/>
                <w:kern w:val="0"/>
                <w:sz w:val="24"/>
                <w:szCs w:val="24"/>
                <w:lang w:val="en-US" w:eastAsia="zh-CN" w:bidi="ar"/>
              </w:rPr>
              <w:t>加强基层组织建设，提高基层公共服务保障水平和社会治理能力，按照《广元市昭化区基层活动和公共服务运行经费使用管理办法》，开展组织活动15次，党员干部培训20次，走访慰问45次，完成7个村(社区)组织活动场所维护，完成7个村(社区)基础设施维护，完成7个村(社区)环境卫生管护，维持7个村(社区)正常运行等。</w:t>
            </w:r>
          </w:p>
        </w:tc>
        <w:tc>
          <w:tcPr>
            <w:tcW w:w="4380" w:type="dxa"/>
            <w:gridSpan w:val="2"/>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firstLine="480"/>
              <w:jc w:val="both"/>
              <w:textAlignment w:val="center"/>
            </w:pPr>
            <w:r>
              <w:rPr>
                <w:rFonts w:hint="eastAsia" w:ascii="宋体" w:hAnsi="宋体" w:eastAsia="宋体" w:cs="宋体"/>
                <w:i w:val="0"/>
                <w:iCs w:val="0"/>
                <w:caps w:val="0"/>
                <w:color w:val="000000"/>
                <w:spacing w:val="0"/>
                <w:kern w:val="0"/>
                <w:sz w:val="24"/>
                <w:szCs w:val="24"/>
                <w:lang w:val="en-US" w:eastAsia="zh-CN" w:bidi="ar"/>
              </w:rPr>
              <w:t>加强基层组织建设，提高基层公共服务保障水平和社会治理能力，按照《广元市昭化区基层活动和公共服务运行经费使用管理办法》，开展组织活动15次，党员干部培训20次，走访慰问45次，完成7个村(社区)组织活动场所维护，完成7个村(社区)基础设施维护，完成7个村(社区)环境卫生管护，维持7个村(社区)正常运行等。</w:t>
            </w:r>
          </w:p>
        </w:tc>
      </w:tr>
      <w:tr>
        <w:tblPrEx>
          <w:shd w:val="clear" w:color="auto" w:fill="FFFFFF"/>
          <w:tblCellMar>
            <w:top w:w="15" w:type="dxa"/>
            <w:left w:w="15" w:type="dxa"/>
            <w:bottom w:w="15" w:type="dxa"/>
            <w:right w:w="15" w:type="dxa"/>
          </w:tblCellMar>
        </w:tblPrEx>
        <w:tc>
          <w:tcPr>
            <w:tcW w:w="3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绩效指标完成情况</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一级指标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二级指标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三级指标</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预期指标值(包含数字及文字描述)</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实际完成指标值(包含数字及文字描述)</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数量指标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textAlignment w:val="center"/>
            </w:pPr>
            <w:r>
              <w:rPr>
                <w:rFonts w:hint="eastAsia" w:ascii="宋体" w:hAnsi="宋体" w:eastAsia="宋体" w:cs="宋体"/>
                <w:i w:val="0"/>
                <w:iCs w:val="0"/>
                <w:caps w:val="0"/>
                <w:color w:val="000000"/>
                <w:spacing w:val="0"/>
                <w:kern w:val="0"/>
                <w:sz w:val="24"/>
                <w:szCs w:val="24"/>
                <w:lang w:val="en-US" w:eastAsia="zh-CN" w:bidi="ar"/>
              </w:rPr>
              <w:t>村组织活动场所维护个数</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7个</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7个</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数量指标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村组织活动开展次数</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26次</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26次</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数量指标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垃圾清运次数</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800次</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800次</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质量指标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村容村貌、基础设施配备率</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100%</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100%</w:t>
            </w:r>
          </w:p>
        </w:tc>
      </w:tr>
      <w:tr>
        <w:tblPrEx>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质量指标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资金使用合理合规率</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100%</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100%</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质量指标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绩效评价得分</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≥95分</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≥95分</w:t>
            </w:r>
          </w:p>
        </w:tc>
      </w:tr>
      <w:tr>
        <w:tblPrEx>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时效指标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完成及时率</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100%</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100%</w:t>
            </w:r>
          </w:p>
        </w:tc>
      </w:tr>
      <w:tr>
        <w:tblPrEx>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成本指标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每个村活动场所维护资金概算</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31.2万元</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31.2万元</w:t>
            </w:r>
          </w:p>
        </w:tc>
      </w:tr>
      <w:tr>
        <w:tblPrEx>
          <w:shd w:val="clear" w:color="auto" w:fill="FFFFFF"/>
          <w:tblCellMar>
            <w:top w:w="15" w:type="dxa"/>
            <w:left w:w="15" w:type="dxa"/>
            <w:bottom w:w="15" w:type="dxa"/>
            <w:right w:w="15" w:type="dxa"/>
          </w:tblCellMar>
        </w:tblPrEx>
        <w:tc>
          <w:tcPr>
            <w:tcW w:w="3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项目完成指标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成本指标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其他（文化活动）</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3.8万元</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3.8万元</w:t>
            </w:r>
          </w:p>
        </w:tc>
      </w:tr>
      <w:tr>
        <w:tblPrEx>
          <w:tblCellMar>
            <w:top w:w="15" w:type="dxa"/>
            <w:left w:w="15" w:type="dxa"/>
            <w:bottom w:w="15" w:type="dxa"/>
            <w:right w:w="15" w:type="dxa"/>
          </w:tblCellMar>
        </w:tblPrEx>
        <w:tc>
          <w:tcPr>
            <w:tcW w:w="390" w:type="dxa"/>
            <w:vMerge w:val="restart"/>
            <w:tcBorders>
              <w:top w:val="nil"/>
              <w:left w:val="nil"/>
              <w:bottom w:val="nil"/>
              <w:right w:val="nil"/>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4"/>
                <w:szCs w:val="24"/>
                <w:lang w:val="en-US" w:eastAsia="zh-CN" w:bidi="ar"/>
              </w:rPr>
              <w:t>绩效指标完成情况</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效益指标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社会效益指标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覆盖村小组数</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41个</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41个</w:t>
            </w:r>
          </w:p>
        </w:tc>
      </w:tr>
      <w:tr>
        <w:tblPrEx>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效益指标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社会效益指标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覆盖党员数</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213人</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213人</w:t>
            </w:r>
          </w:p>
        </w:tc>
      </w:tr>
      <w:tr>
        <w:tblPrEx>
          <w:shd w:val="clear" w:color="auto" w:fill="FFFFFF"/>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效益指标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社会效益指标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覆盖村民数</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6312人</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6312人</w:t>
            </w:r>
          </w:p>
        </w:tc>
      </w:tr>
      <w:tr>
        <w:tblPrEx>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效益指标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社会效益指标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覆盖建档立卡贫困人数</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≥698人</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≥698人</w:t>
            </w:r>
          </w:p>
        </w:tc>
      </w:tr>
      <w:tr>
        <w:tblPrEx>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效益指标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社会效益指标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党组织的战斗堡垒作用</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明显发挥</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明显发挥</w:t>
            </w:r>
          </w:p>
        </w:tc>
      </w:tr>
      <w:tr>
        <w:tblPrEx>
          <w:shd w:val="clear" w:color="auto" w:fill="FFFFFF"/>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效益指标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可持续影响指标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项目使用年限标</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≥5年</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≥5年</w:t>
            </w:r>
          </w:p>
        </w:tc>
      </w:tr>
      <w:tr>
        <w:tblPrEx>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服务对象满意度指标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满意度指标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群众满意度</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w:t>
            </w:r>
          </w:p>
        </w:tc>
      </w:tr>
      <w:tr>
        <w:tblPrEx>
          <w:shd w:val="clear" w:color="auto" w:fill="FFFFFF"/>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服务对象满意度指标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满意度指标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党员满意度</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w:t>
            </w:r>
          </w:p>
        </w:tc>
      </w:tr>
      <w:tr>
        <w:tblPrEx>
          <w:shd w:val="clear" w:color="auto" w:fill="FFFFFF"/>
          <w:tblCellMar>
            <w:top w:w="15" w:type="dxa"/>
            <w:left w:w="15" w:type="dxa"/>
            <w:bottom w:w="15" w:type="dxa"/>
            <w:right w:w="15" w:type="dxa"/>
          </w:tblCellMar>
        </w:tblPrEx>
        <w:tc>
          <w:tcPr>
            <w:tcW w:w="390" w:type="dxa"/>
            <w:vMerge w:val="continue"/>
            <w:tcBorders>
              <w:top w:val="nil"/>
              <w:left w:val="nil"/>
              <w:bottom w:val="nil"/>
              <w:right w:val="nil"/>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56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服务对象满意度指标</w:t>
            </w:r>
          </w:p>
        </w:tc>
        <w:tc>
          <w:tcPr>
            <w:tcW w:w="111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满意度指标</w:t>
            </w:r>
          </w:p>
        </w:tc>
        <w:tc>
          <w:tcPr>
            <w:tcW w:w="249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受益贫困人口满意度</w:t>
            </w:r>
          </w:p>
        </w:tc>
        <w:tc>
          <w:tcPr>
            <w:tcW w:w="2430"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w:t>
            </w:r>
          </w:p>
        </w:tc>
        <w:tc>
          <w:tcPr>
            <w:tcW w:w="1935" w:type="dxa"/>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≥95%</w:t>
            </w:r>
          </w:p>
        </w:tc>
      </w:tr>
    </w:tbl>
    <w:p>
      <w:pPr>
        <w:keepNext w:val="0"/>
        <w:keepLines w:val="0"/>
        <w:widowControl/>
        <w:suppressLineNumbers w:val="0"/>
        <w:shd w:val="clear" w:fill="FFFFFF"/>
        <w:spacing w:before="210" w:beforeAutospacing="0" w:after="210" w:afterAutospacing="0" w:line="450" w:lineRule="atLeast"/>
        <w:ind w:left="630" w:right="0" w:firstLine="42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630" w:right="0" w:firstLine="420"/>
        <w:jc w:val="both"/>
        <w:rPr>
          <w:rFonts w:hint="eastAsia" w:ascii="宋体" w:hAnsi="宋体" w:eastAsia="宋体" w:cs="宋体"/>
          <w:i w:val="0"/>
          <w:iCs w:val="0"/>
          <w:caps w:val="0"/>
          <w:color w:val="000000"/>
          <w:spacing w:val="0"/>
          <w:sz w:val="24"/>
          <w:szCs w:val="24"/>
        </w:rPr>
      </w:pPr>
      <w:r>
        <w:rPr>
          <w:rFonts w:hint="eastAsia" w:ascii="仿宋" w:hAnsi="仿宋" w:eastAsia="仿宋" w:cs="楷体_GB2312"/>
          <w:b/>
          <w:bCs/>
          <w:sz w:val="32"/>
          <w:szCs w:val="32"/>
          <w:lang w:val="en-US" w:eastAsia="zh-CN"/>
        </w:rPr>
        <w:t>2.部门绩效评价结果</w:t>
      </w:r>
      <w:r>
        <w:rPr>
          <w:rFonts w:hint="eastAsia" w:ascii="宋体" w:hAnsi="宋体" w:eastAsia="宋体" w:cs="宋体"/>
          <w:i w:val="0"/>
          <w:iCs w:val="0"/>
          <w:caps w:val="0"/>
          <w:color w:val="000000"/>
          <w:spacing w:val="0"/>
          <w:kern w:val="0"/>
          <w:sz w:val="24"/>
          <w:szCs w:val="24"/>
          <w:shd w:val="clear" w:fill="FFFFFF"/>
          <w:lang w:val="en-US" w:eastAsia="zh-CN" w:bidi="ar"/>
        </w:rPr>
        <w:t>。</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2019年红岩镇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kinsoku/>
        <w:wordWrap/>
        <w:overflowPunct/>
        <w:topLinePunct w:val="0"/>
        <w:bidi w:val="0"/>
        <w:spacing w:line="60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通过对基层组织活动和公共运行维护资金专项资金项目三级指标的分析考评，该项目的绩效评价得分为90分(具体指标分值见附件)，综合评价结果为优级。</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pageBreakBefore w:val="0"/>
        <w:numPr>
          <w:ilvl w:val="0"/>
          <w:numId w:val="3"/>
        </w:numPr>
        <w:kinsoku/>
        <w:wordWrap/>
        <w:overflowPunct/>
        <w:topLinePunct w:val="0"/>
        <w:bidi w:val="0"/>
        <w:spacing w:line="600" w:lineRule="exact"/>
        <w:ind w:firstLine="663" w:firstLineChars="150"/>
        <w:jc w:val="center"/>
        <w:textAlignment w:val="auto"/>
        <w:outlineLvl w:val="0"/>
        <w:rPr>
          <w:rFonts w:hint="eastAsia" w:ascii="黑体" w:hAnsi="黑体" w:eastAsia="黑体" w:cs="Times New Roman"/>
          <w:b/>
          <w:color w:val="000000"/>
          <w:sz w:val="44"/>
          <w:szCs w:val="44"/>
        </w:rPr>
      </w:pPr>
      <w:r>
        <w:rPr>
          <w:rFonts w:hint="eastAsia" w:ascii="黑体" w:hAnsi="黑体" w:eastAsia="黑体" w:cs="Times New Roman"/>
          <w:b/>
          <w:color w:val="000000"/>
          <w:sz w:val="44"/>
          <w:szCs w:val="44"/>
          <w:lang w:val="en-US" w:eastAsia="zh-CN"/>
        </w:rPr>
        <w:t>名词解释</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1.财政拨款收入：指单位从同级财政部门取得的财政预算资金。</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2.事业收入：指事业单位开展专业业务活动及辅助活动取得的收入。</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3.经营收入：指事业单位在专业业务活动及其辅助活动之外开展非独立核算经营活动取得的收入。</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4.其他收入：指单位取得的除上述收入以外的各项收入。</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 xml:space="preserve">6.年初结转和结余：指以前年度尚未完成、结转到本年按有关规定继续使用的资金。 </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7.结余分配：指事业单位按照事业单位会计制度的规定从非财政补助结余中分配的事业基金和职工福利基金等。</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8、年末结转和结余：指单位按有关规定结转到下年或以后年度继续使用的资金。</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lang w:val="en-US" w:eastAsia="zh-CN"/>
        </w:rPr>
        <w:t>9</w:t>
      </w:r>
      <w:r>
        <w:rPr>
          <w:rFonts w:hint="eastAsia" w:ascii="仿宋" w:hAnsi="仿宋" w:eastAsia="仿宋" w:cs="仿宋"/>
          <w:b w:val="0"/>
          <w:i w:val="0"/>
          <w:caps w:val="0"/>
          <w:color w:val="333333"/>
          <w:spacing w:val="0"/>
          <w:sz w:val="32"/>
          <w:szCs w:val="32"/>
          <w:shd w:val="clear" w:color="auto" w:fill="FFFFFF"/>
        </w:rPr>
        <w:t>.基本支出：指为保障机构正常运转、完成日常工作任务而发生的人员支出和公用支出。</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lang w:val="en-US" w:eastAsia="zh-CN"/>
        </w:rPr>
        <w:t>10</w:t>
      </w:r>
      <w:r>
        <w:rPr>
          <w:rFonts w:hint="eastAsia" w:ascii="仿宋" w:hAnsi="仿宋" w:eastAsia="仿宋" w:cs="仿宋"/>
          <w:b w:val="0"/>
          <w:i w:val="0"/>
          <w:caps w:val="0"/>
          <w:color w:val="333333"/>
          <w:spacing w:val="0"/>
          <w:sz w:val="32"/>
          <w:szCs w:val="32"/>
          <w:shd w:val="clear" w:color="auto" w:fill="FFFFFF"/>
        </w:rPr>
        <w:t xml:space="preserve">.项目支出：指在基本支出之外为完成特定行政任务和事业发展目标所发生的支出。 </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lang w:val="en-US" w:eastAsia="zh-CN"/>
        </w:rPr>
        <w:t>11</w:t>
      </w:r>
      <w:r>
        <w:rPr>
          <w:rFonts w:hint="eastAsia" w:ascii="仿宋" w:hAnsi="仿宋" w:eastAsia="仿宋" w:cs="仿宋"/>
          <w:b w:val="0"/>
          <w:i w:val="0"/>
          <w:caps w:val="0"/>
          <w:color w:val="333333"/>
          <w:spacing w:val="0"/>
          <w:sz w:val="32"/>
          <w:szCs w:val="32"/>
          <w:shd w:val="clear" w:color="auto" w:fill="FFFFFF"/>
        </w:rPr>
        <w:t>.经营支出：指事业单位在专业业务活动及其辅助活动之外开展非独立核算经营活动发生的支出。</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lang w:val="en-US" w:eastAsia="zh-CN"/>
        </w:rPr>
        <w:t>12</w:t>
      </w:r>
      <w:r>
        <w:rPr>
          <w:rFonts w:hint="eastAsia" w:ascii="仿宋" w:hAnsi="仿宋" w:eastAsia="仿宋" w:cs="仿宋"/>
          <w:b w:val="0"/>
          <w:i w:val="0"/>
          <w:caps w:val="0"/>
          <w:color w:val="333333"/>
          <w:spacing w:val="0"/>
          <w:sz w:val="32"/>
          <w:szCs w:val="32"/>
          <w:shd w:val="clear" w:color="auto" w:fill="FFFFFF"/>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lang w:val="en-US" w:eastAsia="zh-CN"/>
        </w:rPr>
        <w:t>13</w:t>
      </w:r>
      <w:r>
        <w:rPr>
          <w:rFonts w:hint="eastAsia" w:ascii="仿宋" w:hAnsi="仿宋" w:eastAsia="仿宋" w:cs="仿宋"/>
          <w:b w:val="0"/>
          <w:i w:val="0"/>
          <w:caps w:val="0"/>
          <w:color w:val="333333"/>
          <w:spacing w:val="0"/>
          <w:sz w:val="32"/>
          <w:szCs w:val="32"/>
          <w:shd w:val="clear" w:color="auto"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b/>
          <w:bCs/>
          <w:i w:val="0"/>
          <w:iCs w:val="0"/>
          <w:caps w:val="0"/>
          <w:color w:val="000000"/>
          <w:spacing w:val="0"/>
          <w:kern w:val="0"/>
          <w:sz w:val="24"/>
          <w:szCs w:val="24"/>
          <w:shd w:val="clear" w:fill="FFFFFF"/>
          <w:lang w:val="en-US" w:eastAsia="zh-CN" w:bidi="ar"/>
        </w:rPr>
      </w:pPr>
    </w:p>
    <w:p>
      <w:pPr>
        <w:widowControl/>
        <w:ind w:firstLine="880" w:firstLineChars="200"/>
        <w:jc w:val="center"/>
        <w:rPr>
          <w:rFonts w:hint="eastAsia" w:ascii="黑体" w:hAnsi="黑体" w:eastAsia="黑体" w:cs="Times New Roman"/>
          <w:color w:val="000000"/>
          <w:sz w:val="44"/>
          <w:szCs w:val="44"/>
        </w:rPr>
      </w:pPr>
      <w:r>
        <w:rPr>
          <w:rFonts w:hint="eastAsia" w:ascii="黑体" w:hAnsi="黑体" w:eastAsia="黑体" w:cs="Times New Roman"/>
          <w:color w:val="000000"/>
          <w:sz w:val="44"/>
          <w:szCs w:val="44"/>
          <w:lang w:val="en-US" w:eastAsia="zh-CN"/>
        </w:rPr>
        <w:br w:type="textWrapping"/>
      </w:r>
      <w:r>
        <w:rPr>
          <w:rFonts w:hint="eastAsia" w:ascii="黑体" w:hAnsi="黑体" w:eastAsia="黑体" w:cs="Times New Roman"/>
          <w:color w:val="000000"/>
          <w:sz w:val="44"/>
          <w:szCs w:val="44"/>
          <w:lang w:val="en-US" w:eastAsia="zh-CN"/>
        </w:rPr>
        <w:t>第四部分 附件</w:t>
      </w:r>
    </w:p>
    <w:p>
      <w:pPr>
        <w:pStyle w:val="3"/>
        <w:pageBreakBefore w:val="0"/>
        <w:kinsoku/>
        <w:wordWrap/>
        <w:overflowPunct/>
        <w:topLinePunct w:val="0"/>
        <w:bidi w:val="0"/>
        <w:spacing w:line="600" w:lineRule="exact"/>
        <w:textAlignment w:val="auto"/>
        <w:rPr>
          <w:rStyle w:val="11"/>
          <w:rFonts w:ascii="仿宋" w:hAnsi="仿宋" w:eastAsia="仿宋"/>
          <w:b w:val="0"/>
          <w:bCs w:val="0"/>
          <w:sz w:val="32"/>
          <w:szCs w:val="32"/>
        </w:rPr>
      </w:pPr>
      <w:bookmarkStart w:id="0" w:name="_Toc15396615"/>
      <w:r>
        <w:rPr>
          <w:rStyle w:val="11"/>
          <w:rFonts w:hint="eastAsia" w:ascii="仿宋" w:hAnsi="仿宋" w:eastAsia="仿宋"/>
          <w:b w:val="0"/>
          <w:bCs w:val="0"/>
          <w:sz w:val="32"/>
          <w:szCs w:val="32"/>
        </w:rPr>
        <w:t>附件1</w:t>
      </w:r>
      <w:bookmarkEnd w:id="0"/>
    </w:p>
    <w:p>
      <w:pPr>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iCs w:val="0"/>
          <w:caps w:val="0"/>
          <w:color w:val="000000"/>
          <w:spacing w:val="0"/>
          <w:sz w:val="24"/>
          <w:szCs w:val="24"/>
        </w:rPr>
      </w:pPr>
    </w:p>
    <w:p>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r>
        <w:rPr>
          <w:rFonts w:hint="eastAsia" w:ascii="黑体" w:hAnsi="黑体" w:eastAsia="黑体" w:cs="方正小标宋简体"/>
          <w:sz w:val="36"/>
          <w:szCs w:val="36"/>
          <w:lang w:val="en-US" w:eastAsia="zh-CN"/>
        </w:rPr>
        <w:t>红岩镇人民政府2019年部门整体支出</w:t>
      </w:r>
    </w:p>
    <w:p>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r>
        <w:rPr>
          <w:rFonts w:hint="eastAsia" w:ascii="黑体" w:hAnsi="黑体" w:eastAsia="黑体" w:cs="方正小标宋简体"/>
          <w:sz w:val="36"/>
          <w:szCs w:val="36"/>
          <w:lang w:val="en-US" w:eastAsia="zh-CN"/>
        </w:rPr>
        <w:t>绩效评价报告</w:t>
      </w:r>
    </w:p>
    <w:p>
      <w:pPr>
        <w:keepNext w:val="0"/>
        <w:keepLines w:val="0"/>
        <w:widowControl/>
        <w:suppressLineNumbers w:val="0"/>
        <w:shd w:val="clear" w:fill="FFFFFF"/>
        <w:spacing w:before="210" w:beforeAutospacing="0" w:after="210" w:afterAutospacing="0" w:line="450" w:lineRule="atLeast"/>
        <w:ind w:left="0" w:right="0" w:firstLine="480"/>
        <w:jc w:val="both"/>
        <w:rPr>
          <w:rFonts w:hint="eastAsia" w:ascii="宋体" w:hAnsi="宋体" w:eastAsia="宋体" w:cs="宋体"/>
          <w:i w:val="0"/>
          <w:iCs w:val="0"/>
          <w:caps w:val="0"/>
          <w:color w:val="000000"/>
          <w:spacing w:val="0"/>
          <w:sz w:val="24"/>
          <w:szCs w:val="24"/>
        </w:rPr>
      </w:pPr>
    </w:p>
    <w:p>
      <w:pPr>
        <w:pageBreakBefore w:val="0"/>
        <w:kinsoku/>
        <w:wordWrap/>
        <w:overflowPunct/>
        <w:topLinePunct w:val="0"/>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一、部门（单位）概况</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（一）机构组成</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eastAsia="zh-CN"/>
        </w:rPr>
      </w:pPr>
      <w:r>
        <w:rPr>
          <w:rFonts w:hint="eastAsia" w:ascii="仿宋" w:hAnsi="仿宋" w:eastAsia="仿宋" w:cs="仿宋"/>
          <w:b w:val="0"/>
          <w:i w:val="0"/>
          <w:caps w:val="0"/>
          <w:color w:val="333333"/>
          <w:spacing w:val="0"/>
          <w:sz w:val="32"/>
          <w:szCs w:val="32"/>
          <w:shd w:val="clear" w:color="auto" w:fill="FFFFFF"/>
          <w:lang w:val="en-US" w:eastAsia="zh-CN"/>
        </w:rPr>
        <w:t>红岩镇2019年末机构数为1个，其中行政机关1个即红岩镇人民政府。</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（二）机构职能</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1.政府职能</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（2）制定并组织实施村镇建设规划，部署重点工程建设，地方道路建设及公共设施，水利设施的管理，负责土地、林木、水等自然资源和生态环境的保护，做好护林防火工作。</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（4）按计划组织本级财政收入和地方税的征收，完成国家财政计划，不断培植税源，管好财政资金，增强财政实力。</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（5）抓好精神文明建设，丰富群众文化生活，提倡移风易俗，反对封建迷信，破除陈规陋习，树立社会主义新风尚。</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（6）执行本级人民代表大会的决议和上级国家行政机关的决定和命令，发布决定和命令。</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（7）执行本行政区域内的经济和社会发展计划、预算。管理本行政区域内的经济、教育、科学、文化、卫生、体育事业和财政、民政、公安、司法行政、计划生育等行政工作。</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（8）保护好社会主义全民所有的财产和劳动群众集体所有财产，保护公民私有的合法财产，维护社会秩序，保障公民的人身权利、民主权利和其他权利。</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（9）保障农村集体经济组织应有的自主权。</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（10）保障少数民族的权利和尊重少数民族的风俗习惯。</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（11）保障宪法和法律赋予妇女的男女平等、同工同酬和婚姻自由平等各项权利。</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（12）完成和办理上级人民政府交办的其他事项。</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（三）人员概况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红岩镇共有编制25人，其中：行政编制13人，事业编制10人，工勤编制1人。2019年末部门决算实有在职编制内人员23人，较去年减少1人，其中：公务员12人，事业人员10人，工勤人员1人。按财政供给率分，均为财政全额供给。本单位退休人员10人，其中：公务员4人，事业人员65人。其他人员有15人，其中：三支一扶2人，交通协管员1人，遗属10人，临时炊事人员1人，西部志愿者1人。</w:t>
      </w:r>
    </w:p>
    <w:p>
      <w:pPr>
        <w:pageBreakBefore w:val="0"/>
        <w:kinsoku/>
        <w:wordWrap/>
        <w:overflowPunct/>
        <w:topLinePunct w:val="0"/>
        <w:bidi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二、部门财政资金收支情况</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（一）部门财政资金收入情况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2019年本年收入合计544.51万元，其中：一般公共预算财政拨款收入544.51万元，占100%；政府性基金预算财政拨款收入0万元，占0% ；上级补助收入0万元，占0%；事业收入0万元，占0%；经营收入0万元，占0%；附属单位上缴收入0万元，占0%；其他收入0万元，占0%。</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（二）部门财政资金支出情况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2019年本年支出合计557.01万元，其中：基本支出465.39万元，占83.55%；项目支出91.62万元，占16.45%；上缴上级支出0万元，占0%；经营支出0万元，占0%；对附属单位补助支出0万元，占0%。</w:t>
      </w:r>
    </w:p>
    <w:p>
      <w:pPr>
        <w:pageBreakBefore w:val="0"/>
        <w:kinsoku/>
        <w:wordWrap/>
        <w:overflowPunct/>
        <w:topLinePunct w:val="0"/>
        <w:bidi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三、部门整体预算绩效管理情况</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（一）部门预算管理</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红岩镇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2019年基本完成，在保障机关运转、履行职能职责上整体情况良好。</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（二）结果应用情况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1.部门职责履行结果。我镇大力加强财政收支管理，使部门整体支出管理情况得到了提升，保障了各项工作的有序高效运转，较好地履行了各项职能，并完成了上级交镇的各项任务。</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重点项目绩效评价结果。2019年，我镇从本级预算安排项目中选择重点项目开展支出绩效评价工作，从评价结果看，被评价项目总体绩效目标明确，决策依据充分，资金分配科学合理，项目管理较规范，项目完成良好，基本达到了预期效果。</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3.服务对象满意度。积极认真镇梳理人大代表建议、妥善处理群众来信来访、化解社会矛盾情况，加强政风行风建设、解决损害群众利益的情况，人民群众满意度较好。</w:t>
      </w:r>
    </w:p>
    <w:p>
      <w:pPr>
        <w:pageBreakBefore w:val="0"/>
        <w:kinsoku/>
        <w:wordWrap/>
        <w:overflowPunct/>
        <w:topLinePunct w:val="0"/>
        <w:bidi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四、评价结论及建议</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（一）评价结论</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我镇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（二）存在问题</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1.面对复杂的经济环境，财政增收的压力进一步加大，财政收入结构性矛盾突出。</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2.财政科学化、精细化管理水平有待进一步提高等。</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3.财政资源配置作用有待进一步加强。</w:t>
      </w:r>
    </w:p>
    <w:p>
      <w:pPr>
        <w:pageBreakBefore w:val="0"/>
        <w:kinsoku/>
        <w:wordWrap/>
        <w:overflowPunct/>
        <w:topLinePunct w:val="0"/>
        <w:bidi w:val="0"/>
        <w:spacing w:line="600" w:lineRule="exact"/>
        <w:ind w:firstLine="643" w:firstLineChars="200"/>
        <w:textAlignment w:val="auto"/>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（三）改进建议</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1.抓好税收征管工作，坚持依法征税,做好企业服务工作，稳固主体税源；加强财政非税收入征缴，努力做到应收尽收，确保财政收入稳定增长。</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2.不断完善部门预算编制工作，在规范制度、细化编制、严肃执行等方面下功夫，切实提高预算管理全过程的科学化和精细化水平。</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3.优化支出结构，统筹运用财力，合理调度财政资金，确保正常运转和社会稳定。加强财政监督，完善监督制约机制，特别是加强项目资金管理，做到专款专用，不断提高财政资金的使用效益。</w:t>
      </w: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宋体" w:hAnsi="宋体" w:eastAsia="宋体" w:cs="宋体"/>
          <w:i w:val="0"/>
          <w:iCs w:val="0"/>
          <w:caps w:val="0"/>
          <w:color w:val="000000"/>
          <w:spacing w:val="0"/>
          <w:sz w:val="24"/>
          <w:szCs w:val="24"/>
        </w:rPr>
      </w:pPr>
    </w:p>
    <w:p>
      <w:pPr>
        <w:pageBreakBefore w:val="0"/>
        <w:widowControl/>
        <w:kinsoku/>
        <w:wordWrap/>
        <w:overflowPunct/>
        <w:topLinePunct w:val="0"/>
        <w:bidi w:val="0"/>
        <w:spacing w:line="600" w:lineRule="exact"/>
        <w:jc w:val="left"/>
        <w:textAlignment w:val="auto"/>
        <w:rPr>
          <w:rStyle w:val="11"/>
          <w:rFonts w:hint="eastAsia" w:ascii="仿宋" w:hAnsi="仿宋" w:eastAsia="仿宋" w:cs="Times New Roman"/>
          <w:b w:val="0"/>
          <w:bCs w:val="0"/>
          <w:sz w:val="32"/>
          <w:szCs w:val="32"/>
        </w:rPr>
      </w:pPr>
      <w:r>
        <w:rPr>
          <w:rStyle w:val="11"/>
          <w:rFonts w:hint="eastAsia" w:ascii="仿宋" w:hAnsi="仿宋" w:eastAsia="仿宋" w:cs="Times New Roman"/>
          <w:b w:val="0"/>
          <w:bCs w:val="0"/>
          <w:sz w:val="32"/>
          <w:szCs w:val="32"/>
          <w:lang w:val="en-US" w:eastAsia="zh-CN"/>
        </w:rPr>
        <w:t>附件2</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lang w:eastAsia="zh-CN"/>
        </w:rPr>
      </w:pP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lang w:eastAsia="zh-CN"/>
        </w:rPr>
      </w:pPr>
      <w:r>
        <w:rPr>
          <w:rFonts w:hint="eastAsia" w:ascii="黑体" w:hAnsi="黑体" w:eastAsia="黑体" w:cs="方正小标宋简体"/>
          <w:sz w:val="44"/>
          <w:szCs w:val="44"/>
          <w:lang w:val="en-US" w:eastAsia="zh-CN"/>
        </w:rPr>
        <w:t>广元市昭化区红岩镇人民政府</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lang w:eastAsia="zh-CN"/>
        </w:rPr>
      </w:pPr>
      <w:r>
        <w:rPr>
          <w:rFonts w:hint="eastAsia" w:ascii="黑体" w:hAnsi="黑体" w:eastAsia="黑体" w:cs="方正小标宋简体"/>
          <w:sz w:val="44"/>
          <w:szCs w:val="44"/>
          <w:lang w:val="en-US" w:eastAsia="zh-CN"/>
        </w:rPr>
        <w:t>2019年农村公共运行维护项目支出绩效</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lang w:eastAsia="zh-CN"/>
        </w:rPr>
      </w:pPr>
      <w:r>
        <w:rPr>
          <w:rFonts w:hint="eastAsia" w:ascii="黑体" w:hAnsi="黑体" w:eastAsia="黑体" w:cs="方正小标宋简体"/>
          <w:sz w:val="44"/>
          <w:szCs w:val="44"/>
          <w:lang w:val="en-US" w:eastAsia="zh-CN"/>
        </w:rPr>
        <w:t>评价报告</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lang w:val="en-US" w:eastAsia="zh-CN"/>
        </w:rPr>
        <w:t>一、项目概况</w:t>
      </w:r>
    </w:p>
    <w:p>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（一）项目基本情况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区财政局下达农公运资金35万元，我镇根据相关规定按一个社区5万元，一类、二类村各5万进行分配，各村（社区）均首先村民征求项目实施的意见，并将调查结果汇总后公示。经村（社区）“三委”审议初步方案，确定实施项目后在村民代表会议表决后实施。各村项目均先由实施方实施，待项目完成后，由镇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（二）项目绩效目标</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通过对2019年公共运行维护资金项目支出绩效的综合评价，实现财政资源的合理配置，提高财政性资金使用的经济性、效益性和效率性。通过了解项目资金使用情况和取得的效果，总结项目专项资金支出及项目管理经验，发现资金支出存在的问题，进一步加强和规范资金管理，完善资金管理制度，提高资金支出的管理水平，为申报绩效目标、优化财政支出结构提供决策参考和依据。</w:t>
      </w:r>
    </w:p>
    <w:p>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（三）项目自评步骤及方法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华文仿宋" w:hAnsi="华文仿宋" w:eastAsia="华文仿宋" w:cs="华文仿宋"/>
          <w:b/>
          <w:bCs/>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1、绩效评价原则</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（1）相关性原则。选定的绩效评价指标与其所做的工作和完成的任务有直接的联系。</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（2）重要性原则。对绩效评价指标在整个评价过程中的地位和作用进行筛选，选择最具有代表性、最能反映评价要求的绩效评价指标。</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（3）可比性原则。对具有相似目标的工作选定共同的绩效目标，保证绩效结果可以相互比较。</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（4）经济性原则。绩效评价指标要考虑现实条件和可操作性，能在合理的成本基础上取得绩效目标数据并进行评价。</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（5）动态性原则。项目绩效评价是一个动态过程，反映专项资金项目绩效的指标体系同样不能一成不变，而应是动态性的、可补充的，可根据绩效评价工作的开展情况，不断调整、完善基本指标。</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（6）系统性原则。应当将定量指标与定性指标相结合，系统反映预算支出所产生的效益。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华文仿宋" w:hAnsi="华文仿宋" w:eastAsia="华文仿宋" w:cs="华文仿宋"/>
          <w:b/>
          <w:bCs/>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2、评价指标体系</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基层组织活动和公共运行维护资金项目支出绩效评价指标体系原则上按照《2019年广元市昭化区项目支出绩效评价指标体系》设置，整个评价指标体系包括3个一级指标、10个二级指标和若干个三级指标。</w:t>
      </w:r>
    </w:p>
    <w:p>
      <w:pPr>
        <w:keepNext w:val="0"/>
        <w:keepLines w:val="0"/>
        <w:widowControl/>
        <w:suppressLineNumbers w:val="0"/>
        <w:shd w:val="clear" w:fill="FFFFFF"/>
        <w:spacing w:before="210" w:beforeAutospacing="0" w:after="210" w:afterAutospacing="0" w:line="450" w:lineRule="atLeast"/>
        <w:ind w:left="420" w:right="0" w:firstLine="420"/>
        <w:jc w:val="both"/>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(1)项目决策指标</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tbl>
      <w:tblPr>
        <w:tblStyle w:val="8"/>
        <w:tblW w:w="8820" w:type="dxa"/>
        <w:tblInd w:w="0" w:type="dxa"/>
        <w:shd w:val="clear" w:color="auto" w:fill="FFFFFF"/>
        <w:tblLayout w:type="autofit"/>
        <w:tblCellMar>
          <w:top w:w="15" w:type="dxa"/>
          <w:left w:w="15" w:type="dxa"/>
          <w:bottom w:w="15" w:type="dxa"/>
          <w:right w:w="15" w:type="dxa"/>
        </w:tblCellMar>
      </w:tblPr>
      <w:tblGrid>
        <w:gridCol w:w="1053"/>
        <w:gridCol w:w="1626"/>
        <w:gridCol w:w="1144"/>
        <w:gridCol w:w="572"/>
        <w:gridCol w:w="4425"/>
      </w:tblGrid>
      <w:tr>
        <w:tblPrEx>
          <w:shd w:val="clear" w:color="auto" w:fill="FFFFFF"/>
          <w:tblCellMar>
            <w:top w:w="15" w:type="dxa"/>
            <w:left w:w="15" w:type="dxa"/>
            <w:bottom w:w="15" w:type="dxa"/>
            <w:right w:w="15" w:type="dxa"/>
          </w:tblCellMar>
        </w:tblPrEx>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一级指标</w:t>
            </w: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二级指标</w:t>
            </w:r>
          </w:p>
        </w:tc>
        <w:tc>
          <w:tcPr>
            <w:tcW w:w="114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三级指标</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分值</w:t>
            </w:r>
          </w:p>
        </w:tc>
        <w:tc>
          <w:tcPr>
            <w:tcW w:w="44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指标评价内容</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44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shd w:val="clear" w:color="auto" w:fill="FFFFFF"/>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44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tblCellMar>
            <w:top w:w="15" w:type="dxa"/>
            <w:left w:w="15" w:type="dxa"/>
            <w:bottom w:w="15" w:type="dxa"/>
            <w:right w:w="15" w:type="dxa"/>
          </w:tblCellMar>
        </w:tblPrEx>
        <w:tc>
          <w:tcPr>
            <w:tcW w:w="105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项目决策（20分）</w:t>
            </w: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绩效目标（6分）</w:t>
            </w: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绩效目标</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3</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项目预期提供的产品、服务、效益或其他目标明确、是否细化、量化</w:t>
            </w:r>
          </w:p>
        </w:tc>
      </w:tr>
      <w:tr>
        <w:tblPrEx>
          <w:shd w:val="clear" w:color="auto" w:fill="FFFFFF"/>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进度计划</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1</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项目计划实施进度明确</w:t>
            </w:r>
          </w:p>
        </w:tc>
      </w:tr>
      <w:tr>
        <w:tblPrEx>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目标需求</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目标设定符合实际需求的抽样项目点个数/抽样项目点总数×100%</w:t>
            </w:r>
          </w:p>
        </w:tc>
      </w:tr>
      <w:tr>
        <w:tblPrEx>
          <w:shd w:val="clear" w:color="auto" w:fill="FFFFFF"/>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决策依据（7分）</w:t>
            </w: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政策依据</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1</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项目符合党中央、国务院和省、市、区决策部署；符合当前经济社会发展需要</w:t>
            </w:r>
          </w:p>
        </w:tc>
      </w:tr>
      <w:tr>
        <w:tblPrEx>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实施方案</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制订实施方案，内容完整，并获得批准</w:t>
            </w:r>
          </w:p>
        </w:tc>
      </w:tr>
      <w:tr>
        <w:tblPrEx>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1</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实施规划符合实际，并根据情况变化适时调整</w:t>
            </w:r>
          </w:p>
        </w:tc>
      </w:tr>
      <w:tr>
        <w:tblPrEx>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管理制度</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3</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项目资金管理制度、决策程序明确</w:t>
            </w:r>
          </w:p>
        </w:tc>
      </w:tr>
      <w:tr>
        <w:tblPrEx>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资金分配（4分）</w:t>
            </w: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分配过程</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分配过程符合相关规定</w:t>
            </w:r>
          </w:p>
        </w:tc>
      </w:tr>
      <w:tr>
        <w:tblPrEx>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分配时效</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主管部门按规定及时分配资金</w:t>
            </w:r>
          </w:p>
        </w:tc>
      </w:tr>
      <w:tr>
        <w:tblPrEx>
          <w:shd w:val="clear" w:color="auto" w:fill="FFFFFF"/>
          <w:tblCellMar>
            <w:top w:w="15" w:type="dxa"/>
            <w:left w:w="15" w:type="dxa"/>
            <w:bottom w:w="15" w:type="dxa"/>
            <w:right w:w="15" w:type="dxa"/>
          </w:tblCellMar>
        </w:tblPrEx>
        <w:tc>
          <w:tcPr>
            <w:tcW w:w="105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分配结果（3分）</w:t>
            </w: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审核把关</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3</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项目符合申报条件，并经过审核</w:t>
            </w:r>
          </w:p>
        </w:tc>
      </w:tr>
    </w:tbl>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(2)项目管理指标</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tbl>
      <w:tblPr>
        <w:tblStyle w:val="8"/>
        <w:tblW w:w="8820" w:type="dxa"/>
        <w:tblInd w:w="0" w:type="dxa"/>
        <w:shd w:val="clear" w:color="auto" w:fill="FFFFFF"/>
        <w:tblLayout w:type="autofit"/>
        <w:tblCellMar>
          <w:top w:w="15" w:type="dxa"/>
          <w:left w:w="15" w:type="dxa"/>
          <w:bottom w:w="15" w:type="dxa"/>
          <w:right w:w="15" w:type="dxa"/>
        </w:tblCellMar>
      </w:tblPr>
      <w:tblGrid>
        <w:gridCol w:w="1053"/>
        <w:gridCol w:w="1626"/>
        <w:gridCol w:w="1144"/>
        <w:gridCol w:w="572"/>
        <w:gridCol w:w="4425"/>
      </w:tblGrid>
      <w:tr>
        <w:tblPrEx>
          <w:tblCellMar>
            <w:top w:w="15" w:type="dxa"/>
            <w:left w:w="15" w:type="dxa"/>
            <w:bottom w:w="15" w:type="dxa"/>
            <w:right w:w="15" w:type="dxa"/>
          </w:tblCellMar>
        </w:tblPrEx>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一级指标</w:t>
            </w: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二级指标</w:t>
            </w:r>
          </w:p>
        </w:tc>
        <w:tc>
          <w:tcPr>
            <w:tcW w:w="114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三级指标</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分值</w:t>
            </w:r>
          </w:p>
        </w:tc>
        <w:tc>
          <w:tcPr>
            <w:tcW w:w="44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指标评价内容</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44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shd w:val="clear" w:color="auto" w:fill="FFFFFF"/>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44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tblCellMar>
            <w:top w:w="15" w:type="dxa"/>
            <w:left w:w="15" w:type="dxa"/>
            <w:bottom w:w="15" w:type="dxa"/>
            <w:right w:w="15" w:type="dxa"/>
          </w:tblCellMar>
        </w:tblPrEx>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项目管理（25分）</w:t>
            </w:r>
          </w:p>
        </w:tc>
        <w:tc>
          <w:tcPr>
            <w:tcW w:w="16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资金到位</w:t>
            </w:r>
          </w:p>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（7分）</w:t>
            </w:r>
          </w:p>
        </w:tc>
        <w:tc>
          <w:tcPr>
            <w:tcW w:w="1140" w:type="dxa"/>
            <w:tcBorders>
              <w:top w:val="nil"/>
              <w:left w:val="nil"/>
              <w:bottom w:val="nil"/>
              <w:right w:val="nil"/>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资金到位率</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3</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资金到位率=实际到位资金/计划投入资金×100%</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资金拨付</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4</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按规定及时拨付资金</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资金管理</w:t>
            </w:r>
          </w:p>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（10分）</w:t>
            </w: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使用范围</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5</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专款专用</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支付依据</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5</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资金支付依据符合规定</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财务管理</w:t>
            </w:r>
          </w:p>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（2分）</w:t>
            </w: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财务制度</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1</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财务制度健全，管理规范</w:t>
            </w:r>
          </w:p>
        </w:tc>
      </w:tr>
      <w:tr>
        <w:tblPrEx>
          <w:shd w:val="clear" w:color="auto" w:fill="FFFFFF"/>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会计核算</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1</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会计核算规范</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组织实施</w:t>
            </w:r>
          </w:p>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（6分）</w:t>
            </w: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项目实施</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项目按实施方案实施，如有调整，调整严格履行相关手续</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投资变更</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项目投资变更额/项目总投入×100%</w:t>
            </w:r>
          </w:p>
        </w:tc>
      </w:tr>
      <w:tr>
        <w:tblPrEx>
          <w:shd w:val="clear" w:color="auto" w:fill="FFFFFF"/>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制度执行</w:t>
            </w:r>
          </w:p>
        </w:tc>
        <w:tc>
          <w:tcPr>
            <w:tcW w:w="57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严格执行项目有关制度规定</w:t>
            </w:r>
          </w:p>
        </w:tc>
      </w:tr>
    </w:tbl>
    <w:p>
      <w:pPr>
        <w:keepNext w:val="0"/>
        <w:keepLines w:val="0"/>
        <w:widowControl/>
        <w:suppressLineNumbers w:val="0"/>
        <w:shd w:val="clear" w:fill="FFFFFF"/>
        <w:spacing w:before="210" w:beforeAutospacing="0" w:after="210" w:afterAutospacing="0" w:line="450" w:lineRule="atLeast"/>
        <w:ind w:left="0" w:right="0" w:firstLine="640"/>
        <w:jc w:val="both"/>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(3)项目绩效指标</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该类一级指标包含2个二级指标，8个三级指标，总分值55分。主要评价项目产出情况、社会效果、受益群众满意度。</w:t>
      </w:r>
    </w:p>
    <w:tbl>
      <w:tblPr>
        <w:tblStyle w:val="8"/>
        <w:tblW w:w="8820" w:type="dxa"/>
        <w:tblInd w:w="0" w:type="dxa"/>
        <w:shd w:val="clear" w:color="auto" w:fill="FFFFFF"/>
        <w:tblLayout w:type="autofit"/>
        <w:tblCellMar>
          <w:top w:w="15" w:type="dxa"/>
          <w:left w:w="15" w:type="dxa"/>
          <w:bottom w:w="15" w:type="dxa"/>
          <w:right w:w="15" w:type="dxa"/>
        </w:tblCellMar>
      </w:tblPr>
      <w:tblGrid>
        <w:gridCol w:w="1053"/>
        <w:gridCol w:w="1626"/>
        <w:gridCol w:w="1144"/>
        <w:gridCol w:w="572"/>
        <w:gridCol w:w="4425"/>
      </w:tblGrid>
      <w:tr>
        <w:tblPrEx>
          <w:shd w:val="clear" w:color="auto" w:fill="FFFFFF"/>
          <w:tblCellMar>
            <w:top w:w="15" w:type="dxa"/>
            <w:left w:w="15" w:type="dxa"/>
            <w:bottom w:w="15" w:type="dxa"/>
            <w:right w:w="15" w:type="dxa"/>
          </w:tblCellMar>
        </w:tblPrEx>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一级指标</w:t>
            </w:r>
          </w:p>
        </w:tc>
        <w:tc>
          <w:tcPr>
            <w:tcW w:w="162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二级指标</w:t>
            </w:r>
          </w:p>
        </w:tc>
        <w:tc>
          <w:tcPr>
            <w:tcW w:w="114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三级指标</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分值</w:t>
            </w:r>
          </w:p>
        </w:tc>
        <w:tc>
          <w:tcPr>
            <w:tcW w:w="44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b/>
                <w:bCs/>
                <w:i w:val="0"/>
                <w:iCs w:val="0"/>
                <w:caps w:val="0"/>
                <w:color w:val="000000"/>
                <w:spacing w:val="0"/>
                <w:kern w:val="0"/>
                <w:sz w:val="22"/>
                <w:szCs w:val="22"/>
                <w:lang w:val="en-US" w:eastAsia="zh-CN" w:bidi="ar"/>
              </w:rPr>
              <w:t>指标评价内容</w:t>
            </w:r>
          </w:p>
        </w:tc>
      </w:tr>
      <w:tr>
        <w:tblPrEx>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44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shd w:val="clear" w:color="auto" w:fill="FFFFFF"/>
          <w:tblCellMar>
            <w:top w:w="15" w:type="dxa"/>
            <w:left w:w="15" w:type="dxa"/>
            <w:bottom w:w="15" w:type="dxa"/>
            <w:right w:w="15" w:type="dxa"/>
          </w:tblCellMar>
        </w:tblPrEx>
        <w:tc>
          <w:tcPr>
            <w:tcW w:w="1050" w:type="dxa"/>
            <w:vMerge w:val="continue"/>
            <w:tcBorders>
              <w:top w:val="single" w:color="000000" w:sz="8" w:space="0"/>
              <w:left w:val="single" w:color="000000" w:sz="8" w:space="0"/>
              <w:bottom w:val="single" w:color="auto" w:sz="4"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8" w:space="0"/>
              <w:left w:val="single" w:color="auto" w:sz="8" w:space="0"/>
              <w:bottom w:val="single" w:color="auto" w:sz="4"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vMerge w:val="continue"/>
            <w:tcBorders>
              <w:top w:val="single" w:color="auto" w:sz="8" w:space="0"/>
              <w:left w:val="single" w:color="auto" w:sz="8" w:space="0"/>
              <w:bottom w:val="single" w:color="auto" w:sz="4"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570" w:type="dxa"/>
            <w:vMerge w:val="continue"/>
            <w:tcBorders>
              <w:top w:val="single" w:color="auto" w:sz="8" w:space="0"/>
              <w:left w:val="single" w:color="auto" w:sz="8" w:space="0"/>
              <w:bottom w:val="single" w:color="auto" w:sz="4" w:space="0"/>
              <w:right w:val="single" w:color="auto"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4410" w:type="dxa"/>
            <w:vMerge w:val="continue"/>
            <w:tcBorders>
              <w:top w:val="single" w:color="000000" w:sz="8" w:space="0"/>
              <w:left w:val="single" w:color="000000" w:sz="8" w:space="0"/>
              <w:bottom w:val="single" w:color="auto" w:sz="4" w:space="0"/>
              <w:right w:val="single" w:color="000000" w:sz="8"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r>
      <w:tr>
        <w:tblPrEx>
          <w:tblCellMar>
            <w:top w:w="15" w:type="dxa"/>
            <w:left w:w="15" w:type="dxa"/>
            <w:bottom w:w="15" w:type="dxa"/>
            <w:right w:w="15" w:type="dxa"/>
          </w:tblCellMar>
        </w:tblPrEx>
        <w:tc>
          <w:tcPr>
            <w:tcW w:w="1050" w:type="dxa"/>
            <w:vMerge w:val="restart"/>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项目绩效（55分）</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br w:type="textWrapping"/>
            </w:r>
            <w:r>
              <w:rPr>
                <w:rFonts w:hint="eastAsia" w:ascii="宋体" w:hAnsi="宋体" w:eastAsia="宋体" w:cs="宋体"/>
                <w:i w:val="0"/>
                <w:iCs w:val="0"/>
                <w:caps w:val="0"/>
                <w:color w:val="000000"/>
                <w:spacing w:val="0"/>
                <w:kern w:val="0"/>
                <w:sz w:val="20"/>
                <w:szCs w:val="20"/>
                <w:lang w:val="en-US" w:eastAsia="zh-CN" w:bidi="ar"/>
              </w:rPr>
              <w:t>项目产出（15分）</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完成数量</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7</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实际完成任务量/目标设定任务量×100%</w:t>
            </w:r>
          </w:p>
        </w:tc>
      </w:tr>
      <w:tr>
        <w:tblPrEx>
          <w:shd w:val="clear" w:color="auto" w:fill="FFFFFF"/>
          <w:tblCellMar>
            <w:top w:w="15" w:type="dxa"/>
            <w:left w:w="15" w:type="dxa"/>
            <w:bottom w:w="15" w:type="dxa"/>
            <w:right w:w="15" w:type="dxa"/>
          </w:tblCellMar>
        </w:tblPrEx>
        <w:tc>
          <w:tcPr>
            <w:tcW w:w="105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完成质量</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6</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符合目标设定的验收标准，达到行业基准水平</w:t>
            </w:r>
          </w:p>
        </w:tc>
      </w:tr>
      <w:tr>
        <w:tblPrEx>
          <w:tblCellMar>
            <w:top w:w="15" w:type="dxa"/>
            <w:left w:w="15" w:type="dxa"/>
            <w:bottom w:w="15" w:type="dxa"/>
            <w:right w:w="15" w:type="dxa"/>
          </w:tblCellMar>
        </w:tblPrEx>
        <w:tc>
          <w:tcPr>
            <w:tcW w:w="105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完成时效</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2</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（实际完成时间-目标设定完成时间）/目标设定完成时间×100%</w:t>
            </w:r>
          </w:p>
        </w:tc>
      </w:tr>
      <w:tr>
        <w:tblPrEx>
          <w:shd w:val="clear" w:color="auto" w:fill="FFFFFF"/>
          <w:tblCellMar>
            <w:top w:w="15" w:type="dxa"/>
            <w:left w:w="15" w:type="dxa"/>
            <w:bottom w:w="15" w:type="dxa"/>
            <w:right w:w="15" w:type="dxa"/>
          </w:tblCellMar>
        </w:tblPrEx>
        <w:tc>
          <w:tcPr>
            <w:tcW w:w="105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keepNext w:val="0"/>
              <w:keepLines w:val="0"/>
              <w:widowControl/>
              <w:suppressLineNumbers w:val="0"/>
              <w:spacing w:before="75" w:beforeAutospacing="0" w:after="75" w:afterAutospacing="0" w:line="450" w:lineRule="atLeast"/>
              <w:ind w:left="0" w:right="0"/>
              <w:jc w:val="center"/>
            </w:pPr>
            <w:r>
              <w:rPr>
                <w:rFonts w:hint="eastAsia" w:ascii="宋体" w:hAnsi="宋体" w:eastAsia="宋体" w:cs="宋体"/>
                <w:i w:val="0"/>
                <w:iCs w:val="0"/>
                <w:caps w:val="0"/>
                <w:color w:val="000000"/>
                <w:spacing w:val="0"/>
                <w:kern w:val="0"/>
                <w:sz w:val="20"/>
                <w:szCs w:val="20"/>
                <w:lang w:val="en-US" w:eastAsia="zh-CN" w:bidi="ar"/>
              </w:rPr>
              <w:t>项目效果（40分）</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环境卫生整洁度</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7.5</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村内环境标示清楚、整治卫生，无明显垃圾，有垃圾专用收集场所并保持干静整洁，清运及时</w:t>
            </w:r>
          </w:p>
        </w:tc>
      </w:tr>
      <w:tr>
        <w:tblPrEx>
          <w:shd w:val="clear" w:color="auto" w:fill="FFFFFF"/>
          <w:tblCellMar>
            <w:top w:w="15" w:type="dxa"/>
            <w:left w:w="15" w:type="dxa"/>
            <w:bottom w:w="15" w:type="dxa"/>
            <w:right w:w="15" w:type="dxa"/>
          </w:tblCellMar>
        </w:tblPrEx>
        <w:tc>
          <w:tcPr>
            <w:tcW w:w="105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基础设施完好度</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7.5</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基础设施专人维护，完好无损坏，标示清楚，使用正常</w:t>
            </w:r>
          </w:p>
        </w:tc>
      </w:tr>
      <w:tr>
        <w:tblPrEx>
          <w:tblCellMar>
            <w:top w:w="15" w:type="dxa"/>
            <w:left w:w="15" w:type="dxa"/>
            <w:bottom w:w="15" w:type="dxa"/>
            <w:right w:w="15" w:type="dxa"/>
          </w:tblCellMar>
        </w:tblPrEx>
        <w:tc>
          <w:tcPr>
            <w:tcW w:w="105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交通道路通顺及完好度</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7.5</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路面整洁无杂物，无沉陷、裂缝、无坑洞，路基坚实稳定，边沟排水畅通无淤塞</w:t>
            </w:r>
          </w:p>
        </w:tc>
      </w:tr>
      <w:tr>
        <w:tblPrEx>
          <w:tblCellMar>
            <w:top w:w="15" w:type="dxa"/>
            <w:left w:w="15" w:type="dxa"/>
            <w:bottom w:w="15" w:type="dxa"/>
            <w:right w:w="15" w:type="dxa"/>
          </w:tblCellMar>
        </w:tblPrEx>
        <w:tc>
          <w:tcPr>
            <w:tcW w:w="105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水利设施完好度</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7.5</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堰塘集水完好，无明显裂缝渗漏，沟渠流水通畅，无杂物</w:t>
            </w:r>
          </w:p>
        </w:tc>
      </w:tr>
      <w:tr>
        <w:tblPrEx>
          <w:tblCellMar>
            <w:top w:w="15" w:type="dxa"/>
            <w:left w:w="15" w:type="dxa"/>
            <w:bottom w:w="15" w:type="dxa"/>
            <w:right w:w="15" w:type="dxa"/>
          </w:tblCellMar>
        </w:tblPrEx>
        <w:tc>
          <w:tcPr>
            <w:tcW w:w="105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center"/>
          </w:tcPr>
          <w:p>
            <w:pPr>
              <w:jc w:val="center"/>
              <w:rPr>
                <w:rFonts w:hint="eastAsia" w:ascii="微软雅黑" w:hAnsi="微软雅黑" w:eastAsia="微软雅黑" w:cs="微软雅黑"/>
                <w:i w:val="0"/>
                <w:iCs w:val="0"/>
                <w:caps w:val="0"/>
                <w:color w:val="000000"/>
                <w:spacing w:val="0"/>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受益群体满意度</w:t>
            </w:r>
          </w:p>
        </w:tc>
        <w:tc>
          <w:tcPr>
            <w:tcW w:w="57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10</w:t>
            </w:r>
          </w:p>
        </w:tc>
        <w:tc>
          <w:tcPr>
            <w:tcW w:w="4410" w:type="dxa"/>
            <w:tcBorders>
              <w:top w:val="single" w:color="auto" w:sz="4" w:space="0"/>
              <w:left w:val="single" w:color="auto" w:sz="4" w:space="0"/>
              <w:bottom w:val="single" w:color="auto" w:sz="4" w:space="0"/>
              <w:right w:val="single" w:color="auto" w:sz="4" w:space="0"/>
            </w:tcBorders>
            <w:shd w:val="clear" w:color="auto" w:fill="FFFFFF"/>
            <w:tcMar>
              <w:top w:w="45" w:type="dxa"/>
              <w:left w:w="75" w:type="dxa"/>
              <w:bottom w:w="45" w:type="dxa"/>
              <w:right w:w="75" w:type="dxa"/>
            </w:tcMar>
            <w:vAlign w:val="top"/>
          </w:tcPr>
          <w:p>
            <w:pPr>
              <w:keepNext w:val="0"/>
              <w:keepLines w:val="0"/>
              <w:widowControl/>
              <w:suppressLineNumbers w:val="0"/>
              <w:spacing w:before="75" w:beforeAutospacing="0" w:after="75" w:afterAutospacing="0" w:line="450" w:lineRule="atLeast"/>
              <w:ind w:left="0" w:right="0"/>
              <w:jc w:val="both"/>
            </w:pPr>
            <w:r>
              <w:rPr>
                <w:rFonts w:hint="eastAsia" w:ascii="宋体" w:hAnsi="宋体" w:eastAsia="宋体" w:cs="宋体"/>
                <w:i w:val="0"/>
                <w:iCs w:val="0"/>
                <w:caps w:val="0"/>
                <w:color w:val="000000"/>
                <w:spacing w:val="0"/>
                <w:kern w:val="0"/>
                <w:sz w:val="20"/>
                <w:szCs w:val="20"/>
                <w:lang w:val="en-US" w:eastAsia="zh-CN" w:bidi="ar"/>
              </w:rPr>
              <w:t>受益群体满意度=∑nipi/∑ni×分值。其中：n-受访者数量；p-满意度权重；i-满意状态</w:t>
            </w:r>
          </w:p>
        </w:tc>
      </w:tr>
    </w:tbl>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华文仿宋" w:hAnsi="华文仿宋" w:eastAsia="华文仿宋" w:cs="华文仿宋"/>
          <w:b w:val="0"/>
          <w:bCs w:val="0"/>
          <w:kern w:val="2"/>
          <w:sz w:val="32"/>
          <w:szCs w:val="32"/>
          <w:lang w:val="en-US" w:eastAsia="zh-CN" w:bidi="ar-SA"/>
        </w:rPr>
        <w:t> </w:t>
      </w:r>
      <w:r>
        <w:rPr>
          <w:rFonts w:hint="eastAsia" w:ascii="仿宋" w:hAnsi="仿宋" w:eastAsia="仿宋" w:cs="仿宋"/>
          <w:b w:val="0"/>
          <w:i w:val="0"/>
          <w:caps w:val="0"/>
          <w:color w:val="333333"/>
          <w:spacing w:val="0"/>
          <w:sz w:val="32"/>
          <w:szCs w:val="32"/>
          <w:shd w:val="clear" w:color="auto" w:fill="FFFFFF"/>
          <w:lang w:val="en-US" w:eastAsia="zh-CN"/>
        </w:rPr>
        <w:t>绩效评价结果考核分为优、良、中、差四个等级。考核得分在90分至100分的为优，得分在80分至89分的为良，得分在70分至79分的为中，得分在70分以下的为差。</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3、绩效评价方法</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我们在资金支出绩效评工作中，综合运用以下方法：</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（1）成本效益分析法。是指将一定时期内的支出与效益进行对比分析，以评价绩效目标实现程度。</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（2）比较法。是指通过对绩效目标与实施效果、历史与当期情况、不同部门和地区同类支出的比较，综合分析绩效目标实现程度。</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（3）因素分析法。是指通过综合分析影响绩效目标实现、实施效果的内外因素，评价绩效目标实现程度。</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（4）最低成本法。是指对效益确定却不易计量的多个同类对象的实施成本进行比较，评价绩效目标实现程度。</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（5）公众评判法。是指通过专家评估、公众问卷及抽样调查等对支出效果和服务对象满意度进行评判，从社会角度评价绩效目标实现程度。</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（6）其他评价方法。</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其他方法包括抽样调查、调阅资料、实地调查等方法，绩效评价和政策评估方法的选用应当坚持简便有效的原则。根据评价对象的具体情况，采用一种或多种方法开展评价。</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二、项目资金申报及使用情况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（一）项目资金申报及批复情况。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2019年红岩镇申报基层组织活动和公共运行维护项目资金 35万，上级财政批复35万。</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（二）资金计划、到位及使用情况（可用表格形式反映）。</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1．资金计划。2019年红岩镇申报基层组织活动和公共运行维护项目资金 35万，昭化区财政局预算指标基层组织活动和公共运行维护资金项目资金35万元。</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2．资金到位。</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红岩镇2019年已收到该项目资金35万元，资金到位率100%。</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3.资金使用。</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截止2019年12月31日，已将基层组织活动和公共运行维护资金35万元支付到各村各项目实施人。</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（三）项目财务管理情况。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红岩镇制定了财务管理办法，对项目管理、资金使用提出明确规定，专项资金的支付范围、支付标准基本合规合法，支付依据基本充分。</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三、项目实施及管理情况</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（一）项目组织架构及实施流程。</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项目由村（居）委会年初，经村民代表大会提出、通过设施方案，报经镇人民政府批准后，方可按方案实施。</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（二）项目管理情况。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截止2019年12月31日，已将基层组织活动和公共运行维护资金35万元支付到各村各项目实施人。</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（三）项目监管情况。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红岩镇制定了财务管理办法，对项目管理、资金使用提出明确规定，专项资金的支付范围、支付标准基本合规合法，支付依据基本充分。</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四、项目绩效情况</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（一）项目完成情况。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包括项目完成数量、质量、时效、成本等情况，对照项目计划完成目标，对截止评价时点的任务量完成、质量标准、进度计划、成本控制目标的实现程度进行评价，并进行分析说明。</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（二）项目效益情况。</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从项目经济效益、社会效益、生态效益、可持续效益以及服务对象满意度等方面对项目效益进行全面分析评价。</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五、评价结论及建议</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（一）评价结论。</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结合项目自身特点、评价重点及管理办法等要求，围绕专项项目支出绩效评价指标体系对项目进行总体评价。</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（二）存在的问题。</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未编制该项目各村汇总实施方案，实施总结、绩效目标未细化、未量化。</w:t>
      </w:r>
    </w:p>
    <w:p>
      <w:pPr>
        <w:widowControl/>
        <w:ind w:firstLine="643" w:firstLineChars="200"/>
        <w:jc w:val="left"/>
        <w:rPr>
          <w:rFonts w:hint="eastAsia" w:ascii="仿宋" w:hAnsi="仿宋" w:eastAsia="仿宋" w:cs="仿宋"/>
          <w:b/>
          <w:bCs/>
          <w:i w:val="0"/>
          <w:caps w:val="0"/>
          <w:color w:val="333333"/>
          <w:spacing w:val="0"/>
          <w:sz w:val="32"/>
          <w:szCs w:val="32"/>
          <w:shd w:val="clear" w:color="auto" w:fill="FFFFFF"/>
          <w:lang w:val="en-US" w:eastAsia="zh-CN"/>
        </w:rPr>
      </w:pPr>
      <w:r>
        <w:rPr>
          <w:rFonts w:hint="eastAsia" w:ascii="仿宋" w:hAnsi="仿宋" w:eastAsia="仿宋" w:cs="仿宋"/>
          <w:b/>
          <w:bCs/>
          <w:i w:val="0"/>
          <w:caps w:val="0"/>
          <w:color w:val="333333"/>
          <w:spacing w:val="0"/>
          <w:sz w:val="32"/>
          <w:szCs w:val="32"/>
          <w:shd w:val="clear" w:color="auto" w:fill="FFFFFF"/>
          <w:lang w:val="en-US" w:eastAsia="zh-CN"/>
        </w:rPr>
        <w:t>（三）相关建议。</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1、根据各村农公运使用实际，合理编制实施方案；</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2、依据项目决策、项目管理、项目完成、项目效果等情况实施总结，并对项目绩效目标进行细化、量化等进行自评。</w:t>
      </w: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widowControl/>
        <w:ind w:firstLine="640" w:firstLineChars="200"/>
        <w:jc w:val="left"/>
        <w:rPr>
          <w:rFonts w:hint="eastAsia" w:ascii="仿宋" w:hAnsi="仿宋" w:eastAsia="仿宋" w:cs="仿宋"/>
          <w:b w:val="0"/>
          <w:i w:val="0"/>
          <w:caps w:val="0"/>
          <w:color w:val="333333"/>
          <w:spacing w:val="0"/>
          <w:sz w:val="32"/>
          <w:szCs w:val="32"/>
          <w:shd w:val="clear" w:color="auto" w:fill="FFFFFF"/>
          <w:lang w:val="en-US" w:eastAsia="zh-CN"/>
        </w:rPr>
      </w:pPr>
    </w:p>
    <w:p>
      <w:pPr>
        <w:pageBreakBefore w:val="0"/>
        <w:widowControl w:val="0"/>
        <w:numPr>
          <w:ilvl w:val="0"/>
          <w:numId w:val="3"/>
        </w:numPr>
        <w:kinsoku/>
        <w:wordWrap/>
        <w:overflowPunct/>
        <w:topLinePunct w:val="0"/>
        <w:autoSpaceDE/>
        <w:autoSpaceDN/>
        <w:bidi w:val="0"/>
        <w:adjustRightInd/>
        <w:spacing w:line="600" w:lineRule="exact"/>
        <w:ind w:left="0" w:leftChars="0" w:firstLine="660" w:firstLineChars="150"/>
        <w:jc w:val="center"/>
        <w:textAlignment w:val="auto"/>
        <w:outlineLvl w:val="0"/>
        <w:rPr>
          <w:rStyle w:val="11"/>
          <w:rFonts w:hint="eastAsia" w:ascii="黑体" w:hAnsi="黑体" w:eastAsia="黑体"/>
          <w:b w:val="0"/>
        </w:rPr>
      </w:pPr>
      <w:r>
        <w:rPr>
          <w:rStyle w:val="11"/>
          <w:rFonts w:hint="eastAsia" w:ascii="黑体" w:hAnsi="黑体" w:eastAsia="黑体"/>
          <w:b w:val="0"/>
        </w:rPr>
        <w:t>附表</w:t>
      </w:r>
    </w:p>
    <w:p>
      <w:pPr>
        <w:pageBreakBefore w:val="0"/>
        <w:widowControl w:val="0"/>
        <w:numPr>
          <w:ilvl w:val="0"/>
          <w:numId w:val="0"/>
        </w:numPr>
        <w:kinsoku/>
        <w:wordWrap/>
        <w:overflowPunct/>
        <w:topLinePunct w:val="0"/>
        <w:autoSpaceDE/>
        <w:autoSpaceDN/>
        <w:bidi w:val="0"/>
        <w:adjustRightInd/>
        <w:spacing w:line="600" w:lineRule="exact"/>
        <w:ind w:leftChars="150"/>
        <w:jc w:val="both"/>
        <w:textAlignment w:val="auto"/>
        <w:outlineLvl w:val="0"/>
        <w:rPr>
          <w:rStyle w:val="11"/>
          <w:rFonts w:hint="eastAsia" w:ascii="黑体" w:hAnsi="黑体" w:eastAsia="黑体"/>
          <w:b w:val="0"/>
        </w:rPr>
      </w:pPr>
    </w:p>
    <w:p>
      <w:pPr>
        <w:widowControl/>
        <w:jc w:val="left"/>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一、收入支出决算总表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二、收入决算表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三、支出决算表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四、财政拨款收入支出决算总表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五、财政拨款支出决算明细表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六、一般公共预算财政拨款支出决算表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七、一般公共预算财政拨款支出决算明细表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八、一般公共预算财政拨款基本支出决算表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九、一般公共预算财政拨款项目支出决算表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十、一般公共预算财政拨款“三公”经费支出决算表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十一、政府性基金预算财政拨款收入支出决算表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十二、政府性基金预算财政拨款“三公”经费支出决算表</w:t>
      </w:r>
      <w:r>
        <w:rPr>
          <w:rFonts w:hint="eastAsia" w:ascii="仿宋" w:hAnsi="仿宋" w:eastAsia="仿宋" w:cs="仿宋"/>
          <w:b w:val="0"/>
          <w:i w:val="0"/>
          <w:caps w:val="0"/>
          <w:color w:val="333333"/>
          <w:spacing w:val="0"/>
          <w:sz w:val="32"/>
          <w:szCs w:val="32"/>
          <w:shd w:val="clear" w:color="auto" w:fill="FFFFFF"/>
          <w:lang w:val="en-US" w:eastAsia="zh-CN"/>
        </w:rPr>
        <w:br w:type="textWrapping"/>
      </w:r>
      <w:r>
        <w:rPr>
          <w:rFonts w:hint="eastAsia" w:ascii="仿宋" w:hAnsi="仿宋" w:eastAsia="仿宋" w:cs="仿宋"/>
          <w:b w:val="0"/>
          <w:i w:val="0"/>
          <w:caps w:val="0"/>
          <w:color w:val="333333"/>
          <w:spacing w:val="0"/>
          <w:sz w:val="32"/>
          <w:szCs w:val="32"/>
          <w:shd w:val="clear" w:color="auto" w:fill="FFFFFF"/>
          <w:lang w:val="en-US" w:eastAsia="zh-CN"/>
        </w:rPr>
        <w:t>十三、国有资本经营预算支出决算表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0EAF577A"/>
    <w:multiLevelType w:val="singleLevel"/>
    <w:tmpl w:val="0EAF577A"/>
    <w:lvl w:ilvl="0" w:tentative="0">
      <w:start w:val="3"/>
      <w:numFmt w:val="decimal"/>
      <w:lvlText w:val="%1."/>
      <w:lvlJc w:val="left"/>
      <w:pPr>
        <w:tabs>
          <w:tab w:val="left" w:pos="312"/>
        </w:tabs>
      </w:pPr>
    </w:lvl>
  </w:abstractNum>
  <w:abstractNum w:abstractNumId="2">
    <w:nsid w:val="19B5C3AA"/>
    <w:multiLevelType w:val="singleLevel"/>
    <w:tmpl w:val="19B5C3A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9340F"/>
    <w:rsid w:val="2CE85372"/>
    <w:rsid w:val="4FFC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2021-05-23T01:01:00Z</dcterms:created>
  <dc:creator>LENOVO</dc:creator>
  <cp:lastModifiedBy>LENOVO</cp:lastModifiedBy>
  <dcterms:modified xsi:type="dcterms:W3CDTF">2021-05-23T02:19:24Z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CF539B23DE564182B65579DB60A2BC73</vt:lpwstr>
  </property>
</Properties>
</file>