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附件3</w:t>
      </w:r>
    </w:p>
    <w:p>
      <w:pPr>
        <w:jc w:val="center"/>
        <w:rPr>
          <w:rFonts w:hint="default" w:ascii="仿宋_GB2312" w:hAnsi="仿宋_GB2312" w:eastAsia="仿宋_GB2312" w:cs="仿宋_GB2312"/>
          <w:color w:val="000000"/>
          <w:kern w:val="0"/>
          <w:sz w:val="32"/>
          <w:szCs w:val="32"/>
          <w:lang w:val="en-US" w:eastAsia="zh-CN"/>
        </w:rPr>
      </w:pPr>
      <w:bookmarkStart w:id="0" w:name="_GoBack"/>
      <w:r>
        <w:rPr>
          <w:rFonts w:hint="eastAsia" w:ascii="方正小标宋简体" w:hAnsi="楷体" w:eastAsia="方正小标宋简体" w:cs="楷体"/>
          <w:color w:val="000000"/>
          <w:kern w:val="0"/>
          <w:sz w:val="44"/>
          <w:szCs w:val="44"/>
          <w:lang w:val="en-US" w:eastAsia="zh-CN"/>
        </w:rPr>
        <w:t>广元市昭化区人民政府（办公室）2017年规范性文件清理结果表</w:t>
      </w:r>
    </w:p>
    <w:bookmarkEnd w:id="0"/>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0"/>
        <w:gridCol w:w="5985"/>
        <w:gridCol w:w="690"/>
        <w:gridCol w:w="690"/>
        <w:gridCol w:w="675"/>
        <w:gridCol w:w="690"/>
        <w:gridCol w:w="1350"/>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460" w:type="dxa"/>
            <w:vMerge w:val="restart"/>
            <w:vAlign w:val="center"/>
          </w:tcPr>
          <w:p>
            <w:pPr>
              <w:jc w:val="center"/>
              <w:rPr>
                <w:rFonts w:hint="default" w:ascii="仿宋_GB2312" w:hAnsi="仿宋_GB2312" w:eastAsia="仿宋_GB2312" w:cs="仿宋_GB2312"/>
                <w:b/>
                <w:bCs/>
                <w:color w:val="000000"/>
                <w:kern w:val="0"/>
                <w:sz w:val="24"/>
                <w:szCs w:val="24"/>
                <w:vertAlign w:val="baseline"/>
                <w:lang w:val="en-US" w:eastAsia="zh-CN"/>
              </w:rPr>
            </w:pPr>
            <w:r>
              <w:rPr>
                <w:rFonts w:hint="eastAsia" w:ascii="仿宋_GB2312" w:hAnsi="仿宋_GB2312" w:eastAsia="仿宋_GB2312" w:cs="仿宋_GB2312"/>
                <w:b/>
                <w:bCs/>
                <w:color w:val="000000"/>
                <w:kern w:val="0"/>
                <w:sz w:val="24"/>
                <w:szCs w:val="24"/>
                <w:vertAlign w:val="baseline"/>
                <w:lang w:val="en-US" w:eastAsia="zh-CN"/>
              </w:rPr>
              <w:t>文  号</w:t>
            </w:r>
          </w:p>
        </w:tc>
        <w:tc>
          <w:tcPr>
            <w:tcW w:w="5985" w:type="dxa"/>
            <w:vMerge w:val="restart"/>
            <w:vAlign w:val="center"/>
          </w:tcPr>
          <w:p>
            <w:pPr>
              <w:jc w:val="center"/>
              <w:rPr>
                <w:rFonts w:hint="default" w:ascii="仿宋_GB2312" w:hAnsi="仿宋_GB2312" w:eastAsia="仿宋_GB2312" w:cs="仿宋_GB2312"/>
                <w:b/>
                <w:bCs/>
                <w:color w:val="000000"/>
                <w:kern w:val="0"/>
                <w:sz w:val="24"/>
                <w:szCs w:val="24"/>
                <w:vertAlign w:val="baseline"/>
                <w:lang w:val="en-US" w:eastAsia="zh-CN"/>
              </w:rPr>
            </w:pPr>
            <w:r>
              <w:rPr>
                <w:rFonts w:hint="eastAsia" w:ascii="仿宋_GB2312" w:hAnsi="仿宋_GB2312" w:eastAsia="仿宋_GB2312" w:cs="仿宋_GB2312"/>
                <w:b/>
                <w:bCs/>
                <w:color w:val="000000"/>
                <w:kern w:val="0"/>
                <w:sz w:val="24"/>
                <w:szCs w:val="24"/>
                <w:vertAlign w:val="baseline"/>
                <w:lang w:val="en-US" w:eastAsia="zh-CN"/>
              </w:rPr>
              <w:t>文件标题</w:t>
            </w:r>
          </w:p>
        </w:tc>
        <w:tc>
          <w:tcPr>
            <w:tcW w:w="2745" w:type="dxa"/>
            <w:gridSpan w:val="4"/>
            <w:vAlign w:val="center"/>
          </w:tcPr>
          <w:p>
            <w:pPr>
              <w:jc w:val="center"/>
              <w:rPr>
                <w:rFonts w:hint="default" w:ascii="仿宋_GB2312" w:hAnsi="仿宋_GB2312" w:eastAsia="仿宋_GB2312" w:cs="仿宋_GB2312"/>
                <w:b/>
                <w:bCs/>
                <w:color w:val="000000"/>
                <w:kern w:val="0"/>
                <w:sz w:val="24"/>
                <w:szCs w:val="24"/>
                <w:vertAlign w:val="baseline"/>
                <w:lang w:val="en-US" w:eastAsia="zh-CN"/>
              </w:rPr>
            </w:pPr>
            <w:r>
              <w:rPr>
                <w:rFonts w:hint="eastAsia" w:ascii="仿宋_GB2312" w:hAnsi="仿宋_GB2312" w:eastAsia="仿宋_GB2312" w:cs="仿宋_GB2312"/>
                <w:b/>
                <w:bCs/>
                <w:color w:val="000000"/>
                <w:kern w:val="0"/>
                <w:sz w:val="24"/>
                <w:szCs w:val="24"/>
                <w:vertAlign w:val="baseline"/>
                <w:lang w:val="en-US" w:eastAsia="zh-CN"/>
              </w:rPr>
              <w:t>意  见</w:t>
            </w:r>
          </w:p>
        </w:tc>
        <w:tc>
          <w:tcPr>
            <w:tcW w:w="1350" w:type="dxa"/>
            <w:vMerge w:val="restart"/>
            <w:vAlign w:val="center"/>
          </w:tcPr>
          <w:p>
            <w:pPr>
              <w:jc w:val="center"/>
              <w:rPr>
                <w:rFonts w:hint="default" w:ascii="仿宋_GB2312" w:hAnsi="仿宋_GB2312" w:eastAsia="仿宋_GB2312" w:cs="仿宋_GB2312"/>
                <w:b/>
                <w:bCs/>
                <w:color w:val="000000"/>
                <w:kern w:val="0"/>
                <w:sz w:val="24"/>
                <w:szCs w:val="24"/>
                <w:vertAlign w:val="baseline"/>
                <w:lang w:val="en-US" w:eastAsia="zh-CN"/>
              </w:rPr>
            </w:pPr>
            <w:r>
              <w:rPr>
                <w:rFonts w:hint="eastAsia" w:ascii="仿宋_GB2312" w:hAnsi="仿宋_GB2312" w:eastAsia="仿宋_GB2312" w:cs="仿宋_GB2312"/>
                <w:b/>
                <w:bCs/>
                <w:color w:val="000000"/>
                <w:kern w:val="0"/>
                <w:sz w:val="24"/>
                <w:szCs w:val="24"/>
                <w:vertAlign w:val="baseline"/>
                <w:lang w:val="en-US" w:eastAsia="zh-CN"/>
              </w:rPr>
              <w:t>理  由</w:t>
            </w:r>
          </w:p>
        </w:tc>
        <w:tc>
          <w:tcPr>
            <w:tcW w:w="1634" w:type="dxa"/>
            <w:vMerge w:val="restart"/>
            <w:vAlign w:val="center"/>
          </w:tcPr>
          <w:p>
            <w:pPr>
              <w:jc w:val="center"/>
              <w:rPr>
                <w:rFonts w:hint="default" w:ascii="仿宋_GB2312" w:hAnsi="仿宋_GB2312" w:eastAsia="仿宋_GB2312" w:cs="仿宋_GB2312"/>
                <w:b/>
                <w:bCs/>
                <w:color w:val="000000"/>
                <w:kern w:val="0"/>
                <w:sz w:val="24"/>
                <w:szCs w:val="24"/>
                <w:vertAlign w:val="baseline"/>
                <w:lang w:val="en-US" w:eastAsia="zh-CN"/>
              </w:rPr>
            </w:pPr>
            <w:r>
              <w:rPr>
                <w:rFonts w:hint="eastAsia" w:ascii="仿宋_GB2312" w:hAnsi="仿宋_GB2312" w:eastAsia="仿宋_GB2312" w:cs="仿宋_GB2312"/>
                <w:b/>
                <w:bCs/>
                <w:color w:val="000000"/>
                <w:kern w:val="0"/>
                <w:sz w:val="24"/>
                <w:szCs w:val="24"/>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460" w:type="dxa"/>
            <w:vMerge w:val="continue"/>
          </w:tcPr>
          <w:p>
            <w:pPr>
              <w:rPr>
                <w:rFonts w:hint="eastAsia" w:ascii="仿宋_GB2312" w:hAnsi="仿宋_GB2312" w:eastAsia="仿宋_GB2312" w:cs="仿宋_GB2312"/>
                <w:color w:val="000000"/>
                <w:kern w:val="0"/>
                <w:sz w:val="32"/>
                <w:szCs w:val="32"/>
                <w:vertAlign w:val="baseline"/>
                <w:lang w:val="en-US" w:eastAsia="zh-CN"/>
              </w:rPr>
            </w:pPr>
          </w:p>
        </w:tc>
        <w:tc>
          <w:tcPr>
            <w:tcW w:w="5985" w:type="dxa"/>
            <w:vMerge w:val="continue"/>
          </w:tcPr>
          <w:p>
            <w:pPr>
              <w:rPr>
                <w:rFonts w:hint="eastAsia" w:ascii="仿宋_GB2312" w:hAnsi="仿宋_GB2312" w:eastAsia="仿宋_GB2312" w:cs="仿宋_GB2312"/>
                <w:color w:val="000000"/>
                <w:kern w:val="0"/>
                <w:sz w:val="32"/>
                <w:szCs w:val="32"/>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000000"/>
                <w:kern w:val="0"/>
                <w:sz w:val="22"/>
                <w:szCs w:val="22"/>
                <w:vertAlign w:val="baseline"/>
                <w:lang w:val="en-US" w:eastAsia="zh-CN"/>
              </w:rPr>
            </w:pPr>
            <w:r>
              <w:rPr>
                <w:rFonts w:hint="eastAsia" w:ascii="仿宋_GB2312" w:hAnsi="仿宋_GB2312" w:eastAsia="仿宋_GB2312" w:cs="仿宋_GB2312"/>
                <w:b/>
                <w:bCs/>
                <w:color w:val="000000"/>
                <w:kern w:val="0"/>
                <w:sz w:val="22"/>
                <w:szCs w:val="22"/>
                <w:vertAlign w:val="baseline"/>
                <w:lang w:val="en-US" w:eastAsia="zh-CN"/>
              </w:rPr>
              <w:t>继续有效</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000000"/>
                <w:kern w:val="0"/>
                <w:sz w:val="22"/>
                <w:szCs w:val="22"/>
                <w:vertAlign w:val="baseline"/>
                <w:lang w:val="en-US" w:eastAsia="zh-CN"/>
              </w:rPr>
            </w:pPr>
            <w:r>
              <w:rPr>
                <w:rFonts w:hint="eastAsia" w:ascii="仿宋_GB2312" w:hAnsi="仿宋_GB2312" w:eastAsia="仿宋_GB2312" w:cs="仿宋_GB2312"/>
                <w:b/>
                <w:bCs/>
                <w:color w:val="000000"/>
                <w:kern w:val="0"/>
                <w:sz w:val="22"/>
                <w:szCs w:val="22"/>
                <w:vertAlign w:val="baseline"/>
                <w:lang w:val="en-US" w:eastAsia="zh-CN"/>
              </w:rPr>
              <w:t>拟修改</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000000"/>
                <w:kern w:val="0"/>
                <w:sz w:val="22"/>
                <w:szCs w:val="22"/>
                <w:vertAlign w:val="baseline"/>
                <w:lang w:val="en-US" w:eastAsia="zh-CN"/>
              </w:rPr>
            </w:pPr>
            <w:r>
              <w:rPr>
                <w:rFonts w:hint="eastAsia" w:ascii="仿宋_GB2312" w:hAnsi="仿宋_GB2312" w:eastAsia="仿宋_GB2312" w:cs="仿宋_GB2312"/>
                <w:b/>
                <w:bCs/>
                <w:color w:val="000000"/>
                <w:kern w:val="0"/>
                <w:sz w:val="22"/>
                <w:szCs w:val="22"/>
                <w:vertAlign w:val="baseline"/>
                <w:lang w:val="en-US" w:eastAsia="zh-CN"/>
              </w:rPr>
              <w:t>失效</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000000"/>
                <w:kern w:val="0"/>
                <w:sz w:val="22"/>
                <w:szCs w:val="22"/>
                <w:vertAlign w:val="baseline"/>
                <w:lang w:val="en-US" w:eastAsia="zh-CN"/>
              </w:rPr>
            </w:pPr>
            <w:r>
              <w:rPr>
                <w:rFonts w:hint="eastAsia" w:ascii="仿宋_GB2312" w:hAnsi="仿宋_GB2312" w:eastAsia="仿宋_GB2312" w:cs="仿宋_GB2312"/>
                <w:b/>
                <w:bCs/>
                <w:color w:val="000000"/>
                <w:kern w:val="0"/>
                <w:sz w:val="22"/>
                <w:szCs w:val="22"/>
                <w:vertAlign w:val="baseline"/>
                <w:lang w:val="en-US" w:eastAsia="zh-CN"/>
              </w:rPr>
              <w:t>废止</w:t>
            </w:r>
          </w:p>
        </w:tc>
        <w:tc>
          <w:tcPr>
            <w:tcW w:w="1350" w:type="dxa"/>
            <w:vMerge w:val="continue"/>
          </w:tcPr>
          <w:p>
            <w:pPr>
              <w:rPr>
                <w:rFonts w:hint="default" w:ascii="仿宋_GB2312" w:hAnsi="仿宋_GB2312" w:eastAsia="仿宋_GB2312" w:cs="仿宋_GB2312"/>
                <w:color w:val="000000"/>
                <w:kern w:val="0"/>
                <w:sz w:val="32"/>
                <w:szCs w:val="32"/>
                <w:vertAlign w:val="baseline"/>
                <w:lang w:val="en-US" w:eastAsia="zh-CN"/>
              </w:rPr>
            </w:pPr>
          </w:p>
        </w:tc>
        <w:tc>
          <w:tcPr>
            <w:tcW w:w="1634" w:type="dxa"/>
            <w:vMerge w:val="continue"/>
          </w:tcPr>
          <w:p>
            <w:pPr>
              <w:rPr>
                <w:rFonts w:hint="default" w:ascii="仿宋_GB2312" w:hAnsi="仿宋_GB2312" w:eastAsia="仿宋_GB2312" w:cs="仿宋_GB2312"/>
                <w:color w:val="00000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default" w:ascii="仿宋_GB2312" w:hAnsi="仿宋_GB2312" w:eastAsia="仿宋_GB2312" w:cs="仿宋_GB2312"/>
                <w:color w:val="000000"/>
                <w:kern w:val="0"/>
                <w:sz w:val="28"/>
                <w:szCs w:val="28"/>
                <w:vertAlign w:val="baseline"/>
                <w:lang w:val="en-US" w:eastAsia="zh-CN"/>
              </w:rPr>
            </w:pPr>
            <w:r>
              <w:rPr>
                <w:rFonts w:hint="default" w:ascii="仿宋_GB2312" w:hAnsi="仿宋_GB2312" w:eastAsia="仿宋_GB2312" w:cs="仿宋_GB2312"/>
                <w:color w:val="000000"/>
                <w:kern w:val="0"/>
                <w:sz w:val="22"/>
                <w:szCs w:val="22"/>
                <w:vertAlign w:val="baseline"/>
                <w:lang w:val="en-US" w:eastAsia="zh-CN"/>
              </w:rPr>
              <w:t>昭府办函〔2017〕6号</w:t>
            </w:r>
          </w:p>
        </w:tc>
        <w:tc>
          <w:tcPr>
            <w:tcW w:w="5985"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《广元市昭化区个体工商户简易注销登记管理办法（试行）》</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p>
            <w:pPr>
              <w:jc w:val="center"/>
              <w:rPr>
                <w:rFonts w:hint="eastAsia" w:ascii="仿宋_GB2312" w:hAnsi="仿宋_GB2312" w:eastAsia="仿宋_GB2312" w:cs="仿宋_GB2312"/>
                <w:color w:val="000000"/>
                <w:kern w:val="0"/>
                <w:sz w:val="22"/>
                <w:szCs w:val="22"/>
                <w:vertAlign w:val="baseline"/>
                <w:lang w:val="en-US" w:eastAsia="zh-CN"/>
              </w:rPr>
            </w:pP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675"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宋体" w:hAnsi="宋体" w:eastAsia="宋体" w:cs="宋体"/>
                <w:color w:val="000000"/>
                <w:kern w:val="0"/>
                <w:sz w:val="32"/>
                <w:szCs w:val="32"/>
                <w:lang w:val="en-US" w:eastAsia="zh-CN"/>
              </w:rPr>
              <w:t>√</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135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有效期届满</w:t>
            </w:r>
          </w:p>
        </w:tc>
        <w:tc>
          <w:tcPr>
            <w:tcW w:w="1634" w:type="dxa"/>
            <w:vAlign w:val="center"/>
          </w:tcPr>
          <w:p>
            <w:pPr>
              <w:jc w:val="center"/>
              <w:rPr>
                <w:rFonts w:hint="default" w:ascii="仿宋_GB2312" w:hAnsi="仿宋_GB2312" w:eastAsia="仿宋_GB2312" w:cs="仿宋_GB2312"/>
                <w:color w:val="000000"/>
                <w:kern w:val="0"/>
                <w:sz w:val="28"/>
                <w:szCs w:val="28"/>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default" w:ascii="仿宋_GB2312" w:hAnsi="仿宋_GB2312" w:eastAsia="仿宋_GB2312" w:cs="仿宋_GB2312"/>
                <w:color w:val="000000"/>
                <w:kern w:val="0"/>
                <w:sz w:val="22"/>
                <w:szCs w:val="22"/>
                <w:vertAlign w:val="baseline"/>
                <w:lang w:val="en-US" w:eastAsia="zh-CN"/>
              </w:rPr>
              <w:t>昭府通〔2017〕1号</w:t>
            </w:r>
          </w:p>
        </w:tc>
        <w:tc>
          <w:tcPr>
            <w:tcW w:w="5985"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《广元市昭化区人民政府关于严格管控元柳工业园区范围内土地和规划建设的通告》</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宋体" w:hAnsi="宋体" w:eastAsia="宋体" w:cs="宋体"/>
                <w:color w:val="000000"/>
                <w:kern w:val="0"/>
                <w:sz w:val="32"/>
                <w:szCs w:val="32"/>
                <w:lang w:val="en-US" w:eastAsia="zh-CN"/>
              </w:rPr>
              <w:t>√</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675"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135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需继续执行</w:t>
            </w:r>
          </w:p>
        </w:tc>
        <w:tc>
          <w:tcPr>
            <w:tcW w:w="1634"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昭化经开区管委会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default" w:ascii="仿宋_GB2312" w:hAnsi="仿宋_GB2312" w:eastAsia="仿宋_GB2312" w:cs="仿宋_GB2312"/>
                <w:color w:val="000000"/>
                <w:kern w:val="0"/>
                <w:sz w:val="22"/>
                <w:szCs w:val="22"/>
                <w:vertAlign w:val="baseline"/>
                <w:lang w:val="en-US" w:eastAsia="zh-CN"/>
              </w:rPr>
              <w:t>昭府通〔2017〕2号</w:t>
            </w:r>
          </w:p>
        </w:tc>
        <w:tc>
          <w:tcPr>
            <w:tcW w:w="5985"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《广元市昭化区人民政府关于严格火源管理防止森林火灾的通告》</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675"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宋体" w:hAnsi="宋体" w:eastAsia="宋体" w:cs="宋体"/>
                <w:color w:val="000000"/>
                <w:kern w:val="0"/>
                <w:sz w:val="32"/>
                <w:szCs w:val="32"/>
                <w:lang w:val="en-US" w:eastAsia="zh-CN"/>
              </w:rPr>
              <w:t>√</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135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有效期届满</w:t>
            </w:r>
          </w:p>
        </w:tc>
        <w:tc>
          <w:tcPr>
            <w:tcW w:w="1634"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default" w:ascii="仿宋_GB2312" w:hAnsi="仿宋_GB2312" w:eastAsia="仿宋_GB2312" w:cs="仿宋_GB2312"/>
                <w:color w:val="000000"/>
                <w:kern w:val="0"/>
                <w:sz w:val="22"/>
                <w:szCs w:val="22"/>
                <w:vertAlign w:val="baseline"/>
                <w:lang w:val="en-US" w:eastAsia="zh-CN"/>
              </w:rPr>
              <w:t>昭府通〔2017〕3号</w:t>
            </w:r>
          </w:p>
        </w:tc>
        <w:tc>
          <w:tcPr>
            <w:tcW w:w="5985"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《广元市昭化区人民政府关于禁止露天焚烧秸秆的通告》</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bidi="ar-SA"/>
              </w:rPr>
            </w:pPr>
            <w:r>
              <w:rPr>
                <w:rFonts w:hint="eastAsia" w:ascii="宋体" w:hAnsi="宋体" w:eastAsia="宋体" w:cs="宋体"/>
                <w:color w:val="000000"/>
                <w:kern w:val="0"/>
                <w:sz w:val="32"/>
                <w:szCs w:val="32"/>
                <w:lang w:val="en-US" w:eastAsia="zh-CN"/>
              </w:rPr>
              <w:t>√</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bidi="ar-SA"/>
              </w:rPr>
            </w:pPr>
          </w:p>
        </w:tc>
        <w:tc>
          <w:tcPr>
            <w:tcW w:w="675" w:type="dxa"/>
            <w:vAlign w:val="center"/>
          </w:tcPr>
          <w:p>
            <w:pPr>
              <w:jc w:val="center"/>
              <w:rPr>
                <w:rFonts w:hint="eastAsia" w:ascii="仿宋_GB2312" w:hAnsi="仿宋_GB2312" w:eastAsia="仿宋_GB2312" w:cs="仿宋_GB2312"/>
                <w:color w:val="000000"/>
                <w:kern w:val="0"/>
                <w:sz w:val="22"/>
                <w:szCs w:val="22"/>
                <w:vertAlign w:val="baseline"/>
                <w:lang w:val="en-US" w:eastAsia="zh-CN" w:bidi="ar-SA"/>
              </w:rPr>
            </w:pP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bidi="ar-SA"/>
              </w:rPr>
            </w:pPr>
          </w:p>
        </w:tc>
        <w:tc>
          <w:tcPr>
            <w:tcW w:w="1350" w:type="dxa"/>
            <w:vAlign w:val="center"/>
          </w:tcPr>
          <w:p>
            <w:pPr>
              <w:jc w:val="center"/>
              <w:rPr>
                <w:rFonts w:hint="default" w:ascii="仿宋_GB2312" w:hAnsi="仿宋_GB2312" w:eastAsia="仿宋_GB2312" w:cs="仿宋_GB2312"/>
                <w:color w:val="000000"/>
                <w:kern w:val="0"/>
                <w:sz w:val="22"/>
                <w:szCs w:val="22"/>
                <w:vertAlign w:val="baseline"/>
                <w:lang w:val="en-US" w:eastAsia="zh-CN" w:bidi="ar-SA"/>
              </w:rPr>
            </w:pPr>
            <w:r>
              <w:rPr>
                <w:rFonts w:hint="eastAsia" w:ascii="仿宋_GB2312" w:hAnsi="仿宋_GB2312" w:eastAsia="仿宋_GB2312" w:cs="仿宋_GB2312"/>
                <w:color w:val="000000"/>
                <w:kern w:val="0"/>
                <w:sz w:val="22"/>
                <w:szCs w:val="22"/>
                <w:vertAlign w:val="baseline"/>
                <w:lang w:val="en-US" w:eastAsia="zh-CN"/>
              </w:rPr>
              <w:t>需继续执行</w:t>
            </w:r>
          </w:p>
        </w:tc>
        <w:tc>
          <w:tcPr>
            <w:tcW w:w="1634"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default" w:ascii="仿宋_GB2312" w:hAnsi="仿宋_GB2312" w:eastAsia="仿宋_GB2312" w:cs="仿宋_GB2312"/>
                <w:color w:val="000000"/>
                <w:kern w:val="0"/>
                <w:sz w:val="22"/>
                <w:szCs w:val="22"/>
                <w:vertAlign w:val="baseline"/>
                <w:lang w:val="en-US" w:eastAsia="zh-CN"/>
              </w:rPr>
              <w:t>昭府通〔2017〕4号</w:t>
            </w:r>
          </w:p>
        </w:tc>
        <w:tc>
          <w:tcPr>
            <w:tcW w:w="5985"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《广元市昭化区人民政府关于加强广元市昭化区辖区内西安至成都铁路客运专线线路安全管理的通告》</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宋体" w:hAnsi="宋体" w:eastAsia="宋体" w:cs="宋体"/>
                <w:color w:val="000000"/>
                <w:kern w:val="0"/>
                <w:sz w:val="32"/>
                <w:szCs w:val="32"/>
                <w:lang w:val="en-US" w:eastAsia="zh-CN"/>
              </w:rPr>
              <w:t>√</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675"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135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需继续执行</w:t>
            </w:r>
          </w:p>
        </w:tc>
        <w:tc>
          <w:tcPr>
            <w:tcW w:w="1634"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区征收中心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default" w:ascii="仿宋_GB2312" w:hAnsi="仿宋_GB2312" w:eastAsia="仿宋_GB2312" w:cs="仿宋_GB2312"/>
                <w:color w:val="000000"/>
                <w:kern w:val="0"/>
                <w:sz w:val="22"/>
                <w:szCs w:val="22"/>
                <w:vertAlign w:val="baseline"/>
                <w:lang w:val="en-US" w:eastAsia="zh-CN"/>
              </w:rPr>
              <w:t>昭府通〔2017〕5号</w:t>
            </w:r>
          </w:p>
        </w:tc>
        <w:tc>
          <w:tcPr>
            <w:tcW w:w="5985"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《广元市昭化区人民政府关于城区（三元丝厂片区）棚户区国有土地上房屋征收决定的通告》</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675"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宋体" w:hAnsi="宋体" w:eastAsia="宋体" w:cs="宋体"/>
                <w:color w:val="000000"/>
                <w:kern w:val="0"/>
                <w:sz w:val="32"/>
                <w:szCs w:val="32"/>
                <w:lang w:val="en-US" w:eastAsia="zh-CN"/>
              </w:rPr>
              <w:t>√</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135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阶段性工作已完成</w:t>
            </w:r>
          </w:p>
        </w:tc>
        <w:tc>
          <w:tcPr>
            <w:tcW w:w="1634"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区征收中心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default" w:ascii="仿宋_GB2312" w:hAnsi="仿宋_GB2312" w:eastAsia="仿宋_GB2312" w:cs="仿宋_GB2312"/>
                <w:color w:val="000000"/>
                <w:kern w:val="0"/>
                <w:sz w:val="22"/>
                <w:szCs w:val="22"/>
                <w:vertAlign w:val="baseline"/>
                <w:lang w:val="en-US" w:eastAsia="zh-CN"/>
              </w:rPr>
              <w:t>昭府通〔2017〕6号</w:t>
            </w:r>
          </w:p>
        </w:tc>
        <w:tc>
          <w:tcPr>
            <w:tcW w:w="5985" w:type="dxa"/>
            <w:vAlign w:val="center"/>
          </w:tcPr>
          <w:p>
            <w:pPr>
              <w:jc w:val="left"/>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《广元市昭化区人民政府关于开展何家坝水库黑臭水体整治的通告》</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675"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宋体" w:hAnsi="宋体" w:eastAsia="宋体" w:cs="宋体"/>
                <w:color w:val="000000"/>
                <w:kern w:val="0"/>
                <w:sz w:val="32"/>
                <w:szCs w:val="32"/>
                <w:lang w:val="en-US" w:eastAsia="zh-CN"/>
              </w:rPr>
              <w:t>√</w:t>
            </w:r>
          </w:p>
        </w:tc>
        <w:tc>
          <w:tcPr>
            <w:tcW w:w="690"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p>
        </w:tc>
        <w:tc>
          <w:tcPr>
            <w:tcW w:w="135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阶段性工作已完成</w:t>
            </w:r>
          </w:p>
        </w:tc>
        <w:tc>
          <w:tcPr>
            <w:tcW w:w="1634" w:type="dxa"/>
            <w:vAlign w:val="center"/>
          </w:tcPr>
          <w:p>
            <w:pPr>
              <w:jc w:val="center"/>
              <w:rPr>
                <w:rFonts w:hint="eastAsia"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5" w:type="dxa"/>
            <w:gridSpan w:val="2"/>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合计</w:t>
            </w:r>
          </w:p>
        </w:tc>
        <w:tc>
          <w:tcPr>
            <w:tcW w:w="69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3</w:t>
            </w:r>
          </w:p>
        </w:tc>
        <w:tc>
          <w:tcPr>
            <w:tcW w:w="69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0</w:t>
            </w:r>
          </w:p>
        </w:tc>
        <w:tc>
          <w:tcPr>
            <w:tcW w:w="675"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4</w:t>
            </w:r>
          </w:p>
        </w:tc>
        <w:tc>
          <w:tcPr>
            <w:tcW w:w="690" w:type="dxa"/>
            <w:vAlign w:val="center"/>
          </w:tcPr>
          <w:p>
            <w:pPr>
              <w:jc w:val="center"/>
              <w:rPr>
                <w:rFonts w:hint="default" w:ascii="仿宋_GB2312" w:hAnsi="仿宋_GB2312" w:eastAsia="仿宋_GB2312" w:cs="仿宋_GB2312"/>
                <w:color w:val="000000"/>
                <w:kern w:val="0"/>
                <w:sz w:val="22"/>
                <w:szCs w:val="22"/>
                <w:vertAlign w:val="baseline"/>
                <w:lang w:val="en-US" w:eastAsia="zh-CN"/>
              </w:rPr>
            </w:pPr>
            <w:r>
              <w:rPr>
                <w:rFonts w:hint="eastAsia" w:ascii="仿宋_GB2312" w:hAnsi="仿宋_GB2312" w:eastAsia="仿宋_GB2312" w:cs="仿宋_GB2312"/>
                <w:color w:val="000000"/>
                <w:kern w:val="0"/>
                <w:sz w:val="22"/>
                <w:szCs w:val="22"/>
                <w:vertAlign w:val="baseline"/>
                <w:lang w:val="en-US" w:eastAsia="zh-CN"/>
              </w:rPr>
              <w:t>0</w:t>
            </w:r>
          </w:p>
        </w:tc>
        <w:tc>
          <w:tcPr>
            <w:tcW w:w="2984" w:type="dxa"/>
            <w:gridSpan w:val="2"/>
            <w:vAlign w:val="center"/>
          </w:tcPr>
          <w:p>
            <w:pPr>
              <w:jc w:val="center"/>
              <w:rPr>
                <w:rFonts w:hint="eastAsia" w:ascii="仿宋_GB2312" w:hAnsi="仿宋_GB2312" w:eastAsia="仿宋_GB2312" w:cs="仿宋_GB2312"/>
                <w:color w:val="000000"/>
                <w:kern w:val="0"/>
                <w:sz w:val="22"/>
                <w:szCs w:val="22"/>
                <w:vertAlign w:val="baseline"/>
                <w:lang w:val="en-US" w:eastAsia="zh-CN"/>
              </w:rPr>
            </w:pPr>
          </w:p>
          <w:p>
            <w:pPr>
              <w:jc w:val="center"/>
              <w:rPr>
                <w:rFonts w:hint="eastAsia" w:ascii="仿宋_GB2312" w:hAnsi="仿宋_GB2312" w:eastAsia="仿宋_GB2312" w:cs="仿宋_GB2312"/>
                <w:color w:val="000000"/>
                <w:kern w:val="0"/>
                <w:sz w:val="22"/>
                <w:szCs w:val="22"/>
                <w:vertAlign w:val="baseline"/>
                <w:lang w:val="en-US" w:eastAsia="zh-CN"/>
              </w:rPr>
            </w:pPr>
          </w:p>
        </w:tc>
      </w:tr>
    </w:tbl>
    <w:p/>
    <w:sectPr>
      <w:pgSz w:w="16838" w:h="11906" w:orient="landscape"/>
      <w:pgMar w:top="1587" w:right="1414" w:bottom="1474" w:left="136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20BE"/>
    <w:rsid w:val="728F6F5D"/>
    <w:rsid w:val="74B02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2021-05-07T03:26:00Z</dcterms:created>
  <dc:creator>蔹夏玹雪</dc:creator>
  <cp:lastModifiedBy>蔹夏玹雪</cp:lastModifiedBy>
  <dcterms:modified xsi:type="dcterms:W3CDTF">2021-05-07T03:27:15Z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4A11DFFDF6794528811CB74FC7B5868D</vt:lpwstr>
  </property>
</Properties>
</file>