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sz w:val="44"/>
          <w:szCs w:val="44"/>
          <w:highlight w:val="none"/>
          <w:lang w:val="en-US"/>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sz w:val="44"/>
          <w:szCs w:val="44"/>
          <w:highlight w:val="none"/>
          <w:lang w:val="en-US"/>
          <w14:textFill>
            <w14:solidFill>
              <w14:schemeClr w14:val="tx1"/>
            </w14:solidFill>
          </w14:textFill>
        </w:rPr>
        <w:t>广元市昭化区司法局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80" w:lineRule="atLeast"/>
        <w:ind w:left="0" w:right="0" w:firstLine="0"/>
        <w:jc w:val="cente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2024年部门预算编制说明</w:t>
      </w:r>
    </w:p>
    <w:p>
      <w:pPr>
        <w:jc w:val="center"/>
        <w:rPr>
          <w:rFonts w:hint="eastAsia" w:ascii="黑体" w:hAnsi="黑体" w:eastAsia="黑体" w:cs="黑体"/>
          <w:b/>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p>
    <w:sdt>
      <w:sdtPr>
        <w:rPr>
          <w:rFonts w:ascii="宋体" w:hAnsi="宋体" w:eastAsia="宋体" w:cs="Times New Roman"/>
          <w:color w:val="auto"/>
          <w:kern w:val="2"/>
          <w:sz w:val="21"/>
          <w:szCs w:val="24"/>
          <w:lang w:val="en-US" w:eastAsia="zh-CN" w:bidi="ar-SA"/>
        </w:rPr>
        <w:id w:val="170612546"/>
        <w:docPartObj>
          <w:docPartGallery w:val="Table of Contents"/>
          <w:docPartUnique/>
        </w:docPartObj>
      </w:sdtPr>
      <w:sdtEndPr>
        <w:rPr>
          <w:rFonts w:hint="eastAsia" w:ascii="仿宋_GB2312" w:hAnsi="仿宋_GB2312" w:eastAsia="仿宋_GB2312" w:cs="仿宋_GB2312"/>
          <w:b/>
          <w:bCs/>
          <w:color w:val="auto"/>
          <w:kern w:val="2"/>
          <w:sz w:val="24"/>
          <w:szCs w:val="24"/>
          <w:lang w:val="en-US" w:eastAsia="zh-CN" w:bidi="ar-SA"/>
        </w:rPr>
      </w:sdtEndPr>
      <w:sdtContent>
        <w:p>
          <w:pPr>
            <w:keepNext w:val="0"/>
            <w:keepLines w:val="0"/>
            <w:pageBreakBefore w:val="0"/>
            <w:kinsoku/>
            <w:wordWrap/>
            <w:overflowPunct/>
            <w:topLinePunct w:val="0"/>
            <w:autoSpaceDE/>
            <w:autoSpaceDN/>
            <w:bidi w:val="0"/>
            <w:adjustRightInd/>
            <w:snapToGrid/>
            <w:spacing w:before="0" w:after="0" w:line="360" w:lineRule="exact"/>
            <w:ind w:left="0" w:leftChars="0" w:right="0" w:rightChars="0" w:firstLine="0" w:firstLineChars="0"/>
            <w:jc w:val="center"/>
            <w:textAlignment w:val="auto"/>
            <w:rPr>
              <w:rFonts w:hint="eastAsia" w:ascii="仿宋_GB2312" w:hAnsi="仿宋_GB2312" w:eastAsia="仿宋_GB2312" w:cs="仿宋_GB2312"/>
              <w:sz w:val="24"/>
              <w:szCs w:val="24"/>
            </w:rPr>
          </w:pPr>
          <w:bookmarkStart w:id="0" w:name="_Toc1680050429_WPSOffice_Type2"/>
          <w:r>
            <w:rPr>
              <w:rFonts w:hint="eastAsia" w:ascii="仿宋_GB2312" w:hAnsi="仿宋_GB2312" w:eastAsia="仿宋_GB2312" w:cs="仿宋_GB2312"/>
              <w:sz w:val="24"/>
              <w:szCs w:val="24"/>
            </w:rPr>
            <w:t>目录</w:t>
          </w:r>
        </w:p>
        <w:p>
          <w:pPr>
            <w:pStyle w:val="18"/>
            <w:keepNext w:val="0"/>
            <w:keepLines w:val="0"/>
            <w:pageBreakBefore w:val="0"/>
            <w:tabs>
              <w:tab w:val="right" w:leader="dot" w:pos="8845"/>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sz w:val="24"/>
              <w:szCs w:val="24"/>
            </w:rPr>
            <w:instrText xml:space="preserve"> HYPERLINK \l _Toc153359014_WPSOffice_Level1 </w:instrText>
          </w:r>
          <w:r>
            <w:rPr>
              <w:rFonts w:hint="eastAsia" w:ascii="仿宋_GB2312" w:hAnsi="仿宋_GB2312" w:eastAsia="仿宋_GB2312" w:cs="仿宋_GB2312"/>
              <w:b/>
              <w:bCs/>
              <w:sz w:val="24"/>
              <w:szCs w:val="24"/>
            </w:rPr>
            <w:fldChar w:fldCharType="separate"/>
          </w:r>
          <w:sdt>
            <w:sdtPr>
              <w:rPr>
                <w:rFonts w:hint="eastAsia" w:ascii="仿宋_GB2312" w:hAnsi="仿宋_GB2312" w:eastAsia="仿宋_GB2312" w:cs="仿宋_GB2312"/>
                <w:b/>
                <w:bCs/>
                <w:color w:val="auto"/>
                <w:kern w:val="2"/>
                <w:sz w:val="24"/>
                <w:szCs w:val="24"/>
                <w:lang w:val="en-US" w:eastAsia="zh-CN" w:bidi="ar-SA"/>
              </w:rPr>
              <w:id w:val="170612546"/>
              <w:placeholder>
                <w:docPart w:val="{f0f05f5b-56cf-4a44-a10e-872a7613ef53}"/>
              </w:placeholder>
            </w:sdtPr>
            <w:sdtEndPr>
              <w:rPr>
                <w:rFonts w:hint="eastAsia" w:ascii="仿宋_GB2312" w:hAnsi="仿宋_GB2312" w:eastAsia="仿宋_GB2312" w:cs="仿宋_GB2312"/>
                <w:b/>
                <w:bCs/>
                <w:color w:val="auto"/>
                <w:kern w:val="2"/>
                <w:sz w:val="24"/>
                <w:szCs w:val="24"/>
                <w:lang w:val="en-US" w:eastAsia="zh-CN" w:bidi="ar-SA"/>
              </w:rPr>
            </w:sdtEndPr>
            <w:sdtContent>
              <w:r>
                <w:rPr>
                  <w:rFonts w:hint="eastAsia" w:ascii="仿宋_GB2312" w:hAnsi="仿宋_GB2312" w:eastAsia="仿宋_GB2312" w:cs="仿宋_GB2312"/>
                  <w:b/>
                  <w:bCs/>
                  <w:sz w:val="24"/>
                  <w:szCs w:val="24"/>
                </w:rPr>
                <w:t>一、基本职能及主要工作</w:t>
              </w:r>
            </w:sdtContent>
          </w:sdt>
          <w:r>
            <w:rPr>
              <w:rFonts w:hint="eastAsia" w:ascii="仿宋_GB2312" w:hAnsi="仿宋_GB2312" w:eastAsia="仿宋_GB2312" w:cs="仿宋_GB2312"/>
              <w:b/>
              <w:bCs/>
              <w:sz w:val="24"/>
              <w:szCs w:val="24"/>
            </w:rPr>
            <w:tab/>
          </w:r>
          <w:bookmarkStart w:id="1" w:name="_Toc153359014_WPSOffice_Level1Page"/>
          <w:r>
            <w:rPr>
              <w:rFonts w:hint="eastAsia" w:ascii="仿宋_GB2312" w:hAnsi="仿宋_GB2312" w:eastAsia="仿宋_GB2312" w:cs="仿宋_GB2312"/>
              <w:b/>
              <w:bCs/>
              <w:sz w:val="24"/>
              <w:szCs w:val="24"/>
            </w:rPr>
            <w:t>2</w:t>
          </w:r>
          <w:bookmarkEnd w:id="1"/>
          <w:r>
            <w:rPr>
              <w:rFonts w:hint="eastAsia" w:ascii="仿宋_GB2312" w:hAnsi="仿宋_GB2312" w:eastAsia="仿宋_GB2312" w:cs="仿宋_GB2312"/>
              <w:b/>
              <w:bCs/>
              <w:sz w:val="24"/>
              <w:szCs w:val="24"/>
            </w:rPr>
            <w:fldChar w:fldCharType="end"/>
          </w:r>
        </w:p>
        <w:p>
          <w:pPr>
            <w:pStyle w:val="19"/>
            <w:keepNext w:val="0"/>
            <w:keepLines w:val="0"/>
            <w:pageBreakBefore w:val="0"/>
            <w:tabs>
              <w:tab w:val="right" w:leader="dot" w:pos="8845"/>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_Toc1680050429_WPSOffice_Level2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color w:val="auto"/>
                <w:kern w:val="2"/>
                <w:sz w:val="24"/>
                <w:szCs w:val="24"/>
                <w:lang w:val="en-US" w:eastAsia="zh-CN" w:bidi="ar-SA"/>
              </w:rPr>
              <w:id w:val="170612546"/>
              <w:placeholder>
                <w:docPart w:val="{cf5ce49b-5bc0-4350-9a07-27a5850ac046}"/>
              </w:placeholder>
            </w:sdtPr>
            <w:sdtEndPr>
              <w:rPr>
                <w:rFonts w:hint="eastAsia" w:ascii="仿宋_GB2312" w:hAnsi="仿宋_GB2312" w:eastAsia="仿宋_GB2312" w:cs="仿宋_GB2312"/>
                <w:color w:val="auto"/>
                <w:kern w:val="2"/>
                <w:sz w:val="24"/>
                <w:szCs w:val="24"/>
                <w:lang w:val="en-US" w:eastAsia="zh-CN" w:bidi="ar-SA"/>
              </w:rPr>
            </w:sdtEndPr>
            <w:sdtContent>
              <w:r>
                <w:rPr>
                  <w:rFonts w:hint="eastAsia" w:ascii="仿宋_GB2312" w:hAnsi="仿宋_GB2312" w:eastAsia="仿宋_GB2312" w:cs="仿宋_GB2312"/>
                  <w:sz w:val="24"/>
                  <w:szCs w:val="24"/>
                </w:rPr>
                <w:t>（一）单位职能简介</w:t>
              </w:r>
            </w:sdtContent>
          </w:sdt>
          <w:r>
            <w:rPr>
              <w:rFonts w:hint="eastAsia" w:ascii="仿宋_GB2312" w:hAnsi="仿宋_GB2312" w:eastAsia="仿宋_GB2312" w:cs="仿宋_GB2312"/>
              <w:sz w:val="24"/>
              <w:szCs w:val="24"/>
            </w:rPr>
            <w:tab/>
          </w:r>
          <w:bookmarkStart w:id="2" w:name="_Toc1680050429_WPSOffice_Level2Page"/>
          <w:r>
            <w:rPr>
              <w:rFonts w:hint="eastAsia" w:ascii="仿宋_GB2312" w:hAnsi="仿宋_GB2312" w:eastAsia="仿宋_GB2312" w:cs="仿宋_GB2312"/>
              <w:sz w:val="24"/>
              <w:szCs w:val="24"/>
            </w:rPr>
            <w:t>2</w:t>
          </w:r>
          <w:bookmarkEnd w:id="2"/>
          <w:r>
            <w:rPr>
              <w:rFonts w:hint="eastAsia" w:ascii="仿宋_GB2312" w:hAnsi="仿宋_GB2312" w:eastAsia="仿宋_GB2312" w:cs="仿宋_GB2312"/>
              <w:sz w:val="24"/>
              <w:szCs w:val="24"/>
            </w:rPr>
            <w:fldChar w:fldCharType="end"/>
          </w:r>
        </w:p>
        <w:p>
          <w:pPr>
            <w:pStyle w:val="19"/>
            <w:keepNext w:val="0"/>
            <w:keepLines w:val="0"/>
            <w:pageBreakBefore w:val="0"/>
            <w:tabs>
              <w:tab w:val="right" w:leader="dot" w:pos="8845"/>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_Toc636779665_WPSOffice_Level2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color w:val="auto"/>
                <w:kern w:val="2"/>
                <w:sz w:val="24"/>
                <w:szCs w:val="24"/>
                <w:lang w:val="en-US" w:eastAsia="zh-CN" w:bidi="ar-SA"/>
              </w:rPr>
              <w:id w:val="170612546"/>
              <w:placeholder>
                <w:docPart w:val="{eaac08d7-8f03-489b-9de7-e496dc8b11a7}"/>
              </w:placeholder>
            </w:sdtPr>
            <w:sdtEndPr>
              <w:rPr>
                <w:rFonts w:hint="eastAsia" w:ascii="仿宋_GB2312" w:hAnsi="仿宋_GB2312" w:eastAsia="仿宋_GB2312" w:cs="仿宋_GB2312"/>
                <w:color w:val="auto"/>
                <w:kern w:val="2"/>
                <w:sz w:val="24"/>
                <w:szCs w:val="24"/>
                <w:lang w:val="en-US" w:eastAsia="zh-CN" w:bidi="ar-SA"/>
              </w:rPr>
            </w:sdtEndPr>
            <w:sdtContent>
              <w:r>
                <w:rPr>
                  <w:rFonts w:hint="eastAsia" w:ascii="仿宋_GB2312" w:hAnsi="仿宋_GB2312" w:eastAsia="仿宋_GB2312" w:cs="仿宋_GB2312"/>
                  <w:sz w:val="24"/>
                  <w:szCs w:val="24"/>
                </w:rPr>
                <w:t>（二）单位2024年重点工作</w:t>
              </w:r>
            </w:sdtContent>
          </w:sdt>
          <w:r>
            <w:rPr>
              <w:rFonts w:hint="eastAsia" w:ascii="仿宋_GB2312" w:hAnsi="仿宋_GB2312" w:eastAsia="仿宋_GB2312" w:cs="仿宋_GB2312"/>
              <w:sz w:val="24"/>
              <w:szCs w:val="24"/>
            </w:rPr>
            <w:tab/>
          </w:r>
          <w:bookmarkStart w:id="3" w:name="_Toc636779665_WPSOffice_Level2Page"/>
          <w:r>
            <w:rPr>
              <w:rFonts w:hint="eastAsia" w:ascii="仿宋_GB2312" w:hAnsi="仿宋_GB2312" w:eastAsia="仿宋_GB2312" w:cs="仿宋_GB2312"/>
              <w:sz w:val="24"/>
              <w:szCs w:val="24"/>
            </w:rPr>
            <w:t>4</w:t>
          </w:r>
          <w:bookmarkEnd w:id="3"/>
          <w:r>
            <w:rPr>
              <w:rFonts w:hint="eastAsia" w:ascii="仿宋_GB2312" w:hAnsi="仿宋_GB2312" w:eastAsia="仿宋_GB2312" w:cs="仿宋_GB2312"/>
              <w:sz w:val="24"/>
              <w:szCs w:val="24"/>
            </w:rPr>
            <w:fldChar w:fldCharType="end"/>
          </w:r>
        </w:p>
        <w:p>
          <w:pPr>
            <w:pStyle w:val="18"/>
            <w:keepNext w:val="0"/>
            <w:keepLines w:val="0"/>
            <w:pageBreakBefore w:val="0"/>
            <w:tabs>
              <w:tab w:val="right" w:leader="dot" w:pos="8845"/>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sz w:val="24"/>
              <w:szCs w:val="24"/>
            </w:rPr>
            <w:instrText xml:space="preserve"> HYPERLINK \l _Toc1680050429_WPSOffice_Level1 </w:instrText>
          </w:r>
          <w:r>
            <w:rPr>
              <w:rFonts w:hint="eastAsia" w:ascii="仿宋_GB2312" w:hAnsi="仿宋_GB2312" w:eastAsia="仿宋_GB2312" w:cs="仿宋_GB2312"/>
              <w:b/>
              <w:bCs/>
              <w:sz w:val="24"/>
              <w:szCs w:val="24"/>
            </w:rPr>
            <w:fldChar w:fldCharType="separate"/>
          </w:r>
          <w:sdt>
            <w:sdtPr>
              <w:rPr>
                <w:rFonts w:hint="eastAsia" w:ascii="仿宋_GB2312" w:hAnsi="仿宋_GB2312" w:eastAsia="仿宋_GB2312" w:cs="仿宋_GB2312"/>
                <w:b/>
                <w:bCs/>
                <w:color w:val="auto"/>
                <w:kern w:val="2"/>
                <w:sz w:val="24"/>
                <w:szCs w:val="24"/>
                <w:lang w:val="en-US" w:eastAsia="zh-CN" w:bidi="ar-SA"/>
              </w:rPr>
              <w:id w:val="170612546"/>
              <w:placeholder>
                <w:docPart w:val="{a40244af-1dc6-45e1-97fa-fb1b6ee4b1f8}"/>
              </w:placeholder>
            </w:sdtPr>
            <w:sdtEndPr>
              <w:rPr>
                <w:rFonts w:hint="eastAsia" w:ascii="仿宋_GB2312" w:hAnsi="仿宋_GB2312" w:eastAsia="仿宋_GB2312" w:cs="仿宋_GB2312"/>
                <w:b/>
                <w:bCs/>
                <w:color w:val="auto"/>
                <w:kern w:val="2"/>
                <w:sz w:val="24"/>
                <w:szCs w:val="24"/>
                <w:lang w:val="en-US" w:eastAsia="zh-CN" w:bidi="ar-SA"/>
              </w:rPr>
            </w:sdtEndPr>
            <w:sdtContent>
              <w:r>
                <w:rPr>
                  <w:rFonts w:hint="eastAsia" w:ascii="仿宋_GB2312" w:hAnsi="仿宋_GB2312" w:eastAsia="仿宋_GB2312" w:cs="仿宋_GB2312"/>
                  <w:b/>
                  <w:bCs/>
                  <w:sz w:val="24"/>
                  <w:szCs w:val="24"/>
                </w:rPr>
                <w:t>二、部门预算单位构成</w:t>
              </w:r>
            </w:sdtContent>
          </w:sdt>
          <w:r>
            <w:rPr>
              <w:rFonts w:hint="eastAsia" w:ascii="仿宋_GB2312" w:hAnsi="仿宋_GB2312" w:eastAsia="仿宋_GB2312" w:cs="仿宋_GB2312"/>
              <w:b/>
              <w:bCs/>
              <w:sz w:val="24"/>
              <w:szCs w:val="24"/>
            </w:rPr>
            <w:tab/>
          </w:r>
          <w:bookmarkStart w:id="4" w:name="_Toc1680050429_WPSOffice_Level1Page"/>
          <w:r>
            <w:rPr>
              <w:rFonts w:hint="eastAsia" w:ascii="仿宋_GB2312" w:hAnsi="仿宋_GB2312" w:eastAsia="仿宋_GB2312" w:cs="仿宋_GB2312"/>
              <w:b/>
              <w:bCs/>
              <w:sz w:val="24"/>
              <w:szCs w:val="24"/>
            </w:rPr>
            <w:t>4</w:t>
          </w:r>
          <w:bookmarkEnd w:id="4"/>
          <w:r>
            <w:rPr>
              <w:rFonts w:hint="eastAsia" w:ascii="仿宋_GB2312" w:hAnsi="仿宋_GB2312" w:eastAsia="仿宋_GB2312" w:cs="仿宋_GB2312"/>
              <w:b/>
              <w:bCs/>
              <w:sz w:val="24"/>
              <w:szCs w:val="24"/>
            </w:rPr>
            <w:fldChar w:fldCharType="end"/>
          </w:r>
        </w:p>
        <w:p>
          <w:pPr>
            <w:pStyle w:val="18"/>
            <w:keepNext w:val="0"/>
            <w:keepLines w:val="0"/>
            <w:pageBreakBefore w:val="0"/>
            <w:tabs>
              <w:tab w:val="right" w:leader="dot" w:pos="8845"/>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sz w:val="24"/>
              <w:szCs w:val="24"/>
            </w:rPr>
            <w:instrText xml:space="preserve"> HYPERLINK \l _Toc636779665_WPSOffice_Level1 </w:instrText>
          </w:r>
          <w:r>
            <w:rPr>
              <w:rFonts w:hint="eastAsia" w:ascii="仿宋_GB2312" w:hAnsi="仿宋_GB2312" w:eastAsia="仿宋_GB2312" w:cs="仿宋_GB2312"/>
              <w:b/>
              <w:bCs/>
              <w:sz w:val="24"/>
              <w:szCs w:val="24"/>
            </w:rPr>
            <w:fldChar w:fldCharType="separate"/>
          </w:r>
          <w:sdt>
            <w:sdtPr>
              <w:rPr>
                <w:rFonts w:hint="eastAsia" w:ascii="仿宋_GB2312" w:hAnsi="仿宋_GB2312" w:eastAsia="仿宋_GB2312" w:cs="仿宋_GB2312"/>
                <w:b/>
                <w:bCs/>
                <w:color w:val="auto"/>
                <w:kern w:val="2"/>
                <w:sz w:val="24"/>
                <w:szCs w:val="24"/>
                <w:lang w:val="en-US" w:eastAsia="zh-CN" w:bidi="ar-SA"/>
              </w:rPr>
              <w:id w:val="170612546"/>
              <w:placeholder>
                <w:docPart w:val="{d759b90e-ad36-416d-ae75-01a7ede81c7d}"/>
              </w:placeholder>
            </w:sdtPr>
            <w:sdtEndPr>
              <w:rPr>
                <w:rFonts w:hint="eastAsia" w:ascii="仿宋_GB2312" w:hAnsi="仿宋_GB2312" w:eastAsia="仿宋_GB2312" w:cs="仿宋_GB2312"/>
                <w:b/>
                <w:bCs/>
                <w:color w:val="auto"/>
                <w:kern w:val="2"/>
                <w:sz w:val="24"/>
                <w:szCs w:val="24"/>
                <w:lang w:val="en-US" w:eastAsia="zh-CN" w:bidi="ar-SA"/>
              </w:rPr>
            </w:sdtEndPr>
            <w:sdtContent>
              <w:r>
                <w:rPr>
                  <w:rFonts w:hint="eastAsia" w:ascii="仿宋_GB2312" w:hAnsi="仿宋_GB2312" w:eastAsia="仿宋_GB2312" w:cs="仿宋_GB2312"/>
                  <w:b/>
                  <w:bCs/>
                  <w:sz w:val="24"/>
                  <w:szCs w:val="24"/>
                </w:rPr>
                <w:t>三、收支预算情况说明</w:t>
              </w:r>
            </w:sdtContent>
          </w:sdt>
          <w:r>
            <w:rPr>
              <w:rFonts w:hint="eastAsia" w:ascii="仿宋_GB2312" w:hAnsi="仿宋_GB2312" w:eastAsia="仿宋_GB2312" w:cs="仿宋_GB2312"/>
              <w:b/>
              <w:bCs/>
              <w:sz w:val="24"/>
              <w:szCs w:val="24"/>
            </w:rPr>
            <w:tab/>
          </w:r>
          <w:bookmarkStart w:id="5" w:name="_Toc636779665_WPSOffice_Level1Page"/>
          <w:r>
            <w:rPr>
              <w:rFonts w:hint="eastAsia" w:ascii="仿宋_GB2312" w:hAnsi="仿宋_GB2312" w:eastAsia="仿宋_GB2312" w:cs="仿宋_GB2312"/>
              <w:b/>
              <w:bCs/>
              <w:sz w:val="24"/>
              <w:szCs w:val="24"/>
            </w:rPr>
            <w:t>5</w:t>
          </w:r>
          <w:bookmarkEnd w:id="5"/>
          <w:r>
            <w:rPr>
              <w:rFonts w:hint="eastAsia" w:ascii="仿宋_GB2312" w:hAnsi="仿宋_GB2312" w:eastAsia="仿宋_GB2312" w:cs="仿宋_GB2312"/>
              <w:b/>
              <w:bCs/>
              <w:sz w:val="24"/>
              <w:szCs w:val="24"/>
            </w:rPr>
            <w:fldChar w:fldCharType="end"/>
          </w:r>
        </w:p>
        <w:p>
          <w:pPr>
            <w:pStyle w:val="19"/>
            <w:keepNext w:val="0"/>
            <w:keepLines w:val="0"/>
            <w:pageBreakBefore w:val="0"/>
            <w:tabs>
              <w:tab w:val="right" w:leader="dot" w:pos="8845"/>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_Toc754424541_WPSOffice_Level2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color w:val="auto"/>
                <w:kern w:val="2"/>
                <w:sz w:val="24"/>
                <w:szCs w:val="24"/>
                <w:lang w:val="en-US" w:eastAsia="zh-CN" w:bidi="ar-SA"/>
              </w:rPr>
              <w:id w:val="170612546"/>
              <w:placeholder>
                <w:docPart w:val="{2396b6a6-d54f-414f-9c17-b1149d6965e7}"/>
              </w:placeholder>
            </w:sdtPr>
            <w:sdtEndPr>
              <w:rPr>
                <w:rFonts w:hint="eastAsia" w:ascii="仿宋_GB2312" w:hAnsi="仿宋_GB2312" w:eastAsia="仿宋_GB2312" w:cs="仿宋_GB2312"/>
                <w:color w:val="auto"/>
                <w:kern w:val="2"/>
                <w:sz w:val="24"/>
                <w:szCs w:val="24"/>
                <w:lang w:val="en-US" w:eastAsia="zh-CN" w:bidi="ar-SA"/>
              </w:rPr>
            </w:sdtEndPr>
            <w:sdtContent>
              <w:r>
                <w:rPr>
                  <w:rFonts w:hint="eastAsia" w:ascii="仿宋_GB2312" w:hAnsi="仿宋_GB2312" w:eastAsia="仿宋_GB2312" w:cs="仿宋_GB2312"/>
                  <w:sz w:val="24"/>
                  <w:szCs w:val="24"/>
                </w:rPr>
                <w:t>（一）收入预算情况</w:t>
              </w:r>
            </w:sdtContent>
          </w:sdt>
          <w:r>
            <w:rPr>
              <w:rFonts w:hint="eastAsia" w:ascii="仿宋_GB2312" w:hAnsi="仿宋_GB2312" w:eastAsia="仿宋_GB2312" w:cs="仿宋_GB2312"/>
              <w:sz w:val="24"/>
              <w:szCs w:val="24"/>
            </w:rPr>
            <w:tab/>
          </w:r>
          <w:bookmarkStart w:id="6" w:name="_Toc754424541_WPSOffice_Level2Page"/>
          <w:r>
            <w:rPr>
              <w:rFonts w:hint="eastAsia" w:ascii="仿宋_GB2312" w:hAnsi="仿宋_GB2312" w:eastAsia="仿宋_GB2312" w:cs="仿宋_GB2312"/>
              <w:sz w:val="24"/>
              <w:szCs w:val="24"/>
            </w:rPr>
            <w:t>5</w:t>
          </w:r>
          <w:bookmarkEnd w:id="6"/>
          <w:r>
            <w:rPr>
              <w:rFonts w:hint="eastAsia" w:ascii="仿宋_GB2312" w:hAnsi="仿宋_GB2312" w:eastAsia="仿宋_GB2312" w:cs="仿宋_GB2312"/>
              <w:sz w:val="24"/>
              <w:szCs w:val="24"/>
            </w:rPr>
            <w:fldChar w:fldCharType="end"/>
          </w:r>
        </w:p>
        <w:p>
          <w:pPr>
            <w:pStyle w:val="19"/>
            <w:keepNext w:val="0"/>
            <w:keepLines w:val="0"/>
            <w:pageBreakBefore w:val="0"/>
            <w:tabs>
              <w:tab w:val="right" w:leader="dot" w:pos="8845"/>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_Toc1475941959_WPSOffice_Level2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color w:val="auto"/>
                <w:kern w:val="2"/>
                <w:sz w:val="24"/>
                <w:szCs w:val="24"/>
                <w:lang w:val="en-US" w:eastAsia="zh-CN" w:bidi="ar-SA"/>
              </w:rPr>
              <w:id w:val="170612546"/>
              <w:placeholder>
                <w:docPart w:val="{62809c17-524d-4ea6-bde5-ab8b24ebbde1}"/>
              </w:placeholder>
            </w:sdtPr>
            <w:sdtEndPr>
              <w:rPr>
                <w:rFonts w:hint="eastAsia" w:ascii="仿宋_GB2312" w:hAnsi="仿宋_GB2312" w:eastAsia="仿宋_GB2312" w:cs="仿宋_GB2312"/>
                <w:color w:val="auto"/>
                <w:kern w:val="2"/>
                <w:sz w:val="24"/>
                <w:szCs w:val="24"/>
                <w:lang w:val="en-US" w:eastAsia="zh-CN" w:bidi="ar-SA"/>
              </w:rPr>
            </w:sdtEndPr>
            <w:sdtContent>
              <w:r>
                <w:rPr>
                  <w:rFonts w:hint="eastAsia" w:ascii="仿宋_GB2312" w:hAnsi="仿宋_GB2312" w:eastAsia="仿宋_GB2312" w:cs="仿宋_GB2312"/>
                  <w:sz w:val="24"/>
                  <w:szCs w:val="24"/>
                </w:rPr>
                <w:t>（二）支出预算情况</w:t>
              </w:r>
            </w:sdtContent>
          </w:sdt>
          <w:r>
            <w:rPr>
              <w:rFonts w:hint="eastAsia" w:ascii="仿宋_GB2312" w:hAnsi="仿宋_GB2312" w:eastAsia="仿宋_GB2312" w:cs="仿宋_GB2312"/>
              <w:sz w:val="24"/>
              <w:szCs w:val="24"/>
            </w:rPr>
            <w:tab/>
          </w:r>
          <w:bookmarkStart w:id="7" w:name="_Toc1475941959_WPSOffice_Level2Page"/>
          <w:r>
            <w:rPr>
              <w:rFonts w:hint="eastAsia" w:ascii="仿宋_GB2312" w:hAnsi="仿宋_GB2312" w:eastAsia="仿宋_GB2312" w:cs="仿宋_GB2312"/>
              <w:sz w:val="24"/>
              <w:szCs w:val="24"/>
            </w:rPr>
            <w:t>5</w:t>
          </w:r>
          <w:bookmarkEnd w:id="7"/>
          <w:r>
            <w:rPr>
              <w:rFonts w:hint="eastAsia" w:ascii="仿宋_GB2312" w:hAnsi="仿宋_GB2312" w:eastAsia="仿宋_GB2312" w:cs="仿宋_GB2312"/>
              <w:sz w:val="24"/>
              <w:szCs w:val="24"/>
            </w:rPr>
            <w:fldChar w:fldCharType="end"/>
          </w:r>
        </w:p>
        <w:p>
          <w:pPr>
            <w:pStyle w:val="18"/>
            <w:keepNext w:val="0"/>
            <w:keepLines w:val="0"/>
            <w:pageBreakBefore w:val="0"/>
            <w:tabs>
              <w:tab w:val="right" w:leader="dot" w:pos="8845"/>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sz w:val="24"/>
              <w:szCs w:val="24"/>
            </w:rPr>
            <w:instrText xml:space="preserve"> HYPERLINK \l _Toc754424541_WPSOffice_Level1 </w:instrText>
          </w:r>
          <w:r>
            <w:rPr>
              <w:rFonts w:hint="eastAsia" w:ascii="仿宋_GB2312" w:hAnsi="仿宋_GB2312" w:eastAsia="仿宋_GB2312" w:cs="仿宋_GB2312"/>
              <w:b/>
              <w:bCs/>
              <w:sz w:val="24"/>
              <w:szCs w:val="24"/>
            </w:rPr>
            <w:fldChar w:fldCharType="separate"/>
          </w:r>
          <w:sdt>
            <w:sdtPr>
              <w:rPr>
                <w:rFonts w:hint="eastAsia" w:ascii="仿宋_GB2312" w:hAnsi="仿宋_GB2312" w:eastAsia="仿宋_GB2312" w:cs="仿宋_GB2312"/>
                <w:b/>
                <w:bCs/>
                <w:color w:val="auto"/>
                <w:kern w:val="2"/>
                <w:sz w:val="24"/>
                <w:szCs w:val="24"/>
                <w:lang w:val="en-US" w:eastAsia="zh-CN" w:bidi="ar-SA"/>
              </w:rPr>
              <w:id w:val="170612546"/>
              <w:placeholder>
                <w:docPart w:val="{3436130c-9399-4bca-82d2-6f0c3eda147d}"/>
              </w:placeholder>
            </w:sdtPr>
            <w:sdtEndPr>
              <w:rPr>
                <w:rFonts w:hint="eastAsia" w:ascii="仿宋_GB2312" w:hAnsi="仿宋_GB2312" w:eastAsia="仿宋_GB2312" w:cs="仿宋_GB2312"/>
                <w:b/>
                <w:bCs/>
                <w:color w:val="auto"/>
                <w:kern w:val="2"/>
                <w:sz w:val="24"/>
                <w:szCs w:val="24"/>
                <w:lang w:val="en-US" w:eastAsia="zh-CN" w:bidi="ar-SA"/>
              </w:rPr>
            </w:sdtEndPr>
            <w:sdtContent>
              <w:r>
                <w:rPr>
                  <w:rFonts w:hint="eastAsia" w:ascii="仿宋_GB2312" w:hAnsi="仿宋_GB2312" w:eastAsia="仿宋_GB2312" w:cs="仿宋_GB2312"/>
                  <w:b/>
                  <w:bCs/>
                  <w:sz w:val="24"/>
                  <w:szCs w:val="24"/>
                </w:rPr>
                <w:t>四、财政拨款收支预算情况说明</w:t>
              </w:r>
            </w:sdtContent>
          </w:sdt>
          <w:r>
            <w:rPr>
              <w:rFonts w:hint="eastAsia" w:ascii="仿宋_GB2312" w:hAnsi="仿宋_GB2312" w:eastAsia="仿宋_GB2312" w:cs="仿宋_GB2312"/>
              <w:b/>
              <w:bCs/>
              <w:sz w:val="24"/>
              <w:szCs w:val="24"/>
            </w:rPr>
            <w:tab/>
          </w:r>
          <w:bookmarkStart w:id="8" w:name="_Toc754424541_WPSOffice_Level1Page"/>
          <w:r>
            <w:rPr>
              <w:rFonts w:hint="eastAsia" w:ascii="仿宋_GB2312" w:hAnsi="仿宋_GB2312" w:eastAsia="仿宋_GB2312" w:cs="仿宋_GB2312"/>
              <w:b/>
              <w:bCs/>
              <w:sz w:val="24"/>
              <w:szCs w:val="24"/>
            </w:rPr>
            <w:t>5</w:t>
          </w:r>
          <w:bookmarkEnd w:id="8"/>
          <w:r>
            <w:rPr>
              <w:rFonts w:hint="eastAsia" w:ascii="仿宋_GB2312" w:hAnsi="仿宋_GB2312" w:eastAsia="仿宋_GB2312" w:cs="仿宋_GB2312"/>
              <w:b/>
              <w:bCs/>
              <w:sz w:val="24"/>
              <w:szCs w:val="24"/>
            </w:rPr>
            <w:fldChar w:fldCharType="end"/>
          </w:r>
        </w:p>
        <w:p>
          <w:pPr>
            <w:pStyle w:val="18"/>
            <w:keepNext w:val="0"/>
            <w:keepLines w:val="0"/>
            <w:pageBreakBefore w:val="0"/>
            <w:tabs>
              <w:tab w:val="right" w:leader="dot" w:pos="8845"/>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sz w:val="24"/>
              <w:szCs w:val="24"/>
            </w:rPr>
            <w:instrText xml:space="preserve"> HYPERLINK \l _Toc1475941959_WPSOffice_Level1 </w:instrText>
          </w:r>
          <w:r>
            <w:rPr>
              <w:rFonts w:hint="eastAsia" w:ascii="仿宋_GB2312" w:hAnsi="仿宋_GB2312" w:eastAsia="仿宋_GB2312" w:cs="仿宋_GB2312"/>
              <w:b/>
              <w:bCs/>
              <w:sz w:val="24"/>
              <w:szCs w:val="24"/>
            </w:rPr>
            <w:fldChar w:fldCharType="separate"/>
          </w:r>
          <w:sdt>
            <w:sdtPr>
              <w:rPr>
                <w:rFonts w:hint="eastAsia" w:ascii="仿宋_GB2312" w:hAnsi="仿宋_GB2312" w:eastAsia="仿宋_GB2312" w:cs="仿宋_GB2312"/>
                <w:b/>
                <w:bCs/>
                <w:color w:val="auto"/>
                <w:kern w:val="2"/>
                <w:sz w:val="24"/>
                <w:szCs w:val="24"/>
                <w:lang w:val="en-US" w:eastAsia="zh-CN" w:bidi="ar-SA"/>
              </w:rPr>
              <w:id w:val="170612546"/>
              <w:placeholder>
                <w:docPart w:val="{46b3ba6d-dc5b-4b43-99d1-1d3208df618e}"/>
              </w:placeholder>
            </w:sdtPr>
            <w:sdtEndPr>
              <w:rPr>
                <w:rFonts w:hint="eastAsia" w:ascii="仿宋_GB2312" w:hAnsi="仿宋_GB2312" w:eastAsia="仿宋_GB2312" w:cs="仿宋_GB2312"/>
                <w:b/>
                <w:bCs/>
                <w:color w:val="auto"/>
                <w:kern w:val="2"/>
                <w:sz w:val="24"/>
                <w:szCs w:val="24"/>
                <w:lang w:val="en-US" w:eastAsia="zh-CN" w:bidi="ar-SA"/>
              </w:rPr>
            </w:sdtEndPr>
            <w:sdtContent>
              <w:r>
                <w:rPr>
                  <w:rFonts w:hint="eastAsia" w:ascii="仿宋_GB2312" w:hAnsi="仿宋_GB2312" w:eastAsia="仿宋_GB2312" w:cs="仿宋_GB2312"/>
                  <w:b/>
                  <w:bCs/>
                  <w:sz w:val="24"/>
                  <w:szCs w:val="24"/>
                </w:rPr>
                <w:t>五、一般公共预算当年拨款情况说明</w:t>
              </w:r>
            </w:sdtContent>
          </w:sdt>
          <w:r>
            <w:rPr>
              <w:rFonts w:hint="eastAsia" w:ascii="仿宋_GB2312" w:hAnsi="仿宋_GB2312" w:eastAsia="仿宋_GB2312" w:cs="仿宋_GB2312"/>
              <w:b/>
              <w:bCs/>
              <w:sz w:val="24"/>
              <w:szCs w:val="24"/>
            </w:rPr>
            <w:tab/>
          </w:r>
          <w:bookmarkStart w:id="9" w:name="_Toc1475941959_WPSOffice_Level1Page"/>
          <w:r>
            <w:rPr>
              <w:rFonts w:hint="eastAsia" w:ascii="仿宋_GB2312" w:hAnsi="仿宋_GB2312" w:eastAsia="仿宋_GB2312" w:cs="仿宋_GB2312"/>
              <w:b/>
              <w:bCs/>
              <w:sz w:val="24"/>
              <w:szCs w:val="24"/>
            </w:rPr>
            <w:t>5</w:t>
          </w:r>
          <w:bookmarkEnd w:id="9"/>
          <w:r>
            <w:rPr>
              <w:rFonts w:hint="eastAsia" w:ascii="仿宋_GB2312" w:hAnsi="仿宋_GB2312" w:eastAsia="仿宋_GB2312" w:cs="仿宋_GB2312"/>
              <w:b/>
              <w:bCs/>
              <w:sz w:val="24"/>
              <w:szCs w:val="24"/>
            </w:rPr>
            <w:fldChar w:fldCharType="end"/>
          </w:r>
        </w:p>
        <w:p>
          <w:pPr>
            <w:pStyle w:val="19"/>
            <w:keepNext w:val="0"/>
            <w:keepLines w:val="0"/>
            <w:pageBreakBefore w:val="0"/>
            <w:tabs>
              <w:tab w:val="right" w:leader="dot" w:pos="8845"/>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_Toc1318532127_WPSOffice_Level2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color w:val="auto"/>
                <w:kern w:val="2"/>
                <w:sz w:val="24"/>
                <w:szCs w:val="24"/>
                <w:lang w:val="en-US" w:eastAsia="zh-CN" w:bidi="ar-SA"/>
              </w:rPr>
              <w:id w:val="170612546"/>
              <w:placeholder>
                <w:docPart w:val="{165e9e65-edac-413a-8b07-e2b84b580af9}"/>
              </w:placeholder>
            </w:sdtPr>
            <w:sdtEndPr>
              <w:rPr>
                <w:rFonts w:hint="eastAsia" w:ascii="仿宋_GB2312" w:hAnsi="仿宋_GB2312" w:eastAsia="仿宋_GB2312" w:cs="仿宋_GB2312"/>
                <w:color w:val="auto"/>
                <w:kern w:val="2"/>
                <w:sz w:val="24"/>
                <w:szCs w:val="24"/>
                <w:lang w:val="en-US" w:eastAsia="zh-CN" w:bidi="ar-SA"/>
              </w:rPr>
            </w:sdtEndPr>
            <w:sdtContent>
              <w:r>
                <w:rPr>
                  <w:rFonts w:hint="eastAsia" w:ascii="仿宋_GB2312" w:hAnsi="仿宋_GB2312" w:eastAsia="仿宋_GB2312" w:cs="仿宋_GB2312"/>
                  <w:sz w:val="24"/>
                  <w:szCs w:val="24"/>
                </w:rPr>
                <w:t>（一）一般公共预算当年拨款规模变化情况</w:t>
              </w:r>
            </w:sdtContent>
          </w:sdt>
          <w:r>
            <w:rPr>
              <w:rFonts w:hint="eastAsia" w:ascii="仿宋_GB2312" w:hAnsi="仿宋_GB2312" w:eastAsia="仿宋_GB2312" w:cs="仿宋_GB2312"/>
              <w:sz w:val="24"/>
              <w:szCs w:val="24"/>
            </w:rPr>
            <w:tab/>
          </w:r>
          <w:bookmarkStart w:id="10" w:name="_Toc1318532127_WPSOffice_Level2Page"/>
          <w:r>
            <w:rPr>
              <w:rFonts w:hint="eastAsia" w:ascii="仿宋_GB2312" w:hAnsi="仿宋_GB2312" w:eastAsia="仿宋_GB2312" w:cs="仿宋_GB2312"/>
              <w:sz w:val="24"/>
              <w:szCs w:val="24"/>
            </w:rPr>
            <w:t>6</w:t>
          </w:r>
          <w:bookmarkEnd w:id="10"/>
          <w:r>
            <w:rPr>
              <w:rFonts w:hint="eastAsia" w:ascii="仿宋_GB2312" w:hAnsi="仿宋_GB2312" w:eastAsia="仿宋_GB2312" w:cs="仿宋_GB2312"/>
              <w:sz w:val="24"/>
              <w:szCs w:val="24"/>
            </w:rPr>
            <w:fldChar w:fldCharType="end"/>
          </w:r>
        </w:p>
        <w:p>
          <w:pPr>
            <w:pStyle w:val="19"/>
            <w:keepNext w:val="0"/>
            <w:keepLines w:val="0"/>
            <w:pageBreakBefore w:val="0"/>
            <w:tabs>
              <w:tab w:val="right" w:leader="dot" w:pos="8845"/>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_Toc1538346870_WPSOffice_Level2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color w:val="auto"/>
                <w:kern w:val="2"/>
                <w:sz w:val="24"/>
                <w:szCs w:val="24"/>
                <w:lang w:val="en-US" w:eastAsia="zh-CN" w:bidi="ar-SA"/>
              </w:rPr>
              <w:id w:val="170612546"/>
              <w:placeholder>
                <w:docPart w:val="{8a05a3b4-28f0-46df-bb44-9827bdeda1e5}"/>
              </w:placeholder>
            </w:sdtPr>
            <w:sdtEndPr>
              <w:rPr>
                <w:rFonts w:hint="eastAsia" w:ascii="仿宋_GB2312" w:hAnsi="仿宋_GB2312" w:eastAsia="仿宋_GB2312" w:cs="仿宋_GB2312"/>
                <w:color w:val="auto"/>
                <w:kern w:val="2"/>
                <w:sz w:val="24"/>
                <w:szCs w:val="24"/>
                <w:lang w:val="en-US" w:eastAsia="zh-CN" w:bidi="ar-SA"/>
              </w:rPr>
            </w:sdtEndPr>
            <w:sdtContent>
              <w:r>
                <w:rPr>
                  <w:rFonts w:hint="eastAsia" w:ascii="仿宋_GB2312" w:hAnsi="仿宋_GB2312" w:eastAsia="仿宋_GB2312" w:cs="仿宋_GB2312"/>
                  <w:sz w:val="24"/>
                  <w:szCs w:val="24"/>
                </w:rPr>
                <w:t>（二）一般公共预算当年拨款结构情况</w:t>
              </w:r>
            </w:sdtContent>
          </w:sdt>
          <w:r>
            <w:rPr>
              <w:rFonts w:hint="eastAsia" w:ascii="仿宋_GB2312" w:hAnsi="仿宋_GB2312" w:eastAsia="仿宋_GB2312" w:cs="仿宋_GB2312"/>
              <w:sz w:val="24"/>
              <w:szCs w:val="24"/>
            </w:rPr>
            <w:tab/>
          </w:r>
          <w:bookmarkStart w:id="11" w:name="_Toc1538346870_WPSOffice_Level2Page"/>
          <w:r>
            <w:rPr>
              <w:rFonts w:hint="eastAsia" w:ascii="仿宋_GB2312" w:hAnsi="仿宋_GB2312" w:eastAsia="仿宋_GB2312" w:cs="仿宋_GB2312"/>
              <w:sz w:val="24"/>
              <w:szCs w:val="24"/>
            </w:rPr>
            <w:t>6</w:t>
          </w:r>
          <w:bookmarkEnd w:id="11"/>
          <w:r>
            <w:rPr>
              <w:rFonts w:hint="eastAsia" w:ascii="仿宋_GB2312" w:hAnsi="仿宋_GB2312" w:eastAsia="仿宋_GB2312" w:cs="仿宋_GB2312"/>
              <w:sz w:val="24"/>
              <w:szCs w:val="24"/>
            </w:rPr>
            <w:fldChar w:fldCharType="end"/>
          </w:r>
        </w:p>
        <w:p>
          <w:pPr>
            <w:pStyle w:val="19"/>
            <w:keepNext w:val="0"/>
            <w:keepLines w:val="0"/>
            <w:pageBreakBefore w:val="0"/>
            <w:tabs>
              <w:tab w:val="right" w:leader="dot" w:pos="8845"/>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_Toc1315965731_WPSOffice_Level2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color w:val="auto"/>
                <w:kern w:val="2"/>
                <w:sz w:val="24"/>
                <w:szCs w:val="24"/>
                <w:lang w:val="en-US" w:eastAsia="zh-CN" w:bidi="ar-SA"/>
              </w:rPr>
              <w:id w:val="170612546"/>
              <w:placeholder>
                <w:docPart w:val="{c0d6b4b5-4aac-4b6c-b071-ee7b59345029}"/>
              </w:placeholder>
            </w:sdtPr>
            <w:sdtEndPr>
              <w:rPr>
                <w:rFonts w:hint="eastAsia" w:ascii="仿宋_GB2312" w:hAnsi="仿宋_GB2312" w:eastAsia="仿宋_GB2312" w:cs="仿宋_GB2312"/>
                <w:color w:val="auto"/>
                <w:kern w:val="2"/>
                <w:sz w:val="24"/>
                <w:szCs w:val="24"/>
                <w:lang w:val="en-US" w:eastAsia="zh-CN" w:bidi="ar-SA"/>
              </w:rPr>
            </w:sdtEndPr>
            <w:sdtContent>
              <w:r>
                <w:rPr>
                  <w:rFonts w:hint="eastAsia" w:ascii="仿宋_GB2312" w:hAnsi="仿宋_GB2312" w:eastAsia="仿宋_GB2312" w:cs="仿宋_GB2312"/>
                  <w:sz w:val="24"/>
                  <w:szCs w:val="24"/>
                </w:rPr>
                <w:t>（三）一般公共预算当年拨款具体使用情况</w:t>
              </w:r>
            </w:sdtContent>
          </w:sdt>
          <w:r>
            <w:rPr>
              <w:rFonts w:hint="eastAsia" w:ascii="仿宋_GB2312" w:hAnsi="仿宋_GB2312" w:eastAsia="仿宋_GB2312" w:cs="仿宋_GB2312"/>
              <w:sz w:val="24"/>
              <w:szCs w:val="24"/>
            </w:rPr>
            <w:tab/>
          </w:r>
          <w:bookmarkStart w:id="12" w:name="_Toc1315965731_WPSOffice_Level2Page"/>
          <w:r>
            <w:rPr>
              <w:rFonts w:hint="eastAsia" w:ascii="仿宋_GB2312" w:hAnsi="仿宋_GB2312" w:eastAsia="仿宋_GB2312" w:cs="仿宋_GB2312"/>
              <w:sz w:val="24"/>
              <w:szCs w:val="24"/>
            </w:rPr>
            <w:t>6</w:t>
          </w:r>
          <w:bookmarkEnd w:id="12"/>
          <w:r>
            <w:rPr>
              <w:rFonts w:hint="eastAsia" w:ascii="仿宋_GB2312" w:hAnsi="仿宋_GB2312" w:eastAsia="仿宋_GB2312" w:cs="仿宋_GB2312"/>
              <w:sz w:val="24"/>
              <w:szCs w:val="24"/>
            </w:rPr>
            <w:fldChar w:fldCharType="end"/>
          </w:r>
        </w:p>
        <w:p>
          <w:pPr>
            <w:pStyle w:val="18"/>
            <w:keepNext w:val="0"/>
            <w:keepLines w:val="0"/>
            <w:pageBreakBefore w:val="0"/>
            <w:tabs>
              <w:tab w:val="right" w:leader="dot" w:pos="8845"/>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sz w:val="24"/>
              <w:szCs w:val="24"/>
            </w:rPr>
            <w:instrText xml:space="preserve"> HYPERLINK \l _Toc1318532127_WPSOffice_Level1 </w:instrText>
          </w:r>
          <w:r>
            <w:rPr>
              <w:rFonts w:hint="eastAsia" w:ascii="仿宋_GB2312" w:hAnsi="仿宋_GB2312" w:eastAsia="仿宋_GB2312" w:cs="仿宋_GB2312"/>
              <w:b/>
              <w:bCs/>
              <w:sz w:val="24"/>
              <w:szCs w:val="24"/>
            </w:rPr>
            <w:fldChar w:fldCharType="separate"/>
          </w:r>
          <w:sdt>
            <w:sdtPr>
              <w:rPr>
                <w:rFonts w:hint="eastAsia" w:ascii="仿宋_GB2312" w:hAnsi="仿宋_GB2312" w:eastAsia="仿宋_GB2312" w:cs="仿宋_GB2312"/>
                <w:b/>
                <w:bCs/>
                <w:color w:val="auto"/>
                <w:kern w:val="2"/>
                <w:sz w:val="24"/>
                <w:szCs w:val="24"/>
                <w:lang w:val="en-US" w:eastAsia="zh-CN" w:bidi="ar-SA"/>
              </w:rPr>
              <w:id w:val="170612546"/>
              <w:placeholder>
                <w:docPart w:val="{1eb215bf-bc63-430c-9b1c-b9ecc0d55055}"/>
              </w:placeholder>
            </w:sdtPr>
            <w:sdtEndPr>
              <w:rPr>
                <w:rFonts w:hint="eastAsia" w:ascii="仿宋_GB2312" w:hAnsi="仿宋_GB2312" w:eastAsia="仿宋_GB2312" w:cs="仿宋_GB2312"/>
                <w:b/>
                <w:bCs/>
                <w:color w:val="auto"/>
                <w:kern w:val="2"/>
                <w:sz w:val="24"/>
                <w:szCs w:val="24"/>
                <w:lang w:val="en-US" w:eastAsia="zh-CN" w:bidi="ar-SA"/>
              </w:rPr>
            </w:sdtEndPr>
            <w:sdtContent>
              <w:r>
                <w:rPr>
                  <w:rFonts w:hint="eastAsia" w:ascii="仿宋_GB2312" w:hAnsi="仿宋_GB2312" w:eastAsia="仿宋_GB2312" w:cs="仿宋_GB2312"/>
                  <w:b/>
                  <w:bCs/>
                  <w:sz w:val="24"/>
                  <w:szCs w:val="24"/>
                </w:rPr>
                <w:t>六、一般公共预算基本支出情况说明</w:t>
              </w:r>
            </w:sdtContent>
          </w:sdt>
          <w:r>
            <w:rPr>
              <w:rFonts w:hint="eastAsia" w:ascii="仿宋_GB2312" w:hAnsi="仿宋_GB2312" w:eastAsia="仿宋_GB2312" w:cs="仿宋_GB2312"/>
              <w:b/>
              <w:bCs/>
              <w:sz w:val="24"/>
              <w:szCs w:val="24"/>
            </w:rPr>
            <w:tab/>
          </w:r>
          <w:bookmarkStart w:id="13" w:name="_Toc1318532127_WPSOffice_Level1Page"/>
          <w:r>
            <w:rPr>
              <w:rFonts w:hint="eastAsia" w:ascii="仿宋_GB2312" w:hAnsi="仿宋_GB2312" w:eastAsia="仿宋_GB2312" w:cs="仿宋_GB2312"/>
              <w:b/>
              <w:bCs/>
              <w:sz w:val="24"/>
              <w:szCs w:val="24"/>
            </w:rPr>
            <w:t>8</w:t>
          </w:r>
          <w:bookmarkEnd w:id="13"/>
          <w:r>
            <w:rPr>
              <w:rFonts w:hint="eastAsia" w:ascii="仿宋_GB2312" w:hAnsi="仿宋_GB2312" w:eastAsia="仿宋_GB2312" w:cs="仿宋_GB2312"/>
              <w:b/>
              <w:bCs/>
              <w:sz w:val="24"/>
              <w:szCs w:val="24"/>
            </w:rPr>
            <w:fldChar w:fldCharType="end"/>
          </w:r>
        </w:p>
        <w:p>
          <w:pPr>
            <w:pStyle w:val="18"/>
            <w:keepNext w:val="0"/>
            <w:keepLines w:val="0"/>
            <w:pageBreakBefore w:val="0"/>
            <w:tabs>
              <w:tab w:val="right" w:leader="dot" w:pos="8845"/>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sz w:val="24"/>
              <w:szCs w:val="24"/>
            </w:rPr>
            <w:instrText xml:space="preserve"> HYPERLINK \l _Toc1538346870_WPSOffice_Level1 </w:instrText>
          </w:r>
          <w:r>
            <w:rPr>
              <w:rFonts w:hint="eastAsia" w:ascii="仿宋_GB2312" w:hAnsi="仿宋_GB2312" w:eastAsia="仿宋_GB2312" w:cs="仿宋_GB2312"/>
              <w:b/>
              <w:bCs/>
              <w:sz w:val="24"/>
              <w:szCs w:val="24"/>
            </w:rPr>
            <w:fldChar w:fldCharType="separate"/>
          </w:r>
          <w:sdt>
            <w:sdtPr>
              <w:rPr>
                <w:rFonts w:hint="eastAsia" w:ascii="仿宋_GB2312" w:hAnsi="仿宋_GB2312" w:eastAsia="仿宋_GB2312" w:cs="仿宋_GB2312"/>
                <w:b/>
                <w:bCs/>
                <w:color w:val="auto"/>
                <w:kern w:val="2"/>
                <w:sz w:val="24"/>
                <w:szCs w:val="24"/>
                <w:lang w:val="en-US" w:eastAsia="zh-CN" w:bidi="ar-SA"/>
              </w:rPr>
              <w:id w:val="170612546"/>
              <w:placeholder>
                <w:docPart w:val="{c599a775-e8c2-49a6-a3fc-bd8d9d002ed0}"/>
              </w:placeholder>
            </w:sdtPr>
            <w:sdtEndPr>
              <w:rPr>
                <w:rFonts w:hint="eastAsia" w:ascii="仿宋_GB2312" w:hAnsi="仿宋_GB2312" w:eastAsia="仿宋_GB2312" w:cs="仿宋_GB2312"/>
                <w:b/>
                <w:bCs/>
                <w:color w:val="auto"/>
                <w:kern w:val="2"/>
                <w:sz w:val="24"/>
                <w:szCs w:val="24"/>
                <w:lang w:val="en-US" w:eastAsia="zh-CN" w:bidi="ar-SA"/>
              </w:rPr>
            </w:sdtEndPr>
            <w:sdtContent>
              <w:r>
                <w:rPr>
                  <w:rFonts w:hint="eastAsia" w:ascii="仿宋_GB2312" w:hAnsi="仿宋_GB2312" w:eastAsia="仿宋_GB2312" w:cs="仿宋_GB2312"/>
                  <w:b/>
                  <w:bCs/>
                  <w:sz w:val="24"/>
                  <w:szCs w:val="24"/>
                </w:rPr>
                <w:t>七、“三公”经费财政拨款预算安排情况说明</w:t>
              </w:r>
            </w:sdtContent>
          </w:sdt>
          <w:r>
            <w:rPr>
              <w:rFonts w:hint="eastAsia" w:ascii="仿宋_GB2312" w:hAnsi="仿宋_GB2312" w:eastAsia="仿宋_GB2312" w:cs="仿宋_GB2312"/>
              <w:b/>
              <w:bCs/>
              <w:sz w:val="24"/>
              <w:szCs w:val="24"/>
            </w:rPr>
            <w:tab/>
          </w:r>
          <w:bookmarkStart w:id="14" w:name="_Toc1538346870_WPSOffice_Level1Page"/>
          <w:r>
            <w:rPr>
              <w:rFonts w:hint="eastAsia" w:ascii="仿宋_GB2312" w:hAnsi="仿宋_GB2312" w:eastAsia="仿宋_GB2312" w:cs="仿宋_GB2312"/>
              <w:b/>
              <w:bCs/>
              <w:sz w:val="24"/>
              <w:szCs w:val="24"/>
            </w:rPr>
            <w:t>8</w:t>
          </w:r>
          <w:bookmarkEnd w:id="14"/>
          <w:r>
            <w:rPr>
              <w:rFonts w:hint="eastAsia" w:ascii="仿宋_GB2312" w:hAnsi="仿宋_GB2312" w:eastAsia="仿宋_GB2312" w:cs="仿宋_GB2312"/>
              <w:b/>
              <w:bCs/>
              <w:sz w:val="24"/>
              <w:szCs w:val="24"/>
            </w:rPr>
            <w:fldChar w:fldCharType="end"/>
          </w:r>
        </w:p>
        <w:p>
          <w:pPr>
            <w:pStyle w:val="19"/>
            <w:keepNext w:val="0"/>
            <w:keepLines w:val="0"/>
            <w:pageBreakBefore w:val="0"/>
            <w:tabs>
              <w:tab w:val="right" w:leader="dot" w:pos="8845"/>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_Toc1947344338_WPSOffice_Level2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color w:val="auto"/>
                <w:kern w:val="2"/>
                <w:sz w:val="24"/>
                <w:szCs w:val="24"/>
                <w:lang w:val="en-US" w:eastAsia="zh-CN" w:bidi="ar-SA"/>
              </w:rPr>
              <w:id w:val="170612546"/>
              <w:placeholder>
                <w:docPart w:val="{62dc24e2-7de3-40cd-94ec-9d2009fbe7b6}"/>
              </w:placeholder>
            </w:sdtPr>
            <w:sdtEndPr>
              <w:rPr>
                <w:rFonts w:hint="eastAsia" w:ascii="仿宋_GB2312" w:hAnsi="仿宋_GB2312" w:eastAsia="仿宋_GB2312" w:cs="仿宋_GB2312"/>
                <w:color w:val="auto"/>
                <w:kern w:val="2"/>
                <w:sz w:val="24"/>
                <w:szCs w:val="24"/>
                <w:lang w:val="en-US" w:eastAsia="zh-CN" w:bidi="ar-SA"/>
              </w:rPr>
            </w:sdtEndPr>
            <w:sdtContent>
              <w:r>
                <w:rPr>
                  <w:rFonts w:hint="eastAsia" w:ascii="仿宋_GB2312" w:hAnsi="仿宋_GB2312" w:eastAsia="仿宋_GB2312" w:cs="仿宋_GB2312"/>
                  <w:sz w:val="24"/>
                  <w:szCs w:val="24"/>
                </w:rPr>
                <w:t>（一）公务接待费</w:t>
              </w:r>
            </w:sdtContent>
          </w:sdt>
          <w:r>
            <w:rPr>
              <w:rFonts w:hint="eastAsia" w:ascii="仿宋_GB2312" w:hAnsi="仿宋_GB2312" w:eastAsia="仿宋_GB2312" w:cs="仿宋_GB2312"/>
              <w:sz w:val="24"/>
              <w:szCs w:val="24"/>
            </w:rPr>
            <w:tab/>
          </w:r>
          <w:bookmarkStart w:id="15" w:name="_Toc1947344338_WPSOffice_Level2Page"/>
          <w:r>
            <w:rPr>
              <w:rFonts w:hint="eastAsia" w:ascii="仿宋_GB2312" w:hAnsi="仿宋_GB2312" w:eastAsia="仿宋_GB2312" w:cs="仿宋_GB2312"/>
              <w:sz w:val="24"/>
              <w:szCs w:val="24"/>
            </w:rPr>
            <w:t>8</w:t>
          </w:r>
          <w:bookmarkEnd w:id="15"/>
          <w:r>
            <w:rPr>
              <w:rFonts w:hint="eastAsia" w:ascii="仿宋_GB2312" w:hAnsi="仿宋_GB2312" w:eastAsia="仿宋_GB2312" w:cs="仿宋_GB2312"/>
              <w:sz w:val="24"/>
              <w:szCs w:val="24"/>
            </w:rPr>
            <w:fldChar w:fldCharType="end"/>
          </w:r>
        </w:p>
        <w:p>
          <w:pPr>
            <w:pStyle w:val="19"/>
            <w:keepNext w:val="0"/>
            <w:keepLines w:val="0"/>
            <w:pageBreakBefore w:val="0"/>
            <w:tabs>
              <w:tab w:val="right" w:leader="dot" w:pos="8845"/>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_Toc1994979947_WPSOffice_Level2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color w:val="auto"/>
                <w:kern w:val="2"/>
                <w:sz w:val="24"/>
                <w:szCs w:val="24"/>
                <w:lang w:val="en-US" w:eastAsia="zh-CN" w:bidi="ar-SA"/>
              </w:rPr>
              <w:id w:val="170612546"/>
              <w:placeholder>
                <w:docPart w:val="{12a45b7d-7b92-42a8-809a-3f23c14a6fca}"/>
              </w:placeholder>
            </w:sdtPr>
            <w:sdtEndPr>
              <w:rPr>
                <w:rFonts w:hint="eastAsia" w:ascii="仿宋_GB2312" w:hAnsi="仿宋_GB2312" w:eastAsia="仿宋_GB2312" w:cs="仿宋_GB2312"/>
                <w:color w:val="auto"/>
                <w:kern w:val="2"/>
                <w:sz w:val="24"/>
                <w:szCs w:val="24"/>
                <w:lang w:val="en-US" w:eastAsia="zh-CN" w:bidi="ar-SA"/>
              </w:rPr>
            </w:sdtEndPr>
            <w:sdtContent>
              <w:r>
                <w:rPr>
                  <w:rFonts w:hint="eastAsia" w:ascii="仿宋_GB2312" w:hAnsi="仿宋_GB2312" w:eastAsia="仿宋_GB2312" w:cs="仿宋_GB2312"/>
                  <w:sz w:val="24"/>
                  <w:szCs w:val="24"/>
                </w:rPr>
                <w:t>（二） 公务用车购置及运行维护费</w:t>
              </w:r>
            </w:sdtContent>
          </w:sdt>
          <w:r>
            <w:rPr>
              <w:rFonts w:hint="eastAsia" w:ascii="仿宋_GB2312" w:hAnsi="仿宋_GB2312" w:eastAsia="仿宋_GB2312" w:cs="仿宋_GB2312"/>
              <w:sz w:val="24"/>
              <w:szCs w:val="24"/>
            </w:rPr>
            <w:tab/>
          </w:r>
          <w:bookmarkStart w:id="16" w:name="_Toc1994979947_WPSOffice_Level2Page"/>
          <w:r>
            <w:rPr>
              <w:rFonts w:hint="eastAsia" w:ascii="仿宋_GB2312" w:hAnsi="仿宋_GB2312" w:eastAsia="仿宋_GB2312" w:cs="仿宋_GB2312"/>
              <w:sz w:val="24"/>
              <w:szCs w:val="24"/>
            </w:rPr>
            <w:t>8</w:t>
          </w:r>
          <w:bookmarkEnd w:id="16"/>
          <w:r>
            <w:rPr>
              <w:rFonts w:hint="eastAsia" w:ascii="仿宋_GB2312" w:hAnsi="仿宋_GB2312" w:eastAsia="仿宋_GB2312" w:cs="仿宋_GB2312"/>
              <w:sz w:val="24"/>
              <w:szCs w:val="24"/>
            </w:rPr>
            <w:fldChar w:fldCharType="end"/>
          </w:r>
        </w:p>
        <w:p>
          <w:pPr>
            <w:pStyle w:val="19"/>
            <w:keepNext w:val="0"/>
            <w:keepLines w:val="0"/>
            <w:pageBreakBefore w:val="0"/>
            <w:tabs>
              <w:tab w:val="right" w:leader="dot" w:pos="8845"/>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HYPERLINK \l _Toc1573019540_WPSOffice_Level2 </w:instrText>
          </w:r>
          <w:r>
            <w:rPr>
              <w:rFonts w:hint="eastAsia" w:ascii="仿宋_GB2312" w:hAnsi="仿宋_GB2312" w:eastAsia="仿宋_GB2312" w:cs="仿宋_GB2312"/>
              <w:sz w:val="24"/>
              <w:szCs w:val="24"/>
            </w:rPr>
            <w:fldChar w:fldCharType="separate"/>
          </w:r>
          <w:sdt>
            <w:sdtPr>
              <w:rPr>
                <w:rFonts w:hint="eastAsia" w:ascii="仿宋_GB2312" w:hAnsi="仿宋_GB2312" w:eastAsia="仿宋_GB2312" w:cs="仿宋_GB2312"/>
                <w:color w:val="auto"/>
                <w:kern w:val="2"/>
                <w:sz w:val="24"/>
                <w:szCs w:val="24"/>
                <w:lang w:val="en-US" w:eastAsia="zh-CN" w:bidi="ar-SA"/>
              </w:rPr>
              <w:id w:val="170612546"/>
              <w:placeholder>
                <w:docPart w:val="{006286cd-dc7b-4f06-a0e6-54eb2b2a779e}"/>
              </w:placeholder>
            </w:sdtPr>
            <w:sdtEndPr>
              <w:rPr>
                <w:rFonts w:hint="eastAsia" w:ascii="仿宋_GB2312" w:hAnsi="仿宋_GB2312" w:eastAsia="仿宋_GB2312" w:cs="仿宋_GB2312"/>
                <w:color w:val="auto"/>
                <w:kern w:val="2"/>
                <w:sz w:val="24"/>
                <w:szCs w:val="24"/>
                <w:lang w:val="en-US" w:eastAsia="zh-CN" w:bidi="ar-SA"/>
              </w:rPr>
            </w:sdtEndPr>
            <w:sdtContent>
              <w:r>
                <w:rPr>
                  <w:rFonts w:hint="eastAsia" w:ascii="仿宋_GB2312" w:hAnsi="仿宋_GB2312" w:eastAsia="仿宋_GB2312" w:cs="仿宋_GB2312"/>
                  <w:sz w:val="24"/>
                  <w:szCs w:val="24"/>
                </w:rPr>
                <w:t>（三）因公出国（境）经费</w:t>
              </w:r>
            </w:sdtContent>
          </w:sdt>
          <w:r>
            <w:rPr>
              <w:rFonts w:hint="eastAsia" w:ascii="仿宋_GB2312" w:hAnsi="仿宋_GB2312" w:eastAsia="仿宋_GB2312" w:cs="仿宋_GB2312"/>
              <w:sz w:val="24"/>
              <w:szCs w:val="24"/>
            </w:rPr>
            <w:tab/>
          </w:r>
          <w:bookmarkStart w:id="17" w:name="_Toc1573019540_WPSOffice_Level2Page"/>
          <w:r>
            <w:rPr>
              <w:rFonts w:hint="eastAsia" w:ascii="仿宋_GB2312" w:hAnsi="仿宋_GB2312" w:eastAsia="仿宋_GB2312" w:cs="仿宋_GB2312"/>
              <w:sz w:val="24"/>
              <w:szCs w:val="24"/>
            </w:rPr>
            <w:t>9</w:t>
          </w:r>
          <w:bookmarkEnd w:id="17"/>
          <w:r>
            <w:rPr>
              <w:rFonts w:hint="eastAsia" w:ascii="仿宋_GB2312" w:hAnsi="仿宋_GB2312" w:eastAsia="仿宋_GB2312" w:cs="仿宋_GB2312"/>
              <w:sz w:val="24"/>
              <w:szCs w:val="24"/>
            </w:rPr>
            <w:fldChar w:fldCharType="end"/>
          </w:r>
        </w:p>
        <w:p>
          <w:pPr>
            <w:pStyle w:val="18"/>
            <w:keepNext w:val="0"/>
            <w:keepLines w:val="0"/>
            <w:pageBreakBefore w:val="0"/>
            <w:tabs>
              <w:tab w:val="right" w:leader="dot" w:pos="8845"/>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sz w:val="24"/>
              <w:szCs w:val="24"/>
            </w:rPr>
            <w:instrText xml:space="preserve"> HYPERLINK \l _Toc1315965731_WPSOffice_Level1 </w:instrText>
          </w:r>
          <w:r>
            <w:rPr>
              <w:rFonts w:hint="eastAsia" w:ascii="仿宋_GB2312" w:hAnsi="仿宋_GB2312" w:eastAsia="仿宋_GB2312" w:cs="仿宋_GB2312"/>
              <w:b/>
              <w:bCs/>
              <w:sz w:val="24"/>
              <w:szCs w:val="24"/>
            </w:rPr>
            <w:fldChar w:fldCharType="separate"/>
          </w:r>
          <w:sdt>
            <w:sdtPr>
              <w:rPr>
                <w:rFonts w:hint="eastAsia" w:ascii="仿宋_GB2312" w:hAnsi="仿宋_GB2312" w:eastAsia="仿宋_GB2312" w:cs="仿宋_GB2312"/>
                <w:b/>
                <w:bCs/>
                <w:color w:val="auto"/>
                <w:kern w:val="2"/>
                <w:sz w:val="24"/>
                <w:szCs w:val="24"/>
                <w:lang w:val="en-US" w:eastAsia="zh-CN" w:bidi="ar-SA"/>
              </w:rPr>
              <w:id w:val="170612546"/>
              <w:placeholder>
                <w:docPart w:val="{3c776ea0-25f6-4f6a-a8d2-136f3821fa70}"/>
              </w:placeholder>
            </w:sdtPr>
            <w:sdtEndPr>
              <w:rPr>
                <w:rFonts w:hint="eastAsia" w:ascii="仿宋_GB2312" w:hAnsi="仿宋_GB2312" w:eastAsia="仿宋_GB2312" w:cs="仿宋_GB2312"/>
                <w:b/>
                <w:bCs/>
                <w:color w:val="auto"/>
                <w:kern w:val="2"/>
                <w:sz w:val="24"/>
                <w:szCs w:val="24"/>
                <w:lang w:val="en-US" w:eastAsia="zh-CN" w:bidi="ar-SA"/>
              </w:rPr>
            </w:sdtEndPr>
            <w:sdtContent>
              <w:r>
                <w:rPr>
                  <w:rFonts w:hint="eastAsia" w:ascii="仿宋_GB2312" w:hAnsi="仿宋_GB2312" w:eastAsia="仿宋_GB2312" w:cs="仿宋_GB2312"/>
                  <w:b/>
                  <w:bCs/>
                  <w:sz w:val="24"/>
                  <w:szCs w:val="24"/>
                </w:rPr>
                <w:t>八、政府性基金预算支出情况说明</w:t>
              </w:r>
            </w:sdtContent>
          </w:sdt>
          <w:r>
            <w:rPr>
              <w:rFonts w:hint="eastAsia" w:ascii="仿宋_GB2312" w:hAnsi="仿宋_GB2312" w:eastAsia="仿宋_GB2312" w:cs="仿宋_GB2312"/>
              <w:b/>
              <w:bCs/>
              <w:sz w:val="24"/>
              <w:szCs w:val="24"/>
            </w:rPr>
            <w:tab/>
          </w:r>
          <w:bookmarkStart w:id="18" w:name="_Toc1315965731_WPSOffice_Level1Page"/>
          <w:r>
            <w:rPr>
              <w:rFonts w:hint="eastAsia" w:ascii="仿宋_GB2312" w:hAnsi="仿宋_GB2312" w:eastAsia="仿宋_GB2312" w:cs="仿宋_GB2312"/>
              <w:b/>
              <w:bCs/>
              <w:sz w:val="24"/>
              <w:szCs w:val="24"/>
            </w:rPr>
            <w:t>9</w:t>
          </w:r>
          <w:bookmarkEnd w:id="18"/>
          <w:r>
            <w:rPr>
              <w:rFonts w:hint="eastAsia" w:ascii="仿宋_GB2312" w:hAnsi="仿宋_GB2312" w:eastAsia="仿宋_GB2312" w:cs="仿宋_GB2312"/>
              <w:b/>
              <w:bCs/>
              <w:sz w:val="24"/>
              <w:szCs w:val="24"/>
            </w:rPr>
            <w:fldChar w:fldCharType="end"/>
          </w:r>
        </w:p>
        <w:p>
          <w:pPr>
            <w:pStyle w:val="18"/>
            <w:keepNext w:val="0"/>
            <w:keepLines w:val="0"/>
            <w:pageBreakBefore w:val="0"/>
            <w:tabs>
              <w:tab w:val="right" w:leader="dot" w:pos="8845"/>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sz w:val="24"/>
              <w:szCs w:val="24"/>
            </w:rPr>
            <w:instrText xml:space="preserve"> HYPERLINK \l _Toc1947344338_WPSOffice_Level1 </w:instrText>
          </w:r>
          <w:r>
            <w:rPr>
              <w:rFonts w:hint="eastAsia" w:ascii="仿宋_GB2312" w:hAnsi="仿宋_GB2312" w:eastAsia="仿宋_GB2312" w:cs="仿宋_GB2312"/>
              <w:b/>
              <w:bCs/>
              <w:sz w:val="24"/>
              <w:szCs w:val="24"/>
            </w:rPr>
            <w:fldChar w:fldCharType="separate"/>
          </w:r>
          <w:sdt>
            <w:sdtPr>
              <w:rPr>
                <w:rFonts w:hint="eastAsia" w:ascii="仿宋_GB2312" w:hAnsi="仿宋_GB2312" w:eastAsia="仿宋_GB2312" w:cs="仿宋_GB2312"/>
                <w:b/>
                <w:bCs/>
                <w:color w:val="auto"/>
                <w:kern w:val="2"/>
                <w:sz w:val="24"/>
                <w:szCs w:val="24"/>
                <w:lang w:val="en-US" w:eastAsia="zh-CN" w:bidi="ar-SA"/>
              </w:rPr>
              <w:id w:val="170612546"/>
              <w:placeholder>
                <w:docPart w:val="{45e8d8bc-276b-4954-8002-84dcf67e4a0a}"/>
              </w:placeholder>
            </w:sdtPr>
            <w:sdtEndPr>
              <w:rPr>
                <w:rFonts w:hint="eastAsia" w:ascii="仿宋_GB2312" w:hAnsi="仿宋_GB2312" w:eastAsia="仿宋_GB2312" w:cs="仿宋_GB2312"/>
                <w:b/>
                <w:bCs/>
                <w:color w:val="auto"/>
                <w:kern w:val="2"/>
                <w:sz w:val="24"/>
                <w:szCs w:val="24"/>
                <w:lang w:val="en-US" w:eastAsia="zh-CN" w:bidi="ar-SA"/>
              </w:rPr>
            </w:sdtEndPr>
            <w:sdtContent>
              <w:r>
                <w:rPr>
                  <w:rFonts w:hint="eastAsia" w:ascii="仿宋_GB2312" w:hAnsi="仿宋_GB2312" w:eastAsia="仿宋_GB2312" w:cs="仿宋_GB2312"/>
                  <w:b/>
                  <w:bCs/>
                  <w:sz w:val="24"/>
                  <w:szCs w:val="24"/>
                </w:rPr>
                <w:t>九、国有资本经营预算支出情况说明</w:t>
              </w:r>
            </w:sdtContent>
          </w:sdt>
          <w:r>
            <w:rPr>
              <w:rFonts w:hint="eastAsia" w:ascii="仿宋_GB2312" w:hAnsi="仿宋_GB2312" w:eastAsia="仿宋_GB2312" w:cs="仿宋_GB2312"/>
              <w:b/>
              <w:bCs/>
              <w:sz w:val="24"/>
              <w:szCs w:val="24"/>
            </w:rPr>
            <w:tab/>
          </w:r>
          <w:bookmarkStart w:id="19" w:name="_Toc1947344338_WPSOffice_Level1Page"/>
          <w:r>
            <w:rPr>
              <w:rFonts w:hint="eastAsia" w:ascii="仿宋_GB2312" w:hAnsi="仿宋_GB2312" w:eastAsia="仿宋_GB2312" w:cs="仿宋_GB2312"/>
              <w:b/>
              <w:bCs/>
              <w:sz w:val="24"/>
              <w:szCs w:val="24"/>
            </w:rPr>
            <w:t>9</w:t>
          </w:r>
          <w:bookmarkEnd w:id="19"/>
          <w:r>
            <w:rPr>
              <w:rFonts w:hint="eastAsia" w:ascii="仿宋_GB2312" w:hAnsi="仿宋_GB2312" w:eastAsia="仿宋_GB2312" w:cs="仿宋_GB2312"/>
              <w:b/>
              <w:bCs/>
              <w:sz w:val="24"/>
              <w:szCs w:val="24"/>
            </w:rPr>
            <w:fldChar w:fldCharType="end"/>
          </w:r>
        </w:p>
        <w:p>
          <w:pPr>
            <w:pStyle w:val="18"/>
            <w:keepNext w:val="0"/>
            <w:keepLines w:val="0"/>
            <w:pageBreakBefore w:val="0"/>
            <w:tabs>
              <w:tab w:val="right" w:leader="dot" w:pos="8845"/>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sz w:val="24"/>
              <w:szCs w:val="24"/>
            </w:rPr>
            <w:instrText xml:space="preserve"> HYPERLINK \l _Toc1994979947_WPSOffice_Level1 </w:instrText>
          </w:r>
          <w:r>
            <w:rPr>
              <w:rFonts w:hint="eastAsia" w:ascii="仿宋_GB2312" w:hAnsi="仿宋_GB2312" w:eastAsia="仿宋_GB2312" w:cs="仿宋_GB2312"/>
              <w:b/>
              <w:bCs/>
              <w:sz w:val="24"/>
              <w:szCs w:val="24"/>
            </w:rPr>
            <w:fldChar w:fldCharType="separate"/>
          </w:r>
          <w:sdt>
            <w:sdtPr>
              <w:rPr>
                <w:rFonts w:hint="eastAsia" w:ascii="仿宋_GB2312" w:hAnsi="仿宋_GB2312" w:eastAsia="仿宋_GB2312" w:cs="仿宋_GB2312"/>
                <w:b/>
                <w:bCs/>
                <w:color w:val="auto"/>
                <w:kern w:val="2"/>
                <w:sz w:val="24"/>
                <w:szCs w:val="24"/>
                <w:lang w:val="en-US" w:eastAsia="zh-CN" w:bidi="ar-SA"/>
              </w:rPr>
              <w:id w:val="170612546"/>
              <w:placeholder>
                <w:docPart w:val="{226be501-43ed-4498-b6ff-cb7d1a4ca0e9}"/>
              </w:placeholder>
            </w:sdtPr>
            <w:sdtEndPr>
              <w:rPr>
                <w:rFonts w:hint="eastAsia" w:ascii="仿宋_GB2312" w:hAnsi="仿宋_GB2312" w:eastAsia="仿宋_GB2312" w:cs="仿宋_GB2312"/>
                <w:b/>
                <w:bCs/>
                <w:color w:val="auto"/>
                <w:kern w:val="2"/>
                <w:sz w:val="24"/>
                <w:szCs w:val="24"/>
                <w:lang w:val="en-US" w:eastAsia="zh-CN" w:bidi="ar-SA"/>
              </w:rPr>
            </w:sdtEndPr>
            <w:sdtContent>
              <w:r>
                <w:rPr>
                  <w:rFonts w:hint="eastAsia" w:ascii="仿宋_GB2312" w:hAnsi="仿宋_GB2312" w:eastAsia="仿宋_GB2312" w:cs="仿宋_GB2312"/>
                  <w:b/>
                  <w:bCs/>
                  <w:sz w:val="24"/>
                  <w:szCs w:val="24"/>
                </w:rPr>
                <w:t>十、其他重要事项的情况说明</w:t>
              </w:r>
            </w:sdtContent>
          </w:sdt>
          <w:r>
            <w:rPr>
              <w:rFonts w:hint="eastAsia" w:ascii="仿宋_GB2312" w:hAnsi="仿宋_GB2312" w:eastAsia="仿宋_GB2312" w:cs="仿宋_GB2312"/>
              <w:b/>
              <w:bCs/>
              <w:sz w:val="24"/>
              <w:szCs w:val="24"/>
            </w:rPr>
            <w:tab/>
          </w:r>
          <w:bookmarkStart w:id="20" w:name="_Toc1994979947_WPSOffice_Level1Page"/>
          <w:r>
            <w:rPr>
              <w:rFonts w:hint="eastAsia" w:ascii="仿宋_GB2312" w:hAnsi="仿宋_GB2312" w:eastAsia="仿宋_GB2312" w:cs="仿宋_GB2312"/>
              <w:b/>
              <w:bCs/>
              <w:sz w:val="24"/>
              <w:szCs w:val="24"/>
            </w:rPr>
            <w:t>9</w:t>
          </w:r>
          <w:bookmarkEnd w:id="20"/>
          <w:r>
            <w:rPr>
              <w:rFonts w:hint="eastAsia" w:ascii="仿宋_GB2312" w:hAnsi="仿宋_GB2312" w:eastAsia="仿宋_GB2312" w:cs="仿宋_GB2312"/>
              <w:b/>
              <w:bCs/>
              <w:sz w:val="24"/>
              <w:szCs w:val="24"/>
            </w:rPr>
            <w:fldChar w:fldCharType="end"/>
          </w:r>
        </w:p>
        <w:p>
          <w:pPr>
            <w:pStyle w:val="18"/>
            <w:keepNext w:val="0"/>
            <w:keepLines w:val="0"/>
            <w:pageBreakBefore w:val="0"/>
            <w:tabs>
              <w:tab w:val="right" w:leader="dot" w:pos="8845"/>
            </w:tabs>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fldChar w:fldCharType="begin"/>
          </w:r>
          <w:r>
            <w:rPr>
              <w:rFonts w:hint="eastAsia" w:ascii="仿宋_GB2312" w:hAnsi="仿宋_GB2312" w:eastAsia="仿宋_GB2312" w:cs="仿宋_GB2312"/>
              <w:sz w:val="24"/>
              <w:szCs w:val="24"/>
            </w:rPr>
            <w:instrText xml:space="preserve"> HYPERLINK \l _Toc1573019540_WPSOffice_Level1 </w:instrText>
          </w:r>
          <w:r>
            <w:rPr>
              <w:rFonts w:hint="eastAsia" w:ascii="仿宋_GB2312" w:hAnsi="仿宋_GB2312" w:eastAsia="仿宋_GB2312" w:cs="仿宋_GB2312"/>
              <w:b/>
              <w:bCs/>
              <w:sz w:val="24"/>
              <w:szCs w:val="24"/>
            </w:rPr>
            <w:fldChar w:fldCharType="separate"/>
          </w:r>
          <w:sdt>
            <w:sdtPr>
              <w:rPr>
                <w:rFonts w:hint="eastAsia" w:ascii="仿宋_GB2312" w:hAnsi="仿宋_GB2312" w:eastAsia="仿宋_GB2312" w:cs="仿宋_GB2312"/>
                <w:b/>
                <w:bCs/>
                <w:color w:val="auto"/>
                <w:kern w:val="2"/>
                <w:sz w:val="24"/>
                <w:szCs w:val="24"/>
                <w:lang w:val="en-US" w:eastAsia="zh-CN" w:bidi="ar-SA"/>
              </w:rPr>
              <w:id w:val="170612546"/>
              <w:placeholder>
                <w:docPart w:val="{ed283026-c890-41bb-a94d-fbd18a993040}"/>
              </w:placeholder>
            </w:sdtPr>
            <w:sdtEndPr>
              <w:rPr>
                <w:rFonts w:hint="eastAsia" w:ascii="仿宋_GB2312" w:hAnsi="仿宋_GB2312" w:eastAsia="仿宋_GB2312" w:cs="仿宋_GB2312"/>
                <w:b/>
                <w:bCs/>
                <w:color w:val="auto"/>
                <w:kern w:val="2"/>
                <w:sz w:val="24"/>
                <w:szCs w:val="24"/>
                <w:lang w:val="en-US" w:eastAsia="zh-CN" w:bidi="ar-SA"/>
              </w:rPr>
            </w:sdtEndPr>
            <w:sdtContent>
              <w:r>
                <w:rPr>
                  <w:rFonts w:hint="eastAsia" w:ascii="仿宋_GB2312" w:hAnsi="仿宋_GB2312" w:eastAsia="仿宋_GB2312" w:cs="仿宋_GB2312"/>
                  <w:b/>
                  <w:bCs/>
                  <w:sz w:val="24"/>
                  <w:szCs w:val="24"/>
                </w:rPr>
                <w:t>十一、名词解释</w:t>
              </w:r>
            </w:sdtContent>
          </w:sdt>
          <w:r>
            <w:rPr>
              <w:rFonts w:hint="eastAsia" w:ascii="仿宋_GB2312" w:hAnsi="仿宋_GB2312" w:eastAsia="仿宋_GB2312" w:cs="仿宋_GB2312"/>
              <w:b/>
              <w:bCs/>
              <w:sz w:val="24"/>
              <w:szCs w:val="24"/>
            </w:rPr>
            <w:tab/>
          </w:r>
          <w:bookmarkStart w:id="21" w:name="_Toc1573019540_WPSOffice_Level1Page"/>
          <w:r>
            <w:rPr>
              <w:rFonts w:hint="eastAsia" w:ascii="仿宋_GB2312" w:hAnsi="仿宋_GB2312" w:eastAsia="仿宋_GB2312" w:cs="仿宋_GB2312"/>
              <w:b/>
              <w:bCs/>
              <w:sz w:val="24"/>
              <w:szCs w:val="24"/>
            </w:rPr>
            <w:t>10</w:t>
          </w:r>
          <w:bookmarkEnd w:id="21"/>
          <w:r>
            <w:rPr>
              <w:rFonts w:hint="eastAsia" w:ascii="仿宋_GB2312" w:hAnsi="仿宋_GB2312" w:eastAsia="仿宋_GB2312" w:cs="仿宋_GB2312"/>
              <w:b/>
              <w:bCs/>
              <w:sz w:val="24"/>
              <w:szCs w:val="24"/>
            </w:rPr>
            <w:fldChar w:fldCharType="end"/>
          </w:r>
        </w:p>
        <w:bookmarkEnd w:id="0"/>
        <w:p>
          <w:pPr>
            <w:pStyle w:val="18"/>
            <w:keepNext w:val="0"/>
            <w:keepLines w:val="0"/>
            <w:pageBreakBefore w:val="0"/>
            <w:tabs>
              <w:tab w:val="right" w:leader="dot" w:pos="8845"/>
            </w:tabs>
            <w:kinsoku/>
            <w:wordWrap/>
            <w:overflowPunct/>
            <w:topLinePunct w:val="0"/>
            <w:autoSpaceDE/>
            <w:autoSpaceDN/>
            <w:bidi w:val="0"/>
            <w:adjustRightInd/>
            <w:snapToGrid/>
            <w:spacing w:line="360" w:lineRule="exact"/>
            <w:ind w:left="0" w:leftChars="0"/>
            <w:textAlignment w:val="auto"/>
          </w:pPr>
          <w:bookmarkStart w:id="22" w:name="_Toc2003836812_WPSOffice_Level1"/>
          <w:bookmarkStart w:id="23" w:name="_Toc153359014_WPSOffice_Level1"/>
        </w:p>
      </w:sdtContent>
    </w:sdt>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val="en-US" w:eastAsia="zh-CN"/>
        </w:rPr>
        <w:t>一、基本职能及主要工作</w:t>
      </w:r>
      <w:bookmarkEnd w:id="22"/>
      <w:bookmarkEnd w:id="2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楷体_GB2312" w:eastAsia="楷体_GB2312" w:cs="楷体_GB2312"/>
          <w:sz w:val="32"/>
          <w:szCs w:val="32"/>
        </w:rPr>
      </w:pPr>
      <w:bookmarkStart w:id="24" w:name="_Toc1680050429_WPSOffice_Level2"/>
      <w:bookmarkStart w:id="25" w:name="_Toc1577906761_WPSOffice_Level2"/>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val="en-US" w:eastAsia="zh-CN"/>
        </w:rPr>
        <w:t>单位</w:t>
      </w:r>
      <w:r>
        <w:rPr>
          <w:rFonts w:hint="eastAsia" w:ascii="楷体_GB2312" w:hAnsi="楷体_GB2312" w:eastAsia="楷体_GB2312" w:cs="楷体_GB2312"/>
          <w:sz w:val="32"/>
          <w:szCs w:val="32"/>
        </w:rPr>
        <w:t>职能简介</w:t>
      </w:r>
      <w:bookmarkEnd w:id="24"/>
      <w:bookmarkEnd w:id="2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承担依法治区重大问题的政策研究，协调有关方面提出全面依法治区的规划建议，统筹协调推进依法治区的组织实施和督察工作。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组织承办送区政府征求意见的地方规章，汇总上报修改意见工作。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负责区政府规范性文件、重大行政决策、重要行政措施发布前的合法性审查。承办区政府、各乡镇</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街道</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政府和区政府各部门报送区政府的规范性文件的备案审查及区政府有关规范性文件清理工作。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承担统筹推进法治政府建设的责任。指导监督区政府各部门、各乡镇(街道)政府依法行政工作。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负责综合协调、监督检查行政执法，承担推进行政执法体制改革有关工作。负责全区行政执法主体、人员资格审查和行政执法证、监督检查证的审核管理及人员培训工作。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指导监督全区行政复议、行政应诉和行政赔偿工作，承办向区政府申请的行政复议、行政赔偿、行政裁决案件，代理区政府行政应诉案件。组织区政府行政行为听证等工作。指导协调仲裁业务工作，牵头负责全区行政调解的指导、督促和协调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承担区政府法律顾</w:t>
      </w:r>
      <w:r>
        <w:rPr>
          <w:rFonts w:hint="default" w:ascii="Times New Roman" w:hAnsi="Times New Roman" w:eastAsia="仿宋_GB2312" w:cs="Times New Roman"/>
          <w:sz w:val="32"/>
          <w:szCs w:val="32"/>
          <w:lang w:eastAsia="zh-CN"/>
        </w:rPr>
        <w:t>问</w:t>
      </w:r>
      <w:r>
        <w:rPr>
          <w:rFonts w:hint="default" w:ascii="Times New Roman" w:hAnsi="Times New Roman" w:eastAsia="仿宋_GB2312" w:cs="Times New Roman"/>
          <w:sz w:val="32"/>
          <w:szCs w:val="32"/>
        </w:rPr>
        <w:t>的聘任和管理。负责全区公共法律服务体系建设规划并指导实施。监督管理律师、法律援助、司法鉴定、公证和基层法律服务行业工作。负责全区外来企业、民营企业法律服务工作。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承担统筹规划法治社会建设的责任。负责拟订法治宣传教育规划，组织实施普法宣传工作。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指导人民调解和行业性专业性调解等工作。 推动人民参与和促进法治建设，汇同有关部门做好人民监督员和人民陪审员选任工作。指导管理司法所建设。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承担社区矫正和指导刑满释放人员安置帮教工作。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承担本系统财务、装备、设施、警车管理等保障工作。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规划、协调、指导法治人才队伍建设相关工作，指导监督本系统队伍建设。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13.</w:t>
      </w:r>
      <w:r>
        <w:rPr>
          <w:rFonts w:hint="default" w:ascii="Times New Roman" w:hAnsi="Times New Roman" w:eastAsia="仿宋_GB2312" w:cs="Times New Roman"/>
          <w:sz w:val="32"/>
          <w:szCs w:val="32"/>
        </w:rPr>
        <w:t>完成区委、区政府和上级主管部门交办的其他工作。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楷体_GB2312" w:eastAsia="楷体_GB2312" w:cs="楷体_GB2312"/>
          <w:sz w:val="32"/>
          <w:szCs w:val="32"/>
        </w:rPr>
      </w:pPr>
      <w:bookmarkStart w:id="26" w:name="_Toc605795765_WPSOffice_Level2"/>
      <w:bookmarkStart w:id="27" w:name="_Toc636779665_WPSOffice_Level2"/>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val="en-US" w:eastAsia="zh-CN"/>
        </w:rPr>
        <w:t>单位</w:t>
      </w:r>
      <w:r>
        <w:rPr>
          <w:rFonts w:hint="eastAsia" w:ascii="楷体_GB2312" w:hAnsi="楷体_GB2312" w:eastAsia="楷体_GB2312" w:cs="楷体_GB2312"/>
          <w:sz w:val="32"/>
          <w:szCs w:val="32"/>
          <w:lang w:val="en-US"/>
        </w:rPr>
        <w:t>2024</w:t>
      </w:r>
      <w:r>
        <w:rPr>
          <w:rFonts w:hint="eastAsia" w:ascii="楷体_GB2312" w:hAnsi="楷体_GB2312" w:eastAsia="楷体_GB2312" w:cs="楷体_GB2312"/>
          <w:sz w:val="32"/>
          <w:szCs w:val="32"/>
        </w:rPr>
        <w:t>年重点工作</w:t>
      </w:r>
      <w:bookmarkEnd w:id="26"/>
      <w:bookmarkEnd w:id="2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坚持政治统领，在持续筑牢政治忠诚中彰显新担当</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强化理论武装。</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强化党风廉政建设。</w:t>
      </w:r>
      <w:r>
        <w:rPr>
          <w:rFonts w:hint="eastAsia" w:ascii="仿宋_GB2312" w:hAnsi="仿宋_GB2312" w:eastAsia="仿宋_GB2312" w:cs="仿宋_GB2312"/>
          <w:sz w:val="32"/>
          <w:szCs w:val="32"/>
          <w:lang w:eastAsia="zh-CN"/>
        </w:rPr>
        <w:t>三是</w:t>
      </w:r>
      <w:r>
        <w:rPr>
          <w:rFonts w:hint="eastAsia" w:ascii="仿宋_GB2312" w:hAnsi="仿宋_GB2312" w:eastAsia="仿宋_GB2312" w:cs="仿宋_GB2312"/>
          <w:sz w:val="32"/>
          <w:szCs w:val="32"/>
        </w:rPr>
        <w:t>严守纪律规矩。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强化法治统筹，在推进法治建设提档升级上实现新突破</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深化思想引领。</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深化法治统筹。</w:t>
      </w:r>
      <w:r>
        <w:rPr>
          <w:rFonts w:hint="eastAsia" w:ascii="仿宋_GB2312" w:hAnsi="仿宋_GB2312" w:eastAsia="仿宋_GB2312" w:cs="仿宋_GB2312"/>
          <w:sz w:val="32"/>
          <w:szCs w:val="32"/>
          <w:lang w:eastAsia="zh-CN"/>
        </w:rPr>
        <w:t>三是</w:t>
      </w:r>
      <w:r>
        <w:rPr>
          <w:rFonts w:hint="eastAsia" w:ascii="仿宋_GB2312" w:hAnsi="仿宋_GB2312" w:eastAsia="仿宋_GB2312" w:cs="仿宋_GB2312"/>
          <w:sz w:val="32"/>
          <w:szCs w:val="32"/>
        </w:rPr>
        <w:t>深化基础建设。</w:t>
      </w:r>
      <w:r>
        <w:rPr>
          <w:rFonts w:hint="eastAsia" w:ascii="仿宋_GB2312" w:hAnsi="仿宋_GB2312" w:eastAsia="仿宋_GB2312" w:cs="仿宋_GB2312"/>
          <w:sz w:val="32"/>
          <w:szCs w:val="32"/>
          <w:lang w:eastAsia="zh-CN"/>
        </w:rPr>
        <w:t>四是</w:t>
      </w:r>
      <w:r>
        <w:rPr>
          <w:rFonts w:hint="eastAsia" w:ascii="仿宋_GB2312" w:hAnsi="仿宋_GB2312" w:eastAsia="仿宋_GB2312" w:cs="仿宋_GB2312"/>
          <w:sz w:val="32"/>
          <w:szCs w:val="32"/>
        </w:rPr>
        <w:t>深化考核评价。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巩固创建成效，在推进法治政府提质增效上再上新台阶</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巩固拓展省级法治政府建设示范创建成果。</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提升合法性审查质效。</w:t>
      </w:r>
      <w:r>
        <w:rPr>
          <w:rFonts w:hint="eastAsia" w:ascii="仿宋_GB2312" w:hAnsi="仿宋_GB2312" w:eastAsia="仿宋_GB2312" w:cs="仿宋_GB2312"/>
          <w:sz w:val="32"/>
          <w:szCs w:val="32"/>
          <w:lang w:eastAsia="zh-CN"/>
        </w:rPr>
        <w:t>三是</w:t>
      </w:r>
      <w:r>
        <w:rPr>
          <w:rFonts w:hint="eastAsia" w:ascii="仿宋_GB2312" w:hAnsi="仿宋_GB2312" w:eastAsia="仿宋_GB2312" w:cs="仿宋_GB2312"/>
          <w:sz w:val="32"/>
          <w:szCs w:val="32"/>
        </w:rPr>
        <w:t>提升行政执法监督水平。</w:t>
      </w:r>
      <w:r>
        <w:rPr>
          <w:rFonts w:hint="eastAsia" w:ascii="仿宋_GB2312" w:hAnsi="仿宋_GB2312" w:eastAsia="仿宋_GB2312" w:cs="仿宋_GB2312"/>
          <w:sz w:val="32"/>
          <w:szCs w:val="32"/>
          <w:lang w:eastAsia="zh-CN"/>
        </w:rPr>
        <w:t>三是</w:t>
      </w:r>
      <w:r>
        <w:rPr>
          <w:rFonts w:hint="eastAsia" w:ascii="仿宋_GB2312" w:hAnsi="仿宋_GB2312" w:eastAsia="仿宋_GB2312" w:cs="仿宋_GB2312"/>
          <w:sz w:val="32"/>
          <w:szCs w:val="32"/>
        </w:rPr>
        <w:t>提升行政复议应诉质效。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做优法律服务，在维护群众权益护航发展上展现新作为</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持续加大普法力度。</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健全完善公共法律服务网络。</w:t>
      </w:r>
      <w:r>
        <w:rPr>
          <w:rFonts w:hint="eastAsia" w:ascii="仿宋_GB2312" w:hAnsi="仿宋_GB2312" w:eastAsia="仿宋_GB2312" w:cs="仿宋_GB2312"/>
          <w:sz w:val="32"/>
          <w:szCs w:val="32"/>
          <w:lang w:eastAsia="zh-CN"/>
        </w:rPr>
        <w:t>三是</w:t>
      </w:r>
      <w:r>
        <w:rPr>
          <w:rFonts w:hint="eastAsia" w:ascii="仿宋_GB2312" w:hAnsi="仿宋_GB2312" w:eastAsia="仿宋_GB2312" w:cs="仿宋_GB2312"/>
          <w:sz w:val="32"/>
          <w:szCs w:val="32"/>
        </w:rPr>
        <w:t>持续优化公共法律服务供给。</w:t>
      </w:r>
      <w:r>
        <w:rPr>
          <w:rFonts w:hint="eastAsia" w:ascii="仿宋_GB2312" w:hAnsi="仿宋_GB2312" w:eastAsia="仿宋_GB2312" w:cs="仿宋_GB2312"/>
          <w:sz w:val="32"/>
          <w:szCs w:val="32"/>
          <w:lang w:eastAsia="zh-CN"/>
        </w:rPr>
        <w:t>四是</w:t>
      </w:r>
      <w:r>
        <w:rPr>
          <w:rFonts w:hint="eastAsia" w:ascii="仿宋_GB2312" w:hAnsi="仿宋_GB2312" w:eastAsia="仿宋_GB2312" w:cs="仿宋_GB2312"/>
          <w:sz w:val="32"/>
          <w:szCs w:val="32"/>
        </w:rPr>
        <w:t>不断满足社会群众多元需求。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守护平安稳定，在推进依法治理强基扩面上取得新进展</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持续提升调解工作质效。</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持续抓好社区矫正。</w:t>
      </w:r>
      <w:r>
        <w:rPr>
          <w:rFonts w:hint="eastAsia" w:ascii="仿宋_GB2312" w:hAnsi="仿宋_GB2312" w:eastAsia="仿宋_GB2312" w:cs="仿宋_GB2312"/>
          <w:sz w:val="32"/>
          <w:szCs w:val="32"/>
          <w:lang w:eastAsia="zh-CN"/>
        </w:rPr>
        <w:t>三是</w:t>
      </w:r>
      <w:r>
        <w:rPr>
          <w:rFonts w:hint="eastAsia" w:ascii="仿宋_GB2312" w:hAnsi="仿宋_GB2312" w:eastAsia="仿宋_GB2312" w:cs="仿宋_GB2312"/>
          <w:sz w:val="32"/>
          <w:szCs w:val="32"/>
        </w:rPr>
        <w:t>持续抓好安置帮教。</w:t>
      </w:r>
      <w:r>
        <w:rPr>
          <w:rFonts w:hint="eastAsia" w:ascii="仿宋_GB2312" w:hAnsi="仿宋_GB2312" w:eastAsia="仿宋_GB2312" w:cs="仿宋_GB2312"/>
          <w:sz w:val="32"/>
          <w:szCs w:val="32"/>
          <w:lang w:eastAsia="zh-CN"/>
        </w:rPr>
        <w:t>四是</w:t>
      </w:r>
      <w:r>
        <w:rPr>
          <w:rFonts w:hint="eastAsia" w:ascii="仿宋_GB2312" w:hAnsi="仿宋_GB2312" w:eastAsia="仿宋_GB2312" w:cs="仿宋_GB2312"/>
          <w:sz w:val="32"/>
          <w:szCs w:val="32"/>
        </w:rPr>
        <w:t>持续履行好重点人群组组长单位职责。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锻造过硬队伍，在强化能力素质争先提能上树立新形象</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加强领导班子建设。</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加强专业能力建设。</w:t>
      </w:r>
      <w:r>
        <w:rPr>
          <w:rFonts w:hint="eastAsia" w:ascii="仿宋_GB2312" w:hAnsi="仿宋_GB2312" w:eastAsia="仿宋_GB2312" w:cs="仿宋_GB2312"/>
          <w:sz w:val="32"/>
          <w:szCs w:val="32"/>
          <w:lang w:eastAsia="zh-CN"/>
        </w:rPr>
        <w:t>三是</w:t>
      </w:r>
      <w:r>
        <w:rPr>
          <w:rFonts w:hint="eastAsia" w:ascii="仿宋_GB2312" w:hAnsi="仿宋_GB2312" w:eastAsia="仿宋_GB2312" w:cs="仿宋_GB2312"/>
          <w:sz w:val="32"/>
          <w:szCs w:val="32"/>
        </w:rPr>
        <w:t>加强保障能力建设。</w:t>
      </w:r>
      <w:r>
        <w:rPr>
          <w:rFonts w:hint="eastAsia" w:ascii="仿宋_GB2312" w:hAnsi="仿宋_GB2312" w:eastAsia="仿宋_GB2312" w:cs="仿宋_GB2312"/>
          <w:sz w:val="32"/>
          <w:szCs w:val="32"/>
          <w:lang w:eastAsia="zh-CN"/>
        </w:rPr>
        <w:t>四是</w:t>
      </w:r>
      <w:r>
        <w:rPr>
          <w:rFonts w:hint="eastAsia" w:ascii="仿宋_GB2312" w:hAnsi="仿宋_GB2312" w:eastAsia="仿宋_GB2312" w:cs="仿宋_GB2312"/>
          <w:sz w:val="32"/>
          <w:szCs w:val="32"/>
        </w:rPr>
        <w:t>培养积极向上心态。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color w:val="auto"/>
          <w:sz w:val="32"/>
          <w:szCs w:val="32"/>
          <w:lang w:val="en-US" w:eastAsia="zh-CN"/>
        </w:rPr>
      </w:pPr>
      <w:bookmarkStart w:id="28" w:name="_Toc1680050429_WPSOffice_Level1"/>
      <w:bookmarkStart w:id="29" w:name="_Toc1190500707_WPSOffice_Level1"/>
      <w:r>
        <w:rPr>
          <w:rFonts w:hint="eastAsia" w:ascii="黑体" w:hAnsi="黑体" w:eastAsia="黑体" w:cs="黑体"/>
          <w:color w:val="auto"/>
          <w:sz w:val="32"/>
          <w:szCs w:val="32"/>
          <w:lang w:val="en-US" w:eastAsia="zh-CN"/>
        </w:rPr>
        <w:t>二、部门预算单位构成</w:t>
      </w:r>
      <w:bookmarkEnd w:id="28"/>
      <w:bookmarkEnd w:id="29"/>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仿宋_GB2312" w:hAnsi="仿宋_GB2312" w:eastAsia="仿宋_GB2312" w:cs="仿宋_GB2312"/>
          <w:color w:val="auto"/>
          <w:sz w:val="32"/>
          <w:szCs w:val="32"/>
          <w:highlight w:val="yellow"/>
          <w:lang w:val="en-US" w:eastAsia="zh-CN"/>
        </w:rPr>
      </w:pPr>
      <w:r>
        <w:rPr>
          <w:rFonts w:hint="eastAsia" w:ascii="仿宋_GB2312" w:hAnsi="微软雅黑" w:eastAsia="仿宋_GB2312" w:cs="仿宋_GB2312"/>
          <w:color w:val="auto"/>
          <w:sz w:val="31"/>
          <w:szCs w:val="31"/>
          <w:lang w:eastAsia="zh-CN"/>
        </w:rPr>
        <w:t>广元市昭化区司法局为一级预算单位，</w:t>
      </w:r>
      <w:r>
        <w:rPr>
          <w:rFonts w:hint="eastAsia" w:ascii="仿宋_GB2312" w:hAnsi="仿宋_GB2312" w:eastAsia="仿宋_GB2312" w:cs="仿宋_GB2312"/>
          <w:color w:val="auto"/>
          <w:sz w:val="32"/>
          <w:szCs w:val="32"/>
          <w:lang w:val="en-US" w:eastAsia="zh-CN"/>
        </w:rPr>
        <w:t>无二级预算单位。</w:t>
      </w:r>
      <w:r>
        <w:rPr>
          <w:rFonts w:hint="eastAsia" w:ascii="仿宋_GB2312" w:hAnsi="仿宋_GB2312" w:eastAsia="仿宋_GB2312" w:cs="仿宋_GB2312"/>
          <w:color w:val="auto"/>
          <w:sz w:val="32"/>
          <w:szCs w:val="32"/>
          <w:highlight w:val="none"/>
          <w:lang w:val="en-US" w:eastAsia="zh-CN"/>
        </w:rPr>
        <w:t>设有内设机构9个。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rPr>
      </w:pPr>
      <w:bookmarkStart w:id="30" w:name="_Toc636779665_WPSOffice_Level1"/>
      <w:bookmarkStart w:id="31" w:name="_Toc119066453_WPSOffice_Level1"/>
      <w:r>
        <w:rPr>
          <w:rFonts w:hint="eastAsia" w:ascii="黑体" w:hAnsi="黑体" w:eastAsia="黑体" w:cs="黑体"/>
          <w:sz w:val="32"/>
          <w:szCs w:val="32"/>
          <w:lang w:val="en-US" w:eastAsia="zh-CN"/>
        </w:rPr>
        <w:t>三、收支预算情况说明</w:t>
      </w:r>
      <w:bookmarkEnd w:id="30"/>
      <w:bookmarkEnd w:id="3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按照综合预算的原则，区司法局所有收入和支出均纳入部门预算管理。收入包括：一般公共预算拨款收入</w:t>
      </w:r>
      <w:r>
        <w:rPr>
          <w:rFonts w:hint="eastAsia" w:ascii="Times New Roman" w:hAnsi="Times New Roman" w:eastAsia="仿宋_GB2312" w:cs="Times New Roman"/>
          <w:color w:val="auto"/>
          <w:sz w:val="32"/>
          <w:szCs w:val="32"/>
          <w:lang w:val="en-US" w:eastAsia="zh-CN"/>
        </w:rPr>
        <w:t>1072.65</w:t>
      </w:r>
      <w:r>
        <w:rPr>
          <w:rFonts w:hint="default" w:ascii="Times New Roman" w:hAnsi="Times New Roman" w:eastAsia="仿宋_GB2312" w:cs="Times New Roman"/>
          <w:color w:val="auto"/>
          <w:sz w:val="32"/>
          <w:szCs w:val="32"/>
        </w:rPr>
        <w:t>万元</w:t>
      </w:r>
      <w:r>
        <w:rPr>
          <w:rFonts w:hint="eastAsia" w:ascii="仿宋_GB2312" w:hAnsi="仿宋_GB2312" w:eastAsia="仿宋_GB2312" w:cs="仿宋_GB2312"/>
          <w:sz w:val="32"/>
          <w:szCs w:val="32"/>
          <w:lang w:val="en-US" w:eastAsia="zh-CN"/>
        </w:rPr>
        <w:t>；支出包括：社会保障和就业支出、卫生健康支出、住房保障支出、</w:t>
      </w:r>
      <w:r>
        <w:rPr>
          <w:rFonts w:hint="eastAsia" w:ascii="仿宋_GB2312" w:hAnsi="仿宋_GB2312" w:eastAsia="仿宋_GB2312" w:cs="仿宋_GB2312"/>
          <w:sz w:val="32"/>
          <w:szCs w:val="32"/>
          <w:highlight w:val="none"/>
          <w:lang w:val="en-US" w:eastAsia="zh-CN"/>
        </w:rPr>
        <w:t> 公共安全支出。</w:t>
      </w:r>
      <w:r>
        <w:rPr>
          <w:rFonts w:hint="eastAsia" w:ascii="仿宋_GB2312" w:hAnsi="仿宋_GB2312" w:eastAsia="仿宋_GB2312" w:cs="仿宋_GB2312"/>
          <w:sz w:val="32"/>
          <w:szCs w:val="32"/>
          <w:lang w:val="en-US" w:eastAsia="zh-CN"/>
        </w:rPr>
        <w:t>区司法局2024年收支预算总数</w:t>
      </w:r>
      <w:r>
        <w:rPr>
          <w:rFonts w:hint="eastAsia" w:ascii="Times New Roman" w:hAnsi="Times New Roman" w:eastAsia="仿宋_GB2312" w:cs="Times New Roman"/>
          <w:color w:val="auto"/>
          <w:sz w:val="32"/>
          <w:szCs w:val="32"/>
          <w:lang w:val="en-US" w:eastAsia="zh-CN"/>
        </w:rPr>
        <w:t>1072.65万元</w:t>
      </w:r>
      <w:r>
        <w:rPr>
          <w:rFonts w:hint="eastAsia" w:ascii="仿宋_GB2312" w:hAnsi="仿宋_GB2312" w:eastAsia="仿宋_GB2312" w:cs="仿宋_GB2312"/>
          <w:sz w:val="32"/>
          <w:szCs w:val="32"/>
          <w:lang w:val="en-US" w:eastAsia="zh-CN"/>
        </w:rPr>
        <w:t>,比2023年收支预算总数增加</w:t>
      </w:r>
      <w:r>
        <w:rPr>
          <w:rFonts w:hint="eastAsia" w:ascii="Times New Roman" w:hAnsi="Times New Roman" w:eastAsia="仿宋_GB2312" w:cs="Times New Roman"/>
          <w:color w:val="auto"/>
          <w:sz w:val="32"/>
          <w:szCs w:val="32"/>
          <w:lang w:val="en-US" w:eastAsia="zh-CN"/>
        </w:rPr>
        <w:t>150.82</w:t>
      </w:r>
      <w:r>
        <w:rPr>
          <w:rFonts w:hint="default" w:ascii="Times New Roman" w:hAnsi="Times New Roman" w:eastAsia="仿宋_GB2312" w:cs="Times New Roman"/>
          <w:color w:val="auto"/>
          <w:sz w:val="32"/>
          <w:szCs w:val="32"/>
        </w:rPr>
        <w:t>万元</w:t>
      </w:r>
      <w:r>
        <w:rPr>
          <w:rFonts w:hint="eastAsia" w:ascii="仿宋_GB2312" w:hAnsi="仿宋_GB2312" w:eastAsia="仿宋_GB2312" w:cs="仿宋_GB2312"/>
          <w:sz w:val="32"/>
          <w:szCs w:val="32"/>
          <w:lang w:val="en-US" w:eastAsia="zh-CN"/>
        </w:rPr>
        <w:t>，主要原因</w:t>
      </w:r>
      <w:r>
        <w:rPr>
          <w:rFonts w:hint="eastAsia" w:ascii="Times New Roman" w:hAnsi="Times New Roman" w:eastAsia="仿宋_GB2312" w:cs="Times New Roman"/>
          <w:color w:val="auto"/>
          <w:sz w:val="32"/>
          <w:szCs w:val="32"/>
          <w:lang w:eastAsia="zh-CN"/>
        </w:rPr>
        <w:t>是</w:t>
      </w:r>
      <w:r>
        <w:rPr>
          <w:rFonts w:hint="eastAsia" w:ascii="Times New Roman" w:hAnsi="Times New Roman" w:eastAsia="仿宋_GB2312" w:cs="Times New Roman"/>
          <w:color w:val="auto"/>
          <w:sz w:val="32"/>
          <w:szCs w:val="32"/>
          <w:lang w:val="en-US" w:eastAsia="zh-CN"/>
        </w:rPr>
        <w:t>2024年年初预算人员增加。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32" w:name="_Toc2003836812_WPSOffice_Level2"/>
      <w:bookmarkStart w:id="33" w:name="_Toc754424541_WPSOffice_Level2"/>
      <w:r>
        <w:rPr>
          <w:rFonts w:hint="eastAsia" w:ascii="楷体_GB2312" w:hAnsi="楷体_GB2312" w:eastAsia="楷体_GB2312" w:cs="楷体_GB2312"/>
          <w:sz w:val="32"/>
          <w:szCs w:val="32"/>
          <w:lang w:val="en-US" w:eastAsia="zh-CN"/>
        </w:rPr>
        <w:t>（一）收入预算情况</w:t>
      </w:r>
      <w:bookmarkEnd w:id="32"/>
      <w:bookmarkEnd w:id="3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区司法局2024年收入预算</w:t>
      </w:r>
      <w:r>
        <w:rPr>
          <w:rFonts w:hint="eastAsia" w:ascii="Times New Roman" w:hAnsi="Times New Roman" w:eastAsia="仿宋_GB2312" w:cs="Times New Roman"/>
          <w:color w:val="auto"/>
          <w:sz w:val="32"/>
          <w:szCs w:val="32"/>
          <w:lang w:val="en-US" w:eastAsia="zh-CN"/>
        </w:rPr>
        <w:t>1072.65</w:t>
      </w:r>
      <w:r>
        <w:rPr>
          <w:rFonts w:hint="eastAsia" w:ascii="仿宋_GB2312" w:hAnsi="仿宋_GB2312" w:eastAsia="仿宋_GB2312" w:cs="仿宋_GB2312"/>
          <w:sz w:val="32"/>
          <w:szCs w:val="32"/>
          <w:lang w:val="en-US" w:eastAsia="zh-CN"/>
        </w:rPr>
        <w:t>万元，其中：一般公共预算拨款收入</w:t>
      </w:r>
      <w:r>
        <w:rPr>
          <w:rFonts w:hint="eastAsia" w:ascii="Times New Roman" w:hAnsi="Times New Roman" w:eastAsia="仿宋_GB2312" w:cs="Times New Roman"/>
          <w:color w:val="auto"/>
          <w:sz w:val="32"/>
          <w:szCs w:val="32"/>
          <w:lang w:val="en-US" w:eastAsia="zh-CN"/>
        </w:rPr>
        <w:t>1072.65</w:t>
      </w:r>
      <w:r>
        <w:rPr>
          <w:rFonts w:hint="eastAsia" w:ascii="仿宋_GB2312" w:hAnsi="仿宋_GB2312" w:eastAsia="仿宋_GB2312" w:cs="仿宋_GB2312"/>
          <w:sz w:val="32"/>
          <w:szCs w:val="32"/>
          <w:lang w:val="en-US" w:eastAsia="zh-CN"/>
        </w:rPr>
        <w:t xml:space="preserve">万元，占100%。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34" w:name="_Toc1475941959_WPSOffice_Level2"/>
      <w:bookmarkStart w:id="35" w:name="_Toc1190500707_WPSOffice_Level2"/>
      <w:r>
        <w:rPr>
          <w:rFonts w:hint="eastAsia" w:ascii="楷体_GB2312" w:hAnsi="楷体_GB2312" w:eastAsia="楷体_GB2312" w:cs="楷体_GB2312"/>
          <w:sz w:val="32"/>
          <w:szCs w:val="32"/>
          <w:lang w:val="en-US" w:eastAsia="zh-CN"/>
        </w:rPr>
        <w:t>（二）支出预算情况</w:t>
      </w:r>
      <w:bookmarkEnd w:id="34"/>
      <w:bookmarkEnd w:id="3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区司法局2024年支出预算1072.65万元，其中：基本支出869.14万元，占81%；项目支出203.51万元，占19%</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rPr>
      </w:pPr>
      <w:bookmarkStart w:id="36" w:name="_Toc688609517_WPSOffice_Level1"/>
      <w:bookmarkStart w:id="37" w:name="_Toc754424541_WPSOffice_Level1"/>
      <w:r>
        <w:rPr>
          <w:rFonts w:hint="eastAsia" w:ascii="黑体" w:hAnsi="黑体" w:eastAsia="黑体" w:cs="黑体"/>
          <w:sz w:val="32"/>
          <w:szCs w:val="32"/>
          <w:lang w:val="en-US" w:eastAsia="zh-CN"/>
        </w:rPr>
        <w:t>四、财政拨款收支预算情况说明</w:t>
      </w:r>
      <w:bookmarkEnd w:id="36"/>
      <w:bookmarkEnd w:id="3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区司法局2024年财政拨款收支预算总数1072.65万元,比2023年财政拨款收支预算总数增加</w:t>
      </w:r>
      <w:r>
        <w:rPr>
          <w:rFonts w:hint="eastAsia" w:ascii="Times New Roman" w:hAnsi="Times New Roman" w:eastAsia="仿宋_GB2312" w:cs="Times New Roman"/>
          <w:color w:val="auto"/>
          <w:sz w:val="32"/>
          <w:szCs w:val="32"/>
          <w:lang w:val="en-US" w:eastAsia="zh-CN"/>
        </w:rPr>
        <w:t>150.82</w:t>
      </w:r>
      <w:r>
        <w:rPr>
          <w:rFonts w:hint="default" w:ascii="Times New Roman" w:hAnsi="Times New Roman" w:eastAsia="仿宋_GB2312" w:cs="Times New Roman"/>
          <w:color w:val="auto"/>
          <w:sz w:val="32"/>
          <w:szCs w:val="32"/>
        </w:rPr>
        <w:t>万元</w:t>
      </w:r>
      <w:r>
        <w:rPr>
          <w:rFonts w:hint="eastAsia" w:ascii="仿宋_GB2312" w:hAnsi="仿宋_GB2312" w:eastAsia="仿宋_GB2312" w:cs="仿宋_GB2312"/>
          <w:sz w:val="32"/>
          <w:szCs w:val="32"/>
          <w:lang w:val="en-US" w:eastAsia="zh-CN"/>
        </w:rPr>
        <w:t>，主要原因</w:t>
      </w:r>
      <w:r>
        <w:rPr>
          <w:rFonts w:hint="eastAsia" w:ascii="Times New Roman" w:hAnsi="Times New Roman" w:eastAsia="仿宋_GB2312" w:cs="Times New Roman"/>
          <w:color w:val="auto"/>
          <w:sz w:val="32"/>
          <w:szCs w:val="32"/>
          <w:lang w:eastAsia="zh-CN"/>
        </w:rPr>
        <w:t>是</w:t>
      </w:r>
      <w:r>
        <w:rPr>
          <w:rFonts w:hint="eastAsia" w:ascii="Times New Roman" w:hAnsi="Times New Roman" w:eastAsia="仿宋_GB2312" w:cs="Times New Roman"/>
          <w:color w:val="auto"/>
          <w:sz w:val="32"/>
          <w:szCs w:val="32"/>
          <w:lang w:val="en-US" w:eastAsia="zh-CN"/>
        </w:rPr>
        <w:t>2024年年初预算人员增加。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收入包括：本年一般公共预算拨款收入1072.65万元；支出包括： 公共安全支出879.54万元、社会保障和就业支出96.15万元、卫生健康支出29.59万元、住房保障支出67.37万元。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lang w:val="en-US" w:eastAsia="zh-CN"/>
        </w:rPr>
      </w:pPr>
      <w:bookmarkStart w:id="38" w:name="_Toc1259166736_WPSOffice_Level1"/>
      <w:bookmarkStart w:id="39" w:name="_Toc1475941959_WPSOffice_Level1"/>
      <w:r>
        <w:rPr>
          <w:rFonts w:hint="eastAsia" w:ascii="黑体" w:hAnsi="黑体" w:eastAsia="黑体" w:cs="黑体"/>
          <w:sz w:val="32"/>
          <w:szCs w:val="32"/>
          <w:lang w:val="en-US" w:eastAsia="zh-CN"/>
        </w:rPr>
        <w:t>五、一般公共预算当年拨款情况说明</w:t>
      </w:r>
      <w:bookmarkEnd w:id="38"/>
      <w:bookmarkEnd w:id="3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40" w:name="_Toc1318532127_WPSOffice_Level2"/>
      <w:bookmarkStart w:id="41" w:name="_Toc119066453_WPSOffice_Level2"/>
      <w:r>
        <w:rPr>
          <w:rFonts w:hint="eastAsia" w:ascii="楷体_GB2312" w:hAnsi="楷体_GB2312" w:eastAsia="楷体_GB2312" w:cs="楷体_GB2312"/>
          <w:sz w:val="32"/>
          <w:szCs w:val="32"/>
          <w:lang w:val="en-US" w:eastAsia="zh-CN"/>
        </w:rPr>
        <w:t>（一）一般公共预算当年拨款规模变化情况</w:t>
      </w:r>
      <w:bookmarkEnd w:id="40"/>
      <w:bookmarkEnd w:id="4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区司法局2024年一般公共预算当年拨款1072.65万元，比2023年预算数增加</w:t>
      </w:r>
      <w:r>
        <w:rPr>
          <w:rFonts w:hint="eastAsia" w:ascii="Times New Roman" w:hAnsi="Times New Roman" w:eastAsia="仿宋_GB2312" w:cs="Times New Roman"/>
          <w:color w:val="auto"/>
          <w:sz w:val="32"/>
          <w:szCs w:val="32"/>
          <w:lang w:val="en-US" w:eastAsia="zh-CN"/>
        </w:rPr>
        <w:t>150.82</w:t>
      </w:r>
      <w:r>
        <w:rPr>
          <w:rFonts w:hint="eastAsia" w:ascii="仿宋_GB2312" w:hAnsi="仿宋_GB2312" w:eastAsia="仿宋_GB2312" w:cs="仿宋_GB2312"/>
          <w:sz w:val="32"/>
          <w:szCs w:val="32"/>
          <w:lang w:val="en-US" w:eastAsia="zh-CN"/>
        </w:rPr>
        <w:t>万元，主要原因是</w:t>
      </w:r>
      <w:r>
        <w:rPr>
          <w:rFonts w:hint="eastAsia" w:ascii="Times New Roman" w:hAnsi="Times New Roman" w:eastAsia="仿宋_GB2312" w:cs="Times New Roman"/>
          <w:color w:val="auto"/>
          <w:sz w:val="32"/>
          <w:szCs w:val="32"/>
          <w:lang w:val="en-US" w:eastAsia="zh-CN"/>
        </w:rPr>
        <w:t>2024年年初预算人员增加。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42" w:name="_Toc688609517_WPSOffice_Level2"/>
      <w:bookmarkStart w:id="43" w:name="_Toc1538346870_WPSOffice_Level2"/>
      <w:r>
        <w:rPr>
          <w:rFonts w:hint="eastAsia" w:ascii="楷体_GB2312" w:hAnsi="楷体_GB2312" w:eastAsia="楷体_GB2312" w:cs="楷体_GB2312"/>
          <w:sz w:val="32"/>
          <w:szCs w:val="32"/>
          <w:lang w:val="en-US" w:eastAsia="zh-CN"/>
        </w:rPr>
        <w:t>（二）一般公共预算当年拨款结构情况</w:t>
      </w:r>
      <w:bookmarkEnd w:id="42"/>
      <w:bookmarkEnd w:id="4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一般公共安全支出879.54万元，占82%；社会保障和就业支出96.15万元，占9%；卫生健康支出29.59万元，占3%；住房保障支出67.37万元，占6%。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楷体_GB2312" w:eastAsia="楷体_GB2312" w:cs="楷体_GB2312"/>
          <w:sz w:val="32"/>
          <w:szCs w:val="32"/>
          <w:highlight w:val="none"/>
          <w:lang w:val="en-US" w:eastAsia="zh-CN"/>
        </w:rPr>
      </w:pPr>
      <w:bookmarkStart w:id="44" w:name="_Toc1259166736_WPSOffice_Level2"/>
      <w:bookmarkStart w:id="45" w:name="_Toc1315965731_WPSOffice_Level2"/>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highlight w:val="none"/>
          <w:lang w:val="en-US" w:eastAsia="zh-CN"/>
        </w:rPr>
        <w:t>一般公共预算当年拨款具体使用情况</w:t>
      </w:r>
      <w:bookmarkEnd w:id="44"/>
      <w:bookmarkEnd w:id="45"/>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_GB2312" w:hAnsi="微软雅黑" w:eastAsia="仿宋_GB2312" w:cs="仿宋_GB2312"/>
          <w:color w:val="auto"/>
          <w:sz w:val="31"/>
          <w:szCs w:val="31"/>
          <w:lang w:eastAsia="zh-CN"/>
        </w:rPr>
      </w:pPr>
      <w:r>
        <w:rPr>
          <w:rFonts w:hint="default" w:ascii="仿宋_GB2312" w:hAnsi="微软雅黑" w:eastAsia="仿宋_GB2312" w:cs="仿宋_GB2312"/>
          <w:color w:val="auto"/>
          <w:sz w:val="31"/>
          <w:szCs w:val="31"/>
          <w:lang w:eastAsia="zh-CN"/>
        </w:rPr>
        <w:t>1.公共</w:t>
      </w:r>
      <w:r>
        <w:rPr>
          <w:rFonts w:hint="eastAsia" w:ascii="仿宋_GB2312" w:hAnsi="微软雅黑" w:eastAsia="仿宋_GB2312" w:cs="仿宋_GB2312"/>
          <w:color w:val="auto"/>
          <w:sz w:val="31"/>
          <w:szCs w:val="31"/>
          <w:lang w:eastAsia="zh-CN"/>
        </w:rPr>
        <w:t>安全</w:t>
      </w:r>
      <w:r>
        <w:rPr>
          <w:rFonts w:hint="default" w:ascii="仿宋_GB2312" w:hAnsi="微软雅黑" w:eastAsia="仿宋_GB2312" w:cs="仿宋_GB2312"/>
          <w:color w:val="auto"/>
          <w:sz w:val="31"/>
          <w:szCs w:val="31"/>
          <w:lang w:eastAsia="zh-CN"/>
        </w:rPr>
        <w:t>（类）</w:t>
      </w:r>
      <w:r>
        <w:rPr>
          <w:rFonts w:hint="eastAsia" w:ascii="仿宋_GB2312" w:hAnsi="微软雅黑" w:eastAsia="仿宋_GB2312" w:cs="仿宋_GB2312"/>
          <w:color w:val="auto"/>
          <w:sz w:val="31"/>
          <w:szCs w:val="31"/>
          <w:lang w:eastAsia="zh-CN"/>
        </w:rPr>
        <w:t>司法</w:t>
      </w:r>
      <w:r>
        <w:rPr>
          <w:rFonts w:hint="default" w:ascii="仿宋_GB2312" w:hAnsi="微软雅黑" w:eastAsia="仿宋_GB2312" w:cs="仿宋_GB2312"/>
          <w:color w:val="auto"/>
          <w:sz w:val="31"/>
          <w:szCs w:val="31"/>
          <w:lang w:eastAsia="zh-CN"/>
        </w:rPr>
        <w:t>（款）行政运行（项）</w:t>
      </w:r>
      <w:r>
        <w:rPr>
          <w:rFonts w:hint="eastAsia" w:ascii="仿宋_GB2312" w:hAnsi="微软雅黑" w:eastAsia="仿宋_GB2312" w:cs="仿宋_GB2312"/>
          <w:color w:val="auto"/>
          <w:sz w:val="31"/>
          <w:szCs w:val="31"/>
          <w:lang w:eastAsia="zh-CN"/>
        </w:rPr>
        <w:t>202</w:t>
      </w:r>
      <w:r>
        <w:rPr>
          <w:rFonts w:hint="eastAsia" w:ascii="仿宋_GB2312" w:hAnsi="微软雅黑" w:eastAsia="仿宋_GB2312" w:cs="仿宋_GB2312"/>
          <w:color w:val="auto"/>
          <w:sz w:val="31"/>
          <w:szCs w:val="31"/>
          <w:lang w:val="en-US" w:eastAsia="zh-CN"/>
        </w:rPr>
        <w:t>4</w:t>
      </w:r>
      <w:r>
        <w:rPr>
          <w:rFonts w:hint="default" w:ascii="仿宋_GB2312" w:hAnsi="微软雅黑" w:eastAsia="仿宋_GB2312" w:cs="仿宋_GB2312"/>
          <w:color w:val="auto"/>
          <w:sz w:val="31"/>
          <w:szCs w:val="31"/>
          <w:lang w:eastAsia="zh-CN"/>
        </w:rPr>
        <w:t>年预算数为</w:t>
      </w:r>
      <w:r>
        <w:rPr>
          <w:rFonts w:hint="eastAsia" w:ascii="仿宋_GB2312" w:hAnsi="微软雅黑" w:eastAsia="仿宋_GB2312" w:cs="仿宋_GB2312"/>
          <w:color w:val="auto"/>
          <w:sz w:val="31"/>
          <w:szCs w:val="31"/>
          <w:lang w:val="en-US" w:eastAsia="zh-CN"/>
        </w:rPr>
        <w:t>644.38</w:t>
      </w:r>
      <w:r>
        <w:rPr>
          <w:rFonts w:hint="default" w:ascii="仿宋_GB2312" w:hAnsi="微软雅黑" w:eastAsia="仿宋_GB2312" w:cs="仿宋_GB2312"/>
          <w:color w:val="auto"/>
          <w:sz w:val="31"/>
          <w:szCs w:val="31"/>
          <w:lang w:eastAsia="zh-CN"/>
        </w:rPr>
        <w:t>万元，主要用于：机关及参公管理事业单位正常运转的基本支出，包括基本工资、津贴补贴等人员经费以及办公费、印刷费、水电费等日常公用经费,保障部门正常运转。</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微软雅黑" w:eastAsia="仿宋_GB2312" w:cs="仿宋_GB2312"/>
          <w:color w:val="auto"/>
          <w:sz w:val="31"/>
          <w:szCs w:val="31"/>
          <w:lang w:eastAsia="zh-CN"/>
        </w:rPr>
      </w:pPr>
      <w:r>
        <w:rPr>
          <w:rFonts w:hint="eastAsia" w:ascii="仿宋_GB2312" w:hAnsi="微软雅黑" w:eastAsia="仿宋_GB2312" w:cs="仿宋_GB2312"/>
          <w:color w:val="auto"/>
          <w:sz w:val="31"/>
          <w:szCs w:val="31"/>
          <w:lang w:val="en-US" w:eastAsia="zh-CN"/>
        </w:rPr>
        <w:t>2.</w:t>
      </w:r>
      <w:r>
        <w:rPr>
          <w:rFonts w:hint="default" w:ascii="仿宋_GB2312" w:hAnsi="微软雅黑" w:eastAsia="仿宋_GB2312" w:cs="仿宋_GB2312"/>
          <w:color w:val="auto"/>
          <w:sz w:val="31"/>
          <w:szCs w:val="31"/>
          <w:lang w:eastAsia="zh-CN"/>
        </w:rPr>
        <w:t>公共</w:t>
      </w:r>
      <w:r>
        <w:rPr>
          <w:rFonts w:hint="eastAsia" w:ascii="仿宋_GB2312" w:hAnsi="微软雅黑" w:eastAsia="仿宋_GB2312" w:cs="仿宋_GB2312"/>
          <w:color w:val="auto"/>
          <w:sz w:val="31"/>
          <w:szCs w:val="31"/>
          <w:lang w:eastAsia="zh-CN"/>
        </w:rPr>
        <w:t>安全</w:t>
      </w:r>
      <w:r>
        <w:rPr>
          <w:rFonts w:hint="default" w:ascii="仿宋_GB2312" w:hAnsi="微软雅黑" w:eastAsia="仿宋_GB2312" w:cs="仿宋_GB2312"/>
          <w:color w:val="auto"/>
          <w:sz w:val="31"/>
          <w:szCs w:val="31"/>
          <w:lang w:eastAsia="zh-CN"/>
        </w:rPr>
        <w:t>（类）</w:t>
      </w:r>
      <w:r>
        <w:rPr>
          <w:rFonts w:hint="eastAsia" w:ascii="仿宋_GB2312" w:hAnsi="微软雅黑" w:eastAsia="仿宋_GB2312" w:cs="仿宋_GB2312"/>
          <w:color w:val="auto"/>
          <w:sz w:val="31"/>
          <w:szCs w:val="31"/>
          <w:lang w:eastAsia="zh-CN"/>
        </w:rPr>
        <w:t>司法</w:t>
      </w:r>
      <w:r>
        <w:rPr>
          <w:rFonts w:hint="default" w:ascii="仿宋_GB2312" w:hAnsi="微软雅黑" w:eastAsia="仿宋_GB2312" w:cs="仿宋_GB2312"/>
          <w:color w:val="auto"/>
          <w:sz w:val="31"/>
          <w:szCs w:val="31"/>
          <w:lang w:eastAsia="zh-CN"/>
        </w:rPr>
        <w:t>（款） 一般行政管理事务（项）</w:t>
      </w:r>
      <w:r>
        <w:rPr>
          <w:rFonts w:hint="eastAsia" w:ascii="仿宋_GB2312" w:hAnsi="微软雅黑" w:eastAsia="仿宋_GB2312" w:cs="仿宋_GB2312"/>
          <w:color w:val="auto"/>
          <w:sz w:val="31"/>
          <w:szCs w:val="31"/>
          <w:lang w:eastAsia="zh-CN"/>
        </w:rPr>
        <w:t>202</w:t>
      </w:r>
      <w:r>
        <w:rPr>
          <w:rFonts w:hint="eastAsia" w:ascii="仿宋_GB2312" w:hAnsi="微软雅黑" w:eastAsia="仿宋_GB2312" w:cs="仿宋_GB2312"/>
          <w:color w:val="auto"/>
          <w:sz w:val="31"/>
          <w:szCs w:val="31"/>
          <w:lang w:val="en-US" w:eastAsia="zh-CN"/>
        </w:rPr>
        <w:t>4</w:t>
      </w:r>
      <w:r>
        <w:rPr>
          <w:rFonts w:hint="default" w:ascii="仿宋_GB2312" w:hAnsi="微软雅黑" w:eastAsia="仿宋_GB2312" w:cs="仿宋_GB2312"/>
          <w:color w:val="auto"/>
          <w:sz w:val="31"/>
          <w:szCs w:val="31"/>
          <w:lang w:eastAsia="zh-CN"/>
        </w:rPr>
        <w:t>年预算数为</w:t>
      </w:r>
      <w:r>
        <w:rPr>
          <w:rFonts w:hint="eastAsia" w:ascii="仿宋_GB2312" w:hAnsi="微软雅黑" w:eastAsia="仿宋_GB2312" w:cs="仿宋_GB2312"/>
          <w:color w:val="auto"/>
          <w:sz w:val="31"/>
          <w:szCs w:val="31"/>
          <w:lang w:val="en-US" w:eastAsia="zh-CN"/>
        </w:rPr>
        <w:t>5.13</w:t>
      </w:r>
      <w:r>
        <w:rPr>
          <w:rFonts w:hint="default" w:ascii="仿宋_GB2312" w:hAnsi="微软雅黑" w:eastAsia="仿宋_GB2312" w:cs="仿宋_GB2312"/>
          <w:color w:val="auto"/>
          <w:sz w:val="31"/>
          <w:szCs w:val="31"/>
          <w:lang w:eastAsia="zh-CN"/>
        </w:rPr>
        <w:t>万元，主要用于：  为争取资金工作经费</w:t>
      </w:r>
      <w:r>
        <w:rPr>
          <w:rFonts w:hint="eastAsia" w:ascii="仿宋_GB2312" w:hAnsi="微软雅黑" w:eastAsia="仿宋_GB2312" w:cs="仿宋_GB2312"/>
          <w:color w:val="auto"/>
          <w:sz w:val="31"/>
          <w:szCs w:val="31"/>
          <w:lang w:eastAsia="zh-CN"/>
        </w:rPr>
        <w:t>、</w:t>
      </w:r>
      <w:r>
        <w:rPr>
          <w:rFonts w:hint="default" w:ascii="仿宋_GB2312" w:hAnsi="微软雅黑" w:eastAsia="仿宋_GB2312" w:cs="仿宋_GB2312"/>
          <w:color w:val="auto"/>
          <w:sz w:val="31"/>
          <w:szCs w:val="31"/>
          <w:lang w:eastAsia="zh-CN"/>
        </w:rPr>
        <w:t> 乡镇工作补贴</w:t>
      </w:r>
      <w:r>
        <w:rPr>
          <w:rFonts w:hint="eastAsia" w:ascii="仿宋_GB2312" w:hAnsi="微软雅黑" w:eastAsia="仿宋_GB2312" w:cs="仿宋_GB2312"/>
          <w:color w:val="auto"/>
          <w:sz w:val="31"/>
          <w:szCs w:val="31"/>
          <w:lang w:eastAsia="zh-CN"/>
        </w:rPr>
        <w:t>等。</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_GB2312" w:hAnsi="微软雅黑" w:eastAsia="仿宋_GB2312" w:cs="仿宋_GB2312"/>
          <w:color w:val="auto"/>
          <w:sz w:val="31"/>
          <w:szCs w:val="31"/>
          <w:lang w:eastAsia="zh-CN"/>
        </w:rPr>
      </w:pPr>
      <w:r>
        <w:rPr>
          <w:rFonts w:hint="eastAsia" w:ascii="仿宋_GB2312" w:hAnsi="微软雅黑" w:eastAsia="仿宋_GB2312" w:cs="仿宋_GB2312"/>
          <w:color w:val="auto"/>
          <w:sz w:val="31"/>
          <w:szCs w:val="31"/>
          <w:lang w:val="en-US" w:eastAsia="zh-CN"/>
        </w:rPr>
        <w:t>3</w:t>
      </w:r>
      <w:r>
        <w:rPr>
          <w:rFonts w:hint="default" w:ascii="仿宋_GB2312" w:hAnsi="微软雅黑" w:eastAsia="仿宋_GB2312" w:cs="仿宋_GB2312"/>
          <w:color w:val="auto"/>
          <w:sz w:val="31"/>
          <w:szCs w:val="31"/>
          <w:lang w:eastAsia="zh-CN"/>
        </w:rPr>
        <w:t>.公共</w:t>
      </w:r>
      <w:r>
        <w:rPr>
          <w:rFonts w:hint="eastAsia" w:ascii="仿宋_GB2312" w:hAnsi="微软雅黑" w:eastAsia="仿宋_GB2312" w:cs="仿宋_GB2312"/>
          <w:color w:val="auto"/>
          <w:sz w:val="31"/>
          <w:szCs w:val="31"/>
          <w:lang w:eastAsia="zh-CN"/>
        </w:rPr>
        <w:t>安全</w:t>
      </w:r>
      <w:r>
        <w:rPr>
          <w:rFonts w:hint="default" w:ascii="仿宋_GB2312" w:hAnsi="微软雅黑" w:eastAsia="仿宋_GB2312" w:cs="仿宋_GB2312"/>
          <w:color w:val="auto"/>
          <w:sz w:val="31"/>
          <w:szCs w:val="31"/>
          <w:lang w:eastAsia="zh-CN"/>
        </w:rPr>
        <w:t>（类）</w:t>
      </w:r>
      <w:r>
        <w:rPr>
          <w:rFonts w:hint="eastAsia" w:ascii="仿宋_GB2312" w:hAnsi="微软雅黑" w:eastAsia="仿宋_GB2312" w:cs="仿宋_GB2312"/>
          <w:color w:val="auto"/>
          <w:sz w:val="31"/>
          <w:szCs w:val="31"/>
          <w:lang w:eastAsia="zh-CN"/>
        </w:rPr>
        <w:t>司法</w:t>
      </w:r>
      <w:r>
        <w:rPr>
          <w:rFonts w:hint="default" w:ascii="仿宋_GB2312" w:hAnsi="微软雅黑" w:eastAsia="仿宋_GB2312" w:cs="仿宋_GB2312"/>
          <w:color w:val="auto"/>
          <w:sz w:val="31"/>
          <w:szCs w:val="31"/>
          <w:lang w:eastAsia="zh-CN"/>
        </w:rPr>
        <w:t>（款）</w:t>
      </w:r>
      <w:r>
        <w:rPr>
          <w:rFonts w:hint="eastAsia" w:ascii="仿宋_GB2312" w:hAnsi="微软雅黑" w:eastAsia="仿宋_GB2312" w:cs="仿宋_GB2312"/>
          <w:color w:val="auto"/>
          <w:sz w:val="31"/>
          <w:szCs w:val="31"/>
          <w:lang w:eastAsia="zh-CN"/>
        </w:rPr>
        <w:t>基层司法业务</w:t>
      </w:r>
      <w:r>
        <w:rPr>
          <w:rFonts w:hint="default" w:ascii="仿宋_GB2312" w:hAnsi="微软雅黑" w:eastAsia="仿宋_GB2312" w:cs="仿宋_GB2312"/>
          <w:color w:val="auto"/>
          <w:sz w:val="31"/>
          <w:szCs w:val="31"/>
          <w:lang w:eastAsia="zh-CN"/>
        </w:rPr>
        <w:t>（项）</w:t>
      </w:r>
      <w:r>
        <w:rPr>
          <w:rFonts w:hint="eastAsia" w:ascii="仿宋_GB2312" w:hAnsi="微软雅黑" w:eastAsia="仿宋_GB2312" w:cs="仿宋_GB2312"/>
          <w:color w:val="auto"/>
          <w:sz w:val="31"/>
          <w:szCs w:val="31"/>
          <w:lang w:eastAsia="zh-CN"/>
        </w:rPr>
        <w:t>20</w:t>
      </w:r>
      <w:r>
        <w:rPr>
          <w:rFonts w:hint="eastAsia" w:ascii="仿宋_GB2312" w:hAnsi="微软雅黑" w:eastAsia="仿宋_GB2312" w:cs="仿宋_GB2312"/>
          <w:color w:val="auto"/>
          <w:sz w:val="31"/>
          <w:szCs w:val="31"/>
          <w:lang w:val="en-US" w:eastAsia="zh-CN"/>
        </w:rPr>
        <w:t>24</w:t>
      </w:r>
      <w:r>
        <w:rPr>
          <w:rFonts w:hint="default" w:ascii="仿宋_GB2312" w:hAnsi="微软雅黑" w:eastAsia="仿宋_GB2312" w:cs="仿宋_GB2312"/>
          <w:color w:val="auto"/>
          <w:sz w:val="31"/>
          <w:szCs w:val="31"/>
          <w:lang w:eastAsia="zh-CN"/>
        </w:rPr>
        <w:t>年预算数为</w:t>
      </w:r>
      <w:r>
        <w:rPr>
          <w:rFonts w:hint="eastAsia" w:ascii="仿宋_GB2312" w:hAnsi="微软雅黑" w:eastAsia="仿宋_GB2312" w:cs="仿宋_GB2312"/>
          <w:color w:val="auto"/>
          <w:sz w:val="31"/>
          <w:szCs w:val="31"/>
          <w:lang w:val="en-US" w:eastAsia="zh-CN"/>
        </w:rPr>
        <w:t>74</w:t>
      </w:r>
      <w:r>
        <w:rPr>
          <w:rFonts w:hint="default" w:ascii="仿宋_GB2312" w:hAnsi="微软雅黑" w:eastAsia="仿宋_GB2312" w:cs="仿宋_GB2312"/>
          <w:color w:val="auto"/>
          <w:sz w:val="31"/>
          <w:szCs w:val="31"/>
          <w:lang w:eastAsia="zh-CN"/>
        </w:rPr>
        <w:t>万元，主要用于：为保障</w:t>
      </w:r>
      <w:r>
        <w:rPr>
          <w:rFonts w:hint="eastAsia" w:ascii="仿宋_GB2312" w:hAnsi="微软雅黑" w:eastAsia="仿宋_GB2312" w:cs="仿宋_GB2312"/>
          <w:color w:val="auto"/>
          <w:sz w:val="31"/>
          <w:szCs w:val="31"/>
          <w:lang w:eastAsia="zh-CN"/>
        </w:rPr>
        <w:t>基层司法所</w:t>
      </w:r>
      <w:r>
        <w:rPr>
          <w:rFonts w:hint="default" w:ascii="仿宋_GB2312" w:hAnsi="微软雅黑" w:eastAsia="仿宋_GB2312" w:cs="仿宋_GB2312"/>
          <w:color w:val="auto"/>
          <w:sz w:val="31"/>
          <w:szCs w:val="31"/>
          <w:lang w:eastAsia="zh-CN"/>
        </w:rPr>
        <w:t>正常运行，开展</w:t>
      </w:r>
      <w:r>
        <w:rPr>
          <w:rFonts w:hint="eastAsia" w:ascii="仿宋_GB2312" w:hAnsi="微软雅黑" w:eastAsia="仿宋_GB2312" w:cs="仿宋_GB2312"/>
          <w:color w:val="auto"/>
          <w:sz w:val="31"/>
          <w:szCs w:val="31"/>
          <w:lang w:eastAsia="zh-CN"/>
        </w:rPr>
        <w:t>人民调解</w:t>
      </w:r>
      <w:r>
        <w:rPr>
          <w:rFonts w:hint="default" w:ascii="仿宋_GB2312" w:hAnsi="微软雅黑" w:eastAsia="仿宋_GB2312" w:cs="仿宋_GB2312"/>
          <w:color w:val="auto"/>
          <w:sz w:val="31"/>
          <w:szCs w:val="31"/>
          <w:lang w:eastAsia="zh-CN"/>
        </w:rPr>
        <w:t>日常工作的基本支出</w:t>
      </w:r>
      <w:r>
        <w:rPr>
          <w:rFonts w:hint="eastAsia" w:ascii="仿宋_GB2312" w:hAnsi="微软雅黑" w:eastAsia="仿宋_GB2312" w:cs="仿宋_GB2312"/>
          <w:color w:val="auto"/>
          <w:sz w:val="31"/>
          <w:szCs w:val="31"/>
          <w:lang w:eastAsia="zh-CN"/>
        </w:rPr>
        <w:t>、司法所辅助人员工资保险等</w:t>
      </w:r>
      <w:r>
        <w:rPr>
          <w:rFonts w:hint="default" w:ascii="仿宋_GB2312" w:hAnsi="微软雅黑" w:eastAsia="仿宋_GB2312" w:cs="仿宋_GB2312"/>
          <w:color w:val="auto"/>
          <w:sz w:val="31"/>
          <w:szCs w:val="31"/>
          <w:lang w:eastAsia="zh-CN"/>
        </w:rPr>
        <w:t>。</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微软雅黑" w:eastAsia="仿宋_GB2312" w:cs="仿宋_GB2312"/>
          <w:color w:val="auto"/>
          <w:sz w:val="31"/>
          <w:szCs w:val="31"/>
          <w:lang w:eastAsia="zh-CN"/>
        </w:rPr>
      </w:pPr>
      <w:r>
        <w:rPr>
          <w:rFonts w:hint="eastAsia" w:ascii="仿宋_GB2312" w:hAnsi="微软雅黑" w:eastAsia="仿宋_GB2312" w:cs="仿宋_GB2312"/>
          <w:color w:val="auto"/>
          <w:sz w:val="31"/>
          <w:szCs w:val="31"/>
          <w:lang w:val="en-US" w:eastAsia="zh-CN"/>
        </w:rPr>
        <w:t>4</w:t>
      </w:r>
      <w:r>
        <w:rPr>
          <w:rFonts w:hint="default" w:ascii="仿宋_GB2312" w:hAnsi="微软雅黑" w:eastAsia="仿宋_GB2312" w:cs="仿宋_GB2312"/>
          <w:color w:val="auto"/>
          <w:sz w:val="31"/>
          <w:szCs w:val="31"/>
          <w:lang w:eastAsia="zh-CN"/>
        </w:rPr>
        <w:t>.公共</w:t>
      </w:r>
      <w:r>
        <w:rPr>
          <w:rFonts w:hint="eastAsia" w:ascii="仿宋_GB2312" w:hAnsi="微软雅黑" w:eastAsia="仿宋_GB2312" w:cs="仿宋_GB2312"/>
          <w:color w:val="auto"/>
          <w:sz w:val="31"/>
          <w:szCs w:val="31"/>
          <w:lang w:eastAsia="zh-CN"/>
        </w:rPr>
        <w:t>安全</w:t>
      </w:r>
      <w:r>
        <w:rPr>
          <w:rFonts w:hint="default" w:ascii="仿宋_GB2312" w:hAnsi="微软雅黑" w:eastAsia="仿宋_GB2312" w:cs="仿宋_GB2312"/>
          <w:color w:val="auto"/>
          <w:sz w:val="31"/>
          <w:szCs w:val="31"/>
          <w:lang w:eastAsia="zh-CN"/>
        </w:rPr>
        <w:t>（类）</w:t>
      </w:r>
      <w:r>
        <w:rPr>
          <w:rFonts w:hint="eastAsia" w:ascii="仿宋_GB2312" w:hAnsi="微软雅黑" w:eastAsia="仿宋_GB2312" w:cs="仿宋_GB2312"/>
          <w:color w:val="auto"/>
          <w:sz w:val="31"/>
          <w:szCs w:val="31"/>
          <w:lang w:eastAsia="zh-CN"/>
        </w:rPr>
        <w:t>司法</w:t>
      </w:r>
      <w:r>
        <w:rPr>
          <w:rFonts w:hint="default" w:ascii="仿宋_GB2312" w:hAnsi="微软雅黑" w:eastAsia="仿宋_GB2312" w:cs="仿宋_GB2312"/>
          <w:color w:val="auto"/>
          <w:sz w:val="31"/>
          <w:szCs w:val="31"/>
          <w:lang w:eastAsia="zh-CN"/>
        </w:rPr>
        <w:t>（款）普法宣传（项）</w:t>
      </w:r>
      <w:r>
        <w:rPr>
          <w:rFonts w:hint="eastAsia" w:ascii="仿宋_GB2312" w:hAnsi="微软雅黑" w:eastAsia="仿宋_GB2312" w:cs="仿宋_GB2312"/>
          <w:color w:val="auto"/>
          <w:sz w:val="31"/>
          <w:szCs w:val="31"/>
          <w:lang w:eastAsia="zh-CN"/>
        </w:rPr>
        <w:t>202</w:t>
      </w:r>
      <w:r>
        <w:rPr>
          <w:rFonts w:hint="eastAsia" w:ascii="仿宋_GB2312" w:hAnsi="微软雅黑" w:eastAsia="仿宋_GB2312" w:cs="仿宋_GB2312"/>
          <w:color w:val="auto"/>
          <w:sz w:val="31"/>
          <w:szCs w:val="31"/>
          <w:lang w:val="en-US" w:eastAsia="zh-CN"/>
        </w:rPr>
        <w:t>4</w:t>
      </w:r>
      <w:r>
        <w:rPr>
          <w:rFonts w:hint="default" w:ascii="仿宋_GB2312" w:hAnsi="微软雅黑" w:eastAsia="仿宋_GB2312" w:cs="仿宋_GB2312"/>
          <w:color w:val="auto"/>
          <w:sz w:val="31"/>
          <w:szCs w:val="31"/>
          <w:lang w:eastAsia="zh-CN"/>
        </w:rPr>
        <w:t>年预算数为</w:t>
      </w:r>
      <w:r>
        <w:rPr>
          <w:rFonts w:hint="eastAsia" w:ascii="仿宋_GB2312" w:hAnsi="微软雅黑" w:eastAsia="仿宋_GB2312" w:cs="仿宋_GB2312"/>
          <w:color w:val="auto"/>
          <w:sz w:val="31"/>
          <w:szCs w:val="31"/>
          <w:lang w:val="en-US" w:eastAsia="zh-CN"/>
        </w:rPr>
        <w:t>33</w:t>
      </w:r>
      <w:r>
        <w:rPr>
          <w:rFonts w:hint="default" w:ascii="仿宋_GB2312" w:hAnsi="微软雅黑" w:eastAsia="仿宋_GB2312" w:cs="仿宋_GB2312"/>
          <w:color w:val="auto"/>
          <w:sz w:val="31"/>
          <w:szCs w:val="31"/>
          <w:lang w:eastAsia="zh-CN"/>
        </w:rPr>
        <w:t>万元，主要用于：</w:t>
      </w:r>
      <w:r>
        <w:rPr>
          <w:rFonts w:hint="eastAsia" w:ascii="仿宋_GB2312" w:hAnsi="微软雅黑" w:eastAsia="仿宋_GB2312" w:cs="仿宋_GB2312"/>
          <w:color w:val="auto"/>
          <w:sz w:val="31"/>
          <w:szCs w:val="31"/>
          <w:lang w:eastAsia="zh-CN"/>
        </w:rPr>
        <w:t>全区普法宣传、基层司法业务</w:t>
      </w:r>
      <w:r>
        <w:rPr>
          <w:rFonts w:hint="default" w:ascii="仿宋_GB2312" w:hAnsi="微软雅黑" w:eastAsia="仿宋_GB2312" w:cs="仿宋_GB2312"/>
          <w:color w:val="auto"/>
          <w:sz w:val="31"/>
          <w:szCs w:val="31"/>
          <w:lang w:eastAsia="zh-CN"/>
        </w:rPr>
        <w:t>等方面的项目支出。</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微软雅黑" w:eastAsia="仿宋_GB2312" w:cs="仿宋_GB2312"/>
          <w:color w:val="auto"/>
          <w:sz w:val="31"/>
          <w:szCs w:val="31"/>
          <w:lang w:eastAsia="zh-CN"/>
        </w:rPr>
      </w:pPr>
      <w:r>
        <w:rPr>
          <w:rFonts w:hint="eastAsia" w:ascii="仿宋_GB2312" w:hAnsi="微软雅黑" w:eastAsia="仿宋_GB2312" w:cs="仿宋_GB2312"/>
          <w:color w:val="auto"/>
          <w:sz w:val="31"/>
          <w:szCs w:val="31"/>
          <w:lang w:val="en-US" w:eastAsia="zh-CN"/>
        </w:rPr>
        <w:t>5.</w:t>
      </w:r>
      <w:r>
        <w:rPr>
          <w:rFonts w:hint="default" w:ascii="仿宋_GB2312" w:hAnsi="微软雅黑" w:eastAsia="仿宋_GB2312" w:cs="仿宋_GB2312"/>
          <w:color w:val="auto"/>
          <w:sz w:val="31"/>
          <w:szCs w:val="31"/>
          <w:lang w:eastAsia="zh-CN"/>
        </w:rPr>
        <w:t xml:space="preserve"> 公共</w:t>
      </w:r>
      <w:r>
        <w:rPr>
          <w:rFonts w:hint="eastAsia" w:ascii="仿宋_GB2312" w:hAnsi="微软雅黑" w:eastAsia="仿宋_GB2312" w:cs="仿宋_GB2312"/>
          <w:color w:val="auto"/>
          <w:sz w:val="31"/>
          <w:szCs w:val="31"/>
          <w:lang w:eastAsia="zh-CN"/>
        </w:rPr>
        <w:t>安全</w:t>
      </w:r>
      <w:r>
        <w:rPr>
          <w:rFonts w:hint="default" w:ascii="仿宋_GB2312" w:hAnsi="微软雅黑" w:eastAsia="仿宋_GB2312" w:cs="仿宋_GB2312"/>
          <w:color w:val="auto"/>
          <w:sz w:val="31"/>
          <w:szCs w:val="31"/>
          <w:lang w:eastAsia="zh-CN"/>
        </w:rPr>
        <w:t>（类）</w:t>
      </w:r>
      <w:r>
        <w:rPr>
          <w:rFonts w:hint="eastAsia" w:ascii="仿宋_GB2312" w:hAnsi="微软雅黑" w:eastAsia="仿宋_GB2312" w:cs="仿宋_GB2312"/>
          <w:color w:val="auto"/>
          <w:sz w:val="31"/>
          <w:szCs w:val="31"/>
          <w:lang w:eastAsia="zh-CN"/>
        </w:rPr>
        <w:t>司法</w:t>
      </w:r>
      <w:r>
        <w:rPr>
          <w:rFonts w:hint="default" w:ascii="仿宋_GB2312" w:hAnsi="微软雅黑" w:eastAsia="仿宋_GB2312" w:cs="仿宋_GB2312"/>
          <w:color w:val="auto"/>
          <w:sz w:val="31"/>
          <w:szCs w:val="31"/>
          <w:lang w:eastAsia="zh-CN"/>
        </w:rPr>
        <w:t>（款） 公共法律服务（项）</w:t>
      </w:r>
      <w:r>
        <w:rPr>
          <w:rFonts w:hint="eastAsia" w:ascii="仿宋_GB2312" w:hAnsi="微软雅黑" w:eastAsia="仿宋_GB2312" w:cs="仿宋_GB2312"/>
          <w:color w:val="auto"/>
          <w:sz w:val="31"/>
          <w:szCs w:val="31"/>
          <w:lang w:eastAsia="zh-CN"/>
        </w:rPr>
        <w:t>202</w:t>
      </w:r>
      <w:r>
        <w:rPr>
          <w:rFonts w:hint="eastAsia" w:ascii="仿宋_GB2312" w:hAnsi="微软雅黑" w:eastAsia="仿宋_GB2312" w:cs="仿宋_GB2312"/>
          <w:color w:val="auto"/>
          <w:sz w:val="31"/>
          <w:szCs w:val="31"/>
          <w:lang w:val="en-US" w:eastAsia="zh-CN"/>
        </w:rPr>
        <w:t>4</w:t>
      </w:r>
      <w:r>
        <w:rPr>
          <w:rFonts w:hint="default" w:ascii="仿宋_GB2312" w:hAnsi="微软雅黑" w:eastAsia="仿宋_GB2312" w:cs="仿宋_GB2312"/>
          <w:color w:val="auto"/>
          <w:sz w:val="31"/>
          <w:szCs w:val="31"/>
          <w:lang w:eastAsia="zh-CN"/>
        </w:rPr>
        <w:t>年预算数为</w:t>
      </w:r>
      <w:r>
        <w:rPr>
          <w:rFonts w:hint="eastAsia" w:ascii="仿宋_GB2312" w:hAnsi="微软雅黑" w:eastAsia="仿宋_GB2312" w:cs="仿宋_GB2312"/>
          <w:color w:val="auto"/>
          <w:sz w:val="31"/>
          <w:szCs w:val="31"/>
          <w:lang w:val="en-US" w:eastAsia="zh-CN"/>
        </w:rPr>
        <w:t>5</w:t>
      </w:r>
      <w:r>
        <w:rPr>
          <w:rFonts w:hint="default" w:ascii="仿宋_GB2312" w:hAnsi="微软雅黑" w:eastAsia="仿宋_GB2312" w:cs="仿宋_GB2312"/>
          <w:color w:val="auto"/>
          <w:sz w:val="31"/>
          <w:szCs w:val="31"/>
          <w:lang w:eastAsia="zh-CN"/>
        </w:rPr>
        <w:t>万元，主要用于：</w:t>
      </w:r>
      <w:r>
        <w:rPr>
          <w:rFonts w:hint="eastAsia" w:ascii="仿宋_GB2312" w:hAnsi="微软雅黑" w:eastAsia="仿宋_GB2312" w:cs="仿宋_GB2312"/>
          <w:color w:val="auto"/>
          <w:sz w:val="31"/>
          <w:szCs w:val="31"/>
          <w:lang w:eastAsia="zh-CN"/>
        </w:rPr>
        <w:t>法律援助</w:t>
      </w:r>
      <w:r>
        <w:rPr>
          <w:rFonts w:hint="default" w:ascii="仿宋_GB2312" w:hAnsi="微软雅黑" w:eastAsia="仿宋_GB2312" w:cs="仿宋_GB2312"/>
          <w:color w:val="auto"/>
          <w:sz w:val="31"/>
          <w:szCs w:val="31"/>
          <w:lang w:eastAsia="zh-CN"/>
        </w:rPr>
        <w:t>项目支出。</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_GB2312" w:hAnsi="微软雅黑" w:eastAsia="仿宋_GB2312" w:cs="仿宋_GB2312"/>
          <w:color w:val="auto"/>
          <w:sz w:val="31"/>
          <w:szCs w:val="31"/>
          <w:lang w:eastAsia="zh-CN"/>
        </w:rPr>
      </w:pPr>
      <w:r>
        <w:rPr>
          <w:rFonts w:hint="eastAsia" w:ascii="仿宋_GB2312" w:hAnsi="微软雅黑" w:eastAsia="仿宋_GB2312" w:cs="仿宋_GB2312"/>
          <w:color w:val="auto"/>
          <w:sz w:val="31"/>
          <w:szCs w:val="31"/>
          <w:lang w:val="en-US" w:eastAsia="zh-CN"/>
        </w:rPr>
        <w:t>6.</w:t>
      </w:r>
      <w:r>
        <w:rPr>
          <w:rFonts w:hint="default" w:ascii="仿宋_GB2312" w:hAnsi="微软雅黑" w:eastAsia="仿宋_GB2312" w:cs="仿宋_GB2312"/>
          <w:color w:val="auto"/>
          <w:sz w:val="31"/>
          <w:szCs w:val="31"/>
          <w:lang w:eastAsia="zh-CN"/>
        </w:rPr>
        <w:t>公共</w:t>
      </w:r>
      <w:r>
        <w:rPr>
          <w:rFonts w:hint="eastAsia" w:ascii="仿宋_GB2312" w:hAnsi="微软雅黑" w:eastAsia="仿宋_GB2312" w:cs="仿宋_GB2312"/>
          <w:color w:val="auto"/>
          <w:sz w:val="31"/>
          <w:szCs w:val="31"/>
          <w:lang w:eastAsia="zh-CN"/>
        </w:rPr>
        <w:t>安全</w:t>
      </w:r>
      <w:r>
        <w:rPr>
          <w:rFonts w:hint="default" w:ascii="仿宋_GB2312" w:hAnsi="微软雅黑" w:eastAsia="仿宋_GB2312" w:cs="仿宋_GB2312"/>
          <w:color w:val="auto"/>
          <w:sz w:val="31"/>
          <w:szCs w:val="31"/>
          <w:lang w:eastAsia="zh-CN"/>
        </w:rPr>
        <w:t>（类）</w:t>
      </w:r>
      <w:r>
        <w:rPr>
          <w:rFonts w:hint="eastAsia" w:ascii="仿宋_GB2312" w:hAnsi="微软雅黑" w:eastAsia="仿宋_GB2312" w:cs="仿宋_GB2312"/>
          <w:color w:val="auto"/>
          <w:sz w:val="31"/>
          <w:szCs w:val="31"/>
          <w:lang w:eastAsia="zh-CN"/>
        </w:rPr>
        <w:t>司法</w:t>
      </w:r>
      <w:r>
        <w:rPr>
          <w:rFonts w:hint="default" w:ascii="仿宋_GB2312" w:hAnsi="微软雅黑" w:eastAsia="仿宋_GB2312" w:cs="仿宋_GB2312"/>
          <w:color w:val="auto"/>
          <w:sz w:val="31"/>
          <w:szCs w:val="31"/>
          <w:lang w:eastAsia="zh-CN"/>
        </w:rPr>
        <w:t>（款） 社区矫正（项）</w:t>
      </w:r>
      <w:r>
        <w:rPr>
          <w:rFonts w:hint="eastAsia" w:ascii="仿宋_GB2312" w:hAnsi="微软雅黑" w:eastAsia="仿宋_GB2312" w:cs="仿宋_GB2312"/>
          <w:color w:val="auto"/>
          <w:sz w:val="31"/>
          <w:szCs w:val="31"/>
          <w:lang w:eastAsia="zh-CN"/>
        </w:rPr>
        <w:t>202</w:t>
      </w:r>
      <w:r>
        <w:rPr>
          <w:rFonts w:hint="eastAsia" w:ascii="仿宋_GB2312" w:hAnsi="微软雅黑" w:eastAsia="仿宋_GB2312" w:cs="仿宋_GB2312"/>
          <w:color w:val="auto"/>
          <w:sz w:val="31"/>
          <w:szCs w:val="31"/>
          <w:lang w:val="en-US" w:eastAsia="zh-CN"/>
        </w:rPr>
        <w:t>4</w:t>
      </w:r>
      <w:r>
        <w:rPr>
          <w:rFonts w:hint="default" w:ascii="仿宋_GB2312" w:hAnsi="微软雅黑" w:eastAsia="仿宋_GB2312" w:cs="仿宋_GB2312"/>
          <w:color w:val="auto"/>
          <w:sz w:val="31"/>
          <w:szCs w:val="31"/>
          <w:lang w:eastAsia="zh-CN"/>
        </w:rPr>
        <w:t>年预算数为</w:t>
      </w:r>
      <w:r>
        <w:rPr>
          <w:rFonts w:hint="eastAsia" w:ascii="仿宋_GB2312" w:hAnsi="微软雅黑" w:eastAsia="仿宋_GB2312" w:cs="仿宋_GB2312"/>
          <w:color w:val="auto"/>
          <w:sz w:val="31"/>
          <w:szCs w:val="31"/>
          <w:lang w:val="en-US" w:eastAsia="zh-CN"/>
        </w:rPr>
        <w:t>23.38</w:t>
      </w:r>
      <w:r>
        <w:rPr>
          <w:rFonts w:hint="default" w:ascii="仿宋_GB2312" w:hAnsi="微软雅黑" w:eastAsia="仿宋_GB2312" w:cs="仿宋_GB2312"/>
          <w:color w:val="auto"/>
          <w:sz w:val="31"/>
          <w:szCs w:val="31"/>
          <w:lang w:eastAsia="zh-CN"/>
        </w:rPr>
        <w:t>万元，主要用于：</w:t>
      </w:r>
      <w:r>
        <w:rPr>
          <w:rFonts w:hint="eastAsia" w:ascii="仿宋_GB2312" w:hAnsi="微软雅黑" w:eastAsia="仿宋_GB2312" w:cs="仿宋_GB2312"/>
          <w:color w:val="auto"/>
          <w:sz w:val="31"/>
          <w:szCs w:val="31"/>
          <w:lang w:eastAsia="zh-CN"/>
        </w:rPr>
        <w:t>机关和司法所</w:t>
      </w:r>
      <w:r>
        <w:rPr>
          <w:rFonts w:hint="default" w:ascii="仿宋_GB2312" w:hAnsi="微软雅黑" w:eastAsia="仿宋_GB2312" w:cs="仿宋_GB2312"/>
          <w:color w:val="auto"/>
          <w:sz w:val="31"/>
          <w:szCs w:val="31"/>
          <w:lang w:eastAsia="zh-CN"/>
        </w:rPr>
        <w:t>开展日常</w:t>
      </w:r>
      <w:r>
        <w:rPr>
          <w:rFonts w:hint="eastAsia" w:ascii="仿宋_GB2312" w:hAnsi="微软雅黑" w:eastAsia="仿宋_GB2312" w:cs="仿宋_GB2312"/>
          <w:color w:val="auto"/>
          <w:sz w:val="31"/>
          <w:szCs w:val="31"/>
          <w:lang w:eastAsia="zh-CN"/>
        </w:rPr>
        <w:t>社区矫正</w:t>
      </w:r>
      <w:r>
        <w:rPr>
          <w:rFonts w:hint="default" w:ascii="仿宋_GB2312" w:hAnsi="微软雅黑" w:eastAsia="仿宋_GB2312" w:cs="仿宋_GB2312"/>
          <w:color w:val="auto"/>
          <w:sz w:val="31"/>
          <w:szCs w:val="31"/>
          <w:lang w:eastAsia="zh-CN"/>
        </w:rPr>
        <w:t>工作的基本支出。</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_GB2312" w:hAnsi="微软雅黑" w:eastAsia="仿宋_GB2312" w:cs="仿宋_GB2312"/>
          <w:color w:val="auto"/>
          <w:sz w:val="31"/>
          <w:szCs w:val="31"/>
          <w:highlight w:val="none"/>
          <w:lang w:eastAsia="zh-CN"/>
        </w:rPr>
      </w:pPr>
      <w:r>
        <w:rPr>
          <w:rFonts w:hint="eastAsia" w:ascii="仿宋_GB2312" w:hAnsi="微软雅黑" w:eastAsia="仿宋_GB2312" w:cs="仿宋_GB2312"/>
          <w:color w:val="auto"/>
          <w:sz w:val="31"/>
          <w:szCs w:val="31"/>
          <w:lang w:val="en-US" w:eastAsia="zh-CN"/>
        </w:rPr>
        <w:t>7.</w:t>
      </w:r>
      <w:r>
        <w:rPr>
          <w:rFonts w:hint="default" w:ascii="仿宋_GB2312" w:hAnsi="微软雅黑" w:eastAsia="仿宋_GB2312" w:cs="仿宋_GB2312"/>
          <w:color w:val="auto"/>
          <w:sz w:val="31"/>
          <w:szCs w:val="31"/>
          <w:lang w:eastAsia="zh-CN"/>
        </w:rPr>
        <w:t xml:space="preserve"> 公共</w:t>
      </w:r>
      <w:r>
        <w:rPr>
          <w:rFonts w:hint="eastAsia" w:ascii="仿宋_GB2312" w:hAnsi="微软雅黑" w:eastAsia="仿宋_GB2312" w:cs="仿宋_GB2312"/>
          <w:color w:val="auto"/>
          <w:sz w:val="31"/>
          <w:szCs w:val="31"/>
          <w:lang w:eastAsia="zh-CN"/>
        </w:rPr>
        <w:t>安全</w:t>
      </w:r>
      <w:r>
        <w:rPr>
          <w:rFonts w:hint="default" w:ascii="仿宋_GB2312" w:hAnsi="微软雅黑" w:eastAsia="仿宋_GB2312" w:cs="仿宋_GB2312"/>
          <w:color w:val="auto"/>
          <w:sz w:val="31"/>
          <w:szCs w:val="31"/>
          <w:lang w:eastAsia="zh-CN"/>
        </w:rPr>
        <w:t>（类）</w:t>
      </w:r>
      <w:r>
        <w:rPr>
          <w:rFonts w:hint="eastAsia" w:ascii="仿宋_GB2312" w:hAnsi="微软雅黑" w:eastAsia="仿宋_GB2312" w:cs="仿宋_GB2312"/>
          <w:color w:val="auto"/>
          <w:sz w:val="31"/>
          <w:szCs w:val="31"/>
          <w:lang w:eastAsia="zh-CN"/>
        </w:rPr>
        <w:t>司法</w:t>
      </w:r>
      <w:r>
        <w:rPr>
          <w:rFonts w:hint="default" w:ascii="仿宋_GB2312" w:hAnsi="微软雅黑" w:eastAsia="仿宋_GB2312" w:cs="仿宋_GB2312"/>
          <w:color w:val="auto"/>
          <w:sz w:val="31"/>
          <w:szCs w:val="31"/>
          <w:highlight w:val="none"/>
          <w:lang w:eastAsia="zh-CN"/>
        </w:rPr>
        <w:t xml:space="preserve">（款） </w:t>
      </w:r>
      <w:r>
        <w:rPr>
          <w:rFonts w:hint="eastAsia" w:ascii="仿宋_GB2312" w:hAnsi="微软雅黑" w:eastAsia="仿宋_GB2312" w:cs="仿宋_GB2312"/>
          <w:color w:val="auto"/>
          <w:sz w:val="31"/>
          <w:szCs w:val="31"/>
          <w:highlight w:val="none"/>
          <w:lang w:val="en-US" w:eastAsia="zh-CN"/>
        </w:rPr>
        <w:t>法治建设</w:t>
      </w:r>
      <w:r>
        <w:rPr>
          <w:rFonts w:hint="default" w:ascii="仿宋_GB2312" w:hAnsi="微软雅黑" w:eastAsia="仿宋_GB2312" w:cs="仿宋_GB2312"/>
          <w:color w:val="auto"/>
          <w:sz w:val="31"/>
          <w:szCs w:val="31"/>
          <w:highlight w:val="none"/>
          <w:lang w:eastAsia="zh-CN"/>
        </w:rPr>
        <w:t>（项）</w:t>
      </w:r>
      <w:r>
        <w:rPr>
          <w:rFonts w:hint="eastAsia" w:ascii="仿宋_GB2312" w:hAnsi="微软雅黑" w:eastAsia="仿宋_GB2312" w:cs="仿宋_GB2312"/>
          <w:color w:val="auto"/>
          <w:sz w:val="31"/>
          <w:szCs w:val="31"/>
          <w:highlight w:val="none"/>
          <w:lang w:eastAsia="zh-CN"/>
        </w:rPr>
        <w:t>202</w:t>
      </w:r>
      <w:r>
        <w:rPr>
          <w:rFonts w:hint="eastAsia" w:ascii="仿宋_GB2312" w:hAnsi="微软雅黑" w:eastAsia="仿宋_GB2312" w:cs="仿宋_GB2312"/>
          <w:color w:val="auto"/>
          <w:sz w:val="31"/>
          <w:szCs w:val="31"/>
          <w:highlight w:val="none"/>
          <w:lang w:val="en-US" w:eastAsia="zh-CN"/>
        </w:rPr>
        <w:t>4</w:t>
      </w:r>
      <w:r>
        <w:rPr>
          <w:rFonts w:hint="default" w:ascii="仿宋_GB2312" w:hAnsi="微软雅黑" w:eastAsia="仿宋_GB2312" w:cs="仿宋_GB2312"/>
          <w:color w:val="auto"/>
          <w:sz w:val="31"/>
          <w:szCs w:val="31"/>
          <w:highlight w:val="none"/>
          <w:lang w:eastAsia="zh-CN"/>
        </w:rPr>
        <w:t>年预算数为</w:t>
      </w:r>
      <w:r>
        <w:rPr>
          <w:rFonts w:hint="eastAsia" w:ascii="仿宋_GB2312" w:hAnsi="微软雅黑" w:eastAsia="仿宋_GB2312" w:cs="仿宋_GB2312"/>
          <w:color w:val="auto"/>
          <w:sz w:val="31"/>
          <w:szCs w:val="31"/>
          <w:highlight w:val="none"/>
          <w:lang w:val="en-US" w:eastAsia="zh-CN"/>
        </w:rPr>
        <w:t>63</w:t>
      </w:r>
      <w:r>
        <w:rPr>
          <w:rFonts w:hint="default" w:ascii="仿宋_GB2312" w:hAnsi="微软雅黑" w:eastAsia="仿宋_GB2312" w:cs="仿宋_GB2312"/>
          <w:color w:val="auto"/>
          <w:sz w:val="31"/>
          <w:szCs w:val="31"/>
          <w:highlight w:val="none"/>
          <w:lang w:eastAsia="zh-CN"/>
        </w:rPr>
        <w:t>万元，主要用于：</w:t>
      </w:r>
      <w:r>
        <w:rPr>
          <w:rFonts w:hint="eastAsia" w:ascii="仿宋_GB2312" w:hAnsi="微软雅黑" w:eastAsia="仿宋_GB2312" w:cs="仿宋_GB2312"/>
          <w:color w:val="auto"/>
          <w:sz w:val="31"/>
          <w:szCs w:val="31"/>
          <w:highlight w:val="none"/>
          <w:lang w:eastAsia="zh-CN"/>
        </w:rPr>
        <w:t>开展依法治区和法治政府建设、行政复议工作日常支出及政府法律顾问费用</w:t>
      </w:r>
      <w:r>
        <w:rPr>
          <w:rFonts w:hint="default" w:ascii="仿宋_GB2312" w:hAnsi="微软雅黑" w:eastAsia="仿宋_GB2312" w:cs="仿宋_GB2312"/>
          <w:color w:val="auto"/>
          <w:sz w:val="31"/>
          <w:szCs w:val="31"/>
          <w:highlight w:val="none"/>
          <w:lang w:eastAsia="zh-CN"/>
        </w:rPr>
        <w:t>。</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_GB2312" w:hAnsi="微软雅黑" w:eastAsia="仿宋_GB2312" w:cs="仿宋_GB2312"/>
          <w:color w:val="auto"/>
          <w:sz w:val="31"/>
          <w:szCs w:val="31"/>
          <w:highlight w:val="none"/>
          <w:lang w:val="en-US" w:eastAsia="zh-CN"/>
        </w:rPr>
      </w:pPr>
      <w:r>
        <w:rPr>
          <w:rFonts w:hint="eastAsia" w:ascii="仿宋_GB2312" w:hAnsi="微软雅黑" w:eastAsia="仿宋_GB2312" w:cs="仿宋_GB2312"/>
          <w:color w:val="auto"/>
          <w:sz w:val="31"/>
          <w:szCs w:val="31"/>
          <w:highlight w:val="none"/>
          <w:lang w:val="en-US" w:eastAsia="zh-CN"/>
        </w:rPr>
        <w:t>8</w:t>
      </w:r>
      <w:r>
        <w:rPr>
          <w:rFonts w:hint="eastAsia" w:ascii="仿宋_GB2312" w:hAnsi="微软雅黑" w:eastAsia="仿宋_GB2312" w:cs="仿宋_GB2312"/>
          <w:color w:val="auto"/>
          <w:sz w:val="31"/>
          <w:szCs w:val="31"/>
          <w:lang w:val="en-US" w:eastAsia="zh-CN"/>
        </w:rPr>
        <w:t>.</w:t>
      </w:r>
      <w:r>
        <w:rPr>
          <w:rFonts w:hint="default" w:ascii="仿宋_GB2312" w:hAnsi="微软雅黑" w:eastAsia="仿宋_GB2312" w:cs="仿宋_GB2312"/>
          <w:color w:val="auto"/>
          <w:sz w:val="31"/>
          <w:szCs w:val="31"/>
          <w:lang w:eastAsia="zh-CN"/>
        </w:rPr>
        <w:t xml:space="preserve"> 公共</w:t>
      </w:r>
      <w:r>
        <w:rPr>
          <w:rFonts w:hint="eastAsia" w:ascii="仿宋_GB2312" w:hAnsi="微软雅黑" w:eastAsia="仿宋_GB2312" w:cs="仿宋_GB2312"/>
          <w:color w:val="auto"/>
          <w:sz w:val="31"/>
          <w:szCs w:val="31"/>
          <w:lang w:eastAsia="zh-CN"/>
        </w:rPr>
        <w:t>安全</w:t>
      </w:r>
      <w:r>
        <w:rPr>
          <w:rFonts w:hint="default" w:ascii="仿宋_GB2312" w:hAnsi="微软雅黑" w:eastAsia="仿宋_GB2312" w:cs="仿宋_GB2312"/>
          <w:color w:val="auto"/>
          <w:sz w:val="31"/>
          <w:szCs w:val="31"/>
          <w:lang w:eastAsia="zh-CN"/>
        </w:rPr>
        <w:t>（类）</w:t>
      </w:r>
      <w:r>
        <w:rPr>
          <w:rFonts w:hint="eastAsia" w:ascii="仿宋_GB2312" w:hAnsi="微软雅黑" w:eastAsia="仿宋_GB2312" w:cs="仿宋_GB2312"/>
          <w:color w:val="auto"/>
          <w:sz w:val="31"/>
          <w:szCs w:val="31"/>
          <w:lang w:eastAsia="zh-CN"/>
        </w:rPr>
        <w:t>司法</w:t>
      </w:r>
      <w:r>
        <w:rPr>
          <w:rFonts w:hint="default" w:ascii="仿宋_GB2312" w:hAnsi="微软雅黑" w:eastAsia="仿宋_GB2312" w:cs="仿宋_GB2312"/>
          <w:color w:val="auto"/>
          <w:sz w:val="31"/>
          <w:szCs w:val="31"/>
          <w:highlight w:val="none"/>
          <w:lang w:eastAsia="zh-CN"/>
        </w:rPr>
        <w:t>（款）事业运行（项）</w:t>
      </w:r>
      <w:r>
        <w:rPr>
          <w:rFonts w:hint="eastAsia" w:ascii="仿宋_GB2312" w:hAnsi="微软雅黑" w:eastAsia="仿宋_GB2312" w:cs="仿宋_GB2312"/>
          <w:color w:val="auto"/>
          <w:sz w:val="31"/>
          <w:szCs w:val="31"/>
          <w:highlight w:val="none"/>
          <w:lang w:eastAsia="zh-CN"/>
        </w:rPr>
        <w:t>202</w:t>
      </w:r>
      <w:r>
        <w:rPr>
          <w:rFonts w:hint="eastAsia" w:ascii="仿宋_GB2312" w:hAnsi="微软雅黑" w:eastAsia="仿宋_GB2312" w:cs="仿宋_GB2312"/>
          <w:color w:val="auto"/>
          <w:sz w:val="31"/>
          <w:szCs w:val="31"/>
          <w:highlight w:val="none"/>
          <w:lang w:val="en-US" w:eastAsia="zh-CN"/>
        </w:rPr>
        <w:t>4</w:t>
      </w:r>
      <w:r>
        <w:rPr>
          <w:rFonts w:hint="default" w:ascii="仿宋_GB2312" w:hAnsi="微软雅黑" w:eastAsia="仿宋_GB2312" w:cs="仿宋_GB2312"/>
          <w:color w:val="auto"/>
          <w:sz w:val="31"/>
          <w:szCs w:val="31"/>
          <w:highlight w:val="none"/>
          <w:lang w:eastAsia="zh-CN"/>
        </w:rPr>
        <w:t>年预算数为</w:t>
      </w:r>
      <w:r>
        <w:rPr>
          <w:rFonts w:hint="eastAsia" w:ascii="仿宋_GB2312" w:hAnsi="微软雅黑" w:eastAsia="仿宋_GB2312" w:cs="仿宋_GB2312"/>
          <w:color w:val="auto"/>
          <w:sz w:val="31"/>
          <w:szCs w:val="31"/>
          <w:highlight w:val="none"/>
          <w:lang w:val="en-US" w:eastAsia="zh-CN"/>
        </w:rPr>
        <w:t>31.66</w:t>
      </w:r>
      <w:r>
        <w:rPr>
          <w:rFonts w:hint="default" w:ascii="仿宋_GB2312" w:hAnsi="微软雅黑" w:eastAsia="仿宋_GB2312" w:cs="仿宋_GB2312"/>
          <w:color w:val="auto"/>
          <w:sz w:val="31"/>
          <w:szCs w:val="31"/>
          <w:highlight w:val="none"/>
          <w:lang w:eastAsia="zh-CN"/>
        </w:rPr>
        <w:t>万元，主要用于： </w:t>
      </w:r>
      <w:r>
        <w:rPr>
          <w:rFonts w:hint="eastAsia" w:ascii="仿宋_GB2312" w:hAnsi="微软雅黑" w:eastAsia="仿宋_GB2312" w:cs="仿宋_GB2312"/>
          <w:color w:val="auto"/>
          <w:sz w:val="31"/>
          <w:szCs w:val="31"/>
          <w:highlight w:val="none"/>
          <w:lang w:eastAsia="zh-CN"/>
        </w:rPr>
        <w:t>事业人员</w:t>
      </w:r>
      <w:r>
        <w:rPr>
          <w:rFonts w:hint="default" w:ascii="仿宋_GB2312" w:hAnsi="微软雅黑" w:eastAsia="仿宋_GB2312" w:cs="仿宋_GB2312"/>
          <w:color w:val="auto"/>
          <w:sz w:val="31"/>
          <w:szCs w:val="31"/>
          <w:lang w:eastAsia="zh-CN"/>
        </w:rPr>
        <w:t>正常运转的基本工资、</w:t>
      </w:r>
      <w:r>
        <w:rPr>
          <w:rFonts w:hint="eastAsia" w:ascii="仿宋_GB2312" w:hAnsi="微软雅黑" w:eastAsia="仿宋_GB2312" w:cs="仿宋_GB2312"/>
          <w:color w:val="auto"/>
          <w:sz w:val="31"/>
          <w:szCs w:val="31"/>
          <w:lang w:eastAsia="zh-CN"/>
        </w:rPr>
        <w:t>绩效工资</w:t>
      </w:r>
      <w:r>
        <w:rPr>
          <w:rFonts w:hint="default" w:ascii="仿宋_GB2312" w:hAnsi="微软雅黑" w:eastAsia="仿宋_GB2312" w:cs="仿宋_GB2312"/>
          <w:color w:val="auto"/>
          <w:sz w:val="31"/>
          <w:szCs w:val="31"/>
          <w:lang w:eastAsia="zh-CN"/>
        </w:rPr>
        <w:t>等人员经费</w:t>
      </w:r>
      <w:r>
        <w:rPr>
          <w:rFonts w:hint="eastAsia" w:ascii="仿宋_GB2312" w:hAnsi="微软雅黑" w:eastAsia="仿宋_GB2312" w:cs="仿宋_GB2312"/>
          <w:color w:val="auto"/>
          <w:sz w:val="31"/>
          <w:szCs w:val="31"/>
          <w:lang w:eastAsia="zh-CN"/>
        </w:rPr>
        <w:t>。</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_GB2312" w:hAnsi="微软雅黑" w:eastAsia="仿宋_GB2312" w:cs="仿宋_GB2312"/>
          <w:color w:val="auto"/>
          <w:sz w:val="31"/>
          <w:szCs w:val="31"/>
          <w:lang w:eastAsia="zh-CN"/>
        </w:rPr>
      </w:pPr>
      <w:r>
        <w:rPr>
          <w:rFonts w:hint="eastAsia" w:ascii="仿宋_GB2312" w:hAnsi="微软雅黑" w:eastAsia="仿宋_GB2312" w:cs="仿宋_GB2312"/>
          <w:color w:val="auto"/>
          <w:sz w:val="31"/>
          <w:szCs w:val="31"/>
          <w:highlight w:val="none"/>
          <w:lang w:val="en-US" w:eastAsia="zh-CN"/>
        </w:rPr>
        <w:t>9.</w:t>
      </w:r>
      <w:r>
        <w:rPr>
          <w:rFonts w:hint="default" w:ascii="仿宋_GB2312" w:hAnsi="微软雅黑" w:eastAsia="仿宋_GB2312" w:cs="仿宋_GB2312"/>
          <w:color w:val="auto"/>
          <w:sz w:val="31"/>
          <w:szCs w:val="31"/>
          <w:lang w:eastAsia="zh-CN"/>
        </w:rPr>
        <w:t xml:space="preserve"> </w:t>
      </w:r>
      <w:r>
        <w:rPr>
          <w:rFonts w:hint="default" w:ascii="仿宋_GB2312" w:hAnsi="微软雅黑" w:eastAsia="仿宋_GB2312" w:cs="仿宋_GB2312"/>
          <w:color w:val="auto"/>
          <w:sz w:val="31"/>
          <w:szCs w:val="31"/>
          <w:highlight w:val="none"/>
          <w:lang w:eastAsia="zh-CN"/>
        </w:rPr>
        <w:t xml:space="preserve"> </w:t>
      </w:r>
      <w:r>
        <w:rPr>
          <w:rFonts w:hint="default" w:ascii="仿宋_GB2312" w:hAnsi="微软雅黑" w:eastAsia="仿宋_GB2312" w:cs="仿宋_GB2312"/>
          <w:color w:val="auto"/>
          <w:sz w:val="31"/>
          <w:szCs w:val="31"/>
          <w:lang w:eastAsia="zh-CN"/>
        </w:rPr>
        <w:t>社会保障和就业（类）行政单位离退休（</w:t>
      </w:r>
      <w:r>
        <w:rPr>
          <w:rFonts w:hint="eastAsia" w:ascii="仿宋_GB2312" w:hAnsi="微软雅黑" w:eastAsia="仿宋_GB2312" w:cs="仿宋_GB2312"/>
          <w:color w:val="auto"/>
          <w:sz w:val="31"/>
          <w:szCs w:val="31"/>
          <w:lang w:eastAsia="zh-CN"/>
        </w:rPr>
        <w:t>款</w:t>
      </w:r>
      <w:r>
        <w:rPr>
          <w:rFonts w:hint="default" w:ascii="仿宋_GB2312" w:hAnsi="微软雅黑" w:eastAsia="仿宋_GB2312" w:cs="仿宋_GB2312"/>
          <w:color w:val="auto"/>
          <w:sz w:val="31"/>
          <w:szCs w:val="31"/>
          <w:lang w:eastAsia="zh-CN"/>
        </w:rPr>
        <w:t>）行政单位离退休（</w:t>
      </w:r>
      <w:r>
        <w:rPr>
          <w:rFonts w:hint="eastAsia" w:ascii="仿宋_GB2312" w:hAnsi="微软雅黑" w:eastAsia="仿宋_GB2312" w:cs="仿宋_GB2312"/>
          <w:color w:val="auto"/>
          <w:sz w:val="31"/>
          <w:szCs w:val="31"/>
          <w:lang w:eastAsia="zh-CN"/>
        </w:rPr>
        <w:t>项</w:t>
      </w:r>
      <w:r>
        <w:rPr>
          <w:rFonts w:hint="default" w:ascii="仿宋_GB2312" w:hAnsi="微软雅黑" w:eastAsia="仿宋_GB2312" w:cs="仿宋_GB2312"/>
          <w:color w:val="auto"/>
          <w:sz w:val="31"/>
          <w:szCs w:val="31"/>
          <w:lang w:eastAsia="zh-CN"/>
        </w:rPr>
        <w:t>）</w:t>
      </w:r>
      <w:r>
        <w:rPr>
          <w:rFonts w:hint="eastAsia" w:ascii="仿宋_GB2312" w:hAnsi="微软雅黑" w:eastAsia="仿宋_GB2312" w:cs="仿宋_GB2312"/>
          <w:color w:val="auto"/>
          <w:sz w:val="31"/>
          <w:szCs w:val="31"/>
          <w:lang w:eastAsia="zh-CN"/>
        </w:rPr>
        <w:t>202</w:t>
      </w:r>
      <w:r>
        <w:rPr>
          <w:rFonts w:hint="eastAsia" w:ascii="仿宋_GB2312" w:hAnsi="微软雅黑" w:eastAsia="仿宋_GB2312" w:cs="仿宋_GB2312"/>
          <w:color w:val="auto"/>
          <w:sz w:val="31"/>
          <w:szCs w:val="31"/>
          <w:lang w:val="en-US" w:eastAsia="zh-CN"/>
        </w:rPr>
        <w:t>4</w:t>
      </w:r>
      <w:r>
        <w:rPr>
          <w:rFonts w:hint="default" w:ascii="仿宋_GB2312" w:hAnsi="微软雅黑" w:eastAsia="仿宋_GB2312" w:cs="仿宋_GB2312"/>
          <w:color w:val="auto"/>
          <w:sz w:val="31"/>
          <w:szCs w:val="31"/>
          <w:lang w:eastAsia="zh-CN"/>
        </w:rPr>
        <w:t>年预算数为</w:t>
      </w:r>
      <w:r>
        <w:rPr>
          <w:rFonts w:hint="eastAsia" w:ascii="仿宋_GB2312" w:hAnsi="微软雅黑" w:eastAsia="仿宋_GB2312" w:cs="仿宋_GB2312"/>
          <w:color w:val="auto"/>
          <w:sz w:val="31"/>
          <w:szCs w:val="31"/>
          <w:lang w:val="en-US" w:eastAsia="zh-CN"/>
        </w:rPr>
        <w:t>16</w:t>
      </w:r>
      <w:r>
        <w:rPr>
          <w:rFonts w:hint="default" w:ascii="仿宋_GB2312" w:hAnsi="微软雅黑" w:eastAsia="仿宋_GB2312" w:cs="仿宋_GB2312"/>
          <w:color w:val="auto"/>
          <w:sz w:val="31"/>
          <w:szCs w:val="31"/>
          <w:lang w:eastAsia="zh-CN"/>
        </w:rPr>
        <w:t>万元</w:t>
      </w:r>
      <w:r>
        <w:rPr>
          <w:rFonts w:hint="eastAsia" w:ascii="仿宋_GB2312" w:hAnsi="微软雅黑" w:eastAsia="仿宋_GB2312" w:cs="仿宋_GB2312"/>
          <w:color w:val="auto"/>
          <w:sz w:val="31"/>
          <w:szCs w:val="31"/>
          <w:lang w:eastAsia="zh-CN"/>
        </w:rPr>
        <w:t>，</w:t>
      </w:r>
      <w:r>
        <w:rPr>
          <w:rFonts w:hint="default" w:ascii="仿宋_GB2312" w:hAnsi="微软雅黑" w:eastAsia="仿宋_GB2312" w:cs="仿宋_GB2312"/>
          <w:color w:val="auto"/>
          <w:sz w:val="31"/>
          <w:szCs w:val="31"/>
          <w:lang w:eastAsia="zh-CN"/>
        </w:rPr>
        <w:t>主要用于：</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机关及参公管理事业单位离退休人员经费支出</w:t>
      </w:r>
      <w:r>
        <w:rPr>
          <w:rFonts w:hint="eastAsia" w:ascii="仿宋_GB2312" w:hAnsi="微软雅黑" w:eastAsia="仿宋_GB2312" w:cs="仿宋_GB2312"/>
          <w:color w:val="auto"/>
          <w:sz w:val="31"/>
          <w:szCs w:val="31"/>
          <w:lang w:eastAsia="zh-CN"/>
        </w:rPr>
        <w:t>。</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_GB2312" w:hAnsi="微软雅黑" w:eastAsia="仿宋_GB2312" w:cs="仿宋_GB2312"/>
          <w:color w:val="auto"/>
          <w:sz w:val="31"/>
          <w:szCs w:val="31"/>
          <w:lang w:eastAsia="zh-CN"/>
        </w:rPr>
      </w:pPr>
      <w:r>
        <w:rPr>
          <w:rFonts w:hint="eastAsia" w:ascii="仿宋_GB2312" w:hAnsi="微软雅黑" w:eastAsia="仿宋_GB2312" w:cs="仿宋_GB2312"/>
          <w:color w:val="auto"/>
          <w:sz w:val="31"/>
          <w:szCs w:val="31"/>
          <w:lang w:val="en-US" w:eastAsia="zh-CN"/>
        </w:rPr>
        <w:t>10.</w:t>
      </w:r>
      <w:r>
        <w:rPr>
          <w:rFonts w:hint="default" w:ascii="仿宋_GB2312" w:hAnsi="微软雅黑" w:eastAsia="仿宋_GB2312" w:cs="仿宋_GB2312"/>
          <w:color w:val="auto"/>
          <w:sz w:val="31"/>
          <w:szCs w:val="31"/>
          <w:lang w:eastAsia="zh-CN"/>
        </w:rPr>
        <w:t>社会保障和就业（类）行政事业单位养老支出（款）机关事业单位基本养老保险缴费支出（项）</w:t>
      </w:r>
      <w:r>
        <w:rPr>
          <w:rFonts w:hint="eastAsia" w:ascii="仿宋_GB2312" w:hAnsi="微软雅黑" w:eastAsia="仿宋_GB2312" w:cs="仿宋_GB2312"/>
          <w:color w:val="auto"/>
          <w:sz w:val="31"/>
          <w:szCs w:val="31"/>
          <w:lang w:eastAsia="zh-CN"/>
        </w:rPr>
        <w:t>202</w:t>
      </w:r>
      <w:r>
        <w:rPr>
          <w:rFonts w:hint="eastAsia" w:ascii="仿宋_GB2312" w:hAnsi="微软雅黑" w:eastAsia="仿宋_GB2312" w:cs="仿宋_GB2312"/>
          <w:color w:val="auto"/>
          <w:sz w:val="31"/>
          <w:szCs w:val="31"/>
          <w:lang w:val="en-US" w:eastAsia="zh-CN"/>
        </w:rPr>
        <w:t>4</w:t>
      </w:r>
      <w:r>
        <w:rPr>
          <w:rFonts w:hint="default" w:ascii="仿宋_GB2312" w:hAnsi="微软雅黑" w:eastAsia="仿宋_GB2312" w:cs="仿宋_GB2312"/>
          <w:color w:val="auto"/>
          <w:sz w:val="31"/>
          <w:szCs w:val="31"/>
          <w:lang w:eastAsia="zh-CN"/>
        </w:rPr>
        <w:t>年预算数为</w:t>
      </w:r>
      <w:r>
        <w:rPr>
          <w:rFonts w:hint="eastAsia" w:ascii="仿宋_GB2312" w:hAnsi="微软雅黑" w:eastAsia="仿宋_GB2312" w:cs="仿宋_GB2312"/>
          <w:color w:val="auto"/>
          <w:sz w:val="31"/>
          <w:szCs w:val="31"/>
          <w:lang w:val="en-US" w:eastAsia="zh-CN"/>
        </w:rPr>
        <w:t>80.15</w:t>
      </w:r>
      <w:r>
        <w:rPr>
          <w:rFonts w:hint="default" w:ascii="仿宋_GB2312" w:hAnsi="微软雅黑" w:eastAsia="仿宋_GB2312" w:cs="仿宋_GB2312"/>
          <w:color w:val="auto"/>
          <w:sz w:val="31"/>
          <w:szCs w:val="31"/>
          <w:lang w:eastAsia="zh-CN"/>
        </w:rPr>
        <w:t>万元，主要用于：实施养老保险制度由单位缴纳的基本养老保险费支出。</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_GB2312" w:hAnsi="微软雅黑" w:eastAsia="仿宋_GB2312" w:cs="仿宋_GB2312"/>
          <w:color w:val="auto"/>
          <w:sz w:val="31"/>
          <w:szCs w:val="31"/>
          <w:lang w:eastAsia="zh-CN"/>
        </w:rPr>
      </w:pPr>
      <w:r>
        <w:rPr>
          <w:rFonts w:hint="eastAsia" w:ascii="仿宋_GB2312" w:hAnsi="微软雅黑" w:eastAsia="仿宋_GB2312" w:cs="仿宋_GB2312"/>
          <w:color w:val="auto"/>
          <w:sz w:val="31"/>
          <w:szCs w:val="31"/>
          <w:lang w:val="en-US" w:eastAsia="zh-CN"/>
        </w:rPr>
        <w:t>11</w:t>
      </w:r>
      <w:r>
        <w:rPr>
          <w:rFonts w:hint="default" w:ascii="仿宋_GB2312" w:hAnsi="微软雅黑" w:eastAsia="仿宋_GB2312" w:cs="仿宋_GB2312"/>
          <w:color w:val="auto"/>
          <w:sz w:val="31"/>
          <w:szCs w:val="31"/>
          <w:lang w:eastAsia="zh-CN"/>
        </w:rPr>
        <w:t>.卫生健康支出（类）行政事业单位医疗（款）行政单位医疗（项）</w:t>
      </w:r>
      <w:r>
        <w:rPr>
          <w:rFonts w:hint="eastAsia" w:ascii="仿宋_GB2312" w:hAnsi="微软雅黑" w:eastAsia="仿宋_GB2312" w:cs="仿宋_GB2312"/>
          <w:color w:val="auto"/>
          <w:sz w:val="31"/>
          <w:szCs w:val="31"/>
          <w:lang w:eastAsia="zh-CN"/>
        </w:rPr>
        <w:t>202</w:t>
      </w:r>
      <w:r>
        <w:rPr>
          <w:rFonts w:hint="eastAsia" w:ascii="仿宋_GB2312" w:hAnsi="微软雅黑" w:eastAsia="仿宋_GB2312" w:cs="仿宋_GB2312"/>
          <w:color w:val="auto"/>
          <w:sz w:val="31"/>
          <w:szCs w:val="31"/>
          <w:lang w:val="en-US" w:eastAsia="zh-CN"/>
        </w:rPr>
        <w:t>4</w:t>
      </w:r>
      <w:r>
        <w:rPr>
          <w:rFonts w:hint="default" w:ascii="仿宋_GB2312" w:hAnsi="微软雅黑" w:eastAsia="仿宋_GB2312" w:cs="仿宋_GB2312"/>
          <w:color w:val="auto"/>
          <w:sz w:val="31"/>
          <w:szCs w:val="31"/>
          <w:lang w:eastAsia="zh-CN"/>
        </w:rPr>
        <w:t>年预算数为</w:t>
      </w:r>
      <w:r>
        <w:rPr>
          <w:rFonts w:hint="eastAsia" w:ascii="仿宋_GB2312" w:hAnsi="仿宋_GB2312" w:eastAsia="仿宋_GB2312" w:cs="仿宋_GB2312"/>
          <w:sz w:val="32"/>
          <w:szCs w:val="32"/>
          <w:lang w:val="en-US" w:eastAsia="zh-CN"/>
        </w:rPr>
        <w:t>29.59</w:t>
      </w:r>
      <w:r>
        <w:rPr>
          <w:rFonts w:hint="default" w:ascii="仿宋_GB2312" w:hAnsi="微软雅黑" w:eastAsia="仿宋_GB2312" w:cs="仿宋_GB2312"/>
          <w:color w:val="auto"/>
          <w:sz w:val="31"/>
          <w:szCs w:val="31"/>
          <w:lang w:eastAsia="zh-CN"/>
        </w:rPr>
        <w:t>万元，主要用于：</w:t>
      </w:r>
      <w:r>
        <w:rPr>
          <w:rFonts w:hint="eastAsia" w:ascii="仿宋_GB2312" w:hAnsi="微软雅黑" w:eastAsia="仿宋_GB2312" w:cs="仿宋_GB2312"/>
          <w:color w:val="auto"/>
          <w:sz w:val="31"/>
          <w:szCs w:val="31"/>
          <w:lang w:eastAsia="zh-CN"/>
        </w:rPr>
        <w:t>公务员</w:t>
      </w:r>
      <w:r>
        <w:rPr>
          <w:rFonts w:hint="default" w:ascii="仿宋_GB2312" w:hAnsi="微软雅黑" w:eastAsia="仿宋_GB2312" w:cs="仿宋_GB2312"/>
          <w:color w:val="auto"/>
          <w:sz w:val="31"/>
          <w:szCs w:val="31"/>
          <w:lang w:eastAsia="zh-CN"/>
        </w:rPr>
        <w:t>按规定由单位缴纳的基本医疗保险支出</w:t>
      </w:r>
      <w:r>
        <w:rPr>
          <w:rFonts w:hint="eastAsia" w:ascii="仿宋_GB2312" w:hAnsi="微软雅黑" w:eastAsia="仿宋_GB2312" w:cs="仿宋_GB2312"/>
          <w:color w:val="auto"/>
          <w:sz w:val="31"/>
          <w:szCs w:val="31"/>
          <w:lang w:eastAsia="zh-CN"/>
        </w:rPr>
        <w:t>、</w:t>
      </w:r>
      <w:r>
        <w:rPr>
          <w:rFonts w:hint="default" w:ascii="仿宋_GB2312" w:hAnsi="微软雅黑" w:eastAsia="仿宋_GB2312" w:cs="仿宋_GB2312"/>
          <w:color w:val="auto"/>
          <w:sz w:val="31"/>
          <w:szCs w:val="31"/>
          <w:lang w:eastAsia="zh-CN"/>
        </w:rPr>
        <w:t>集中缴纳</w:t>
      </w:r>
      <w:r>
        <w:rPr>
          <w:rFonts w:hint="eastAsia" w:ascii="仿宋_GB2312" w:hAnsi="微软雅黑" w:eastAsia="仿宋_GB2312" w:cs="仿宋_GB2312"/>
          <w:color w:val="auto"/>
          <w:sz w:val="31"/>
          <w:szCs w:val="31"/>
          <w:lang w:eastAsia="zh-CN"/>
        </w:rPr>
        <w:t>工伤、失业、生育等保险</w:t>
      </w:r>
      <w:r>
        <w:rPr>
          <w:rFonts w:hint="default" w:ascii="仿宋_GB2312" w:hAnsi="微软雅黑" w:eastAsia="仿宋_GB2312" w:cs="仿宋_GB2312"/>
          <w:color w:val="auto"/>
          <w:sz w:val="31"/>
          <w:szCs w:val="31"/>
          <w:lang w:eastAsia="zh-CN"/>
        </w:rPr>
        <w:t>支出。</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微软雅黑" w:eastAsia="仿宋_GB2312" w:cs="仿宋_GB2312"/>
          <w:color w:val="auto"/>
          <w:sz w:val="31"/>
          <w:szCs w:val="31"/>
          <w:highlight w:val="yellow"/>
          <w:lang w:eastAsia="zh-CN"/>
        </w:rPr>
      </w:pPr>
      <w:r>
        <w:rPr>
          <w:rFonts w:hint="eastAsia" w:ascii="仿宋_GB2312" w:hAnsi="微软雅黑" w:eastAsia="仿宋_GB2312" w:cs="仿宋_GB2312"/>
          <w:color w:val="auto"/>
          <w:sz w:val="31"/>
          <w:szCs w:val="31"/>
          <w:lang w:val="en-US" w:eastAsia="zh-CN"/>
        </w:rPr>
        <w:t>12</w:t>
      </w:r>
      <w:r>
        <w:rPr>
          <w:rFonts w:hint="default" w:ascii="仿宋_GB2312" w:hAnsi="微软雅黑" w:eastAsia="仿宋_GB2312" w:cs="仿宋_GB2312"/>
          <w:color w:val="auto"/>
          <w:sz w:val="31"/>
          <w:szCs w:val="31"/>
          <w:lang w:eastAsia="zh-CN"/>
        </w:rPr>
        <w:t>.住房保障（类）住房改革支出（款）住房公积金（项）</w:t>
      </w:r>
      <w:r>
        <w:rPr>
          <w:rFonts w:hint="eastAsia" w:ascii="仿宋_GB2312" w:hAnsi="微软雅黑" w:eastAsia="仿宋_GB2312" w:cs="仿宋_GB2312"/>
          <w:color w:val="auto"/>
          <w:sz w:val="31"/>
          <w:szCs w:val="31"/>
          <w:lang w:eastAsia="zh-CN"/>
        </w:rPr>
        <w:t>202</w:t>
      </w:r>
      <w:r>
        <w:rPr>
          <w:rFonts w:hint="eastAsia" w:ascii="仿宋_GB2312" w:hAnsi="微软雅黑" w:eastAsia="仿宋_GB2312" w:cs="仿宋_GB2312"/>
          <w:color w:val="auto"/>
          <w:sz w:val="31"/>
          <w:szCs w:val="31"/>
          <w:lang w:val="en-US" w:eastAsia="zh-CN"/>
        </w:rPr>
        <w:t>4</w:t>
      </w:r>
      <w:r>
        <w:rPr>
          <w:rFonts w:hint="default" w:ascii="仿宋_GB2312" w:hAnsi="微软雅黑" w:eastAsia="仿宋_GB2312" w:cs="仿宋_GB2312"/>
          <w:color w:val="auto"/>
          <w:sz w:val="31"/>
          <w:szCs w:val="31"/>
          <w:lang w:eastAsia="zh-CN"/>
        </w:rPr>
        <w:t>年预算数为</w:t>
      </w:r>
      <w:r>
        <w:rPr>
          <w:rFonts w:hint="eastAsia" w:ascii="仿宋_GB2312" w:hAnsi="仿宋_GB2312" w:eastAsia="仿宋_GB2312" w:cs="仿宋_GB2312"/>
          <w:sz w:val="32"/>
          <w:szCs w:val="32"/>
          <w:lang w:val="en-US" w:eastAsia="zh-CN"/>
        </w:rPr>
        <w:t>67.37</w:t>
      </w:r>
      <w:r>
        <w:rPr>
          <w:rFonts w:hint="default" w:ascii="仿宋_GB2312" w:hAnsi="微软雅黑" w:eastAsia="仿宋_GB2312" w:cs="仿宋_GB2312"/>
          <w:color w:val="auto"/>
          <w:sz w:val="31"/>
          <w:szCs w:val="31"/>
          <w:lang w:eastAsia="zh-CN"/>
        </w:rPr>
        <w:t>万元，主要用于：部门按人力资源和社会保障部、财政部规定的基本工资和津贴补贴以及规定比例为职工缴纳的住房公积金支出。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rPr>
      </w:pPr>
      <w:bookmarkStart w:id="46" w:name="_Toc1318532127_WPSOffice_Level1"/>
      <w:bookmarkStart w:id="47" w:name="_Toc1798950517_WPSOffice_Level1"/>
      <w:r>
        <w:rPr>
          <w:rFonts w:hint="eastAsia" w:ascii="黑体" w:hAnsi="黑体" w:eastAsia="黑体" w:cs="黑体"/>
          <w:sz w:val="32"/>
          <w:szCs w:val="32"/>
          <w:lang w:val="en-US" w:eastAsia="zh-CN"/>
        </w:rPr>
        <w:t>六、一般公共预算基本支出情况说明</w:t>
      </w:r>
      <w:bookmarkEnd w:id="46"/>
      <w:bookmarkEnd w:id="4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区司法局2024年一般公共预算基本支出869.14万元，其中：人员经费758.89万元，主要包括：基本工资、津贴补贴、奖金、社会保险缴费、住房公积金等支出。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公用经费110.25万元，主要包括：办公费、印刷费、水费、电费、邮电费、差旅费、维修（护）费、会议费、培训费、公务接待费、劳务费、工会经费、福利费、公务用车运行维护费、其他交通费用等支出。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rPr>
      </w:pPr>
      <w:bookmarkStart w:id="48" w:name="_Toc1538346870_WPSOffice_Level1"/>
      <w:bookmarkStart w:id="49" w:name="_Toc905026299_WPSOffice_Level1"/>
      <w:r>
        <w:rPr>
          <w:rFonts w:hint="eastAsia" w:ascii="黑体" w:hAnsi="黑体" w:eastAsia="黑体" w:cs="黑体"/>
          <w:sz w:val="32"/>
          <w:szCs w:val="32"/>
          <w:lang w:val="en-US" w:eastAsia="zh-CN"/>
        </w:rPr>
        <w:t>七、“三公”经费财政拨款预算安排情况说明</w:t>
      </w:r>
      <w:bookmarkEnd w:id="48"/>
      <w:bookmarkEnd w:id="4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区司法局2024年“三公”经费财政拨款预算数18万元，其中：公务接待费6万元，公务用车购置及运行维护费12万元，因公出国（境）经费0万元。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50" w:name="_Toc1798950517_WPSOffice_Level2"/>
      <w:bookmarkStart w:id="51" w:name="_Toc1947344338_WPSOffice_Level2"/>
      <w:r>
        <w:rPr>
          <w:rFonts w:hint="eastAsia" w:ascii="楷体_GB2312" w:hAnsi="楷体_GB2312" w:eastAsia="楷体_GB2312" w:cs="楷体_GB2312"/>
          <w:sz w:val="32"/>
          <w:szCs w:val="32"/>
          <w:lang w:val="en-US" w:eastAsia="zh-CN"/>
        </w:rPr>
        <w:t>（一）公务接待费</w:t>
      </w:r>
      <w:bookmarkEnd w:id="50"/>
      <w:bookmarkEnd w:id="51"/>
    </w:p>
    <w:p>
      <w:pPr>
        <w:pStyle w:val="10"/>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Times New Roman" w:hAnsi="Times New Roman" w:eastAsia="仿宋_GB2312" w:cs="Times New Roman"/>
          <w:sz w:val="32"/>
          <w:szCs w:val="32"/>
          <w:lang w:eastAsia="zh-CN"/>
        </w:rPr>
      </w:pPr>
      <w:r>
        <w:rPr>
          <w:rFonts w:hint="eastAsia" w:ascii="仿宋_GB2312" w:hAnsi="仿宋_GB2312" w:eastAsia="仿宋_GB2312" w:cs="仿宋_GB2312"/>
          <w:sz w:val="32"/>
          <w:szCs w:val="32"/>
          <w:lang w:val="en-US" w:eastAsia="zh-CN"/>
        </w:rPr>
        <w:t>公务接待费与2023年预算相比持平</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2024年公务接待费计划用于执行接待考察调研、检查指导等公务活动开支的交通费、住宿费、用餐费等。</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52" w:name="_Toc905026299_WPSOffice_Level2"/>
      <w:bookmarkStart w:id="53" w:name="_Toc1994979947_WPSOffice_Level2"/>
      <w:r>
        <w:rPr>
          <w:rFonts w:hint="eastAsia" w:ascii="楷体_GB2312" w:hAnsi="楷体_GB2312" w:eastAsia="楷体_GB2312" w:cs="楷体_GB2312"/>
          <w:sz w:val="32"/>
          <w:szCs w:val="32"/>
          <w:lang w:val="en-US" w:eastAsia="zh-CN"/>
        </w:rPr>
        <w:t>公务用车购置及运行维护费</w:t>
      </w:r>
      <w:bookmarkEnd w:id="52"/>
      <w:bookmarkEnd w:id="5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公务用车购置及运行维护费与2023年预算相比持平。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单位现有公务用车2辆，其中：轿车2辆。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2024年安排公务用车购置费0万元。</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_GB2312" w:hAnsi="微软雅黑" w:eastAsia="仿宋_GB2312" w:cs="仿宋_GB2312"/>
          <w:color w:val="auto"/>
          <w:sz w:val="31"/>
          <w:szCs w:val="31"/>
          <w:lang w:val="en-US" w:eastAsia="zh-CN"/>
        </w:rPr>
      </w:pPr>
      <w:r>
        <w:rPr>
          <w:rFonts w:hint="eastAsia" w:ascii="仿宋_GB2312" w:hAnsi="仿宋_GB2312" w:eastAsia="仿宋_GB2312" w:cs="仿宋_GB2312"/>
          <w:sz w:val="32"/>
          <w:szCs w:val="32"/>
          <w:lang w:val="en-US" w:eastAsia="zh-CN"/>
        </w:rPr>
        <w:t>2024年安排公务用车运行维护费12万元，用于2辆公务用车燃油、过路（桥）、维修、保险等方面支出，</w:t>
      </w:r>
      <w:r>
        <w:rPr>
          <w:rFonts w:hint="default" w:ascii="仿宋_GB2312" w:hAnsi="微软雅黑" w:eastAsia="仿宋_GB2312" w:cs="仿宋_GB2312"/>
          <w:color w:val="auto"/>
          <w:sz w:val="31"/>
          <w:szCs w:val="31"/>
          <w:lang w:eastAsia="zh-CN"/>
        </w:rPr>
        <w:t>主要保障工作调研、</w:t>
      </w:r>
      <w:r>
        <w:rPr>
          <w:rFonts w:hint="eastAsia" w:ascii="仿宋_GB2312" w:hAnsi="微软雅黑" w:eastAsia="仿宋_GB2312" w:cs="仿宋_GB2312"/>
          <w:color w:val="auto"/>
          <w:sz w:val="31"/>
          <w:szCs w:val="31"/>
          <w:lang w:eastAsia="zh-CN"/>
        </w:rPr>
        <w:t>社区矫正办案业务、法律援助、普法宣传、依法治区</w:t>
      </w:r>
      <w:r>
        <w:rPr>
          <w:rFonts w:hint="eastAsia" w:ascii="仿宋_GB2312" w:hAnsi="微软雅黑" w:eastAsia="仿宋_GB2312" w:cs="仿宋_GB2312"/>
          <w:color w:val="auto"/>
          <w:sz w:val="31"/>
          <w:szCs w:val="31"/>
          <w:lang w:val="en-US" w:eastAsia="zh-CN"/>
        </w:rPr>
        <w:t>和法治政府建设、乡村振兴</w:t>
      </w:r>
      <w:r>
        <w:rPr>
          <w:rFonts w:hint="default" w:ascii="仿宋_GB2312" w:hAnsi="微软雅黑" w:eastAsia="仿宋_GB2312" w:cs="仿宋_GB2312"/>
          <w:color w:val="auto"/>
          <w:sz w:val="31"/>
          <w:szCs w:val="31"/>
          <w:lang w:val="en-US" w:eastAsia="zh-CN"/>
        </w:rPr>
        <w:t>、</w:t>
      </w:r>
      <w:r>
        <w:rPr>
          <w:rFonts w:hint="eastAsia" w:ascii="仿宋_GB2312" w:hAnsi="微软雅黑" w:eastAsia="仿宋_GB2312" w:cs="仿宋_GB2312"/>
          <w:color w:val="auto"/>
          <w:sz w:val="31"/>
          <w:szCs w:val="31"/>
          <w:lang w:val="en-US" w:eastAsia="zh-CN"/>
        </w:rPr>
        <w:t>行政执法</w:t>
      </w:r>
      <w:r>
        <w:rPr>
          <w:rFonts w:hint="default" w:ascii="仿宋_GB2312" w:hAnsi="微软雅黑" w:eastAsia="仿宋_GB2312" w:cs="仿宋_GB2312"/>
          <w:color w:val="auto"/>
          <w:sz w:val="31"/>
          <w:szCs w:val="31"/>
          <w:lang w:val="en-US" w:eastAsia="zh-CN"/>
        </w:rPr>
        <w:t>监督检查等工作开展。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1"/>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bookmarkStart w:id="54" w:name="_Toc837460591_WPSOffice_Level2"/>
      <w:bookmarkStart w:id="55" w:name="_Toc1573019540_WPSOffice_Level2"/>
      <w:r>
        <w:rPr>
          <w:rFonts w:hint="eastAsia" w:ascii="仿宋_GB2312" w:hAnsi="仿宋_GB2312" w:eastAsia="仿宋_GB2312" w:cs="仿宋_GB2312"/>
          <w:sz w:val="32"/>
          <w:szCs w:val="32"/>
          <w:lang w:val="en-US" w:eastAsia="zh-CN"/>
        </w:rPr>
        <w:t>（</w:t>
      </w:r>
      <w:r>
        <w:rPr>
          <w:rFonts w:hint="eastAsia" w:ascii="楷体_GB2312" w:hAnsi="楷体_GB2312" w:eastAsia="楷体_GB2312" w:cs="楷体_GB2312"/>
          <w:sz w:val="32"/>
          <w:szCs w:val="32"/>
          <w:lang w:val="en-US" w:eastAsia="zh-CN"/>
        </w:rPr>
        <w:t>三）因公出国（境）经费</w:t>
      </w:r>
      <w:bookmarkEnd w:id="54"/>
      <w:bookmarkEnd w:id="5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因公出国（境）经费与2023年预算相比持平。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lang w:val="en-US" w:eastAsia="zh-CN"/>
        </w:rPr>
      </w:pPr>
      <w:bookmarkStart w:id="56" w:name="_Toc837460591_WPSOffice_Level1"/>
      <w:bookmarkStart w:id="57" w:name="_Toc1315965731_WPSOffice_Level1"/>
      <w:r>
        <w:rPr>
          <w:rFonts w:hint="eastAsia" w:ascii="黑体" w:hAnsi="黑体" w:eastAsia="黑体" w:cs="黑体"/>
          <w:sz w:val="32"/>
          <w:szCs w:val="32"/>
          <w:lang w:val="en-US" w:eastAsia="zh-CN"/>
        </w:rPr>
        <w:t>八、政府性基金预算支出情况说明</w:t>
      </w:r>
      <w:bookmarkEnd w:id="56"/>
      <w:bookmarkEnd w:id="5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区司法局2024年无政府性基金预算拨款安排的支出。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lang w:val="en-US" w:eastAsia="zh-CN"/>
        </w:rPr>
      </w:pPr>
      <w:bookmarkStart w:id="58" w:name="_Toc1947344338_WPSOffice_Level1"/>
      <w:bookmarkStart w:id="59" w:name="_Toc1653931391_WPSOffice_Level1"/>
      <w:r>
        <w:rPr>
          <w:rFonts w:hint="eastAsia" w:ascii="黑体" w:hAnsi="黑体" w:eastAsia="黑体" w:cs="黑体"/>
          <w:sz w:val="32"/>
          <w:szCs w:val="32"/>
          <w:lang w:val="en-US" w:eastAsia="zh-CN"/>
        </w:rPr>
        <w:t>九、国有资本经营预算支出情况说明</w:t>
      </w:r>
      <w:bookmarkEnd w:id="58"/>
      <w:bookmarkEnd w:id="5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区司法局2024年无国有资本经营预算拨款安排的支出。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rPr>
      </w:pPr>
      <w:bookmarkStart w:id="60" w:name="_Toc991089125_WPSOffice_Level1"/>
      <w:bookmarkStart w:id="61" w:name="_Toc1994979947_WPSOffice_Level1"/>
      <w:r>
        <w:rPr>
          <w:rFonts w:hint="eastAsia" w:ascii="黑体" w:hAnsi="黑体" w:eastAsia="黑体" w:cs="黑体"/>
          <w:sz w:val="32"/>
          <w:szCs w:val="32"/>
          <w:lang w:val="en-US" w:eastAsia="zh-CN"/>
        </w:rPr>
        <w:t>十、其他重要事项的情况说明</w:t>
      </w:r>
      <w:bookmarkEnd w:id="60"/>
      <w:bookmarkEnd w:id="6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62" w:name="_Toc1653931391_WPSOffice_Level2"/>
      <w:bookmarkStart w:id="63" w:name="_Toc1801989165_WPSOffice_Level2"/>
      <w:r>
        <w:rPr>
          <w:rFonts w:hint="eastAsia" w:ascii="楷体_GB2312" w:hAnsi="楷体_GB2312" w:eastAsia="楷体_GB2312" w:cs="楷体_GB2312"/>
          <w:sz w:val="32"/>
          <w:szCs w:val="32"/>
          <w:lang w:val="en-US" w:eastAsia="zh-CN"/>
        </w:rPr>
        <w:t>（一）机关运行经费</w:t>
      </w:r>
      <w:bookmarkEnd w:id="62"/>
      <w:bookmarkEnd w:id="63"/>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_GB2312" w:hAnsi="微软雅黑" w:eastAsia="仿宋_GB2312" w:cs="仿宋_GB2312"/>
          <w:color w:val="auto"/>
          <w:sz w:val="31"/>
          <w:szCs w:val="31"/>
          <w:lang w:val="en-US" w:eastAsia="zh-CN"/>
        </w:rPr>
      </w:pPr>
      <w:r>
        <w:rPr>
          <w:rFonts w:hint="eastAsia" w:ascii="仿宋_GB2312" w:hAnsi="仿宋_GB2312" w:eastAsia="仿宋_GB2312" w:cs="仿宋_GB2312"/>
          <w:sz w:val="32"/>
          <w:szCs w:val="32"/>
          <w:lang w:val="en-US" w:eastAsia="zh-CN"/>
        </w:rPr>
        <w:t>2024年，</w:t>
      </w:r>
      <w:r>
        <w:rPr>
          <w:rFonts w:hint="eastAsia" w:ascii="仿宋_GB2312" w:hAnsi="微软雅黑" w:eastAsia="仿宋_GB2312" w:cs="仿宋_GB2312"/>
          <w:color w:val="auto"/>
          <w:sz w:val="31"/>
          <w:szCs w:val="31"/>
          <w:lang w:eastAsia="zh-CN"/>
        </w:rPr>
        <w:t>广元市昭化区司法局</w:t>
      </w:r>
      <w:r>
        <w:rPr>
          <w:rFonts w:hint="default" w:ascii="仿宋_GB2312" w:hAnsi="微软雅黑" w:eastAsia="仿宋_GB2312" w:cs="仿宋_GB2312"/>
          <w:color w:val="auto"/>
          <w:sz w:val="31"/>
          <w:szCs w:val="31"/>
          <w:lang w:eastAsia="zh-CN"/>
        </w:rPr>
        <w:t>机关运行经费财政拨款预算为110.25</w:t>
      </w:r>
      <w:r>
        <w:rPr>
          <w:rFonts w:hint="eastAsia" w:ascii="仿宋_GB2312" w:hAnsi="微软雅黑" w:eastAsia="仿宋_GB2312" w:cs="仿宋_GB2312"/>
          <w:color w:val="auto"/>
          <w:sz w:val="31"/>
          <w:szCs w:val="31"/>
          <w:lang w:val="en-US" w:eastAsia="zh-CN"/>
        </w:rPr>
        <w:t>万元</w:t>
      </w:r>
      <w:r>
        <w:rPr>
          <w:rFonts w:hint="default" w:ascii="仿宋_GB2312" w:hAnsi="微软雅黑" w:eastAsia="仿宋_GB2312" w:cs="仿宋_GB2312"/>
          <w:color w:val="auto"/>
          <w:sz w:val="31"/>
          <w:szCs w:val="31"/>
          <w:lang w:eastAsia="zh-CN"/>
        </w:rPr>
        <w:t>，比</w:t>
      </w:r>
      <w:r>
        <w:rPr>
          <w:rFonts w:hint="eastAsia" w:ascii="仿宋_GB2312" w:hAnsi="微软雅黑" w:eastAsia="仿宋_GB2312" w:cs="仿宋_GB2312"/>
          <w:color w:val="auto"/>
          <w:sz w:val="31"/>
          <w:szCs w:val="31"/>
          <w:lang w:eastAsia="zh-CN"/>
        </w:rPr>
        <w:t>202</w:t>
      </w:r>
      <w:r>
        <w:rPr>
          <w:rFonts w:hint="eastAsia" w:ascii="仿宋_GB2312" w:hAnsi="微软雅黑" w:eastAsia="仿宋_GB2312" w:cs="仿宋_GB2312"/>
          <w:color w:val="auto"/>
          <w:sz w:val="31"/>
          <w:szCs w:val="31"/>
          <w:lang w:val="en-US" w:eastAsia="zh-CN"/>
        </w:rPr>
        <w:t>3</w:t>
      </w:r>
      <w:r>
        <w:rPr>
          <w:rFonts w:hint="default" w:ascii="仿宋_GB2312" w:hAnsi="微软雅黑" w:eastAsia="仿宋_GB2312" w:cs="仿宋_GB2312"/>
          <w:color w:val="auto"/>
          <w:sz w:val="31"/>
          <w:szCs w:val="31"/>
          <w:lang w:eastAsia="zh-CN"/>
        </w:rPr>
        <w:t>年预算数</w:t>
      </w:r>
      <w:r>
        <w:rPr>
          <w:rFonts w:hint="eastAsia" w:ascii="仿宋_GB2312" w:hAnsi="微软雅黑" w:eastAsia="仿宋_GB2312" w:cs="仿宋_GB2312"/>
          <w:color w:val="auto"/>
          <w:sz w:val="31"/>
          <w:szCs w:val="31"/>
          <w:lang w:eastAsia="zh-CN"/>
        </w:rPr>
        <w:t>增加</w:t>
      </w:r>
      <w:r>
        <w:rPr>
          <w:rFonts w:hint="eastAsia" w:ascii="仿宋_GB2312" w:hAnsi="微软雅黑" w:eastAsia="仿宋_GB2312" w:cs="仿宋_GB2312"/>
          <w:color w:val="auto"/>
          <w:sz w:val="31"/>
          <w:szCs w:val="31"/>
          <w:lang w:val="en-US" w:eastAsia="zh-CN"/>
        </w:rPr>
        <w:t>48.65</w:t>
      </w:r>
      <w:r>
        <w:rPr>
          <w:rFonts w:hint="default" w:ascii="仿宋_GB2312" w:hAnsi="微软雅黑" w:eastAsia="仿宋_GB2312" w:cs="仿宋_GB2312"/>
          <w:color w:val="auto"/>
          <w:sz w:val="31"/>
          <w:szCs w:val="31"/>
          <w:lang w:eastAsia="zh-CN"/>
        </w:rPr>
        <w:t>万元，</w:t>
      </w:r>
      <w:r>
        <w:rPr>
          <w:rFonts w:hint="default" w:ascii="仿宋_GB2312" w:hAnsi="微软雅黑" w:eastAsia="仿宋_GB2312" w:cs="仿宋_GB2312"/>
          <w:color w:val="auto"/>
          <w:sz w:val="31"/>
          <w:szCs w:val="31"/>
        </w:rPr>
        <w:t>主要原因是</w:t>
      </w:r>
      <w:r>
        <w:rPr>
          <w:rFonts w:hint="eastAsia" w:ascii="Times New Roman" w:hAnsi="Times New Roman" w:eastAsia="仿宋_GB2312"/>
          <w:color w:val="auto"/>
          <w:sz w:val="32"/>
          <w:szCs w:val="32"/>
          <w:lang w:val="en-US" w:eastAsia="zh-CN"/>
        </w:rPr>
        <w:t>人员增加</w:t>
      </w:r>
      <w:r>
        <w:rPr>
          <w:rFonts w:hint="default" w:ascii="仿宋_GB2312" w:hAnsi="微软雅黑" w:eastAsia="仿宋_GB2312" w:cs="仿宋_GB2312"/>
          <w:color w:val="auto"/>
          <w:sz w:val="31"/>
          <w:szCs w:val="31"/>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64" w:name="_Toc991089125_WPSOffice_Level2"/>
      <w:bookmarkStart w:id="65" w:name="_Toc458945530_WPSOffice_Level2"/>
      <w:r>
        <w:rPr>
          <w:rFonts w:hint="eastAsia" w:ascii="楷体_GB2312" w:hAnsi="楷体_GB2312" w:eastAsia="楷体_GB2312" w:cs="楷体_GB2312"/>
          <w:sz w:val="32"/>
          <w:szCs w:val="32"/>
          <w:lang w:val="en-US" w:eastAsia="zh-CN"/>
        </w:rPr>
        <w:t>（二）政府采购情况</w:t>
      </w:r>
      <w:bookmarkEnd w:id="64"/>
      <w:bookmarkEnd w:id="6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本单位本年度无政府采购预算。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66" w:name="_Toc1483110221_WPSOffice_Level2"/>
      <w:bookmarkStart w:id="67" w:name="_Toc607930345_WPSOffice_Level2"/>
      <w:r>
        <w:rPr>
          <w:rFonts w:hint="eastAsia" w:ascii="楷体_GB2312" w:hAnsi="楷体_GB2312" w:eastAsia="楷体_GB2312" w:cs="楷体_GB2312"/>
          <w:sz w:val="32"/>
          <w:szCs w:val="32"/>
          <w:lang w:val="en-US" w:eastAsia="zh-CN"/>
        </w:rPr>
        <w:t>（三）国有资产占有使用情况</w:t>
      </w:r>
      <w:bookmarkEnd w:id="66"/>
      <w:bookmarkEnd w:id="6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截至2023年底，区司法局共有车辆2辆，其中，</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领导干部用车</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辆、定向保障用车</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辆、</w:t>
      </w:r>
      <w:r>
        <w:rPr>
          <w:rFonts w:hint="eastAsia" w:ascii="仿宋_GB2312" w:hAnsi="仿宋_GB2312" w:eastAsia="仿宋_GB2312" w:cs="仿宋_GB2312"/>
          <w:sz w:val="32"/>
          <w:szCs w:val="32"/>
          <w:lang w:val="en-US" w:eastAsia="zh-CN"/>
        </w:rPr>
        <w:t>执法执勤用车2辆。单位价值200万元以上大型设备0台。</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default" w:ascii="仿宋_GB2312" w:hAnsi="仿宋_GB2312" w:eastAsia="仿宋_GB2312" w:cs="仿宋_GB2312"/>
          <w:sz w:val="32"/>
          <w:szCs w:val="32"/>
          <w:lang w:val="en-US" w:eastAsia="zh-CN"/>
        </w:rPr>
      </w:pPr>
      <w:bookmarkStart w:id="68" w:name="_Toc991295095_WPSOffice_Level2"/>
      <w:bookmarkStart w:id="69" w:name="_Toc1770173814_WPSOffice_Level2"/>
      <w:r>
        <w:rPr>
          <w:rFonts w:hint="eastAsia" w:ascii="Times New Roman" w:hAnsi="Times New Roman" w:eastAsia="仿宋_GB2312" w:cs="仿宋_GB2312"/>
          <w:sz w:val="32"/>
          <w:szCs w:val="32"/>
          <w:lang w:val="en-US" w:eastAsia="zh-CN"/>
        </w:rPr>
        <w:t>2024</w:t>
      </w:r>
      <w:r>
        <w:rPr>
          <w:rFonts w:hint="eastAsia" w:ascii="仿宋_GB2312" w:hAnsi="仿宋_GB2312" w:eastAsia="仿宋_GB2312" w:cs="仿宋_GB2312"/>
          <w:sz w:val="32"/>
          <w:szCs w:val="32"/>
          <w:lang w:val="en-US" w:eastAsia="zh-CN"/>
        </w:rPr>
        <w:t>年部门预算安排车辆购置经费及大型设备购置经费0万元。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（四）绩效目标设置情况</w:t>
      </w:r>
      <w:bookmarkEnd w:id="68"/>
      <w:bookmarkEnd w:id="6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2024年区司法局开展绩效目标管理的项目15个，涉及预算313.76万元。其中：人员类项目4个，涉及预算113.38万元；运转类项目10个，涉及预算198.38万元；特定目标类项目1个，涉及预算2万元。因部分项目内容涉密，不予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黑体" w:hAnsi="黑体" w:eastAsia="黑体" w:cs="黑体"/>
          <w:sz w:val="32"/>
          <w:szCs w:val="32"/>
        </w:rPr>
      </w:pPr>
      <w:bookmarkStart w:id="70" w:name="_Toc1483110221_WPSOffice_Level1"/>
      <w:bookmarkStart w:id="71" w:name="_Toc1573019540_WPSOffice_Level1"/>
      <w:r>
        <w:rPr>
          <w:rFonts w:hint="eastAsia" w:ascii="黑体" w:hAnsi="黑体" w:eastAsia="黑体" w:cs="黑体"/>
          <w:sz w:val="32"/>
          <w:szCs w:val="32"/>
          <w:lang w:val="en-US" w:eastAsia="zh-CN"/>
        </w:rPr>
        <w:t>十一、名词解释</w:t>
      </w:r>
      <w:bookmarkEnd w:id="70"/>
      <w:bookmarkEnd w:id="71"/>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20" w:firstLineChars="200"/>
        <w:jc w:val="both"/>
        <w:textAlignment w:val="auto"/>
        <w:rPr>
          <w:rFonts w:hint="default" w:ascii="仿宋_GB2312" w:hAnsi="微软雅黑" w:eastAsia="仿宋_GB2312" w:cs="仿宋_GB2312"/>
          <w:color w:val="auto"/>
          <w:sz w:val="31"/>
          <w:szCs w:val="31"/>
          <w:lang w:eastAsia="zh-CN"/>
        </w:rPr>
      </w:pPr>
      <w:r>
        <w:rPr>
          <w:rFonts w:hint="default" w:ascii="仿宋_GB2312" w:hAnsi="微软雅黑" w:eastAsia="仿宋_GB2312" w:cs="仿宋_GB2312"/>
          <w:color w:val="auto"/>
          <w:sz w:val="31"/>
          <w:szCs w:val="31"/>
          <w:lang w:eastAsia="zh-CN"/>
        </w:rPr>
        <w:t>（一）一般公共预算拨款收入：指</w:t>
      </w:r>
      <w:r>
        <w:rPr>
          <w:rFonts w:hint="eastAsia" w:ascii="仿宋_GB2312" w:hAnsi="微软雅黑" w:eastAsia="仿宋_GB2312" w:cs="仿宋_GB2312"/>
          <w:color w:val="auto"/>
          <w:sz w:val="31"/>
          <w:szCs w:val="31"/>
          <w:lang w:eastAsia="zh-CN"/>
        </w:rPr>
        <w:t>区</w:t>
      </w:r>
      <w:r>
        <w:rPr>
          <w:rFonts w:hint="default" w:ascii="仿宋_GB2312" w:hAnsi="微软雅黑" w:eastAsia="仿宋_GB2312" w:cs="仿宋_GB2312"/>
          <w:color w:val="auto"/>
          <w:sz w:val="31"/>
          <w:szCs w:val="31"/>
          <w:lang w:eastAsia="zh-CN"/>
        </w:rPr>
        <w:t>级财政当年拨付的资金。</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20" w:firstLineChars="200"/>
        <w:jc w:val="both"/>
        <w:textAlignment w:val="auto"/>
        <w:rPr>
          <w:rFonts w:hint="default" w:ascii="仿宋_GB2312" w:hAnsi="微软雅黑" w:eastAsia="仿宋_GB2312" w:cs="仿宋_GB2312"/>
          <w:color w:val="auto"/>
          <w:sz w:val="31"/>
          <w:szCs w:val="31"/>
          <w:lang w:eastAsia="zh-CN"/>
        </w:rPr>
      </w:pPr>
      <w:r>
        <w:rPr>
          <w:rFonts w:hint="default" w:ascii="仿宋_GB2312" w:hAnsi="微软雅黑" w:eastAsia="仿宋_GB2312" w:cs="仿宋_GB2312"/>
          <w:color w:val="auto"/>
          <w:sz w:val="31"/>
          <w:szCs w:val="31"/>
          <w:lang w:eastAsia="zh-CN"/>
        </w:rPr>
        <w:t>（</w:t>
      </w:r>
      <w:r>
        <w:rPr>
          <w:rFonts w:hint="eastAsia" w:ascii="仿宋_GB2312" w:hAnsi="微软雅黑" w:eastAsia="仿宋_GB2312" w:cs="仿宋_GB2312"/>
          <w:color w:val="auto"/>
          <w:sz w:val="31"/>
          <w:szCs w:val="31"/>
          <w:lang w:eastAsia="zh-CN"/>
        </w:rPr>
        <w:t>二</w:t>
      </w:r>
      <w:r>
        <w:rPr>
          <w:rFonts w:hint="default" w:ascii="仿宋_GB2312" w:hAnsi="微软雅黑" w:eastAsia="仿宋_GB2312" w:cs="仿宋_GB2312"/>
          <w:color w:val="auto"/>
          <w:sz w:val="31"/>
          <w:szCs w:val="31"/>
          <w:lang w:eastAsia="zh-CN"/>
        </w:rPr>
        <w:t>）</w:t>
      </w:r>
      <w:r>
        <w:rPr>
          <w:rFonts w:hint="eastAsia" w:ascii="仿宋_GB2312" w:hAnsi="微软雅黑" w:eastAsia="仿宋_GB2312" w:cs="仿宋_GB2312"/>
          <w:color w:val="auto"/>
          <w:sz w:val="31"/>
          <w:szCs w:val="31"/>
          <w:lang w:eastAsia="zh-CN"/>
        </w:rPr>
        <w:t>公共安全</w:t>
      </w:r>
      <w:r>
        <w:rPr>
          <w:rFonts w:hint="default" w:ascii="仿宋_GB2312" w:hAnsi="微软雅黑" w:eastAsia="仿宋_GB2312" w:cs="仿宋_GB2312"/>
          <w:color w:val="auto"/>
          <w:sz w:val="31"/>
          <w:szCs w:val="31"/>
          <w:lang w:eastAsia="zh-CN"/>
        </w:rPr>
        <w:t>（类）</w:t>
      </w:r>
      <w:r>
        <w:rPr>
          <w:rFonts w:hint="eastAsia" w:ascii="仿宋_GB2312" w:hAnsi="微软雅黑" w:eastAsia="仿宋_GB2312" w:cs="仿宋_GB2312"/>
          <w:color w:val="auto"/>
          <w:sz w:val="31"/>
          <w:szCs w:val="31"/>
          <w:lang w:eastAsia="zh-CN"/>
        </w:rPr>
        <w:t>司法</w:t>
      </w:r>
      <w:r>
        <w:rPr>
          <w:rFonts w:hint="default" w:ascii="仿宋_GB2312" w:hAnsi="微软雅黑" w:eastAsia="仿宋_GB2312" w:cs="仿宋_GB2312"/>
          <w:color w:val="auto"/>
          <w:sz w:val="31"/>
          <w:szCs w:val="31"/>
          <w:lang w:eastAsia="zh-CN"/>
        </w:rPr>
        <w:t>（款）行政运行（项）：指机关及参公管理事业单位用于保障机构正常运行、开展日常工作的基本支出。</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20" w:firstLineChars="200"/>
        <w:jc w:val="both"/>
        <w:textAlignment w:val="auto"/>
        <w:rPr>
          <w:rFonts w:hint="default" w:ascii="仿宋_GB2312" w:hAnsi="微软雅黑" w:eastAsia="仿宋_GB2312" w:cs="仿宋_GB2312"/>
          <w:color w:val="auto"/>
          <w:sz w:val="31"/>
          <w:szCs w:val="31"/>
          <w:lang w:eastAsia="zh-CN"/>
        </w:rPr>
      </w:pPr>
      <w:r>
        <w:rPr>
          <w:rFonts w:hint="default" w:ascii="仿宋_GB2312" w:hAnsi="微软雅黑" w:eastAsia="仿宋_GB2312" w:cs="仿宋_GB2312"/>
          <w:color w:val="auto"/>
          <w:sz w:val="31"/>
          <w:szCs w:val="31"/>
          <w:lang w:eastAsia="zh-CN"/>
        </w:rPr>
        <w:t>（</w:t>
      </w:r>
      <w:r>
        <w:rPr>
          <w:rFonts w:hint="eastAsia" w:ascii="仿宋_GB2312" w:hAnsi="微软雅黑" w:eastAsia="仿宋_GB2312" w:cs="仿宋_GB2312"/>
          <w:color w:val="auto"/>
          <w:sz w:val="31"/>
          <w:szCs w:val="31"/>
          <w:lang w:eastAsia="zh-CN"/>
        </w:rPr>
        <w:t>三</w:t>
      </w:r>
      <w:r>
        <w:rPr>
          <w:rFonts w:hint="default" w:ascii="仿宋_GB2312" w:hAnsi="微软雅黑" w:eastAsia="仿宋_GB2312" w:cs="仿宋_GB2312"/>
          <w:color w:val="auto"/>
          <w:sz w:val="31"/>
          <w:szCs w:val="31"/>
          <w:lang w:eastAsia="zh-CN"/>
        </w:rPr>
        <w:t>）</w:t>
      </w:r>
      <w:r>
        <w:rPr>
          <w:rFonts w:hint="eastAsia" w:ascii="仿宋_GB2312" w:hAnsi="微软雅黑" w:eastAsia="仿宋_GB2312" w:cs="仿宋_GB2312"/>
          <w:color w:val="auto"/>
          <w:sz w:val="31"/>
          <w:szCs w:val="31"/>
          <w:lang w:eastAsia="zh-CN"/>
        </w:rPr>
        <w:t>公共安全</w:t>
      </w:r>
      <w:r>
        <w:rPr>
          <w:rFonts w:hint="default" w:ascii="仿宋_GB2312" w:hAnsi="微软雅黑" w:eastAsia="仿宋_GB2312" w:cs="仿宋_GB2312"/>
          <w:color w:val="auto"/>
          <w:sz w:val="31"/>
          <w:szCs w:val="31"/>
          <w:lang w:eastAsia="zh-CN"/>
        </w:rPr>
        <w:t>（类）</w:t>
      </w:r>
      <w:r>
        <w:rPr>
          <w:rFonts w:hint="eastAsia" w:ascii="仿宋_GB2312" w:hAnsi="微软雅黑" w:eastAsia="仿宋_GB2312" w:cs="仿宋_GB2312"/>
          <w:color w:val="auto"/>
          <w:sz w:val="31"/>
          <w:szCs w:val="31"/>
          <w:lang w:eastAsia="zh-CN"/>
        </w:rPr>
        <w:t>司法</w:t>
      </w:r>
      <w:r>
        <w:rPr>
          <w:rFonts w:hint="default" w:ascii="仿宋_GB2312" w:hAnsi="微软雅黑" w:eastAsia="仿宋_GB2312" w:cs="仿宋_GB2312"/>
          <w:color w:val="auto"/>
          <w:sz w:val="31"/>
          <w:szCs w:val="31"/>
          <w:lang w:eastAsia="zh-CN"/>
        </w:rPr>
        <w:t>（款）一般行政管理事务（项）：指未单独设置项级科目的项目支出。</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20" w:firstLineChars="200"/>
        <w:jc w:val="both"/>
        <w:textAlignment w:val="auto"/>
        <w:rPr>
          <w:rFonts w:hint="default" w:ascii="仿宋_GB2312" w:hAnsi="微软雅黑" w:eastAsia="仿宋_GB2312" w:cs="仿宋_GB2312"/>
          <w:color w:val="auto"/>
          <w:sz w:val="31"/>
          <w:szCs w:val="31"/>
          <w:lang w:eastAsia="zh-CN"/>
        </w:rPr>
      </w:pPr>
      <w:r>
        <w:rPr>
          <w:rFonts w:hint="default" w:ascii="仿宋_GB2312" w:hAnsi="微软雅黑" w:eastAsia="仿宋_GB2312" w:cs="仿宋_GB2312"/>
          <w:color w:val="auto"/>
          <w:sz w:val="31"/>
          <w:szCs w:val="31"/>
          <w:lang w:eastAsia="zh-CN"/>
        </w:rPr>
        <w:t>（</w:t>
      </w:r>
      <w:r>
        <w:rPr>
          <w:rFonts w:hint="eastAsia" w:ascii="仿宋_GB2312" w:hAnsi="微软雅黑" w:eastAsia="仿宋_GB2312" w:cs="仿宋_GB2312"/>
          <w:color w:val="auto"/>
          <w:sz w:val="31"/>
          <w:szCs w:val="31"/>
          <w:lang w:eastAsia="zh-CN"/>
        </w:rPr>
        <w:t>四</w:t>
      </w:r>
      <w:r>
        <w:rPr>
          <w:rFonts w:hint="default" w:ascii="仿宋_GB2312" w:hAnsi="微软雅黑" w:eastAsia="仿宋_GB2312" w:cs="仿宋_GB2312"/>
          <w:color w:val="auto"/>
          <w:sz w:val="31"/>
          <w:szCs w:val="31"/>
          <w:lang w:eastAsia="zh-CN"/>
        </w:rPr>
        <w:t>）</w:t>
      </w:r>
      <w:r>
        <w:rPr>
          <w:rFonts w:hint="eastAsia" w:ascii="仿宋_GB2312" w:hAnsi="微软雅黑" w:eastAsia="仿宋_GB2312" w:cs="仿宋_GB2312"/>
          <w:color w:val="auto"/>
          <w:sz w:val="31"/>
          <w:szCs w:val="31"/>
          <w:lang w:eastAsia="zh-CN"/>
        </w:rPr>
        <w:t>公共安全</w:t>
      </w:r>
      <w:r>
        <w:rPr>
          <w:rFonts w:hint="default" w:ascii="仿宋_GB2312" w:hAnsi="微软雅黑" w:eastAsia="仿宋_GB2312" w:cs="仿宋_GB2312"/>
          <w:color w:val="auto"/>
          <w:sz w:val="31"/>
          <w:szCs w:val="31"/>
          <w:lang w:eastAsia="zh-CN"/>
        </w:rPr>
        <w:t>（类）</w:t>
      </w:r>
      <w:r>
        <w:rPr>
          <w:rFonts w:hint="eastAsia" w:ascii="仿宋_GB2312" w:hAnsi="微软雅黑" w:eastAsia="仿宋_GB2312" w:cs="仿宋_GB2312"/>
          <w:color w:val="auto"/>
          <w:sz w:val="31"/>
          <w:szCs w:val="31"/>
          <w:lang w:eastAsia="zh-CN"/>
        </w:rPr>
        <w:t>司法</w:t>
      </w:r>
      <w:r>
        <w:rPr>
          <w:rFonts w:hint="default" w:ascii="仿宋_GB2312" w:hAnsi="微软雅黑" w:eastAsia="仿宋_GB2312" w:cs="仿宋_GB2312"/>
          <w:color w:val="auto"/>
          <w:sz w:val="31"/>
          <w:szCs w:val="31"/>
          <w:lang w:eastAsia="zh-CN"/>
        </w:rPr>
        <w:t>（款）机关服务（项）：指本单位正常运行提供服务的基本支出。</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20" w:firstLineChars="200"/>
        <w:jc w:val="both"/>
        <w:textAlignment w:val="auto"/>
        <w:rPr>
          <w:rFonts w:hint="eastAsia" w:ascii="仿宋_GB2312" w:hAnsi="微软雅黑" w:eastAsia="仿宋_GB2312" w:cs="仿宋_GB2312"/>
          <w:color w:val="auto"/>
          <w:sz w:val="31"/>
          <w:szCs w:val="31"/>
          <w:lang w:eastAsia="zh-CN"/>
        </w:rPr>
      </w:pPr>
      <w:r>
        <w:rPr>
          <w:rFonts w:hint="default" w:ascii="仿宋_GB2312" w:hAnsi="微软雅黑" w:eastAsia="仿宋_GB2312" w:cs="仿宋_GB2312"/>
          <w:color w:val="auto"/>
          <w:sz w:val="31"/>
          <w:szCs w:val="31"/>
          <w:lang w:eastAsia="zh-CN"/>
        </w:rPr>
        <w:t>（</w:t>
      </w:r>
      <w:r>
        <w:rPr>
          <w:rFonts w:hint="eastAsia" w:ascii="仿宋_GB2312" w:hAnsi="微软雅黑" w:eastAsia="仿宋_GB2312" w:cs="仿宋_GB2312"/>
          <w:color w:val="auto"/>
          <w:sz w:val="31"/>
          <w:szCs w:val="31"/>
          <w:lang w:eastAsia="zh-CN"/>
        </w:rPr>
        <w:t>五</w:t>
      </w:r>
      <w:r>
        <w:rPr>
          <w:rFonts w:hint="default" w:ascii="仿宋_GB2312" w:hAnsi="微软雅黑" w:eastAsia="仿宋_GB2312" w:cs="仿宋_GB2312"/>
          <w:color w:val="auto"/>
          <w:sz w:val="31"/>
          <w:szCs w:val="31"/>
          <w:lang w:eastAsia="zh-CN"/>
        </w:rPr>
        <w:t>）</w:t>
      </w:r>
      <w:r>
        <w:rPr>
          <w:rFonts w:hint="eastAsia" w:ascii="仿宋_GB2312" w:hAnsi="微软雅黑" w:eastAsia="仿宋_GB2312" w:cs="仿宋_GB2312"/>
          <w:color w:val="auto"/>
          <w:sz w:val="31"/>
          <w:szCs w:val="31"/>
          <w:lang w:eastAsia="zh-CN"/>
        </w:rPr>
        <w:t>公共安全</w:t>
      </w:r>
      <w:r>
        <w:rPr>
          <w:rFonts w:hint="default" w:ascii="仿宋_GB2312" w:hAnsi="微软雅黑" w:eastAsia="仿宋_GB2312" w:cs="仿宋_GB2312"/>
          <w:color w:val="auto"/>
          <w:sz w:val="31"/>
          <w:szCs w:val="31"/>
          <w:lang w:eastAsia="zh-CN"/>
        </w:rPr>
        <w:t>（类）</w:t>
      </w:r>
      <w:r>
        <w:rPr>
          <w:rFonts w:hint="eastAsia" w:ascii="仿宋_GB2312" w:hAnsi="微软雅黑" w:eastAsia="仿宋_GB2312" w:cs="仿宋_GB2312"/>
          <w:color w:val="auto"/>
          <w:sz w:val="31"/>
          <w:szCs w:val="31"/>
          <w:lang w:eastAsia="zh-CN"/>
        </w:rPr>
        <w:t>司法</w:t>
      </w:r>
      <w:r>
        <w:rPr>
          <w:rFonts w:hint="default" w:ascii="仿宋_GB2312" w:hAnsi="微软雅黑" w:eastAsia="仿宋_GB2312" w:cs="仿宋_GB2312"/>
          <w:color w:val="auto"/>
          <w:sz w:val="31"/>
          <w:szCs w:val="31"/>
          <w:lang w:eastAsia="zh-CN"/>
        </w:rPr>
        <w:t>（款）信息化建设（项）：指</w:t>
      </w:r>
      <w:r>
        <w:rPr>
          <w:rFonts w:hint="eastAsia" w:ascii="仿宋_GB2312" w:hAnsi="微软雅黑" w:eastAsia="仿宋_GB2312" w:cs="仿宋_GB2312"/>
          <w:color w:val="auto"/>
          <w:sz w:val="31"/>
          <w:szCs w:val="31"/>
          <w:lang w:eastAsia="zh-CN"/>
        </w:rPr>
        <w:t>广元市昭化区司法局</w:t>
      </w:r>
      <w:r>
        <w:rPr>
          <w:rFonts w:hint="default" w:ascii="仿宋_GB2312" w:hAnsi="微软雅黑" w:eastAsia="仿宋_GB2312" w:cs="仿宋_GB2312"/>
          <w:color w:val="auto"/>
          <w:sz w:val="31"/>
          <w:szCs w:val="31"/>
          <w:lang w:eastAsia="zh-CN"/>
        </w:rPr>
        <w:t>用于业务软件开发、硬件购置、系统升级等信息化建设方面的项目支出。</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_GB2312" w:hAnsi="微软雅黑" w:eastAsia="仿宋_GB2312" w:cs="仿宋_GB2312"/>
          <w:color w:val="auto"/>
          <w:sz w:val="31"/>
          <w:szCs w:val="31"/>
          <w:lang w:eastAsia="zh-CN"/>
        </w:rPr>
      </w:pPr>
      <w:r>
        <w:rPr>
          <w:rFonts w:hint="default" w:ascii="仿宋_GB2312" w:hAnsi="微软雅黑" w:eastAsia="仿宋_GB2312" w:cs="仿宋_GB2312"/>
          <w:color w:val="auto"/>
          <w:sz w:val="31"/>
          <w:szCs w:val="31"/>
          <w:lang w:eastAsia="zh-CN"/>
        </w:rPr>
        <w:t>（</w:t>
      </w:r>
      <w:r>
        <w:rPr>
          <w:rFonts w:hint="eastAsia" w:ascii="仿宋_GB2312" w:hAnsi="微软雅黑" w:eastAsia="仿宋_GB2312" w:cs="仿宋_GB2312"/>
          <w:color w:val="auto"/>
          <w:sz w:val="31"/>
          <w:szCs w:val="31"/>
          <w:lang w:eastAsia="zh-CN"/>
        </w:rPr>
        <w:t>六</w:t>
      </w:r>
      <w:r>
        <w:rPr>
          <w:rFonts w:hint="default" w:ascii="仿宋_GB2312" w:hAnsi="微软雅黑" w:eastAsia="仿宋_GB2312" w:cs="仿宋_GB2312"/>
          <w:color w:val="auto"/>
          <w:sz w:val="31"/>
          <w:szCs w:val="31"/>
          <w:lang w:eastAsia="zh-CN"/>
        </w:rPr>
        <w:t>）</w:t>
      </w:r>
      <w:r>
        <w:rPr>
          <w:rFonts w:hint="eastAsia" w:ascii="仿宋_GB2312" w:hAnsi="微软雅黑" w:eastAsia="仿宋_GB2312" w:cs="仿宋_GB2312"/>
          <w:color w:val="auto"/>
          <w:sz w:val="31"/>
          <w:szCs w:val="31"/>
          <w:lang w:eastAsia="zh-CN"/>
        </w:rPr>
        <w:t>公共安全</w:t>
      </w:r>
      <w:r>
        <w:rPr>
          <w:rFonts w:hint="default" w:ascii="仿宋_GB2312" w:hAnsi="微软雅黑" w:eastAsia="仿宋_GB2312" w:cs="仿宋_GB2312"/>
          <w:color w:val="auto"/>
          <w:sz w:val="31"/>
          <w:szCs w:val="31"/>
          <w:lang w:eastAsia="zh-CN"/>
        </w:rPr>
        <w:t>（类）</w:t>
      </w:r>
      <w:r>
        <w:rPr>
          <w:rFonts w:hint="eastAsia" w:ascii="仿宋_GB2312" w:hAnsi="微软雅黑" w:eastAsia="仿宋_GB2312" w:cs="仿宋_GB2312"/>
          <w:color w:val="auto"/>
          <w:sz w:val="31"/>
          <w:szCs w:val="31"/>
          <w:lang w:eastAsia="zh-CN"/>
        </w:rPr>
        <w:t>司法</w:t>
      </w:r>
      <w:r>
        <w:rPr>
          <w:rFonts w:hint="default" w:ascii="仿宋_GB2312" w:hAnsi="微软雅黑" w:eastAsia="仿宋_GB2312" w:cs="仿宋_GB2312"/>
          <w:color w:val="auto"/>
          <w:sz w:val="31"/>
          <w:szCs w:val="31"/>
          <w:lang w:eastAsia="zh-CN"/>
        </w:rPr>
        <w:t>（款）事业运行（项）：指用于保障机构正常运行、开展日常工作的基本支出。</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_GB2312" w:hAnsi="微软雅黑" w:eastAsia="仿宋_GB2312" w:cs="仿宋_GB2312"/>
          <w:color w:val="auto"/>
          <w:sz w:val="31"/>
          <w:szCs w:val="31"/>
          <w:lang w:eastAsia="zh-CN"/>
        </w:rPr>
      </w:pPr>
      <w:r>
        <w:rPr>
          <w:rFonts w:hint="default" w:ascii="仿宋_GB2312" w:hAnsi="微软雅黑" w:eastAsia="仿宋_GB2312" w:cs="仿宋_GB2312"/>
          <w:color w:val="auto"/>
          <w:sz w:val="31"/>
          <w:szCs w:val="31"/>
          <w:lang w:eastAsia="zh-CN"/>
        </w:rPr>
        <w:t>（</w:t>
      </w:r>
      <w:r>
        <w:rPr>
          <w:rFonts w:hint="eastAsia" w:ascii="仿宋_GB2312" w:hAnsi="微软雅黑" w:eastAsia="仿宋_GB2312" w:cs="仿宋_GB2312"/>
          <w:color w:val="auto"/>
          <w:sz w:val="31"/>
          <w:szCs w:val="31"/>
          <w:lang w:eastAsia="zh-CN"/>
        </w:rPr>
        <w:t>七</w:t>
      </w:r>
      <w:r>
        <w:rPr>
          <w:rFonts w:hint="default" w:ascii="仿宋_GB2312" w:hAnsi="微软雅黑" w:eastAsia="仿宋_GB2312" w:cs="仿宋_GB2312"/>
          <w:color w:val="auto"/>
          <w:sz w:val="31"/>
          <w:szCs w:val="31"/>
          <w:lang w:eastAsia="zh-CN"/>
        </w:rPr>
        <w:t>）</w:t>
      </w:r>
      <w:r>
        <w:rPr>
          <w:rFonts w:hint="eastAsia" w:ascii="仿宋_GB2312" w:hAnsi="微软雅黑" w:eastAsia="仿宋_GB2312" w:cs="仿宋_GB2312"/>
          <w:color w:val="auto"/>
          <w:sz w:val="31"/>
          <w:szCs w:val="31"/>
          <w:lang w:eastAsia="zh-CN"/>
        </w:rPr>
        <w:t>公共安全</w:t>
      </w:r>
      <w:r>
        <w:rPr>
          <w:rFonts w:hint="default" w:ascii="仿宋_GB2312" w:hAnsi="微软雅黑" w:eastAsia="仿宋_GB2312" w:cs="仿宋_GB2312"/>
          <w:color w:val="auto"/>
          <w:sz w:val="31"/>
          <w:szCs w:val="31"/>
          <w:lang w:eastAsia="zh-CN"/>
        </w:rPr>
        <w:t>（类）</w:t>
      </w:r>
      <w:r>
        <w:rPr>
          <w:rFonts w:hint="eastAsia" w:ascii="仿宋_GB2312" w:hAnsi="微软雅黑" w:eastAsia="仿宋_GB2312" w:cs="仿宋_GB2312"/>
          <w:color w:val="auto"/>
          <w:sz w:val="31"/>
          <w:szCs w:val="31"/>
          <w:lang w:eastAsia="zh-CN"/>
        </w:rPr>
        <w:t>司法</w:t>
      </w:r>
      <w:r>
        <w:rPr>
          <w:rFonts w:hint="default" w:ascii="仿宋_GB2312" w:hAnsi="微软雅黑" w:eastAsia="仿宋_GB2312" w:cs="仿宋_GB2312"/>
          <w:color w:val="auto"/>
          <w:sz w:val="31"/>
          <w:szCs w:val="31"/>
          <w:lang w:eastAsia="zh-CN"/>
        </w:rPr>
        <w:t>（款）其他</w:t>
      </w:r>
      <w:r>
        <w:rPr>
          <w:rFonts w:hint="eastAsia" w:ascii="仿宋_GB2312" w:hAnsi="微软雅黑" w:eastAsia="仿宋_GB2312" w:cs="仿宋_GB2312"/>
          <w:color w:val="auto"/>
          <w:sz w:val="31"/>
          <w:szCs w:val="31"/>
          <w:lang w:eastAsia="zh-CN"/>
        </w:rPr>
        <w:t>司法</w:t>
      </w:r>
      <w:r>
        <w:rPr>
          <w:rFonts w:hint="default" w:ascii="仿宋_GB2312" w:hAnsi="微软雅黑" w:eastAsia="仿宋_GB2312" w:cs="仿宋_GB2312"/>
          <w:color w:val="auto"/>
          <w:sz w:val="31"/>
          <w:szCs w:val="31"/>
          <w:lang w:eastAsia="zh-CN"/>
        </w:rPr>
        <w:t>支出（项）：指</w:t>
      </w:r>
      <w:r>
        <w:rPr>
          <w:rFonts w:hint="eastAsia" w:ascii="仿宋_GB2312" w:hAnsi="微软雅黑" w:eastAsia="仿宋_GB2312" w:cs="仿宋_GB2312"/>
          <w:color w:val="auto"/>
          <w:sz w:val="31"/>
          <w:szCs w:val="31"/>
          <w:lang w:eastAsia="zh-CN"/>
        </w:rPr>
        <w:t>广元市昭化区司法局</w:t>
      </w:r>
      <w:r>
        <w:rPr>
          <w:rFonts w:hint="default" w:ascii="仿宋_GB2312" w:hAnsi="微软雅黑" w:eastAsia="仿宋_GB2312" w:cs="仿宋_GB2312"/>
          <w:color w:val="auto"/>
          <w:sz w:val="31"/>
          <w:szCs w:val="31"/>
          <w:lang w:eastAsia="zh-CN"/>
        </w:rPr>
        <w:t>除上述项目外，开展其他</w:t>
      </w:r>
      <w:r>
        <w:rPr>
          <w:rFonts w:hint="eastAsia" w:ascii="仿宋_GB2312" w:hAnsi="微软雅黑" w:eastAsia="仿宋_GB2312" w:cs="仿宋_GB2312"/>
          <w:color w:val="auto"/>
          <w:sz w:val="31"/>
          <w:szCs w:val="31"/>
          <w:lang w:eastAsia="zh-CN"/>
        </w:rPr>
        <w:t>司法</w:t>
      </w:r>
      <w:r>
        <w:rPr>
          <w:rFonts w:hint="default" w:ascii="仿宋_GB2312" w:hAnsi="微软雅黑" w:eastAsia="仿宋_GB2312" w:cs="仿宋_GB2312"/>
          <w:color w:val="auto"/>
          <w:sz w:val="31"/>
          <w:szCs w:val="31"/>
          <w:lang w:eastAsia="zh-CN"/>
        </w:rPr>
        <w:t>方面专门性工作任务的项目支出。</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_GB2312" w:hAnsi="微软雅黑" w:eastAsia="仿宋_GB2312" w:cs="仿宋_GB2312"/>
          <w:color w:val="auto"/>
          <w:sz w:val="31"/>
          <w:szCs w:val="31"/>
          <w:lang w:eastAsia="zh-CN"/>
        </w:rPr>
      </w:pPr>
      <w:r>
        <w:rPr>
          <w:rFonts w:hint="default" w:ascii="仿宋_GB2312" w:hAnsi="微软雅黑" w:eastAsia="仿宋_GB2312" w:cs="仿宋_GB2312"/>
          <w:color w:val="auto"/>
          <w:sz w:val="31"/>
          <w:szCs w:val="31"/>
          <w:lang w:eastAsia="zh-CN"/>
        </w:rPr>
        <w:t>（</w:t>
      </w:r>
      <w:r>
        <w:rPr>
          <w:rFonts w:hint="eastAsia" w:ascii="仿宋_GB2312" w:hAnsi="微软雅黑" w:eastAsia="仿宋_GB2312" w:cs="仿宋_GB2312"/>
          <w:color w:val="auto"/>
          <w:sz w:val="31"/>
          <w:szCs w:val="31"/>
          <w:lang w:eastAsia="zh-CN"/>
        </w:rPr>
        <w:t>八</w:t>
      </w:r>
      <w:r>
        <w:rPr>
          <w:rFonts w:hint="default" w:ascii="仿宋_GB2312" w:hAnsi="微软雅黑" w:eastAsia="仿宋_GB2312" w:cs="仿宋_GB2312"/>
          <w:color w:val="auto"/>
          <w:sz w:val="31"/>
          <w:szCs w:val="31"/>
          <w:lang w:eastAsia="zh-CN"/>
        </w:rPr>
        <w:t>）社会保障和就业（类）行政事业单位养老支出（款）机关事业单位基本养老保险缴费支出（项）：指部门实施养老保险制度由单位缴纳的养老保险费的支出。</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_GB2312" w:hAnsi="微软雅黑" w:eastAsia="仿宋_GB2312" w:cs="仿宋_GB2312"/>
          <w:color w:val="auto"/>
          <w:sz w:val="31"/>
          <w:szCs w:val="31"/>
          <w:lang w:eastAsia="zh-CN"/>
        </w:rPr>
      </w:pPr>
      <w:r>
        <w:rPr>
          <w:rFonts w:hint="default" w:ascii="仿宋_GB2312" w:hAnsi="微软雅黑" w:eastAsia="仿宋_GB2312" w:cs="仿宋_GB2312"/>
          <w:color w:val="auto"/>
          <w:sz w:val="31"/>
          <w:szCs w:val="31"/>
          <w:lang w:eastAsia="zh-CN"/>
        </w:rPr>
        <w:t>（</w:t>
      </w:r>
      <w:r>
        <w:rPr>
          <w:rFonts w:hint="eastAsia" w:ascii="仿宋_GB2312" w:hAnsi="微软雅黑" w:eastAsia="仿宋_GB2312" w:cs="仿宋_GB2312"/>
          <w:color w:val="auto"/>
          <w:sz w:val="31"/>
          <w:szCs w:val="31"/>
          <w:lang w:eastAsia="zh-CN"/>
        </w:rPr>
        <w:t>九</w:t>
      </w:r>
      <w:r>
        <w:rPr>
          <w:rFonts w:hint="default" w:ascii="仿宋_GB2312" w:hAnsi="微软雅黑" w:eastAsia="仿宋_GB2312" w:cs="仿宋_GB2312"/>
          <w:color w:val="auto"/>
          <w:sz w:val="31"/>
          <w:szCs w:val="31"/>
          <w:lang w:eastAsia="zh-CN"/>
        </w:rPr>
        <w:t>）卫生健康（类）行政事业单位医疗（款）行政单位医疗（项）：指机关及参公管理事业单位用于单位应缴纳基本医疗保险支出。</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_GB2312" w:hAnsi="微软雅黑" w:eastAsia="仿宋_GB2312" w:cs="仿宋_GB2312"/>
          <w:color w:val="auto"/>
          <w:sz w:val="31"/>
          <w:szCs w:val="31"/>
          <w:lang w:eastAsia="zh-CN"/>
        </w:rPr>
      </w:pPr>
      <w:r>
        <w:rPr>
          <w:rFonts w:hint="default" w:ascii="仿宋_GB2312" w:hAnsi="微软雅黑" w:eastAsia="仿宋_GB2312" w:cs="仿宋_GB2312"/>
          <w:color w:val="auto"/>
          <w:sz w:val="31"/>
          <w:szCs w:val="31"/>
          <w:lang w:eastAsia="zh-CN"/>
        </w:rPr>
        <w:t>（十</w:t>
      </w:r>
      <w:r>
        <w:rPr>
          <w:rFonts w:hint="eastAsia" w:ascii="仿宋_GB2312" w:hAnsi="微软雅黑" w:eastAsia="仿宋_GB2312" w:cs="仿宋_GB2312"/>
          <w:color w:val="auto"/>
          <w:sz w:val="31"/>
          <w:szCs w:val="31"/>
          <w:lang w:eastAsia="zh-CN"/>
        </w:rPr>
        <w:t>一</w:t>
      </w:r>
      <w:r>
        <w:rPr>
          <w:rFonts w:hint="default" w:ascii="仿宋_GB2312" w:hAnsi="微软雅黑" w:eastAsia="仿宋_GB2312" w:cs="仿宋_GB2312"/>
          <w:color w:val="auto"/>
          <w:sz w:val="31"/>
          <w:szCs w:val="31"/>
          <w:lang w:eastAsia="zh-CN"/>
        </w:rPr>
        <w:t>）住房保障（类）住房改革支出（款）住房公积金（项）：指按照《住房公积金管理条例》的规定，由单位及其在职职工缴存的长期住房储金。</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_GB2312" w:hAnsi="微软雅黑" w:eastAsia="仿宋_GB2312" w:cs="仿宋_GB2312"/>
          <w:color w:val="auto"/>
          <w:sz w:val="31"/>
          <w:szCs w:val="31"/>
          <w:lang w:eastAsia="zh-CN"/>
        </w:rPr>
      </w:pPr>
      <w:r>
        <w:rPr>
          <w:rFonts w:hint="default" w:ascii="仿宋_GB2312" w:hAnsi="微软雅黑" w:eastAsia="仿宋_GB2312" w:cs="仿宋_GB2312"/>
          <w:color w:val="auto"/>
          <w:sz w:val="31"/>
          <w:szCs w:val="31"/>
          <w:lang w:eastAsia="zh-CN"/>
        </w:rPr>
        <w:t>（十</w:t>
      </w:r>
      <w:r>
        <w:rPr>
          <w:rFonts w:hint="eastAsia" w:ascii="仿宋_GB2312" w:hAnsi="微软雅黑" w:eastAsia="仿宋_GB2312" w:cs="仿宋_GB2312"/>
          <w:color w:val="auto"/>
          <w:sz w:val="31"/>
          <w:szCs w:val="31"/>
          <w:lang w:eastAsia="zh-CN"/>
        </w:rPr>
        <w:t>二</w:t>
      </w:r>
      <w:r>
        <w:rPr>
          <w:rFonts w:hint="default" w:ascii="仿宋_GB2312" w:hAnsi="微软雅黑" w:eastAsia="仿宋_GB2312" w:cs="仿宋_GB2312"/>
          <w:color w:val="auto"/>
          <w:sz w:val="31"/>
          <w:szCs w:val="31"/>
          <w:lang w:eastAsia="zh-CN"/>
        </w:rPr>
        <w:t>）基本支出：指为保证机构正常运转，完成日常工作任务而发生的人员支出和公用支出。</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_GB2312" w:hAnsi="微软雅黑" w:eastAsia="仿宋_GB2312" w:cs="仿宋_GB2312"/>
          <w:color w:val="auto"/>
          <w:sz w:val="31"/>
          <w:szCs w:val="31"/>
          <w:lang w:eastAsia="zh-CN"/>
        </w:rPr>
      </w:pPr>
      <w:r>
        <w:rPr>
          <w:rFonts w:hint="default" w:ascii="仿宋_GB2312" w:hAnsi="微软雅黑" w:eastAsia="仿宋_GB2312" w:cs="仿宋_GB2312"/>
          <w:color w:val="auto"/>
          <w:sz w:val="31"/>
          <w:szCs w:val="31"/>
          <w:lang w:eastAsia="zh-CN"/>
        </w:rPr>
        <w:t>（</w:t>
      </w:r>
      <w:r>
        <w:rPr>
          <w:rFonts w:hint="eastAsia" w:ascii="仿宋_GB2312" w:hAnsi="微软雅黑" w:eastAsia="仿宋_GB2312" w:cs="仿宋_GB2312"/>
          <w:color w:val="auto"/>
          <w:sz w:val="31"/>
          <w:szCs w:val="31"/>
          <w:lang w:eastAsia="zh-CN"/>
        </w:rPr>
        <w:t>十三</w:t>
      </w:r>
      <w:r>
        <w:rPr>
          <w:rFonts w:hint="default" w:ascii="仿宋_GB2312" w:hAnsi="微软雅黑" w:eastAsia="仿宋_GB2312" w:cs="仿宋_GB2312"/>
          <w:color w:val="auto"/>
          <w:sz w:val="31"/>
          <w:szCs w:val="31"/>
          <w:lang w:eastAsia="zh-CN"/>
        </w:rPr>
        <w:t>）项目支出：指在基本支出之外为完成特定行政任务和事业发展目标所发生的支出。</w:t>
      </w:r>
    </w:p>
    <w:p>
      <w:pPr>
        <w:pStyle w:val="1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_GB2312" w:hAnsi="微软雅黑" w:eastAsia="仿宋_GB2312" w:cs="仿宋_GB2312"/>
          <w:color w:val="auto"/>
          <w:sz w:val="31"/>
          <w:szCs w:val="31"/>
          <w:lang w:eastAsia="zh-CN"/>
        </w:rPr>
      </w:pPr>
      <w:r>
        <w:rPr>
          <w:rFonts w:hint="default" w:ascii="仿宋_GB2312" w:hAnsi="微软雅黑" w:eastAsia="仿宋_GB2312" w:cs="仿宋_GB2312"/>
          <w:color w:val="auto"/>
          <w:sz w:val="31"/>
          <w:szCs w:val="31"/>
          <w:lang w:eastAsia="zh-CN"/>
        </w:rPr>
        <w:t>（</w:t>
      </w:r>
      <w:r>
        <w:rPr>
          <w:rFonts w:hint="eastAsia" w:ascii="仿宋_GB2312" w:hAnsi="微软雅黑" w:eastAsia="仿宋_GB2312" w:cs="仿宋_GB2312"/>
          <w:color w:val="auto"/>
          <w:sz w:val="31"/>
          <w:szCs w:val="31"/>
          <w:lang w:eastAsia="zh-CN"/>
        </w:rPr>
        <w:t>十四</w:t>
      </w:r>
      <w:r>
        <w:rPr>
          <w:rFonts w:hint="default" w:ascii="仿宋_GB2312" w:hAnsi="微软雅黑" w:eastAsia="仿宋_GB2312" w:cs="仿宋_GB2312"/>
          <w:color w:val="auto"/>
          <w:sz w:val="31"/>
          <w:szCs w:val="31"/>
          <w:lang w:eastAsia="zh-CN"/>
        </w:rPr>
        <w:t>）“三公”经费：纳入</w:t>
      </w:r>
      <w:r>
        <w:rPr>
          <w:rFonts w:hint="eastAsia" w:ascii="仿宋_GB2312" w:hAnsi="微软雅黑" w:eastAsia="仿宋_GB2312" w:cs="仿宋_GB2312"/>
          <w:color w:val="auto"/>
          <w:sz w:val="31"/>
          <w:szCs w:val="31"/>
          <w:lang w:eastAsia="zh-CN"/>
        </w:rPr>
        <w:t>广元市昭化区司法局</w:t>
      </w:r>
      <w:r>
        <w:rPr>
          <w:rFonts w:hint="default" w:ascii="仿宋_GB2312" w:hAnsi="微软雅黑" w:eastAsia="仿宋_GB2312" w:cs="仿宋_GB2312"/>
          <w:color w:val="auto"/>
          <w:sz w:val="31"/>
          <w:szCs w:val="31"/>
          <w:lang w:eastAsia="zh-CN"/>
        </w:rPr>
        <w:t>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eastAsia" w:ascii="仿宋_GB2312" w:hAnsi="仿宋_GB2312" w:eastAsia="仿宋_GB2312" w:cs="仿宋_GB2312"/>
          <w:sz w:val="32"/>
          <w:szCs w:val="32"/>
          <w:lang w:val="en-US" w:eastAsia="zh-CN"/>
        </w:rPr>
      </w:pPr>
      <w:r>
        <w:rPr>
          <w:rFonts w:hint="default" w:ascii="仿宋_GB2312" w:hAnsi="微软雅黑" w:eastAsia="仿宋_GB2312" w:cs="仿宋_GB2312"/>
          <w:color w:val="auto"/>
          <w:sz w:val="31"/>
          <w:szCs w:val="31"/>
          <w:lang w:eastAsia="zh-CN"/>
        </w:rPr>
        <w:t>（</w:t>
      </w:r>
      <w:r>
        <w:rPr>
          <w:rFonts w:hint="eastAsia" w:ascii="仿宋_GB2312" w:hAnsi="微软雅黑" w:eastAsia="仿宋_GB2312" w:cs="仿宋_GB2312"/>
          <w:color w:val="auto"/>
          <w:sz w:val="31"/>
          <w:szCs w:val="31"/>
          <w:lang w:eastAsia="zh-CN"/>
        </w:rPr>
        <w:t>十五</w:t>
      </w:r>
      <w:bookmarkStart w:id="78" w:name="_GoBack"/>
      <w:bookmarkEnd w:id="78"/>
      <w:r>
        <w:rPr>
          <w:rFonts w:hint="default" w:ascii="仿宋_GB2312" w:hAnsi="微软雅黑" w:eastAsia="仿宋_GB2312" w:cs="仿宋_GB2312"/>
          <w:color w:val="auto"/>
          <w:sz w:val="31"/>
          <w:szCs w:val="31"/>
          <w:lang w:eastAsia="zh-CN"/>
        </w:rPr>
        <w:t>）机关运行经费：为保障行政单位（包括参照公务员法管理的事业单位）运行用于购买货物和服务的各项资金，包括办公及印刷费、邮电费、差旅费、会议费、培训费、福利费、日常维修费、专用材料及一般设备购置费、办公用房水电费、公务用车运行维护费以及其他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lang w:val="en-US" w:eastAsia="zh-CN"/>
        </w:rPr>
      </w:pPr>
      <w:bookmarkStart w:id="72" w:name="_Toc991295095_WPSOffice_Level1"/>
      <w:bookmarkStart w:id="73" w:name="_Toc1801989165_WPSOffice_Level1"/>
      <w:r>
        <w:rPr>
          <w:rFonts w:hint="eastAsia" w:ascii="仿宋_GB2312" w:hAnsi="仿宋_GB2312" w:eastAsia="仿宋_GB2312" w:cs="仿宋_GB2312"/>
          <w:sz w:val="32"/>
          <w:szCs w:val="32"/>
          <w:lang w:val="en-US" w:eastAsia="zh-CN"/>
        </w:rPr>
        <w:t>附件：1.部门预算公开表</w:t>
      </w:r>
      <w:bookmarkEnd w:id="72"/>
      <w:bookmarkEnd w:id="73"/>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1600" w:leftChars="0" w:firstLine="0" w:firstLineChars="0"/>
        <w:textAlignment w:val="auto"/>
        <w:outlineLvl w:val="0"/>
        <w:rPr>
          <w:rFonts w:hint="eastAsia" w:ascii="仿宋_GB2312" w:hAnsi="仿宋_GB2312" w:eastAsia="仿宋_GB2312" w:cs="仿宋_GB2312"/>
          <w:sz w:val="32"/>
          <w:szCs w:val="32"/>
          <w:lang w:val="en-US" w:eastAsia="zh-CN"/>
        </w:rPr>
      </w:pPr>
      <w:bookmarkStart w:id="74" w:name="_Toc458945530_WPSOffice_Level1"/>
      <w:bookmarkStart w:id="75" w:name="_Toc1296232786_WPSOffice_Level1"/>
      <w:r>
        <w:rPr>
          <w:rFonts w:hint="eastAsia" w:ascii="仿宋_GB2312" w:hAnsi="仿宋_GB2312" w:eastAsia="仿宋_GB2312" w:cs="仿宋_GB2312"/>
          <w:sz w:val="32"/>
          <w:szCs w:val="32"/>
          <w:lang w:val="en-US" w:eastAsia="zh-CN"/>
        </w:rPr>
        <w:t>项目支出绩效目标表</w:t>
      </w:r>
      <w:bookmarkEnd w:id="74"/>
      <w:bookmarkEnd w:id="75"/>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1600" w:leftChars="0" w:firstLine="0" w:firstLineChars="0"/>
        <w:textAlignment w:val="auto"/>
        <w:outlineLvl w:val="0"/>
        <w:rPr>
          <w:rFonts w:hint="eastAsia" w:ascii="仿宋_GB2312" w:hAnsi="仿宋_GB2312" w:eastAsia="仿宋_GB2312" w:cs="仿宋_GB2312"/>
          <w:sz w:val="32"/>
          <w:szCs w:val="32"/>
          <w:lang w:val="en-US" w:eastAsia="zh-CN"/>
        </w:rPr>
      </w:pPr>
      <w:bookmarkStart w:id="76" w:name="_Toc607930345_WPSOffice_Level1"/>
      <w:bookmarkStart w:id="77" w:name="_Toc978926214_WPSOffice_Level1"/>
      <w:r>
        <w:rPr>
          <w:rFonts w:hint="eastAsia" w:ascii="仿宋_GB2312" w:hAnsi="仿宋_GB2312" w:eastAsia="仿宋_GB2312" w:cs="仿宋_GB2312"/>
          <w:sz w:val="32"/>
          <w:szCs w:val="32"/>
          <w:lang w:val="en-US" w:eastAsia="zh-CN"/>
        </w:rPr>
        <w:t>部门整体支出绩效目标表</w:t>
      </w:r>
      <w:bookmarkEnd w:id="76"/>
      <w:bookmarkEnd w:id="77"/>
    </w:p>
    <w:sectPr>
      <w:footerReference r:id="rId3" w:type="default"/>
      <w:pgSz w:w="11906" w:h="16838"/>
      <w:pgMar w:top="2098" w:right="1474" w:bottom="1720" w:left="1587" w:header="720" w:footer="155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iberation Sans">
    <w:altName w:val="Vijaya"/>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Dialog . plain">
    <w:altName w:val="Mangal"/>
    <w:panose1 w:val="00000000000000000000"/>
    <w:charset w:val="00"/>
    <w:family w:val="auto"/>
    <w:pitch w:val="default"/>
    <w:sig w:usb0="00000000" w:usb1="00000000" w:usb2="00000000" w:usb3="00000000" w:csb0="0000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16E233"/>
    <w:multiLevelType w:val="singleLevel"/>
    <w:tmpl w:val="3516E233"/>
    <w:lvl w:ilvl="0" w:tentative="0">
      <w:start w:val="2"/>
      <w:numFmt w:val="decimal"/>
      <w:lvlText w:val="%1."/>
      <w:lvlJc w:val="left"/>
      <w:pPr>
        <w:tabs>
          <w:tab w:val="left" w:pos="312"/>
        </w:tabs>
        <w:ind w:left="1600" w:leftChars="0" w:firstLine="0" w:firstLineChars="0"/>
      </w:pPr>
    </w:lvl>
  </w:abstractNum>
  <w:abstractNum w:abstractNumId="1">
    <w:nsid w:val="5BFCE1D6"/>
    <w:multiLevelType w:val="singleLevel"/>
    <w:tmpl w:val="5BFCE1D6"/>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mMDA1YjlkOTNjM2JkZWJjMTYxZWM5NGI4ODM1NTIifQ=="/>
  </w:docVars>
  <w:rsids>
    <w:rsidRoot w:val="00000000"/>
    <w:rsid w:val="012352D1"/>
    <w:rsid w:val="07FD23B3"/>
    <w:rsid w:val="0D483B44"/>
    <w:rsid w:val="1F7BF06F"/>
    <w:rsid w:val="1FEE4B73"/>
    <w:rsid w:val="23CE9849"/>
    <w:rsid w:val="2EB3C021"/>
    <w:rsid w:val="36EBB57E"/>
    <w:rsid w:val="373A033C"/>
    <w:rsid w:val="39F304DD"/>
    <w:rsid w:val="3A9FF13A"/>
    <w:rsid w:val="3BEFDD57"/>
    <w:rsid w:val="40481B3B"/>
    <w:rsid w:val="4E261B0F"/>
    <w:rsid w:val="54244390"/>
    <w:rsid w:val="54662A63"/>
    <w:rsid w:val="57EFCCF5"/>
    <w:rsid w:val="58064E12"/>
    <w:rsid w:val="5879795E"/>
    <w:rsid w:val="5BFEE015"/>
    <w:rsid w:val="63EDCF55"/>
    <w:rsid w:val="63FBFBCF"/>
    <w:rsid w:val="669360FD"/>
    <w:rsid w:val="68FF6A83"/>
    <w:rsid w:val="6BF64C24"/>
    <w:rsid w:val="6F3763E8"/>
    <w:rsid w:val="6FBBC9CF"/>
    <w:rsid w:val="71EF4EF9"/>
    <w:rsid w:val="72BDE561"/>
    <w:rsid w:val="763F2642"/>
    <w:rsid w:val="78462278"/>
    <w:rsid w:val="7997EA6C"/>
    <w:rsid w:val="7AEAE675"/>
    <w:rsid w:val="7B67B3A1"/>
    <w:rsid w:val="7BAFCE5D"/>
    <w:rsid w:val="7C523723"/>
    <w:rsid w:val="7D46598C"/>
    <w:rsid w:val="7D747C04"/>
    <w:rsid w:val="7DFB240B"/>
    <w:rsid w:val="7E0935ED"/>
    <w:rsid w:val="7EDFE558"/>
    <w:rsid w:val="7EF95DA4"/>
    <w:rsid w:val="7FCF2AF7"/>
    <w:rsid w:val="7FCFF248"/>
    <w:rsid w:val="9FEF033D"/>
    <w:rsid w:val="A27FF1E5"/>
    <w:rsid w:val="AFDEB5A7"/>
    <w:rsid w:val="AFEA7FBF"/>
    <w:rsid w:val="B83F4767"/>
    <w:rsid w:val="BF930F07"/>
    <w:rsid w:val="BFC5003F"/>
    <w:rsid w:val="BFCE8436"/>
    <w:rsid w:val="C3F7EB7A"/>
    <w:rsid w:val="C6DFA598"/>
    <w:rsid w:val="C77F20C4"/>
    <w:rsid w:val="CF9E607F"/>
    <w:rsid w:val="CFF5FEEC"/>
    <w:rsid w:val="D3DD9064"/>
    <w:rsid w:val="D6F76A0C"/>
    <w:rsid w:val="D7ECE8D2"/>
    <w:rsid w:val="DFDD4FB5"/>
    <w:rsid w:val="E7F748B5"/>
    <w:rsid w:val="EE5F3713"/>
    <w:rsid w:val="EF5DC6F9"/>
    <w:rsid w:val="EFC9D62C"/>
    <w:rsid w:val="EFEFE6CD"/>
    <w:rsid w:val="EFFCC07C"/>
    <w:rsid w:val="F5BF51E9"/>
    <w:rsid w:val="F6BE9755"/>
    <w:rsid w:val="F6FFA89B"/>
    <w:rsid w:val="FAE4EFE1"/>
    <w:rsid w:val="FB9B6F12"/>
    <w:rsid w:val="FBB66A4A"/>
    <w:rsid w:val="FD5B4FF6"/>
    <w:rsid w:val="FDEE6989"/>
    <w:rsid w:val="FF5E7DB8"/>
    <w:rsid w:val="FF77E367"/>
    <w:rsid w:val="FFB7F106"/>
    <w:rsid w:val="FFD576EB"/>
    <w:rsid w:val="FFF740F2"/>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3">
    <w:name w:val="Default Paragraph Font"/>
    <w:autoRedefine/>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style>
  <w:style w:type="paragraph" w:styleId="3">
    <w:name w:val="caption"/>
    <w:basedOn w:val="1"/>
    <w:next w:val="1"/>
    <w:autoRedefine/>
    <w:qFormat/>
    <w:uiPriority w:val="0"/>
    <w:pPr>
      <w:widowControl w:val="0"/>
      <w:suppressLineNumbers/>
      <w:suppressAutoHyphens/>
      <w:spacing w:before="120" w:after="120"/>
    </w:pPr>
    <w:rPr>
      <w:i/>
      <w:iCs/>
      <w:sz w:val="24"/>
      <w:szCs w:val="24"/>
    </w:rPr>
  </w:style>
  <w:style w:type="paragraph" w:styleId="4">
    <w:name w:val="annotation text"/>
    <w:basedOn w:val="1"/>
    <w:autoRedefine/>
    <w:qFormat/>
    <w:uiPriority w:val="0"/>
    <w:pPr>
      <w:jc w:val="left"/>
    </w:pPr>
  </w:style>
  <w:style w:type="paragraph" w:styleId="5">
    <w:name w:val="Body Text"/>
    <w:basedOn w:val="1"/>
    <w:next w:val="1"/>
    <w:qFormat/>
    <w:uiPriority w:val="0"/>
    <w:pPr>
      <w:spacing w:before="0" w:after="140" w:line="276" w:lineRule="auto"/>
    </w:pPr>
  </w:style>
  <w:style w:type="paragraph" w:styleId="6">
    <w:name w:val="Body Text Indent"/>
    <w:basedOn w:val="1"/>
    <w:autoRedefine/>
    <w:qFormat/>
    <w:uiPriority w:val="99"/>
    <w:pPr>
      <w:ind w:firstLine="630"/>
      <w:jc w:val="left"/>
    </w:pPr>
    <w:rPr>
      <w:rFonts w:eastAsia="黑体"/>
      <w:sz w:val="32"/>
      <w:szCs w:val="32"/>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List"/>
    <w:basedOn w:val="5"/>
    <w:autoRedefine/>
    <w:qFormat/>
    <w:uiPriority w:val="0"/>
  </w:style>
  <w:style w:type="paragraph" w:styleId="10">
    <w:name w:val="Normal (Web)"/>
    <w:basedOn w:val="1"/>
    <w:autoRedefine/>
    <w:qFormat/>
    <w:uiPriority w:val="0"/>
    <w:rPr>
      <w:sz w:val="24"/>
    </w:rPr>
  </w:style>
  <w:style w:type="paragraph" w:styleId="11">
    <w:name w:val="Body Text First Indent 2"/>
    <w:basedOn w:val="6"/>
    <w:autoRedefine/>
    <w:qFormat/>
    <w:uiPriority w:val="99"/>
    <w:pPr>
      <w:spacing w:after="120"/>
      <w:ind w:left="420" w:leftChars="200" w:firstLine="420"/>
    </w:pPr>
  </w:style>
  <w:style w:type="character" w:customStyle="1" w:styleId="14">
    <w:name w:val="默认段落字体1"/>
    <w:autoRedefine/>
    <w:qFormat/>
    <w:uiPriority w:val="0"/>
  </w:style>
  <w:style w:type="paragraph" w:customStyle="1" w:styleId="15">
    <w:name w:val="Heading"/>
    <w:basedOn w:val="1"/>
    <w:next w:val="5"/>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6">
    <w:name w:val="Index"/>
    <w:basedOn w:val="1"/>
    <w:autoRedefine/>
    <w:qFormat/>
    <w:uiPriority w:val="0"/>
    <w:pPr>
      <w:widowControl w:val="0"/>
      <w:suppressLineNumbers/>
      <w:suppressAutoHyphens/>
    </w:pPr>
  </w:style>
  <w:style w:type="character" w:customStyle="1" w:styleId="17">
    <w:name w:val="font01"/>
    <w:basedOn w:val="13"/>
    <w:autoRedefine/>
    <w:qFormat/>
    <w:uiPriority w:val="0"/>
    <w:rPr>
      <w:rFonts w:ascii="Dialog . plain" w:hAnsi="Dialog . plain" w:eastAsia="Dialog . plain" w:cs="Dialog . plain"/>
      <w:color w:val="000000"/>
      <w:sz w:val="22"/>
      <w:szCs w:val="22"/>
      <w:u w:val="none"/>
    </w:rPr>
  </w:style>
  <w:style w:type="paragraph" w:customStyle="1" w:styleId="18">
    <w:name w:val="WPSOffice手动目录 1"/>
    <w:autoRedefine/>
    <w:qFormat/>
    <w:uiPriority w:val="0"/>
    <w:pPr>
      <w:ind w:leftChars="0"/>
    </w:pPr>
    <w:rPr>
      <w:rFonts w:ascii="Times New Roman" w:hAnsi="Times New Roman" w:eastAsia="宋体" w:cs="Times New Roman"/>
      <w:sz w:val="20"/>
      <w:szCs w:val="20"/>
    </w:rPr>
  </w:style>
  <w:style w:type="paragraph" w:customStyle="1" w:styleId="19">
    <w:name w:val="WPSOffice手动目录 2"/>
    <w:autoRedefine/>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0f05f5b-56cf-4a44-a10e-872a7613ef53}"/>
        <w:style w:val=""/>
        <w:category>
          <w:name w:val="常规"/>
          <w:gallery w:val="placeholder"/>
        </w:category>
        <w:types>
          <w:type w:val="bbPlcHdr"/>
        </w:types>
        <w:behaviors>
          <w:behavior w:val="content"/>
        </w:behaviors>
        <w:description w:val=""/>
        <w:guid w:val="{f0f05f5b-56cf-4a44-a10e-872a7613ef53}"/>
      </w:docPartPr>
      <w:docPartBody>
        <w:p>
          <w:r>
            <w:rPr>
              <w:color w:val="808080"/>
            </w:rPr>
            <w:t>单击此处输入文字。</w:t>
          </w:r>
        </w:p>
      </w:docPartBody>
    </w:docPart>
    <w:docPart>
      <w:docPartPr>
        <w:name w:val="{cf5ce49b-5bc0-4350-9a07-27a5850ac046}"/>
        <w:style w:val=""/>
        <w:category>
          <w:name w:val="常规"/>
          <w:gallery w:val="placeholder"/>
        </w:category>
        <w:types>
          <w:type w:val="bbPlcHdr"/>
        </w:types>
        <w:behaviors>
          <w:behavior w:val="content"/>
        </w:behaviors>
        <w:description w:val=""/>
        <w:guid w:val="{cf5ce49b-5bc0-4350-9a07-27a5850ac046}"/>
      </w:docPartPr>
      <w:docPartBody>
        <w:p>
          <w:r>
            <w:rPr>
              <w:color w:val="808080"/>
            </w:rPr>
            <w:t>单击此处输入文字。</w:t>
          </w:r>
        </w:p>
      </w:docPartBody>
    </w:docPart>
    <w:docPart>
      <w:docPartPr>
        <w:name w:val="{eaac08d7-8f03-489b-9de7-e496dc8b11a7}"/>
        <w:style w:val=""/>
        <w:category>
          <w:name w:val="常规"/>
          <w:gallery w:val="placeholder"/>
        </w:category>
        <w:types>
          <w:type w:val="bbPlcHdr"/>
        </w:types>
        <w:behaviors>
          <w:behavior w:val="content"/>
        </w:behaviors>
        <w:description w:val=""/>
        <w:guid w:val="{eaac08d7-8f03-489b-9de7-e496dc8b11a7}"/>
      </w:docPartPr>
      <w:docPartBody>
        <w:p>
          <w:r>
            <w:rPr>
              <w:color w:val="808080"/>
            </w:rPr>
            <w:t>单击此处输入文字。</w:t>
          </w:r>
        </w:p>
      </w:docPartBody>
    </w:docPart>
    <w:docPart>
      <w:docPartPr>
        <w:name w:val="{a40244af-1dc6-45e1-97fa-fb1b6ee4b1f8}"/>
        <w:style w:val=""/>
        <w:category>
          <w:name w:val="常规"/>
          <w:gallery w:val="placeholder"/>
        </w:category>
        <w:types>
          <w:type w:val="bbPlcHdr"/>
        </w:types>
        <w:behaviors>
          <w:behavior w:val="content"/>
        </w:behaviors>
        <w:description w:val=""/>
        <w:guid w:val="{a40244af-1dc6-45e1-97fa-fb1b6ee4b1f8}"/>
      </w:docPartPr>
      <w:docPartBody>
        <w:p>
          <w:r>
            <w:rPr>
              <w:color w:val="808080"/>
            </w:rPr>
            <w:t>单击此处输入文字。</w:t>
          </w:r>
        </w:p>
      </w:docPartBody>
    </w:docPart>
    <w:docPart>
      <w:docPartPr>
        <w:name w:val="{d759b90e-ad36-416d-ae75-01a7ede81c7d}"/>
        <w:style w:val=""/>
        <w:category>
          <w:name w:val="常规"/>
          <w:gallery w:val="placeholder"/>
        </w:category>
        <w:types>
          <w:type w:val="bbPlcHdr"/>
        </w:types>
        <w:behaviors>
          <w:behavior w:val="content"/>
        </w:behaviors>
        <w:description w:val=""/>
        <w:guid w:val="{d759b90e-ad36-416d-ae75-01a7ede81c7d}"/>
      </w:docPartPr>
      <w:docPartBody>
        <w:p>
          <w:r>
            <w:rPr>
              <w:color w:val="808080"/>
            </w:rPr>
            <w:t>单击此处输入文字。</w:t>
          </w:r>
        </w:p>
      </w:docPartBody>
    </w:docPart>
    <w:docPart>
      <w:docPartPr>
        <w:name w:val="{2396b6a6-d54f-414f-9c17-b1149d6965e7}"/>
        <w:style w:val=""/>
        <w:category>
          <w:name w:val="常规"/>
          <w:gallery w:val="placeholder"/>
        </w:category>
        <w:types>
          <w:type w:val="bbPlcHdr"/>
        </w:types>
        <w:behaviors>
          <w:behavior w:val="content"/>
        </w:behaviors>
        <w:description w:val=""/>
        <w:guid w:val="{2396b6a6-d54f-414f-9c17-b1149d6965e7}"/>
      </w:docPartPr>
      <w:docPartBody>
        <w:p>
          <w:r>
            <w:rPr>
              <w:color w:val="808080"/>
            </w:rPr>
            <w:t>单击此处输入文字。</w:t>
          </w:r>
        </w:p>
      </w:docPartBody>
    </w:docPart>
    <w:docPart>
      <w:docPartPr>
        <w:name w:val="{62809c17-524d-4ea6-bde5-ab8b24ebbde1}"/>
        <w:style w:val=""/>
        <w:category>
          <w:name w:val="常规"/>
          <w:gallery w:val="placeholder"/>
        </w:category>
        <w:types>
          <w:type w:val="bbPlcHdr"/>
        </w:types>
        <w:behaviors>
          <w:behavior w:val="content"/>
        </w:behaviors>
        <w:description w:val=""/>
        <w:guid w:val="{62809c17-524d-4ea6-bde5-ab8b24ebbde1}"/>
      </w:docPartPr>
      <w:docPartBody>
        <w:p>
          <w:r>
            <w:rPr>
              <w:color w:val="808080"/>
            </w:rPr>
            <w:t>单击此处输入文字。</w:t>
          </w:r>
        </w:p>
      </w:docPartBody>
    </w:docPart>
    <w:docPart>
      <w:docPartPr>
        <w:name w:val="{3436130c-9399-4bca-82d2-6f0c3eda147d}"/>
        <w:style w:val=""/>
        <w:category>
          <w:name w:val="常规"/>
          <w:gallery w:val="placeholder"/>
        </w:category>
        <w:types>
          <w:type w:val="bbPlcHdr"/>
        </w:types>
        <w:behaviors>
          <w:behavior w:val="content"/>
        </w:behaviors>
        <w:description w:val=""/>
        <w:guid w:val="{3436130c-9399-4bca-82d2-6f0c3eda147d}"/>
      </w:docPartPr>
      <w:docPartBody>
        <w:p>
          <w:r>
            <w:rPr>
              <w:color w:val="808080"/>
            </w:rPr>
            <w:t>单击此处输入文字。</w:t>
          </w:r>
        </w:p>
      </w:docPartBody>
    </w:docPart>
    <w:docPart>
      <w:docPartPr>
        <w:name w:val="{46b3ba6d-dc5b-4b43-99d1-1d3208df618e}"/>
        <w:style w:val=""/>
        <w:category>
          <w:name w:val="常规"/>
          <w:gallery w:val="placeholder"/>
        </w:category>
        <w:types>
          <w:type w:val="bbPlcHdr"/>
        </w:types>
        <w:behaviors>
          <w:behavior w:val="content"/>
        </w:behaviors>
        <w:description w:val=""/>
        <w:guid w:val="{46b3ba6d-dc5b-4b43-99d1-1d3208df618e}"/>
      </w:docPartPr>
      <w:docPartBody>
        <w:p>
          <w:r>
            <w:rPr>
              <w:color w:val="808080"/>
            </w:rPr>
            <w:t>单击此处输入文字。</w:t>
          </w:r>
        </w:p>
      </w:docPartBody>
    </w:docPart>
    <w:docPart>
      <w:docPartPr>
        <w:name w:val="{165e9e65-edac-413a-8b07-e2b84b580af9}"/>
        <w:style w:val=""/>
        <w:category>
          <w:name w:val="常规"/>
          <w:gallery w:val="placeholder"/>
        </w:category>
        <w:types>
          <w:type w:val="bbPlcHdr"/>
        </w:types>
        <w:behaviors>
          <w:behavior w:val="content"/>
        </w:behaviors>
        <w:description w:val=""/>
        <w:guid w:val="{165e9e65-edac-413a-8b07-e2b84b580af9}"/>
      </w:docPartPr>
      <w:docPartBody>
        <w:p>
          <w:r>
            <w:rPr>
              <w:color w:val="808080"/>
            </w:rPr>
            <w:t>单击此处输入文字。</w:t>
          </w:r>
        </w:p>
      </w:docPartBody>
    </w:docPart>
    <w:docPart>
      <w:docPartPr>
        <w:name w:val="{8a05a3b4-28f0-46df-bb44-9827bdeda1e5}"/>
        <w:style w:val=""/>
        <w:category>
          <w:name w:val="常规"/>
          <w:gallery w:val="placeholder"/>
        </w:category>
        <w:types>
          <w:type w:val="bbPlcHdr"/>
        </w:types>
        <w:behaviors>
          <w:behavior w:val="content"/>
        </w:behaviors>
        <w:description w:val=""/>
        <w:guid w:val="{8a05a3b4-28f0-46df-bb44-9827bdeda1e5}"/>
      </w:docPartPr>
      <w:docPartBody>
        <w:p>
          <w:r>
            <w:rPr>
              <w:color w:val="808080"/>
            </w:rPr>
            <w:t>单击此处输入文字。</w:t>
          </w:r>
        </w:p>
      </w:docPartBody>
    </w:docPart>
    <w:docPart>
      <w:docPartPr>
        <w:name w:val="{c0d6b4b5-4aac-4b6c-b071-ee7b59345029}"/>
        <w:style w:val=""/>
        <w:category>
          <w:name w:val="常规"/>
          <w:gallery w:val="placeholder"/>
        </w:category>
        <w:types>
          <w:type w:val="bbPlcHdr"/>
        </w:types>
        <w:behaviors>
          <w:behavior w:val="content"/>
        </w:behaviors>
        <w:description w:val=""/>
        <w:guid w:val="{c0d6b4b5-4aac-4b6c-b071-ee7b59345029}"/>
      </w:docPartPr>
      <w:docPartBody>
        <w:p>
          <w:r>
            <w:rPr>
              <w:color w:val="808080"/>
            </w:rPr>
            <w:t>单击此处输入文字。</w:t>
          </w:r>
        </w:p>
      </w:docPartBody>
    </w:docPart>
    <w:docPart>
      <w:docPartPr>
        <w:name w:val="{1eb215bf-bc63-430c-9b1c-b9ecc0d55055}"/>
        <w:style w:val=""/>
        <w:category>
          <w:name w:val="常规"/>
          <w:gallery w:val="placeholder"/>
        </w:category>
        <w:types>
          <w:type w:val="bbPlcHdr"/>
        </w:types>
        <w:behaviors>
          <w:behavior w:val="content"/>
        </w:behaviors>
        <w:description w:val=""/>
        <w:guid w:val="{1eb215bf-bc63-430c-9b1c-b9ecc0d55055}"/>
      </w:docPartPr>
      <w:docPartBody>
        <w:p>
          <w:r>
            <w:rPr>
              <w:color w:val="808080"/>
            </w:rPr>
            <w:t>单击此处输入文字。</w:t>
          </w:r>
        </w:p>
      </w:docPartBody>
    </w:docPart>
    <w:docPart>
      <w:docPartPr>
        <w:name w:val="{c599a775-e8c2-49a6-a3fc-bd8d9d002ed0}"/>
        <w:style w:val=""/>
        <w:category>
          <w:name w:val="常规"/>
          <w:gallery w:val="placeholder"/>
        </w:category>
        <w:types>
          <w:type w:val="bbPlcHdr"/>
        </w:types>
        <w:behaviors>
          <w:behavior w:val="content"/>
        </w:behaviors>
        <w:description w:val=""/>
        <w:guid w:val="{c599a775-e8c2-49a6-a3fc-bd8d9d002ed0}"/>
      </w:docPartPr>
      <w:docPartBody>
        <w:p>
          <w:r>
            <w:rPr>
              <w:color w:val="808080"/>
            </w:rPr>
            <w:t>单击此处输入文字。</w:t>
          </w:r>
        </w:p>
      </w:docPartBody>
    </w:docPart>
    <w:docPart>
      <w:docPartPr>
        <w:name w:val="{62dc24e2-7de3-40cd-94ec-9d2009fbe7b6}"/>
        <w:style w:val=""/>
        <w:category>
          <w:name w:val="常规"/>
          <w:gallery w:val="placeholder"/>
        </w:category>
        <w:types>
          <w:type w:val="bbPlcHdr"/>
        </w:types>
        <w:behaviors>
          <w:behavior w:val="content"/>
        </w:behaviors>
        <w:description w:val=""/>
        <w:guid w:val="{62dc24e2-7de3-40cd-94ec-9d2009fbe7b6}"/>
      </w:docPartPr>
      <w:docPartBody>
        <w:p>
          <w:r>
            <w:rPr>
              <w:color w:val="808080"/>
            </w:rPr>
            <w:t>单击此处输入文字。</w:t>
          </w:r>
        </w:p>
      </w:docPartBody>
    </w:docPart>
    <w:docPart>
      <w:docPartPr>
        <w:name w:val="{12a45b7d-7b92-42a8-809a-3f23c14a6fca}"/>
        <w:style w:val=""/>
        <w:category>
          <w:name w:val="常规"/>
          <w:gallery w:val="placeholder"/>
        </w:category>
        <w:types>
          <w:type w:val="bbPlcHdr"/>
        </w:types>
        <w:behaviors>
          <w:behavior w:val="content"/>
        </w:behaviors>
        <w:description w:val=""/>
        <w:guid w:val="{12a45b7d-7b92-42a8-809a-3f23c14a6fca}"/>
      </w:docPartPr>
      <w:docPartBody>
        <w:p>
          <w:r>
            <w:rPr>
              <w:color w:val="808080"/>
            </w:rPr>
            <w:t>单击此处输入文字。</w:t>
          </w:r>
        </w:p>
      </w:docPartBody>
    </w:docPart>
    <w:docPart>
      <w:docPartPr>
        <w:name w:val="{006286cd-dc7b-4f06-a0e6-54eb2b2a779e}"/>
        <w:style w:val=""/>
        <w:category>
          <w:name w:val="常规"/>
          <w:gallery w:val="placeholder"/>
        </w:category>
        <w:types>
          <w:type w:val="bbPlcHdr"/>
        </w:types>
        <w:behaviors>
          <w:behavior w:val="content"/>
        </w:behaviors>
        <w:description w:val=""/>
        <w:guid w:val="{006286cd-dc7b-4f06-a0e6-54eb2b2a779e}"/>
      </w:docPartPr>
      <w:docPartBody>
        <w:p>
          <w:r>
            <w:rPr>
              <w:color w:val="808080"/>
            </w:rPr>
            <w:t>单击此处输入文字。</w:t>
          </w:r>
        </w:p>
      </w:docPartBody>
    </w:docPart>
    <w:docPart>
      <w:docPartPr>
        <w:name w:val="{3c776ea0-25f6-4f6a-a8d2-136f3821fa70}"/>
        <w:style w:val=""/>
        <w:category>
          <w:name w:val="常规"/>
          <w:gallery w:val="placeholder"/>
        </w:category>
        <w:types>
          <w:type w:val="bbPlcHdr"/>
        </w:types>
        <w:behaviors>
          <w:behavior w:val="content"/>
        </w:behaviors>
        <w:description w:val=""/>
        <w:guid w:val="{3c776ea0-25f6-4f6a-a8d2-136f3821fa70}"/>
      </w:docPartPr>
      <w:docPartBody>
        <w:p>
          <w:r>
            <w:rPr>
              <w:color w:val="808080"/>
            </w:rPr>
            <w:t>单击此处输入文字。</w:t>
          </w:r>
        </w:p>
      </w:docPartBody>
    </w:docPart>
    <w:docPart>
      <w:docPartPr>
        <w:name w:val="{45e8d8bc-276b-4954-8002-84dcf67e4a0a}"/>
        <w:style w:val=""/>
        <w:category>
          <w:name w:val="常规"/>
          <w:gallery w:val="placeholder"/>
        </w:category>
        <w:types>
          <w:type w:val="bbPlcHdr"/>
        </w:types>
        <w:behaviors>
          <w:behavior w:val="content"/>
        </w:behaviors>
        <w:description w:val=""/>
        <w:guid w:val="{45e8d8bc-276b-4954-8002-84dcf67e4a0a}"/>
      </w:docPartPr>
      <w:docPartBody>
        <w:p>
          <w:r>
            <w:rPr>
              <w:color w:val="808080"/>
            </w:rPr>
            <w:t>单击此处输入文字。</w:t>
          </w:r>
        </w:p>
      </w:docPartBody>
    </w:docPart>
    <w:docPart>
      <w:docPartPr>
        <w:name w:val="{226be501-43ed-4498-b6ff-cb7d1a4ca0e9}"/>
        <w:style w:val=""/>
        <w:category>
          <w:name w:val="常规"/>
          <w:gallery w:val="placeholder"/>
        </w:category>
        <w:types>
          <w:type w:val="bbPlcHdr"/>
        </w:types>
        <w:behaviors>
          <w:behavior w:val="content"/>
        </w:behaviors>
        <w:description w:val=""/>
        <w:guid w:val="{226be501-43ed-4498-b6ff-cb7d1a4ca0e9}"/>
      </w:docPartPr>
      <w:docPartBody>
        <w:p>
          <w:r>
            <w:rPr>
              <w:color w:val="808080"/>
            </w:rPr>
            <w:t>单击此处输入文字。</w:t>
          </w:r>
        </w:p>
      </w:docPartBody>
    </w:docPart>
    <w:docPart>
      <w:docPartPr>
        <w:name w:val="{ed283026-c890-41bb-a94d-fbd18a993040}"/>
        <w:style w:val=""/>
        <w:category>
          <w:name w:val="常规"/>
          <w:gallery w:val="placeholder"/>
        </w:category>
        <w:types>
          <w:type w:val="bbPlcHdr"/>
        </w:types>
        <w:behaviors>
          <w:behavior w:val="content"/>
        </w:behaviors>
        <w:description w:val=""/>
        <w:guid w:val="{ed283026-c890-41bb-a94d-fbd18a993040}"/>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Office_12.1.0.16399_F1E327BC-269C-435d-A152-05C5408002CA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2018-12-01T09:47:00Z</dcterms:created>
  <dc:creator>admin</dc:creator>
  <cp:lastModifiedBy>Administrator</cp:lastModifiedBy>
  <dcterms:modified xsi:type="dcterms:W3CDTF">2024-03-26T09:44:18Z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FEEBC47005514D4D98A30E5E9D20252D_13</vt:lpwstr>
  </property>
</Properties>
</file>