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6"/>
      <w:bookmarkStart w:id="2" w:name="_Toc15377194"/>
      <w:bookmarkStart w:id="3" w:name="_Toc15377426"/>
      <w:bookmarkStart w:id="4" w:name="_Toc15396598"/>
      <w:bookmarkStart w:id="5" w:name="_Toc15378442"/>
      <w:bookmarkStart w:id="6" w:name="_Toc20315"/>
      <w:r>
        <w:rPr>
          <w:rFonts w:hint="eastAsia" w:ascii="方正小标宋简体" w:hAnsi="方正小标宋简体" w:eastAsia="方正小标宋简体" w:cs="方正小标宋简体"/>
          <w:color w:val="auto"/>
          <w:sz w:val="72"/>
          <w:szCs w:val="72"/>
          <w:highlight w:val="none"/>
        </w:rPr>
        <w:t>四川省</w:t>
      </w:r>
      <w:bookmarkStart w:id="7" w:name="_Toc15306268"/>
      <w:r>
        <w:rPr>
          <w:rFonts w:hint="eastAsia" w:ascii="方正小标宋简体" w:hAnsi="方正小标宋简体" w:eastAsia="方正小标宋简体" w:cs="方正小标宋简体"/>
          <w:color w:val="auto"/>
          <w:sz w:val="72"/>
          <w:szCs w:val="72"/>
          <w:highlight w:val="none"/>
          <w:lang w:eastAsia="zh-CN"/>
        </w:rPr>
        <w:t>广元市昭化区妇幼保健院单位</w:t>
      </w:r>
      <w:r>
        <w:rPr>
          <w:rFonts w:hint="eastAsia" w:ascii="方正小标宋简体" w:hAnsi="方正小标宋简体" w:eastAsia="方正小标宋简体" w:cs="方正小标宋简体"/>
          <w:color w:val="auto"/>
          <w:sz w:val="72"/>
          <w:szCs w:val="72"/>
          <w:highlight w:val="none"/>
        </w:rPr>
        <w:t>决算</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widowControl/>
        <w:jc w:val="center"/>
        <w:rPr>
          <w:rFonts w:hint="eastAsia" w:ascii="黑体" w:hAnsi="黑体" w:eastAsia="黑体"/>
          <w:color w:val="auto"/>
          <w:sz w:val="48"/>
          <w:szCs w:val="48"/>
          <w:highlight w:val="none"/>
        </w:rPr>
        <w:sectPr>
          <w:footerReference r:id="rId3" w:type="default"/>
          <w:pgSz w:w="11906" w:h="16838"/>
          <w:pgMar w:top="1440" w:right="1800" w:bottom="1440" w:left="1800" w:header="851" w:footer="992" w:gutter="0"/>
          <w:pgNumType w:fmt="decimal" w:start="1"/>
          <w:cols w:space="720" w:num="1"/>
          <w:titlePg/>
          <w:docGrid w:type="lines" w:linePitch="312" w:charSpace="0"/>
        </w:sectPr>
      </w:pPr>
    </w:p>
    <w:sdt>
      <w:sdtPr>
        <w:rPr>
          <w:rFonts w:ascii="宋体" w:hAnsi="宋体" w:eastAsia="宋体" w:cs="Times New Roman"/>
          <w:kern w:val="2"/>
          <w:sz w:val="21"/>
          <w:szCs w:val="24"/>
          <w:lang w:val="en-US" w:eastAsia="zh-CN" w:bidi="ar-SA"/>
        </w:rPr>
        <w:id w:val="147465708"/>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8"/>
              <w:szCs w:val="48"/>
            </w:rPr>
          </w:pPr>
          <w:bookmarkStart w:id="89" w:name="_GoBack"/>
          <w:bookmarkEnd w:id="89"/>
          <w:r>
            <w:rPr>
              <w:rFonts w:hint="eastAsia" w:ascii="黑体" w:hAnsi="黑体" w:eastAsia="黑体" w:cs="黑体"/>
              <w:sz w:val="48"/>
              <w:szCs w:val="48"/>
            </w:rPr>
            <w:t>目录</w:t>
          </w:r>
        </w:p>
        <w:p>
          <w:pPr>
            <w:pStyle w:val="10"/>
            <w:rPr>
              <w:rFonts w:hint="eastAsia"/>
              <w:color w:val="auto"/>
              <w:sz w:val="24"/>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9 </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r>
            <w:fldChar w:fldCharType="begin"/>
          </w:r>
          <w:r>
            <w:instrText xml:space="preserve">TOC \o "1-2" \h \u </w:instrText>
          </w:r>
          <w:r>
            <w:fldChar w:fldCharType="separate"/>
          </w:r>
        </w:p>
        <w:p>
          <w:pPr>
            <w:pStyle w:val="10"/>
            <w:adjustRightInd w:val="0"/>
            <w:snapToGrid w:val="0"/>
            <w:spacing w:before="0" w:line="440" w:lineRule="exact"/>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_Toc5256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第一部分 </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概况</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_Toc5256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_Toc27028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一、 主要职责</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_Toc27028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_Toc7257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二、机构设置</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_Toc7257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0"/>
            <w:adjustRightInd w:val="0"/>
            <w:snapToGrid w:val="0"/>
            <w:spacing w:before="0" w:line="440" w:lineRule="exact"/>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_Toc23101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第二部分 </w:t>
          </w:r>
          <w:r>
            <w:rPr>
              <w:rFonts w:hint="eastAsia" w:ascii="仿宋" w:hAnsi="仿宋" w:eastAsia="仿宋" w:cs="仿宋"/>
              <w:color w:val="auto"/>
              <w:sz w:val="24"/>
              <w:szCs w:val="24"/>
              <w:highlight w:val="none"/>
              <w:lang w:val="en-US" w:eastAsia="zh-CN"/>
            </w:rPr>
            <w:t>2022年度</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_Toc23101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_Toc6701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 收入支出决算总体情况说明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_Toc6701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_Toc14585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二、 收入决算情况说明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_Toc14585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_Toc7793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三、 支出决算情况说明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_Toc7793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_Toc20323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四、财政拨款收入支出决算总体情况说明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_Toc20323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_Toc25521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五、一般公共预算财政拨款支出决算情况说明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_Toc25521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_Toc29995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六、一般公共预算财政拨款基本支出决算情况说明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_Toc29995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_Toc23026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七、财政拨款“三公”经费支出决算情况说明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_Toc23026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_Toc14086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八、政府性基金预算支出决算情况说明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_Toc14086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_Toc24317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九、 国有资本经营预算支出决算情况说明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_Toc24317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_Toc17710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十、 其他重要事项的情况说明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_Toc17710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_Toc25928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（一）机关运行经费支出情况</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_Toc25928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_Toc1572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（二）政府采购支出情况</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_Toc1572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_Toc29826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（三）国有资产占有使用情况</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_Toc29826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_Toc31047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（四）预算绩效管理情况</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_Toc31047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0"/>
            <w:adjustRightInd w:val="0"/>
            <w:snapToGrid w:val="0"/>
            <w:spacing w:before="0" w:line="440" w:lineRule="exact"/>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_Toc29521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第三部分 名词解释</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_Toc29521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0"/>
            <w:adjustRightInd w:val="0"/>
            <w:snapToGrid w:val="0"/>
            <w:spacing w:before="0" w:line="440" w:lineRule="exact"/>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_Toc17498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第四部分 附件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_Toc17498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_Toc19257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sz w:val="24"/>
              <w:szCs w:val="24"/>
              <w:lang w:val="en-US" w:eastAsia="zh-CN"/>
            </w:rPr>
            <w:t xml:space="preserve">广元市昭化区妇幼保健院两癌筛查项目支出自评表  </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4</w:t>
          </w:r>
        </w:p>
        <w:p>
          <w:pPr>
            <w:pStyle w:val="12"/>
            <w:adjustRightInd w:val="0"/>
            <w:snapToGrid w:val="0"/>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_Toc19257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广元市昭化区妇幼保健院新生儿筛查项目支出自评表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5</w:t>
          </w:r>
        </w:p>
        <w:p>
          <w:pPr>
            <w:pStyle w:val="12"/>
            <w:adjustRightInd w:val="0"/>
            <w:snapToGrid w:val="0"/>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_Toc19257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广元市昭化区妇幼保健院免费婚检项目支出自评表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6</w:t>
          </w:r>
        </w:p>
        <w:p>
          <w:pPr>
            <w:pStyle w:val="12"/>
            <w:adjustRightInd w:val="0"/>
            <w:snapToGrid w:val="0"/>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_Toc19257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广元市昭化区妇幼保健院孕前优生项目支出自评表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7</w:t>
          </w:r>
        </w:p>
        <w:p>
          <w:pPr>
            <w:pStyle w:val="10"/>
            <w:adjustRightInd w:val="0"/>
            <w:snapToGrid w:val="0"/>
            <w:spacing w:before="0" w:line="440" w:lineRule="exact"/>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_Toc25178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第五部分 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_Toc25178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_Toc3239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一、收入支出决算总表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_Toc3239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_Toc9697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二、收入决算表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_Toc9697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sectPr>
              <w:footerReference r:id="rId5" w:type="first"/>
              <w:footerReference r:id="rId4" w:type="default"/>
              <w:pgSz w:w="11906" w:h="16838"/>
              <w:pgMar w:top="1440" w:right="1800" w:bottom="1440" w:left="1800" w:header="851" w:footer="992" w:gutter="0"/>
              <w:pgNumType w:fmt="decimal" w:start="2"/>
              <w:cols w:space="720" w:num="1"/>
              <w:docGrid w:type="lines" w:linePitch="312" w:charSpace="0"/>
            </w:sectPr>
          </w:pP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_Toc7234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三、支出决算表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_Toc7234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_Toc5023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四、财政拨款收入支出决算总表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_Toc5023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_Toc31741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五、财政拨款支出决算明细表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_Toc31741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_Toc32183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六、一般公共预算财政拨款支出决算表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_Toc32183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_Toc5498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七、一般公共预算财政拨款支出决算明细表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_Toc5498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_Toc20234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八、一般公共预算财政拨款基本支出决算表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_Toc20234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_Toc22717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九、一般公共预算财政拨款项目支出决算表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_Toc22717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_Toc11690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十、政府性基金预算财政拨款收入支出决算表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_Toc11690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_Toc22850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十一、国有资本经营预算</w:t>
          </w:r>
          <w:r>
            <w:rPr>
              <w:rFonts w:hint="eastAsia" w:ascii="仿宋" w:hAnsi="仿宋" w:eastAsia="仿宋" w:cs="仿宋"/>
              <w:color w:val="auto"/>
              <w:sz w:val="24"/>
              <w:szCs w:val="24"/>
              <w:highlight w:val="none"/>
              <w:lang w:eastAsia="zh-CN"/>
            </w:rPr>
            <w:t>财政拨款收入</w:t>
          </w:r>
          <w:r>
            <w:rPr>
              <w:rFonts w:hint="eastAsia" w:ascii="仿宋" w:hAnsi="仿宋" w:eastAsia="仿宋" w:cs="仿宋"/>
              <w:color w:val="auto"/>
              <w:sz w:val="24"/>
              <w:szCs w:val="24"/>
              <w:highlight w:val="none"/>
            </w:rPr>
            <w:t>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_Toc22850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_Toc5643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十二、</w:t>
          </w:r>
          <w:r>
            <w:rPr>
              <w:rFonts w:hint="eastAsia" w:ascii="仿宋" w:hAnsi="仿宋" w:eastAsia="仿宋" w:cs="仿宋"/>
              <w:color w:val="auto"/>
              <w:sz w:val="24"/>
              <w:szCs w:val="24"/>
              <w:highlight w:val="none"/>
              <w:lang w:eastAsia="zh-CN"/>
            </w:rPr>
            <w:t>国有资本经营预算财政拨款支出决算表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_Toc5643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2"/>
            <w:adjustRightInd w:val="0"/>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_Toc9456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十三、</w:t>
          </w:r>
          <w:r>
            <w:rPr>
              <w:rFonts w:hint="eastAsia" w:ascii="仿宋" w:hAnsi="仿宋" w:eastAsia="仿宋" w:cs="仿宋"/>
              <w:color w:val="auto"/>
              <w:sz w:val="24"/>
              <w:szCs w:val="24"/>
              <w:highlight w:val="none"/>
              <w:lang w:eastAsia="zh-CN"/>
            </w:rPr>
            <w:t>财政拨款“三公”经费支出决算表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_Toc9456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r>
            <w:fldChar w:fldCharType="end"/>
          </w:r>
        </w:p>
      </w:sdtContent>
    </w:sdt>
    <w:p>
      <w:pPr>
        <w:pStyle w:val="3"/>
        <w:jc w:val="center"/>
        <w:rPr>
          <w:rFonts w:hint="eastAsia" w:ascii="黑体" w:hAnsi="黑体" w:eastAsia="黑体"/>
          <w:b w:val="0"/>
          <w:color w:val="auto"/>
          <w:highlight w:val="none"/>
        </w:rPr>
      </w:pPr>
      <w:bookmarkStart w:id="8" w:name="_Toc15396599"/>
      <w:bookmarkStart w:id="9" w:name="_Toc15377196"/>
      <w:bookmarkStart w:id="10" w:name="_Toc5256"/>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11"/>
        <w:rPr>
          <w:rFonts w:hint="eastAsia"/>
        </w:rPr>
      </w:pPr>
    </w:p>
    <w:p>
      <w:pPr>
        <w:pStyle w:val="3"/>
        <w:jc w:val="center"/>
        <w:rPr>
          <w:rFonts w:hint="eastAsia" w:ascii="黑体" w:hAnsi="黑体" w:eastAsia="黑体"/>
          <w:b w:val="0"/>
          <w:color w:val="auto"/>
          <w:highlight w:val="none"/>
        </w:rPr>
        <w:sectPr>
          <w:footerReference r:id="rId6" w:type="default"/>
          <w:pgSz w:w="11906" w:h="16838"/>
          <w:pgMar w:top="1440" w:right="1800" w:bottom="1440" w:left="1800" w:header="851" w:footer="992" w:gutter="0"/>
          <w:pgNumType w:fmt="decimal" w:start="2"/>
          <w:cols w:space="720" w:num="1"/>
          <w:docGrid w:type="lines" w:linePitch="312" w:charSpace="0"/>
        </w:sectPr>
      </w:pP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8"/>
      <w:bookmarkEnd w:id="9"/>
      <w:bookmarkEnd w:id="10"/>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1" w:name="_Toc27028"/>
      <w:bookmarkStart w:id="12" w:name="_Toc15396600"/>
      <w:bookmarkStart w:id="13" w:name="_Toc15377197"/>
      <w:r>
        <w:rPr>
          <w:rStyle w:val="26"/>
          <w:rFonts w:hint="eastAsia" w:ascii="黑体" w:hAnsi="黑体" w:eastAsia="黑体"/>
          <w:b w:val="0"/>
          <w:bCs w:val="0"/>
          <w:color w:val="auto"/>
          <w:highlight w:val="none"/>
          <w:lang w:eastAsia="zh-CN"/>
        </w:rPr>
        <w:t>主要职责</w:t>
      </w:r>
      <w:bookmarkEnd w:id="11"/>
    </w:p>
    <w:p>
      <w:pPr>
        <w:ind w:firstLine="640" w:firstLineChars="200"/>
        <w:rPr>
          <w:rFonts w:hint="eastAsia"/>
          <w:lang w:eastAsia="zh-CN"/>
        </w:rPr>
      </w:pPr>
      <w:r>
        <w:rPr>
          <w:rFonts w:hint="eastAsia" w:ascii="仿宋" w:hAnsi="仿宋" w:eastAsia="仿宋" w:cs="仿宋"/>
          <w:sz w:val="32"/>
          <w:szCs w:val="32"/>
          <w:lang w:val="en-US" w:eastAsia="zh-CN"/>
        </w:rPr>
        <w:t>广元市昭化区妇幼保健院是国家二级甲等妇幼保健院，全国爱婴医院，120急救网络医院，昭化区产儿科急救中心和妇幼保健、计划生育指导单位，市区各类医疗保险定点机构，是集保健、临床于一体的县级妇幼保健机构，担负全区妇幼公共卫生项目、民生项目的实施以及妇女儿童保健技术的业务指导和常见病、多发病的临床诊治工作。</w:t>
      </w:r>
    </w:p>
    <w:p>
      <w:pPr>
        <w:pStyle w:val="4"/>
        <w:numPr>
          <w:ilvl w:val="0"/>
          <w:numId w:val="0"/>
        </w:numPr>
        <w:rPr>
          <w:rFonts w:hint="eastAsia" w:ascii="黑体" w:hAnsi="黑体" w:eastAsia="黑体"/>
          <w:b w:val="0"/>
          <w:color w:val="auto"/>
          <w:highlight w:val="none"/>
          <w:lang w:val="en-US" w:eastAsia="zh-CN"/>
        </w:rPr>
      </w:pPr>
      <w:bookmarkStart w:id="14" w:name="_Toc7257"/>
      <w:r>
        <w:rPr>
          <w:rFonts w:hint="eastAsia" w:ascii="黑体" w:hAnsi="黑体" w:eastAsia="黑体"/>
          <w:b w:val="0"/>
          <w:color w:val="auto"/>
          <w:highlight w:val="none"/>
          <w:lang w:val="en-US" w:eastAsia="zh-CN"/>
        </w:rPr>
        <w:t>二、机构设置</w:t>
      </w:r>
      <w:bookmarkEnd w:id="14"/>
    </w:p>
    <w:bookmarkEnd w:id="12"/>
    <w:bookmarkEnd w:id="13"/>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广元市昭化区妇幼保健院属于卫健局部门下属的二级预算单位，下设独立编制机构1个，其中行政机构0个，参照公务员法管理的事业机构0个,其他事业机构0个。</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纳入2022年度单位决算编制范围的独立编制机构包括:</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sectPr>
          <w:footerReference r:id="rId7"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仿宋"/>
          <w:sz w:val="32"/>
          <w:szCs w:val="32"/>
          <w:lang w:val="en-US" w:eastAsia="zh-CN"/>
        </w:rPr>
        <w:t>广元市昭化区妇幼保健</w:t>
      </w:r>
    </w:p>
    <w:p>
      <w:pPr>
        <w:widowControl/>
        <w:jc w:val="left"/>
        <w:rPr>
          <w:rFonts w:ascii="仿宋" w:hAnsi="仿宋" w:eastAsia="仿宋"/>
          <w:color w:val="auto"/>
          <w:kern w:val="0"/>
          <w:sz w:val="32"/>
          <w:szCs w:val="32"/>
          <w:highlight w:val="none"/>
        </w:rPr>
      </w:pPr>
    </w:p>
    <w:p>
      <w:pPr>
        <w:pStyle w:val="3"/>
        <w:ind w:right="440"/>
        <w:jc w:val="center"/>
        <w:rPr>
          <w:rStyle w:val="25"/>
          <w:rFonts w:ascii="黑体" w:hAnsi="黑体" w:eastAsia="黑体"/>
          <w:b w:val="0"/>
          <w:bCs/>
          <w:color w:val="auto"/>
          <w:highlight w:val="none"/>
        </w:rPr>
      </w:pPr>
      <w:bookmarkStart w:id="15" w:name="_Toc15396602"/>
      <w:bookmarkStart w:id="16" w:name="_Toc23101"/>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5"/>
      <w:bookmarkEnd w:id="16"/>
      <w:bookmarkEnd w:id="17"/>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bookmarkStart w:id="20" w:name="_Toc6701"/>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2022年度收入总计3124.18万元，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val="en-US" w:eastAsia="zh-CN"/>
        </w:rPr>
        <w:t>,</w:t>
      </w:r>
      <w:r>
        <w:rPr>
          <w:rFonts w:hint="eastAsia" w:ascii="仿宋" w:hAnsi="仿宋" w:eastAsia="仿宋"/>
          <w:color w:val="000000"/>
          <w:sz w:val="32"/>
          <w:szCs w:val="32"/>
          <w:lang w:val="en-US" w:eastAsia="zh-CN"/>
        </w:rPr>
        <w:t>收入总计增加438.86万元，增长16.34%。主要</w:t>
      </w:r>
      <w:r>
        <w:rPr>
          <w:rFonts w:hint="eastAsia" w:ascii="仿宋" w:hAnsi="仿宋" w:eastAsia="仿宋"/>
          <w:color w:val="auto"/>
          <w:sz w:val="32"/>
          <w:szCs w:val="32"/>
          <w:highlight w:val="none"/>
        </w:rPr>
        <w:t>变动原因</w:t>
      </w:r>
      <w:r>
        <w:rPr>
          <w:rFonts w:hint="eastAsia" w:ascii="仿宋" w:hAnsi="仿宋" w:eastAsia="仿宋"/>
          <w:color w:val="000000"/>
          <w:sz w:val="32"/>
          <w:szCs w:val="32"/>
          <w:lang w:val="en-US" w:eastAsia="zh-CN"/>
        </w:rPr>
        <w:t>是医疗业务收入增加301.86万元、财政拨款收入增加137万元。2022年度支出总计3124.18万元，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，支出总计</w:t>
      </w:r>
      <w:r>
        <w:rPr>
          <w:rFonts w:hint="eastAsia" w:ascii="仿宋" w:hAnsi="仿宋" w:eastAsia="仿宋"/>
          <w:color w:val="000000"/>
          <w:sz w:val="32"/>
          <w:szCs w:val="32"/>
          <w:lang w:val="en-US" w:eastAsia="zh-CN"/>
        </w:rPr>
        <w:t>减少291.96万元，下降</w:t>
      </w:r>
      <w:r>
        <w:rPr>
          <w:rFonts w:hint="eastAsia" w:ascii="仿宋" w:hAnsi="仿宋" w:eastAsia="仿宋"/>
          <w:color w:val="000000"/>
          <w:sz w:val="32"/>
          <w:szCs w:val="32"/>
          <w:highlight w:val="none"/>
          <w:lang w:val="en-US" w:eastAsia="zh-CN"/>
        </w:rPr>
        <w:t>8.55</w:t>
      </w:r>
      <w:r>
        <w:rPr>
          <w:rFonts w:hint="eastAsia" w:ascii="仿宋" w:hAnsi="仿宋" w:eastAsia="仿宋"/>
          <w:color w:val="000000"/>
          <w:sz w:val="32"/>
          <w:szCs w:val="32"/>
          <w:lang w:val="en-US" w:eastAsia="zh-CN"/>
        </w:rPr>
        <w:t>%。主要变动原因是2021年资本性支出专用设备支出较多。</w:t>
      </w:r>
    </w:p>
    <w:p>
      <w:pPr>
        <w:pStyle w:val="11"/>
        <w:jc w:val="center"/>
        <w:rPr>
          <w:rFonts w:hint="default"/>
          <w:lang w:val="en-US" w:eastAsia="zh-CN"/>
        </w:rPr>
      </w:pPr>
      <w:r>
        <w:drawing>
          <wp:inline distT="0" distB="0" distL="114300" distR="114300">
            <wp:extent cx="3980815" cy="2600960"/>
            <wp:effectExtent l="4445" t="4445" r="15240" b="23495"/>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 w:hAnsi="仿宋" w:eastAsia="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1" w:name="_Toc15377206"/>
      <w:bookmarkStart w:id="22" w:name="_Toc15396604"/>
      <w:bookmarkStart w:id="23" w:name="_Toc1458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val="en-US" w:eastAsia="zh-CN"/>
        </w:rPr>
      </w:pPr>
      <w:bookmarkStart w:id="24" w:name="_Toc10985"/>
      <w:r>
        <w:rPr>
          <w:rFonts w:hint="eastAsia" w:ascii="仿宋" w:hAnsi="仿宋" w:eastAsia="仿宋"/>
          <w:color w:val="000000"/>
          <w:sz w:val="32"/>
          <w:szCs w:val="32"/>
          <w:lang w:val="en-US" w:eastAsia="zh-CN"/>
        </w:rPr>
        <w:t>2022年本年收入合计3124.18万元，其中：一般公共预算财政拨款收入689.61万元，占22.07%；政府性基金预算财政拨款收入13.78万元，占0.44%；国有资本经营预算财政拨款收入0万元，占0%；上级补助收入0万元，占0%；事业收入2409.62万元，占77.13%；经营收入0万元，占0%；附属单位上缴收入0万元，占0%；其他收入11.17万元，占0.36%。</w:t>
      </w:r>
      <w:bookmarkEnd w:id="24"/>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eastAsia" w:ascii="仿宋" w:hAnsi="仿宋" w:eastAsia="仿宋" w:cs="Times New Roman"/>
          <w:color w:val="000000"/>
          <w:sz w:val="32"/>
          <w:szCs w:val="32"/>
          <w:lang w:val="en-US" w:eastAsia="zh-CN"/>
        </w:rPr>
      </w:pPr>
      <w:r>
        <w:drawing>
          <wp:anchor distT="0" distB="0" distL="114300" distR="114300" simplePos="0" relativeHeight="251659264" behindDoc="0" locked="0" layoutInCell="1" allowOverlap="1">
            <wp:simplePos x="0" y="0"/>
            <wp:positionH relativeFrom="column">
              <wp:posOffset>615950</wp:posOffset>
            </wp:positionH>
            <wp:positionV relativeFrom="paragraph">
              <wp:posOffset>250190</wp:posOffset>
            </wp:positionV>
            <wp:extent cx="4229100" cy="2537460"/>
            <wp:effectExtent l="4445" t="4445" r="14605" b="10795"/>
            <wp:wrapNone/>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jc w:val="center"/>
        <w:outlineLvl w:val="9"/>
        <w:rPr>
          <w:rFonts w:ascii="仿宋" w:hAnsi="仿宋" w:eastAsia="仿宋"/>
          <w:color w:val="auto"/>
          <w:sz w:val="32"/>
          <w:szCs w:val="32"/>
          <w:highlight w:val="none"/>
        </w:rPr>
      </w:pPr>
    </w:p>
    <w:p>
      <w:pPr>
        <w:pStyle w:val="11"/>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11"/>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11"/>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Fonts w:hint="eastAsia" w:ascii="仿宋" w:hAnsi="仿宋" w:eastAsia="仿宋"/>
          <w:color w:val="auto"/>
          <w:sz w:val="32"/>
          <w:szCs w:val="32"/>
          <w:highlight w:val="none"/>
        </w:rPr>
      </w:pPr>
      <w:bookmarkStart w:id="25" w:name="_Toc15377207"/>
      <w:bookmarkStart w:id="26" w:name="_Toc7793"/>
      <w:bookmarkStart w:id="27"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val="en-US" w:eastAsia="zh-CN"/>
        </w:rPr>
      </w:pPr>
      <w:bookmarkStart w:id="28" w:name="_Toc16247"/>
      <w:r>
        <w:rPr>
          <w:rFonts w:hint="eastAsia" w:ascii="仿宋" w:hAnsi="仿宋" w:eastAsia="仿宋"/>
          <w:color w:val="000000"/>
          <w:sz w:val="32"/>
          <w:szCs w:val="32"/>
          <w:lang w:val="en-US" w:eastAsia="zh-CN"/>
        </w:rPr>
        <w:t>2022年本年支出合计3124.18万元，其中：基本支出2956.10万元，占94.62%；项目支出168.08万元，占5.38%；上缴上级支出0万元，占0%；经营支出0万元，占0%；对附属单位补助支出0万元，占0%。</w:t>
      </w:r>
      <w:bookmarkEnd w:id="28"/>
    </w:p>
    <w:p>
      <w:pPr>
        <w:spacing w:line="600" w:lineRule="exact"/>
        <w:ind w:firstLine="640"/>
        <w:rPr>
          <w:rFonts w:ascii="仿宋" w:hAnsi="仿宋" w:eastAsia="仿宋"/>
          <w:color w:val="auto"/>
          <w:sz w:val="32"/>
          <w:szCs w:val="32"/>
          <w:highlight w:val="none"/>
          <w:shd w:val="pct10" w:color="auto" w:fill="FFFFFF"/>
        </w:rPr>
      </w:pPr>
      <w:r>
        <w:drawing>
          <wp:anchor distT="0" distB="0" distL="114300" distR="114300" simplePos="0" relativeHeight="251660288" behindDoc="0" locked="0" layoutInCell="1" allowOverlap="1">
            <wp:simplePos x="0" y="0"/>
            <wp:positionH relativeFrom="column">
              <wp:posOffset>1673225</wp:posOffset>
            </wp:positionH>
            <wp:positionV relativeFrom="paragraph">
              <wp:posOffset>6485890</wp:posOffset>
            </wp:positionV>
            <wp:extent cx="3933825" cy="2359025"/>
            <wp:effectExtent l="4445" t="4445" r="5080" b="17780"/>
            <wp:wrapNone/>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676275</wp:posOffset>
            </wp:positionH>
            <wp:positionV relativeFrom="paragraph">
              <wp:posOffset>213360</wp:posOffset>
            </wp:positionV>
            <wp:extent cx="3933825" cy="2359025"/>
            <wp:effectExtent l="4445" t="4445" r="5080" b="17780"/>
            <wp:wrapNone/>
            <wp:docPr id="13"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9" w:name="_Toc15396606"/>
      <w:bookmarkStart w:id="30" w:name="_Toc15377208"/>
      <w:bookmarkStart w:id="31" w:name="_Toc20323"/>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9"/>
      <w:bookmarkEnd w:id="30"/>
      <w:bookmarkEnd w:id="31"/>
    </w:p>
    <w:p>
      <w:pPr>
        <w:spacing w:line="600" w:lineRule="exact"/>
        <w:ind w:firstLine="64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2022年财政拨款收入总计703.40万元，</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000000"/>
          <w:sz w:val="32"/>
          <w:szCs w:val="32"/>
          <w:lang w:val="en-US" w:eastAsia="zh-CN"/>
        </w:rPr>
        <w:t>，</w:t>
      </w:r>
      <w:r>
        <w:rPr>
          <w:rFonts w:hint="eastAsia" w:ascii="仿宋" w:hAnsi="仿宋" w:eastAsia="仿宋"/>
          <w:color w:val="auto"/>
          <w:sz w:val="32"/>
          <w:szCs w:val="32"/>
          <w:highlight w:val="none"/>
        </w:rPr>
        <w:t>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总计增加</w:t>
      </w:r>
      <w:r>
        <w:rPr>
          <w:rFonts w:hint="eastAsia" w:ascii="仿宋" w:hAnsi="仿宋" w:eastAsia="仿宋"/>
          <w:color w:val="000000"/>
          <w:sz w:val="32"/>
          <w:szCs w:val="32"/>
          <w:lang w:val="en-US" w:eastAsia="zh-CN"/>
        </w:rPr>
        <w:t>137.66万元，增长24.33%，主要变动原因是2022年度较2021年度人员经费增加43.08万元、妇幼公共卫生项目资金及疫情防控经费增加94.58万元；2022年财政拨款支出总计703.40万元，</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000000"/>
          <w:sz w:val="32"/>
          <w:szCs w:val="32"/>
          <w:lang w:val="en-US" w:eastAsia="zh-CN"/>
        </w:rPr>
        <w:t>减少593.14万元，下降45.75%，</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项目支出较去年同期减少。</w:t>
      </w:r>
    </w:p>
    <w:p>
      <w:pPr>
        <w:pStyle w:val="11"/>
        <w:rPr>
          <w:rFonts w:hint="eastAsia" w:ascii="仿宋" w:hAnsi="仿宋" w:eastAsia="仿宋"/>
          <w:color w:val="000000"/>
          <w:sz w:val="32"/>
          <w:szCs w:val="32"/>
          <w:lang w:val="en-US" w:eastAsia="zh-CN"/>
        </w:rPr>
      </w:pPr>
    </w:p>
    <w:p>
      <w:pPr>
        <w:rPr>
          <w:rFonts w:hint="default"/>
          <w:lang w:val="en-US" w:eastAsia="zh-CN"/>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1416050</wp:posOffset>
            </wp:positionH>
            <wp:positionV relativeFrom="paragraph">
              <wp:posOffset>4176395</wp:posOffset>
            </wp:positionV>
            <wp:extent cx="4572000" cy="2743200"/>
            <wp:effectExtent l="4445" t="4445" r="14605" b="14605"/>
            <wp:wrapNone/>
            <wp:docPr id="12"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595630</wp:posOffset>
            </wp:positionH>
            <wp:positionV relativeFrom="paragraph">
              <wp:posOffset>-256540</wp:posOffset>
            </wp:positionV>
            <wp:extent cx="4276725" cy="2566035"/>
            <wp:effectExtent l="4445" t="4445" r="5080" b="20320"/>
            <wp:wrapNone/>
            <wp:docPr id="14" name="图表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32" w:name="_Toc15377209"/>
      <w:bookmarkStart w:id="33" w:name="_Toc25521"/>
      <w:bookmarkStart w:id="34"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2"/>
      <w:bookmarkEnd w:id="33"/>
      <w:bookmarkEnd w:id="34"/>
    </w:p>
    <w:p>
      <w:pPr>
        <w:spacing w:line="600" w:lineRule="exact"/>
        <w:ind w:firstLine="643" w:firstLineChars="200"/>
        <w:outlineLvl w:val="2"/>
        <w:rPr>
          <w:rFonts w:ascii="仿宋" w:hAnsi="仿宋" w:eastAsia="仿宋"/>
          <w:b/>
          <w:color w:val="auto"/>
          <w:sz w:val="32"/>
          <w:szCs w:val="32"/>
          <w:highlight w:val="none"/>
        </w:rPr>
      </w:pPr>
      <w:bookmarkStart w:id="35" w:name="_Toc15377210"/>
      <w:r>
        <w:rPr>
          <w:rFonts w:hint="eastAsia" w:ascii="仿宋" w:hAnsi="仿宋" w:eastAsia="仿宋"/>
          <w:b/>
          <w:color w:val="auto"/>
          <w:sz w:val="32"/>
          <w:szCs w:val="32"/>
          <w:highlight w:val="none"/>
        </w:rPr>
        <w:t>（一）一般公共预算财政拨款支出决算总体情况</w:t>
      </w:r>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2022年一般公共预算财政拨款支出689.61万元，占本年支出合计的22.07%，与2021年相比，一般公共预算财政拨款支出减少606.94万元，下降46.81%。主要变动原因是2022年度项目支出较2021年度减少。</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671830</wp:posOffset>
            </wp:positionH>
            <wp:positionV relativeFrom="paragraph">
              <wp:posOffset>57150</wp:posOffset>
            </wp:positionV>
            <wp:extent cx="3422650" cy="2308225"/>
            <wp:effectExtent l="4445" t="4445" r="20955" b="11430"/>
            <wp:wrapNone/>
            <wp:docPr id="15" name="图表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11"/>
      </w:pPr>
    </w:p>
    <w:p/>
    <w:p>
      <w:pPr>
        <w:pStyle w:val="11"/>
      </w:pPr>
    </w:p>
    <w:p/>
    <w:p>
      <w:pPr>
        <w:pStyle w:val="11"/>
      </w:pPr>
    </w:p>
    <w:p/>
    <w:p>
      <w:pPr>
        <w:pStyle w:val="11"/>
      </w:pPr>
    </w:p>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6" w:name="_Toc15377211"/>
      <w:r>
        <w:rPr>
          <w:rFonts w:hint="eastAsia" w:ascii="仿宋" w:hAnsi="仿宋" w:eastAsia="仿宋"/>
          <w:b/>
          <w:color w:val="auto"/>
          <w:sz w:val="32"/>
          <w:szCs w:val="32"/>
          <w:highlight w:val="none"/>
        </w:rPr>
        <w:t>（二）一般公共预算财政拨款支出决算结构情况</w:t>
      </w:r>
      <w:bookmarkEnd w:id="36"/>
    </w:p>
    <w:p>
      <w:pPr>
        <w:spacing w:line="600" w:lineRule="exact"/>
        <w:ind w:firstLine="640"/>
        <w:rPr>
          <w:rFonts w:ascii="仿宋" w:hAnsi="仿宋" w:eastAsia="仿宋"/>
          <w:color w:val="auto"/>
          <w:sz w:val="32"/>
          <w:szCs w:val="32"/>
          <w:highlight w:val="none"/>
        </w:rPr>
      </w:pPr>
      <w:r>
        <w:rPr>
          <w:rFonts w:hint="eastAsia" w:ascii="仿宋" w:hAnsi="仿宋" w:eastAsia="仿宋"/>
          <w:color w:val="000000"/>
          <w:sz w:val="32"/>
          <w:szCs w:val="32"/>
          <w:lang w:eastAsia="zh-CN"/>
        </w:rPr>
        <w:t>2022年</w:t>
      </w:r>
      <w:r>
        <w:rPr>
          <w:rFonts w:hint="eastAsia" w:ascii="仿宋" w:hAnsi="仿宋" w:eastAsia="仿宋"/>
          <w:color w:val="000000"/>
          <w:sz w:val="32"/>
          <w:szCs w:val="32"/>
        </w:rPr>
        <w:t>一般公共预算财政拨款支出</w:t>
      </w:r>
      <w:r>
        <w:rPr>
          <w:rFonts w:hint="eastAsia" w:ascii="仿宋" w:hAnsi="仿宋" w:eastAsia="仿宋"/>
          <w:color w:val="000000"/>
          <w:sz w:val="32"/>
          <w:szCs w:val="32"/>
          <w:lang w:val="en-US" w:eastAsia="zh-CN"/>
        </w:rPr>
        <w:t>689.61</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w:t>
      </w:r>
      <w:r>
        <w:rPr>
          <w:rFonts w:hint="eastAsia" w:ascii="仿宋" w:hAnsi="仿宋" w:eastAsia="仿宋"/>
          <w:b/>
          <w:bCs/>
          <w:color w:val="auto"/>
          <w:sz w:val="32"/>
          <w:szCs w:val="32"/>
          <w:highlight w:val="none"/>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w:t>
      </w:r>
      <w:r>
        <w:rPr>
          <w:rFonts w:hint="eastAsia" w:ascii="仿宋" w:hAnsi="仿宋" w:eastAsia="仿宋" w:cs="Times New Roman"/>
          <w:b/>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文化旅游体育与传媒支出</w:t>
      </w:r>
      <w:r>
        <w:rPr>
          <w:rFonts w:hint="eastAsia" w:ascii="仿宋" w:hAnsi="仿宋" w:eastAsia="仿宋"/>
          <w:b/>
          <w:bCs/>
          <w:color w:val="000000"/>
          <w:sz w:val="32"/>
          <w:szCs w:val="32"/>
          <w:lang w:val="en-US" w:eastAsia="zh-CN"/>
        </w:rPr>
        <w:t>0</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w:t>
      </w:r>
      <w:r>
        <w:rPr>
          <w:rFonts w:hint="eastAsia" w:ascii="仿宋" w:hAnsi="仿宋" w:eastAsia="仿宋" w:cs="Times New Roman"/>
          <w:b/>
          <w:bCs/>
          <w:color w:val="000000"/>
          <w:sz w:val="32"/>
          <w:szCs w:val="32"/>
        </w:rPr>
        <w:t>支出</w:t>
      </w:r>
      <w:r>
        <w:rPr>
          <w:rFonts w:hint="eastAsia" w:ascii="仿宋" w:hAnsi="仿宋" w:eastAsia="仿宋"/>
          <w:color w:val="000000"/>
          <w:sz w:val="32"/>
          <w:szCs w:val="32"/>
          <w:lang w:val="en-US" w:eastAsia="zh-CN"/>
        </w:rPr>
        <w:t>113.75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531.68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91.12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s="Times New Roman"/>
          <w:b/>
          <w:bCs/>
          <w:color w:val="000000"/>
          <w:sz w:val="32"/>
          <w:szCs w:val="32"/>
        </w:rPr>
        <w:t>住房保障支出</w:t>
      </w:r>
      <w:r>
        <w:rPr>
          <w:rFonts w:hint="eastAsia" w:ascii="仿宋" w:hAnsi="仿宋" w:eastAsia="仿宋"/>
          <w:color w:val="000000"/>
          <w:sz w:val="32"/>
          <w:szCs w:val="32"/>
          <w:lang w:val="en-US" w:eastAsia="zh-CN"/>
        </w:rPr>
        <w:t>44.18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3.39</w:t>
      </w:r>
      <w:r>
        <w:rPr>
          <w:rFonts w:ascii="仿宋" w:hAnsi="仿宋" w:eastAsia="仿宋"/>
          <w:color w:val="000000"/>
          <w:sz w:val="32"/>
          <w:szCs w:val="32"/>
        </w:rPr>
        <w:t>%</w:t>
      </w:r>
      <w:r>
        <w:rPr>
          <w:rFonts w:hint="eastAsia" w:ascii="仿宋" w:hAnsi="仿宋" w:eastAsia="仿宋"/>
          <w:color w:val="000000"/>
          <w:sz w:val="32"/>
          <w:szCs w:val="32"/>
          <w:lang w:eastAsia="zh-CN"/>
        </w:rPr>
        <w:t>。</w:t>
      </w:r>
    </w:p>
    <w:p>
      <w:pPr>
        <w:pStyle w:val="11"/>
        <w:ind w:left="0" w:leftChars="0" w:firstLine="0" w:firstLineChars="0"/>
        <w:rPr>
          <w:rFonts w:ascii="仿宋" w:hAnsi="仿宋" w:eastAsia="仿宋"/>
          <w:color w:val="auto"/>
          <w:sz w:val="32"/>
          <w:szCs w:val="32"/>
          <w:highlight w:val="none"/>
        </w:rPr>
      </w:pPr>
      <w:r>
        <w:drawing>
          <wp:anchor distT="0" distB="0" distL="114300" distR="114300" simplePos="0" relativeHeight="251666432" behindDoc="0" locked="0" layoutInCell="1" allowOverlap="1">
            <wp:simplePos x="0" y="0"/>
            <wp:positionH relativeFrom="column">
              <wp:posOffset>927735</wp:posOffset>
            </wp:positionH>
            <wp:positionV relativeFrom="paragraph">
              <wp:posOffset>306070</wp:posOffset>
            </wp:positionV>
            <wp:extent cx="3565525" cy="2545715"/>
            <wp:effectExtent l="4445" t="4445" r="11430" b="21590"/>
            <wp:wrapNone/>
            <wp:docPr id="17" name="图表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rPr>
          <w:rFonts w:ascii="仿宋" w:hAnsi="仿宋" w:eastAsia="仿宋"/>
          <w:color w:val="auto"/>
          <w:sz w:val="32"/>
          <w:szCs w:val="32"/>
          <w:highlight w:val="none"/>
        </w:rPr>
      </w:pPr>
    </w:p>
    <w:p>
      <w:pPr>
        <w:pStyle w:val="11"/>
        <w:rPr>
          <w:rFonts w:ascii="仿宋" w:hAnsi="仿宋" w:eastAsia="仿宋"/>
          <w:color w:val="auto"/>
          <w:sz w:val="32"/>
          <w:szCs w:val="32"/>
          <w:highlight w:val="none"/>
        </w:rPr>
      </w:pPr>
    </w:p>
    <w:p/>
    <w:p>
      <w:pPr>
        <w:pStyle w:val="11"/>
      </w:pPr>
    </w:p>
    <w:p/>
    <w:p>
      <w:pPr>
        <w:pStyle w:val="11"/>
      </w:pPr>
    </w:p>
    <w:p/>
    <w:p>
      <w:pPr>
        <w:pStyle w:val="11"/>
      </w:pPr>
    </w:p>
    <w:p/>
    <w:p>
      <w:pPr>
        <w:pStyle w:val="11"/>
      </w:pPr>
    </w:p>
    <w:p/>
    <w:p>
      <w:pPr>
        <w:pStyle w:val="11"/>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7" w:name="_Toc15377212"/>
      <w:r>
        <w:rPr>
          <w:rFonts w:hint="eastAsia" w:ascii="仿宋" w:hAnsi="仿宋" w:eastAsia="仿宋"/>
          <w:b/>
          <w:color w:val="auto"/>
          <w:sz w:val="32"/>
          <w:szCs w:val="32"/>
          <w:highlight w:val="none"/>
        </w:rPr>
        <w:t>（三）一般公共预算财政拨款支出决算具体情况</w:t>
      </w:r>
      <w:bookmarkEnd w:id="37"/>
    </w:p>
    <w:p>
      <w:pPr>
        <w:spacing w:line="600" w:lineRule="exact"/>
        <w:ind w:firstLine="643" w:firstLineChars="200"/>
        <w:outlineLvl w:val="1"/>
        <w:rPr>
          <w:rFonts w:ascii="仿宋" w:hAnsi="仿宋" w:eastAsia="仿宋"/>
          <w:color w:val="auto"/>
          <w:sz w:val="32"/>
          <w:szCs w:val="32"/>
          <w:highlight w:val="none"/>
        </w:rPr>
      </w:pPr>
      <w:bookmarkStart w:id="38" w:name="_Toc15378460"/>
      <w:bookmarkStart w:id="39" w:name="_Toc15377213"/>
      <w:bookmarkStart w:id="40" w:name="_Toc15377444"/>
      <w:bookmarkStart w:id="41" w:name="_Toc4041"/>
      <w:bookmarkStart w:id="42" w:name="_Toc32126"/>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Style w:val="15"/>
          <w:rFonts w:hint="eastAsia" w:ascii="仿宋" w:hAnsi="仿宋" w:eastAsia="仿宋" w:cs="Times New Roman"/>
          <w:b/>
          <w:bCs/>
          <w:color w:val="000000"/>
          <w:sz w:val="32"/>
          <w:szCs w:val="32"/>
          <w:lang w:val="en-US" w:eastAsia="zh-CN"/>
        </w:rPr>
        <w:t>689.61万元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8"/>
      <w:bookmarkEnd w:id="39"/>
      <w:bookmarkEnd w:id="40"/>
      <w:bookmarkEnd w:id="41"/>
      <w:bookmarkEnd w:id="42"/>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机关事业单位基本养老保险缴费支出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65.88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机关事业单位职业年金缴费支出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21.87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lang w:val="en-US"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事业单位离退休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rPr>
          <w:rFonts w:hint="eastAsia"/>
          <w:lang w:val="en-US" w:eastAsia="zh-CN"/>
        </w:rPr>
      </w:pPr>
      <w:r>
        <w:rPr>
          <w:rFonts w:hint="eastAsia" w:ascii="仿宋" w:hAnsi="仿宋" w:eastAsia="仿宋"/>
          <w:b/>
          <w:bCs/>
          <w:color w:val="000000"/>
          <w:sz w:val="32"/>
          <w:szCs w:val="32"/>
          <w:lang w:val="en-US" w:eastAsia="zh-CN"/>
        </w:rPr>
        <w:t>4.</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基层医疗卫生机构</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乡镇卫生院</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31.43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5</w:t>
      </w:r>
      <w:r>
        <w:rPr>
          <w:rStyle w:val="15"/>
          <w:rFonts w:ascii="仿宋" w:hAnsi="仿宋" w:eastAsia="仿宋"/>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_GB2312" w:eastAsia="仿宋_GB2312"/>
          <w:b/>
          <w:bCs/>
          <w:color w:val="000000"/>
          <w:sz w:val="32"/>
          <w:szCs w:val="32"/>
          <w:highlight w:val="none"/>
        </w:rPr>
        <w:t>公共卫生</w:t>
      </w:r>
      <w:r>
        <w:rPr>
          <w:rStyle w:val="15"/>
          <w:rFonts w:hint="eastAsia" w:ascii="仿宋_GB2312" w:eastAsia="仿宋_GB2312"/>
          <w:b/>
          <w:bCs/>
          <w:color w:val="000000"/>
          <w:sz w:val="32"/>
          <w:szCs w:val="32"/>
          <w:highlight w:val="none"/>
          <w:lang w:eastAsia="zh-CN"/>
        </w:rPr>
        <w:t>（款）</w:t>
      </w:r>
      <w:r>
        <w:rPr>
          <w:rStyle w:val="15"/>
          <w:rFonts w:hint="eastAsia" w:ascii="仿宋_GB2312" w:eastAsia="仿宋_GB2312"/>
          <w:color w:val="000000"/>
          <w:sz w:val="32"/>
          <w:szCs w:val="32"/>
          <w:highlight w:val="none"/>
        </w:rPr>
        <w:t>妇幼保健机构（</w:t>
      </w:r>
      <w:r>
        <w:rPr>
          <w:rStyle w:val="15"/>
          <w:rFonts w:hint="eastAsia" w:ascii="仿宋_GB2312" w:eastAsia="仿宋_GB2312"/>
          <w:color w:val="000000"/>
          <w:sz w:val="32"/>
          <w:szCs w:val="32"/>
          <w:highlight w:val="none"/>
          <w:lang w:eastAsia="zh-CN"/>
        </w:rPr>
        <w:t>项</w:t>
      </w:r>
      <w:r>
        <w:rPr>
          <w:rStyle w:val="15"/>
          <w:rFonts w:hint="eastAsia" w:ascii="仿宋_GB2312" w:eastAsia="仿宋_GB2312"/>
          <w:color w:val="000000"/>
          <w:sz w:val="32"/>
          <w:szCs w:val="32"/>
          <w:highlight w:val="none"/>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340.79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rPr>
          <w:rStyle w:val="15"/>
          <w:rFonts w:hint="default" w:ascii="仿宋" w:hAnsi="仿宋" w:eastAsia="仿宋" w:cs="Times New Roman"/>
          <w:b w:val="0"/>
          <w:bCs/>
          <w:color w:val="000000"/>
          <w:sz w:val="32"/>
          <w:szCs w:val="32"/>
          <w:lang w:val="en-US" w:eastAsia="zh-CN"/>
        </w:rPr>
      </w:pPr>
      <w:r>
        <w:rPr>
          <w:rStyle w:val="15"/>
          <w:rFonts w:hint="eastAsia" w:ascii="仿宋" w:hAnsi="仿宋" w:eastAsia="仿宋"/>
          <w:bCs/>
          <w:color w:val="000000"/>
          <w:sz w:val="32"/>
          <w:szCs w:val="32"/>
          <w:lang w:val="en-US" w:eastAsia="zh-CN"/>
        </w:rPr>
        <w:t>6</w:t>
      </w:r>
      <w:r>
        <w:rPr>
          <w:rStyle w:val="15"/>
          <w:rFonts w:ascii="仿宋" w:hAnsi="仿宋" w:eastAsia="仿宋"/>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_GB2312" w:eastAsia="仿宋_GB2312"/>
          <w:b/>
          <w:bCs/>
          <w:color w:val="000000"/>
          <w:sz w:val="32"/>
          <w:szCs w:val="32"/>
          <w:highlight w:val="none"/>
        </w:rPr>
        <w:t>公共卫生</w:t>
      </w:r>
      <w:r>
        <w:rPr>
          <w:rStyle w:val="15"/>
          <w:rFonts w:hint="eastAsia" w:ascii="仿宋_GB2312" w:eastAsia="仿宋_GB2312"/>
          <w:b/>
          <w:bCs/>
          <w:color w:val="000000"/>
          <w:sz w:val="32"/>
          <w:szCs w:val="32"/>
          <w:highlight w:val="none"/>
          <w:lang w:eastAsia="zh-CN"/>
        </w:rPr>
        <w:t>（款）</w:t>
      </w:r>
      <w:r>
        <w:rPr>
          <w:rStyle w:val="15"/>
          <w:rFonts w:hint="eastAsia" w:ascii="仿宋_GB2312" w:eastAsia="仿宋_GB2312"/>
          <w:color w:val="000000"/>
          <w:sz w:val="32"/>
          <w:szCs w:val="32"/>
          <w:highlight w:val="none"/>
          <w:lang w:val="en-US" w:eastAsia="zh-CN"/>
        </w:rPr>
        <w:t>基本公共卫生服务</w:t>
      </w:r>
      <w:r>
        <w:rPr>
          <w:rStyle w:val="15"/>
          <w:rFonts w:hint="eastAsia" w:ascii="仿宋_GB2312" w:eastAsia="仿宋_GB2312"/>
          <w:color w:val="000000"/>
          <w:sz w:val="32"/>
          <w:szCs w:val="32"/>
          <w:highlight w:val="none"/>
        </w:rPr>
        <w:t>（</w:t>
      </w:r>
      <w:r>
        <w:rPr>
          <w:rStyle w:val="15"/>
          <w:rFonts w:hint="eastAsia" w:ascii="仿宋_GB2312" w:eastAsia="仿宋_GB2312"/>
          <w:color w:val="000000"/>
          <w:sz w:val="32"/>
          <w:szCs w:val="32"/>
          <w:highlight w:val="none"/>
          <w:lang w:eastAsia="zh-CN"/>
        </w:rPr>
        <w:t>项</w:t>
      </w:r>
      <w:r>
        <w:rPr>
          <w:rStyle w:val="15"/>
          <w:rFonts w:hint="eastAsia" w:ascii="仿宋_GB2312" w:eastAsia="仿宋_GB2312"/>
          <w:color w:val="000000"/>
          <w:sz w:val="32"/>
          <w:szCs w:val="32"/>
          <w:highlight w:val="none"/>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52.96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7</w:t>
      </w:r>
      <w:r>
        <w:rPr>
          <w:rStyle w:val="15"/>
          <w:rFonts w:ascii="仿宋" w:hAnsi="仿宋" w:eastAsia="仿宋"/>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_GB2312" w:eastAsia="仿宋_GB2312"/>
          <w:b/>
          <w:bCs/>
          <w:color w:val="000000"/>
          <w:sz w:val="32"/>
          <w:szCs w:val="32"/>
          <w:highlight w:val="none"/>
        </w:rPr>
        <w:t>公共卫生</w:t>
      </w:r>
      <w:r>
        <w:rPr>
          <w:rStyle w:val="15"/>
          <w:rFonts w:hint="eastAsia" w:ascii="仿宋_GB2312" w:eastAsia="仿宋_GB2312"/>
          <w:b/>
          <w:bCs/>
          <w:color w:val="000000"/>
          <w:sz w:val="32"/>
          <w:szCs w:val="32"/>
          <w:highlight w:val="none"/>
          <w:lang w:eastAsia="zh-CN"/>
        </w:rPr>
        <w:t>（款）</w:t>
      </w:r>
      <w:r>
        <w:rPr>
          <w:rStyle w:val="15"/>
          <w:rFonts w:hint="eastAsia" w:ascii="仿宋_GB2312" w:eastAsia="仿宋_GB2312"/>
          <w:color w:val="000000"/>
          <w:sz w:val="32"/>
          <w:szCs w:val="32"/>
          <w:highlight w:val="none"/>
          <w:lang w:val="en-US" w:eastAsia="zh-CN"/>
        </w:rPr>
        <w:t>重大公共卫生服务</w:t>
      </w:r>
      <w:r>
        <w:rPr>
          <w:rStyle w:val="15"/>
          <w:rFonts w:hint="eastAsia" w:ascii="仿宋_GB2312" w:eastAsia="仿宋_GB2312"/>
          <w:color w:val="000000"/>
          <w:sz w:val="32"/>
          <w:szCs w:val="32"/>
          <w:highlight w:val="none"/>
        </w:rPr>
        <w:t>（</w:t>
      </w:r>
      <w:r>
        <w:rPr>
          <w:rStyle w:val="15"/>
          <w:rFonts w:hint="eastAsia" w:ascii="仿宋_GB2312" w:eastAsia="仿宋_GB2312"/>
          <w:color w:val="000000"/>
          <w:sz w:val="32"/>
          <w:szCs w:val="32"/>
          <w:highlight w:val="none"/>
          <w:lang w:eastAsia="zh-CN"/>
        </w:rPr>
        <w:t>项</w:t>
      </w:r>
      <w:r>
        <w:rPr>
          <w:rStyle w:val="15"/>
          <w:rFonts w:hint="eastAsia" w:ascii="仿宋_GB2312" w:eastAsia="仿宋_GB2312"/>
          <w:color w:val="000000"/>
          <w:sz w:val="32"/>
          <w:szCs w:val="32"/>
          <w:highlight w:val="none"/>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81.51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outlineLvl w:val="2"/>
        <w:rPr>
          <w:rFonts w:hint="eastAsia" w:ascii="仿宋" w:hAnsi="仿宋" w:eastAsia="仿宋"/>
          <w:b/>
          <w:bCs/>
          <w:color w:val="000000"/>
          <w:sz w:val="32"/>
          <w:szCs w:val="32"/>
          <w:lang w:val="en-US" w:eastAsia="zh-CN"/>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_GB2312" w:eastAsia="仿宋_GB2312"/>
          <w:b/>
          <w:bCs/>
          <w:color w:val="000000"/>
          <w:sz w:val="32"/>
          <w:szCs w:val="32"/>
          <w:highlight w:val="none"/>
          <w:lang w:val="en-US" w:eastAsia="zh-CN"/>
        </w:rPr>
        <w:t>行政事业单位医疗</w:t>
      </w:r>
      <w:r>
        <w:rPr>
          <w:rStyle w:val="15"/>
          <w:rFonts w:hint="eastAsia" w:ascii="仿宋_GB2312" w:eastAsia="仿宋_GB2312"/>
          <w:b/>
          <w:bCs/>
          <w:color w:val="000000"/>
          <w:sz w:val="32"/>
          <w:szCs w:val="32"/>
          <w:highlight w:val="none"/>
          <w:lang w:eastAsia="zh-CN"/>
        </w:rPr>
        <w:t>（款）</w:t>
      </w:r>
      <w:r>
        <w:rPr>
          <w:rStyle w:val="15"/>
          <w:rFonts w:hint="eastAsia" w:ascii="仿宋_GB2312" w:eastAsia="仿宋_GB2312"/>
          <w:b/>
          <w:bCs/>
          <w:color w:val="000000"/>
          <w:sz w:val="32"/>
          <w:szCs w:val="32"/>
          <w:highlight w:val="none"/>
          <w:lang w:val="en-US" w:eastAsia="zh-CN"/>
        </w:rPr>
        <w:t>事业单位医疗</w:t>
      </w:r>
      <w:r>
        <w:rPr>
          <w:rStyle w:val="15"/>
          <w:rFonts w:hint="eastAsia" w:ascii="仿宋_GB2312" w:eastAsia="仿宋_GB2312"/>
          <w:color w:val="000000"/>
          <w:sz w:val="32"/>
          <w:szCs w:val="32"/>
          <w:highlight w:val="none"/>
        </w:rPr>
        <w:t>（</w:t>
      </w:r>
      <w:r>
        <w:rPr>
          <w:rStyle w:val="15"/>
          <w:rFonts w:hint="eastAsia" w:ascii="仿宋_GB2312" w:eastAsia="仿宋_GB2312"/>
          <w:color w:val="000000"/>
          <w:sz w:val="32"/>
          <w:szCs w:val="32"/>
          <w:highlight w:val="none"/>
          <w:lang w:eastAsia="zh-CN"/>
        </w:rPr>
        <w:t>项</w:t>
      </w:r>
      <w:r>
        <w:rPr>
          <w:rStyle w:val="15"/>
          <w:rFonts w:hint="eastAsia" w:ascii="仿宋_GB2312" w:eastAsia="仿宋_GB2312"/>
          <w:color w:val="000000"/>
          <w:sz w:val="32"/>
          <w:szCs w:val="32"/>
          <w:highlight w:val="none"/>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24.99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3" w:firstLineChars="200"/>
        <w:outlineLvl w:val="2"/>
        <w:rPr>
          <w:rFonts w:hint="eastAsia" w:ascii="仿宋" w:hAnsi="仿宋" w:eastAsia="仿宋"/>
          <w:b/>
          <w:color w:val="auto"/>
          <w:sz w:val="32"/>
          <w:szCs w:val="32"/>
          <w:highlight w:val="none"/>
        </w:rPr>
      </w:pPr>
      <w:r>
        <w:rPr>
          <w:rFonts w:hint="eastAsia" w:ascii="仿宋" w:hAnsi="仿宋" w:eastAsia="仿宋"/>
          <w:b/>
          <w:bCs/>
          <w:color w:val="000000"/>
          <w:sz w:val="32"/>
          <w:szCs w:val="32"/>
          <w:lang w:val="en-US" w:eastAsia="zh-CN"/>
        </w:rPr>
        <w:t>9.住房保障</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住房改革支出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住房公积金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44.18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val="en-US"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val="en-US" w:eastAsia="zh-CN"/>
        </w:rPr>
        <w:t>一致</w:t>
      </w:r>
      <w:r>
        <w:rPr>
          <w:rStyle w:val="15"/>
          <w:rFonts w:hint="eastAsia" w:ascii="仿宋" w:hAnsi="仿宋" w:eastAsia="仿宋"/>
          <w:b w:val="0"/>
          <w:bCs/>
          <w:color w:val="000000"/>
          <w:sz w:val="32"/>
          <w:szCs w:val="32"/>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Fonts w:hint="eastAsia" w:ascii="仿宋" w:hAnsi="仿宋" w:eastAsia="仿宋"/>
          <w:color w:val="auto"/>
          <w:sz w:val="32"/>
          <w:szCs w:val="32"/>
          <w:highlight w:val="none"/>
        </w:rPr>
      </w:pPr>
      <w:bookmarkStart w:id="43" w:name="_Toc15396608"/>
      <w:bookmarkStart w:id="44" w:name="_Toc15377214"/>
      <w:bookmarkStart w:id="45" w:name="_Toc2999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3"/>
      <w:bookmarkEnd w:id="44"/>
      <w:bookmarkEnd w:id="45"/>
      <w:r>
        <w:rPr>
          <w:rStyle w:val="26"/>
          <w:rFonts w:ascii="黑体" w:hAnsi="黑体" w:eastAsia="黑体"/>
          <w:b w:val="0"/>
          <w:color w:val="auto"/>
          <w:highlight w:val="none"/>
        </w:rPr>
        <w:tab/>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lang w:eastAsia="zh-CN"/>
        </w:rPr>
        <w:t>2022年</w:t>
      </w:r>
      <w:r>
        <w:rPr>
          <w:rFonts w:hint="eastAsia" w:ascii="仿宋" w:hAnsi="仿宋" w:eastAsia="仿宋"/>
          <w:color w:val="000000"/>
          <w:sz w:val="32"/>
          <w:szCs w:val="32"/>
        </w:rPr>
        <w:t>一般公共预算财政拨款基本支出</w:t>
      </w:r>
      <w:r>
        <w:rPr>
          <w:rFonts w:hint="eastAsia" w:ascii="仿宋" w:hAnsi="仿宋" w:eastAsia="仿宋"/>
          <w:color w:val="000000"/>
          <w:sz w:val="32"/>
          <w:szCs w:val="32"/>
          <w:lang w:val="en-US" w:eastAsia="zh-CN"/>
        </w:rPr>
        <w:t>535.31</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535.31</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183.54万元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4.33万元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、伙食补助费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87.90万元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65.88万元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21.87万元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职工基本医疗保险缴费24.99万元、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4.32万元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72.30万元</w:t>
      </w:r>
      <w:r>
        <w:rPr>
          <w:rFonts w:hint="eastAsia" w:ascii="仿宋" w:hAnsi="仿宋" w:eastAsia="仿宋"/>
          <w:color w:val="000000"/>
          <w:sz w:val="32"/>
          <w:szCs w:val="32"/>
        </w:rPr>
        <w:t>、离休费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、退休费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、抚恤金</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26万元</w:t>
      </w:r>
      <w:r>
        <w:rPr>
          <w:rFonts w:hint="eastAsia" w:ascii="仿宋" w:hAnsi="仿宋" w:eastAsia="仿宋"/>
          <w:color w:val="000000"/>
          <w:sz w:val="32"/>
          <w:szCs w:val="32"/>
        </w:rPr>
        <w:t>、医疗费补助</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、奖励金</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44.18万元</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640"/>
        <w:outlineLvl w:val="1"/>
        <w:rPr>
          <w:rStyle w:val="26"/>
          <w:rFonts w:ascii="黑体" w:hAnsi="黑体" w:eastAsia="黑体"/>
          <w:b w:val="0"/>
          <w:color w:val="auto"/>
          <w:highlight w:val="none"/>
        </w:rPr>
      </w:pPr>
      <w:bookmarkStart w:id="46" w:name="_Toc15377215"/>
      <w:bookmarkStart w:id="47" w:name="_Toc15396609"/>
      <w:bookmarkStart w:id="48" w:name="_Toc23026"/>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46"/>
      <w:bookmarkEnd w:id="47"/>
      <w:bookmarkEnd w:id="48"/>
    </w:p>
    <w:p>
      <w:pPr>
        <w:spacing w:line="600" w:lineRule="exact"/>
        <w:ind w:firstLine="640"/>
        <w:outlineLvl w:val="2"/>
        <w:rPr>
          <w:rFonts w:ascii="仿宋" w:hAnsi="仿宋" w:eastAsia="仿宋"/>
          <w:b/>
          <w:color w:val="auto"/>
          <w:sz w:val="32"/>
          <w:szCs w:val="32"/>
          <w:highlight w:val="none"/>
        </w:rPr>
      </w:pPr>
      <w:bookmarkStart w:id="49" w:name="_Toc15377216"/>
      <w:r>
        <w:rPr>
          <w:rFonts w:hint="eastAsia" w:ascii="仿宋" w:hAnsi="仿宋" w:eastAsia="仿宋"/>
          <w:b/>
          <w:color w:val="auto"/>
          <w:sz w:val="32"/>
          <w:szCs w:val="32"/>
          <w:highlight w:val="none"/>
        </w:rPr>
        <w:t>（一）“三公”经费财政拨款支出决算总体情况说明</w:t>
      </w:r>
      <w:bookmarkEnd w:id="49"/>
    </w:p>
    <w:p>
      <w:pPr>
        <w:spacing w:line="600" w:lineRule="exact"/>
        <w:ind w:firstLine="645"/>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2022年“三公”经费财政拨款支出决算为0万元，年初未安排预算。</w:t>
      </w:r>
    </w:p>
    <w:p>
      <w:pPr>
        <w:spacing w:line="600" w:lineRule="exact"/>
        <w:ind w:firstLine="640"/>
        <w:outlineLvl w:val="2"/>
        <w:rPr>
          <w:rFonts w:ascii="仿宋" w:hAnsi="仿宋" w:eastAsia="仿宋"/>
          <w:b/>
          <w:color w:val="auto"/>
          <w:sz w:val="32"/>
          <w:szCs w:val="32"/>
          <w:highlight w:val="none"/>
        </w:rPr>
      </w:pPr>
      <w:bookmarkStart w:id="50" w:name="_Toc15377217"/>
      <w:r>
        <w:rPr>
          <w:rFonts w:hint="eastAsia" w:ascii="仿宋" w:hAnsi="仿宋" w:eastAsia="仿宋"/>
          <w:b/>
          <w:color w:val="auto"/>
          <w:sz w:val="32"/>
          <w:szCs w:val="32"/>
          <w:highlight w:val="none"/>
        </w:rPr>
        <w:t>（二）“三公”经费财政拨款支出决算具体情况说明</w:t>
      </w:r>
      <w:bookmarkEnd w:id="50"/>
    </w:p>
    <w:p>
      <w:pPr>
        <w:spacing w:line="600" w:lineRule="exact"/>
        <w:ind w:firstLine="64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2022年“三公”经费财政拨款支出决算中，因公出国（境）费支出决算0万元；公务用车购置及运行维护费支出决算0万元；公务接待费支出决算0万元。具体情况如下：</w:t>
      </w:r>
    </w:p>
    <w:p>
      <w:pPr>
        <w:spacing w:line="600" w:lineRule="exact"/>
        <w:ind w:firstLine="645"/>
        <w:rPr>
          <w:rFonts w:hint="eastAsia" w:ascii="仿宋" w:hAnsi="仿宋" w:eastAsia="仿宋" w:cs="Times New Roman"/>
          <w:color w:val="000000"/>
          <w:sz w:val="32"/>
          <w:szCs w:val="32"/>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 w:hAnsi="仿宋" w:eastAsia="仿宋" w:cs="Times New Roman"/>
          <w:color w:val="000000"/>
          <w:sz w:val="32"/>
          <w:szCs w:val="32"/>
          <w:lang w:val="en-US" w:eastAsia="zh-CN"/>
        </w:rPr>
        <w:t>0万元，年初未安排预算。</w:t>
      </w:r>
    </w:p>
    <w:p>
      <w:pPr>
        <w:spacing w:line="600" w:lineRule="exact"/>
        <w:ind w:firstLine="645"/>
        <w:rPr>
          <w:rFonts w:hint="eastAsia" w:ascii="仿宋" w:hAnsi="仿宋" w:eastAsia="仿宋" w:cs="Times New Roman"/>
          <w:color w:val="000000"/>
          <w:sz w:val="32"/>
          <w:szCs w:val="32"/>
          <w:lang w:val="en-US"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s="Times New Roman"/>
          <w:color w:val="000000"/>
          <w:sz w:val="32"/>
          <w:szCs w:val="32"/>
          <w:lang w:val="en-US" w:eastAsia="zh-CN"/>
        </w:rPr>
        <w:t>0万元，年初未安排预算。</w:t>
      </w:r>
    </w:p>
    <w:p>
      <w:pPr>
        <w:spacing w:line="600" w:lineRule="exact"/>
        <w:ind w:firstLine="645"/>
        <w:rPr>
          <w:rFonts w:ascii="黑体" w:eastAsia="黑体"/>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 w:hAnsi="仿宋" w:eastAsia="仿宋" w:cs="Times New Roman"/>
          <w:color w:val="000000"/>
          <w:sz w:val="32"/>
          <w:szCs w:val="32"/>
          <w:lang w:val="en-US" w:eastAsia="zh-CN"/>
        </w:rPr>
        <w:t>0万元，年初未安排预算。</w:t>
      </w:r>
      <w:bookmarkStart w:id="51" w:name="_Toc15377218"/>
      <w:bookmarkStart w:id="52" w:name="_Toc15396610"/>
    </w:p>
    <w:p>
      <w:pPr>
        <w:spacing w:line="600" w:lineRule="exact"/>
        <w:ind w:firstLine="640"/>
        <w:outlineLvl w:val="1"/>
        <w:rPr>
          <w:rStyle w:val="26"/>
          <w:rFonts w:ascii="黑体" w:hAnsi="黑体" w:eastAsia="黑体"/>
          <w:color w:val="auto"/>
          <w:highlight w:val="none"/>
        </w:rPr>
      </w:pPr>
      <w:bookmarkStart w:id="53" w:name="_Toc14086"/>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51"/>
      <w:bookmarkEnd w:id="52"/>
      <w:bookmarkEnd w:id="5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 w:hAnsi="仿宋" w:eastAsia="仿宋" w:cs="Times New Roman"/>
          <w:color w:val="000000"/>
          <w:sz w:val="32"/>
          <w:szCs w:val="32"/>
          <w:lang w:val="en-US" w:eastAsia="zh-CN"/>
        </w:rPr>
        <w:t>0</w:t>
      </w:r>
      <w:r>
        <w:rPr>
          <w:rFonts w:hint="eastAsia" w:ascii="仿宋" w:hAnsi="仿宋" w:eastAsia="仿宋" w:cs="Times New Roman"/>
          <w:color w:val="000000"/>
          <w:sz w:val="32"/>
          <w:szCs w:val="32"/>
        </w:rPr>
        <w:t>万元</w:t>
      </w:r>
      <w:r>
        <w:rPr>
          <w:rFonts w:hint="eastAsia" w:ascii="仿宋" w:hAnsi="仿宋" w:eastAsia="仿宋" w:cs="Times New Roman"/>
          <w:color w:val="000000"/>
          <w:sz w:val="32"/>
          <w:szCs w:val="32"/>
          <w:lang w:val="en-US" w:eastAsia="zh-CN"/>
        </w:rPr>
        <w:t>，年初未安排预算</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6"/>
          <w:rFonts w:ascii="黑体" w:hAnsi="黑体" w:eastAsia="黑体"/>
          <w:b w:val="0"/>
          <w:color w:val="auto"/>
          <w:highlight w:val="none"/>
        </w:rPr>
      </w:pPr>
      <w:bookmarkStart w:id="54" w:name="_Toc24317"/>
      <w:bookmarkStart w:id="55" w:name="_Toc15396611"/>
      <w:bookmarkStart w:id="56" w:name="_Toc15377219"/>
      <w:r>
        <w:rPr>
          <w:rStyle w:val="26"/>
          <w:rFonts w:hint="eastAsia" w:ascii="黑体" w:hAnsi="黑体" w:eastAsia="黑体"/>
          <w:b w:val="0"/>
          <w:color w:val="auto"/>
          <w:highlight w:val="none"/>
        </w:rPr>
        <w:t>国有资本经营预算支出决算情况说明</w:t>
      </w:r>
      <w:bookmarkEnd w:id="54"/>
      <w:bookmarkEnd w:id="55"/>
      <w:bookmarkEnd w:id="56"/>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 w:hAnsi="仿宋" w:eastAsia="仿宋" w:cs="Times New Roman"/>
          <w:color w:val="000000"/>
          <w:sz w:val="32"/>
          <w:szCs w:val="32"/>
          <w:lang w:val="en-US" w:eastAsia="zh-CN"/>
        </w:rPr>
        <w:t>0</w:t>
      </w:r>
      <w:r>
        <w:rPr>
          <w:rFonts w:hint="eastAsia" w:ascii="仿宋" w:hAnsi="仿宋" w:eastAsia="仿宋" w:cs="Times New Roman"/>
          <w:color w:val="000000"/>
          <w:sz w:val="32"/>
          <w:szCs w:val="32"/>
        </w:rPr>
        <w:t>万元</w:t>
      </w:r>
      <w:r>
        <w:rPr>
          <w:rFonts w:hint="eastAsia" w:ascii="仿宋" w:hAnsi="仿宋" w:eastAsia="仿宋" w:cs="Times New Roman"/>
          <w:color w:val="000000"/>
          <w:sz w:val="32"/>
          <w:szCs w:val="32"/>
          <w:lang w:val="en-US" w:eastAsia="zh-CN"/>
        </w:rPr>
        <w:t>，年初未安排预算</w:t>
      </w:r>
      <w:r>
        <w:rPr>
          <w:rFonts w:hint="eastAsia" w:ascii="仿宋" w:hAnsi="仿宋" w:eastAsia="仿宋" w:cs="Times New Roman"/>
          <w:color w:val="000000"/>
          <w:sz w:val="32"/>
          <w:szCs w:val="32"/>
        </w:rPr>
        <w:t>。</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6"/>
          <w:rFonts w:hint="eastAsia" w:ascii="黑体" w:hAnsi="黑体" w:eastAsia="黑体"/>
          <w:b w:val="0"/>
          <w:color w:val="auto"/>
          <w:highlight w:val="none"/>
        </w:rPr>
      </w:pPr>
      <w:bookmarkStart w:id="57" w:name="_Toc15377221"/>
      <w:bookmarkStart w:id="58" w:name="_Toc17710"/>
      <w:bookmarkStart w:id="59" w:name="_Toc15396612"/>
      <w:r>
        <w:rPr>
          <w:rStyle w:val="26"/>
          <w:rFonts w:hint="eastAsia" w:ascii="黑体" w:hAnsi="黑体" w:eastAsia="黑体"/>
          <w:b w:val="0"/>
          <w:color w:val="auto"/>
          <w:highlight w:val="none"/>
        </w:rPr>
        <w:t>其他重要事项的情况说明</w:t>
      </w:r>
      <w:bookmarkEnd w:id="57"/>
      <w:bookmarkEnd w:id="58"/>
      <w:bookmarkEnd w:id="59"/>
    </w:p>
    <w:p>
      <w:pPr>
        <w:spacing w:line="600" w:lineRule="exact"/>
        <w:ind w:firstLine="640" w:firstLineChars="200"/>
        <w:jc w:val="both"/>
        <w:outlineLvl w:val="0"/>
        <w:rPr>
          <w:rFonts w:hint="eastAsia" w:ascii="仿宋" w:hAnsi="仿宋" w:eastAsia="仿宋" w:cstheme="majorBidi"/>
          <w:b w:val="0"/>
          <w:bCs/>
          <w:color w:val="auto"/>
          <w:kern w:val="2"/>
          <w:sz w:val="32"/>
          <w:szCs w:val="32"/>
          <w:highlight w:val="none"/>
          <w:lang w:val="en-US" w:eastAsia="zh-CN" w:bidi="ar-SA"/>
        </w:rPr>
      </w:pPr>
      <w:bookmarkStart w:id="60" w:name="_Toc25928"/>
      <w:bookmarkStart w:id="61" w:name="_Toc15377222"/>
      <w:r>
        <w:rPr>
          <w:rFonts w:hint="eastAsia" w:ascii="仿宋" w:hAnsi="仿宋" w:eastAsia="仿宋" w:cstheme="majorBidi"/>
          <w:b w:val="0"/>
          <w:bCs/>
          <w:color w:val="auto"/>
          <w:kern w:val="2"/>
          <w:sz w:val="32"/>
          <w:szCs w:val="32"/>
          <w:highlight w:val="none"/>
          <w:lang w:val="en-US" w:eastAsia="zh-CN" w:bidi="ar-SA"/>
        </w:rPr>
        <w:t>（一）机关运行经费支出情况</w:t>
      </w:r>
      <w:bookmarkEnd w:id="60"/>
      <w:bookmarkEnd w:id="61"/>
    </w:p>
    <w:p>
      <w:pPr>
        <w:spacing w:line="600" w:lineRule="exact"/>
        <w:ind w:firstLine="640"/>
        <w:rPr>
          <w:rFonts w:ascii="仿宋" w:hAnsi="仿宋" w:eastAsia="仿宋"/>
          <w:b/>
          <w:color w:val="auto"/>
          <w:sz w:val="32"/>
          <w:szCs w:val="32"/>
          <w:highlight w:val="none"/>
        </w:rPr>
      </w:pPr>
      <w:r>
        <w:rPr>
          <w:rFonts w:hint="eastAsia" w:ascii="仿宋" w:hAnsi="仿宋" w:eastAsia="仿宋" w:cs="Times New Roman"/>
          <w:color w:val="000000"/>
          <w:sz w:val="32"/>
          <w:szCs w:val="32"/>
          <w:lang w:val="en-US" w:eastAsia="zh-CN"/>
        </w:rPr>
        <w:t>本单位为事业单位，无机关运行经费支出。</w:t>
      </w:r>
    </w:p>
    <w:p>
      <w:pPr>
        <w:spacing w:line="600" w:lineRule="exact"/>
        <w:ind w:firstLine="640" w:firstLineChars="200"/>
        <w:jc w:val="both"/>
        <w:outlineLvl w:val="0"/>
        <w:rPr>
          <w:rFonts w:hint="eastAsia" w:ascii="仿宋" w:hAnsi="仿宋" w:eastAsia="仿宋" w:cstheme="majorBidi"/>
          <w:b w:val="0"/>
          <w:bCs/>
          <w:color w:val="auto"/>
          <w:kern w:val="2"/>
          <w:sz w:val="32"/>
          <w:szCs w:val="32"/>
          <w:highlight w:val="none"/>
          <w:lang w:val="en-US" w:eastAsia="zh-CN" w:bidi="ar-SA"/>
        </w:rPr>
      </w:pPr>
      <w:bookmarkStart w:id="62" w:name="_Toc15377223"/>
      <w:bookmarkStart w:id="63" w:name="_Toc1572"/>
      <w:r>
        <w:rPr>
          <w:rFonts w:hint="eastAsia" w:ascii="仿宋" w:hAnsi="仿宋" w:eastAsia="仿宋" w:cstheme="majorBidi"/>
          <w:b w:val="0"/>
          <w:bCs/>
          <w:color w:val="auto"/>
          <w:kern w:val="2"/>
          <w:sz w:val="32"/>
          <w:szCs w:val="32"/>
          <w:highlight w:val="none"/>
          <w:lang w:val="en-US" w:eastAsia="zh-CN" w:bidi="ar-SA"/>
        </w:rPr>
        <w:t>（二）政府采购支出情况</w:t>
      </w:r>
      <w:bookmarkEnd w:id="62"/>
      <w:bookmarkEnd w:id="63"/>
    </w:p>
    <w:p>
      <w:pPr>
        <w:spacing w:line="600" w:lineRule="exact"/>
        <w:ind w:firstLine="640" w:firstLineChars="200"/>
        <w:rPr>
          <w:rFonts w:hint="eastAsia" w:ascii="仿宋" w:hAnsi="仿宋" w:eastAsia="仿宋" w:cs="Times New Roman"/>
          <w:color w:val="000000"/>
          <w:sz w:val="32"/>
          <w:szCs w:val="32"/>
          <w:lang w:val="en-US" w:eastAsia="zh-CN"/>
        </w:rPr>
      </w:pPr>
      <w:bookmarkStart w:id="64" w:name="_Toc15377224"/>
      <w:r>
        <w:rPr>
          <w:rFonts w:hint="eastAsia" w:ascii="仿宋" w:hAnsi="仿宋" w:eastAsia="仿宋" w:cs="Times New Roman"/>
          <w:color w:val="000000"/>
          <w:sz w:val="32"/>
          <w:szCs w:val="32"/>
          <w:lang w:val="en-US" w:eastAsia="zh-CN"/>
        </w:rPr>
        <w:t>2022年，区妇幼保健院政府采购支出总额91.80万元，其中：政府采购货物支出91.80万元、政府采购工程支出0万元、政府采购服务支出0万元。主要用于购置特种专业技术用车。授予中小企业合同金额0万元，占政府采购支出总额的0%，其中：授予小微企业合同金额0万元，占政府采购支出总额的0%。</w:t>
      </w:r>
    </w:p>
    <w:p>
      <w:pPr>
        <w:spacing w:line="600" w:lineRule="exact"/>
        <w:ind w:firstLine="640" w:firstLineChars="200"/>
        <w:jc w:val="both"/>
        <w:outlineLvl w:val="0"/>
        <w:rPr>
          <w:rFonts w:hint="eastAsia" w:ascii="仿宋" w:hAnsi="仿宋" w:eastAsia="仿宋" w:cstheme="majorBidi"/>
          <w:b w:val="0"/>
          <w:bCs/>
          <w:color w:val="auto"/>
          <w:kern w:val="2"/>
          <w:sz w:val="32"/>
          <w:szCs w:val="32"/>
          <w:highlight w:val="none"/>
          <w:lang w:val="en-US" w:eastAsia="zh-CN" w:bidi="ar-SA"/>
        </w:rPr>
      </w:pPr>
      <w:bookmarkStart w:id="65" w:name="_Toc29826"/>
      <w:r>
        <w:rPr>
          <w:rFonts w:hint="eastAsia" w:ascii="仿宋" w:hAnsi="仿宋" w:eastAsia="仿宋" w:cstheme="majorBidi"/>
          <w:b w:val="0"/>
          <w:bCs/>
          <w:color w:val="auto"/>
          <w:kern w:val="2"/>
          <w:sz w:val="32"/>
          <w:szCs w:val="32"/>
          <w:highlight w:val="none"/>
          <w:lang w:val="en-US" w:eastAsia="zh-CN" w:bidi="ar-SA"/>
        </w:rPr>
        <w:t>（三）国有资产占有使用情况</w:t>
      </w:r>
      <w:bookmarkEnd w:id="64"/>
      <w:bookmarkEnd w:id="65"/>
    </w:p>
    <w:p>
      <w:pPr>
        <w:spacing w:line="600" w:lineRule="exac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截至2022年12月31日，区妇幼保健院共有车辆6辆，其中：主要领导干部用车0辆、机要通信用车0辆、应急保障用车0辆、特种专业技术用车6辆、其他用车0辆，特种专业技术用车为我院救护车辆，车辆主要是用于急诊急救、转运病人等；单价100万元以上专用设备3台（套）。</w:t>
      </w:r>
    </w:p>
    <w:p>
      <w:pPr>
        <w:spacing w:line="600" w:lineRule="exact"/>
        <w:ind w:firstLine="640" w:firstLineChars="200"/>
        <w:jc w:val="left"/>
        <w:outlineLvl w:val="0"/>
        <w:rPr>
          <w:rFonts w:hint="eastAsia" w:ascii="仿宋" w:hAnsi="仿宋" w:eastAsia="仿宋" w:cstheme="majorBidi"/>
          <w:b w:val="0"/>
          <w:bCs/>
          <w:color w:val="auto"/>
          <w:kern w:val="2"/>
          <w:sz w:val="32"/>
          <w:szCs w:val="32"/>
          <w:highlight w:val="none"/>
          <w:lang w:val="en-US" w:eastAsia="zh-CN" w:bidi="ar-SA"/>
        </w:rPr>
      </w:pPr>
      <w:bookmarkStart w:id="66" w:name="_Toc31047"/>
      <w:r>
        <w:rPr>
          <w:rFonts w:hint="eastAsia" w:ascii="仿宋" w:hAnsi="仿宋" w:eastAsia="仿宋" w:cstheme="majorBidi"/>
          <w:b w:val="0"/>
          <w:bCs/>
          <w:color w:val="auto"/>
          <w:kern w:val="2"/>
          <w:sz w:val="32"/>
          <w:szCs w:val="32"/>
          <w:highlight w:val="none"/>
          <w:lang w:val="en-US" w:eastAsia="zh-CN" w:bidi="ar-SA"/>
        </w:rPr>
        <w:t>（四）预算绩效管理情况</w:t>
      </w:r>
      <w:bookmarkEnd w:id="66"/>
    </w:p>
    <w:p>
      <w:pPr>
        <w:widowControl/>
        <w:ind w:firstLine="640" w:firstLineChars="200"/>
        <w:jc w:val="left"/>
        <w:rPr>
          <w:rFonts w:ascii="仿宋_GB2312" w:eastAsia="仿宋_GB2312"/>
          <w:b/>
          <w:color w:val="auto"/>
          <w:sz w:val="32"/>
          <w:szCs w:val="32"/>
          <w:highlight w:val="none"/>
        </w:rPr>
      </w:pPr>
      <w:r>
        <w:rPr>
          <w:rFonts w:hint="eastAsia" w:ascii="仿宋" w:hAnsi="仿宋" w:eastAsia="仿宋" w:cs="Times New Roman"/>
          <w:color w:val="000000"/>
          <w:sz w:val="32"/>
          <w:szCs w:val="32"/>
          <w:lang w:val="en-US" w:eastAsia="zh-CN"/>
        </w:rPr>
        <w:t>根据预算绩效管理要求，本单位在2022年度预算编制阶段，组织对取消药品加成及免费婚检2个项目开展了预算事前绩效评估；对所有项目（政策）支出编制了绩效目标，预算执行中，按照财政要求全面开展了绩效运行监控；组织对2022年度一般公共预算支出开展了绩效自评 ，形成了两癌筛查等专项预算项目绩效自评表。《项目支出绩效自评表》详见附件。</w:t>
      </w: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67" w:name="_Toc15396613"/>
      <w:bookmarkStart w:id="68" w:name="_Toc15377225"/>
      <w:bookmarkStart w:id="69" w:name="_Toc29521"/>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67"/>
      <w:bookmarkEnd w:id="68"/>
      <w:bookmarkEnd w:id="69"/>
    </w:p>
    <w:p>
      <w:pPr>
        <w:spacing w:line="600" w:lineRule="exact"/>
        <w:jc w:val="left"/>
        <w:rPr>
          <w:rFonts w:ascii="宋体"/>
          <w:b/>
          <w:color w:val="auto"/>
          <w:sz w:val="44"/>
          <w:szCs w:val="44"/>
          <w:highlight w:val="none"/>
        </w:rPr>
      </w:pP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1.财政拨款收入：指单位从同级财政部门取得的财政预算资金。</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2.事业收入：指事业单位开展专业业务活动及辅助活动取得的收入。</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3.其他收入：指单位取得的除上述收入以外的各项收入。</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4.年初结转和结余：指以前年度尚未完成、结转到本年按有关规定继续使用的资金。 </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5.结余分配：指事业单位按照会计制度规定缴纳的所得税、提取的专用结余以及转入非财政拨款结余的金额等。</w:t>
      </w:r>
    </w:p>
    <w:p>
      <w:pPr>
        <w:pStyle w:val="2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6、年末结转和结余：指单位按有关规定结转到下年或以后年度继续使用的资金。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7.社会保障和就业（类）行政事业单位养老支出（款）机关事业单位基本养老保险缴费支出（项）：指在编人员2022年度机关养老保险缴费支出单位部分。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8.社会保障和就业（类）行政事业单位养老支出（款）机关事业单位职业年金缴费支出（项）:指在编人员2022年度职业年金缴费支出单位部分。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9.卫生健康（类）公共卫生（款）妇幼保健机构（项）:指在编人员2022年工资福利支出等。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10.卫生健康（类）公共卫生（款）重大公共卫生服务（项）:指新生儿疾病筛查、两癌筛查等公共卫生服务项目支出。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11.</w:t>
      </w:r>
      <w:r>
        <w:rPr>
          <w:rFonts w:hint="default" w:ascii="仿宋" w:hAnsi="仿宋" w:eastAsia="仿宋" w:cs="Times New Roman"/>
          <w:color w:val="000000"/>
          <w:kern w:val="2"/>
          <w:sz w:val="32"/>
          <w:szCs w:val="32"/>
          <w:lang w:val="en-US" w:eastAsia="zh-CN" w:bidi="ar-SA"/>
        </w:rPr>
        <w:t>卫生健康（类）公共卫生（款）基本公共卫生服务（项）</w:t>
      </w:r>
      <w:r>
        <w:rPr>
          <w:rFonts w:hint="eastAsia" w:ascii="仿宋" w:hAnsi="仿宋" w:eastAsia="仿宋" w:cs="Times New Roman"/>
          <w:color w:val="000000"/>
          <w:kern w:val="2"/>
          <w:sz w:val="32"/>
          <w:szCs w:val="32"/>
          <w:lang w:val="en-US" w:eastAsia="zh-CN" w:bidi="ar-SA"/>
        </w:rPr>
        <w:t>：指免费婚检、免费孕检等公共卫生服务项目支出。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12.住房保障（类）住房改革支出（款）住房公积金（项）:指在编人员2022年住房公积金缴费支出单位部分。</w:t>
      </w:r>
    </w:p>
    <w:p>
      <w:pPr>
        <w:pStyle w:val="2"/>
        <w:ind w:firstLine="640" w:firstLineChars="200"/>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13.</w:t>
      </w:r>
      <w:r>
        <w:rPr>
          <w:rFonts w:hint="default" w:ascii="仿宋" w:hAnsi="仿宋" w:eastAsia="仿宋" w:cs="Times New Roman"/>
          <w:color w:val="000000"/>
          <w:kern w:val="2"/>
          <w:sz w:val="32"/>
          <w:szCs w:val="32"/>
          <w:lang w:val="en-US" w:eastAsia="zh-CN" w:bidi="ar-SA"/>
        </w:rPr>
        <w:t>社会保障和就业（类）行政事业单位养老支出（款）事业单位离退休（项）</w:t>
      </w:r>
      <w:r>
        <w:rPr>
          <w:rFonts w:hint="eastAsia" w:ascii="仿宋" w:hAnsi="仿宋" w:eastAsia="仿宋" w:cs="Times New Roman"/>
          <w:color w:val="000000"/>
          <w:kern w:val="2"/>
          <w:sz w:val="32"/>
          <w:szCs w:val="32"/>
          <w:lang w:val="en-US" w:eastAsia="zh-CN" w:bidi="ar-SA"/>
        </w:rPr>
        <w:t>：指2022年退休人员目标奖支出。</w:t>
      </w:r>
    </w:p>
    <w:p>
      <w:pPr>
        <w:pStyle w:val="2"/>
        <w:ind w:firstLine="640" w:firstLineChars="200"/>
        <w:rPr>
          <w:rFonts w:hint="default"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14.</w:t>
      </w:r>
      <w:r>
        <w:rPr>
          <w:rFonts w:hint="default" w:ascii="仿宋" w:hAnsi="仿宋" w:eastAsia="仿宋" w:cs="Times New Roman"/>
          <w:color w:val="000000"/>
          <w:kern w:val="2"/>
          <w:sz w:val="32"/>
          <w:szCs w:val="32"/>
          <w:lang w:val="en-US" w:eastAsia="zh-CN" w:bidi="ar-SA"/>
        </w:rPr>
        <w:t>卫生健康（类）基层医疗卫生机构（款）乡镇卫生院（项）</w:t>
      </w:r>
      <w:r>
        <w:rPr>
          <w:rFonts w:hint="eastAsia" w:ascii="仿宋" w:hAnsi="仿宋" w:eastAsia="仿宋" w:cs="Times New Roman"/>
          <w:color w:val="000000"/>
          <w:kern w:val="2"/>
          <w:sz w:val="32"/>
          <w:szCs w:val="32"/>
          <w:lang w:val="en-US" w:eastAsia="zh-CN" w:bidi="ar-SA"/>
        </w:rPr>
        <w:t>：指在编人员2022年年终增资工资福利支出等。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 w:hAnsi="仿宋" w:eastAsia="仿宋" w:cs="Times New Roman"/>
          <w:color w:val="000000"/>
          <w:kern w:val="2"/>
          <w:sz w:val="32"/>
          <w:szCs w:val="32"/>
          <w:lang w:val="en-US" w:eastAsia="zh-CN" w:bidi="ar-SA"/>
        </w:rPr>
        <w:t>15.</w:t>
      </w:r>
      <w:r>
        <w:rPr>
          <w:rFonts w:hint="default" w:ascii="仿宋" w:hAnsi="仿宋" w:eastAsia="仿宋" w:cs="Times New Roman"/>
          <w:color w:val="000000"/>
          <w:kern w:val="2"/>
          <w:sz w:val="32"/>
          <w:szCs w:val="32"/>
          <w:lang w:val="en-US" w:eastAsia="zh-CN" w:bidi="ar-SA"/>
        </w:rPr>
        <w:t>卫生健康（类）行政事业单位医疗（款）事业单位医疗（项）</w:t>
      </w:r>
      <w:r>
        <w:rPr>
          <w:rFonts w:hint="eastAsia" w:ascii="仿宋" w:hAnsi="仿宋" w:eastAsia="仿宋" w:cs="Times New Roman"/>
          <w:color w:val="000000"/>
          <w:kern w:val="2"/>
          <w:sz w:val="32"/>
          <w:szCs w:val="32"/>
          <w:lang w:val="en-US" w:eastAsia="zh-CN" w:bidi="ar-SA"/>
        </w:rPr>
        <w:t>：指在编人员2022年医疗保险缴费支出单位部分。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16.基本支出：指为保障机构正常运转、完成日常工作任务而发生的人员支出和公用支出。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 w:hAnsi="仿宋" w:eastAsia="仿宋" w:cs="Times New Roman"/>
          <w:color w:val="000000"/>
          <w:kern w:val="2"/>
          <w:sz w:val="32"/>
          <w:szCs w:val="32"/>
          <w:lang w:val="en-US" w:eastAsia="zh-CN" w:bidi="ar-SA"/>
        </w:rPr>
        <w:t>17.项目支出：指在基本支出之外为完成重大公共卫生服务项目和事业发展目标所发生的支出。</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19</w:t>
      </w:r>
      <w:r>
        <w:rPr>
          <w:rFonts w:hint="eastAsia" w:ascii="仿宋" w:hAnsi="仿宋" w:eastAsia="仿宋" w:cs="仿宋"/>
          <w:color w:val="auto"/>
          <w:sz w:val="32"/>
          <w:szCs w:val="32"/>
          <w:highlight w:val="none"/>
        </w:rPr>
        <w:t>.“三公”经费：指</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hint="eastAsia" w:ascii="仿宋" w:hAnsi="仿宋" w:eastAsia="仿宋" w:cs="仿宋"/>
          <w:color w:val="auto"/>
          <w:sz w:val="32"/>
          <w:szCs w:val="32"/>
          <w:highlight w:val="none"/>
        </w:rPr>
      </w:pPr>
    </w:p>
    <w:p>
      <w:pPr>
        <w:spacing w:line="600" w:lineRule="exact"/>
        <w:jc w:val="center"/>
        <w:outlineLvl w:val="9"/>
        <w:rPr>
          <w:rFonts w:ascii="宋体"/>
          <w:b/>
          <w:color w:val="auto"/>
          <w:sz w:val="44"/>
          <w:szCs w:val="44"/>
          <w:highlight w:val="none"/>
        </w:rPr>
        <w:sectPr>
          <w:headerReference r:id="rId8" w:type="default"/>
          <w:footerReference r:id="rId9" w:type="default"/>
          <w:pgSz w:w="11906" w:h="16838"/>
          <w:pgMar w:top="1440" w:right="1800" w:bottom="1440" w:left="1800" w:header="851" w:footer="992" w:gutter="0"/>
          <w:pgNumType w:fmt="decimal"/>
          <w:cols w:space="425" w:num="1"/>
          <w:titlePg/>
          <w:docGrid w:type="lines" w:linePitch="312" w:charSpace="0"/>
        </w:sectPr>
      </w:pPr>
      <w:bookmarkStart w:id="70" w:name="_Toc15377226"/>
      <w:r>
        <w:rPr>
          <w:rFonts w:ascii="宋体"/>
          <w:b/>
          <w:color w:val="auto"/>
          <w:sz w:val="44"/>
          <w:szCs w:val="44"/>
          <w:highlight w:val="none"/>
        </w:rPr>
        <w:br w:type="page"/>
      </w:r>
      <w:bookmarkStart w:id="71" w:name="_Toc15396614"/>
    </w:p>
    <w:p>
      <w:pPr>
        <w:pStyle w:val="12"/>
        <w:numPr>
          <w:ilvl w:val="0"/>
          <w:numId w:val="4"/>
        </w:numPr>
        <w:bidi w:val="0"/>
        <w:ind w:left="0" w:leftChars="0" w:firstLine="660" w:firstLineChars="150"/>
        <w:jc w:val="center"/>
        <w:rPr>
          <w:rStyle w:val="25"/>
          <w:rFonts w:hint="eastAsia" w:ascii="黑体" w:hAnsi="黑体" w:eastAsia="黑体"/>
          <w:b w:val="0"/>
          <w:color w:val="auto"/>
          <w:highlight w:val="none"/>
        </w:rPr>
      </w:pPr>
      <w:bookmarkStart w:id="72" w:name="_Toc17498"/>
      <w:r>
        <w:rPr>
          <w:rStyle w:val="25"/>
          <w:rFonts w:hint="eastAsia" w:ascii="黑体" w:hAnsi="黑体" w:eastAsia="黑体"/>
          <w:b w:val="0"/>
          <w:color w:val="auto"/>
          <w:highlight w:val="none"/>
        </w:rPr>
        <w:t>附件</w:t>
      </w:r>
      <w:bookmarkEnd w:id="71"/>
      <w:bookmarkEnd w:id="72"/>
      <w:bookmarkStart w:id="73" w:name="_Toc15396618"/>
    </w:p>
    <w:p>
      <w:pPr>
        <w:pStyle w:val="12"/>
        <w:numPr>
          <w:ilvl w:val="0"/>
          <w:numId w:val="0"/>
        </w:numPr>
        <w:bidi w:val="0"/>
        <w:ind w:leftChars="150"/>
        <w:rPr>
          <w:rFonts w:hint="eastAsia"/>
          <w:sz w:val="32"/>
          <w:szCs w:val="32"/>
          <w:lang w:val="en-US" w:eastAsia="zh-CN"/>
        </w:rPr>
      </w:pPr>
      <w:r>
        <w:rPr>
          <w:rFonts w:hint="eastAsia"/>
          <w:sz w:val="32"/>
          <w:szCs w:val="32"/>
          <w:lang w:val="en-US" w:eastAsia="zh-CN"/>
        </w:rPr>
        <w:t>广元市昭化区妇幼保健院两癌筛查项目支出自评表</w:t>
      </w:r>
    </w:p>
    <w:tbl>
      <w:tblPr>
        <w:tblStyle w:val="13"/>
        <w:tblW w:w="8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0"/>
        <w:gridCol w:w="864"/>
        <w:gridCol w:w="972"/>
        <w:gridCol w:w="650"/>
        <w:gridCol w:w="1010"/>
        <w:gridCol w:w="1554"/>
        <w:gridCol w:w="1327"/>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854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项目(政策)名称</w:t>
            </w:r>
          </w:p>
        </w:tc>
        <w:tc>
          <w:tcPr>
            <w:tcW w:w="6606"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两癌筛查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193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主管部门</w:t>
            </w:r>
          </w:p>
        </w:tc>
        <w:tc>
          <w:tcPr>
            <w:tcW w:w="4186"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广元市昭化区卫生健康局</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实施单位</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广元市昭化区妇幼保健院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934"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项目(政策)资金 (万元)</w:t>
            </w: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年初预算数</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全年预算数</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全年执行数</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年度资金总额</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1.17</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19.2</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19.2</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(一)财政拨款小计</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1.17</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19.2</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19.2</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1.一般公共预算</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1.17</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19.2</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19.2</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2.政府性基金</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3.国有资本经营预算</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4.社保基金</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93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62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(二)其他资金</w:t>
            </w:r>
          </w:p>
        </w:tc>
        <w:tc>
          <w:tcPr>
            <w:tcW w:w="101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7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年度总体 目标</w:t>
            </w:r>
          </w:p>
        </w:tc>
        <w:tc>
          <w:tcPr>
            <w:tcW w:w="637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预期目标</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37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开展农村妇女“两癌”筛查，提高农村妇女“两癌”早诊早治率，降低死亡率，进一步提高广大农村妇女健康水平</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7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绩效指标</w:t>
            </w:r>
          </w:p>
        </w:tc>
        <w:tc>
          <w:tcPr>
            <w:tcW w:w="86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一级指标</w:t>
            </w:r>
          </w:p>
        </w:tc>
        <w:tc>
          <w:tcPr>
            <w:tcW w:w="9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二级指标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三级指标</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年度指标值</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实际完成值</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产出指标</w:t>
            </w:r>
          </w:p>
        </w:tc>
        <w:tc>
          <w:tcPr>
            <w:tcW w:w="97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数量指标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指标1：农村妇女免费“两癌”检查项目人数</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乳腺癌1800人次、宫颈癌1800人次</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乳腺癌2173人次、宫颈癌2060人次</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7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质量指标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指标1：农村妇女“两癌”筛查任务完成率</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104.50%</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7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时效指标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指标1:“两癌”筛查确诊对象跟进随访率</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7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成本指标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指标1:“两癌”筛查项目标准</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宫颈癌检查补助标准49元/人；乳腺癌检查补助标准79元/人</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宫颈癌检查补助标准49元/人；乳腺癌检查补助标准79元/人</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效益指标</w:t>
            </w:r>
          </w:p>
        </w:tc>
        <w:tc>
          <w:tcPr>
            <w:tcW w:w="9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经济效益 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指标1:辖区内“两癌”患病率</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逐渐缩小</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有效减少</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社会效益 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指标1:贫困县农村妇女“两癌”筛查覆盖率</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≥80%</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生态效益 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指标1:农村妇女“两癌”知晓率</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可持续影响 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指标1:基本公共卫生服务水平</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10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86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满意度 指标</w:t>
            </w:r>
          </w:p>
        </w:tc>
        <w:tc>
          <w:tcPr>
            <w:tcW w:w="9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服务对象满 意度指标</w:t>
            </w:r>
          </w:p>
        </w:tc>
        <w:tc>
          <w:tcPr>
            <w:tcW w:w="16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指标1:服务对象满意度</w:t>
            </w:r>
          </w:p>
        </w:tc>
        <w:tc>
          <w:tcPr>
            <w:tcW w:w="15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≥90%</w:t>
            </w:r>
          </w:p>
        </w:tc>
        <w:tc>
          <w:tcPr>
            <w:tcW w:w="13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0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bl>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tbl>
      <w:tblPr>
        <w:tblStyle w:val="13"/>
        <w:tblW w:w="8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640"/>
        <w:gridCol w:w="1310"/>
        <w:gridCol w:w="533"/>
        <w:gridCol w:w="1602"/>
        <w:gridCol w:w="1259"/>
        <w:gridCol w:w="1135"/>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8420" w:type="dxa"/>
            <w:gridSpan w:val="8"/>
            <w:tcBorders>
              <w:top w:val="nil"/>
              <w:left w:val="nil"/>
              <w:bottom w:val="nil"/>
              <w:right w:val="nil"/>
            </w:tcBorders>
            <w:noWrap/>
            <w:vAlign w:val="center"/>
          </w:tcPr>
          <w:p>
            <w:pPr>
              <w:pStyle w:val="12"/>
              <w:bidi w:val="0"/>
              <w:jc w:val="center"/>
              <w:rPr>
                <w:rFonts w:hint="eastAsia" w:ascii="宋体" w:hAnsi="宋体" w:eastAsia="宋体" w:cs="宋体"/>
                <w:b/>
                <w:bCs/>
                <w:i w:val="0"/>
                <w:iCs w:val="0"/>
                <w:color w:val="000000"/>
                <w:szCs w:val="34"/>
                <w:u w:val="none"/>
              </w:rPr>
            </w:pPr>
            <w:r>
              <w:rPr>
                <w:rFonts w:hint="eastAsia"/>
                <w:sz w:val="32"/>
                <w:szCs w:val="32"/>
                <w:lang w:val="en-US" w:eastAsia="zh-CN"/>
              </w:rPr>
              <w:t>广元市昭化区妇幼保健院新生儿筛查项目支出自评表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842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138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项目(政策)名称</w:t>
            </w:r>
          </w:p>
        </w:tc>
        <w:tc>
          <w:tcPr>
            <w:tcW w:w="7036"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新生儿筛查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138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主管部门</w:t>
            </w:r>
          </w:p>
        </w:tc>
        <w:tc>
          <w:tcPr>
            <w:tcW w:w="4704"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广元市昭化区卫生健康局</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实施单位</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1384"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Style w:val="31"/>
                <w:lang w:val="en-US" w:eastAsia="zh-CN" w:bidi="ar"/>
              </w:rPr>
              <w:t>项目(政策)资金 (万元)</w:t>
            </w: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年初预算数</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全年预算数</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全年执行数</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年度资金总额</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3.59</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2.26</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62.95</w:t>
            </w:r>
            <w:r>
              <w:rPr>
                <w:rFonts w:hint="default" w:ascii="Arial" w:hAnsi="Arial" w:eastAsia="宋体" w:cs="Arial"/>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(一)财政拨款小计</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3.59</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2.26</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62.95</w:t>
            </w:r>
            <w:r>
              <w:rPr>
                <w:rFonts w:hint="default" w:ascii="Arial" w:hAnsi="Arial" w:eastAsia="宋体" w:cs="Arial"/>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1.一般公共预算</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3.59</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2.26</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62.95</w:t>
            </w:r>
            <w:r>
              <w:rPr>
                <w:rFonts w:hint="default" w:ascii="Arial" w:hAnsi="Arial" w:eastAsia="宋体" w:cs="Arial"/>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2.政府性基金</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3.国有资本经营预算</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4.社保基金</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4"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(二)其他资金</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74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Style w:val="31"/>
                <w:lang w:val="en-US" w:eastAsia="zh-CN" w:bidi="ar"/>
              </w:rPr>
              <w:t>年度总体 目标</w:t>
            </w:r>
          </w:p>
        </w:tc>
        <w:tc>
          <w:tcPr>
            <w:tcW w:w="6479"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预期目标</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79"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新生儿疾病筛查率达95%；新生儿听力筛查率达85%</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74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绩效指标</w:t>
            </w:r>
          </w:p>
        </w:tc>
        <w:tc>
          <w:tcPr>
            <w:tcW w:w="6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一级指标</w:t>
            </w:r>
          </w:p>
        </w:tc>
        <w:tc>
          <w:tcPr>
            <w:tcW w:w="13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二级指标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三级指标</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年度指标值</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实际完成值</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产出指标</w:t>
            </w:r>
          </w:p>
        </w:tc>
        <w:tc>
          <w:tcPr>
            <w:tcW w:w="131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数量指标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指标1：新生儿筛查范围。</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助产机构内出生的所有新生儿</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质量指标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指标1：新生儿听力筛查率</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≥85%</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指标2：新生儿两种遗传代谢病（ PKU和CH)筛查率</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时效指标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指标1:新生儿筛查确诊对象跟进随访率</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成本指标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指标1:新生儿筛查项目标准</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120</w:t>
            </w:r>
            <w:r>
              <w:rPr>
                <w:rFonts w:hint="eastAsia" w:ascii="宋体" w:hAnsi="宋体" w:eastAsia="宋体" w:cs="宋体"/>
                <w:i w:val="0"/>
                <w:iCs w:val="0"/>
                <w:color w:val="000000"/>
                <w:kern w:val="0"/>
                <w:sz w:val="21"/>
                <w:szCs w:val="21"/>
                <w:u w:val="none"/>
                <w:lang w:val="en-US" w:eastAsia="zh-CN" w:bidi="ar"/>
              </w:rPr>
              <w:t>元</w:t>
            </w:r>
            <w:r>
              <w:rPr>
                <w:rFonts w:hint="default" w:ascii="Arial" w:hAnsi="Arial" w:eastAsia="宋体" w:cs="Arial"/>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人</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120</w:t>
            </w:r>
            <w:r>
              <w:rPr>
                <w:rFonts w:hint="eastAsia" w:ascii="宋体" w:hAnsi="宋体" w:eastAsia="宋体" w:cs="宋体"/>
                <w:i w:val="0"/>
                <w:iCs w:val="0"/>
                <w:color w:val="000000"/>
                <w:kern w:val="0"/>
                <w:sz w:val="21"/>
                <w:szCs w:val="21"/>
                <w:u w:val="none"/>
                <w:lang w:val="en-US" w:eastAsia="zh-CN" w:bidi="ar"/>
              </w:rPr>
              <w:t>元</w:t>
            </w:r>
            <w:r>
              <w:rPr>
                <w:rFonts w:hint="default" w:ascii="Arial" w:hAnsi="Arial" w:eastAsia="宋体" w:cs="Arial"/>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人</w:t>
            </w:r>
          </w:p>
        </w:tc>
        <w:tc>
          <w:tcPr>
            <w:tcW w:w="1197"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效益指标</w:t>
            </w:r>
          </w:p>
        </w:tc>
        <w:tc>
          <w:tcPr>
            <w:tcW w:w="13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1"/>
                <w:lang w:val="en-US" w:eastAsia="zh-CN" w:bidi="ar"/>
              </w:rPr>
              <w:t>经济效益 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指标1:家庭发展能力</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逐步提高</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逐步提高</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1"/>
                <w:lang w:val="en-US" w:eastAsia="zh-CN" w:bidi="ar"/>
              </w:rPr>
              <w:t>社会效益 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指标1:辖区内新生儿患病风险</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大幅度降低</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大幅度降低</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1"/>
                <w:lang w:val="en-US" w:eastAsia="zh-CN" w:bidi="ar"/>
              </w:rPr>
              <w:t>生态效益 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指标1:目标人群对新生儿疾病筛查的知晓度和接受度</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3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1"/>
                <w:lang w:val="en-US" w:eastAsia="zh-CN" w:bidi="ar"/>
              </w:rPr>
              <w:t>可持续影响 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指标1:基本公共卫生服务水平</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4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1"/>
                <w:lang w:val="en-US" w:eastAsia="zh-CN" w:bidi="ar"/>
              </w:rPr>
              <w:t>满意度 指标</w:t>
            </w:r>
          </w:p>
        </w:tc>
        <w:tc>
          <w:tcPr>
            <w:tcW w:w="13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1"/>
                <w:lang w:val="en-US" w:eastAsia="zh-CN" w:bidi="ar"/>
              </w:rPr>
              <w:t>服务对象满 意度指标</w:t>
            </w:r>
          </w:p>
        </w:tc>
        <w:tc>
          <w:tcPr>
            <w:tcW w:w="21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指标1:服务对象满意度</w:t>
            </w:r>
          </w:p>
        </w:tc>
        <w:tc>
          <w:tcPr>
            <w:tcW w:w="12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≥90%</w:t>
            </w:r>
          </w:p>
        </w:tc>
        <w:tc>
          <w:tcPr>
            <w:tcW w:w="11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bl>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tbl>
      <w:tblPr>
        <w:tblStyle w:val="1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
        <w:gridCol w:w="997"/>
        <w:gridCol w:w="1452"/>
        <w:gridCol w:w="498"/>
        <w:gridCol w:w="1438"/>
        <w:gridCol w:w="1191"/>
        <w:gridCol w:w="1189"/>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8520" w:type="dxa"/>
            <w:gridSpan w:val="8"/>
            <w:tcBorders>
              <w:top w:val="nil"/>
              <w:left w:val="nil"/>
              <w:bottom w:val="nil"/>
              <w:right w:val="nil"/>
            </w:tcBorders>
            <w:noWrap/>
            <w:vAlign w:val="center"/>
          </w:tcPr>
          <w:p>
            <w:pPr>
              <w:pStyle w:val="12"/>
              <w:bidi w:val="0"/>
              <w:jc w:val="center"/>
              <w:rPr>
                <w:rFonts w:hint="eastAsia" w:ascii="宋体" w:hAnsi="宋体" w:eastAsia="宋体" w:cs="宋体"/>
                <w:b/>
                <w:bCs/>
                <w:i w:val="0"/>
                <w:iCs w:val="0"/>
                <w:color w:val="000000"/>
                <w:szCs w:val="34"/>
                <w:u w:val="none"/>
              </w:rPr>
            </w:pPr>
            <w:r>
              <w:rPr>
                <w:rFonts w:hint="eastAsia"/>
                <w:sz w:val="32"/>
                <w:szCs w:val="32"/>
                <w:lang w:val="en-US" w:eastAsia="zh-CN"/>
              </w:rPr>
              <w:t>广元市昭化区妇幼保健院免费婚检项目支出自评表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852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项目(政策)名称</w:t>
            </w:r>
          </w:p>
        </w:tc>
        <w:tc>
          <w:tcPr>
            <w:tcW w:w="7085"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免费婚检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4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主管部门</w:t>
            </w:r>
          </w:p>
        </w:tc>
        <w:tc>
          <w:tcPr>
            <w:tcW w:w="457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广元市昭化区卫生健康局</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实施单位</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Style w:val="32"/>
                <w:lang w:val="en-US" w:eastAsia="zh-CN" w:bidi="ar"/>
              </w:rPr>
              <w:t>项目(政策)资金 (万元)</w:t>
            </w: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年初预算数</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全年预算数</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全年执行数</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年度资金总额</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7.56</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29.61</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29.61</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(一)财政拨款小计</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7.56</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29.61</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29.61</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1.一般公共预算</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7.56</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29.61</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29.61</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2.政府性基金</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3.国有资本经营预算</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4.社保基金</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35"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9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(二)其他资金</w:t>
            </w:r>
          </w:p>
        </w:tc>
        <w:tc>
          <w:tcPr>
            <w:tcW w:w="143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Style w:val="32"/>
                <w:lang w:val="en-US" w:eastAsia="zh-CN" w:bidi="ar"/>
              </w:rPr>
              <w:t>年度总体 目标</w:t>
            </w:r>
          </w:p>
        </w:tc>
        <w:tc>
          <w:tcPr>
            <w:tcW w:w="6765"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预期目标</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765"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33"/>
                <w:lang w:val="en-US" w:eastAsia="zh-CN" w:bidi="ar"/>
              </w:rPr>
              <w:t>进一步加强出生缺陷预防，促进人口素质提高，促进婚姻家庭幸福与社会和谐。到</w:t>
            </w:r>
            <w:r>
              <w:rPr>
                <w:rStyle w:val="34"/>
                <w:rFonts w:eastAsia="宋体"/>
                <w:lang w:val="en-US" w:eastAsia="zh-CN" w:bidi="ar"/>
              </w:rPr>
              <w:t xml:space="preserve"> 2022</w:t>
            </w:r>
            <w:r>
              <w:rPr>
                <w:rStyle w:val="33"/>
                <w:lang w:val="en-US" w:eastAsia="zh-CN" w:bidi="ar"/>
              </w:rPr>
              <w:t>年底，全市及各县区婚检率达</w:t>
            </w:r>
            <w:r>
              <w:rPr>
                <w:rStyle w:val="34"/>
                <w:rFonts w:eastAsia="宋体"/>
                <w:lang w:val="en-US" w:eastAsia="zh-CN" w:bidi="ar"/>
              </w:rPr>
              <w:t xml:space="preserve"> 85%</w:t>
            </w:r>
            <w:r>
              <w:rPr>
                <w:rStyle w:val="33"/>
                <w:lang w:val="en-US" w:eastAsia="zh-CN" w:bidi="ar"/>
              </w:rPr>
              <w:t>以上，并巩固提升。</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Style w:val="33"/>
                <w:lang w:val="en-US" w:eastAsia="zh-CN" w:bidi="ar"/>
              </w:rPr>
              <w:t>婚检率达</w:t>
            </w:r>
            <w:r>
              <w:rPr>
                <w:rStyle w:val="34"/>
                <w:rFonts w:eastAsia="宋体"/>
                <w:lang w:val="en-US" w:eastAsia="zh-CN" w:bidi="ar"/>
              </w:rPr>
              <w:t xml:space="preserve"> </w:t>
            </w:r>
            <w:r>
              <w:rPr>
                <w:rStyle w:val="34"/>
                <w:rFonts w:hint="eastAsia"/>
                <w:lang w:val="en-US" w:eastAsia="zh-CN" w:bidi="ar"/>
              </w:rPr>
              <w:t>93.59</w:t>
            </w:r>
            <w:r>
              <w:rPr>
                <w:rStyle w:val="34"/>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绩效指标</w:t>
            </w:r>
          </w:p>
        </w:tc>
        <w:tc>
          <w:tcPr>
            <w:tcW w:w="9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一级指标</w:t>
            </w:r>
          </w:p>
        </w:tc>
        <w:tc>
          <w:tcPr>
            <w:tcW w:w="145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二级指标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三级指标</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年度指标值</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实际完成值</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5"/>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产出指标</w:t>
            </w:r>
          </w:p>
        </w:tc>
        <w:tc>
          <w:tcPr>
            <w:tcW w:w="145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数量指标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指标1：完成免费婚检对数</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544</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599</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45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质量指标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指标1：免费婚检率</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≥85%</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93.59%</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45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时效指标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指标1:婚检任务按时完成率</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≥90%</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98%</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452"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成本指标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指标1:婚检项目结算标椎</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Style w:val="34"/>
                <w:rFonts w:eastAsia="宋体"/>
                <w:lang w:val="en-US" w:eastAsia="zh-CN" w:bidi="ar"/>
              </w:rPr>
              <w:t>240</w:t>
            </w:r>
            <w:r>
              <w:rPr>
                <w:rStyle w:val="33"/>
                <w:lang w:val="en-US" w:eastAsia="zh-CN" w:bidi="ar"/>
              </w:rPr>
              <w:t>元</w:t>
            </w:r>
            <w:r>
              <w:rPr>
                <w:rStyle w:val="34"/>
                <w:rFonts w:eastAsia="宋体"/>
                <w:lang w:val="en-US" w:eastAsia="zh-CN" w:bidi="ar"/>
              </w:rPr>
              <w:t>/</w:t>
            </w:r>
            <w:r>
              <w:rPr>
                <w:rStyle w:val="33"/>
                <w:lang w:val="en-US" w:eastAsia="zh-CN" w:bidi="ar"/>
              </w:rPr>
              <w:t>对</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Style w:val="34"/>
                <w:rFonts w:eastAsia="宋体"/>
                <w:lang w:val="en-US" w:eastAsia="zh-CN" w:bidi="ar"/>
              </w:rPr>
              <w:t>240</w:t>
            </w:r>
            <w:r>
              <w:rPr>
                <w:rStyle w:val="33"/>
                <w:lang w:val="en-US" w:eastAsia="zh-CN" w:bidi="ar"/>
              </w:rPr>
              <w:t>元</w:t>
            </w:r>
            <w:r>
              <w:rPr>
                <w:rStyle w:val="34"/>
                <w:rFonts w:eastAsia="宋体"/>
                <w:lang w:val="en-US" w:eastAsia="zh-CN" w:bidi="ar"/>
              </w:rPr>
              <w:t>/</w:t>
            </w:r>
            <w:r>
              <w:rPr>
                <w:rStyle w:val="33"/>
                <w:lang w:val="en-US" w:eastAsia="zh-CN" w:bidi="ar"/>
              </w:rPr>
              <w:t>对</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效益指标</w:t>
            </w:r>
          </w:p>
        </w:tc>
        <w:tc>
          <w:tcPr>
            <w:tcW w:w="145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2"/>
                <w:lang w:val="en-US" w:eastAsia="zh-CN" w:bidi="ar"/>
              </w:rPr>
              <w:t>经济效益 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指标1:出生缺陷预防率</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大幅提高</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大幅提高</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45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2"/>
                <w:lang w:val="en-US" w:eastAsia="zh-CN" w:bidi="ar"/>
              </w:rPr>
              <w:t>社会效益 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指标1:区内优生优育质量</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45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2"/>
                <w:lang w:val="en-US" w:eastAsia="zh-CN" w:bidi="ar"/>
              </w:rPr>
              <w:t>生态效益 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指标1:辖区内新生儿患病风险</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不断减少</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不断减少</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45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2"/>
                <w:lang w:val="en-US" w:eastAsia="zh-CN" w:bidi="ar"/>
              </w:rPr>
              <w:t>可持续影响 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指标1:基本公共卫生服务水平</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不断提高</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jc w:val="center"/>
        </w:trPr>
        <w:tc>
          <w:tcPr>
            <w:tcW w:w="4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9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2"/>
                <w:lang w:val="en-US" w:eastAsia="zh-CN" w:bidi="ar"/>
              </w:rPr>
              <w:t>满意度 指标</w:t>
            </w:r>
          </w:p>
        </w:tc>
        <w:tc>
          <w:tcPr>
            <w:tcW w:w="145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Style w:val="32"/>
                <w:lang w:val="en-US" w:eastAsia="zh-CN" w:bidi="ar"/>
              </w:rPr>
              <w:t>服务对象满 意度指标</w:t>
            </w:r>
          </w:p>
        </w:tc>
        <w:tc>
          <w:tcPr>
            <w:tcW w:w="193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指标1:婚检满意度</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≥90%</w:t>
            </w:r>
          </w:p>
        </w:tc>
        <w:tc>
          <w:tcPr>
            <w:tcW w:w="11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3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bl>
    <w:p>
      <w:pPr>
        <w:spacing w:line="600" w:lineRule="exact"/>
        <w:jc w:val="center"/>
        <w:outlineLvl w:val="0"/>
        <w:rPr>
          <w:rFonts w:hint="eastAsia" w:ascii="黑体" w:hAnsi="黑体" w:eastAsia="黑体"/>
          <w:color w:val="auto"/>
          <w:sz w:val="44"/>
          <w:szCs w:val="44"/>
          <w:highlight w:val="none"/>
        </w:rPr>
      </w:pPr>
      <w:bookmarkStart w:id="74" w:name="_Toc2517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3"/>
        <w:tblW w:w="8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2"/>
        <w:gridCol w:w="790"/>
        <w:gridCol w:w="1150"/>
        <w:gridCol w:w="691"/>
        <w:gridCol w:w="1367"/>
        <w:gridCol w:w="1025"/>
        <w:gridCol w:w="1227"/>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8380" w:type="dxa"/>
            <w:gridSpan w:val="8"/>
            <w:tcBorders>
              <w:top w:val="nil"/>
              <w:left w:val="nil"/>
              <w:bottom w:val="nil"/>
              <w:right w:val="nil"/>
            </w:tcBorders>
            <w:noWrap/>
            <w:vAlign w:val="center"/>
          </w:tcPr>
          <w:p>
            <w:pPr>
              <w:pStyle w:val="12"/>
              <w:bidi w:val="0"/>
              <w:jc w:val="center"/>
              <w:rPr>
                <w:rFonts w:hint="eastAsia" w:ascii="宋体" w:hAnsi="宋体" w:eastAsia="宋体" w:cs="宋体"/>
                <w:b/>
                <w:bCs/>
                <w:i w:val="0"/>
                <w:iCs w:val="0"/>
                <w:color w:val="000000"/>
                <w:szCs w:val="34"/>
                <w:u w:val="none"/>
              </w:rPr>
            </w:pPr>
            <w:r>
              <w:rPr>
                <w:rFonts w:hint="eastAsia"/>
                <w:sz w:val="32"/>
                <w:szCs w:val="32"/>
                <w:lang w:val="en-US" w:eastAsia="zh-CN"/>
              </w:rPr>
              <w:t>广元市昭化区妇幼保健院孕前优生项目支出自评表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38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07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项目(政策)名称</w:t>
            </w:r>
          </w:p>
        </w:tc>
        <w:tc>
          <w:tcPr>
            <w:tcW w:w="7308"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孕前优生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07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主管部门</w:t>
            </w:r>
          </w:p>
        </w:tc>
        <w:tc>
          <w:tcPr>
            <w:tcW w:w="4233"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广元市昭化区卫生健康局</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实施单位</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072"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项目(政策)资金 (万元)</w:t>
            </w: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年初预算数</w:t>
            </w: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全年预算数</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全年执行数</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年度资金总额</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15.55</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15.55</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(一)财政拨款小计</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15.55</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15.55</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1.一般公共预算</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15.55</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15.55</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2.政府性基金</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3.国有资本经营预算</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4.社保基金</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072"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841"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(二)其他资金</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8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年度总体 目标</w:t>
            </w:r>
          </w:p>
        </w:tc>
        <w:tc>
          <w:tcPr>
            <w:tcW w:w="6250"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预期目标</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6250"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符合生育政策、计划怀孕的城乡夫妇免费提供孕前优生检查服务，提高城乡计划怀孕夫妇优生科学知识知晓率，提高免费孕前优生健康检查目标人群覆盖率。</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ind w:firstLine="630" w:firstLineChars="300"/>
              <w:jc w:val="left"/>
              <w:rPr>
                <w:rFonts w:hint="eastAsia" w:ascii="Arial" w:hAnsi="Arial" w:eastAsia="宋体" w:cs="Arial"/>
                <w:i w:val="0"/>
                <w:iCs w:val="0"/>
                <w:color w:val="000000"/>
                <w:sz w:val="21"/>
                <w:szCs w:val="21"/>
                <w:u w:val="none"/>
                <w:lang w:val="en-US" w:eastAsia="zh-CN"/>
              </w:rPr>
            </w:pPr>
            <w:r>
              <w:rPr>
                <w:rFonts w:hint="eastAsia" w:ascii="Arial" w:hAnsi="Arial" w:eastAsia="宋体" w:cs="Arial"/>
                <w:i w:val="0"/>
                <w:iCs w:val="0"/>
                <w:color w:val="000000"/>
                <w:sz w:val="21"/>
                <w:szCs w:val="21"/>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8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绩效指标</w:t>
            </w:r>
          </w:p>
        </w:tc>
        <w:tc>
          <w:tcPr>
            <w:tcW w:w="79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一级指标</w:t>
            </w:r>
          </w:p>
        </w:tc>
        <w:tc>
          <w:tcPr>
            <w:tcW w:w="1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二级指标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三级指标</w:t>
            </w: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年度指标值</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实际完成值</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产出指标</w:t>
            </w:r>
          </w:p>
        </w:tc>
        <w:tc>
          <w:tcPr>
            <w:tcW w:w="115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数量指标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指标1：计划年度符合生育政策、计划怀孕的城乡夫妇（包括流动人口）参检对数</w:t>
            </w: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671</w:t>
            </w:r>
            <w:r>
              <w:rPr>
                <w:rFonts w:hint="eastAsia" w:ascii="宋体" w:hAnsi="宋体" w:eastAsia="宋体" w:cs="宋体"/>
                <w:i w:val="0"/>
                <w:iCs w:val="0"/>
                <w:color w:val="000000"/>
                <w:kern w:val="0"/>
                <w:sz w:val="21"/>
                <w:szCs w:val="21"/>
                <w:u w:val="none"/>
                <w:lang w:val="en-US" w:eastAsia="zh-CN" w:bidi="ar"/>
              </w:rPr>
              <w:t>对</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685</w:t>
            </w:r>
            <w:r>
              <w:rPr>
                <w:rFonts w:hint="eastAsia" w:ascii="宋体" w:hAnsi="宋体" w:eastAsia="宋体" w:cs="宋体"/>
                <w:i w:val="0"/>
                <w:iCs w:val="0"/>
                <w:color w:val="000000"/>
                <w:kern w:val="0"/>
                <w:sz w:val="21"/>
                <w:szCs w:val="21"/>
                <w:u w:val="none"/>
                <w:lang w:val="en-US" w:eastAsia="zh-CN" w:bidi="ar"/>
              </w:rPr>
              <w:t>对</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15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质量指标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指标1：出生缺陷发生风险</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逐步降低</w:t>
            </w:r>
          </w:p>
        </w:tc>
        <w:tc>
          <w:tcPr>
            <w:tcW w:w="12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逐步降低</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15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时效指标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指标1：免费孕前优生健康检查目标人群覆盖率</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102.09%</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15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成本指标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指标1:每对参检夫妇结算标准</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240元</w:t>
            </w:r>
          </w:p>
        </w:tc>
        <w:tc>
          <w:tcPr>
            <w:tcW w:w="12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240元</w:t>
            </w:r>
          </w:p>
        </w:tc>
        <w:tc>
          <w:tcPr>
            <w:tcW w:w="1848"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17"/>
                <w:szCs w:val="17"/>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效益指标</w:t>
            </w:r>
          </w:p>
        </w:tc>
        <w:tc>
          <w:tcPr>
            <w:tcW w:w="1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经济效益 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指标1:家庭发展能力</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2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社会效益 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指标1:城乡计划怀孕夫妇优生科学知识知晓率</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2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生态效益 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指标1:妇女自我保护意识和选择科学合理避孕方式能力</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2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1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可持续影响 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指标1:城乡计划怀孕夫妇参加免费孕前优生健康检查的主动性和自觉性</w:t>
            </w:r>
          </w:p>
        </w:tc>
        <w:tc>
          <w:tcPr>
            <w:tcW w:w="10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2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逐步提高</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28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17"/>
                <w:szCs w:val="17"/>
                <w:u w:val="none"/>
              </w:rPr>
            </w:pPr>
          </w:p>
        </w:tc>
        <w:tc>
          <w:tcPr>
            <w:tcW w:w="79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满意度 指标</w:t>
            </w:r>
          </w:p>
        </w:tc>
        <w:tc>
          <w:tcPr>
            <w:tcW w:w="1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服务对象满 意度指标</w:t>
            </w:r>
          </w:p>
        </w:tc>
        <w:tc>
          <w:tcPr>
            <w:tcW w:w="205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7"/>
                <w:szCs w:val="17"/>
                <w:u w:val="none"/>
              </w:rPr>
            </w:pPr>
            <w:r>
              <w:rPr>
                <w:rFonts w:hint="eastAsia" w:ascii="宋体" w:hAnsi="宋体" w:eastAsia="宋体" w:cs="宋体"/>
                <w:i w:val="0"/>
                <w:iCs w:val="0"/>
                <w:color w:val="000000"/>
                <w:kern w:val="0"/>
                <w:sz w:val="17"/>
                <w:szCs w:val="17"/>
                <w:u w:val="none"/>
                <w:lang w:val="en-US" w:eastAsia="zh-CN" w:bidi="ar"/>
              </w:rPr>
              <w:t>指标1:孕前优生检查服务对象满意度</w:t>
            </w:r>
          </w:p>
        </w:tc>
        <w:tc>
          <w:tcPr>
            <w:tcW w:w="10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≥90%</w:t>
            </w:r>
          </w:p>
        </w:tc>
        <w:tc>
          <w:tcPr>
            <w:tcW w:w="12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95%</w:t>
            </w:r>
          </w:p>
        </w:tc>
        <w:tc>
          <w:tcPr>
            <w:tcW w:w="1848"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无偏差</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Style w:val="25"/>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70"/>
      <w:bookmarkEnd w:id="73"/>
      <w:bookmarkEnd w:id="74"/>
      <w:bookmarkStart w:id="75" w:name="_Toc15396619"/>
    </w:p>
    <w:p>
      <w:pPr>
        <w:bidi w:val="0"/>
        <w:rPr>
          <w:rFonts w:hint="eastAsia"/>
        </w:rPr>
      </w:pPr>
    </w:p>
    <w:p>
      <w:pPr>
        <w:pStyle w:val="4"/>
        <w:rPr>
          <w:rFonts w:ascii="仿宋" w:hAnsi="仿宋" w:eastAsia="仿宋"/>
          <w:color w:val="auto"/>
          <w:highlight w:val="none"/>
        </w:rPr>
      </w:pPr>
      <w:bookmarkStart w:id="76" w:name="_Toc3239"/>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76"/>
    </w:p>
    <w:p>
      <w:pPr>
        <w:pStyle w:val="4"/>
        <w:rPr>
          <w:rFonts w:ascii="仿宋" w:hAnsi="仿宋" w:eastAsia="仿宋"/>
          <w:color w:val="auto"/>
          <w:highlight w:val="none"/>
        </w:rPr>
      </w:pPr>
      <w:bookmarkStart w:id="77" w:name="_Toc9697"/>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77"/>
    </w:p>
    <w:p>
      <w:pPr>
        <w:pStyle w:val="4"/>
        <w:rPr>
          <w:rFonts w:ascii="仿宋" w:hAnsi="仿宋" w:eastAsia="仿宋"/>
          <w:color w:val="auto"/>
          <w:highlight w:val="none"/>
        </w:rPr>
      </w:pPr>
      <w:bookmarkStart w:id="78" w:name="_Toc7234"/>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78"/>
    </w:p>
    <w:p>
      <w:pPr>
        <w:pStyle w:val="4"/>
        <w:rPr>
          <w:rFonts w:ascii="仿宋" w:hAnsi="仿宋" w:eastAsia="仿宋"/>
          <w:b w:val="0"/>
          <w:color w:val="auto"/>
          <w:highlight w:val="none"/>
        </w:rPr>
      </w:pPr>
      <w:bookmarkStart w:id="79" w:name="_Toc5023"/>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79"/>
    </w:p>
    <w:p>
      <w:pPr>
        <w:pStyle w:val="4"/>
        <w:rPr>
          <w:rStyle w:val="26"/>
          <w:rFonts w:ascii="仿宋" w:hAnsi="仿宋" w:eastAsia="仿宋"/>
          <w:b w:val="0"/>
          <w:bCs w:val="0"/>
          <w:color w:val="auto"/>
          <w:highlight w:val="none"/>
        </w:rPr>
      </w:pPr>
      <w:bookmarkStart w:id="80" w:name="_Toc31741"/>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80"/>
    </w:p>
    <w:p>
      <w:pPr>
        <w:pStyle w:val="4"/>
        <w:rPr>
          <w:rFonts w:ascii="仿宋" w:hAnsi="仿宋" w:eastAsia="仿宋"/>
          <w:color w:val="auto"/>
          <w:highlight w:val="none"/>
        </w:rPr>
      </w:pPr>
      <w:bookmarkStart w:id="81" w:name="_Toc32183"/>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81"/>
    </w:p>
    <w:p>
      <w:pPr>
        <w:pStyle w:val="4"/>
        <w:rPr>
          <w:rFonts w:ascii="仿宋" w:hAnsi="仿宋" w:eastAsia="仿宋"/>
          <w:color w:val="auto"/>
          <w:highlight w:val="none"/>
        </w:rPr>
      </w:pPr>
      <w:bookmarkStart w:id="82" w:name="_Toc5498"/>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82"/>
    </w:p>
    <w:p>
      <w:pPr>
        <w:pStyle w:val="4"/>
        <w:rPr>
          <w:rFonts w:ascii="仿宋" w:hAnsi="仿宋" w:eastAsia="仿宋"/>
          <w:color w:val="auto"/>
          <w:highlight w:val="none"/>
        </w:rPr>
      </w:pPr>
      <w:bookmarkStart w:id="83" w:name="_Toc20234"/>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83"/>
    </w:p>
    <w:p>
      <w:pPr>
        <w:pStyle w:val="4"/>
        <w:rPr>
          <w:rFonts w:ascii="仿宋" w:hAnsi="仿宋" w:eastAsia="仿宋"/>
          <w:color w:val="auto"/>
          <w:highlight w:val="none"/>
        </w:rPr>
      </w:pPr>
      <w:bookmarkStart w:id="84" w:name="_Toc2271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84"/>
    </w:p>
    <w:p>
      <w:pPr>
        <w:pStyle w:val="4"/>
        <w:rPr>
          <w:rFonts w:ascii="仿宋" w:hAnsi="仿宋" w:eastAsia="仿宋"/>
          <w:color w:val="auto"/>
          <w:highlight w:val="none"/>
        </w:rPr>
      </w:pPr>
      <w:bookmarkStart w:id="85" w:name="_Toc11690"/>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85"/>
    </w:p>
    <w:p>
      <w:pPr>
        <w:pStyle w:val="4"/>
        <w:rPr>
          <w:rFonts w:ascii="仿宋" w:hAnsi="仿宋" w:eastAsia="仿宋"/>
          <w:color w:val="auto"/>
          <w:highlight w:val="none"/>
        </w:rPr>
      </w:pPr>
      <w:bookmarkStart w:id="86" w:name="_Toc22850"/>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86"/>
    </w:p>
    <w:p>
      <w:pPr>
        <w:pStyle w:val="4"/>
        <w:rPr>
          <w:rFonts w:ascii="仿宋" w:hAnsi="仿宋" w:eastAsia="仿宋"/>
          <w:color w:val="auto"/>
          <w:highlight w:val="none"/>
        </w:rPr>
      </w:pPr>
      <w:bookmarkStart w:id="87" w:name="_Toc5643"/>
      <w:r>
        <w:rPr>
          <w:rStyle w:val="26"/>
          <w:rFonts w:hint="eastAsia" w:ascii="仿宋" w:hAnsi="仿宋" w:eastAsia="仿宋"/>
          <w:b w:val="0"/>
          <w:bCs w:val="0"/>
          <w:color w:val="auto"/>
          <w:highlight w:val="none"/>
        </w:rPr>
        <w:t>十二、</w:t>
      </w:r>
      <w:r>
        <w:rPr>
          <w:rStyle w:val="26"/>
          <w:rFonts w:hint="eastAsia" w:ascii="仿宋" w:hAnsi="仿宋" w:eastAsia="仿宋"/>
          <w:b w:val="0"/>
          <w:bCs w:val="0"/>
          <w:color w:val="auto"/>
          <w:highlight w:val="none"/>
          <w:lang w:eastAsia="zh-CN"/>
        </w:rPr>
        <w:t>国有资本经营预算财政拨款支出决算表</w:t>
      </w:r>
      <w:bookmarkEnd w:id="87"/>
    </w:p>
    <w:p>
      <w:pPr>
        <w:pStyle w:val="4"/>
        <w:rPr>
          <w:rFonts w:hint="eastAsia" w:eastAsia="仿宋"/>
          <w:color w:val="auto"/>
          <w:highlight w:val="none"/>
          <w:lang w:eastAsia="zh-CN"/>
        </w:rPr>
      </w:pPr>
      <w:bookmarkStart w:id="88" w:name="_Toc9456"/>
      <w:r>
        <w:rPr>
          <w:rStyle w:val="26"/>
          <w:rFonts w:hint="eastAsia" w:ascii="仿宋" w:hAnsi="仿宋" w:eastAsia="仿宋"/>
          <w:b w:val="0"/>
          <w:bCs w:val="0"/>
          <w:color w:val="auto"/>
          <w:highlight w:val="none"/>
        </w:rPr>
        <w:t>十三、</w:t>
      </w:r>
      <w:r>
        <w:rPr>
          <w:rStyle w:val="26"/>
          <w:rFonts w:hint="eastAsia" w:ascii="仿宋" w:hAnsi="仿宋" w:eastAsia="仿宋"/>
          <w:b w:val="0"/>
          <w:bCs w:val="0"/>
          <w:color w:val="auto"/>
          <w:highlight w:val="none"/>
          <w:lang w:eastAsia="zh-CN"/>
        </w:rPr>
        <w:t>财政拨款“三公”经费支出决算表</w:t>
      </w:r>
      <w:bookmarkEnd w:id="88"/>
    </w:p>
    <w:bookmarkEnd w:id="75"/>
    <w:p>
      <w:pPr>
        <w:pStyle w:val="4"/>
        <w:outlineLvl w:val="9"/>
        <w:rPr>
          <w:rFonts w:hint="eastAsia" w:eastAsia="仿宋"/>
          <w:color w:val="auto"/>
          <w:highlight w:val="none"/>
          <w:lang w:eastAsia="zh-CN"/>
        </w:rPr>
      </w:pP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eastAsia="宋体"/>
        <w:lang w:val="en-US" w:eastAsia="zh-CN"/>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eastAsia="宋体"/>
        <w:lang w:val="en-US" w:eastAsia="zh-CN"/>
      </w:rP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eastAsia="宋体"/>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11"/>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E65590B"/>
    <w:rsid w:val="10C055FF"/>
    <w:rsid w:val="118107EC"/>
    <w:rsid w:val="11DD6519"/>
    <w:rsid w:val="16BB723D"/>
    <w:rsid w:val="16CF7171"/>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36C609F"/>
    <w:rsid w:val="45733ACC"/>
    <w:rsid w:val="48BF60AB"/>
    <w:rsid w:val="493C27E9"/>
    <w:rsid w:val="496F39ED"/>
    <w:rsid w:val="49FF41D3"/>
    <w:rsid w:val="4B5C6AE8"/>
    <w:rsid w:val="4BE068DB"/>
    <w:rsid w:val="4BF6002B"/>
    <w:rsid w:val="4ECE2238"/>
    <w:rsid w:val="51DA055B"/>
    <w:rsid w:val="51DB4B86"/>
    <w:rsid w:val="55333C3E"/>
    <w:rsid w:val="63A112EF"/>
    <w:rsid w:val="64CA39A1"/>
    <w:rsid w:val="64E14DCA"/>
    <w:rsid w:val="69630ADE"/>
    <w:rsid w:val="69D57BC9"/>
    <w:rsid w:val="6C4A05C8"/>
    <w:rsid w:val="6D3B1A89"/>
    <w:rsid w:val="71BF4EC2"/>
    <w:rsid w:val="72734D90"/>
    <w:rsid w:val="7412278C"/>
    <w:rsid w:val="75AE6A02"/>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semiHidden/>
    <w:qFormat/>
    <w:uiPriority w:val="99"/>
    <w:pPr>
      <w:ind w:left="200"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31"/>
    <w:basedOn w:val="14"/>
    <w:qFormat/>
    <w:uiPriority w:val="0"/>
    <w:rPr>
      <w:rFonts w:hint="eastAsia" w:ascii="宋体" w:hAnsi="宋体" w:eastAsia="宋体" w:cs="宋体"/>
      <w:color w:val="000000"/>
      <w:sz w:val="17"/>
      <w:szCs w:val="17"/>
      <w:u w:val="none"/>
    </w:rPr>
  </w:style>
  <w:style w:type="character" w:customStyle="1" w:styleId="32">
    <w:name w:val="font01"/>
    <w:basedOn w:val="14"/>
    <w:qFormat/>
    <w:uiPriority w:val="0"/>
    <w:rPr>
      <w:rFonts w:hint="eastAsia" w:ascii="宋体" w:hAnsi="宋体" w:eastAsia="宋体" w:cs="宋体"/>
      <w:color w:val="000000"/>
      <w:sz w:val="24"/>
      <w:szCs w:val="24"/>
      <w:u w:val="none"/>
    </w:rPr>
  </w:style>
  <w:style w:type="character" w:customStyle="1" w:styleId="33">
    <w:name w:val="font41"/>
    <w:basedOn w:val="14"/>
    <w:qFormat/>
    <w:uiPriority w:val="0"/>
    <w:rPr>
      <w:rFonts w:hint="eastAsia" w:ascii="宋体" w:hAnsi="宋体" w:eastAsia="宋体" w:cs="宋体"/>
      <w:color w:val="000000"/>
      <w:sz w:val="17"/>
      <w:szCs w:val="17"/>
      <w:u w:val="none"/>
    </w:rPr>
  </w:style>
  <w:style w:type="character" w:customStyle="1" w:styleId="34">
    <w:name w:val="font51"/>
    <w:basedOn w:val="14"/>
    <w:qFormat/>
    <w:uiPriority w:val="0"/>
    <w:rPr>
      <w:rFonts w:hint="eastAsia" w:ascii="宋体" w:hAnsi="宋体" w:eastAsia="宋体" w:cs="宋体"/>
      <w:color w:val="000000"/>
      <w:sz w:val="19"/>
      <w:szCs w:val="19"/>
      <w:u w:val="none"/>
    </w:rPr>
  </w:style>
  <w:style w:type="character" w:customStyle="1" w:styleId="35">
    <w:name w:val="font61"/>
    <w:basedOn w:val="14"/>
    <w:qFormat/>
    <w:uiPriority w:val="0"/>
    <w:rPr>
      <w:rFonts w:hint="eastAsia" w:ascii="宋体" w:hAnsi="宋体" w:eastAsia="宋体" w:cs="宋体"/>
      <w:color w:val="000000"/>
      <w:sz w:val="16"/>
      <w:szCs w:val="16"/>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6700;&#38754;\&#26032;&#24314;%20XLS%20&#24037;&#20316;&#34920;%20(3).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6700;&#38754;\&#26032;&#24314;%20XLS%20&#24037;&#20316;&#34920;%20(3).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6700;&#38754;\&#26032;&#24314;%20XLS%20&#24037;&#20316;&#34920;%20(3).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6700;&#38754;\&#26032;&#24314;%20XLS%20&#24037;&#20316;&#34920;%20(3).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6700;&#38754;\&#26032;&#24314;%20XLS%20&#24037;&#20316;&#34920;%20(3).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6700;&#38754;\&#26032;&#24314;%20XLS%20&#24037;&#20316;&#34920;%20(3).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6700;&#38754;\&#26032;&#24314;%20XLS%20&#24037;&#20316;&#34920;%20(3).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D:\&#26700;&#38754;\&#26032;&#24314;%20XLS%20&#24037;&#20316;&#34920;%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 (3).xls]Sheet1'!$A$2</c:f>
              <c:strCache>
                <c:ptCount val="1"/>
                <c:pt idx="0">
                  <c:v>2022年</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(3).xls]Sheet1'!$B$1:$C$1</c:f>
              <c:strCache>
                <c:ptCount val="2"/>
                <c:pt idx="0">
                  <c:v>收入</c:v>
                </c:pt>
                <c:pt idx="1">
                  <c:v>支出</c:v>
                </c:pt>
              </c:strCache>
            </c:strRef>
          </c:cat>
          <c:val>
            <c:numRef>
              <c:f>'[新建 XLS 工作表 (3).xls]Sheet1'!$B$2:$C$2</c:f>
              <c:numCache>
                <c:formatCode>General</c:formatCode>
                <c:ptCount val="2"/>
                <c:pt idx="0">
                  <c:v>3124.18</c:v>
                </c:pt>
                <c:pt idx="1">
                  <c:v>3124.18</c:v>
                </c:pt>
              </c:numCache>
            </c:numRef>
          </c:val>
        </c:ser>
        <c:ser>
          <c:idx val="1"/>
          <c:order val="1"/>
          <c:tx>
            <c:strRef>
              <c:f>'[新建 XLS 工作表 (3).xls]Sheet1'!$A$3</c:f>
              <c:strCache>
                <c:ptCount val="1"/>
                <c:pt idx="0">
                  <c:v>2021年</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(3).xls]Sheet1'!$B$1:$C$1</c:f>
              <c:strCache>
                <c:ptCount val="2"/>
                <c:pt idx="0">
                  <c:v>收入</c:v>
                </c:pt>
                <c:pt idx="1">
                  <c:v>支出</c:v>
                </c:pt>
              </c:strCache>
            </c:strRef>
          </c:cat>
          <c:val>
            <c:numRef>
              <c:f>'[新建 XLS 工作表 (3).xls]Sheet1'!$B$3:$C$3</c:f>
              <c:numCache>
                <c:formatCode>General</c:formatCode>
                <c:ptCount val="2"/>
                <c:pt idx="0">
                  <c:v>2685.32</c:v>
                </c:pt>
                <c:pt idx="1">
                  <c:v>3416.14</c:v>
                </c:pt>
              </c:numCache>
            </c:numRef>
          </c:val>
        </c:ser>
        <c:dLbls>
          <c:showLegendKey val="0"/>
          <c:showVal val="1"/>
          <c:showCatName val="0"/>
          <c:showSerName val="0"/>
          <c:showPercent val="0"/>
          <c:showBubbleSize val="0"/>
        </c:dLbls>
        <c:gapWidth val="219"/>
        <c:overlap val="-27"/>
        <c:axId val="915487671"/>
        <c:axId val="857219316"/>
      </c:barChart>
      <c:catAx>
        <c:axId val="915487671"/>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57219316"/>
        <c:crosses val="autoZero"/>
        <c:auto val="1"/>
        <c:lblAlgn val="ctr"/>
        <c:lblOffset val="100"/>
        <c:noMultiLvlLbl val="0"/>
      </c:catAx>
      <c:valAx>
        <c:axId val="857219316"/>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154876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5B9BD5"/>
              </a:solidFill>
              <a:ln w="19050">
                <a:solidFill>
                  <a:srgbClr val="FFFFFF"/>
                </a:solidFill>
              </a:ln>
              <a:effectLst/>
            </c:spPr>
          </c:dPt>
          <c:dPt>
            <c:idx val="1"/>
            <c:bubble3D val="0"/>
            <c:spPr>
              <a:solidFill>
                <a:srgbClr val="ED7D31"/>
              </a:solidFill>
              <a:ln w="19050">
                <a:solidFill>
                  <a:srgbClr val="FFFFFF"/>
                </a:solidFill>
              </a:ln>
              <a:effectLst/>
            </c:spPr>
          </c:dPt>
          <c:dPt>
            <c:idx val="2"/>
            <c:bubble3D val="0"/>
            <c:spPr>
              <a:solidFill>
                <a:srgbClr val="C55A11">
                  <a:lumMod val="75000"/>
                </a:srgbClr>
              </a:solidFill>
              <a:ln w="19050">
                <a:solidFill>
                  <a:srgbClr val="FFFFFF"/>
                </a:solidFill>
              </a:ln>
              <a:effectLst/>
            </c:spPr>
          </c:dPt>
          <c:dPt>
            <c:idx val="3"/>
            <c:bubble3D val="0"/>
            <c:spPr>
              <a:solidFill>
                <a:srgbClr val="FFC000"/>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(3).xls]Sheet1'!$A$27:$A$30</c:f>
              <c:strCache>
                <c:ptCount val="4"/>
                <c:pt idx="0">
                  <c:v>一般公共预算财政拨款收入</c:v>
                </c:pt>
                <c:pt idx="1">
                  <c:v>政府性基金预算财政拨款收入</c:v>
                </c:pt>
                <c:pt idx="2">
                  <c:v>事业收入</c:v>
                </c:pt>
                <c:pt idx="3">
                  <c:v>其他收入</c:v>
                </c:pt>
              </c:strCache>
            </c:strRef>
          </c:cat>
          <c:val>
            <c:numRef>
              <c:f>'[新建 XLS 工作表 (3).xls]Sheet1'!$B$27:$B$30</c:f>
              <c:numCache>
                <c:formatCode>General</c:formatCode>
                <c:ptCount val="4"/>
                <c:pt idx="0">
                  <c:v>689.61</c:v>
                </c:pt>
                <c:pt idx="1">
                  <c:v>13.78</c:v>
                </c:pt>
                <c:pt idx="2">
                  <c:v>2409.62</c:v>
                </c:pt>
                <c:pt idx="3">
                  <c:v>11.17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5B9BD5"/>
              </a:solidFill>
              <a:ln w="19050">
                <a:solidFill>
                  <a:srgbClr val="FFFFFF"/>
                </a:solidFill>
              </a:ln>
              <a:effectLst/>
            </c:spPr>
          </c:dPt>
          <c:dPt>
            <c:idx val="1"/>
            <c:bubble3D val="0"/>
            <c:spPr>
              <a:solidFill>
                <a:srgbClr val="ED7D31"/>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(3).xls]Sheet1'!$A$48:$A$49</c:f>
              <c:strCache>
                <c:ptCount val="2"/>
                <c:pt idx="0">
                  <c:v>基本支出</c:v>
                </c:pt>
                <c:pt idx="1">
                  <c:v>项目支出</c:v>
                </c:pt>
              </c:strCache>
            </c:strRef>
          </c:cat>
          <c:val>
            <c:numRef>
              <c:f>'[新建 XLS 工作表 (3).xls]Sheet1'!$B$48:$B$49</c:f>
              <c:numCache>
                <c:formatCode>General</c:formatCode>
                <c:ptCount val="2"/>
                <c:pt idx="0">
                  <c:v>2956.1</c:v>
                </c:pt>
                <c:pt idx="1">
                  <c:v>168.08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5B9BD5"/>
              </a:solidFill>
              <a:ln w="19050">
                <a:solidFill>
                  <a:srgbClr val="FFFFFF"/>
                </a:solidFill>
              </a:ln>
              <a:effectLst/>
            </c:spPr>
          </c:dPt>
          <c:dPt>
            <c:idx val="1"/>
            <c:bubble3D val="0"/>
            <c:spPr>
              <a:solidFill>
                <a:srgbClr val="ED7D31"/>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(3).xls]Sheet1'!$A$48:$A$49</c:f>
              <c:strCache>
                <c:ptCount val="2"/>
                <c:pt idx="0">
                  <c:v>基本支出</c:v>
                </c:pt>
                <c:pt idx="1">
                  <c:v>项目支出</c:v>
                </c:pt>
              </c:strCache>
            </c:strRef>
          </c:cat>
          <c:val>
            <c:numRef>
              <c:f>'[新建 XLS 工作表 (3).xls]Sheet1'!$B$48:$B$49</c:f>
              <c:numCache>
                <c:formatCode>General</c:formatCode>
                <c:ptCount val="2"/>
                <c:pt idx="0">
                  <c:v>2956.1</c:v>
                </c:pt>
                <c:pt idx="1">
                  <c:v>168.08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 (3).xls]Sheet1'!$H$46</c:f>
              <c:strCache>
                <c:ptCount val="1"/>
                <c:pt idx="0">
                  <c:v>2021年</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(3).xls]Sheet1'!$I$45:$J$45</c:f>
              <c:strCache>
                <c:ptCount val="2"/>
                <c:pt idx="0">
                  <c:v>财政拨款收入</c:v>
                </c:pt>
                <c:pt idx="1">
                  <c:v>财政拨款支出</c:v>
                </c:pt>
              </c:strCache>
            </c:strRef>
          </c:cat>
          <c:val>
            <c:numRef>
              <c:f>'[新建 XLS 工作表 (3).xls]Sheet1'!$I$46:$J$46</c:f>
              <c:numCache>
                <c:formatCode>General</c:formatCode>
                <c:ptCount val="2"/>
                <c:pt idx="0">
                  <c:v>565.74</c:v>
                </c:pt>
                <c:pt idx="1">
                  <c:v>1296.55</c:v>
                </c:pt>
              </c:numCache>
            </c:numRef>
          </c:val>
        </c:ser>
        <c:ser>
          <c:idx val="1"/>
          <c:order val="1"/>
          <c:tx>
            <c:strRef>
              <c:f>'[新建 XLS 工作表 (3).xls]Sheet1'!$H$47</c:f>
              <c:strCache>
                <c:ptCount val="1"/>
                <c:pt idx="0">
                  <c:v>2022年</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(3).xls]Sheet1'!$I$45:$J$45</c:f>
              <c:strCache>
                <c:ptCount val="2"/>
                <c:pt idx="0">
                  <c:v>财政拨款收入</c:v>
                </c:pt>
                <c:pt idx="1">
                  <c:v>财政拨款支出</c:v>
                </c:pt>
              </c:strCache>
            </c:strRef>
          </c:cat>
          <c:val>
            <c:numRef>
              <c:f>'[新建 XLS 工作表 (3).xls]Sheet1'!$I$47:$J$47</c:f>
              <c:numCache>
                <c:formatCode>General</c:formatCode>
                <c:ptCount val="2"/>
                <c:pt idx="0">
                  <c:v>703.4</c:v>
                </c:pt>
                <c:pt idx="1">
                  <c:v>703.4</c:v>
                </c:pt>
              </c:numCache>
            </c:numRef>
          </c:val>
        </c:ser>
        <c:dLbls>
          <c:showLegendKey val="0"/>
          <c:showVal val="1"/>
          <c:showCatName val="0"/>
          <c:showSerName val="0"/>
          <c:showPercent val="0"/>
          <c:showBubbleSize val="0"/>
        </c:dLbls>
        <c:gapWidth val="219"/>
        <c:overlap val="-27"/>
        <c:axId val="81076555"/>
        <c:axId val="672577106"/>
      </c:barChart>
      <c:catAx>
        <c:axId val="810765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2577106"/>
        <c:crosses val="autoZero"/>
        <c:auto val="1"/>
        <c:lblAlgn val="ctr"/>
        <c:lblOffset val="100"/>
        <c:noMultiLvlLbl val="0"/>
      </c:catAx>
      <c:valAx>
        <c:axId val="6725771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765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 (3).xls]Sheet1'!$H$46</c:f>
              <c:strCache>
                <c:ptCount val="1"/>
                <c:pt idx="0">
                  <c:v>2021年</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(3).xls]Sheet1'!$I$45:$J$45</c:f>
              <c:strCache>
                <c:ptCount val="2"/>
                <c:pt idx="0">
                  <c:v>财政拨款收入</c:v>
                </c:pt>
                <c:pt idx="1">
                  <c:v>财政拨款支出</c:v>
                </c:pt>
              </c:strCache>
            </c:strRef>
          </c:cat>
          <c:val>
            <c:numRef>
              <c:f>'[新建 XLS 工作表 (3).xls]Sheet1'!$I$46:$J$46</c:f>
              <c:numCache>
                <c:formatCode>General</c:formatCode>
                <c:ptCount val="2"/>
                <c:pt idx="0">
                  <c:v>565.74</c:v>
                </c:pt>
                <c:pt idx="1">
                  <c:v>1296.55</c:v>
                </c:pt>
              </c:numCache>
            </c:numRef>
          </c:val>
        </c:ser>
        <c:ser>
          <c:idx val="1"/>
          <c:order val="1"/>
          <c:tx>
            <c:strRef>
              <c:f>'[新建 XLS 工作表 (3).xls]Sheet1'!$H$47</c:f>
              <c:strCache>
                <c:ptCount val="1"/>
                <c:pt idx="0">
                  <c:v>2022年</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(3).xls]Sheet1'!$I$45:$J$45</c:f>
              <c:strCache>
                <c:ptCount val="2"/>
                <c:pt idx="0">
                  <c:v>财政拨款收入</c:v>
                </c:pt>
                <c:pt idx="1">
                  <c:v>财政拨款支出</c:v>
                </c:pt>
              </c:strCache>
            </c:strRef>
          </c:cat>
          <c:val>
            <c:numRef>
              <c:f>'[新建 XLS 工作表 (3).xls]Sheet1'!$I$47:$J$47</c:f>
              <c:numCache>
                <c:formatCode>General</c:formatCode>
                <c:ptCount val="2"/>
                <c:pt idx="0">
                  <c:v>703.4</c:v>
                </c:pt>
                <c:pt idx="1">
                  <c:v>703.4</c:v>
                </c:pt>
              </c:numCache>
            </c:numRef>
          </c:val>
        </c:ser>
        <c:dLbls>
          <c:showLegendKey val="0"/>
          <c:showVal val="1"/>
          <c:showCatName val="0"/>
          <c:showSerName val="0"/>
          <c:showPercent val="0"/>
          <c:showBubbleSize val="0"/>
        </c:dLbls>
        <c:gapWidth val="219"/>
        <c:overlap val="-27"/>
        <c:axId val="81076555"/>
        <c:axId val="672577106"/>
      </c:barChart>
      <c:catAx>
        <c:axId val="8107655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72577106"/>
        <c:crosses val="autoZero"/>
        <c:auto val="1"/>
        <c:lblAlgn val="ctr"/>
        <c:lblOffset val="100"/>
        <c:noMultiLvlLbl val="0"/>
      </c:catAx>
      <c:valAx>
        <c:axId val="672577106"/>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10765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 (3).xls]Sheet1'!$H$72</c:f>
              <c:strCache>
                <c:ptCount val="1"/>
                <c:pt idx="0">
                  <c:v>一般公共预算财政拨款支出</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(3).xls]Sheet1'!$I$71:$J$71</c:f>
              <c:strCache>
                <c:ptCount val="2"/>
                <c:pt idx="0">
                  <c:v>2022年</c:v>
                </c:pt>
                <c:pt idx="1">
                  <c:v>2021年</c:v>
                </c:pt>
              </c:strCache>
            </c:strRef>
          </c:cat>
          <c:val>
            <c:numRef>
              <c:f>'[新建 XLS 工作表 (3).xls]Sheet1'!$I$72:$J$72</c:f>
              <c:numCache>
                <c:formatCode>General</c:formatCode>
                <c:ptCount val="2"/>
                <c:pt idx="0">
                  <c:v>689.61</c:v>
                </c:pt>
                <c:pt idx="1">
                  <c:v>1296.55</c:v>
                </c:pt>
              </c:numCache>
            </c:numRef>
          </c:val>
        </c:ser>
        <c:dLbls>
          <c:showLegendKey val="0"/>
          <c:showVal val="1"/>
          <c:showCatName val="0"/>
          <c:showSerName val="0"/>
          <c:showPercent val="0"/>
          <c:showBubbleSize val="0"/>
        </c:dLbls>
        <c:gapWidth val="75"/>
        <c:overlap val="0"/>
        <c:axId val="615980943"/>
        <c:axId val="394002553"/>
      </c:barChart>
      <c:catAx>
        <c:axId val="61598094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4002553"/>
        <c:crosses val="autoZero"/>
        <c:auto val="1"/>
        <c:lblAlgn val="ctr"/>
        <c:lblOffset val="100"/>
        <c:noMultiLvlLbl val="0"/>
      </c:catAx>
      <c:valAx>
        <c:axId val="394002553"/>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159809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5B9BD5"/>
              </a:solidFill>
              <a:ln w="19050">
                <a:solidFill>
                  <a:srgbClr val="FFFFFF"/>
                </a:solidFill>
              </a:ln>
              <a:effectLst/>
            </c:spPr>
          </c:dPt>
          <c:dPt>
            <c:idx val="1"/>
            <c:bubble3D val="0"/>
            <c:spPr>
              <a:solidFill>
                <a:srgbClr val="ED7D31"/>
              </a:solidFill>
              <a:ln w="19050">
                <a:solidFill>
                  <a:srgbClr val="FFFFFF"/>
                </a:solidFill>
              </a:ln>
              <a:effectLst/>
            </c:spPr>
          </c:dPt>
          <c:dPt>
            <c:idx val="2"/>
            <c:bubble3D val="0"/>
            <c:spPr>
              <a:solidFill>
                <a:srgbClr val="A5A5A5"/>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 (3).xls]Sheet1'!$A$77:$A$79</c:f>
              <c:strCache>
                <c:ptCount val="3"/>
                <c:pt idx="0">
                  <c:v>社会保障和就业</c:v>
                </c:pt>
                <c:pt idx="1">
                  <c:v>卫生健康支出</c:v>
                </c:pt>
                <c:pt idx="2">
                  <c:v>住房保障支出</c:v>
                </c:pt>
              </c:strCache>
            </c:strRef>
          </c:cat>
          <c:val>
            <c:numRef>
              <c:f>'[新建 XLS 工作表 (3).xls]Sheet1'!$B$77:$B$79</c:f>
              <c:numCache>
                <c:formatCode>General</c:formatCode>
                <c:ptCount val="3"/>
                <c:pt idx="0">
                  <c:v>113.75</c:v>
                </c:pt>
                <c:pt idx="1">
                  <c:v>531.68</c:v>
                </c:pt>
                <c:pt idx="2">
                  <c:v>44.18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8015</Words>
  <Characters>9066</Characters>
  <Lines>61</Lines>
  <Paragraphs>17</Paragraphs>
  <TotalTime>2</TotalTime>
  <ScaleCrop>false</ScaleCrop>
  <LinksUpToDate>false</LinksUpToDate>
  <CharactersWithSpaces>9247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2023-09-28T09:11:09Z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AFA40141F11743A7AF9049766239B735_13</vt:lpwstr>
  </property>
</Properties>
</file>