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eastAsia="方正小标宋简体"/>
          <w:color w:val="auto"/>
          <w:sz w:val="21"/>
          <w:szCs w:val="21"/>
          <w:highlight w:val="none"/>
        </w:rPr>
      </w:pPr>
      <w:bookmarkStart w:id="0" w:name="_Toc15306267"/>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bookmarkEnd w:id="0"/>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15396597"/>
      <w:bookmarkStart w:id="2" w:name="_Toc15396475"/>
      <w:bookmarkStart w:id="3" w:name="_Toc15377193"/>
      <w:bookmarkStart w:id="4" w:name="_Toc24615"/>
      <w:bookmarkStart w:id="5" w:name="_Toc15377425"/>
      <w:bookmarkStart w:id="6" w:name="_Toc15378441"/>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22</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7" w:name="_Toc15396598"/>
      <w:bookmarkStart w:id="8" w:name="_Toc15377194"/>
      <w:bookmarkStart w:id="9" w:name="_Toc15378442"/>
      <w:bookmarkStart w:id="10" w:name="_Toc28891"/>
      <w:bookmarkStart w:id="11" w:name="_Toc15396476"/>
      <w:bookmarkStart w:id="12" w:name="_Toc15377426"/>
      <w:r>
        <w:rPr>
          <w:rFonts w:hint="eastAsia" w:ascii="方正小标宋简体" w:eastAsia="方正小标宋简体" w:cs="方正小标宋简体"/>
          <w:color w:val="auto"/>
          <w:sz w:val="72"/>
          <w:szCs w:val="72"/>
          <w:highlight w:val="none"/>
        </w:rPr>
        <w:t>四川省</w:t>
      </w:r>
      <w:bookmarkStart w:id="13" w:name="_Toc15306268"/>
      <w:r>
        <w:rPr>
          <w:rFonts w:hint="eastAsia" w:ascii="方正小标宋简体" w:eastAsia="方正小标宋简体" w:cs="方正小标宋简体"/>
          <w:color w:val="auto"/>
          <w:sz w:val="72"/>
          <w:szCs w:val="72"/>
          <w:highlight w:val="none"/>
        </w:rPr>
        <w:t>广元市</w:t>
      </w:r>
      <w:r>
        <w:rPr>
          <w:rFonts w:hint="eastAsia" w:ascii="方正小标宋简体" w:eastAsia="方正小标宋简体" w:cs="方正小标宋简体"/>
          <w:color w:val="auto"/>
          <w:sz w:val="72"/>
          <w:szCs w:val="72"/>
          <w:highlight w:val="none"/>
          <w:lang w:eastAsia="zh-CN"/>
        </w:rPr>
        <w:t>昭化区张家乡</w:t>
      </w:r>
      <w:r>
        <w:rPr>
          <w:rFonts w:hint="eastAsia" w:ascii="方正小标宋简体" w:eastAsia="方正小标宋简体" w:cs="方正小标宋简体"/>
          <w:color w:val="auto"/>
          <w:sz w:val="72"/>
          <w:szCs w:val="72"/>
          <w:highlight w:val="none"/>
        </w:rPr>
        <w:t>卫生院</w:t>
      </w:r>
      <w:r>
        <w:rPr>
          <w:rFonts w:hint="eastAsia" w:ascii="方正小标宋简体" w:eastAsia="方正小标宋简体" w:cs="方正小标宋简体"/>
          <w:color w:val="auto"/>
          <w:sz w:val="72"/>
          <w:szCs w:val="72"/>
          <w:highlight w:val="none"/>
          <w:lang w:eastAsia="zh-CN"/>
        </w:rPr>
        <w:t>单位</w:t>
      </w:r>
      <w:r>
        <w:rPr>
          <w:rFonts w:hint="eastAsia" w:asci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widowControl/>
        <w:jc w:val="center"/>
        <w:rPr>
          <w:rFonts w:ascii="黑体" w:eastAsia="黑体" w:cs="Arial"/>
          <w:color w:val="auto"/>
          <w:sz w:val="28"/>
          <w:szCs w:val="28"/>
          <w:highlight w:val="none"/>
        </w:rPr>
      </w:pPr>
      <w:r>
        <w:rPr>
          <w:rFonts w:ascii="方正小标宋简体" w:eastAsia="方正小标宋简体"/>
          <w:color w:val="auto"/>
          <w:sz w:val="36"/>
          <w:szCs w:val="36"/>
          <w:highlight w:val="none"/>
        </w:rPr>
        <w:br w:type="page"/>
      </w:r>
      <w:r>
        <w:rPr>
          <w:rFonts w:hint="eastAsia" w:ascii="黑体" w:eastAsia="黑体"/>
          <w:color w:val="auto"/>
          <w:sz w:val="48"/>
          <w:szCs w:val="48"/>
          <w:highlight w:val="none"/>
        </w:rPr>
        <w:t>目录</w:t>
      </w:r>
      <w:bookmarkStart w:id="330" w:name="_GoBack"/>
      <w:bookmarkEnd w:id="330"/>
    </w:p>
    <w:p>
      <w:pPr>
        <w:spacing w:before="0" w:beforeLines="0" w:after="0" w:afterLines="0" w:line="240" w:lineRule="auto"/>
        <w:ind w:left="0" w:leftChars="0" w:right="0" w:rightChars="0" w:firstLine="0" w:firstLineChars="0"/>
        <w:jc w:val="cente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28</w:t>
      </w:r>
      <w:r>
        <w:rPr>
          <w:rFonts w:hint="eastAsia"/>
          <w:color w:val="auto"/>
          <w:highlight w:val="none"/>
        </w:rPr>
        <w:t>日</w:t>
      </w:r>
    </w:p>
    <w:sdt>
      <w:sdtPr>
        <w:rPr>
          <w:rFonts w:ascii="宋体" w:hAnsi="宋体" w:eastAsia="宋体" w:cs="Times New Roman"/>
          <w:kern w:val="2"/>
          <w:sz w:val="21"/>
          <w:szCs w:val="24"/>
          <w:lang w:val="en-US" w:eastAsia="zh-CN" w:bidi="ar-SA"/>
        </w:rPr>
        <w:id w:val="147474244"/>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pPr>
          <w:bookmarkStart w:id="14" w:name="_Toc3275_WPSOffice_Type3"/>
        </w:p>
        <w:p>
          <w:pPr>
            <w:pStyle w:val="20"/>
            <w:tabs>
              <w:tab w:val="right" w:leader="dot" w:pos="8306"/>
            </w:tabs>
          </w:pPr>
          <w:r>
            <w:fldChar w:fldCharType="begin"/>
          </w:r>
          <w:r>
            <w:instrText xml:space="preserve"> HYPERLINK \l _Toc23254_WPSOffice_Level1 </w:instrText>
          </w:r>
          <w:r>
            <w:fldChar w:fldCharType="separate"/>
          </w:r>
          <w:sdt>
            <w:sdtPr>
              <w:rPr>
                <w:rFonts w:ascii="Times New Roman" w:hAnsi="Times New Roman" w:eastAsia="宋体" w:cs="Times New Roman"/>
                <w:kern w:val="2"/>
                <w:sz w:val="21"/>
                <w:szCs w:val="24"/>
                <w:lang w:val="en-US" w:eastAsia="zh-CN" w:bidi="ar-SA"/>
              </w:rPr>
              <w:id w:val="147474244"/>
              <w:placeholder>
                <w:docPart w:val="{e2aee606-3c98-4d4d-990f-952d96d31050}"/>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第一部分 单位概况</w:t>
              </w:r>
            </w:sdtContent>
          </w:sdt>
          <w:r>
            <w:tab/>
          </w:r>
          <w:bookmarkStart w:id="15" w:name="_Toc23254_WPSOffice_Level1Page"/>
          <w:r>
            <w:t>1</w:t>
          </w:r>
          <w:bookmarkEnd w:id="15"/>
          <w:r>
            <w:fldChar w:fldCharType="end"/>
          </w:r>
        </w:p>
        <w:p>
          <w:pPr>
            <w:pStyle w:val="21"/>
            <w:tabs>
              <w:tab w:val="right" w:leader="dot" w:pos="8306"/>
            </w:tabs>
          </w:pPr>
          <w:r>
            <w:fldChar w:fldCharType="begin"/>
          </w:r>
          <w:r>
            <w:instrText xml:space="preserve"> HYPERLINK \l _Toc3275_WPSOffice_Level2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abdaa1a3-8db6-4065-aa99-48d23d615e91}"/>
              </w:placeholder>
            </w:sdtPr>
            <w:sdtEndPr>
              <w:rPr>
                <w:rFonts w:ascii="Times New Roman" w:hAnsi="Times New Roman" w:eastAsia="宋体" w:cs="Times New Roman"/>
                <w:kern w:val="2"/>
                <w:sz w:val="21"/>
                <w:szCs w:val="24"/>
                <w:lang w:val="en-US" w:eastAsia="zh-CN" w:bidi="ar-SA"/>
              </w:rPr>
            </w:sdtEndPr>
            <w:sdtContent>
              <w:r>
                <w:rPr>
                  <w:rFonts w:hint="eastAsia" w:ascii="黑体" w:hAnsi="Calibri Light" w:eastAsia="黑体" w:cs="Times New Roman"/>
                </w:rPr>
                <w:t>一、 主要职责</w:t>
              </w:r>
            </w:sdtContent>
          </w:sdt>
          <w:r>
            <w:tab/>
          </w:r>
          <w:bookmarkStart w:id="16" w:name="_Toc3275_WPSOffice_Level2Page"/>
          <w:r>
            <w:t>1</w:t>
          </w:r>
          <w:bookmarkEnd w:id="16"/>
          <w:r>
            <w:fldChar w:fldCharType="end"/>
          </w:r>
        </w:p>
        <w:p>
          <w:pPr>
            <w:pStyle w:val="21"/>
            <w:tabs>
              <w:tab w:val="right" w:leader="dot" w:pos="8306"/>
            </w:tabs>
          </w:pPr>
          <w:r>
            <w:fldChar w:fldCharType="begin"/>
          </w:r>
          <w:r>
            <w:instrText xml:space="preserve"> HYPERLINK \l _Toc27201_WPSOffice_Level2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ac52c4f1-312f-461b-8a84-b16be0da794a}"/>
              </w:placeholder>
            </w:sdtPr>
            <w:sdtEndPr>
              <w:rPr>
                <w:rFonts w:ascii="Times New Roman" w:hAnsi="Times New Roman" w:eastAsia="宋体" w:cs="Times New Roman"/>
                <w:kern w:val="2"/>
                <w:sz w:val="21"/>
                <w:szCs w:val="24"/>
                <w:lang w:val="en-US" w:eastAsia="zh-CN" w:bidi="ar-SA"/>
              </w:rPr>
            </w:sdtEndPr>
            <w:sdtContent>
              <w:r>
                <w:rPr>
                  <w:rFonts w:hint="eastAsia" w:ascii="黑体" w:hAnsi="Calibri Light" w:eastAsia="黑体" w:cs="Times New Roman"/>
                </w:rPr>
                <w:t>二、机构设置</w:t>
              </w:r>
            </w:sdtContent>
          </w:sdt>
          <w:r>
            <w:tab/>
          </w:r>
          <w:bookmarkStart w:id="17" w:name="_Toc27201_WPSOffice_Level2Page"/>
          <w:r>
            <w:t>2</w:t>
          </w:r>
          <w:bookmarkEnd w:id="17"/>
          <w:r>
            <w:fldChar w:fldCharType="end"/>
          </w:r>
        </w:p>
        <w:p>
          <w:pPr>
            <w:pStyle w:val="20"/>
            <w:tabs>
              <w:tab w:val="right" w:leader="dot" w:pos="8306"/>
            </w:tabs>
          </w:pPr>
          <w:r>
            <w:fldChar w:fldCharType="begin"/>
          </w:r>
          <w:r>
            <w:instrText xml:space="preserve"> HYPERLINK \l _Toc3275_WPSOffice_Level1 </w:instrText>
          </w:r>
          <w:r>
            <w:fldChar w:fldCharType="separate"/>
          </w:r>
          <w:sdt>
            <w:sdtPr>
              <w:rPr>
                <w:rFonts w:ascii="Times New Roman" w:hAnsi="Times New Roman" w:eastAsia="宋体" w:cs="Times New Roman"/>
                <w:kern w:val="2"/>
                <w:sz w:val="21"/>
                <w:szCs w:val="24"/>
                <w:lang w:val="en-US" w:eastAsia="zh-CN" w:bidi="ar-SA"/>
              </w:rPr>
              <w:id w:val="147474244"/>
              <w:placeholder>
                <w:docPart w:val="{000a4df3-3f5d-4a0c-9ee7-40f61a0fbd1d}"/>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第二部分 2022年度单位决算情况说明</w:t>
              </w:r>
            </w:sdtContent>
          </w:sdt>
          <w:r>
            <w:tab/>
          </w:r>
          <w:bookmarkStart w:id="18" w:name="_Toc3275_WPSOffice_Level1Page"/>
          <w:r>
            <w:t>3</w:t>
          </w:r>
          <w:bookmarkEnd w:id="18"/>
          <w:r>
            <w:fldChar w:fldCharType="end"/>
          </w:r>
        </w:p>
        <w:p>
          <w:pPr>
            <w:pStyle w:val="21"/>
            <w:tabs>
              <w:tab w:val="right" w:leader="dot" w:pos="8306"/>
            </w:tabs>
          </w:pPr>
          <w:r>
            <w:fldChar w:fldCharType="begin"/>
          </w:r>
          <w:r>
            <w:instrText xml:space="preserve"> HYPERLINK \l _Toc12506_WPSOffice_Level2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e4828622-61f7-45aa-b707-38fa8f6e9619}"/>
              </w:placeholder>
            </w:sdtPr>
            <w:sdtEndPr>
              <w:rPr>
                <w:rFonts w:ascii="Times New Roman" w:hAnsi="Times New Roman" w:eastAsia="宋体" w:cs="Times New Roman"/>
                <w:kern w:val="2"/>
                <w:sz w:val="21"/>
                <w:szCs w:val="24"/>
                <w:lang w:val="en-US" w:eastAsia="zh-CN" w:bidi="ar-SA"/>
              </w:rPr>
            </w:sdtEndPr>
            <w:sdtContent>
              <w:r>
                <w:rPr>
                  <w:rFonts w:hint="default" w:ascii="黑体" w:hAnsi="Calibri Light" w:eastAsia="黑体" w:cs="Times New Roman"/>
                </w:rPr>
                <w:t xml:space="preserve">一、 </w:t>
              </w:r>
              <w:r>
                <w:rPr>
                  <w:rFonts w:hint="eastAsia" w:ascii="黑体" w:hAnsi="Times New Roman" w:eastAsia="黑体" w:cs="Times New Roman"/>
                </w:rPr>
                <w:t>收</w:t>
              </w:r>
              <w:r>
                <w:rPr>
                  <w:rFonts w:hint="eastAsia" w:ascii="黑体" w:hAnsi="Calibri Light" w:eastAsia="黑体" w:cs="Times New Roman"/>
                </w:rPr>
                <w:t>入支出决算总体情况说明</w:t>
              </w:r>
            </w:sdtContent>
          </w:sdt>
          <w:r>
            <w:tab/>
          </w:r>
          <w:bookmarkStart w:id="19" w:name="_Toc12506_WPSOffice_Level2Page"/>
          <w:r>
            <w:t>3</w:t>
          </w:r>
          <w:bookmarkEnd w:id="19"/>
          <w:r>
            <w:fldChar w:fldCharType="end"/>
          </w:r>
        </w:p>
        <w:p>
          <w:pPr>
            <w:pStyle w:val="21"/>
            <w:tabs>
              <w:tab w:val="right" w:leader="dot" w:pos="8306"/>
            </w:tabs>
          </w:pPr>
          <w:r>
            <w:fldChar w:fldCharType="begin"/>
          </w:r>
          <w:r>
            <w:instrText xml:space="preserve"> HYPERLINK \l _Toc8274_WPSOffice_Level2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42f4a939-9f82-4d6c-a503-f57f95cebead}"/>
              </w:placeholder>
            </w:sdtPr>
            <w:sdtEndPr>
              <w:rPr>
                <w:rFonts w:ascii="Times New Roman" w:hAnsi="Times New Roman" w:eastAsia="宋体" w:cs="Times New Roman"/>
                <w:kern w:val="2"/>
                <w:sz w:val="21"/>
                <w:szCs w:val="24"/>
                <w:lang w:val="en-US" w:eastAsia="zh-CN" w:bidi="ar-SA"/>
              </w:rPr>
            </w:sdtEndPr>
            <w:sdtContent>
              <w:r>
                <w:rPr>
                  <w:rFonts w:hint="default" w:ascii="黑体" w:hAnsi="Calibri Light" w:eastAsia="黑体" w:cs="Times New Roman"/>
                </w:rPr>
                <w:t xml:space="preserve">二、 </w:t>
              </w:r>
              <w:r>
                <w:rPr>
                  <w:rFonts w:hint="eastAsia" w:ascii="黑体" w:hAnsi="Times New Roman" w:eastAsia="黑体" w:cs="Times New Roman"/>
                </w:rPr>
                <w:t>收</w:t>
              </w:r>
              <w:r>
                <w:rPr>
                  <w:rFonts w:hint="eastAsia" w:ascii="黑体" w:hAnsi="Calibri Light" w:eastAsia="黑体" w:cs="Times New Roman"/>
                </w:rPr>
                <w:t>入决算情况说明</w:t>
              </w:r>
            </w:sdtContent>
          </w:sdt>
          <w:r>
            <w:tab/>
          </w:r>
          <w:bookmarkStart w:id="20" w:name="_Toc8274_WPSOffice_Level2Page"/>
          <w:r>
            <w:t>3</w:t>
          </w:r>
          <w:bookmarkEnd w:id="20"/>
          <w:r>
            <w:fldChar w:fldCharType="end"/>
          </w:r>
        </w:p>
        <w:p>
          <w:pPr>
            <w:pStyle w:val="22"/>
            <w:tabs>
              <w:tab w:val="right" w:leader="dot" w:pos="8306"/>
            </w:tabs>
          </w:pPr>
          <w:r>
            <w:fldChar w:fldCharType="begin"/>
          </w:r>
          <w:r>
            <w:instrText xml:space="preserve"> HYPERLINK \l _Toc3275_WPSOffice_Level3 </w:instrText>
          </w:r>
          <w:r>
            <w:fldChar w:fldCharType="separate"/>
          </w:r>
          <w:sdt>
            <w:sdtPr>
              <w:rPr>
                <w:rFonts w:ascii="Times New Roman" w:hAnsi="Times New Roman" w:eastAsia="宋体" w:cs="Times New Roman"/>
                <w:kern w:val="2"/>
                <w:sz w:val="21"/>
                <w:szCs w:val="24"/>
                <w:lang w:val="en-US" w:eastAsia="zh-CN" w:bidi="ar-SA"/>
              </w:rPr>
              <w:id w:val="147474244"/>
              <w:placeholder>
                <w:docPart w:val="{d964f53b-5979-46af-bcc4-f20be9cbead0}"/>
              </w:placeholder>
            </w:sdtPr>
            <w:sdtEndPr>
              <w:rPr>
                <w:rFonts w:ascii="Times New Roman" w:hAnsi="Times New Roman" w:eastAsia="宋体" w:cs="Times New Roman"/>
                <w:kern w:val="2"/>
                <w:sz w:val="21"/>
                <w:szCs w:val="24"/>
                <w:lang w:val="en-US" w:eastAsia="zh-CN" w:bidi="ar-SA"/>
              </w:rPr>
            </w:sdtEndPr>
            <w:sdtContent>
              <w:r>
                <w:rPr>
                  <w:rFonts w:hint="eastAsia" w:ascii="仿宋" w:hAnsi="Times New Roman" w:eastAsia="仿宋" w:cs="Times New Roman"/>
                </w:rPr>
                <w:t>（图2：收入决算结构图）（饼状图）</w:t>
              </w:r>
            </w:sdtContent>
          </w:sdt>
          <w:r>
            <w:tab/>
          </w:r>
          <w:bookmarkStart w:id="21" w:name="_Toc3275_WPSOffice_Level3Page"/>
          <w:r>
            <w:t>4</w:t>
          </w:r>
          <w:bookmarkEnd w:id="21"/>
          <w:r>
            <w:fldChar w:fldCharType="end"/>
          </w:r>
        </w:p>
        <w:p>
          <w:pPr>
            <w:pStyle w:val="21"/>
            <w:tabs>
              <w:tab w:val="right" w:leader="dot" w:pos="8306"/>
            </w:tabs>
          </w:pPr>
          <w:r>
            <w:fldChar w:fldCharType="begin"/>
          </w:r>
          <w:r>
            <w:instrText xml:space="preserve"> HYPERLINK \l _Toc10134_WPSOffice_Level2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f14a841e-aa0a-465a-bb13-bf2e731d37dd}"/>
              </w:placeholder>
            </w:sdtPr>
            <w:sdtEndPr>
              <w:rPr>
                <w:rFonts w:ascii="Times New Roman" w:hAnsi="Times New Roman" w:eastAsia="宋体" w:cs="Times New Roman"/>
                <w:kern w:val="2"/>
                <w:sz w:val="21"/>
                <w:szCs w:val="24"/>
                <w:lang w:val="en-US" w:eastAsia="zh-CN" w:bidi="ar-SA"/>
              </w:rPr>
            </w:sdtEndPr>
            <w:sdtContent>
              <w:r>
                <w:rPr>
                  <w:rFonts w:hint="default" w:ascii="黑体" w:hAnsi="Calibri Light" w:eastAsia="黑体" w:cs="Times New Roman"/>
                </w:rPr>
                <w:t xml:space="preserve">三、 </w:t>
              </w:r>
              <w:r>
                <w:rPr>
                  <w:rFonts w:hint="eastAsia" w:ascii="黑体" w:hAnsi="Times New Roman" w:eastAsia="黑体" w:cs="Times New Roman"/>
                </w:rPr>
                <w:t>支</w:t>
              </w:r>
              <w:r>
                <w:rPr>
                  <w:rFonts w:hint="eastAsia" w:ascii="黑体" w:hAnsi="Calibri Light" w:eastAsia="黑体" w:cs="Times New Roman"/>
                </w:rPr>
                <w:t>出决算情况说明</w:t>
              </w:r>
            </w:sdtContent>
          </w:sdt>
          <w:r>
            <w:tab/>
          </w:r>
          <w:bookmarkStart w:id="22" w:name="_Toc10134_WPSOffice_Level2Page"/>
          <w:r>
            <w:t>4</w:t>
          </w:r>
          <w:bookmarkEnd w:id="22"/>
          <w:r>
            <w:fldChar w:fldCharType="end"/>
          </w:r>
        </w:p>
        <w:p>
          <w:pPr>
            <w:pStyle w:val="21"/>
            <w:tabs>
              <w:tab w:val="right" w:leader="dot" w:pos="8306"/>
            </w:tabs>
          </w:pPr>
          <w:r>
            <w:fldChar w:fldCharType="begin"/>
          </w:r>
          <w:r>
            <w:instrText xml:space="preserve"> HYPERLINK \l _Toc29300_WPSOffice_Level2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1f7486e5-acb1-4068-acc3-381e72f8ffa6}"/>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四、财</w:t>
              </w:r>
              <w:r>
                <w:rPr>
                  <w:rFonts w:hint="eastAsia" w:ascii="黑体" w:hAnsi="Calibri Light" w:eastAsia="黑体" w:cs="Times New Roman"/>
                </w:rPr>
                <w:t>政拨款收入支出决算总体情况说明</w:t>
              </w:r>
            </w:sdtContent>
          </w:sdt>
          <w:r>
            <w:tab/>
          </w:r>
          <w:bookmarkStart w:id="23" w:name="_Toc29300_WPSOffice_Level2Page"/>
          <w:r>
            <w:t>4</w:t>
          </w:r>
          <w:bookmarkEnd w:id="23"/>
          <w:r>
            <w:fldChar w:fldCharType="end"/>
          </w:r>
        </w:p>
        <w:p>
          <w:pPr>
            <w:pStyle w:val="21"/>
            <w:tabs>
              <w:tab w:val="right" w:leader="dot" w:pos="8306"/>
            </w:tabs>
          </w:pPr>
          <w:r>
            <w:fldChar w:fldCharType="begin"/>
          </w:r>
          <w:r>
            <w:instrText xml:space="preserve"> HYPERLINK \l _Toc2762_WPSOffice_Level2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43311341-d5fd-4f59-96e7-d23d7d137ca4}"/>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五、一</w:t>
              </w:r>
              <w:r>
                <w:rPr>
                  <w:rFonts w:hint="eastAsia" w:ascii="黑体" w:hAnsi="Calibri Light" w:eastAsia="黑体" w:cs="Times New Roman"/>
                </w:rPr>
                <w:t>般公共预算财政拨款支出决算情况说明</w:t>
              </w:r>
            </w:sdtContent>
          </w:sdt>
          <w:r>
            <w:tab/>
          </w:r>
          <w:bookmarkStart w:id="24" w:name="_Toc2762_WPSOffice_Level2Page"/>
          <w:r>
            <w:t>5</w:t>
          </w:r>
          <w:bookmarkEnd w:id="24"/>
          <w:r>
            <w:fldChar w:fldCharType="end"/>
          </w:r>
        </w:p>
        <w:p>
          <w:pPr>
            <w:pStyle w:val="22"/>
            <w:tabs>
              <w:tab w:val="right" w:leader="dot" w:pos="8306"/>
            </w:tabs>
          </w:pPr>
          <w:r>
            <w:fldChar w:fldCharType="begin"/>
          </w:r>
          <w:r>
            <w:instrText xml:space="preserve"> HYPERLINK \l _Toc27201_WPSOffice_Level3 </w:instrText>
          </w:r>
          <w:r>
            <w:fldChar w:fldCharType="separate"/>
          </w:r>
          <w:sdt>
            <w:sdtPr>
              <w:rPr>
                <w:rFonts w:ascii="Times New Roman" w:hAnsi="Times New Roman" w:eastAsia="宋体" w:cs="Times New Roman"/>
                <w:kern w:val="2"/>
                <w:sz w:val="21"/>
                <w:szCs w:val="24"/>
                <w:lang w:val="en-US" w:eastAsia="zh-CN" w:bidi="ar-SA"/>
              </w:rPr>
              <w:id w:val="147474244"/>
              <w:placeholder>
                <w:docPart w:val="{f0839dbf-9683-40f3-94e1-6e6929527116}"/>
              </w:placeholder>
            </w:sdtPr>
            <w:sdtEndPr>
              <w:rPr>
                <w:rFonts w:ascii="Times New Roman" w:hAnsi="Times New Roman" w:eastAsia="宋体" w:cs="Times New Roman"/>
                <w:kern w:val="2"/>
                <w:sz w:val="21"/>
                <w:szCs w:val="24"/>
                <w:lang w:val="en-US" w:eastAsia="zh-CN" w:bidi="ar-SA"/>
              </w:rPr>
            </w:sdtEndPr>
            <w:sdtContent>
              <w:r>
                <w:rPr>
                  <w:rFonts w:hint="eastAsia" w:ascii="仿宋" w:hAnsi="Times New Roman" w:eastAsia="仿宋" w:cs="Times New Roman"/>
                </w:rPr>
                <w:t>（一）一般公共预算财政拨款支出决算总体情况</w:t>
              </w:r>
            </w:sdtContent>
          </w:sdt>
          <w:r>
            <w:tab/>
          </w:r>
          <w:bookmarkStart w:id="25" w:name="_Toc27201_WPSOffice_Level3Page"/>
          <w:r>
            <w:t>5</w:t>
          </w:r>
          <w:bookmarkEnd w:id="25"/>
          <w:r>
            <w:fldChar w:fldCharType="end"/>
          </w:r>
        </w:p>
        <w:p>
          <w:pPr>
            <w:pStyle w:val="22"/>
            <w:tabs>
              <w:tab w:val="right" w:leader="dot" w:pos="8306"/>
            </w:tabs>
          </w:pPr>
          <w:r>
            <w:fldChar w:fldCharType="begin"/>
          </w:r>
          <w:r>
            <w:instrText xml:space="preserve"> HYPERLINK \l _Toc12506_WPSOffice_Level3 </w:instrText>
          </w:r>
          <w:r>
            <w:fldChar w:fldCharType="separate"/>
          </w:r>
          <w:sdt>
            <w:sdtPr>
              <w:rPr>
                <w:rFonts w:ascii="Times New Roman" w:hAnsi="Times New Roman" w:eastAsia="宋体" w:cs="Times New Roman"/>
                <w:kern w:val="2"/>
                <w:sz w:val="21"/>
                <w:szCs w:val="24"/>
                <w:lang w:val="en-US" w:eastAsia="zh-CN" w:bidi="ar-SA"/>
              </w:rPr>
              <w:id w:val="147474244"/>
              <w:placeholder>
                <w:docPart w:val="{ce08947b-c696-4931-9ca2-72bce7baee8e}"/>
              </w:placeholder>
            </w:sdtPr>
            <w:sdtEndPr>
              <w:rPr>
                <w:rFonts w:ascii="Times New Roman" w:hAnsi="Times New Roman" w:eastAsia="宋体" w:cs="Times New Roman"/>
                <w:kern w:val="2"/>
                <w:sz w:val="21"/>
                <w:szCs w:val="24"/>
                <w:lang w:val="en-US" w:eastAsia="zh-CN" w:bidi="ar-SA"/>
              </w:rPr>
            </w:sdtEndPr>
            <w:sdtContent>
              <w:r>
                <w:rPr>
                  <w:rFonts w:hint="eastAsia" w:ascii="仿宋" w:hAnsi="Times New Roman" w:eastAsia="仿宋" w:cs="Times New Roman"/>
                </w:rPr>
                <w:t>（二）一般公共预算财政拨款支出决算结构情况</w:t>
              </w:r>
            </w:sdtContent>
          </w:sdt>
          <w:r>
            <w:tab/>
          </w:r>
          <w:bookmarkStart w:id="26" w:name="_Toc12506_WPSOffice_Level3Page"/>
          <w:r>
            <w:t>6</w:t>
          </w:r>
          <w:bookmarkEnd w:id="26"/>
          <w:r>
            <w:fldChar w:fldCharType="end"/>
          </w:r>
        </w:p>
        <w:p>
          <w:pPr>
            <w:pStyle w:val="22"/>
            <w:tabs>
              <w:tab w:val="right" w:leader="dot" w:pos="8306"/>
            </w:tabs>
          </w:pPr>
          <w:r>
            <w:fldChar w:fldCharType="begin"/>
          </w:r>
          <w:r>
            <w:instrText xml:space="preserve"> HYPERLINK \l _Toc8274_WPSOffice_Level3 </w:instrText>
          </w:r>
          <w:r>
            <w:fldChar w:fldCharType="separate"/>
          </w:r>
          <w:sdt>
            <w:sdtPr>
              <w:rPr>
                <w:rFonts w:ascii="Times New Roman" w:hAnsi="Times New Roman" w:eastAsia="宋体" w:cs="Times New Roman"/>
                <w:kern w:val="2"/>
                <w:sz w:val="21"/>
                <w:szCs w:val="24"/>
                <w:lang w:val="en-US" w:eastAsia="zh-CN" w:bidi="ar-SA"/>
              </w:rPr>
              <w:id w:val="147474244"/>
              <w:placeholder>
                <w:docPart w:val="{4448ee58-547b-48bf-b0f9-65e656117ac9}"/>
              </w:placeholder>
            </w:sdtPr>
            <w:sdtEndPr>
              <w:rPr>
                <w:rFonts w:ascii="Times New Roman" w:hAnsi="Times New Roman" w:eastAsia="宋体" w:cs="Times New Roman"/>
                <w:kern w:val="2"/>
                <w:sz w:val="21"/>
                <w:szCs w:val="24"/>
                <w:lang w:val="en-US" w:eastAsia="zh-CN" w:bidi="ar-SA"/>
              </w:rPr>
            </w:sdtEndPr>
            <w:sdtContent>
              <w:r>
                <w:rPr>
                  <w:rFonts w:hint="eastAsia" w:ascii="仿宋" w:hAnsi="Times New Roman" w:eastAsia="仿宋" w:cs="Times New Roman"/>
                </w:rPr>
                <w:t>（三）一般公共预算财政拨款支出决算具体情况</w:t>
              </w:r>
            </w:sdtContent>
          </w:sdt>
          <w:r>
            <w:tab/>
          </w:r>
          <w:bookmarkStart w:id="27" w:name="_Toc8274_WPSOffice_Level3Page"/>
          <w:r>
            <w:t>6</w:t>
          </w:r>
          <w:bookmarkEnd w:id="27"/>
          <w:r>
            <w:fldChar w:fldCharType="end"/>
          </w:r>
        </w:p>
        <w:p>
          <w:pPr>
            <w:pStyle w:val="21"/>
            <w:tabs>
              <w:tab w:val="right" w:leader="dot" w:pos="8306"/>
            </w:tabs>
          </w:pPr>
          <w:r>
            <w:fldChar w:fldCharType="begin"/>
          </w:r>
          <w:r>
            <w:instrText xml:space="preserve"> HYPERLINK \l _Toc17954_WPSOffice_Level2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e4d698fb-03d9-46d3-acb0-1500c88af0cd}"/>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六、一</w:t>
              </w:r>
              <w:r>
                <w:rPr>
                  <w:rFonts w:hint="eastAsia" w:ascii="黑体" w:hAnsi="Calibri Light" w:eastAsia="黑体" w:cs="Times New Roman"/>
                </w:rPr>
                <w:t>般公共预算财政拨款基本支出决算情况说明</w:t>
              </w:r>
            </w:sdtContent>
          </w:sdt>
          <w:r>
            <w:tab/>
          </w:r>
          <w:bookmarkStart w:id="28" w:name="_Toc17954_WPSOffice_Level2Page"/>
          <w:r>
            <w:t>7</w:t>
          </w:r>
          <w:bookmarkEnd w:id="28"/>
          <w:r>
            <w:fldChar w:fldCharType="end"/>
          </w:r>
        </w:p>
        <w:p>
          <w:pPr>
            <w:pStyle w:val="21"/>
            <w:tabs>
              <w:tab w:val="right" w:leader="dot" w:pos="8306"/>
            </w:tabs>
          </w:pPr>
          <w:r>
            <w:fldChar w:fldCharType="begin"/>
          </w:r>
          <w:r>
            <w:instrText xml:space="preserve"> HYPERLINK \l _Toc31102_WPSOffice_Level2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31b79a69-2aef-4e72-94b4-c85ee7e2b66d}"/>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七、</w:t>
              </w:r>
              <w:r>
                <w:rPr>
                  <w:rFonts w:hint="eastAsia" w:ascii="黑体" w:hAnsi="Calibri Light" w:eastAsia="黑体" w:cs="Times New Roman"/>
                </w:rPr>
                <w:t>财政拨款“三公”经费支出决算情况说明</w:t>
              </w:r>
            </w:sdtContent>
          </w:sdt>
          <w:r>
            <w:tab/>
          </w:r>
          <w:bookmarkStart w:id="29" w:name="_Toc31102_WPSOffice_Level2Page"/>
          <w:r>
            <w:t>7</w:t>
          </w:r>
          <w:bookmarkEnd w:id="29"/>
          <w:r>
            <w:fldChar w:fldCharType="end"/>
          </w:r>
        </w:p>
        <w:p>
          <w:pPr>
            <w:pStyle w:val="22"/>
            <w:tabs>
              <w:tab w:val="right" w:leader="dot" w:pos="8306"/>
            </w:tabs>
          </w:pPr>
          <w:r>
            <w:fldChar w:fldCharType="begin"/>
          </w:r>
          <w:r>
            <w:instrText xml:space="preserve"> HYPERLINK \l _Toc10134_WPSOffice_Level3 </w:instrText>
          </w:r>
          <w:r>
            <w:fldChar w:fldCharType="separate"/>
          </w:r>
          <w:sdt>
            <w:sdtPr>
              <w:rPr>
                <w:rFonts w:ascii="Times New Roman" w:hAnsi="Times New Roman" w:eastAsia="宋体" w:cs="Times New Roman"/>
                <w:kern w:val="2"/>
                <w:sz w:val="21"/>
                <w:szCs w:val="24"/>
                <w:lang w:val="en-US" w:eastAsia="zh-CN" w:bidi="ar-SA"/>
              </w:rPr>
              <w:id w:val="147474244"/>
              <w:placeholder>
                <w:docPart w:val="{dc8b1cf3-dedc-4ef1-8cd8-cc8617ae431c}"/>
              </w:placeholder>
            </w:sdtPr>
            <w:sdtEndPr>
              <w:rPr>
                <w:rFonts w:ascii="Times New Roman" w:hAnsi="Times New Roman" w:eastAsia="宋体" w:cs="Times New Roman"/>
                <w:kern w:val="2"/>
                <w:sz w:val="21"/>
                <w:szCs w:val="24"/>
                <w:lang w:val="en-US" w:eastAsia="zh-CN" w:bidi="ar-SA"/>
              </w:rPr>
            </w:sdtEndPr>
            <w:sdtContent>
              <w:r>
                <w:rPr>
                  <w:rFonts w:hint="eastAsia" w:ascii="仿宋" w:hAnsi="Times New Roman" w:eastAsia="仿宋" w:cs="Times New Roman"/>
                </w:rPr>
                <w:t>（一）“三公”经费财政拨款支出决算总体情况说明</w:t>
              </w:r>
            </w:sdtContent>
          </w:sdt>
          <w:r>
            <w:tab/>
          </w:r>
          <w:bookmarkStart w:id="30" w:name="_Toc10134_WPSOffice_Level3Page"/>
          <w:r>
            <w:t>8</w:t>
          </w:r>
          <w:bookmarkEnd w:id="30"/>
          <w:r>
            <w:fldChar w:fldCharType="end"/>
          </w:r>
        </w:p>
        <w:p>
          <w:pPr>
            <w:pStyle w:val="22"/>
            <w:tabs>
              <w:tab w:val="right" w:leader="dot" w:pos="8306"/>
            </w:tabs>
          </w:pPr>
          <w:r>
            <w:fldChar w:fldCharType="begin"/>
          </w:r>
          <w:r>
            <w:instrText xml:space="preserve"> HYPERLINK \l _Toc29300_WPSOffice_Level3 </w:instrText>
          </w:r>
          <w:r>
            <w:fldChar w:fldCharType="separate"/>
          </w:r>
          <w:sdt>
            <w:sdtPr>
              <w:rPr>
                <w:rFonts w:ascii="Times New Roman" w:hAnsi="Times New Roman" w:eastAsia="宋体" w:cs="Times New Roman"/>
                <w:kern w:val="2"/>
                <w:sz w:val="21"/>
                <w:szCs w:val="24"/>
                <w:lang w:val="en-US" w:eastAsia="zh-CN" w:bidi="ar-SA"/>
              </w:rPr>
              <w:id w:val="147474244"/>
              <w:placeholder>
                <w:docPart w:val="{d85567c0-fdea-42c5-89d4-3aabec32f441}"/>
              </w:placeholder>
            </w:sdtPr>
            <w:sdtEndPr>
              <w:rPr>
                <w:rFonts w:ascii="Times New Roman" w:hAnsi="Times New Roman" w:eastAsia="宋体" w:cs="Times New Roman"/>
                <w:kern w:val="2"/>
                <w:sz w:val="21"/>
                <w:szCs w:val="24"/>
                <w:lang w:val="en-US" w:eastAsia="zh-CN" w:bidi="ar-SA"/>
              </w:rPr>
            </w:sdtEndPr>
            <w:sdtContent>
              <w:r>
                <w:rPr>
                  <w:rFonts w:hint="eastAsia" w:ascii="仿宋" w:hAnsi="Times New Roman" w:eastAsia="仿宋" w:cs="Times New Roman"/>
                </w:rPr>
                <w:t>（二）“三公”经费财政拨款支出决算具体情况说明</w:t>
              </w:r>
            </w:sdtContent>
          </w:sdt>
          <w:r>
            <w:tab/>
          </w:r>
          <w:bookmarkStart w:id="31" w:name="_Toc29300_WPSOffice_Level3Page"/>
          <w:r>
            <w:t>8</w:t>
          </w:r>
          <w:bookmarkEnd w:id="31"/>
          <w:r>
            <w:fldChar w:fldCharType="end"/>
          </w:r>
        </w:p>
        <w:p>
          <w:pPr>
            <w:pStyle w:val="21"/>
            <w:tabs>
              <w:tab w:val="right" w:leader="dot" w:pos="8306"/>
            </w:tabs>
          </w:pPr>
          <w:r>
            <w:fldChar w:fldCharType="begin"/>
          </w:r>
          <w:r>
            <w:instrText xml:space="preserve"> HYPERLINK \l _Toc6129_WPSOffice_Level2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06925b80-73e3-4295-8209-a97ca2d253f0}"/>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八、</w:t>
              </w:r>
              <w:r>
                <w:rPr>
                  <w:rFonts w:hint="eastAsia" w:ascii="黑体" w:hAnsi="Calibri Light" w:eastAsia="黑体" w:cs="Times New Roman"/>
                </w:rPr>
                <w:t>政府性基金预算支出决算情况说明</w:t>
              </w:r>
            </w:sdtContent>
          </w:sdt>
          <w:r>
            <w:tab/>
          </w:r>
          <w:bookmarkStart w:id="32" w:name="_Toc6129_WPSOffice_Level2Page"/>
          <w:r>
            <w:t>8</w:t>
          </w:r>
          <w:bookmarkEnd w:id="32"/>
          <w:r>
            <w:fldChar w:fldCharType="end"/>
          </w:r>
        </w:p>
        <w:p>
          <w:pPr>
            <w:pStyle w:val="21"/>
            <w:tabs>
              <w:tab w:val="right" w:leader="dot" w:pos="8306"/>
            </w:tabs>
          </w:pPr>
          <w:r>
            <w:fldChar w:fldCharType="begin"/>
          </w:r>
          <w:r>
            <w:instrText xml:space="preserve"> HYPERLINK \l _Toc6383_WPSOffice_Level2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807e3489-cc4d-48a6-ab8b-f4d99a5bc94d}"/>
              </w:placeholder>
            </w:sdtPr>
            <w:sdtEndPr>
              <w:rPr>
                <w:rFonts w:ascii="Times New Roman" w:hAnsi="Times New Roman" w:eastAsia="宋体" w:cs="Times New Roman"/>
                <w:kern w:val="2"/>
                <w:sz w:val="21"/>
                <w:szCs w:val="24"/>
                <w:lang w:val="en-US" w:eastAsia="zh-CN" w:bidi="ar-SA"/>
              </w:rPr>
            </w:sdtEndPr>
            <w:sdtContent>
              <w:r>
                <w:rPr>
                  <w:rFonts w:hint="eastAsia" w:ascii="黑体" w:hAnsi="Calibri Light" w:eastAsia="黑体" w:cs="Times New Roman"/>
                </w:rPr>
                <w:t>九、 国有资本经营预算支出决算情况说明</w:t>
              </w:r>
            </w:sdtContent>
          </w:sdt>
          <w:r>
            <w:tab/>
          </w:r>
          <w:bookmarkStart w:id="33" w:name="_Toc6383_WPSOffice_Level2Page"/>
          <w:r>
            <w:t>8</w:t>
          </w:r>
          <w:bookmarkEnd w:id="33"/>
          <w:r>
            <w:fldChar w:fldCharType="end"/>
          </w:r>
        </w:p>
        <w:p>
          <w:pPr>
            <w:pStyle w:val="21"/>
            <w:tabs>
              <w:tab w:val="right" w:leader="dot" w:pos="8306"/>
            </w:tabs>
          </w:pPr>
          <w:r>
            <w:fldChar w:fldCharType="begin"/>
          </w:r>
          <w:r>
            <w:instrText xml:space="preserve"> HYPERLINK \l _Toc12068_WPSOffice_Level2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c8dd5f9a-f74f-454b-9f2c-0cc2ba323848}"/>
              </w:placeholder>
            </w:sdtPr>
            <w:sdtEndPr>
              <w:rPr>
                <w:rFonts w:ascii="Times New Roman" w:hAnsi="Times New Roman" w:eastAsia="宋体" w:cs="Times New Roman"/>
                <w:kern w:val="2"/>
                <w:sz w:val="21"/>
                <w:szCs w:val="24"/>
                <w:lang w:val="en-US" w:eastAsia="zh-CN" w:bidi="ar-SA"/>
              </w:rPr>
            </w:sdtEndPr>
            <w:sdtContent>
              <w:r>
                <w:rPr>
                  <w:rFonts w:hint="eastAsia" w:ascii="黑体" w:hAnsi="Calibri Light" w:eastAsia="黑体" w:cs="Times New Roman"/>
                </w:rPr>
                <w:t>十、 其他重要事项的情况说明</w:t>
              </w:r>
            </w:sdtContent>
          </w:sdt>
          <w:r>
            <w:tab/>
          </w:r>
          <w:bookmarkStart w:id="34" w:name="_Toc12068_WPSOffice_Level2Page"/>
          <w:r>
            <w:t>8</w:t>
          </w:r>
          <w:bookmarkEnd w:id="34"/>
          <w:r>
            <w:fldChar w:fldCharType="end"/>
          </w:r>
        </w:p>
        <w:p>
          <w:pPr>
            <w:pStyle w:val="22"/>
            <w:tabs>
              <w:tab w:val="right" w:leader="dot" w:pos="8306"/>
            </w:tabs>
          </w:pPr>
          <w:r>
            <w:fldChar w:fldCharType="begin"/>
          </w:r>
          <w:r>
            <w:instrText xml:space="preserve"> HYPERLINK \l _Toc2762_WPSOffice_Level3 </w:instrText>
          </w:r>
          <w:r>
            <w:fldChar w:fldCharType="separate"/>
          </w:r>
          <w:sdt>
            <w:sdtPr>
              <w:rPr>
                <w:rFonts w:ascii="Times New Roman" w:hAnsi="Times New Roman" w:eastAsia="宋体" w:cs="Times New Roman"/>
                <w:kern w:val="2"/>
                <w:sz w:val="21"/>
                <w:szCs w:val="24"/>
                <w:lang w:val="en-US" w:eastAsia="zh-CN" w:bidi="ar-SA"/>
              </w:rPr>
              <w:id w:val="147474244"/>
              <w:placeholder>
                <w:docPart w:val="{ff3416d7-01ce-4e41-b555-22c1206c8240}"/>
              </w:placeholder>
            </w:sdtPr>
            <w:sdtEndPr>
              <w:rPr>
                <w:rFonts w:ascii="Times New Roman" w:hAnsi="Times New Roman" w:eastAsia="宋体" w:cs="Times New Roman"/>
                <w:kern w:val="2"/>
                <w:sz w:val="21"/>
                <w:szCs w:val="24"/>
                <w:lang w:val="en-US" w:eastAsia="zh-CN" w:bidi="ar-SA"/>
              </w:rPr>
            </w:sdtEndPr>
            <w:sdtContent>
              <w:r>
                <w:rPr>
                  <w:rFonts w:hint="eastAsia" w:ascii="仿宋" w:hAnsi="Times New Roman" w:eastAsia="仿宋" w:cs="Times New Roman"/>
                </w:rPr>
                <w:t>（一）机关运行经费支出情况</w:t>
              </w:r>
            </w:sdtContent>
          </w:sdt>
          <w:r>
            <w:tab/>
          </w:r>
          <w:bookmarkStart w:id="35" w:name="_Toc2762_WPSOffice_Level3Page"/>
          <w:r>
            <w:t>8</w:t>
          </w:r>
          <w:bookmarkEnd w:id="35"/>
          <w:r>
            <w:fldChar w:fldCharType="end"/>
          </w:r>
        </w:p>
        <w:p>
          <w:pPr>
            <w:pStyle w:val="22"/>
            <w:tabs>
              <w:tab w:val="right" w:leader="dot" w:pos="8306"/>
            </w:tabs>
          </w:pPr>
          <w:r>
            <w:fldChar w:fldCharType="begin"/>
          </w:r>
          <w:r>
            <w:instrText xml:space="preserve"> HYPERLINK \l _Toc17954_WPSOffice_Level3 </w:instrText>
          </w:r>
          <w:r>
            <w:fldChar w:fldCharType="separate"/>
          </w:r>
          <w:sdt>
            <w:sdtPr>
              <w:rPr>
                <w:rFonts w:ascii="Times New Roman" w:hAnsi="Times New Roman" w:eastAsia="宋体" w:cs="Times New Roman"/>
                <w:kern w:val="2"/>
                <w:sz w:val="21"/>
                <w:szCs w:val="24"/>
                <w:lang w:val="en-US" w:eastAsia="zh-CN" w:bidi="ar-SA"/>
              </w:rPr>
              <w:id w:val="147474244"/>
              <w:placeholder>
                <w:docPart w:val="{960be542-ccb3-4501-aeff-c34666b174df}"/>
              </w:placeholder>
            </w:sdtPr>
            <w:sdtEndPr>
              <w:rPr>
                <w:rFonts w:ascii="Times New Roman" w:hAnsi="Times New Roman" w:eastAsia="宋体" w:cs="Times New Roman"/>
                <w:kern w:val="2"/>
                <w:sz w:val="21"/>
                <w:szCs w:val="24"/>
                <w:lang w:val="en-US" w:eastAsia="zh-CN" w:bidi="ar-SA"/>
              </w:rPr>
            </w:sdtEndPr>
            <w:sdtContent>
              <w:r>
                <w:rPr>
                  <w:rFonts w:hint="eastAsia" w:ascii="仿宋" w:hAnsi="Times New Roman" w:eastAsia="仿宋" w:cs="Times New Roman"/>
                </w:rPr>
                <w:t>（二）政府采购支出情况</w:t>
              </w:r>
            </w:sdtContent>
          </w:sdt>
          <w:r>
            <w:tab/>
          </w:r>
          <w:bookmarkStart w:id="36" w:name="_Toc17954_WPSOffice_Level3Page"/>
          <w:r>
            <w:t>8</w:t>
          </w:r>
          <w:bookmarkEnd w:id="36"/>
          <w:r>
            <w:fldChar w:fldCharType="end"/>
          </w:r>
        </w:p>
        <w:p>
          <w:pPr>
            <w:pStyle w:val="22"/>
            <w:tabs>
              <w:tab w:val="right" w:leader="dot" w:pos="8306"/>
            </w:tabs>
          </w:pPr>
          <w:r>
            <w:fldChar w:fldCharType="begin"/>
          </w:r>
          <w:r>
            <w:instrText xml:space="preserve"> HYPERLINK \l _Toc31102_WPSOffice_Level3 </w:instrText>
          </w:r>
          <w:r>
            <w:fldChar w:fldCharType="separate"/>
          </w:r>
          <w:sdt>
            <w:sdtPr>
              <w:rPr>
                <w:rFonts w:ascii="Times New Roman" w:hAnsi="Times New Roman" w:eastAsia="宋体" w:cs="Times New Roman"/>
                <w:kern w:val="2"/>
                <w:sz w:val="21"/>
                <w:szCs w:val="24"/>
                <w:lang w:val="en-US" w:eastAsia="zh-CN" w:bidi="ar-SA"/>
              </w:rPr>
              <w:id w:val="147474244"/>
              <w:placeholder>
                <w:docPart w:val="{6b8fd9e0-dceb-4ef7-8a1e-8491f16fd9b0}"/>
              </w:placeholder>
            </w:sdtPr>
            <w:sdtEndPr>
              <w:rPr>
                <w:rFonts w:ascii="Times New Roman" w:hAnsi="Times New Roman" w:eastAsia="宋体" w:cs="Times New Roman"/>
                <w:kern w:val="2"/>
                <w:sz w:val="21"/>
                <w:szCs w:val="24"/>
                <w:lang w:val="en-US" w:eastAsia="zh-CN" w:bidi="ar-SA"/>
              </w:rPr>
            </w:sdtEndPr>
            <w:sdtContent>
              <w:r>
                <w:rPr>
                  <w:rFonts w:hint="eastAsia" w:ascii="仿宋" w:hAnsi="Times New Roman" w:eastAsia="仿宋" w:cs="Times New Roman"/>
                </w:rPr>
                <w:t>（三） 国有资产占有使用情况</w:t>
              </w:r>
            </w:sdtContent>
          </w:sdt>
          <w:r>
            <w:tab/>
          </w:r>
          <w:bookmarkStart w:id="37" w:name="_Toc31102_WPSOffice_Level3Page"/>
          <w:r>
            <w:t>8</w:t>
          </w:r>
          <w:bookmarkEnd w:id="37"/>
          <w:r>
            <w:fldChar w:fldCharType="end"/>
          </w:r>
        </w:p>
        <w:p>
          <w:pPr>
            <w:pStyle w:val="22"/>
            <w:tabs>
              <w:tab w:val="right" w:leader="dot" w:pos="8306"/>
            </w:tabs>
          </w:pPr>
          <w:r>
            <w:fldChar w:fldCharType="begin"/>
          </w:r>
          <w:r>
            <w:instrText xml:space="preserve"> HYPERLINK \l _Toc6129_WPSOffice_Level3 </w:instrText>
          </w:r>
          <w:r>
            <w:fldChar w:fldCharType="separate"/>
          </w:r>
          <w:sdt>
            <w:sdtPr>
              <w:rPr>
                <w:rFonts w:ascii="Times New Roman" w:hAnsi="Times New Roman" w:eastAsia="宋体" w:cs="Times New Roman"/>
                <w:kern w:val="2"/>
                <w:sz w:val="21"/>
                <w:szCs w:val="24"/>
                <w:lang w:val="en-US" w:eastAsia="zh-CN" w:bidi="ar-SA"/>
              </w:rPr>
              <w:id w:val="147474244"/>
              <w:placeholder>
                <w:docPart w:val="{2fc33b46-79e2-4e4a-8070-8470b23c8b84}"/>
              </w:placeholder>
            </w:sdtPr>
            <w:sdtEndPr>
              <w:rPr>
                <w:rFonts w:ascii="Times New Roman" w:hAnsi="Times New Roman" w:eastAsia="宋体" w:cs="Times New Roman"/>
                <w:kern w:val="2"/>
                <w:sz w:val="21"/>
                <w:szCs w:val="24"/>
                <w:lang w:val="en-US" w:eastAsia="zh-CN" w:bidi="ar-SA"/>
              </w:rPr>
            </w:sdtEndPr>
            <w:sdtContent>
              <w:r>
                <w:rPr>
                  <w:rFonts w:hint="eastAsia" w:ascii="仿宋" w:hAnsi="Times New Roman" w:eastAsia="仿宋" w:cs="Times New Roman"/>
                </w:rPr>
                <w:t>（四）预算绩效管理情况</w:t>
              </w:r>
            </w:sdtContent>
          </w:sdt>
          <w:r>
            <w:tab/>
          </w:r>
          <w:bookmarkStart w:id="38" w:name="_Toc6129_WPSOffice_Level3Page"/>
          <w:r>
            <w:t>8</w:t>
          </w:r>
          <w:bookmarkEnd w:id="38"/>
          <w:r>
            <w:fldChar w:fldCharType="end"/>
          </w:r>
        </w:p>
        <w:p>
          <w:pPr>
            <w:pStyle w:val="20"/>
            <w:tabs>
              <w:tab w:val="right" w:leader="dot" w:pos="8306"/>
            </w:tabs>
          </w:pPr>
          <w:r>
            <w:fldChar w:fldCharType="begin"/>
          </w:r>
          <w:r>
            <w:instrText xml:space="preserve"> HYPERLINK \l _Toc27201_WPSOffice_Level1 </w:instrText>
          </w:r>
          <w:r>
            <w:fldChar w:fldCharType="separate"/>
          </w:r>
          <w:sdt>
            <w:sdtPr>
              <w:rPr>
                <w:rFonts w:ascii="Times New Roman" w:hAnsi="Times New Roman" w:eastAsia="宋体" w:cs="Times New Roman"/>
                <w:kern w:val="2"/>
                <w:sz w:val="21"/>
                <w:szCs w:val="24"/>
                <w:lang w:val="en-US" w:eastAsia="zh-CN" w:bidi="ar-SA"/>
              </w:rPr>
              <w:id w:val="147474244"/>
              <w:placeholder>
                <w:docPart w:val="{3a176694-0e9c-4fc4-9272-7c1bb410fdf1}"/>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 xml:space="preserve">第三部分 </w:t>
              </w:r>
              <w:r>
                <w:rPr>
                  <w:rFonts w:hint="eastAsia" w:ascii="黑体" w:hAnsi="Times New Roman" w:eastAsia="黑体" w:cs="Times New Roman"/>
                </w:rPr>
                <w:t>名词解释</w:t>
              </w:r>
            </w:sdtContent>
          </w:sdt>
          <w:r>
            <w:tab/>
          </w:r>
          <w:bookmarkStart w:id="39" w:name="_Toc27201_WPSOffice_Level1Page"/>
          <w:r>
            <w:t>11</w:t>
          </w:r>
          <w:bookmarkEnd w:id="39"/>
          <w:r>
            <w:fldChar w:fldCharType="end"/>
          </w:r>
        </w:p>
        <w:p>
          <w:pPr>
            <w:pStyle w:val="20"/>
            <w:tabs>
              <w:tab w:val="right" w:leader="dot" w:pos="8306"/>
            </w:tabs>
          </w:pPr>
          <w:r>
            <w:fldChar w:fldCharType="begin"/>
          </w:r>
          <w:r>
            <w:instrText xml:space="preserve"> HYPERLINK \l _Toc12506_WPSOffice_Level1 </w:instrText>
          </w:r>
          <w:r>
            <w:fldChar w:fldCharType="separate"/>
          </w:r>
          <w:sdt>
            <w:sdtPr>
              <w:rPr>
                <w:rFonts w:ascii="Times New Roman" w:hAnsi="Times New Roman" w:eastAsia="宋体" w:cs="Times New Roman"/>
                <w:kern w:val="2"/>
                <w:sz w:val="21"/>
                <w:szCs w:val="24"/>
                <w:lang w:val="en-US" w:eastAsia="zh-CN" w:bidi="ar-SA"/>
              </w:rPr>
              <w:id w:val="147474244"/>
              <w:placeholder>
                <w:docPart w:val="{babb10fd-ff86-40c6-9163-3c08268f93bb}"/>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第四部分 附件</w:t>
              </w:r>
            </w:sdtContent>
          </w:sdt>
          <w:r>
            <w:tab/>
          </w:r>
          <w:bookmarkStart w:id="40" w:name="_Toc12506_WPSOffice_Level1Page"/>
          <w:r>
            <w:t>14</w:t>
          </w:r>
          <w:bookmarkEnd w:id="40"/>
          <w:r>
            <w:fldChar w:fldCharType="end"/>
          </w:r>
        </w:p>
        <w:p>
          <w:pPr>
            <w:pStyle w:val="20"/>
            <w:tabs>
              <w:tab w:val="right" w:leader="dot" w:pos="8306"/>
            </w:tabs>
          </w:pPr>
          <w:r>
            <w:fldChar w:fldCharType="begin"/>
          </w:r>
          <w:r>
            <w:instrText xml:space="preserve"> HYPERLINK \l _Toc8274_WPSOffice_Level1 </w:instrText>
          </w:r>
          <w:r>
            <w:fldChar w:fldCharType="separate"/>
          </w:r>
          <w:sdt>
            <w:sdtPr>
              <w:rPr>
                <w:rFonts w:ascii="Times New Roman" w:hAnsi="Times New Roman" w:eastAsia="宋体" w:cs="Times New Roman"/>
                <w:kern w:val="2"/>
                <w:sz w:val="21"/>
                <w:szCs w:val="24"/>
                <w:lang w:val="en-US" w:eastAsia="zh-CN" w:bidi="ar-SA"/>
              </w:rPr>
              <w:id w:val="147474244"/>
              <w:placeholder>
                <w:docPart w:val="{02fda6ff-18f2-462e-8ca4-f67f36969b71}"/>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第五部分 附表</w:t>
              </w:r>
            </w:sdtContent>
          </w:sdt>
          <w:r>
            <w:tab/>
          </w:r>
          <w:bookmarkStart w:id="41" w:name="_Toc8274_WPSOffice_Level1Page"/>
          <w:r>
            <w:t>15</w:t>
          </w:r>
          <w:bookmarkEnd w:id="41"/>
          <w:r>
            <w:fldChar w:fldCharType="end"/>
          </w:r>
        </w:p>
        <w:p>
          <w:pPr>
            <w:pStyle w:val="21"/>
            <w:tabs>
              <w:tab w:val="right" w:leader="dot" w:pos="8306"/>
            </w:tabs>
          </w:pPr>
          <w:r>
            <w:fldChar w:fldCharType="begin"/>
          </w:r>
          <w:r>
            <w:instrText xml:space="preserve"> HYPERLINK \l _Toc22121_WPSOffice_Level2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1620657e-10d4-4229-8322-64815b6876b4}"/>
              </w:placeholder>
            </w:sdtPr>
            <w:sdtEndPr>
              <w:rPr>
                <w:rFonts w:ascii="Times New Roman" w:hAnsi="Times New Roman" w:eastAsia="宋体" w:cs="Times New Roman"/>
                <w:kern w:val="2"/>
                <w:sz w:val="21"/>
                <w:szCs w:val="24"/>
                <w:lang w:val="en-US" w:eastAsia="zh-CN" w:bidi="ar-SA"/>
              </w:rPr>
            </w:sdtEndPr>
            <w:sdtContent>
              <w:r>
                <w:rPr>
                  <w:rFonts w:hint="eastAsia" w:ascii="仿宋" w:hAnsi="Calibri Light" w:eastAsia="仿宋" w:cs="Times New Roman"/>
                </w:rPr>
                <w:t>一、收入支出决算总表</w:t>
              </w:r>
            </w:sdtContent>
          </w:sdt>
          <w:r>
            <w:tab/>
          </w:r>
          <w:bookmarkStart w:id="42" w:name="_Toc22121_WPSOffice_Level2Page"/>
          <w:r>
            <w:t>15</w:t>
          </w:r>
          <w:bookmarkEnd w:id="42"/>
          <w:r>
            <w:fldChar w:fldCharType="end"/>
          </w:r>
        </w:p>
        <w:p>
          <w:pPr>
            <w:pStyle w:val="21"/>
            <w:tabs>
              <w:tab w:val="right" w:leader="dot" w:pos="8306"/>
            </w:tabs>
          </w:pPr>
          <w:r>
            <w:fldChar w:fldCharType="begin"/>
          </w:r>
          <w:r>
            <w:instrText xml:space="preserve"> HYPERLINK \l _Toc17053_WPSOffice_Level2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86b241eb-bdc7-4f1c-bfc8-c2364ed677a8}"/>
              </w:placeholder>
            </w:sdtPr>
            <w:sdtEndPr>
              <w:rPr>
                <w:rFonts w:ascii="Times New Roman" w:hAnsi="Times New Roman" w:eastAsia="宋体" w:cs="Times New Roman"/>
                <w:kern w:val="2"/>
                <w:sz w:val="21"/>
                <w:szCs w:val="24"/>
                <w:lang w:val="en-US" w:eastAsia="zh-CN" w:bidi="ar-SA"/>
              </w:rPr>
            </w:sdtEndPr>
            <w:sdtContent>
              <w:r>
                <w:rPr>
                  <w:rFonts w:hint="eastAsia" w:ascii="仿宋" w:hAnsi="Calibri Light" w:eastAsia="仿宋" w:cs="Times New Roman"/>
                </w:rPr>
                <w:t>二、收入决算表</w:t>
              </w:r>
            </w:sdtContent>
          </w:sdt>
          <w:r>
            <w:tab/>
          </w:r>
          <w:bookmarkStart w:id="43" w:name="_Toc17053_WPSOffice_Level2Page"/>
          <w:r>
            <w:t>15</w:t>
          </w:r>
          <w:bookmarkEnd w:id="43"/>
          <w:r>
            <w:fldChar w:fldCharType="end"/>
          </w:r>
        </w:p>
        <w:p>
          <w:pPr>
            <w:pStyle w:val="21"/>
            <w:tabs>
              <w:tab w:val="right" w:leader="dot" w:pos="8306"/>
            </w:tabs>
          </w:pPr>
          <w:r>
            <w:fldChar w:fldCharType="begin"/>
          </w:r>
          <w:r>
            <w:instrText xml:space="preserve"> HYPERLINK \l _Toc14568_WPSOffice_Level2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622fa8ff-6889-4003-ab16-0d204397341b}"/>
              </w:placeholder>
            </w:sdtPr>
            <w:sdtEndPr>
              <w:rPr>
                <w:rFonts w:ascii="Times New Roman" w:hAnsi="Times New Roman" w:eastAsia="宋体" w:cs="Times New Roman"/>
                <w:kern w:val="2"/>
                <w:sz w:val="21"/>
                <w:szCs w:val="24"/>
                <w:lang w:val="en-US" w:eastAsia="zh-CN" w:bidi="ar-SA"/>
              </w:rPr>
            </w:sdtEndPr>
            <w:sdtContent>
              <w:r>
                <w:rPr>
                  <w:rFonts w:hint="eastAsia" w:ascii="仿宋" w:hAnsi="Calibri Light" w:eastAsia="仿宋" w:cs="Times New Roman"/>
                </w:rPr>
                <w:t>三、支出决算表</w:t>
              </w:r>
            </w:sdtContent>
          </w:sdt>
          <w:r>
            <w:tab/>
          </w:r>
          <w:bookmarkStart w:id="44" w:name="_Toc14568_WPSOffice_Level2Page"/>
          <w:r>
            <w:t>15</w:t>
          </w:r>
          <w:bookmarkEnd w:id="44"/>
          <w:r>
            <w:fldChar w:fldCharType="end"/>
          </w:r>
        </w:p>
        <w:p>
          <w:pPr>
            <w:pStyle w:val="21"/>
            <w:tabs>
              <w:tab w:val="right" w:leader="dot" w:pos="8306"/>
            </w:tabs>
          </w:pPr>
          <w:r>
            <w:fldChar w:fldCharType="begin"/>
          </w:r>
          <w:r>
            <w:instrText xml:space="preserve"> HYPERLINK \l _Toc17030_WPSOffice_Level2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08356e8d-b37d-4a4f-8284-3ea6b2ab1f44}"/>
              </w:placeholder>
            </w:sdtPr>
            <w:sdtEndPr>
              <w:rPr>
                <w:rFonts w:ascii="Times New Roman" w:hAnsi="Times New Roman" w:eastAsia="宋体" w:cs="Times New Roman"/>
                <w:kern w:val="2"/>
                <w:sz w:val="21"/>
                <w:szCs w:val="24"/>
                <w:lang w:val="en-US" w:eastAsia="zh-CN" w:bidi="ar-SA"/>
              </w:rPr>
            </w:sdtEndPr>
            <w:sdtContent>
              <w:r>
                <w:rPr>
                  <w:rFonts w:hint="eastAsia" w:ascii="仿宋" w:hAnsi="Calibri Light" w:eastAsia="仿宋" w:cs="Times New Roman"/>
                </w:rPr>
                <w:t>四、财政拨款收入支出决算总表</w:t>
              </w:r>
            </w:sdtContent>
          </w:sdt>
          <w:r>
            <w:tab/>
          </w:r>
          <w:bookmarkStart w:id="45" w:name="_Toc17030_WPSOffice_Level2Page"/>
          <w:r>
            <w:t>15</w:t>
          </w:r>
          <w:bookmarkEnd w:id="45"/>
          <w:r>
            <w:fldChar w:fldCharType="end"/>
          </w:r>
        </w:p>
        <w:p>
          <w:pPr>
            <w:pStyle w:val="21"/>
            <w:tabs>
              <w:tab w:val="right" w:leader="dot" w:pos="8306"/>
            </w:tabs>
          </w:pPr>
          <w:r>
            <w:fldChar w:fldCharType="begin"/>
          </w:r>
          <w:r>
            <w:instrText xml:space="preserve"> HYPERLINK \l _Toc18589_WPSOffice_Level2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6ad41725-c080-44db-ad6c-e832ac8e4c65}"/>
              </w:placeholder>
            </w:sdtPr>
            <w:sdtEndPr>
              <w:rPr>
                <w:rFonts w:ascii="Times New Roman" w:hAnsi="Times New Roman" w:eastAsia="宋体" w:cs="Times New Roman"/>
                <w:kern w:val="2"/>
                <w:sz w:val="21"/>
                <w:szCs w:val="24"/>
                <w:lang w:val="en-US" w:eastAsia="zh-CN" w:bidi="ar-SA"/>
              </w:rPr>
            </w:sdtEndPr>
            <w:sdtContent>
              <w:r>
                <w:rPr>
                  <w:rFonts w:hint="eastAsia" w:ascii="仿宋" w:hAnsi="Calibri Light" w:eastAsia="仿宋" w:cs="Times New Roman"/>
                </w:rPr>
                <w:t>五、财政拨款支出决算明细表</w:t>
              </w:r>
            </w:sdtContent>
          </w:sdt>
          <w:r>
            <w:tab/>
          </w:r>
          <w:bookmarkStart w:id="46" w:name="_Toc18589_WPSOffice_Level2Page"/>
          <w:r>
            <w:t>15</w:t>
          </w:r>
          <w:bookmarkEnd w:id="46"/>
          <w:r>
            <w:fldChar w:fldCharType="end"/>
          </w:r>
        </w:p>
        <w:p>
          <w:pPr>
            <w:pStyle w:val="21"/>
            <w:tabs>
              <w:tab w:val="right" w:leader="dot" w:pos="8306"/>
            </w:tabs>
          </w:pPr>
          <w:r>
            <w:fldChar w:fldCharType="begin"/>
          </w:r>
          <w:r>
            <w:instrText xml:space="preserve"> HYPERLINK \l _Toc21555_WPSOffice_Level2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5b5089f0-ddd3-4ae3-8788-300b94c33c24}"/>
              </w:placeholder>
            </w:sdtPr>
            <w:sdtEndPr>
              <w:rPr>
                <w:rFonts w:ascii="Times New Roman" w:hAnsi="Times New Roman" w:eastAsia="宋体" w:cs="Times New Roman"/>
                <w:kern w:val="2"/>
                <w:sz w:val="21"/>
                <w:szCs w:val="24"/>
                <w:lang w:val="en-US" w:eastAsia="zh-CN" w:bidi="ar-SA"/>
              </w:rPr>
            </w:sdtEndPr>
            <w:sdtContent>
              <w:r>
                <w:rPr>
                  <w:rFonts w:hint="eastAsia" w:ascii="仿宋" w:hAnsi="Calibri Light" w:eastAsia="仿宋" w:cs="Times New Roman"/>
                </w:rPr>
                <w:t>六、一般公共预算财政拨款支出决算表</w:t>
              </w:r>
            </w:sdtContent>
          </w:sdt>
          <w:r>
            <w:tab/>
          </w:r>
          <w:bookmarkStart w:id="47" w:name="_Toc21555_WPSOffice_Level2Page"/>
          <w:r>
            <w:t>15</w:t>
          </w:r>
          <w:bookmarkEnd w:id="47"/>
          <w:r>
            <w:fldChar w:fldCharType="end"/>
          </w:r>
        </w:p>
        <w:p>
          <w:pPr>
            <w:pStyle w:val="21"/>
            <w:tabs>
              <w:tab w:val="right" w:leader="dot" w:pos="8306"/>
            </w:tabs>
          </w:pPr>
          <w:r>
            <w:fldChar w:fldCharType="begin"/>
          </w:r>
          <w:r>
            <w:instrText xml:space="preserve"> HYPERLINK \l _Toc979_WPSOffice_Level2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c62309b3-8d04-4c91-bcd2-198a213f2b77}"/>
              </w:placeholder>
            </w:sdtPr>
            <w:sdtEndPr>
              <w:rPr>
                <w:rFonts w:ascii="Times New Roman" w:hAnsi="Times New Roman" w:eastAsia="宋体" w:cs="Times New Roman"/>
                <w:kern w:val="2"/>
                <w:sz w:val="21"/>
                <w:szCs w:val="24"/>
                <w:lang w:val="en-US" w:eastAsia="zh-CN" w:bidi="ar-SA"/>
              </w:rPr>
            </w:sdtEndPr>
            <w:sdtContent>
              <w:r>
                <w:rPr>
                  <w:rFonts w:hint="eastAsia" w:ascii="仿宋" w:hAnsi="Calibri Light" w:eastAsia="仿宋" w:cs="Times New Roman"/>
                </w:rPr>
                <w:t>七、一般公共预算财政拨款支出决算明细表</w:t>
              </w:r>
            </w:sdtContent>
          </w:sdt>
          <w:r>
            <w:tab/>
          </w:r>
          <w:bookmarkStart w:id="48" w:name="_Toc979_WPSOffice_Level2Page"/>
          <w:r>
            <w:t>15</w:t>
          </w:r>
          <w:bookmarkEnd w:id="48"/>
          <w:r>
            <w:fldChar w:fldCharType="end"/>
          </w:r>
        </w:p>
        <w:p>
          <w:pPr>
            <w:pStyle w:val="21"/>
            <w:tabs>
              <w:tab w:val="right" w:leader="dot" w:pos="8306"/>
            </w:tabs>
          </w:pPr>
          <w:r>
            <w:fldChar w:fldCharType="begin"/>
          </w:r>
          <w:r>
            <w:instrText xml:space="preserve"> HYPERLINK \l _Toc14846_WPSOffice_Level2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3da2eb1d-48ab-484b-9237-c704bb000b45}"/>
              </w:placeholder>
            </w:sdtPr>
            <w:sdtEndPr>
              <w:rPr>
                <w:rFonts w:ascii="Times New Roman" w:hAnsi="Times New Roman" w:eastAsia="宋体" w:cs="Times New Roman"/>
                <w:kern w:val="2"/>
                <w:sz w:val="21"/>
                <w:szCs w:val="24"/>
                <w:lang w:val="en-US" w:eastAsia="zh-CN" w:bidi="ar-SA"/>
              </w:rPr>
            </w:sdtEndPr>
            <w:sdtContent>
              <w:r>
                <w:rPr>
                  <w:rFonts w:hint="eastAsia" w:ascii="仿宋" w:hAnsi="Calibri Light" w:eastAsia="仿宋" w:cs="Times New Roman"/>
                </w:rPr>
                <w:t>八、一般公共预算财政拨款基本支出决算表</w:t>
              </w:r>
            </w:sdtContent>
          </w:sdt>
          <w:r>
            <w:tab/>
          </w:r>
          <w:bookmarkStart w:id="49" w:name="_Toc14846_WPSOffice_Level2Page"/>
          <w:r>
            <w:t>15</w:t>
          </w:r>
          <w:bookmarkEnd w:id="49"/>
          <w:r>
            <w:fldChar w:fldCharType="end"/>
          </w:r>
        </w:p>
        <w:p>
          <w:pPr>
            <w:pStyle w:val="21"/>
            <w:tabs>
              <w:tab w:val="right" w:leader="dot" w:pos="8306"/>
            </w:tabs>
          </w:pPr>
          <w:r>
            <w:fldChar w:fldCharType="begin"/>
          </w:r>
          <w:r>
            <w:instrText xml:space="preserve"> HYPERLINK \l _Toc21448_WPSOffice_Level2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2727c496-2021-44da-9d8e-9f1a9e3f7902}"/>
              </w:placeholder>
            </w:sdtPr>
            <w:sdtEndPr>
              <w:rPr>
                <w:rFonts w:ascii="Times New Roman" w:hAnsi="Times New Roman" w:eastAsia="宋体" w:cs="Times New Roman"/>
                <w:kern w:val="2"/>
                <w:sz w:val="21"/>
                <w:szCs w:val="24"/>
                <w:lang w:val="en-US" w:eastAsia="zh-CN" w:bidi="ar-SA"/>
              </w:rPr>
            </w:sdtEndPr>
            <w:sdtContent>
              <w:r>
                <w:rPr>
                  <w:rFonts w:hint="eastAsia" w:ascii="仿宋" w:hAnsi="Calibri Light" w:eastAsia="仿宋" w:cs="Times New Roman"/>
                </w:rPr>
                <w:t>九、一般公共预算财政拨款项目支出决算表</w:t>
              </w:r>
            </w:sdtContent>
          </w:sdt>
          <w:r>
            <w:tab/>
          </w:r>
          <w:bookmarkStart w:id="50" w:name="_Toc21448_WPSOffice_Level2Page"/>
          <w:r>
            <w:t>15</w:t>
          </w:r>
          <w:bookmarkEnd w:id="50"/>
          <w:r>
            <w:fldChar w:fldCharType="end"/>
          </w:r>
        </w:p>
        <w:p>
          <w:pPr>
            <w:pStyle w:val="21"/>
            <w:tabs>
              <w:tab w:val="right" w:leader="dot" w:pos="8306"/>
            </w:tabs>
          </w:pPr>
          <w:r>
            <w:fldChar w:fldCharType="begin"/>
          </w:r>
          <w:r>
            <w:instrText xml:space="preserve"> HYPERLINK \l _Toc28472_WPSOffice_Level2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49756d85-c689-4b25-84fe-32beef0591ce}"/>
              </w:placeholder>
            </w:sdtPr>
            <w:sdtEndPr>
              <w:rPr>
                <w:rFonts w:ascii="Times New Roman" w:hAnsi="Times New Roman" w:eastAsia="宋体" w:cs="Times New Roman"/>
                <w:kern w:val="2"/>
                <w:sz w:val="21"/>
                <w:szCs w:val="24"/>
                <w:lang w:val="en-US" w:eastAsia="zh-CN" w:bidi="ar-SA"/>
              </w:rPr>
            </w:sdtEndPr>
            <w:sdtContent>
              <w:r>
                <w:rPr>
                  <w:rFonts w:hint="eastAsia" w:ascii="仿宋" w:hAnsi="Calibri Light" w:eastAsia="仿宋" w:cs="Times New Roman"/>
                </w:rPr>
                <w:t>十、政府性基金预算财政拨款收入支出决算表</w:t>
              </w:r>
            </w:sdtContent>
          </w:sdt>
          <w:r>
            <w:tab/>
          </w:r>
          <w:bookmarkStart w:id="51" w:name="_Toc28472_WPSOffice_Level2Page"/>
          <w:r>
            <w:t>15</w:t>
          </w:r>
          <w:bookmarkEnd w:id="51"/>
          <w:r>
            <w:fldChar w:fldCharType="end"/>
          </w:r>
        </w:p>
        <w:p>
          <w:pPr>
            <w:pStyle w:val="21"/>
            <w:tabs>
              <w:tab w:val="right" w:leader="dot" w:pos="8306"/>
            </w:tabs>
          </w:pPr>
          <w:r>
            <w:fldChar w:fldCharType="begin"/>
          </w:r>
          <w:r>
            <w:instrText xml:space="preserve"> HYPERLINK \l _Toc18800_WPSOffice_Level2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9f9d9dac-b177-45f9-b731-3f4ed8c2065c}"/>
              </w:placeholder>
            </w:sdtPr>
            <w:sdtEndPr>
              <w:rPr>
                <w:rFonts w:ascii="Times New Roman" w:hAnsi="Times New Roman" w:eastAsia="宋体" w:cs="Times New Roman"/>
                <w:kern w:val="2"/>
                <w:sz w:val="21"/>
                <w:szCs w:val="24"/>
                <w:lang w:val="en-US" w:eastAsia="zh-CN" w:bidi="ar-SA"/>
              </w:rPr>
            </w:sdtEndPr>
            <w:sdtContent>
              <w:r>
                <w:rPr>
                  <w:rFonts w:hint="eastAsia" w:ascii="仿宋" w:hAnsi="Calibri Light" w:eastAsia="仿宋" w:cs="Times New Roman"/>
                </w:rPr>
                <w:t>十一、国有资本经营预算财政拨款收入支出决算表</w:t>
              </w:r>
            </w:sdtContent>
          </w:sdt>
          <w:r>
            <w:tab/>
          </w:r>
          <w:bookmarkStart w:id="52" w:name="_Toc18800_WPSOffice_Level2Page"/>
          <w:r>
            <w:t>15</w:t>
          </w:r>
          <w:bookmarkEnd w:id="52"/>
          <w:r>
            <w:fldChar w:fldCharType="end"/>
          </w:r>
        </w:p>
        <w:p>
          <w:pPr>
            <w:pStyle w:val="21"/>
            <w:tabs>
              <w:tab w:val="right" w:leader="dot" w:pos="8306"/>
            </w:tabs>
          </w:pPr>
          <w:r>
            <w:fldChar w:fldCharType="begin"/>
          </w:r>
          <w:r>
            <w:instrText xml:space="preserve"> HYPERLINK \l _Toc16479_WPSOffice_Level2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e83e72c3-5676-4cba-8616-6263f40dede4}"/>
              </w:placeholder>
            </w:sdtPr>
            <w:sdtEndPr>
              <w:rPr>
                <w:rFonts w:ascii="Times New Roman" w:hAnsi="Times New Roman" w:eastAsia="宋体" w:cs="Times New Roman"/>
                <w:kern w:val="2"/>
                <w:sz w:val="21"/>
                <w:szCs w:val="24"/>
                <w:lang w:val="en-US" w:eastAsia="zh-CN" w:bidi="ar-SA"/>
              </w:rPr>
            </w:sdtEndPr>
            <w:sdtContent>
              <w:r>
                <w:rPr>
                  <w:rFonts w:hint="eastAsia" w:ascii="仿宋" w:hAnsi="Calibri Light" w:eastAsia="仿宋" w:cs="Times New Roman"/>
                </w:rPr>
                <w:t>十二、国有资本经营预算财政拨款支出决算表</w:t>
              </w:r>
            </w:sdtContent>
          </w:sdt>
          <w:r>
            <w:tab/>
          </w:r>
          <w:bookmarkStart w:id="53" w:name="_Toc16479_WPSOffice_Level2Page"/>
          <w:r>
            <w:t>15</w:t>
          </w:r>
          <w:bookmarkEnd w:id="53"/>
          <w:r>
            <w:fldChar w:fldCharType="end"/>
          </w:r>
        </w:p>
        <w:p>
          <w:pPr>
            <w:pStyle w:val="21"/>
            <w:tabs>
              <w:tab w:val="right" w:leader="dot" w:pos="8306"/>
            </w:tabs>
          </w:pPr>
          <w:r>
            <w:fldChar w:fldCharType="begin"/>
          </w:r>
          <w:r>
            <w:instrText xml:space="preserve"> HYPERLINK \l _Toc26947_WPSOffice_Level2 </w:instrText>
          </w:r>
          <w:r>
            <w:fldChar w:fldCharType="separate"/>
          </w:r>
          <w:sdt>
            <w:sdtPr>
              <w:rPr>
                <w:rFonts w:ascii="Times New Roman" w:hAnsi="Times New Roman" w:eastAsia="宋体" w:cs="Times New Roman"/>
                <w:kern w:val="2"/>
                <w:sz w:val="21"/>
                <w:szCs w:val="24"/>
                <w:lang w:val="en-US" w:eastAsia="zh-CN" w:bidi="ar-SA"/>
              </w:rPr>
              <w:id w:val="147474244"/>
              <w:placeholder>
                <w:docPart w:val="{a34f1bd9-cbc3-49f5-80c4-3c880eb19d75}"/>
              </w:placeholder>
            </w:sdtPr>
            <w:sdtEndPr>
              <w:rPr>
                <w:rFonts w:ascii="Times New Roman" w:hAnsi="Times New Roman" w:eastAsia="宋体" w:cs="Times New Roman"/>
                <w:kern w:val="2"/>
                <w:sz w:val="21"/>
                <w:szCs w:val="24"/>
                <w:lang w:val="en-US" w:eastAsia="zh-CN" w:bidi="ar-SA"/>
              </w:rPr>
            </w:sdtEndPr>
            <w:sdtContent>
              <w:r>
                <w:rPr>
                  <w:rFonts w:hint="eastAsia" w:ascii="仿宋" w:hAnsi="Calibri Light" w:eastAsia="仿宋" w:cs="Times New Roman"/>
                </w:rPr>
                <w:t>十三、财政拨款“三公”经费支出决算表</w:t>
              </w:r>
            </w:sdtContent>
          </w:sdt>
          <w:r>
            <w:tab/>
          </w:r>
          <w:bookmarkStart w:id="54" w:name="_Toc26947_WPSOffice_Level2Page"/>
          <w:r>
            <w:t>15</w:t>
          </w:r>
          <w:bookmarkEnd w:id="54"/>
          <w:r>
            <w:fldChar w:fldCharType="end"/>
          </w:r>
          <w:bookmarkEnd w:id="14"/>
        </w:p>
      </w:sdtContent>
    </w:sdt>
    <w:p>
      <w:pPr>
        <w:rPr>
          <w:rFonts w:hint="eastAsia"/>
        </w:rPr>
        <w:sectPr>
          <w:headerReference r:id="rId3" w:type="default"/>
          <w:pgSz w:w="11906" w:h="16838"/>
          <w:pgMar w:top="1440" w:right="1800" w:bottom="1440" w:left="1800" w:header="851" w:footer="992" w:gutter="0"/>
          <w:pgNumType w:start="1"/>
          <w:cols w:space="720" w:num="1"/>
          <w:titlePg/>
          <w:docGrid w:type="lines" w:linePitch="312" w:charSpace="0"/>
        </w:sectPr>
      </w:pPr>
    </w:p>
    <w:p>
      <w:pPr>
        <w:pStyle w:val="2"/>
        <w:rPr>
          <w:rFonts w:hint="eastAsia"/>
        </w:rPr>
      </w:pPr>
    </w:p>
    <w:p>
      <w:pPr>
        <w:pStyle w:val="3"/>
        <w:jc w:val="center"/>
        <w:rPr>
          <w:rStyle w:val="16"/>
          <w:rFonts w:ascii="黑体" w:eastAsia="黑体"/>
          <w:b/>
          <w:bCs w:val="0"/>
          <w:color w:val="auto"/>
          <w:highlight w:val="none"/>
        </w:rPr>
      </w:pPr>
      <w:bookmarkStart w:id="55" w:name="_Toc32056_WPSOffice_Level1"/>
      <w:bookmarkStart w:id="56" w:name="_Toc23254_WPSOffice_Level1"/>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16"/>
          <w:rFonts w:hint="eastAsia" w:ascii="黑体" w:eastAsia="黑体"/>
          <w:b w:val="0"/>
          <w:bCs w:val="0"/>
          <w:color w:val="auto"/>
          <w:highlight w:val="none"/>
        </w:rPr>
        <w:t>概况</w:t>
      </w:r>
      <w:bookmarkEnd w:id="55"/>
      <w:bookmarkEnd w:id="56"/>
    </w:p>
    <w:p>
      <w:pPr>
        <w:widowControl/>
        <w:jc w:val="left"/>
        <w:rPr>
          <w:rFonts w:ascii="黑体" w:eastAsia="黑体"/>
          <w:b/>
          <w:bCs/>
          <w:color w:val="auto"/>
          <w:sz w:val="32"/>
          <w:szCs w:val="32"/>
          <w:highlight w:val="none"/>
        </w:rPr>
      </w:pPr>
    </w:p>
    <w:p>
      <w:pPr>
        <w:pStyle w:val="4"/>
        <w:numPr>
          <w:ilvl w:val="0"/>
          <w:numId w:val="1"/>
        </w:numPr>
        <w:rPr>
          <w:rStyle w:val="17"/>
          <w:rFonts w:hint="eastAsia" w:ascii="黑体" w:eastAsia="黑体"/>
          <w:b w:val="0"/>
          <w:bCs w:val="0"/>
          <w:color w:val="auto"/>
          <w:highlight w:val="none"/>
          <w:lang w:eastAsia="zh-CN"/>
        </w:rPr>
      </w:pPr>
      <w:bookmarkStart w:id="57" w:name="_Toc15420_WPSOffice_Level2"/>
      <w:bookmarkStart w:id="58" w:name="_Toc6095_WPSOffice_Level2"/>
      <w:bookmarkStart w:id="59" w:name="_Toc30058_WPSOffice_Level2"/>
      <w:bookmarkStart w:id="60" w:name="_Toc3326_WPSOffice_Level2"/>
      <w:bookmarkStart w:id="61" w:name="_Toc15124_WPSOffice_Level2"/>
      <w:bookmarkStart w:id="62" w:name="_Toc12547_WPSOffice_Level2"/>
      <w:bookmarkStart w:id="63" w:name="_Toc3275_WPSOffice_Level2"/>
      <w:bookmarkStart w:id="64" w:name="_Toc15396600"/>
      <w:bookmarkStart w:id="65" w:name="_Toc15377197"/>
      <w:r>
        <w:rPr>
          <w:rStyle w:val="17"/>
          <w:rFonts w:hint="eastAsia" w:ascii="黑体" w:eastAsia="黑体"/>
          <w:b w:val="0"/>
          <w:bCs w:val="0"/>
          <w:color w:val="auto"/>
          <w:highlight w:val="none"/>
          <w:lang w:eastAsia="zh-CN"/>
        </w:rPr>
        <w:t>主要职责</w:t>
      </w:r>
      <w:bookmarkEnd w:id="57"/>
      <w:bookmarkEnd w:id="58"/>
      <w:bookmarkEnd w:id="59"/>
      <w:bookmarkEnd w:id="60"/>
      <w:bookmarkEnd w:id="61"/>
      <w:bookmarkEnd w:id="62"/>
      <w:bookmarkEnd w:id="63"/>
    </w:p>
    <w:p>
      <w:pPr>
        <w:pStyle w:val="12"/>
        <w:shd w:val="clear" w:color="auto" w:fill="FFFFFF"/>
        <w:spacing w:line="330" w:lineRule="atLeast"/>
        <w:ind w:firstLine="643" w:firstLineChars="200"/>
        <w:rPr>
          <w:rFonts w:hint="eastAsia" w:ascii="仿宋" w:eastAsia="仿宋" w:cs="Times New Roman"/>
          <w:color w:val="auto"/>
          <w:kern w:val="2"/>
          <w:sz w:val="32"/>
          <w:szCs w:val="32"/>
          <w:highlight w:val="none"/>
          <w:lang w:val="en-US" w:eastAsia="zh-CN" w:bidi="ar-SA"/>
        </w:rPr>
      </w:pPr>
      <w:r>
        <w:rPr>
          <w:rFonts w:hint="eastAsia" w:ascii="仿宋" w:eastAsia="仿宋" w:cs="Times New Roman"/>
          <w:b/>
          <w:bCs/>
          <w:color w:val="auto"/>
          <w:kern w:val="2"/>
          <w:sz w:val="32"/>
          <w:szCs w:val="32"/>
          <w:highlight w:val="none"/>
          <w:lang w:val="en-US" w:eastAsia="zh-CN" w:bidi="ar-SA"/>
        </w:rPr>
        <w:t>一是基本公共卫生服务方面。</w:t>
      </w:r>
      <w:r>
        <w:rPr>
          <w:rFonts w:hint="eastAsia" w:ascii="仿宋" w:eastAsia="仿宋" w:cs="Times New Roman"/>
          <w:color w:val="auto"/>
          <w:kern w:val="2"/>
          <w:sz w:val="32"/>
          <w:szCs w:val="32"/>
          <w:highlight w:val="none"/>
          <w:lang w:val="en-US" w:eastAsia="zh-CN" w:bidi="ar-SA"/>
        </w:rPr>
        <w:t>落实农村居民健康档案管理及服务；普及卫生保健常识，指导开展爱国卫生工作；规范预防接种服务，执行国家免疫规划；及时发现、登记并报告辖区传染病病历和疑似病例，参与现场疫情处理，协助处理辖区内突发公共卫生事件；开展新生儿访视及儿童、孕产妇保健系统管理；对辖区65岁及以上老年人和糖尿病、精神病、高血压等慢性疾病登记管理；接受区卫生行政部门委托，对辖区内传染病防治、学校卫生、饮用水卫生、职业卫生以及村级预防保健工作进行指导、培训、考核与监督等。</w:t>
      </w:r>
      <w:r>
        <w:rPr>
          <w:rFonts w:hint="eastAsia" w:ascii="仿宋" w:eastAsia="仿宋" w:cs="Times New Roman"/>
          <w:b/>
          <w:bCs/>
          <w:color w:val="auto"/>
          <w:kern w:val="2"/>
          <w:sz w:val="32"/>
          <w:szCs w:val="32"/>
          <w:highlight w:val="none"/>
          <w:lang w:val="en-US" w:eastAsia="zh-CN" w:bidi="ar-SA"/>
        </w:rPr>
        <w:t>二是基本医疗服务方面。</w:t>
      </w:r>
      <w:r>
        <w:rPr>
          <w:rFonts w:hint="eastAsia" w:ascii="仿宋" w:eastAsia="仿宋" w:cs="Times New Roman"/>
          <w:color w:val="auto"/>
          <w:kern w:val="2"/>
          <w:sz w:val="32"/>
          <w:szCs w:val="32"/>
          <w:highlight w:val="none"/>
          <w:lang w:val="en-US" w:eastAsia="zh-CN" w:bidi="ar-SA"/>
        </w:rPr>
        <w:t xml:space="preserve">正确处理常见病，多发病，对疑难杂症进行恰当的处理与转诊；加强急诊救护体系建设，承担本辖区及周边乡村现场应急救护，转诊和康复服务；认真执行国家基本药物制度，加强医疗质量管理及院感防控。    </w:t>
      </w:r>
      <w:r>
        <w:rPr>
          <w:rFonts w:hint="eastAsia" w:ascii="仿宋" w:eastAsia="仿宋" w:cs="Times New Roman"/>
          <w:b/>
          <w:bCs/>
          <w:color w:val="auto"/>
          <w:kern w:val="2"/>
          <w:sz w:val="32"/>
          <w:szCs w:val="32"/>
          <w:highlight w:val="none"/>
          <w:lang w:val="en-US" w:eastAsia="zh-CN" w:bidi="ar-SA"/>
        </w:rPr>
        <w:t>三是基本管理服务。</w:t>
      </w:r>
      <w:r>
        <w:rPr>
          <w:rFonts w:hint="eastAsia" w:ascii="仿宋" w:eastAsia="仿宋" w:cs="Times New Roman"/>
          <w:color w:val="auto"/>
          <w:kern w:val="2"/>
          <w:sz w:val="32"/>
          <w:szCs w:val="32"/>
          <w:highlight w:val="none"/>
          <w:lang w:val="en-US" w:eastAsia="zh-CN" w:bidi="ar-SA"/>
        </w:rPr>
        <w:t>规范卫生院财务管理工作，巩固农村公共卫生服务体系。履行定点医疗机构职责，严格执行国家基本医疗保险政策并做好有关的政策宣传，监督及服务工作。深入推进乡村卫生服务一体化管理，负责村卫生室的技术指导和医生培训等项工作。落实健康扶贫相关政策。</w:t>
      </w:r>
    </w:p>
    <w:p>
      <w:pPr>
        <w:pStyle w:val="4"/>
        <w:rPr>
          <w:rFonts w:hint="eastAsia" w:ascii="黑体" w:eastAsia="黑体"/>
          <w:b w:val="0"/>
          <w:color w:val="auto"/>
          <w:highlight w:val="none"/>
          <w:lang w:val="en-US" w:eastAsia="zh-CN"/>
        </w:rPr>
      </w:pPr>
      <w:bookmarkStart w:id="66" w:name="_Toc5925_WPSOffice_Level2"/>
      <w:bookmarkStart w:id="67" w:name="_Toc23888_WPSOffice_Level2"/>
      <w:bookmarkStart w:id="68" w:name="_Toc826_WPSOffice_Level2"/>
      <w:bookmarkStart w:id="69" w:name="_Toc15464_WPSOffice_Level2"/>
      <w:bookmarkStart w:id="70" w:name="_Toc28422_WPSOffice_Level2"/>
      <w:bookmarkStart w:id="71" w:name="_Toc7564_WPSOffice_Level2"/>
      <w:bookmarkStart w:id="72" w:name="_Toc27201_WPSOffice_Level2"/>
      <w:r>
        <w:rPr>
          <w:rFonts w:hint="eastAsia" w:ascii="黑体" w:eastAsia="黑体"/>
          <w:b w:val="0"/>
          <w:color w:val="auto"/>
          <w:highlight w:val="none"/>
          <w:lang w:val="en-US" w:eastAsia="zh-CN"/>
        </w:rPr>
        <w:t>二、机构设置</w:t>
      </w:r>
      <w:bookmarkEnd w:id="66"/>
      <w:bookmarkEnd w:id="67"/>
      <w:bookmarkEnd w:id="68"/>
      <w:bookmarkEnd w:id="69"/>
      <w:bookmarkEnd w:id="70"/>
      <w:bookmarkEnd w:id="71"/>
      <w:bookmarkEnd w:id="72"/>
    </w:p>
    <w:bookmarkEnd w:id="64"/>
    <w:bookmarkEnd w:id="65"/>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广元市昭化区张家乡卫生院</w:t>
      </w:r>
      <w:r>
        <w:rPr>
          <w:rFonts w:hint="eastAsia" w:ascii="仿宋_GB2312" w:eastAsia="仿宋_GB2312" w:cs="仿宋_GB2312"/>
          <w:i w:val="0"/>
          <w:caps w:val="0"/>
          <w:color w:val="333333"/>
          <w:spacing w:val="0"/>
          <w:kern w:val="0"/>
          <w:sz w:val="32"/>
          <w:szCs w:val="32"/>
          <w:shd w:val="clear" w:color="auto" w:fill="FFFFFF"/>
          <w:lang w:val="en-US" w:eastAsia="zh-CN" w:bidi="ar"/>
        </w:rPr>
        <w:t>属主管部门下属单位，属于二级预算单位，无下属机构。</w:t>
      </w:r>
    </w:p>
    <w:p>
      <w:pPr>
        <w:widowControl/>
        <w:ind w:firstLine="640" w:firstLineChars="200"/>
        <w:jc w:val="left"/>
        <w:rPr>
          <w:rFonts w:ascii="仿宋" w:eastAsia="仿宋"/>
          <w:color w:val="auto"/>
          <w:kern w:val="0"/>
          <w:sz w:val="32"/>
          <w:szCs w:val="32"/>
          <w:highlight w:val="none"/>
        </w:rPr>
      </w:pPr>
      <w:r>
        <w:rPr>
          <w:rFonts w:ascii="仿宋" w:eastAsia="仿宋"/>
          <w:color w:val="auto"/>
          <w:sz w:val="32"/>
          <w:szCs w:val="32"/>
          <w:highlight w:val="none"/>
        </w:rPr>
        <w:br w:type="page"/>
      </w:r>
    </w:p>
    <w:p>
      <w:pPr>
        <w:pStyle w:val="3"/>
        <w:ind w:right="440"/>
        <w:jc w:val="center"/>
        <w:rPr>
          <w:rStyle w:val="16"/>
          <w:rFonts w:ascii="黑体" w:eastAsia="黑体"/>
          <w:b w:val="0"/>
          <w:bCs/>
          <w:color w:val="auto"/>
          <w:highlight w:val="none"/>
        </w:rPr>
      </w:pPr>
      <w:bookmarkStart w:id="73" w:name="_Toc15396602"/>
      <w:bookmarkStart w:id="74" w:name="_Toc15377204"/>
      <w:bookmarkStart w:id="75" w:name="_Toc5471_WPSOffice_Level1"/>
      <w:bookmarkStart w:id="76" w:name="_Toc4481_WPSOffice_Level1"/>
      <w:bookmarkStart w:id="77" w:name="_Toc20574_WPSOffice_Level1"/>
      <w:bookmarkStart w:id="78" w:name="_Toc30493_WPSOffice_Level1"/>
      <w:bookmarkStart w:id="79" w:name="_Toc26935_WPSOffice_Level1"/>
      <w:bookmarkStart w:id="80" w:name="_Toc15420_WPSOffice_Level1"/>
      <w:bookmarkStart w:id="81" w:name="_Toc3275_WPSOffice_Level1"/>
      <w:r>
        <w:rPr>
          <w:rFonts w:hint="eastAsia" w:ascii="黑体" w:eastAsia="黑体"/>
          <w:b w:val="0"/>
          <w:bCs/>
          <w:color w:val="auto"/>
          <w:highlight w:val="none"/>
        </w:rPr>
        <w:t xml:space="preserve">第二部分 </w:t>
      </w:r>
      <w:r>
        <w:rPr>
          <w:rFonts w:hint="eastAsia" w:ascii="黑体" w:eastAsia="黑体"/>
          <w:b w:val="0"/>
          <w:bCs/>
          <w:color w:val="auto"/>
          <w:highlight w:val="none"/>
          <w:lang w:val="en-US" w:eastAsia="zh-CN"/>
        </w:rPr>
        <w:t>2022年度</w:t>
      </w:r>
      <w:r>
        <w:rPr>
          <w:rStyle w:val="16"/>
          <w:rFonts w:hint="eastAsia" w:ascii="黑体" w:eastAsia="黑体"/>
          <w:b w:val="0"/>
          <w:bCs/>
          <w:color w:val="auto"/>
          <w:highlight w:val="none"/>
          <w:lang w:eastAsia="zh-CN"/>
        </w:rPr>
        <w:t>单位</w:t>
      </w:r>
      <w:r>
        <w:rPr>
          <w:rStyle w:val="16"/>
          <w:rFonts w:hint="eastAsia" w:ascii="黑体" w:eastAsia="黑体"/>
          <w:b w:val="0"/>
          <w:bCs/>
          <w:color w:val="auto"/>
          <w:highlight w:val="none"/>
        </w:rPr>
        <w:t>决算情况说明</w:t>
      </w:r>
      <w:bookmarkEnd w:id="73"/>
      <w:bookmarkEnd w:id="74"/>
      <w:bookmarkEnd w:id="75"/>
      <w:bookmarkEnd w:id="76"/>
      <w:bookmarkEnd w:id="77"/>
      <w:bookmarkEnd w:id="78"/>
      <w:bookmarkEnd w:id="79"/>
      <w:bookmarkEnd w:id="80"/>
      <w:bookmarkEnd w:id="81"/>
    </w:p>
    <w:p>
      <w:pPr>
        <w:rPr>
          <w:color w:val="auto"/>
          <w:highlight w:val="none"/>
        </w:rPr>
      </w:pPr>
    </w:p>
    <w:p>
      <w:pPr>
        <w:pStyle w:val="18"/>
        <w:numPr>
          <w:ilvl w:val="0"/>
          <w:numId w:val="2"/>
        </w:numPr>
        <w:spacing w:line="600" w:lineRule="exact"/>
        <w:ind w:firstLineChars="0"/>
        <w:outlineLvl w:val="1"/>
        <w:rPr>
          <w:rStyle w:val="17"/>
          <w:rFonts w:ascii="黑体" w:eastAsia="黑体"/>
          <w:b w:val="0"/>
          <w:color w:val="auto"/>
          <w:highlight w:val="none"/>
        </w:rPr>
      </w:pPr>
      <w:bookmarkStart w:id="82" w:name="_Toc15396603"/>
      <w:bookmarkStart w:id="83" w:name="_Toc15377205"/>
      <w:bookmarkStart w:id="84" w:name="_Toc15157_WPSOffice_Level2"/>
      <w:bookmarkStart w:id="85" w:name="_Toc20574_WPSOffice_Level2"/>
      <w:bookmarkStart w:id="86" w:name="_Toc2865_WPSOffice_Level2"/>
      <w:bookmarkStart w:id="87" w:name="_Toc26913_WPSOffice_Level2"/>
      <w:bookmarkStart w:id="88" w:name="_Toc4859_WPSOffice_Level2"/>
      <w:bookmarkStart w:id="89" w:name="_Toc30552_WPSOffice_Level2"/>
      <w:bookmarkStart w:id="90" w:name="_Toc12506_WPSOffice_Level2"/>
      <w:r>
        <w:rPr>
          <w:rFonts w:hint="eastAsia" w:ascii="黑体" w:eastAsia="黑体"/>
          <w:color w:val="auto"/>
          <w:sz w:val="32"/>
          <w:szCs w:val="32"/>
          <w:highlight w:val="none"/>
        </w:rPr>
        <w:t>收</w:t>
      </w:r>
      <w:r>
        <w:rPr>
          <w:rStyle w:val="17"/>
          <w:rFonts w:hint="eastAsia" w:ascii="黑体" w:eastAsia="黑体"/>
          <w:b w:val="0"/>
          <w:color w:val="auto"/>
          <w:highlight w:val="none"/>
        </w:rPr>
        <w:t>入支出决算总体情况说明</w:t>
      </w:r>
      <w:bookmarkEnd w:id="82"/>
      <w:bookmarkEnd w:id="83"/>
      <w:bookmarkEnd w:id="84"/>
      <w:bookmarkEnd w:id="85"/>
      <w:bookmarkEnd w:id="86"/>
      <w:bookmarkEnd w:id="87"/>
      <w:bookmarkEnd w:id="88"/>
      <w:bookmarkEnd w:id="89"/>
      <w:bookmarkEnd w:id="90"/>
    </w:p>
    <w:p>
      <w:pPr>
        <w:spacing w:line="600" w:lineRule="exact"/>
        <w:ind w:firstLine="640" w:firstLineChars="200"/>
        <w:rPr>
          <w:rFonts w:hint="eastAsia" w:ascii="仿宋" w:eastAsia="仿宋" w:cs="仿宋"/>
          <w:color w:val="auto"/>
          <w:sz w:val="32"/>
          <w:szCs w:val="32"/>
          <w:lang w:val="en-US" w:eastAsia="zh-CN"/>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年度收、支总计</w:t>
      </w:r>
      <w:r>
        <w:rPr>
          <w:rFonts w:hint="eastAsia" w:ascii="仿宋" w:eastAsia="仿宋"/>
          <w:color w:val="auto"/>
          <w:sz w:val="32"/>
          <w:szCs w:val="32"/>
          <w:highlight w:val="none"/>
          <w:lang w:val="en-US" w:eastAsia="zh-CN"/>
        </w:rPr>
        <w:t>108.58</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年相比，收、支总计各</w:t>
      </w:r>
      <w:r>
        <w:rPr>
          <w:rFonts w:hint="eastAsia" w:ascii="仿宋" w:eastAsia="仿宋"/>
          <w:color w:val="auto"/>
          <w:sz w:val="32"/>
          <w:szCs w:val="32"/>
          <w:highlight w:val="none"/>
          <w:lang w:eastAsia="zh-CN"/>
        </w:rPr>
        <w:t>减少</w:t>
      </w:r>
      <w:r>
        <w:rPr>
          <w:rFonts w:hint="eastAsia" w:ascii="仿宋" w:eastAsia="仿宋"/>
          <w:color w:val="auto"/>
          <w:sz w:val="32"/>
          <w:szCs w:val="32"/>
          <w:highlight w:val="none"/>
          <w:lang w:val="en-US" w:eastAsia="zh-CN"/>
        </w:rPr>
        <w:t>70.15</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降低</w:t>
      </w:r>
      <w:r>
        <w:rPr>
          <w:rFonts w:hint="eastAsia" w:ascii="仿宋" w:eastAsia="仿宋"/>
          <w:color w:val="auto"/>
          <w:sz w:val="32"/>
          <w:szCs w:val="32"/>
          <w:highlight w:val="none"/>
          <w:lang w:val="en-US" w:eastAsia="zh-CN"/>
        </w:rPr>
        <w:t>39.25</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color w:val="auto"/>
          <w:sz w:val="32"/>
          <w:szCs w:val="32"/>
          <w:highlight w:val="none"/>
          <w:lang w:eastAsia="zh-CN"/>
        </w:rPr>
        <w:t>收入</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w:t>
      </w:r>
      <w:r>
        <w:rPr>
          <w:rFonts w:hint="eastAsia" w:ascii="仿宋" w:eastAsia="仿宋" w:cs="仿宋"/>
          <w:color w:val="auto"/>
          <w:sz w:val="32"/>
          <w:szCs w:val="32"/>
          <w:lang w:val="en-US" w:eastAsia="zh-CN"/>
        </w:rPr>
        <w:t>2022年一般公共预算财政拨款收入相比上年减少了69.05万元；政府性基金预算财政拨款收入相比上年增加了1.71万元；事业收入相比上年减少了2.81万元。2022年支出主要变动的原因是：社会保障和就业支出减少了0.24万元；城乡社区支出增加了1.71万元；卫生健康支出减少了71.11万元；住房保障支出减少了0.51万元。</w:t>
      </w:r>
    </w:p>
    <w:p>
      <w:pPr>
        <w:pStyle w:val="2"/>
        <w:ind w:firstLine="600" w:firstLineChars="200"/>
      </w:pPr>
      <w:r>
        <w:drawing>
          <wp:inline distT="0" distB="0" distL="114300" distR="114300">
            <wp:extent cx="3636010" cy="202692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ind w:firstLine="640" w:firstLineChars="200"/>
        <w:rPr>
          <w:rFonts w:ascii="仿宋_GB2312" w:eastAsia="仿宋_GB2312"/>
          <w:color w:val="auto"/>
          <w:sz w:val="32"/>
          <w:szCs w:val="32"/>
          <w:highlight w:val="none"/>
        </w:rPr>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pStyle w:val="18"/>
        <w:numPr>
          <w:ilvl w:val="0"/>
          <w:numId w:val="2"/>
        </w:numPr>
        <w:spacing w:line="600" w:lineRule="exact"/>
        <w:ind w:firstLineChars="0"/>
        <w:outlineLvl w:val="1"/>
        <w:rPr>
          <w:rStyle w:val="17"/>
          <w:rFonts w:ascii="黑体" w:eastAsia="黑体"/>
          <w:b w:val="0"/>
          <w:color w:val="auto"/>
          <w:highlight w:val="none"/>
        </w:rPr>
      </w:pPr>
      <w:bookmarkStart w:id="91" w:name="_Toc15377206"/>
      <w:bookmarkStart w:id="92" w:name="_Toc15396604"/>
      <w:bookmarkStart w:id="93" w:name="_Toc4481_WPSOffice_Level2"/>
      <w:bookmarkStart w:id="94" w:name="_Toc17241_WPSOffice_Level2"/>
      <w:bookmarkStart w:id="95" w:name="_Toc26452_WPSOffice_Level2"/>
      <w:bookmarkStart w:id="96" w:name="_Toc880_WPSOffice_Level2"/>
      <w:bookmarkStart w:id="97" w:name="_Toc10716_WPSOffice_Level2"/>
      <w:bookmarkStart w:id="98" w:name="_Toc18937_WPSOffice_Level2"/>
      <w:bookmarkStart w:id="99" w:name="_Toc8274_WPSOffice_Level2"/>
      <w:r>
        <w:rPr>
          <w:rFonts w:hint="eastAsia" w:ascii="黑体" w:eastAsia="黑体"/>
          <w:color w:val="auto"/>
          <w:sz w:val="32"/>
          <w:szCs w:val="32"/>
          <w:highlight w:val="none"/>
        </w:rPr>
        <w:t>收</w:t>
      </w:r>
      <w:r>
        <w:rPr>
          <w:rStyle w:val="17"/>
          <w:rFonts w:hint="eastAsia" w:ascii="黑体" w:eastAsia="黑体"/>
          <w:b w:val="0"/>
          <w:color w:val="auto"/>
          <w:highlight w:val="none"/>
        </w:rPr>
        <w:t>入决算情况说明</w:t>
      </w:r>
      <w:bookmarkEnd w:id="91"/>
      <w:bookmarkEnd w:id="92"/>
      <w:bookmarkEnd w:id="93"/>
      <w:bookmarkEnd w:id="94"/>
      <w:bookmarkEnd w:id="95"/>
      <w:bookmarkEnd w:id="96"/>
      <w:bookmarkEnd w:id="97"/>
      <w:bookmarkEnd w:id="98"/>
      <w:bookmarkEnd w:id="99"/>
    </w:p>
    <w:p>
      <w:pPr>
        <w:spacing w:line="600" w:lineRule="exact"/>
        <w:ind w:firstLine="640" w:firstLineChars="200"/>
        <w:outlineLvl w:val="1"/>
        <w:rPr>
          <w:rFonts w:hint="eastAsia" w:ascii="仿宋" w:eastAsia="仿宋"/>
          <w:color w:val="auto"/>
          <w:sz w:val="32"/>
          <w:szCs w:val="32"/>
          <w:highlight w:val="none"/>
          <w:lang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年本年收入合计</w:t>
      </w:r>
      <w:r>
        <w:rPr>
          <w:rFonts w:hint="eastAsia" w:ascii="仿宋" w:eastAsia="仿宋"/>
          <w:color w:val="auto"/>
          <w:sz w:val="32"/>
          <w:szCs w:val="32"/>
          <w:highlight w:val="none"/>
          <w:lang w:val="en-US" w:eastAsia="zh-CN"/>
        </w:rPr>
        <w:t>108.58</w:t>
      </w:r>
      <w:r>
        <w:rPr>
          <w:rFonts w:hint="eastAsia" w:ascii="仿宋" w:eastAsia="仿宋"/>
          <w:color w:val="auto"/>
          <w:sz w:val="32"/>
          <w:szCs w:val="32"/>
          <w:highlight w:val="none"/>
        </w:rPr>
        <w:t>万元，其中：财政拨款收入</w:t>
      </w:r>
      <w:r>
        <w:rPr>
          <w:rFonts w:hint="eastAsia" w:ascii="仿宋" w:eastAsia="仿宋"/>
          <w:color w:val="auto"/>
          <w:sz w:val="32"/>
          <w:szCs w:val="32"/>
          <w:highlight w:val="none"/>
          <w:lang w:val="en-US" w:eastAsia="zh-CN"/>
        </w:rPr>
        <w:t>80.82</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74.43</w:t>
      </w:r>
      <w:r>
        <w:rPr>
          <w:rFonts w:ascii="仿宋" w:eastAsia="仿宋"/>
          <w:color w:val="auto"/>
          <w:sz w:val="32"/>
          <w:szCs w:val="32"/>
          <w:highlight w:val="none"/>
        </w:rPr>
        <w:t>%</w:t>
      </w:r>
      <w:r>
        <w:rPr>
          <w:rFonts w:hint="eastAsia" w:ascii="仿宋" w:eastAsia="仿宋"/>
          <w:color w:val="auto"/>
          <w:sz w:val="32"/>
          <w:szCs w:val="32"/>
          <w:highlight w:val="none"/>
        </w:rPr>
        <w:t>；事业收入27.76万元，占</w:t>
      </w:r>
      <w:r>
        <w:rPr>
          <w:rFonts w:hint="eastAsia" w:ascii="仿宋" w:eastAsia="仿宋"/>
          <w:color w:val="auto"/>
          <w:sz w:val="32"/>
          <w:szCs w:val="32"/>
          <w:highlight w:val="none"/>
          <w:lang w:val="en-US" w:eastAsia="zh-CN"/>
        </w:rPr>
        <w:t>25.57</w:t>
      </w:r>
      <w:r>
        <w:rPr>
          <w:rFonts w:ascii="仿宋" w:eastAsia="仿宋"/>
          <w:color w:val="auto"/>
          <w:sz w:val="32"/>
          <w:szCs w:val="32"/>
          <w:highlight w:val="none"/>
        </w:rPr>
        <w:t>%</w:t>
      </w:r>
      <w:r>
        <w:rPr>
          <w:rFonts w:hint="eastAsia" w:ascii="仿宋" w:eastAsia="仿宋"/>
          <w:color w:val="auto"/>
          <w:sz w:val="32"/>
          <w:szCs w:val="32"/>
          <w:highlight w:val="none"/>
          <w:lang w:eastAsia="zh-CN"/>
        </w:rPr>
        <w:t>。</w:t>
      </w:r>
    </w:p>
    <w:p>
      <w:pPr>
        <w:spacing w:line="600" w:lineRule="exact"/>
        <w:outlineLvl w:val="1"/>
        <w:rPr>
          <w:rFonts w:hint="eastAsia"/>
          <w:lang w:val="en-US" w:eastAsia="zh-CN"/>
        </w:rPr>
      </w:pPr>
      <w:r>
        <w:rPr>
          <w:rFonts w:hint="eastAsia"/>
          <w:lang w:val="en-US" w:eastAsia="zh-CN"/>
        </w:rPr>
        <w:t xml:space="preserve">               </w:t>
      </w:r>
      <w:r>
        <w:drawing>
          <wp:anchor distT="0" distB="0" distL="114300" distR="114300" simplePos="0" relativeHeight="251659264" behindDoc="0" locked="0" layoutInCell="1" allowOverlap="1">
            <wp:simplePos x="0" y="0"/>
            <wp:positionH relativeFrom="column">
              <wp:posOffset>894080</wp:posOffset>
            </wp:positionH>
            <wp:positionV relativeFrom="paragraph">
              <wp:posOffset>363220</wp:posOffset>
            </wp:positionV>
            <wp:extent cx="3817620" cy="1874520"/>
            <wp:effectExtent l="0" t="0" r="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jc w:val="center"/>
        <w:outlineLvl w:val="1"/>
        <w:rPr>
          <w:rFonts w:ascii="仿宋_GB2312" w:eastAsia="仿宋_GB2312"/>
          <w:color w:val="auto"/>
          <w:sz w:val="32"/>
          <w:szCs w:val="32"/>
          <w:highlight w:val="none"/>
        </w:rPr>
      </w:pPr>
      <w:bookmarkStart w:id="100" w:name="_Toc3275_WPSOffice_Level3"/>
      <w:r>
        <w:rPr>
          <w:rFonts w:hint="eastAsia" w:ascii="仿宋" w:eastAsia="仿宋"/>
          <w:color w:val="auto"/>
          <w:sz w:val="32"/>
          <w:szCs w:val="32"/>
          <w:highlight w:val="none"/>
        </w:rPr>
        <w:t>（图2：收入决算结构图）（饼状图）</w:t>
      </w:r>
      <w:bookmarkEnd w:id="100"/>
    </w:p>
    <w:p>
      <w:pPr>
        <w:pStyle w:val="18"/>
        <w:numPr>
          <w:ilvl w:val="0"/>
          <w:numId w:val="2"/>
        </w:numPr>
        <w:spacing w:line="600" w:lineRule="exact"/>
        <w:ind w:firstLineChars="0"/>
        <w:outlineLvl w:val="1"/>
        <w:rPr>
          <w:rStyle w:val="17"/>
          <w:rFonts w:ascii="黑体" w:eastAsia="黑体"/>
          <w:b w:val="0"/>
          <w:color w:val="auto"/>
          <w:highlight w:val="none"/>
        </w:rPr>
      </w:pPr>
      <w:bookmarkStart w:id="101" w:name="_Toc29932_WPSOffice_Level2"/>
      <w:bookmarkStart w:id="102" w:name="_Toc14407_WPSOffice_Level2"/>
      <w:bookmarkStart w:id="103" w:name="_Toc23906_WPSOffice_Level2"/>
      <w:bookmarkStart w:id="104" w:name="_Toc31568_WPSOffice_Level2"/>
      <w:bookmarkStart w:id="105" w:name="_Toc16073_WPSOffice_Level2"/>
      <w:bookmarkStart w:id="106" w:name="_Toc27766_WPSOffice_Level2"/>
      <w:bookmarkStart w:id="107" w:name="_Toc15377207"/>
      <w:bookmarkStart w:id="108" w:name="_Toc15396605"/>
      <w:bookmarkStart w:id="109" w:name="_Toc10134_WPSOffice_Level2"/>
      <w:r>
        <w:rPr>
          <w:rFonts w:hint="eastAsia" w:ascii="黑体" w:eastAsia="黑体"/>
          <w:color w:val="auto"/>
          <w:sz w:val="32"/>
          <w:szCs w:val="32"/>
          <w:highlight w:val="none"/>
        </w:rPr>
        <w:t>支</w:t>
      </w:r>
      <w:r>
        <w:rPr>
          <w:rStyle w:val="17"/>
          <w:rFonts w:hint="eastAsia" w:ascii="黑体" w:eastAsia="黑体"/>
          <w:b w:val="0"/>
          <w:color w:val="auto"/>
          <w:highlight w:val="none"/>
        </w:rPr>
        <w:t>出决算情况说明</w:t>
      </w:r>
      <w:bookmarkEnd w:id="101"/>
      <w:bookmarkEnd w:id="102"/>
      <w:bookmarkEnd w:id="103"/>
      <w:bookmarkEnd w:id="104"/>
      <w:bookmarkEnd w:id="105"/>
      <w:bookmarkEnd w:id="106"/>
      <w:bookmarkEnd w:id="107"/>
      <w:bookmarkEnd w:id="108"/>
      <w:bookmarkEnd w:id="109"/>
    </w:p>
    <w:p>
      <w:pPr>
        <w:spacing w:line="600" w:lineRule="exact"/>
        <w:ind w:firstLine="640" w:firstLineChars="200"/>
        <w:outlineLvl w:val="1"/>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年本年支出合计</w:t>
      </w:r>
      <w:r>
        <w:rPr>
          <w:rFonts w:hint="eastAsia" w:ascii="仿宋" w:eastAsia="仿宋"/>
          <w:color w:val="auto"/>
          <w:sz w:val="32"/>
          <w:szCs w:val="32"/>
          <w:highlight w:val="none"/>
          <w:lang w:val="en-US" w:eastAsia="zh-CN"/>
        </w:rPr>
        <w:t>108.58</w:t>
      </w:r>
      <w:r>
        <w:rPr>
          <w:rFonts w:hint="eastAsia" w:ascii="仿宋" w:eastAsia="仿宋"/>
          <w:color w:val="auto"/>
          <w:sz w:val="32"/>
          <w:szCs w:val="32"/>
          <w:highlight w:val="none"/>
        </w:rPr>
        <w:t>万元，其中：基本支出106.87万元，占</w:t>
      </w:r>
      <w:r>
        <w:rPr>
          <w:rFonts w:hint="eastAsia" w:ascii="仿宋" w:eastAsia="仿宋"/>
          <w:color w:val="auto"/>
          <w:sz w:val="32"/>
          <w:szCs w:val="32"/>
          <w:highlight w:val="none"/>
          <w:lang w:val="en-US" w:eastAsia="zh-CN"/>
        </w:rPr>
        <w:t>98.42</w:t>
      </w:r>
      <w:r>
        <w:rPr>
          <w:rFonts w:ascii="仿宋" w:eastAsia="仿宋"/>
          <w:color w:val="auto"/>
          <w:sz w:val="32"/>
          <w:szCs w:val="32"/>
          <w:highlight w:val="none"/>
        </w:rPr>
        <w:t>%</w:t>
      </w:r>
      <w:r>
        <w:rPr>
          <w:rFonts w:hint="eastAsia" w:ascii="仿宋" w:eastAsia="仿宋"/>
          <w:color w:val="auto"/>
          <w:sz w:val="32"/>
          <w:szCs w:val="32"/>
          <w:highlight w:val="none"/>
        </w:rPr>
        <w:t>；项目支出1.71万元，占</w:t>
      </w:r>
      <w:r>
        <w:rPr>
          <w:rFonts w:hint="eastAsia" w:ascii="仿宋" w:eastAsia="仿宋"/>
          <w:color w:val="auto"/>
          <w:sz w:val="32"/>
          <w:szCs w:val="32"/>
          <w:highlight w:val="none"/>
          <w:lang w:val="en-US" w:eastAsia="zh-CN"/>
        </w:rPr>
        <w:t>1.58</w:t>
      </w:r>
      <w:r>
        <w:rPr>
          <w:rFonts w:ascii="仿宋" w:eastAsia="仿宋"/>
          <w:color w:val="auto"/>
          <w:sz w:val="32"/>
          <w:szCs w:val="32"/>
          <w:highlight w:val="none"/>
        </w:rPr>
        <w:t>%</w:t>
      </w:r>
      <w:r>
        <w:rPr>
          <w:rFonts w:hint="eastAsia" w:ascii="仿宋" w:eastAsia="仿宋"/>
          <w:color w:val="auto"/>
          <w:sz w:val="32"/>
          <w:szCs w:val="32"/>
          <w:highlight w:val="none"/>
        </w:rPr>
        <w:t>。</w:t>
      </w:r>
    </w:p>
    <w:p>
      <w:pPr>
        <w:spacing w:line="600" w:lineRule="exact"/>
        <w:ind w:firstLine="640"/>
        <w:rPr>
          <w:rFonts w:ascii="仿宋_GB2312" w:eastAsia="仿宋_GB2312"/>
          <w:color w:val="auto"/>
          <w:sz w:val="32"/>
          <w:szCs w:val="32"/>
          <w:highlight w:val="none"/>
        </w:rPr>
      </w:pPr>
      <w:r>
        <w:drawing>
          <wp:anchor distT="0" distB="0" distL="114935" distR="114935" simplePos="0" relativeHeight="251659264" behindDoc="0" locked="0" layoutInCell="1" allowOverlap="1">
            <wp:simplePos x="0" y="0"/>
            <wp:positionH relativeFrom="column">
              <wp:posOffset>845820</wp:posOffset>
            </wp:positionH>
            <wp:positionV relativeFrom="paragraph">
              <wp:posOffset>57785</wp:posOffset>
            </wp:positionV>
            <wp:extent cx="3788410" cy="2172335"/>
            <wp:effectExtent l="0" t="0" r="0" b="0"/>
            <wp:wrapTopAndBottom/>
            <wp:docPr id="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lang w:val="en-US" w:eastAsia="zh-CN"/>
        </w:rPr>
        <w:t xml:space="preserve">           </w:t>
      </w:r>
      <w:r>
        <w:rPr>
          <w:rFonts w:hint="eastAsia" w:ascii="仿宋" w:eastAsia="仿宋"/>
          <w:color w:val="auto"/>
          <w:sz w:val="32"/>
          <w:szCs w:val="32"/>
          <w:highlight w:val="none"/>
        </w:rPr>
        <w:t>（图3：支出决算结构图）（饼状图）</w:t>
      </w:r>
    </w:p>
    <w:p>
      <w:pPr>
        <w:spacing w:line="600" w:lineRule="exact"/>
        <w:ind w:firstLine="640" w:firstLineChars="200"/>
        <w:outlineLvl w:val="1"/>
        <w:rPr>
          <w:rStyle w:val="17"/>
          <w:rFonts w:ascii="黑体" w:eastAsia="黑体"/>
          <w:b w:val="0"/>
          <w:color w:val="auto"/>
          <w:highlight w:val="none"/>
        </w:rPr>
      </w:pPr>
      <w:bookmarkStart w:id="110" w:name="_Toc27474_WPSOffice_Level2"/>
      <w:bookmarkStart w:id="111" w:name="_Toc23860_WPSOffice_Level2"/>
      <w:bookmarkStart w:id="112" w:name="_Toc23867_WPSOffice_Level2"/>
      <w:bookmarkStart w:id="113" w:name="_Toc2439_WPSOffice_Level2"/>
      <w:bookmarkStart w:id="114" w:name="_Toc16119_WPSOffice_Level2"/>
      <w:bookmarkStart w:id="115" w:name="_Toc15377208"/>
      <w:bookmarkStart w:id="116" w:name="_Toc15396606"/>
      <w:bookmarkStart w:id="117" w:name="_Toc15421_WPSOffice_Level2"/>
      <w:bookmarkStart w:id="118" w:name="_Toc29300_WPSOffice_Level2"/>
      <w:r>
        <w:rPr>
          <w:rFonts w:hint="eastAsia" w:ascii="黑体" w:eastAsia="黑体"/>
          <w:color w:val="auto"/>
          <w:sz w:val="32"/>
          <w:szCs w:val="32"/>
          <w:highlight w:val="none"/>
        </w:rPr>
        <w:t>四、财</w:t>
      </w:r>
      <w:r>
        <w:rPr>
          <w:rStyle w:val="17"/>
          <w:rFonts w:hint="eastAsia" w:ascii="黑体" w:eastAsia="黑体"/>
          <w:b w:val="0"/>
          <w:color w:val="auto"/>
          <w:highlight w:val="none"/>
        </w:rPr>
        <w:t>政拨款收入支出决算总体情况说明</w:t>
      </w:r>
      <w:bookmarkEnd w:id="110"/>
      <w:bookmarkEnd w:id="111"/>
      <w:bookmarkEnd w:id="112"/>
      <w:bookmarkEnd w:id="113"/>
      <w:bookmarkEnd w:id="114"/>
      <w:bookmarkEnd w:id="115"/>
      <w:bookmarkEnd w:id="116"/>
      <w:bookmarkEnd w:id="117"/>
      <w:bookmarkEnd w:id="118"/>
    </w:p>
    <w:p>
      <w:pPr>
        <w:spacing w:line="600" w:lineRule="exact"/>
        <w:ind w:firstLine="640"/>
        <w:rPr>
          <w:rFonts w:hint="eastAsia" w:ascii="仿宋" w:eastAsia="仿宋" w:cs="仿宋"/>
          <w:color w:val="auto"/>
          <w:sz w:val="32"/>
          <w:szCs w:val="32"/>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年财政拨款收、支总计</w:t>
      </w:r>
      <w:r>
        <w:rPr>
          <w:rFonts w:hint="eastAsia" w:ascii="仿宋" w:eastAsia="仿宋"/>
          <w:color w:val="auto"/>
          <w:sz w:val="32"/>
          <w:szCs w:val="32"/>
          <w:highlight w:val="none"/>
          <w:lang w:val="en-US" w:eastAsia="zh-CN"/>
        </w:rPr>
        <w:t>80.82</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年相比，财政拨款收、支总计各</w:t>
      </w:r>
      <w:r>
        <w:rPr>
          <w:rFonts w:hint="eastAsia" w:ascii="仿宋" w:eastAsia="仿宋"/>
          <w:color w:val="auto"/>
          <w:sz w:val="32"/>
          <w:szCs w:val="32"/>
          <w:highlight w:val="none"/>
          <w:lang w:eastAsia="zh-CN"/>
        </w:rPr>
        <w:t>减少</w:t>
      </w:r>
      <w:r>
        <w:rPr>
          <w:rFonts w:hint="eastAsia" w:ascii="仿宋" w:eastAsia="仿宋"/>
          <w:color w:val="auto"/>
          <w:sz w:val="32"/>
          <w:szCs w:val="32"/>
          <w:highlight w:val="none"/>
          <w:lang w:val="en-US" w:eastAsia="zh-CN"/>
        </w:rPr>
        <w:t>67.34</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下降</w:t>
      </w:r>
      <w:r>
        <w:rPr>
          <w:rFonts w:hint="eastAsia" w:ascii="仿宋" w:eastAsia="仿宋"/>
          <w:color w:val="auto"/>
          <w:sz w:val="32"/>
          <w:szCs w:val="32"/>
          <w:highlight w:val="none"/>
          <w:lang w:val="en-US" w:eastAsia="zh-CN"/>
        </w:rPr>
        <w:t>45.45</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color w:val="auto"/>
          <w:sz w:val="32"/>
          <w:szCs w:val="32"/>
          <w:highlight w:val="none"/>
          <w:lang w:val="en-US" w:eastAsia="zh-CN"/>
        </w:rPr>
        <w:t>2022年收入</w:t>
      </w:r>
      <w:r>
        <w:rPr>
          <w:rFonts w:hint="eastAsia" w:ascii="仿宋" w:eastAsia="仿宋"/>
          <w:color w:val="auto"/>
          <w:sz w:val="32"/>
          <w:szCs w:val="32"/>
          <w:highlight w:val="none"/>
        </w:rPr>
        <w:t>主要变动原因</w:t>
      </w:r>
      <w:r>
        <w:rPr>
          <w:rFonts w:hint="eastAsia" w:ascii="仿宋" w:eastAsia="仿宋"/>
          <w:color w:val="auto"/>
          <w:sz w:val="32"/>
          <w:szCs w:val="32"/>
          <w:highlight w:val="none"/>
          <w:lang w:eastAsia="zh-CN"/>
        </w:rPr>
        <w:t>是：政府性基金预算财政拨款收入增加了</w:t>
      </w:r>
      <w:r>
        <w:rPr>
          <w:rFonts w:hint="eastAsia" w:ascii="仿宋" w:eastAsia="仿宋"/>
          <w:color w:val="auto"/>
          <w:sz w:val="32"/>
          <w:szCs w:val="32"/>
          <w:highlight w:val="none"/>
          <w:lang w:val="en-US" w:eastAsia="zh-CN"/>
        </w:rPr>
        <w:t>1.71万元，</w:t>
      </w:r>
      <w:r>
        <w:rPr>
          <w:rFonts w:hint="eastAsia" w:ascii="仿宋" w:eastAsia="仿宋"/>
          <w:color w:val="auto"/>
          <w:sz w:val="32"/>
          <w:szCs w:val="32"/>
          <w:highlight w:val="none"/>
          <w:lang w:eastAsia="zh-CN"/>
        </w:rPr>
        <w:t>一般公共预算财政拨款收入减少</w:t>
      </w:r>
      <w:r>
        <w:rPr>
          <w:rFonts w:hint="eastAsia" w:ascii="仿宋" w:eastAsia="仿宋" w:cs="仿宋"/>
          <w:color w:val="auto"/>
          <w:sz w:val="32"/>
          <w:szCs w:val="32"/>
          <w:lang w:val="en-US" w:eastAsia="zh-CN"/>
        </w:rPr>
        <w:t>了69.05万元。2022年支出变动主要原因是：社会保障和就业支出减少了0.24万元；卫生健康支出减少了68.29万元；住房保障支出减少了0.51万元；城乡社区支出增加了1.71万元。</w:t>
      </w:r>
    </w:p>
    <w:p>
      <w:pPr>
        <w:pStyle w:val="2"/>
        <w:rPr>
          <w:rFonts w:hint="eastAsia" w:ascii="仿宋" w:eastAsia="仿宋" w:cs="仿宋"/>
          <w:color w:val="auto"/>
          <w:sz w:val="32"/>
          <w:szCs w:val="32"/>
          <w:lang w:val="en-US" w:eastAsia="zh-CN"/>
        </w:rPr>
      </w:pPr>
    </w:p>
    <w:p>
      <w:pPr>
        <w:pStyle w:val="2"/>
        <w:rPr>
          <w:lang w:val="en-US"/>
        </w:rPr>
      </w:pPr>
      <w:r>
        <w:rPr>
          <w:rFonts w:hint="eastAsia"/>
          <w:lang w:val="en-US" w:eastAsia="zh-CN"/>
        </w:rPr>
        <w:t xml:space="preserve">         </w:t>
      </w:r>
      <w:r>
        <w:drawing>
          <wp:inline distT="0" distB="0" distL="114300" distR="114300">
            <wp:extent cx="3444875" cy="1699895"/>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（图4：财政拨款收、支决算总计变动情况）（柱状图）</w:t>
      </w:r>
    </w:p>
    <w:p>
      <w:pPr>
        <w:spacing w:line="600" w:lineRule="exact"/>
        <w:ind w:firstLine="640"/>
        <w:rPr>
          <w:rFonts w:ascii="仿宋" w:eastAsia="仿宋"/>
          <w:b/>
          <w:color w:val="auto"/>
          <w:sz w:val="32"/>
          <w:szCs w:val="32"/>
          <w:highlight w:val="none"/>
        </w:rPr>
      </w:pPr>
    </w:p>
    <w:p>
      <w:pPr>
        <w:spacing w:line="600" w:lineRule="exact"/>
        <w:ind w:firstLine="640" w:firstLineChars="200"/>
        <w:outlineLvl w:val="1"/>
        <w:rPr>
          <w:rStyle w:val="17"/>
          <w:rFonts w:ascii="黑体" w:eastAsia="黑体"/>
          <w:b w:val="0"/>
          <w:color w:val="auto"/>
          <w:highlight w:val="none"/>
        </w:rPr>
      </w:pPr>
      <w:bookmarkStart w:id="119" w:name="_Toc15377209"/>
      <w:bookmarkStart w:id="120" w:name="_Toc15396607"/>
      <w:bookmarkStart w:id="121" w:name="_Toc26244_WPSOffice_Level2"/>
      <w:bookmarkStart w:id="122" w:name="_Toc23754_WPSOffice_Level2"/>
      <w:bookmarkStart w:id="123" w:name="_Toc6688_WPSOffice_Level2"/>
      <w:bookmarkStart w:id="124" w:name="_Toc16686_WPSOffice_Level2"/>
      <w:bookmarkStart w:id="125" w:name="_Toc1723_WPSOffice_Level2"/>
      <w:bookmarkStart w:id="126" w:name="_Toc9729_WPSOffice_Level2"/>
      <w:bookmarkStart w:id="127" w:name="_Toc2762_WPSOffice_Level2"/>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17"/>
          <w:rFonts w:hint="eastAsia" w:ascii="黑体" w:eastAsia="黑体"/>
          <w:b w:val="0"/>
          <w:color w:val="auto"/>
          <w:highlight w:val="none"/>
        </w:rPr>
        <w:t>般公共预算财政拨款支出决算情况说明</w:t>
      </w:r>
      <w:bookmarkEnd w:id="119"/>
      <w:bookmarkEnd w:id="120"/>
      <w:bookmarkEnd w:id="121"/>
      <w:bookmarkEnd w:id="122"/>
      <w:bookmarkEnd w:id="123"/>
      <w:bookmarkEnd w:id="124"/>
      <w:bookmarkEnd w:id="125"/>
      <w:bookmarkEnd w:id="126"/>
      <w:bookmarkEnd w:id="127"/>
    </w:p>
    <w:p>
      <w:pPr>
        <w:spacing w:line="600" w:lineRule="exact"/>
        <w:ind w:firstLine="643" w:firstLineChars="200"/>
        <w:outlineLvl w:val="2"/>
        <w:rPr>
          <w:rFonts w:ascii="仿宋" w:eastAsia="仿宋"/>
          <w:b/>
          <w:color w:val="auto"/>
          <w:sz w:val="32"/>
          <w:szCs w:val="32"/>
          <w:highlight w:val="none"/>
        </w:rPr>
      </w:pPr>
      <w:bookmarkStart w:id="128" w:name="_Toc15377210"/>
      <w:bookmarkStart w:id="129" w:name="_Toc27201_WPSOffice_Level3"/>
      <w:r>
        <w:rPr>
          <w:rFonts w:hint="eastAsia" w:ascii="仿宋" w:eastAsia="仿宋"/>
          <w:b/>
          <w:color w:val="auto"/>
          <w:sz w:val="32"/>
          <w:szCs w:val="32"/>
          <w:highlight w:val="none"/>
        </w:rPr>
        <w:t>（一）一般公共预算财政拨款支出决算总体情况</w:t>
      </w:r>
      <w:bookmarkEnd w:id="128"/>
      <w:bookmarkEnd w:id="129"/>
    </w:p>
    <w:p>
      <w:pPr>
        <w:spacing w:line="600" w:lineRule="exact"/>
        <w:ind w:firstLine="640" w:firstLineChars="200"/>
        <w:rPr>
          <w:rFonts w:hint="eastAsia" w:ascii="仿宋" w:eastAsia="仿宋"/>
          <w:color w:val="auto"/>
          <w:sz w:val="32"/>
          <w:szCs w:val="32"/>
          <w:highlight w:val="none"/>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hint="eastAsia" w:ascii="仿宋" w:eastAsia="仿宋"/>
          <w:color w:val="auto"/>
          <w:sz w:val="32"/>
          <w:szCs w:val="32"/>
          <w:highlight w:val="none"/>
          <w:lang w:val="en-US" w:eastAsia="zh-CN"/>
        </w:rPr>
        <w:t>79.11</w:t>
      </w:r>
      <w:r>
        <w:rPr>
          <w:rFonts w:hint="eastAsia" w:ascii="仿宋" w:eastAsia="仿宋"/>
          <w:color w:val="auto"/>
          <w:sz w:val="32"/>
          <w:szCs w:val="32"/>
          <w:highlight w:val="none"/>
        </w:rPr>
        <w:t>万元，占本年支出合计的</w:t>
      </w:r>
      <w:r>
        <w:rPr>
          <w:rFonts w:hint="eastAsia" w:ascii="仿宋" w:eastAsia="仿宋"/>
          <w:color w:val="auto"/>
          <w:sz w:val="32"/>
          <w:szCs w:val="32"/>
          <w:highlight w:val="none"/>
          <w:lang w:val="en-US" w:eastAsia="zh-CN"/>
        </w:rPr>
        <w:t>97.88</w:t>
      </w:r>
      <w:r>
        <w:rPr>
          <w:rFonts w:ascii="仿宋" w:eastAsia="仿宋"/>
          <w:color w:val="auto"/>
          <w:sz w:val="32"/>
          <w:szCs w:val="32"/>
          <w:highlight w:val="none"/>
        </w:rPr>
        <w:t>%</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支出减少了</w:t>
      </w:r>
      <w:r>
        <w:rPr>
          <w:rFonts w:hint="eastAsia" w:ascii="仿宋" w:eastAsia="仿宋"/>
          <w:color w:val="auto"/>
          <w:sz w:val="32"/>
          <w:szCs w:val="32"/>
          <w:highlight w:val="none"/>
          <w:lang w:val="en-US" w:eastAsia="zh-CN"/>
        </w:rPr>
        <w:t>69.05</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下降</w:t>
      </w:r>
      <w:r>
        <w:rPr>
          <w:rFonts w:hint="eastAsia" w:ascii="仿宋" w:eastAsia="仿宋"/>
          <w:color w:val="auto"/>
          <w:sz w:val="32"/>
          <w:szCs w:val="32"/>
          <w:highlight w:val="none"/>
          <w:lang w:val="en-US" w:eastAsia="zh-CN"/>
        </w:rPr>
        <w:t>46.6</w:t>
      </w:r>
      <w:r>
        <w:rPr>
          <w:rFonts w:ascii="仿宋" w:eastAsia="仿宋"/>
          <w:color w:val="auto"/>
          <w:sz w:val="32"/>
          <w:szCs w:val="32"/>
          <w:highlight w:val="none"/>
        </w:rPr>
        <w:t>%</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基本支出减少了</w:t>
      </w:r>
      <w:r>
        <w:rPr>
          <w:rFonts w:hint="eastAsia" w:ascii="仿宋" w:eastAsia="仿宋"/>
          <w:color w:val="auto"/>
          <w:sz w:val="32"/>
          <w:szCs w:val="32"/>
          <w:highlight w:val="none"/>
          <w:lang w:val="en-US" w:eastAsia="zh-CN"/>
        </w:rPr>
        <w:t>6.2万元，项目支出减少了62.85万元。</w:t>
      </w:r>
    </w:p>
    <w:p>
      <w:pPr>
        <w:pStyle w:val="2"/>
        <w:rPr>
          <w:lang w:val="en-US" w:eastAsia="zh-CN"/>
        </w:rPr>
      </w:pPr>
      <w:r>
        <w:rPr>
          <w:rFonts w:hint="eastAsia"/>
          <w:lang w:val="en-US" w:eastAsia="zh-CN"/>
        </w:rPr>
        <w:t xml:space="preserve">           </w:t>
      </w:r>
      <w:r>
        <w:drawing>
          <wp:inline distT="0" distB="0" distL="114300" distR="114300">
            <wp:extent cx="3162935" cy="18288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（图5：一般公共预算财政拨款支出决算变动情况）（柱状图）</w:t>
      </w:r>
    </w:p>
    <w:p>
      <w:pPr>
        <w:spacing w:line="600" w:lineRule="exact"/>
        <w:ind w:firstLine="640" w:firstLineChars="200"/>
        <w:rPr>
          <w:rFonts w:ascii="仿宋" w:eastAsia="仿宋"/>
          <w:color w:val="auto"/>
          <w:sz w:val="32"/>
          <w:szCs w:val="32"/>
          <w:highlight w:val="none"/>
        </w:rPr>
      </w:pPr>
    </w:p>
    <w:p>
      <w:pPr>
        <w:spacing w:line="600" w:lineRule="exact"/>
        <w:ind w:firstLine="643" w:firstLineChars="200"/>
        <w:outlineLvl w:val="2"/>
        <w:rPr>
          <w:rFonts w:ascii="仿宋" w:eastAsia="仿宋"/>
          <w:b/>
          <w:color w:val="auto"/>
          <w:sz w:val="32"/>
          <w:szCs w:val="32"/>
          <w:highlight w:val="none"/>
        </w:rPr>
      </w:pPr>
      <w:bookmarkStart w:id="130" w:name="_Toc15377211"/>
      <w:bookmarkStart w:id="131" w:name="_Toc12506_WPSOffice_Level3"/>
      <w:r>
        <w:rPr>
          <w:rFonts w:hint="eastAsia" w:ascii="仿宋" w:eastAsia="仿宋"/>
          <w:b/>
          <w:color w:val="auto"/>
          <w:sz w:val="32"/>
          <w:szCs w:val="32"/>
          <w:highlight w:val="none"/>
        </w:rPr>
        <w:t>（二）一般公共预算财政拨款支出决算结构情况</w:t>
      </w:r>
      <w:bookmarkEnd w:id="130"/>
      <w:bookmarkEnd w:id="131"/>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hint="eastAsia" w:ascii="仿宋" w:eastAsia="仿宋"/>
          <w:color w:val="auto"/>
          <w:sz w:val="32"/>
          <w:szCs w:val="32"/>
          <w:highlight w:val="none"/>
          <w:lang w:val="en-US" w:eastAsia="zh-CN"/>
        </w:rPr>
        <w:t>79.11</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b/>
          <w:color w:val="auto"/>
          <w:sz w:val="32"/>
          <w:szCs w:val="32"/>
          <w:highlight w:val="none"/>
        </w:rPr>
        <w:t>社会保障和</w:t>
      </w:r>
      <w:r>
        <w:rPr>
          <w:rFonts w:hint="eastAsia" w:ascii="仿宋" w:eastAsia="仿宋" w:cs="Times New Roman"/>
          <w:b/>
          <w:color w:val="auto"/>
          <w:sz w:val="32"/>
          <w:szCs w:val="32"/>
          <w:highlight w:val="none"/>
        </w:rPr>
        <w:t>就业支出</w:t>
      </w:r>
      <w:r>
        <w:rPr>
          <w:rFonts w:hint="eastAsia" w:ascii="仿宋" w:eastAsia="仿宋"/>
          <w:color w:val="auto"/>
          <w:sz w:val="32"/>
          <w:szCs w:val="32"/>
          <w:highlight w:val="none"/>
          <w:lang w:val="en-US" w:eastAsia="zh-CN"/>
        </w:rPr>
        <w:t>11.38</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14.38</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卫生健康支出</w:t>
      </w:r>
      <w:r>
        <w:rPr>
          <w:rFonts w:hint="eastAsia" w:ascii="仿宋" w:eastAsia="仿宋"/>
          <w:color w:val="auto"/>
          <w:sz w:val="32"/>
          <w:szCs w:val="32"/>
          <w:highlight w:val="none"/>
          <w:lang w:val="en-US" w:eastAsia="zh-CN"/>
        </w:rPr>
        <w:t>59.9</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75.71</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cs="Times New Roman"/>
          <w:b/>
          <w:color w:val="auto"/>
          <w:sz w:val="32"/>
          <w:szCs w:val="32"/>
          <w:highlight w:val="none"/>
        </w:rPr>
        <w:t>住房保障支出</w:t>
      </w:r>
      <w:r>
        <w:rPr>
          <w:rFonts w:hint="eastAsia" w:ascii="仿宋" w:eastAsia="仿宋"/>
          <w:color w:val="auto"/>
          <w:sz w:val="32"/>
          <w:szCs w:val="32"/>
          <w:highlight w:val="none"/>
          <w:lang w:val="en-US" w:eastAsia="zh-CN"/>
        </w:rPr>
        <w:t>7.84</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9.91</w:t>
      </w:r>
      <w:r>
        <w:rPr>
          <w:rFonts w:ascii="仿宋" w:eastAsia="仿宋"/>
          <w:color w:val="auto"/>
          <w:sz w:val="32"/>
          <w:szCs w:val="32"/>
          <w:highlight w:val="none"/>
        </w:rPr>
        <w:t>%</w:t>
      </w:r>
      <w:r>
        <w:rPr>
          <w:rFonts w:hint="eastAsia" w:ascii="仿宋" w:eastAsia="仿宋"/>
          <w:color w:val="auto"/>
          <w:sz w:val="32"/>
          <w:szCs w:val="32"/>
          <w:highlight w:val="none"/>
        </w:rPr>
        <w:t>。</w:t>
      </w:r>
    </w:p>
    <w:p>
      <w:pPr>
        <w:spacing w:line="600" w:lineRule="exact"/>
        <w:rPr>
          <w:rFonts w:ascii="仿宋" w:eastAsia="仿宋"/>
          <w:color w:val="auto"/>
          <w:sz w:val="32"/>
          <w:szCs w:val="32"/>
          <w:highlight w:val="none"/>
        </w:rPr>
      </w:pPr>
      <w:r>
        <w:drawing>
          <wp:anchor distT="0" distB="0" distL="114935" distR="114935" simplePos="0" relativeHeight="251659264" behindDoc="0" locked="0" layoutInCell="1" allowOverlap="1">
            <wp:simplePos x="0" y="0"/>
            <wp:positionH relativeFrom="column">
              <wp:posOffset>746125</wp:posOffset>
            </wp:positionH>
            <wp:positionV relativeFrom="paragraph">
              <wp:posOffset>95885</wp:posOffset>
            </wp:positionV>
            <wp:extent cx="3633470" cy="2263140"/>
            <wp:effectExtent l="0" t="0" r="0" b="0"/>
            <wp:wrapTopAndBottom/>
            <wp:docPr id="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eastAsia="仿宋"/>
          <w:color w:val="auto"/>
          <w:sz w:val="32"/>
          <w:szCs w:val="32"/>
          <w:highlight w:val="none"/>
        </w:rPr>
        <w:t>（图6：一般公共预算财政拨款支出决算结构）（饼状图）</w:t>
      </w:r>
    </w:p>
    <w:p>
      <w:pPr>
        <w:spacing w:line="600" w:lineRule="exact"/>
        <w:ind w:firstLine="640" w:firstLineChars="200"/>
        <w:rPr>
          <w:rFonts w:ascii="仿宋" w:eastAsia="仿宋"/>
          <w:color w:val="auto"/>
          <w:sz w:val="32"/>
          <w:szCs w:val="32"/>
          <w:highlight w:val="none"/>
        </w:rPr>
      </w:pPr>
    </w:p>
    <w:p>
      <w:pPr>
        <w:spacing w:line="600" w:lineRule="exact"/>
        <w:ind w:firstLine="643" w:firstLineChars="200"/>
        <w:outlineLvl w:val="2"/>
        <w:rPr>
          <w:rFonts w:ascii="仿宋" w:eastAsia="仿宋"/>
          <w:b/>
          <w:color w:val="auto"/>
          <w:sz w:val="32"/>
          <w:szCs w:val="32"/>
          <w:highlight w:val="none"/>
        </w:rPr>
      </w:pPr>
      <w:bookmarkStart w:id="132" w:name="_Toc15377212"/>
      <w:bookmarkStart w:id="133" w:name="_Toc8274_WPSOffice_Level3"/>
      <w:r>
        <w:rPr>
          <w:rFonts w:hint="eastAsia" w:ascii="仿宋" w:eastAsia="仿宋"/>
          <w:b/>
          <w:color w:val="auto"/>
          <w:sz w:val="32"/>
          <w:szCs w:val="32"/>
          <w:highlight w:val="none"/>
        </w:rPr>
        <w:t>（三）一般公共预算财政拨款支出决算具体情况</w:t>
      </w:r>
      <w:bookmarkEnd w:id="132"/>
      <w:bookmarkEnd w:id="133"/>
    </w:p>
    <w:p>
      <w:pPr>
        <w:spacing w:line="600" w:lineRule="exact"/>
        <w:ind w:firstLine="643" w:firstLineChars="200"/>
        <w:outlineLvl w:val="2"/>
        <w:rPr>
          <w:rStyle w:val="14"/>
          <w:rFonts w:hint="eastAsia" w:ascii="仿宋" w:eastAsia="仿宋"/>
          <w:bCs/>
          <w:color w:val="000000"/>
          <w:sz w:val="32"/>
          <w:szCs w:val="32"/>
        </w:rPr>
      </w:pPr>
      <w:bookmarkStart w:id="134" w:name="_Toc15377213"/>
      <w:bookmarkStart w:id="135" w:name="_Toc15378460"/>
      <w:bookmarkStart w:id="136" w:name="_Toc15377444"/>
      <w:r>
        <w:rPr>
          <w:rFonts w:hint="eastAsia" w:ascii="仿宋" w:eastAsia="仿宋"/>
          <w:b/>
          <w:color w:val="000000"/>
          <w:sz w:val="32"/>
          <w:szCs w:val="32"/>
          <w:lang w:eastAsia="zh-CN"/>
        </w:rPr>
        <w:t>202</w:t>
      </w:r>
      <w:r>
        <w:rPr>
          <w:rFonts w:hint="eastAsia" w:ascii="仿宋" w:eastAsia="仿宋"/>
          <w:b/>
          <w:color w:val="000000"/>
          <w:sz w:val="32"/>
          <w:szCs w:val="32"/>
          <w:lang w:val="en-US" w:eastAsia="zh-CN"/>
        </w:rPr>
        <w:t>2</w:t>
      </w:r>
      <w:r>
        <w:rPr>
          <w:rFonts w:hint="eastAsia" w:ascii="仿宋" w:eastAsia="仿宋"/>
          <w:b/>
          <w:color w:val="000000"/>
          <w:sz w:val="32"/>
          <w:szCs w:val="32"/>
        </w:rPr>
        <w:t>年一般公共预算支出决算数为</w:t>
      </w:r>
      <w:r>
        <w:rPr>
          <w:rFonts w:hint="eastAsia" w:ascii="仿宋" w:eastAsia="仿宋"/>
          <w:b/>
          <w:color w:val="000000"/>
          <w:sz w:val="32"/>
          <w:szCs w:val="32"/>
          <w:lang w:val="en-US" w:eastAsia="zh-CN"/>
        </w:rPr>
        <w:t>79.11万元</w:t>
      </w:r>
      <w:r>
        <w:rPr>
          <w:rFonts w:hint="eastAsia" w:ascii="仿宋" w:eastAsia="仿宋"/>
          <w:color w:val="000000"/>
          <w:sz w:val="32"/>
          <w:szCs w:val="32"/>
        </w:rPr>
        <w:t>，</w:t>
      </w:r>
      <w:r>
        <w:rPr>
          <w:rStyle w:val="14"/>
          <w:rFonts w:hint="eastAsia" w:ascii="仿宋" w:eastAsia="仿宋"/>
          <w:bCs/>
          <w:color w:val="000000"/>
          <w:sz w:val="32"/>
          <w:szCs w:val="32"/>
        </w:rPr>
        <w:t>完成预算</w:t>
      </w:r>
      <w:r>
        <w:rPr>
          <w:rStyle w:val="14"/>
          <w:rFonts w:hint="eastAsia" w:ascii="仿宋" w:eastAsia="仿宋"/>
          <w:bCs/>
          <w:color w:val="000000"/>
          <w:sz w:val="32"/>
          <w:szCs w:val="32"/>
          <w:lang w:val="en-US" w:eastAsia="zh-CN"/>
        </w:rPr>
        <w:t>100</w:t>
      </w:r>
      <w:r>
        <w:rPr>
          <w:rStyle w:val="14"/>
          <w:rFonts w:ascii="仿宋" w:eastAsia="仿宋"/>
          <w:bCs/>
          <w:color w:val="000000"/>
          <w:sz w:val="32"/>
          <w:szCs w:val="32"/>
        </w:rPr>
        <w:t>%</w:t>
      </w:r>
      <w:r>
        <w:rPr>
          <w:rStyle w:val="14"/>
          <w:rFonts w:hint="eastAsia" w:ascii="仿宋" w:eastAsia="仿宋"/>
          <w:bCs/>
          <w:color w:val="000000"/>
          <w:sz w:val="32"/>
          <w:szCs w:val="32"/>
        </w:rPr>
        <w:t>。其中：</w:t>
      </w:r>
      <w:bookmarkEnd w:id="134"/>
      <w:bookmarkEnd w:id="135"/>
      <w:bookmarkEnd w:id="136"/>
    </w:p>
    <w:p>
      <w:pPr>
        <w:spacing w:line="600" w:lineRule="exact"/>
        <w:ind w:firstLine="643" w:firstLineChars="200"/>
        <w:rPr>
          <w:rFonts w:hint="eastAsia" w:ascii="仿宋_GB2312" w:eastAsia="仿宋_GB2312"/>
          <w:color w:val="000000"/>
          <w:sz w:val="32"/>
          <w:szCs w:val="32"/>
        </w:rPr>
      </w:pPr>
      <w:r>
        <w:rPr>
          <w:rFonts w:hint="eastAsia" w:ascii="仿宋" w:eastAsia="仿宋"/>
          <w:b/>
          <w:bCs/>
          <w:color w:val="000000"/>
          <w:sz w:val="32"/>
          <w:szCs w:val="32"/>
        </w:rPr>
        <w:t>卫生健康支出</w:t>
      </w:r>
      <w:r>
        <w:rPr>
          <w:rFonts w:hint="eastAsia" w:ascii="仿宋_GB2312" w:eastAsia="仿宋_GB2312"/>
          <w:b/>
          <w:color w:val="000000"/>
          <w:sz w:val="32"/>
          <w:szCs w:val="32"/>
        </w:rPr>
        <w:t>（类）基层医疗卫生机构（款）</w:t>
      </w:r>
      <w:r>
        <w:rPr>
          <w:rStyle w:val="14"/>
          <w:rFonts w:hint="eastAsia" w:ascii="仿宋_GB2312" w:eastAsia="仿宋_GB2312"/>
          <w:color w:val="000000"/>
          <w:sz w:val="32"/>
          <w:szCs w:val="32"/>
        </w:rPr>
        <w:t>乡镇卫生院（项）</w:t>
      </w:r>
      <w:r>
        <w:rPr>
          <w:rStyle w:val="14"/>
          <w:rFonts w:hint="eastAsia" w:ascii="仿宋_GB2312" w:eastAsia="仿宋_GB2312"/>
          <w:color w:val="000000"/>
          <w:sz w:val="32"/>
          <w:szCs w:val="32"/>
          <w:lang w:eastAsia="zh-CN"/>
        </w:rPr>
        <w:t>：</w:t>
      </w:r>
      <w:r>
        <w:rPr>
          <w:rStyle w:val="14"/>
          <w:rFonts w:hint="eastAsia" w:ascii="仿宋_GB2312" w:eastAsia="仿宋_GB2312"/>
          <w:b w:val="0"/>
          <w:color w:val="000000"/>
          <w:sz w:val="32"/>
          <w:szCs w:val="32"/>
        </w:rPr>
        <w:t>主要</w:t>
      </w:r>
      <w:r>
        <w:rPr>
          <w:rStyle w:val="14"/>
          <w:rFonts w:hint="eastAsia" w:ascii="仿宋_GB2312" w:eastAsia="仿宋_GB2312"/>
          <w:b w:val="0"/>
          <w:color w:val="000000"/>
          <w:sz w:val="32"/>
          <w:szCs w:val="32"/>
          <w:lang w:eastAsia="zh-CN"/>
        </w:rPr>
        <w:t>用于乡镇</w:t>
      </w:r>
      <w:r>
        <w:rPr>
          <w:rStyle w:val="14"/>
          <w:rFonts w:hint="eastAsia" w:ascii="仿宋_GB2312" w:eastAsia="仿宋_GB2312"/>
          <w:b w:val="0"/>
          <w:color w:val="000000"/>
          <w:sz w:val="32"/>
          <w:szCs w:val="32"/>
        </w:rPr>
        <w:t>卫生院人员</w:t>
      </w:r>
      <w:r>
        <w:rPr>
          <w:rStyle w:val="14"/>
          <w:rFonts w:hint="eastAsia" w:ascii="仿宋_GB2312" w:eastAsia="仿宋_GB2312"/>
          <w:b w:val="0"/>
          <w:color w:val="000000"/>
          <w:sz w:val="32"/>
          <w:szCs w:val="32"/>
          <w:lang w:eastAsia="zh-CN"/>
        </w:rPr>
        <w:t>工资、保险，</w:t>
      </w:r>
      <w:r>
        <w:rPr>
          <w:rStyle w:val="14"/>
          <w:rFonts w:hint="eastAsia" w:ascii="仿宋_GB2312" w:eastAsia="仿宋_GB2312"/>
          <w:b w:val="0"/>
          <w:bCs/>
          <w:color w:val="000000"/>
          <w:sz w:val="32"/>
          <w:szCs w:val="32"/>
        </w:rPr>
        <w:t>决算数</w:t>
      </w:r>
      <w:r>
        <w:rPr>
          <w:rStyle w:val="14"/>
          <w:rFonts w:hint="eastAsia" w:ascii="仿宋_GB2312" w:eastAsia="仿宋_GB2312"/>
          <w:b w:val="0"/>
          <w:bCs/>
          <w:color w:val="000000"/>
          <w:sz w:val="32"/>
          <w:szCs w:val="32"/>
          <w:lang w:val="en-US" w:eastAsia="zh-CN"/>
        </w:rPr>
        <w:t>54.4</w:t>
      </w:r>
      <w:r>
        <w:rPr>
          <w:rStyle w:val="14"/>
          <w:rFonts w:hint="eastAsia" w:ascii="仿宋_GB2312" w:eastAsia="仿宋_GB2312"/>
          <w:b w:val="0"/>
          <w:bCs/>
          <w:color w:val="000000"/>
          <w:sz w:val="32"/>
          <w:szCs w:val="32"/>
        </w:rPr>
        <w:t>万元</w:t>
      </w:r>
      <w:r>
        <w:rPr>
          <w:rStyle w:val="14"/>
          <w:rFonts w:hint="eastAsia" w:ascii="仿宋_GB2312" w:eastAsia="仿宋_GB2312"/>
          <w:color w:val="000000"/>
          <w:sz w:val="32"/>
          <w:szCs w:val="32"/>
        </w:rPr>
        <w:t>，</w:t>
      </w:r>
      <w:r>
        <w:rPr>
          <w:rFonts w:hint="eastAsia" w:ascii="仿宋_GB2312" w:eastAsia="仿宋_GB2312"/>
          <w:color w:val="000000"/>
          <w:sz w:val="32"/>
          <w:szCs w:val="32"/>
        </w:rPr>
        <w:t>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spacing w:line="600" w:lineRule="exact"/>
        <w:ind w:firstLine="643" w:firstLineChars="200"/>
        <w:rPr>
          <w:rStyle w:val="14"/>
          <w:rFonts w:hint="eastAsia" w:ascii="仿宋_GB2312" w:eastAsia="仿宋_GB2312"/>
          <w:b w:val="0"/>
          <w:color w:val="000000"/>
          <w:sz w:val="32"/>
          <w:szCs w:val="32"/>
          <w:lang w:eastAsia="zh-CN"/>
        </w:rPr>
      </w:pPr>
      <w:r>
        <w:rPr>
          <w:rFonts w:hint="eastAsia" w:ascii="仿宋" w:eastAsia="仿宋"/>
          <w:b/>
          <w:bCs/>
          <w:color w:val="000000"/>
          <w:sz w:val="32"/>
          <w:szCs w:val="32"/>
        </w:rPr>
        <w:t>卫生健康支出</w:t>
      </w:r>
      <w:r>
        <w:rPr>
          <w:rFonts w:hint="eastAsia" w:ascii="仿宋_GB2312" w:eastAsia="仿宋_GB2312"/>
          <w:b/>
          <w:color w:val="000000"/>
          <w:sz w:val="32"/>
          <w:szCs w:val="32"/>
        </w:rPr>
        <w:t>（类）行政事业单位医疗（款）</w:t>
      </w:r>
      <w:r>
        <w:rPr>
          <w:rStyle w:val="14"/>
          <w:rFonts w:hint="eastAsia" w:ascii="仿宋_GB2312" w:eastAsia="仿宋_GB2312"/>
          <w:color w:val="000000"/>
          <w:sz w:val="32"/>
          <w:szCs w:val="32"/>
        </w:rPr>
        <w:t xml:space="preserve">    事业单位医疗（项）</w:t>
      </w:r>
      <w:r>
        <w:rPr>
          <w:rStyle w:val="14"/>
          <w:rFonts w:hint="eastAsia" w:ascii="仿宋_GB2312" w:eastAsia="仿宋_GB2312"/>
          <w:color w:val="000000"/>
          <w:sz w:val="32"/>
          <w:szCs w:val="32"/>
          <w:lang w:eastAsia="zh-CN"/>
        </w:rPr>
        <w:t>：</w:t>
      </w:r>
      <w:r>
        <w:rPr>
          <w:rStyle w:val="14"/>
          <w:rFonts w:hint="eastAsia" w:ascii="仿宋_GB2312" w:eastAsia="仿宋_GB2312"/>
          <w:b w:val="0"/>
          <w:color w:val="000000"/>
          <w:sz w:val="32"/>
          <w:szCs w:val="32"/>
          <w:lang w:eastAsia="zh-CN"/>
        </w:rPr>
        <w:t>主要用于乡镇卫生院专用材料费、劳务费，</w:t>
      </w:r>
      <w:r>
        <w:rPr>
          <w:rStyle w:val="14"/>
          <w:rFonts w:hint="eastAsia" w:ascii="仿宋_GB2312" w:eastAsia="仿宋_GB2312"/>
          <w:b w:val="0"/>
          <w:bCs/>
          <w:color w:val="000000"/>
          <w:sz w:val="32"/>
          <w:szCs w:val="32"/>
        </w:rPr>
        <w:t>决算数</w:t>
      </w:r>
      <w:r>
        <w:rPr>
          <w:rStyle w:val="14"/>
          <w:rFonts w:hint="eastAsia" w:ascii="仿宋_GB2312" w:eastAsia="仿宋_GB2312"/>
          <w:b w:val="0"/>
          <w:bCs/>
          <w:color w:val="000000"/>
          <w:sz w:val="32"/>
          <w:szCs w:val="32"/>
          <w:lang w:val="en-US" w:eastAsia="zh-CN"/>
        </w:rPr>
        <w:t>5.5</w:t>
      </w:r>
      <w:r>
        <w:rPr>
          <w:rStyle w:val="14"/>
          <w:rFonts w:hint="eastAsia" w:ascii="仿宋_GB2312" w:eastAsia="仿宋_GB2312"/>
          <w:b w:val="0"/>
          <w:bCs/>
          <w:color w:val="000000"/>
          <w:sz w:val="32"/>
          <w:szCs w:val="32"/>
        </w:rPr>
        <w:t>万元</w:t>
      </w:r>
      <w:r>
        <w:rPr>
          <w:rStyle w:val="14"/>
          <w:rFonts w:hint="eastAsia" w:ascii="仿宋_GB2312" w:eastAsia="仿宋_GB2312"/>
          <w:color w:val="000000"/>
          <w:sz w:val="32"/>
          <w:szCs w:val="32"/>
        </w:rPr>
        <w:t>，</w:t>
      </w:r>
      <w:r>
        <w:rPr>
          <w:rFonts w:hint="eastAsia" w:ascii="仿宋_GB2312" w:eastAsia="仿宋_GB2312"/>
          <w:color w:val="000000"/>
          <w:sz w:val="32"/>
          <w:szCs w:val="32"/>
        </w:rPr>
        <w:t>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spacing w:line="600" w:lineRule="exact"/>
        <w:ind w:firstLine="643" w:firstLineChars="200"/>
        <w:rPr>
          <w:rStyle w:val="14"/>
          <w:rFonts w:hint="eastAsia" w:ascii="仿宋_GB2312" w:eastAsia="仿宋_GB2312"/>
          <w:b w:val="0"/>
          <w:color w:val="000000"/>
          <w:sz w:val="32"/>
          <w:szCs w:val="32"/>
          <w:lang w:eastAsia="zh-CN"/>
        </w:rPr>
      </w:pPr>
      <w:r>
        <w:rPr>
          <w:rStyle w:val="14"/>
          <w:rFonts w:hint="eastAsia" w:ascii="仿宋_GB2312" w:eastAsia="仿宋_GB2312"/>
          <w:color w:val="000000"/>
          <w:sz w:val="32"/>
          <w:szCs w:val="32"/>
        </w:rPr>
        <w:t>住房保障支出（类）住房改革支出（款）</w:t>
      </w:r>
      <w:r>
        <w:rPr>
          <w:rStyle w:val="14"/>
          <w:rFonts w:hint="eastAsia" w:ascii="仿宋_GB2312" w:eastAsia="仿宋_GB2312"/>
          <w:bCs/>
          <w:color w:val="000000"/>
          <w:sz w:val="32"/>
          <w:szCs w:val="32"/>
        </w:rPr>
        <w:t>住房公积金支出（项）</w:t>
      </w:r>
      <w:r>
        <w:rPr>
          <w:rStyle w:val="14"/>
          <w:rFonts w:hint="eastAsia" w:ascii="仿宋_GB2312" w:eastAsia="仿宋_GB2312"/>
          <w:b w:val="0"/>
          <w:color w:val="000000"/>
          <w:sz w:val="32"/>
          <w:szCs w:val="32"/>
        </w:rPr>
        <w:t>:主要用于</w:t>
      </w:r>
      <w:r>
        <w:rPr>
          <w:rStyle w:val="14"/>
          <w:rFonts w:hint="eastAsia" w:ascii="仿宋_GB2312" w:eastAsia="仿宋_GB2312"/>
          <w:b w:val="0"/>
          <w:color w:val="000000"/>
          <w:sz w:val="32"/>
          <w:szCs w:val="32"/>
          <w:lang w:eastAsia="zh-CN"/>
        </w:rPr>
        <w:t>在职在编人员</w:t>
      </w:r>
      <w:r>
        <w:rPr>
          <w:rStyle w:val="14"/>
          <w:rFonts w:hint="eastAsia" w:ascii="仿宋_GB2312" w:eastAsia="仿宋_GB2312"/>
          <w:b w:val="0"/>
          <w:color w:val="000000"/>
          <w:sz w:val="32"/>
          <w:szCs w:val="32"/>
        </w:rPr>
        <w:t>缴纳住房公积金支出。决算数为</w:t>
      </w:r>
      <w:r>
        <w:rPr>
          <w:rStyle w:val="14"/>
          <w:rFonts w:hint="eastAsia" w:ascii="仿宋_GB2312" w:eastAsia="仿宋_GB2312"/>
          <w:b w:val="0"/>
          <w:color w:val="000000"/>
          <w:sz w:val="32"/>
          <w:szCs w:val="32"/>
          <w:lang w:val="en-US" w:eastAsia="zh-CN"/>
        </w:rPr>
        <w:t>7.84</w:t>
      </w:r>
      <w:r>
        <w:rPr>
          <w:rStyle w:val="14"/>
          <w:rFonts w:hint="eastAsia" w:ascii="仿宋_GB2312" w:eastAsia="仿宋_GB2312"/>
          <w:b w:val="0"/>
          <w:color w:val="000000"/>
          <w:sz w:val="32"/>
          <w:szCs w:val="32"/>
        </w:rPr>
        <w:t>万元，完成预算</w:t>
      </w:r>
      <w:r>
        <w:rPr>
          <w:rStyle w:val="14"/>
          <w:rFonts w:hint="eastAsia" w:ascii="仿宋_GB2312" w:eastAsia="仿宋_GB2312"/>
          <w:b w:val="0"/>
          <w:color w:val="000000"/>
          <w:sz w:val="32"/>
          <w:szCs w:val="32"/>
          <w:lang w:val="en-US" w:eastAsia="zh-CN"/>
        </w:rPr>
        <w:t>100</w:t>
      </w:r>
      <w:r>
        <w:rPr>
          <w:rStyle w:val="14"/>
          <w:rFonts w:hint="eastAsia" w:ascii="仿宋_GB2312" w:eastAsia="仿宋_GB2312"/>
          <w:b w:val="0"/>
          <w:color w:val="000000"/>
          <w:sz w:val="32"/>
          <w:szCs w:val="32"/>
        </w:rPr>
        <w:t>%</w:t>
      </w:r>
      <w:r>
        <w:rPr>
          <w:rStyle w:val="14"/>
          <w:rFonts w:hint="eastAsia" w:ascii="仿宋_GB2312" w:eastAsia="仿宋_GB2312"/>
          <w:b w:val="0"/>
          <w:color w:val="000000"/>
          <w:sz w:val="32"/>
          <w:szCs w:val="32"/>
          <w:lang w:eastAsia="zh-CN"/>
        </w:rPr>
        <w:t>。</w:t>
      </w:r>
    </w:p>
    <w:p>
      <w:pPr>
        <w:spacing w:line="600" w:lineRule="exact"/>
        <w:ind w:firstLine="643" w:firstLineChars="200"/>
        <w:rPr>
          <w:rFonts w:ascii="仿宋_GB2312" w:eastAsia="仿宋_GB2312"/>
          <w:sz w:val="32"/>
          <w:szCs w:val="32"/>
        </w:rPr>
      </w:pPr>
      <w:r>
        <w:rPr>
          <w:rStyle w:val="14"/>
          <w:rFonts w:hint="eastAsia" w:ascii="仿宋_GB2312" w:eastAsia="仿宋_GB2312"/>
          <w:color w:val="000000"/>
          <w:sz w:val="32"/>
          <w:szCs w:val="32"/>
        </w:rPr>
        <w:t>社会保障和就业支出(类)行政事业单位养老支出（款）</w:t>
      </w:r>
      <w:r>
        <w:rPr>
          <w:rFonts w:hint="eastAsia" w:ascii="仿宋_GB2312" w:eastAsia="仿宋_GB2312"/>
          <w:b/>
          <w:color w:val="000000"/>
          <w:sz w:val="32"/>
          <w:szCs w:val="32"/>
        </w:rPr>
        <w:t xml:space="preserve">  机关事业单位基本养老保险缴费支出（项）：</w:t>
      </w:r>
      <w:r>
        <w:rPr>
          <w:rFonts w:hint="eastAsia" w:ascii="仿宋_GB2312" w:eastAsia="仿宋_GB2312"/>
          <w:b w:val="0"/>
          <w:bCs/>
          <w:color w:val="000000"/>
          <w:sz w:val="32"/>
          <w:szCs w:val="32"/>
          <w:lang w:eastAsia="zh-CN"/>
        </w:rPr>
        <w:t>主要用于在职在编人员基本养老保险支出，</w:t>
      </w:r>
      <w:r>
        <w:rPr>
          <w:rFonts w:hint="eastAsia" w:ascii="仿宋_GB2312" w:eastAsia="仿宋_GB2312"/>
          <w:sz w:val="32"/>
          <w:szCs w:val="32"/>
        </w:rPr>
        <w:t>决算数为</w:t>
      </w:r>
      <w:r>
        <w:rPr>
          <w:rFonts w:hint="eastAsia" w:ascii="仿宋_GB2312" w:eastAsia="仿宋_GB2312"/>
          <w:sz w:val="32"/>
          <w:szCs w:val="32"/>
          <w:lang w:val="en-US" w:eastAsia="zh-CN"/>
        </w:rPr>
        <w:t>7.45</w:t>
      </w:r>
      <w:r>
        <w:rPr>
          <w:rFonts w:hint="eastAsia" w:ascii="仿宋_GB2312" w:eastAsia="仿宋_GB2312"/>
          <w:sz w:val="32"/>
          <w:szCs w:val="32"/>
        </w:rPr>
        <w:t>万元，完成预算100%。</w:t>
      </w:r>
    </w:p>
    <w:p>
      <w:pPr>
        <w:spacing w:line="600" w:lineRule="exact"/>
        <w:ind w:firstLine="643" w:firstLineChars="200"/>
        <w:rPr>
          <w:rFonts w:hint="eastAsia" w:ascii="仿宋_GB2312" w:eastAsia="仿宋_GB2312"/>
          <w:sz w:val="32"/>
          <w:szCs w:val="32"/>
          <w:lang w:eastAsia="zh-CN"/>
        </w:rPr>
      </w:pPr>
      <w:r>
        <w:rPr>
          <w:rStyle w:val="14"/>
          <w:rFonts w:hint="eastAsia" w:ascii="仿宋_GB2312" w:eastAsia="仿宋_GB2312"/>
          <w:color w:val="000000"/>
          <w:sz w:val="32"/>
          <w:szCs w:val="32"/>
        </w:rPr>
        <w:t>社会保障和就业支出(类)行政事业单位养老支出（款）</w:t>
      </w:r>
      <w:r>
        <w:rPr>
          <w:rFonts w:hint="eastAsia" w:ascii="仿宋_GB2312" w:eastAsia="仿宋_GB2312"/>
          <w:b/>
          <w:sz w:val="32"/>
          <w:szCs w:val="32"/>
        </w:rPr>
        <w:t xml:space="preserve">  机关事业单位职业年金缴费支出（项）：</w:t>
      </w:r>
      <w:r>
        <w:rPr>
          <w:rFonts w:hint="eastAsia" w:ascii="仿宋_GB2312" w:eastAsia="仿宋_GB2312"/>
          <w:b w:val="0"/>
          <w:bCs/>
          <w:color w:val="000000"/>
          <w:sz w:val="32"/>
          <w:szCs w:val="32"/>
          <w:lang w:eastAsia="zh-CN"/>
        </w:rPr>
        <w:t>主要用于在职在编人员职业年金支出，</w:t>
      </w:r>
      <w:r>
        <w:rPr>
          <w:rFonts w:hint="eastAsia" w:ascii="仿宋_GB2312" w:eastAsia="仿宋_GB2312"/>
          <w:sz w:val="32"/>
          <w:szCs w:val="32"/>
        </w:rPr>
        <w:t>决算数为</w:t>
      </w:r>
      <w:r>
        <w:rPr>
          <w:rFonts w:hint="eastAsia" w:ascii="仿宋_GB2312" w:eastAsia="仿宋_GB2312"/>
          <w:sz w:val="32"/>
          <w:szCs w:val="32"/>
          <w:lang w:val="en-US" w:eastAsia="zh-CN"/>
        </w:rPr>
        <w:t>3.93</w:t>
      </w:r>
      <w:r>
        <w:rPr>
          <w:rFonts w:hint="eastAsia" w:ascii="仿宋_GB2312" w:eastAsia="仿宋_GB2312"/>
          <w:sz w:val="32"/>
          <w:szCs w:val="32"/>
        </w:rPr>
        <w:t>万元，完成预算100%</w:t>
      </w:r>
      <w:r>
        <w:rPr>
          <w:rFonts w:hint="eastAsia" w:ascii="仿宋_GB2312" w:eastAsia="仿宋_GB2312"/>
          <w:sz w:val="32"/>
          <w:szCs w:val="32"/>
          <w:lang w:eastAsia="zh-CN"/>
        </w:rPr>
        <w:t>。</w:t>
      </w:r>
    </w:p>
    <w:p>
      <w:pPr>
        <w:spacing w:line="600" w:lineRule="exact"/>
        <w:ind w:firstLine="640"/>
        <w:rPr>
          <w:rFonts w:ascii="仿宋" w:eastAsia="仿宋"/>
          <w:b/>
          <w:color w:val="auto"/>
          <w:sz w:val="32"/>
          <w:szCs w:val="32"/>
          <w:highlight w:val="none"/>
        </w:rPr>
      </w:pPr>
    </w:p>
    <w:p>
      <w:pPr>
        <w:tabs>
          <w:tab w:val="right" w:pos="8306"/>
        </w:tabs>
        <w:spacing w:line="600" w:lineRule="exact"/>
        <w:ind w:firstLine="640"/>
        <w:outlineLvl w:val="1"/>
        <w:rPr>
          <w:rStyle w:val="17"/>
          <w:color w:val="auto"/>
          <w:highlight w:val="none"/>
        </w:rPr>
      </w:pPr>
      <w:bookmarkStart w:id="137" w:name="_Toc15377214"/>
      <w:bookmarkStart w:id="138" w:name="_Toc15396608"/>
      <w:bookmarkStart w:id="139" w:name="_Toc30497_WPSOffice_Level2"/>
      <w:bookmarkStart w:id="140" w:name="_Toc18584_WPSOffice_Level2"/>
      <w:bookmarkStart w:id="141" w:name="_Toc18100_WPSOffice_Level2"/>
      <w:bookmarkStart w:id="142" w:name="_Toc1474_WPSOffice_Level2"/>
      <w:bookmarkStart w:id="143" w:name="_Toc26772_WPSOffice_Level2"/>
      <w:bookmarkStart w:id="144" w:name="_Toc8447_WPSOffice_Level2"/>
      <w:bookmarkStart w:id="145" w:name="_Toc17954_WPSOffice_Level2"/>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17"/>
          <w:rFonts w:hint="eastAsia" w:ascii="黑体" w:eastAsia="黑体"/>
          <w:b w:val="0"/>
          <w:color w:val="auto"/>
          <w:highlight w:val="none"/>
        </w:rPr>
        <w:t>般公共预算财政拨款基本支出决算情况说明</w:t>
      </w:r>
      <w:bookmarkEnd w:id="137"/>
      <w:bookmarkEnd w:id="138"/>
      <w:bookmarkEnd w:id="139"/>
      <w:bookmarkEnd w:id="140"/>
      <w:bookmarkEnd w:id="141"/>
      <w:bookmarkEnd w:id="142"/>
      <w:bookmarkEnd w:id="143"/>
      <w:bookmarkEnd w:id="144"/>
      <w:bookmarkEnd w:id="145"/>
      <w:r>
        <w:rPr>
          <w:rStyle w:val="17"/>
          <w:rFonts w:ascii="黑体" w:eastAsia="黑体"/>
          <w:b w:val="0"/>
          <w:color w:val="auto"/>
          <w:highlight w:val="none"/>
        </w:rPr>
        <w:tab/>
      </w:r>
    </w:p>
    <w:p>
      <w:pPr>
        <w:spacing w:line="600" w:lineRule="exact"/>
        <w:ind w:firstLine="645"/>
        <w:rPr>
          <w:rFonts w:hint="eastAsia"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年一般公共预算财政拨款基本支出79.11万元，其中：</w:t>
      </w:r>
    </w:p>
    <w:p>
      <w:pPr>
        <w:spacing w:line="600" w:lineRule="exact"/>
        <w:ind w:firstLine="645"/>
        <w:rPr>
          <w:rFonts w:ascii="仿宋" w:eastAsia="仿宋"/>
          <w:color w:val="auto"/>
          <w:sz w:val="32"/>
          <w:szCs w:val="32"/>
          <w:highlight w:val="none"/>
        </w:rPr>
      </w:pPr>
      <w:r>
        <w:rPr>
          <w:rFonts w:hint="eastAsia" w:ascii="仿宋" w:eastAsia="仿宋"/>
          <w:color w:val="auto"/>
          <w:sz w:val="32"/>
          <w:szCs w:val="32"/>
          <w:highlight w:val="none"/>
        </w:rPr>
        <w:t>人员经费79.11万元，主要包括：基本工资</w:t>
      </w:r>
      <w:r>
        <w:rPr>
          <w:rFonts w:hint="eastAsia" w:ascii="仿宋" w:eastAsia="仿宋"/>
          <w:color w:val="auto"/>
          <w:sz w:val="32"/>
          <w:szCs w:val="32"/>
          <w:highlight w:val="none"/>
          <w:lang w:val="en-US" w:eastAsia="zh-CN"/>
        </w:rPr>
        <w:t>29.65</w:t>
      </w:r>
      <w:r>
        <w:rPr>
          <w:rFonts w:hint="eastAsia" w:ascii="仿宋" w:eastAsia="仿宋"/>
          <w:color w:val="auto"/>
          <w:sz w:val="32"/>
          <w:szCs w:val="32"/>
          <w:highlight w:val="none"/>
        </w:rPr>
        <w:t>万元、绩效工资</w:t>
      </w:r>
      <w:r>
        <w:rPr>
          <w:rFonts w:hint="eastAsia" w:ascii="仿宋" w:eastAsia="仿宋"/>
          <w:color w:val="auto"/>
          <w:sz w:val="32"/>
          <w:szCs w:val="32"/>
          <w:highlight w:val="none"/>
          <w:lang w:val="en-US" w:eastAsia="zh-CN"/>
        </w:rPr>
        <w:t>24.75</w:t>
      </w:r>
      <w:r>
        <w:rPr>
          <w:rFonts w:hint="eastAsia" w:ascii="仿宋" w:eastAsia="仿宋"/>
          <w:color w:val="auto"/>
          <w:sz w:val="32"/>
          <w:szCs w:val="32"/>
          <w:highlight w:val="none"/>
        </w:rPr>
        <w:t>万元、机关事业单位基本养老保险缴费</w:t>
      </w:r>
      <w:r>
        <w:rPr>
          <w:rFonts w:hint="eastAsia" w:ascii="仿宋" w:eastAsia="仿宋"/>
          <w:color w:val="auto"/>
          <w:sz w:val="32"/>
          <w:szCs w:val="32"/>
          <w:highlight w:val="none"/>
          <w:lang w:val="en-US" w:eastAsia="zh-CN"/>
        </w:rPr>
        <w:t>7.45</w:t>
      </w:r>
      <w:r>
        <w:rPr>
          <w:rFonts w:hint="eastAsia" w:ascii="仿宋" w:eastAsia="仿宋"/>
          <w:color w:val="auto"/>
          <w:sz w:val="32"/>
          <w:szCs w:val="32"/>
          <w:highlight w:val="none"/>
        </w:rPr>
        <w:t>万元、职业年金缴费</w:t>
      </w:r>
      <w:r>
        <w:rPr>
          <w:rFonts w:hint="eastAsia" w:ascii="仿宋" w:eastAsia="仿宋"/>
          <w:color w:val="auto"/>
          <w:sz w:val="32"/>
          <w:szCs w:val="32"/>
          <w:highlight w:val="none"/>
          <w:lang w:val="en-US" w:eastAsia="zh-CN"/>
        </w:rPr>
        <w:t>3.93</w:t>
      </w:r>
      <w:r>
        <w:rPr>
          <w:rFonts w:hint="eastAsia" w:ascii="仿宋" w:eastAsia="仿宋"/>
          <w:color w:val="auto"/>
          <w:sz w:val="32"/>
          <w:szCs w:val="32"/>
          <w:highlight w:val="none"/>
        </w:rPr>
        <w:t>万元、医疗</w:t>
      </w:r>
      <w:r>
        <w:rPr>
          <w:rFonts w:hint="eastAsia" w:ascii="仿宋" w:eastAsia="仿宋"/>
          <w:color w:val="auto"/>
          <w:sz w:val="32"/>
          <w:szCs w:val="32"/>
          <w:highlight w:val="none"/>
          <w:lang w:val="en-US" w:eastAsia="zh-CN"/>
        </w:rPr>
        <w:t>保险缴费5.5</w:t>
      </w:r>
      <w:r>
        <w:rPr>
          <w:rFonts w:hint="eastAsia" w:ascii="仿宋" w:eastAsia="仿宋"/>
          <w:color w:val="auto"/>
          <w:sz w:val="32"/>
          <w:szCs w:val="32"/>
          <w:highlight w:val="none"/>
        </w:rPr>
        <w:t>万元、、住房公积金</w:t>
      </w:r>
      <w:r>
        <w:rPr>
          <w:rFonts w:hint="eastAsia" w:ascii="仿宋" w:eastAsia="仿宋"/>
          <w:color w:val="auto"/>
          <w:sz w:val="32"/>
          <w:szCs w:val="32"/>
          <w:highlight w:val="none"/>
          <w:lang w:val="en-US" w:eastAsia="zh-CN"/>
        </w:rPr>
        <w:t>7.84</w:t>
      </w:r>
      <w:r>
        <w:rPr>
          <w:rFonts w:hint="eastAsia" w:ascii="仿宋" w:eastAsia="仿宋"/>
          <w:color w:val="auto"/>
          <w:sz w:val="32"/>
          <w:szCs w:val="32"/>
          <w:highlight w:val="none"/>
        </w:rPr>
        <w:t>万元</w:t>
      </w:r>
      <w:r>
        <w:rPr>
          <w:rFonts w:hint="eastAsia" w:ascii="仿宋" w:eastAsia="仿宋"/>
          <w:color w:val="auto"/>
          <w:sz w:val="32"/>
          <w:szCs w:val="32"/>
          <w:highlight w:val="none"/>
          <w:lang w:val="en-US" w:eastAsia="zh-CN"/>
        </w:rPr>
        <w:t>。</w:t>
      </w:r>
      <w:r>
        <w:rPr>
          <w:rFonts w:ascii="仿宋" w:eastAsia="仿宋"/>
          <w:color w:val="auto"/>
          <w:sz w:val="32"/>
          <w:szCs w:val="32"/>
          <w:highlight w:val="none"/>
        </w:rPr>
        <w:br w:type="textWrapping"/>
      </w:r>
      <w:r>
        <w:rPr>
          <w:rFonts w:hint="eastAsia" w:ascii="仿宋" w:eastAsia="仿宋"/>
          <w:color w:val="auto"/>
          <w:sz w:val="32"/>
          <w:szCs w:val="32"/>
          <w:highlight w:val="none"/>
        </w:rPr>
        <w:t>　　公用经费0万元。</w:t>
      </w:r>
    </w:p>
    <w:p>
      <w:pPr>
        <w:spacing w:line="600" w:lineRule="exact"/>
        <w:ind w:firstLine="640"/>
        <w:rPr>
          <w:rFonts w:ascii="仿宋" w:eastAsia="仿宋"/>
          <w:b/>
          <w:color w:val="auto"/>
          <w:sz w:val="32"/>
          <w:szCs w:val="32"/>
          <w:highlight w:val="none"/>
        </w:rPr>
      </w:pPr>
    </w:p>
    <w:p>
      <w:pPr>
        <w:spacing w:line="600" w:lineRule="exact"/>
        <w:ind w:firstLine="640"/>
        <w:outlineLvl w:val="1"/>
        <w:rPr>
          <w:rStyle w:val="17"/>
          <w:rFonts w:ascii="黑体" w:eastAsia="黑体"/>
          <w:b w:val="0"/>
          <w:color w:val="auto"/>
          <w:highlight w:val="none"/>
        </w:rPr>
      </w:pPr>
      <w:bookmarkStart w:id="146" w:name="_Toc15396609"/>
      <w:bookmarkStart w:id="147" w:name="_Toc15377215"/>
      <w:bookmarkStart w:id="148" w:name="_Toc16940_WPSOffice_Level2"/>
      <w:bookmarkStart w:id="149" w:name="_Toc20061_WPSOffice_Level2"/>
      <w:bookmarkStart w:id="150" w:name="_Toc384_WPSOffice_Level2"/>
      <w:bookmarkStart w:id="151" w:name="_Toc32303_WPSOffice_Level2"/>
      <w:bookmarkStart w:id="152" w:name="_Toc29112_WPSOffice_Level2"/>
      <w:bookmarkStart w:id="153" w:name="_Toc24790_WPSOffice_Level2"/>
      <w:bookmarkStart w:id="154" w:name="_Toc31102_WPSOffice_Level2"/>
      <w:r>
        <w:rPr>
          <w:rFonts w:hint="eastAsia" w:ascii="黑体" w:eastAsia="黑体"/>
          <w:color w:val="auto"/>
          <w:sz w:val="32"/>
          <w:szCs w:val="32"/>
          <w:highlight w:val="none"/>
        </w:rPr>
        <w:t>七、</w:t>
      </w:r>
      <w:r>
        <w:rPr>
          <w:rStyle w:val="17"/>
          <w:rFonts w:hint="eastAsia" w:ascii="黑体" w:eastAsia="黑体"/>
          <w:b w:val="0"/>
          <w:color w:val="auto"/>
          <w:highlight w:val="none"/>
        </w:rPr>
        <w:t>财政拨款</w:t>
      </w:r>
      <w:r>
        <w:rPr>
          <w:rStyle w:val="17"/>
          <w:rFonts w:hint="eastAsia" w:ascii="黑体" w:eastAsia="黑体"/>
          <w:color w:val="auto"/>
          <w:highlight w:val="none"/>
        </w:rPr>
        <w:t>“</w:t>
      </w:r>
      <w:r>
        <w:rPr>
          <w:rStyle w:val="17"/>
          <w:rFonts w:hint="eastAsia" w:ascii="黑体" w:eastAsia="黑体"/>
          <w:b w:val="0"/>
          <w:color w:val="auto"/>
          <w:highlight w:val="none"/>
        </w:rPr>
        <w:t>三公”经费支出决算情况说明</w:t>
      </w:r>
      <w:bookmarkEnd w:id="146"/>
      <w:bookmarkEnd w:id="147"/>
      <w:bookmarkEnd w:id="148"/>
      <w:bookmarkEnd w:id="149"/>
      <w:bookmarkEnd w:id="150"/>
      <w:bookmarkEnd w:id="151"/>
      <w:bookmarkEnd w:id="152"/>
      <w:bookmarkEnd w:id="153"/>
      <w:bookmarkEnd w:id="154"/>
    </w:p>
    <w:p>
      <w:pPr>
        <w:spacing w:line="600" w:lineRule="exact"/>
        <w:ind w:firstLine="640"/>
        <w:outlineLvl w:val="2"/>
        <w:rPr>
          <w:rFonts w:ascii="仿宋" w:eastAsia="仿宋"/>
          <w:b/>
          <w:color w:val="auto"/>
          <w:sz w:val="32"/>
          <w:szCs w:val="32"/>
          <w:highlight w:val="none"/>
        </w:rPr>
      </w:pPr>
      <w:bookmarkStart w:id="155" w:name="_Toc15377216"/>
      <w:bookmarkStart w:id="156" w:name="_Toc10134_WPSOffice_Level3"/>
      <w:bookmarkStart w:id="157" w:name="_Toc15396610"/>
      <w:bookmarkStart w:id="158" w:name="_Toc15377218"/>
      <w:r>
        <w:rPr>
          <w:rFonts w:hint="eastAsia" w:ascii="仿宋" w:eastAsia="仿宋"/>
          <w:b/>
          <w:color w:val="auto"/>
          <w:sz w:val="32"/>
          <w:szCs w:val="32"/>
          <w:highlight w:val="none"/>
        </w:rPr>
        <w:t>（一）“三公”经费财政拨款支出决算总体情况说明</w:t>
      </w:r>
      <w:bookmarkEnd w:id="155"/>
      <w:bookmarkEnd w:id="156"/>
    </w:p>
    <w:p>
      <w:pPr>
        <w:spacing w:line="600" w:lineRule="exact"/>
        <w:ind w:firstLine="640"/>
        <w:rPr>
          <w:rFonts w:ascii="仿宋" w:eastAsia="仿宋"/>
          <w:b/>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年“三公”经费财政拨款支出决算为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outlineLvl w:val="2"/>
        <w:rPr>
          <w:rFonts w:ascii="仿宋" w:eastAsia="仿宋"/>
          <w:b/>
          <w:color w:val="auto"/>
          <w:sz w:val="32"/>
          <w:szCs w:val="32"/>
          <w:highlight w:val="none"/>
        </w:rPr>
      </w:pPr>
      <w:bookmarkStart w:id="159" w:name="_Toc15377217"/>
      <w:bookmarkStart w:id="160" w:name="_Toc29300_WPSOffice_Level3"/>
      <w:r>
        <w:rPr>
          <w:rFonts w:hint="eastAsia" w:ascii="仿宋" w:eastAsia="仿宋"/>
          <w:b/>
          <w:color w:val="auto"/>
          <w:sz w:val="32"/>
          <w:szCs w:val="32"/>
          <w:highlight w:val="none"/>
        </w:rPr>
        <w:t>（二）“三公”经费财政拨款支出决算具体情况说明</w:t>
      </w:r>
      <w:bookmarkEnd w:id="159"/>
      <w:bookmarkEnd w:id="160"/>
    </w:p>
    <w:p>
      <w:pPr>
        <w:spacing w:line="600" w:lineRule="exact"/>
        <w:ind w:firstLine="640"/>
        <w:rPr>
          <w:rFonts w:hint="eastAsia" w:ascii="仿宋" w:eastAsia="仿宋"/>
          <w:color w:val="auto"/>
          <w:sz w:val="32"/>
          <w:szCs w:val="32"/>
          <w:highlight w:val="none"/>
          <w:lang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年“三公”经费财政拨款支出决算中</w:t>
      </w:r>
      <w:r>
        <w:rPr>
          <w:rFonts w:hint="eastAsia" w:ascii="仿宋" w:eastAsia="仿宋"/>
          <w:color w:val="auto"/>
          <w:sz w:val="32"/>
          <w:szCs w:val="32"/>
          <w:highlight w:val="none"/>
          <w:lang w:eastAsia="zh-CN"/>
        </w:rPr>
        <w:t>：</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4"/>
          <w:rFonts w:hint="eastAsia" w:ascii="仿宋" w:eastAsia="仿宋"/>
          <w:b w:val="0"/>
          <w:bCs/>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4"/>
          <w:rFonts w:hint="eastAsia" w:ascii="仿宋" w:eastAsia="仿宋"/>
          <w:b w:val="0"/>
          <w:bCs/>
          <w:color w:val="auto"/>
          <w:sz w:val="32"/>
          <w:szCs w:val="32"/>
          <w:highlight w:val="none"/>
        </w:rPr>
        <w:t>。</w:t>
      </w:r>
    </w:p>
    <w:p>
      <w:pPr>
        <w:spacing w:line="600" w:lineRule="exact"/>
        <w:ind w:firstLine="640"/>
        <w:rPr>
          <w:rFonts w:ascii="黑体" w:eastAsia="黑体"/>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4"/>
          <w:rFonts w:hint="eastAsia" w:ascii="仿宋" w:eastAsia="仿宋"/>
          <w:b w:val="0"/>
          <w:bCs/>
          <w:color w:val="auto"/>
          <w:sz w:val="32"/>
          <w:szCs w:val="32"/>
          <w:highlight w:val="none"/>
        </w:rPr>
        <w:t>。</w:t>
      </w:r>
    </w:p>
    <w:p>
      <w:pPr>
        <w:spacing w:line="600" w:lineRule="exact"/>
        <w:ind w:firstLine="640"/>
        <w:outlineLvl w:val="1"/>
        <w:rPr>
          <w:rStyle w:val="17"/>
          <w:rFonts w:ascii="黑体" w:eastAsia="黑体"/>
          <w:color w:val="auto"/>
          <w:highlight w:val="none"/>
        </w:rPr>
      </w:pPr>
      <w:bookmarkStart w:id="161" w:name="_Toc29273_WPSOffice_Level2"/>
      <w:bookmarkStart w:id="162" w:name="_Toc13234_WPSOffice_Level2"/>
      <w:bookmarkStart w:id="163" w:name="_Toc6232_WPSOffice_Level2"/>
      <w:bookmarkStart w:id="164" w:name="_Toc15195_WPSOffice_Level2"/>
      <w:bookmarkStart w:id="165" w:name="_Toc10611_WPSOffice_Level2"/>
      <w:bookmarkStart w:id="166" w:name="_Toc16848_WPSOffice_Level2"/>
      <w:bookmarkStart w:id="167" w:name="_Toc6129_WPSOffice_Level2"/>
      <w:r>
        <w:rPr>
          <w:rFonts w:hint="eastAsia" w:ascii="黑体" w:eastAsia="黑体"/>
          <w:color w:val="auto"/>
          <w:sz w:val="32"/>
          <w:szCs w:val="32"/>
          <w:highlight w:val="none"/>
        </w:rPr>
        <w:t>八、</w:t>
      </w:r>
      <w:r>
        <w:rPr>
          <w:rStyle w:val="17"/>
          <w:rFonts w:hint="eastAsia" w:ascii="黑体" w:eastAsia="黑体"/>
          <w:b w:val="0"/>
          <w:color w:val="auto"/>
          <w:highlight w:val="none"/>
        </w:rPr>
        <w:t>政府性基金预算支出决算情况说明</w:t>
      </w:r>
      <w:bookmarkEnd w:id="157"/>
      <w:bookmarkEnd w:id="158"/>
      <w:bookmarkEnd w:id="161"/>
      <w:bookmarkEnd w:id="162"/>
      <w:bookmarkEnd w:id="163"/>
      <w:bookmarkEnd w:id="164"/>
      <w:bookmarkEnd w:id="165"/>
      <w:bookmarkEnd w:id="166"/>
      <w:bookmarkEnd w:id="16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1.71</w:t>
      </w:r>
      <w:r>
        <w:rPr>
          <w:rFonts w:hint="eastAsia" w:ascii="仿宋_GB2312" w:eastAsia="仿宋_GB2312"/>
          <w:color w:val="auto"/>
          <w:sz w:val="32"/>
          <w:szCs w:val="32"/>
          <w:highlight w:val="none"/>
        </w:rPr>
        <w:t>万元。</w:t>
      </w:r>
    </w:p>
    <w:p>
      <w:pPr>
        <w:numPr>
          <w:ilvl w:val="0"/>
          <w:numId w:val="3"/>
        </w:numPr>
        <w:spacing w:line="600" w:lineRule="exact"/>
        <w:ind w:left="0" w:firstLine="640"/>
        <w:outlineLvl w:val="1"/>
        <w:rPr>
          <w:rStyle w:val="17"/>
          <w:rFonts w:ascii="黑体" w:eastAsia="黑体"/>
          <w:b w:val="0"/>
          <w:color w:val="auto"/>
          <w:highlight w:val="none"/>
        </w:rPr>
      </w:pPr>
      <w:bookmarkStart w:id="168" w:name="_Toc15396611"/>
      <w:bookmarkStart w:id="169" w:name="_Toc15377219"/>
      <w:bookmarkStart w:id="170" w:name="_Toc22045_WPSOffice_Level2"/>
      <w:bookmarkStart w:id="171" w:name="_Toc26935_WPSOffice_Level2"/>
      <w:bookmarkStart w:id="172" w:name="_Toc22327_WPSOffice_Level2"/>
      <w:bookmarkStart w:id="173" w:name="_Toc26028_WPSOffice_Level2"/>
      <w:bookmarkStart w:id="174" w:name="_Toc11071_WPSOffice_Level2"/>
      <w:bookmarkStart w:id="175" w:name="_Toc25745_WPSOffice_Level2"/>
      <w:bookmarkStart w:id="176" w:name="_Toc6383_WPSOffice_Level2"/>
      <w:r>
        <w:rPr>
          <w:rStyle w:val="17"/>
          <w:rFonts w:hint="eastAsia" w:ascii="黑体" w:eastAsia="黑体"/>
          <w:b w:val="0"/>
          <w:color w:val="auto"/>
          <w:highlight w:val="none"/>
        </w:rPr>
        <w:t>国有资本经营预算支出决算情况说明</w:t>
      </w:r>
      <w:bookmarkEnd w:id="168"/>
      <w:bookmarkEnd w:id="169"/>
      <w:bookmarkEnd w:id="170"/>
      <w:bookmarkEnd w:id="171"/>
      <w:bookmarkEnd w:id="172"/>
      <w:bookmarkEnd w:id="173"/>
      <w:bookmarkEnd w:id="174"/>
      <w:bookmarkEnd w:id="175"/>
      <w:bookmarkEnd w:id="176"/>
    </w:p>
    <w:p>
      <w:pPr>
        <w:spacing w:line="600" w:lineRule="exact"/>
        <w:ind w:firstLine="640"/>
        <w:rPr>
          <w:rFonts w:asci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left="0" w:firstLine="640"/>
        <w:outlineLvl w:val="1"/>
        <w:rPr>
          <w:rStyle w:val="17"/>
          <w:rFonts w:hint="eastAsia" w:ascii="黑体" w:eastAsia="黑体"/>
          <w:b w:val="0"/>
          <w:color w:val="auto"/>
          <w:highlight w:val="none"/>
        </w:rPr>
      </w:pPr>
      <w:bookmarkStart w:id="177" w:name="_Toc15377221"/>
      <w:bookmarkStart w:id="178" w:name="_Toc15396612"/>
      <w:bookmarkStart w:id="179" w:name="_Toc5471_WPSOffice_Level2"/>
      <w:bookmarkStart w:id="180" w:name="_Toc31689_WPSOffice_Level2"/>
      <w:bookmarkStart w:id="181" w:name="_Toc7056_WPSOffice_Level2"/>
      <w:bookmarkStart w:id="182" w:name="_Toc427_WPSOffice_Level2"/>
      <w:bookmarkStart w:id="183" w:name="_Toc912_WPSOffice_Level2"/>
      <w:bookmarkStart w:id="184" w:name="_Toc30129_WPSOffice_Level2"/>
      <w:bookmarkStart w:id="185" w:name="_Toc12068_WPSOffice_Level2"/>
      <w:r>
        <w:rPr>
          <w:rStyle w:val="17"/>
          <w:rFonts w:hint="eastAsia" w:ascii="黑体" w:eastAsia="黑体"/>
          <w:b w:val="0"/>
          <w:color w:val="auto"/>
          <w:highlight w:val="none"/>
        </w:rPr>
        <w:t>其他重要事项的情况说明</w:t>
      </w:r>
      <w:bookmarkEnd w:id="177"/>
      <w:bookmarkEnd w:id="178"/>
      <w:bookmarkEnd w:id="179"/>
      <w:bookmarkEnd w:id="180"/>
      <w:bookmarkEnd w:id="181"/>
      <w:bookmarkEnd w:id="182"/>
      <w:bookmarkEnd w:id="183"/>
      <w:bookmarkEnd w:id="184"/>
      <w:bookmarkEnd w:id="185"/>
    </w:p>
    <w:p>
      <w:pPr>
        <w:spacing w:line="600" w:lineRule="exact"/>
        <w:ind w:firstLine="643" w:firstLineChars="200"/>
        <w:outlineLvl w:val="2"/>
        <w:rPr>
          <w:rFonts w:ascii="仿宋" w:eastAsia="仿宋"/>
          <w:color w:val="auto"/>
          <w:sz w:val="32"/>
          <w:szCs w:val="32"/>
          <w:highlight w:val="none"/>
        </w:rPr>
      </w:pPr>
      <w:bookmarkStart w:id="186" w:name="_Toc15377222"/>
      <w:bookmarkStart w:id="187" w:name="_Toc2762_WPSOffice_Level3"/>
      <w:r>
        <w:rPr>
          <w:rFonts w:hint="eastAsia" w:ascii="仿宋" w:eastAsia="仿宋"/>
          <w:b/>
          <w:color w:val="auto"/>
          <w:sz w:val="32"/>
          <w:szCs w:val="32"/>
          <w:highlight w:val="none"/>
        </w:rPr>
        <w:t>（一）机关运行经费支出情况</w:t>
      </w:r>
      <w:bookmarkEnd w:id="186"/>
      <w:bookmarkEnd w:id="187"/>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本单位未发生机关运行经费支出。</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188" w:name="_Toc15377223"/>
      <w:bookmarkStart w:id="189" w:name="_Toc17954_WPSOffice_Level3"/>
      <w:r>
        <w:rPr>
          <w:rFonts w:hint="eastAsia" w:ascii="仿宋" w:eastAsia="仿宋"/>
          <w:b/>
          <w:color w:val="auto"/>
          <w:sz w:val="32"/>
          <w:szCs w:val="32"/>
          <w:highlight w:val="none"/>
        </w:rPr>
        <w:t>（二）政府采购支出情况</w:t>
      </w:r>
      <w:bookmarkEnd w:id="188"/>
      <w:bookmarkEnd w:id="189"/>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本年未发生政府采购。</w:t>
      </w:r>
    </w:p>
    <w:p>
      <w:pPr>
        <w:numPr>
          <w:ilvl w:val="0"/>
          <w:numId w:val="4"/>
        </w:numPr>
        <w:autoSpaceDE w:val="0"/>
        <w:autoSpaceDN w:val="0"/>
        <w:adjustRightInd w:val="0"/>
        <w:spacing w:line="600" w:lineRule="exact"/>
        <w:ind w:left="0" w:firstLine="643" w:firstLineChars="200"/>
        <w:jc w:val="left"/>
        <w:outlineLvl w:val="2"/>
        <w:rPr>
          <w:rFonts w:hint="eastAsia" w:ascii="仿宋" w:eastAsia="仿宋"/>
          <w:b/>
          <w:color w:val="auto"/>
          <w:sz w:val="32"/>
          <w:szCs w:val="32"/>
          <w:highlight w:val="none"/>
        </w:rPr>
      </w:pPr>
      <w:bookmarkStart w:id="190" w:name="_Toc15377224"/>
      <w:bookmarkStart w:id="191" w:name="_Toc31102_WPSOffice_Level3"/>
      <w:r>
        <w:rPr>
          <w:rFonts w:hint="eastAsia" w:ascii="仿宋" w:eastAsia="仿宋"/>
          <w:b/>
          <w:color w:val="auto"/>
          <w:sz w:val="32"/>
          <w:szCs w:val="32"/>
          <w:highlight w:val="none"/>
        </w:rPr>
        <w:t>国有资产占有使用情况</w:t>
      </w:r>
      <w:bookmarkEnd w:id="190"/>
      <w:bookmarkEnd w:id="191"/>
    </w:p>
    <w:p>
      <w:pPr>
        <w:autoSpaceDE w:val="0"/>
        <w:autoSpaceDN w:val="0"/>
        <w:adjustRightInd w:val="0"/>
        <w:spacing w:line="600" w:lineRule="exact"/>
        <w:ind w:firstLine="640" w:firstLineChars="200"/>
        <w:jc w:val="left"/>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3</w:t>
      </w:r>
      <w:r>
        <w:rPr>
          <w:rFonts w:ascii="仿宋_GB2312" w:eastAsia="仿宋_GB2312"/>
          <w:color w:val="000000"/>
          <w:sz w:val="32"/>
          <w:szCs w:val="32"/>
        </w:rPr>
        <w:t>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张家乡卫生院</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hint="eastAsia" w:ascii="仿宋" w:eastAsia="仿宋"/>
          <w:b/>
          <w:color w:val="auto"/>
          <w:sz w:val="32"/>
          <w:szCs w:val="32"/>
          <w:highlight w:val="none"/>
          <w:lang w:eastAsia="zh-CN"/>
        </w:rPr>
      </w:pPr>
      <w:bookmarkStart w:id="192" w:name="_Toc6129_WPSOffice_Level3"/>
      <w:r>
        <w:rPr>
          <w:rFonts w:hint="eastAsia" w:ascii="仿宋" w:eastAsia="仿宋"/>
          <w:b/>
          <w:color w:val="auto"/>
          <w:sz w:val="32"/>
          <w:szCs w:val="32"/>
          <w:highlight w:val="none"/>
        </w:rPr>
        <w:t>（四）预算绩效管理情况</w:t>
      </w:r>
      <w:bookmarkEnd w:id="192"/>
    </w:p>
    <w:p>
      <w:pPr>
        <w:spacing w:line="60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1.绩效目标管理情况</w:t>
      </w:r>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rPr>
      </w:pPr>
      <w:bookmarkStart w:id="193" w:name="_Toc31974"/>
      <w:bookmarkStart w:id="194" w:name="_Toc31349"/>
      <w:bookmarkStart w:id="195" w:name="_Toc8457"/>
      <w:bookmarkStart w:id="196" w:name="_Toc32551"/>
      <w:r>
        <w:rPr>
          <w:rFonts w:hint="eastAsia" w:ascii="仿宋_GB2312" w:eastAsia="仿宋_GB2312"/>
          <w:color w:val="auto"/>
          <w:sz w:val="32"/>
          <w:szCs w:val="32"/>
          <w:highlight w:val="none"/>
        </w:rPr>
        <w:t>根据预算绩效管理要求，本单位在</w:t>
      </w:r>
      <w:r>
        <w:rPr>
          <w:rFonts w:hint="eastAsia" w:ascii="仿宋_GB2312" w:eastAsia="仿宋_GB2312"/>
          <w:color w:val="auto"/>
          <w:sz w:val="32"/>
          <w:szCs w:val="32"/>
          <w:highlight w:val="none"/>
          <w:lang w:val="en-US" w:eastAsia="zh-CN"/>
        </w:rPr>
        <w:t>2022年度</w:t>
      </w:r>
      <w:r>
        <w:rPr>
          <w:rFonts w:hint="eastAsia" w:ascii="仿宋_GB2312" w:eastAsia="仿宋_GB2312"/>
          <w:color w:val="auto"/>
          <w:sz w:val="32"/>
          <w:szCs w:val="32"/>
          <w:highlight w:val="none"/>
        </w:rPr>
        <w:t>预算编制阶段，组织对</w:t>
      </w:r>
      <w:r>
        <w:rPr>
          <w:rFonts w:hint="eastAsia" w:ascii="仿宋_GB2312" w:eastAsia="仿宋_GB2312"/>
          <w:color w:val="auto"/>
          <w:sz w:val="32"/>
          <w:szCs w:val="32"/>
          <w:highlight w:val="none"/>
          <w:lang w:val="en-US" w:eastAsia="zh-CN"/>
        </w:rPr>
        <w:t>二类疫苗服务费1个项目</w:t>
      </w:r>
      <w:r>
        <w:rPr>
          <w:rFonts w:hint="eastAsia" w:ascii="仿宋_GB2312" w:eastAsia="仿宋_GB2312"/>
          <w:color w:val="auto"/>
          <w:sz w:val="32"/>
          <w:szCs w:val="32"/>
          <w:highlight w:val="none"/>
        </w:rPr>
        <w:t>开展了预算事前绩效评估，对</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个项目编制了绩效目标，预算执行过程中，选取</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个项目开展绩效监控，年终执行完毕后，对</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个项目开展了绩效自评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2022年部门预算项目绩效目标自评表见附件（第四部分）</w:t>
      </w:r>
      <w:r>
        <w:rPr>
          <w:rFonts w:hint="eastAsia" w:ascii="仿宋_GB2312" w:eastAsia="仿宋_GB2312"/>
          <w:color w:val="auto"/>
          <w:sz w:val="32"/>
          <w:szCs w:val="32"/>
          <w:highlight w:val="none"/>
        </w:rPr>
        <w:t>。</w:t>
      </w:r>
      <w:bookmarkEnd w:id="193"/>
      <w:bookmarkEnd w:id="194"/>
      <w:bookmarkEnd w:id="195"/>
      <w:bookmarkEnd w:id="196"/>
    </w:p>
    <w:p>
      <w:pPr>
        <w:numPr>
          <w:ilvl w:val="0"/>
          <w:numId w:val="5"/>
        </w:num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lang w:val="en-US" w:eastAsia="zh-CN"/>
        </w:rPr>
      </w:pPr>
      <w:bookmarkStart w:id="197" w:name="_Toc25419"/>
      <w:bookmarkStart w:id="198" w:name="_Toc10135"/>
      <w:bookmarkStart w:id="199" w:name="_Toc1645"/>
      <w:r>
        <w:rPr>
          <w:rFonts w:hint="eastAsia" w:ascii="仿宋_GB2312" w:eastAsia="仿宋_GB2312"/>
          <w:color w:val="auto"/>
          <w:sz w:val="32"/>
          <w:szCs w:val="32"/>
          <w:highlight w:val="none"/>
          <w:lang w:val="en-US" w:eastAsia="zh-CN"/>
        </w:rPr>
        <w:t>预算项目绩效评价</w:t>
      </w:r>
      <w:bookmarkEnd w:id="197"/>
      <w:bookmarkEnd w:id="198"/>
      <w:bookmarkEnd w:id="199"/>
    </w:p>
    <w:p>
      <w:pPr>
        <w:pStyle w:val="2"/>
        <w:ind w:firstLine="640" w:firstLineChars="200"/>
        <w:rPr>
          <w:rFonts w:hint="eastAsia" w:ascii="仿宋_GB2312" w:eastAsia="仿宋_GB2312"/>
          <w:color w:val="000000"/>
          <w:sz w:val="32"/>
          <w:szCs w:val="32"/>
        </w:rPr>
      </w:pPr>
      <w:r>
        <w:rPr>
          <w:rFonts w:hint="eastAsia" w:ascii="仿宋_GB2312" w:hAnsi="Times New Roman" w:eastAsia="仿宋_GB2312" w:cs="Times New Roman"/>
          <w:color w:val="000000"/>
          <w:sz w:val="32"/>
          <w:szCs w:val="32"/>
          <w:lang w:val="en-US" w:eastAsia="zh-CN"/>
        </w:rPr>
        <w:t>二类疫苗服务费项目完成情况综述。按照《四川省发展和改革委员会四川省财政厅关于疫苗预防接种服务收费标准及有关问题的通知》（川发改价格〔2020〕640号）文件精神，二类疫苗接种服务费收入全额上缴国库，纳入财政预算管理。我单</w:t>
      </w:r>
      <w:r>
        <w:rPr>
          <w:rFonts w:hint="eastAsia" w:ascii="仿宋_GB2312" w:eastAsia="仿宋_GB2312"/>
          <w:color w:val="000000"/>
          <w:sz w:val="32"/>
          <w:szCs w:val="32"/>
          <w:lang w:val="en-US" w:eastAsia="zh-CN"/>
        </w:rPr>
        <w:t>位</w:t>
      </w:r>
      <w:r>
        <w:rPr>
          <w:rFonts w:hint="eastAsia" w:ascii="仿宋_GB2312" w:eastAsia="仿宋_GB2312"/>
          <w:color w:val="000000"/>
          <w:sz w:val="32"/>
          <w:szCs w:val="32"/>
        </w:rPr>
        <w:t>建立健全非免疫规划疫苗管理制度，明确行业系统内部管理职责和程序，完善期间成本资料，减少非必要成本支出，整合现有资源降低接种服务成本。同时，要加强对疫苗接种管理，确保非免疫规划疫苗接种工作的顺利开展，有效维护公共卫生安全。</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整体支出绩效自评开展情况。</w:t>
      </w:r>
    </w:p>
    <w:p>
      <w:pPr>
        <w:spacing w:line="600" w:lineRule="atLeast"/>
        <w:ind w:left="0" w:firstLine="640" w:firstLineChars="200"/>
        <w:rPr>
          <w:rFonts w:hint="eastAsia" w:ascii="黑体" w:eastAsia="黑体"/>
          <w:color w:val="000000"/>
          <w:sz w:val="32"/>
          <w:szCs w:val="32"/>
        </w:rPr>
      </w:pPr>
      <w:r>
        <w:rPr>
          <w:rFonts w:hint="eastAsia" w:ascii="仿宋_GB2312" w:eastAsia="仿宋_GB2312"/>
          <w:color w:val="auto"/>
          <w:sz w:val="32"/>
          <w:szCs w:val="32"/>
          <w:highlight w:val="none"/>
          <w:lang w:val="en-US" w:eastAsia="zh-CN"/>
        </w:rPr>
        <w:t>本单位按要求对2022年单位整体支出开展绩效自评，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单位还自行组织了项目绩效评价，从评价情况来看我单位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6"/>
        </w:numPr>
        <w:spacing w:line="600" w:lineRule="exact"/>
        <w:ind w:left="0" w:firstLine="660" w:firstLineChars="150"/>
        <w:jc w:val="center"/>
        <w:outlineLvl w:val="0"/>
        <w:rPr>
          <w:rStyle w:val="16"/>
          <w:rFonts w:ascii="黑体" w:eastAsia="黑体"/>
          <w:b w:val="0"/>
          <w:color w:val="auto"/>
          <w:highlight w:val="none"/>
        </w:rPr>
      </w:pPr>
      <w:bookmarkStart w:id="200" w:name="_Toc15377225"/>
      <w:bookmarkStart w:id="201" w:name="_Toc15396613"/>
      <w:bookmarkStart w:id="202" w:name="_Toc27766_WPSOffice_Level1"/>
      <w:bookmarkStart w:id="203" w:name="_Toc412_WPSOffice_Level1"/>
      <w:bookmarkStart w:id="204" w:name="_Toc4788_WPSOffice_Level1"/>
      <w:bookmarkStart w:id="205" w:name="_Toc17241_WPSOffice_Level1"/>
      <w:bookmarkStart w:id="206" w:name="_Toc31689_WPSOffice_Level1"/>
      <w:bookmarkStart w:id="207" w:name="_Toc26169_WPSOffice_Level1"/>
      <w:bookmarkStart w:id="208" w:name="_Toc27201_WPSOffice_Level1"/>
      <w:r>
        <w:rPr>
          <w:rFonts w:hint="eastAsia" w:ascii="黑体" w:eastAsia="黑体"/>
          <w:color w:val="auto"/>
          <w:sz w:val="44"/>
          <w:szCs w:val="44"/>
          <w:highlight w:val="none"/>
        </w:rPr>
        <w:t>名</w:t>
      </w:r>
      <w:r>
        <w:rPr>
          <w:rStyle w:val="16"/>
          <w:rFonts w:hint="eastAsia" w:ascii="黑体" w:eastAsia="黑体"/>
          <w:b w:val="0"/>
          <w:color w:val="auto"/>
          <w:highlight w:val="none"/>
        </w:rPr>
        <w:t>词解释</w:t>
      </w:r>
      <w:bookmarkEnd w:id="200"/>
      <w:bookmarkEnd w:id="201"/>
      <w:bookmarkEnd w:id="202"/>
      <w:bookmarkEnd w:id="203"/>
      <w:bookmarkEnd w:id="204"/>
      <w:bookmarkEnd w:id="205"/>
      <w:bookmarkEnd w:id="206"/>
      <w:bookmarkEnd w:id="207"/>
      <w:bookmarkEnd w:id="208"/>
    </w:p>
    <w:p>
      <w:pPr>
        <w:spacing w:line="600" w:lineRule="exact"/>
        <w:jc w:val="left"/>
        <w:rPr>
          <w:rFonts w:ascii="宋体"/>
          <w:b/>
          <w:color w:val="auto"/>
          <w:sz w:val="44"/>
          <w:szCs w:val="44"/>
          <w:highlight w:val="none"/>
        </w:rPr>
      </w:pPr>
    </w:p>
    <w:p>
      <w:pPr>
        <w:pStyle w:val="19"/>
        <w:spacing w:line="580" w:lineRule="exact"/>
        <w:ind w:firstLine="640" w:firstLineChars="200"/>
        <w:rPr>
          <w:rFonts w:hint="eastAsia" w:ascii="仿宋_GB2312" w:eastAsia="仿宋_GB2312"/>
          <w:sz w:val="32"/>
          <w:szCs w:val="32"/>
        </w:rPr>
      </w:pPr>
      <w:bookmarkStart w:id="209" w:name="_Toc15377226"/>
      <w:r>
        <w:rPr>
          <w:rFonts w:hint="eastAsia" w:ascii="仿宋_GB2312" w:eastAsia="仿宋_GB2312"/>
          <w:sz w:val="32"/>
          <w:szCs w:val="32"/>
        </w:rPr>
        <w:t>1.财政拨款收入：指单位从同级财政单位取得的各类拨款。</w:t>
      </w:r>
    </w:p>
    <w:p>
      <w:pPr>
        <w:pStyle w:val="19"/>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2.事业收入：指事业单位开展专业业务活动及辅助活动取得的收入。如区人民医院、妇幼保健计生生育服务中心、区中医医院、乡镇卫生院医疗收入等。</w:t>
      </w:r>
    </w:p>
    <w:p>
      <w:pPr>
        <w:pStyle w:val="19"/>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3.其他收入：指单位取得的除上述收入以外的各项收入。主要是利息收入等。 </w:t>
      </w:r>
    </w:p>
    <w:p>
      <w:pPr>
        <w:pStyle w:val="19"/>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4.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19"/>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5.年初结转和结余：指以前年度尚未完成、结转到本年按有关规定继续使用的资金。 </w:t>
      </w:r>
    </w:p>
    <w:p>
      <w:pPr>
        <w:pStyle w:val="19"/>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6.本年盈余分配：指事业单位按照政府会计制度的规定从非财政拨款结余或事业结余中提取的奖励基金和职工福利基金等。</w:t>
      </w:r>
    </w:p>
    <w:p>
      <w:pPr>
        <w:pStyle w:val="19"/>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7.年末结转和结余：指单位按有关规定结转到下年或以后年度继续使用的资金。</w:t>
      </w:r>
    </w:p>
    <w:p>
      <w:pPr>
        <w:spacing w:line="580" w:lineRule="exact"/>
        <w:ind w:firstLine="640" w:firstLineChars="200"/>
        <w:rPr>
          <w:rStyle w:val="14"/>
          <w:rFonts w:hint="eastAsia" w:ascii="仿宋_GB2312" w:eastAsia="仿宋_GB2312"/>
          <w:b w:val="0"/>
          <w:color w:val="000000"/>
          <w:sz w:val="32"/>
          <w:szCs w:val="32"/>
        </w:rPr>
      </w:pPr>
      <w:r>
        <w:rPr>
          <w:rFonts w:hint="eastAsia" w:ascii="仿宋_GB2312" w:eastAsia="仿宋_GB2312"/>
          <w:color w:val="000000"/>
          <w:sz w:val="32"/>
          <w:szCs w:val="32"/>
        </w:rPr>
        <w:t>8.卫生健康支出（类）基层医疗卫生机构（款）</w:t>
      </w:r>
      <w:r>
        <w:rPr>
          <w:rStyle w:val="14"/>
          <w:rFonts w:hint="eastAsia" w:ascii="仿宋_GB2312" w:eastAsia="仿宋_GB2312"/>
          <w:b w:val="0"/>
          <w:color w:val="000000"/>
          <w:sz w:val="32"/>
          <w:szCs w:val="32"/>
        </w:rPr>
        <w:t>乡镇卫生院（项）</w:t>
      </w:r>
      <w:r>
        <w:rPr>
          <w:rFonts w:hint="eastAsia" w:ascii="仿宋_GB2312" w:eastAsia="仿宋_GB2312"/>
          <w:color w:val="000000"/>
          <w:sz w:val="32"/>
          <w:szCs w:val="32"/>
        </w:rPr>
        <w:t>：反映乡镇卫生院的支出；</w:t>
      </w:r>
      <w:r>
        <w:rPr>
          <w:rStyle w:val="14"/>
          <w:rFonts w:hint="eastAsia" w:ascii="仿宋_GB2312" w:eastAsia="仿宋_GB2312"/>
          <w:b w:val="0"/>
          <w:color w:val="000000"/>
          <w:sz w:val="32"/>
          <w:szCs w:val="32"/>
        </w:rPr>
        <w:t>卫生健康支出（类）公共卫生（款）基本公共卫生服务（项）</w:t>
      </w:r>
      <w:r>
        <w:rPr>
          <w:rFonts w:hint="eastAsia" w:ascii="仿宋_GB2312" w:eastAsia="仿宋_GB2312"/>
          <w:color w:val="000000"/>
          <w:sz w:val="32"/>
          <w:szCs w:val="32"/>
        </w:rPr>
        <w:t>：反映乡镇卫生院、社区卫生机构开展基本公共卫生服务的支出；</w:t>
      </w:r>
      <w:r>
        <w:rPr>
          <w:rStyle w:val="14"/>
          <w:rFonts w:hint="eastAsia" w:ascii="仿宋_GB2312" w:eastAsia="仿宋_GB2312"/>
          <w:b w:val="0"/>
          <w:color w:val="000000"/>
          <w:sz w:val="32"/>
          <w:szCs w:val="32"/>
        </w:rPr>
        <w:t>卫生健康支出</w:t>
      </w:r>
      <w:r>
        <w:rPr>
          <w:rFonts w:hint="eastAsia" w:ascii="仿宋_GB2312" w:eastAsia="仿宋_GB2312"/>
          <w:color w:val="000000"/>
          <w:sz w:val="32"/>
          <w:szCs w:val="32"/>
        </w:rPr>
        <w:t>（类）基层医疗卫生机构（款）其他基层医疗卫生机构支出（项）</w:t>
      </w:r>
      <w:r>
        <w:rPr>
          <w:rStyle w:val="14"/>
          <w:rFonts w:hint="eastAsia" w:ascii="仿宋_GB2312" w:eastAsia="仿宋_GB2312"/>
          <w:b w:val="0"/>
          <w:color w:val="000000"/>
          <w:sz w:val="32"/>
          <w:szCs w:val="32"/>
        </w:rPr>
        <w:t>：反映除乡镇卫生院、城市社区卫生机构以外的其他用于基层医疗卫生机构的支出；卫生健康支出（类）行政事业单位医疗</w:t>
      </w:r>
      <w:r>
        <w:rPr>
          <w:rFonts w:hint="eastAsia" w:ascii="仿宋_GB2312" w:eastAsia="仿宋_GB2312"/>
          <w:color w:val="000000"/>
          <w:sz w:val="32"/>
          <w:szCs w:val="32"/>
        </w:rPr>
        <w:t>（款）事业单位医疗（项）</w:t>
      </w:r>
      <w:r>
        <w:rPr>
          <w:rStyle w:val="14"/>
          <w:rFonts w:hint="eastAsia" w:ascii="仿宋_GB2312" w:eastAsia="仿宋_GB2312"/>
          <w:b w:val="0"/>
          <w:color w:val="000000"/>
          <w:sz w:val="32"/>
          <w:szCs w:val="32"/>
        </w:rPr>
        <w:t>:</w:t>
      </w:r>
      <w:r>
        <w:rPr>
          <w:rStyle w:val="14"/>
          <w:rFonts w:hint="eastAsia" w:ascii="仿宋_GB2312" w:eastAsia="仿宋_GB2312"/>
          <w:b w:val="0"/>
          <w:sz w:val="32"/>
          <w:szCs w:val="32"/>
        </w:rPr>
        <w:t>反映</w:t>
      </w:r>
      <w:r>
        <w:rPr>
          <w:rStyle w:val="14"/>
          <w:rFonts w:hint="eastAsia" w:ascii="仿宋_GB2312" w:eastAsia="仿宋_GB2312"/>
          <w:b w:val="0"/>
          <w:color w:val="000000"/>
          <w:sz w:val="32"/>
          <w:szCs w:val="32"/>
        </w:rPr>
        <w:t>卫生健康支出中的在职人员医疗保险。</w:t>
      </w:r>
    </w:p>
    <w:p>
      <w:pPr>
        <w:spacing w:line="580" w:lineRule="exact"/>
        <w:ind w:firstLine="640" w:firstLineChars="200"/>
        <w:rPr>
          <w:rStyle w:val="14"/>
          <w:rFonts w:hint="eastAsia" w:ascii="仿宋_GB2312" w:hAnsi="仿宋" w:eastAsia="仿宋_GB2312" w:cs="仿宋"/>
          <w:b w:val="0"/>
          <w:color w:val="000000"/>
          <w:sz w:val="32"/>
          <w:szCs w:val="32"/>
        </w:rPr>
      </w:pPr>
      <w:r>
        <w:rPr>
          <w:rFonts w:hint="eastAsia" w:ascii="仿宋_GB2312" w:hAnsi="仿宋" w:eastAsia="仿宋_GB2312" w:cs="仿宋"/>
          <w:sz w:val="32"/>
          <w:szCs w:val="32"/>
          <w:lang w:bidi="ar"/>
        </w:rPr>
        <w:t>9.社会保障和就业支出：反映政府在社会保障和就业方面的支出。社会保障和就业支出-行政事业单位离退休-机关事业单位基本养老保险缴费支出：反映机关事业单位实施养老保险制度由单位缴纳的基本养老保险支出；</w:t>
      </w:r>
      <w:r>
        <w:rPr>
          <w:rFonts w:hint="eastAsia" w:ascii="仿宋_GB2312" w:hAnsi="仿宋" w:eastAsia="仿宋_GB2312" w:cs="仿宋"/>
          <w:sz w:val="32"/>
          <w:szCs w:val="32"/>
          <w:lang w:bidi="ar"/>
        </w:rPr>
        <w:br w:type="textWrapping"/>
      </w:r>
      <w:r>
        <w:rPr>
          <w:rFonts w:hint="eastAsia" w:ascii="仿宋_GB2312" w:hAnsi="仿宋" w:eastAsia="仿宋_GB2312" w:cs="仿宋"/>
          <w:sz w:val="32"/>
          <w:szCs w:val="32"/>
          <w:lang w:bidi="ar"/>
        </w:rPr>
        <w:t xml:space="preserve">    10.住房保障支出：住房保障支出-住房改革支出-住房公积金：反映行政事业单位按人力资源和社会保障部、财政部规定的基本工资和津贴补贴以及规定比例为职工缴纳的住房公积金。</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11.基本支出：指为保障机构正常运转、完成日常工作任务而发生的人员支出和公用支出。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12.项目支出：指在基本支出之外为完成特定行政任务和事业发展目标所发生的支出。 </w:t>
      </w:r>
    </w:p>
    <w:p>
      <w:pPr>
        <w:pStyle w:val="19"/>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13.“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6"/>
          <w:rFonts w:ascii="黑体" w:eastAsia="黑体"/>
          <w:b w:val="0"/>
          <w:color w:val="auto"/>
          <w:highlight w:val="none"/>
        </w:rPr>
      </w:pPr>
      <w:r>
        <w:rPr>
          <w:rFonts w:ascii="宋体"/>
          <w:b/>
          <w:color w:val="auto"/>
          <w:sz w:val="44"/>
          <w:szCs w:val="44"/>
          <w:highlight w:val="none"/>
        </w:rPr>
        <w:br w:type="page"/>
      </w:r>
      <w:bookmarkStart w:id="210" w:name="_Toc15396614"/>
      <w:bookmarkStart w:id="211" w:name="_Toc16119_WPSOffice_Level1"/>
      <w:bookmarkStart w:id="212" w:name="_Toc16841_WPSOffice_Level1"/>
      <w:bookmarkStart w:id="213" w:name="_Toc24582_WPSOffice_Level1"/>
      <w:bookmarkStart w:id="214" w:name="_Toc23906_WPSOffice_Level1"/>
      <w:bookmarkStart w:id="215" w:name="_Toc16290_WPSOffice_Level1"/>
      <w:bookmarkStart w:id="216" w:name="_Toc18690_WPSOffice_Level1"/>
      <w:bookmarkStart w:id="217" w:name="_Toc12506_WPSOffice_Level1"/>
      <w:r>
        <w:rPr>
          <w:rFonts w:hint="eastAsia" w:ascii="黑体" w:eastAsia="黑体"/>
          <w:color w:val="auto"/>
          <w:sz w:val="44"/>
          <w:szCs w:val="44"/>
          <w:highlight w:val="none"/>
        </w:rPr>
        <w:t>第</w:t>
      </w:r>
      <w:r>
        <w:rPr>
          <w:rStyle w:val="16"/>
          <w:rFonts w:hint="eastAsia" w:ascii="黑体" w:eastAsia="黑体"/>
          <w:b w:val="0"/>
          <w:color w:val="auto"/>
          <w:highlight w:val="none"/>
        </w:rPr>
        <w:t>四部分 附件</w:t>
      </w:r>
      <w:bookmarkEnd w:id="210"/>
      <w:bookmarkEnd w:id="211"/>
      <w:bookmarkEnd w:id="212"/>
      <w:bookmarkEnd w:id="213"/>
      <w:bookmarkEnd w:id="214"/>
      <w:bookmarkEnd w:id="215"/>
      <w:bookmarkEnd w:id="216"/>
      <w:bookmarkEnd w:id="217"/>
    </w:p>
    <w:tbl>
      <w:tblPr>
        <w:tblStyle w:val="15"/>
        <w:tblpPr w:leftFromText="180" w:rightFromText="180" w:vertAnchor="text" w:horzAnchor="page" w:tblpX="1835" w:tblpY="372"/>
        <w:tblOverlap w:val="never"/>
        <w:tblW w:w="8280" w:type="dxa"/>
        <w:tblInd w:w="0" w:type="dxa"/>
        <w:shd w:val="clear" w:color="auto" w:fill="auto"/>
        <w:tblLayout w:type="fixed"/>
        <w:tblCellMar>
          <w:top w:w="0" w:type="dxa"/>
          <w:left w:w="0" w:type="dxa"/>
          <w:bottom w:w="0" w:type="dxa"/>
          <w:right w:w="0" w:type="dxa"/>
        </w:tblCellMar>
      </w:tblPr>
      <w:tblGrid>
        <w:gridCol w:w="627"/>
        <w:gridCol w:w="862"/>
        <w:gridCol w:w="862"/>
        <w:gridCol w:w="862"/>
        <w:gridCol w:w="705"/>
        <w:gridCol w:w="531"/>
        <w:gridCol w:w="383"/>
        <w:gridCol w:w="862"/>
        <w:gridCol w:w="862"/>
        <w:gridCol w:w="862"/>
        <w:gridCol w:w="862"/>
      </w:tblGrid>
      <w:tr>
        <w:tblPrEx>
          <w:shd w:val="clear" w:color="auto" w:fill="auto"/>
          <w:tblLayout w:type="fixed"/>
          <w:tblCellMar>
            <w:top w:w="0" w:type="dxa"/>
            <w:left w:w="0" w:type="dxa"/>
            <w:bottom w:w="0" w:type="dxa"/>
            <w:right w:w="0" w:type="dxa"/>
          </w:tblCellMar>
        </w:tblPrEx>
        <w:trPr>
          <w:trHeight w:val="689" w:hRule="atLeast"/>
        </w:trPr>
        <w:tc>
          <w:tcPr>
            <w:tcW w:w="8280"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Layout w:type="fixed"/>
          <w:tblCellMar>
            <w:top w:w="0" w:type="dxa"/>
            <w:left w:w="0" w:type="dxa"/>
            <w:bottom w:w="0" w:type="dxa"/>
            <w:right w:w="0" w:type="dxa"/>
          </w:tblCellMar>
        </w:tblPrEx>
        <w:trPr>
          <w:trHeight w:val="564"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项目名称</w:t>
            </w:r>
          </w:p>
        </w:tc>
        <w:tc>
          <w:tcPr>
            <w:tcW w:w="6791"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二类疫苗服务费</w:t>
            </w:r>
          </w:p>
        </w:tc>
      </w:tr>
      <w:tr>
        <w:tblPrEx>
          <w:tblLayout w:type="fixed"/>
          <w:tblCellMar>
            <w:top w:w="0" w:type="dxa"/>
            <w:left w:w="0" w:type="dxa"/>
            <w:bottom w:w="0" w:type="dxa"/>
            <w:right w:w="0" w:type="dxa"/>
          </w:tblCellMar>
        </w:tblPrEx>
        <w:trPr>
          <w:trHeight w:val="689"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w:t>
            </w:r>
          </w:p>
        </w:tc>
        <w:tc>
          <w:tcPr>
            <w:tcW w:w="3343"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广元市昭化区卫生健康局部门</w:t>
            </w:r>
          </w:p>
        </w:tc>
        <w:tc>
          <w:tcPr>
            <w:tcW w:w="862"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实施单位 （盖章）</w:t>
            </w:r>
          </w:p>
        </w:tc>
        <w:tc>
          <w:tcPr>
            <w:tcW w:w="258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w:t>
            </w:r>
            <w:r>
              <w:rPr>
                <w:rFonts w:hint="eastAsia" w:ascii="宋体" w:hAnsi="宋体" w:cs="宋体"/>
                <w:i w:val="0"/>
                <w:iCs w:val="0"/>
                <w:color w:val="000000"/>
                <w:kern w:val="0"/>
                <w:sz w:val="20"/>
                <w:szCs w:val="20"/>
                <w:u w:val="none"/>
                <w:lang w:val="en-US" w:eastAsia="zh-CN" w:bidi="ar"/>
              </w:rPr>
              <w:t>张家乡</w:t>
            </w:r>
            <w:r>
              <w:rPr>
                <w:rFonts w:hint="eastAsia" w:ascii="宋体" w:hAnsi="宋体" w:eastAsia="宋体" w:cs="宋体"/>
                <w:i w:val="0"/>
                <w:iCs w:val="0"/>
                <w:color w:val="000000"/>
                <w:kern w:val="0"/>
                <w:sz w:val="20"/>
                <w:szCs w:val="20"/>
                <w:u w:val="none"/>
                <w:lang w:val="en-US" w:eastAsia="zh-CN" w:bidi="ar"/>
              </w:rPr>
              <w:t>卫生院</w:t>
            </w:r>
          </w:p>
        </w:tc>
      </w:tr>
      <w:tr>
        <w:tblPrEx>
          <w:tblLayout w:type="fixed"/>
          <w:tblCellMar>
            <w:top w:w="0" w:type="dxa"/>
            <w:left w:w="0" w:type="dxa"/>
            <w:bottom w:w="0" w:type="dxa"/>
            <w:right w:w="0" w:type="dxa"/>
          </w:tblCellMar>
        </w:tblPrEx>
        <w:trPr>
          <w:trHeight w:val="463"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项目基本情况</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1.项目年度目标完成情况</w:t>
            </w:r>
          </w:p>
        </w:tc>
        <w:tc>
          <w:tcPr>
            <w:tcW w:w="3343"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项目年度目标</w:t>
            </w:r>
          </w:p>
        </w:tc>
        <w:tc>
          <w:tcPr>
            <w:tcW w:w="344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年度目标完成情况</w:t>
            </w:r>
          </w:p>
        </w:tc>
      </w:tr>
      <w:tr>
        <w:tblPrEx>
          <w:tblLayout w:type="fixed"/>
          <w:tblCellMar>
            <w:top w:w="0" w:type="dxa"/>
            <w:left w:w="0" w:type="dxa"/>
            <w:bottom w:w="0" w:type="dxa"/>
            <w:right w:w="0" w:type="dxa"/>
          </w:tblCellMar>
        </w:tblPrEx>
        <w:trPr>
          <w:trHeight w:val="5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343"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1.71</w:t>
            </w:r>
            <w:r>
              <w:rPr>
                <w:rFonts w:hint="eastAsia" w:ascii="宋体" w:hAnsi="宋体" w:eastAsia="宋体" w:cs="宋体"/>
                <w:i w:val="0"/>
                <w:iCs w:val="0"/>
                <w:color w:val="000000"/>
                <w:kern w:val="0"/>
                <w:sz w:val="20"/>
                <w:szCs w:val="20"/>
                <w:u w:val="none"/>
                <w:lang w:val="en-US" w:eastAsia="zh-CN" w:bidi="ar"/>
              </w:rPr>
              <w:t>万元</w:t>
            </w:r>
          </w:p>
        </w:tc>
        <w:tc>
          <w:tcPr>
            <w:tcW w:w="344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1003"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2.项目实施内容及过程概述</w:t>
            </w:r>
          </w:p>
        </w:tc>
        <w:tc>
          <w:tcPr>
            <w:tcW w:w="6791"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按照《四川省发展和改革委员会四川省财政厅关于疫苗预防接种服务收费标准及有关问题的通知》（川发改价格〔2020〕640号）文件精神，二类疫苗接种服务费收入全额上缴国库，纳入财政预算管理。</w:t>
            </w:r>
          </w:p>
        </w:tc>
      </w:tr>
      <w:tr>
        <w:tblPrEx>
          <w:tblLayout w:type="fixed"/>
          <w:tblCellMar>
            <w:top w:w="0" w:type="dxa"/>
            <w:left w:w="0" w:type="dxa"/>
            <w:bottom w:w="0" w:type="dxa"/>
            <w:right w:w="0" w:type="dxa"/>
          </w:tblCellMar>
        </w:tblPrEx>
        <w:trPr>
          <w:trHeight w:val="689"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预算执行情况（10分）</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年度预算数（万元）</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年初预算</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调整后预算数</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预算执行数</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预算执行率</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862"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未完成原因分析</w:t>
            </w:r>
          </w:p>
        </w:tc>
      </w:tr>
      <w:tr>
        <w:tblPrEx>
          <w:tblLayout w:type="fixed"/>
          <w:tblCellMar>
            <w:top w:w="0" w:type="dxa"/>
            <w:left w:w="0" w:type="dxa"/>
            <w:bottom w:w="0" w:type="dxa"/>
            <w:right w:w="0" w:type="dxa"/>
          </w:tblCellMar>
        </w:tblPrEx>
        <w:trPr>
          <w:trHeight w:val="375"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总额</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1.71</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1.71</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86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689"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其中：财政资金</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1.71</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1.71</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6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689"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财政专户管理资金</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6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375"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单位资金</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6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503"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其他资金</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6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128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绩效指标（90分）</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三级指标</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指标性质</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指标值</w:t>
            </w:r>
          </w:p>
        </w:tc>
        <w:tc>
          <w:tcPr>
            <w:tcW w:w="3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度量单位</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完成值</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86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672"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时效指标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项目完成及时率</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3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90</w:t>
            </w:r>
          </w:p>
        </w:tc>
        <w:tc>
          <w:tcPr>
            <w:tcW w:w="862"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75" w:hRule="atLeast"/>
        </w:trPr>
        <w:tc>
          <w:tcPr>
            <w:tcW w:w="5694"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689"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评价结论</w:t>
            </w:r>
          </w:p>
        </w:tc>
        <w:tc>
          <w:tcPr>
            <w:tcW w:w="7653"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二类疫苗接种服务费收入全额上缴国库，纳入财政预算管理，实施效果较好</w:t>
            </w:r>
          </w:p>
        </w:tc>
      </w:tr>
      <w:tr>
        <w:tblPrEx>
          <w:tblLayout w:type="fixed"/>
          <w:tblCellMar>
            <w:top w:w="0" w:type="dxa"/>
            <w:left w:w="0" w:type="dxa"/>
            <w:bottom w:w="0" w:type="dxa"/>
            <w:right w:w="0" w:type="dxa"/>
          </w:tblCellMar>
        </w:tblPrEx>
        <w:trPr>
          <w:trHeight w:val="689"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存在问题</w:t>
            </w:r>
          </w:p>
        </w:tc>
        <w:tc>
          <w:tcPr>
            <w:tcW w:w="7653"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Layout w:type="fixed"/>
          <w:tblCellMar>
            <w:top w:w="0" w:type="dxa"/>
            <w:left w:w="0" w:type="dxa"/>
            <w:bottom w:w="0" w:type="dxa"/>
            <w:right w:w="0" w:type="dxa"/>
          </w:tblCellMar>
        </w:tblPrEx>
        <w:trPr>
          <w:trHeight w:val="689"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改进措施</w:t>
            </w:r>
          </w:p>
        </w:tc>
        <w:tc>
          <w:tcPr>
            <w:tcW w:w="7653"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Layout w:type="fixed"/>
          <w:tblCellMar>
            <w:top w:w="0" w:type="dxa"/>
            <w:left w:w="0" w:type="dxa"/>
            <w:bottom w:w="0" w:type="dxa"/>
            <w:right w:w="0" w:type="dxa"/>
          </w:tblCellMar>
        </w:tblPrEx>
        <w:trPr>
          <w:trHeight w:val="406" w:hRule="atLeast"/>
        </w:trPr>
        <w:tc>
          <w:tcPr>
            <w:tcW w:w="3918"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项目负责人：</w:t>
            </w:r>
          </w:p>
        </w:tc>
        <w:tc>
          <w:tcPr>
            <w:tcW w:w="4362"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财务负责人：</w:t>
            </w:r>
          </w:p>
        </w:tc>
      </w:tr>
    </w:tbl>
    <w:p>
      <w:pPr>
        <w:pStyle w:val="2"/>
        <w:rPr>
          <w:rFonts w:hint="eastAsia" w:ascii="仿宋_GB2312" w:eastAsia="仿宋_GB2312" w:cs="仿宋"/>
          <w:color w:val="auto"/>
          <w:kern w:val="0"/>
          <w:sz w:val="32"/>
          <w:szCs w:val="32"/>
          <w:highlight w:val="none"/>
          <w:lang w:val="en-US" w:eastAsia="zh-CN" w:bidi="ar-SA"/>
        </w:rPr>
      </w:pPr>
      <w:bookmarkStart w:id="218" w:name="_Toc15396618"/>
    </w:p>
    <w:p>
      <w:pPr>
        <w:spacing w:line="600" w:lineRule="exact"/>
        <w:jc w:val="center"/>
        <w:outlineLvl w:val="0"/>
        <w:rPr>
          <w:rFonts w:hint="eastAsia" w:ascii="仿宋" w:eastAsia="仿宋"/>
          <w:b w:val="0"/>
          <w:color w:val="auto"/>
          <w:highlight w:val="none"/>
        </w:rPr>
      </w:pPr>
      <w:bookmarkStart w:id="219" w:name="_Toc28922_WPSOffice_Level1"/>
      <w:bookmarkStart w:id="220" w:name="_Toc666_WPSOffice_Level1"/>
      <w:bookmarkStart w:id="221" w:name="_Toc2439_WPSOffice_Level1"/>
      <w:bookmarkStart w:id="222" w:name="_Toc31994_WPSOffice_Level1"/>
      <w:bookmarkStart w:id="223" w:name="_Toc10693_WPSOffice_Level1"/>
      <w:bookmarkStart w:id="224" w:name="_Toc26244_WPSOffice_Level1"/>
      <w:bookmarkStart w:id="225" w:name="_Toc8274_WPSOffice_Level1"/>
      <w:r>
        <w:rPr>
          <w:rFonts w:hint="eastAsia" w:ascii="黑体" w:eastAsia="黑体"/>
          <w:color w:val="auto"/>
          <w:sz w:val="44"/>
          <w:szCs w:val="44"/>
          <w:highlight w:val="none"/>
        </w:rPr>
        <w:t>第</w:t>
      </w:r>
      <w:r>
        <w:rPr>
          <w:rStyle w:val="16"/>
          <w:rFonts w:hint="eastAsia" w:ascii="黑体" w:eastAsia="黑体"/>
          <w:b w:val="0"/>
          <w:color w:val="auto"/>
          <w:highlight w:val="none"/>
        </w:rPr>
        <w:t>五部分 附表</w:t>
      </w:r>
      <w:bookmarkEnd w:id="209"/>
      <w:bookmarkEnd w:id="218"/>
      <w:bookmarkEnd w:id="219"/>
      <w:bookmarkEnd w:id="220"/>
      <w:bookmarkEnd w:id="221"/>
      <w:bookmarkEnd w:id="222"/>
      <w:bookmarkEnd w:id="223"/>
      <w:bookmarkEnd w:id="224"/>
      <w:bookmarkEnd w:id="225"/>
      <w:bookmarkStart w:id="226" w:name="_Toc15396619"/>
    </w:p>
    <w:p>
      <w:pPr>
        <w:pStyle w:val="4"/>
        <w:rPr>
          <w:rFonts w:ascii="仿宋" w:eastAsia="仿宋"/>
          <w:color w:val="auto"/>
          <w:highlight w:val="none"/>
        </w:rPr>
      </w:pPr>
      <w:bookmarkStart w:id="227" w:name="_Toc26169_WPSOffice_Level2"/>
      <w:bookmarkStart w:id="228" w:name="_Toc6000_WPSOffice_Level2"/>
      <w:bookmarkStart w:id="229" w:name="_Toc23438_WPSOffice_Level2"/>
      <w:bookmarkStart w:id="230" w:name="_Toc27159_WPSOffice_Level2"/>
      <w:bookmarkStart w:id="231" w:name="_Toc16290_WPSOffice_Level2"/>
      <w:bookmarkStart w:id="232" w:name="_Toc412_WPSOffice_Level2"/>
      <w:bookmarkStart w:id="233" w:name="_Toc22121_WPSOffice_Level2"/>
      <w:r>
        <w:rPr>
          <w:rFonts w:hint="eastAsia" w:ascii="仿宋" w:eastAsia="仿宋"/>
          <w:b w:val="0"/>
          <w:color w:val="auto"/>
          <w:highlight w:val="none"/>
        </w:rPr>
        <w:t>一、收</w:t>
      </w:r>
      <w:r>
        <w:rPr>
          <w:rStyle w:val="17"/>
          <w:rFonts w:hint="eastAsia" w:ascii="仿宋" w:eastAsia="仿宋"/>
          <w:b w:val="0"/>
          <w:bCs w:val="0"/>
          <w:color w:val="auto"/>
          <w:highlight w:val="none"/>
        </w:rPr>
        <w:t>入支出决算总表</w:t>
      </w:r>
      <w:bookmarkEnd w:id="226"/>
      <w:bookmarkEnd w:id="227"/>
      <w:bookmarkEnd w:id="228"/>
      <w:bookmarkEnd w:id="229"/>
      <w:bookmarkEnd w:id="230"/>
      <w:bookmarkEnd w:id="231"/>
      <w:bookmarkEnd w:id="232"/>
      <w:bookmarkEnd w:id="233"/>
    </w:p>
    <w:p>
      <w:pPr>
        <w:pStyle w:val="4"/>
        <w:rPr>
          <w:rFonts w:ascii="仿宋" w:eastAsia="仿宋"/>
          <w:color w:val="auto"/>
          <w:highlight w:val="none"/>
        </w:rPr>
      </w:pPr>
      <w:bookmarkStart w:id="234" w:name="_Toc18690_WPSOffice_Level2"/>
      <w:bookmarkStart w:id="235" w:name="_Toc9098_WPSOffice_Level2"/>
      <w:bookmarkStart w:id="236" w:name="_Toc2100_WPSOffice_Level2"/>
      <w:bookmarkStart w:id="237" w:name="_Toc4223_WPSOffice_Level2"/>
      <w:bookmarkStart w:id="238" w:name="_Toc666_WPSOffice_Level2"/>
      <w:bookmarkStart w:id="239" w:name="_Toc16841_WPSOffice_Level2"/>
      <w:bookmarkStart w:id="240" w:name="_Toc15396620"/>
      <w:bookmarkStart w:id="241" w:name="_Toc17053_WPSOffice_Level2"/>
      <w:r>
        <w:rPr>
          <w:rFonts w:hint="eastAsia" w:ascii="仿宋" w:eastAsia="仿宋"/>
          <w:b w:val="0"/>
          <w:color w:val="auto"/>
          <w:highlight w:val="none"/>
        </w:rPr>
        <w:t>二、收</w:t>
      </w:r>
      <w:r>
        <w:rPr>
          <w:rStyle w:val="17"/>
          <w:rFonts w:hint="eastAsia" w:ascii="仿宋" w:eastAsia="仿宋"/>
          <w:b w:val="0"/>
          <w:bCs w:val="0"/>
          <w:color w:val="auto"/>
          <w:highlight w:val="none"/>
        </w:rPr>
        <w:t>入决算表</w:t>
      </w:r>
      <w:bookmarkEnd w:id="234"/>
      <w:bookmarkEnd w:id="235"/>
      <w:bookmarkEnd w:id="236"/>
      <w:bookmarkEnd w:id="237"/>
      <w:bookmarkEnd w:id="238"/>
      <w:bookmarkEnd w:id="239"/>
      <w:bookmarkEnd w:id="240"/>
      <w:bookmarkEnd w:id="241"/>
    </w:p>
    <w:p>
      <w:pPr>
        <w:pStyle w:val="4"/>
        <w:rPr>
          <w:rFonts w:ascii="仿宋" w:eastAsia="仿宋"/>
          <w:color w:val="auto"/>
          <w:highlight w:val="none"/>
        </w:rPr>
      </w:pPr>
      <w:bookmarkStart w:id="242" w:name="_Toc3451_WPSOffice_Level2"/>
      <w:bookmarkStart w:id="243" w:name="_Toc28922_WPSOffice_Level2"/>
      <w:bookmarkStart w:id="244" w:name="_Toc18306_WPSOffice_Level2"/>
      <w:bookmarkStart w:id="245" w:name="_Toc31043_WPSOffice_Level2"/>
      <w:bookmarkStart w:id="246" w:name="_Toc19095_WPSOffice_Level2"/>
      <w:bookmarkStart w:id="247" w:name="_Toc10693_WPSOffice_Level2"/>
      <w:bookmarkStart w:id="248" w:name="_Toc15396621"/>
      <w:bookmarkStart w:id="249" w:name="_Toc14568_WPSOffice_Level2"/>
      <w:r>
        <w:rPr>
          <w:rStyle w:val="17"/>
          <w:rFonts w:hint="eastAsia" w:ascii="仿宋" w:eastAsia="仿宋"/>
          <w:b w:val="0"/>
          <w:bCs w:val="0"/>
          <w:color w:val="auto"/>
          <w:highlight w:val="none"/>
        </w:rPr>
        <w:t>三、</w:t>
      </w:r>
      <w:r>
        <w:rPr>
          <w:rFonts w:hint="eastAsia" w:ascii="仿宋" w:eastAsia="仿宋"/>
          <w:b w:val="0"/>
          <w:color w:val="auto"/>
          <w:highlight w:val="none"/>
        </w:rPr>
        <w:t>支</w:t>
      </w:r>
      <w:r>
        <w:rPr>
          <w:rStyle w:val="17"/>
          <w:rFonts w:hint="eastAsia" w:ascii="仿宋" w:eastAsia="仿宋"/>
          <w:b w:val="0"/>
          <w:bCs w:val="0"/>
          <w:color w:val="auto"/>
          <w:highlight w:val="none"/>
        </w:rPr>
        <w:t>出决算表</w:t>
      </w:r>
      <w:bookmarkEnd w:id="242"/>
      <w:bookmarkEnd w:id="243"/>
      <w:bookmarkEnd w:id="244"/>
      <w:bookmarkEnd w:id="245"/>
      <w:bookmarkEnd w:id="246"/>
      <w:bookmarkEnd w:id="247"/>
      <w:bookmarkEnd w:id="248"/>
      <w:bookmarkEnd w:id="249"/>
    </w:p>
    <w:p>
      <w:pPr>
        <w:pStyle w:val="4"/>
        <w:rPr>
          <w:rFonts w:ascii="仿宋" w:eastAsia="仿宋"/>
          <w:b w:val="0"/>
          <w:color w:val="auto"/>
          <w:highlight w:val="none"/>
        </w:rPr>
      </w:pPr>
      <w:bookmarkStart w:id="250" w:name="_Toc29252_WPSOffice_Level2"/>
      <w:bookmarkStart w:id="251" w:name="_Toc13463_WPSOffice_Level2"/>
      <w:bookmarkStart w:id="252" w:name="_Toc7491_WPSOffice_Level2"/>
      <w:bookmarkStart w:id="253" w:name="_Toc15396622"/>
      <w:bookmarkStart w:id="254" w:name="_Toc13617_WPSOffice_Level2"/>
      <w:bookmarkStart w:id="255" w:name="_Toc19110_WPSOffice_Level2"/>
      <w:bookmarkStart w:id="256" w:name="_Toc4789_WPSOffice_Level2"/>
      <w:bookmarkStart w:id="257" w:name="_Toc17030_WPSOffice_Level2"/>
      <w:r>
        <w:rPr>
          <w:rStyle w:val="17"/>
          <w:rFonts w:hint="eastAsia" w:ascii="仿宋" w:eastAsia="仿宋"/>
          <w:b w:val="0"/>
          <w:bCs w:val="0"/>
          <w:color w:val="auto"/>
          <w:highlight w:val="none"/>
        </w:rPr>
        <w:t>四、</w:t>
      </w:r>
      <w:r>
        <w:rPr>
          <w:rFonts w:hint="eastAsia" w:ascii="仿宋" w:eastAsia="仿宋"/>
          <w:b w:val="0"/>
          <w:color w:val="auto"/>
          <w:highlight w:val="none"/>
        </w:rPr>
        <w:t>财</w:t>
      </w:r>
      <w:r>
        <w:rPr>
          <w:rStyle w:val="17"/>
          <w:rFonts w:hint="eastAsia" w:ascii="仿宋" w:eastAsia="仿宋"/>
          <w:b w:val="0"/>
          <w:bCs w:val="0"/>
          <w:color w:val="auto"/>
          <w:highlight w:val="none"/>
        </w:rPr>
        <w:t>政拨款收入支出决算总表</w:t>
      </w:r>
      <w:bookmarkEnd w:id="250"/>
      <w:bookmarkEnd w:id="251"/>
      <w:bookmarkEnd w:id="252"/>
      <w:bookmarkEnd w:id="253"/>
      <w:bookmarkEnd w:id="254"/>
      <w:bookmarkEnd w:id="255"/>
      <w:bookmarkEnd w:id="256"/>
      <w:bookmarkEnd w:id="257"/>
    </w:p>
    <w:p>
      <w:pPr>
        <w:pStyle w:val="4"/>
        <w:rPr>
          <w:rStyle w:val="17"/>
          <w:rFonts w:ascii="仿宋" w:eastAsia="仿宋"/>
          <w:b w:val="0"/>
          <w:bCs w:val="0"/>
          <w:color w:val="auto"/>
          <w:highlight w:val="none"/>
        </w:rPr>
      </w:pPr>
      <w:bookmarkStart w:id="258" w:name="_Toc1091_WPSOffice_Level2"/>
      <w:bookmarkStart w:id="259" w:name="_Toc8549_WPSOffice_Level2"/>
      <w:bookmarkStart w:id="260" w:name="_Toc30388_WPSOffice_Level2"/>
      <w:bookmarkStart w:id="261" w:name="_Toc16425_WPSOffice_Level2"/>
      <w:bookmarkStart w:id="262" w:name="_Toc25172_WPSOffice_Level2"/>
      <w:bookmarkStart w:id="263" w:name="_Toc26088_WPSOffice_Level2"/>
      <w:bookmarkStart w:id="264" w:name="_Toc15396623"/>
      <w:bookmarkStart w:id="265" w:name="_Toc18589_WPSOffice_Level2"/>
      <w:r>
        <w:rPr>
          <w:rStyle w:val="17"/>
          <w:rFonts w:hint="eastAsia" w:ascii="仿宋" w:eastAsia="仿宋"/>
          <w:b w:val="0"/>
          <w:bCs w:val="0"/>
          <w:color w:val="auto"/>
          <w:highlight w:val="none"/>
        </w:rPr>
        <w:t>五、</w:t>
      </w:r>
      <w:r>
        <w:rPr>
          <w:rFonts w:hint="eastAsia" w:ascii="仿宋" w:eastAsia="仿宋"/>
          <w:b w:val="0"/>
          <w:color w:val="auto"/>
          <w:highlight w:val="none"/>
        </w:rPr>
        <w:t>财</w:t>
      </w:r>
      <w:r>
        <w:rPr>
          <w:rStyle w:val="17"/>
          <w:rFonts w:hint="eastAsia" w:ascii="仿宋" w:eastAsia="仿宋"/>
          <w:b w:val="0"/>
          <w:bCs w:val="0"/>
          <w:color w:val="auto"/>
          <w:highlight w:val="none"/>
        </w:rPr>
        <w:t>政拨款支出决算明细表</w:t>
      </w:r>
      <w:bookmarkEnd w:id="258"/>
      <w:bookmarkEnd w:id="259"/>
      <w:bookmarkEnd w:id="260"/>
      <w:bookmarkEnd w:id="261"/>
      <w:bookmarkEnd w:id="262"/>
      <w:bookmarkEnd w:id="263"/>
      <w:bookmarkEnd w:id="264"/>
      <w:bookmarkEnd w:id="265"/>
      <w:bookmarkStart w:id="266" w:name="_Toc15396624"/>
    </w:p>
    <w:p>
      <w:pPr>
        <w:pStyle w:val="4"/>
        <w:rPr>
          <w:rFonts w:ascii="仿宋" w:eastAsia="仿宋"/>
          <w:color w:val="auto"/>
          <w:highlight w:val="none"/>
        </w:rPr>
      </w:pPr>
      <w:bookmarkStart w:id="267" w:name="_Toc18533_WPSOffice_Level2"/>
      <w:bookmarkStart w:id="268" w:name="_Toc17579_WPSOffice_Level2"/>
      <w:bookmarkStart w:id="269" w:name="_Toc22840_WPSOffice_Level2"/>
      <w:bookmarkStart w:id="270" w:name="_Toc16041_WPSOffice_Level2"/>
      <w:bookmarkStart w:id="271" w:name="_Toc13291_WPSOffice_Level2"/>
      <w:bookmarkStart w:id="272" w:name="_Toc12342_WPSOffice_Level2"/>
      <w:bookmarkStart w:id="273" w:name="_Toc21555_WPSOffice_Level2"/>
      <w:r>
        <w:rPr>
          <w:rStyle w:val="17"/>
          <w:rFonts w:hint="eastAsia" w:ascii="仿宋" w:eastAsia="仿宋"/>
          <w:b w:val="0"/>
          <w:bCs w:val="0"/>
          <w:color w:val="auto"/>
          <w:highlight w:val="none"/>
        </w:rPr>
        <w:t>六、</w:t>
      </w:r>
      <w:r>
        <w:rPr>
          <w:rFonts w:hint="eastAsia" w:ascii="仿宋" w:eastAsia="仿宋"/>
          <w:b w:val="0"/>
          <w:color w:val="auto"/>
          <w:highlight w:val="none"/>
        </w:rPr>
        <w:t>一</w:t>
      </w:r>
      <w:r>
        <w:rPr>
          <w:rStyle w:val="17"/>
          <w:rFonts w:hint="eastAsia" w:ascii="仿宋" w:eastAsia="仿宋"/>
          <w:b w:val="0"/>
          <w:bCs w:val="0"/>
          <w:color w:val="auto"/>
          <w:highlight w:val="none"/>
        </w:rPr>
        <w:t>般公共预算财政拨款支出决算表</w:t>
      </w:r>
      <w:bookmarkEnd w:id="266"/>
      <w:bookmarkEnd w:id="267"/>
      <w:bookmarkEnd w:id="268"/>
      <w:bookmarkEnd w:id="269"/>
      <w:bookmarkEnd w:id="270"/>
      <w:bookmarkEnd w:id="271"/>
      <w:bookmarkEnd w:id="272"/>
      <w:bookmarkEnd w:id="273"/>
    </w:p>
    <w:p>
      <w:pPr>
        <w:pStyle w:val="4"/>
        <w:rPr>
          <w:rFonts w:ascii="仿宋" w:eastAsia="仿宋"/>
          <w:color w:val="auto"/>
          <w:highlight w:val="none"/>
        </w:rPr>
      </w:pPr>
      <w:bookmarkStart w:id="274" w:name="_Toc6802_WPSOffice_Level2"/>
      <w:bookmarkStart w:id="275" w:name="_Toc1675_WPSOffice_Level2"/>
      <w:bookmarkStart w:id="276" w:name="_Toc10325_WPSOffice_Level2"/>
      <w:bookmarkStart w:id="277" w:name="_Toc4580_WPSOffice_Level2"/>
      <w:bookmarkStart w:id="278" w:name="_Toc5299_WPSOffice_Level2"/>
      <w:bookmarkStart w:id="279" w:name="_Toc31686_WPSOffice_Level2"/>
      <w:bookmarkStart w:id="280" w:name="_Toc15396625"/>
      <w:bookmarkStart w:id="281" w:name="_Toc979_WPSOffice_Level2"/>
      <w:r>
        <w:rPr>
          <w:rStyle w:val="17"/>
          <w:rFonts w:hint="eastAsia" w:ascii="仿宋" w:eastAsia="仿宋"/>
          <w:b w:val="0"/>
          <w:bCs w:val="0"/>
          <w:color w:val="auto"/>
          <w:highlight w:val="none"/>
        </w:rPr>
        <w:t>七、</w:t>
      </w:r>
      <w:r>
        <w:rPr>
          <w:rFonts w:hint="eastAsia" w:ascii="仿宋" w:eastAsia="仿宋"/>
          <w:b w:val="0"/>
          <w:color w:val="auto"/>
          <w:highlight w:val="none"/>
        </w:rPr>
        <w:t>一</w:t>
      </w:r>
      <w:r>
        <w:rPr>
          <w:rStyle w:val="17"/>
          <w:rFonts w:hint="eastAsia" w:ascii="仿宋" w:eastAsia="仿宋"/>
          <w:b w:val="0"/>
          <w:bCs w:val="0"/>
          <w:color w:val="auto"/>
          <w:highlight w:val="none"/>
        </w:rPr>
        <w:t>般公共预算财政拨款支出决算明细表</w:t>
      </w:r>
      <w:bookmarkEnd w:id="274"/>
      <w:bookmarkEnd w:id="275"/>
      <w:bookmarkEnd w:id="276"/>
      <w:bookmarkEnd w:id="277"/>
      <w:bookmarkEnd w:id="278"/>
      <w:bookmarkEnd w:id="279"/>
      <w:bookmarkEnd w:id="280"/>
      <w:bookmarkEnd w:id="281"/>
    </w:p>
    <w:p>
      <w:pPr>
        <w:pStyle w:val="4"/>
        <w:rPr>
          <w:rFonts w:ascii="仿宋" w:eastAsia="仿宋"/>
          <w:color w:val="auto"/>
          <w:highlight w:val="none"/>
        </w:rPr>
      </w:pPr>
      <w:bookmarkStart w:id="282" w:name="_Toc15396626"/>
      <w:bookmarkStart w:id="283" w:name="_Toc30493_WPSOffice_Level2"/>
      <w:bookmarkStart w:id="284" w:name="_Toc21348_WPSOffice_Level2"/>
      <w:bookmarkStart w:id="285" w:name="_Toc25902_WPSOffice_Level2"/>
      <w:bookmarkStart w:id="286" w:name="_Toc19821_WPSOffice_Level2"/>
      <w:bookmarkStart w:id="287" w:name="_Toc15688_WPSOffice_Level2"/>
      <w:bookmarkStart w:id="288" w:name="_Toc24958_WPSOffice_Level2"/>
      <w:bookmarkStart w:id="289" w:name="_Toc14846_WPSOffice_Level2"/>
      <w:r>
        <w:rPr>
          <w:rStyle w:val="17"/>
          <w:rFonts w:hint="eastAsia" w:ascii="仿宋" w:eastAsia="仿宋"/>
          <w:b w:val="0"/>
          <w:bCs w:val="0"/>
          <w:color w:val="auto"/>
          <w:highlight w:val="none"/>
        </w:rPr>
        <w:t>八、</w:t>
      </w:r>
      <w:r>
        <w:rPr>
          <w:rFonts w:hint="eastAsia" w:ascii="仿宋" w:eastAsia="仿宋"/>
          <w:b w:val="0"/>
          <w:color w:val="auto"/>
          <w:highlight w:val="none"/>
        </w:rPr>
        <w:t>一</w:t>
      </w:r>
      <w:r>
        <w:rPr>
          <w:rStyle w:val="17"/>
          <w:rFonts w:hint="eastAsia" w:ascii="仿宋" w:eastAsia="仿宋"/>
          <w:b w:val="0"/>
          <w:bCs w:val="0"/>
          <w:color w:val="auto"/>
          <w:highlight w:val="none"/>
        </w:rPr>
        <w:t>般公共预算财政拨款基本支出决算表</w:t>
      </w:r>
      <w:bookmarkEnd w:id="282"/>
      <w:bookmarkEnd w:id="283"/>
      <w:bookmarkEnd w:id="284"/>
      <w:bookmarkEnd w:id="285"/>
      <w:bookmarkEnd w:id="286"/>
      <w:bookmarkEnd w:id="287"/>
      <w:bookmarkEnd w:id="288"/>
      <w:bookmarkEnd w:id="289"/>
    </w:p>
    <w:p>
      <w:pPr>
        <w:pStyle w:val="4"/>
        <w:rPr>
          <w:rFonts w:ascii="仿宋" w:eastAsia="仿宋"/>
          <w:color w:val="auto"/>
          <w:highlight w:val="none"/>
        </w:rPr>
      </w:pPr>
      <w:bookmarkStart w:id="290" w:name="_Toc15396627"/>
      <w:bookmarkStart w:id="291" w:name="_Toc4788_WPSOffice_Level2"/>
      <w:bookmarkStart w:id="292" w:name="_Toc3876_WPSOffice_Level2"/>
      <w:bookmarkStart w:id="293" w:name="_Toc6353_WPSOffice_Level2"/>
      <w:bookmarkStart w:id="294" w:name="_Toc903_WPSOffice_Level2"/>
      <w:bookmarkStart w:id="295" w:name="_Toc20520_WPSOffice_Level2"/>
      <w:bookmarkStart w:id="296" w:name="_Toc18642_WPSOffice_Level2"/>
      <w:bookmarkStart w:id="297" w:name="_Toc21448_WPSOffice_Level2"/>
      <w:r>
        <w:rPr>
          <w:rStyle w:val="17"/>
          <w:rFonts w:hint="eastAsia" w:ascii="仿宋" w:eastAsia="仿宋"/>
          <w:b w:val="0"/>
          <w:bCs w:val="0"/>
          <w:color w:val="auto"/>
          <w:highlight w:val="none"/>
        </w:rPr>
        <w:t>九、</w:t>
      </w:r>
      <w:r>
        <w:rPr>
          <w:rFonts w:hint="eastAsia" w:ascii="仿宋" w:eastAsia="仿宋"/>
          <w:b w:val="0"/>
          <w:color w:val="auto"/>
          <w:highlight w:val="none"/>
        </w:rPr>
        <w:t>一</w:t>
      </w:r>
      <w:r>
        <w:rPr>
          <w:rStyle w:val="17"/>
          <w:rFonts w:hint="eastAsia" w:ascii="仿宋" w:eastAsia="仿宋"/>
          <w:b w:val="0"/>
          <w:bCs w:val="0"/>
          <w:color w:val="auto"/>
          <w:highlight w:val="none"/>
        </w:rPr>
        <w:t>般公共预算财政拨款项目支出决算表</w:t>
      </w:r>
      <w:bookmarkEnd w:id="290"/>
      <w:bookmarkEnd w:id="291"/>
      <w:bookmarkEnd w:id="292"/>
      <w:bookmarkEnd w:id="293"/>
      <w:bookmarkEnd w:id="294"/>
      <w:bookmarkEnd w:id="295"/>
      <w:bookmarkEnd w:id="296"/>
      <w:bookmarkEnd w:id="297"/>
    </w:p>
    <w:p>
      <w:pPr>
        <w:pStyle w:val="4"/>
        <w:rPr>
          <w:rFonts w:ascii="仿宋" w:eastAsia="仿宋"/>
          <w:color w:val="auto"/>
          <w:highlight w:val="none"/>
        </w:rPr>
      </w:pPr>
      <w:bookmarkStart w:id="298" w:name="_Toc15396628"/>
      <w:bookmarkStart w:id="299" w:name="_Toc24582_WPSOffice_Level2"/>
      <w:bookmarkStart w:id="300" w:name="_Toc25503_WPSOffice_Level2"/>
      <w:bookmarkStart w:id="301" w:name="_Toc30739_WPSOffice_Level2"/>
      <w:bookmarkStart w:id="302" w:name="_Toc6917_WPSOffice_Level2"/>
      <w:bookmarkStart w:id="303" w:name="_Toc11695_WPSOffice_Level2"/>
      <w:bookmarkStart w:id="304" w:name="_Toc16700_WPSOffice_Level2"/>
      <w:bookmarkStart w:id="305" w:name="_Toc28472_WPSOffice_Level2"/>
      <w:r>
        <w:rPr>
          <w:rStyle w:val="17"/>
          <w:rFonts w:hint="eastAsia" w:ascii="仿宋" w:eastAsia="仿宋"/>
          <w:b w:val="0"/>
          <w:bCs w:val="0"/>
          <w:color w:val="auto"/>
          <w:highlight w:val="none"/>
        </w:rPr>
        <w:t>十、</w:t>
      </w:r>
      <w:bookmarkEnd w:id="298"/>
      <w:r>
        <w:rPr>
          <w:rFonts w:hint="eastAsia" w:ascii="仿宋" w:eastAsia="仿宋"/>
          <w:b w:val="0"/>
          <w:color w:val="auto"/>
          <w:highlight w:val="none"/>
        </w:rPr>
        <w:t>政</w:t>
      </w:r>
      <w:r>
        <w:rPr>
          <w:rStyle w:val="17"/>
          <w:rFonts w:hint="eastAsia" w:ascii="仿宋" w:eastAsia="仿宋"/>
          <w:b w:val="0"/>
          <w:bCs w:val="0"/>
          <w:color w:val="auto"/>
          <w:highlight w:val="none"/>
        </w:rPr>
        <w:t>府性基金预算财政拨款收入支出决算表</w:t>
      </w:r>
      <w:bookmarkEnd w:id="299"/>
      <w:bookmarkEnd w:id="300"/>
      <w:bookmarkEnd w:id="301"/>
      <w:bookmarkEnd w:id="302"/>
      <w:bookmarkEnd w:id="303"/>
      <w:bookmarkEnd w:id="304"/>
      <w:bookmarkEnd w:id="305"/>
    </w:p>
    <w:p>
      <w:pPr>
        <w:pStyle w:val="4"/>
        <w:rPr>
          <w:rFonts w:ascii="仿宋" w:eastAsia="仿宋"/>
          <w:color w:val="auto"/>
          <w:highlight w:val="none"/>
        </w:rPr>
      </w:pPr>
      <w:bookmarkStart w:id="306" w:name="_Toc15396629"/>
      <w:bookmarkStart w:id="307" w:name="_Toc31994_WPSOffice_Level2"/>
      <w:bookmarkStart w:id="308" w:name="_Toc16752_WPSOffice_Level2"/>
      <w:bookmarkStart w:id="309" w:name="_Toc9142_WPSOffice_Level2"/>
      <w:bookmarkStart w:id="310" w:name="_Toc26970_WPSOffice_Level2"/>
      <w:bookmarkStart w:id="311" w:name="_Toc24659_WPSOffice_Level2"/>
      <w:bookmarkStart w:id="312" w:name="_Toc25789_WPSOffice_Level2"/>
      <w:bookmarkStart w:id="313" w:name="_Toc18800_WPSOffice_Level2"/>
      <w:r>
        <w:rPr>
          <w:rStyle w:val="17"/>
          <w:rFonts w:hint="eastAsia" w:ascii="仿宋" w:eastAsia="仿宋"/>
          <w:b w:val="0"/>
          <w:bCs w:val="0"/>
          <w:color w:val="auto"/>
          <w:highlight w:val="none"/>
        </w:rPr>
        <w:t>十一、</w:t>
      </w:r>
      <w:bookmarkEnd w:id="306"/>
      <w:r>
        <w:rPr>
          <w:rFonts w:hint="eastAsia" w:ascii="仿宋" w:eastAsia="仿宋"/>
          <w:b w:val="0"/>
          <w:color w:val="auto"/>
          <w:highlight w:val="none"/>
        </w:rPr>
        <w:t>国</w:t>
      </w:r>
      <w:r>
        <w:rPr>
          <w:rStyle w:val="17"/>
          <w:rFonts w:hint="eastAsia" w:ascii="仿宋" w:eastAsia="仿宋"/>
          <w:b w:val="0"/>
          <w:bCs w:val="0"/>
          <w:color w:val="auto"/>
          <w:highlight w:val="none"/>
        </w:rPr>
        <w:t>有资本经营预算</w:t>
      </w:r>
      <w:r>
        <w:rPr>
          <w:rStyle w:val="17"/>
          <w:rFonts w:hint="eastAsia" w:ascii="仿宋" w:eastAsia="仿宋"/>
          <w:b w:val="0"/>
          <w:bCs w:val="0"/>
          <w:color w:val="auto"/>
          <w:highlight w:val="none"/>
          <w:lang w:eastAsia="zh-CN"/>
        </w:rPr>
        <w:t>财政拨款收入</w:t>
      </w:r>
      <w:r>
        <w:rPr>
          <w:rStyle w:val="17"/>
          <w:rFonts w:hint="eastAsia" w:ascii="仿宋" w:eastAsia="仿宋"/>
          <w:b w:val="0"/>
          <w:bCs w:val="0"/>
          <w:color w:val="auto"/>
          <w:highlight w:val="none"/>
        </w:rPr>
        <w:t>支出决算表</w:t>
      </w:r>
      <w:bookmarkEnd w:id="307"/>
      <w:bookmarkEnd w:id="308"/>
      <w:bookmarkEnd w:id="309"/>
      <w:bookmarkEnd w:id="310"/>
      <w:bookmarkEnd w:id="311"/>
      <w:bookmarkEnd w:id="312"/>
      <w:bookmarkEnd w:id="313"/>
    </w:p>
    <w:p>
      <w:pPr>
        <w:pStyle w:val="4"/>
        <w:rPr>
          <w:rFonts w:ascii="仿宋" w:eastAsia="仿宋"/>
          <w:color w:val="auto"/>
          <w:highlight w:val="none"/>
        </w:rPr>
      </w:pPr>
      <w:bookmarkStart w:id="314" w:name="_Toc15396630"/>
      <w:bookmarkStart w:id="315" w:name="_Toc10196_WPSOffice_Level2"/>
      <w:bookmarkStart w:id="316" w:name="_Toc32486_WPSOffice_Level2"/>
      <w:bookmarkStart w:id="317" w:name="_Toc23748_WPSOffice_Level2"/>
      <w:bookmarkStart w:id="318" w:name="_Toc14685_WPSOffice_Level2"/>
      <w:bookmarkStart w:id="319" w:name="_Toc32173_WPSOffice_Level2"/>
      <w:bookmarkStart w:id="320" w:name="_Toc19499_WPSOffice_Level2"/>
      <w:bookmarkStart w:id="321" w:name="_Toc16479_WPSOffice_Level2"/>
      <w:r>
        <w:rPr>
          <w:rStyle w:val="17"/>
          <w:rFonts w:hint="eastAsia" w:ascii="仿宋" w:eastAsia="仿宋"/>
          <w:b w:val="0"/>
          <w:bCs w:val="0"/>
          <w:color w:val="auto"/>
          <w:highlight w:val="none"/>
        </w:rPr>
        <w:t>十二、</w:t>
      </w:r>
      <w:bookmarkEnd w:id="314"/>
      <w:r>
        <w:rPr>
          <w:rStyle w:val="17"/>
          <w:rFonts w:hint="eastAsia" w:ascii="仿宋" w:eastAsia="仿宋"/>
          <w:b w:val="0"/>
          <w:bCs w:val="0"/>
          <w:color w:val="auto"/>
          <w:highlight w:val="none"/>
          <w:lang w:eastAsia="zh-CN"/>
        </w:rPr>
        <w:t>国有资本经营预算财政拨款支出决算表</w:t>
      </w:r>
      <w:bookmarkEnd w:id="315"/>
      <w:bookmarkEnd w:id="316"/>
      <w:bookmarkEnd w:id="317"/>
      <w:bookmarkEnd w:id="318"/>
      <w:bookmarkEnd w:id="319"/>
      <w:bookmarkEnd w:id="320"/>
      <w:bookmarkEnd w:id="321"/>
    </w:p>
    <w:p>
      <w:pPr>
        <w:pStyle w:val="4"/>
        <w:rPr>
          <w:rFonts w:hint="eastAsia" w:eastAsia="仿宋"/>
          <w:color w:val="auto"/>
          <w:highlight w:val="none"/>
          <w:lang w:eastAsia="zh-CN"/>
        </w:rPr>
      </w:pPr>
      <w:bookmarkStart w:id="322" w:name="_Toc15396631"/>
      <w:bookmarkStart w:id="323" w:name="_Toc12505_WPSOffice_Level2"/>
      <w:bookmarkStart w:id="324" w:name="_Toc18361_WPSOffice_Level2"/>
      <w:bookmarkStart w:id="325" w:name="_Toc29989_WPSOffice_Level2"/>
      <w:bookmarkStart w:id="326" w:name="_Toc27647_WPSOffice_Level2"/>
      <w:bookmarkStart w:id="327" w:name="_Toc255_WPSOffice_Level2"/>
      <w:bookmarkStart w:id="328" w:name="_Toc30594_WPSOffice_Level2"/>
      <w:bookmarkStart w:id="329" w:name="_Toc26947_WPSOffice_Level2"/>
      <w:r>
        <w:rPr>
          <w:rStyle w:val="17"/>
          <w:rFonts w:hint="eastAsia" w:ascii="仿宋" w:eastAsia="仿宋"/>
          <w:b w:val="0"/>
          <w:bCs w:val="0"/>
          <w:color w:val="auto"/>
          <w:highlight w:val="none"/>
        </w:rPr>
        <w:t>十三、</w:t>
      </w:r>
      <w:bookmarkEnd w:id="322"/>
      <w:r>
        <w:rPr>
          <w:rStyle w:val="17"/>
          <w:rFonts w:hint="eastAsia" w:ascii="仿宋" w:eastAsia="仿宋"/>
          <w:b w:val="0"/>
          <w:bCs w:val="0"/>
          <w:color w:val="auto"/>
          <w:highlight w:val="none"/>
          <w:lang w:eastAsia="zh-CN"/>
        </w:rPr>
        <w:t>财政拨款“三公”经费支出决算表</w:t>
      </w:r>
      <w:bookmarkEnd w:id="323"/>
      <w:bookmarkEnd w:id="324"/>
      <w:bookmarkEnd w:id="325"/>
      <w:bookmarkEnd w:id="326"/>
      <w:bookmarkEnd w:id="327"/>
      <w:bookmarkEnd w:id="328"/>
      <w:bookmarkEnd w:id="329"/>
    </w:p>
    <w:p/>
    <w:sectPr>
      <w:footerReference r:id="rId5" w:type="first"/>
      <w:footerReference r:id="rId4" w:type="default"/>
      <w:pgSz w:w="11906" w:h="16838"/>
      <w:pgMar w:top="1440" w:right="1800"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pPr>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ind w:left="0" w:firstLine="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pPr>
        <w:ind w:left="0" w:firstLine="0"/>
      </w:pPr>
      <w:rPr>
        <w:rFonts w:hint="eastAsia"/>
      </w:rPr>
    </w:lvl>
  </w:abstractNum>
  <w:abstractNum w:abstractNumId="4">
    <w:nsid w:val="5714519A"/>
    <w:multiLevelType w:val="singleLevel"/>
    <w:tmpl w:val="5714519A"/>
    <w:lvl w:ilvl="0" w:tentative="0">
      <w:start w:val="3"/>
      <w:numFmt w:val="chineseCounting"/>
      <w:suff w:val="nothing"/>
      <w:lvlText w:val="（%1）"/>
      <w:lvlJc w:val="left"/>
      <w:pPr>
        <w:ind w:left="0" w:firstLine="0"/>
      </w:pPr>
      <w:rPr>
        <w:rFonts w:hint="eastAsia"/>
      </w:rPr>
    </w:lvl>
  </w:abstractNum>
  <w:abstractNum w:abstractNumId="5">
    <w:nsid w:val="59CB76F6"/>
    <w:multiLevelType w:val="singleLevel"/>
    <w:tmpl w:val="59CB76F6"/>
    <w:lvl w:ilvl="0" w:tentative="0">
      <w:start w:val="2"/>
      <w:numFmt w:val="decimal"/>
      <w:lvlText w:val="%1."/>
      <w:lvlJc w:val="left"/>
      <w:pPr>
        <w:tabs>
          <w:tab w:val="left" w:pos="312"/>
        </w:tabs>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ZTBiNzA2ZjIyZTQwZmFmZGMwZjhhNjI3NTM3OGRmYjAifQ=="/>
  </w:docVars>
  <w:rsids>
    <w:rsidRoot w:val="00000000"/>
    <w:rsid w:val="127202F3"/>
    <w:rsid w:val="5D296EA4"/>
    <w:rsid w:val="6D0D78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17"/>
    <w:qFormat/>
    <w:uiPriority w:val="0"/>
    <w:pPr>
      <w:keepNext/>
      <w:keepLines/>
      <w:widowControl w:val="0"/>
      <w:spacing w:before="260" w:after="260" w:line="415" w:lineRule="auto"/>
      <w:outlineLvl w:val="1"/>
    </w:pPr>
    <w:rPr>
      <w:rFonts w:ascii="Calibri Light" w:hAnsi="Calibri Light"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3">
    <w:name w:val="Default Paragraph Font"/>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before="30" w:beforeLines="30"/>
    </w:pPr>
    <w:rPr>
      <w:rFonts w:ascii="仿宋_GB2312" w:eastAsia="仿宋_GB2312"/>
      <w:kern w:val="0"/>
      <w:sz w:val="30"/>
    </w:rPr>
  </w:style>
  <w:style w:type="paragraph" w:styleId="6">
    <w:name w:val="Body Text Indent"/>
    <w:basedOn w:val="1"/>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First Indent 2"/>
    <w:basedOn w:val="6"/>
    <w:next w:val="1"/>
    <w:qFormat/>
    <w:uiPriority w:val="0"/>
    <w:pPr>
      <w:ind w:firstLine="200" w:firstLineChars="200"/>
    </w:pPr>
  </w:style>
  <w:style w:type="paragraph" w:styleId="8">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paragraph" w:styleId="12">
    <w:name w:val="Normal (Web)"/>
    <w:basedOn w:val="1"/>
    <w:qFormat/>
    <w:uiPriority w:val="0"/>
    <w:pPr>
      <w:widowControl w:val="0"/>
      <w:suppressAutoHyphens/>
    </w:pPr>
    <w:rPr>
      <w:rFonts w:ascii="Calibri" w:hAnsi="Calibri" w:eastAsia="宋体" w:cs="Times New Roman"/>
      <w:sz w:val="24"/>
      <w:szCs w:val="24"/>
    </w:rPr>
  </w:style>
  <w:style w:type="character" w:styleId="14">
    <w:name w:val="Strong"/>
    <w:basedOn w:val="13"/>
    <w:qFormat/>
    <w:uiPriority w:val="0"/>
    <w:rPr>
      <w:b/>
    </w:rPr>
  </w:style>
  <w:style w:type="character" w:customStyle="1" w:styleId="16">
    <w:name w:val="heading 1 Char"/>
    <w:basedOn w:val="13"/>
    <w:link w:val="3"/>
    <w:qFormat/>
    <w:uiPriority w:val="0"/>
    <w:rPr>
      <w:rFonts w:ascii="Times New Roman" w:hAnsi="Times New Roman" w:eastAsia="宋体" w:cs="Times New Roman"/>
      <w:b/>
      <w:bCs/>
      <w:kern w:val="44"/>
      <w:sz w:val="44"/>
      <w:szCs w:val="44"/>
      <w:lang w:val="en-US" w:eastAsia="zh-CN" w:bidi="ar-SA"/>
    </w:rPr>
  </w:style>
  <w:style w:type="character" w:customStyle="1" w:styleId="17">
    <w:name w:val="heading 2 Char"/>
    <w:basedOn w:val="13"/>
    <w:link w:val="4"/>
    <w:qFormat/>
    <w:uiPriority w:val="0"/>
    <w:rPr>
      <w:rFonts w:ascii="Calibri Light" w:hAnsi="Calibri Light" w:eastAsia="宋体" w:cs="Times New Roman"/>
      <w:b/>
      <w:bCs/>
      <w:kern w:val="2"/>
      <w:sz w:val="32"/>
      <w:szCs w:val="32"/>
      <w:lang w:val="en-US" w:eastAsia="zh-CN" w:bidi="ar-SA"/>
    </w:rPr>
  </w:style>
  <w:style w:type="paragraph" w:styleId="18">
    <w:name w:val="List Paragraph"/>
    <w:basedOn w:val="1"/>
    <w:qFormat/>
    <w:uiPriority w:val="0"/>
    <w:pPr>
      <w:ind w:firstLine="200" w:firstLineChars="200"/>
    </w:pPr>
  </w:style>
  <w:style w:type="paragraph" w:customStyle="1" w:styleId="19">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 w:type="paragraph" w:customStyle="1" w:styleId="2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480964"/>
          <c:y val="0.102756895"/>
          <c:w val="0.8278729"/>
          <c:h val="0.6376566"/>
        </c:manualLayout>
      </c:layout>
      <c:barChart>
        <c:barDir val="col"/>
        <c:grouping val="clustered"/>
        <c:varyColors val="0"/>
        <c:ser>
          <c:idx val="0"/>
          <c:order val="0"/>
          <c:tx>
            <c:strRef>
              <c:f>2021年</c:f>
              <c:strCache>
                <c:ptCount val="1"/>
                <c:pt idx="0">
                  <c:v>2021年</c:v>
                </c:pt>
              </c:strCache>
            </c:strRef>
          </c:tx>
          <c:spPr>
            <a:solidFill>
              <a:srgbClr val="5B9BD5">
                <a:alpha val="85000"/>
              </a:srgbClr>
            </a:solidFill>
            <a:ln w="12700">
              <a:solidFill>
                <a:srgbClr val="FFFFFF"/>
              </a:solidFill>
              <a:prstDash val="solid"/>
            </a:ln>
          </c:spPr>
          <c:invertIfNegative val="0"/>
          <c:dLbls>
            <c:numFmt formatCode="0.00_ "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{"收入","支出"}</c:f>
              <c:strCache>
                <c:ptCount val="2"/>
                <c:pt idx="0">
                  <c:v>收入</c:v>
                </c:pt>
                <c:pt idx="1">
                  <c:v>支出</c:v>
                </c:pt>
              </c:strCache>
            </c:strRef>
          </c:cat>
          <c:val>
            <c:numRef>
              <c:f>{178.73,178.73}</c:f>
              <c:numCache>
                <c:formatCode>0.00_ </c:formatCode>
                <c:ptCount val="2"/>
                <c:pt idx="0">
                  <c:v>178.73</c:v>
                </c:pt>
                <c:pt idx="1">
                  <c:v>178.73</c:v>
                </c:pt>
              </c:numCache>
            </c:numRef>
          </c:val>
        </c:ser>
        <c:ser>
          <c:idx val="1"/>
          <c:order val="1"/>
          <c:tx>
            <c:strRef>
              <c:f>2022年</c:f>
              <c:strCache>
                <c:ptCount val="1"/>
                <c:pt idx="0">
                  <c:v>2022年</c:v>
                </c:pt>
              </c:strCache>
            </c:strRef>
          </c:tx>
          <c:spPr>
            <a:solidFill>
              <a:srgbClr val="ED7D31">
                <a:alpha val="85000"/>
              </a:srgbClr>
            </a:solidFill>
            <a:ln w="12700">
              <a:solidFill>
                <a:srgbClr val="FFFFFF"/>
              </a:solidFill>
              <a:prstDash val="solid"/>
            </a:ln>
          </c:spPr>
          <c:invertIfNegative val="0"/>
          <c:dLbls>
            <c:numFmt formatCode="0.00_ "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{"收入","支出"}</c:f>
              <c:strCache>
                <c:ptCount val="2"/>
                <c:pt idx="0">
                  <c:v>收入</c:v>
                </c:pt>
                <c:pt idx="1">
                  <c:v>支出</c:v>
                </c:pt>
              </c:strCache>
            </c:strRef>
          </c:cat>
          <c:val>
            <c:numRef>
              <c:f>{108.58,108.58}</c:f>
              <c:numCache>
                <c:formatCode>0.00_ </c:formatCode>
                <c:ptCount val="2"/>
                <c:pt idx="0">
                  <c:v>108.58</c:v>
                </c:pt>
                <c:pt idx="1">
                  <c:v>108.58</c:v>
                </c:pt>
              </c:numCache>
            </c:numRef>
          </c:val>
        </c:ser>
        <c:dLbls>
          <c:showLegendKey val="0"/>
          <c:showVal val="1"/>
          <c:showCatName val="0"/>
          <c:showSerName val="0"/>
          <c:showPercent val="0"/>
          <c:showBubbleSize val="0"/>
        </c:dLbls>
        <c:gapWidth val="65"/>
        <c:axId val="0"/>
        <c:axId val="1"/>
      </c:barChart>
      <c:catAx>
        <c:axId val="0"/>
        <c:scaling>
          <c:orientation val="minMax"/>
        </c:scaling>
        <c:delete val="0"/>
        <c:axPos val="b"/>
        <c:numFmt formatCode="General" sourceLinked="0"/>
        <c:majorTickMark val="out"/>
        <c:minorTickMark val="none"/>
        <c:tickLblPos val="nextTo"/>
        <c:spPr>
          <a:ln w="19050" cap="flat" cmpd="sng" algn="ctr">
            <a:solidFill>
              <a:srgbClr val="404040"/>
            </a:solidFill>
            <a:prstDash val="solid"/>
            <a:round/>
          </a:ln>
        </c:spPr>
        <c:txPr>
          <a:bodyPr rot="-60000000" spcFirstLastPara="0" vertOverflow="ellipsis" vert="horz" wrap="square" anchor="ctr" anchorCtr="1"/>
          <a:lstStyle/>
          <a:p>
            <a:pPr>
              <a:defRPr lang="zh-CN" sz="900" b="0" i="0" u="none" strike="noStrike" kern="1200" cap="all" baseline="0">
                <a:solidFill>
                  <a:srgbClr val="404040"/>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0"/>
        <c:axPos val="l"/>
        <c:numFmt formatCode="0.00_ " sourceLinked="1"/>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legend>
      <c:legendPos val="b"/>
      <c:layout/>
      <c:overlay val="0"/>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noFill/>
    <a:ln w="1270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7880905"/>
          <c:y val="0.19861111"/>
          <c:w val="0.9388889"/>
          <c:h val="0.64560187"/>
        </c:manualLayout>
      </c:layout>
      <c:pieChart>
        <c:varyColors val="1"/>
        <c:ser>
          <c:idx val="0"/>
          <c:order val="0"/>
          <c:spPr>
            <a:ln>
              <a:noFill/>
            </a:ln>
          </c:spPr>
          <c:explosion val="0"/>
          <c:dPt>
            <c:idx val="0"/>
            <c:bubble3D val="0"/>
            <c:spPr>
              <a:solidFill>
                <a:srgbClr val="5B9BD5"/>
              </a:solidFill>
              <a:ln>
                <a:noFill/>
              </a:ln>
              <a:effectLst>
                <a:outerShdw dist="35921" dir="2700000" algn="br">
                  <a:srgbClr val="000000"/>
                </a:outerShdw>
              </a:effectLst>
            </c:spPr>
          </c:dPt>
          <c:dPt>
            <c:idx val="1"/>
            <c:bubble3D val="0"/>
            <c:explosion val="27"/>
            <c:spPr>
              <a:solidFill>
                <a:srgbClr val="ED7D31"/>
              </a:solidFill>
              <a:ln>
                <a:noFill/>
              </a:ln>
              <a:effectLst>
                <a:outerShdw dist="35921" dir="2700000" algn="br">
                  <a:srgbClr val="000000"/>
                </a:outerShdw>
              </a:effectLst>
            </c:spPr>
          </c:dPt>
          <c:dPt>
            <c:idx val="2"/>
            <c:bubble3D val="0"/>
            <c:explosion val="21"/>
            <c:spPr>
              <a:solidFill>
                <a:srgbClr val="A5A5A5"/>
              </a:solidFill>
              <a:ln>
                <a:noFill/>
              </a:ln>
              <a:effectLst>
                <a:outerShdw dist="35921" dir="2700000" algn="br">
                  <a:srgbClr val="000000"/>
                </a:outerShdw>
              </a:effectLst>
            </c:spPr>
          </c:dPt>
          <c:dLbls>
            <c:dLbl>
              <c:idx val="0"/>
              <c:layout>
                <c:manualLayout>
                  <c:x val="-0.14486924"/>
                  <c:y val="-0.22868355"/>
                </c:manualLayout>
              </c:layout>
              <c:tx>
                <c:rich>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900" b="1" i="0" u="none" strike="noStrike" baseline="0">
                        <a:solidFill>
                          <a:srgbClr val="000000"/>
                        </a:solidFill>
                        <a:latin typeface="Times New Roman" panose="02020603050405020304"/>
                        <a:ea typeface="宋体" panose="02010600030101010101" charset="-122"/>
                        <a:cs typeface="Arial" panose="020B0604020202020204" pitchFamily="2"/>
                      </a:rPr>
                      <a:t>财政拨款收入74.43%</a:t>
                    </a:r>
                    <a:endParaRPr lang="zh-CN" sz="900" b="1" i="0" u="none" strike="noStrike" baseline="0">
                      <a:solidFill>
                        <a:srgbClr val="000000"/>
                      </a:solidFill>
                      <a:latin typeface="Times New Roman" panose="02020603050405020304"/>
                      <a:ea typeface="宋体" panose="02010600030101010101" charset="-122"/>
                      <a:cs typeface="Arial" panose="020B0604020202020204" pitchFamily="2"/>
                    </a:endParaRPr>
                  </a:p>
                </c:rich>
              </c:tx>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900" b="1" i="0" u="none" strike="noStrike" baseline="0">
                        <a:solidFill>
                          <a:srgbClr val="000000"/>
                        </a:solidFill>
                        <a:latin typeface="Times New Roman" panose="02020603050405020304"/>
                        <a:ea typeface="宋体" panose="02010600030101010101" charset="-122"/>
                        <a:cs typeface="Arial" panose="020B0604020202020204" pitchFamily="2"/>
                      </a:rPr>
                      <a:t>政府性基金6.36%</a:t>
                    </a:r>
                    <a:endParaRPr lang="zh-CN" sz="900" b="1" i="0" u="none" strike="noStrike" baseline="0">
                      <a:solidFill>
                        <a:srgbClr val="000000"/>
                      </a:solidFill>
                      <a:latin typeface="Times New Roman" panose="02020603050405020304"/>
                      <a:ea typeface="宋体" panose="02010600030101010101" charset="-122"/>
                      <a:cs typeface="Arial" panose="020B0604020202020204" pitchFamily="2"/>
                    </a:endParaRPr>
                  </a:p>
                </c:rich>
              </c:tx>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2"/>
              <c:layout>
                <c:manualLayout>
                  <c:x val="0.13220935"/>
                  <c:y val="-0.010641895"/>
                </c:manualLayout>
              </c:layout>
              <c:tx>
                <c:rich>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900" b="1" i="0" u="none" strike="noStrike" baseline="0">
                        <a:solidFill>
                          <a:srgbClr val="000000"/>
                        </a:solidFill>
                        <a:latin typeface="Times New Roman" panose="02020603050405020304"/>
                        <a:ea typeface="宋体" panose="02010600030101010101" charset="-122"/>
                        <a:cs typeface="Arial" panose="020B0604020202020204" pitchFamily="2"/>
                      </a:rPr>
                      <a:t>事业收入25.57%</a:t>
                    </a:r>
                    <a:endParaRPr lang="zh-CN" sz="900" b="1" i="0" u="none" strike="noStrike" baseline="0">
                      <a:solidFill>
                        <a:srgbClr val="000000"/>
                      </a:solidFill>
                      <a:latin typeface="Times New Roman" panose="02020603050405020304"/>
                      <a:ea typeface="宋体" panose="02010600030101010101" charset="-122"/>
                      <a:cs typeface="Arial" panose="020B0604020202020204" pitchFamily="2"/>
                    </a:endParaRPr>
                  </a:p>
                </c:rich>
              </c:tx>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{"财政拨款收入","","事业收入"}</c:f>
              <c:strCache>
                <c:ptCount val="3"/>
                <c:pt idx="0">
                  <c:v>财政拨款收入</c:v>
                </c:pt>
                <c:pt idx="2">
                  <c:v>事业收入</c:v>
                </c:pt>
              </c:strCache>
            </c:strRef>
          </c:cat>
          <c:val>
            <c:numRef>
              <c:f>{80.82,#N/A,27.76}</c:f>
              <c:numCache>
                <c:formatCode>General</c:formatCode>
                <c:ptCount val="3"/>
                <c:pt idx="0">
                  <c:v>80.82</c:v>
                </c:pt>
                <c:pt idx="2">
                  <c:v>27.76</c:v>
                </c:pt>
              </c:numCache>
            </c:numRef>
          </c:val>
        </c:ser>
        <c:ser>
          <c:idx val="1"/>
          <c:order val="1"/>
          <c:spPr>
            <a:ln>
              <a:noFill/>
            </a:ln>
          </c:spPr>
          <c:explosion val="0"/>
          <c:dPt>
            <c:idx val="0"/>
            <c:bubble3D val="0"/>
            <c:spPr>
              <a:ln>
                <a:noFill/>
              </a:ln>
              <a:effectLst>
                <a:outerShdw dist="35921" dir="2700000" algn="br">
                  <a:srgbClr val="000000"/>
                </a:outerShdw>
              </a:effectLst>
            </c:spPr>
          </c:dPt>
          <c:dPt>
            <c:idx val="1"/>
            <c:bubble3D val="0"/>
            <c:spPr>
              <a:ln>
                <a:noFill/>
              </a:ln>
              <a:effectLst>
                <a:outerShdw dist="35921" dir="2700000" algn="br">
                  <a:srgbClr val="000000"/>
                </a:outerShdw>
              </a:effectLst>
            </c:spPr>
          </c:dPt>
          <c:dPt>
            <c:idx val="2"/>
            <c:bubble3D val="0"/>
            <c:spPr>
              <a:ln>
                <a:noFill/>
              </a:ln>
              <a:effectLst>
                <a:outerShdw dist="35921" dir="2700000" algn="br">
                  <a:srgbClr val="000000"/>
                </a:outerShdw>
              </a:effectLst>
            </c:spPr>
          </c:dPt>
          <c:dLbls>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{"财政拨款收入","","事业收入"}</c:f>
              <c:strCache>
                <c:ptCount val="3"/>
                <c:pt idx="0">
                  <c:v>财政拨款收入</c:v>
                </c:pt>
                <c:pt idx="2">
                  <c:v>事业收入</c:v>
                </c:pt>
              </c:strCache>
            </c:strRef>
          </c:cat>
          <c:val>
            <c:numRef>
              <c:f>{0.7443,#N/A,0.2557}</c:f>
              <c:numCache>
                <c:formatCode>General</c:formatCode>
                <c:ptCount val="3"/>
                <c:pt idx="0">
                  <c:v>0.7443</c:v>
                </c:pt>
                <c:pt idx="2">
                  <c:v>0.2557</c:v>
                </c:pt>
              </c:numCache>
            </c:numRef>
          </c:val>
        </c:ser>
        <c:dLbls>
          <c:showLegendKey val="0"/>
          <c:showVal val="0"/>
          <c:showCatName val="0"/>
          <c:showSerName val="0"/>
          <c:showPercent val="1"/>
          <c:showBubbleSize val="0"/>
          <c:showLeaderLines val="1"/>
        </c:dLbls>
        <c:firstSliceAng val="0"/>
      </c:pieChart>
      <c:spPr>
        <a:noFill/>
        <a:ln>
          <a:noFill/>
        </a:ln>
      </c:spPr>
    </c:plotArea>
    <c:legend>
      <c:legendPos val="b"/>
      <c:legendEntry>
        <c:idx val="0"/>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egendEntry>
        <c:idx val="2"/>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ayout/>
      <c:overlay val="0"/>
      <c:spPr>
        <a:solidFill>
          <a:srgbClr val="FFFFFF">
            <a:alpha val="78000"/>
          </a:srgbClr>
        </a:solidFill>
        <a:ln>
          <a:noFill/>
        </a:ln>
      </c:spPr>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pattFill prst="pct5">
      <a:fgClr>
        <a:srgbClr val="F2F2F2"/>
      </a:fgClr>
      <a:bgClr>
        <a:srgbClr val="FFFFFF"/>
      </a:bgClr>
    </a:patt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446115"/>
          <c:y val="0.22005376"/>
          <c:w val="0.91541356"/>
          <c:h val="0.60155314"/>
        </c:manualLayout>
      </c:layout>
      <c:pieChart>
        <c:varyColors val="1"/>
        <c:ser>
          <c:idx val="0"/>
          <c:order val="0"/>
          <c:spPr>
            <a:ln>
              <a:noFill/>
            </a:ln>
          </c:spPr>
          <c:explosion val="0"/>
          <c:dPt>
            <c:idx val="0"/>
            <c:bubble3D val="0"/>
            <c:spPr>
              <a:solidFill>
                <a:srgbClr val="5B9BD5"/>
              </a:solidFill>
              <a:ln w="25400">
                <a:solidFill>
                  <a:srgbClr val="FFFFFF"/>
                </a:solidFill>
                <a:prstDash val="solid"/>
              </a:ln>
            </c:spPr>
          </c:dPt>
          <c:dPt>
            <c:idx val="1"/>
            <c:bubble3D val="0"/>
            <c:explosion val="25"/>
            <c:spPr>
              <a:solidFill>
                <a:srgbClr val="ED7D31"/>
              </a:solidFill>
              <a:ln w="25400">
                <a:solidFill>
                  <a:srgbClr val="FFFFFF"/>
                </a:solidFill>
                <a:prstDash val="solid"/>
              </a:ln>
            </c:spPr>
          </c:dPt>
          <c:dPt>
            <c:idx val="2"/>
            <c:bubble3D val="0"/>
            <c:spPr>
              <a:solidFill>
                <a:srgbClr val="A5A5A5"/>
              </a:solidFill>
              <a:ln w="25400">
                <a:solidFill>
                  <a:srgbClr val="FFFFFF"/>
                </a:solidFill>
                <a:prstDash val="solid"/>
              </a:ln>
            </c:spPr>
          </c:dPt>
          <c:dLbls>
            <c:dLbl>
              <c:idx val="0"/>
              <c:layout>
                <c:manualLayout>
                  <c:x val="-0.15640903"/>
                  <c:y val="-0.25398636"/>
                </c:manualLayout>
              </c:layout>
              <c:tx>
                <c:rich>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r>
                      <a:rPr lang="zh-CN" sz="900" b="1" i="0" u="none" strike="noStrike" baseline="0">
                        <a:solidFill>
                          <a:srgbClr val="404040"/>
                        </a:solidFill>
                        <a:latin typeface="Times New Roman" panose="02020603050405020304"/>
                        <a:ea typeface="宋体" panose="02010600030101010101" charset="-122"/>
                        <a:cs typeface="Arial" panose="020B0604020202020204" pitchFamily="2"/>
                      </a:rPr>
                      <a:t>基本支出98.42%</a:t>
                    </a:r>
                    <a:endParaRPr lang="zh-CN" sz="900" b="1" i="0" u="none" strike="noStrike" baseline="0">
                      <a:solidFill>
                        <a:srgbClr val="404040"/>
                      </a:solidFill>
                      <a:latin typeface="Times New Roman" panose="02020603050405020304"/>
                      <a:ea typeface="宋体" panose="02010600030101010101" charset="-122"/>
                      <a:cs typeface="Arial" panose="020B0604020202020204" pitchFamily="2"/>
                    </a:endParaRPr>
                  </a:p>
                </c:rich>
              </c:tx>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r>
                      <a:rPr lang="zh-CN" sz="900" b="1" i="0" u="none" strike="noStrike" baseline="0">
                        <a:solidFill>
                          <a:srgbClr val="404040"/>
                        </a:solidFill>
                        <a:latin typeface="Times New Roman" panose="02020603050405020304"/>
                        <a:ea typeface="宋体" panose="02010600030101010101" charset="-122"/>
                        <a:cs typeface="Arial" panose="020B0604020202020204" pitchFamily="2"/>
                      </a:rPr>
                      <a:t>项目支出1.58%</a:t>
                    </a:r>
                    <a:endParaRPr lang="zh-CN" sz="900" b="1" i="0" u="none" strike="noStrike" baseline="0">
                      <a:solidFill>
                        <a:srgbClr val="404040"/>
                      </a:solidFill>
                      <a:latin typeface="Times New Roman" panose="02020603050405020304"/>
                      <a:ea typeface="宋体" panose="02010600030101010101" charset="-122"/>
                      <a:cs typeface="Arial" panose="020B0604020202020204" pitchFamily="2"/>
                    </a:endParaRPr>
                  </a:p>
                </c:rich>
              </c:tx>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1"/>
              <c:showSerName val="0"/>
              <c:showPercent val="0"/>
              <c:showBubbleSize val="0"/>
              <c:extLst>
                <c:ext xmlns:c15="http://schemas.microsoft.com/office/drawing/2012/chart" uri="{CE6537A1-D6FC-4f65-9D91-7224C49458BB}"/>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{"基本支出","项目支出",""}</c:f>
              <c:strCache>
                <c:ptCount val="3"/>
                <c:pt idx="0">
                  <c:v>基本支出</c:v>
                </c:pt>
                <c:pt idx="1">
                  <c:v>项目支出</c:v>
                </c:pt>
              </c:strCache>
            </c:strRef>
          </c:cat>
          <c:val>
            <c:numRef>
              <c:f>{106.87,1.71,#N/A}</c:f>
              <c:numCache>
                <c:formatCode>General</c:formatCode>
                <c:ptCount val="3"/>
                <c:pt idx="0">
                  <c:v>106.87</c:v>
                </c:pt>
                <c:pt idx="1">
                  <c:v>1.71</c:v>
                </c:pt>
              </c:numCache>
            </c:numRef>
          </c:val>
        </c:ser>
        <c:ser>
          <c:idx val="1"/>
          <c:order val="1"/>
          <c:spPr>
            <a:ln>
              <a:noFill/>
            </a:ln>
          </c:spPr>
          <c:explosion val="0"/>
          <c:dPt>
            <c:idx val="0"/>
            <c:bubble3D val="0"/>
            <c:spPr>
              <a:ln w="25400">
                <a:solidFill>
                  <a:srgbClr val="FFFFFF"/>
                </a:solidFill>
                <a:prstDash val="solid"/>
              </a:ln>
            </c:spPr>
          </c:dPt>
          <c:dPt>
            <c:idx val="1"/>
            <c:bubble3D val="0"/>
            <c:spPr>
              <a:ln w="25400">
                <a:solidFill>
                  <a:srgbClr val="FFFFFF"/>
                </a:solidFill>
                <a:prstDash val="solid"/>
              </a:ln>
            </c:spPr>
          </c:dPt>
          <c:dPt>
            <c:idx val="2"/>
            <c:bubble3D val="0"/>
            <c:spPr>
              <a:ln w="25400">
                <a:solidFill>
                  <a:srgbClr val="FFFFFF"/>
                </a:solidFill>
                <a:prstDash val="solid"/>
              </a:ln>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{"基本支出","项目支出",""}</c:f>
              <c:strCache>
                <c:ptCount val="3"/>
                <c:pt idx="0">
                  <c:v>基本支出</c:v>
                </c:pt>
                <c:pt idx="1">
                  <c:v>项目支出</c:v>
                </c:pt>
              </c:strCache>
            </c:strRef>
          </c:cat>
          <c:val>
            <c:numRef>
              <c:f>{0.9842,0.0158,#N/A}</c:f>
              <c:numCache>
                <c:formatCode>General</c:formatCode>
                <c:ptCount val="3"/>
                <c:pt idx="0">
                  <c:v>0.9842</c:v>
                </c:pt>
                <c:pt idx="1">
                  <c:v>0.0158</c:v>
                </c:pt>
              </c:numCache>
            </c:numRef>
          </c:val>
        </c:ser>
        <c:dLbls>
          <c:showLegendKey val="0"/>
          <c:showVal val="0"/>
          <c:showCatName val="1"/>
          <c:showSerName val="0"/>
          <c:showPercent val="0"/>
          <c:showBubbleSize val="0"/>
          <c:showLeaderLines val="1"/>
        </c:dLbls>
        <c:firstSliceAng val="0"/>
      </c:pieChart>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112166"/>
          <c:y val="0.13500898"/>
          <c:w val="0.92116106"/>
          <c:h val="0.58470374"/>
        </c:manualLayout>
      </c:layout>
      <c:barChart>
        <c:barDir val="col"/>
        <c:grouping val="clustered"/>
        <c:varyColors val="0"/>
        <c:ser>
          <c:idx val="0"/>
          <c:order val="0"/>
          <c:tx>
            <c:strRef>
              <c:f>2021年</c:f>
              <c:strCache>
                <c:ptCount val="1"/>
                <c:pt idx="0">
                  <c:v>2021年</c:v>
                </c:pt>
              </c:strCache>
            </c:strRef>
          </c:tx>
          <c:spPr>
            <a:solidFill>
              <a:srgbClr val="5B9BD5">
                <a:alpha val="85000"/>
              </a:srgbClr>
            </a:solidFill>
            <a:ln w="12700">
              <a:solidFill>
                <a:srgbClr val="FFFFFF"/>
              </a:solidFill>
              <a:prstDash val="solid"/>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{"财政拨款支出","财政拨款收入"}</c:f>
              <c:strCache>
                <c:ptCount val="2"/>
                <c:pt idx="0">
                  <c:v>财政拨款支出</c:v>
                </c:pt>
                <c:pt idx="1">
                  <c:v>财政拨款收入</c:v>
                </c:pt>
              </c:strCache>
            </c:strRef>
          </c:cat>
          <c:val>
            <c:numRef>
              <c:f>{148.16,148.16}</c:f>
              <c:numCache>
                <c:formatCode>General</c:formatCode>
                <c:ptCount val="2"/>
                <c:pt idx="0">
                  <c:v>148.16</c:v>
                </c:pt>
                <c:pt idx="1">
                  <c:v>148.16</c:v>
                </c:pt>
              </c:numCache>
            </c:numRef>
          </c:val>
        </c:ser>
        <c:ser>
          <c:idx val="1"/>
          <c:order val="1"/>
          <c:tx>
            <c:strRef>
              <c:f>2022年</c:f>
              <c:strCache>
                <c:ptCount val="1"/>
                <c:pt idx="0">
                  <c:v>2022年</c:v>
                </c:pt>
              </c:strCache>
            </c:strRef>
          </c:tx>
          <c:spPr>
            <a:solidFill>
              <a:srgbClr val="ED7D31">
                <a:alpha val="85000"/>
              </a:srgbClr>
            </a:solidFill>
            <a:ln w="12700">
              <a:solidFill>
                <a:srgbClr val="FFFFFF"/>
              </a:solidFill>
              <a:prstDash val="solid"/>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{"财政拨款支出","财政拨款收入"}</c:f>
              <c:strCache>
                <c:ptCount val="2"/>
                <c:pt idx="0">
                  <c:v>财政拨款支出</c:v>
                </c:pt>
                <c:pt idx="1">
                  <c:v>财政拨款收入</c:v>
                </c:pt>
              </c:strCache>
            </c:strRef>
          </c:cat>
          <c:val>
            <c:numRef>
              <c:f>{80.82,80.82}</c:f>
              <c:numCache>
                <c:formatCode>General</c:formatCode>
                <c:ptCount val="2"/>
                <c:pt idx="0">
                  <c:v>80.82</c:v>
                </c:pt>
                <c:pt idx="1">
                  <c:v>80.82</c:v>
                </c:pt>
              </c:numCache>
            </c:numRef>
          </c:val>
        </c:ser>
        <c:dLbls>
          <c:showLegendKey val="0"/>
          <c:showVal val="1"/>
          <c:showCatName val="0"/>
          <c:showSerName val="0"/>
          <c:showPercent val="0"/>
          <c:showBubbleSize val="0"/>
        </c:dLbls>
        <c:gapWidth val="65"/>
        <c:axId val="0"/>
        <c:axId val="1"/>
      </c:barChart>
      <c:catAx>
        <c:axId val="0"/>
        <c:scaling>
          <c:orientation val="minMax"/>
        </c:scaling>
        <c:delete val="0"/>
        <c:axPos val="b"/>
        <c:numFmt formatCode="General" sourceLinked="0"/>
        <c:majorTickMark val="none"/>
        <c:minorTickMark val="none"/>
        <c:tickLblPos val="nextTo"/>
        <c:spPr>
          <a:ln w="19050" cap="flat" cmpd="sng" algn="ctr">
            <a:solidFill>
              <a:srgbClr val="404040"/>
            </a:solidFill>
            <a:prstDash val="solid"/>
            <a:round/>
          </a:ln>
        </c:spPr>
        <c:txPr>
          <a:bodyPr rot="-60000000" spcFirstLastPara="0" vertOverflow="ellipsis" vert="horz" wrap="square" anchor="ctr" anchorCtr="1"/>
          <a:lstStyle/>
          <a:p>
            <a:pPr>
              <a:defRPr lang="zh-CN" sz="900" b="0" i="0" u="none" strike="noStrike" kern="1200" cap="all" baseline="0">
                <a:solidFill>
                  <a:srgbClr val="404040"/>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1"/>
        <c:axPos val="l"/>
        <c:majorGridlines>
          <c:spPr>
            <a:ln w="12700" cap="flat" cmpd="sng" algn="ctr">
              <a:solidFill>
                <a:srgbClr val="868686"/>
              </a:solidFill>
              <a:prstDash val="solid"/>
              <a:round/>
            </a:ln>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legend>
      <c:legendPos val="b"/>
      <c:layout/>
      <c:overlay val="0"/>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noFill/>
    <a:ln w="1270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cap="all" baseline="0">
                <a:solidFill>
                  <a:srgbClr val="595959"/>
                </a:solidFill>
                <a:latin typeface="Times New Roman" panose="02020603050405020304"/>
                <a:ea typeface="宋体" panose="02010600030101010101" charset="-122"/>
                <a:cs typeface="Arial" panose="020B0604020202020204" pitchFamily="2"/>
              </a:defRPr>
            </a:pPr>
            <a:r>
              <a:rPr lang="zh-CN"/>
              <a:t>一般公共预算财政拨款支出</a:t>
            </a:r>
            <a:endParaRPr lang="zh-CN"/>
          </a:p>
        </c:rich>
      </c:tx>
      <c:layout>
        <c:manualLayout>
          <c:xMode val="edge"/>
          <c:yMode val="edge"/>
          <c:x val="0.09897611"/>
          <c:y val="0.04027778"/>
        </c:manualLayout>
      </c:layout>
      <c:overlay val="0"/>
      <c:spPr>
        <a:noFill/>
        <a:ln>
          <a:noFill/>
        </a:ln>
      </c:spPr>
    </c:title>
    <c:autoTitleDeleted val="0"/>
    <c:plotArea>
      <c:layout/>
      <c:barChart>
        <c:barDir val="col"/>
        <c:grouping val="stacked"/>
        <c:varyColors val="0"/>
        <c:ser>
          <c:idx val="0"/>
          <c:order val="0"/>
          <c:spPr>
            <a:solidFill>
              <a:srgbClr val="5B9BD5"/>
            </a:solidFill>
            <a:ln>
              <a:noFill/>
            </a:ln>
          </c:spPr>
          <c:invertIfNegative val="0"/>
          <c:dLbls>
            <c:dLbl>
              <c:idx val="1"/>
              <c:layout>
                <c:manualLayout>
                  <c:x val="-0.009636619"/>
                  <c:y val="-0.09583333"/>
                </c:manualLayout>
              </c:layout>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{"2021年","2022年"}</c:f>
              <c:strCache>
                <c:ptCount val="2"/>
                <c:pt idx="0">
                  <c:v>2021年</c:v>
                </c:pt>
                <c:pt idx="1">
                  <c:v>2022年</c:v>
                </c:pt>
              </c:strCache>
            </c:strRef>
          </c:cat>
          <c:val>
            <c:numRef>
              <c:f>{148.16,79.11}</c:f>
              <c:numCache>
                <c:formatCode>General</c:formatCode>
                <c:ptCount val="2"/>
                <c:pt idx="0">
                  <c:v>148.16</c:v>
                </c:pt>
                <c:pt idx="1">
                  <c:v>79.11</c:v>
                </c:pt>
              </c:numCache>
            </c:numRef>
          </c:val>
        </c:ser>
        <c:dLbls>
          <c:showLegendKey val="0"/>
          <c:showVal val="1"/>
          <c:showCatName val="0"/>
          <c:showSerName val="0"/>
          <c:showPercent val="0"/>
          <c:showBubbleSize val="0"/>
        </c:dLbls>
        <c:gapWidth val="79"/>
        <c:overlap val="100"/>
        <c:axId val="0"/>
        <c:axId val="1"/>
      </c:barChart>
      <c:catAx>
        <c:axId val="0"/>
        <c:scaling>
          <c:orientation val="minMax"/>
        </c:scaling>
        <c:delete val="0"/>
        <c:axPos val="b"/>
        <c:majorGridlines>
          <c:spPr>
            <a:ln w="12700" cap="flat" cmpd="sng" algn="ctr">
              <a:solidFill>
                <a:srgbClr val="D9D9D9"/>
              </a:solidFill>
              <a:prstDash val="solid"/>
              <a:round/>
            </a:ln>
          </c:spPr>
        </c:majorGridlines>
        <c:numFmt formatCode="General" sourceLinked="0"/>
        <c:majorTickMark val="none"/>
        <c:minorTickMark val="none"/>
        <c:tickLblPos val="nextTo"/>
        <c:spPr>
          <a:ln w="12700" cap="flat" cmpd="sng" algn="ctr">
            <a:solidFill>
              <a:srgbClr val="D9D9D9"/>
            </a:solidFill>
            <a:prstDash val="solid"/>
            <a:round/>
          </a:ln>
        </c:spPr>
        <c:txPr>
          <a:bodyPr rot="-60000000" spcFirstLastPara="0" vertOverflow="ellipsis" vert="horz" wrap="square" anchor="ctr" anchorCtr="1"/>
          <a:lstStyle/>
          <a:p>
            <a:pPr>
              <a:defRPr lang="zh-CN" sz="800" b="0" i="0" u="none" strike="noStrike" kern="1200" cap="all" baseline="0">
                <a:solidFill>
                  <a:srgbClr val="595959"/>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plotVisOnly val="1"/>
    <c:dispBlanksAs val="gap"/>
    <c:showDLblsOverMax val="0"/>
  </c:chart>
  <c:spPr>
    <a:solidFill>
      <a:srgbClr val="FFFFFF"/>
    </a:solid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0470935"/>
          <c:y val="0.046783626"/>
          <c:w val="0.6111111"/>
          <c:h val="0.87134504"/>
        </c:manualLayout>
      </c:layout>
      <c:pieChart>
        <c:varyColors val="1"/>
        <c:ser>
          <c:idx val="0"/>
          <c:order val="0"/>
          <c:spPr>
            <a:ln>
              <a:noFill/>
            </a:ln>
          </c:spPr>
          <c:explosion val="0"/>
          <c:dPt>
            <c:idx val="0"/>
            <c:bubble3D val="0"/>
            <c:explosion val="11"/>
            <c:spPr>
              <a:solidFill>
                <a:srgbClr val="5B9BD5"/>
              </a:solidFill>
              <a:ln>
                <a:noFill/>
              </a:ln>
              <a:effectLst>
                <a:outerShdw dist="35921" dir="2700000" algn="br">
                  <a:srgbClr val="000000"/>
                </a:outerShdw>
              </a:effectLst>
            </c:spPr>
          </c:dPt>
          <c:dPt>
            <c:idx val="1"/>
            <c:bubble3D val="0"/>
            <c:explosion val="42"/>
            <c:spPr>
              <a:solidFill>
                <a:srgbClr val="ED7D31"/>
              </a:solidFill>
              <a:ln>
                <a:noFill/>
              </a:ln>
              <a:effectLst>
                <a:outerShdw dist="35921" dir="2700000" algn="br">
                  <a:srgbClr val="000000"/>
                </a:outerShdw>
              </a:effectLst>
            </c:spPr>
          </c:dPt>
          <c:dPt>
            <c:idx val="2"/>
            <c:bubble3D val="0"/>
            <c:explosion val="19"/>
            <c:spPr>
              <a:solidFill>
                <a:srgbClr val="A5A5A5"/>
              </a:solidFill>
              <a:ln>
                <a:noFill/>
              </a:ln>
              <a:effectLst>
                <a:outerShdw dist="35921" dir="2700000" algn="br">
                  <a:srgbClr val="000000"/>
                </a:outerShdw>
              </a:effectLst>
            </c:spPr>
          </c:dPt>
          <c:dLbls>
            <c:dLbl>
              <c:idx val="0"/>
              <c:layout>
                <c:manualLayout>
                  <c:x val="0.046670634"/>
                  <c:y val="0"/>
                </c:manualLayout>
              </c:layout>
              <c:tx>
                <c:rich>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1000" b="1" i="0" u="none" strike="noStrike" baseline="0">
                        <a:solidFill>
                          <a:srgbClr val="000000"/>
                        </a:solidFill>
                        <a:latin typeface="Times New Roman" panose="02020603050405020304"/>
                        <a:ea typeface="宋体" panose="02010600030101010101" charset="-122"/>
                        <a:cs typeface="Arial" panose="020B0604020202020204" pitchFamily="2"/>
                      </a:rPr>
                      <a:t>社会保障和就业支出14.38%</a:t>
                    </a:r>
                    <a:endParaRPr lang="zh-CN" sz="1000" b="1" i="0" u="none" strike="noStrike" baseline="0">
                      <a:solidFill>
                        <a:srgbClr val="000000"/>
                      </a:solidFill>
                      <a:latin typeface="Times New Roman" panose="02020603050405020304"/>
                      <a:ea typeface="宋体" panose="02010600030101010101" charset="-122"/>
                      <a:cs typeface="Arial" panose="020B0604020202020204" pitchFamily="2"/>
                    </a:endParaRPr>
                  </a:p>
                </c:rich>
              </c:tx>
              <c:numFmt formatCode="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1000" b="1" i="0" u="none" strike="noStrike" baseline="0">
                        <a:solidFill>
                          <a:srgbClr val="000000"/>
                        </a:solidFill>
                        <a:latin typeface="Times New Roman" panose="02020603050405020304"/>
                        <a:ea typeface="宋体" panose="02010600030101010101" charset="-122"/>
                        <a:cs typeface="Arial" panose="020B0604020202020204" pitchFamily="2"/>
                      </a:rPr>
                      <a:t>卫生健康支出75.71%</a:t>
                    </a:r>
                    <a:endParaRPr lang="zh-CN" sz="1000" b="1" i="0" u="none" strike="noStrike" baseline="0">
                      <a:solidFill>
                        <a:srgbClr val="000000"/>
                      </a:solidFill>
                      <a:latin typeface="Times New Roman" panose="02020603050405020304"/>
                      <a:ea typeface="宋体" panose="02010600030101010101" charset="-122"/>
                      <a:cs typeface="Arial" panose="020B0604020202020204" pitchFamily="2"/>
                    </a:endParaRPr>
                  </a:p>
                </c:rich>
              </c:tx>
              <c:numFmt formatCode="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ctr"/>
              <c:showLegendKey val="0"/>
              <c:showVal val="0"/>
              <c:showCatName val="0"/>
              <c:showSerName val="0"/>
              <c:showPercent val="1"/>
              <c:showBubbleSize val="0"/>
              <c:extLst>
                <c:ext xmlns:c15="http://schemas.microsoft.com/office/drawing/2012/chart" uri="{CE6537A1-D6FC-4f65-9D91-7224C49458BB}"/>
              </c:extLst>
            </c:dLbl>
            <c:dLbl>
              <c:idx val="2"/>
              <c:layout>
                <c:manualLayout>
                  <c:x val="-0.036476"/>
                  <c:y val="0.018955473"/>
                </c:manualLayout>
              </c:layout>
              <c:tx>
                <c:rich>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1000" b="1" i="0" u="none" strike="noStrike" baseline="0">
                        <a:solidFill>
                          <a:srgbClr val="000000"/>
                        </a:solidFill>
                        <a:latin typeface="Times New Roman" panose="02020603050405020304"/>
                        <a:ea typeface="宋体" panose="02010600030101010101" charset="-122"/>
                        <a:cs typeface="Arial" panose="020B0604020202020204" pitchFamily="2"/>
                      </a:rPr>
                      <a:t>住房保障支出9.91%</a:t>
                    </a:r>
                    <a:endParaRPr lang="zh-CN" sz="1000" b="1" i="0" u="none" strike="noStrike" baseline="0">
                      <a:solidFill>
                        <a:srgbClr val="000000"/>
                      </a:solidFill>
                      <a:latin typeface="Times New Roman" panose="02020603050405020304"/>
                      <a:ea typeface="宋体" panose="02010600030101010101" charset="-122"/>
                      <a:cs typeface="Arial" panose="020B0604020202020204" pitchFamily="2"/>
                    </a:endParaRPr>
                  </a:p>
                </c:rich>
              </c:tx>
              <c:numFmt formatCode="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 sourceLinked="0"/>
            <c:spPr>
              <a:pattFill prst="pct75">
                <a:fgClr>
                  <a:srgbClr val="404040"/>
                </a:fgClr>
                <a:bgClr>
                  <a:srgbClr val="595959"/>
                </a:bgClr>
              </a:patt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{"社会保障和就业（类）支出","卫生健康支出","住房保障"}</c:f>
              <c:strCache>
                <c:ptCount val="3"/>
                <c:pt idx="0">
                  <c:v>社会保障和就业（类）支出</c:v>
                </c:pt>
                <c:pt idx="1">
                  <c:v>卫生健康支出</c:v>
                </c:pt>
                <c:pt idx="2">
                  <c:v>住房保障</c:v>
                </c:pt>
              </c:strCache>
            </c:strRef>
          </c:cat>
          <c:val>
            <c:numRef>
              <c:f>{11.38,59.9,7.84}</c:f>
              <c:numCache>
                <c:formatCode>General</c:formatCode>
                <c:ptCount val="3"/>
                <c:pt idx="0">
                  <c:v>11.38</c:v>
                </c:pt>
                <c:pt idx="1">
                  <c:v>59.9</c:v>
                </c:pt>
                <c:pt idx="2">
                  <c:v>7.84</c:v>
                </c:pt>
              </c:numCache>
            </c:numRef>
          </c:val>
        </c:ser>
        <c:ser>
          <c:idx val="1"/>
          <c:order val="1"/>
          <c:spPr>
            <a:ln>
              <a:noFill/>
            </a:ln>
          </c:spPr>
          <c:explosion val="0"/>
          <c:dPt>
            <c:idx val="0"/>
            <c:bubble3D val="0"/>
            <c:spPr>
              <a:ln>
                <a:noFill/>
              </a:ln>
              <a:effectLst>
                <a:outerShdw dist="35921" dir="2700000" algn="br">
                  <a:srgbClr val="000000"/>
                </a:outerShdw>
              </a:effectLst>
            </c:spPr>
          </c:dPt>
          <c:dPt>
            <c:idx val="1"/>
            <c:bubble3D val="0"/>
            <c:spPr>
              <a:ln>
                <a:noFill/>
              </a:ln>
              <a:effectLst>
                <a:outerShdw dist="35921" dir="2700000" algn="br">
                  <a:srgbClr val="000000"/>
                </a:outerShdw>
              </a:effectLst>
            </c:spPr>
          </c:dPt>
          <c:dPt>
            <c:idx val="2"/>
            <c:bubble3D val="0"/>
            <c:spPr>
              <a:ln>
                <a:noFill/>
              </a:ln>
              <a:effectLst>
                <a:outerShdw dist="35921" dir="2700000" algn="br">
                  <a:srgbClr val="000000"/>
                </a:outerShdw>
              </a:effectLst>
            </c:spPr>
          </c:dPt>
          <c:dLbls>
            <c:numFmt formatCode="0%" sourceLinked="0"/>
            <c:spPr>
              <a:pattFill prst="pct75">
                <a:fgClr>
                  <a:srgbClr val="404040"/>
                </a:fgClr>
                <a:bgClr>
                  <a:srgbClr val="595959"/>
                </a:bgClr>
              </a:patt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{"社会保障和就业（类）支出","卫生健康支出","住房保障"}</c:f>
              <c:strCache>
                <c:ptCount val="3"/>
                <c:pt idx="0">
                  <c:v>社会保障和就业（类）支出</c:v>
                </c:pt>
                <c:pt idx="1">
                  <c:v>卫生健康支出</c:v>
                </c:pt>
                <c:pt idx="2">
                  <c:v>住房保障</c:v>
                </c:pt>
              </c:strCache>
            </c:strRef>
          </c:cat>
          <c:val>
            <c:numRef>
              <c:f>{0.1438,0.7571,0.0991}</c:f>
              <c:numCache>
                <c:formatCode>General</c:formatCode>
                <c:ptCount val="3"/>
                <c:pt idx="0">
                  <c:v>0.1438</c:v>
                </c:pt>
                <c:pt idx="1">
                  <c:v>0.7571</c:v>
                </c:pt>
                <c:pt idx="2">
                  <c:v>0.0991</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egendEntry>
        <c:idx val="0"/>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egendEntry>
        <c:idx val="1"/>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egendEntry>
        <c:idx val="2"/>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ayout>
        <c:manualLayout>
          <c:xMode val="edge"/>
          <c:yMode val="edge"/>
          <c:x val="0.638413110625655"/>
          <c:y val="0.221081316632997"/>
          <c:w val="0.301468"/>
          <c:h val="0.5595238"/>
        </c:manualLayout>
      </c:layout>
      <c:overlay val="0"/>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noFill/>
    <a:ln w="1270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2aee606-3c98-4d4d-990f-952d96d31050}"/>
        <w:style w:val=""/>
        <w:category>
          <w:name w:val="常规"/>
          <w:gallery w:val="placeholder"/>
        </w:category>
        <w:types>
          <w:type w:val="bbPlcHdr"/>
        </w:types>
        <w:behaviors>
          <w:behavior w:val="content"/>
        </w:behaviors>
        <w:description w:val=""/>
        <w:guid w:val="{e2aee606-3c98-4d4d-990f-952d96d31050}"/>
      </w:docPartPr>
      <w:docPartBody>
        <w:p>
          <w:r>
            <w:rPr>
              <w:color w:val="808080"/>
            </w:rPr>
            <w:t>单击此处输入文字。</w:t>
          </w:r>
        </w:p>
      </w:docPartBody>
    </w:docPart>
    <w:docPart>
      <w:docPartPr>
        <w:name w:val="{abdaa1a3-8db6-4065-aa99-48d23d615e91}"/>
        <w:style w:val=""/>
        <w:category>
          <w:name w:val="常规"/>
          <w:gallery w:val="placeholder"/>
        </w:category>
        <w:types>
          <w:type w:val="bbPlcHdr"/>
        </w:types>
        <w:behaviors>
          <w:behavior w:val="content"/>
        </w:behaviors>
        <w:description w:val=""/>
        <w:guid w:val="{abdaa1a3-8db6-4065-aa99-48d23d615e91}"/>
      </w:docPartPr>
      <w:docPartBody>
        <w:p>
          <w:r>
            <w:rPr>
              <w:color w:val="808080"/>
            </w:rPr>
            <w:t>单击此处输入文字。</w:t>
          </w:r>
        </w:p>
      </w:docPartBody>
    </w:docPart>
    <w:docPart>
      <w:docPartPr>
        <w:name w:val="{ac52c4f1-312f-461b-8a84-b16be0da794a}"/>
        <w:style w:val=""/>
        <w:category>
          <w:name w:val="常规"/>
          <w:gallery w:val="placeholder"/>
        </w:category>
        <w:types>
          <w:type w:val="bbPlcHdr"/>
        </w:types>
        <w:behaviors>
          <w:behavior w:val="content"/>
        </w:behaviors>
        <w:description w:val=""/>
        <w:guid w:val="{ac52c4f1-312f-461b-8a84-b16be0da794a}"/>
      </w:docPartPr>
      <w:docPartBody>
        <w:p>
          <w:r>
            <w:rPr>
              <w:color w:val="808080"/>
            </w:rPr>
            <w:t>单击此处输入文字。</w:t>
          </w:r>
        </w:p>
      </w:docPartBody>
    </w:docPart>
    <w:docPart>
      <w:docPartPr>
        <w:name w:val="{000a4df3-3f5d-4a0c-9ee7-40f61a0fbd1d}"/>
        <w:style w:val=""/>
        <w:category>
          <w:name w:val="常规"/>
          <w:gallery w:val="placeholder"/>
        </w:category>
        <w:types>
          <w:type w:val="bbPlcHdr"/>
        </w:types>
        <w:behaviors>
          <w:behavior w:val="content"/>
        </w:behaviors>
        <w:description w:val=""/>
        <w:guid w:val="{000a4df3-3f5d-4a0c-9ee7-40f61a0fbd1d}"/>
      </w:docPartPr>
      <w:docPartBody>
        <w:p>
          <w:r>
            <w:rPr>
              <w:color w:val="808080"/>
            </w:rPr>
            <w:t>单击此处输入文字。</w:t>
          </w:r>
        </w:p>
      </w:docPartBody>
    </w:docPart>
    <w:docPart>
      <w:docPartPr>
        <w:name w:val="{e4828622-61f7-45aa-b707-38fa8f6e9619}"/>
        <w:style w:val=""/>
        <w:category>
          <w:name w:val="常规"/>
          <w:gallery w:val="placeholder"/>
        </w:category>
        <w:types>
          <w:type w:val="bbPlcHdr"/>
        </w:types>
        <w:behaviors>
          <w:behavior w:val="content"/>
        </w:behaviors>
        <w:description w:val=""/>
        <w:guid w:val="{e4828622-61f7-45aa-b707-38fa8f6e9619}"/>
      </w:docPartPr>
      <w:docPartBody>
        <w:p>
          <w:r>
            <w:rPr>
              <w:color w:val="808080"/>
            </w:rPr>
            <w:t>单击此处输入文字。</w:t>
          </w:r>
        </w:p>
      </w:docPartBody>
    </w:docPart>
    <w:docPart>
      <w:docPartPr>
        <w:name w:val="{42f4a939-9f82-4d6c-a503-f57f95cebead}"/>
        <w:style w:val=""/>
        <w:category>
          <w:name w:val="常规"/>
          <w:gallery w:val="placeholder"/>
        </w:category>
        <w:types>
          <w:type w:val="bbPlcHdr"/>
        </w:types>
        <w:behaviors>
          <w:behavior w:val="content"/>
        </w:behaviors>
        <w:description w:val=""/>
        <w:guid w:val="{42f4a939-9f82-4d6c-a503-f57f95cebead}"/>
      </w:docPartPr>
      <w:docPartBody>
        <w:p>
          <w:r>
            <w:rPr>
              <w:color w:val="808080"/>
            </w:rPr>
            <w:t>单击此处输入文字。</w:t>
          </w:r>
        </w:p>
      </w:docPartBody>
    </w:docPart>
    <w:docPart>
      <w:docPartPr>
        <w:name w:val="{d964f53b-5979-46af-bcc4-f20be9cbead0}"/>
        <w:style w:val=""/>
        <w:category>
          <w:name w:val="常规"/>
          <w:gallery w:val="placeholder"/>
        </w:category>
        <w:types>
          <w:type w:val="bbPlcHdr"/>
        </w:types>
        <w:behaviors>
          <w:behavior w:val="content"/>
        </w:behaviors>
        <w:description w:val=""/>
        <w:guid w:val="{d964f53b-5979-46af-bcc4-f20be9cbead0}"/>
      </w:docPartPr>
      <w:docPartBody>
        <w:p>
          <w:r>
            <w:rPr>
              <w:color w:val="808080"/>
            </w:rPr>
            <w:t>单击此处输入文字。</w:t>
          </w:r>
        </w:p>
      </w:docPartBody>
    </w:docPart>
    <w:docPart>
      <w:docPartPr>
        <w:name w:val="{f14a841e-aa0a-465a-bb13-bf2e731d37dd}"/>
        <w:style w:val=""/>
        <w:category>
          <w:name w:val="常规"/>
          <w:gallery w:val="placeholder"/>
        </w:category>
        <w:types>
          <w:type w:val="bbPlcHdr"/>
        </w:types>
        <w:behaviors>
          <w:behavior w:val="content"/>
        </w:behaviors>
        <w:description w:val=""/>
        <w:guid w:val="{f14a841e-aa0a-465a-bb13-bf2e731d37dd}"/>
      </w:docPartPr>
      <w:docPartBody>
        <w:p>
          <w:r>
            <w:rPr>
              <w:color w:val="808080"/>
            </w:rPr>
            <w:t>单击此处输入文字。</w:t>
          </w:r>
        </w:p>
      </w:docPartBody>
    </w:docPart>
    <w:docPart>
      <w:docPartPr>
        <w:name w:val="{1f7486e5-acb1-4068-acc3-381e72f8ffa6}"/>
        <w:style w:val=""/>
        <w:category>
          <w:name w:val="常规"/>
          <w:gallery w:val="placeholder"/>
        </w:category>
        <w:types>
          <w:type w:val="bbPlcHdr"/>
        </w:types>
        <w:behaviors>
          <w:behavior w:val="content"/>
        </w:behaviors>
        <w:description w:val=""/>
        <w:guid w:val="{1f7486e5-acb1-4068-acc3-381e72f8ffa6}"/>
      </w:docPartPr>
      <w:docPartBody>
        <w:p>
          <w:r>
            <w:rPr>
              <w:color w:val="808080"/>
            </w:rPr>
            <w:t>单击此处输入文字。</w:t>
          </w:r>
        </w:p>
      </w:docPartBody>
    </w:docPart>
    <w:docPart>
      <w:docPartPr>
        <w:name w:val="{43311341-d5fd-4f59-96e7-d23d7d137ca4}"/>
        <w:style w:val=""/>
        <w:category>
          <w:name w:val="常规"/>
          <w:gallery w:val="placeholder"/>
        </w:category>
        <w:types>
          <w:type w:val="bbPlcHdr"/>
        </w:types>
        <w:behaviors>
          <w:behavior w:val="content"/>
        </w:behaviors>
        <w:description w:val=""/>
        <w:guid w:val="{43311341-d5fd-4f59-96e7-d23d7d137ca4}"/>
      </w:docPartPr>
      <w:docPartBody>
        <w:p>
          <w:r>
            <w:rPr>
              <w:color w:val="808080"/>
            </w:rPr>
            <w:t>单击此处输入文字。</w:t>
          </w:r>
        </w:p>
      </w:docPartBody>
    </w:docPart>
    <w:docPart>
      <w:docPartPr>
        <w:name w:val="{f0839dbf-9683-40f3-94e1-6e6929527116}"/>
        <w:style w:val=""/>
        <w:category>
          <w:name w:val="常规"/>
          <w:gallery w:val="placeholder"/>
        </w:category>
        <w:types>
          <w:type w:val="bbPlcHdr"/>
        </w:types>
        <w:behaviors>
          <w:behavior w:val="content"/>
        </w:behaviors>
        <w:description w:val=""/>
        <w:guid w:val="{f0839dbf-9683-40f3-94e1-6e6929527116}"/>
      </w:docPartPr>
      <w:docPartBody>
        <w:p>
          <w:r>
            <w:rPr>
              <w:color w:val="808080"/>
            </w:rPr>
            <w:t>单击此处输入文字。</w:t>
          </w:r>
        </w:p>
      </w:docPartBody>
    </w:docPart>
    <w:docPart>
      <w:docPartPr>
        <w:name w:val="{ce08947b-c696-4931-9ca2-72bce7baee8e}"/>
        <w:style w:val=""/>
        <w:category>
          <w:name w:val="常规"/>
          <w:gallery w:val="placeholder"/>
        </w:category>
        <w:types>
          <w:type w:val="bbPlcHdr"/>
        </w:types>
        <w:behaviors>
          <w:behavior w:val="content"/>
        </w:behaviors>
        <w:description w:val=""/>
        <w:guid w:val="{ce08947b-c696-4931-9ca2-72bce7baee8e}"/>
      </w:docPartPr>
      <w:docPartBody>
        <w:p>
          <w:r>
            <w:rPr>
              <w:color w:val="808080"/>
            </w:rPr>
            <w:t>单击此处输入文字。</w:t>
          </w:r>
        </w:p>
      </w:docPartBody>
    </w:docPart>
    <w:docPart>
      <w:docPartPr>
        <w:name w:val="{4448ee58-547b-48bf-b0f9-65e656117ac9}"/>
        <w:style w:val=""/>
        <w:category>
          <w:name w:val="常规"/>
          <w:gallery w:val="placeholder"/>
        </w:category>
        <w:types>
          <w:type w:val="bbPlcHdr"/>
        </w:types>
        <w:behaviors>
          <w:behavior w:val="content"/>
        </w:behaviors>
        <w:description w:val=""/>
        <w:guid w:val="{4448ee58-547b-48bf-b0f9-65e656117ac9}"/>
      </w:docPartPr>
      <w:docPartBody>
        <w:p>
          <w:r>
            <w:rPr>
              <w:color w:val="808080"/>
            </w:rPr>
            <w:t>单击此处输入文字。</w:t>
          </w:r>
        </w:p>
      </w:docPartBody>
    </w:docPart>
    <w:docPart>
      <w:docPartPr>
        <w:name w:val="{e4d698fb-03d9-46d3-acb0-1500c88af0cd}"/>
        <w:style w:val=""/>
        <w:category>
          <w:name w:val="常规"/>
          <w:gallery w:val="placeholder"/>
        </w:category>
        <w:types>
          <w:type w:val="bbPlcHdr"/>
        </w:types>
        <w:behaviors>
          <w:behavior w:val="content"/>
        </w:behaviors>
        <w:description w:val=""/>
        <w:guid w:val="{e4d698fb-03d9-46d3-acb0-1500c88af0cd}"/>
      </w:docPartPr>
      <w:docPartBody>
        <w:p>
          <w:r>
            <w:rPr>
              <w:color w:val="808080"/>
            </w:rPr>
            <w:t>单击此处输入文字。</w:t>
          </w:r>
        </w:p>
      </w:docPartBody>
    </w:docPart>
    <w:docPart>
      <w:docPartPr>
        <w:name w:val="{31b79a69-2aef-4e72-94b4-c85ee7e2b66d}"/>
        <w:style w:val=""/>
        <w:category>
          <w:name w:val="常规"/>
          <w:gallery w:val="placeholder"/>
        </w:category>
        <w:types>
          <w:type w:val="bbPlcHdr"/>
        </w:types>
        <w:behaviors>
          <w:behavior w:val="content"/>
        </w:behaviors>
        <w:description w:val=""/>
        <w:guid w:val="{31b79a69-2aef-4e72-94b4-c85ee7e2b66d}"/>
      </w:docPartPr>
      <w:docPartBody>
        <w:p>
          <w:r>
            <w:rPr>
              <w:color w:val="808080"/>
            </w:rPr>
            <w:t>单击此处输入文字。</w:t>
          </w:r>
        </w:p>
      </w:docPartBody>
    </w:docPart>
    <w:docPart>
      <w:docPartPr>
        <w:name w:val="{dc8b1cf3-dedc-4ef1-8cd8-cc8617ae431c}"/>
        <w:style w:val=""/>
        <w:category>
          <w:name w:val="常规"/>
          <w:gallery w:val="placeholder"/>
        </w:category>
        <w:types>
          <w:type w:val="bbPlcHdr"/>
        </w:types>
        <w:behaviors>
          <w:behavior w:val="content"/>
        </w:behaviors>
        <w:description w:val=""/>
        <w:guid w:val="{dc8b1cf3-dedc-4ef1-8cd8-cc8617ae431c}"/>
      </w:docPartPr>
      <w:docPartBody>
        <w:p>
          <w:r>
            <w:rPr>
              <w:color w:val="808080"/>
            </w:rPr>
            <w:t>单击此处输入文字。</w:t>
          </w:r>
        </w:p>
      </w:docPartBody>
    </w:docPart>
    <w:docPart>
      <w:docPartPr>
        <w:name w:val="{d85567c0-fdea-42c5-89d4-3aabec32f441}"/>
        <w:style w:val=""/>
        <w:category>
          <w:name w:val="常规"/>
          <w:gallery w:val="placeholder"/>
        </w:category>
        <w:types>
          <w:type w:val="bbPlcHdr"/>
        </w:types>
        <w:behaviors>
          <w:behavior w:val="content"/>
        </w:behaviors>
        <w:description w:val=""/>
        <w:guid w:val="{d85567c0-fdea-42c5-89d4-3aabec32f441}"/>
      </w:docPartPr>
      <w:docPartBody>
        <w:p>
          <w:r>
            <w:rPr>
              <w:color w:val="808080"/>
            </w:rPr>
            <w:t>单击此处输入文字。</w:t>
          </w:r>
        </w:p>
      </w:docPartBody>
    </w:docPart>
    <w:docPart>
      <w:docPartPr>
        <w:name w:val="{06925b80-73e3-4295-8209-a97ca2d253f0}"/>
        <w:style w:val=""/>
        <w:category>
          <w:name w:val="常规"/>
          <w:gallery w:val="placeholder"/>
        </w:category>
        <w:types>
          <w:type w:val="bbPlcHdr"/>
        </w:types>
        <w:behaviors>
          <w:behavior w:val="content"/>
        </w:behaviors>
        <w:description w:val=""/>
        <w:guid w:val="{06925b80-73e3-4295-8209-a97ca2d253f0}"/>
      </w:docPartPr>
      <w:docPartBody>
        <w:p>
          <w:r>
            <w:rPr>
              <w:color w:val="808080"/>
            </w:rPr>
            <w:t>单击此处输入文字。</w:t>
          </w:r>
        </w:p>
      </w:docPartBody>
    </w:docPart>
    <w:docPart>
      <w:docPartPr>
        <w:name w:val="{807e3489-cc4d-48a6-ab8b-f4d99a5bc94d}"/>
        <w:style w:val=""/>
        <w:category>
          <w:name w:val="常规"/>
          <w:gallery w:val="placeholder"/>
        </w:category>
        <w:types>
          <w:type w:val="bbPlcHdr"/>
        </w:types>
        <w:behaviors>
          <w:behavior w:val="content"/>
        </w:behaviors>
        <w:description w:val=""/>
        <w:guid w:val="{807e3489-cc4d-48a6-ab8b-f4d99a5bc94d}"/>
      </w:docPartPr>
      <w:docPartBody>
        <w:p>
          <w:r>
            <w:rPr>
              <w:color w:val="808080"/>
            </w:rPr>
            <w:t>单击此处输入文字。</w:t>
          </w:r>
        </w:p>
      </w:docPartBody>
    </w:docPart>
    <w:docPart>
      <w:docPartPr>
        <w:name w:val="{c8dd5f9a-f74f-454b-9f2c-0cc2ba323848}"/>
        <w:style w:val=""/>
        <w:category>
          <w:name w:val="常规"/>
          <w:gallery w:val="placeholder"/>
        </w:category>
        <w:types>
          <w:type w:val="bbPlcHdr"/>
        </w:types>
        <w:behaviors>
          <w:behavior w:val="content"/>
        </w:behaviors>
        <w:description w:val=""/>
        <w:guid w:val="{c8dd5f9a-f74f-454b-9f2c-0cc2ba323848}"/>
      </w:docPartPr>
      <w:docPartBody>
        <w:p>
          <w:r>
            <w:rPr>
              <w:color w:val="808080"/>
            </w:rPr>
            <w:t>单击此处输入文字。</w:t>
          </w:r>
        </w:p>
      </w:docPartBody>
    </w:docPart>
    <w:docPart>
      <w:docPartPr>
        <w:name w:val="{ff3416d7-01ce-4e41-b555-22c1206c8240}"/>
        <w:style w:val=""/>
        <w:category>
          <w:name w:val="常规"/>
          <w:gallery w:val="placeholder"/>
        </w:category>
        <w:types>
          <w:type w:val="bbPlcHdr"/>
        </w:types>
        <w:behaviors>
          <w:behavior w:val="content"/>
        </w:behaviors>
        <w:description w:val=""/>
        <w:guid w:val="{ff3416d7-01ce-4e41-b555-22c1206c8240}"/>
      </w:docPartPr>
      <w:docPartBody>
        <w:p>
          <w:r>
            <w:rPr>
              <w:color w:val="808080"/>
            </w:rPr>
            <w:t>单击此处输入文字。</w:t>
          </w:r>
        </w:p>
      </w:docPartBody>
    </w:docPart>
    <w:docPart>
      <w:docPartPr>
        <w:name w:val="{960be542-ccb3-4501-aeff-c34666b174df}"/>
        <w:style w:val=""/>
        <w:category>
          <w:name w:val="常规"/>
          <w:gallery w:val="placeholder"/>
        </w:category>
        <w:types>
          <w:type w:val="bbPlcHdr"/>
        </w:types>
        <w:behaviors>
          <w:behavior w:val="content"/>
        </w:behaviors>
        <w:description w:val=""/>
        <w:guid w:val="{960be542-ccb3-4501-aeff-c34666b174df}"/>
      </w:docPartPr>
      <w:docPartBody>
        <w:p>
          <w:r>
            <w:rPr>
              <w:color w:val="808080"/>
            </w:rPr>
            <w:t>单击此处输入文字。</w:t>
          </w:r>
        </w:p>
      </w:docPartBody>
    </w:docPart>
    <w:docPart>
      <w:docPartPr>
        <w:name w:val="{6b8fd9e0-dceb-4ef7-8a1e-8491f16fd9b0}"/>
        <w:style w:val=""/>
        <w:category>
          <w:name w:val="常规"/>
          <w:gallery w:val="placeholder"/>
        </w:category>
        <w:types>
          <w:type w:val="bbPlcHdr"/>
        </w:types>
        <w:behaviors>
          <w:behavior w:val="content"/>
        </w:behaviors>
        <w:description w:val=""/>
        <w:guid w:val="{6b8fd9e0-dceb-4ef7-8a1e-8491f16fd9b0}"/>
      </w:docPartPr>
      <w:docPartBody>
        <w:p>
          <w:r>
            <w:rPr>
              <w:color w:val="808080"/>
            </w:rPr>
            <w:t>单击此处输入文字。</w:t>
          </w:r>
        </w:p>
      </w:docPartBody>
    </w:docPart>
    <w:docPart>
      <w:docPartPr>
        <w:name w:val="{2fc33b46-79e2-4e4a-8070-8470b23c8b84}"/>
        <w:style w:val=""/>
        <w:category>
          <w:name w:val="常规"/>
          <w:gallery w:val="placeholder"/>
        </w:category>
        <w:types>
          <w:type w:val="bbPlcHdr"/>
        </w:types>
        <w:behaviors>
          <w:behavior w:val="content"/>
        </w:behaviors>
        <w:description w:val=""/>
        <w:guid w:val="{2fc33b46-79e2-4e4a-8070-8470b23c8b84}"/>
      </w:docPartPr>
      <w:docPartBody>
        <w:p>
          <w:r>
            <w:rPr>
              <w:color w:val="808080"/>
            </w:rPr>
            <w:t>单击此处输入文字。</w:t>
          </w:r>
        </w:p>
      </w:docPartBody>
    </w:docPart>
    <w:docPart>
      <w:docPartPr>
        <w:name w:val="{3a176694-0e9c-4fc4-9272-7c1bb410fdf1}"/>
        <w:style w:val=""/>
        <w:category>
          <w:name w:val="常规"/>
          <w:gallery w:val="placeholder"/>
        </w:category>
        <w:types>
          <w:type w:val="bbPlcHdr"/>
        </w:types>
        <w:behaviors>
          <w:behavior w:val="content"/>
        </w:behaviors>
        <w:description w:val=""/>
        <w:guid w:val="{3a176694-0e9c-4fc4-9272-7c1bb410fdf1}"/>
      </w:docPartPr>
      <w:docPartBody>
        <w:p>
          <w:r>
            <w:rPr>
              <w:color w:val="808080"/>
            </w:rPr>
            <w:t>单击此处输入文字。</w:t>
          </w:r>
        </w:p>
      </w:docPartBody>
    </w:docPart>
    <w:docPart>
      <w:docPartPr>
        <w:name w:val="{babb10fd-ff86-40c6-9163-3c08268f93bb}"/>
        <w:style w:val=""/>
        <w:category>
          <w:name w:val="常规"/>
          <w:gallery w:val="placeholder"/>
        </w:category>
        <w:types>
          <w:type w:val="bbPlcHdr"/>
        </w:types>
        <w:behaviors>
          <w:behavior w:val="content"/>
        </w:behaviors>
        <w:description w:val=""/>
        <w:guid w:val="{babb10fd-ff86-40c6-9163-3c08268f93bb}"/>
      </w:docPartPr>
      <w:docPartBody>
        <w:p>
          <w:r>
            <w:rPr>
              <w:color w:val="808080"/>
            </w:rPr>
            <w:t>单击此处输入文字。</w:t>
          </w:r>
        </w:p>
      </w:docPartBody>
    </w:docPart>
    <w:docPart>
      <w:docPartPr>
        <w:name w:val="{02fda6ff-18f2-462e-8ca4-f67f36969b71}"/>
        <w:style w:val=""/>
        <w:category>
          <w:name w:val="常规"/>
          <w:gallery w:val="placeholder"/>
        </w:category>
        <w:types>
          <w:type w:val="bbPlcHdr"/>
        </w:types>
        <w:behaviors>
          <w:behavior w:val="content"/>
        </w:behaviors>
        <w:description w:val=""/>
        <w:guid w:val="{02fda6ff-18f2-462e-8ca4-f67f36969b71}"/>
      </w:docPartPr>
      <w:docPartBody>
        <w:p>
          <w:r>
            <w:rPr>
              <w:color w:val="808080"/>
            </w:rPr>
            <w:t>单击此处输入文字。</w:t>
          </w:r>
        </w:p>
      </w:docPartBody>
    </w:docPart>
    <w:docPart>
      <w:docPartPr>
        <w:name w:val="{1620657e-10d4-4229-8322-64815b6876b4}"/>
        <w:style w:val=""/>
        <w:category>
          <w:name w:val="常规"/>
          <w:gallery w:val="placeholder"/>
        </w:category>
        <w:types>
          <w:type w:val="bbPlcHdr"/>
        </w:types>
        <w:behaviors>
          <w:behavior w:val="content"/>
        </w:behaviors>
        <w:description w:val=""/>
        <w:guid w:val="{1620657e-10d4-4229-8322-64815b6876b4}"/>
      </w:docPartPr>
      <w:docPartBody>
        <w:p>
          <w:r>
            <w:rPr>
              <w:color w:val="808080"/>
            </w:rPr>
            <w:t>单击此处输入文字。</w:t>
          </w:r>
        </w:p>
      </w:docPartBody>
    </w:docPart>
    <w:docPart>
      <w:docPartPr>
        <w:name w:val="{86b241eb-bdc7-4f1c-bfc8-c2364ed677a8}"/>
        <w:style w:val=""/>
        <w:category>
          <w:name w:val="常规"/>
          <w:gallery w:val="placeholder"/>
        </w:category>
        <w:types>
          <w:type w:val="bbPlcHdr"/>
        </w:types>
        <w:behaviors>
          <w:behavior w:val="content"/>
        </w:behaviors>
        <w:description w:val=""/>
        <w:guid w:val="{86b241eb-bdc7-4f1c-bfc8-c2364ed677a8}"/>
      </w:docPartPr>
      <w:docPartBody>
        <w:p>
          <w:r>
            <w:rPr>
              <w:color w:val="808080"/>
            </w:rPr>
            <w:t>单击此处输入文字。</w:t>
          </w:r>
        </w:p>
      </w:docPartBody>
    </w:docPart>
    <w:docPart>
      <w:docPartPr>
        <w:name w:val="{622fa8ff-6889-4003-ab16-0d204397341b}"/>
        <w:style w:val=""/>
        <w:category>
          <w:name w:val="常规"/>
          <w:gallery w:val="placeholder"/>
        </w:category>
        <w:types>
          <w:type w:val="bbPlcHdr"/>
        </w:types>
        <w:behaviors>
          <w:behavior w:val="content"/>
        </w:behaviors>
        <w:description w:val=""/>
        <w:guid w:val="{622fa8ff-6889-4003-ab16-0d204397341b}"/>
      </w:docPartPr>
      <w:docPartBody>
        <w:p>
          <w:r>
            <w:rPr>
              <w:color w:val="808080"/>
            </w:rPr>
            <w:t>单击此处输入文字。</w:t>
          </w:r>
        </w:p>
      </w:docPartBody>
    </w:docPart>
    <w:docPart>
      <w:docPartPr>
        <w:name w:val="{08356e8d-b37d-4a4f-8284-3ea6b2ab1f44}"/>
        <w:style w:val=""/>
        <w:category>
          <w:name w:val="常规"/>
          <w:gallery w:val="placeholder"/>
        </w:category>
        <w:types>
          <w:type w:val="bbPlcHdr"/>
        </w:types>
        <w:behaviors>
          <w:behavior w:val="content"/>
        </w:behaviors>
        <w:description w:val=""/>
        <w:guid w:val="{08356e8d-b37d-4a4f-8284-3ea6b2ab1f44}"/>
      </w:docPartPr>
      <w:docPartBody>
        <w:p>
          <w:r>
            <w:rPr>
              <w:color w:val="808080"/>
            </w:rPr>
            <w:t>单击此处输入文字。</w:t>
          </w:r>
        </w:p>
      </w:docPartBody>
    </w:docPart>
    <w:docPart>
      <w:docPartPr>
        <w:name w:val="{6ad41725-c080-44db-ad6c-e832ac8e4c65}"/>
        <w:style w:val=""/>
        <w:category>
          <w:name w:val="常规"/>
          <w:gallery w:val="placeholder"/>
        </w:category>
        <w:types>
          <w:type w:val="bbPlcHdr"/>
        </w:types>
        <w:behaviors>
          <w:behavior w:val="content"/>
        </w:behaviors>
        <w:description w:val=""/>
        <w:guid w:val="{6ad41725-c080-44db-ad6c-e832ac8e4c65}"/>
      </w:docPartPr>
      <w:docPartBody>
        <w:p>
          <w:r>
            <w:rPr>
              <w:color w:val="808080"/>
            </w:rPr>
            <w:t>单击此处输入文字。</w:t>
          </w:r>
        </w:p>
      </w:docPartBody>
    </w:docPart>
    <w:docPart>
      <w:docPartPr>
        <w:name w:val="{5b5089f0-ddd3-4ae3-8788-300b94c33c24}"/>
        <w:style w:val=""/>
        <w:category>
          <w:name w:val="常规"/>
          <w:gallery w:val="placeholder"/>
        </w:category>
        <w:types>
          <w:type w:val="bbPlcHdr"/>
        </w:types>
        <w:behaviors>
          <w:behavior w:val="content"/>
        </w:behaviors>
        <w:description w:val=""/>
        <w:guid w:val="{5b5089f0-ddd3-4ae3-8788-300b94c33c24}"/>
      </w:docPartPr>
      <w:docPartBody>
        <w:p>
          <w:r>
            <w:rPr>
              <w:color w:val="808080"/>
            </w:rPr>
            <w:t>单击此处输入文字。</w:t>
          </w:r>
        </w:p>
      </w:docPartBody>
    </w:docPart>
    <w:docPart>
      <w:docPartPr>
        <w:name w:val="{c62309b3-8d04-4c91-bcd2-198a213f2b77}"/>
        <w:style w:val=""/>
        <w:category>
          <w:name w:val="常规"/>
          <w:gallery w:val="placeholder"/>
        </w:category>
        <w:types>
          <w:type w:val="bbPlcHdr"/>
        </w:types>
        <w:behaviors>
          <w:behavior w:val="content"/>
        </w:behaviors>
        <w:description w:val=""/>
        <w:guid w:val="{c62309b3-8d04-4c91-bcd2-198a213f2b77}"/>
      </w:docPartPr>
      <w:docPartBody>
        <w:p>
          <w:r>
            <w:rPr>
              <w:color w:val="808080"/>
            </w:rPr>
            <w:t>单击此处输入文字。</w:t>
          </w:r>
        </w:p>
      </w:docPartBody>
    </w:docPart>
    <w:docPart>
      <w:docPartPr>
        <w:name w:val="{3da2eb1d-48ab-484b-9237-c704bb000b45}"/>
        <w:style w:val=""/>
        <w:category>
          <w:name w:val="常规"/>
          <w:gallery w:val="placeholder"/>
        </w:category>
        <w:types>
          <w:type w:val="bbPlcHdr"/>
        </w:types>
        <w:behaviors>
          <w:behavior w:val="content"/>
        </w:behaviors>
        <w:description w:val=""/>
        <w:guid w:val="{3da2eb1d-48ab-484b-9237-c704bb000b45}"/>
      </w:docPartPr>
      <w:docPartBody>
        <w:p>
          <w:r>
            <w:rPr>
              <w:color w:val="808080"/>
            </w:rPr>
            <w:t>单击此处输入文字。</w:t>
          </w:r>
        </w:p>
      </w:docPartBody>
    </w:docPart>
    <w:docPart>
      <w:docPartPr>
        <w:name w:val="{2727c496-2021-44da-9d8e-9f1a9e3f7902}"/>
        <w:style w:val=""/>
        <w:category>
          <w:name w:val="常规"/>
          <w:gallery w:val="placeholder"/>
        </w:category>
        <w:types>
          <w:type w:val="bbPlcHdr"/>
        </w:types>
        <w:behaviors>
          <w:behavior w:val="content"/>
        </w:behaviors>
        <w:description w:val=""/>
        <w:guid w:val="{2727c496-2021-44da-9d8e-9f1a9e3f7902}"/>
      </w:docPartPr>
      <w:docPartBody>
        <w:p>
          <w:r>
            <w:rPr>
              <w:color w:val="808080"/>
            </w:rPr>
            <w:t>单击此处输入文字。</w:t>
          </w:r>
        </w:p>
      </w:docPartBody>
    </w:docPart>
    <w:docPart>
      <w:docPartPr>
        <w:name w:val="{49756d85-c689-4b25-84fe-32beef0591ce}"/>
        <w:style w:val=""/>
        <w:category>
          <w:name w:val="常规"/>
          <w:gallery w:val="placeholder"/>
        </w:category>
        <w:types>
          <w:type w:val="bbPlcHdr"/>
        </w:types>
        <w:behaviors>
          <w:behavior w:val="content"/>
        </w:behaviors>
        <w:description w:val=""/>
        <w:guid w:val="{49756d85-c689-4b25-84fe-32beef0591ce}"/>
      </w:docPartPr>
      <w:docPartBody>
        <w:p>
          <w:r>
            <w:rPr>
              <w:color w:val="808080"/>
            </w:rPr>
            <w:t>单击此处输入文字。</w:t>
          </w:r>
        </w:p>
      </w:docPartBody>
    </w:docPart>
    <w:docPart>
      <w:docPartPr>
        <w:name w:val="{9f9d9dac-b177-45f9-b731-3f4ed8c2065c}"/>
        <w:style w:val=""/>
        <w:category>
          <w:name w:val="常规"/>
          <w:gallery w:val="placeholder"/>
        </w:category>
        <w:types>
          <w:type w:val="bbPlcHdr"/>
        </w:types>
        <w:behaviors>
          <w:behavior w:val="content"/>
        </w:behaviors>
        <w:description w:val=""/>
        <w:guid w:val="{9f9d9dac-b177-45f9-b731-3f4ed8c2065c}"/>
      </w:docPartPr>
      <w:docPartBody>
        <w:p>
          <w:r>
            <w:rPr>
              <w:color w:val="808080"/>
            </w:rPr>
            <w:t>单击此处输入文字。</w:t>
          </w:r>
        </w:p>
      </w:docPartBody>
    </w:docPart>
    <w:docPart>
      <w:docPartPr>
        <w:name w:val="{e83e72c3-5676-4cba-8616-6263f40dede4}"/>
        <w:style w:val=""/>
        <w:category>
          <w:name w:val="常规"/>
          <w:gallery w:val="placeholder"/>
        </w:category>
        <w:types>
          <w:type w:val="bbPlcHdr"/>
        </w:types>
        <w:behaviors>
          <w:behavior w:val="content"/>
        </w:behaviors>
        <w:description w:val=""/>
        <w:guid w:val="{e83e72c3-5676-4cba-8616-6263f40dede4}"/>
      </w:docPartPr>
      <w:docPartBody>
        <w:p>
          <w:r>
            <w:rPr>
              <w:color w:val="808080"/>
            </w:rPr>
            <w:t>单击此处输入文字。</w:t>
          </w:r>
        </w:p>
      </w:docPartBody>
    </w:docPart>
    <w:docPart>
      <w:docPartPr>
        <w:name w:val="{a34f1bd9-cbc3-49f5-80c4-3c880eb19d75}"/>
        <w:style w:val=""/>
        <w:category>
          <w:name w:val="常规"/>
          <w:gallery w:val="placeholder"/>
        </w:category>
        <w:types>
          <w:type w:val="bbPlcHdr"/>
        </w:types>
        <w:behaviors>
          <w:behavior w:val="content"/>
        </w:behaviors>
        <w:description w:val=""/>
        <w:guid w:val="{a34f1bd9-cbc3-49f5-80c4-3c880eb19d7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20</Pages>
  <Words>0</Words>
  <Characters>5450</Characters>
  <Lines>0</Lines>
  <Paragraphs>186</Paragraphs>
  <TotalTime>0</TotalTime>
  <ScaleCrop>false</ScaleCrop>
  <LinksUpToDate>false</LinksUpToDate>
  <CharactersWithSpaces>7267</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2023-09-21T10:24:00Z</dcterms:created>
  <dc:creator>魏连春</dc:creator>
  <cp:lastModifiedBy>魏连春</cp:lastModifiedBy>
  <dcterms:modified xsi:type="dcterms:W3CDTF">2023-09-28T08:35:13Z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8A79172DFC09493880E973D5AC3A1141_12</vt:lpwstr>
  </property>
</Properties>
</file>