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eastAsia="方正小标宋简体"/>
          <w:color w:val="auto"/>
          <w:sz w:val="21"/>
          <w:szCs w:val="21"/>
          <w:highlight w:val="none"/>
        </w:rPr>
      </w:pPr>
      <w:bookmarkStart w:id="0" w:name="_Toc15306267"/>
    </w:p>
    <w:p>
      <w:pPr>
        <w:spacing w:line="600" w:lineRule="exact"/>
        <w:jc w:val="center"/>
        <w:outlineLvl w:val="0"/>
        <w:rPr>
          <w:rFonts w:ascii="方正小标宋简体" w:eastAsia="方正小标宋简体"/>
          <w:color w:val="auto"/>
          <w:sz w:val="72"/>
          <w:szCs w:val="72"/>
          <w:highlight w:val="none"/>
        </w:rPr>
      </w:pPr>
    </w:p>
    <w:p>
      <w:pPr>
        <w:spacing w:line="600" w:lineRule="exact"/>
        <w:jc w:val="center"/>
        <w:outlineLvl w:val="0"/>
        <w:rPr>
          <w:rFonts w:ascii="方正小标宋简体" w:eastAsia="方正小标宋简体"/>
          <w:color w:val="auto"/>
          <w:sz w:val="72"/>
          <w:szCs w:val="72"/>
          <w:highlight w:val="none"/>
        </w:rPr>
      </w:pPr>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1" w:name="_Toc32061"/>
      <w:bookmarkStart w:id="2" w:name="_Toc15396597"/>
      <w:bookmarkStart w:id="3" w:name="_Toc15378441"/>
      <w:bookmarkStart w:id="4" w:name="_Toc7930"/>
      <w:bookmarkStart w:id="5" w:name="_Toc15396475"/>
      <w:bookmarkStart w:id="6" w:name="_Toc15377425"/>
      <w:bookmarkStart w:id="7" w:name="_Toc15377193"/>
      <w:r>
        <w:rPr>
          <w:rFonts w:hint="eastAsia" w:ascii="方正小标宋简体" w:eastAsia="方正小标宋简体" w:cs="方正小标宋简体"/>
          <w:color w:val="auto"/>
          <w:sz w:val="72"/>
          <w:szCs w:val="72"/>
          <w:highlight w:val="none"/>
        </w:rPr>
        <w:t>20</w:t>
      </w:r>
      <w:r>
        <w:rPr>
          <w:rFonts w:hint="eastAsia" w:ascii="方正小标宋简体" w:eastAsia="方正小标宋简体" w:cs="方正小标宋简体"/>
          <w:color w:val="auto"/>
          <w:sz w:val="72"/>
          <w:szCs w:val="72"/>
          <w:highlight w:val="none"/>
          <w:lang w:val="en-US" w:eastAsia="zh-CN"/>
        </w:rPr>
        <w:t>22</w:t>
      </w:r>
      <w:r>
        <w:rPr>
          <w:rFonts w:hint="eastAsia" w:ascii="方正小标宋简体" w:eastAsia="方正小标宋简体" w:cs="方正小标宋简体"/>
          <w:color w:val="auto"/>
          <w:sz w:val="72"/>
          <w:szCs w:val="72"/>
          <w:highlight w:val="none"/>
        </w:rPr>
        <w:t>年度</w:t>
      </w:r>
      <w:bookmarkEnd w:id="1"/>
      <w:bookmarkEnd w:id="2"/>
      <w:bookmarkEnd w:id="3"/>
      <w:bookmarkEnd w:id="4"/>
      <w:bookmarkEnd w:id="5"/>
      <w:bookmarkEnd w:id="6"/>
      <w:bookmarkEnd w:id="7"/>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8" w:name="_Toc17300"/>
      <w:bookmarkStart w:id="9" w:name="_Toc15377194"/>
      <w:bookmarkStart w:id="10" w:name="_Toc15377426"/>
      <w:bookmarkStart w:id="11" w:name="_Toc11497"/>
      <w:bookmarkStart w:id="12" w:name="_Toc15396598"/>
      <w:bookmarkStart w:id="13" w:name="_Toc15378442"/>
      <w:bookmarkStart w:id="14" w:name="_Toc15396476"/>
      <w:r>
        <w:rPr>
          <w:rFonts w:hint="eastAsia" w:ascii="方正小标宋简体" w:eastAsia="方正小标宋简体" w:cs="方正小标宋简体"/>
          <w:color w:val="auto"/>
          <w:sz w:val="72"/>
          <w:szCs w:val="72"/>
          <w:highlight w:val="none"/>
        </w:rPr>
        <w:t>四川省</w:t>
      </w:r>
      <w:bookmarkEnd w:id="0"/>
      <w:bookmarkStart w:id="15" w:name="_Toc15306268"/>
      <w:r>
        <w:rPr>
          <w:rFonts w:hint="eastAsia" w:ascii="方正小标宋简体" w:eastAsia="方正小标宋简体" w:cs="方正小标宋简体"/>
          <w:color w:val="auto"/>
          <w:sz w:val="72"/>
          <w:szCs w:val="72"/>
          <w:highlight w:val="none"/>
          <w:lang w:eastAsia="zh-CN"/>
        </w:rPr>
        <w:t>广元市昭化区</w:t>
      </w:r>
      <w:r>
        <w:rPr>
          <w:rFonts w:ascii="方正小标宋简体" w:eastAsia="方正小标宋简体" w:cs="方正小标宋简体"/>
          <w:color w:val="auto"/>
          <w:sz w:val="72"/>
          <w:szCs w:val="72"/>
          <w:highlight w:val="none"/>
          <w:lang w:eastAsia="zh-CN"/>
        </w:rPr>
        <w:t>朝阳乡</w:t>
      </w:r>
      <w:r>
        <w:rPr>
          <w:rFonts w:hint="eastAsia" w:ascii="方正小标宋简体" w:eastAsia="方正小标宋简体" w:cs="方正小标宋简体"/>
          <w:color w:val="auto"/>
          <w:sz w:val="72"/>
          <w:szCs w:val="72"/>
          <w:highlight w:val="none"/>
          <w:lang w:eastAsia="zh-CN"/>
        </w:rPr>
        <w:t>卫生院单位</w:t>
      </w:r>
      <w:r>
        <w:rPr>
          <w:rFonts w:hint="eastAsia" w:ascii="方正小标宋简体" w:eastAsia="方正小标宋简体" w:cs="方正小标宋简体"/>
          <w:color w:val="auto"/>
          <w:sz w:val="72"/>
          <w:szCs w:val="72"/>
          <w:highlight w:val="none"/>
        </w:rPr>
        <w:t>决算</w:t>
      </w:r>
      <w:bookmarkEnd w:id="8"/>
      <w:bookmarkEnd w:id="9"/>
      <w:bookmarkEnd w:id="10"/>
      <w:bookmarkEnd w:id="11"/>
      <w:bookmarkEnd w:id="12"/>
      <w:bookmarkEnd w:id="13"/>
      <w:bookmarkEnd w:id="14"/>
      <w:bookmarkEnd w:id="15"/>
    </w:p>
    <w:p>
      <w:pPr>
        <w:widowControl/>
        <w:jc w:val="center"/>
        <w:rPr>
          <w:rFonts w:hint="eastAsia" w:ascii="黑体" w:eastAsia="黑体"/>
          <w:color w:val="auto"/>
          <w:sz w:val="48"/>
          <w:szCs w:val="48"/>
          <w:highlight w:val="none"/>
        </w:rPr>
        <w:sectPr>
          <w:headerReference r:id="rId3" w:type="default"/>
          <w:footerReference r:id="rId4" w:type="default"/>
          <w:pgSz w:w="11906" w:h="16838"/>
          <w:pgMar w:top="1440" w:right="1994" w:bottom="1440" w:left="1800" w:header="851" w:footer="992" w:gutter="0"/>
          <w:pgNumType w:start="1"/>
          <w:cols w:space="720" w:num="1"/>
          <w:titlePg/>
          <w:docGrid w:type="lines" w:linePitch="312" w:charSpace="0"/>
        </w:sectPr>
      </w:pPr>
    </w:p>
    <w:p>
      <w:pPr>
        <w:widowControl/>
        <w:jc w:val="center"/>
      </w:pPr>
      <w:r>
        <w:rPr>
          <w:rFonts w:hint="eastAsia" w:ascii="黑体" w:eastAsia="黑体"/>
          <w:color w:val="auto"/>
          <w:sz w:val="48"/>
          <w:szCs w:val="48"/>
          <w:highlight w:val="none"/>
        </w:rPr>
        <w:t>目录</w:t>
      </w:r>
    </w:p>
    <w:p>
      <w:pPr>
        <w:pStyle w:val="12"/>
        <w:rPr>
          <w:rFonts w:eastAsia="仿宋"/>
          <w:color w:val="auto"/>
          <w:highlight w:val="none"/>
          <w:lang w:val="en-US" w:eastAsia="zh-CN"/>
        </w:rPr>
      </w:pPr>
      <w:r>
        <w:rPr>
          <w:rFonts w:hint="eastAsia"/>
          <w:color w:val="auto"/>
          <w:highlight w:val="none"/>
        </w:rPr>
        <w:t>公开时间：2</w:t>
      </w:r>
      <w:r>
        <w:rPr>
          <w:rFonts w:hint="eastAsia"/>
          <w:color w:val="auto"/>
          <w:highlight w:val="none"/>
          <w:lang w:val="en-US" w:eastAsia="zh-CN"/>
        </w:rPr>
        <w:t>02</w:t>
      </w:r>
      <w:r>
        <w:rPr>
          <w:color w:val="auto"/>
          <w:highlight w:val="none"/>
          <w:lang w:val="en-US" w:eastAsia="zh-CN"/>
        </w:rPr>
        <w:t>3</w:t>
      </w:r>
      <w:r>
        <w:rPr>
          <w:rFonts w:hint="eastAsia"/>
          <w:color w:val="auto"/>
          <w:highlight w:val="none"/>
          <w:lang w:val="en-US" w:eastAsia="zh-CN"/>
        </w:rPr>
        <w:t>年9月28日</w:t>
      </w:r>
    </w:p>
    <w:sdt>
      <w:sdtPr>
        <w:rPr>
          <w:rFonts w:ascii="宋体" w:eastAsia="宋体" w:cs="Times New Roman"/>
          <w:kern w:val="2"/>
          <w:sz w:val="21"/>
          <w:szCs w:val="24"/>
          <w:lang w:val="en-US" w:eastAsia="zh-CN" w:bidi="ar-SA"/>
        </w:rPr>
        <w:id w:val="1584065223"/>
        <w15:color w:val="DBDBDB"/>
        <w:docPartObj>
          <w:docPartGallery w:val="Table of Contents"/>
          <w:docPartUnique/>
        </w:docPartObj>
      </w:sdtPr>
      <w:sdtEndPr>
        <w:rPr>
          <w:rFonts w:asci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ascii="Times New Roman" w:hAnsi="Times New Roman" w:eastAsia="宋体" w:cs="Times New Roman"/>
              <w:kern w:val="2"/>
              <w:sz w:val="21"/>
              <w:szCs w:val="24"/>
              <w:lang w:val="en-US" w:eastAsia="zh-CN" w:bidi="ar-SA"/>
            </w:rPr>
          </w:pPr>
          <w:r>
            <w:fldChar w:fldCharType="begin"/>
          </w:r>
          <w:r>
            <w:instrText xml:space="preserve">TOC \o "1-3" \h \u </w:instrText>
          </w:r>
          <w:r>
            <w:fldChar w:fldCharType="separate"/>
          </w:r>
        </w:p>
        <w:p>
          <w:pPr>
            <w:pStyle w:val="12"/>
            <w:tabs>
              <w:tab w:val="right" w:leader="dot" w:pos="8112"/>
              <w:tab w:val="clear" w:pos="8296"/>
            </w:tabs>
          </w:pPr>
          <w:r>
            <w:fldChar w:fldCharType="begin"/>
          </w:r>
          <w:r>
            <w:instrText xml:space="preserve"> HYPERLINK \l _Toc404 </w:instrText>
          </w:r>
          <w:r>
            <w:fldChar w:fldCharType="separate"/>
          </w:r>
          <w:r>
            <w:rPr>
              <w:rFonts w:hint="eastAsia" w:ascii="黑体" w:eastAsia="黑体"/>
              <w:highlight w:val="none"/>
            </w:rPr>
            <w:t xml:space="preserve">第一部分 </w:t>
          </w:r>
          <w:r>
            <w:rPr>
              <w:rFonts w:hint="eastAsia" w:ascii="黑体" w:eastAsia="黑体"/>
              <w:highlight w:val="none"/>
              <w:lang w:eastAsia="zh-CN"/>
            </w:rPr>
            <w:t>单位</w:t>
          </w:r>
          <w:r>
            <w:rPr>
              <w:rFonts w:hint="eastAsia" w:ascii="黑体" w:eastAsia="黑体"/>
              <w:bCs w:val="0"/>
              <w:highlight w:val="none"/>
            </w:rPr>
            <w:t>概况</w:t>
          </w:r>
          <w:r>
            <w:tab/>
          </w:r>
          <w:r>
            <w:fldChar w:fldCharType="begin"/>
          </w:r>
          <w:r>
            <w:instrText xml:space="preserve"> PAGEREF _Toc404 </w:instrText>
          </w:r>
          <w:r>
            <w:fldChar w:fldCharType="separate"/>
          </w:r>
          <w:r>
            <w:t>1</w:t>
          </w:r>
          <w:r>
            <w:fldChar w:fldCharType="end"/>
          </w:r>
          <w:r>
            <w:fldChar w:fldCharType="end"/>
          </w:r>
        </w:p>
        <w:p>
          <w:pPr>
            <w:pStyle w:val="13"/>
            <w:tabs>
              <w:tab w:val="right" w:leader="dot" w:pos="8112"/>
              <w:tab w:val="clear" w:pos="8296"/>
            </w:tabs>
          </w:pPr>
          <w:r>
            <w:fldChar w:fldCharType="begin"/>
          </w:r>
          <w:r>
            <w:instrText xml:space="preserve"> HYPERLINK \l _Toc5919 </w:instrText>
          </w:r>
          <w:r>
            <w:fldChar w:fldCharType="separate"/>
          </w:r>
          <w:r>
            <w:rPr>
              <w:rFonts w:hint="eastAsia" w:ascii="黑体" w:eastAsia="黑体"/>
              <w:bCs w:val="0"/>
              <w:lang w:eastAsia="zh-CN"/>
            </w:rPr>
            <w:t xml:space="preserve">一、 </w:t>
          </w:r>
          <w:r>
            <w:rPr>
              <w:rFonts w:hint="eastAsia" w:ascii="黑体" w:eastAsia="黑体"/>
              <w:bCs w:val="0"/>
              <w:highlight w:val="none"/>
              <w:lang w:eastAsia="zh-CN"/>
            </w:rPr>
            <w:t>主要职责</w:t>
          </w:r>
          <w:r>
            <w:tab/>
          </w:r>
          <w:r>
            <w:fldChar w:fldCharType="begin"/>
          </w:r>
          <w:r>
            <w:instrText xml:space="preserve"> PAGEREF _Toc5919 </w:instrText>
          </w:r>
          <w:r>
            <w:fldChar w:fldCharType="separate"/>
          </w:r>
          <w:r>
            <w:t>1</w:t>
          </w:r>
          <w:r>
            <w:fldChar w:fldCharType="end"/>
          </w:r>
          <w:r>
            <w:fldChar w:fldCharType="end"/>
          </w:r>
        </w:p>
        <w:p>
          <w:pPr>
            <w:pStyle w:val="13"/>
            <w:tabs>
              <w:tab w:val="right" w:leader="dot" w:pos="8112"/>
              <w:tab w:val="clear" w:pos="8296"/>
            </w:tabs>
          </w:pPr>
          <w:r>
            <w:fldChar w:fldCharType="begin"/>
          </w:r>
          <w:r>
            <w:instrText xml:space="preserve"> HYPERLINK \l _Toc12043 </w:instrText>
          </w:r>
          <w:r>
            <w:fldChar w:fldCharType="separate"/>
          </w:r>
          <w:r>
            <w:rPr>
              <w:rFonts w:hint="eastAsia" w:ascii="黑体" w:eastAsia="黑体" w:cs="Times New Roman"/>
              <w:bCs w:val="0"/>
              <w:lang w:val="en-US" w:eastAsia="zh-CN"/>
            </w:rPr>
            <w:t xml:space="preserve">二、 </w:t>
          </w:r>
          <w:r>
            <w:rPr>
              <w:rFonts w:hint="eastAsia" w:ascii="黑体" w:eastAsia="黑体" w:cs="Times New Roman"/>
              <w:bCs w:val="0"/>
              <w:highlight w:val="none"/>
              <w:lang w:val="en-US" w:eastAsia="zh-CN"/>
            </w:rPr>
            <w:t>机构设置</w:t>
          </w:r>
          <w:r>
            <w:tab/>
          </w:r>
          <w:r>
            <w:fldChar w:fldCharType="begin"/>
          </w:r>
          <w:r>
            <w:instrText xml:space="preserve"> PAGEREF _Toc12043 </w:instrText>
          </w:r>
          <w:r>
            <w:fldChar w:fldCharType="separate"/>
          </w:r>
          <w:r>
            <w:t>2</w:t>
          </w:r>
          <w:r>
            <w:fldChar w:fldCharType="end"/>
          </w:r>
          <w:r>
            <w:fldChar w:fldCharType="end"/>
          </w:r>
        </w:p>
        <w:p>
          <w:pPr>
            <w:pStyle w:val="12"/>
            <w:tabs>
              <w:tab w:val="right" w:leader="dot" w:pos="8112"/>
              <w:tab w:val="clear" w:pos="8296"/>
            </w:tabs>
          </w:pPr>
          <w:r>
            <w:fldChar w:fldCharType="begin"/>
          </w:r>
          <w:r>
            <w:instrText xml:space="preserve"> HYPERLINK \l _Toc25611 </w:instrText>
          </w:r>
          <w:r>
            <w:fldChar w:fldCharType="separate"/>
          </w:r>
          <w:r>
            <w:rPr>
              <w:rFonts w:hint="eastAsia" w:ascii="黑体" w:eastAsia="黑体"/>
              <w:bCs/>
              <w:highlight w:val="none"/>
            </w:rPr>
            <w:t xml:space="preserve">第二部分 </w:t>
          </w:r>
          <w:r>
            <w:rPr>
              <w:rFonts w:hint="eastAsia" w:ascii="黑体" w:eastAsia="黑体"/>
              <w:bCs/>
              <w:highlight w:val="none"/>
              <w:lang w:val="en-US" w:eastAsia="zh-CN"/>
            </w:rPr>
            <w:t>2022年度</w:t>
          </w:r>
          <w:r>
            <w:rPr>
              <w:rFonts w:hint="eastAsia" w:ascii="黑体" w:eastAsia="黑体"/>
              <w:bCs/>
              <w:highlight w:val="none"/>
              <w:lang w:eastAsia="zh-CN"/>
            </w:rPr>
            <w:t>单位</w:t>
          </w:r>
          <w:r>
            <w:rPr>
              <w:rFonts w:hint="eastAsia" w:ascii="黑体" w:eastAsia="黑体"/>
              <w:bCs/>
              <w:highlight w:val="none"/>
            </w:rPr>
            <w:t>决算情况说明</w:t>
          </w:r>
          <w:r>
            <w:tab/>
          </w:r>
          <w:r>
            <w:fldChar w:fldCharType="begin"/>
          </w:r>
          <w:r>
            <w:instrText xml:space="preserve"> PAGEREF _Toc25611 </w:instrText>
          </w:r>
          <w:r>
            <w:fldChar w:fldCharType="separate"/>
          </w:r>
          <w:r>
            <w:t>3</w:t>
          </w:r>
          <w:r>
            <w:fldChar w:fldCharType="end"/>
          </w:r>
          <w:r>
            <w:fldChar w:fldCharType="end"/>
          </w:r>
        </w:p>
        <w:p>
          <w:pPr>
            <w:pStyle w:val="13"/>
            <w:tabs>
              <w:tab w:val="right" w:leader="dot" w:pos="8112"/>
              <w:tab w:val="clear" w:pos="8296"/>
            </w:tabs>
          </w:pPr>
          <w:r>
            <w:fldChar w:fldCharType="begin"/>
          </w:r>
          <w:r>
            <w:instrText xml:space="preserve"> HYPERLINK \l _Toc31600 </w:instrText>
          </w:r>
          <w:r>
            <w:fldChar w:fldCharType="separate"/>
          </w:r>
          <w:r>
            <w:rPr>
              <w:rFonts w:hint="default" w:ascii="黑体" w:eastAsia="黑体"/>
            </w:rPr>
            <w:t xml:space="preserve">一、 </w:t>
          </w:r>
          <w:r>
            <w:rPr>
              <w:rFonts w:hint="eastAsia" w:ascii="黑体" w:eastAsia="黑体"/>
              <w:szCs w:val="32"/>
              <w:highlight w:val="none"/>
            </w:rPr>
            <w:t>收</w:t>
          </w:r>
          <w:r>
            <w:rPr>
              <w:rFonts w:hint="eastAsia" w:ascii="黑体" w:eastAsia="黑体"/>
              <w:highlight w:val="none"/>
            </w:rPr>
            <w:t>入支出决算总体情况说明</w:t>
          </w:r>
          <w:r>
            <w:tab/>
          </w:r>
          <w:r>
            <w:fldChar w:fldCharType="begin"/>
          </w:r>
          <w:r>
            <w:instrText xml:space="preserve"> PAGEREF _Toc31600 </w:instrText>
          </w:r>
          <w:r>
            <w:fldChar w:fldCharType="separate"/>
          </w:r>
          <w:r>
            <w:t>3</w:t>
          </w:r>
          <w:r>
            <w:fldChar w:fldCharType="end"/>
          </w:r>
          <w:r>
            <w:fldChar w:fldCharType="end"/>
          </w:r>
        </w:p>
        <w:p>
          <w:pPr>
            <w:pStyle w:val="13"/>
            <w:tabs>
              <w:tab w:val="right" w:leader="dot" w:pos="8112"/>
              <w:tab w:val="clear" w:pos="8296"/>
            </w:tabs>
          </w:pPr>
          <w:r>
            <w:fldChar w:fldCharType="begin"/>
          </w:r>
          <w:r>
            <w:instrText xml:space="preserve"> HYPERLINK \l _Toc19458 </w:instrText>
          </w:r>
          <w:r>
            <w:fldChar w:fldCharType="separate"/>
          </w:r>
          <w:r>
            <w:rPr>
              <w:rFonts w:hint="default" w:ascii="黑体" w:eastAsia="黑体"/>
            </w:rPr>
            <w:t xml:space="preserve">二、 </w:t>
          </w:r>
          <w:r>
            <w:rPr>
              <w:rFonts w:hint="eastAsia" w:ascii="黑体" w:eastAsia="黑体"/>
              <w:szCs w:val="32"/>
              <w:highlight w:val="none"/>
            </w:rPr>
            <w:t>收</w:t>
          </w:r>
          <w:r>
            <w:rPr>
              <w:rFonts w:hint="eastAsia" w:ascii="黑体" w:eastAsia="黑体"/>
              <w:highlight w:val="none"/>
            </w:rPr>
            <w:t>入决算情况说明</w:t>
          </w:r>
          <w:r>
            <w:tab/>
          </w:r>
          <w:r>
            <w:fldChar w:fldCharType="begin"/>
          </w:r>
          <w:r>
            <w:instrText xml:space="preserve"> PAGEREF _Toc19458 </w:instrText>
          </w:r>
          <w:r>
            <w:fldChar w:fldCharType="separate"/>
          </w:r>
          <w:r>
            <w:t>3</w:t>
          </w:r>
          <w:r>
            <w:fldChar w:fldCharType="end"/>
          </w:r>
          <w:r>
            <w:fldChar w:fldCharType="end"/>
          </w:r>
        </w:p>
        <w:p>
          <w:pPr>
            <w:pStyle w:val="13"/>
            <w:tabs>
              <w:tab w:val="right" w:leader="dot" w:pos="8112"/>
              <w:tab w:val="clear" w:pos="8296"/>
            </w:tabs>
          </w:pPr>
          <w:r>
            <w:fldChar w:fldCharType="begin"/>
          </w:r>
          <w:r>
            <w:instrText xml:space="preserve"> HYPERLINK \l _Toc13086 </w:instrText>
          </w:r>
          <w:r>
            <w:fldChar w:fldCharType="separate"/>
          </w:r>
          <w:r>
            <w:rPr>
              <w:rFonts w:hint="default" w:ascii="黑体" w:eastAsia="黑体"/>
            </w:rPr>
            <w:t xml:space="preserve">三、 </w:t>
          </w:r>
          <w:r>
            <w:rPr>
              <w:rFonts w:hint="eastAsia" w:ascii="黑体" w:eastAsia="黑体"/>
              <w:szCs w:val="32"/>
              <w:highlight w:val="none"/>
            </w:rPr>
            <w:t>支</w:t>
          </w:r>
          <w:r>
            <w:rPr>
              <w:rFonts w:hint="eastAsia" w:ascii="黑体" w:eastAsia="黑体"/>
              <w:highlight w:val="none"/>
            </w:rPr>
            <w:t>出决算情况说明</w:t>
          </w:r>
          <w:r>
            <w:tab/>
          </w:r>
          <w:r>
            <w:fldChar w:fldCharType="begin"/>
          </w:r>
          <w:r>
            <w:instrText xml:space="preserve"> PAGEREF _Toc13086 </w:instrText>
          </w:r>
          <w:r>
            <w:fldChar w:fldCharType="separate"/>
          </w:r>
          <w:r>
            <w:t>4</w:t>
          </w:r>
          <w:r>
            <w:fldChar w:fldCharType="end"/>
          </w:r>
          <w:r>
            <w:fldChar w:fldCharType="end"/>
          </w:r>
        </w:p>
        <w:p>
          <w:pPr>
            <w:pStyle w:val="13"/>
            <w:tabs>
              <w:tab w:val="right" w:leader="dot" w:pos="8112"/>
              <w:tab w:val="clear" w:pos="8296"/>
            </w:tabs>
          </w:pPr>
          <w:r>
            <w:fldChar w:fldCharType="begin"/>
          </w:r>
          <w:r>
            <w:instrText xml:space="preserve"> HYPERLINK \l _Toc28822 </w:instrText>
          </w:r>
          <w:r>
            <w:fldChar w:fldCharType="separate"/>
          </w:r>
          <w:r>
            <w:rPr>
              <w:rFonts w:hint="eastAsia" w:ascii="黑体" w:eastAsia="黑体"/>
              <w:szCs w:val="32"/>
              <w:highlight w:val="none"/>
            </w:rPr>
            <w:t>四、财</w:t>
          </w:r>
          <w:r>
            <w:rPr>
              <w:rFonts w:hint="eastAsia" w:ascii="黑体" w:eastAsia="黑体"/>
              <w:highlight w:val="none"/>
            </w:rPr>
            <w:t>政拨款收入支出决算总体情况说明</w:t>
          </w:r>
          <w:r>
            <w:tab/>
          </w:r>
          <w:r>
            <w:fldChar w:fldCharType="begin"/>
          </w:r>
          <w:r>
            <w:instrText xml:space="preserve"> PAGEREF _Toc28822 </w:instrText>
          </w:r>
          <w:r>
            <w:fldChar w:fldCharType="separate"/>
          </w:r>
          <w:r>
            <w:t>4</w:t>
          </w:r>
          <w:r>
            <w:fldChar w:fldCharType="end"/>
          </w:r>
          <w:r>
            <w:fldChar w:fldCharType="end"/>
          </w:r>
        </w:p>
        <w:p>
          <w:pPr>
            <w:pStyle w:val="13"/>
            <w:tabs>
              <w:tab w:val="right" w:leader="dot" w:pos="8112"/>
              <w:tab w:val="clear" w:pos="8296"/>
            </w:tabs>
          </w:pPr>
          <w:r>
            <w:fldChar w:fldCharType="begin"/>
          </w:r>
          <w:r>
            <w:instrText xml:space="preserve"> HYPERLINK \l _Toc21498 </w:instrText>
          </w:r>
          <w:r>
            <w:fldChar w:fldCharType="separate"/>
          </w:r>
          <w:r>
            <w:rPr>
              <w:rFonts w:hint="eastAsia" w:ascii="黑体" w:eastAsia="黑体"/>
              <w:szCs w:val="32"/>
              <w:highlight w:val="none"/>
            </w:rPr>
            <w:t>五、一</w:t>
          </w:r>
          <w:r>
            <w:rPr>
              <w:rFonts w:hint="eastAsia" w:ascii="黑体" w:eastAsia="黑体"/>
              <w:highlight w:val="none"/>
            </w:rPr>
            <w:t>般公共预算财政拨款支出决算情况说明</w:t>
          </w:r>
          <w:r>
            <w:tab/>
          </w:r>
          <w:r>
            <w:fldChar w:fldCharType="begin"/>
          </w:r>
          <w:r>
            <w:instrText xml:space="preserve"> PAGEREF _Toc21498 </w:instrText>
          </w:r>
          <w:r>
            <w:fldChar w:fldCharType="separate"/>
          </w:r>
          <w:r>
            <w:t>5</w:t>
          </w:r>
          <w:r>
            <w:fldChar w:fldCharType="end"/>
          </w:r>
          <w:r>
            <w:fldChar w:fldCharType="end"/>
          </w:r>
        </w:p>
        <w:p>
          <w:pPr>
            <w:pStyle w:val="8"/>
            <w:tabs>
              <w:tab w:val="right" w:leader="dot" w:pos="8112"/>
              <w:tab w:val="clear" w:pos="8296"/>
            </w:tabs>
          </w:pPr>
          <w:r>
            <w:fldChar w:fldCharType="begin"/>
          </w:r>
          <w:r>
            <w:instrText xml:space="preserve"> HYPERLINK \l _Toc6594 </w:instrText>
          </w:r>
          <w:r>
            <w:fldChar w:fldCharType="separate"/>
          </w:r>
          <w:r>
            <w:rPr>
              <w:rFonts w:hint="eastAsia" w:ascii="仿宋" w:eastAsia="仿宋"/>
              <w:szCs w:val="32"/>
              <w:highlight w:val="none"/>
            </w:rPr>
            <w:t>（一）一般公共预算财政拨款支出决算总体情况</w:t>
          </w:r>
          <w:r>
            <w:tab/>
          </w:r>
          <w:r>
            <w:fldChar w:fldCharType="begin"/>
          </w:r>
          <w:r>
            <w:instrText xml:space="preserve"> PAGEREF _Toc6594 </w:instrText>
          </w:r>
          <w:r>
            <w:fldChar w:fldCharType="separate"/>
          </w:r>
          <w:r>
            <w:t>5</w:t>
          </w:r>
          <w:r>
            <w:fldChar w:fldCharType="end"/>
          </w:r>
          <w:r>
            <w:fldChar w:fldCharType="end"/>
          </w:r>
        </w:p>
        <w:p>
          <w:pPr>
            <w:pStyle w:val="8"/>
            <w:tabs>
              <w:tab w:val="right" w:leader="dot" w:pos="8112"/>
              <w:tab w:val="clear" w:pos="8296"/>
            </w:tabs>
          </w:pPr>
          <w:r>
            <w:fldChar w:fldCharType="begin"/>
          </w:r>
          <w:r>
            <w:instrText xml:space="preserve"> HYPERLINK \l _Toc17217 </w:instrText>
          </w:r>
          <w:r>
            <w:fldChar w:fldCharType="separate"/>
          </w:r>
          <w:r>
            <w:rPr>
              <w:rFonts w:hint="eastAsia" w:ascii="仿宋" w:eastAsia="仿宋"/>
              <w:szCs w:val="32"/>
              <w:highlight w:val="none"/>
            </w:rPr>
            <w:t>（二）一般公共预算财政拨款支出决算结构情况</w:t>
          </w:r>
          <w:r>
            <w:tab/>
          </w:r>
          <w:r>
            <w:fldChar w:fldCharType="begin"/>
          </w:r>
          <w:r>
            <w:instrText xml:space="preserve"> PAGEREF _Toc17217 </w:instrText>
          </w:r>
          <w:r>
            <w:fldChar w:fldCharType="separate"/>
          </w:r>
          <w:r>
            <w:t>6</w:t>
          </w:r>
          <w:r>
            <w:fldChar w:fldCharType="end"/>
          </w:r>
          <w:r>
            <w:fldChar w:fldCharType="end"/>
          </w:r>
        </w:p>
        <w:p>
          <w:pPr>
            <w:pStyle w:val="8"/>
            <w:tabs>
              <w:tab w:val="right" w:leader="dot" w:pos="8112"/>
              <w:tab w:val="clear" w:pos="8296"/>
            </w:tabs>
          </w:pPr>
          <w:r>
            <w:fldChar w:fldCharType="begin"/>
          </w:r>
          <w:r>
            <w:instrText xml:space="preserve"> HYPERLINK \l _Toc13870 </w:instrText>
          </w:r>
          <w:r>
            <w:fldChar w:fldCharType="separate"/>
          </w:r>
          <w:r>
            <w:rPr>
              <w:rFonts w:hint="eastAsia" w:ascii="仿宋" w:eastAsia="仿宋"/>
              <w:szCs w:val="32"/>
              <w:highlight w:val="none"/>
            </w:rPr>
            <w:t>（三）一般公共预算财政拨款支出决算具体情况</w:t>
          </w:r>
          <w:r>
            <w:tab/>
          </w:r>
          <w:r>
            <w:fldChar w:fldCharType="begin"/>
          </w:r>
          <w:r>
            <w:instrText xml:space="preserve"> PAGEREF _Toc13870 </w:instrText>
          </w:r>
          <w:r>
            <w:fldChar w:fldCharType="separate"/>
          </w:r>
          <w:r>
            <w:t>6</w:t>
          </w:r>
          <w:r>
            <w:fldChar w:fldCharType="end"/>
          </w:r>
          <w:r>
            <w:fldChar w:fldCharType="end"/>
          </w:r>
        </w:p>
        <w:p>
          <w:pPr>
            <w:pStyle w:val="13"/>
            <w:tabs>
              <w:tab w:val="right" w:leader="dot" w:pos="8112"/>
              <w:tab w:val="clear" w:pos="8296"/>
            </w:tabs>
          </w:pPr>
          <w:r>
            <w:fldChar w:fldCharType="begin"/>
          </w:r>
          <w:r>
            <w:instrText xml:space="preserve"> HYPERLINK \l _Toc11633 </w:instrText>
          </w:r>
          <w:r>
            <w:fldChar w:fldCharType="separate"/>
          </w:r>
          <w:r>
            <w:rPr>
              <w:rFonts w:hint="eastAsia" w:ascii="黑体" w:eastAsia="黑体"/>
              <w:szCs w:val="32"/>
              <w:highlight w:val="none"/>
            </w:rPr>
            <w:t>六、一</w:t>
          </w:r>
          <w:r>
            <w:rPr>
              <w:rFonts w:hint="eastAsia" w:ascii="黑体" w:eastAsia="黑体"/>
              <w:highlight w:val="none"/>
            </w:rPr>
            <w:t>般公共预算财政拨款基本支出决算情况说明</w:t>
          </w:r>
          <w:r>
            <w:tab/>
          </w:r>
          <w:r>
            <w:fldChar w:fldCharType="begin"/>
          </w:r>
          <w:r>
            <w:instrText xml:space="preserve"> PAGEREF _Toc11633 </w:instrText>
          </w:r>
          <w:r>
            <w:fldChar w:fldCharType="separate"/>
          </w:r>
          <w:r>
            <w:t>7</w:t>
          </w:r>
          <w:r>
            <w:fldChar w:fldCharType="end"/>
          </w:r>
          <w:r>
            <w:fldChar w:fldCharType="end"/>
          </w:r>
        </w:p>
        <w:p>
          <w:pPr>
            <w:pStyle w:val="13"/>
            <w:tabs>
              <w:tab w:val="right" w:leader="dot" w:pos="8112"/>
              <w:tab w:val="clear" w:pos="8296"/>
            </w:tabs>
          </w:pPr>
          <w:r>
            <w:fldChar w:fldCharType="begin"/>
          </w:r>
          <w:r>
            <w:instrText xml:space="preserve"> HYPERLINK \l _Toc6150 </w:instrText>
          </w:r>
          <w:r>
            <w:fldChar w:fldCharType="separate"/>
          </w:r>
          <w:r>
            <w:rPr>
              <w:rFonts w:hint="eastAsia" w:ascii="黑体" w:eastAsia="黑体"/>
              <w:szCs w:val="32"/>
              <w:highlight w:val="none"/>
            </w:rPr>
            <w:t>七、</w:t>
          </w:r>
          <w:r>
            <w:rPr>
              <w:rFonts w:hint="eastAsia" w:ascii="黑体" w:eastAsia="黑体"/>
              <w:highlight w:val="none"/>
            </w:rPr>
            <w:t>财政拨款“三公”经费支出决算情况说明</w:t>
          </w:r>
          <w:r>
            <w:tab/>
          </w:r>
          <w:r>
            <w:fldChar w:fldCharType="begin"/>
          </w:r>
          <w:r>
            <w:instrText xml:space="preserve"> PAGEREF _Toc6150 </w:instrText>
          </w:r>
          <w:r>
            <w:fldChar w:fldCharType="separate"/>
          </w:r>
          <w:r>
            <w:t>7</w:t>
          </w:r>
          <w:r>
            <w:fldChar w:fldCharType="end"/>
          </w:r>
          <w:r>
            <w:fldChar w:fldCharType="end"/>
          </w:r>
        </w:p>
        <w:p>
          <w:pPr>
            <w:pStyle w:val="8"/>
            <w:tabs>
              <w:tab w:val="right" w:leader="dot" w:pos="8112"/>
              <w:tab w:val="clear" w:pos="8296"/>
            </w:tabs>
          </w:pPr>
          <w:r>
            <w:fldChar w:fldCharType="begin"/>
          </w:r>
          <w:r>
            <w:instrText xml:space="preserve"> HYPERLINK \l _Toc1194 </w:instrText>
          </w:r>
          <w:r>
            <w:fldChar w:fldCharType="separate"/>
          </w:r>
          <w:r>
            <w:rPr>
              <w:rFonts w:hint="eastAsia" w:ascii="仿宋" w:eastAsia="仿宋"/>
              <w:szCs w:val="32"/>
              <w:highlight w:val="none"/>
            </w:rPr>
            <w:t>（一）“三公”经费财政拨款支出决算总体情况说明</w:t>
          </w:r>
          <w:r>
            <w:tab/>
          </w:r>
          <w:r>
            <w:fldChar w:fldCharType="begin"/>
          </w:r>
          <w:r>
            <w:instrText xml:space="preserve"> PAGEREF _Toc1194 </w:instrText>
          </w:r>
          <w:r>
            <w:fldChar w:fldCharType="separate"/>
          </w:r>
          <w:r>
            <w:t>7</w:t>
          </w:r>
          <w:r>
            <w:fldChar w:fldCharType="end"/>
          </w:r>
          <w:r>
            <w:fldChar w:fldCharType="end"/>
          </w:r>
        </w:p>
        <w:p>
          <w:pPr>
            <w:pStyle w:val="8"/>
            <w:tabs>
              <w:tab w:val="right" w:leader="dot" w:pos="8112"/>
              <w:tab w:val="clear" w:pos="8296"/>
            </w:tabs>
          </w:pPr>
          <w:r>
            <w:fldChar w:fldCharType="begin"/>
          </w:r>
          <w:r>
            <w:instrText xml:space="preserve"> HYPERLINK \l _Toc26824 </w:instrText>
          </w:r>
          <w:r>
            <w:fldChar w:fldCharType="separate"/>
          </w:r>
          <w:r>
            <w:rPr>
              <w:rFonts w:hint="eastAsia" w:ascii="仿宋" w:eastAsia="仿宋"/>
              <w:szCs w:val="32"/>
              <w:highlight w:val="none"/>
            </w:rPr>
            <w:t>（二）“三公”经费财政拨款支出决算具体情况说明</w:t>
          </w:r>
          <w:r>
            <w:tab/>
          </w:r>
          <w:r>
            <w:fldChar w:fldCharType="begin"/>
          </w:r>
          <w:r>
            <w:instrText xml:space="preserve"> PAGEREF _Toc26824 </w:instrText>
          </w:r>
          <w:r>
            <w:fldChar w:fldCharType="separate"/>
          </w:r>
          <w:r>
            <w:t>7</w:t>
          </w:r>
          <w:r>
            <w:fldChar w:fldCharType="end"/>
          </w:r>
          <w:r>
            <w:fldChar w:fldCharType="end"/>
          </w:r>
        </w:p>
        <w:p>
          <w:pPr>
            <w:pStyle w:val="13"/>
            <w:tabs>
              <w:tab w:val="right" w:leader="dot" w:pos="8112"/>
              <w:tab w:val="clear" w:pos="8296"/>
            </w:tabs>
          </w:pPr>
          <w:r>
            <w:fldChar w:fldCharType="begin"/>
          </w:r>
          <w:r>
            <w:instrText xml:space="preserve"> HYPERLINK \l _Toc28864 </w:instrText>
          </w:r>
          <w:r>
            <w:fldChar w:fldCharType="separate"/>
          </w:r>
          <w:r>
            <w:rPr>
              <w:rFonts w:hint="eastAsia" w:ascii="黑体" w:eastAsia="黑体"/>
              <w:szCs w:val="32"/>
              <w:highlight w:val="none"/>
            </w:rPr>
            <w:t>八、</w:t>
          </w:r>
          <w:r>
            <w:rPr>
              <w:rFonts w:hint="eastAsia" w:ascii="黑体" w:eastAsia="黑体"/>
              <w:highlight w:val="none"/>
            </w:rPr>
            <w:t>政府性基金预算支出决算情况说明</w:t>
          </w:r>
          <w:r>
            <w:tab/>
          </w:r>
          <w:r>
            <w:fldChar w:fldCharType="begin"/>
          </w:r>
          <w:r>
            <w:instrText xml:space="preserve"> PAGEREF _Toc28864 </w:instrText>
          </w:r>
          <w:r>
            <w:fldChar w:fldCharType="separate"/>
          </w:r>
          <w:r>
            <w:t>8</w:t>
          </w:r>
          <w:r>
            <w:fldChar w:fldCharType="end"/>
          </w:r>
          <w:r>
            <w:fldChar w:fldCharType="end"/>
          </w:r>
        </w:p>
        <w:p>
          <w:pPr>
            <w:pStyle w:val="13"/>
            <w:tabs>
              <w:tab w:val="right" w:leader="dot" w:pos="8112"/>
              <w:tab w:val="clear" w:pos="8296"/>
            </w:tabs>
          </w:pPr>
          <w:r>
            <w:fldChar w:fldCharType="begin"/>
          </w:r>
          <w:r>
            <w:instrText xml:space="preserve"> HYPERLINK \l _Toc25745 </w:instrText>
          </w:r>
          <w:r>
            <w:fldChar w:fldCharType="separate"/>
          </w:r>
          <w:r>
            <w:rPr>
              <w:rFonts w:hint="eastAsia" w:ascii="黑体" w:eastAsia="黑体"/>
            </w:rPr>
            <w:t xml:space="preserve">九、 </w:t>
          </w:r>
          <w:r>
            <w:rPr>
              <w:rFonts w:hint="eastAsia" w:ascii="黑体" w:eastAsia="黑体"/>
              <w:highlight w:val="none"/>
            </w:rPr>
            <w:t>国有资本经营预算支出决算情况说明</w:t>
          </w:r>
          <w:r>
            <w:tab/>
          </w:r>
          <w:r>
            <w:fldChar w:fldCharType="begin"/>
          </w:r>
          <w:r>
            <w:instrText xml:space="preserve"> PAGEREF _Toc25745 </w:instrText>
          </w:r>
          <w:r>
            <w:fldChar w:fldCharType="separate"/>
          </w:r>
          <w:r>
            <w:t>8</w:t>
          </w:r>
          <w:r>
            <w:fldChar w:fldCharType="end"/>
          </w:r>
          <w:r>
            <w:fldChar w:fldCharType="end"/>
          </w:r>
        </w:p>
        <w:p>
          <w:pPr>
            <w:pStyle w:val="13"/>
            <w:tabs>
              <w:tab w:val="right" w:leader="dot" w:pos="8112"/>
              <w:tab w:val="clear" w:pos="8296"/>
            </w:tabs>
          </w:pPr>
          <w:r>
            <w:fldChar w:fldCharType="begin"/>
          </w:r>
          <w:r>
            <w:instrText xml:space="preserve"> HYPERLINK \l _Toc11235 </w:instrText>
          </w:r>
          <w:r>
            <w:fldChar w:fldCharType="separate"/>
          </w:r>
          <w:r>
            <w:rPr>
              <w:rFonts w:hint="eastAsia" w:ascii="黑体" w:eastAsia="黑体"/>
            </w:rPr>
            <w:t xml:space="preserve">十、 </w:t>
          </w:r>
          <w:r>
            <w:rPr>
              <w:rFonts w:hint="eastAsia" w:ascii="黑体" w:eastAsia="黑体"/>
              <w:highlight w:val="none"/>
            </w:rPr>
            <w:t>其他重要事项的情况说明</w:t>
          </w:r>
          <w:r>
            <w:tab/>
          </w:r>
          <w:r>
            <w:fldChar w:fldCharType="begin"/>
          </w:r>
          <w:r>
            <w:instrText xml:space="preserve"> PAGEREF _Toc11235 </w:instrText>
          </w:r>
          <w:r>
            <w:fldChar w:fldCharType="separate"/>
          </w:r>
          <w:r>
            <w:t>8</w:t>
          </w:r>
          <w:r>
            <w:fldChar w:fldCharType="end"/>
          </w:r>
          <w:r>
            <w:fldChar w:fldCharType="end"/>
          </w:r>
        </w:p>
        <w:p>
          <w:pPr>
            <w:pStyle w:val="8"/>
            <w:tabs>
              <w:tab w:val="right" w:leader="dot" w:pos="8112"/>
              <w:tab w:val="clear" w:pos="8296"/>
            </w:tabs>
          </w:pPr>
          <w:r>
            <w:fldChar w:fldCharType="begin"/>
          </w:r>
          <w:r>
            <w:instrText xml:space="preserve"> HYPERLINK \l _Toc23501 </w:instrText>
          </w:r>
          <w:r>
            <w:fldChar w:fldCharType="separate"/>
          </w:r>
          <w:r>
            <w:rPr>
              <w:rFonts w:hint="eastAsia" w:ascii="仿宋" w:eastAsia="仿宋"/>
              <w:szCs w:val="32"/>
              <w:highlight w:val="none"/>
            </w:rPr>
            <w:t>（一）机关运行经费支出情况</w:t>
          </w:r>
          <w:r>
            <w:tab/>
          </w:r>
          <w:r>
            <w:fldChar w:fldCharType="begin"/>
          </w:r>
          <w:r>
            <w:instrText xml:space="preserve"> PAGEREF _Toc23501 </w:instrText>
          </w:r>
          <w:r>
            <w:fldChar w:fldCharType="separate"/>
          </w:r>
          <w:r>
            <w:t>8</w:t>
          </w:r>
          <w:r>
            <w:fldChar w:fldCharType="end"/>
          </w:r>
          <w:r>
            <w:fldChar w:fldCharType="end"/>
          </w:r>
        </w:p>
        <w:p>
          <w:pPr>
            <w:pStyle w:val="8"/>
            <w:tabs>
              <w:tab w:val="right" w:leader="dot" w:pos="8112"/>
              <w:tab w:val="clear" w:pos="8296"/>
            </w:tabs>
          </w:pPr>
          <w:r>
            <w:fldChar w:fldCharType="begin"/>
          </w:r>
          <w:r>
            <w:instrText xml:space="preserve"> HYPERLINK \l _Toc12257 </w:instrText>
          </w:r>
          <w:r>
            <w:fldChar w:fldCharType="separate"/>
          </w:r>
          <w:r>
            <w:rPr>
              <w:rFonts w:hint="eastAsia" w:ascii="仿宋" w:eastAsia="仿宋"/>
              <w:szCs w:val="32"/>
              <w:highlight w:val="none"/>
            </w:rPr>
            <w:t>（二）政府采购支出情况</w:t>
          </w:r>
          <w:r>
            <w:tab/>
          </w:r>
          <w:r>
            <w:fldChar w:fldCharType="begin"/>
          </w:r>
          <w:r>
            <w:instrText xml:space="preserve"> PAGEREF _Toc12257 </w:instrText>
          </w:r>
          <w:r>
            <w:fldChar w:fldCharType="separate"/>
          </w:r>
          <w:r>
            <w:t>8</w:t>
          </w:r>
          <w:r>
            <w:fldChar w:fldCharType="end"/>
          </w:r>
          <w:r>
            <w:fldChar w:fldCharType="end"/>
          </w:r>
        </w:p>
        <w:p>
          <w:pPr>
            <w:pStyle w:val="8"/>
            <w:tabs>
              <w:tab w:val="right" w:leader="dot" w:pos="8112"/>
              <w:tab w:val="clear" w:pos="8296"/>
            </w:tabs>
          </w:pPr>
          <w:r>
            <w:fldChar w:fldCharType="begin"/>
          </w:r>
          <w:r>
            <w:instrText xml:space="preserve"> HYPERLINK \l _Toc26584 </w:instrText>
          </w:r>
          <w:r>
            <w:fldChar w:fldCharType="separate"/>
          </w:r>
          <w:r>
            <w:rPr>
              <w:rFonts w:hint="eastAsia" w:ascii="仿宋" w:eastAsia="仿宋"/>
              <w:szCs w:val="32"/>
              <w:highlight w:val="none"/>
            </w:rPr>
            <w:t>（三）国有资产占有使用情况</w:t>
          </w:r>
          <w:r>
            <w:tab/>
          </w:r>
          <w:r>
            <w:fldChar w:fldCharType="begin"/>
          </w:r>
          <w:r>
            <w:instrText xml:space="preserve"> PAGEREF _Toc26584 </w:instrText>
          </w:r>
          <w:r>
            <w:fldChar w:fldCharType="separate"/>
          </w:r>
          <w:r>
            <w:t>8</w:t>
          </w:r>
          <w:r>
            <w:fldChar w:fldCharType="end"/>
          </w:r>
          <w:r>
            <w:fldChar w:fldCharType="end"/>
          </w:r>
        </w:p>
        <w:p>
          <w:pPr>
            <w:pStyle w:val="8"/>
            <w:tabs>
              <w:tab w:val="right" w:leader="dot" w:pos="8112"/>
              <w:tab w:val="clear" w:pos="8296"/>
            </w:tabs>
          </w:pPr>
          <w:r>
            <w:fldChar w:fldCharType="begin"/>
          </w:r>
          <w:r>
            <w:instrText xml:space="preserve"> HYPERLINK \l _Toc17481 </w:instrText>
          </w:r>
          <w:r>
            <w:fldChar w:fldCharType="separate"/>
          </w:r>
          <w:r>
            <w:rPr>
              <w:rFonts w:hint="eastAsia" w:ascii="仿宋" w:eastAsia="仿宋"/>
              <w:szCs w:val="32"/>
              <w:highlight w:val="none"/>
            </w:rPr>
            <w:t>（四）预算绩效管理情况</w:t>
          </w:r>
          <w:r>
            <w:tab/>
          </w:r>
          <w:r>
            <w:fldChar w:fldCharType="begin"/>
          </w:r>
          <w:r>
            <w:instrText xml:space="preserve"> PAGEREF _Toc17481 </w:instrText>
          </w:r>
          <w:r>
            <w:fldChar w:fldCharType="separate"/>
          </w:r>
          <w:r>
            <w:t>8</w:t>
          </w:r>
          <w:r>
            <w:fldChar w:fldCharType="end"/>
          </w:r>
          <w:r>
            <w:fldChar w:fldCharType="end"/>
          </w:r>
        </w:p>
        <w:p>
          <w:pPr>
            <w:pStyle w:val="12"/>
            <w:tabs>
              <w:tab w:val="right" w:leader="dot" w:pos="8112"/>
              <w:tab w:val="clear" w:pos="8296"/>
            </w:tabs>
          </w:pPr>
          <w:r>
            <w:fldChar w:fldCharType="begin"/>
          </w:r>
          <w:r>
            <w:instrText xml:space="preserve"> HYPERLINK \l _Toc4007 </w:instrText>
          </w:r>
          <w:r>
            <w:fldChar w:fldCharType="separate"/>
          </w:r>
          <w:r>
            <w:rPr>
              <w:rFonts w:hint="eastAsia" w:ascii="黑体" w:hAnsi="黑体" w:eastAsia="黑体" w:cs="黑体"/>
              <w:szCs w:val="44"/>
            </w:rPr>
            <w:t xml:space="preserve">第三部分 </w:t>
          </w:r>
          <w:r>
            <w:rPr>
              <w:rFonts w:hint="eastAsia" w:ascii="黑体" w:eastAsia="黑体"/>
              <w:szCs w:val="44"/>
              <w:highlight w:val="none"/>
            </w:rPr>
            <w:t>名</w:t>
          </w:r>
          <w:r>
            <w:rPr>
              <w:rFonts w:hint="eastAsia" w:ascii="黑体" w:eastAsia="黑体"/>
              <w:highlight w:val="none"/>
            </w:rPr>
            <w:t>词解释</w:t>
          </w:r>
          <w:r>
            <w:tab/>
          </w:r>
          <w:r>
            <w:fldChar w:fldCharType="begin"/>
          </w:r>
          <w:r>
            <w:instrText xml:space="preserve"> PAGEREF _Toc4007 </w:instrText>
          </w:r>
          <w:r>
            <w:fldChar w:fldCharType="separate"/>
          </w:r>
          <w:r>
            <w:t>11</w:t>
          </w:r>
          <w:r>
            <w:fldChar w:fldCharType="end"/>
          </w:r>
          <w:r>
            <w:fldChar w:fldCharType="end"/>
          </w:r>
        </w:p>
        <w:p>
          <w:pPr>
            <w:pStyle w:val="12"/>
            <w:tabs>
              <w:tab w:val="right" w:leader="dot" w:pos="8112"/>
              <w:tab w:val="clear" w:pos="8296"/>
            </w:tabs>
          </w:pPr>
          <w:r>
            <w:fldChar w:fldCharType="begin"/>
          </w:r>
          <w:r>
            <w:instrText xml:space="preserve"> HYPERLINK \l _Toc714 </w:instrText>
          </w:r>
          <w:r>
            <w:fldChar w:fldCharType="separate"/>
          </w:r>
          <w:r>
            <w:rPr>
              <w:rFonts w:hint="eastAsia" w:ascii="黑体" w:eastAsia="黑体"/>
              <w:szCs w:val="44"/>
              <w:highlight w:val="none"/>
            </w:rPr>
            <w:t>第</w:t>
          </w:r>
          <w:r>
            <w:rPr>
              <w:rFonts w:hint="eastAsia" w:ascii="黑体" w:eastAsia="黑体"/>
              <w:highlight w:val="none"/>
              <w:lang w:eastAsia="zh-CN"/>
            </w:rPr>
            <w:t>四</w:t>
          </w:r>
          <w:r>
            <w:rPr>
              <w:rFonts w:hint="eastAsia" w:ascii="黑体" w:eastAsia="黑体"/>
              <w:highlight w:val="none"/>
            </w:rPr>
            <w:t>部分 附</w:t>
          </w:r>
          <w:r>
            <w:rPr>
              <w:rFonts w:hint="eastAsia" w:ascii="黑体" w:eastAsia="黑体"/>
              <w:highlight w:val="none"/>
              <w:lang w:eastAsia="zh-CN"/>
            </w:rPr>
            <w:t>件</w:t>
          </w:r>
          <w:r>
            <w:tab/>
          </w:r>
          <w:r>
            <w:fldChar w:fldCharType="begin"/>
          </w:r>
          <w:r>
            <w:instrText xml:space="preserve"> PAGEREF _Toc714 </w:instrText>
          </w:r>
          <w:r>
            <w:fldChar w:fldCharType="separate"/>
          </w:r>
          <w:r>
            <w:t>15</w:t>
          </w:r>
          <w:r>
            <w:fldChar w:fldCharType="end"/>
          </w:r>
          <w:r>
            <w:fldChar w:fldCharType="end"/>
          </w:r>
        </w:p>
        <w:p>
          <w:pPr>
            <w:pStyle w:val="12"/>
            <w:tabs>
              <w:tab w:val="right" w:leader="dot" w:pos="8112"/>
              <w:tab w:val="clear" w:pos="8296"/>
            </w:tabs>
          </w:pPr>
          <w:r>
            <w:fldChar w:fldCharType="begin"/>
          </w:r>
          <w:r>
            <w:instrText xml:space="preserve"> HYPERLINK \l _Toc714 </w:instrText>
          </w:r>
          <w:r>
            <w:fldChar w:fldCharType="separate"/>
          </w:r>
          <w:r>
            <w:rPr>
              <w:rFonts w:hint="eastAsia" w:ascii="黑体" w:eastAsia="黑体"/>
              <w:szCs w:val="44"/>
              <w:highlight w:val="none"/>
            </w:rPr>
            <w:t>第</w:t>
          </w:r>
          <w:r>
            <w:rPr>
              <w:rFonts w:hint="eastAsia" w:ascii="黑体" w:eastAsia="黑体"/>
              <w:highlight w:val="none"/>
            </w:rPr>
            <w:t>五部分 附表</w:t>
          </w:r>
          <w:r>
            <w:tab/>
          </w:r>
          <w:r>
            <w:fldChar w:fldCharType="begin"/>
          </w:r>
          <w:r>
            <w:instrText xml:space="preserve"> PAGEREF _Toc714 </w:instrText>
          </w:r>
          <w:r>
            <w:fldChar w:fldCharType="separate"/>
          </w:r>
          <w:r>
            <w:t>15</w:t>
          </w:r>
          <w:r>
            <w:fldChar w:fldCharType="end"/>
          </w:r>
          <w:r>
            <w:fldChar w:fldCharType="end"/>
          </w:r>
        </w:p>
        <w:p>
          <w:pPr>
            <w:pStyle w:val="13"/>
            <w:tabs>
              <w:tab w:val="right" w:leader="dot" w:pos="8112"/>
              <w:tab w:val="clear" w:pos="8296"/>
            </w:tabs>
          </w:pPr>
          <w:r>
            <w:fldChar w:fldCharType="begin"/>
          </w:r>
          <w:r>
            <w:instrText xml:space="preserve"> HYPERLINK \l _Toc31005 </w:instrText>
          </w:r>
          <w:r>
            <w:fldChar w:fldCharType="separate"/>
          </w:r>
          <w:r>
            <w:rPr>
              <w:rFonts w:hint="eastAsia" w:ascii="仿宋" w:eastAsia="仿宋"/>
              <w:highlight w:val="none"/>
            </w:rPr>
            <w:t>一、收</w:t>
          </w:r>
          <w:r>
            <w:rPr>
              <w:rFonts w:hint="eastAsia" w:ascii="仿宋" w:eastAsia="仿宋"/>
              <w:bCs w:val="0"/>
              <w:highlight w:val="none"/>
            </w:rPr>
            <w:t>入支出决算总表</w:t>
          </w:r>
          <w:r>
            <w:tab/>
          </w:r>
          <w:r>
            <w:fldChar w:fldCharType="begin"/>
          </w:r>
          <w:r>
            <w:instrText xml:space="preserve"> PAGEREF _Toc31005 </w:instrText>
          </w:r>
          <w:r>
            <w:fldChar w:fldCharType="separate"/>
          </w:r>
          <w:r>
            <w:t>15</w:t>
          </w:r>
          <w:r>
            <w:fldChar w:fldCharType="end"/>
          </w:r>
          <w:r>
            <w:fldChar w:fldCharType="end"/>
          </w:r>
        </w:p>
        <w:p>
          <w:pPr>
            <w:pStyle w:val="13"/>
            <w:tabs>
              <w:tab w:val="right" w:leader="dot" w:pos="8112"/>
              <w:tab w:val="clear" w:pos="8296"/>
            </w:tabs>
          </w:pPr>
          <w:r>
            <w:fldChar w:fldCharType="begin"/>
          </w:r>
          <w:r>
            <w:instrText xml:space="preserve"> HYPERLINK \l _Toc29280 </w:instrText>
          </w:r>
          <w:r>
            <w:fldChar w:fldCharType="separate"/>
          </w:r>
          <w:r>
            <w:rPr>
              <w:rFonts w:hint="eastAsia" w:ascii="仿宋" w:eastAsia="仿宋"/>
              <w:highlight w:val="none"/>
            </w:rPr>
            <w:t>二、收</w:t>
          </w:r>
          <w:r>
            <w:rPr>
              <w:rFonts w:hint="eastAsia" w:ascii="仿宋" w:eastAsia="仿宋"/>
              <w:bCs w:val="0"/>
              <w:highlight w:val="none"/>
            </w:rPr>
            <w:t>入决算表</w:t>
          </w:r>
          <w:r>
            <w:tab/>
          </w:r>
          <w:r>
            <w:fldChar w:fldCharType="begin"/>
          </w:r>
          <w:r>
            <w:instrText xml:space="preserve"> PAGEREF _Toc29280 </w:instrText>
          </w:r>
          <w:r>
            <w:fldChar w:fldCharType="separate"/>
          </w:r>
          <w:r>
            <w:t>15</w:t>
          </w:r>
          <w:r>
            <w:fldChar w:fldCharType="end"/>
          </w:r>
          <w:r>
            <w:fldChar w:fldCharType="end"/>
          </w:r>
        </w:p>
        <w:p>
          <w:pPr>
            <w:pStyle w:val="13"/>
            <w:tabs>
              <w:tab w:val="right" w:leader="dot" w:pos="8112"/>
              <w:tab w:val="clear" w:pos="8296"/>
            </w:tabs>
          </w:pPr>
          <w:r>
            <w:fldChar w:fldCharType="begin"/>
          </w:r>
          <w:r>
            <w:instrText xml:space="preserve"> HYPERLINK \l _Toc20370 </w:instrText>
          </w:r>
          <w:r>
            <w:fldChar w:fldCharType="separate"/>
          </w:r>
          <w:r>
            <w:rPr>
              <w:rFonts w:hint="eastAsia" w:ascii="仿宋" w:eastAsia="仿宋"/>
              <w:bCs w:val="0"/>
              <w:highlight w:val="none"/>
            </w:rPr>
            <w:t>三、</w:t>
          </w:r>
          <w:r>
            <w:rPr>
              <w:rFonts w:hint="eastAsia" w:ascii="仿宋" w:eastAsia="仿宋"/>
              <w:highlight w:val="none"/>
            </w:rPr>
            <w:t>支</w:t>
          </w:r>
          <w:r>
            <w:rPr>
              <w:rFonts w:hint="eastAsia" w:ascii="仿宋" w:eastAsia="仿宋"/>
              <w:bCs w:val="0"/>
              <w:highlight w:val="none"/>
            </w:rPr>
            <w:t>出决算表</w:t>
          </w:r>
          <w:r>
            <w:tab/>
          </w:r>
          <w:r>
            <w:fldChar w:fldCharType="begin"/>
          </w:r>
          <w:r>
            <w:instrText xml:space="preserve"> PAGEREF _Toc20370 </w:instrText>
          </w:r>
          <w:r>
            <w:fldChar w:fldCharType="separate"/>
          </w:r>
          <w:r>
            <w:t>15</w:t>
          </w:r>
          <w:r>
            <w:fldChar w:fldCharType="end"/>
          </w:r>
          <w:r>
            <w:fldChar w:fldCharType="end"/>
          </w:r>
        </w:p>
        <w:p>
          <w:pPr>
            <w:pStyle w:val="13"/>
            <w:tabs>
              <w:tab w:val="right" w:leader="dot" w:pos="8112"/>
              <w:tab w:val="clear" w:pos="8296"/>
            </w:tabs>
          </w:pPr>
          <w:r>
            <w:fldChar w:fldCharType="begin"/>
          </w:r>
          <w:r>
            <w:instrText xml:space="preserve"> HYPERLINK \l _Toc1014 </w:instrText>
          </w:r>
          <w:r>
            <w:fldChar w:fldCharType="separate"/>
          </w:r>
          <w:r>
            <w:rPr>
              <w:rFonts w:hint="eastAsia" w:ascii="仿宋" w:eastAsia="仿宋"/>
              <w:bCs w:val="0"/>
              <w:highlight w:val="none"/>
            </w:rPr>
            <w:t>四、</w:t>
          </w:r>
          <w:r>
            <w:rPr>
              <w:rFonts w:hint="eastAsia" w:ascii="仿宋" w:eastAsia="仿宋"/>
              <w:highlight w:val="none"/>
            </w:rPr>
            <w:t>财</w:t>
          </w:r>
          <w:r>
            <w:rPr>
              <w:rFonts w:hint="eastAsia" w:ascii="仿宋" w:eastAsia="仿宋"/>
              <w:bCs w:val="0"/>
              <w:highlight w:val="none"/>
            </w:rPr>
            <w:t>政拨款收入支出决算总表</w:t>
          </w:r>
          <w:r>
            <w:tab/>
          </w:r>
          <w:r>
            <w:fldChar w:fldCharType="begin"/>
          </w:r>
          <w:r>
            <w:instrText xml:space="preserve"> PAGEREF _Toc1014 </w:instrText>
          </w:r>
          <w:r>
            <w:fldChar w:fldCharType="separate"/>
          </w:r>
          <w:r>
            <w:t>15</w:t>
          </w:r>
          <w:r>
            <w:fldChar w:fldCharType="end"/>
          </w:r>
          <w:r>
            <w:fldChar w:fldCharType="end"/>
          </w:r>
        </w:p>
        <w:p>
          <w:pPr>
            <w:pStyle w:val="13"/>
            <w:tabs>
              <w:tab w:val="right" w:leader="dot" w:pos="8112"/>
              <w:tab w:val="clear" w:pos="8296"/>
            </w:tabs>
          </w:pPr>
          <w:r>
            <w:fldChar w:fldCharType="begin"/>
          </w:r>
          <w:r>
            <w:instrText xml:space="preserve"> HYPERLINK \l _Toc19983 </w:instrText>
          </w:r>
          <w:r>
            <w:fldChar w:fldCharType="separate"/>
          </w:r>
          <w:r>
            <w:rPr>
              <w:rFonts w:hint="eastAsia" w:ascii="仿宋" w:eastAsia="仿宋"/>
              <w:bCs w:val="0"/>
              <w:highlight w:val="none"/>
            </w:rPr>
            <w:t>五、</w:t>
          </w:r>
          <w:r>
            <w:rPr>
              <w:rFonts w:hint="eastAsia" w:ascii="仿宋" w:eastAsia="仿宋"/>
              <w:highlight w:val="none"/>
            </w:rPr>
            <w:t>财</w:t>
          </w:r>
          <w:r>
            <w:rPr>
              <w:rFonts w:hint="eastAsia" w:ascii="仿宋" w:eastAsia="仿宋"/>
              <w:bCs w:val="0"/>
              <w:highlight w:val="none"/>
            </w:rPr>
            <w:t>政拨款支出决算明细表</w:t>
          </w:r>
          <w:r>
            <w:tab/>
          </w:r>
          <w:r>
            <w:fldChar w:fldCharType="begin"/>
          </w:r>
          <w:r>
            <w:instrText xml:space="preserve"> PAGEREF _Toc19983 </w:instrText>
          </w:r>
          <w:r>
            <w:fldChar w:fldCharType="separate"/>
          </w:r>
          <w:r>
            <w:t>15</w:t>
          </w:r>
          <w:r>
            <w:fldChar w:fldCharType="end"/>
          </w:r>
          <w:r>
            <w:fldChar w:fldCharType="end"/>
          </w:r>
        </w:p>
        <w:p>
          <w:pPr>
            <w:pStyle w:val="13"/>
            <w:tabs>
              <w:tab w:val="right" w:leader="dot" w:pos="8112"/>
              <w:tab w:val="clear" w:pos="8296"/>
            </w:tabs>
          </w:pPr>
          <w:r>
            <w:fldChar w:fldCharType="begin"/>
          </w:r>
          <w:r>
            <w:instrText xml:space="preserve"> HYPERLINK \l _Toc6246 </w:instrText>
          </w:r>
          <w:r>
            <w:fldChar w:fldCharType="separate"/>
          </w:r>
          <w:r>
            <w:rPr>
              <w:rFonts w:hint="eastAsia" w:ascii="仿宋" w:eastAsia="仿宋"/>
              <w:bCs w:val="0"/>
              <w:highlight w:val="none"/>
            </w:rPr>
            <w:t>六、</w:t>
          </w:r>
          <w:r>
            <w:rPr>
              <w:rFonts w:hint="eastAsia" w:ascii="仿宋" w:eastAsia="仿宋"/>
              <w:highlight w:val="none"/>
            </w:rPr>
            <w:t>一</w:t>
          </w:r>
          <w:r>
            <w:rPr>
              <w:rFonts w:hint="eastAsia" w:ascii="仿宋" w:eastAsia="仿宋"/>
              <w:bCs w:val="0"/>
              <w:highlight w:val="none"/>
            </w:rPr>
            <w:t>般公共预算财政拨款支出决算表</w:t>
          </w:r>
          <w:r>
            <w:tab/>
          </w:r>
          <w:r>
            <w:fldChar w:fldCharType="begin"/>
          </w:r>
          <w:r>
            <w:instrText xml:space="preserve"> PAGEREF _Toc6246 </w:instrText>
          </w:r>
          <w:r>
            <w:fldChar w:fldCharType="separate"/>
          </w:r>
          <w:r>
            <w:t>15</w:t>
          </w:r>
          <w:r>
            <w:fldChar w:fldCharType="end"/>
          </w:r>
          <w:r>
            <w:fldChar w:fldCharType="end"/>
          </w:r>
        </w:p>
        <w:p>
          <w:pPr>
            <w:pStyle w:val="13"/>
            <w:tabs>
              <w:tab w:val="right" w:leader="dot" w:pos="8112"/>
              <w:tab w:val="clear" w:pos="8296"/>
            </w:tabs>
          </w:pPr>
          <w:r>
            <w:fldChar w:fldCharType="begin"/>
          </w:r>
          <w:r>
            <w:instrText xml:space="preserve"> HYPERLINK \l _Toc25646 </w:instrText>
          </w:r>
          <w:r>
            <w:fldChar w:fldCharType="separate"/>
          </w:r>
          <w:r>
            <w:rPr>
              <w:rFonts w:hint="eastAsia" w:ascii="仿宋" w:eastAsia="仿宋"/>
              <w:bCs w:val="0"/>
              <w:highlight w:val="none"/>
            </w:rPr>
            <w:t>七、</w:t>
          </w:r>
          <w:r>
            <w:rPr>
              <w:rFonts w:hint="eastAsia" w:ascii="仿宋" w:eastAsia="仿宋"/>
              <w:highlight w:val="none"/>
            </w:rPr>
            <w:t>一</w:t>
          </w:r>
          <w:r>
            <w:rPr>
              <w:rFonts w:hint="eastAsia" w:ascii="仿宋" w:eastAsia="仿宋"/>
              <w:bCs w:val="0"/>
              <w:highlight w:val="none"/>
            </w:rPr>
            <w:t>般公共预算财政拨款支出决算明细表</w:t>
          </w:r>
          <w:r>
            <w:tab/>
          </w:r>
          <w:r>
            <w:fldChar w:fldCharType="begin"/>
          </w:r>
          <w:r>
            <w:instrText xml:space="preserve"> PAGEREF _Toc25646 </w:instrText>
          </w:r>
          <w:r>
            <w:fldChar w:fldCharType="separate"/>
          </w:r>
          <w:r>
            <w:t>15</w:t>
          </w:r>
          <w:r>
            <w:fldChar w:fldCharType="end"/>
          </w:r>
          <w:r>
            <w:fldChar w:fldCharType="end"/>
          </w:r>
        </w:p>
        <w:p>
          <w:pPr>
            <w:pStyle w:val="13"/>
            <w:tabs>
              <w:tab w:val="right" w:leader="dot" w:pos="8112"/>
              <w:tab w:val="clear" w:pos="8296"/>
            </w:tabs>
            <w:sectPr>
              <w:footerReference r:id="rId6" w:type="first"/>
              <w:footerReference r:id="rId5" w:type="default"/>
              <w:pgSz w:w="11906" w:h="16838"/>
              <w:pgMar w:top="1440" w:right="1994" w:bottom="1440" w:left="1800" w:header="851" w:footer="992" w:gutter="0"/>
              <w:pgNumType w:start="1"/>
              <w:cols w:space="720" w:num="1"/>
              <w:titlePg/>
              <w:docGrid w:type="lines" w:linePitch="312" w:charSpace="0"/>
            </w:sectPr>
          </w:pPr>
        </w:p>
        <w:p>
          <w:pPr>
            <w:pStyle w:val="13"/>
            <w:tabs>
              <w:tab w:val="right" w:leader="dot" w:pos="8112"/>
              <w:tab w:val="clear" w:pos="8296"/>
            </w:tabs>
          </w:pPr>
          <w:r>
            <w:fldChar w:fldCharType="begin"/>
          </w:r>
          <w:r>
            <w:instrText xml:space="preserve"> HYPERLINK \l _Toc21089 </w:instrText>
          </w:r>
          <w:r>
            <w:fldChar w:fldCharType="separate"/>
          </w:r>
          <w:r>
            <w:rPr>
              <w:rFonts w:hint="eastAsia" w:ascii="仿宋" w:eastAsia="仿宋"/>
              <w:bCs w:val="0"/>
              <w:highlight w:val="none"/>
            </w:rPr>
            <w:t>八、</w:t>
          </w:r>
          <w:r>
            <w:rPr>
              <w:rFonts w:hint="eastAsia" w:ascii="仿宋" w:eastAsia="仿宋"/>
              <w:highlight w:val="none"/>
            </w:rPr>
            <w:t>一</w:t>
          </w:r>
          <w:r>
            <w:rPr>
              <w:rFonts w:hint="eastAsia" w:ascii="仿宋" w:eastAsia="仿宋"/>
              <w:bCs w:val="0"/>
              <w:highlight w:val="none"/>
            </w:rPr>
            <w:t>般公共预算财政拨款基本支出决算表</w:t>
          </w:r>
          <w:r>
            <w:tab/>
          </w:r>
          <w:r>
            <w:fldChar w:fldCharType="begin"/>
          </w:r>
          <w:r>
            <w:instrText xml:space="preserve"> PAGEREF _Toc21089 </w:instrText>
          </w:r>
          <w:r>
            <w:fldChar w:fldCharType="separate"/>
          </w:r>
          <w:r>
            <w:t>15</w:t>
          </w:r>
          <w:r>
            <w:fldChar w:fldCharType="end"/>
          </w:r>
          <w:r>
            <w:fldChar w:fldCharType="end"/>
          </w:r>
        </w:p>
        <w:p>
          <w:pPr>
            <w:pStyle w:val="13"/>
            <w:tabs>
              <w:tab w:val="right" w:leader="dot" w:pos="8112"/>
              <w:tab w:val="clear" w:pos="8296"/>
            </w:tabs>
          </w:pPr>
          <w:r>
            <w:fldChar w:fldCharType="begin"/>
          </w:r>
          <w:r>
            <w:instrText xml:space="preserve"> HYPERLINK \l _Toc23889 </w:instrText>
          </w:r>
          <w:r>
            <w:fldChar w:fldCharType="separate"/>
          </w:r>
          <w:r>
            <w:rPr>
              <w:rFonts w:hint="eastAsia" w:ascii="仿宋" w:eastAsia="仿宋"/>
              <w:bCs w:val="0"/>
              <w:highlight w:val="none"/>
            </w:rPr>
            <w:t>九、</w:t>
          </w:r>
          <w:r>
            <w:rPr>
              <w:rFonts w:hint="eastAsia" w:ascii="仿宋" w:eastAsia="仿宋"/>
              <w:highlight w:val="none"/>
            </w:rPr>
            <w:t>一</w:t>
          </w:r>
          <w:r>
            <w:rPr>
              <w:rFonts w:hint="eastAsia" w:ascii="仿宋" w:eastAsia="仿宋"/>
              <w:bCs w:val="0"/>
              <w:highlight w:val="none"/>
            </w:rPr>
            <w:t>般公共预算财政拨款项目支出决算表</w:t>
          </w:r>
          <w:r>
            <w:tab/>
          </w:r>
          <w:r>
            <w:fldChar w:fldCharType="begin"/>
          </w:r>
          <w:r>
            <w:instrText xml:space="preserve"> PAGEREF _Toc23889 </w:instrText>
          </w:r>
          <w:r>
            <w:fldChar w:fldCharType="separate"/>
          </w:r>
          <w:r>
            <w:t>15</w:t>
          </w:r>
          <w:r>
            <w:fldChar w:fldCharType="end"/>
          </w:r>
          <w:r>
            <w:fldChar w:fldCharType="end"/>
          </w:r>
        </w:p>
        <w:p>
          <w:pPr>
            <w:pStyle w:val="13"/>
            <w:tabs>
              <w:tab w:val="right" w:leader="dot" w:pos="8112"/>
              <w:tab w:val="clear" w:pos="8296"/>
            </w:tabs>
          </w:pPr>
          <w:r>
            <w:fldChar w:fldCharType="begin"/>
          </w:r>
          <w:r>
            <w:instrText xml:space="preserve"> HYPERLINK \l _Toc7509 </w:instrText>
          </w:r>
          <w:r>
            <w:fldChar w:fldCharType="separate"/>
          </w:r>
          <w:r>
            <w:rPr>
              <w:rFonts w:hint="eastAsia" w:ascii="仿宋" w:eastAsia="仿宋"/>
              <w:bCs w:val="0"/>
              <w:highlight w:val="none"/>
            </w:rPr>
            <w:t>十、</w:t>
          </w:r>
          <w:r>
            <w:rPr>
              <w:rFonts w:hint="eastAsia" w:ascii="仿宋" w:eastAsia="仿宋"/>
              <w:highlight w:val="none"/>
            </w:rPr>
            <w:t>政</w:t>
          </w:r>
          <w:r>
            <w:rPr>
              <w:rFonts w:hint="eastAsia" w:ascii="仿宋" w:eastAsia="仿宋"/>
              <w:bCs w:val="0"/>
              <w:highlight w:val="none"/>
            </w:rPr>
            <w:t>府性基金预算财政拨款收入支出决算表</w:t>
          </w:r>
          <w:r>
            <w:tab/>
          </w:r>
          <w:r>
            <w:fldChar w:fldCharType="begin"/>
          </w:r>
          <w:r>
            <w:instrText xml:space="preserve"> PAGEREF _Toc7509 </w:instrText>
          </w:r>
          <w:r>
            <w:fldChar w:fldCharType="separate"/>
          </w:r>
          <w:r>
            <w:t>15</w:t>
          </w:r>
          <w:r>
            <w:fldChar w:fldCharType="end"/>
          </w:r>
          <w:r>
            <w:fldChar w:fldCharType="end"/>
          </w:r>
        </w:p>
        <w:p>
          <w:pPr>
            <w:pStyle w:val="13"/>
            <w:tabs>
              <w:tab w:val="right" w:leader="dot" w:pos="8112"/>
              <w:tab w:val="clear" w:pos="8296"/>
            </w:tabs>
          </w:pPr>
          <w:r>
            <w:fldChar w:fldCharType="begin"/>
          </w:r>
          <w:r>
            <w:instrText xml:space="preserve"> HYPERLINK \l _Toc22145 </w:instrText>
          </w:r>
          <w:r>
            <w:fldChar w:fldCharType="separate"/>
          </w:r>
          <w:r>
            <w:rPr>
              <w:rFonts w:hint="eastAsia" w:ascii="仿宋" w:eastAsia="仿宋"/>
              <w:bCs w:val="0"/>
              <w:highlight w:val="none"/>
            </w:rPr>
            <w:t>十一、</w:t>
          </w:r>
          <w:r>
            <w:rPr>
              <w:rFonts w:hint="eastAsia" w:ascii="仿宋" w:eastAsia="仿宋"/>
              <w:highlight w:val="none"/>
            </w:rPr>
            <w:t>国</w:t>
          </w:r>
          <w:r>
            <w:rPr>
              <w:rFonts w:hint="eastAsia" w:ascii="仿宋" w:eastAsia="仿宋"/>
              <w:bCs w:val="0"/>
              <w:highlight w:val="none"/>
            </w:rPr>
            <w:t>有资本经营预算</w:t>
          </w:r>
          <w:r>
            <w:rPr>
              <w:rFonts w:hint="eastAsia" w:ascii="仿宋" w:eastAsia="仿宋"/>
              <w:bCs w:val="0"/>
              <w:highlight w:val="none"/>
              <w:lang w:eastAsia="zh-CN"/>
            </w:rPr>
            <w:t>财政拨款收入</w:t>
          </w:r>
          <w:r>
            <w:rPr>
              <w:rFonts w:hint="eastAsia" w:ascii="仿宋" w:eastAsia="仿宋"/>
              <w:bCs w:val="0"/>
              <w:highlight w:val="none"/>
            </w:rPr>
            <w:t>支出决算表</w:t>
          </w:r>
          <w:r>
            <w:tab/>
          </w:r>
          <w:r>
            <w:fldChar w:fldCharType="begin"/>
          </w:r>
          <w:r>
            <w:instrText xml:space="preserve"> PAGEREF _Toc22145 </w:instrText>
          </w:r>
          <w:r>
            <w:fldChar w:fldCharType="separate"/>
          </w:r>
          <w:r>
            <w:t>15</w:t>
          </w:r>
          <w:r>
            <w:fldChar w:fldCharType="end"/>
          </w:r>
          <w:r>
            <w:fldChar w:fldCharType="end"/>
          </w:r>
        </w:p>
        <w:p>
          <w:pPr>
            <w:pStyle w:val="13"/>
            <w:tabs>
              <w:tab w:val="right" w:leader="dot" w:pos="8112"/>
              <w:tab w:val="clear" w:pos="8296"/>
            </w:tabs>
          </w:pPr>
          <w:r>
            <w:fldChar w:fldCharType="begin"/>
          </w:r>
          <w:r>
            <w:instrText xml:space="preserve"> HYPERLINK \l _Toc11337 </w:instrText>
          </w:r>
          <w:r>
            <w:fldChar w:fldCharType="separate"/>
          </w:r>
          <w:r>
            <w:rPr>
              <w:rFonts w:hint="eastAsia" w:ascii="仿宋" w:eastAsia="仿宋"/>
              <w:bCs w:val="0"/>
              <w:highlight w:val="none"/>
            </w:rPr>
            <w:t>十二、</w:t>
          </w:r>
          <w:r>
            <w:rPr>
              <w:rFonts w:hint="eastAsia" w:ascii="仿宋" w:eastAsia="仿宋"/>
              <w:bCs w:val="0"/>
              <w:highlight w:val="none"/>
              <w:lang w:eastAsia="zh-CN"/>
            </w:rPr>
            <w:t>国有资本经营预算财政拨款支出决算表</w:t>
          </w:r>
          <w:r>
            <w:tab/>
          </w:r>
          <w:r>
            <w:fldChar w:fldCharType="begin"/>
          </w:r>
          <w:r>
            <w:instrText xml:space="preserve"> PAGEREF _Toc11337 </w:instrText>
          </w:r>
          <w:r>
            <w:fldChar w:fldCharType="separate"/>
          </w:r>
          <w:r>
            <w:t>15</w:t>
          </w:r>
          <w:r>
            <w:fldChar w:fldCharType="end"/>
          </w:r>
          <w:r>
            <w:fldChar w:fldCharType="end"/>
          </w:r>
        </w:p>
        <w:p>
          <w:pPr>
            <w:pStyle w:val="13"/>
            <w:tabs>
              <w:tab w:val="right" w:leader="dot" w:pos="8112"/>
              <w:tab w:val="clear" w:pos="8296"/>
            </w:tabs>
          </w:pPr>
          <w:r>
            <w:fldChar w:fldCharType="begin"/>
          </w:r>
          <w:r>
            <w:instrText xml:space="preserve"> HYPERLINK \l _Toc8250 </w:instrText>
          </w:r>
          <w:r>
            <w:fldChar w:fldCharType="separate"/>
          </w:r>
          <w:r>
            <w:rPr>
              <w:rFonts w:hint="eastAsia" w:ascii="仿宋" w:eastAsia="仿宋"/>
              <w:bCs w:val="0"/>
              <w:highlight w:val="none"/>
            </w:rPr>
            <w:t>十三、</w:t>
          </w:r>
          <w:r>
            <w:rPr>
              <w:rFonts w:hint="eastAsia" w:ascii="仿宋" w:eastAsia="仿宋"/>
              <w:bCs w:val="0"/>
              <w:highlight w:val="none"/>
              <w:lang w:eastAsia="zh-CN"/>
            </w:rPr>
            <w:t>财政拨款“三公”经费支出决算表</w:t>
          </w:r>
          <w:r>
            <w:tab/>
          </w:r>
          <w:r>
            <w:fldChar w:fldCharType="begin"/>
          </w:r>
          <w:r>
            <w:instrText xml:space="preserve"> PAGEREF _Toc8250 </w:instrText>
          </w:r>
          <w:r>
            <w:fldChar w:fldCharType="separate"/>
          </w:r>
          <w:r>
            <w:t>15</w:t>
          </w:r>
          <w:r>
            <w:fldChar w:fldCharType="end"/>
          </w:r>
          <w:r>
            <w:fldChar w:fldCharType="end"/>
          </w:r>
        </w:p>
        <w:p>
          <w:pPr>
            <w:widowControl/>
            <w:spacing w:before="0" w:after="0" w:line="240" w:lineRule="auto"/>
            <w:ind w:left="0" w:right="0" w:firstLine="0"/>
            <w:jc w:val="center"/>
          </w:pPr>
          <w:r>
            <w:fldChar w:fldCharType="end"/>
          </w:r>
        </w:p>
      </w:sdtContent>
    </w:sdt>
    <w:p>
      <w:pPr>
        <w:pStyle w:val="2"/>
      </w:pPr>
      <w:bookmarkStart w:id="16" w:name="_Toc15396599"/>
      <w:bookmarkStart w:id="17" w:name="_Toc15377196"/>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3"/>
        <w:jc w:val="center"/>
        <w:rPr>
          <w:rFonts w:hint="eastAsia" w:ascii="黑体" w:eastAsia="黑体"/>
          <w:b w:val="0"/>
          <w:color w:val="auto"/>
          <w:highlight w:val="none"/>
        </w:rPr>
        <w:sectPr>
          <w:footerReference r:id="rId8" w:type="first"/>
          <w:footerReference r:id="rId7" w:type="default"/>
          <w:pgSz w:w="11906" w:h="16838"/>
          <w:pgMar w:top="1440" w:right="1994" w:bottom="1440" w:left="1800" w:header="851" w:footer="992" w:gutter="0"/>
          <w:pgNumType w:start="1"/>
          <w:cols w:space="720" w:num="1"/>
          <w:docGrid w:type="lines" w:linePitch="312" w:charSpace="0"/>
        </w:sectPr>
      </w:pPr>
      <w:bookmarkStart w:id="18" w:name="_Toc404"/>
    </w:p>
    <w:p>
      <w:pPr>
        <w:pStyle w:val="3"/>
        <w:jc w:val="center"/>
        <w:rPr>
          <w:rStyle w:val="18"/>
          <w:rFonts w:ascii="黑体" w:eastAsia="黑体"/>
          <w:b/>
          <w:bCs w:val="0"/>
          <w:color w:val="auto"/>
          <w:highlight w:val="none"/>
        </w:rPr>
      </w:pPr>
      <w:r>
        <w:rPr>
          <w:rFonts w:hint="eastAsia" w:ascii="黑体" w:eastAsia="黑体"/>
          <w:b w:val="0"/>
          <w:color w:val="auto"/>
          <w:highlight w:val="none"/>
        </w:rPr>
        <w:t xml:space="preserve">第一部分 </w:t>
      </w:r>
      <w:r>
        <w:rPr>
          <w:rFonts w:hint="eastAsia" w:ascii="黑体" w:eastAsia="黑体"/>
          <w:b w:val="0"/>
          <w:color w:val="auto"/>
          <w:highlight w:val="none"/>
          <w:lang w:eastAsia="zh-CN"/>
        </w:rPr>
        <w:t>单位</w:t>
      </w:r>
      <w:r>
        <w:rPr>
          <w:rStyle w:val="18"/>
          <w:rFonts w:hint="eastAsia" w:ascii="黑体" w:eastAsia="黑体"/>
          <w:b w:val="0"/>
          <w:bCs w:val="0"/>
          <w:color w:val="auto"/>
          <w:highlight w:val="none"/>
        </w:rPr>
        <w:t>概况</w:t>
      </w:r>
      <w:bookmarkEnd w:id="16"/>
      <w:bookmarkEnd w:id="17"/>
      <w:bookmarkEnd w:id="18"/>
    </w:p>
    <w:p>
      <w:pPr>
        <w:widowControl/>
        <w:jc w:val="left"/>
        <w:rPr>
          <w:rFonts w:ascii="黑体" w:eastAsia="黑体"/>
          <w:color w:val="auto"/>
          <w:sz w:val="32"/>
          <w:szCs w:val="32"/>
          <w:highlight w:val="none"/>
        </w:rPr>
      </w:pPr>
    </w:p>
    <w:p>
      <w:pPr>
        <w:pStyle w:val="4"/>
        <w:numPr>
          <w:ilvl w:val="0"/>
          <w:numId w:val="1"/>
        </w:numPr>
        <w:rPr>
          <w:rStyle w:val="19"/>
          <w:rFonts w:hint="eastAsia" w:ascii="黑体" w:eastAsia="黑体"/>
          <w:b w:val="0"/>
          <w:bCs w:val="0"/>
          <w:color w:val="auto"/>
          <w:highlight w:val="none"/>
          <w:lang w:eastAsia="zh-CN"/>
        </w:rPr>
      </w:pPr>
      <w:bookmarkStart w:id="19" w:name="_Toc5919"/>
      <w:bookmarkStart w:id="20" w:name="_Toc15377197"/>
      <w:bookmarkStart w:id="21" w:name="_Toc15396600"/>
      <w:r>
        <w:rPr>
          <w:rStyle w:val="19"/>
          <w:rFonts w:hint="eastAsia" w:ascii="黑体" w:eastAsia="黑体"/>
          <w:b w:val="0"/>
          <w:bCs w:val="0"/>
          <w:color w:val="auto"/>
          <w:highlight w:val="none"/>
          <w:lang w:eastAsia="zh-CN"/>
        </w:rPr>
        <w:t>主要职责</w:t>
      </w:r>
      <w:bookmarkEnd w:id="19"/>
    </w:p>
    <w:bookmarkEnd w:id="20"/>
    <w:bookmarkEnd w:id="21"/>
    <w:p>
      <w:pPr>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（一）基本公共卫生服务方面</w:t>
      </w:r>
    </w:p>
    <w:p>
      <w:pPr>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落实农村居民健康档案管理及服务；普及卫生保健常识，指导开展爱国卫生工作；规范预防接种服务，执行国家免疫规划；及时发现、登记并报告辖区传染病病历和疑似病例，参与现场疫情处理，协助处理辖区内突发公共卫生事件；开展新生儿访视及儿童、孕产妇保健系统管理；对辖区65岁及以上老年人和糖尿病、精神病、高血压等慢性疾病登记管理；接受区卫生行政部门委托，对辖区内传染病防治、学校卫生、饮用水卫生、职业卫生以及村级预防保健工作进行指导、培训、考核与监督等。</w:t>
      </w:r>
    </w:p>
    <w:p>
      <w:pPr>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（二）基本医疗服务方面</w:t>
      </w:r>
    </w:p>
    <w:p>
      <w:pPr>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正确处理常见病，多发病，对疑难杂症进行恰当的处理与转诊；加强急诊救护体系建设，承担乡村现场应急救护，转诊和康复服务；认真执行国家基本药物制度，加强医疗质量管理及院感防控。 </w:t>
      </w:r>
    </w:p>
    <w:p>
      <w:pPr>
        <w:spacing w:line="60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（三）基本管理服务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68"/>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规范卫生院财务管理工作，巩固农村公共卫生服务体系。履行定点医疗机构职责，严格执行国家基本医疗保险政策并做好有关的政策宣传，监督及服务工作。深入推进乡村卫生服务一体化管理，负责村卫生室的技术指导和医生培训等工作。落实健康扶贫相关政策。</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leftChars="0" w:right="0" w:firstLine="0" w:firstLineChars="0"/>
        <w:jc w:val="both"/>
        <w:rPr>
          <w:rStyle w:val="19"/>
          <w:rFonts w:hint="eastAsia" w:ascii="黑体" w:eastAsia="黑体" w:cs="Times New Roman"/>
          <w:b w:val="0"/>
          <w:bCs w:val="0"/>
          <w:color w:val="auto"/>
          <w:highlight w:val="none"/>
          <w:lang w:val="en-US" w:eastAsia="zh-CN"/>
        </w:rPr>
      </w:pPr>
      <w:bookmarkStart w:id="22" w:name="_Toc12043"/>
      <w:bookmarkStart w:id="23" w:name="_Toc10125"/>
      <w:r>
        <w:rPr>
          <w:rStyle w:val="19"/>
          <w:rFonts w:hint="eastAsia" w:ascii="黑体" w:eastAsia="黑体" w:cs="Times New Roman"/>
          <w:b w:val="0"/>
          <w:bCs w:val="0"/>
          <w:color w:val="auto"/>
          <w:highlight w:val="none"/>
          <w:lang w:val="en-US" w:eastAsia="zh-CN"/>
        </w:rPr>
        <w:t>机构设置</w:t>
      </w:r>
    </w:p>
    <w:bookmarkEnd w:id="22"/>
    <w:bookmarkEnd w:id="23"/>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68"/>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广元市昭化区</w:t>
      </w:r>
      <w:r>
        <w:rPr>
          <w:rFonts w:hint="eastAsia" w:ascii="仿宋_GB2312" w:eastAsia="仿宋_GB2312" w:cs="仿宋_GB2312"/>
          <w:i w:val="0"/>
          <w:caps w:val="0"/>
          <w:color w:val="333333"/>
          <w:spacing w:val="0"/>
          <w:kern w:val="0"/>
          <w:sz w:val="32"/>
          <w:szCs w:val="32"/>
          <w:shd w:val="clear" w:color="auto" w:fill="FFFFFF"/>
          <w:lang w:val="en-US" w:eastAsia="zh-CN" w:bidi="ar"/>
        </w:rPr>
        <w:t>朝阳乡</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卫生院</w:t>
      </w:r>
      <w:r>
        <w:rPr>
          <w:rFonts w:hint="eastAsia" w:ascii="仿宋_GB2312" w:eastAsia="仿宋_GB2312" w:cs="仿宋_GB2312"/>
          <w:i w:val="0"/>
          <w:caps w:val="0"/>
          <w:color w:val="333333"/>
          <w:spacing w:val="0"/>
          <w:kern w:val="0"/>
          <w:sz w:val="32"/>
          <w:szCs w:val="32"/>
          <w:shd w:val="clear" w:color="auto" w:fill="FFFFFF"/>
          <w:lang w:val="en-US" w:eastAsia="zh-CN" w:bidi="ar"/>
        </w:rPr>
        <w:t>属主管部门下属单位，属于二级预算单位，无下属机构。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68"/>
        <w:jc w:val="both"/>
        <w:rPr>
          <w:rFonts w:ascii="仿宋" w:eastAsia="仿宋"/>
          <w:color w:val="auto"/>
          <w:kern w:val="0"/>
          <w:sz w:val="32"/>
          <w:szCs w:val="32"/>
          <w:highlight w:val="none"/>
        </w:rPr>
      </w:pPr>
      <w:r>
        <w:rPr>
          <w:rFonts w:ascii="仿宋" w:eastAsia="仿宋"/>
          <w:color w:val="auto"/>
          <w:sz w:val="32"/>
          <w:szCs w:val="32"/>
          <w:highlight w:val="none"/>
        </w:rPr>
        <w:br w:type="page"/>
      </w:r>
    </w:p>
    <w:p>
      <w:pPr>
        <w:pStyle w:val="3"/>
        <w:ind w:right="440"/>
        <w:jc w:val="center"/>
        <w:rPr>
          <w:rStyle w:val="18"/>
          <w:rFonts w:ascii="黑体" w:eastAsia="黑体"/>
          <w:b w:val="0"/>
          <w:bCs/>
          <w:color w:val="auto"/>
          <w:highlight w:val="none"/>
        </w:rPr>
      </w:pPr>
      <w:bookmarkStart w:id="24" w:name="_Toc25611"/>
      <w:bookmarkStart w:id="25" w:name="_Toc15377204"/>
      <w:bookmarkStart w:id="26" w:name="_Toc15396602"/>
      <w:r>
        <w:rPr>
          <w:rFonts w:hint="eastAsia" w:ascii="黑体" w:eastAsia="黑体"/>
          <w:b w:val="0"/>
          <w:bCs/>
          <w:color w:val="auto"/>
          <w:highlight w:val="none"/>
        </w:rPr>
        <w:t xml:space="preserve">第二部分 </w:t>
      </w:r>
      <w:r>
        <w:rPr>
          <w:rFonts w:hint="eastAsia" w:ascii="黑体" w:eastAsia="黑体"/>
          <w:b w:val="0"/>
          <w:bCs/>
          <w:color w:val="auto"/>
          <w:highlight w:val="none"/>
          <w:lang w:val="en-US" w:eastAsia="zh-CN"/>
        </w:rPr>
        <w:t>2022年度</w:t>
      </w:r>
      <w:r>
        <w:rPr>
          <w:rStyle w:val="18"/>
          <w:rFonts w:hint="eastAsia" w:ascii="黑体" w:eastAsia="黑体"/>
          <w:b w:val="0"/>
          <w:bCs/>
          <w:color w:val="auto"/>
          <w:highlight w:val="none"/>
          <w:lang w:eastAsia="zh-CN"/>
        </w:rPr>
        <w:t>单位</w:t>
      </w:r>
      <w:r>
        <w:rPr>
          <w:rStyle w:val="18"/>
          <w:rFonts w:hint="eastAsia" w:ascii="黑体" w:eastAsia="黑体"/>
          <w:b w:val="0"/>
          <w:bCs/>
          <w:color w:val="auto"/>
          <w:highlight w:val="none"/>
        </w:rPr>
        <w:t>决算情况说明</w:t>
      </w:r>
      <w:bookmarkEnd w:id="24"/>
      <w:bookmarkEnd w:id="25"/>
      <w:bookmarkEnd w:id="26"/>
    </w:p>
    <w:p>
      <w:pPr>
        <w:rPr>
          <w:color w:val="auto"/>
          <w:highlight w:val="none"/>
        </w:rPr>
      </w:pPr>
    </w:p>
    <w:p>
      <w:pPr>
        <w:pStyle w:val="24"/>
        <w:numPr>
          <w:ilvl w:val="0"/>
          <w:numId w:val="2"/>
        </w:numPr>
        <w:spacing w:line="600" w:lineRule="exact"/>
        <w:ind w:firstLineChars="0"/>
        <w:outlineLvl w:val="1"/>
        <w:rPr>
          <w:rStyle w:val="19"/>
          <w:rFonts w:ascii="黑体" w:eastAsia="黑体"/>
          <w:b w:val="0"/>
          <w:color w:val="auto"/>
          <w:highlight w:val="none"/>
        </w:rPr>
      </w:pPr>
      <w:bookmarkStart w:id="27" w:name="_Toc15377205"/>
      <w:bookmarkStart w:id="28" w:name="_Toc15396603"/>
      <w:bookmarkStart w:id="29" w:name="_Toc31600"/>
      <w:r>
        <w:rPr>
          <w:rFonts w:hint="eastAsia" w:ascii="黑体" w:eastAsia="黑体"/>
          <w:color w:val="auto"/>
          <w:sz w:val="32"/>
          <w:szCs w:val="32"/>
          <w:highlight w:val="none"/>
        </w:rPr>
        <w:t>收</w:t>
      </w:r>
      <w:r>
        <w:rPr>
          <w:rStyle w:val="19"/>
          <w:rFonts w:hint="eastAsia" w:ascii="黑体" w:eastAsia="黑体"/>
          <w:b w:val="0"/>
          <w:color w:val="auto"/>
          <w:highlight w:val="none"/>
        </w:rPr>
        <w:t>入支出决算总体情况说明</w:t>
      </w:r>
      <w:bookmarkEnd w:id="27"/>
      <w:bookmarkEnd w:id="28"/>
      <w:bookmarkEnd w:id="29"/>
    </w:p>
    <w:p>
      <w:pPr>
        <w:spacing w:line="600" w:lineRule="exact"/>
        <w:ind w:firstLine="640" w:firstLineChars="200"/>
        <w:rPr>
          <w:rFonts w:hint="eastAsia" w:ascii="仿宋" w:eastAsia="仿宋"/>
          <w:color w:val="auto"/>
          <w:sz w:val="32"/>
          <w:szCs w:val="32"/>
          <w:highlight w:val="none"/>
          <w:lang w:eastAsia="zh-CN"/>
        </w:rPr>
      </w:pPr>
      <w:r>
        <w:rPr>
          <w:rFonts w:hint="eastAsia"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年度收、支总计</w:t>
      </w:r>
      <w:r>
        <w:rPr>
          <w:rFonts w:ascii="仿宋" w:eastAsia="仿宋"/>
          <w:color w:val="auto"/>
          <w:sz w:val="32"/>
          <w:szCs w:val="32"/>
          <w:highlight w:val="none"/>
          <w:lang w:val="en-US" w:eastAsia="zh-CN"/>
        </w:rPr>
        <w:t>106.42</w:t>
      </w:r>
      <w:r>
        <w:rPr>
          <w:rFonts w:hint="eastAsia" w:ascii="仿宋" w:eastAsia="仿宋"/>
          <w:color w:val="auto"/>
          <w:sz w:val="32"/>
          <w:szCs w:val="32"/>
          <w:highlight w:val="none"/>
        </w:rPr>
        <w:t>万元。与20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年相比，收、支总计各</w:t>
      </w:r>
      <w:r>
        <w:rPr>
          <w:rFonts w:ascii="仿宋" w:eastAsia="仿宋"/>
          <w:color w:val="auto"/>
          <w:sz w:val="32"/>
          <w:szCs w:val="32"/>
          <w:highlight w:val="none"/>
        </w:rPr>
        <w:t>减少45.69</w:t>
      </w:r>
      <w:r>
        <w:rPr>
          <w:rFonts w:hint="eastAsia" w:ascii="仿宋" w:eastAsia="仿宋"/>
          <w:color w:val="auto"/>
          <w:sz w:val="32"/>
          <w:szCs w:val="32"/>
          <w:highlight w:val="none"/>
        </w:rPr>
        <w:t>万元，</w:t>
      </w:r>
      <w:r>
        <w:rPr>
          <w:rFonts w:ascii="仿宋" w:eastAsia="仿宋"/>
          <w:color w:val="auto"/>
          <w:sz w:val="32"/>
          <w:szCs w:val="32"/>
          <w:highlight w:val="none"/>
        </w:rPr>
        <w:t>下降30.03%</w:t>
      </w:r>
      <w:r>
        <w:rPr>
          <w:rFonts w:hint="eastAsia" w:ascii="仿宋" w:eastAsia="仿宋"/>
          <w:color w:val="auto"/>
          <w:sz w:val="32"/>
          <w:szCs w:val="32"/>
          <w:highlight w:val="none"/>
        </w:rPr>
        <w:t>。主要变动原因是</w:t>
      </w:r>
      <w:r>
        <w:rPr>
          <w:rFonts w:hint="eastAsia" w:ascii="仿宋" w:eastAsia="仿宋"/>
          <w:color w:val="auto"/>
          <w:sz w:val="32"/>
          <w:szCs w:val="32"/>
          <w:highlight w:val="none"/>
          <w:lang w:eastAsia="zh-CN"/>
        </w:rPr>
        <w:t>医疗收入</w:t>
      </w:r>
      <w:r>
        <w:rPr>
          <w:rFonts w:ascii="仿宋" w:eastAsia="仿宋"/>
          <w:color w:val="auto"/>
          <w:sz w:val="32"/>
          <w:szCs w:val="32"/>
          <w:highlight w:val="none"/>
          <w:lang w:eastAsia="zh-CN"/>
        </w:rPr>
        <w:t>减少</w:t>
      </w:r>
      <w:r>
        <w:rPr>
          <w:rFonts w:hint="eastAsia" w:ascii="仿宋" w:eastAsia="仿宋"/>
          <w:color w:val="auto"/>
          <w:sz w:val="32"/>
          <w:szCs w:val="32"/>
          <w:highlight w:val="none"/>
          <w:lang w:eastAsia="zh-CN"/>
        </w:rPr>
        <w:t>，人员经费</w:t>
      </w:r>
      <w:r>
        <w:rPr>
          <w:rFonts w:ascii="仿宋" w:eastAsia="仿宋"/>
          <w:color w:val="auto"/>
          <w:sz w:val="32"/>
          <w:szCs w:val="32"/>
          <w:highlight w:val="none"/>
          <w:lang w:eastAsia="zh-CN"/>
        </w:rPr>
        <w:t>减少</w:t>
      </w:r>
      <w:r>
        <w:rPr>
          <w:rFonts w:hint="eastAsia" w:ascii="仿宋" w:eastAsia="仿宋"/>
          <w:color w:val="auto"/>
          <w:sz w:val="32"/>
          <w:szCs w:val="32"/>
          <w:highlight w:val="none"/>
          <w:lang w:eastAsia="zh-CN"/>
        </w:rPr>
        <w:t>。</w:t>
      </w:r>
    </w:p>
    <w:p>
      <w:pPr>
        <w:pStyle w:val="2"/>
        <w:rPr>
          <w:rFonts w:hint="eastAsia"/>
          <w:lang w:eastAsia="zh-CN"/>
        </w:rPr>
      </w:pPr>
      <w:r>
        <w:rPr>
          <w:rFonts w:hint="eastAsia"/>
          <w:lang w:val="en-US" w:eastAsia="zh-CN"/>
        </w:rPr>
        <w:t xml:space="preserve">        </w:t>
      </w:r>
      <w:r>
        <w:rPr>
          <w:lang w:val="en-US" w:eastAsia="zh-CN"/>
        </w:rPr>
        <w:t xml:space="preserve"> </w:t>
      </w:r>
      <w:r>
        <w:rPr>
          <w:rFonts w:hint="eastAsia"/>
          <w:lang w:val="en-US" w:eastAsia="zh-CN"/>
        </w:rPr>
        <w:t xml:space="preserve">   </w:t>
      </w:r>
      <w:r>
        <w:rPr>
          <w:lang w:val="en-US" w:eastAsia="zh-CN"/>
        </w:rPr>
        <w:drawing>
          <wp:inline distT="0" distB="0" distL="85090" distR="85090">
            <wp:extent cx="2609215" cy="2131060"/>
            <wp:effectExtent l="0" t="0" r="12065" b="2540"/>
            <wp:docPr id="1"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pic:cNvPicPr>
                      <a:picLocks noChangeAspect="1"/>
                    </pic:cNvPicPr>
                  </pic:nvPicPr>
                  <pic:blipFill>
                    <a:blip r:embed="rId11"/>
                    <a:srcRect t="10507" r="1368"/>
                    <a:stretch>
                      <a:fillRect/>
                    </a:stretch>
                  </pic:blipFill>
                  <pic:spPr>
                    <a:xfrm>
                      <a:off x="0" y="0"/>
                      <a:ext cx="2609215" cy="2131060"/>
                    </a:xfrm>
                    <a:prstGeom prst="rect">
                      <a:avLst/>
                    </a:prstGeom>
                    <a:noFill/>
                    <a:ln w="9525" cap="flat" cmpd="sng">
                      <a:noFill/>
                      <a:prstDash val="solid"/>
                      <a:miter/>
                    </a:ln>
                  </pic:spPr>
                </pic:pic>
              </a:graphicData>
            </a:graphic>
          </wp:inline>
        </w:drawing>
      </w:r>
    </w:p>
    <w:p>
      <w:pPr>
        <w:spacing w:line="600" w:lineRule="exact"/>
        <w:ind w:firstLine="640" w:firstLineChars="200"/>
        <w:rPr>
          <w:rFonts w:ascii="仿宋" w:eastAsia="仿宋"/>
          <w:color w:val="auto"/>
          <w:sz w:val="32"/>
          <w:szCs w:val="32"/>
          <w:highlight w:val="none"/>
        </w:rPr>
      </w:pPr>
      <w:r>
        <w:rPr>
          <w:rFonts w:hint="eastAsia" w:ascii="仿宋" w:eastAsia="仿宋"/>
          <w:color w:val="auto"/>
          <w:sz w:val="32"/>
          <w:szCs w:val="32"/>
          <w:highlight w:val="none"/>
        </w:rPr>
        <w:t>（图</w:t>
      </w:r>
      <w:r>
        <w:rPr>
          <w:rFonts w:ascii="仿宋" w:eastAsia="仿宋"/>
          <w:color w:val="auto"/>
          <w:sz w:val="32"/>
          <w:szCs w:val="32"/>
          <w:highlight w:val="none"/>
        </w:rPr>
        <w:t>1</w:t>
      </w:r>
      <w:r>
        <w:rPr>
          <w:rFonts w:hint="eastAsia" w:ascii="仿宋" w:eastAsia="仿宋"/>
          <w:color w:val="auto"/>
          <w:sz w:val="32"/>
          <w:szCs w:val="32"/>
          <w:highlight w:val="none"/>
        </w:rPr>
        <w:t>：收、支决算总计变动情况图）（柱状图）</w:t>
      </w:r>
    </w:p>
    <w:p>
      <w:pPr>
        <w:spacing w:line="600" w:lineRule="exact"/>
        <w:ind w:firstLine="640" w:firstLineChars="200"/>
        <w:jc w:val="left"/>
        <w:rPr>
          <w:rFonts w:ascii="仿宋_GB2312" w:eastAsia="仿宋_GB2312"/>
          <w:color w:val="auto"/>
          <w:sz w:val="32"/>
          <w:szCs w:val="32"/>
          <w:highlight w:val="none"/>
        </w:rPr>
      </w:pPr>
    </w:p>
    <w:p>
      <w:pPr>
        <w:pStyle w:val="24"/>
        <w:numPr>
          <w:ilvl w:val="0"/>
          <w:numId w:val="2"/>
        </w:numPr>
        <w:spacing w:line="600" w:lineRule="exact"/>
        <w:ind w:firstLineChars="0"/>
        <w:outlineLvl w:val="1"/>
        <w:rPr>
          <w:rStyle w:val="19"/>
          <w:rFonts w:ascii="黑体" w:eastAsia="黑体"/>
          <w:b w:val="0"/>
          <w:color w:val="auto"/>
          <w:highlight w:val="none"/>
        </w:rPr>
      </w:pPr>
      <w:bookmarkStart w:id="30" w:name="_Toc15396604"/>
      <w:bookmarkStart w:id="31" w:name="_Toc15377206"/>
      <w:bookmarkStart w:id="32" w:name="_Toc19458"/>
      <w:r>
        <w:rPr>
          <w:rFonts w:hint="eastAsia" w:ascii="黑体" w:eastAsia="黑体"/>
          <w:color w:val="auto"/>
          <w:sz w:val="32"/>
          <w:szCs w:val="32"/>
          <w:highlight w:val="none"/>
        </w:rPr>
        <w:t>收</w:t>
      </w:r>
      <w:r>
        <w:rPr>
          <w:rStyle w:val="19"/>
          <w:rFonts w:hint="eastAsia" w:ascii="黑体" w:eastAsia="黑体"/>
          <w:b w:val="0"/>
          <w:color w:val="auto"/>
          <w:highlight w:val="none"/>
        </w:rPr>
        <w:t>入决算情况说明</w:t>
      </w:r>
      <w:bookmarkEnd w:id="30"/>
      <w:bookmarkEnd w:id="31"/>
      <w:bookmarkEnd w:id="32"/>
    </w:p>
    <w:p>
      <w:pPr>
        <w:spacing w:line="600" w:lineRule="exact"/>
        <w:ind w:firstLine="640" w:firstLineChars="200"/>
        <w:outlineLvl w:val="1"/>
        <w:rPr>
          <w:rFonts w:hint="eastAsia" w:ascii="仿宋" w:eastAsia="仿宋"/>
          <w:color w:val="auto"/>
          <w:sz w:val="32"/>
          <w:szCs w:val="32"/>
          <w:highlight w:val="none"/>
          <w:lang w:eastAsia="zh-CN"/>
        </w:rPr>
      </w:pPr>
      <w:bookmarkStart w:id="33" w:name="_Toc9422"/>
      <w:bookmarkStart w:id="34" w:name="_Toc10303"/>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年本年收入合计</w:t>
      </w:r>
      <w:r>
        <w:rPr>
          <w:rFonts w:ascii="仿宋" w:eastAsia="仿宋"/>
          <w:color w:val="auto"/>
          <w:sz w:val="32"/>
          <w:szCs w:val="32"/>
          <w:highlight w:val="none"/>
          <w:lang w:val="en-US" w:eastAsia="zh-CN"/>
        </w:rPr>
        <w:t>106.42</w:t>
      </w:r>
      <w:r>
        <w:rPr>
          <w:rFonts w:hint="eastAsia" w:ascii="仿宋" w:eastAsia="仿宋"/>
          <w:color w:val="auto"/>
          <w:sz w:val="32"/>
          <w:szCs w:val="32"/>
          <w:highlight w:val="none"/>
        </w:rPr>
        <w:t>万元，其中：一般公共预算财政拨款收入</w:t>
      </w:r>
      <w:r>
        <w:rPr>
          <w:rFonts w:ascii="仿宋" w:eastAsia="仿宋"/>
          <w:color w:val="auto"/>
          <w:sz w:val="32"/>
          <w:szCs w:val="32"/>
          <w:highlight w:val="none"/>
          <w:lang w:val="en-US" w:eastAsia="zh-CN"/>
        </w:rPr>
        <w:t>66.51</w:t>
      </w:r>
      <w:r>
        <w:rPr>
          <w:rFonts w:hint="eastAsia" w:ascii="仿宋" w:eastAsia="仿宋"/>
          <w:color w:val="auto"/>
          <w:sz w:val="32"/>
          <w:szCs w:val="32"/>
          <w:highlight w:val="none"/>
        </w:rPr>
        <w:t>万元，占</w:t>
      </w:r>
      <w:r>
        <w:rPr>
          <w:rFonts w:ascii="仿宋" w:eastAsia="仿宋"/>
          <w:color w:val="auto"/>
          <w:sz w:val="32"/>
          <w:szCs w:val="32"/>
          <w:highlight w:val="none"/>
          <w:lang w:val="en-US" w:eastAsia="zh-CN"/>
        </w:rPr>
        <w:t>62.5</w:t>
      </w:r>
      <w:r>
        <w:rPr>
          <w:rFonts w:ascii="仿宋" w:eastAsia="仿宋"/>
          <w:color w:val="auto"/>
          <w:sz w:val="32"/>
          <w:szCs w:val="32"/>
          <w:highlight w:val="none"/>
        </w:rPr>
        <w:t>%</w:t>
      </w:r>
      <w:r>
        <w:rPr>
          <w:rFonts w:hint="eastAsia" w:ascii="仿宋" w:eastAsia="仿宋"/>
          <w:color w:val="auto"/>
          <w:sz w:val="32"/>
          <w:szCs w:val="32"/>
          <w:highlight w:val="none"/>
        </w:rPr>
        <w:t>；政府性基金预算财政拨款收入</w:t>
      </w:r>
      <w:r>
        <w:rPr>
          <w:rFonts w:ascii="仿宋" w:eastAsia="仿宋"/>
          <w:color w:val="auto"/>
          <w:sz w:val="32"/>
          <w:szCs w:val="32"/>
          <w:highlight w:val="none"/>
          <w:lang w:val="en-US" w:eastAsia="zh-CN"/>
        </w:rPr>
        <w:t>0.68</w:t>
      </w:r>
      <w:r>
        <w:rPr>
          <w:rFonts w:hint="eastAsia" w:ascii="仿宋" w:eastAsia="仿宋"/>
          <w:color w:val="auto"/>
          <w:sz w:val="32"/>
          <w:szCs w:val="32"/>
          <w:highlight w:val="none"/>
        </w:rPr>
        <w:t>万元，占</w:t>
      </w:r>
      <w:r>
        <w:rPr>
          <w:rFonts w:ascii="仿宋" w:eastAsia="仿宋"/>
          <w:color w:val="auto"/>
          <w:sz w:val="32"/>
          <w:szCs w:val="32"/>
          <w:highlight w:val="none"/>
          <w:lang w:val="en-US" w:eastAsia="zh-CN"/>
        </w:rPr>
        <w:t>0.64</w:t>
      </w:r>
      <w:r>
        <w:rPr>
          <w:rFonts w:ascii="仿宋" w:eastAsia="仿宋"/>
          <w:color w:val="auto"/>
          <w:sz w:val="32"/>
          <w:szCs w:val="32"/>
          <w:highlight w:val="none"/>
        </w:rPr>
        <w:t>%</w:t>
      </w:r>
      <w:r>
        <w:rPr>
          <w:rFonts w:hint="eastAsia" w:ascii="仿宋" w:eastAsia="仿宋"/>
          <w:color w:val="auto"/>
          <w:sz w:val="32"/>
          <w:szCs w:val="32"/>
          <w:highlight w:val="none"/>
        </w:rPr>
        <w:t>；事业收入</w:t>
      </w:r>
      <w:r>
        <w:rPr>
          <w:rFonts w:ascii="仿宋" w:eastAsia="仿宋"/>
          <w:color w:val="auto"/>
          <w:sz w:val="32"/>
          <w:szCs w:val="32"/>
          <w:highlight w:val="none"/>
        </w:rPr>
        <w:t>39.23</w:t>
      </w:r>
      <w:r>
        <w:rPr>
          <w:rFonts w:hint="eastAsia" w:ascii="仿宋" w:eastAsia="仿宋"/>
          <w:color w:val="auto"/>
          <w:sz w:val="32"/>
          <w:szCs w:val="32"/>
          <w:highlight w:val="none"/>
        </w:rPr>
        <w:t>万元，占</w:t>
      </w:r>
      <w:r>
        <w:rPr>
          <w:rFonts w:ascii="仿宋" w:eastAsia="仿宋"/>
          <w:color w:val="auto"/>
          <w:sz w:val="32"/>
          <w:szCs w:val="32"/>
          <w:highlight w:val="none"/>
          <w:lang w:val="en-US" w:eastAsia="zh-CN"/>
        </w:rPr>
        <w:t>36.86</w:t>
      </w:r>
      <w:r>
        <w:rPr>
          <w:rFonts w:ascii="仿宋" w:eastAsia="仿宋"/>
          <w:color w:val="auto"/>
          <w:sz w:val="32"/>
          <w:szCs w:val="32"/>
          <w:highlight w:val="none"/>
        </w:rPr>
        <w:t>%</w:t>
      </w:r>
      <w:r>
        <w:rPr>
          <w:rFonts w:hint="eastAsia" w:ascii="仿宋" w:eastAsia="仿宋"/>
          <w:color w:val="auto"/>
          <w:sz w:val="32"/>
          <w:szCs w:val="32"/>
          <w:highlight w:val="none"/>
          <w:lang w:eastAsia="zh-CN"/>
        </w:rPr>
        <w:t>。</w:t>
      </w:r>
      <w:bookmarkEnd w:id="33"/>
      <w:bookmarkEnd w:id="34"/>
    </w:p>
    <w:p>
      <w:pPr>
        <w:rPr>
          <w:rFonts w:hint="eastAsia"/>
          <w:lang w:eastAsia="zh-CN"/>
        </w:rPr>
      </w:pPr>
      <w:r>
        <w:rPr>
          <w:rFonts w:hint="eastAsia"/>
          <w:lang w:val="en-US" w:eastAsia="zh-CN"/>
        </w:rPr>
        <w:t xml:space="preserve">                 </w:t>
      </w:r>
      <w:r>
        <w:rPr>
          <w:lang w:val="en-US" w:eastAsia="zh-CN"/>
        </w:rPr>
        <w:drawing>
          <wp:inline distT="0" distB="0" distL="85090" distR="85090">
            <wp:extent cx="2809240" cy="2123440"/>
            <wp:effectExtent l="0" t="0" r="1" b="0"/>
            <wp:docPr id="4"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pic:cNvPicPr>
                      <a:picLocks noChangeAspect="1"/>
                    </pic:cNvPicPr>
                  </pic:nvPicPr>
                  <pic:blipFill>
                    <a:blip r:embed="rId12"/>
                    <a:stretch>
                      <a:fillRect/>
                    </a:stretch>
                  </pic:blipFill>
                  <pic:spPr>
                    <a:xfrm>
                      <a:off x="0" y="0"/>
                      <a:ext cx="2809831" cy="2124042"/>
                    </a:xfrm>
                    <a:prstGeom prst="rect">
                      <a:avLst/>
                    </a:prstGeom>
                    <a:noFill/>
                    <a:ln w="9525" cap="flat" cmpd="sng">
                      <a:noFill/>
                      <a:prstDash val="solid"/>
                      <a:miter/>
                    </a:ln>
                  </pic:spPr>
                </pic:pic>
              </a:graphicData>
            </a:graphic>
          </wp:inline>
        </w:drawing>
      </w:r>
    </w:p>
    <w:p>
      <w:pPr>
        <w:spacing w:line="600" w:lineRule="exact"/>
        <w:ind w:firstLine="1600" w:firstLineChars="500"/>
        <w:rPr>
          <w:rFonts w:ascii="仿宋" w:eastAsia="仿宋"/>
          <w:color w:val="auto"/>
          <w:sz w:val="32"/>
          <w:szCs w:val="32"/>
          <w:highlight w:val="none"/>
        </w:rPr>
      </w:pPr>
      <w:r>
        <w:rPr>
          <w:rFonts w:hint="eastAsia" w:ascii="仿宋" w:eastAsia="仿宋"/>
          <w:color w:val="auto"/>
          <w:sz w:val="32"/>
          <w:szCs w:val="32"/>
          <w:highlight w:val="none"/>
        </w:rPr>
        <w:t>（图2：收入决算结构图）（饼状图）</w:t>
      </w:r>
    </w:p>
    <w:p>
      <w:pPr>
        <w:spacing w:line="600" w:lineRule="exact"/>
        <w:ind w:firstLine="640" w:firstLineChars="200"/>
        <w:rPr>
          <w:rFonts w:ascii="仿宋_GB2312" w:eastAsia="仿宋_GB2312"/>
          <w:color w:val="auto"/>
          <w:sz w:val="32"/>
          <w:szCs w:val="32"/>
          <w:highlight w:val="none"/>
        </w:rPr>
      </w:pPr>
    </w:p>
    <w:p>
      <w:pPr>
        <w:pStyle w:val="24"/>
        <w:numPr>
          <w:ilvl w:val="0"/>
          <w:numId w:val="2"/>
        </w:numPr>
        <w:spacing w:line="600" w:lineRule="exact"/>
        <w:ind w:firstLineChars="0"/>
        <w:outlineLvl w:val="1"/>
        <w:rPr>
          <w:rStyle w:val="19"/>
          <w:rFonts w:ascii="黑体" w:eastAsia="黑体"/>
          <w:b w:val="0"/>
          <w:color w:val="auto"/>
          <w:highlight w:val="none"/>
        </w:rPr>
      </w:pPr>
      <w:bookmarkStart w:id="35" w:name="_Toc15396605"/>
      <w:bookmarkStart w:id="36" w:name="_Toc15377207"/>
      <w:bookmarkStart w:id="37" w:name="_Toc13086"/>
      <w:r>
        <w:rPr>
          <w:rFonts w:hint="eastAsia" w:ascii="黑体" w:eastAsia="黑体"/>
          <w:color w:val="auto"/>
          <w:sz w:val="32"/>
          <w:szCs w:val="32"/>
          <w:highlight w:val="none"/>
        </w:rPr>
        <w:t>支</w:t>
      </w:r>
      <w:r>
        <w:rPr>
          <w:rStyle w:val="19"/>
          <w:rFonts w:hint="eastAsia" w:ascii="黑体" w:eastAsia="黑体"/>
          <w:b w:val="0"/>
          <w:color w:val="auto"/>
          <w:highlight w:val="none"/>
        </w:rPr>
        <w:t>出决算情况说明</w:t>
      </w:r>
      <w:bookmarkEnd w:id="35"/>
      <w:bookmarkEnd w:id="36"/>
      <w:bookmarkEnd w:id="37"/>
    </w:p>
    <w:p>
      <w:pPr>
        <w:spacing w:line="600" w:lineRule="exact"/>
        <w:ind w:firstLine="640" w:firstLineChars="200"/>
        <w:outlineLvl w:val="1"/>
        <w:rPr>
          <w:rFonts w:ascii="仿宋" w:eastAsia="仿宋"/>
          <w:color w:val="auto"/>
          <w:sz w:val="32"/>
          <w:szCs w:val="32"/>
          <w:highlight w:val="none"/>
        </w:rPr>
      </w:pPr>
      <w:bookmarkStart w:id="38" w:name="_Toc6281"/>
      <w:bookmarkStart w:id="39" w:name="_Toc22385"/>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年本年支出合计</w:t>
      </w:r>
      <w:r>
        <w:rPr>
          <w:rFonts w:ascii="仿宋" w:eastAsia="仿宋"/>
          <w:color w:val="auto"/>
          <w:sz w:val="32"/>
          <w:szCs w:val="32"/>
          <w:highlight w:val="none"/>
          <w:lang w:val="en-US" w:eastAsia="zh-CN"/>
        </w:rPr>
        <w:t>106.42</w:t>
      </w:r>
      <w:r>
        <w:rPr>
          <w:rFonts w:hint="eastAsia" w:ascii="仿宋" w:eastAsia="仿宋"/>
          <w:color w:val="auto"/>
          <w:sz w:val="32"/>
          <w:szCs w:val="32"/>
          <w:highlight w:val="none"/>
        </w:rPr>
        <w:t>万元，其中：基本支出</w:t>
      </w:r>
      <w:r>
        <w:rPr>
          <w:rFonts w:ascii="仿宋" w:eastAsia="仿宋"/>
          <w:color w:val="auto"/>
          <w:sz w:val="32"/>
          <w:szCs w:val="32"/>
          <w:highlight w:val="none"/>
          <w:lang w:val="en-US" w:eastAsia="zh-CN"/>
        </w:rPr>
        <w:t>105.74</w:t>
      </w:r>
      <w:r>
        <w:rPr>
          <w:rFonts w:hint="eastAsia" w:ascii="仿宋" w:eastAsia="仿宋"/>
          <w:color w:val="auto"/>
          <w:sz w:val="32"/>
          <w:szCs w:val="32"/>
          <w:highlight w:val="none"/>
        </w:rPr>
        <w:t>万元，占</w:t>
      </w:r>
      <w:r>
        <w:rPr>
          <w:rFonts w:ascii="仿宋" w:eastAsia="仿宋"/>
          <w:color w:val="auto"/>
          <w:sz w:val="32"/>
          <w:szCs w:val="32"/>
          <w:highlight w:val="none"/>
          <w:lang w:val="en-US" w:eastAsia="zh-CN"/>
        </w:rPr>
        <w:t>99.36</w:t>
      </w:r>
      <w:r>
        <w:rPr>
          <w:rFonts w:ascii="仿宋" w:eastAsia="仿宋"/>
          <w:color w:val="auto"/>
          <w:sz w:val="32"/>
          <w:szCs w:val="32"/>
          <w:highlight w:val="none"/>
        </w:rPr>
        <w:t>%</w:t>
      </w:r>
      <w:r>
        <w:rPr>
          <w:rFonts w:hint="eastAsia" w:ascii="仿宋" w:eastAsia="仿宋"/>
          <w:color w:val="auto"/>
          <w:sz w:val="32"/>
          <w:szCs w:val="32"/>
          <w:highlight w:val="none"/>
        </w:rPr>
        <w:t>；项目支出</w:t>
      </w:r>
      <w:r>
        <w:rPr>
          <w:rFonts w:ascii="仿宋" w:eastAsia="仿宋"/>
          <w:color w:val="auto"/>
          <w:sz w:val="32"/>
          <w:szCs w:val="32"/>
          <w:highlight w:val="none"/>
          <w:lang w:val="en-US" w:eastAsia="zh-CN"/>
        </w:rPr>
        <w:t>0.68</w:t>
      </w:r>
      <w:r>
        <w:rPr>
          <w:rFonts w:hint="eastAsia" w:ascii="仿宋" w:eastAsia="仿宋"/>
          <w:color w:val="auto"/>
          <w:sz w:val="32"/>
          <w:szCs w:val="32"/>
          <w:highlight w:val="none"/>
        </w:rPr>
        <w:t>万元，占</w:t>
      </w:r>
      <w:r>
        <w:rPr>
          <w:rFonts w:ascii="仿宋" w:eastAsia="仿宋"/>
          <w:color w:val="auto"/>
          <w:sz w:val="32"/>
          <w:szCs w:val="32"/>
          <w:highlight w:val="none"/>
          <w:lang w:val="en-US" w:eastAsia="zh-CN"/>
        </w:rPr>
        <w:t>0.64</w:t>
      </w:r>
      <w:r>
        <w:rPr>
          <w:rFonts w:ascii="仿宋" w:eastAsia="仿宋"/>
          <w:color w:val="auto"/>
          <w:sz w:val="32"/>
          <w:szCs w:val="32"/>
          <w:highlight w:val="none"/>
        </w:rPr>
        <w:t>%</w:t>
      </w:r>
      <w:r>
        <w:rPr>
          <w:rFonts w:hint="eastAsia" w:ascii="仿宋" w:eastAsia="仿宋"/>
          <w:color w:val="auto"/>
          <w:sz w:val="32"/>
          <w:szCs w:val="32"/>
          <w:highlight w:val="none"/>
        </w:rPr>
        <w:t>。</w:t>
      </w:r>
      <w:bookmarkEnd w:id="38"/>
      <w:bookmarkEnd w:id="39"/>
    </w:p>
    <w:p>
      <w:pPr>
        <w:pStyle w:val="2"/>
        <w:jc w:val="center"/>
      </w:pPr>
      <w:r>
        <w:drawing>
          <wp:inline distT="0" distB="0" distL="85090" distR="85090">
            <wp:extent cx="2809240" cy="1609090"/>
            <wp:effectExtent l="0" t="0" r="1" b="0"/>
            <wp:docPr id="7"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pic:cNvPicPr>
                      <a:picLocks noChangeAspect="1"/>
                    </pic:cNvPicPr>
                  </pic:nvPicPr>
                  <pic:blipFill>
                    <a:blip r:embed="rId13"/>
                    <a:stretch>
                      <a:fillRect/>
                    </a:stretch>
                  </pic:blipFill>
                  <pic:spPr>
                    <a:xfrm>
                      <a:off x="0" y="0"/>
                      <a:ext cx="2809831" cy="1609700"/>
                    </a:xfrm>
                    <a:prstGeom prst="rect">
                      <a:avLst/>
                    </a:prstGeom>
                    <a:noFill/>
                    <a:ln w="9525" cap="flat" cmpd="sng">
                      <a:noFill/>
                      <a:prstDash val="solid"/>
                      <a:miter/>
                    </a:ln>
                  </pic:spPr>
                </pic:pic>
              </a:graphicData>
            </a:graphic>
          </wp:inline>
        </w:drawing>
      </w:r>
    </w:p>
    <w:p>
      <w:pPr>
        <w:spacing w:line="600" w:lineRule="exact"/>
        <w:ind w:firstLine="640" w:firstLineChars="200"/>
        <w:jc w:val="center"/>
        <w:rPr>
          <w:rFonts w:ascii="仿宋" w:eastAsia="仿宋"/>
          <w:color w:val="auto"/>
          <w:sz w:val="32"/>
          <w:szCs w:val="32"/>
          <w:highlight w:val="none"/>
        </w:rPr>
      </w:pPr>
      <w:r>
        <w:rPr>
          <w:rFonts w:hint="eastAsia" w:ascii="仿宋" w:eastAsia="仿宋"/>
          <w:color w:val="auto"/>
          <w:sz w:val="32"/>
          <w:szCs w:val="32"/>
          <w:highlight w:val="none"/>
        </w:rPr>
        <w:t>（图3：支出决算结构图）（饼状图）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19"/>
          <w:rFonts w:ascii="黑体" w:eastAsia="黑体"/>
          <w:b w:val="0"/>
          <w:color w:val="auto"/>
          <w:highlight w:val="none"/>
        </w:rPr>
      </w:pPr>
      <w:bookmarkStart w:id="40" w:name="_Toc15377208"/>
      <w:bookmarkStart w:id="41" w:name="_Toc28822"/>
      <w:bookmarkStart w:id="42" w:name="_Toc15396606"/>
      <w:r>
        <w:rPr>
          <w:rFonts w:hint="eastAsia" w:ascii="黑体" w:eastAsia="黑体"/>
          <w:color w:val="auto"/>
          <w:sz w:val="32"/>
          <w:szCs w:val="32"/>
          <w:highlight w:val="none"/>
        </w:rPr>
        <w:t>四、财</w:t>
      </w:r>
      <w:r>
        <w:rPr>
          <w:rStyle w:val="19"/>
          <w:rFonts w:hint="eastAsia" w:ascii="黑体" w:eastAsia="黑体"/>
          <w:b w:val="0"/>
          <w:color w:val="auto"/>
          <w:highlight w:val="none"/>
        </w:rPr>
        <w:t>政拨款收入支出决算总体情况说明</w:t>
      </w:r>
      <w:bookmarkEnd w:id="40"/>
      <w:bookmarkEnd w:id="41"/>
      <w:bookmarkEnd w:id="42"/>
    </w:p>
    <w:p>
      <w:pPr>
        <w:spacing w:line="600" w:lineRule="exact"/>
        <w:ind w:firstLine="640"/>
        <w:rPr>
          <w:rFonts w:hint="eastAsia" w:ascii="仿宋" w:eastAsia="仿宋"/>
          <w:color w:val="auto"/>
          <w:sz w:val="32"/>
          <w:szCs w:val="32"/>
          <w:highlight w:val="none"/>
          <w:lang w:val="en-US" w:eastAsia="zh-CN"/>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年财政拨款收、支总计</w:t>
      </w:r>
      <w:r>
        <w:rPr>
          <w:rFonts w:ascii="仿宋" w:eastAsia="仿宋"/>
          <w:color w:val="auto"/>
          <w:sz w:val="32"/>
          <w:szCs w:val="32"/>
          <w:highlight w:val="none"/>
          <w:lang w:val="en-US" w:eastAsia="zh-CN"/>
        </w:rPr>
        <w:t>67.19</w:t>
      </w:r>
      <w:r>
        <w:rPr>
          <w:rFonts w:hint="eastAsia" w:ascii="仿宋" w:eastAsia="仿宋"/>
          <w:color w:val="auto"/>
          <w:sz w:val="32"/>
          <w:szCs w:val="32"/>
          <w:highlight w:val="none"/>
        </w:rPr>
        <w:t>万元。与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年相比，财政拨款收、支总计各</w:t>
      </w:r>
      <w:r>
        <w:rPr>
          <w:rFonts w:ascii="仿宋" w:eastAsia="仿宋"/>
          <w:color w:val="auto"/>
          <w:sz w:val="32"/>
          <w:szCs w:val="32"/>
          <w:highlight w:val="none"/>
        </w:rPr>
        <w:t>减少44.4</w:t>
      </w:r>
      <w:r>
        <w:rPr>
          <w:rFonts w:hint="eastAsia" w:ascii="仿宋" w:eastAsia="仿宋"/>
          <w:color w:val="auto"/>
          <w:sz w:val="32"/>
          <w:szCs w:val="32"/>
          <w:highlight w:val="none"/>
        </w:rPr>
        <w:t>万元，</w:t>
      </w:r>
      <w:r>
        <w:rPr>
          <w:rFonts w:ascii="仿宋" w:eastAsia="仿宋"/>
          <w:color w:val="auto"/>
          <w:sz w:val="32"/>
          <w:szCs w:val="32"/>
          <w:highlight w:val="none"/>
        </w:rPr>
        <w:t>下降39.79%</w:t>
      </w:r>
      <w:r>
        <w:rPr>
          <w:rFonts w:hint="eastAsia" w:ascii="仿宋" w:eastAsia="仿宋"/>
          <w:color w:val="auto"/>
          <w:sz w:val="32"/>
          <w:szCs w:val="32"/>
          <w:highlight w:val="none"/>
        </w:rPr>
        <w:t>。主要变动原因是</w:t>
      </w:r>
      <w:r>
        <w:rPr>
          <w:rFonts w:hint="eastAsia" w:ascii="仿宋" w:eastAsia="仿宋"/>
          <w:color w:val="auto"/>
          <w:sz w:val="32"/>
          <w:szCs w:val="32"/>
          <w:highlight w:val="none"/>
          <w:lang w:eastAsia="zh-CN"/>
        </w:rPr>
        <w:t>人员经费</w:t>
      </w:r>
      <w:r>
        <w:rPr>
          <w:rFonts w:ascii="仿宋" w:eastAsia="仿宋"/>
          <w:color w:val="auto"/>
          <w:sz w:val="32"/>
          <w:szCs w:val="32"/>
          <w:highlight w:val="none"/>
          <w:lang w:eastAsia="zh-CN"/>
        </w:rPr>
        <w:t>减少</w:t>
      </w:r>
      <w:r>
        <w:rPr>
          <w:rFonts w:hint="eastAsia" w:ascii="仿宋" w:eastAsia="仿宋"/>
          <w:color w:val="auto"/>
          <w:sz w:val="32"/>
          <w:szCs w:val="32"/>
          <w:highlight w:val="none"/>
          <w:lang w:eastAsia="zh-CN"/>
        </w:rPr>
        <w:t>，疫情防控资金</w:t>
      </w:r>
      <w:r>
        <w:rPr>
          <w:rFonts w:ascii="仿宋" w:eastAsia="仿宋"/>
          <w:color w:val="auto"/>
          <w:sz w:val="32"/>
          <w:szCs w:val="32"/>
          <w:highlight w:val="none"/>
          <w:lang w:eastAsia="zh-CN"/>
        </w:rPr>
        <w:t>减少</w:t>
      </w:r>
      <w:r>
        <w:rPr>
          <w:rFonts w:hint="eastAsia" w:ascii="仿宋" w:eastAsia="仿宋"/>
          <w:color w:val="auto"/>
          <w:sz w:val="32"/>
          <w:szCs w:val="32"/>
          <w:highlight w:val="none"/>
          <w:lang w:eastAsia="zh-CN"/>
        </w:rPr>
        <w:t>。</w:t>
      </w:r>
    </w:p>
    <w:p>
      <w:pPr>
        <w:rPr>
          <w:rFonts w:hint="eastAsia" w:ascii="仿宋" w:eastAsia="仿宋"/>
          <w:color w:val="auto"/>
          <w:sz w:val="32"/>
          <w:szCs w:val="32"/>
          <w:highlight w:val="none"/>
          <w:lang w:val="en-US" w:eastAsia="zh-CN"/>
        </w:rPr>
      </w:pPr>
      <w:r>
        <w:rPr>
          <w:rFonts w:hint="eastAsia"/>
          <w:lang w:val="en-US" w:eastAsia="zh-CN"/>
        </w:rPr>
        <w:t xml:space="preserve">               </w:t>
      </w:r>
      <w:r>
        <w:rPr>
          <w:lang w:val="en-US" w:eastAsia="zh-CN"/>
        </w:rPr>
        <w:drawing>
          <wp:inline distT="0" distB="0" distL="85090" distR="85090">
            <wp:extent cx="2919730" cy="2426970"/>
            <wp:effectExtent l="0" t="0" r="6350" b="11430"/>
            <wp:docPr id="10"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pic:cNvPicPr>
                      <a:picLocks noChangeAspect="1"/>
                    </pic:cNvPicPr>
                  </pic:nvPicPr>
                  <pic:blipFill>
                    <a:blip r:embed="rId14"/>
                    <a:srcRect t="10261" r="1415"/>
                    <a:stretch>
                      <a:fillRect/>
                    </a:stretch>
                  </pic:blipFill>
                  <pic:spPr>
                    <a:xfrm>
                      <a:off x="0" y="0"/>
                      <a:ext cx="2919730" cy="2426970"/>
                    </a:xfrm>
                    <a:prstGeom prst="rect">
                      <a:avLst/>
                    </a:prstGeom>
                    <a:noFill/>
                    <a:ln w="9525" cap="flat" cmpd="sng">
                      <a:noFill/>
                      <a:prstDash val="solid"/>
                      <a:miter/>
                    </a:ln>
                  </pic:spPr>
                </pic:pic>
              </a:graphicData>
            </a:graphic>
          </wp:inline>
        </w:drawing>
      </w:r>
    </w:p>
    <w:p>
      <w:pPr>
        <w:spacing w:line="600" w:lineRule="exact"/>
        <w:ind w:firstLine="640" w:firstLineChars="200"/>
        <w:rPr>
          <w:rFonts w:ascii="仿宋" w:eastAsia="仿宋"/>
          <w:color w:val="auto"/>
          <w:sz w:val="32"/>
          <w:szCs w:val="32"/>
          <w:highlight w:val="none"/>
        </w:rPr>
      </w:pPr>
      <w:r>
        <w:rPr>
          <w:rFonts w:hint="eastAsia" w:ascii="仿宋" w:eastAsia="仿宋"/>
          <w:color w:val="auto"/>
          <w:sz w:val="32"/>
          <w:szCs w:val="32"/>
          <w:highlight w:val="none"/>
        </w:rPr>
        <w:t>（图4：财政拨款收、支决算总计变动情况）（柱状图）</w:t>
      </w:r>
    </w:p>
    <w:p>
      <w:pPr>
        <w:spacing w:line="600" w:lineRule="exact"/>
        <w:ind w:firstLine="640"/>
        <w:rPr>
          <w:rFonts w:ascii="仿宋" w:eastAsia="仿宋"/>
          <w:b/>
          <w:color w:val="auto"/>
          <w:sz w:val="32"/>
          <w:szCs w:val="32"/>
          <w:highlight w:val="none"/>
        </w:rPr>
      </w:pPr>
    </w:p>
    <w:p>
      <w:pPr>
        <w:spacing w:line="600" w:lineRule="exact"/>
        <w:ind w:firstLine="640" w:firstLineChars="200"/>
        <w:outlineLvl w:val="1"/>
        <w:rPr>
          <w:rStyle w:val="19"/>
          <w:rFonts w:ascii="黑体" w:eastAsia="黑体"/>
          <w:b w:val="0"/>
          <w:color w:val="auto"/>
          <w:highlight w:val="none"/>
        </w:rPr>
      </w:pPr>
      <w:bookmarkStart w:id="43" w:name="_Toc21498"/>
      <w:bookmarkStart w:id="44" w:name="_Toc15396607"/>
      <w:bookmarkStart w:id="45" w:name="_Toc15377209"/>
      <w:r>
        <w:rPr>
          <w:rFonts w:hint="eastAsia" w:ascii="黑体" w:eastAsia="黑体"/>
          <w:color w:val="auto"/>
          <w:sz w:val="32"/>
          <w:szCs w:val="32"/>
          <w:highlight w:val="none"/>
        </w:rPr>
        <w:t>五、</w:t>
      </w:r>
      <w:r>
        <w:rPr>
          <w:rFonts w:hint="eastAsia" w:ascii="黑体" w:eastAsia="黑体"/>
          <w:b/>
          <w:color w:val="auto"/>
          <w:sz w:val="32"/>
          <w:szCs w:val="32"/>
          <w:highlight w:val="none"/>
        </w:rPr>
        <w:t>一</w:t>
      </w:r>
      <w:r>
        <w:rPr>
          <w:rStyle w:val="19"/>
          <w:rFonts w:hint="eastAsia" w:ascii="黑体" w:eastAsia="黑体"/>
          <w:b w:val="0"/>
          <w:color w:val="auto"/>
          <w:highlight w:val="none"/>
        </w:rPr>
        <w:t>般公共预算财政拨款支出决算情况说明</w:t>
      </w:r>
      <w:bookmarkEnd w:id="43"/>
      <w:bookmarkEnd w:id="44"/>
      <w:bookmarkEnd w:id="45"/>
    </w:p>
    <w:p>
      <w:pPr>
        <w:spacing w:line="600" w:lineRule="exact"/>
        <w:ind w:firstLine="643" w:firstLineChars="200"/>
        <w:outlineLvl w:val="2"/>
        <w:rPr>
          <w:rFonts w:ascii="仿宋" w:eastAsia="仿宋"/>
          <w:b/>
          <w:color w:val="auto"/>
          <w:sz w:val="32"/>
          <w:szCs w:val="32"/>
          <w:highlight w:val="none"/>
        </w:rPr>
      </w:pPr>
      <w:bookmarkStart w:id="46" w:name="_Toc6594"/>
      <w:bookmarkStart w:id="47" w:name="_Toc15377210"/>
      <w:r>
        <w:rPr>
          <w:rFonts w:hint="eastAsia" w:ascii="仿宋" w:eastAsia="仿宋"/>
          <w:b/>
          <w:color w:val="auto"/>
          <w:sz w:val="32"/>
          <w:szCs w:val="32"/>
          <w:highlight w:val="none"/>
        </w:rPr>
        <w:t>（一）一般公共预算财政拨款支出决算总体情况</w:t>
      </w:r>
      <w:bookmarkEnd w:id="46"/>
      <w:bookmarkEnd w:id="47"/>
    </w:p>
    <w:p>
      <w:pPr>
        <w:spacing w:line="600" w:lineRule="exact"/>
        <w:ind w:firstLine="640" w:firstLineChars="200"/>
        <w:rPr>
          <w:rFonts w:hint="eastAsia" w:ascii="仿宋" w:eastAsia="仿宋"/>
          <w:color w:val="auto"/>
          <w:sz w:val="32"/>
          <w:szCs w:val="32"/>
          <w:highlight w:val="none"/>
          <w:lang w:eastAsia="zh-CN"/>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年一般公共预算财政拨款支出</w:t>
      </w:r>
      <w:r>
        <w:rPr>
          <w:rFonts w:ascii="仿宋" w:eastAsia="仿宋"/>
          <w:color w:val="auto"/>
          <w:sz w:val="32"/>
          <w:szCs w:val="32"/>
          <w:highlight w:val="none"/>
          <w:lang w:val="en-US" w:eastAsia="zh-CN"/>
        </w:rPr>
        <w:t>66.51</w:t>
      </w:r>
      <w:r>
        <w:rPr>
          <w:rFonts w:hint="eastAsia" w:ascii="仿宋" w:eastAsia="仿宋"/>
          <w:color w:val="auto"/>
          <w:sz w:val="32"/>
          <w:szCs w:val="32"/>
          <w:highlight w:val="none"/>
        </w:rPr>
        <w:t>万元，占本年支出合计的</w:t>
      </w:r>
      <w:r>
        <w:rPr>
          <w:rFonts w:hint="eastAsia" w:ascii="仿宋" w:eastAsia="仿宋"/>
          <w:color w:val="auto"/>
          <w:sz w:val="32"/>
          <w:szCs w:val="32"/>
          <w:highlight w:val="none"/>
          <w:lang w:val="en-US" w:eastAsia="zh-CN"/>
        </w:rPr>
        <w:t>62.</w:t>
      </w:r>
      <w:r>
        <w:rPr>
          <w:rFonts w:ascii="仿宋" w:eastAsia="仿宋"/>
          <w:color w:val="auto"/>
          <w:sz w:val="32"/>
          <w:szCs w:val="32"/>
          <w:highlight w:val="none"/>
          <w:lang w:val="en-US" w:eastAsia="zh-CN"/>
        </w:rPr>
        <w:t>25</w:t>
      </w:r>
      <w:r>
        <w:rPr>
          <w:rFonts w:ascii="仿宋" w:eastAsia="仿宋"/>
          <w:color w:val="auto"/>
          <w:sz w:val="32"/>
          <w:szCs w:val="32"/>
          <w:highlight w:val="none"/>
        </w:rPr>
        <w:t>%</w:t>
      </w:r>
      <w:r>
        <w:rPr>
          <w:rFonts w:hint="eastAsia" w:ascii="仿宋" w:eastAsia="仿宋"/>
          <w:color w:val="auto"/>
          <w:sz w:val="32"/>
          <w:szCs w:val="32"/>
          <w:highlight w:val="none"/>
        </w:rPr>
        <w:t>。与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年相比，一般公共预算财政拨款</w:t>
      </w:r>
      <w:r>
        <w:rPr>
          <w:rFonts w:hint="eastAsia" w:ascii="仿宋" w:eastAsia="仿宋"/>
          <w:color w:val="auto"/>
          <w:sz w:val="32"/>
          <w:szCs w:val="32"/>
          <w:highlight w:val="none"/>
          <w:lang w:eastAsia="zh-CN"/>
        </w:rPr>
        <w:t>支出</w:t>
      </w:r>
      <w:r>
        <w:rPr>
          <w:rFonts w:ascii="仿宋" w:eastAsia="仿宋"/>
          <w:color w:val="auto"/>
          <w:sz w:val="32"/>
          <w:szCs w:val="32"/>
          <w:highlight w:val="none"/>
          <w:lang w:eastAsia="zh-CN"/>
        </w:rPr>
        <w:t>减少45.08</w:t>
      </w:r>
      <w:r>
        <w:rPr>
          <w:rFonts w:hint="eastAsia" w:ascii="仿宋" w:eastAsia="仿宋"/>
          <w:color w:val="auto"/>
          <w:sz w:val="32"/>
          <w:szCs w:val="32"/>
          <w:highlight w:val="none"/>
        </w:rPr>
        <w:t>万元，</w:t>
      </w:r>
      <w:r>
        <w:rPr>
          <w:rFonts w:ascii="仿宋" w:eastAsia="仿宋"/>
          <w:color w:val="auto"/>
          <w:sz w:val="32"/>
          <w:szCs w:val="32"/>
          <w:highlight w:val="none"/>
        </w:rPr>
        <w:t>下降40.4%</w:t>
      </w:r>
      <w:r>
        <w:rPr>
          <w:rFonts w:hint="eastAsia" w:ascii="仿宋" w:eastAsia="仿宋"/>
          <w:color w:val="auto"/>
          <w:sz w:val="32"/>
          <w:szCs w:val="32"/>
          <w:highlight w:val="none"/>
        </w:rPr>
        <w:t>。主要变动原因是</w:t>
      </w:r>
      <w:r>
        <w:rPr>
          <w:rFonts w:hint="eastAsia" w:ascii="仿宋" w:eastAsia="仿宋"/>
          <w:color w:val="auto"/>
          <w:sz w:val="32"/>
          <w:szCs w:val="32"/>
          <w:highlight w:val="none"/>
          <w:lang w:eastAsia="zh-CN"/>
        </w:rPr>
        <w:t>人员经费</w:t>
      </w:r>
      <w:r>
        <w:rPr>
          <w:rFonts w:ascii="仿宋" w:eastAsia="仿宋"/>
          <w:color w:val="auto"/>
          <w:sz w:val="32"/>
          <w:szCs w:val="32"/>
          <w:highlight w:val="none"/>
          <w:lang w:eastAsia="zh-CN"/>
        </w:rPr>
        <w:t>减少</w:t>
      </w:r>
      <w:r>
        <w:rPr>
          <w:rFonts w:hint="eastAsia" w:ascii="仿宋" w:eastAsia="仿宋"/>
          <w:color w:val="auto"/>
          <w:sz w:val="32"/>
          <w:szCs w:val="32"/>
          <w:highlight w:val="none"/>
          <w:lang w:eastAsia="zh-CN"/>
        </w:rPr>
        <w:t>。</w:t>
      </w:r>
    </w:p>
    <w:p>
      <w:r>
        <w:rPr>
          <w:rFonts w:hint="eastAsia"/>
          <w:lang w:val="en-US" w:eastAsia="zh-CN"/>
        </w:rPr>
        <w:t xml:space="preserve">                   </w:t>
      </w:r>
      <w:r>
        <w:rPr>
          <w:lang w:val="en-US" w:eastAsia="zh-CN"/>
        </w:rPr>
        <w:drawing>
          <wp:inline distT="0" distB="0" distL="85090" distR="85090">
            <wp:extent cx="2647315" cy="2466340"/>
            <wp:effectExtent l="0" t="0" r="1" b="0"/>
            <wp:docPr id="13"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pic:cNvPicPr>
                      <a:picLocks noChangeAspect="1"/>
                    </pic:cNvPicPr>
                  </pic:nvPicPr>
                  <pic:blipFill>
                    <a:blip r:embed="rId15"/>
                    <a:stretch>
                      <a:fillRect/>
                    </a:stretch>
                  </pic:blipFill>
                  <pic:spPr>
                    <a:xfrm>
                      <a:off x="0" y="0"/>
                      <a:ext cx="2647908" cy="2466937"/>
                    </a:xfrm>
                    <a:prstGeom prst="rect">
                      <a:avLst/>
                    </a:prstGeom>
                    <a:noFill/>
                    <a:ln w="9525" cap="flat" cmpd="sng">
                      <a:noFill/>
                      <a:prstDash val="solid"/>
                      <a:miter/>
                    </a:ln>
                  </pic:spPr>
                </pic:pic>
              </a:graphicData>
            </a:graphic>
          </wp:inline>
        </w:drawing>
      </w:r>
    </w:p>
    <w:p>
      <w:pPr>
        <w:spacing w:line="600" w:lineRule="exact"/>
        <w:ind w:firstLine="640" w:firstLineChars="200"/>
        <w:rPr>
          <w:rFonts w:ascii="仿宋" w:eastAsia="仿宋"/>
          <w:color w:val="auto"/>
          <w:sz w:val="32"/>
          <w:szCs w:val="32"/>
          <w:highlight w:val="none"/>
        </w:rPr>
      </w:pPr>
      <w:r>
        <w:rPr>
          <w:rFonts w:hint="eastAsia" w:ascii="仿宋" w:eastAsia="仿宋"/>
          <w:color w:val="auto"/>
          <w:sz w:val="32"/>
          <w:szCs w:val="32"/>
          <w:highlight w:val="none"/>
        </w:rPr>
        <w:t>（图5：一般公共预算财政拨款支出决算变动情况）（柱状图）</w:t>
      </w:r>
    </w:p>
    <w:p>
      <w:pPr>
        <w:spacing w:line="600" w:lineRule="exact"/>
        <w:ind w:firstLine="643" w:firstLineChars="200"/>
        <w:outlineLvl w:val="2"/>
        <w:rPr>
          <w:rFonts w:ascii="仿宋" w:eastAsia="仿宋"/>
          <w:b/>
          <w:color w:val="auto"/>
          <w:sz w:val="32"/>
          <w:szCs w:val="32"/>
          <w:highlight w:val="none"/>
        </w:rPr>
      </w:pPr>
      <w:bookmarkStart w:id="48" w:name="_Toc15377211"/>
      <w:bookmarkStart w:id="49" w:name="_Toc17217"/>
      <w:r>
        <w:rPr>
          <w:rFonts w:hint="eastAsia" w:ascii="仿宋" w:eastAsia="仿宋"/>
          <w:b/>
          <w:color w:val="auto"/>
          <w:sz w:val="32"/>
          <w:szCs w:val="32"/>
          <w:highlight w:val="none"/>
        </w:rPr>
        <w:t>（二）一般公共预算财政拨款支出决算结构情况</w:t>
      </w:r>
      <w:bookmarkEnd w:id="48"/>
      <w:bookmarkEnd w:id="49"/>
    </w:p>
    <w:p>
      <w:pPr>
        <w:spacing w:line="600" w:lineRule="exact"/>
        <w:ind w:firstLine="640"/>
        <w:rPr>
          <w:rFonts w:hint="eastAsia" w:ascii="仿宋" w:eastAsia="仿宋"/>
          <w:b/>
          <w:color w:val="auto"/>
          <w:sz w:val="32"/>
          <w:szCs w:val="32"/>
          <w:highlight w:val="none"/>
          <w:lang w:val="en-US" w:eastAsia="zh-CN"/>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年一般公共预算财政拨款支出</w:t>
      </w:r>
      <w:r>
        <w:rPr>
          <w:rFonts w:ascii="仿宋" w:eastAsia="仿宋"/>
          <w:color w:val="auto"/>
          <w:sz w:val="32"/>
          <w:szCs w:val="32"/>
          <w:highlight w:val="none"/>
          <w:lang w:val="en-US" w:eastAsia="zh-CN"/>
        </w:rPr>
        <w:t>66.51</w:t>
      </w:r>
      <w:r>
        <w:rPr>
          <w:rFonts w:hint="eastAsia" w:ascii="仿宋" w:eastAsia="仿宋"/>
          <w:color w:val="auto"/>
          <w:sz w:val="32"/>
          <w:szCs w:val="32"/>
          <w:highlight w:val="none"/>
        </w:rPr>
        <w:t>万元，主要用于以下方面</w:t>
      </w:r>
      <w:r>
        <w:rPr>
          <w:rFonts w:ascii="仿宋" w:eastAsia="仿宋"/>
          <w:color w:val="auto"/>
          <w:sz w:val="32"/>
          <w:szCs w:val="32"/>
          <w:highlight w:val="none"/>
        </w:rPr>
        <w:t>:</w:t>
      </w:r>
      <w:r>
        <w:rPr>
          <w:rFonts w:hint="eastAsia" w:ascii="仿宋" w:eastAsia="仿宋"/>
          <w:b/>
          <w:color w:val="auto"/>
          <w:sz w:val="32"/>
          <w:szCs w:val="32"/>
          <w:highlight w:val="none"/>
        </w:rPr>
        <w:t>社会保障和就业</w:t>
      </w:r>
      <w:r>
        <w:rPr>
          <w:rFonts w:hint="eastAsia" w:ascii="仿宋" w:eastAsia="仿宋"/>
          <w:b/>
          <w:bCs/>
          <w:color w:val="auto"/>
          <w:sz w:val="32"/>
          <w:szCs w:val="32"/>
          <w:highlight w:val="none"/>
        </w:rPr>
        <w:t>支出</w:t>
      </w:r>
      <w:r>
        <w:rPr>
          <w:rFonts w:ascii="仿宋" w:eastAsia="仿宋"/>
          <w:color w:val="auto"/>
          <w:sz w:val="32"/>
          <w:szCs w:val="32"/>
          <w:highlight w:val="none"/>
          <w:lang w:val="en-US" w:eastAsia="zh-CN"/>
        </w:rPr>
        <w:t>9.68</w:t>
      </w:r>
      <w:r>
        <w:rPr>
          <w:rFonts w:hint="eastAsia" w:ascii="仿宋" w:eastAsia="仿宋"/>
          <w:color w:val="auto"/>
          <w:sz w:val="32"/>
          <w:szCs w:val="32"/>
          <w:highlight w:val="none"/>
        </w:rPr>
        <w:t>万元，占</w:t>
      </w:r>
      <w:r>
        <w:rPr>
          <w:rFonts w:ascii="仿宋" w:eastAsia="仿宋"/>
          <w:color w:val="auto"/>
          <w:sz w:val="32"/>
          <w:szCs w:val="32"/>
          <w:highlight w:val="none"/>
          <w:lang w:val="en-US" w:eastAsia="zh-CN"/>
        </w:rPr>
        <w:t>14.55</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b/>
          <w:bCs/>
          <w:color w:val="auto"/>
          <w:sz w:val="32"/>
          <w:szCs w:val="32"/>
          <w:highlight w:val="none"/>
        </w:rPr>
        <w:t>卫生健康支出</w:t>
      </w:r>
      <w:r>
        <w:rPr>
          <w:rFonts w:ascii="仿宋" w:eastAsia="仿宋"/>
          <w:color w:val="auto"/>
          <w:sz w:val="32"/>
          <w:szCs w:val="32"/>
          <w:highlight w:val="none"/>
          <w:lang w:val="en-US" w:eastAsia="zh-CN"/>
        </w:rPr>
        <w:t>49.04</w:t>
      </w:r>
      <w:r>
        <w:rPr>
          <w:rFonts w:hint="eastAsia" w:ascii="仿宋" w:eastAsia="仿宋"/>
          <w:color w:val="auto"/>
          <w:sz w:val="32"/>
          <w:szCs w:val="32"/>
          <w:highlight w:val="none"/>
        </w:rPr>
        <w:t>万元，占</w:t>
      </w:r>
      <w:r>
        <w:rPr>
          <w:rFonts w:ascii="仿宋" w:eastAsia="仿宋"/>
          <w:color w:val="auto"/>
          <w:sz w:val="32"/>
          <w:szCs w:val="32"/>
          <w:highlight w:val="none"/>
          <w:lang w:val="en-US" w:eastAsia="zh-CN"/>
        </w:rPr>
        <w:t>73.73</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b/>
          <w:bCs/>
          <w:color w:val="auto"/>
          <w:sz w:val="32"/>
          <w:szCs w:val="32"/>
          <w:highlight w:val="none"/>
        </w:rPr>
        <w:t>住房保障支出</w:t>
      </w:r>
      <w:r>
        <w:rPr>
          <w:rFonts w:ascii="仿宋" w:eastAsia="仿宋"/>
          <w:b/>
          <w:bCs/>
          <w:color w:val="auto"/>
          <w:sz w:val="32"/>
          <w:szCs w:val="32"/>
          <w:highlight w:val="none"/>
        </w:rPr>
        <w:t>7.8</w:t>
      </w:r>
      <w:r>
        <w:rPr>
          <w:rFonts w:hint="eastAsia" w:ascii="仿宋" w:eastAsia="仿宋"/>
          <w:color w:val="auto"/>
          <w:sz w:val="32"/>
          <w:szCs w:val="32"/>
          <w:highlight w:val="none"/>
        </w:rPr>
        <w:t>万元，占</w:t>
      </w:r>
      <w:r>
        <w:rPr>
          <w:rFonts w:ascii="仿宋" w:eastAsia="仿宋"/>
          <w:color w:val="auto"/>
          <w:sz w:val="32"/>
          <w:szCs w:val="32"/>
          <w:highlight w:val="none"/>
          <w:lang w:val="en-US" w:eastAsia="zh-CN"/>
        </w:rPr>
        <w:t>11.72</w:t>
      </w:r>
      <w:r>
        <w:rPr>
          <w:rFonts w:ascii="仿宋" w:eastAsia="仿宋"/>
          <w:color w:val="auto"/>
          <w:sz w:val="32"/>
          <w:szCs w:val="32"/>
          <w:highlight w:val="none"/>
        </w:rPr>
        <w:t>%</w:t>
      </w:r>
      <w:r>
        <w:rPr>
          <w:rFonts w:hint="eastAsia" w:ascii="仿宋" w:eastAsia="仿宋"/>
          <w:color w:val="auto"/>
          <w:sz w:val="32"/>
          <w:szCs w:val="32"/>
          <w:highlight w:val="none"/>
          <w:lang w:eastAsia="zh-CN"/>
        </w:rPr>
        <w:t>。</w:t>
      </w:r>
    </w:p>
    <w:p>
      <w:pPr>
        <w:rPr>
          <w:rFonts w:ascii="仿宋" w:eastAsia="仿宋"/>
          <w:color w:val="auto"/>
          <w:sz w:val="32"/>
          <w:szCs w:val="32"/>
          <w:highlight w:val="none"/>
        </w:rPr>
      </w:pPr>
      <w:r>
        <w:rPr>
          <w:rFonts w:hint="eastAsia"/>
          <w:lang w:val="en-US" w:eastAsia="zh-CN"/>
        </w:rPr>
        <w:t xml:space="preserve">                         </w:t>
      </w:r>
      <w:r>
        <w:rPr>
          <w:lang w:val="en-US" w:eastAsia="zh-CN"/>
        </w:rPr>
        <w:drawing>
          <wp:inline distT="0" distB="0" distL="85090" distR="85090">
            <wp:extent cx="2809240" cy="1866265"/>
            <wp:effectExtent l="0" t="0" r="1" b="0"/>
            <wp:docPr id="16"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pic:cNvPicPr>
                      <a:picLocks noChangeAspect="1"/>
                    </pic:cNvPicPr>
                  </pic:nvPicPr>
                  <pic:blipFill>
                    <a:blip r:embed="rId16"/>
                    <a:stretch>
                      <a:fillRect/>
                    </a:stretch>
                  </pic:blipFill>
                  <pic:spPr>
                    <a:xfrm>
                      <a:off x="0" y="0"/>
                      <a:ext cx="2809831" cy="1866872"/>
                    </a:xfrm>
                    <a:prstGeom prst="rect">
                      <a:avLst/>
                    </a:prstGeom>
                    <a:noFill/>
                    <a:ln w="9525" cap="flat" cmpd="sng">
                      <a:noFill/>
                      <a:prstDash val="solid"/>
                      <a:miter/>
                    </a:ln>
                  </pic:spPr>
                </pic:pic>
              </a:graphicData>
            </a:graphic>
          </wp:inline>
        </w:drawing>
      </w:r>
    </w:p>
    <w:p>
      <w:pPr>
        <w:spacing w:line="600" w:lineRule="exact"/>
        <w:ind w:firstLine="640" w:firstLineChars="200"/>
        <w:rPr>
          <w:rFonts w:ascii="仿宋" w:eastAsia="仿宋"/>
          <w:color w:val="auto"/>
          <w:sz w:val="32"/>
          <w:szCs w:val="32"/>
          <w:highlight w:val="none"/>
        </w:rPr>
      </w:pPr>
      <w:r>
        <w:rPr>
          <w:rFonts w:hint="eastAsia" w:ascii="仿宋" w:eastAsia="仿宋"/>
          <w:color w:val="auto"/>
          <w:sz w:val="32"/>
          <w:szCs w:val="32"/>
          <w:highlight w:val="none"/>
        </w:rPr>
        <w:t>（图6：一般公共预算财政拨款支出决算结构）（饼状图）</w:t>
      </w:r>
    </w:p>
    <w:p>
      <w:pPr>
        <w:spacing w:line="600" w:lineRule="exact"/>
        <w:ind w:firstLine="643" w:firstLineChars="200"/>
        <w:outlineLvl w:val="2"/>
        <w:rPr>
          <w:rFonts w:ascii="仿宋" w:eastAsia="仿宋"/>
          <w:b/>
          <w:color w:val="auto"/>
          <w:sz w:val="32"/>
          <w:szCs w:val="32"/>
          <w:highlight w:val="none"/>
        </w:rPr>
      </w:pPr>
      <w:bookmarkStart w:id="50" w:name="_Toc13870"/>
      <w:bookmarkStart w:id="51" w:name="_Toc15377212"/>
      <w:r>
        <w:rPr>
          <w:rFonts w:hint="eastAsia" w:ascii="仿宋" w:eastAsia="仿宋"/>
          <w:b/>
          <w:color w:val="auto"/>
          <w:sz w:val="32"/>
          <w:szCs w:val="32"/>
          <w:highlight w:val="none"/>
        </w:rPr>
        <w:t>（三）一般公共预算财政拨款支出决算具体情况</w:t>
      </w:r>
      <w:bookmarkEnd w:id="50"/>
      <w:bookmarkEnd w:id="51"/>
    </w:p>
    <w:p>
      <w:pPr>
        <w:spacing w:line="600" w:lineRule="exact"/>
        <w:ind w:firstLine="643" w:firstLineChars="200"/>
        <w:outlineLvl w:val="2"/>
        <w:rPr>
          <w:rFonts w:ascii="仿宋" w:eastAsia="仿宋"/>
          <w:color w:val="auto"/>
          <w:sz w:val="32"/>
          <w:szCs w:val="32"/>
          <w:highlight w:val="none"/>
        </w:rPr>
      </w:pPr>
      <w:bookmarkStart w:id="52" w:name="_Toc12122"/>
      <w:bookmarkStart w:id="53" w:name="_Toc15377444"/>
      <w:bookmarkStart w:id="54" w:name="_Toc8235"/>
      <w:bookmarkStart w:id="55" w:name="_Toc15378460"/>
      <w:bookmarkStart w:id="56" w:name="_Toc15377213"/>
      <w:r>
        <w:rPr>
          <w:rFonts w:hint="eastAsia" w:ascii="仿宋" w:eastAsia="仿宋"/>
          <w:b/>
          <w:color w:val="auto"/>
          <w:sz w:val="32"/>
          <w:szCs w:val="32"/>
          <w:highlight w:val="none"/>
        </w:rPr>
        <w:t>20</w:t>
      </w:r>
      <w:r>
        <w:rPr>
          <w:rFonts w:hint="eastAsia" w:ascii="仿宋" w:eastAsia="仿宋"/>
          <w:b/>
          <w:color w:val="auto"/>
          <w:sz w:val="32"/>
          <w:szCs w:val="32"/>
          <w:highlight w:val="none"/>
          <w:lang w:val="en-US" w:eastAsia="zh-CN"/>
        </w:rPr>
        <w:t>22</w:t>
      </w:r>
      <w:r>
        <w:rPr>
          <w:rFonts w:hint="eastAsia" w:ascii="仿宋" w:eastAsia="仿宋"/>
          <w:b/>
          <w:color w:val="auto"/>
          <w:sz w:val="32"/>
          <w:szCs w:val="32"/>
          <w:highlight w:val="none"/>
        </w:rPr>
        <w:t>年</w:t>
      </w:r>
      <w:r>
        <w:rPr>
          <w:rFonts w:hint="eastAsia" w:ascii="仿宋" w:eastAsia="仿宋"/>
          <w:b/>
          <w:color w:val="auto"/>
          <w:sz w:val="32"/>
          <w:szCs w:val="32"/>
          <w:highlight w:val="none"/>
          <w:lang w:eastAsia="zh-CN"/>
        </w:rPr>
        <w:t>一</w:t>
      </w:r>
      <w:r>
        <w:rPr>
          <w:rFonts w:hint="eastAsia" w:ascii="仿宋" w:eastAsia="仿宋"/>
          <w:b/>
          <w:color w:val="auto"/>
          <w:sz w:val="32"/>
          <w:szCs w:val="32"/>
          <w:highlight w:val="none"/>
        </w:rPr>
        <w:t>般公共预算支出决算数为</w:t>
      </w:r>
      <w:r>
        <w:rPr>
          <w:rFonts w:ascii="仿宋" w:eastAsia="仿宋"/>
          <w:b/>
          <w:color w:val="auto"/>
          <w:sz w:val="32"/>
          <w:szCs w:val="32"/>
          <w:highlight w:val="none"/>
          <w:lang w:val="en-US" w:eastAsia="zh-CN"/>
        </w:rPr>
        <w:t>66.51</w:t>
      </w:r>
      <w:r>
        <w:rPr>
          <w:rFonts w:hint="eastAsia" w:ascii="仿宋" w:eastAsia="仿宋"/>
          <w:b/>
          <w:color w:val="auto"/>
          <w:sz w:val="32"/>
          <w:szCs w:val="32"/>
          <w:highlight w:val="none"/>
          <w:lang w:val="en-US" w:eastAsia="zh-CN"/>
        </w:rPr>
        <w:t>万元</w:t>
      </w:r>
      <w:r>
        <w:rPr>
          <w:rFonts w:hint="eastAsia" w:ascii="仿宋" w:eastAsia="仿宋"/>
          <w:color w:val="auto"/>
          <w:sz w:val="32"/>
          <w:szCs w:val="32"/>
          <w:highlight w:val="none"/>
        </w:rPr>
        <w:t>，</w:t>
      </w:r>
      <w:r>
        <w:rPr>
          <w:rStyle w:val="15"/>
          <w:rFonts w:hint="eastAsia" w:ascii="仿宋" w:eastAsia="仿宋"/>
          <w:bCs/>
          <w:color w:val="auto"/>
          <w:sz w:val="32"/>
          <w:szCs w:val="32"/>
          <w:highlight w:val="none"/>
        </w:rPr>
        <w:t>完成预算</w:t>
      </w:r>
      <w:r>
        <w:rPr>
          <w:rStyle w:val="15"/>
          <w:rFonts w:hint="eastAsia" w:ascii="仿宋" w:eastAsia="仿宋"/>
          <w:bCs/>
          <w:color w:val="auto"/>
          <w:sz w:val="32"/>
          <w:szCs w:val="32"/>
          <w:highlight w:val="none"/>
          <w:lang w:val="en-US" w:eastAsia="zh-CN"/>
        </w:rPr>
        <w:t>100</w:t>
      </w:r>
      <w:r>
        <w:rPr>
          <w:rStyle w:val="15"/>
          <w:rFonts w:ascii="仿宋" w:eastAsia="仿宋"/>
          <w:bCs/>
          <w:color w:val="auto"/>
          <w:sz w:val="32"/>
          <w:szCs w:val="32"/>
          <w:highlight w:val="none"/>
        </w:rPr>
        <w:t>%</w:t>
      </w:r>
      <w:r>
        <w:rPr>
          <w:rStyle w:val="15"/>
          <w:rFonts w:hint="eastAsia" w:ascii="仿宋" w:eastAsia="仿宋"/>
          <w:bCs/>
          <w:color w:val="auto"/>
          <w:sz w:val="32"/>
          <w:szCs w:val="32"/>
          <w:highlight w:val="none"/>
        </w:rPr>
        <w:t>。其中：</w:t>
      </w:r>
      <w:bookmarkEnd w:id="52"/>
      <w:bookmarkEnd w:id="53"/>
      <w:bookmarkEnd w:id="54"/>
      <w:bookmarkEnd w:id="55"/>
      <w:bookmarkEnd w:id="56"/>
      <w:bookmarkStart w:id="123" w:name="_GoBack"/>
      <w:bookmarkEnd w:id="123"/>
    </w:p>
    <w:p>
      <w:pPr>
        <w:spacing w:line="600" w:lineRule="exact"/>
        <w:ind w:left="0" w:firstLine="643" w:firstLineChars="200"/>
        <w:rPr>
          <w:rStyle w:val="15"/>
          <w:rFonts w:hint="eastAsia" w:ascii="仿宋" w:eastAsia="仿宋"/>
          <w:b w:val="0"/>
          <w:bCs/>
          <w:color w:val="auto"/>
          <w:sz w:val="32"/>
          <w:szCs w:val="32"/>
          <w:highlight w:val="none"/>
          <w:lang w:eastAsia="zh-CN"/>
        </w:rPr>
      </w:pPr>
      <w:r>
        <w:rPr>
          <w:rStyle w:val="15"/>
          <w:rFonts w:hint="eastAsia" w:ascii="仿宋" w:eastAsia="仿宋"/>
          <w:bCs/>
          <w:color w:val="auto"/>
          <w:sz w:val="32"/>
          <w:szCs w:val="32"/>
          <w:highlight w:val="none"/>
          <w:lang w:val="en-US" w:eastAsia="zh-CN"/>
        </w:rPr>
        <w:t>1.</w:t>
      </w:r>
      <w:r>
        <w:rPr>
          <w:rStyle w:val="15"/>
          <w:rFonts w:hint="eastAsia" w:ascii="仿宋" w:eastAsia="仿宋"/>
          <w:bCs/>
          <w:color w:val="auto"/>
          <w:sz w:val="32"/>
          <w:szCs w:val="32"/>
          <w:highlight w:val="none"/>
        </w:rPr>
        <w:t>社会保障和就业（类）行政事业单位养老支出（款）机关事业单位基本养老保险缴费支出（项）</w:t>
      </w:r>
      <w:r>
        <w:rPr>
          <w:rStyle w:val="15"/>
          <w:rFonts w:ascii="仿宋" w:eastAsia="仿宋"/>
          <w:bCs/>
          <w:color w:val="auto"/>
          <w:sz w:val="32"/>
          <w:szCs w:val="32"/>
          <w:highlight w:val="none"/>
        </w:rPr>
        <w:t>:</w:t>
      </w:r>
      <w:r>
        <w:rPr>
          <w:rStyle w:val="15"/>
          <w:rFonts w:ascii="仿宋" w:eastAsia="仿宋"/>
          <w:b w:val="0"/>
          <w:bCs/>
          <w:color w:val="auto"/>
          <w:sz w:val="32"/>
          <w:szCs w:val="32"/>
          <w:highlight w:val="none"/>
        </w:rPr>
        <w:t xml:space="preserve"> </w:t>
      </w:r>
      <w:r>
        <w:rPr>
          <w:rStyle w:val="15"/>
          <w:rFonts w:hint="eastAsia" w:ascii="仿宋" w:eastAsia="仿宋"/>
          <w:b w:val="0"/>
          <w:bCs/>
          <w:color w:val="auto"/>
          <w:sz w:val="32"/>
          <w:szCs w:val="32"/>
          <w:highlight w:val="none"/>
        </w:rPr>
        <w:t>支出决算为</w:t>
      </w:r>
      <w:r>
        <w:rPr>
          <w:rStyle w:val="15"/>
          <w:rFonts w:ascii="仿宋" w:eastAsia="仿宋"/>
          <w:b w:val="0"/>
          <w:bCs/>
          <w:color w:val="auto"/>
          <w:sz w:val="32"/>
          <w:szCs w:val="32"/>
          <w:highlight w:val="none"/>
          <w:lang w:val="en-US" w:eastAsia="zh-CN"/>
        </w:rPr>
        <w:t>6.25</w:t>
      </w:r>
      <w:r>
        <w:rPr>
          <w:rStyle w:val="15"/>
          <w:rFonts w:hint="eastAsia" w:ascii="仿宋" w:eastAsia="仿宋"/>
          <w:b w:val="0"/>
          <w:bCs/>
          <w:color w:val="auto"/>
          <w:sz w:val="32"/>
          <w:szCs w:val="32"/>
          <w:highlight w:val="none"/>
        </w:rPr>
        <w:t>万元，完成预算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lang w:eastAsia="zh-CN"/>
        </w:rPr>
        <w:t>。</w:t>
      </w:r>
    </w:p>
    <w:p>
      <w:pPr>
        <w:spacing w:line="600" w:lineRule="exact"/>
        <w:ind w:left="0" w:firstLine="643" w:firstLineChars="200"/>
        <w:rPr>
          <w:rStyle w:val="15"/>
          <w:rFonts w:hint="eastAsia" w:ascii="仿宋" w:eastAsia="仿宋"/>
          <w:b w:val="0"/>
          <w:bCs/>
          <w:color w:val="auto"/>
          <w:sz w:val="32"/>
          <w:szCs w:val="32"/>
          <w:highlight w:val="none"/>
          <w:lang w:eastAsia="zh-CN"/>
        </w:rPr>
      </w:pPr>
      <w:r>
        <w:rPr>
          <w:rStyle w:val="15"/>
          <w:rFonts w:hint="eastAsia" w:ascii="仿宋" w:eastAsia="仿宋"/>
          <w:bCs/>
          <w:color w:val="auto"/>
          <w:sz w:val="32"/>
          <w:szCs w:val="32"/>
          <w:highlight w:val="none"/>
          <w:lang w:val="en-US" w:eastAsia="zh-CN"/>
        </w:rPr>
        <w:t>2.</w:t>
      </w:r>
      <w:r>
        <w:rPr>
          <w:rStyle w:val="15"/>
          <w:rFonts w:hint="eastAsia" w:ascii="仿宋" w:eastAsia="仿宋"/>
          <w:bCs/>
          <w:color w:val="auto"/>
          <w:sz w:val="32"/>
          <w:szCs w:val="32"/>
          <w:highlight w:val="none"/>
        </w:rPr>
        <w:t>社会保障和就业（类）行政事业单位养老支出（款）机关事业单位职业年金缴费支出（项）</w:t>
      </w:r>
      <w:r>
        <w:rPr>
          <w:rStyle w:val="15"/>
          <w:rFonts w:ascii="仿宋" w:eastAsia="仿宋"/>
          <w:bCs/>
          <w:color w:val="auto"/>
          <w:sz w:val="32"/>
          <w:szCs w:val="32"/>
          <w:highlight w:val="none"/>
        </w:rPr>
        <w:t>:</w:t>
      </w:r>
      <w:r>
        <w:rPr>
          <w:rStyle w:val="15"/>
          <w:rFonts w:ascii="仿宋" w:eastAsia="仿宋"/>
          <w:b w:val="0"/>
          <w:bCs/>
          <w:color w:val="auto"/>
          <w:sz w:val="32"/>
          <w:szCs w:val="32"/>
          <w:highlight w:val="none"/>
        </w:rPr>
        <w:t xml:space="preserve"> </w:t>
      </w:r>
      <w:r>
        <w:rPr>
          <w:rStyle w:val="15"/>
          <w:rFonts w:hint="eastAsia" w:ascii="仿宋" w:eastAsia="仿宋"/>
          <w:b w:val="0"/>
          <w:bCs/>
          <w:color w:val="auto"/>
          <w:sz w:val="32"/>
          <w:szCs w:val="32"/>
          <w:highlight w:val="none"/>
        </w:rPr>
        <w:t>支出决算为</w:t>
      </w:r>
      <w:r>
        <w:rPr>
          <w:rStyle w:val="15"/>
          <w:rFonts w:ascii="仿宋" w:eastAsia="仿宋"/>
          <w:b w:val="0"/>
          <w:bCs/>
          <w:color w:val="auto"/>
          <w:sz w:val="32"/>
          <w:szCs w:val="32"/>
          <w:highlight w:val="none"/>
          <w:lang w:val="en-US" w:eastAsia="zh-CN"/>
        </w:rPr>
        <w:t>3.43</w:t>
      </w:r>
      <w:r>
        <w:rPr>
          <w:rStyle w:val="15"/>
          <w:rFonts w:hint="eastAsia" w:ascii="仿宋" w:eastAsia="仿宋"/>
          <w:b w:val="0"/>
          <w:bCs/>
          <w:color w:val="auto"/>
          <w:sz w:val="32"/>
          <w:szCs w:val="32"/>
          <w:highlight w:val="none"/>
        </w:rPr>
        <w:t>万元，完成预算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lang w:eastAsia="zh-CN"/>
        </w:rPr>
        <w:t>。</w:t>
      </w:r>
    </w:p>
    <w:p>
      <w:pPr>
        <w:spacing w:line="600" w:lineRule="exact"/>
        <w:ind w:firstLine="643" w:firstLineChars="200"/>
        <w:rPr>
          <w:rFonts w:ascii="仿宋" w:eastAsia="仿宋"/>
          <w:b/>
          <w:color w:val="auto"/>
          <w:sz w:val="32"/>
          <w:szCs w:val="32"/>
          <w:highlight w:val="none"/>
        </w:rPr>
      </w:pPr>
      <w:r>
        <w:rPr>
          <w:rStyle w:val="15"/>
          <w:rFonts w:ascii="仿宋" w:eastAsia="仿宋"/>
          <w:bCs/>
          <w:color w:val="auto"/>
          <w:sz w:val="32"/>
          <w:szCs w:val="32"/>
          <w:highlight w:val="none"/>
        </w:rPr>
        <w:t>3.</w:t>
      </w:r>
      <w:r>
        <w:rPr>
          <w:rFonts w:hint="eastAsia" w:ascii="仿宋" w:eastAsia="仿宋"/>
          <w:b/>
          <w:bCs/>
          <w:color w:val="auto"/>
          <w:sz w:val="32"/>
          <w:szCs w:val="32"/>
          <w:highlight w:val="none"/>
        </w:rPr>
        <w:t>卫生健康</w:t>
      </w:r>
      <w:r>
        <w:rPr>
          <w:rStyle w:val="15"/>
          <w:rFonts w:hint="eastAsia" w:ascii="仿宋" w:eastAsia="仿宋"/>
          <w:bCs/>
          <w:color w:val="auto"/>
          <w:sz w:val="32"/>
          <w:szCs w:val="32"/>
          <w:highlight w:val="none"/>
        </w:rPr>
        <w:t>（类）基层医疗卫生机构（款）乡镇卫生院（项）</w:t>
      </w:r>
      <w:r>
        <w:rPr>
          <w:rStyle w:val="15"/>
          <w:rFonts w:ascii="仿宋" w:eastAsia="仿宋"/>
          <w:bCs/>
          <w:color w:val="auto"/>
          <w:sz w:val="32"/>
          <w:szCs w:val="32"/>
          <w:highlight w:val="none"/>
        </w:rPr>
        <w:t>:</w:t>
      </w:r>
      <w:r>
        <w:rPr>
          <w:rStyle w:val="15"/>
          <w:rFonts w:hint="eastAsia" w:ascii="仿宋" w:eastAsia="仿宋"/>
          <w:b w:val="0"/>
          <w:bCs/>
          <w:color w:val="auto"/>
          <w:sz w:val="32"/>
          <w:szCs w:val="32"/>
          <w:highlight w:val="none"/>
        </w:rPr>
        <w:t>支出决算为</w:t>
      </w:r>
      <w:r>
        <w:rPr>
          <w:rStyle w:val="15"/>
          <w:rFonts w:ascii="仿宋" w:eastAsia="仿宋"/>
          <w:b w:val="0"/>
          <w:bCs/>
          <w:color w:val="auto"/>
          <w:sz w:val="32"/>
          <w:szCs w:val="32"/>
          <w:highlight w:val="none"/>
          <w:lang w:val="en-US" w:eastAsia="zh-CN"/>
        </w:rPr>
        <w:t>45.22</w:t>
      </w:r>
      <w:r>
        <w:rPr>
          <w:rStyle w:val="15"/>
          <w:rFonts w:hint="eastAsia" w:ascii="仿宋" w:eastAsia="仿宋"/>
          <w:b w:val="0"/>
          <w:bCs/>
          <w:color w:val="auto"/>
          <w:sz w:val="32"/>
          <w:szCs w:val="32"/>
          <w:highlight w:val="none"/>
        </w:rPr>
        <w:t>万元，完成预算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rPr>
        <w:t>。</w:t>
      </w:r>
    </w:p>
    <w:p>
      <w:pPr>
        <w:ind w:firstLine="643" w:firstLineChars="200"/>
        <w:rPr>
          <w:lang w:val="en-US" w:eastAsia="zh-CN"/>
        </w:rPr>
      </w:pPr>
      <w:r>
        <w:rPr>
          <w:rStyle w:val="15"/>
          <w:rFonts w:ascii="仿宋" w:eastAsia="仿宋"/>
          <w:bCs/>
          <w:color w:val="auto"/>
          <w:sz w:val="32"/>
          <w:szCs w:val="32"/>
          <w:highlight w:val="none"/>
          <w:lang w:val="en-US" w:eastAsia="zh-CN"/>
        </w:rPr>
        <w:t>4</w:t>
      </w:r>
      <w:r>
        <w:rPr>
          <w:rStyle w:val="15"/>
          <w:rFonts w:ascii="仿宋" w:eastAsia="仿宋"/>
          <w:bCs/>
          <w:color w:val="auto"/>
          <w:sz w:val="32"/>
          <w:szCs w:val="32"/>
          <w:highlight w:val="none"/>
        </w:rPr>
        <w:t>.</w:t>
      </w:r>
      <w:r>
        <w:rPr>
          <w:rFonts w:hint="eastAsia" w:ascii="仿宋" w:eastAsia="仿宋"/>
          <w:b/>
          <w:bCs/>
          <w:color w:val="auto"/>
          <w:sz w:val="32"/>
          <w:szCs w:val="32"/>
          <w:highlight w:val="none"/>
        </w:rPr>
        <w:t>卫生健康</w:t>
      </w:r>
      <w:r>
        <w:rPr>
          <w:rStyle w:val="15"/>
          <w:rFonts w:hint="eastAsia" w:ascii="仿宋" w:eastAsia="仿宋"/>
          <w:bCs/>
          <w:color w:val="auto"/>
          <w:sz w:val="32"/>
          <w:szCs w:val="32"/>
          <w:highlight w:val="none"/>
        </w:rPr>
        <w:t>（类）行政事业单位医疗（款）事业单位医疗（项）</w:t>
      </w:r>
      <w:r>
        <w:rPr>
          <w:rStyle w:val="15"/>
          <w:rFonts w:ascii="仿宋" w:eastAsia="仿宋"/>
          <w:bCs/>
          <w:color w:val="auto"/>
          <w:sz w:val="32"/>
          <w:szCs w:val="32"/>
          <w:highlight w:val="none"/>
        </w:rPr>
        <w:t>:</w:t>
      </w:r>
      <w:r>
        <w:rPr>
          <w:rStyle w:val="15"/>
          <w:rFonts w:hint="eastAsia" w:ascii="仿宋" w:eastAsia="仿宋"/>
          <w:b w:val="0"/>
          <w:bCs/>
          <w:color w:val="auto"/>
          <w:sz w:val="32"/>
          <w:szCs w:val="32"/>
          <w:highlight w:val="none"/>
        </w:rPr>
        <w:t>支出决算为</w:t>
      </w:r>
      <w:r>
        <w:rPr>
          <w:rStyle w:val="15"/>
          <w:rFonts w:ascii="仿宋" w:eastAsia="仿宋"/>
          <w:b w:val="0"/>
          <w:bCs/>
          <w:color w:val="auto"/>
          <w:sz w:val="32"/>
          <w:szCs w:val="32"/>
          <w:highlight w:val="none"/>
          <w:lang w:val="en-US" w:eastAsia="zh-CN"/>
        </w:rPr>
        <w:t>3.82</w:t>
      </w:r>
      <w:r>
        <w:rPr>
          <w:rStyle w:val="15"/>
          <w:rFonts w:hint="eastAsia" w:ascii="仿宋" w:eastAsia="仿宋"/>
          <w:b w:val="0"/>
          <w:bCs/>
          <w:color w:val="auto"/>
          <w:sz w:val="32"/>
          <w:szCs w:val="32"/>
          <w:highlight w:val="none"/>
        </w:rPr>
        <w:t>万元，完成预算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rPr>
        <w:t>。</w:t>
      </w:r>
    </w:p>
    <w:p>
      <w:pPr>
        <w:spacing w:line="600" w:lineRule="exact"/>
        <w:ind w:firstLine="643" w:firstLineChars="200"/>
        <w:rPr>
          <w:rStyle w:val="15"/>
          <w:rFonts w:hint="eastAsia" w:ascii="仿宋" w:eastAsia="仿宋"/>
          <w:b w:val="0"/>
          <w:bCs/>
          <w:color w:val="auto"/>
          <w:sz w:val="32"/>
          <w:szCs w:val="32"/>
          <w:highlight w:val="none"/>
        </w:rPr>
      </w:pPr>
      <w:r>
        <w:rPr>
          <w:rStyle w:val="15"/>
          <w:rFonts w:ascii="仿宋" w:eastAsia="仿宋"/>
          <w:bCs/>
          <w:color w:val="auto"/>
          <w:sz w:val="32"/>
          <w:szCs w:val="32"/>
          <w:highlight w:val="none"/>
          <w:lang w:val="en-US" w:eastAsia="zh-CN"/>
        </w:rPr>
        <w:t>5</w:t>
      </w:r>
      <w:r>
        <w:rPr>
          <w:rStyle w:val="15"/>
          <w:rFonts w:ascii="仿宋" w:eastAsia="仿宋"/>
          <w:bCs/>
          <w:color w:val="auto"/>
          <w:sz w:val="32"/>
          <w:szCs w:val="32"/>
          <w:highlight w:val="none"/>
        </w:rPr>
        <w:t>.</w:t>
      </w:r>
      <w:r>
        <w:rPr>
          <w:rStyle w:val="15"/>
          <w:rFonts w:hint="eastAsia" w:ascii="仿宋" w:eastAsia="仿宋"/>
          <w:bCs/>
          <w:color w:val="auto"/>
          <w:sz w:val="32"/>
          <w:szCs w:val="32"/>
          <w:highlight w:val="none"/>
        </w:rPr>
        <w:t>住房保障（类）住房改革支出（款）住房公积金（项）</w:t>
      </w:r>
      <w:r>
        <w:rPr>
          <w:rStyle w:val="15"/>
          <w:rFonts w:ascii="仿宋" w:eastAsia="仿宋"/>
          <w:bCs/>
          <w:color w:val="auto"/>
          <w:sz w:val="32"/>
          <w:szCs w:val="32"/>
          <w:highlight w:val="none"/>
        </w:rPr>
        <w:t>:</w:t>
      </w:r>
      <w:r>
        <w:rPr>
          <w:rStyle w:val="15"/>
          <w:rFonts w:ascii="仿宋" w:eastAsia="仿宋"/>
          <w:b w:val="0"/>
          <w:bCs/>
          <w:color w:val="auto"/>
          <w:sz w:val="32"/>
          <w:szCs w:val="32"/>
          <w:highlight w:val="none"/>
        </w:rPr>
        <w:t xml:space="preserve"> </w:t>
      </w:r>
      <w:r>
        <w:rPr>
          <w:rStyle w:val="15"/>
          <w:rFonts w:hint="eastAsia" w:ascii="仿宋" w:eastAsia="仿宋"/>
          <w:b w:val="0"/>
          <w:bCs/>
          <w:color w:val="auto"/>
          <w:sz w:val="32"/>
          <w:szCs w:val="32"/>
          <w:highlight w:val="none"/>
        </w:rPr>
        <w:t>支出决算为</w:t>
      </w:r>
      <w:r>
        <w:rPr>
          <w:rStyle w:val="15"/>
          <w:rFonts w:ascii="仿宋" w:eastAsia="仿宋"/>
          <w:b w:val="0"/>
          <w:bCs/>
          <w:color w:val="auto"/>
          <w:sz w:val="32"/>
          <w:szCs w:val="32"/>
          <w:highlight w:val="none"/>
          <w:lang w:val="en-US" w:eastAsia="zh-CN"/>
        </w:rPr>
        <w:t>7.8</w:t>
      </w:r>
      <w:r>
        <w:rPr>
          <w:rStyle w:val="15"/>
          <w:rFonts w:hint="eastAsia" w:ascii="仿宋" w:eastAsia="仿宋"/>
          <w:b w:val="0"/>
          <w:bCs/>
          <w:color w:val="auto"/>
          <w:sz w:val="32"/>
          <w:szCs w:val="32"/>
          <w:highlight w:val="none"/>
        </w:rPr>
        <w:t>万元，完成预算</w:t>
      </w:r>
      <w:r>
        <w:rPr>
          <w:rStyle w:val="15"/>
          <w:rFonts w:hint="eastAsia" w:ascii="仿宋" w:eastAsia="仿宋"/>
          <w:b w:val="0"/>
          <w:bCs/>
          <w:color w:val="auto"/>
          <w:sz w:val="32"/>
          <w:szCs w:val="32"/>
          <w:highlight w:val="none"/>
          <w:lang w:val="en-US" w:eastAsia="zh-CN"/>
        </w:rPr>
        <w:t>100</w:t>
      </w:r>
      <w:r>
        <w:rPr>
          <w:rStyle w:val="15"/>
          <w:rFonts w:ascii="仿宋" w:eastAsia="仿宋"/>
          <w:b w:val="0"/>
          <w:bCs/>
          <w:color w:val="auto"/>
          <w:sz w:val="32"/>
          <w:szCs w:val="32"/>
          <w:highlight w:val="none"/>
        </w:rPr>
        <w:t>%</w:t>
      </w:r>
      <w:r>
        <w:rPr>
          <w:rStyle w:val="15"/>
          <w:rFonts w:hint="eastAsia" w:ascii="仿宋" w:eastAsia="仿宋"/>
          <w:b w:val="0"/>
          <w:bCs/>
          <w:color w:val="auto"/>
          <w:sz w:val="32"/>
          <w:szCs w:val="32"/>
          <w:highlight w:val="none"/>
        </w:rPr>
        <w:t>。</w:t>
      </w:r>
    </w:p>
    <w:p>
      <w:pPr>
        <w:pStyle w:val="2"/>
      </w:pPr>
    </w:p>
    <w:p>
      <w:pPr>
        <w:tabs>
          <w:tab w:val="right" w:pos="8306"/>
        </w:tabs>
        <w:spacing w:line="600" w:lineRule="exact"/>
        <w:ind w:firstLine="640"/>
        <w:outlineLvl w:val="1"/>
        <w:rPr>
          <w:rStyle w:val="19"/>
          <w:color w:val="auto"/>
          <w:highlight w:val="none"/>
        </w:rPr>
      </w:pPr>
      <w:bookmarkStart w:id="57" w:name="_Toc15396608"/>
      <w:bookmarkStart w:id="58" w:name="_Toc11633"/>
      <w:bookmarkStart w:id="59"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、一</w:t>
      </w:r>
      <w:r>
        <w:rPr>
          <w:rStyle w:val="19"/>
          <w:rFonts w:hint="eastAsia" w:ascii="黑体" w:eastAsia="黑体"/>
          <w:b w:val="0"/>
          <w:color w:val="auto"/>
          <w:highlight w:val="none"/>
        </w:rPr>
        <w:t>般公共预算财政拨款基本支出决算情况说明</w:t>
      </w:r>
      <w:bookmarkEnd w:id="57"/>
      <w:bookmarkEnd w:id="58"/>
      <w:bookmarkEnd w:id="59"/>
      <w:r>
        <w:rPr>
          <w:rStyle w:val="19"/>
          <w:rFonts w:ascii="黑体" w:eastAsia="黑体"/>
          <w:b w:val="0"/>
          <w:color w:val="auto"/>
          <w:highlight w:val="none"/>
        </w:rPr>
        <w:tab/>
      </w:r>
    </w:p>
    <w:p>
      <w:pPr>
        <w:spacing w:line="600" w:lineRule="exact"/>
        <w:ind w:firstLine="645"/>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年一般公共预算财政拨款基本支出</w:t>
      </w:r>
      <w:r>
        <w:rPr>
          <w:rFonts w:ascii="仿宋" w:eastAsia="仿宋"/>
          <w:color w:val="auto"/>
          <w:sz w:val="32"/>
          <w:szCs w:val="32"/>
          <w:highlight w:val="none"/>
          <w:lang w:val="en-US" w:eastAsia="zh-CN"/>
        </w:rPr>
        <w:t>66.51</w:t>
      </w:r>
      <w:r>
        <w:rPr>
          <w:rFonts w:hint="eastAsia" w:ascii="仿宋" w:eastAsia="仿宋"/>
          <w:color w:val="auto"/>
          <w:sz w:val="32"/>
          <w:szCs w:val="32"/>
          <w:highlight w:val="none"/>
        </w:rPr>
        <w:t>万元，其中：</w:t>
      </w:r>
    </w:p>
    <w:p>
      <w:pPr>
        <w:spacing w:line="600" w:lineRule="exact"/>
        <w:ind w:firstLine="645"/>
        <w:rPr>
          <w:rFonts w:ascii="仿宋" w:eastAsia="仿宋"/>
          <w:sz w:val="32"/>
          <w:szCs w:val="32"/>
        </w:rPr>
      </w:pPr>
      <w:r>
        <w:rPr>
          <w:rFonts w:hint="eastAsia" w:ascii="仿宋" w:eastAsia="仿宋"/>
          <w:color w:val="auto"/>
          <w:sz w:val="32"/>
          <w:szCs w:val="32"/>
          <w:highlight w:val="none"/>
        </w:rPr>
        <w:t>人员经费</w:t>
      </w:r>
      <w:r>
        <w:rPr>
          <w:rFonts w:ascii="仿宋" w:eastAsia="仿宋"/>
          <w:color w:val="auto"/>
          <w:sz w:val="32"/>
          <w:szCs w:val="32"/>
          <w:highlight w:val="none"/>
          <w:lang w:val="en-US" w:eastAsia="zh-CN"/>
        </w:rPr>
        <w:t>66.51</w:t>
      </w:r>
      <w:r>
        <w:rPr>
          <w:rFonts w:hint="eastAsia" w:ascii="仿宋" w:eastAsia="仿宋"/>
          <w:color w:val="auto"/>
          <w:sz w:val="32"/>
          <w:szCs w:val="32"/>
          <w:highlight w:val="none"/>
        </w:rPr>
        <w:t>万元，主要包括：基本工资</w:t>
      </w:r>
      <w:r>
        <w:rPr>
          <w:rFonts w:hint="eastAsia" w:ascii="仿宋" w:eastAsia="仿宋"/>
          <w:color w:val="auto"/>
          <w:sz w:val="32"/>
          <w:szCs w:val="32"/>
          <w:highlight w:val="none"/>
          <w:lang w:val="en-US" w:eastAsia="zh-CN"/>
        </w:rPr>
        <w:t>20.87</w:t>
      </w:r>
      <w:r>
        <w:rPr>
          <w:rFonts w:hint="eastAsia" w:ascii="仿宋" w:eastAsia="仿宋"/>
          <w:color w:val="auto"/>
          <w:sz w:val="32"/>
          <w:szCs w:val="32"/>
          <w:highlight w:val="none"/>
        </w:rPr>
        <w:t>万元、津贴补贴</w:t>
      </w:r>
      <w:r>
        <w:rPr>
          <w:rFonts w:hint="eastAsia" w:ascii="仿宋" w:eastAsia="仿宋"/>
          <w:color w:val="auto"/>
          <w:sz w:val="32"/>
          <w:szCs w:val="32"/>
          <w:highlight w:val="none"/>
          <w:lang w:val="en-US" w:eastAsia="zh-CN"/>
        </w:rPr>
        <w:t>1.05</w:t>
      </w:r>
      <w:r>
        <w:rPr>
          <w:rFonts w:hint="eastAsia" w:ascii="仿宋" w:eastAsia="仿宋"/>
          <w:color w:val="auto"/>
          <w:sz w:val="32"/>
          <w:szCs w:val="32"/>
          <w:highlight w:val="none"/>
        </w:rPr>
        <w:t>万元、绩效工资</w:t>
      </w:r>
      <w:r>
        <w:rPr>
          <w:rFonts w:hint="eastAsia" w:ascii="仿宋" w:eastAsia="仿宋"/>
          <w:color w:val="auto"/>
          <w:sz w:val="32"/>
          <w:szCs w:val="32"/>
          <w:highlight w:val="none"/>
          <w:lang w:val="en-US" w:eastAsia="zh-CN"/>
        </w:rPr>
        <w:t>23.3</w:t>
      </w:r>
      <w:r>
        <w:rPr>
          <w:rFonts w:hint="eastAsia" w:ascii="仿宋" w:eastAsia="仿宋"/>
          <w:color w:val="auto"/>
          <w:sz w:val="32"/>
          <w:szCs w:val="32"/>
          <w:highlight w:val="none"/>
        </w:rPr>
        <w:t>万元、机关事业单位基本养老保险缴费</w:t>
      </w:r>
      <w:r>
        <w:rPr>
          <w:rFonts w:hint="eastAsia" w:ascii="仿宋" w:eastAsia="仿宋"/>
          <w:color w:val="auto"/>
          <w:sz w:val="32"/>
          <w:szCs w:val="32"/>
          <w:highlight w:val="none"/>
          <w:lang w:val="en-US" w:eastAsia="zh-CN"/>
        </w:rPr>
        <w:t>6.25</w:t>
      </w:r>
      <w:r>
        <w:rPr>
          <w:rFonts w:hint="eastAsia" w:ascii="仿宋" w:eastAsia="仿宋"/>
          <w:color w:val="auto"/>
          <w:sz w:val="32"/>
          <w:szCs w:val="32"/>
          <w:highlight w:val="none"/>
        </w:rPr>
        <w:t>万元、职业年金缴费</w:t>
      </w:r>
      <w:r>
        <w:rPr>
          <w:rFonts w:hint="eastAsia" w:ascii="仿宋" w:eastAsia="仿宋"/>
          <w:color w:val="auto"/>
          <w:sz w:val="32"/>
          <w:szCs w:val="32"/>
          <w:highlight w:val="none"/>
          <w:lang w:val="en-US" w:eastAsia="zh-CN"/>
        </w:rPr>
        <w:t>3.43</w:t>
      </w:r>
      <w:r>
        <w:rPr>
          <w:rFonts w:hint="eastAsia" w:ascii="仿宋" w:eastAsia="仿宋"/>
          <w:color w:val="auto"/>
          <w:sz w:val="32"/>
          <w:szCs w:val="32"/>
          <w:highlight w:val="none"/>
        </w:rPr>
        <w:t>万元、医疗</w:t>
      </w:r>
      <w:r>
        <w:rPr>
          <w:rFonts w:hint="eastAsia" w:ascii="仿宋" w:eastAsia="仿宋"/>
          <w:color w:val="auto"/>
          <w:sz w:val="32"/>
          <w:szCs w:val="32"/>
          <w:highlight w:val="none"/>
          <w:lang w:eastAsia="zh-CN"/>
        </w:rPr>
        <w:t>保险缴费</w:t>
      </w:r>
      <w:r>
        <w:rPr>
          <w:rFonts w:hint="eastAsia" w:ascii="仿宋" w:eastAsia="仿宋"/>
          <w:color w:val="auto"/>
          <w:sz w:val="32"/>
          <w:szCs w:val="32"/>
          <w:highlight w:val="none"/>
          <w:lang w:val="en-US" w:eastAsia="zh-CN"/>
        </w:rPr>
        <w:t>3.82</w:t>
      </w:r>
      <w:r>
        <w:rPr>
          <w:rFonts w:hint="eastAsia" w:ascii="仿宋" w:eastAsia="仿宋"/>
          <w:color w:val="auto"/>
          <w:sz w:val="32"/>
          <w:szCs w:val="32"/>
          <w:highlight w:val="none"/>
        </w:rPr>
        <w:t>万元、住房公积金</w:t>
      </w:r>
      <w:r>
        <w:rPr>
          <w:rFonts w:hint="eastAsia" w:ascii="仿宋" w:eastAsia="仿宋"/>
          <w:color w:val="auto"/>
          <w:sz w:val="32"/>
          <w:szCs w:val="32"/>
          <w:highlight w:val="none"/>
          <w:lang w:val="en-US" w:eastAsia="zh-CN"/>
        </w:rPr>
        <w:t>7.8</w:t>
      </w:r>
      <w:r>
        <w:rPr>
          <w:rFonts w:hint="eastAsia" w:ascii="仿宋" w:eastAsia="仿宋"/>
          <w:color w:val="auto"/>
          <w:sz w:val="32"/>
          <w:szCs w:val="32"/>
          <w:highlight w:val="none"/>
        </w:rPr>
        <w:t>万元。</w:t>
      </w:r>
      <w:r>
        <w:rPr>
          <w:rFonts w:ascii="仿宋" w:eastAsia="仿宋"/>
          <w:color w:val="auto"/>
          <w:sz w:val="32"/>
          <w:szCs w:val="32"/>
          <w:highlight w:val="none"/>
        </w:rPr>
        <w:br w:type="textWrapping"/>
      </w:r>
      <w:r>
        <w:rPr>
          <w:rFonts w:hint="eastAsia" w:ascii="仿宋" w:eastAsia="仿宋"/>
          <w:color w:val="auto"/>
          <w:sz w:val="32"/>
          <w:szCs w:val="32"/>
          <w:highlight w:val="none"/>
        </w:rPr>
        <w:t>　　公用经费</w:t>
      </w:r>
      <w:r>
        <w:rPr>
          <w:rFonts w:ascii="仿宋" w:eastAsia="仿宋"/>
          <w:color w:val="auto"/>
          <w:sz w:val="32"/>
          <w:szCs w:val="32"/>
          <w:highlight w:val="none"/>
          <w:lang w:val="en-US" w:eastAsia="zh-CN"/>
        </w:rPr>
        <w:t>0</w:t>
      </w:r>
      <w:r>
        <w:rPr>
          <w:rFonts w:hint="eastAsia" w:ascii="仿宋" w:eastAsia="仿宋"/>
          <w:color w:val="auto"/>
          <w:sz w:val="32"/>
          <w:szCs w:val="32"/>
          <w:highlight w:val="none"/>
        </w:rPr>
        <w:t>万元。</w:t>
      </w:r>
    </w:p>
    <w:p>
      <w:pPr>
        <w:spacing w:line="600" w:lineRule="exact"/>
        <w:ind w:firstLine="640"/>
        <w:outlineLvl w:val="1"/>
        <w:rPr>
          <w:rStyle w:val="19"/>
          <w:rFonts w:ascii="黑体" w:eastAsia="黑体"/>
          <w:b w:val="0"/>
          <w:color w:val="auto"/>
          <w:highlight w:val="none"/>
        </w:rPr>
      </w:pPr>
      <w:bookmarkStart w:id="60" w:name="_Toc6150"/>
      <w:bookmarkStart w:id="61" w:name="_Toc15377215"/>
      <w:bookmarkStart w:id="62" w:name="_Toc15396609"/>
      <w:r>
        <w:rPr>
          <w:rFonts w:hint="eastAsia" w:ascii="黑体" w:eastAsia="黑体"/>
          <w:color w:val="auto"/>
          <w:sz w:val="32"/>
          <w:szCs w:val="32"/>
          <w:highlight w:val="none"/>
        </w:rPr>
        <w:t>七、</w:t>
      </w:r>
      <w:r>
        <w:rPr>
          <w:rStyle w:val="19"/>
          <w:rFonts w:hint="eastAsia" w:ascii="黑体" w:eastAsia="黑体"/>
          <w:b w:val="0"/>
          <w:color w:val="auto"/>
          <w:highlight w:val="none"/>
        </w:rPr>
        <w:t>财政拨款</w:t>
      </w:r>
      <w:r>
        <w:rPr>
          <w:rStyle w:val="19"/>
          <w:rFonts w:hint="eastAsia" w:ascii="黑体" w:eastAsia="黑体"/>
          <w:color w:val="auto"/>
          <w:highlight w:val="none"/>
        </w:rPr>
        <w:t>“</w:t>
      </w:r>
      <w:r>
        <w:rPr>
          <w:rStyle w:val="19"/>
          <w:rFonts w:hint="eastAsia" w:ascii="黑体" w:eastAsia="黑体"/>
          <w:b w:val="0"/>
          <w:color w:val="auto"/>
          <w:highlight w:val="none"/>
        </w:rPr>
        <w:t>三公”经费支出决算情况说明</w:t>
      </w:r>
      <w:bookmarkEnd w:id="60"/>
      <w:bookmarkEnd w:id="61"/>
      <w:bookmarkEnd w:id="62"/>
    </w:p>
    <w:p>
      <w:pPr>
        <w:spacing w:line="600" w:lineRule="exact"/>
        <w:ind w:firstLine="640"/>
        <w:outlineLvl w:val="2"/>
        <w:rPr>
          <w:rFonts w:ascii="仿宋" w:eastAsia="仿宋"/>
          <w:b/>
          <w:color w:val="auto"/>
          <w:sz w:val="32"/>
          <w:szCs w:val="32"/>
          <w:highlight w:val="none"/>
        </w:rPr>
      </w:pPr>
      <w:bookmarkStart w:id="63" w:name="_Toc1194"/>
      <w:bookmarkStart w:id="64" w:name="_Toc15377216"/>
      <w:r>
        <w:rPr>
          <w:rFonts w:hint="eastAsia" w:ascii="仿宋" w:eastAsia="仿宋"/>
          <w:b/>
          <w:color w:val="auto"/>
          <w:sz w:val="32"/>
          <w:szCs w:val="32"/>
          <w:highlight w:val="none"/>
        </w:rPr>
        <w:t>（一）“三公”经费财政拨款支出决算总体情况说明</w:t>
      </w:r>
      <w:bookmarkEnd w:id="63"/>
      <w:bookmarkEnd w:id="64"/>
    </w:p>
    <w:p>
      <w:pPr>
        <w:spacing w:line="600" w:lineRule="exact"/>
        <w:ind w:firstLine="640"/>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年“三公”经费财政拨款支出决算为</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Fonts w:hint="eastAsia" w:ascii="仿宋" w:eastAsia="仿宋"/>
          <w:color w:val="auto"/>
          <w:sz w:val="32"/>
          <w:szCs w:val="32"/>
          <w:highlight w:val="none"/>
        </w:rPr>
        <w:t>。</w:t>
      </w:r>
    </w:p>
    <w:p>
      <w:pPr>
        <w:spacing w:line="600" w:lineRule="exact"/>
        <w:ind w:firstLine="640"/>
        <w:outlineLvl w:val="2"/>
        <w:rPr>
          <w:rFonts w:ascii="仿宋" w:eastAsia="仿宋"/>
          <w:b/>
          <w:color w:val="auto"/>
          <w:sz w:val="32"/>
          <w:szCs w:val="32"/>
          <w:highlight w:val="none"/>
        </w:rPr>
      </w:pPr>
      <w:bookmarkStart w:id="65" w:name="_Toc15377217"/>
      <w:bookmarkStart w:id="66" w:name="_Toc26824"/>
      <w:r>
        <w:rPr>
          <w:rFonts w:hint="eastAsia" w:ascii="仿宋" w:eastAsia="仿宋"/>
          <w:b/>
          <w:color w:val="auto"/>
          <w:sz w:val="32"/>
          <w:szCs w:val="32"/>
          <w:highlight w:val="none"/>
        </w:rPr>
        <w:t>（二）“三公”经费财政拨款支出决算具体情况说明</w:t>
      </w:r>
      <w:bookmarkEnd w:id="65"/>
      <w:bookmarkEnd w:id="66"/>
    </w:p>
    <w:p>
      <w:pPr>
        <w:spacing w:line="600" w:lineRule="exact"/>
        <w:ind w:firstLine="640"/>
        <w:rPr>
          <w:rFonts w:hint="eastAsia"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年“三公”经费财政拨款支出决算中：</w:t>
      </w:r>
    </w:p>
    <w:p>
      <w:pPr>
        <w:spacing w:line="600" w:lineRule="exact"/>
        <w:ind w:firstLine="640"/>
        <w:rPr>
          <w:rFonts w:hint="eastAsia"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Style w:val="15"/>
          <w:rFonts w:hint="eastAsia" w:ascii="仿宋" w:eastAsia="仿宋"/>
          <w:b w:val="0"/>
          <w:bCs/>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年初未安排预算</w:t>
      </w:r>
      <w:r>
        <w:rPr>
          <w:rStyle w:val="15"/>
          <w:rFonts w:hint="eastAsia" w:ascii="仿宋" w:eastAsia="仿宋"/>
          <w:b w:val="0"/>
          <w:bCs/>
          <w:color w:val="auto"/>
          <w:sz w:val="32"/>
          <w:szCs w:val="32"/>
          <w:highlight w:val="none"/>
        </w:rPr>
        <w:t>。</w:t>
      </w:r>
    </w:p>
    <w:p>
      <w:pPr>
        <w:spacing w:line="600" w:lineRule="exact"/>
        <w:ind w:firstLine="640"/>
        <w:rPr>
          <w:rStyle w:val="15"/>
          <w:rFonts w:hint="eastAsia" w:ascii="仿宋" w:eastAsia="仿宋"/>
          <w:b w:val="0"/>
          <w:bCs/>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Style w:val="15"/>
          <w:rFonts w:hint="eastAsia" w:ascii="仿宋" w:eastAsia="仿宋"/>
          <w:b w:val="0"/>
          <w:bCs/>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hint="eastAsia" w:ascii="仿宋" w:eastAsia="仿宋"/>
          <w:b/>
          <w:color w:val="auto"/>
          <w:sz w:val="32"/>
          <w:szCs w:val="32"/>
          <w:highlight w:val="none"/>
        </w:rPr>
        <w:t>国内公务接待支出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Fonts w:hint="eastAsia" w:ascii="仿宋_GB2312" w:eastAsia="仿宋_GB2312"/>
          <w:color w:val="auto"/>
          <w:sz w:val="32"/>
          <w:szCs w:val="32"/>
          <w:highlight w:val="none"/>
        </w:rPr>
        <w:t>。</w:t>
      </w:r>
    </w:p>
    <w:p>
      <w:pPr>
        <w:spacing w:line="600" w:lineRule="exact"/>
        <w:ind w:firstLine="643" w:firstLineChars="200"/>
        <w:rPr>
          <w:rFonts w:ascii="黑体" w:eastAsia="黑体"/>
          <w:color w:val="auto"/>
          <w:sz w:val="32"/>
          <w:szCs w:val="32"/>
          <w:highlight w:val="none"/>
        </w:rPr>
      </w:pPr>
      <w:r>
        <w:rPr>
          <w:rFonts w:hint="eastAsia" w:ascii="仿宋" w:eastAsia="仿宋"/>
          <w:b/>
          <w:color w:val="auto"/>
          <w:sz w:val="32"/>
          <w:szCs w:val="32"/>
          <w:highlight w:val="none"/>
        </w:rPr>
        <w:t>外事接待支出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bookmarkStart w:id="67" w:name="_Toc15396610"/>
      <w:bookmarkStart w:id="68" w:name="_Toc15377218"/>
    </w:p>
    <w:p>
      <w:pPr>
        <w:spacing w:line="600" w:lineRule="exact"/>
        <w:ind w:firstLine="640"/>
        <w:outlineLvl w:val="1"/>
        <w:rPr>
          <w:rStyle w:val="19"/>
          <w:rFonts w:ascii="黑体" w:eastAsia="黑体"/>
          <w:color w:val="auto"/>
          <w:highlight w:val="none"/>
        </w:rPr>
      </w:pPr>
      <w:bookmarkStart w:id="69" w:name="_Toc28864"/>
      <w:r>
        <w:rPr>
          <w:rFonts w:hint="eastAsia" w:ascii="黑体" w:eastAsia="黑体"/>
          <w:color w:val="auto"/>
          <w:sz w:val="32"/>
          <w:szCs w:val="32"/>
          <w:highlight w:val="none"/>
        </w:rPr>
        <w:t>八、</w:t>
      </w:r>
      <w:r>
        <w:rPr>
          <w:rStyle w:val="19"/>
          <w:rFonts w:hint="eastAsia" w:ascii="黑体" w:eastAsia="黑体"/>
          <w:b w:val="0"/>
          <w:color w:val="auto"/>
          <w:highlight w:val="none"/>
        </w:rPr>
        <w:t>政府性基金预算支出决算情况说明</w:t>
      </w:r>
      <w:bookmarkEnd w:id="67"/>
      <w:bookmarkEnd w:id="68"/>
      <w:bookmarkEnd w:id="69"/>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ascii="仿宋_GB2312" w:eastAsia="仿宋_GB2312"/>
          <w:color w:val="auto"/>
          <w:sz w:val="32"/>
          <w:szCs w:val="32"/>
          <w:highlight w:val="none"/>
          <w:lang w:val="en-US" w:eastAsia="zh-CN"/>
        </w:rPr>
        <w:t>0.68</w:t>
      </w:r>
      <w:r>
        <w:rPr>
          <w:rFonts w:hint="eastAsia" w:ascii="仿宋_GB2312" w:eastAsia="仿宋_GB2312"/>
          <w:color w:val="auto"/>
          <w:sz w:val="32"/>
          <w:szCs w:val="32"/>
          <w:highlight w:val="none"/>
        </w:rPr>
        <w:t>万元。</w:t>
      </w:r>
    </w:p>
    <w:p>
      <w:pPr>
        <w:numPr>
          <w:ilvl w:val="0"/>
          <w:numId w:val="3"/>
        </w:numPr>
        <w:spacing w:line="600" w:lineRule="exact"/>
        <w:ind w:left="0" w:firstLine="640"/>
        <w:outlineLvl w:val="1"/>
        <w:rPr>
          <w:rStyle w:val="19"/>
          <w:rFonts w:ascii="黑体" w:eastAsia="黑体"/>
          <w:b w:val="0"/>
          <w:color w:val="auto"/>
          <w:highlight w:val="none"/>
        </w:rPr>
      </w:pPr>
      <w:bookmarkStart w:id="70" w:name="_Toc25745"/>
      <w:bookmarkStart w:id="71" w:name="_Toc15377219"/>
      <w:bookmarkStart w:id="72" w:name="_Toc15396611"/>
      <w:r>
        <w:rPr>
          <w:rStyle w:val="19"/>
          <w:rFonts w:hint="eastAsia" w:ascii="黑体" w:eastAsia="黑体"/>
          <w:b w:val="0"/>
          <w:color w:val="auto"/>
          <w:highlight w:val="none"/>
        </w:rPr>
        <w:t>国有资本经营预算支出决算情况说明</w:t>
      </w:r>
      <w:bookmarkEnd w:id="70"/>
      <w:bookmarkEnd w:id="71"/>
      <w:bookmarkEnd w:id="72"/>
    </w:p>
    <w:p>
      <w:pPr>
        <w:spacing w:line="600" w:lineRule="exact"/>
        <w:ind w:firstLine="640"/>
        <w:rPr>
          <w:rFonts w:ascii="仿宋_GB2312" w:eastAsia="仿宋_GB2312"/>
          <w:sz w:val="32"/>
          <w:szCs w:val="32"/>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left="0" w:firstLine="640"/>
        <w:outlineLvl w:val="1"/>
        <w:rPr>
          <w:rStyle w:val="19"/>
          <w:rFonts w:hint="eastAsia" w:ascii="黑体" w:eastAsia="黑体"/>
          <w:b w:val="0"/>
          <w:color w:val="auto"/>
          <w:highlight w:val="none"/>
        </w:rPr>
      </w:pPr>
      <w:bookmarkStart w:id="73" w:name="_Toc11235"/>
      <w:bookmarkStart w:id="74" w:name="_Toc15377221"/>
      <w:bookmarkStart w:id="75" w:name="_Toc15396612"/>
      <w:r>
        <w:rPr>
          <w:rStyle w:val="19"/>
          <w:rFonts w:hint="eastAsia" w:ascii="黑体" w:eastAsia="黑体"/>
          <w:b w:val="0"/>
          <w:color w:val="auto"/>
          <w:highlight w:val="none"/>
        </w:rPr>
        <w:t>其他重要事项的情况说明</w:t>
      </w:r>
      <w:bookmarkEnd w:id="73"/>
      <w:bookmarkEnd w:id="74"/>
      <w:bookmarkEnd w:id="75"/>
    </w:p>
    <w:p>
      <w:pPr>
        <w:spacing w:line="600" w:lineRule="exact"/>
        <w:ind w:firstLine="643" w:firstLineChars="200"/>
        <w:outlineLvl w:val="2"/>
        <w:rPr>
          <w:rFonts w:ascii="仿宋" w:eastAsia="仿宋"/>
          <w:color w:val="auto"/>
          <w:sz w:val="32"/>
          <w:szCs w:val="32"/>
          <w:highlight w:val="none"/>
        </w:rPr>
      </w:pPr>
      <w:bookmarkStart w:id="76" w:name="_Toc23501"/>
      <w:bookmarkStart w:id="77" w:name="_Toc15377222"/>
      <w:r>
        <w:rPr>
          <w:rFonts w:hint="eastAsia" w:ascii="仿宋" w:eastAsia="仿宋"/>
          <w:b/>
          <w:color w:val="auto"/>
          <w:sz w:val="32"/>
          <w:szCs w:val="32"/>
          <w:highlight w:val="none"/>
        </w:rPr>
        <w:t>（一）机关运行经费支出情况</w:t>
      </w:r>
      <w:bookmarkEnd w:id="76"/>
      <w:bookmarkEnd w:id="7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sz w:val="32"/>
          <w:szCs w:val="32"/>
          <w:highlight w:val="none"/>
          <w:lang w:val="en-US" w:eastAsia="zh-CN"/>
        </w:rPr>
        <w:t>本单位未发生机关运行经费支出。</w:t>
      </w:r>
    </w:p>
    <w:p>
      <w:pPr>
        <w:autoSpaceDE w:val="0"/>
        <w:autoSpaceDN w:val="0"/>
        <w:adjustRightInd w:val="0"/>
        <w:spacing w:line="600" w:lineRule="exact"/>
        <w:ind w:firstLine="643" w:firstLineChars="200"/>
        <w:jc w:val="left"/>
        <w:outlineLvl w:val="2"/>
        <w:rPr>
          <w:rFonts w:ascii="仿宋" w:eastAsia="仿宋"/>
          <w:b/>
          <w:color w:val="auto"/>
          <w:sz w:val="32"/>
          <w:szCs w:val="32"/>
          <w:highlight w:val="none"/>
        </w:rPr>
      </w:pPr>
      <w:bookmarkStart w:id="78" w:name="_Toc12257"/>
      <w:bookmarkStart w:id="79" w:name="_Toc15377223"/>
      <w:r>
        <w:rPr>
          <w:rFonts w:hint="eastAsia" w:ascii="仿宋" w:eastAsia="仿宋"/>
          <w:b/>
          <w:color w:val="auto"/>
          <w:sz w:val="32"/>
          <w:szCs w:val="32"/>
          <w:highlight w:val="none"/>
        </w:rPr>
        <w:t>（二）政府采购支出情况</w:t>
      </w:r>
      <w:bookmarkEnd w:id="78"/>
      <w:bookmarkEnd w:id="79"/>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sz w:val="32"/>
          <w:szCs w:val="32"/>
          <w:highlight w:val="none"/>
          <w:lang w:val="en-US" w:eastAsia="zh-CN"/>
        </w:rPr>
        <w:t>本年未发生政府采购。</w:t>
      </w:r>
    </w:p>
    <w:p>
      <w:pPr>
        <w:autoSpaceDE w:val="0"/>
        <w:autoSpaceDN w:val="0"/>
        <w:adjustRightInd w:val="0"/>
        <w:spacing w:line="600" w:lineRule="exact"/>
        <w:ind w:firstLine="643" w:firstLineChars="200"/>
        <w:jc w:val="left"/>
        <w:outlineLvl w:val="2"/>
        <w:rPr>
          <w:rFonts w:ascii="仿宋" w:eastAsia="仿宋"/>
          <w:b/>
          <w:color w:val="auto"/>
          <w:sz w:val="32"/>
          <w:szCs w:val="32"/>
          <w:highlight w:val="none"/>
        </w:rPr>
      </w:pPr>
      <w:bookmarkStart w:id="80" w:name="_Toc15377224"/>
      <w:bookmarkStart w:id="81" w:name="_Toc26584"/>
      <w:r>
        <w:rPr>
          <w:rFonts w:hint="eastAsia" w:ascii="仿宋" w:eastAsia="仿宋"/>
          <w:b/>
          <w:color w:val="auto"/>
          <w:sz w:val="32"/>
          <w:szCs w:val="32"/>
          <w:highlight w:val="none"/>
        </w:rPr>
        <w:t>（三）国有资产占有使用情况</w:t>
      </w:r>
      <w:bookmarkEnd w:id="80"/>
      <w:bookmarkEnd w:id="81"/>
    </w:p>
    <w:p>
      <w:pPr>
        <w:autoSpaceDE w:val="0"/>
        <w:autoSpaceDN w:val="0"/>
        <w:adjustRightInd w:val="0"/>
        <w:spacing w:line="600" w:lineRule="exact"/>
        <w:ind w:firstLine="640" w:firstLineChars="200"/>
        <w:jc w:val="left"/>
        <w:rPr>
          <w:rFonts w:ascii="仿宋" w:eastAsia="仿宋"/>
          <w:b/>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ascii="仿宋_GB2312" w:eastAsia="仿宋_GB2312" w:cs="仿宋_GB2312"/>
          <w:i w:val="0"/>
          <w:caps w:val="0"/>
          <w:smallCaps w:val="0"/>
          <w:color w:val="333333"/>
          <w:spacing w:val="0"/>
          <w:kern w:val="0"/>
          <w:sz w:val="32"/>
          <w:szCs w:val="32"/>
          <w:shd w:val="clear" w:color="auto" w:fill="FFFFFF"/>
          <w:lang w:val="en-US" w:eastAsia="zh-CN"/>
        </w:rPr>
        <w:t>朝阳乡</w:t>
      </w:r>
      <w:r>
        <w:rPr>
          <w:rFonts w:hint="eastAsia" w:ascii="仿宋_GB2312" w:eastAsia="仿宋_GB2312" w:cs="仿宋_GB2312"/>
          <w:i w:val="0"/>
          <w:caps w:val="0"/>
          <w:smallCaps w:val="0"/>
          <w:color w:val="333333"/>
          <w:spacing w:val="0"/>
          <w:kern w:val="0"/>
          <w:sz w:val="32"/>
          <w:szCs w:val="32"/>
          <w:shd w:val="clear" w:color="auto" w:fill="FFFFFF"/>
          <w:lang w:val="en-US" w:eastAsia="zh-CN"/>
        </w:rPr>
        <w:t>卫生院共有车辆</w:t>
      </w:r>
      <w:r>
        <w:rPr>
          <w:rFonts w:ascii="Times New Roman" w:hAnsi="Times New Roman" w:eastAsia="仿宋_GB2312" w:cs="Times New Roman"/>
          <w:i w:val="0"/>
          <w:caps w:val="0"/>
          <w:smallCaps w:val="0"/>
          <w:color w:val="333333"/>
          <w:spacing w:val="0"/>
          <w:kern w:val="0"/>
          <w:sz w:val="32"/>
          <w:szCs w:val="32"/>
          <w:shd w:val="clear" w:color="auto" w:fill="FFFFFF"/>
          <w:lang w:val="en-US" w:eastAsia="zh-CN"/>
        </w:rPr>
        <w:t>0</w:t>
      </w:r>
      <w:r>
        <w:rPr>
          <w:rFonts w:hint="eastAsia" w:ascii="仿宋_GB2312" w:eastAsia="仿宋_GB2312" w:cs="仿宋_GB2312"/>
          <w:i w:val="0"/>
          <w:caps w:val="0"/>
          <w:smallCaps w:val="0"/>
          <w:color w:val="333333"/>
          <w:spacing w:val="0"/>
          <w:kern w:val="0"/>
          <w:sz w:val="32"/>
          <w:szCs w:val="32"/>
          <w:shd w:val="clear" w:color="auto" w:fill="FFFFFF"/>
          <w:lang w:val="en-US" w:eastAsia="zh-CN"/>
        </w:rPr>
        <w:t>辆</w:t>
      </w:r>
      <w:r>
        <w:rPr>
          <w:rFonts w:hint="eastAsia" w:ascii="仿宋_GB2312" w:eastAsia="仿宋_GB2312"/>
          <w:color w:val="auto"/>
          <w:sz w:val="32"/>
          <w:szCs w:val="32"/>
          <w:highlight w:val="none"/>
        </w:rPr>
        <w:t>，其中：主要领导干部用车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ascii="仿宋_GB2312" w:eastAsia="仿宋_GB2312"/>
          <w:color w:val="auto"/>
          <w:sz w:val="32"/>
          <w:szCs w:val="32"/>
          <w:highlight w:val="none"/>
        </w:rPr>
        <w:t>0</w:t>
      </w:r>
      <w:r>
        <w:rPr>
          <w:rFonts w:hint="eastAsia" w:ascii="仿宋_GB2312" w:eastAsia="仿宋_GB2312"/>
          <w:color w:val="auto"/>
          <w:sz w:val="32"/>
          <w:szCs w:val="32"/>
          <w:highlight w:val="none"/>
        </w:rPr>
        <w:t>辆、其他用车</w:t>
      </w:r>
      <w:r>
        <w:rPr>
          <w:rFonts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ascii="仿宋_GB2312" w:eastAsia="仿宋_GB2312"/>
          <w:color w:val="auto"/>
          <w:sz w:val="32"/>
          <w:szCs w:val="32"/>
          <w:highlight w:val="none"/>
        </w:rPr>
        <w:t>单价100万元以上专用设备0台（套）。</w:t>
      </w:r>
    </w:p>
    <w:p>
      <w:pPr>
        <w:autoSpaceDE w:val="0"/>
        <w:autoSpaceDN w:val="0"/>
        <w:adjustRightInd w:val="0"/>
        <w:spacing w:line="600" w:lineRule="exact"/>
        <w:ind w:firstLine="643" w:firstLineChars="200"/>
        <w:jc w:val="left"/>
        <w:outlineLvl w:val="2"/>
        <w:rPr>
          <w:rFonts w:hint="eastAsia" w:ascii="仿宋" w:eastAsia="仿宋"/>
          <w:b/>
          <w:color w:val="auto"/>
          <w:sz w:val="32"/>
          <w:szCs w:val="32"/>
          <w:highlight w:val="none"/>
          <w:lang w:eastAsia="zh-CN"/>
        </w:rPr>
      </w:pPr>
      <w:bookmarkStart w:id="82" w:name="_Toc17481"/>
      <w:r>
        <w:rPr>
          <w:rFonts w:hint="eastAsia" w:ascii="仿宋" w:eastAsia="仿宋"/>
          <w:b/>
          <w:color w:val="auto"/>
          <w:sz w:val="32"/>
          <w:szCs w:val="32"/>
          <w:highlight w:val="none"/>
        </w:rPr>
        <w:t>（四）预算绩效管理情况</w:t>
      </w:r>
      <w:bookmarkEnd w:id="82"/>
    </w:p>
    <w:p>
      <w:pPr>
        <w:spacing w:line="600" w:lineRule="exact"/>
        <w:ind w:firstLine="64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1.绩效目标管理情况</w:t>
      </w:r>
    </w:p>
    <w:p>
      <w:pPr>
        <w:autoSpaceDE w:val="0"/>
        <w:autoSpaceDN w:val="0"/>
        <w:adjustRightInd w:val="0"/>
        <w:spacing w:line="600" w:lineRule="exact"/>
        <w:ind w:firstLine="640" w:firstLineChars="200"/>
        <w:jc w:val="left"/>
        <w:outlineLvl w:val="2"/>
        <w:rPr>
          <w:rFonts w:hint="eastAsia" w:ascii="仿宋_GB2312" w:eastAsia="仿宋_GB2312"/>
          <w:color w:val="auto"/>
          <w:sz w:val="32"/>
          <w:szCs w:val="32"/>
          <w:highlight w:val="none"/>
        </w:rPr>
      </w:pPr>
      <w:bookmarkStart w:id="83" w:name="_Toc31349"/>
      <w:bookmarkStart w:id="84" w:name="_Toc31974"/>
      <w:bookmarkStart w:id="85" w:name="_Toc8457"/>
      <w:bookmarkStart w:id="86" w:name="_Toc32551"/>
      <w:r>
        <w:rPr>
          <w:rFonts w:hint="eastAsia" w:ascii="仿宋_GB2312" w:eastAsia="仿宋_GB2312"/>
          <w:color w:val="auto"/>
          <w:sz w:val="32"/>
          <w:szCs w:val="32"/>
          <w:highlight w:val="none"/>
        </w:rPr>
        <w:t>根据预算绩效管理要求，本单位在</w:t>
      </w:r>
      <w:r>
        <w:rPr>
          <w:rFonts w:hint="eastAsia" w:ascii="仿宋_GB2312" w:eastAsia="仿宋_GB2312"/>
          <w:color w:val="auto"/>
          <w:sz w:val="32"/>
          <w:szCs w:val="32"/>
          <w:highlight w:val="none"/>
          <w:lang w:val="en-US" w:eastAsia="zh-CN"/>
        </w:rPr>
        <w:t>2022年度</w:t>
      </w:r>
      <w:r>
        <w:rPr>
          <w:rFonts w:hint="eastAsia" w:ascii="仿宋_GB2312" w:eastAsia="仿宋_GB2312"/>
          <w:color w:val="auto"/>
          <w:sz w:val="32"/>
          <w:szCs w:val="32"/>
          <w:highlight w:val="none"/>
        </w:rPr>
        <w:t>预算编制阶段，组织对</w:t>
      </w:r>
      <w:r>
        <w:rPr>
          <w:rFonts w:hint="eastAsia" w:ascii="仿宋_GB2312" w:eastAsia="仿宋_GB2312"/>
          <w:color w:val="auto"/>
          <w:sz w:val="32"/>
          <w:szCs w:val="32"/>
          <w:highlight w:val="none"/>
          <w:lang w:val="en-US" w:eastAsia="zh-CN"/>
        </w:rPr>
        <w:t>二类疫苗服务费1个项目</w:t>
      </w:r>
      <w:r>
        <w:rPr>
          <w:rFonts w:hint="eastAsia" w:ascii="仿宋_GB2312" w:eastAsia="仿宋_GB2312"/>
          <w:color w:val="auto"/>
          <w:sz w:val="32"/>
          <w:szCs w:val="32"/>
          <w:highlight w:val="none"/>
        </w:rPr>
        <w:t>开展了预算事前绩效评估，对</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个项目编制了绩效目标，预算执行过程中，选取</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个项目开展绩效监控，年终执行完毕后，对</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个项目开展了绩效自评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2022年部门预算项目绩效目标自评表见附件（第四部分）</w:t>
      </w:r>
      <w:r>
        <w:rPr>
          <w:rFonts w:hint="eastAsia" w:ascii="仿宋_GB2312" w:eastAsia="仿宋_GB2312"/>
          <w:color w:val="auto"/>
          <w:sz w:val="32"/>
          <w:szCs w:val="32"/>
          <w:highlight w:val="none"/>
        </w:rPr>
        <w:t>。</w:t>
      </w:r>
      <w:bookmarkEnd w:id="83"/>
      <w:bookmarkEnd w:id="84"/>
      <w:bookmarkEnd w:id="85"/>
      <w:bookmarkEnd w:id="86"/>
    </w:p>
    <w:p>
      <w:pPr>
        <w:numPr>
          <w:ilvl w:val="0"/>
          <w:numId w:val="4"/>
        </w:numPr>
        <w:autoSpaceDE w:val="0"/>
        <w:autoSpaceDN w:val="0"/>
        <w:adjustRightInd w:val="0"/>
        <w:spacing w:line="600" w:lineRule="exact"/>
        <w:ind w:firstLine="640" w:firstLineChars="200"/>
        <w:jc w:val="left"/>
        <w:outlineLvl w:val="2"/>
        <w:rPr>
          <w:rFonts w:hint="eastAsia" w:ascii="仿宋_GB2312" w:eastAsia="仿宋_GB2312"/>
          <w:color w:val="auto"/>
          <w:sz w:val="32"/>
          <w:szCs w:val="32"/>
          <w:highlight w:val="none"/>
          <w:lang w:val="en-US" w:eastAsia="zh-CN"/>
        </w:rPr>
      </w:pPr>
      <w:bookmarkStart w:id="87" w:name="_Toc1645"/>
      <w:bookmarkStart w:id="88" w:name="_Toc25419"/>
      <w:bookmarkStart w:id="89" w:name="_Toc10135"/>
      <w:r>
        <w:rPr>
          <w:rFonts w:hint="eastAsia" w:ascii="仿宋_GB2312" w:eastAsia="仿宋_GB2312"/>
          <w:color w:val="auto"/>
          <w:sz w:val="32"/>
          <w:szCs w:val="32"/>
          <w:highlight w:val="none"/>
          <w:lang w:val="en-US" w:eastAsia="zh-CN"/>
        </w:rPr>
        <w:t>预算项目绩效评价</w:t>
      </w:r>
      <w:bookmarkEnd w:id="87"/>
      <w:bookmarkEnd w:id="88"/>
      <w:bookmarkEnd w:id="89"/>
    </w:p>
    <w:p>
      <w:pPr>
        <w:pStyle w:val="2"/>
        <w:ind w:firstLine="640" w:firstLineChars="200"/>
        <w:rPr>
          <w:rFonts w:hint="eastAsia" w:ascii="仿宋_GB2312" w:eastAsia="仿宋_GB2312"/>
          <w:color w:val="000000"/>
          <w:sz w:val="32"/>
          <w:szCs w:val="32"/>
        </w:rPr>
      </w:pPr>
      <w:r>
        <w:rPr>
          <w:rFonts w:hint="eastAsia" w:ascii="仿宋_GB2312" w:hAnsi="Times New Roman" w:eastAsia="仿宋_GB2312" w:cs="Times New Roman"/>
          <w:color w:val="000000"/>
          <w:sz w:val="32"/>
          <w:szCs w:val="32"/>
          <w:lang w:val="en-US" w:eastAsia="zh-CN"/>
        </w:rPr>
        <w:t>二类疫苗服务费项目完成情况综述。按照《四川省发展和改革委员会四川省财政厅关于疫苗预防接种服务收费标准及有关问题的通知》（川发改价格〔2020〕640号）文件精神，二类疫苗接种服务费收入全额上缴国库，纳入财政预算管理。我单</w:t>
      </w:r>
      <w:r>
        <w:rPr>
          <w:rFonts w:hint="eastAsia" w:ascii="仿宋_GB2312" w:eastAsia="仿宋_GB2312"/>
          <w:color w:val="000000"/>
          <w:sz w:val="32"/>
          <w:szCs w:val="32"/>
          <w:lang w:val="en-US" w:eastAsia="zh-CN"/>
        </w:rPr>
        <w:t>位</w:t>
      </w:r>
      <w:r>
        <w:rPr>
          <w:rFonts w:hint="eastAsia" w:ascii="仿宋_GB2312" w:eastAsia="仿宋_GB2312"/>
          <w:color w:val="000000"/>
          <w:sz w:val="32"/>
          <w:szCs w:val="32"/>
        </w:rPr>
        <w:t>建立健全非免疫规划疫苗管理制度，明确行业系统内部管理职责和程序，完善期间成本资料，减少非必要成本支出，整合现有资源降低接种服务成本。同时，要加强对疫苗接种管理，确保非免疫规划疫苗接种工作的顺利开展，有效维护公共卫生安全。</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整体支出绩效自评开展情况。</w:t>
      </w:r>
    </w:p>
    <w:p>
      <w:pPr>
        <w:spacing w:line="600" w:lineRule="exact"/>
        <w:ind w:firstLine="64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本单位按要求对2022年单位整体支出开展绩效自评，从评价情况来看预算支出未发现无预算、超预算支出，未发现虚列支出和预算科目间相互挤占问题，所有财政资金支出均履行了严格审批手续，未发现挤占、挪用、转移财政资金行为。基本支出严格执行国家有关政策及规定，无擅自扩大开支范围和提高开支标准，单位津补贴、奖金和福利均按照国家或地方的规定发放，项目支出均按照批准的项目和用途以及项目实施方案执行，无自行改变项目内容，扩大支出范围现象。无自行调整项目支出预算问题，所有项目支出均合理合规。未发现利用财政或自有资金对外借、贷款问题。本单位还自行组织了项目绩效评价，从评价情况来看我单位对项目资金加强使用管理，明确了项目内容、目标任务及工作措施。在实施过程中，经常召开专项会议，及时调度项目进度，研究解决项目工作中的具体问题，并根据专项资金文件规定的申报、审核、支付、管理流程，基本按照相关文件的规定审核支付资金，资金的支付范围、支付标准基本合规合法，支付依据充分，做到了专款专用。</w:t>
      </w:r>
    </w:p>
    <w:p>
      <w:pPr>
        <w:rPr>
          <w:rFonts w:hint="eastAsia"/>
          <w:lang w:val="en-US" w:eastAsia="zh-CN"/>
        </w:rPr>
      </w:pPr>
    </w:p>
    <w:p>
      <w:pPr>
        <w:pStyle w:val="7"/>
        <w:rPr>
          <w:rFonts w:hint="eastAsia"/>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5"/>
        </w:numPr>
        <w:spacing w:line="600" w:lineRule="exact"/>
        <w:ind w:left="0" w:firstLine="660" w:firstLineChars="150"/>
        <w:jc w:val="center"/>
        <w:outlineLvl w:val="0"/>
        <w:rPr>
          <w:rStyle w:val="18"/>
          <w:rFonts w:ascii="黑体" w:eastAsia="黑体"/>
          <w:b w:val="0"/>
          <w:color w:val="auto"/>
          <w:highlight w:val="none"/>
        </w:rPr>
      </w:pPr>
      <w:bookmarkStart w:id="90" w:name="_Toc15377225"/>
      <w:bookmarkStart w:id="91" w:name="_Toc15396613"/>
      <w:bookmarkStart w:id="92" w:name="_Toc4007"/>
      <w:r>
        <w:rPr>
          <w:rFonts w:hint="eastAsia" w:ascii="黑体" w:eastAsia="黑体"/>
          <w:color w:val="auto"/>
          <w:sz w:val="44"/>
          <w:szCs w:val="44"/>
          <w:highlight w:val="none"/>
        </w:rPr>
        <w:t>名</w:t>
      </w:r>
      <w:r>
        <w:rPr>
          <w:rStyle w:val="18"/>
          <w:rFonts w:hint="eastAsia" w:ascii="黑体" w:eastAsia="黑体"/>
          <w:b w:val="0"/>
          <w:color w:val="auto"/>
          <w:highlight w:val="none"/>
        </w:rPr>
        <w:t>词解释</w:t>
      </w:r>
      <w:bookmarkEnd w:id="90"/>
      <w:bookmarkEnd w:id="91"/>
      <w:bookmarkEnd w:id="92"/>
    </w:p>
    <w:p>
      <w:pPr>
        <w:spacing w:line="600" w:lineRule="exact"/>
        <w:jc w:val="left"/>
        <w:rPr>
          <w:rFonts w:ascii="宋体"/>
          <w:b/>
          <w:color w:val="auto"/>
          <w:sz w:val="44"/>
          <w:szCs w:val="44"/>
          <w:highlight w:val="none"/>
        </w:rPr>
      </w:pPr>
    </w:p>
    <w:p>
      <w:pPr>
        <w:pStyle w:val="23"/>
        <w:spacing w:line="580" w:lineRule="exact"/>
        <w:ind w:firstLine="640" w:firstLineChars="200"/>
        <w:rPr>
          <w:rFonts w:hint="eastAsia" w:ascii="仿宋_GB2312" w:eastAsia="仿宋_GB2312"/>
          <w:sz w:val="32"/>
          <w:szCs w:val="32"/>
        </w:rPr>
      </w:pPr>
      <w:bookmarkStart w:id="93" w:name="_Toc15377226"/>
      <w:r>
        <w:rPr>
          <w:rFonts w:hint="eastAsia" w:ascii="仿宋_GB2312" w:eastAsia="仿宋_GB2312"/>
          <w:sz w:val="32"/>
          <w:szCs w:val="32"/>
        </w:rPr>
        <w:t>1.财政拨款收入：指单位从同级财政单位取得的各类拨款。</w:t>
      </w:r>
    </w:p>
    <w:p>
      <w:pPr>
        <w:pStyle w:val="23"/>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2.事业收入：指事业单位开展专业业务活动及辅助活动取得的收入。如区人民医院、妇幼保健计生生育服务中心、区中医医院、乡镇卫生院医疗收入等。</w:t>
      </w:r>
    </w:p>
    <w:p>
      <w:pPr>
        <w:pStyle w:val="23"/>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3.其他收入：指单位取得的除上述收入以外的各项收入。主要是利息收入等。 </w:t>
      </w:r>
    </w:p>
    <w:p>
      <w:pPr>
        <w:pStyle w:val="23"/>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4.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3"/>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5.年初结转和结余：指以前年度尚未完成、结转到本年按有关规定继续使用的资金。 </w:t>
      </w:r>
    </w:p>
    <w:p>
      <w:pPr>
        <w:pStyle w:val="23"/>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6.本年盈余分配：指事业单位按照政府会计制度的规定从非财政拨款结余或事业结余中提取的奖励基金和职工福利基金等。</w:t>
      </w:r>
    </w:p>
    <w:p>
      <w:pPr>
        <w:pStyle w:val="23"/>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7.年末结转和结余：指单位按有关规定结转到下年或以后年度继续使用的资金。</w:t>
      </w:r>
    </w:p>
    <w:p>
      <w:pPr>
        <w:spacing w:line="580" w:lineRule="exact"/>
        <w:ind w:firstLine="640" w:firstLineChars="200"/>
        <w:rPr>
          <w:rStyle w:val="15"/>
          <w:rFonts w:hint="eastAsia" w:ascii="仿宋_GB2312" w:eastAsia="仿宋_GB2312"/>
          <w:b w:val="0"/>
          <w:color w:val="000000"/>
          <w:sz w:val="32"/>
          <w:szCs w:val="32"/>
        </w:rPr>
      </w:pPr>
      <w:r>
        <w:rPr>
          <w:rFonts w:hint="eastAsia" w:ascii="仿宋_GB2312" w:eastAsia="仿宋_GB2312"/>
          <w:color w:val="000000"/>
          <w:sz w:val="32"/>
          <w:szCs w:val="32"/>
        </w:rPr>
        <w:t>8.卫生健康支出（类）基层医疗卫生机构（款）</w:t>
      </w:r>
      <w:r>
        <w:rPr>
          <w:rStyle w:val="15"/>
          <w:rFonts w:hint="eastAsia" w:ascii="仿宋_GB2312" w:eastAsia="仿宋_GB2312"/>
          <w:b w:val="0"/>
          <w:color w:val="000000"/>
          <w:sz w:val="32"/>
          <w:szCs w:val="32"/>
        </w:rPr>
        <w:t>乡镇卫生院（项）</w:t>
      </w:r>
      <w:r>
        <w:rPr>
          <w:rFonts w:hint="eastAsia" w:ascii="仿宋_GB2312" w:eastAsia="仿宋_GB2312"/>
          <w:color w:val="000000"/>
          <w:sz w:val="32"/>
          <w:szCs w:val="32"/>
        </w:rPr>
        <w:t>：反映乡镇卫生院的支出；</w:t>
      </w:r>
      <w:r>
        <w:rPr>
          <w:rStyle w:val="15"/>
          <w:rFonts w:hint="eastAsia" w:ascii="仿宋_GB2312" w:eastAsia="仿宋_GB2312"/>
          <w:b w:val="0"/>
          <w:color w:val="000000"/>
          <w:sz w:val="32"/>
          <w:szCs w:val="32"/>
        </w:rPr>
        <w:t>卫生健康支出（类）公共卫生（款）基本公共卫生服务（项）</w:t>
      </w:r>
      <w:r>
        <w:rPr>
          <w:rFonts w:hint="eastAsia" w:ascii="仿宋_GB2312" w:eastAsia="仿宋_GB2312"/>
          <w:color w:val="000000"/>
          <w:sz w:val="32"/>
          <w:szCs w:val="32"/>
        </w:rPr>
        <w:t>：反映乡镇卫生院、社区卫生机构开展基本公共卫生服务的支出；</w:t>
      </w:r>
      <w:r>
        <w:rPr>
          <w:rStyle w:val="15"/>
          <w:rFonts w:hint="eastAsia" w:ascii="仿宋_GB2312" w:eastAsia="仿宋_GB2312"/>
          <w:b w:val="0"/>
          <w:color w:val="000000"/>
          <w:sz w:val="32"/>
          <w:szCs w:val="32"/>
        </w:rPr>
        <w:t>卫生健康支出</w:t>
      </w:r>
      <w:r>
        <w:rPr>
          <w:rFonts w:hint="eastAsia" w:ascii="仿宋_GB2312" w:eastAsia="仿宋_GB2312"/>
          <w:color w:val="000000"/>
          <w:sz w:val="32"/>
          <w:szCs w:val="32"/>
        </w:rPr>
        <w:t>（类）基层医疗卫生机构（款）其他基层医疗卫生机构支出（项）</w:t>
      </w:r>
      <w:r>
        <w:rPr>
          <w:rStyle w:val="15"/>
          <w:rFonts w:hint="eastAsia" w:ascii="仿宋_GB2312" w:eastAsia="仿宋_GB2312"/>
          <w:b w:val="0"/>
          <w:color w:val="000000"/>
          <w:sz w:val="32"/>
          <w:szCs w:val="32"/>
        </w:rPr>
        <w:t>：反映除乡镇卫生院、城市社区卫生机构以外的其他用于基层医疗卫生机构的支出；卫生健康支出（类）行政事业单位医疗</w:t>
      </w:r>
      <w:r>
        <w:rPr>
          <w:rFonts w:hint="eastAsia" w:ascii="仿宋_GB2312" w:eastAsia="仿宋_GB2312"/>
          <w:color w:val="000000"/>
          <w:sz w:val="32"/>
          <w:szCs w:val="32"/>
        </w:rPr>
        <w:t>（款）事业单位医疗（项）</w:t>
      </w:r>
      <w:r>
        <w:rPr>
          <w:rStyle w:val="15"/>
          <w:rFonts w:hint="eastAsia" w:ascii="仿宋_GB2312" w:eastAsia="仿宋_GB2312"/>
          <w:b w:val="0"/>
          <w:color w:val="000000"/>
          <w:sz w:val="32"/>
          <w:szCs w:val="32"/>
        </w:rPr>
        <w:t>:</w:t>
      </w:r>
      <w:r>
        <w:rPr>
          <w:rStyle w:val="15"/>
          <w:rFonts w:hint="eastAsia" w:ascii="仿宋_GB2312" w:eastAsia="仿宋_GB2312"/>
          <w:b w:val="0"/>
          <w:sz w:val="32"/>
          <w:szCs w:val="32"/>
        </w:rPr>
        <w:t>反映</w:t>
      </w:r>
      <w:r>
        <w:rPr>
          <w:rStyle w:val="15"/>
          <w:rFonts w:hint="eastAsia" w:ascii="仿宋_GB2312" w:eastAsia="仿宋_GB2312"/>
          <w:b w:val="0"/>
          <w:color w:val="000000"/>
          <w:sz w:val="32"/>
          <w:szCs w:val="32"/>
        </w:rPr>
        <w:t>卫生健康支出中的在职人员医疗保险。</w:t>
      </w:r>
    </w:p>
    <w:p>
      <w:pPr>
        <w:spacing w:line="580" w:lineRule="exact"/>
        <w:ind w:firstLine="640" w:firstLineChars="200"/>
        <w:rPr>
          <w:rStyle w:val="15"/>
          <w:rFonts w:hint="eastAsia" w:ascii="仿宋_GB2312" w:hAnsi="仿宋" w:eastAsia="仿宋_GB2312" w:cs="仿宋"/>
          <w:b w:val="0"/>
          <w:color w:val="000000"/>
          <w:sz w:val="32"/>
          <w:szCs w:val="32"/>
        </w:rPr>
      </w:pPr>
      <w:r>
        <w:rPr>
          <w:rFonts w:hint="eastAsia" w:ascii="仿宋_GB2312" w:hAnsi="仿宋" w:eastAsia="仿宋_GB2312" w:cs="仿宋"/>
          <w:sz w:val="32"/>
          <w:szCs w:val="32"/>
          <w:lang w:bidi="ar"/>
        </w:rPr>
        <w:t>9.社会保障和就业支出：反映政府在社会保障和就业方面的支出。社会保障和就业支出-行政事业单位离退休-机关事业单位基本养老保险缴费支出：反映机关事业单位实施养老保险制度由单位缴纳的基本养老保险支出；</w:t>
      </w:r>
      <w:r>
        <w:rPr>
          <w:rFonts w:hint="eastAsia" w:ascii="仿宋_GB2312" w:hAnsi="仿宋" w:eastAsia="仿宋_GB2312" w:cs="仿宋"/>
          <w:sz w:val="32"/>
          <w:szCs w:val="32"/>
          <w:lang w:bidi="ar"/>
        </w:rPr>
        <w:br w:type="textWrapping"/>
      </w:r>
      <w:r>
        <w:rPr>
          <w:rFonts w:hint="eastAsia" w:ascii="仿宋_GB2312" w:hAnsi="仿宋" w:eastAsia="仿宋_GB2312" w:cs="仿宋"/>
          <w:sz w:val="32"/>
          <w:szCs w:val="32"/>
          <w:lang w:bidi="ar"/>
        </w:rPr>
        <w:t xml:space="preserve">    10.住房保障支出：住房保障支出-住房改革支出-住房公积金：反映行政事业单位按人力资源和社会保障部、财政部规定的基本工资和津贴补贴以及规定比例为职工缴纳的住房公积金。</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11.基本支出：指为保障机构正常运转、完成日常工作任务而发生的人员支出和公用支出。</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12.项目支出：指在基本支出之外为完成特定行政任务和事业发展目标所发生的支出。 </w:t>
      </w:r>
    </w:p>
    <w:p>
      <w:pPr>
        <w:pStyle w:val="23"/>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13.“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883" w:firstLineChars="200"/>
        <w:rPr>
          <w:rStyle w:val="18"/>
          <w:rFonts w:ascii="黑体" w:eastAsia="黑体"/>
          <w:b w:val="0"/>
          <w:color w:val="auto"/>
          <w:highlight w:val="none"/>
        </w:rPr>
      </w:pPr>
      <w:r>
        <w:rPr>
          <w:rFonts w:ascii="宋体" w:hAnsi="宋体"/>
          <w:b/>
          <w:color w:val="auto"/>
          <w:sz w:val="44"/>
          <w:szCs w:val="44"/>
          <w:highlight w:val="none"/>
        </w:rPr>
        <w:br w:type="page"/>
      </w:r>
      <w:bookmarkStart w:id="94" w:name="_Toc15396614"/>
      <w:r>
        <w:rPr>
          <w:rFonts w:hint="eastAsia" w:ascii="宋体" w:hAnsi="宋体"/>
          <w:b/>
          <w:color w:val="auto"/>
          <w:sz w:val="44"/>
          <w:szCs w:val="44"/>
          <w:highlight w:val="none"/>
          <w:lang w:val="en-US" w:eastAsia="zh-CN"/>
        </w:rPr>
        <w:t xml:space="preserve">            </w:t>
      </w:r>
      <w:r>
        <w:rPr>
          <w:rFonts w:hint="eastAsia" w:ascii="黑体" w:eastAsia="黑体" w:cs="Times New Roman"/>
          <w:color w:val="auto"/>
          <w:kern w:val="2"/>
          <w:sz w:val="44"/>
          <w:szCs w:val="44"/>
          <w:highlight w:val="none"/>
          <w:lang w:val="en-US" w:eastAsia="zh-CN" w:bidi="ar-SA"/>
        </w:rPr>
        <w:t>第四部分 附件</w:t>
      </w:r>
      <w:bookmarkEnd w:id="94"/>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ascii="仿宋_GB2312" w:eastAsia="仿宋_GB2312" w:cs="仿宋_GB2312"/>
          <w:color w:val="auto"/>
          <w:sz w:val="32"/>
          <w:szCs w:val="32"/>
          <w:highlight w:val="none"/>
        </w:rPr>
      </w:pPr>
    </w:p>
    <w:tbl>
      <w:tblPr>
        <w:tblStyle w:val="17"/>
        <w:tblW w:w="8060" w:type="dxa"/>
        <w:tblInd w:w="0" w:type="dxa"/>
        <w:shd w:val="clear" w:color="auto" w:fill="auto"/>
        <w:tblLayout w:type="fixed"/>
        <w:tblCellMar>
          <w:top w:w="0" w:type="dxa"/>
          <w:left w:w="0" w:type="dxa"/>
          <w:bottom w:w="0" w:type="dxa"/>
          <w:right w:w="0" w:type="dxa"/>
        </w:tblCellMar>
      </w:tblPr>
      <w:tblGrid>
        <w:gridCol w:w="610"/>
        <w:gridCol w:w="839"/>
        <w:gridCol w:w="839"/>
        <w:gridCol w:w="839"/>
        <w:gridCol w:w="687"/>
        <w:gridCol w:w="517"/>
        <w:gridCol w:w="372"/>
        <w:gridCol w:w="840"/>
        <w:gridCol w:w="839"/>
        <w:gridCol w:w="839"/>
        <w:gridCol w:w="839"/>
      </w:tblGrid>
      <w:tr>
        <w:tblPrEx>
          <w:shd w:val="clear" w:color="auto" w:fill="auto"/>
          <w:tblLayout w:type="fixed"/>
          <w:tblCellMar>
            <w:top w:w="0" w:type="dxa"/>
            <w:left w:w="0" w:type="dxa"/>
            <w:bottom w:w="0" w:type="dxa"/>
            <w:right w:w="0" w:type="dxa"/>
          </w:tblCellMar>
        </w:tblPrEx>
        <w:trPr>
          <w:trHeight w:val="680" w:hRule="atLeast"/>
        </w:trPr>
        <w:tc>
          <w:tcPr>
            <w:tcW w:w="8060" w:type="dxa"/>
            <w:gridSpan w:val="11"/>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黑体" w:hAnsi="宋体" w:eastAsia="黑体" w:cs="黑体"/>
                <w:b/>
                <w:i w:val="0"/>
                <w:color w:val="000000"/>
                <w:sz w:val="30"/>
                <w:szCs w:val="30"/>
                <w:u w:val="none"/>
              </w:rPr>
            </w:pPr>
            <w:bookmarkStart w:id="95" w:name="_Toc15396618"/>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Layout w:type="fixed"/>
          <w:tblCellMar>
            <w:top w:w="0" w:type="dxa"/>
            <w:left w:w="0" w:type="dxa"/>
            <w:bottom w:w="0" w:type="dxa"/>
            <w:right w:w="0" w:type="dxa"/>
          </w:tblCellMar>
        </w:tblPrEx>
        <w:trPr>
          <w:trHeight w:val="553" w:hRule="atLeast"/>
        </w:trPr>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项目名称</w:t>
            </w:r>
          </w:p>
        </w:tc>
        <w:tc>
          <w:tcPr>
            <w:tcW w:w="6611"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二类疫苗服务费</w:t>
            </w:r>
          </w:p>
        </w:tc>
      </w:tr>
      <w:tr>
        <w:tblPrEx>
          <w:tblLayout w:type="fixed"/>
          <w:tblCellMar>
            <w:top w:w="0" w:type="dxa"/>
            <w:left w:w="0" w:type="dxa"/>
            <w:bottom w:w="0" w:type="dxa"/>
            <w:right w:w="0" w:type="dxa"/>
          </w:tblCellMar>
        </w:tblPrEx>
        <w:trPr>
          <w:trHeight w:val="680" w:hRule="atLeast"/>
        </w:trPr>
        <w:tc>
          <w:tcPr>
            <w:tcW w:w="1449"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主管部门</w:t>
            </w:r>
          </w:p>
        </w:tc>
        <w:tc>
          <w:tcPr>
            <w:tcW w:w="3254"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广元市昭化区卫生健康局部门</w:t>
            </w:r>
          </w:p>
        </w:tc>
        <w:tc>
          <w:tcPr>
            <w:tcW w:w="840" w:type="dxa"/>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实施单位 （盖章）</w:t>
            </w:r>
          </w:p>
        </w:tc>
        <w:tc>
          <w:tcPr>
            <w:tcW w:w="2517"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广元市</w:t>
            </w:r>
            <w:r>
              <w:rPr>
                <w:rFonts w:hint="eastAsia" w:ascii="宋体" w:hAnsi="宋体" w:cs="宋体"/>
                <w:i w:val="0"/>
                <w:iCs w:val="0"/>
                <w:color w:val="000000"/>
                <w:kern w:val="0"/>
                <w:sz w:val="20"/>
                <w:szCs w:val="20"/>
                <w:u w:val="none"/>
                <w:lang w:val="en-US" w:eastAsia="zh-CN" w:bidi="ar"/>
              </w:rPr>
              <w:t>朝阳乡</w:t>
            </w:r>
            <w:r>
              <w:rPr>
                <w:rFonts w:hint="eastAsia" w:ascii="宋体" w:hAnsi="宋体" w:eastAsia="宋体" w:cs="宋体"/>
                <w:i w:val="0"/>
                <w:iCs w:val="0"/>
                <w:color w:val="000000"/>
                <w:kern w:val="0"/>
                <w:sz w:val="20"/>
                <w:szCs w:val="20"/>
                <w:u w:val="none"/>
                <w:lang w:val="en-US" w:eastAsia="zh-CN" w:bidi="ar"/>
              </w:rPr>
              <w:t>卫生院</w:t>
            </w:r>
          </w:p>
        </w:tc>
      </w:tr>
      <w:tr>
        <w:tblPrEx>
          <w:tblLayout w:type="fixed"/>
          <w:tblCellMar>
            <w:top w:w="0" w:type="dxa"/>
            <w:left w:w="0" w:type="dxa"/>
            <w:bottom w:w="0" w:type="dxa"/>
            <w:right w:w="0" w:type="dxa"/>
          </w:tblCellMar>
        </w:tblPrEx>
        <w:trPr>
          <w:trHeight w:val="450" w:hRule="atLeast"/>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项目基本情况</w:t>
            </w: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1.项目年度目标完成情况</w:t>
            </w:r>
          </w:p>
        </w:tc>
        <w:tc>
          <w:tcPr>
            <w:tcW w:w="3254"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项目年度目标</w:t>
            </w:r>
          </w:p>
        </w:tc>
        <w:tc>
          <w:tcPr>
            <w:tcW w:w="335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年度目标完成情况</w:t>
            </w:r>
          </w:p>
        </w:tc>
      </w:tr>
      <w:tr>
        <w:tblPrEx>
          <w:tblLayout w:type="fixed"/>
          <w:tblCellMar>
            <w:top w:w="0" w:type="dxa"/>
            <w:left w:w="0" w:type="dxa"/>
            <w:bottom w:w="0" w:type="dxa"/>
            <w:right w:w="0" w:type="dxa"/>
          </w:tblCellMar>
        </w:tblPrEx>
        <w:trPr>
          <w:trHeight w:val="570" w:hRule="atLeast"/>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254"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cs="宋体"/>
                <w:i w:val="0"/>
                <w:iCs w:val="0"/>
                <w:color w:val="000000"/>
                <w:kern w:val="0"/>
                <w:sz w:val="20"/>
                <w:szCs w:val="20"/>
                <w:u w:val="none"/>
                <w:lang w:val="en-US" w:eastAsia="zh-CN" w:bidi="ar"/>
              </w:rPr>
              <w:t>0.68</w:t>
            </w:r>
            <w:r>
              <w:rPr>
                <w:rFonts w:hint="eastAsia" w:ascii="宋体" w:hAnsi="宋体" w:eastAsia="宋体" w:cs="宋体"/>
                <w:i w:val="0"/>
                <w:iCs w:val="0"/>
                <w:color w:val="000000"/>
                <w:kern w:val="0"/>
                <w:sz w:val="20"/>
                <w:szCs w:val="20"/>
                <w:u w:val="none"/>
                <w:lang w:val="en-US" w:eastAsia="zh-CN" w:bidi="ar"/>
              </w:rPr>
              <w:t>万元</w:t>
            </w:r>
          </w:p>
        </w:tc>
        <w:tc>
          <w:tcPr>
            <w:tcW w:w="335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999" w:hRule="atLeast"/>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2.项目实施内容及过程概述</w:t>
            </w:r>
          </w:p>
        </w:tc>
        <w:tc>
          <w:tcPr>
            <w:tcW w:w="6611" w:type="dxa"/>
            <w:gridSpan w:val="9"/>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按照《四川省发展和改革委员会四川省财政厅关于疫苗预防接种服务收费标准及有关问题的通知》（川发改价格〔2020〕640号）文件精神，二类疫苗接种服务费收入全额上缴国库，纳入财政预算管理。</w:t>
            </w:r>
          </w:p>
        </w:tc>
      </w:tr>
      <w:tr>
        <w:tblPrEx>
          <w:tblLayout w:type="fixed"/>
          <w:tblCellMar>
            <w:top w:w="0" w:type="dxa"/>
            <w:left w:w="0" w:type="dxa"/>
            <w:bottom w:w="0" w:type="dxa"/>
            <w:right w:w="0" w:type="dxa"/>
          </w:tblCellMar>
        </w:tblPrEx>
        <w:trPr>
          <w:trHeight w:val="680" w:hRule="atLeast"/>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预算执行情况（10分）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年度预算数（万元）</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年初预算</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调整后预算数</w:t>
            </w:r>
          </w:p>
        </w:tc>
        <w:tc>
          <w:tcPr>
            <w:tcW w:w="157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预算执行数</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预算执行率</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权重</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得分</w:t>
            </w:r>
          </w:p>
        </w:tc>
        <w:tc>
          <w:tcPr>
            <w:tcW w:w="839"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未完成原因分析</w:t>
            </w:r>
          </w:p>
        </w:tc>
      </w:tr>
      <w:tr>
        <w:tblPrEx>
          <w:tblLayout w:type="fixed"/>
          <w:tblCellMar>
            <w:top w:w="0" w:type="dxa"/>
            <w:left w:w="0" w:type="dxa"/>
            <w:bottom w:w="0" w:type="dxa"/>
            <w:right w:w="0" w:type="dxa"/>
          </w:tblCellMar>
        </w:tblPrEx>
        <w:trPr>
          <w:trHeight w:val="361" w:hRule="atLeast"/>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总额</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cs="宋体"/>
                <w:i w:val="0"/>
                <w:iCs w:val="0"/>
                <w:color w:val="000000"/>
                <w:kern w:val="0"/>
                <w:sz w:val="20"/>
                <w:szCs w:val="20"/>
                <w:u w:val="none"/>
                <w:lang w:val="en-US" w:eastAsia="zh-CN" w:bidi="ar"/>
              </w:rPr>
              <w:t>0.68</w:t>
            </w:r>
          </w:p>
        </w:tc>
        <w:tc>
          <w:tcPr>
            <w:tcW w:w="157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cs="宋体"/>
                <w:i w:val="0"/>
                <w:iCs w:val="0"/>
                <w:color w:val="000000"/>
                <w:kern w:val="0"/>
                <w:sz w:val="20"/>
                <w:szCs w:val="20"/>
                <w:u w:val="none"/>
                <w:lang w:val="en-US" w:eastAsia="zh-CN" w:bidi="ar"/>
              </w:rPr>
              <w:t>0.68</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100.00%</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839"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680" w:hRule="atLeast"/>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其中：财政资金</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cs="宋体"/>
                <w:i w:val="0"/>
                <w:iCs w:val="0"/>
                <w:color w:val="000000"/>
                <w:kern w:val="0"/>
                <w:sz w:val="20"/>
                <w:szCs w:val="20"/>
                <w:u w:val="none"/>
                <w:lang w:val="en-US" w:eastAsia="zh-CN" w:bidi="ar"/>
              </w:rPr>
              <w:t>0.68</w:t>
            </w:r>
          </w:p>
        </w:tc>
        <w:tc>
          <w:tcPr>
            <w:tcW w:w="157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cs="宋体"/>
                <w:i w:val="0"/>
                <w:iCs w:val="0"/>
                <w:color w:val="000000"/>
                <w:kern w:val="0"/>
                <w:sz w:val="20"/>
                <w:szCs w:val="20"/>
                <w:u w:val="none"/>
                <w:lang w:val="en-US" w:eastAsia="zh-CN" w:bidi="ar"/>
              </w:rPr>
              <w:t>0.68</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100.00%</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39"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680" w:hRule="atLeast"/>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财政专户管理资金</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57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39"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361" w:hRule="atLeast"/>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单位资金</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157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0.00%</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39"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492" w:hRule="atLeast"/>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其他资金</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576"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39"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1024" w:hRule="atLeast"/>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绩效指标（90分）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一级指标</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二级指标</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三级指标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指标性质</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指标值</w:t>
            </w:r>
          </w:p>
        </w:tc>
        <w:tc>
          <w:tcPr>
            <w:tcW w:w="3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度量单位</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完成值</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权重</w:t>
            </w:r>
          </w:p>
        </w:tc>
        <w:tc>
          <w:tcPr>
            <w:tcW w:w="839" w:type="dxa"/>
            <w:tcBorders>
              <w:top w:val="single" w:color="000000" w:sz="4" w:space="0"/>
              <w:left w:val="single" w:color="000000" w:sz="4" w:space="0"/>
              <w:bottom w:val="single" w:color="000000" w:sz="4" w:space="0"/>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得分</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663" w:hRule="atLeast"/>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产出指标</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时效指标</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项目完成及时率</w:t>
            </w:r>
          </w:p>
        </w:tc>
        <w:tc>
          <w:tcPr>
            <w:tcW w:w="6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w:t>
            </w:r>
          </w:p>
        </w:tc>
        <w:tc>
          <w:tcPr>
            <w:tcW w:w="37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90</w:t>
            </w:r>
          </w:p>
        </w:tc>
        <w:tc>
          <w:tcPr>
            <w:tcW w:w="839"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361" w:hRule="atLeast"/>
        </w:trPr>
        <w:tc>
          <w:tcPr>
            <w:tcW w:w="5543"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合计</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Layout w:type="fixed"/>
          <w:tblCellMar>
            <w:top w:w="0" w:type="dxa"/>
            <w:left w:w="0" w:type="dxa"/>
            <w:bottom w:w="0" w:type="dxa"/>
            <w:right w:w="0" w:type="dxa"/>
          </w:tblCellMar>
        </w:tblPrEx>
        <w:trPr>
          <w:trHeight w:val="68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评价结论</w:t>
            </w:r>
          </w:p>
        </w:tc>
        <w:tc>
          <w:tcPr>
            <w:tcW w:w="7450"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二类疫苗接种服务费收入全额上缴国库，纳入财政预算管理，实施效果较好</w:t>
            </w:r>
          </w:p>
        </w:tc>
      </w:tr>
      <w:tr>
        <w:tblPrEx>
          <w:tblLayout w:type="fixed"/>
          <w:tblCellMar>
            <w:top w:w="0" w:type="dxa"/>
            <w:left w:w="0" w:type="dxa"/>
            <w:bottom w:w="0" w:type="dxa"/>
            <w:right w:w="0" w:type="dxa"/>
          </w:tblCellMar>
        </w:tblPrEx>
        <w:trPr>
          <w:trHeight w:val="68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存在问题</w:t>
            </w:r>
          </w:p>
        </w:tc>
        <w:tc>
          <w:tcPr>
            <w:tcW w:w="7450"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w:t>
            </w:r>
          </w:p>
        </w:tc>
      </w:tr>
      <w:tr>
        <w:tblPrEx>
          <w:tblLayout w:type="fixed"/>
          <w:tblCellMar>
            <w:top w:w="0" w:type="dxa"/>
            <w:left w:w="0" w:type="dxa"/>
            <w:bottom w:w="0" w:type="dxa"/>
            <w:right w:w="0" w:type="dxa"/>
          </w:tblCellMar>
        </w:tblPrEx>
        <w:trPr>
          <w:trHeight w:val="680" w:hRule="atLeast"/>
        </w:trPr>
        <w:tc>
          <w:tcPr>
            <w:tcW w:w="6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改进措施</w:t>
            </w:r>
          </w:p>
        </w:tc>
        <w:tc>
          <w:tcPr>
            <w:tcW w:w="7450" w:type="dxa"/>
            <w:gridSpan w:val="1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w:t>
            </w:r>
          </w:p>
        </w:tc>
      </w:tr>
      <w:tr>
        <w:tblPrEx>
          <w:tblLayout w:type="fixed"/>
          <w:tblCellMar>
            <w:top w:w="0" w:type="dxa"/>
            <w:left w:w="0" w:type="dxa"/>
            <w:bottom w:w="0" w:type="dxa"/>
            <w:right w:w="0" w:type="dxa"/>
          </w:tblCellMar>
        </w:tblPrEx>
        <w:trPr>
          <w:trHeight w:val="382" w:hRule="atLeast"/>
        </w:trPr>
        <w:tc>
          <w:tcPr>
            <w:tcW w:w="3814"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项目负责人：</w:t>
            </w:r>
          </w:p>
        </w:tc>
        <w:tc>
          <w:tcPr>
            <w:tcW w:w="4246"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财务负责人：</w:t>
            </w:r>
          </w:p>
        </w:tc>
      </w:tr>
    </w:tbl>
    <w:p>
      <w:pPr>
        <w:rPr>
          <w:rFonts w:hint="eastAsia"/>
          <w:lang w:val="en-US" w:eastAsia="zh-CN"/>
        </w:rPr>
      </w:pPr>
    </w:p>
    <w:p>
      <w:pPr>
        <w:spacing w:line="600" w:lineRule="exact"/>
        <w:jc w:val="center"/>
        <w:outlineLvl w:val="0"/>
        <w:rPr>
          <w:rFonts w:hint="eastAsia" w:ascii="仿宋" w:eastAsia="仿宋"/>
          <w:b w:val="0"/>
          <w:color w:val="auto"/>
          <w:highlight w:val="none"/>
        </w:rPr>
      </w:pPr>
      <w:bookmarkStart w:id="96" w:name="_Toc714"/>
      <w:r>
        <w:rPr>
          <w:rFonts w:hint="eastAsia" w:ascii="黑体" w:eastAsia="黑体"/>
          <w:color w:val="auto"/>
          <w:sz w:val="44"/>
          <w:szCs w:val="44"/>
          <w:highlight w:val="none"/>
        </w:rPr>
        <w:t>第</w:t>
      </w:r>
      <w:r>
        <w:rPr>
          <w:rStyle w:val="18"/>
          <w:rFonts w:hint="eastAsia" w:ascii="黑体" w:eastAsia="黑体"/>
          <w:b w:val="0"/>
          <w:color w:val="auto"/>
          <w:highlight w:val="none"/>
        </w:rPr>
        <w:t>五部分 附表</w:t>
      </w:r>
      <w:bookmarkEnd w:id="93"/>
      <w:bookmarkEnd w:id="95"/>
      <w:bookmarkEnd w:id="96"/>
      <w:bookmarkStart w:id="97" w:name="_Toc15396619"/>
    </w:p>
    <w:p>
      <w:pPr>
        <w:pStyle w:val="4"/>
        <w:rPr>
          <w:rFonts w:ascii="仿宋" w:eastAsia="仿宋"/>
          <w:color w:val="auto"/>
          <w:highlight w:val="none"/>
        </w:rPr>
      </w:pPr>
      <w:bookmarkStart w:id="98" w:name="_Toc31005"/>
      <w:r>
        <w:rPr>
          <w:rFonts w:hint="eastAsia" w:ascii="仿宋" w:eastAsia="仿宋"/>
          <w:b w:val="0"/>
          <w:color w:val="auto"/>
          <w:highlight w:val="none"/>
        </w:rPr>
        <w:t>一、收</w:t>
      </w:r>
      <w:r>
        <w:rPr>
          <w:rStyle w:val="19"/>
          <w:rFonts w:hint="eastAsia" w:ascii="仿宋" w:eastAsia="仿宋"/>
          <w:b w:val="0"/>
          <w:bCs w:val="0"/>
          <w:color w:val="auto"/>
          <w:highlight w:val="none"/>
        </w:rPr>
        <w:t>入支出决算总表</w:t>
      </w:r>
      <w:bookmarkEnd w:id="97"/>
      <w:bookmarkEnd w:id="98"/>
    </w:p>
    <w:p>
      <w:pPr>
        <w:pStyle w:val="4"/>
        <w:rPr>
          <w:rFonts w:ascii="仿宋" w:eastAsia="仿宋"/>
          <w:color w:val="auto"/>
          <w:highlight w:val="none"/>
        </w:rPr>
      </w:pPr>
      <w:bookmarkStart w:id="99" w:name="_Toc15396620"/>
      <w:bookmarkStart w:id="100" w:name="_Toc29280"/>
      <w:r>
        <w:rPr>
          <w:rFonts w:hint="eastAsia" w:ascii="仿宋" w:eastAsia="仿宋"/>
          <w:b w:val="0"/>
          <w:color w:val="auto"/>
          <w:highlight w:val="none"/>
        </w:rPr>
        <w:t>二、收</w:t>
      </w:r>
      <w:r>
        <w:rPr>
          <w:rStyle w:val="19"/>
          <w:rFonts w:hint="eastAsia" w:ascii="仿宋" w:eastAsia="仿宋"/>
          <w:b w:val="0"/>
          <w:bCs w:val="0"/>
          <w:color w:val="auto"/>
          <w:highlight w:val="none"/>
        </w:rPr>
        <w:t>入决算表</w:t>
      </w:r>
      <w:bookmarkEnd w:id="99"/>
      <w:bookmarkEnd w:id="100"/>
    </w:p>
    <w:p>
      <w:pPr>
        <w:pStyle w:val="4"/>
        <w:rPr>
          <w:rFonts w:ascii="仿宋" w:eastAsia="仿宋"/>
          <w:color w:val="auto"/>
          <w:highlight w:val="none"/>
        </w:rPr>
      </w:pPr>
      <w:bookmarkStart w:id="101" w:name="_Toc20370"/>
      <w:bookmarkStart w:id="102" w:name="_Toc15396621"/>
      <w:r>
        <w:rPr>
          <w:rStyle w:val="19"/>
          <w:rFonts w:hint="eastAsia" w:ascii="仿宋" w:eastAsia="仿宋"/>
          <w:b w:val="0"/>
          <w:bCs w:val="0"/>
          <w:color w:val="auto"/>
          <w:highlight w:val="none"/>
        </w:rPr>
        <w:t>三、</w:t>
      </w:r>
      <w:r>
        <w:rPr>
          <w:rFonts w:hint="eastAsia" w:ascii="仿宋" w:eastAsia="仿宋"/>
          <w:b w:val="0"/>
          <w:color w:val="auto"/>
          <w:highlight w:val="none"/>
        </w:rPr>
        <w:t>支</w:t>
      </w:r>
      <w:r>
        <w:rPr>
          <w:rStyle w:val="19"/>
          <w:rFonts w:hint="eastAsia" w:ascii="仿宋" w:eastAsia="仿宋"/>
          <w:b w:val="0"/>
          <w:bCs w:val="0"/>
          <w:color w:val="auto"/>
          <w:highlight w:val="none"/>
        </w:rPr>
        <w:t>出决算表</w:t>
      </w:r>
      <w:bookmarkEnd w:id="101"/>
      <w:bookmarkEnd w:id="102"/>
    </w:p>
    <w:p>
      <w:pPr>
        <w:pStyle w:val="4"/>
        <w:rPr>
          <w:rFonts w:ascii="仿宋" w:eastAsia="仿宋"/>
          <w:b w:val="0"/>
          <w:color w:val="auto"/>
          <w:highlight w:val="none"/>
        </w:rPr>
      </w:pPr>
      <w:bookmarkStart w:id="103" w:name="_Toc1014"/>
      <w:bookmarkStart w:id="104" w:name="_Toc15396622"/>
      <w:r>
        <w:rPr>
          <w:rStyle w:val="19"/>
          <w:rFonts w:hint="eastAsia" w:ascii="仿宋" w:eastAsia="仿宋"/>
          <w:b w:val="0"/>
          <w:bCs w:val="0"/>
          <w:color w:val="auto"/>
          <w:highlight w:val="none"/>
        </w:rPr>
        <w:t>四、</w:t>
      </w:r>
      <w:r>
        <w:rPr>
          <w:rFonts w:hint="eastAsia" w:ascii="仿宋" w:eastAsia="仿宋"/>
          <w:b w:val="0"/>
          <w:color w:val="auto"/>
          <w:highlight w:val="none"/>
        </w:rPr>
        <w:t>财</w:t>
      </w:r>
      <w:r>
        <w:rPr>
          <w:rStyle w:val="19"/>
          <w:rFonts w:hint="eastAsia" w:ascii="仿宋" w:eastAsia="仿宋"/>
          <w:b w:val="0"/>
          <w:bCs w:val="0"/>
          <w:color w:val="auto"/>
          <w:highlight w:val="none"/>
        </w:rPr>
        <w:t>政拨款收入支出决算总表</w:t>
      </w:r>
      <w:bookmarkEnd w:id="103"/>
      <w:bookmarkEnd w:id="104"/>
    </w:p>
    <w:p>
      <w:pPr>
        <w:pStyle w:val="4"/>
        <w:rPr>
          <w:rStyle w:val="19"/>
          <w:rFonts w:ascii="仿宋" w:eastAsia="仿宋"/>
          <w:b w:val="0"/>
          <w:bCs w:val="0"/>
          <w:color w:val="auto"/>
          <w:highlight w:val="none"/>
        </w:rPr>
      </w:pPr>
      <w:bookmarkStart w:id="105" w:name="_Toc19983"/>
      <w:bookmarkStart w:id="106" w:name="_Toc15396623"/>
      <w:r>
        <w:rPr>
          <w:rStyle w:val="19"/>
          <w:rFonts w:hint="eastAsia" w:ascii="仿宋" w:eastAsia="仿宋"/>
          <w:b w:val="0"/>
          <w:bCs w:val="0"/>
          <w:color w:val="auto"/>
          <w:highlight w:val="none"/>
        </w:rPr>
        <w:t>五、</w:t>
      </w:r>
      <w:r>
        <w:rPr>
          <w:rFonts w:hint="eastAsia" w:ascii="仿宋" w:eastAsia="仿宋"/>
          <w:b w:val="0"/>
          <w:color w:val="auto"/>
          <w:highlight w:val="none"/>
        </w:rPr>
        <w:t>财</w:t>
      </w:r>
      <w:r>
        <w:rPr>
          <w:rStyle w:val="19"/>
          <w:rFonts w:hint="eastAsia" w:ascii="仿宋" w:eastAsia="仿宋"/>
          <w:b w:val="0"/>
          <w:bCs w:val="0"/>
          <w:color w:val="auto"/>
          <w:highlight w:val="none"/>
        </w:rPr>
        <w:t>政拨款支出决算明细表</w:t>
      </w:r>
      <w:bookmarkEnd w:id="105"/>
      <w:bookmarkEnd w:id="106"/>
      <w:bookmarkStart w:id="107" w:name="_Toc15396624"/>
    </w:p>
    <w:p>
      <w:pPr>
        <w:pStyle w:val="4"/>
        <w:rPr>
          <w:rFonts w:ascii="仿宋" w:eastAsia="仿宋"/>
          <w:color w:val="auto"/>
          <w:highlight w:val="none"/>
        </w:rPr>
      </w:pPr>
      <w:bookmarkStart w:id="108" w:name="_Toc6246"/>
      <w:r>
        <w:rPr>
          <w:rStyle w:val="19"/>
          <w:rFonts w:hint="eastAsia" w:ascii="仿宋" w:eastAsia="仿宋"/>
          <w:b w:val="0"/>
          <w:bCs w:val="0"/>
          <w:color w:val="auto"/>
          <w:highlight w:val="none"/>
        </w:rPr>
        <w:t>六、</w:t>
      </w:r>
      <w:r>
        <w:rPr>
          <w:rFonts w:hint="eastAsia" w:ascii="仿宋" w:eastAsia="仿宋"/>
          <w:b w:val="0"/>
          <w:color w:val="auto"/>
          <w:highlight w:val="none"/>
        </w:rPr>
        <w:t>一</w:t>
      </w:r>
      <w:r>
        <w:rPr>
          <w:rStyle w:val="19"/>
          <w:rFonts w:hint="eastAsia" w:ascii="仿宋" w:eastAsia="仿宋"/>
          <w:b w:val="0"/>
          <w:bCs w:val="0"/>
          <w:color w:val="auto"/>
          <w:highlight w:val="none"/>
        </w:rPr>
        <w:t>般公共预算财政拨款支出决算表</w:t>
      </w:r>
      <w:bookmarkEnd w:id="107"/>
      <w:bookmarkEnd w:id="108"/>
    </w:p>
    <w:p>
      <w:pPr>
        <w:pStyle w:val="4"/>
        <w:rPr>
          <w:rFonts w:ascii="仿宋" w:eastAsia="仿宋"/>
          <w:color w:val="auto"/>
          <w:highlight w:val="none"/>
        </w:rPr>
      </w:pPr>
      <w:bookmarkStart w:id="109" w:name="_Toc25646"/>
      <w:bookmarkStart w:id="110" w:name="_Toc15396625"/>
      <w:r>
        <w:rPr>
          <w:rStyle w:val="19"/>
          <w:rFonts w:hint="eastAsia" w:ascii="仿宋" w:eastAsia="仿宋"/>
          <w:b w:val="0"/>
          <w:bCs w:val="0"/>
          <w:color w:val="auto"/>
          <w:highlight w:val="none"/>
        </w:rPr>
        <w:t>七、</w:t>
      </w:r>
      <w:r>
        <w:rPr>
          <w:rFonts w:hint="eastAsia" w:ascii="仿宋" w:eastAsia="仿宋"/>
          <w:b w:val="0"/>
          <w:color w:val="auto"/>
          <w:highlight w:val="none"/>
        </w:rPr>
        <w:t>一</w:t>
      </w:r>
      <w:r>
        <w:rPr>
          <w:rStyle w:val="19"/>
          <w:rFonts w:hint="eastAsia" w:ascii="仿宋" w:eastAsia="仿宋"/>
          <w:b w:val="0"/>
          <w:bCs w:val="0"/>
          <w:color w:val="auto"/>
          <w:highlight w:val="none"/>
        </w:rPr>
        <w:t>般公共预算财政拨款支出决算明细表</w:t>
      </w:r>
      <w:bookmarkEnd w:id="109"/>
      <w:bookmarkEnd w:id="110"/>
    </w:p>
    <w:p>
      <w:pPr>
        <w:pStyle w:val="4"/>
        <w:rPr>
          <w:rFonts w:ascii="仿宋" w:eastAsia="仿宋"/>
          <w:color w:val="auto"/>
          <w:highlight w:val="none"/>
        </w:rPr>
      </w:pPr>
      <w:bookmarkStart w:id="111" w:name="_Toc15396626"/>
      <w:bookmarkStart w:id="112" w:name="_Toc21089"/>
      <w:r>
        <w:rPr>
          <w:rStyle w:val="19"/>
          <w:rFonts w:hint="eastAsia" w:ascii="仿宋" w:eastAsia="仿宋"/>
          <w:b w:val="0"/>
          <w:bCs w:val="0"/>
          <w:color w:val="auto"/>
          <w:highlight w:val="none"/>
        </w:rPr>
        <w:t>八、</w:t>
      </w:r>
      <w:r>
        <w:rPr>
          <w:rFonts w:hint="eastAsia" w:ascii="仿宋" w:eastAsia="仿宋"/>
          <w:b w:val="0"/>
          <w:color w:val="auto"/>
          <w:highlight w:val="none"/>
        </w:rPr>
        <w:t>一</w:t>
      </w:r>
      <w:r>
        <w:rPr>
          <w:rStyle w:val="19"/>
          <w:rFonts w:hint="eastAsia" w:ascii="仿宋" w:eastAsia="仿宋"/>
          <w:b w:val="0"/>
          <w:bCs w:val="0"/>
          <w:color w:val="auto"/>
          <w:highlight w:val="none"/>
        </w:rPr>
        <w:t>般公共预算财政拨款基本支出决算表</w:t>
      </w:r>
      <w:bookmarkEnd w:id="111"/>
      <w:bookmarkEnd w:id="112"/>
    </w:p>
    <w:p>
      <w:pPr>
        <w:pStyle w:val="4"/>
        <w:rPr>
          <w:rFonts w:ascii="仿宋" w:eastAsia="仿宋"/>
          <w:color w:val="auto"/>
          <w:highlight w:val="none"/>
        </w:rPr>
      </w:pPr>
      <w:bookmarkStart w:id="113" w:name="_Toc23889"/>
      <w:bookmarkStart w:id="114" w:name="_Toc15396627"/>
      <w:r>
        <w:rPr>
          <w:rStyle w:val="19"/>
          <w:rFonts w:hint="eastAsia" w:ascii="仿宋" w:eastAsia="仿宋"/>
          <w:b w:val="0"/>
          <w:bCs w:val="0"/>
          <w:color w:val="auto"/>
          <w:highlight w:val="none"/>
        </w:rPr>
        <w:t>九、</w:t>
      </w:r>
      <w:r>
        <w:rPr>
          <w:rFonts w:hint="eastAsia" w:ascii="仿宋" w:eastAsia="仿宋"/>
          <w:b w:val="0"/>
          <w:color w:val="auto"/>
          <w:highlight w:val="none"/>
        </w:rPr>
        <w:t>一</w:t>
      </w:r>
      <w:r>
        <w:rPr>
          <w:rStyle w:val="19"/>
          <w:rFonts w:hint="eastAsia" w:ascii="仿宋" w:eastAsia="仿宋"/>
          <w:b w:val="0"/>
          <w:bCs w:val="0"/>
          <w:color w:val="auto"/>
          <w:highlight w:val="none"/>
        </w:rPr>
        <w:t>般公共预算财政拨款项目支出决算表</w:t>
      </w:r>
      <w:bookmarkEnd w:id="113"/>
      <w:bookmarkEnd w:id="114"/>
    </w:p>
    <w:p>
      <w:pPr>
        <w:pStyle w:val="4"/>
        <w:rPr>
          <w:rFonts w:ascii="仿宋" w:eastAsia="仿宋"/>
          <w:color w:val="auto"/>
          <w:highlight w:val="none"/>
        </w:rPr>
      </w:pPr>
      <w:bookmarkStart w:id="115" w:name="_Toc15396628"/>
      <w:bookmarkStart w:id="116" w:name="_Toc7509"/>
      <w:r>
        <w:rPr>
          <w:rStyle w:val="19"/>
          <w:rFonts w:hint="eastAsia" w:ascii="仿宋" w:eastAsia="仿宋"/>
          <w:b w:val="0"/>
          <w:bCs w:val="0"/>
          <w:color w:val="auto"/>
          <w:highlight w:val="none"/>
        </w:rPr>
        <w:t>十、</w:t>
      </w:r>
      <w:bookmarkEnd w:id="115"/>
      <w:r>
        <w:rPr>
          <w:rFonts w:hint="eastAsia" w:ascii="仿宋" w:eastAsia="仿宋"/>
          <w:b w:val="0"/>
          <w:color w:val="auto"/>
          <w:highlight w:val="none"/>
        </w:rPr>
        <w:t>政</w:t>
      </w:r>
      <w:r>
        <w:rPr>
          <w:rStyle w:val="19"/>
          <w:rFonts w:hint="eastAsia" w:ascii="仿宋" w:eastAsia="仿宋"/>
          <w:b w:val="0"/>
          <w:bCs w:val="0"/>
          <w:color w:val="auto"/>
          <w:highlight w:val="none"/>
        </w:rPr>
        <w:t>府性基金预算财政拨款收入支出决算表</w:t>
      </w:r>
      <w:bookmarkEnd w:id="116"/>
    </w:p>
    <w:p>
      <w:pPr>
        <w:pStyle w:val="4"/>
        <w:rPr>
          <w:rFonts w:ascii="仿宋" w:eastAsia="仿宋"/>
          <w:color w:val="auto"/>
          <w:highlight w:val="none"/>
        </w:rPr>
      </w:pPr>
      <w:bookmarkStart w:id="117" w:name="_Toc15396629"/>
      <w:bookmarkStart w:id="118" w:name="_Toc22145"/>
      <w:r>
        <w:rPr>
          <w:rStyle w:val="19"/>
          <w:rFonts w:hint="eastAsia" w:ascii="仿宋" w:eastAsia="仿宋"/>
          <w:b w:val="0"/>
          <w:bCs w:val="0"/>
          <w:color w:val="auto"/>
          <w:highlight w:val="none"/>
        </w:rPr>
        <w:t>十一、</w:t>
      </w:r>
      <w:bookmarkEnd w:id="117"/>
      <w:r>
        <w:rPr>
          <w:rFonts w:hint="eastAsia" w:ascii="仿宋" w:eastAsia="仿宋"/>
          <w:b w:val="0"/>
          <w:color w:val="auto"/>
          <w:highlight w:val="none"/>
        </w:rPr>
        <w:t>国</w:t>
      </w:r>
      <w:r>
        <w:rPr>
          <w:rStyle w:val="19"/>
          <w:rFonts w:hint="eastAsia" w:ascii="仿宋" w:eastAsia="仿宋"/>
          <w:b w:val="0"/>
          <w:bCs w:val="0"/>
          <w:color w:val="auto"/>
          <w:highlight w:val="none"/>
        </w:rPr>
        <w:t>有资本经营预算</w:t>
      </w:r>
      <w:r>
        <w:rPr>
          <w:rStyle w:val="19"/>
          <w:rFonts w:hint="eastAsia" w:ascii="仿宋" w:eastAsia="仿宋"/>
          <w:b w:val="0"/>
          <w:bCs w:val="0"/>
          <w:color w:val="auto"/>
          <w:highlight w:val="none"/>
          <w:lang w:eastAsia="zh-CN"/>
        </w:rPr>
        <w:t>财政拨款收入</w:t>
      </w:r>
      <w:r>
        <w:rPr>
          <w:rStyle w:val="19"/>
          <w:rFonts w:hint="eastAsia" w:ascii="仿宋" w:eastAsia="仿宋"/>
          <w:b w:val="0"/>
          <w:bCs w:val="0"/>
          <w:color w:val="auto"/>
          <w:highlight w:val="none"/>
        </w:rPr>
        <w:t>支出决算表</w:t>
      </w:r>
      <w:bookmarkEnd w:id="118"/>
    </w:p>
    <w:p>
      <w:pPr>
        <w:pStyle w:val="4"/>
        <w:rPr>
          <w:rFonts w:ascii="仿宋" w:eastAsia="仿宋"/>
          <w:color w:val="auto"/>
          <w:highlight w:val="none"/>
        </w:rPr>
      </w:pPr>
      <w:bookmarkStart w:id="119" w:name="_Toc15396630"/>
      <w:bookmarkStart w:id="120" w:name="_Toc11337"/>
      <w:r>
        <w:rPr>
          <w:rStyle w:val="19"/>
          <w:rFonts w:hint="eastAsia" w:ascii="仿宋" w:eastAsia="仿宋"/>
          <w:b w:val="0"/>
          <w:bCs w:val="0"/>
          <w:color w:val="auto"/>
          <w:highlight w:val="none"/>
        </w:rPr>
        <w:t>十二、</w:t>
      </w:r>
      <w:bookmarkEnd w:id="119"/>
      <w:r>
        <w:rPr>
          <w:rStyle w:val="19"/>
          <w:rFonts w:hint="eastAsia" w:ascii="仿宋" w:eastAsia="仿宋"/>
          <w:b w:val="0"/>
          <w:bCs w:val="0"/>
          <w:color w:val="auto"/>
          <w:highlight w:val="none"/>
          <w:lang w:eastAsia="zh-CN"/>
        </w:rPr>
        <w:t>国有资本经营预算财政拨款支出决算表</w:t>
      </w:r>
      <w:bookmarkEnd w:id="120"/>
    </w:p>
    <w:p>
      <w:pPr>
        <w:pStyle w:val="4"/>
        <w:rPr>
          <w:rFonts w:hint="eastAsia" w:eastAsia="仿宋"/>
          <w:color w:val="auto"/>
          <w:highlight w:val="none"/>
          <w:lang w:eastAsia="zh-CN"/>
        </w:rPr>
      </w:pPr>
      <w:bookmarkStart w:id="121" w:name="_Toc15396631"/>
      <w:bookmarkStart w:id="122" w:name="_Toc8250"/>
      <w:r>
        <w:rPr>
          <w:rStyle w:val="19"/>
          <w:rFonts w:hint="eastAsia" w:ascii="仿宋" w:eastAsia="仿宋"/>
          <w:b w:val="0"/>
          <w:bCs w:val="0"/>
          <w:color w:val="auto"/>
          <w:highlight w:val="none"/>
        </w:rPr>
        <w:t>十三、</w:t>
      </w:r>
      <w:bookmarkEnd w:id="121"/>
      <w:r>
        <w:rPr>
          <w:rStyle w:val="19"/>
          <w:rFonts w:hint="eastAsia" w:ascii="仿宋" w:eastAsia="仿宋"/>
          <w:b w:val="0"/>
          <w:bCs w:val="0"/>
          <w:color w:val="auto"/>
          <w:highlight w:val="none"/>
          <w:lang w:eastAsia="zh-CN"/>
        </w:rPr>
        <w:t>财政拨款“三公”经费支出决算表</w:t>
      </w:r>
      <w:bookmarkEnd w:id="122"/>
    </w:p>
    <w:sectPr>
      <w:footerReference r:id="rId9" w:type="default"/>
      <w:pgSz w:w="11906" w:h="16838"/>
      <w:pgMar w:top="1440" w:right="1994"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00000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2926240"/>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2926240"/>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pPr>
        <w:ind w:left="0" w:firstLine="0"/>
      </w:pPr>
      <w:rPr>
        <w:rFonts w:hint="eastAsia"/>
      </w:rPr>
    </w:lvl>
  </w:abstractNum>
  <w:abstractNum w:abstractNumId="1">
    <w:nsid w:val="E2FA047D"/>
    <w:multiLevelType w:val="singleLevel"/>
    <w:tmpl w:val="E2FA047D"/>
    <w:lvl w:ilvl="0" w:tentative="0">
      <w:start w:val="3"/>
      <w:numFmt w:val="chineseCounting"/>
      <w:suff w:val="space"/>
      <w:lvlText w:val="第%1部分"/>
      <w:lvlJc w:val="left"/>
      <w:pPr>
        <w:ind w:left="0" w:firstLine="0"/>
      </w:pPr>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pPr>
        <w:ind w:left="0" w:firstLine="0"/>
      </w:pPr>
      <w:rPr>
        <w:rFonts w:hint="eastAsia"/>
      </w:rPr>
    </w:lvl>
  </w:abstractNum>
  <w:abstractNum w:abstractNumId="4">
    <w:nsid w:val="59CB76F6"/>
    <w:multiLevelType w:val="singleLevel"/>
    <w:tmpl w:val="59CB76F6"/>
    <w:lvl w:ilvl="0" w:tentative="0">
      <w:start w:val="2"/>
      <w:numFmt w:val="decimal"/>
      <w:lvlText w:val="%1."/>
      <w:lvlJc w:val="left"/>
      <w:pPr>
        <w:tabs>
          <w:tab w:val="left" w:pos="312"/>
        </w:tabs>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ZTBiNzA2ZjIyZTQwZmFmZGMwZjhhNjI3NTM3OGRmYjAifQ=="/>
  </w:docVars>
  <w:rsids>
    <w:rsidRoot w:val="00000000"/>
    <w:rsid w:val="19E135CC"/>
    <w:rsid w:val="1FC97BCB"/>
    <w:rsid w:val="2A4165F6"/>
    <w:rsid w:val="34F2007E"/>
    <w:rsid w:val="4FDF16B2"/>
    <w:rsid w:val="589C31B7"/>
    <w:rsid w:val="5922093A"/>
    <w:rsid w:val="6B2D34E0"/>
    <w:rsid w:val="6DE82F0C"/>
    <w:rsid w:val="6F9475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link w:val="19"/>
    <w:qFormat/>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4">
    <w:name w:val="Default Paragraph Font"/>
    <w:qFormat/>
    <w:uiPriority w:val="0"/>
  </w:style>
  <w:style w:type="table" w:default="1" w:styleId="17">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before="30" w:beforeLines="30"/>
    </w:pPr>
    <w:rPr>
      <w:rFonts w:ascii="仿宋_GB2312" w:eastAsia="仿宋_GB2312"/>
      <w:kern w:val="0"/>
      <w:sz w:val="30"/>
    </w:rPr>
  </w:style>
  <w:style w:type="paragraph" w:styleId="6">
    <w:name w:val="Body Text Indent"/>
    <w:basedOn w:val="1"/>
    <w:next w:val="7"/>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outlineLvl w:val="9"/>
    </w:pPr>
    <w:rPr>
      <w:rFonts w:ascii="Times New Roman" w:hAnsi="Times New Roman" w:eastAsia="仿宋_GB2312" w:cs="宋体"/>
      <w:b/>
      <w:snapToGrid/>
      <w:color w:val="000000"/>
      <w:spacing w:val="0"/>
      <w:w w:val="100"/>
      <w:kern w:val="2"/>
      <w:position w:val="0"/>
      <w:sz w:val="32"/>
      <w:szCs w:val="24"/>
      <w:u w:val="none" w:color="auto"/>
      <w:vertAlign w:val="baseline"/>
      <w:lang w:val="en-US" w:eastAsia="zh-CN" w:bidi="ar-SA"/>
    </w:rPr>
  </w:style>
  <w:style w:type="paragraph" w:styleId="7">
    <w:name w:val="Body Text First Indent 2"/>
    <w:basedOn w:val="6"/>
    <w:next w:val="1"/>
    <w:qFormat/>
    <w:uiPriority w:val="0"/>
    <w:pPr>
      <w:ind w:firstLine="200" w:firstLineChars="200"/>
    </w:pPr>
  </w:style>
  <w:style w:type="paragraph" w:styleId="8">
    <w:name w:val="toc 3"/>
    <w:basedOn w:val="1"/>
    <w:next w:val="1"/>
    <w:qFormat/>
    <w:uiPriority w:val="0"/>
    <w:pPr>
      <w:tabs>
        <w:tab w:val="right" w:leader="dot" w:pos="8296"/>
      </w:tabs>
      <w:ind w:left="400" w:leftChars="400"/>
    </w:p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qFormat/>
    <w:uiPriority w:val="0"/>
    <w:pPr>
      <w:tabs>
        <w:tab w:val="right" w:leader="dot" w:pos="8296"/>
      </w:tabs>
      <w:spacing w:before="93"/>
      <w:jc w:val="center"/>
    </w:pPr>
    <w:rPr>
      <w:rFonts w:ascii="仿宋" w:eastAsia="仿宋"/>
      <w:sz w:val="28"/>
      <w:szCs w:val="28"/>
    </w:rPr>
  </w:style>
  <w:style w:type="paragraph" w:styleId="13">
    <w:name w:val="toc 2"/>
    <w:basedOn w:val="1"/>
    <w:next w:val="1"/>
    <w:qFormat/>
    <w:uiPriority w:val="0"/>
    <w:pPr>
      <w:tabs>
        <w:tab w:val="right" w:leader="dot" w:pos="8296"/>
      </w:tabs>
      <w:ind w:left="200" w:leftChars="200"/>
    </w:p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character" w:customStyle="1" w:styleId="18">
    <w:name w:val="heading 1 Char"/>
    <w:basedOn w:val="14"/>
    <w:link w:val="3"/>
    <w:qFormat/>
    <w:uiPriority w:val="0"/>
    <w:rPr>
      <w:rFonts w:ascii="Times New Roman" w:hAnsi="Times New Roman" w:eastAsia="宋体" w:cs="Times New Roman"/>
      <w:b/>
      <w:bCs/>
      <w:kern w:val="44"/>
      <w:sz w:val="44"/>
      <w:szCs w:val="44"/>
      <w:lang w:val="en-US" w:eastAsia="zh-CN" w:bidi="ar-SA"/>
    </w:rPr>
  </w:style>
  <w:style w:type="character" w:customStyle="1" w:styleId="19">
    <w:name w:val="heading 2 Char"/>
    <w:basedOn w:val="14"/>
    <w:link w:val="4"/>
    <w:qFormat/>
    <w:uiPriority w:val="0"/>
    <w:rPr>
      <w:rFonts w:ascii="Cambria" w:hAnsi="Cambria" w:eastAsia="宋体" w:cs="Times New Roman"/>
      <w:b/>
      <w:bCs/>
      <w:kern w:val="2"/>
      <w:sz w:val="32"/>
      <w:szCs w:val="32"/>
      <w:lang w:val="en-US" w:eastAsia="zh-CN" w:bidi="ar-SA"/>
    </w:rPr>
  </w:style>
  <w:style w:type="character" w:customStyle="1" w:styleId="20">
    <w:name w:val="Header Char"/>
    <w:basedOn w:val="14"/>
    <w:qFormat/>
    <w:uiPriority w:val="0"/>
    <w:rPr>
      <w:rFonts w:ascii="Times New Roman" w:hAnsi="Times New Roman"/>
      <w:sz w:val="18"/>
      <w:szCs w:val="18"/>
    </w:rPr>
  </w:style>
  <w:style w:type="character" w:customStyle="1" w:styleId="21">
    <w:name w:val="Footer Char"/>
    <w:basedOn w:val="14"/>
    <w:qFormat/>
    <w:uiPriority w:val="0"/>
    <w:rPr>
      <w:rFonts w:ascii="Times New Roman" w:hAnsi="Times New Roman"/>
      <w:sz w:val="18"/>
      <w:szCs w:val="18"/>
    </w:rPr>
  </w:style>
  <w:style w:type="character" w:customStyle="1" w:styleId="22">
    <w:name w:val="Body Text Char"/>
    <w:basedOn w:val="14"/>
    <w:qFormat/>
    <w:uiPriority w:val="0"/>
    <w:rPr>
      <w:rFonts w:ascii="Times New Roman" w:hAnsi="Times New Roman"/>
      <w:szCs w:val="24"/>
    </w:rPr>
  </w:style>
  <w:style w:type="paragraph" w:customStyle="1" w:styleId="23">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4">
    <w:name w:val="List Paragraph"/>
    <w:basedOn w:val="1"/>
    <w:qFormat/>
    <w:uiPriority w:val="0"/>
    <w:pPr>
      <w:ind w:firstLine="200" w:firstLineChars="200"/>
    </w:pPr>
  </w:style>
  <w:style w:type="paragraph" w:customStyle="1" w:styleId="25">
    <w:name w:val="TOC 标题1"/>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paragraph" w:customStyle="1" w:styleId="26">
    <w:name w:val="TOC Heading"/>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6.bmp"/><Relationship Id="rId15" Type="http://schemas.openxmlformats.org/officeDocument/2006/relationships/image" Target="media/image5.bmp"/><Relationship Id="rId14" Type="http://schemas.openxmlformats.org/officeDocument/2006/relationships/image" Target="media/image4.bmp"/><Relationship Id="rId13" Type="http://schemas.openxmlformats.org/officeDocument/2006/relationships/image" Target="media/image3.bmp"/><Relationship Id="rId12" Type="http://schemas.openxmlformats.org/officeDocument/2006/relationships/image" Target="media/image2.bmp"/><Relationship Id="rId11" Type="http://schemas.openxmlformats.org/officeDocument/2006/relationships/image" Target="media/image1.bmp"/><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四川省财政厅</Company>
  <Pages>19</Pages>
  <Words>5125</Words>
  <Characters>5692</Characters>
  <Lines>0</Lines>
  <Paragraphs>189</Paragraphs>
  <TotalTime>2</TotalTime>
  <ScaleCrop>false</ScaleCrop>
  <LinksUpToDate>false</LinksUpToDate>
  <CharactersWithSpaces>5935</CharactersWithSpaces>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魏连春</cp:lastModifiedBy>
  <cp:lastPrinted>2023-07-31T02:35:00Z</cp:lastPrinted>
  <dcterms:modified xsi:type="dcterms:W3CDTF">2023-09-28T07:34:06Z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418F7A5E08CC40FAB5C0D71647DCDCC9_13</vt:lpwstr>
  </property>
</Properties>
</file>