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0" w:name="_Toc15377193"/>
      <w:bookmarkStart w:id="1" w:name="_Toc15377425"/>
      <w:bookmarkStart w:id="2" w:name="_Toc15396475"/>
      <w:bookmarkStart w:id="3" w:name="_Toc15396597"/>
      <w:bookmarkStart w:id="4" w:name="_Toc15378441"/>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4971"/>
      <w:bookmarkStart w:id="7" w:name="_Toc8220"/>
      <w:bookmarkStart w:id="8" w:name="_Toc27554"/>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bookmarkEnd w:id="7"/>
      <w:bookmarkEnd w:id="8"/>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9" w:name="_Toc4475"/>
      <w:bookmarkStart w:id="10" w:name="_Toc15378442"/>
      <w:bookmarkStart w:id="11" w:name="_Toc15377194"/>
      <w:bookmarkStart w:id="12" w:name="_Toc20889"/>
      <w:bookmarkStart w:id="13" w:name="_Toc15396598"/>
      <w:bookmarkStart w:id="14" w:name="_Toc15396476"/>
      <w:bookmarkStart w:id="15" w:name="_Toc15377426"/>
      <w:bookmarkStart w:id="16" w:name="_Toc17647"/>
      <w:r>
        <w:rPr>
          <w:rFonts w:hint="eastAsia" w:ascii="方正小标宋简体" w:hAnsi="方正小标宋简体" w:eastAsia="方正小标宋简体" w:cs="方正小标宋简体"/>
          <w:color w:val="auto"/>
          <w:sz w:val="72"/>
          <w:szCs w:val="72"/>
          <w:highlight w:val="none"/>
        </w:rPr>
        <w:t>四川省</w:t>
      </w:r>
      <w:bookmarkEnd w:id="5"/>
      <w:bookmarkStart w:id="17" w:name="_Toc15306268"/>
      <w:r>
        <w:rPr>
          <w:rFonts w:hint="eastAsia" w:ascii="方正小标宋简体" w:hAnsi="方正小标宋简体" w:eastAsia="方正小标宋简体" w:cs="方正小标宋简体"/>
          <w:color w:val="auto"/>
          <w:sz w:val="72"/>
          <w:szCs w:val="72"/>
          <w:highlight w:val="none"/>
          <w:lang w:eastAsia="zh-CN"/>
        </w:rPr>
        <w:t>广元市昭化区疾病预防控制中心单位</w:t>
      </w:r>
      <w:r>
        <w:rPr>
          <w:rFonts w:hint="eastAsia" w:ascii="方正小标宋简体" w:hAnsi="方正小标宋简体" w:eastAsia="方正小标宋简体" w:cs="方正小标宋简体"/>
          <w:color w:val="auto"/>
          <w:sz w:val="72"/>
          <w:szCs w:val="72"/>
          <w:highlight w:val="none"/>
        </w:rPr>
        <w:t>决算</w:t>
      </w:r>
      <w:bookmarkEnd w:id="9"/>
      <w:bookmarkEnd w:id="10"/>
      <w:bookmarkEnd w:id="11"/>
      <w:bookmarkEnd w:id="12"/>
      <w:bookmarkEnd w:id="13"/>
      <w:bookmarkEnd w:id="14"/>
      <w:bookmarkEnd w:id="15"/>
      <w:bookmarkEnd w:id="16"/>
      <w:bookmarkEnd w:id="17"/>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stheme="minorBidi"/>
          <w:color w:val="auto"/>
          <w:sz w:val="28"/>
          <w:szCs w:val="28"/>
          <w:highlight w:val="none"/>
        </w:rPr>
      </w:pPr>
      <w:r>
        <w:rPr>
          <w:rFonts w:hint="eastAsia" w:ascii="黑体" w:hAnsi="黑体" w:eastAsia="黑体"/>
          <w:color w:val="auto"/>
          <w:sz w:val="48"/>
          <w:szCs w:val="48"/>
          <w:highlight w:val="none"/>
        </w:rPr>
        <w:t>目录</w:t>
      </w:r>
    </w:p>
    <w:p>
      <w:pPr>
        <w:pStyle w:val="13"/>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26</w:t>
      </w:r>
      <w:r>
        <w:rPr>
          <w:rFonts w:hint="eastAsia"/>
          <w:color w:val="auto"/>
          <w:highlight w:val="none"/>
        </w:rPr>
        <w:t>日</w:t>
      </w:r>
      <w:bookmarkStart w:id="143" w:name="_GoBack"/>
      <w:bookmarkEnd w:id="143"/>
    </w:p>
    <w:sdt>
      <w:sdtPr>
        <w:rPr>
          <w:rFonts w:ascii="宋体" w:hAnsi="宋体" w:eastAsia="宋体" w:cs="Times New Roman"/>
          <w:kern w:val="2"/>
          <w:sz w:val="21"/>
          <w:szCs w:val="24"/>
          <w:lang w:val="en-US" w:eastAsia="zh-CN" w:bidi="ar-SA"/>
        </w:rPr>
        <w:id w:val="147453774"/>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eastAsia="宋体" w:cs="Times New Roman"/>
              <w:kern w:val="2"/>
              <w:sz w:val="21"/>
              <w:szCs w:val="24"/>
              <w:lang w:val="en-US" w:eastAsia="zh-CN" w:bidi="ar-SA"/>
            </w:rPr>
          </w:pPr>
          <w:r>
            <w:fldChar w:fldCharType="begin"/>
          </w:r>
          <w:r>
            <w:instrText xml:space="preserve">TOC \o "1-3" \h \u </w:instrText>
          </w:r>
          <w:r>
            <w:fldChar w:fldCharType="separate"/>
          </w:r>
        </w:p>
        <w:p>
          <w:pPr>
            <w:pStyle w:val="13"/>
            <w:tabs>
              <w:tab w:val="right" w:leader="dot" w:pos="8306"/>
              <w:tab w:val="clear" w:pos="8296"/>
            </w:tabs>
          </w:pPr>
          <w:r>
            <w:rPr>
              <w:rFonts w:ascii="Times New Roman" w:hAnsi="Times New Roman" w:eastAsia="宋体" w:cs="Times New Roman"/>
              <w:b/>
              <w:bCs/>
              <w:sz w:val="24"/>
              <w:szCs w:val="24"/>
              <w:lang w:val="en-US" w:eastAsia="zh-CN" w:bidi="ar-SA"/>
            </w:rPr>
            <w:fldChar w:fldCharType="begin"/>
          </w:r>
          <w:r>
            <w:rPr>
              <w:rFonts w:ascii="Times New Roman" w:hAnsi="Times New Roman" w:eastAsia="宋体" w:cs="Times New Roman"/>
              <w:b/>
              <w:bCs/>
              <w:sz w:val="24"/>
              <w:szCs w:val="24"/>
              <w:lang w:val="en-US" w:eastAsia="zh-CN" w:bidi="ar-SA"/>
            </w:rPr>
            <w:instrText xml:space="preserve"> HYPERLINK \l _Toc27581 </w:instrText>
          </w:r>
          <w:r>
            <w:rPr>
              <w:rFonts w:ascii="Times New Roman" w:hAnsi="Times New Roman" w:eastAsia="宋体" w:cs="Times New Roman"/>
              <w:b/>
              <w:bCs/>
              <w:sz w:val="24"/>
              <w:szCs w:val="24"/>
              <w:lang w:val="en-US" w:eastAsia="zh-CN" w:bidi="ar-SA"/>
            </w:rPr>
            <w:fldChar w:fldCharType="separate"/>
          </w:r>
          <w:r>
            <w:rPr>
              <w:rFonts w:hint="eastAsia" w:ascii="Times New Roman" w:hAnsi="Times New Roman" w:eastAsia="宋体" w:cs="Times New Roman"/>
              <w:b/>
              <w:bCs/>
              <w:sz w:val="24"/>
              <w:szCs w:val="24"/>
              <w:lang w:val="en-US" w:eastAsia="zh-CN" w:bidi="ar-SA"/>
            </w:rPr>
            <w:t>第一部分 单位概况</w:t>
          </w:r>
          <w:r>
            <w:rPr>
              <w:rFonts w:ascii="Times New Roman" w:hAnsi="Times New Roman" w:eastAsia="宋体" w:cs="Times New Roman"/>
              <w:b/>
              <w:bCs/>
              <w:sz w:val="24"/>
              <w:szCs w:val="24"/>
              <w:lang w:val="en-US" w:eastAsia="zh-CN" w:bidi="ar-SA"/>
            </w:rPr>
            <w:tab/>
          </w:r>
          <w:r>
            <w:rPr>
              <w:rFonts w:ascii="Times New Roman" w:hAnsi="Times New Roman" w:eastAsia="宋体" w:cs="Times New Roman"/>
              <w:b/>
              <w:bCs/>
              <w:sz w:val="24"/>
              <w:szCs w:val="24"/>
              <w:lang w:val="en-US" w:eastAsia="zh-CN" w:bidi="ar-SA"/>
            </w:rPr>
            <w:fldChar w:fldCharType="begin"/>
          </w:r>
          <w:r>
            <w:rPr>
              <w:rFonts w:ascii="Times New Roman" w:hAnsi="Times New Roman" w:eastAsia="宋体" w:cs="Times New Roman"/>
              <w:b/>
              <w:bCs/>
              <w:sz w:val="24"/>
              <w:szCs w:val="24"/>
              <w:lang w:val="en-US" w:eastAsia="zh-CN" w:bidi="ar-SA"/>
            </w:rPr>
            <w:instrText xml:space="preserve"> PAGEREF _Toc27581 \h </w:instrText>
          </w:r>
          <w:r>
            <w:rPr>
              <w:rFonts w:ascii="Times New Roman" w:hAnsi="Times New Roman" w:eastAsia="宋体" w:cs="Times New Roman"/>
              <w:b/>
              <w:bCs/>
              <w:sz w:val="24"/>
              <w:szCs w:val="24"/>
              <w:lang w:val="en-US" w:eastAsia="zh-CN" w:bidi="ar-SA"/>
            </w:rPr>
            <w:fldChar w:fldCharType="separate"/>
          </w:r>
          <w:r>
            <w:rPr>
              <w:rFonts w:ascii="Times New Roman" w:hAnsi="Times New Roman" w:eastAsia="宋体" w:cs="Times New Roman"/>
              <w:b/>
              <w:bCs/>
              <w:sz w:val="24"/>
              <w:szCs w:val="24"/>
              <w:lang w:val="en-US" w:eastAsia="zh-CN" w:bidi="ar-SA"/>
            </w:rPr>
            <w:t>3</w:t>
          </w:r>
          <w:r>
            <w:rPr>
              <w:rFonts w:ascii="Times New Roman" w:hAnsi="Times New Roman" w:eastAsia="宋体" w:cs="Times New Roman"/>
              <w:b/>
              <w:bCs/>
              <w:sz w:val="24"/>
              <w:szCs w:val="24"/>
              <w:lang w:val="en-US" w:eastAsia="zh-CN" w:bidi="ar-SA"/>
            </w:rPr>
            <w:fldChar w:fldCharType="end"/>
          </w:r>
          <w:r>
            <w:rPr>
              <w:rFonts w:ascii="Times New Roman" w:hAnsi="Times New Roman" w:eastAsia="宋体" w:cs="Times New Roman"/>
              <w:b/>
              <w:bCs/>
              <w:sz w:val="24"/>
              <w:szCs w:val="24"/>
              <w:lang w:val="en-US" w:eastAsia="zh-CN" w:bidi="ar-SA"/>
            </w:rPr>
            <w:fldChar w:fldCharType="end"/>
          </w:r>
        </w:p>
        <w:p>
          <w:pPr>
            <w:pStyle w:val="42"/>
            <w:tabs>
              <w:tab w:val="right" w:leader="dot" w:pos="8306"/>
            </w:tabs>
            <w:spacing w:line="440" w:lineRule="exact"/>
            <w:ind w:left="420"/>
            <w:rPr>
              <w:sz w:val="24"/>
              <w:szCs w:val="24"/>
            </w:rPr>
          </w:pPr>
          <w:r>
            <w:rPr>
              <w:sz w:val="24"/>
              <w:szCs w:val="24"/>
            </w:rPr>
            <w:fldChar w:fldCharType="begin"/>
          </w:r>
          <w:r>
            <w:rPr>
              <w:sz w:val="24"/>
              <w:szCs w:val="24"/>
            </w:rPr>
            <w:instrText xml:space="preserve"> HYPERLINK \l _Toc13626 </w:instrText>
          </w:r>
          <w:r>
            <w:rPr>
              <w:sz w:val="24"/>
              <w:szCs w:val="24"/>
            </w:rPr>
            <w:fldChar w:fldCharType="separate"/>
          </w:r>
          <w:r>
            <w:rPr>
              <w:rFonts w:hint="eastAsia"/>
              <w:sz w:val="24"/>
              <w:szCs w:val="24"/>
              <w:lang w:eastAsia="zh-CN"/>
            </w:rPr>
            <w:t>一、主要职责</w:t>
          </w:r>
          <w:r>
            <w:rPr>
              <w:sz w:val="24"/>
              <w:szCs w:val="24"/>
            </w:rPr>
            <w:tab/>
          </w:r>
          <w:r>
            <w:rPr>
              <w:sz w:val="24"/>
              <w:szCs w:val="24"/>
            </w:rPr>
            <w:fldChar w:fldCharType="begin"/>
          </w:r>
          <w:r>
            <w:rPr>
              <w:sz w:val="24"/>
              <w:szCs w:val="24"/>
            </w:rPr>
            <w:instrText xml:space="preserve"> PAGEREF _Toc13626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42"/>
            <w:tabs>
              <w:tab w:val="right" w:leader="dot" w:pos="8306"/>
            </w:tabs>
            <w:spacing w:line="440" w:lineRule="exact"/>
            <w:ind w:left="420"/>
            <w:rPr>
              <w:sz w:val="24"/>
              <w:szCs w:val="24"/>
            </w:rPr>
          </w:pPr>
          <w:r>
            <w:rPr>
              <w:sz w:val="24"/>
              <w:szCs w:val="24"/>
            </w:rPr>
            <w:fldChar w:fldCharType="begin"/>
          </w:r>
          <w:r>
            <w:rPr>
              <w:sz w:val="24"/>
              <w:szCs w:val="24"/>
            </w:rPr>
            <w:instrText xml:space="preserve"> HYPERLINK \l _Toc3895 </w:instrText>
          </w:r>
          <w:r>
            <w:rPr>
              <w:sz w:val="24"/>
              <w:szCs w:val="24"/>
            </w:rPr>
            <w:fldChar w:fldCharType="separate"/>
          </w:r>
          <w:r>
            <w:rPr>
              <w:rFonts w:hint="eastAsia"/>
              <w:sz w:val="24"/>
              <w:szCs w:val="24"/>
            </w:rPr>
            <w:t>二、机构设置</w:t>
          </w:r>
          <w:r>
            <w:rPr>
              <w:sz w:val="24"/>
              <w:szCs w:val="24"/>
            </w:rPr>
            <w:tab/>
          </w:r>
          <w:r>
            <w:rPr>
              <w:sz w:val="24"/>
              <w:szCs w:val="24"/>
            </w:rPr>
            <w:fldChar w:fldCharType="begin"/>
          </w:r>
          <w:r>
            <w:rPr>
              <w:sz w:val="24"/>
              <w:szCs w:val="24"/>
            </w:rPr>
            <w:instrText xml:space="preserve"> PAGEREF _Toc3895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3"/>
            <w:tabs>
              <w:tab w:val="right" w:leader="dot" w:pos="8306"/>
              <w:tab w:val="clear" w:pos="8296"/>
            </w:tabs>
            <w:rPr>
              <w:rFonts w:ascii="Times New Roman" w:hAnsi="Times New Roman" w:eastAsia="宋体" w:cs="Times New Roman"/>
              <w:b/>
              <w:bCs/>
              <w:sz w:val="24"/>
              <w:szCs w:val="24"/>
              <w:lang w:val="en-US" w:eastAsia="zh-CN" w:bidi="ar-SA"/>
            </w:rPr>
          </w:pPr>
          <w:r>
            <w:rPr>
              <w:rFonts w:ascii="Times New Roman" w:hAnsi="Times New Roman" w:eastAsia="宋体" w:cs="Times New Roman"/>
              <w:b/>
              <w:bCs/>
              <w:sz w:val="24"/>
              <w:szCs w:val="24"/>
              <w:lang w:val="en-US" w:eastAsia="zh-CN" w:bidi="ar-SA"/>
            </w:rPr>
            <w:fldChar w:fldCharType="begin"/>
          </w:r>
          <w:r>
            <w:rPr>
              <w:rFonts w:ascii="Times New Roman" w:hAnsi="Times New Roman" w:eastAsia="宋体" w:cs="Times New Roman"/>
              <w:b/>
              <w:bCs/>
              <w:sz w:val="24"/>
              <w:szCs w:val="24"/>
              <w:lang w:val="en-US" w:eastAsia="zh-CN" w:bidi="ar-SA"/>
            </w:rPr>
            <w:instrText xml:space="preserve"> HYPERLINK \l _Toc9047 </w:instrText>
          </w:r>
          <w:r>
            <w:rPr>
              <w:rFonts w:ascii="Times New Roman" w:hAnsi="Times New Roman" w:eastAsia="宋体" w:cs="Times New Roman"/>
              <w:b/>
              <w:bCs/>
              <w:sz w:val="24"/>
              <w:szCs w:val="24"/>
              <w:lang w:val="en-US" w:eastAsia="zh-CN" w:bidi="ar-SA"/>
            </w:rPr>
            <w:fldChar w:fldCharType="separate"/>
          </w:r>
          <w:r>
            <w:rPr>
              <w:rFonts w:hint="eastAsia" w:ascii="Times New Roman" w:hAnsi="Times New Roman" w:eastAsia="宋体" w:cs="Times New Roman"/>
              <w:b/>
              <w:bCs/>
              <w:sz w:val="24"/>
              <w:szCs w:val="24"/>
              <w:lang w:val="en-US" w:eastAsia="zh-CN" w:bidi="ar-SA"/>
            </w:rPr>
            <w:t>第二部分 2022年度单位决算情况说明</w:t>
          </w:r>
          <w:r>
            <w:rPr>
              <w:rFonts w:ascii="Times New Roman" w:hAnsi="Times New Roman" w:eastAsia="宋体" w:cs="Times New Roman"/>
              <w:b/>
              <w:bCs/>
              <w:sz w:val="24"/>
              <w:szCs w:val="24"/>
              <w:lang w:val="en-US" w:eastAsia="zh-CN" w:bidi="ar-SA"/>
            </w:rPr>
            <w:tab/>
          </w:r>
          <w:r>
            <w:rPr>
              <w:rFonts w:ascii="Times New Roman" w:hAnsi="Times New Roman" w:eastAsia="宋体" w:cs="Times New Roman"/>
              <w:b/>
              <w:bCs/>
              <w:sz w:val="24"/>
              <w:szCs w:val="24"/>
              <w:lang w:val="en-US" w:eastAsia="zh-CN" w:bidi="ar-SA"/>
            </w:rPr>
            <w:fldChar w:fldCharType="begin"/>
          </w:r>
          <w:r>
            <w:rPr>
              <w:rFonts w:ascii="Times New Roman" w:hAnsi="Times New Roman" w:eastAsia="宋体" w:cs="Times New Roman"/>
              <w:b/>
              <w:bCs/>
              <w:sz w:val="24"/>
              <w:szCs w:val="24"/>
              <w:lang w:val="en-US" w:eastAsia="zh-CN" w:bidi="ar-SA"/>
            </w:rPr>
            <w:instrText xml:space="preserve"> PAGEREF _Toc9047 \h </w:instrText>
          </w:r>
          <w:r>
            <w:rPr>
              <w:rFonts w:ascii="Times New Roman" w:hAnsi="Times New Roman" w:eastAsia="宋体" w:cs="Times New Roman"/>
              <w:b/>
              <w:bCs/>
              <w:sz w:val="24"/>
              <w:szCs w:val="24"/>
              <w:lang w:val="en-US" w:eastAsia="zh-CN" w:bidi="ar-SA"/>
            </w:rPr>
            <w:fldChar w:fldCharType="separate"/>
          </w:r>
          <w:r>
            <w:rPr>
              <w:rFonts w:ascii="Times New Roman" w:hAnsi="Times New Roman" w:eastAsia="宋体" w:cs="Times New Roman"/>
              <w:b/>
              <w:bCs/>
              <w:sz w:val="24"/>
              <w:szCs w:val="24"/>
              <w:lang w:val="en-US" w:eastAsia="zh-CN" w:bidi="ar-SA"/>
            </w:rPr>
            <w:t>4</w:t>
          </w:r>
          <w:r>
            <w:rPr>
              <w:rFonts w:ascii="Times New Roman" w:hAnsi="Times New Roman" w:eastAsia="宋体" w:cs="Times New Roman"/>
              <w:b/>
              <w:bCs/>
              <w:sz w:val="24"/>
              <w:szCs w:val="24"/>
              <w:lang w:val="en-US" w:eastAsia="zh-CN" w:bidi="ar-SA"/>
            </w:rPr>
            <w:fldChar w:fldCharType="end"/>
          </w:r>
          <w:r>
            <w:rPr>
              <w:rFonts w:ascii="Times New Roman" w:hAnsi="Times New Roman" w:eastAsia="宋体" w:cs="Times New Roman"/>
              <w:b/>
              <w:bCs/>
              <w:sz w:val="24"/>
              <w:szCs w:val="24"/>
              <w:lang w:val="en-US" w:eastAsia="zh-CN" w:bidi="ar-SA"/>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_Toc28767 </w:instrText>
          </w:r>
          <w:r>
            <w:rPr>
              <w:rFonts w:ascii="Times New Roman" w:hAnsi="Times New Roman" w:cs="Times New Roman"/>
              <w:sz w:val="24"/>
              <w:szCs w:val="24"/>
            </w:rPr>
            <w:fldChar w:fldCharType="separate"/>
          </w:r>
          <w:r>
            <w:rPr>
              <w:rFonts w:hint="default" w:ascii="Times New Roman" w:hAnsi="Times New Roman" w:cs="Times New Roman"/>
              <w:sz w:val="24"/>
              <w:szCs w:val="24"/>
            </w:rPr>
            <w:t>一、</w:t>
          </w:r>
          <w:r>
            <w:rPr>
              <w:rFonts w:hint="eastAsia" w:ascii="Times New Roman" w:hAnsi="Times New Roman" w:cs="Times New Roman"/>
              <w:sz w:val="24"/>
              <w:szCs w:val="24"/>
            </w:rPr>
            <w:t>收入支出决算总体情况说明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_Toc28767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_Toc24065 </w:instrText>
          </w:r>
          <w:r>
            <w:rPr>
              <w:rFonts w:ascii="Times New Roman" w:hAnsi="Times New Roman" w:cs="Times New Roman"/>
              <w:sz w:val="24"/>
              <w:szCs w:val="24"/>
            </w:rPr>
            <w:fldChar w:fldCharType="separate"/>
          </w:r>
          <w:r>
            <w:rPr>
              <w:rFonts w:hint="default" w:ascii="Times New Roman" w:hAnsi="Times New Roman" w:cs="Times New Roman"/>
              <w:sz w:val="24"/>
              <w:szCs w:val="24"/>
            </w:rPr>
            <w:t>二、</w:t>
          </w:r>
          <w:r>
            <w:rPr>
              <w:rFonts w:hint="eastAsia" w:ascii="Times New Roman" w:hAnsi="Times New Roman" w:cs="Times New Roman"/>
              <w:sz w:val="24"/>
              <w:szCs w:val="24"/>
            </w:rPr>
            <w:t>收入决算情况说明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_Toc24065 \h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_Toc15659 </w:instrText>
          </w:r>
          <w:r>
            <w:rPr>
              <w:rFonts w:ascii="Times New Roman" w:hAnsi="Times New Roman" w:cs="Times New Roman"/>
              <w:sz w:val="24"/>
              <w:szCs w:val="24"/>
            </w:rPr>
            <w:fldChar w:fldCharType="separate"/>
          </w:r>
          <w:r>
            <w:rPr>
              <w:rFonts w:hint="default" w:ascii="Times New Roman" w:hAnsi="Times New Roman" w:cs="Times New Roman"/>
              <w:sz w:val="24"/>
              <w:szCs w:val="24"/>
            </w:rPr>
            <w:t>三、</w:t>
          </w:r>
          <w:r>
            <w:rPr>
              <w:rFonts w:hint="eastAsia" w:ascii="Times New Roman" w:hAnsi="Times New Roman" w:cs="Times New Roman"/>
              <w:sz w:val="24"/>
              <w:szCs w:val="24"/>
            </w:rPr>
            <w:t>支出决算情况说明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_Toc15659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_Toc10477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四、财政拨款收入支出决算总体情况说明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_Toc10477 \h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_Toc12932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五、一般公共预算财政拨款支出决算情况说明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_Toc12932 \h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_Toc13351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六、一般公共预算财政拨款基本支出决算情况说明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_Toc13351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_Toc6496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七、财政拨款“三公”经费支出决算情况说明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_Toc6496 \h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_Toc15210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八、政府性基金预算支出决算情况说明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_Toc15210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_Toc23016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九、国有资本经营预算支出决算情况说明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_Toc23016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_Toc25887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十、其他重要事项的情况说明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_Toc25887 \h </w:instrText>
          </w:r>
          <w:r>
            <w:rPr>
              <w:rFonts w:ascii="Times New Roman" w:hAnsi="Times New Roman" w:cs="Times New Roman"/>
              <w:sz w:val="24"/>
              <w:szCs w:val="24"/>
            </w:rPr>
            <w:fldChar w:fldCharType="separate"/>
          </w:r>
          <w:r>
            <w:rPr>
              <w:rFonts w:ascii="Times New Roman" w:hAnsi="Times New Roman" w:cs="Times New Roman"/>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9"/>
            <w:tabs>
              <w:tab w:val="right" w:leader="dot" w:pos="8306"/>
              <w:tab w:val="clear" w:pos="8296"/>
            </w:tabs>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fldChar w:fldCharType="begin"/>
          </w:r>
          <w:r>
            <w:rPr>
              <w:rFonts w:hint="eastAsia" w:ascii="Times New Roman" w:hAnsi="Times New Roman" w:eastAsia="宋体" w:cs="Times New Roman"/>
              <w:sz w:val="24"/>
              <w:szCs w:val="24"/>
              <w:lang w:val="en-US" w:eastAsia="zh-CN" w:bidi="ar-SA"/>
            </w:rPr>
            <w:instrText xml:space="preserve"> HYPERLINK \l _Toc6297 </w:instrText>
          </w:r>
          <w:r>
            <w:rPr>
              <w:rFonts w:hint="eastAsia" w:ascii="Times New Roman" w:hAnsi="Times New Roman" w:eastAsia="宋体" w:cs="Times New Roman"/>
              <w:sz w:val="24"/>
              <w:szCs w:val="24"/>
              <w:lang w:val="en-US" w:eastAsia="zh-CN" w:bidi="ar-SA"/>
            </w:rPr>
            <w:fldChar w:fldCharType="separate"/>
          </w:r>
          <w:r>
            <w:rPr>
              <w:rFonts w:hint="eastAsia" w:ascii="Times New Roman" w:hAnsi="Times New Roman" w:eastAsia="宋体" w:cs="Times New Roman"/>
              <w:sz w:val="24"/>
              <w:szCs w:val="24"/>
              <w:lang w:val="en-US" w:eastAsia="zh-CN" w:bidi="ar-SA"/>
            </w:rPr>
            <w:t>（一）机关运行经费支出情况</w:t>
          </w:r>
          <w:r>
            <w:rPr>
              <w:rFonts w:hint="eastAsia" w:ascii="Times New Roman" w:hAnsi="Times New Roman" w:eastAsia="宋体" w:cs="Times New Roman"/>
              <w:sz w:val="24"/>
              <w:szCs w:val="24"/>
              <w:lang w:val="en-US" w:eastAsia="zh-CN" w:bidi="ar-SA"/>
            </w:rPr>
            <w:tab/>
          </w:r>
          <w:r>
            <w:rPr>
              <w:rFonts w:hint="eastAsia" w:ascii="Times New Roman" w:hAnsi="Times New Roman" w:eastAsia="宋体" w:cs="Times New Roman"/>
              <w:sz w:val="24"/>
              <w:szCs w:val="24"/>
              <w:lang w:val="en-US" w:eastAsia="zh-CN" w:bidi="ar-SA"/>
            </w:rPr>
            <w:fldChar w:fldCharType="begin"/>
          </w:r>
          <w:r>
            <w:rPr>
              <w:rFonts w:hint="eastAsia" w:ascii="Times New Roman" w:hAnsi="Times New Roman" w:eastAsia="宋体" w:cs="Times New Roman"/>
              <w:sz w:val="24"/>
              <w:szCs w:val="24"/>
              <w:lang w:val="en-US" w:eastAsia="zh-CN" w:bidi="ar-SA"/>
            </w:rPr>
            <w:instrText xml:space="preserve"> PAGEREF _Toc6297 \h </w:instrText>
          </w:r>
          <w:r>
            <w:rPr>
              <w:rFonts w:hint="eastAsia" w:ascii="Times New Roman" w:hAnsi="Times New Roman" w:eastAsia="宋体" w:cs="Times New Roman"/>
              <w:sz w:val="24"/>
              <w:szCs w:val="24"/>
              <w:lang w:val="en-US" w:eastAsia="zh-CN" w:bidi="ar-SA"/>
            </w:rPr>
            <w:fldChar w:fldCharType="separate"/>
          </w:r>
          <w:r>
            <w:rPr>
              <w:rFonts w:hint="eastAsia" w:ascii="Times New Roman" w:hAnsi="Times New Roman" w:eastAsia="宋体" w:cs="Times New Roman"/>
              <w:sz w:val="24"/>
              <w:szCs w:val="24"/>
              <w:lang w:val="en-US" w:eastAsia="zh-CN" w:bidi="ar-SA"/>
            </w:rPr>
            <w:t>10</w:t>
          </w:r>
          <w:r>
            <w:rPr>
              <w:rFonts w:hint="eastAsia" w:ascii="Times New Roman" w:hAnsi="Times New Roman" w:eastAsia="宋体" w:cs="Times New Roman"/>
              <w:sz w:val="24"/>
              <w:szCs w:val="24"/>
              <w:lang w:val="en-US" w:eastAsia="zh-CN" w:bidi="ar-SA"/>
            </w:rPr>
            <w:fldChar w:fldCharType="end"/>
          </w:r>
          <w:r>
            <w:rPr>
              <w:rFonts w:hint="eastAsia" w:ascii="Times New Roman" w:hAnsi="Times New Roman" w:eastAsia="宋体" w:cs="Times New Roman"/>
              <w:sz w:val="24"/>
              <w:szCs w:val="24"/>
              <w:lang w:val="en-US" w:eastAsia="zh-CN" w:bidi="ar-SA"/>
            </w:rPr>
            <w:fldChar w:fldCharType="end"/>
          </w:r>
        </w:p>
        <w:p>
          <w:pPr>
            <w:pStyle w:val="9"/>
            <w:tabs>
              <w:tab w:val="right" w:leader="dot" w:pos="8306"/>
              <w:tab w:val="clear" w:pos="8296"/>
            </w:tabs>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fldChar w:fldCharType="begin"/>
          </w:r>
          <w:r>
            <w:rPr>
              <w:rFonts w:hint="eastAsia" w:ascii="Times New Roman" w:hAnsi="Times New Roman" w:eastAsia="宋体" w:cs="Times New Roman"/>
              <w:sz w:val="24"/>
              <w:szCs w:val="24"/>
              <w:lang w:val="en-US" w:eastAsia="zh-CN" w:bidi="ar-SA"/>
            </w:rPr>
            <w:instrText xml:space="preserve"> HYPERLINK \l _Toc9022 </w:instrText>
          </w:r>
          <w:r>
            <w:rPr>
              <w:rFonts w:hint="eastAsia" w:ascii="Times New Roman" w:hAnsi="Times New Roman" w:eastAsia="宋体" w:cs="Times New Roman"/>
              <w:sz w:val="24"/>
              <w:szCs w:val="24"/>
              <w:lang w:val="en-US" w:eastAsia="zh-CN" w:bidi="ar-SA"/>
            </w:rPr>
            <w:fldChar w:fldCharType="separate"/>
          </w:r>
          <w:r>
            <w:rPr>
              <w:rFonts w:hint="eastAsia" w:ascii="Times New Roman" w:hAnsi="Times New Roman" w:eastAsia="宋体" w:cs="Times New Roman"/>
              <w:sz w:val="24"/>
              <w:szCs w:val="24"/>
              <w:lang w:val="en-US" w:eastAsia="zh-CN" w:bidi="ar-SA"/>
            </w:rPr>
            <w:t>（二）政府采购支出情况</w:t>
          </w:r>
          <w:r>
            <w:rPr>
              <w:rFonts w:hint="eastAsia" w:ascii="Times New Roman" w:hAnsi="Times New Roman" w:eastAsia="宋体" w:cs="Times New Roman"/>
              <w:sz w:val="24"/>
              <w:szCs w:val="24"/>
              <w:lang w:val="en-US" w:eastAsia="zh-CN" w:bidi="ar-SA"/>
            </w:rPr>
            <w:tab/>
          </w:r>
          <w:r>
            <w:rPr>
              <w:rFonts w:hint="eastAsia" w:ascii="Times New Roman" w:hAnsi="Times New Roman" w:eastAsia="宋体" w:cs="Times New Roman"/>
              <w:sz w:val="24"/>
              <w:szCs w:val="24"/>
              <w:lang w:val="en-US" w:eastAsia="zh-CN" w:bidi="ar-SA"/>
            </w:rPr>
            <w:fldChar w:fldCharType="begin"/>
          </w:r>
          <w:r>
            <w:rPr>
              <w:rFonts w:hint="eastAsia" w:ascii="Times New Roman" w:hAnsi="Times New Roman" w:eastAsia="宋体" w:cs="Times New Roman"/>
              <w:sz w:val="24"/>
              <w:szCs w:val="24"/>
              <w:lang w:val="en-US" w:eastAsia="zh-CN" w:bidi="ar-SA"/>
            </w:rPr>
            <w:instrText xml:space="preserve"> PAGEREF _Toc9022 \h </w:instrText>
          </w:r>
          <w:r>
            <w:rPr>
              <w:rFonts w:hint="eastAsia" w:ascii="Times New Roman" w:hAnsi="Times New Roman" w:eastAsia="宋体" w:cs="Times New Roman"/>
              <w:sz w:val="24"/>
              <w:szCs w:val="24"/>
              <w:lang w:val="en-US" w:eastAsia="zh-CN" w:bidi="ar-SA"/>
            </w:rPr>
            <w:fldChar w:fldCharType="separate"/>
          </w:r>
          <w:r>
            <w:rPr>
              <w:rFonts w:hint="eastAsia" w:ascii="Times New Roman" w:hAnsi="Times New Roman" w:eastAsia="宋体" w:cs="Times New Roman"/>
              <w:sz w:val="24"/>
              <w:szCs w:val="24"/>
              <w:lang w:val="en-US" w:eastAsia="zh-CN" w:bidi="ar-SA"/>
            </w:rPr>
            <w:t>10</w:t>
          </w:r>
          <w:r>
            <w:rPr>
              <w:rFonts w:hint="eastAsia" w:ascii="Times New Roman" w:hAnsi="Times New Roman" w:eastAsia="宋体" w:cs="Times New Roman"/>
              <w:sz w:val="24"/>
              <w:szCs w:val="24"/>
              <w:lang w:val="en-US" w:eastAsia="zh-CN" w:bidi="ar-SA"/>
            </w:rPr>
            <w:fldChar w:fldCharType="end"/>
          </w:r>
          <w:r>
            <w:rPr>
              <w:rFonts w:hint="eastAsia" w:ascii="Times New Roman" w:hAnsi="Times New Roman" w:eastAsia="宋体" w:cs="Times New Roman"/>
              <w:sz w:val="24"/>
              <w:szCs w:val="24"/>
              <w:lang w:val="en-US" w:eastAsia="zh-CN" w:bidi="ar-SA"/>
            </w:rPr>
            <w:fldChar w:fldCharType="end"/>
          </w:r>
        </w:p>
        <w:p>
          <w:pPr>
            <w:pStyle w:val="9"/>
            <w:tabs>
              <w:tab w:val="right" w:leader="dot" w:pos="8306"/>
              <w:tab w:val="clear" w:pos="8296"/>
            </w:tabs>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fldChar w:fldCharType="begin"/>
          </w:r>
          <w:r>
            <w:rPr>
              <w:rFonts w:hint="eastAsia" w:ascii="Times New Roman" w:hAnsi="Times New Roman" w:eastAsia="宋体" w:cs="Times New Roman"/>
              <w:sz w:val="24"/>
              <w:szCs w:val="24"/>
              <w:lang w:val="en-US" w:eastAsia="zh-CN" w:bidi="ar-SA"/>
            </w:rPr>
            <w:instrText xml:space="preserve"> HYPERLINK \l _Toc26304 </w:instrText>
          </w:r>
          <w:r>
            <w:rPr>
              <w:rFonts w:hint="eastAsia" w:ascii="Times New Roman" w:hAnsi="Times New Roman" w:eastAsia="宋体" w:cs="Times New Roman"/>
              <w:sz w:val="24"/>
              <w:szCs w:val="24"/>
              <w:lang w:val="en-US" w:eastAsia="zh-CN" w:bidi="ar-SA"/>
            </w:rPr>
            <w:fldChar w:fldCharType="separate"/>
          </w:r>
          <w:r>
            <w:rPr>
              <w:rFonts w:hint="eastAsia" w:ascii="Times New Roman" w:hAnsi="Times New Roman" w:eastAsia="宋体" w:cs="Times New Roman"/>
              <w:sz w:val="24"/>
              <w:szCs w:val="24"/>
              <w:lang w:val="en-US" w:eastAsia="zh-CN" w:bidi="ar-SA"/>
            </w:rPr>
            <w:t>（三）国有资产占有使用情况</w:t>
          </w:r>
          <w:r>
            <w:rPr>
              <w:rFonts w:hint="eastAsia" w:ascii="Times New Roman" w:hAnsi="Times New Roman" w:eastAsia="宋体" w:cs="Times New Roman"/>
              <w:sz w:val="24"/>
              <w:szCs w:val="24"/>
              <w:lang w:val="en-US" w:eastAsia="zh-CN" w:bidi="ar-SA"/>
            </w:rPr>
            <w:tab/>
          </w:r>
          <w:r>
            <w:rPr>
              <w:rFonts w:hint="eastAsia" w:ascii="Times New Roman" w:hAnsi="Times New Roman" w:eastAsia="宋体" w:cs="Times New Roman"/>
              <w:sz w:val="24"/>
              <w:szCs w:val="24"/>
              <w:lang w:val="en-US" w:eastAsia="zh-CN" w:bidi="ar-SA"/>
            </w:rPr>
            <w:fldChar w:fldCharType="begin"/>
          </w:r>
          <w:r>
            <w:rPr>
              <w:rFonts w:hint="eastAsia" w:ascii="Times New Roman" w:hAnsi="Times New Roman" w:eastAsia="宋体" w:cs="Times New Roman"/>
              <w:sz w:val="24"/>
              <w:szCs w:val="24"/>
              <w:lang w:val="en-US" w:eastAsia="zh-CN" w:bidi="ar-SA"/>
            </w:rPr>
            <w:instrText xml:space="preserve"> PAGEREF _Toc26304 \h </w:instrText>
          </w:r>
          <w:r>
            <w:rPr>
              <w:rFonts w:hint="eastAsia" w:ascii="Times New Roman" w:hAnsi="Times New Roman" w:eastAsia="宋体" w:cs="Times New Roman"/>
              <w:sz w:val="24"/>
              <w:szCs w:val="24"/>
              <w:lang w:val="en-US" w:eastAsia="zh-CN" w:bidi="ar-SA"/>
            </w:rPr>
            <w:fldChar w:fldCharType="separate"/>
          </w:r>
          <w:r>
            <w:rPr>
              <w:rFonts w:hint="eastAsia" w:ascii="Times New Roman" w:hAnsi="Times New Roman" w:eastAsia="宋体" w:cs="Times New Roman"/>
              <w:sz w:val="24"/>
              <w:szCs w:val="24"/>
              <w:lang w:val="en-US" w:eastAsia="zh-CN" w:bidi="ar-SA"/>
            </w:rPr>
            <w:t>11</w:t>
          </w:r>
          <w:r>
            <w:rPr>
              <w:rFonts w:hint="eastAsia" w:ascii="Times New Roman" w:hAnsi="Times New Roman" w:eastAsia="宋体" w:cs="Times New Roman"/>
              <w:sz w:val="24"/>
              <w:szCs w:val="24"/>
              <w:lang w:val="en-US" w:eastAsia="zh-CN" w:bidi="ar-SA"/>
            </w:rPr>
            <w:fldChar w:fldCharType="end"/>
          </w:r>
          <w:r>
            <w:rPr>
              <w:rFonts w:hint="eastAsia" w:ascii="Times New Roman" w:hAnsi="Times New Roman" w:eastAsia="宋体" w:cs="Times New Roman"/>
              <w:sz w:val="24"/>
              <w:szCs w:val="24"/>
              <w:lang w:val="en-US" w:eastAsia="zh-CN" w:bidi="ar-SA"/>
            </w:rPr>
            <w:fldChar w:fldCharType="end"/>
          </w:r>
        </w:p>
        <w:p>
          <w:pPr>
            <w:pStyle w:val="9"/>
            <w:tabs>
              <w:tab w:val="right" w:leader="dot" w:pos="8306"/>
              <w:tab w:val="clear" w:pos="8296"/>
            </w:tabs>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fldChar w:fldCharType="begin"/>
          </w:r>
          <w:r>
            <w:rPr>
              <w:rFonts w:hint="eastAsia" w:ascii="Times New Roman" w:hAnsi="Times New Roman" w:eastAsia="宋体" w:cs="Times New Roman"/>
              <w:sz w:val="24"/>
              <w:szCs w:val="24"/>
              <w:lang w:val="en-US" w:eastAsia="zh-CN" w:bidi="ar-SA"/>
            </w:rPr>
            <w:instrText xml:space="preserve"> HYPERLINK \l _Toc14808 </w:instrText>
          </w:r>
          <w:r>
            <w:rPr>
              <w:rFonts w:hint="eastAsia" w:ascii="Times New Roman" w:hAnsi="Times New Roman" w:eastAsia="宋体" w:cs="Times New Roman"/>
              <w:sz w:val="24"/>
              <w:szCs w:val="24"/>
              <w:lang w:val="en-US" w:eastAsia="zh-CN" w:bidi="ar-SA"/>
            </w:rPr>
            <w:fldChar w:fldCharType="separate"/>
          </w:r>
          <w:r>
            <w:rPr>
              <w:rFonts w:hint="eastAsia" w:ascii="Times New Roman" w:hAnsi="Times New Roman" w:eastAsia="宋体" w:cs="Times New Roman"/>
              <w:sz w:val="24"/>
              <w:szCs w:val="24"/>
              <w:lang w:val="en-US" w:eastAsia="zh-CN" w:bidi="ar-SA"/>
            </w:rPr>
            <w:t>（四）预算绩效管理情况</w:t>
          </w:r>
          <w:r>
            <w:rPr>
              <w:rFonts w:hint="eastAsia" w:ascii="Times New Roman" w:hAnsi="Times New Roman" w:eastAsia="宋体" w:cs="Times New Roman"/>
              <w:sz w:val="24"/>
              <w:szCs w:val="24"/>
              <w:lang w:val="en-US" w:eastAsia="zh-CN" w:bidi="ar-SA"/>
            </w:rPr>
            <w:tab/>
          </w:r>
          <w:r>
            <w:rPr>
              <w:rFonts w:hint="eastAsia" w:ascii="Times New Roman" w:hAnsi="Times New Roman" w:eastAsia="宋体" w:cs="Times New Roman"/>
              <w:sz w:val="24"/>
              <w:szCs w:val="24"/>
              <w:lang w:val="en-US" w:eastAsia="zh-CN" w:bidi="ar-SA"/>
            </w:rPr>
            <w:fldChar w:fldCharType="begin"/>
          </w:r>
          <w:r>
            <w:rPr>
              <w:rFonts w:hint="eastAsia" w:ascii="Times New Roman" w:hAnsi="Times New Roman" w:eastAsia="宋体" w:cs="Times New Roman"/>
              <w:sz w:val="24"/>
              <w:szCs w:val="24"/>
              <w:lang w:val="en-US" w:eastAsia="zh-CN" w:bidi="ar-SA"/>
            </w:rPr>
            <w:instrText xml:space="preserve"> PAGEREF _Toc14808 \h </w:instrText>
          </w:r>
          <w:r>
            <w:rPr>
              <w:rFonts w:hint="eastAsia" w:ascii="Times New Roman" w:hAnsi="Times New Roman" w:eastAsia="宋体" w:cs="Times New Roman"/>
              <w:sz w:val="24"/>
              <w:szCs w:val="24"/>
              <w:lang w:val="en-US" w:eastAsia="zh-CN" w:bidi="ar-SA"/>
            </w:rPr>
            <w:fldChar w:fldCharType="separate"/>
          </w:r>
          <w:r>
            <w:rPr>
              <w:rFonts w:hint="eastAsia" w:ascii="Times New Roman" w:hAnsi="Times New Roman" w:eastAsia="宋体" w:cs="Times New Roman"/>
              <w:sz w:val="24"/>
              <w:szCs w:val="24"/>
              <w:lang w:val="en-US" w:eastAsia="zh-CN" w:bidi="ar-SA"/>
            </w:rPr>
            <w:t>11</w:t>
          </w:r>
          <w:r>
            <w:rPr>
              <w:rFonts w:hint="eastAsia" w:ascii="Times New Roman" w:hAnsi="Times New Roman" w:eastAsia="宋体" w:cs="Times New Roman"/>
              <w:sz w:val="24"/>
              <w:szCs w:val="24"/>
              <w:lang w:val="en-US" w:eastAsia="zh-CN" w:bidi="ar-SA"/>
            </w:rPr>
            <w:fldChar w:fldCharType="end"/>
          </w:r>
          <w:r>
            <w:rPr>
              <w:rFonts w:hint="eastAsia" w:ascii="Times New Roman" w:hAnsi="Times New Roman" w:eastAsia="宋体" w:cs="Times New Roman"/>
              <w:sz w:val="24"/>
              <w:szCs w:val="24"/>
              <w:lang w:val="en-US" w:eastAsia="zh-CN" w:bidi="ar-SA"/>
            </w:rPr>
            <w:fldChar w:fldCharType="end"/>
          </w:r>
        </w:p>
        <w:p>
          <w:pPr>
            <w:pStyle w:val="13"/>
            <w:tabs>
              <w:tab w:val="right" w:leader="dot" w:pos="8306"/>
              <w:tab w:val="clear" w:pos="8296"/>
            </w:tabs>
            <w:rPr>
              <w:rFonts w:ascii="Times New Roman" w:hAnsi="Times New Roman" w:eastAsia="宋体" w:cs="Times New Roman"/>
              <w:b/>
              <w:bCs/>
              <w:sz w:val="24"/>
              <w:szCs w:val="24"/>
              <w:lang w:val="en-US" w:eastAsia="zh-CN" w:bidi="ar-SA"/>
            </w:rPr>
          </w:pPr>
          <w:r>
            <w:rPr>
              <w:rFonts w:ascii="Times New Roman" w:hAnsi="Times New Roman" w:eastAsia="宋体" w:cs="Times New Roman"/>
              <w:b/>
              <w:bCs/>
              <w:sz w:val="24"/>
              <w:szCs w:val="24"/>
              <w:lang w:val="en-US" w:eastAsia="zh-CN" w:bidi="ar-SA"/>
            </w:rPr>
            <w:fldChar w:fldCharType="begin"/>
          </w:r>
          <w:r>
            <w:rPr>
              <w:rFonts w:ascii="Times New Roman" w:hAnsi="Times New Roman" w:eastAsia="宋体" w:cs="Times New Roman"/>
              <w:b/>
              <w:bCs/>
              <w:sz w:val="24"/>
              <w:szCs w:val="24"/>
              <w:lang w:val="en-US" w:eastAsia="zh-CN" w:bidi="ar-SA"/>
            </w:rPr>
            <w:instrText xml:space="preserve"> HYPERLINK \l _Toc20458 </w:instrText>
          </w:r>
          <w:r>
            <w:rPr>
              <w:rFonts w:ascii="Times New Roman" w:hAnsi="Times New Roman" w:eastAsia="宋体" w:cs="Times New Roman"/>
              <w:b/>
              <w:bCs/>
              <w:sz w:val="24"/>
              <w:szCs w:val="24"/>
              <w:lang w:val="en-US" w:eastAsia="zh-CN" w:bidi="ar-SA"/>
            </w:rPr>
            <w:fldChar w:fldCharType="separate"/>
          </w:r>
          <w:r>
            <w:rPr>
              <w:rFonts w:hint="eastAsia" w:ascii="Times New Roman" w:hAnsi="Times New Roman" w:eastAsia="宋体" w:cs="Times New Roman"/>
              <w:b/>
              <w:bCs/>
              <w:sz w:val="24"/>
              <w:szCs w:val="24"/>
              <w:lang w:val="en-US" w:eastAsia="zh-CN" w:bidi="ar-SA"/>
            </w:rPr>
            <w:t>第三部分 名词解释</w:t>
          </w:r>
          <w:r>
            <w:rPr>
              <w:rFonts w:ascii="Times New Roman" w:hAnsi="Times New Roman" w:eastAsia="宋体" w:cs="Times New Roman"/>
              <w:b/>
              <w:bCs/>
              <w:sz w:val="24"/>
              <w:szCs w:val="24"/>
              <w:lang w:val="en-US" w:eastAsia="zh-CN" w:bidi="ar-SA"/>
            </w:rPr>
            <w:tab/>
          </w:r>
          <w:r>
            <w:rPr>
              <w:rFonts w:ascii="Times New Roman" w:hAnsi="Times New Roman" w:eastAsia="宋体" w:cs="Times New Roman"/>
              <w:b/>
              <w:bCs/>
              <w:sz w:val="24"/>
              <w:szCs w:val="24"/>
              <w:lang w:val="en-US" w:eastAsia="zh-CN" w:bidi="ar-SA"/>
            </w:rPr>
            <w:fldChar w:fldCharType="begin"/>
          </w:r>
          <w:r>
            <w:rPr>
              <w:rFonts w:ascii="Times New Roman" w:hAnsi="Times New Roman" w:eastAsia="宋体" w:cs="Times New Roman"/>
              <w:b/>
              <w:bCs/>
              <w:sz w:val="24"/>
              <w:szCs w:val="24"/>
              <w:lang w:val="en-US" w:eastAsia="zh-CN" w:bidi="ar-SA"/>
            </w:rPr>
            <w:instrText xml:space="preserve"> PAGEREF _Toc20458 \h </w:instrText>
          </w:r>
          <w:r>
            <w:rPr>
              <w:rFonts w:ascii="Times New Roman" w:hAnsi="Times New Roman" w:eastAsia="宋体" w:cs="Times New Roman"/>
              <w:b/>
              <w:bCs/>
              <w:sz w:val="24"/>
              <w:szCs w:val="24"/>
              <w:lang w:val="en-US" w:eastAsia="zh-CN" w:bidi="ar-SA"/>
            </w:rPr>
            <w:fldChar w:fldCharType="separate"/>
          </w:r>
          <w:r>
            <w:rPr>
              <w:rFonts w:ascii="Times New Roman" w:hAnsi="Times New Roman" w:eastAsia="宋体" w:cs="Times New Roman"/>
              <w:b/>
              <w:bCs/>
              <w:sz w:val="24"/>
              <w:szCs w:val="24"/>
              <w:lang w:val="en-US" w:eastAsia="zh-CN" w:bidi="ar-SA"/>
            </w:rPr>
            <w:t>12</w:t>
          </w:r>
          <w:r>
            <w:rPr>
              <w:rFonts w:ascii="Times New Roman" w:hAnsi="Times New Roman" w:eastAsia="宋体" w:cs="Times New Roman"/>
              <w:b/>
              <w:bCs/>
              <w:sz w:val="24"/>
              <w:szCs w:val="24"/>
              <w:lang w:val="en-US" w:eastAsia="zh-CN" w:bidi="ar-SA"/>
            </w:rPr>
            <w:fldChar w:fldCharType="end"/>
          </w:r>
          <w:r>
            <w:rPr>
              <w:rFonts w:ascii="Times New Roman" w:hAnsi="Times New Roman" w:eastAsia="宋体" w:cs="Times New Roman"/>
              <w:b/>
              <w:bCs/>
              <w:sz w:val="24"/>
              <w:szCs w:val="24"/>
              <w:lang w:val="en-US" w:eastAsia="zh-CN" w:bidi="ar-SA"/>
            </w:rPr>
            <w:fldChar w:fldCharType="end"/>
          </w:r>
        </w:p>
        <w:p>
          <w:pPr>
            <w:pStyle w:val="13"/>
            <w:tabs>
              <w:tab w:val="right" w:leader="dot" w:pos="8306"/>
              <w:tab w:val="clear" w:pos="8296"/>
            </w:tabs>
            <w:rPr>
              <w:rFonts w:ascii="Times New Roman" w:hAnsi="Times New Roman" w:eastAsia="宋体" w:cs="Times New Roman"/>
              <w:b/>
              <w:bCs/>
              <w:sz w:val="24"/>
              <w:szCs w:val="24"/>
              <w:lang w:val="en-US" w:eastAsia="zh-CN" w:bidi="ar-SA"/>
            </w:rPr>
          </w:pPr>
          <w:r>
            <w:rPr>
              <w:rFonts w:ascii="Times New Roman" w:hAnsi="Times New Roman" w:eastAsia="宋体" w:cs="Times New Roman"/>
              <w:b/>
              <w:bCs/>
              <w:sz w:val="24"/>
              <w:szCs w:val="24"/>
              <w:lang w:val="en-US" w:eastAsia="zh-CN" w:bidi="ar-SA"/>
            </w:rPr>
            <w:fldChar w:fldCharType="begin"/>
          </w:r>
          <w:r>
            <w:rPr>
              <w:rFonts w:ascii="Times New Roman" w:hAnsi="Times New Roman" w:eastAsia="宋体" w:cs="Times New Roman"/>
              <w:b/>
              <w:bCs/>
              <w:sz w:val="24"/>
              <w:szCs w:val="24"/>
              <w:lang w:val="en-US" w:eastAsia="zh-CN" w:bidi="ar-SA"/>
            </w:rPr>
            <w:instrText xml:space="preserve"> HYPERLINK \l _Toc26388 </w:instrText>
          </w:r>
          <w:r>
            <w:rPr>
              <w:rFonts w:ascii="Times New Roman" w:hAnsi="Times New Roman" w:eastAsia="宋体" w:cs="Times New Roman"/>
              <w:b/>
              <w:bCs/>
              <w:sz w:val="24"/>
              <w:szCs w:val="24"/>
              <w:lang w:val="en-US" w:eastAsia="zh-CN" w:bidi="ar-SA"/>
            </w:rPr>
            <w:fldChar w:fldCharType="separate"/>
          </w:r>
          <w:r>
            <w:rPr>
              <w:rFonts w:hint="eastAsia" w:ascii="Times New Roman" w:hAnsi="Times New Roman" w:eastAsia="宋体" w:cs="Times New Roman"/>
              <w:b/>
              <w:bCs/>
              <w:sz w:val="24"/>
              <w:szCs w:val="24"/>
              <w:lang w:val="en-US" w:eastAsia="zh-CN" w:bidi="ar-SA"/>
            </w:rPr>
            <w:t>第四部分 附件</w:t>
          </w:r>
          <w:r>
            <w:rPr>
              <w:rFonts w:ascii="Times New Roman" w:hAnsi="Times New Roman" w:eastAsia="宋体" w:cs="Times New Roman"/>
              <w:b/>
              <w:bCs/>
              <w:sz w:val="24"/>
              <w:szCs w:val="24"/>
              <w:lang w:val="en-US" w:eastAsia="zh-CN" w:bidi="ar-SA"/>
            </w:rPr>
            <w:tab/>
          </w:r>
          <w:r>
            <w:rPr>
              <w:rFonts w:ascii="Times New Roman" w:hAnsi="Times New Roman" w:eastAsia="宋体" w:cs="Times New Roman"/>
              <w:b/>
              <w:bCs/>
              <w:sz w:val="24"/>
              <w:szCs w:val="24"/>
              <w:lang w:val="en-US" w:eastAsia="zh-CN" w:bidi="ar-SA"/>
            </w:rPr>
            <w:fldChar w:fldCharType="begin"/>
          </w:r>
          <w:r>
            <w:rPr>
              <w:rFonts w:ascii="Times New Roman" w:hAnsi="Times New Roman" w:eastAsia="宋体" w:cs="Times New Roman"/>
              <w:b/>
              <w:bCs/>
              <w:sz w:val="24"/>
              <w:szCs w:val="24"/>
              <w:lang w:val="en-US" w:eastAsia="zh-CN" w:bidi="ar-SA"/>
            </w:rPr>
            <w:instrText xml:space="preserve"> PAGEREF _Toc26388 \h </w:instrText>
          </w:r>
          <w:r>
            <w:rPr>
              <w:rFonts w:ascii="Times New Roman" w:hAnsi="Times New Roman" w:eastAsia="宋体" w:cs="Times New Roman"/>
              <w:b/>
              <w:bCs/>
              <w:sz w:val="24"/>
              <w:szCs w:val="24"/>
              <w:lang w:val="en-US" w:eastAsia="zh-CN" w:bidi="ar-SA"/>
            </w:rPr>
            <w:fldChar w:fldCharType="separate"/>
          </w:r>
          <w:r>
            <w:rPr>
              <w:rFonts w:ascii="Times New Roman" w:hAnsi="Times New Roman" w:eastAsia="宋体" w:cs="Times New Roman"/>
              <w:b/>
              <w:bCs/>
              <w:sz w:val="24"/>
              <w:szCs w:val="24"/>
              <w:lang w:val="en-US" w:eastAsia="zh-CN" w:bidi="ar-SA"/>
            </w:rPr>
            <w:t>14</w:t>
          </w:r>
          <w:r>
            <w:rPr>
              <w:rFonts w:ascii="Times New Roman" w:hAnsi="Times New Roman" w:eastAsia="宋体" w:cs="Times New Roman"/>
              <w:b/>
              <w:bCs/>
              <w:sz w:val="24"/>
              <w:szCs w:val="24"/>
              <w:lang w:val="en-US" w:eastAsia="zh-CN" w:bidi="ar-SA"/>
            </w:rPr>
            <w:fldChar w:fldCharType="end"/>
          </w:r>
          <w:r>
            <w:rPr>
              <w:rFonts w:ascii="Times New Roman" w:hAnsi="Times New Roman" w:eastAsia="宋体" w:cs="Times New Roman"/>
              <w:b/>
              <w:bCs/>
              <w:sz w:val="24"/>
              <w:szCs w:val="24"/>
              <w:lang w:val="en-US" w:eastAsia="zh-CN" w:bidi="ar-SA"/>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_Toc8476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202</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rPr>
            <w:t>年部门预算项目</w:t>
          </w:r>
          <w:r>
            <w:rPr>
              <w:rFonts w:hint="eastAsia" w:ascii="Times New Roman" w:hAnsi="Times New Roman" w:cs="Times New Roman"/>
              <w:sz w:val="24"/>
              <w:szCs w:val="24"/>
              <w:lang w:eastAsia="zh-CN"/>
            </w:rPr>
            <w:t>支出</w:t>
          </w:r>
          <w:r>
            <w:rPr>
              <w:rFonts w:hint="eastAsia" w:ascii="Times New Roman" w:hAnsi="Times New Roman" w:cs="Times New Roman"/>
              <w:sz w:val="24"/>
              <w:szCs w:val="24"/>
            </w:rPr>
            <w:t>绩效自评</w:t>
          </w:r>
          <w:r>
            <w:rPr>
              <w:rFonts w:hint="eastAsia" w:ascii="Times New Roman" w:hAnsi="Times New Roman" w:cs="Times New Roman"/>
              <w:sz w:val="24"/>
              <w:szCs w:val="24"/>
              <w:lang w:eastAsia="zh-CN"/>
            </w:rPr>
            <w:t>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_Toc8476 \h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13"/>
            <w:tabs>
              <w:tab w:val="right" w:leader="dot" w:pos="8306"/>
              <w:tab w:val="clear" w:pos="8296"/>
            </w:tabs>
            <w:rPr>
              <w:rFonts w:ascii="Times New Roman" w:hAnsi="Times New Roman" w:eastAsia="宋体" w:cs="Times New Roman"/>
              <w:b/>
              <w:bCs/>
              <w:sz w:val="24"/>
              <w:szCs w:val="24"/>
              <w:lang w:val="en-US" w:eastAsia="zh-CN" w:bidi="ar-SA"/>
            </w:rPr>
          </w:pPr>
          <w:r>
            <w:rPr>
              <w:rFonts w:ascii="Times New Roman" w:hAnsi="Times New Roman" w:eastAsia="宋体" w:cs="Times New Roman"/>
              <w:b/>
              <w:bCs/>
              <w:sz w:val="24"/>
              <w:szCs w:val="24"/>
              <w:lang w:val="en-US" w:eastAsia="zh-CN" w:bidi="ar-SA"/>
            </w:rPr>
            <w:fldChar w:fldCharType="begin"/>
          </w:r>
          <w:r>
            <w:rPr>
              <w:rFonts w:ascii="Times New Roman" w:hAnsi="Times New Roman" w:eastAsia="宋体" w:cs="Times New Roman"/>
              <w:b/>
              <w:bCs/>
              <w:sz w:val="24"/>
              <w:szCs w:val="24"/>
              <w:lang w:val="en-US" w:eastAsia="zh-CN" w:bidi="ar-SA"/>
            </w:rPr>
            <w:instrText xml:space="preserve"> HYPERLINK \l _Toc13274 </w:instrText>
          </w:r>
          <w:r>
            <w:rPr>
              <w:rFonts w:ascii="Times New Roman" w:hAnsi="Times New Roman" w:eastAsia="宋体" w:cs="Times New Roman"/>
              <w:b/>
              <w:bCs/>
              <w:sz w:val="24"/>
              <w:szCs w:val="24"/>
              <w:lang w:val="en-US" w:eastAsia="zh-CN" w:bidi="ar-SA"/>
            </w:rPr>
            <w:fldChar w:fldCharType="separate"/>
          </w:r>
          <w:r>
            <w:rPr>
              <w:rFonts w:hint="eastAsia" w:ascii="Times New Roman" w:hAnsi="Times New Roman" w:eastAsia="宋体" w:cs="Times New Roman"/>
              <w:b/>
              <w:bCs/>
              <w:sz w:val="24"/>
              <w:szCs w:val="24"/>
              <w:lang w:val="en-US" w:eastAsia="zh-CN" w:bidi="ar-SA"/>
            </w:rPr>
            <w:t>第五部分 附表</w:t>
          </w:r>
          <w:r>
            <w:rPr>
              <w:rFonts w:ascii="Times New Roman" w:hAnsi="Times New Roman" w:eastAsia="宋体" w:cs="Times New Roman"/>
              <w:b/>
              <w:bCs/>
              <w:sz w:val="24"/>
              <w:szCs w:val="24"/>
              <w:lang w:val="en-US" w:eastAsia="zh-CN" w:bidi="ar-SA"/>
            </w:rPr>
            <w:tab/>
          </w:r>
          <w:r>
            <w:rPr>
              <w:rFonts w:ascii="Times New Roman" w:hAnsi="Times New Roman" w:eastAsia="宋体" w:cs="Times New Roman"/>
              <w:b/>
              <w:bCs/>
              <w:sz w:val="24"/>
              <w:szCs w:val="24"/>
              <w:lang w:val="en-US" w:eastAsia="zh-CN" w:bidi="ar-SA"/>
            </w:rPr>
            <w:fldChar w:fldCharType="begin"/>
          </w:r>
          <w:r>
            <w:rPr>
              <w:rFonts w:ascii="Times New Roman" w:hAnsi="Times New Roman" w:eastAsia="宋体" w:cs="Times New Roman"/>
              <w:b/>
              <w:bCs/>
              <w:sz w:val="24"/>
              <w:szCs w:val="24"/>
              <w:lang w:val="en-US" w:eastAsia="zh-CN" w:bidi="ar-SA"/>
            </w:rPr>
            <w:instrText xml:space="preserve"> PAGEREF _Toc13274 \h </w:instrText>
          </w:r>
          <w:r>
            <w:rPr>
              <w:rFonts w:ascii="Times New Roman" w:hAnsi="Times New Roman" w:eastAsia="宋体" w:cs="Times New Roman"/>
              <w:b/>
              <w:bCs/>
              <w:sz w:val="24"/>
              <w:szCs w:val="24"/>
              <w:lang w:val="en-US" w:eastAsia="zh-CN" w:bidi="ar-SA"/>
            </w:rPr>
            <w:fldChar w:fldCharType="separate"/>
          </w:r>
          <w:r>
            <w:rPr>
              <w:rFonts w:ascii="Times New Roman" w:hAnsi="Times New Roman" w:eastAsia="宋体" w:cs="Times New Roman"/>
              <w:b/>
              <w:bCs/>
              <w:sz w:val="24"/>
              <w:szCs w:val="24"/>
              <w:lang w:val="en-US" w:eastAsia="zh-CN" w:bidi="ar-SA"/>
            </w:rPr>
            <w:t>18</w:t>
          </w:r>
          <w:r>
            <w:rPr>
              <w:rFonts w:ascii="Times New Roman" w:hAnsi="Times New Roman" w:eastAsia="宋体" w:cs="Times New Roman"/>
              <w:b/>
              <w:bCs/>
              <w:sz w:val="24"/>
              <w:szCs w:val="24"/>
              <w:lang w:val="en-US" w:eastAsia="zh-CN" w:bidi="ar-SA"/>
            </w:rPr>
            <w:fldChar w:fldCharType="end"/>
          </w:r>
          <w:r>
            <w:rPr>
              <w:rFonts w:ascii="Times New Roman" w:hAnsi="Times New Roman" w:eastAsia="宋体" w:cs="Times New Roman"/>
              <w:b/>
              <w:bCs/>
              <w:sz w:val="24"/>
              <w:szCs w:val="24"/>
              <w:lang w:val="en-US" w:eastAsia="zh-CN" w:bidi="ar-SA"/>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_Toc11348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一、收入支出决算总表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_Toc11348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_Toc24951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二、收入决算表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_Toc24951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_Toc5191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三、支出决算表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_Toc5191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_Toc15200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四、财政拨款收入支出决算总表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_Toc15200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_Toc9450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五、财政拨款支出决算明细表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_Toc9450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_Toc13179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六、一般公共预算财政拨款支出决算表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_Toc13179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_Toc12080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七、一般公共预算财政拨款支出决算明细表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_Toc12080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_Toc27401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八、一般公共预算财政拨款基本支出决算表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_Toc27401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_Toc31489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九、一般公共预算财政拨款项目支出决算表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_Toc31489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_Toc20286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十、政府性基金预算财政拨款收入支出决算表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_Toc20286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_Toc6667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十一、国有资本经营预算</w:t>
          </w:r>
          <w:r>
            <w:rPr>
              <w:rFonts w:hint="eastAsia" w:ascii="Times New Roman" w:hAnsi="Times New Roman" w:cs="Times New Roman"/>
              <w:sz w:val="24"/>
              <w:szCs w:val="24"/>
              <w:lang w:eastAsia="zh-CN"/>
            </w:rPr>
            <w:t>财政拨款收入</w:t>
          </w:r>
          <w:r>
            <w:rPr>
              <w:rFonts w:hint="eastAsia" w:ascii="Times New Roman" w:hAnsi="Times New Roman" w:cs="Times New Roman"/>
              <w:sz w:val="24"/>
              <w:szCs w:val="24"/>
            </w:rPr>
            <w:t>支出决算表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_Toc6667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_Toc10057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十二、</w:t>
          </w:r>
          <w:r>
            <w:rPr>
              <w:rFonts w:hint="eastAsia" w:ascii="Times New Roman" w:hAnsi="Times New Roman" w:cs="Times New Roman"/>
              <w:sz w:val="24"/>
              <w:szCs w:val="24"/>
              <w:lang w:eastAsia="zh-CN"/>
            </w:rPr>
            <w:t>国有资本经营预算财政拨款支出决算表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_Toc10057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42"/>
            <w:tabs>
              <w:tab w:val="right" w:leader="dot" w:pos="8306"/>
            </w:tabs>
            <w:spacing w:line="440" w:lineRule="exact"/>
            <w:ind w:left="4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_Toc10766 </w:instrText>
          </w:r>
          <w:r>
            <w:rPr>
              <w:rFonts w:ascii="Times New Roman" w:hAnsi="Times New Roman" w:cs="Times New Roman"/>
              <w:sz w:val="24"/>
              <w:szCs w:val="24"/>
            </w:rPr>
            <w:fldChar w:fldCharType="separate"/>
          </w:r>
          <w:r>
            <w:rPr>
              <w:rFonts w:hint="eastAsia" w:ascii="Times New Roman" w:hAnsi="Times New Roman" w:cs="Times New Roman"/>
              <w:sz w:val="24"/>
              <w:szCs w:val="24"/>
            </w:rPr>
            <w:t>十三、</w:t>
          </w:r>
          <w:r>
            <w:rPr>
              <w:rFonts w:hint="eastAsia" w:ascii="Times New Roman" w:hAnsi="Times New Roman" w:cs="Times New Roman"/>
              <w:sz w:val="24"/>
              <w:szCs w:val="24"/>
              <w:lang w:eastAsia="zh-CN"/>
            </w:rPr>
            <w:t>财政拨款“三公”经费支出决算表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_Toc10766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spacing w:before="0" w:beforeLines="0" w:after="0" w:afterLines="0" w:line="240" w:lineRule="auto"/>
            <w:ind w:left="0" w:leftChars="0" w:right="0" w:rightChars="0" w:firstLine="0" w:firstLineChars="0"/>
            <w:jc w:val="center"/>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pPr>
          <w:r>
            <w:fldChar w:fldCharType="end"/>
          </w:r>
        </w:p>
      </w:sdtContent>
    </w:sdt>
    <w:p>
      <w:pPr>
        <w:pStyle w:val="2"/>
        <w:jc w:val="center"/>
        <w:rPr>
          <w:rStyle w:val="31"/>
          <w:rFonts w:ascii="黑体" w:hAnsi="黑体" w:eastAsia="黑体"/>
          <w:b/>
          <w:bCs w:val="0"/>
          <w:color w:val="auto"/>
          <w:highlight w:val="none"/>
        </w:rPr>
      </w:pPr>
      <w:bookmarkStart w:id="18" w:name="_Toc15396599"/>
      <w:bookmarkStart w:id="19" w:name="_Toc15377196"/>
      <w:bookmarkStart w:id="20" w:name="_Toc27581"/>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31"/>
          <w:rFonts w:hint="eastAsia" w:ascii="黑体" w:hAnsi="黑体" w:eastAsia="黑体"/>
          <w:b w:val="0"/>
          <w:bCs w:val="0"/>
          <w:color w:val="auto"/>
          <w:highlight w:val="none"/>
        </w:rPr>
        <w:t>概况</w:t>
      </w:r>
      <w:bookmarkEnd w:id="18"/>
      <w:bookmarkEnd w:id="19"/>
      <w:bookmarkEnd w:id="20"/>
    </w:p>
    <w:p>
      <w:pPr>
        <w:widowControl/>
        <w:jc w:val="left"/>
        <w:rPr>
          <w:rFonts w:ascii="黑体" w:eastAsia="黑体"/>
          <w:color w:val="auto"/>
          <w:sz w:val="32"/>
          <w:szCs w:val="32"/>
          <w:highlight w:val="none"/>
        </w:rPr>
      </w:pPr>
    </w:p>
    <w:p>
      <w:pPr>
        <w:pStyle w:val="3"/>
        <w:numPr>
          <w:ilvl w:val="0"/>
          <w:numId w:val="1"/>
        </w:numPr>
        <w:rPr>
          <w:rFonts w:hint="eastAsia" w:ascii="黑体" w:hAnsi="黑体" w:eastAsia="黑体"/>
          <w:b w:val="0"/>
          <w:color w:val="auto"/>
          <w:highlight w:val="none"/>
          <w:lang w:eastAsia="zh-CN"/>
        </w:rPr>
      </w:pPr>
      <w:bookmarkStart w:id="21" w:name="_Toc13626"/>
      <w:r>
        <w:rPr>
          <w:rFonts w:hint="eastAsia" w:ascii="黑体" w:hAnsi="黑体" w:eastAsia="黑体"/>
          <w:b w:val="0"/>
          <w:color w:val="auto"/>
          <w:highlight w:val="none"/>
          <w:lang w:eastAsia="zh-CN"/>
        </w:rPr>
        <w:t>主要职责</w:t>
      </w:r>
      <w:bookmarkEnd w:id="21"/>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bookmarkStart w:id="22" w:name="_Toc26141"/>
      <w:r>
        <w:rPr>
          <w:rFonts w:hint="eastAsia" w:ascii="仿宋" w:hAnsi="仿宋" w:eastAsia="仿宋" w:cs="仿宋"/>
          <w:sz w:val="32"/>
          <w:szCs w:val="32"/>
        </w:rPr>
        <w:t>1、疾病预防与控制;</w:t>
      </w:r>
      <w:bookmarkEnd w:id="22"/>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bookmarkStart w:id="23" w:name="_Toc20050"/>
      <w:r>
        <w:rPr>
          <w:rFonts w:hint="eastAsia" w:ascii="仿宋" w:hAnsi="仿宋" w:eastAsia="仿宋" w:cs="仿宋"/>
          <w:sz w:val="32"/>
          <w:szCs w:val="32"/>
        </w:rPr>
        <w:t>2、突发公共卫生事件应急处置;</w:t>
      </w:r>
      <w:bookmarkEnd w:id="23"/>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bookmarkStart w:id="24" w:name="_Toc13562"/>
      <w:r>
        <w:rPr>
          <w:rFonts w:hint="eastAsia" w:ascii="仿宋" w:hAnsi="仿宋" w:eastAsia="仿宋" w:cs="仿宋"/>
          <w:sz w:val="32"/>
          <w:szCs w:val="32"/>
        </w:rPr>
        <w:t>3、疫情及健康相关因素信息管理;</w:t>
      </w:r>
      <w:bookmarkEnd w:id="24"/>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bookmarkStart w:id="25" w:name="_Toc475"/>
      <w:r>
        <w:rPr>
          <w:rFonts w:hint="eastAsia" w:ascii="仿宋" w:hAnsi="仿宋" w:eastAsia="仿宋" w:cs="仿宋"/>
          <w:sz w:val="32"/>
          <w:szCs w:val="32"/>
        </w:rPr>
        <w:t>4、健康危害因素监测与干预;</w:t>
      </w:r>
      <w:bookmarkEnd w:id="25"/>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bookmarkStart w:id="26" w:name="_Toc15517"/>
      <w:r>
        <w:rPr>
          <w:rFonts w:hint="eastAsia" w:ascii="仿宋" w:hAnsi="仿宋" w:eastAsia="仿宋" w:cs="仿宋"/>
          <w:sz w:val="32"/>
          <w:szCs w:val="32"/>
        </w:rPr>
        <w:t>5、实验室检测检验与评价;</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bookmarkStart w:id="27" w:name="_Toc31825"/>
      <w:r>
        <w:rPr>
          <w:rFonts w:hint="eastAsia" w:ascii="仿宋" w:hAnsi="仿宋" w:eastAsia="仿宋" w:cs="仿宋"/>
          <w:sz w:val="32"/>
          <w:szCs w:val="32"/>
        </w:rPr>
        <w:t>6、健康教育与健康促进等。</w:t>
      </w:r>
      <w:bookmarkEnd w:id="27"/>
    </w:p>
    <w:p>
      <w:pPr>
        <w:numPr>
          <w:ilvl w:val="0"/>
          <w:numId w:val="0"/>
        </w:numPr>
        <w:rPr>
          <w:rFonts w:hint="eastAsia"/>
          <w:lang w:eastAsia="zh-CN"/>
        </w:rPr>
      </w:pPr>
    </w:p>
    <w:p>
      <w:pPr>
        <w:pStyle w:val="3"/>
        <w:rPr>
          <w:rStyle w:val="32"/>
          <w:b w:val="0"/>
          <w:bCs w:val="0"/>
          <w:color w:val="auto"/>
          <w:highlight w:val="none"/>
        </w:rPr>
      </w:pPr>
      <w:bookmarkStart w:id="28" w:name="_Toc15396601"/>
      <w:bookmarkStart w:id="29" w:name="_Toc15377200"/>
      <w:bookmarkStart w:id="30" w:name="_Toc3895"/>
      <w:r>
        <w:rPr>
          <w:rFonts w:hint="eastAsia" w:ascii="黑体" w:eastAsia="黑体"/>
          <w:b w:val="0"/>
          <w:color w:val="auto"/>
          <w:highlight w:val="none"/>
        </w:rPr>
        <w:t>二、</w:t>
      </w:r>
      <w:r>
        <w:rPr>
          <w:rFonts w:hint="eastAsia" w:ascii="黑体" w:hAnsi="黑体" w:eastAsia="黑体"/>
          <w:b w:val="0"/>
          <w:color w:val="auto"/>
          <w:highlight w:val="none"/>
        </w:rPr>
        <w:t>机</w:t>
      </w:r>
      <w:r>
        <w:rPr>
          <w:rStyle w:val="32"/>
          <w:rFonts w:hint="eastAsia" w:ascii="黑体" w:hAnsi="黑体" w:eastAsia="黑体"/>
          <w:b w:val="0"/>
          <w:bCs w:val="0"/>
          <w:color w:val="auto"/>
          <w:highlight w:val="none"/>
        </w:rPr>
        <w:t>构设置</w:t>
      </w:r>
      <w:bookmarkEnd w:id="28"/>
      <w:bookmarkEnd w:id="29"/>
      <w:bookmarkEnd w:id="30"/>
    </w:p>
    <w:p>
      <w:pPr>
        <w:ind w:firstLine="800" w:firstLineChars="250"/>
        <w:rPr>
          <w:rFonts w:hint="eastAsia" w:ascii="黑体" w:hAnsi="黑体" w:eastAsia="黑体"/>
          <w:b w:val="0"/>
          <w:bCs/>
          <w:color w:val="auto"/>
          <w:highlight w:val="none"/>
        </w:rPr>
      </w:pPr>
      <w:r>
        <w:rPr>
          <w:rFonts w:hint="eastAsia" w:ascii="仿宋" w:hAnsi="仿宋" w:eastAsia="仿宋"/>
          <w:color w:val="auto"/>
          <w:sz w:val="32"/>
          <w:szCs w:val="32"/>
          <w:highlight w:val="none"/>
          <w:lang w:eastAsia="zh-CN"/>
        </w:rPr>
        <w:t>广元市昭化区疾病预防控制中心</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bookmarkStart w:id="31" w:name="_Toc15396602"/>
      <w:bookmarkStart w:id="32" w:name="_Toc15377204"/>
      <w:r>
        <w:rPr>
          <w:rFonts w:hint="eastAsia" w:ascii="黑体" w:hAnsi="黑体" w:eastAsia="黑体"/>
          <w:b w:val="0"/>
          <w:bCs/>
          <w:color w:val="auto"/>
          <w:highlight w:val="none"/>
        </w:rPr>
        <w:br w:type="page"/>
      </w:r>
    </w:p>
    <w:p>
      <w:pPr>
        <w:pStyle w:val="2"/>
        <w:ind w:right="440"/>
        <w:jc w:val="center"/>
        <w:rPr>
          <w:rStyle w:val="31"/>
          <w:rFonts w:ascii="黑体" w:hAnsi="黑体" w:eastAsia="黑体"/>
          <w:b w:val="0"/>
          <w:bCs/>
          <w:color w:val="auto"/>
          <w:highlight w:val="none"/>
        </w:rPr>
      </w:pPr>
      <w:r>
        <w:rPr>
          <w:rFonts w:hint="eastAsia" w:ascii="黑体" w:hAnsi="黑体" w:eastAsia="黑体"/>
          <w:b w:val="0"/>
          <w:bCs/>
          <w:color w:val="auto"/>
          <w:highlight w:val="none"/>
          <w:lang w:val="en-US" w:eastAsia="zh-CN"/>
        </w:rPr>
        <w:t xml:space="preserve">  </w:t>
      </w:r>
      <w:bookmarkStart w:id="33" w:name="_Toc9047"/>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2022年度单位</w:t>
      </w:r>
      <w:r>
        <w:rPr>
          <w:rStyle w:val="31"/>
          <w:rFonts w:hint="eastAsia" w:ascii="黑体" w:hAnsi="黑体" w:eastAsia="黑体"/>
          <w:b w:val="0"/>
          <w:bCs/>
          <w:color w:val="auto"/>
          <w:highlight w:val="none"/>
        </w:rPr>
        <w:t>决算情况说明</w:t>
      </w:r>
      <w:bookmarkEnd w:id="31"/>
      <w:bookmarkEnd w:id="32"/>
      <w:bookmarkEnd w:id="33"/>
    </w:p>
    <w:p>
      <w:pPr>
        <w:rPr>
          <w:color w:val="auto"/>
          <w:highlight w:val="none"/>
        </w:rPr>
      </w:pPr>
    </w:p>
    <w:p>
      <w:pPr>
        <w:pStyle w:val="30"/>
        <w:numPr>
          <w:ilvl w:val="0"/>
          <w:numId w:val="2"/>
        </w:numPr>
        <w:spacing w:line="600" w:lineRule="exact"/>
        <w:ind w:firstLineChars="0"/>
        <w:outlineLvl w:val="1"/>
        <w:rPr>
          <w:rStyle w:val="32"/>
          <w:rFonts w:ascii="黑体" w:hAnsi="黑体" w:eastAsia="黑体"/>
          <w:b w:val="0"/>
          <w:color w:val="auto"/>
          <w:highlight w:val="none"/>
        </w:rPr>
      </w:pPr>
      <w:bookmarkStart w:id="34" w:name="_Toc15377205"/>
      <w:bookmarkStart w:id="35" w:name="_Toc28767"/>
      <w:bookmarkStart w:id="36" w:name="_Toc15396603"/>
      <w:r>
        <w:rPr>
          <w:rFonts w:hint="eastAsia" w:ascii="黑体" w:hAnsi="黑体" w:eastAsia="黑体"/>
          <w:color w:val="auto"/>
          <w:sz w:val="32"/>
          <w:szCs w:val="32"/>
          <w:highlight w:val="none"/>
        </w:rPr>
        <w:t>收</w:t>
      </w:r>
      <w:r>
        <w:rPr>
          <w:rStyle w:val="32"/>
          <w:rFonts w:hint="eastAsia" w:ascii="黑体" w:hAnsi="黑体" w:eastAsia="黑体"/>
          <w:b w:val="0"/>
          <w:color w:val="auto"/>
          <w:highlight w:val="none"/>
        </w:rPr>
        <w:t>入支出决算总体情况说明</w:t>
      </w:r>
      <w:bookmarkEnd w:id="34"/>
      <w:bookmarkEnd w:id="35"/>
      <w:bookmarkEnd w:id="3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1081.2</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支总计各</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162.58</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lang w:val="en-US" w:eastAsia="zh-CN"/>
        </w:rPr>
        <w:t>17.7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人员增加，项目增加。</w:t>
      </w:r>
    </w:p>
    <w:p>
      <w:pPr>
        <w:pStyle w:val="7"/>
        <w:rPr>
          <w:rFonts w:hint="eastAsia"/>
          <w:lang w:eastAsia="zh-CN"/>
        </w:rPr>
      </w:pPr>
      <w:r>
        <w:rPr>
          <w:rFonts w:hint="eastAsia"/>
          <w:lang w:eastAsia="zh-CN"/>
        </w:rPr>
        <w:drawing>
          <wp:inline distT="0" distB="0" distL="114300" distR="114300">
            <wp:extent cx="3866515" cy="1905000"/>
            <wp:effectExtent l="4445" t="4445" r="15240"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spacing w:line="600" w:lineRule="exact"/>
        <w:jc w:val="left"/>
        <w:rPr>
          <w:rFonts w:ascii="仿宋_GB2312" w:eastAsia="仿宋_GB2312"/>
          <w:color w:val="auto"/>
          <w:sz w:val="32"/>
          <w:szCs w:val="32"/>
          <w:highlight w:val="none"/>
        </w:rPr>
      </w:pPr>
    </w:p>
    <w:p>
      <w:pPr>
        <w:pStyle w:val="30"/>
        <w:numPr>
          <w:ilvl w:val="0"/>
          <w:numId w:val="2"/>
        </w:numPr>
        <w:spacing w:line="600" w:lineRule="exact"/>
        <w:ind w:firstLineChars="0"/>
        <w:outlineLvl w:val="1"/>
        <w:rPr>
          <w:rStyle w:val="32"/>
          <w:rFonts w:ascii="黑体" w:hAnsi="黑体" w:eastAsia="黑体"/>
          <w:b w:val="0"/>
          <w:color w:val="auto"/>
          <w:highlight w:val="none"/>
        </w:rPr>
      </w:pPr>
      <w:bookmarkStart w:id="37" w:name="_Toc15377206"/>
      <w:bookmarkStart w:id="38" w:name="_Toc15396604"/>
      <w:bookmarkStart w:id="39" w:name="_Toc24065"/>
      <w:r>
        <w:rPr>
          <w:rFonts w:hint="eastAsia" w:ascii="黑体" w:hAnsi="黑体" w:eastAsia="黑体"/>
          <w:color w:val="auto"/>
          <w:sz w:val="32"/>
          <w:szCs w:val="32"/>
          <w:highlight w:val="none"/>
        </w:rPr>
        <w:t>收</w:t>
      </w:r>
      <w:r>
        <w:rPr>
          <w:rStyle w:val="32"/>
          <w:rFonts w:hint="eastAsia" w:ascii="黑体" w:hAnsi="黑体" w:eastAsia="黑体"/>
          <w:b w:val="0"/>
          <w:color w:val="auto"/>
          <w:highlight w:val="none"/>
        </w:rPr>
        <w:t>入决算情况说明</w:t>
      </w:r>
      <w:bookmarkEnd w:id="37"/>
      <w:bookmarkEnd w:id="38"/>
      <w:bookmarkEnd w:id="39"/>
    </w:p>
    <w:p>
      <w:pPr>
        <w:spacing w:line="600" w:lineRule="exact"/>
        <w:ind w:firstLine="640" w:firstLineChars="200"/>
        <w:outlineLvl w:val="1"/>
        <w:rPr>
          <w:rFonts w:hint="eastAsia"/>
          <w:lang w:eastAsia="zh-CN"/>
        </w:rPr>
      </w:pPr>
      <w:bookmarkStart w:id="40" w:name="_Toc6420"/>
      <w:bookmarkStart w:id="41" w:name="_Toc23225"/>
      <w:bookmarkStart w:id="42" w:name="_Toc1055"/>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1081.2</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1081.2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40"/>
      <w:bookmarkEnd w:id="41"/>
      <w:bookmarkEnd w:id="42"/>
    </w:p>
    <w:p>
      <w:pPr>
        <w:pStyle w:val="7"/>
        <w:rPr>
          <w:rFonts w:hint="eastAsia"/>
          <w:lang w:eastAsia="zh-CN"/>
        </w:rPr>
      </w:pPr>
      <w:r>
        <w:rPr>
          <w:rFonts w:hint="eastAsia"/>
          <w:lang w:eastAsia="zh-CN"/>
        </w:rPr>
        <w:drawing>
          <wp:inline distT="0" distB="0" distL="114300" distR="114300">
            <wp:extent cx="3145155" cy="1942465"/>
            <wp:effectExtent l="4445" t="4445" r="5080" b="19050"/>
            <wp:docPr id="6" name="图表 6" descr="7b0a202020202263686172745265734964223a2022383733373733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spacing w:line="600" w:lineRule="exact"/>
        <w:ind w:firstLine="640" w:firstLineChars="200"/>
        <w:rPr>
          <w:rFonts w:ascii="仿宋_GB2312" w:eastAsia="仿宋_GB2312"/>
          <w:color w:val="auto"/>
          <w:sz w:val="32"/>
          <w:szCs w:val="32"/>
          <w:highlight w:val="none"/>
        </w:rPr>
      </w:pPr>
    </w:p>
    <w:p>
      <w:pPr>
        <w:pStyle w:val="30"/>
        <w:numPr>
          <w:ilvl w:val="0"/>
          <w:numId w:val="2"/>
        </w:numPr>
        <w:spacing w:line="600" w:lineRule="exact"/>
        <w:ind w:firstLineChars="0"/>
        <w:outlineLvl w:val="1"/>
        <w:rPr>
          <w:rStyle w:val="32"/>
          <w:rFonts w:ascii="黑体" w:hAnsi="黑体" w:eastAsia="黑体"/>
          <w:b w:val="0"/>
          <w:color w:val="auto"/>
          <w:highlight w:val="none"/>
        </w:rPr>
      </w:pPr>
      <w:bookmarkStart w:id="43" w:name="_Toc15377207"/>
      <w:bookmarkStart w:id="44" w:name="_Toc15659"/>
      <w:bookmarkStart w:id="45" w:name="_Toc15396605"/>
      <w:r>
        <w:rPr>
          <w:rFonts w:hint="eastAsia" w:ascii="黑体" w:hAnsi="黑体" w:eastAsia="黑体"/>
          <w:color w:val="auto"/>
          <w:sz w:val="32"/>
          <w:szCs w:val="32"/>
          <w:highlight w:val="none"/>
        </w:rPr>
        <w:t>支</w:t>
      </w:r>
      <w:r>
        <w:rPr>
          <w:rStyle w:val="32"/>
          <w:rFonts w:hint="eastAsia" w:ascii="黑体" w:hAnsi="黑体" w:eastAsia="黑体"/>
          <w:b w:val="0"/>
          <w:color w:val="auto"/>
          <w:highlight w:val="none"/>
        </w:rPr>
        <w:t>出决算情况说明</w:t>
      </w:r>
      <w:bookmarkEnd w:id="43"/>
      <w:bookmarkEnd w:id="44"/>
      <w:bookmarkEnd w:id="45"/>
    </w:p>
    <w:p>
      <w:pPr>
        <w:spacing w:line="600" w:lineRule="exact"/>
        <w:ind w:firstLine="640" w:firstLineChars="200"/>
        <w:outlineLvl w:val="1"/>
        <w:rPr>
          <w:rFonts w:hint="eastAsia" w:ascii="仿宋" w:hAnsi="仿宋" w:eastAsia="仿宋"/>
          <w:color w:val="auto"/>
          <w:sz w:val="32"/>
          <w:szCs w:val="32"/>
          <w:highlight w:val="none"/>
        </w:rPr>
      </w:pPr>
      <w:bookmarkStart w:id="46" w:name="_Toc15541"/>
      <w:bookmarkStart w:id="47" w:name="_Toc26244"/>
      <w:bookmarkStart w:id="48" w:name="_Toc17097"/>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1081.2</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455.81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42.16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625.39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57.84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6"/>
      <w:bookmarkEnd w:id="47"/>
      <w:bookmarkEnd w:id="48"/>
    </w:p>
    <w:p>
      <w:pPr>
        <w:pStyle w:val="7"/>
        <w:rPr>
          <w:rFonts w:hint="eastAsia" w:ascii="仿宋" w:hAnsi="仿宋" w:eastAsia="仿宋"/>
          <w:color w:val="auto"/>
          <w:sz w:val="32"/>
          <w:szCs w:val="32"/>
          <w:highlight w:val="none"/>
          <w:shd w:val="pct10" w:color="auto" w:fill="FFFFFF"/>
          <w:lang w:eastAsia="zh-CN"/>
        </w:rPr>
      </w:pPr>
      <w:r>
        <w:rPr>
          <w:rFonts w:hint="eastAsia" w:ascii="仿宋" w:hAnsi="仿宋" w:eastAsia="仿宋"/>
          <w:color w:val="auto"/>
          <w:sz w:val="32"/>
          <w:szCs w:val="32"/>
          <w:highlight w:val="none"/>
          <w:shd w:val="pct10" w:color="auto" w:fill="FFFFFF"/>
          <w:lang w:eastAsia="zh-CN"/>
        </w:rPr>
        <w:drawing>
          <wp:inline distT="0" distB="0" distL="114300" distR="114300">
            <wp:extent cx="3731260" cy="2121535"/>
            <wp:effectExtent l="4445" t="5080" r="13335" b="6985"/>
            <wp:docPr id="7" name="图表 7" descr="7b0a202020202263686172745265734964223a2022383733373733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32"/>
          <w:rFonts w:ascii="黑体" w:hAnsi="黑体" w:eastAsia="黑体"/>
          <w:b w:val="0"/>
          <w:color w:val="auto"/>
          <w:highlight w:val="none"/>
        </w:rPr>
      </w:pPr>
      <w:bookmarkStart w:id="49" w:name="_Toc15396606"/>
      <w:bookmarkStart w:id="50" w:name="_Toc10477"/>
      <w:bookmarkStart w:id="51" w:name="_Toc15377208"/>
      <w:r>
        <w:rPr>
          <w:rFonts w:hint="eastAsia" w:ascii="黑体" w:hAnsi="黑体" w:eastAsia="黑体"/>
          <w:color w:val="auto"/>
          <w:sz w:val="32"/>
          <w:szCs w:val="32"/>
          <w:highlight w:val="none"/>
        </w:rPr>
        <w:t>四、财</w:t>
      </w:r>
      <w:r>
        <w:rPr>
          <w:rStyle w:val="32"/>
          <w:rFonts w:hint="eastAsia" w:ascii="黑体" w:hAnsi="黑体" w:eastAsia="黑体"/>
          <w:b w:val="0"/>
          <w:color w:val="auto"/>
          <w:highlight w:val="none"/>
        </w:rPr>
        <w:t>政拨款收入支出决算总体情况说明</w:t>
      </w:r>
      <w:bookmarkEnd w:id="49"/>
      <w:bookmarkEnd w:id="50"/>
      <w:bookmarkEnd w:id="51"/>
    </w:p>
    <w:p>
      <w:pPr>
        <w:spacing w:line="600"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1081.2</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162.58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17.7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项目增加。</w:t>
      </w:r>
    </w:p>
    <w:p>
      <w:pPr>
        <w:pStyle w:val="7"/>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053205" cy="2152015"/>
            <wp:effectExtent l="4445" t="4445" r="11430" b="762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32"/>
          <w:rFonts w:ascii="黑体" w:hAnsi="黑体" w:eastAsia="黑体"/>
          <w:b w:val="0"/>
          <w:color w:val="auto"/>
          <w:highlight w:val="none"/>
        </w:rPr>
      </w:pPr>
      <w:bookmarkStart w:id="52" w:name="_Toc15396607"/>
      <w:bookmarkStart w:id="53" w:name="_Toc15377209"/>
      <w:bookmarkStart w:id="54" w:name="_Toc12932"/>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2"/>
          <w:rFonts w:hint="eastAsia" w:ascii="黑体" w:hAnsi="黑体" w:eastAsia="黑体"/>
          <w:b w:val="0"/>
          <w:color w:val="auto"/>
          <w:highlight w:val="none"/>
        </w:rPr>
        <w:t>般公共预算财政拨款支出决算情况说明</w:t>
      </w:r>
      <w:bookmarkEnd w:id="52"/>
      <w:bookmarkEnd w:id="53"/>
      <w:bookmarkEnd w:id="54"/>
    </w:p>
    <w:p>
      <w:pPr>
        <w:spacing w:line="600" w:lineRule="exact"/>
        <w:ind w:firstLine="643" w:firstLineChars="200"/>
        <w:outlineLvl w:val="2"/>
        <w:rPr>
          <w:rFonts w:ascii="仿宋" w:hAnsi="仿宋" w:eastAsia="仿宋"/>
          <w:b/>
          <w:color w:val="auto"/>
          <w:sz w:val="32"/>
          <w:szCs w:val="32"/>
          <w:highlight w:val="none"/>
        </w:rPr>
      </w:pPr>
      <w:bookmarkStart w:id="55" w:name="_Toc16062"/>
      <w:bookmarkStart w:id="56" w:name="_Toc30631"/>
      <w:bookmarkStart w:id="57" w:name="_Toc19839"/>
      <w:bookmarkStart w:id="58" w:name="_Toc15377210"/>
      <w:r>
        <w:rPr>
          <w:rFonts w:hint="eastAsia" w:ascii="仿宋" w:hAnsi="仿宋" w:eastAsia="仿宋"/>
          <w:b/>
          <w:color w:val="auto"/>
          <w:sz w:val="32"/>
          <w:szCs w:val="32"/>
          <w:highlight w:val="none"/>
        </w:rPr>
        <w:t>（一）一般公共预算财政拨款支出决算总体情况</w:t>
      </w:r>
      <w:bookmarkEnd w:id="55"/>
      <w:bookmarkEnd w:id="56"/>
      <w:bookmarkEnd w:id="57"/>
      <w:bookmarkEnd w:id="58"/>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1081.2</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322.17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42.44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项目增加，增加了教育支出。</w:t>
      </w:r>
    </w:p>
    <w:p>
      <w:pPr>
        <w:pStyle w:val="7"/>
        <w:rPr>
          <w:rFonts w:hint="eastAsia"/>
          <w:lang w:val="en-US" w:eastAsia="zh-CN"/>
        </w:rPr>
      </w:pPr>
      <w:r>
        <w:rPr>
          <w:rFonts w:hint="eastAsia"/>
          <w:lang w:val="en-US" w:eastAsia="zh-CN"/>
        </w:rPr>
        <w:drawing>
          <wp:inline distT="0" distB="0" distL="114300" distR="114300">
            <wp:extent cx="4432935" cy="2566670"/>
            <wp:effectExtent l="4445" t="4445" r="12700" b="196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59" w:name="_Toc1808"/>
      <w:bookmarkStart w:id="60" w:name="_Toc23600"/>
      <w:bookmarkStart w:id="61" w:name="_Toc15377211"/>
      <w:bookmarkStart w:id="62" w:name="_Toc3263"/>
      <w:r>
        <w:rPr>
          <w:rFonts w:hint="eastAsia" w:ascii="仿宋" w:hAnsi="仿宋" w:eastAsia="仿宋"/>
          <w:b/>
          <w:color w:val="auto"/>
          <w:sz w:val="32"/>
          <w:szCs w:val="32"/>
          <w:highlight w:val="none"/>
        </w:rPr>
        <w:t>（二）一般公共预算财政拨款支出决算结构情况</w:t>
      </w:r>
      <w:bookmarkEnd w:id="59"/>
      <w:bookmarkEnd w:id="60"/>
      <w:bookmarkEnd w:id="61"/>
      <w:bookmarkEnd w:id="62"/>
    </w:p>
    <w:p>
      <w:pPr>
        <w:spacing w:line="600"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1081.2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教育支出</w:t>
      </w:r>
      <w:r>
        <w:rPr>
          <w:rFonts w:hint="eastAsia" w:ascii="仿宋" w:hAnsi="仿宋" w:eastAsia="仿宋"/>
          <w:color w:val="auto"/>
          <w:sz w:val="32"/>
          <w:szCs w:val="32"/>
          <w:highlight w:val="none"/>
          <w:lang w:val="en-US" w:eastAsia="zh-CN"/>
        </w:rPr>
        <w:t>200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49.36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4.57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798.91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73.89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32.93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3.04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7"/>
        <w:rPr>
          <w:rFonts w:hint="eastAsia"/>
          <w:lang w:eastAsia="zh-CN"/>
        </w:rPr>
      </w:pPr>
      <w:r>
        <w:rPr>
          <w:rFonts w:hint="eastAsia"/>
          <w:lang w:eastAsia="zh-CN"/>
        </w:rPr>
        <w:drawing>
          <wp:inline distT="0" distB="0" distL="114300" distR="114300">
            <wp:extent cx="4322445" cy="2221865"/>
            <wp:effectExtent l="4445" t="4445" r="16510" b="13970"/>
            <wp:docPr id="8" name="图表 8" descr="7b0a202020202263686172745265734964223a2022383733373733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63" w:name="_Toc14514"/>
      <w:bookmarkStart w:id="64" w:name="_Toc16793"/>
      <w:bookmarkStart w:id="65" w:name="_Toc30052"/>
      <w:bookmarkStart w:id="66" w:name="_Toc15377212"/>
      <w:r>
        <w:rPr>
          <w:rFonts w:hint="eastAsia" w:ascii="仿宋" w:hAnsi="仿宋" w:eastAsia="仿宋"/>
          <w:b/>
          <w:color w:val="auto"/>
          <w:sz w:val="32"/>
          <w:szCs w:val="32"/>
          <w:highlight w:val="none"/>
        </w:rPr>
        <w:t>（三）一般公共预算财政拨款支出决算具体情况</w:t>
      </w:r>
      <w:bookmarkEnd w:id="63"/>
      <w:bookmarkEnd w:id="64"/>
      <w:bookmarkEnd w:id="65"/>
      <w:bookmarkEnd w:id="66"/>
    </w:p>
    <w:p>
      <w:pPr>
        <w:spacing w:line="600" w:lineRule="exact"/>
        <w:ind w:firstLine="643" w:firstLineChars="200"/>
        <w:outlineLvl w:val="2"/>
        <w:rPr>
          <w:rFonts w:ascii="仿宋" w:hAnsi="仿宋" w:eastAsia="仿宋"/>
          <w:b/>
          <w:color w:val="auto"/>
          <w:sz w:val="32"/>
          <w:szCs w:val="32"/>
          <w:highlight w:val="none"/>
        </w:rPr>
      </w:pPr>
      <w:bookmarkStart w:id="67" w:name="_Toc8613"/>
      <w:bookmarkStart w:id="68" w:name="_Toc15377213"/>
      <w:bookmarkStart w:id="69" w:name="_Toc10174"/>
      <w:bookmarkStart w:id="70" w:name="_Toc15377444"/>
      <w:bookmarkStart w:id="71" w:name="_Toc15378460"/>
      <w:bookmarkStart w:id="72" w:name="_Toc28172"/>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1081.2万元</w:t>
      </w:r>
      <w:r>
        <w:rPr>
          <w:rFonts w:hint="eastAsia" w:ascii="仿宋" w:hAnsi="仿宋" w:eastAsia="仿宋"/>
          <w:color w:val="auto"/>
          <w:sz w:val="32"/>
          <w:szCs w:val="32"/>
          <w:highlight w:val="none"/>
        </w:rPr>
        <w:t>，</w:t>
      </w:r>
      <w:r>
        <w:rPr>
          <w:rStyle w:val="20"/>
          <w:rFonts w:hint="eastAsia" w:ascii="仿宋" w:hAnsi="仿宋" w:eastAsia="仿宋"/>
          <w:bCs/>
          <w:color w:val="auto"/>
          <w:sz w:val="32"/>
          <w:szCs w:val="32"/>
          <w:highlight w:val="none"/>
        </w:rPr>
        <w:t>完成预算</w:t>
      </w:r>
      <w:r>
        <w:rPr>
          <w:rStyle w:val="20"/>
          <w:rFonts w:hint="eastAsia" w:ascii="仿宋" w:hAnsi="仿宋" w:eastAsia="仿宋"/>
          <w:bCs/>
          <w:color w:val="auto"/>
          <w:sz w:val="32"/>
          <w:szCs w:val="32"/>
          <w:highlight w:val="none"/>
          <w:lang w:val="en-US" w:eastAsia="zh-CN"/>
        </w:rPr>
        <w:t>100</w:t>
      </w:r>
      <w:r>
        <w:rPr>
          <w:rStyle w:val="20"/>
          <w:rFonts w:ascii="仿宋" w:hAnsi="仿宋" w:eastAsia="仿宋"/>
          <w:bCs/>
          <w:color w:val="auto"/>
          <w:sz w:val="32"/>
          <w:szCs w:val="32"/>
          <w:highlight w:val="none"/>
        </w:rPr>
        <w:t>%</w:t>
      </w:r>
      <w:r>
        <w:rPr>
          <w:rStyle w:val="20"/>
          <w:rFonts w:hint="eastAsia" w:ascii="仿宋" w:hAnsi="仿宋" w:eastAsia="仿宋"/>
          <w:bCs/>
          <w:color w:val="auto"/>
          <w:sz w:val="32"/>
          <w:szCs w:val="32"/>
          <w:highlight w:val="none"/>
        </w:rPr>
        <w:t>。其中：</w:t>
      </w:r>
      <w:bookmarkEnd w:id="67"/>
      <w:bookmarkEnd w:id="68"/>
      <w:bookmarkEnd w:id="69"/>
      <w:bookmarkEnd w:id="70"/>
      <w:bookmarkEnd w:id="71"/>
      <w:bookmarkEnd w:id="72"/>
    </w:p>
    <w:p>
      <w:pPr>
        <w:spacing w:line="600" w:lineRule="exact"/>
        <w:ind w:firstLine="643" w:firstLineChars="200"/>
        <w:rPr>
          <w:rFonts w:ascii="仿宋" w:hAnsi="仿宋" w:eastAsia="仿宋"/>
          <w:b/>
          <w:color w:val="auto"/>
          <w:sz w:val="32"/>
          <w:szCs w:val="32"/>
          <w:highlight w:val="none"/>
        </w:rPr>
      </w:pPr>
      <w:r>
        <w:rPr>
          <w:rStyle w:val="20"/>
          <w:rFonts w:hint="eastAsia" w:ascii="仿宋" w:hAnsi="仿宋" w:eastAsia="仿宋"/>
          <w:bCs/>
          <w:color w:val="auto"/>
          <w:sz w:val="32"/>
          <w:szCs w:val="32"/>
          <w:highlight w:val="none"/>
          <w:lang w:val="en-US" w:eastAsia="zh-CN"/>
        </w:rPr>
        <w:t>1.</w:t>
      </w:r>
      <w:r>
        <w:rPr>
          <w:rStyle w:val="20"/>
          <w:rFonts w:hint="eastAsia" w:ascii="仿宋" w:hAnsi="仿宋" w:eastAsia="仿宋"/>
          <w:bCs/>
          <w:color w:val="auto"/>
          <w:sz w:val="32"/>
          <w:szCs w:val="32"/>
          <w:highlight w:val="none"/>
        </w:rPr>
        <w:t>教育（类）</w:t>
      </w:r>
      <w:r>
        <w:rPr>
          <w:rStyle w:val="20"/>
          <w:rFonts w:hint="eastAsia" w:ascii="仿宋" w:hAnsi="仿宋" w:eastAsia="仿宋"/>
          <w:bCs/>
          <w:color w:val="auto"/>
          <w:sz w:val="32"/>
          <w:szCs w:val="32"/>
          <w:highlight w:val="none"/>
          <w:lang w:eastAsia="zh-CN"/>
        </w:rPr>
        <w:t>其他教育支出</w:t>
      </w:r>
      <w:r>
        <w:rPr>
          <w:rStyle w:val="20"/>
          <w:rFonts w:hint="eastAsia" w:ascii="仿宋" w:hAnsi="仿宋" w:eastAsia="仿宋"/>
          <w:bCs/>
          <w:color w:val="auto"/>
          <w:sz w:val="32"/>
          <w:szCs w:val="32"/>
          <w:highlight w:val="none"/>
        </w:rPr>
        <w:t>（款）</w:t>
      </w:r>
      <w:r>
        <w:rPr>
          <w:rStyle w:val="20"/>
          <w:rFonts w:hint="eastAsia" w:ascii="仿宋" w:hAnsi="仿宋" w:eastAsia="仿宋"/>
          <w:bCs/>
          <w:color w:val="auto"/>
          <w:sz w:val="32"/>
          <w:szCs w:val="32"/>
          <w:highlight w:val="none"/>
          <w:lang w:eastAsia="zh-CN"/>
        </w:rPr>
        <w:t>其他教育支出</w:t>
      </w:r>
      <w:r>
        <w:rPr>
          <w:rStyle w:val="20"/>
          <w:rFonts w:hint="eastAsia" w:ascii="仿宋" w:hAnsi="仿宋" w:eastAsia="仿宋"/>
          <w:bCs/>
          <w:color w:val="auto"/>
          <w:sz w:val="32"/>
          <w:szCs w:val="32"/>
          <w:highlight w:val="none"/>
        </w:rPr>
        <w:t>（项）</w:t>
      </w:r>
      <w:r>
        <w:rPr>
          <w:rStyle w:val="20"/>
          <w:rFonts w:ascii="仿宋" w:hAnsi="仿宋" w:eastAsia="仿宋"/>
          <w:bCs/>
          <w:color w:val="auto"/>
          <w:sz w:val="32"/>
          <w:szCs w:val="32"/>
          <w:highlight w:val="none"/>
        </w:rPr>
        <w:t>:</w:t>
      </w:r>
      <w:r>
        <w:rPr>
          <w:rStyle w:val="20"/>
          <w:rFonts w:ascii="仿宋" w:hAnsi="仿宋" w:eastAsia="仿宋"/>
          <w:b w:val="0"/>
          <w:bCs/>
          <w:color w:val="auto"/>
          <w:sz w:val="32"/>
          <w:szCs w:val="32"/>
          <w:highlight w:val="none"/>
        </w:rPr>
        <w:t xml:space="preserve"> </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200</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p>
    <w:p>
      <w:pPr>
        <w:spacing w:line="600" w:lineRule="exact"/>
        <w:ind w:firstLine="643" w:firstLineChars="200"/>
        <w:rPr>
          <w:rStyle w:val="20"/>
          <w:rFonts w:hint="eastAsia" w:ascii="仿宋" w:hAnsi="仿宋" w:eastAsia="仿宋"/>
          <w:bCs/>
          <w:color w:val="auto"/>
          <w:sz w:val="32"/>
          <w:szCs w:val="32"/>
          <w:highlight w:val="none"/>
          <w:lang w:eastAsia="zh-CN"/>
        </w:rPr>
      </w:pPr>
      <w:r>
        <w:rPr>
          <w:rStyle w:val="20"/>
          <w:rFonts w:hint="eastAsia" w:ascii="仿宋" w:hAnsi="仿宋" w:eastAsia="仿宋"/>
          <w:bCs/>
          <w:color w:val="auto"/>
          <w:sz w:val="32"/>
          <w:szCs w:val="32"/>
          <w:highlight w:val="none"/>
          <w:lang w:val="en-US" w:eastAsia="zh-CN"/>
        </w:rPr>
        <w:t>2.</w:t>
      </w:r>
      <w:r>
        <w:rPr>
          <w:rStyle w:val="20"/>
          <w:rFonts w:hint="eastAsia" w:ascii="仿宋" w:hAnsi="仿宋" w:eastAsia="仿宋"/>
          <w:bCs/>
          <w:color w:val="auto"/>
          <w:sz w:val="32"/>
          <w:szCs w:val="32"/>
          <w:highlight w:val="none"/>
        </w:rPr>
        <w:t>社会保障和就业（类）行政事业单位养老支出（款）机关事业单位基本养老保险缴费支出（项）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43.81</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lang w:eastAsia="zh-CN"/>
        </w:rPr>
        <w:t>。</w:t>
      </w:r>
    </w:p>
    <w:p>
      <w:pPr>
        <w:spacing w:line="600" w:lineRule="exact"/>
        <w:ind w:firstLine="643" w:firstLineChars="200"/>
        <w:rPr>
          <w:rFonts w:ascii="仿宋" w:hAnsi="仿宋" w:eastAsia="仿宋"/>
          <w:b/>
          <w:color w:val="auto"/>
          <w:sz w:val="32"/>
          <w:szCs w:val="32"/>
          <w:highlight w:val="none"/>
        </w:rPr>
      </w:pPr>
      <w:r>
        <w:rPr>
          <w:rStyle w:val="20"/>
          <w:rFonts w:hint="eastAsia" w:ascii="仿宋" w:hAnsi="仿宋" w:eastAsia="仿宋"/>
          <w:bCs/>
          <w:color w:val="auto"/>
          <w:sz w:val="32"/>
          <w:szCs w:val="32"/>
          <w:highlight w:val="none"/>
          <w:lang w:val="en-US" w:eastAsia="zh-CN"/>
        </w:rPr>
        <w:t>3.</w:t>
      </w:r>
      <w:r>
        <w:rPr>
          <w:rStyle w:val="20"/>
          <w:rFonts w:hint="eastAsia" w:ascii="仿宋" w:hAnsi="仿宋" w:eastAsia="仿宋"/>
          <w:bCs/>
          <w:color w:val="auto"/>
          <w:sz w:val="32"/>
          <w:szCs w:val="32"/>
          <w:highlight w:val="none"/>
        </w:rPr>
        <w:t>社会保障和就业（类）行政事业单位养老支出（款）机关事业单位职业年金缴费支出（项）</w:t>
      </w:r>
      <w:r>
        <w:rPr>
          <w:rStyle w:val="20"/>
          <w:rFonts w:ascii="仿宋" w:hAnsi="仿宋" w:eastAsia="仿宋"/>
          <w:bCs/>
          <w:color w:val="auto"/>
          <w:sz w:val="32"/>
          <w:szCs w:val="32"/>
          <w:highlight w:val="none"/>
        </w:rPr>
        <w:t>:</w:t>
      </w:r>
      <w:r>
        <w:rPr>
          <w:rStyle w:val="20"/>
          <w:rFonts w:ascii="仿宋" w:hAnsi="仿宋" w:eastAsia="仿宋"/>
          <w:b w:val="0"/>
          <w:bCs/>
          <w:color w:val="auto"/>
          <w:sz w:val="32"/>
          <w:szCs w:val="32"/>
          <w:highlight w:val="none"/>
        </w:rPr>
        <w:t xml:space="preserve"> </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5.55</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20"/>
          <w:rFonts w:hint="eastAsia" w:ascii="仿宋" w:hAnsi="仿宋" w:eastAsia="仿宋"/>
          <w:bCs/>
          <w:color w:val="auto"/>
          <w:sz w:val="32"/>
          <w:szCs w:val="32"/>
          <w:highlight w:val="none"/>
          <w:lang w:val="en-US" w:eastAsia="zh-CN"/>
        </w:rPr>
        <w:t>4</w:t>
      </w:r>
      <w:r>
        <w:rPr>
          <w:rStyle w:val="20"/>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20"/>
          <w:rFonts w:hint="eastAsia" w:ascii="仿宋" w:hAnsi="仿宋" w:eastAsia="仿宋"/>
          <w:bCs/>
          <w:color w:val="auto"/>
          <w:sz w:val="32"/>
          <w:szCs w:val="32"/>
          <w:highlight w:val="none"/>
        </w:rPr>
        <w:t>（类）卫生健康管理事务（款）行政运行（项）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40.34</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20"/>
          <w:rFonts w:hint="eastAsia" w:ascii="仿宋" w:hAnsi="仿宋" w:eastAsia="仿宋"/>
          <w:bCs/>
          <w:color w:val="auto"/>
          <w:sz w:val="32"/>
          <w:szCs w:val="32"/>
          <w:highlight w:val="none"/>
          <w:lang w:val="en-US" w:eastAsia="zh-CN"/>
        </w:rPr>
        <w:t>5</w:t>
      </w:r>
      <w:r>
        <w:rPr>
          <w:rStyle w:val="20"/>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20"/>
          <w:rFonts w:hint="eastAsia" w:ascii="仿宋" w:hAnsi="仿宋" w:eastAsia="仿宋"/>
          <w:bCs/>
          <w:color w:val="auto"/>
          <w:sz w:val="32"/>
          <w:szCs w:val="32"/>
          <w:highlight w:val="none"/>
        </w:rPr>
        <w:t>（类）公共卫生（款）疾病预防控制机构（项）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329.26</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20"/>
          <w:rFonts w:ascii="仿宋" w:hAnsi="仿宋" w:eastAsia="仿宋"/>
          <w:bCs/>
          <w:color w:val="auto"/>
          <w:sz w:val="32"/>
          <w:szCs w:val="32"/>
          <w:highlight w:val="none"/>
        </w:rPr>
        <w:t>6.</w:t>
      </w:r>
      <w:r>
        <w:rPr>
          <w:rFonts w:hint="eastAsia" w:ascii="仿宋" w:hAnsi="仿宋" w:eastAsia="仿宋"/>
          <w:b/>
          <w:bCs/>
          <w:color w:val="auto"/>
          <w:sz w:val="32"/>
          <w:szCs w:val="32"/>
          <w:highlight w:val="none"/>
        </w:rPr>
        <w:t>卫生健康</w:t>
      </w:r>
      <w:r>
        <w:rPr>
          <w:rStyle w:val="20"/>
          <w:rFonts w:hint="eastAsia" w:ascii="仿宋" w:hAnsi="仿宋" w:eastAsia="仿宋"/>
          <w:bCs/>
          <w:color w:val="auto"/>
          <w:sz w:val="32"/>
          <w:szCs w:val="32"/>
          <w:highlight w:val="none"/>
        </w:rPr>
        <w:t>（类）公共卫生（款）重大公共卫生服务（项）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200</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20"/>
          <w:rFonts w:hint="eastAsia" w:ascii="仿宋" w:hAnsi="仿宋" w:eastAsia="仿宋"/>
          <w:bCs/>
          <w:color w:val="auto"/>
          <w:sz w:val="32"/>
          <w:szCs w:val="32"/>
          <w:highlight w:val="none"/>
          <w:lang w:val="en-US" w:eastAsia="zh-CN"/>
        </w:rPr>
        <w:t>7</w:t>
      </w:r>
      <w:r>
        <w:rPr>
          <w:rStyle w:val="20"/>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20"/>
          <w:rFonts w:hint="eastAsia" w:ascii="仿宋" w:hAnsi="仿宋" w:eastAsia="仿宋"/>
          <w:bCs/>
          <w:color w:val="auto"/>
          <w:sz w:val="32"/>
          <w:szCs w:val="32"/>
          <w:highlight w:val="none"/>
        </w:rPr>
        <w:t>（类）公共卫生（款）其他公共卫生支出（项）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13.39</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20"/>
          <w:rFonts w:hint="eastAsia" w:ascii="仿宋" w:hAnsi="仿宋" w:eastAsia="仿宋"/>
          <w:bCs/>
          <w:color w:val="auto"/>
          <w:sz w:val="32"/>
          <w:szCs w:val="32"/>
          <w:highlight w:val="none"/>
          <w:lang w:val="en-US" w:eastAsia="zh-CN"/>
        </w:rPr>
        <w:t>8</w:t>
      </w:r>
      <w:r>
        <w:rPr>
          <w:rStyle w:val="20"/>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20"/>
          <w:rFonts w:hint="eastAsia" w:ascii="仿宋" w:hAnsi="仿宋" w:eastAsia="仿宋"/>
          <w:bCs/>
          <w:color w:val="auto"/>
          <w:sz w:val="32"/>
          <w:szCs w:val="32"/>
          <w:highlight w:val="none"/>
        </w:rPr>
        <w:t>（类）行政事业单位医疗（款）事业单位医疗（项）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15.92</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p>
    <w:p>
      <w:pPr>
        <w:spacing w:line="600" w:lineRule="exact"/>
        <w:ind w:firstLine="643" w:firstLineChars="200"/>
        <w:rPr>
          <w:rStyle w:val="20"/>
          <w:rFonts w:hint="eastAsia" w:ascii="仿宋" w:hAnsi="仿宋" w:eastAsia="仿宋"/>
          <w:b w:val="0"/>
          <w:bCs/>
          <w:color w:val="auto"/>
          <w:sz w:val="32"/>
          <w:szCs w:val="32"/>
          <w:highlight w:val="none"/>
        </w:rPr>
      </w:pPr>
      <w:r>
        <w:rPr>
          <w:rStyle w:val="20"/>
          <w:rFonts w:hint="eastAsia" w:ascii="仿宋" w:hAnsi="仿宋" w:eastAsia="仿宋"/>
          <w:bCs/>
          <w:color w:val="auto"/>
          <w:sz w:val="32"/>
          <w:szCs w:val="32"/>
          <w:highlight w:val="none"/>
          <w:lang w:val="en-US" w:eastAsia="zh-CN"/>
        </w:rPr>
        <w:t>9</w:t>
      </w:r>
      <w:r>
        <w:rPr>
          <w:rStyle w:val="20"/>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20"/>
          <w:rFonts w:hint="eastAsia" w:ascii="仿宋" w:hAnsi="仿宋" w:eastAsia="仿宋"/>
          <w:bCs/>
          <w:color w:val="auto"/>
          <w:sz w:val="32"/>
          <w:szCs w:val="32"/>
          <w:highlight w:val="none"/>
        </w:rPr>
        <w:t>（类）其他卫生健康支出（款）其他卫生健康支出（项）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200</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p>
    <w:p>
      <w:pPr>
        <w:pStyle w:val="7"/>
        <w:keepNext w:val="0"/>
        <w:keepLines w:val="0"/>
        <w:pageBreakBefore w:val="0"/>
        <w:widowControl w:val="0"/>
        <w:tabs>
          <w:tab w:val="left" w:pos="782"/>
        </w:tabs>
        <w:kinsoku/>
        <w:wordWrap/>
        <w:overflowPunct/>
        <w:topLinePunct w:val="0"/>
        <w:autoSpaceDE/>
        <w:autoSpaceDN/>
        <w:bidi w:val="0"/>
        <w:adjustRightInd/>
        <w:snapToGrid/>
        <w:ind w:firstLine="643" w:firstLineChars="200"/>
        <w:textAlignment w:val="auto"/>
        <w:rPr>
          <w:rStyle w:val="20"/>
          <w:rFonts w:hint="eastAsia" w:ascii="仿宋" w:hAnsi="仿宋" w:eastAsia="仿宋"/>
          <w:b w:val="0"/>
          <w:bCs/>
          <w:color w:val="auto"/>
          <w:sz w:val="32"/>
          <w:szCs w:val="32"/>
          <w:highlight w:val="none"/>
        </w:rPr>
      </w:pPr>
      <w:r>
        <w:rPr>
          <w:rStyle w:val="20"/>
          <w:rFonts w:hint="eastAsia" w:ascii="仿宋" w:hAnsi="仿宋" w:eastAsia="仿宋"/>
          <w:bCs/>
          <w:color w:val="auto"/>
          <w:sz w:val="32"/>
          <w:szCs w:val="32"/>
          <w:highlight w:val="none"/>
          <w:lang w:val="en-US" w:eastAsia="zh-CN"/>
        </w:rPr>
        <w:t>10</w:t>
      </w:r>
      <w:r>
        <w:rPr>
          <w:rStyle w:val="20"/>
          <w:rFonts w:ascii="仿宋" w:hAnsi="仿宋" w:eastAsia="仿宋"/>
          <w:bCs/>
          <w:color w:val="auto"/>
          <w:sz w:val="32"/>
          <w:szCs w:val="32"/>
          <w:highlight w:val="none"/>
        </w:rPr>
        <w:t>.</w:t>
      </w:r>
      <w:r>
        <w:rPr>
          <w:rFonts w:hint="eastAsia" w:ascii="仿宋" w:hAnsi="仿宋" w:eastAsia="仿宋"/>
          <w:b/>
          <w:bCs/>
          <w:color w:val="auto"/>
          <w:sz w:val="32"/>
          <w:szCs w:val="32"/>
          <w:highlight w:val="none"/>
          <w:lang w:eastAsia="zh-CN"/>
        </w:rPr>
        <w:t>住房保障支出</w:t>
      </w:r>
      <w:r>
        <w:rPr>
          <w:rStyle w:val="20"/>
          <w:rFonts w:hint="eastAsia" w:ascii="仿宋" w:hAnsi="仿宋" w:eastAsia="仿宋"/>
          <w:bCs/>
          <w:color w:val="auto"/>
          <w:sz w:val="32"/>
          <w:szCs w:val="32"/>
          <w:highlight w:val="none"/>
        </w:rPr>
        <w:t>（类）住房改革支出（款）住房公积金（项）</w:t>
      </w:r>
      <w:r>
        <w:rPr>
          <w:rStyle w:val="20"/>
          <w:rFonts w:ascii="仿宋" w:hAnsi="仿宋" w:eastAsia="仿宋"/>
          <w:bCs/>
          <w:color w:val="auto"/>
          <w:sz w:val="32"/>
          <w:szCs w:val="32"/>
          <w:highlight w:val="none"/>
        </w:rPr>
        <w:t>:</w:t>
      </w:r>
      <w:r>
        <w:rPr>
          <w:rStyle w:val="20"/>
          <w:rFonts w:hint="eastAsia" w:ascii="仿宋" w:hAnsi="仿宋" w:eastAsia="仿宋"/>
          <w:b w:val="0"/>
          <w:bCs/>
          <w:color w:val="auto"/>
          <w:sz w:val="32"/>
          <w:szCs w:val="32"/>
          <w:highlight w:val="none"/>
        </w:rPr>
        <w:t>支出决算为</w:t>
      </w:r>
      <w:r>
        <w:rPr>
          <w:rStyle w:val="20"/>
          <w:rFonts w:hint="eastAsia" w:ascii="仿宋" w:hAnsi="仿宋" w:eastAsia="仿宋"/>
          <w:b w:val="0"/>
          <w:bCs/>
          <w:color w:val="auto"/>
          <w:sz w:val="32"/>
          <w:szCs w:val="32"/>
          <w:highlight w:val="none"/>
          <w:lang w:val="en-US" w:eastAsia="zh-CN"/>
        </w:rPr>
        <w:t>32.93</w:t>
      </w:r>
      <w:r>
        <w:rPr>
          <w:rStyle w:val="20"/>
          <w:rFonts w:hint="eastAsia" w:ascii="仿宋" w:hAnsi="仿宋" w:eastAsia="仿宋"/>
          <w:b w:val="0"/>
          <w:bCs/>
          <w:color w:val="auto"/>
          <w:sz w:val="32"/>
          <w:szCs w:val="32"/>
          <w:highlight w:val="none"/>
        </w:rPr>
        <w:t>万元，完成预算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32"/>
          <w:color w:val="auto"/>
          <w:highlight w:val="none"/>
        </w:rPr>
      </w:pPr>
      <w:bookmarkStart w:id="73" w:name="_Toc13351"/>
      <w:bookmarkStart w:id="74" w:name="_Toc15377214"/>
      <w:bookmarkStart w:id="7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2"/>
          <w:rFonts w:hint="eastAsia" w:ascii="黑体" w:hAnsi="黑体" w:eastAsia="黑体"/>
          <w:b w:val="0"/>
          <w:color w:val="auto"/>
          <w:highlight w:val="none"/>
        </w:rPr>
        <w:t>般公共预算财政拨款基本支出决算情况说明</w:t>
      </w:r>
      <w:bookmarkEnd w:id="73"/>
      <w:bookmarkEnd w:id="74"/>
      <w:bookmarkEnd w:id="75"/>
      <w:r>
        <w:rPr>
          <w:rStyle w:val="32"/>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455.81</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395.11</w:t>
      </w:r>
      <w:r>
        <w:rPr>
          <w:rFonts w:hint="eastAsia" w:ascii="仿宋" w:hAnsi="仿宋" w:eastAsia="仿宋"/>
          <w:color w:val="auto"/>
          <w:sz w:val="32"/>
          <w:szCs w:val="32"/>
          <w:highlight w:val="none"/>
        </w:rPr>
        <w:t>万元，主要包括：基本工资、津贴补贴、绩效工资、机关事业单位基本养老保险缴费、职业年金缴费、其他社会保障缴费、住房公积金。</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60.70</w:t>
      </w:r>
      <w:r>
        <w:rPr>
          <w:rFonts w:hint="eastAsia" w:ascii="仿宋" w:hAnsi="仿宋" w:eastAsia="仿宋"/>
          <w:color w:val="auto"/>
          <w:sz w:val="32"/>
          <w:szCs w:val="32"/>
          <w:highlight w:val="none"/>
        </w:rPr>
        <w:t>万元，主要包括：办公费、印刷费、咨询费、手续费、水费、电费、邮电费、取暖费、差旅费、维修（护）费、会议费、培训费、公务接待费、</w:t>
      </w:r>
      <w:r>
        <w:rPr>
          <w:rFonts w:hint="eastAsia" w:ascii="仿宋" w:hAnsi="仿宋" w:eastAsia="仿宋"/>
          <w:color w:val="auto"/>
          <w:sz w:val="32"/>
          <w:szCs w:val="32"/>
          <w:highlight w:val="none"/>
          <w:lang w:eastAsia="zh-CN"/>
        </w:rPr>
        <w:t>专用材料费、</w:t>
      </w:r>
      <w:r>
        <w:rPr>
          <w:rFonts w:hint="eastAsia" w:ascii="仿宋" w:hAnsi="仿宋" w:eastAsia="仿宋"/>
          <w:color w:val="auto"/>
          <w:sz w:val="32"/>
          <w:szCs w:val="32"/>
          <w:highlight w:val="none"/>
        </w:rPr>
        <w:t>劳务费、公务用车运行维护费。</w:t>
      </w:r>
    </w:p>
    <w:p>
      <w:pPr>
        <w:spacing w:line="600" w:lineRule="exact"/>
        <w:rPr>
          <w:rFonts w:ascii="仿宋" w:hAnsi="仿宋" w:eastAsia="仿宋"/>
          <w:b/>
          <w:color w:val="auto"/>
          <w:sz w:val="32"/>
          <w:szCs w:val="32"/>
          <w:highlight w:val="none"/>
        </w:rPr>
      </w:pPr>
    </w:p>
    <w:p>
      <w:pPr>
        <w:spacing w:line="600" w:lineRule="exact"/>
        <w:ind w:firstLine="640"/>
        <w:outlineLvl w:val="1"/>
        <w:rPr>
          <w:rStyle w:val="32"/>
          <w:rFonts w:ascii="黑体" w:hAnsi="黑体" w:eastAsia="黑体"/>
          <w:b w:val="0"/>
          <w:color w:val="auto"/>
          <w:highlight w:val="none"/>
        </w:rPr>
      </w:pPr>
      <w:bookmarkStart w:id="76" w:name="_Toc6496"/>
      <w:bookmarkStart w:id="77" w:name="_Toc15377215"/>
      <w:bookmarkStart w:id="78" w:name="_Toc15396609"/>
      <w:r>
        <w:rPr>
          <w:rFonts w:hint="eastAsia" w:ascii="黑体" w:eastAsia="黑体"/>
          <w:color w:val="auto"/>
          <w:sz w:val="32"/>
          <w:szCs w:val="32"/>
          <w:highlight w:val="none"/>
        </w:rPr>
        <w:t>七、</w:t>
      </w:r>
      <w:r>
        <w:rPr>
          <w:rStyle w:val="32"/>
          <w:rFonts w:hint="eastAsia" w:ascii="黑体" w:hAnsi="黑体" w:eastAsia="黑体"/>
          <w:b w:val="0"/>
          <w:color w:val="auto"/>
          <w:highlight w:val="none"/>
        </w:rPr>
        <w:t>财政拨款</w:t>
      </w:r>
      <w:r>
        <w:rPr>
          <w:rStyle w:val="32"/>
          <w:rFonts w:hint="eastAsia" w:ascii="黑体" w:hAnsi="黑体" w:eastAsia="黑体"/>
          <w:color w:val="auto"/>
          <w:highlight w:val="none"/>
        </w:rPr>
        <w:t>“</w:t>
      </w:r>
      <w:r>
        <w:rPr>
          <w:rStyle w:val="32"/>
          <w:rFonts w:hint="eastAsia" w:ascii="黑体" w:hAnsi="黑体" w:eastAsia="黑体"/>
          <w:b w:val="0"/>
          <w:color w:val="auto"/>
          <w:highlight w:val="none"/>
        </w:rPr>
        <w:t>三公”经费支出决算情况说明</w:t>
      </w:r>
      <w:bookmarkEnd w:id="76"/>
      <w:bookmarkEnd w:id="77"/>
      <w:bookmarkEnd w:id="78"/>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2"/>
        <w:rPr>
          <w:rFonts w:ascii="仿宋" w:hAnsi="仿宋" w:eastAsia="仿宋"/>
          <w:b/>
          <w:color w:val="auto"/>
          <w:sz w:val="32"/>
          <w:szCs w:val="32"/>
          <w:highlight w:val="none"/>
        </w:rPr>
      </w:pPr>
      <w:bookmarkStart w:id="79" w:name="_Toc24504"/>
      <w:bookmarkStart w:id="80" w:name="_Toc13671"/>
      <w:bookmarkStart w:id="81" w:name="_Toc27419"/>
      <w:bookmarkStart w:id="82" w:name="_Toc15377216"/>
      <w:r>
        <w:rPr>
          <w:rFonts w:hint="eastAsia" w:ascii="仿宋" w:hAnsi="仿宋" w:eastAsia="仿宋"/>
          <w:b/>
          <w:color w:val="auto"/>
          <w:sz w:val="32"/>
          <w:szCs w:val="32"/>
          <w:highlight w:val="none"/>
        </w:rPr>
        <w:t>（一）“三公”经费财政拨款支出决算总体情况说明</w:t>
      </w:r>
      <w:bookmarkEnd w:id="79"/>
      <w:bookmarkEnd w:id="80"/>
      <w:bookmarkEnd w:id="81"/>
      <w:bookmarkEnd w:id="82"/>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减少0.3万元，下降20%。</w:t>
      </w:r>
      <w:r>
        <w:rPr>
          <w:rFonts w:hint="eastAsia" w:ascii="仿宋" w:hAnsi="仿宋" w:eastAsia="仿宋"/>
          <w:color w:val="auto"/>
          <w:sz w:val="32"/>
          <w:szCs w:val="32"/>
          <w:highlight w:val="none"/>
        </w:rPr>
        <w:t>决算数与预算数持平的主要原因是</w:t>
      </w:r>
      <w:r>
        <w:rPr>
          <w:rFonts w:hint="eastAsia" w:ascii="仿宋" w:hAnsi="仿宋" w:eastAsia="仿宋"/>
          <w:color w:val="auto"/>
          <w:sz w:val="32"/>
          <w:szCs w:val="32"/>
          <w:highlight w:val="none"/>
          <w:lang w:eastAsia="zh-CN"/>
        </w:rPr>
        <w:t>严控三公经费支出，确保不超支</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83" w:name="_Toc15377217"/>
      <w:bookmarkStart w:id="84" w:name="_Toc2028"/>
      <w:bookmarkStart w:id="85" w:name="_Toc22640"/>
      <w:bookmarkStart w:id="86" w:name="_Toc4237"/>
      <w:r>
        <w:rPr>
          <w:rFonts w:hint="eastAsia" w:ascii="仿宋" w:hAnsi="仿宋" w:eastAsia="仿宋"/>
          <w:b/>
          <w:color w:val="auto"/>
          <w:sz w:val="32"/>
          <w:szCs w:val="32"/>
          <w:highlight w:val="none"/>
        </w:rPr>
        <w:t>（二）“三公”经费财政拨款支出决算具体情况说明</w:t>
      </w:r>
      <w:bookmarkEnd w:id="83"/>
      <w:bookmarkEnd w:id="84"/>
      <w:bookmarkEnd w:id="85"/>
      <w:bookmarkEnd w:id="86"/>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7"/>
        <w:rPr>
          <w:rFonts w:hint="eastAsia" w:eastAsia="仿宋"/>
          <w:lang w:eastAsia="zh-CN"/>
        </w:rPr>
      </w:pPr>
      <w:r>
        <w:rPr>
          <w:rFonts w:hint="eastAsia" w:eastAsia="仿宋"/>
          <w:lang w:eastAsia="zh-CN"/>
        </w:rPr>
        <w:drawing>
          <wp:inline distT="0" distB="0" distL="114300" distR="114300">
            <wp:extent cx="4343400" cy="2116455"/>
            <wp:effectExtent l="4445" t="4445" r="10795" b="12700"/>
            <wp:docPr id="4" name="图表 4" descr="7b0a202020202263686172745265734964223a2022383733373733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万元，年初未安排预算。因公出国（境）支出决算较202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年无变化。</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万元,年初未安排预算。公务用车购置及运行维护费支出决算</w:t>
      </w:r>
      <w:r>
        <w:rPr>
          <w:rFonts w:hint="eastAsia" w:ascii="仿宋_GB2312" w:eastAsia="仿宋_GB2312"/>
          <w:color w:val="auto"/>
          <w:sz w:val="32"/>
          <w:szCs w:val="32"/>
          <w:highlight w:val="none"/>
          <w:lang w:eastAsia="zh-CN"/>
        </w:rPr>
        <w:t>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无变化</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万元，</w:t>
      </w:r>
      <w:r>
        <w:rPr>
          <w:rStyle w:val="20"/>
          <w:rFonts w:hint="eastAsia" w:ascii="仿宋" w:hAnsi="仿宋" w:eastAsia="仿宋"/>
          <w:b w:val="0"/>
          <w:bCs/>
          <w:color w:val="auto"/>
          <w:sz w:val="32"/>
          <w:szCs w:val="32"/>
          <w:highlight w:val="none"/>
        </w:rPr>
        <w:t>完成预算</w:t>
      </w:r>
      <w:r>
        <w:rPr>
          <w:rStyle w:val="20"/>
          <w:rFonts w:hint="eastAsia" w:ascii="仿宋" w:hAnsi="仿宋" w:eastAsia="仿宋"/>
          <w:b w:val="0"/>
          <w:bCs/>
          <w:color w:val="auto"/>
          <w:sz w:val="32"/>
          <w:szCs w:val="32"/>
          <w:highlight w:val="none"/>
          <w:lang w:val="en-US" w:eastAsia="zh-CN"/>
        </w:rPr>
        <w:t>100</w:t>
      </w:r>
      <w:r>
        <w:rPr>
          <w:rStyle w:val="20"/>
          <w:rFonts w:ascii="仿宋" w:hAnsi="仿宋" w:eastAsia="仿宋"/>
          <w:b w:val="0"/>
          <w:bCs/>
          <w:color w:val="auto"/>
          <w:sz w:val="32"/>
          <w:szCs w:val="32"/>
          <w:highlight w:val="none"/>
        </w:rPr>
        <w:t>%</w:t>
      </w:r>
      <w:r>
        <w:rPr>
          <w:rStyle w:val="20"/>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0.3</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国内公务接待批次减少、人次减少</w:t>
      </w:r>
      <w:r>
        <w:rPr>
          <w:rFonts w:hint="eastAsia" w:ascii="仿宋_GB2312" w:eastAsia="仿宋_GB2312"/>
          <w:color w:val="auto"/>
          <w:sz w:val="32"/>
          <w:szCs w:val="32"/>
          <w:highlight w:val="none"/>
        </w:rPr>
        <w:t>。其中：</w:t>
      </w:r>
    </w:p>
    <w:p>
      <w:pPr>
        <w:spacing w:line="600" w:lineRule="exact"/>
        <w:ind w:firstLine="64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1.2</w:t>
      </w:r>
      <w:r>
        <w:rPr>
          <w:rFonts w:hint="eastAsia" w:ascii="仿宋_GB2312" w:eastAsia="仿宋_GB2312"/>
          <w:color w:val="auto"/>
          <w:sz w:val="32"/>
          <w:szCs w:val="32"/>
          <w:highlight w:val="none"/>
        </w:rPr>
        <w:t>万元，主要用于</w:t>
      </w:r>
      <w:r>
        <w:rPr>
          <w:rFonts w:hint="eastAsia" w:ascii="仿宋_GB2312" w:eastAsia="仿宋_GB2312"/>
          <w:b w:val="0"/>
          <w:bCs/>
          <w:color w:val="000000"/>
          <w:sz w:val="32"/>
          <w:szCs w:val="32"/>
          <w:lang w:eastAsia="zh-CN"/>
        </w:rPr>
        <w:t>各项病种的督导、检查等</w:t>
      </w:r>
      <w:r>
        <w:rPr>
          <w:rFonts w:hint="eastAsia" w:ascii="仿宋_GB2312" w:eastAsia="仿宋_GB2312"/>
          <w:b w:val="0"/>
          <w:bCs/>
          <w:color w:val="000000"/>
          <w:sz w:val="32"/>
          <w:szCs w:val="32"/>
        </w:rPr>
        <w:t>用餐费</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40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245</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新冠疫苗接种督导</w:t>
      </w:r>
      <w:r>
        <w:rPr>
          <w:rFonts w:hint="eastAsia" w:ascii="仿宋_GB2312" w:eastAsia="仿宋_GB2312"/>
          <w:color w:val="auto"/>
          <w:sz w:val="32"/>
          <w:szCs w:val="32"/>
          <w:highlight w:val="none"/>
          <w:lang w:val="en-US" w:eastAsia="zh-CN"/>
        </w:rPr>
        <w:t>0.3万元</w:t>
      </w:r>
      <w:r>
        <w:rPr>
          <w:rFonts w:hint="eastAsia" w:ascii="仿宋_GB2312" w:eastAsia="仿宋_GB2312"/>
          <w:color w:val="auto"/>
          <w:sz w:val="32"/>
          <w:szCs w:val="32"/>
          <w:highlight w:val="none"/>
          <w:lang w:eastAsia="zh-CN"/>
        </w:rPr>
        <w:t>、</w:t>
      </w:r>
      <w:r>
        <w:rPr>
          <w:rFonts w:hint="eastAsia" w:ascii="仿宋_GB2312" w:eastAsia="仿宋_GB2312"/>
          <w:color w:val="000000"/>
          <w:sz w:val="32"/>
          <w:szCs w:val="32"/>
          <w:lang w:val="en-US" w:eastAsia="zh-CN"/>
        </w:rPr>
        <w:t>艾滋病、结核病、慢病、学校卫生监测等重大传染病督导0.9万元</w:t>
      </w:r>
      <w:r>
        <w:rPr>
          <w:rFonts w:hint="eastAsia" w:ascii="仿宋_GB2312" w:eastAsia="仿宋_GB2312"/>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Fonts w:ascii="黑体" w:eastAsia="黑体"/>
          <w:color w:val="auto"/>
          <w:sz w:val="32"/>
          <w:szCs w:val="32"/>
          <w:highlight w:val="none"/>
        </w:rPr>
      </w:pPr>
      <w:bookmarkStart w:id="87" w:name="_Toc15396610"/>
      <w:bookmarkStart w:id="88" w:name="_Toc15377218"/>
    </w:p>
    <w:p>
      <w:pPr>
        <w:spacing w:line="600" w:lineRule="exact"/>
        <w:ind w:firstLine="640"/>
        <w:outlineLvl w:val="1"/>
        <w:rPr>
          <w:rStyle w:val="32"/>
          <w:rFonts w:ascii="黑体" w:hAnsi="黑体" w:eastAsia="黑体"/>
          <w:color w:val="auto"/>
          <w:highlight w:val="none"/>
        </w:rPr>
      </w:pPr>
      <w:bookmarkStart w:id="89" w:name="_Toc15210"/>
      <w:r>
        <w:rPr>
          <w:rFonts w:hint="eastAsia" w:ascii="黑体" w:eastAsia="黑体"/>
          <w:color w:val="auto"/>
          <w:sz w:val="32"/>
          <w:szCs w:val="32"/>
          <w:highlight w:val="none"/>
        </w:rPr>
        <w:t>八、</w:t>
      </w:r>
      <w:r>
        <w:rPr>
          <w:rStyle w:val="32"/>
          <w:rFonts w:hint="eastAsia" w:ascii="黑体" w:hAnsi="黑体" w:eastAsia="黑体"/>
          <w:b w:val="0"/>
          <w:color w:val="auto"/>
          <w:highlight w:val="none"/>
        </w:rPr>
        <w:t>政府性基金预算支出决算情况说明</w:t>
      </w:r>
      <w:bookmarkEnd w:id="87"/>
      <w:bookmarkEnd w:id="88"/>
      <w:bookmarkEnd w:id="89"/>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32"/>
          <w:rFonts w:ascii="黑体" w:hAnsi="黑体" w:eastAsia="黑体"/>
          <w:b w:val="0"/>
          <w:color w:val="auto"/>
          <w:highlight w:val="none"/>
        </w:rPr>
      </w:pPr>
      <w:bookmarkStart w:id="90" w:name="_Toc15377219"/>
      <w:bookmarkStart w:id="91" w:name="_Toc15396611"/>
      <w:bookmarkStart w:id="92" w:name="_Toc23016"/>
      <w:r>
        <w:rPr>
          <w:rStyle w:val="32"/>
          <w:rFonts w:hint="eastAsia" w:ascii="黑体" w:hAnsi="黑体" w:eastAsia="黑体"/>
          <w:b w:val="0"/>
          <w:color w:val="auto"/>
          <w:highlight w:val="none"/>
        </w:rPr>
        <w:t>国有资本经营预算支出决算情况说明</w:t>
      </w:r>
      <w:bookmarkEnd w:id="90"/>
      <w:bookmarkEnd w:id="91"/>
      <w:bookmarkEnd w:id="92"/>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 xml:space="preserve"> </w:t>
      </w:r>
    </w:p>
    <w:p>
      <w:pPr>
        <w:numPr>
          <w:ilvl w:val="0"/>
          <w:numId w:val="3"/>
        </w:numPr>
        <w:spacing w:line="600" w:lineRule="exact"/>
        <w:ind w:firstLine="640"/>
        <w:outlineLvl w:val="1"/>
        <w:rPr>
          <w:rStyle w:val="32"/>
          <w:rFonts w:hint="eastAsia" w:ascii="黑体" w:hAnsi="黑体" w:eastAsia="黑体"/>
          <w:b w:val="0"/>
          <w:color w:val="auto"/>
          <w:highlight w:val="none"/>
        </w:rPr>
      </w:pPr>
      <w:bookmarkStart w:id="93" w:name="_Toc15396612"/>
      <w:bookmarkStart w:id="94" w:name="_Toc15377221"/>
      <w:bookmarkStart w:id="95" w:name="_Toc25887"/>
      <w:r>
        <w:rPr>
          <w:rStyle w:val="32"/>
          <w:rFonts w:hint="eastAsia" w:ascii="黑体" w:hAnsi="黑体" w:eastAsia="黑体"/>
          <w:b w:val="0"/>
          <w:color w:val="auto"/>
          <w:highlight w:val="none"/>
        </w:rPr>
        <w:t>其他重要事项的情况说明</w:t>
      </w:r>
      <w:bookmarkEnd w:id="93"/>
      <w:bookmarkEnd w:id="94"/>
      <w:bookmarkEnd w:id="95"/>
    </w:p>
    <w:p>
      <w:pPr>
        <w:pStyle w:val="4"/>
        <w:bidi w:val="0"/>
      </w:pPr>
      <w:bookmarkStart w:id="96" w:name="_Toc15377222"/>
      <w:bookmarkStart w:id="97" w:name="_Toc6297"/>
      <w:bookmarkStart w:id="98" w:name="_Toc8449"/>
      <w:r>
        <w:rPr>
          <w:rFonts w:hint="eastAsia"/>
        </w:rPr>
        <w:t>（一）机关运行经费支出情况</w:t>
      </w:r>
      <w:bookmarkEnd w:id="96"/>
      <w:bookmarkEnd w:id="97"/>
      <w:bookmarkEnd w:id="98"/>
    </w:p>
    <w:p>
      <w:pPr>
        <w:spacing w:line="600" w:lineRule="exact"/>
        <w:ind w:firstLine="640" w:firstLineChars="200"/>
        <w:rPr>
          <w:rFonts w:hint="default" w:ascii="仿宋" w:hAnsi="仿宋" w:eastAsia="仿宋_GB2312" w:cs="仿宋"/>
          <w:b/>
          <w:bCs w:val="0"/>
          <w:i w:val="0"/>
          <w:iCs w:val="0"/>
          <w:caps w:val="0"/>
          <w:color w:val="000000"/>
          <w:spacing w:val="0"/>
          <w:sz w:val="32"/>
          <w:szCs w:val="32"/>
          <w:highlight w:val="yellow"/>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未发生机关运行经费支出，与2021年决算数持平。</w:t>
      </w:r>
    </w:p>
    <w:p>
      <w:pPr>
        <w:pStyle w:val="4"/>
        <w:keepNext/>
        <w:keepLines/>
        <w:pageBreakBefore w:val="0"/>
        <w:widowControl w:val="0"/>
        <w:kinsoku/>
        <w:wordWrap/>
        <w:overflowPunct/>
        <w:topLinePunct w:val="0"/>
        <w:autoSpaceDE/>
        <w:autoSpaceDN/>
        <w:bidi w:val="0"/>
        <w:adjustRightInd/>
        <w:snapToGrid/>
        <w:spacing w:before="0" w:after="0"/>
        <w:ind w:firstLine="641"/>
        <w:textAlignment w:val="auto"/>
      </w:pPr>
      <w:bookmarkStart w:id="99" w:name="_Toc15377223"/>
      <w:bookmarkStart w:id="100" w:name="_Toc25760"/>
      <w:bookmarkStart w:id="101" w:name="_Toc9022"/>
      <w:r>
        <w:rPr>
          <w:rFonts w:hint="eastAsia"/>
        </w:rPr>
        <w:t>（二）政府采购支出情况</w:t>
      </w:r>
      <w:bookmarkEnd w:id="99"/>
      <w:bookmarkEnd w:id="100"/>
      <w:bookmarkEnd w:id="101"/>
    </w:p>
    <w:p>
      <w:pPr>
        <w:spacing w:line="600" w:lineRule="exact"/>
        <w:ind w:firstLine="640" w:firstLineChars="200"/>
        <w:rPr>
          <w:rFonts w:ascii="仿宋_GB2312" w:eastAsia="仿宋_GB2312"/>
          <w:color w:val="auto"/>
          <w:sz w:val="32"/>
          <w:szCs w:val="32"/>
          <w:highlight w:val="none"/>
        </w:rPr>
      </w:pPr>
      <w:bookmarkStart w:id="102" w:name="_Toc15377224"/>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未发生</w:t>
      </w:r>
      <w:r>
        <w:rPr>
          <w:rFonts w:hint="eastAsia" w:ascii="仿宋_GB2312" w:eastAsia="仿宋_GB2312"/>
          <w:color w:val="auto"/>
          <w:sz w:val="32"/>
          <w:szCs w:val="32"/>
          <w:highlight w:val="none"/>
        </w:rPr>
        <w:t>政府采购支出。</w:t>
      </w:r>
    </w:p>
    <w:p>
      <w:pPr>
        <w:pStyle w:val="4"/>
        <w:keepNext/>
        <w:keepLines/>
        <w:pageBreakBefore w:val="0"/>
        <w:widowControl w:val="0"/>
        <w:kinsoku/>
        <w:wordWrap/>
        <w:overflowPunct/>
        <w:topLinePunct w:val="0"/>
        <w:autoSpaceDE/>
        <w:autoSpaceDN/>
        <w:bidi w:val="0"/>
        <w:adjustRightInd/>
        <w:snapToGrid/>
        <w:spacing w:before="0" w:after="0"/>
        <w:ind w:firstLine="641"/>
        <w:textAlignment w:val="auto"/>
      </w:pPr>
      <w:bookmarkStart w:id="103" w:name="_Toc26091"/>
      <w:bookmarkStart w:id="104" w:name="_Toc26304"/>
      <w:r>
        <w:rPr>
          <w:rFonts w:hint="eastAsia"/>
        </w:rPr>
        <w:t>（三）国有资产占有使用情况</w:t>
      </w:r>
      <w:bookmarkEnd w:id="102"/>
      <w:bookmarkEnd w:id="103"/>
      <w:bookmarkEnd w:id="104"/>
    </w:p>
    <w:p>
      <w:pPr>
        <w:autoSpaceDE w:val="0"/>
        <w:autoSpaceDN w:val="0"/>
        <w:adjustRightInd w:val="0"/>
        <w:spacing w:line="600" w:lineRule="exact"/>
        <w:ind w:firstLine="640" w:firstLineChars="200"/>
        <w:jc w:val="left"/>
        <w:rPr>
          <w:rFonts w:ascii="仿宋" w:hAns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广元市昭化区疾病预防控制中心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辆，其中：其他用车</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其他用车主要是用于疫苗配送转运。单价</w:t>
      </w:r>
      <w:r>
        <w:rPr>
          <w:rFonts w:hint="eastAsia" w:ascii="仿宋_GB2312" w:eastAsia="仿宋_GB2312"/>
          <w:color w:val="auto"/>
          <w:sz w:val="32"/>
          <w:szCs w:val="32"/>
          <w:highlight w:val="none"/>
          <w:lang w:val="en-US" w:eastAsia="zh-CN"/>
        </w:rPr>
        <w:t>50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台（套）。</w:t>
      </w:r>
    </w:p>
    <w:p>
      <w:pPr>
        <w:pStyle w:val="4"/>
        <w:bidi w:val="0"/>
      </w:pPr>
      <w:bookmarkStart w:id="105" w:name="_Toc30980"/>
      <w:bookmarkStart w:id="106" w:name="_Toc14808"/>
      <w:r>
        <w:rPr>
          <w:rFonts w:hint="eastAsia"/>
        </w:rPr>
        <w:t>（四）预算绩效管理情况</w:t>
      </w:r>
      <w:bookmarkEnd w:id="105"/>
      <w:bookmarkEnd w:id="106"/>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lang w:eastAsia="zh-CN"/>
        </w:rPr>
        <w:t>艾滋病防治、</w:t>
      </w:r>
      <w:r>
        <w:rPr>
          <w:rFonts w:hint="eastAsia" w:ascii="仿宋_GB2312" w:hAnsi="仿宋_GB2312" w:eastAsia="仿宋_GB2312" w:cs="仿宋_GB2312"/>
          <w:color w:val="auto"/>
          <w:sz w:val="32"/>
          <w:szCs w:val="32"/>
          <w:highlight w:val="none"/>
          <w:lang w:val="en-US" w:eastAsia="zh-CN"/>
        </w:rPr>
        <w:t>结核病防治、麻风病</w:t>
      </w:r>
      <w:r>
        <w:rPr>
          <w:rFonts w:hint="eastAsia" w:ascii="仿宋_GB2312" w:hAnsi="仿宋_GB2312" w:eastAsia="仿宋_GB2312" w:cs="仿宋_GB2312"/>
          <w:color w:val="auto"/>
          <w:sz w:val="32"/>
          <w:szCs w:val="32"/>
          <w:highlight w:val="none"/>
        </w:rPr>
        <w:t>项目等</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个项目开展绩效监控，组织对</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个项目开展绩效自评，绩效自评表</w:t>
      </w:r>
      <w:r>
        <w:rPr>
          <w:rFonts w:hint="eastAsia" w:ascii="仿宋_GB2312" w:hAnsi="仿宋_GB2312" w:eastAsia="仿宋_GB2312" w:cs="仿宋_GB2312"/>
          <w:color w:val="auto"/>
          <w:sz w:val="32"/>
          <w:szCs w:val="32"/>
          <w:highlight w:val="none"/>
          <w:lang w:val="en-US" w:eastAsia="zh-CN"/>
        </w:rPr>
        <w:t>详见第四部分附件。</w:t>
      </w:r>
    </w:p>
    <w:p>
      <w:pPr>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br w:type="page"/>
      </w:r>
    </w:p>
    <w:p>
      <w:pPr>
        <w:numPr>
          <w:ilvl w:val="0"/>
          <w:numId w:val="4"/>
        </w:numPr>
        <w:spacing w:line="600" w:lineRule="exact"/>
        <w:ind w:firstLine="660" w:firstLineChars="150"/>
        <w:jc w:val="center"/>
        <w:outlineLvl w:val="0"/>
        <w:rPr>
          <w:rStyle w:val="31"/>
          <w:rFonts w:ascii="黑体" w:hAnsi="黑体" w:eastAsia="黑体"/>
          <w:b w:val="0"/>
          <w:color w:val="auto"/>
          <w:highlight w:val="none"/>
        </w:rPr>
      </w:pPr>
      <w:bookmarkStart w:id="107" w:name="_Toc15396613"/>
      <w:bookmarkStart w:id="108" w:name="_Toc15377225"/>
      <w:bookmarkStart w:id="109" w:name="_Toc20458"/>
      <w:r>
        <w:rPr>
          <w:rFonts w:hint="eastAsia" w:ascii="黑体" w:hAnsi="黑体" w:eastAsia="黑体"/>
          <w:color w:val="auto"/>
          <w:sz w:val="44"/>
          <w:szCs w:val="44"/>
          <w:highlight w:val="none"/>
        </w:rPr>
        <w:t>名</w:t>
      </w:r>
      <w:r>
        <w:rPr>
          <w:rStyle w:val="31"/>
          <w:rFonts w:hint="eastAsia" w:ascii="黑体" w:hAnsi="黑体" w:eastAsia="黑体"/>
          <w:b w:val="0"/>
          <w:color w:val="auto"/>
          <w:highlight w:val="none"/>
        </w:rPr>
        <w:t>词解释</w:t>
      </w:r>
      <w:bookmarkEnd w:id="107"/>
      <w:bookmarkEnd w:id="108"/>
      <w:bookmarkEnd w:id="109"/>
    </w:p>
    <w:p>
      <w:pPr>
        <w:spacing w:line="600" w:lineRule="exact"/>
        <w:jc w:val="left"/>
        <w:rPr>
          <w:rFonts w:ascii="宋体"/>
          <w:b/>
          <w:color w:val="auto"/>
          <w:sz w:val="44"/>
          <w:szCs w:val="44"/>
          <w:highlight w:val="none"/>
        </w:rPr>
      </w:pPr>
    </w:p>
    <w:p>
      <w:pPr>
        <w:pStyle w:val="29"/>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ind w:firstLine="640" w:firstLineChars="200"/>
        <w:rPr>
          <w:rFonts w:ascii="仿宋_GB2312" w:eastAsia="仿宋_GB2312"/>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2.教育（类）其他教育支出（款）其他教育支出（项）：指其他用</w:t>
      </w:r>
      <w:r>
        <w:rPr>
          <w:rFonts w:hint="eastAsia" w:ascii="Times New Roman" w:hAnsi="Times New Roman" w:eastAsia="仿宋_GB2312"/>
          <w:color w:val="auto"/>
          <w:sz w:val="32"/>
          <w:szCs w:val="32"/>
          <w:highlight w:val="none"/>
          <w:lang w:val="en-US" w:eastAsia="zh-CN"/>
        </w:rPr>
        <w:t>于教育方面的支出</w:t>
      </w:r>
      <w:r>
        <w:rPr>
          <w:rFonts w:hint="eastAsia" w:ascii="Times New Roman" w:hAnsi="Times New Roman" w:eastAsia="仿宋_GB2312"/>
          <w:color w:val="auto"/>
          <w:sz w:val="32"/>
          <w:szCs w:val="32"/>
          <w:highlight w:val="none"/>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社会保障和就业（类）行政事业单位养老支出（款）机关事业单位基本养老保险缴费支出（项）：指机关事业单位实施养老保险制度由单位缴纳的基本养老保险支出</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4.社会保障和就业（类）行政事业单位养老支出（款）机关事业单位职业年金缴费支出（项）：指机关事业单位</w:t>
      </w:r>
      <w:r>
        <w:rPr>
          <w:rFonts w:hint="eastAsia" w:ascii="仿宋_GB2312" w:eastAsia="仿宋_GB2312"/>
          <w:color w:val="auto"/>
          <w:sz w:val="32"/>
          <w:szCs w:val="32"/>
          <w:highlight w:val="none"/>
        </w:rPr>
        <w:t>实施养老保险制度由单位</w:t>
      </w:r>
      <w:r>
        <w:rPr>
          <w:rFonts w:hint="eastAsia" w:ascii="仿宋_GB2312" w:eastAsia="仿宋_GB2312"/>
          <w:color w:val="auto"/>
          <w:sz w:val="32"/>
          <w:szCs w:val="32"/>
          <w:highlight w:val="none"/>
          <w:lang w:eastAsia="zh-CN"/>
        </w:rPr>
        <w:t>实际</w:t>
      </w:r>
      <w:r>
        <w:rPr>
          <w:rFonts w:hint="eastAsia" w:ascii="仿宋_GB2312" w:eastAsia="仿宋_GB2312"/>
          <w:color w:val="auto"/>
          <w:sz w:val="32"/>
          <w:szCs w:val="32"/>
          <w:highlight w:val="none"/>
        </w:rPr>
        <w:t>缴纳的</w:t>
      </w:r>
      <w:r>
        <w:rPr>
          <w:rFonts w:hint="eastAsia" w:ascii="仿宋_GB2312" w:eastAsia="仿宋_GB2312"/>
          <w:color w:val="auto"/>
          <w:sz w:val="32"/>
          <w:szCs w:val="32"/>
          <w:highlight w:val="none"/>
          <w:lang w:eastAsia="zh-CN"/>
        </w:rPr>
        <w:t>职业年金支出</w:t>
      </w:r>
      <w:r>
        <w:rPr>
          <w:rFonts w:hint="eastAsia" w:ascii="仿宋_GB2312" w:eastAsia="仿宋_GB2312"/>
          <w:color w:val="auto"/>
          <w:sz w:val="32"/>
          <w:szCs w:val="32"/>
          <w:highlight w:val="none"/>
          <w:lang w:val="en-US" w:eastAsia="zh-CN"/>
        </w:rPr>
        <w:t>。</w:t>
      </w:r>
    </w:p>
    <w:p>
      <w:pPr>
        <w:ind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5.卫生健康（类）卫生健康管理事务（款）行政运行（项）：指行政单位和参公单位的基本支出。</w:t>
      </w:r>
    </w:p>
    <w:p>
      <w:pPr>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6.卫生健康（类）公共卫生（款）疾病预防控制机构（项）：指</w:t>
      </w:r>
      <w:r>
        <w:rPr>
          <w:rFonts w:hint="eastAsia" w:ascii="仿宋_GB2312" w:eastAsia="仿宋_GB2312"/>
          <w:color w:val="auto"/>
          <w:sz w:val="32"/>
          <w:szCs w:val="32"/>
          <w:highlight w:val="none"/>
        </w:rPr>
        <w:t>反映卫生健康部门所属的疾病预防控制机构的支出；</w:t>
      </w:r>
    </w:p>
    <w:p>
      <w:pPr>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7.卫生健康（类）公共卫生（款）重大公共卫生服务（项）：指</w:t>
      </w:r>
      <w:r>
        <w:rPr>
          <w:rFonts w:hint="eastAsia" w:ascii="仿宋_GB2312" w:eastAsia="仿宋_GB2312"/>
          <w:color w:val="auto"/>
          <w:sz w:val="32"/>
          <w:szCs w:val="32"/>
          <w:highlight w:val="none"/>
        </w:rPr>
        <w:t>反映重大疾病预防控制等重大公共卫生服务项目支出；</w:t>
      </w:r>
    </w:p>
    <w:p>
      <w:pPr>
        <w:pStyle w:val="7"/>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8.卫生健康（类）公共卫生（款）其他公共卫生支出（项）：指</w:t>
      </w:r>
      <w:r>
        <w:rPr>
          <w:rFonts w:hint="eastAsia" w:cs="Times New Roman"/>
          <w:color w:val="auto"/>
          <w:kern w:val="2"/>
          <w:sz w:val="32"/>
          <w:szCs w:val="32"/>
          <w:highlight w:val="none"/>
          <w:lang w:val="en-US" w:eastAsia="zh-CN" w:bidi="ar-SA"/>
        </w:rPr>
        <w:t>其他</w:t>
      </w:r>
      <w:r>
        <w:rPr>
          <w:rFonts w:hint="eastAsia" w:ascii="仿宋_GB2312" w:eastAsia="仿宋_GB2312"/>
          <w:color w:val="auto"/>
          <w:sz w:val="32"/>
          <w:szCs w:val="32"/>
          <w:highlight w:val="none"/>
        </w:rPr>
        <w:t>公共卫生服务项目支出</w:t>
      </w:r>
      <w:r>
        <w:rPr>
          <w:rFonts w:hint="eastAsia" w:cs="Times New Roman"/>
          <w:color w:val="auto"/>
          <w:kern w:val="2"/>
          <w:sz w:val="32"/>
          <w:szCs w:val="32"/>
          <w:highlight w:val="none"/>
          <w:lang w:val="en-US" w:eastAsia="zh-CN" w:bidi="ar-SA"/>
        </w:rPr>
        <w:t>；</w:t>
      </w:r>
    </w:p>
    <w:p>
      <w:pPr>
        <w:pStyle w:val="7"/>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9.卫生健康（类）行政事业单位医疗（款）事业单位医疗（项）：指反映卫生健康支出中的在职人员医疗保险；</w:t>
      </w:r>
    </w:p>
    <w:p>
      <w:pPr>
        <w:pStyle w:val="7"/>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10.卫生健康（类）其他卫生健康支出（款）其他卫生健康支出（项）：指反映其他用于卫生健康方面的支出。</w:t>
      </w:r>
    </w:p>
    <w:p>
      <w:pPr>
        <w:ind w:firstLine="640" w:firstLineChars="200"/>
        <w:rPr>
          <w:rFonts w:ascii="仿宋" w:hAnsi="仿宋" w:eastAsia="仿宋"/>
          <w:b/>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住房保障（类）住房改革支出（款）住房公积金（项）：指行政事业单位按人力资源和社会保障部、财政部规定的基本工资和津贴补贴以及规定比例为职工缴纳的住房公积金。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9"/>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rPr>
          <w:rFonts w:ascii="仿宋" w:hAnsi="仿宋" w:eastAsia="仿宋"/>
          <w:b/>
          <w:color w:val="auto"/>
          <w:sz w:val="32"/>
          <w:szCs w:val="32"/>
          <w:highlight w:val="none"/>
        </w:rPr>
      </w:pPr>
      <w:r>
        <w:rPr>
          <w:rFonts w:hint="eastAsia" w:ascii="仿宋_GB2312" w:eastAsia="仿宋_GB2312"/>
          <w:color w:val="auto"/>
          <w:sz w:val="32"/>
          <w:szCs w:val="32"/>
          <w:highlight w:val="none"/>
        </w:rPr>
        <w:br w:type="page"/>
      </w:r>
    </w:p>
    <w:p>
      <w:pPr>
        <w:numPr>
          <w:ilvl w:val="0"/>
          <w:numId w:val="4"/>
        </w:numPr>
        <w:spacing w:line="600" w:lineRule="exact"/>
        <w:ind w:left="0" w:leftChars="0" w:firstLine="660" w:firstLineChars="150"/>
        <w:jc w:val="center"/>
        <w:outlineLvl w:val="0"/>
        <w:rPr>
          <w:rStyle w:val="31"/>
          <w:rFonts w:hint="eastAsia" w:ascii="黑体" w:hAnsi="黑体" w:eastAsia="黑体"/>
          <w:b w:val="0"/>
          <w:color w:val="auto"/>
          <w:highlight w:val="none"/>
        </w:rPr>
      </w:pPr>
      <w:bookmarkStart w:id="110" w:name="_Toc15396614"/>
      <w:bookmarkStart w:id="111" w:name="_Toc26388"/>
      <w:bookmarkStart w:id="112" w:name="_Toc15377226"/>
      <w:r>
        <w:rPr>
          <w:rStyle w:val="31"/>
          <w:rFonts w:hint="eastAsia" w:ascii="黑体" w:hAnsi="黑体" w:eastAsia="黑体"/>
          <w:b w:val="0"/>
          <w:color w:val="auto"/>
          <w:highlight w:val="none"/>
        </w:rPr>
        <w:t>附件</w:t>
      </w:r>
      <w:bookmarkEnd w:id="110"/>
      <w:bookmarkEnd w:id="111"/>
    </w:p>
    <w:p>
      <w:pPr>
        <w:spacing w:line="572" w:lineRule="exact"/>
        <w:jc w:val="left"/>
        <w:outlineLvl w:val="1"/>
        <w:rPr>
          <w:rFonts w:hint="eastAsia" w:ascii="黑体" w:hAnsi="黑体" w:eastAsia="黑体" w:cs="黑体"/>
          <w:sz w:val="32"/>
          <w:szCs w:val="32"/>
          <w:lang w:eastAsia="zh-CN"/>
        </w:rPr>
      </w:pPr>
      <w:bookmarkStart w:id="113" w:name="_Toc16170"/>
      <w:r>
        <w:rPr>
          <w:rFonts w:hint="eastAsia" w:ascii="黑体" w:hAnsi="黑体" w:eastAsia="黑体" w:cs="黑体"/>
          <w:sz w:val="32"/>
          <w:szCs w:val="32"/>
          <w:lang w:eastAsia="zh-CN"/>
        </w:rPr>
        <w:t>附件</w:t>
      </w:r>
      <w:bookmarkEnd w:id="113"/>
    </w:p>
    <w:tbl>
      <w:tblPr>
        <w:tblStyle w:val="17"/>
        <w:tblpPr w:leftFromText="180" w:rightFromText="180" w:vertAnchor="text" w:horzAnchor="page" w:tblpX="1900" w:tblpY="660"/>
        <w:tblOverlap w:val="never"/>
        <w:tblW w:w="8280" w:type="dxa"/>
        <w:tblInd w:w="0" w:type="dxa"/>
        <w:tblLayout w:type="fixed"/>
        <w:tblCellMar>
          <w:top w:w="0" w:type="dxa"/>
          <w:left w:w="108" w:type="dxa"/>
          <w:bottom w:w="0" w:type="dxa"/>
          <w:right w:w="108" w:type="dxa"/>
        </w:tblCellMar>
      </w:tblPr>
      <w:tblGrid>
        <w:gridCol w:w="1168"/>
        <w:gridCol w:w="767"/>
        <w:gridCol w:w="1266"/>
        <w:gridCol w:w="1554"/>
        <w:gridCol w:w="1108"/>
        <w:gridCol w:w="2181"/>
        <w:gridCol w:w="236"/>
      </w:tblGrid>
      <w:tr>
        <w:tblPrEx>
          <w:tblCellMar>
            <w:top w:w="0" w:type="dxa"/>
            <w:left w:w="108" w:type="dxa"/>
            <w:bottom w:w="0" w:type="dxa"/>
            <w:right w:w="108" w:type="dxa"/>
          </w:tblCellMar>
        </w:tblPrEx>
        <w:trPr>
          <w:trHeight w:val="675" w:hRule="atLeast"/>
        </w:trPr>
        <w:tc>
          <w:tcPr>
            <w:tcW w:w="8044" w:type="dxa"/>
            <w:gridSpan w:val="6"/>
            <w:tcBorders>
              <w:top w:val="nil"/>
              <w:left w:val="nil"/>
              <w:bottom w:val="nil"/>
              <w:right w:val="nil"/>
            </w:tcBorders>
            <w:shd w:val="clear" w:color="auto" w:fill="auto"/>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szCs w:val="32"/>
                <w:lang w:eastAsia="zh-CN"/>
              </w:rPr>
            </w:pPr>
            <w:bookmarkStart w:id="114" w:name="_Toc8476"/>
            <w:r>
              <w:rPr>
                <w:rFonts w:hint="eastAsia" w:ascii="宋体" w:hAnsi="宋体" w:eastAsia="宋体" w:cs="宋体"/>
              </w:rPr>
              <w:t>202</w:t>
            </w:r>
            <w:r>
              <w:rPr>
                <w:rFonts w:hint="eastAsia" w:ascii="宋体" w:hAnsi="宋体" w:eastAsia="宋体" w:cs="宋体"/>
                <w:lang w:val="en-US" w:eastAsia="zh-CN"/>
              </w:rPr>
              <w:t>2</w:t>
            </w:r>
            <w:r>
              <w:rPr>
                <w:rFonts w:hint="eastAsia" w:ascii="宋体" w:hAnsi="宋体" w:eastAsia="宋体" w:cs="宋体"/>
              </w:rPr>
              <w:t>年部门预算项目</w:t>
            </w:r>
            <w:r>
              <w:rPr>
                <w:rFonts w:hint="eastAsia" w:ascii="宋体" w:hAnsi="宋体" w:eastAsia="宋体" w:cs="宋体"/>
                <w:lang w:eastAsia="zh-CN"/>
              </w:rPr>
              <w:t>支出</w:t>
            </w:r>
            <w:r>
              <w:rPr>
                <w:rFonts w:hint="eastAsia" w:ascii="宋体" w:hAnsi="宋体" w:eastAsia="宋体" w:cs="宋体"/>
              </w:rPr>
              <w:t>绩效自评</w:t>
            </w:r>
            <w:r>
              <w:rPr>
                <w:rFonts w:hint="eastAsia" w:ascii="宋体" w:hAnsi="宋体" w:eastAsia="宋体" w:cs="宋体"/>
                <w:lang w:eastAsia="zh-CN"/>
              </w:rPr>
              <w:t>表</w:t>
            </w:r>
            <w:bookmarkEnd w:id="114"/>
          </w:p>
        </w:tc>
        <w:tc>
          <w:tcPr>
            <w:tcW w:w="236" w:type="dxa"/>
            <w:tcBorders>
              <w:top w:val="nil"/>
              <w:left w:val="nil"/>
              <w:bottom w:val="nil"/>
              <w:right w:val="nil"/>
            </w:tcBorders>
            <w:shd w:val="clear" w:color="auto" w:fill="auto"/>
            <w:vAlign w:val="center"/>
          </w:tcPr>
          <w:p>
            <w:pPr>
              <w:widowControl/>
              <w:jc w:val="both"/>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昭化区卫生健康局</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区疾病预防控制中心</w:t>
            </w:r>
          </w:p>
        </w:tc>
      </w:tr>
      <w:tr>
        <w:tblPrEx>
          <w:tblCellMar>
            <w:top w:w="0" w:type="dxa"/>
            <w:left w:w="108" w:type="dxa"/>
            <w:bottom w:w="0" w:type="dxa"/>
            <w:right w:w="108" w:type="dxa"/>
          </w:tblCellMar>
        </w:tblPrEx>
        <w:trPr>
          <w:gridAfter w:val="1"/>
          <w:wAfter w:w="236" w:type="dxa"/>
          <w:trHeight w:val="341" w:hRule="atLeast"/>
        </w:trPr>
        <w:tc>
          <w:tcPr>
            <w:tcW w:w="19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预算数：</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122.471</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执行数：</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lang w:val="en-US" w:eastAsia="zh-CN"/>
              </w:rPr>
              <w:t>122.471</w:t>
            </w:r>
          </w:p>
        </w:tc>
      </w:tr>
      <w:tr>
        <w:tblPrEx>
          <w:tblCellMar>
            <w:top w:w="0" w:type="dxa"/>
            <w:left w:w="108" w:type="dxa"/>
            <w:bottom w:w="0" w:type="dxa"/>
            <w:right w:w="108" w:type="dxa"/>
          </w:tblCellMar>
        </w:tblPrEx>
        <w:trPr>
          <w:gridAfter w:val="1"/>
          <w:wAfter w:w="236" w:type="dxa"/>
          <w:trHeight w:val="555" w:hRule="atLeast"/>
        </w:trPr>
        <w:tc>
          <w:tcPr>
            <w:tcW w:w="19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ascii="宋体" w:hAnsi="宋体" w:cs="宋体"/>
                <w:sz w:val="24"/>
              </w:rPr>
            </w:pPr>
            <w:r>
              <w:rPr>
                <w:rFonts w:hint="eastAsia" w:ascii="宋体" w:hAnsi="宋体" w:cs="宋体"/>
                <w:kern w:val="0"/>
                <w:sz w:val="24"/>
              </w:rPr>
              <w:t>财政拨款</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lang w:val="en-US" w:eastAsia="zh-CN"/>
              </w:rPr>
              <w:t>122.471</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center"/>
              <w:textAlignment w:val="center"/>
              <w:rPr>
                <w:rFonts w:ascii="宋体" w:hAnsi="宋体" w:cs="宋体"/>
                <w:sz w:val="24"/>
              </w:rPr>
            </w:pPr>
            <w:r>
              <w:rPr>
                <w:rFonts w:hint="eastAsia" w:ascii="宋体" w:hAnsi="宋体" w:cs="宋体"/>
                <w:kern w:val="0"/>
                <w:sz w:val="24"/>
              </w:rPr>
              <w:t>财政拨款</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lang w:val="en-US" w:eastAsia="zh-CN"/>
              </w:rPr>
              <w:t>122.471</w:t>
            </w:r>
          </w:p>
        </w:tc>
      </w:tr>
      <w:tr>
        <w:tblPrEx>
          <w:tblCellMar>
            <w:top w:w="0" w:type="dxa"/>
            <w:left w:w="108" w:type="dxa"/>
            <w:bottom w:w="0" w:type="dxa"/>
            <w:right w:w="108" w:type="dxa"/>
          </w:tblCellMar>
        </w:tblPrEx>
        <w:trPr>
          <w:gridAfter w:val="1"/>
          <w:wAfter w:w="236" w:type="dxa"/>
          <w:trHeight w:val="341" w:hRule="atLeast"/>
        </w:trPr>
        <w:tc>
          <w:tcPr>
            <w:tcW w:w="19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其他资金</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其他资金</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5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2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1070" w:hRule="atLeast"/>
        </w:trPr>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5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hint="eastAsia" w:ascii="宋体" w:hAnsi="宋体" w:eastAsia="宋体" w:cs="宋体"/>
                <w:sz w:val="24"/>
                <w:lang w:eastAsia="zh-CN"/>
              </w:rPr>
            </w:pPr>
            <w:r>
              <w:rPr>
                <w:rFonts w:hint="eastAsia" w:ascii="宋体" w:hAnsi="宋体" w:cs="宋体"/>
                <w:sz w:val="24"/>
              </w:rPr>
              <w:t>进一步完善“政府组织领导、部门各负其责、全社会共同参与”的防治机制,全面落实各项预防控制措施，提高发现率，扩大治疗覆盖面，提升治疗成功率，降低死亡率，降低新发感染，提高感染者和病人的生活质量。及时发现和规范治疗管理结核病患者，持续降低结核病的感染、发生与死亡，确保结核病疫情稳步下降，提高群众健康水平</w:t>
            </w:r>
            <w:r>
              <w:rPr>
                <w:rFonts w:hint="eastAsia" w:ascii="宋体" w:hAnsi="宋体" w:cs="宋体"/>
                <w:sz w:val="24"/>
                <w:lang w:eastAsia="zh-CN"/>
              </w:rPr>
              <w:t>。</w:t>
            </w:r>
            <w:r>
              <w:rPr>
                <w:rFonts w:hint="eastAsia" w:ascii="宋体" w:hAnsi="宋体" w:cs="宋体"/>
                <w:sz w:val="24"/>
              </w:rPr>
              <w:t>强化重点人群心理行为问题干预力度，遏制精神疾病负担上升趋势。继续为0-6岁适龄儿童常规接种。保持高水平国家免疫</w:t>
            </w:r>
            <w:r>
              <w:rPr>
                <w:rFonts w:hint="eastAsia" w:ascii="宋体" w:hAnsi="宋体" w:cs="宋体"/>
                <w:sz w:val="24"/>
                <w:lang w:eastAsia="zh-CN"/>
              </w:rPr>
              <w:t>规划疫苗接种率</w:t>
            </w:r>
          </w:p>
        </w:tc>
        <w:tc>
          <w:tcPr>
            <w:tcW w:w="32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ascii="宋体" w:hAnsi="宋体" w:cs="宋体"/>
                <w:sz w:val="24"/>
              </w:rPr>
            </w:pPr>
            <w:r>
              <w:rPr>
                <w:rFonts w:hint="eastAsia" w:ascii="宋体" w:hAnsi="宋体" w:cs="宋体"/>
                <w:sz w:val="24"/>
              </w:rPr>
              <w:t>1、202</w:t>
            </w:r>
            <w:r>
              <w:rPr>
                <w:rFonts w:hint="eastAsia" w:ascii="宋体" w:hAnsi="宋体" w:cs="宋体"/>
                <w:sz w:val="24"/>
                <w:lang w:val="en-US" w:eastAsia="zh-CN"/>
              </w:rPr>
              <w:t>2</w:t>
            </w:r>
            <w:r>
              <w:rPr>
                <w:rFonts w:hint="eastAsia" w:ascii="宋体" w:hAnsi="宋体" w:cs="宋体"/>
                <w:sz w:val="24"/>
              </w:rPr>
              <w:t>年艾滋病防治各项指标均达到上级要求；2、全年收治管理登记肺结核患者</w:t>
            </w:r>
            <w:r>
              <w:rPr>
                <w:rFonts w:hint="eastAsia" w:ascii="宋体" w:hAnsi="宋体" w:cs="宋体"/>
                <w:sz w:val="24"/>
                <w:lang w:val="en-US" w:eastAsia="zh-CN"/>
              </w:rPr>
              <w:t>86</w:t>
            </w:r>
            <w:r>
              <w:rPr>
                <w:rFonts w:hint="eastAsia" w:ascii="宋体" w:hAnsi="宋体" w:cs="宋体"/>
                <w:sz w:val="24"/>
              </w:rPr>
              <w:t>例</w:t>
            </w:r>
            <w:r>
              <w:rPr>
                <w:rFonts w:hint="eastAsia" w:ascii="宋体" w:hAnsi="宋体" w:cs="宋体"/>
                <w:sz w:val="24"/>
                <w:lang w:eastAsia="zh-CN"/>
              </w:rPr>
              <w:t>（</w:t>
            </w:r>
            <w:r>
              <w:rPr>
                <w:rFonts w:hint="eastAsia" w:ascii="宋体" w:hAnsi="宋体" w:cs="宋体"/>
                <w:sz w:val="24"/>
                <w:lang w:val="en-US" w:eastAsia="zh-CN"/>
              </w:rPr>
              <w:t>其中区外收治管理黄3例</w:t>
            </w:r>
            <w:r>
              <w:rPr>
                <w:rFonts w:hint="eastAsia" w:ascii="宋体" w:hAnsi="宋体" w:cs="宋体"/>
                <w:sz w:val="24"/>
                <w:lang w:eastAsia="zh-CN"/>
              </w:rPr>
              <w:t>），</w:t>
            </w:r>
            <w:r>
              <w:rPr>
                <w:rFonts w:hint="eastAsia" w:ascii="宋体" w:hAnsi="宋体" w:cs="宋体"/>
                <w:sz w:val="24"/>
              </w:rPr>
              <w:t>落实了疾病早发现、早诊断、早治疗、早管理。报告发病率</w:t>
            </w:r>
            <w:r>
              <w:rPr>
                <w:rFonts w:hint="eastAsia" w:ascii="宋体" w:hAnsi="宋体" w:cs="宋体"/>
                <w:sz w:val="24"/>
                <w:lang w:val="en-US" w:eastAsia="zh-CN"/>
              </w:rPr>
              <w:t>54.68</w:t>
            </w:r>
            <w:r>
              <w:rPr>
                <w:rFonts w:hint="eastAsia" w:ascii="宋体" w:hAnsi="宋体" w:cs="宋体"/>
                <w:sz w:val="24"/>
              </w:rPr>
              <w:t>/10万，与202</w:t>
            </w:r>
            <w:r>
              <w:rPr>
                <w:rFonts w:hint="eastAsia" w:ascii="宋体" w:hAnsi="宋体" w:cs="宋体"/>
                <w:sz w:val="24"/>
                <w:lang w:val="en-US" w:eastAsia="zh-CN"/>
              </w:rPr>
              <w:t>1</w:t>
            </w:r>
            <w:r>
              <w:rPr>
                <w:rFonts w:hint="eastAsia" w:ascii="宋体" w:hAnsi="宋体" w:cs="宋体"/>
                <w:sz w:val="24"/>
              </w:rPr>
              <w:t>年同期下降</w:t>
            </w:r>
            <w:r>
              <w:rPr>
                <w:rFonts w:hint="eastAsia" w:ascii="宋体" w:hAnsi="宋体" w:cs="宋体"/>
                <w:sz w:val="24"/>
                <w:lang w:val="en-US" w:eastAsia="zh-CN"/>
              </w:rPr>
              <w:t>17.77</w:t>
            </w:r>
            <w:r>
              <w:rPr>
                <w:rFonts w:hint="eastAsia" w:ascii="宋体" w:hAnsi="宋体" w:cs="宋体"/>
                <w:sz w:val="24"/>
              </w:rPr>
              <w:t>%，完成</w:t>
            </w:r>
            <w:r>
              <w:rPr>
                <w:rFonts w:hint="eastAsia" w:ascii="宋体" w:hAnsi="宋体" w:cs="宋体"/>
                <w:sz w:val="24"/>
                <w:lang w:val="en-US" w:eastAsia="zh-CN"/>
              </w:rPr>
              <w:t>了</w:t>
            </w:r>
            <w:r>
              <w:rPr>
                <w:rFonts w:hint="eastAsia" w:ascii="宋体" w:hAnsi="宋体" w:cs="宋体"/>
                <w:sz w:val="24"/>
              </w:rPr>
              <w:t>项目要求的55/10万</w:t>
            </w:r>
            <w:r>
              <w:rPr>
                <w:rFonts w:hint="eastAsia" w:ascii="宋体" w:hAnsi="宋体" w:cs="宋体"/>
                <w:sz w:val="24"/>
                <w:lang w:eastAsia="zh-CN"/>
              </w:rPr>
              <w:t>，</w:t>
            </w:r>
            <w:r>
              <w:rPr>
                <w:rFonts w:hint="eastAsia" w:ascii="宋体" w:hAnsi="宋体" w:cs="宋体"/>
                <w:sz w:val="24"/>
                <w:lang w:val="en-US" w:eastAsia="zh-CN"/>
              </w:rPr>
              <w:t>成功治疗率98.90%，</w:t>
            </w:r>
            <w:r>
              <w:rPr>
                <w:rFonts w:hint="eastAsia" w:ascii="宋体" w:hAnsi="宋体" w:cs="宋体"/>
                <w:sz w:val="24"/>
              </w:rPr>
              <w:t>治疗管理肺结核患者任务数未完成指标人数，其它各项指标均达到项目要求完成</w:t>
            </w:r>
            <w:r>
              <w:rPr>
                <w:rFonts w:hint="eastAsia" w:ascii="宋体" w:hAnsi="宋体" w:cs="宋体"/>
                <w:sz w:val="24"/>
                <w:lang w:eastAsia="zh-CN"/>
              </w:rPr>
              <w:t>；</w:t>
            </w:r>
            <w:r>
              <w:rPr>
                <w:rFonts w:hint="eastAsia" w:ascii="宋体" w:hAnsi="宋体" w:cs="宋体"/>
                <w:sz w:val="24"/>
              </w:rPr>
              <w:t>3、</w:t>
            </w:r>
            <w:r>
              <w:rPr>
                <w:rFonts w:hint="eastAsia" w:ascii="宋体" w:hAnsi="宋体" w:cs="宋体"/>
                <w:sz w:val="24"/>
                <w:lang w:val="en-US" w:eastAsia="zh-CN"/>
              </w:rPr>
              <w:t>公众对麻风病防治知识知晓率达90%以上；乡村医生培训达100%；患病率控制在1/10万以下；高危人群、现症病人走访率100%；疫点调查100%；新发患者早期发现2年以内，畸残率控制在16%以内；治愈者复查、密切接触者检查率达到100%；4、0-6岁儿童建卡率100%，建证率≥98%；新生儿乙肝疫苗99.93%（其中首针及时接种率为97.99%），乙肝全程接种率为99.66%。其他国家免疫规划疫苗接种率均达到99%以上；5、全年青少年近视调查及学生常见病监测2332人，落实了青少年近视及学生常见病早发现，早诊断，早治疗，早干预。我区青少年近视率51.34%，肥胖率7.54%，与2021年相比青少年近视率下降5.48%，肥胖率增长0.67%，完成了项目要求的112%。</w:t>
            </w:r>
          </w:p>
        </w:tc>
      </w:tr>
      <w:tr>
        <w:tblPrEx>
          <w:tblCellMar>
            <w:top w:w="0" w:type="dxa"/>
            <w:left w:w="108" w:type="dxa"/>
            <w:bottom w:w="0" w:type="dxa"/>
            <w:right w:w="108" w:type="dxa"/>
          </w:tblCellMar>
        </w:tblPrEx>
        <w:trPr>
          <w:gridAfter w:val="1"/>
          <w:wAfter w:w="236" w:type="dxa"/>
          <w:trHeight w:val="90" w:hRule="atLeast"/>
        </w:trPr>
        <w:tc>
          <w:tcPr>
            <w:tcW w:w="1168"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767"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2022年筛查检查52476人，发现并确诊阳性2人</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40200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52476</w:t>
            </w:r>
          </w:p>
        </w:tc>
      </w:tr>
      <w:tr>
        <w:tblPrEx>
          <w:tblCellMar>
            <w:top w:w="0" w:type="dxa"/>
            <w:left w:w="108" w:type="dxa"/>
            <w:bottom w:w="0" w:type="dxa"/>
            <w:right w:w="108" w:type="dxa"/>
          </w:tblCellMar>
        </w:tblPrEx>
        <w:trPr>
          <w:gridAfter w:val="1"/>
          <w:wAfter w:w="236" w:type="dxa"/>
          <w:trHeight w:val="646"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感染者/病人随访检测61例</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75</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74</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配偶检测14例</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16</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16</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抗病毒治疗75例</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75</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75</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病毒载量检72例</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72</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71</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治疗成功率71例</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71</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69</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暗娼、MSM干预检查146人次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146</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149</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开展重点人群艾滋病防治健康教育宣传4次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4</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开展医疗机构业务培训2次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2</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开展医疗机构艾滋病防治工作督导2次</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2</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VCT完成199人</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199</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258</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eastAsia="宋体" w:cs="宋体"/>
                <w:i w:val="0"/>
                <w:iCs w:val="0"/>
                <w:color w:val="000000"/>
                <w:sz w:val="20"/>
                <w:szCs w:val="20"/>
                <w:u w:val="none"/>
              </w:rPr>
              <w:t>202</w:t>
            </w:r>
            <w:r>
              <w:rPr>
                <w:rFonts w:hint="eastAsia" w:ascii="宋体" w:hAnsi="宋体" w:cs="宋体"/>
                <w:i w:val="0"/>
                <w:iCs w:val="0"/>
                <w:color w:val="000000"/>
                <w:sz w:val="20"/>
                <w:szCs w:val="20"/>
                <w:u w:val="none"/>
                <w:lang w:val="en-US" w:eastAsia="zh-CN"/>
              </w:rPr>
              <w:t>2</w:t>
            </w:r>
            <w:r>
              <w:rPr>
                <w:rFonts w:hint="eastAsia" w:ascii="宋体" w:hAnsi="宋体" w:eastAsia="宋体" w:cs="宋体"/>
                <w:i w:val="0"/>
                <w:iCs w:val="0"/>
                <w:color w:val="000000"/>
                <w:sz w:val="20"/>
                <w:szCs w:val="20"/>
                <w:u w:val="none"/>
              </w:rPr>
              <w:t>年治疗管理肺结核患者人数</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cs="宋体"/>
                <w:i w:val="0"/>
                <w:iCs w:val="0"/>
                <w:color w:val="000000"/>
                <w:sz w:val="20"/>
                <w:szCs w:val="20"/>
                <w:u w:val="none"/>
                <w:lang w:val="en-US" w:eastAsia="zh-CN"/>
              </w:rPr>
              <w:t>139例</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cs="宋体"/>
                <w:i w:val="0"/>
                <w:iCs w:val="0"/>
                <w:color w:val="000000"/>
                <w:sz w:val="20"/>
                <w:szCs w:val="20"/>
                <w:u w:val="none"/>
                <w:lang w:val="en-US" w:eastAsia="zh-CN"/>
              </w:rPr>
              <w:t>86例</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病原学阳性肺结核患者的密切接触者筛查率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95%</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eastAsia="宋体" w:cs="宋体"/>
                <w:i w:val="0"/>
                <w:iCs w:val="0"/>
                <w:color w:val="000000"/>
                <w:sz w:val="20"/>
                <w:szCs w:val="20"/>
                <w:u w:val="none"/>
              </w:rPr>
              <w:t>病原学阳性肺结核患者耐药筛查率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70%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例</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对麻风现症病人每月走访次数</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rPr>
              <w:t>≥1次</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1次</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全区麻风病人随访到位人数</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rPr>
              <w:t>≥44人</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44人</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青少年近视调查及学生重点常见病监测人数</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2080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2332</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筛查检查覆盖率≥25%</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39.10%</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感染者/病人随访检测率≥90%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98.67%</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配偶检测≥90%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90%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100.00%</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抗病毒治疗比例完成率≥91%</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91%</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100.00%</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病毒载量检测率≥91%</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91%</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98.61%</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治疗成功率≥91%</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91%</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97.18%</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VCT完成率100%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100%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暗娼干预覆盖100%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100%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艾滋病病毒感染者的结核病检查率≥90%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90%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100.00%</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艾滋病补助发放100%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100%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肺结核患者成功治疗率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90%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97.8</w:t>
            </w:r>
            <w:r>
              <w:rPr>
                <w:rFonts w:hint="eastAsia" w:ascii="宋体" w:hAnsi="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病原学阳性率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50%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cs="宋体"/>
                <w:i w:val="0"/>
                <w:iCs w:val="0"/>
                <w:color w:val="000000"/>
                <w:kern w:val="0"/>
                <w:sz w:val="20"/>
                <w:szCs w:val="20"/>
                <w:u w:val="none"/>
                <w:lang w:val="en-US" w:eastAsia="zh-CN" w:bidi="ar"/>
              </w:rPr>
              <w:t>73.25</w:t>
            </w: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报告肺结核病患者和疑似肺结核患者的总体到位率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95%</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6.49</w:t>
            </w: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eastAsia="宋体" w:cs="宋体"/>
                <w:i w:val="0"/>
                <w:iCs w:val="0"/>
                <w:color w:val="000000"/>
                <w:sz w:val="20"/>
                <w:szCs w:val="20"/>
                <w:u w:val="none"/>
              </w:rPr>
              <w:t>麻风病人走访次数达标率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eastAsia="宋体" w:cs="宋体"/>
                <w:i w:val="0"/>
                <w:iCs w:val="0"/>
                <w:color w:val="000000"/>
                <w:sz w:val="20"/>
                <w:szCs w:val="20"/>
                <w:u w:val="none"/>
              </w:rPr>
              <w:t>≥90%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eastAsia="宋体" w:cs="宋体"/>
                <w:i w:val="0"/>
                <w:iCs w:val="0"/>
                <w:color w:val="000000"/>
                <w:sz w:val="20"/>
                <w:szCs w:val="20"/>
                <w:u w:val="none"/>
                <w:lang w:val="en-US" w:eastAsia="zh-CN"/>
              </w:rPr>
              <w:t>100%</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rPr>
              <w:t>麻风病联合化疗覆盖率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eastAsia="宋体" w:cs="宋体"/>
                <w:i w:val="0"/>
                <w:iCs w:val="0"/>
                <w:color w:val="000000"/>
                <w:sz w:val="20"/>
                <w:szCs w:val="20"/>
                <w:u w:val="none"/>
              </w:rPr>
              <w:t>≥100%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eastAsia="宋体" w:cs="宋体"/>
                <w:i w:val="0"/>
                <w:iCs w:val="0"/>
                <w:color w:val="000000"/>
                <w:sz w:val="20"/>
                <w:szCs w:val="20"/>
                <w:u w:val="none"/>
                <w:lang w:val="en-US" w:eastAsia="zh-CN"/>
              </w:rPr>
              <w:t>100%</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rPr>
              <w:t>密切接触者检查率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eastAsia="宋体" w:cs="宋体"/>
                <w:i w:val="0"/>
                <w:iCs w:val="0"/>
                <w:color w:val="000000"/>
                <w:sz w:val="20"/>
                <w:szCs w:val="20"/>
                <w:u w:val="none"/>
              </w:rPr>
              <w:t>≥100%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eastAsia="宋体" w:cs="宋体"/>
                <w:i w:val="0"/>
                <w:iCs w:val="0"/>
                <w:color w:val="000000"/>
                <w:sz w:val="20"/>
                <w:szCs w:val="20"/>
                <w:u w:val="none"/>
                <w:lang w:val="en-US" w:eastAsia="zh-CN"/>
              </w:rPr>
              <w:t>100%</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rPr>
              <w:t>麻风严重不良反应患者处置率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eastAsia="宋体" w:cs="宋体"/>
                <w:i w:val="0"/>
                <w:iCs w:val="0"/>
                <w:color w:val="000000"/>
                <w:sz w:val="20"/>
                <w:szCs w:val="20"/>
                <w:u w:val="none"/>
              </w:rPr>
              <w:t>≥100%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eastAsia="宋体" w:cs="宋体"/>
                <w:i w:val="0"/>
                <w:iCs w:val="0"/>
                <w:color w:val="000000"/>
                <w:sz w:val="20"/>
                <w:szCs w:val="20"/>
                <w:u w:val="none"/>
                <w:lang w:val="en-US" w:eastAsia="zh-CN"/>
              </w:rPr>
              <w:t>100%</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eastAsia="宋体" w:cs="宋体"/>
                <w:i w:val="0"/>
                <w:iCs w:val="0"/>
                <w:color w:val="000000"/>
                <w:sz w:val="20"/>
                <w:szCs w:val="20"/>
                <w:u w:val="none"/>
              </w:rPr>
              <w:t>以乡镇（街道）为单位适龄儿童国家免疫规划疫苗接种率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cs="宋体"/>
                <w:i w:val="0"/>
                <w:iCs w:val="0"/>
                <w:color w:val="000000"/>
                <w:sz w:val="20"/>
                <w:szCs w:val="20"/>
                <w:u w:val="none"/>
                <w:lang w:val="en-US" w:eastAsia="zh-CN"/>
              </w:rPr>
              <w:t>90%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8"/>
                <w:szCs w:val="28"/>
              </w:rPr>
            </w:pPr>
            <w:r>
              <w:rPr>
                <w:rFonts w:hint="eastAsia" w:ascii="宋体" w:hAnsi="宋体" w:eastAsia="宋体" w:cs="宋体"/>
                <w:i w:val="0"/>
                <w:iCs w:val="0"/>
                <w:color w:val="000000"/>
                <w:kern w:val="0"/>
                <w:sz w:val="20"/>
                <w:szCs w:val="20"/>
                <w:u w:val="none"/>
                <w:lang w:val="en-US" w:eastAsia="zh-CN" w:bidi="ar"/>
              </w:rPr>
              <w:t>0-6岁儿童建卡率100%，建证率≥98%；新生儿乙肝疫苗99.9</w:t>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%（其中首针及时接种率为9</w:t>
            </w:r>
            <w:r>
              <w:rPr>
                <w:rFonts w:hint="eastAsia" w:ascii="宋体" w:hAnsi="宋体" w:cs="宋体"/>
                <w:i w:val="0"/>
                <w:iCs w:val="0"/>
                <w:color w:val="000000"/>
                <w:kern w:val="0"/>
                <w:sz w:val="20"/>
                <w:szCs w:val="20"/>
                <w:u w:val="none"/>
                <w:lang w:val="en-US" w:eastAsia="zh-CN" w:bidi="ar"/>
              </w:rPr>
              <w:t>7.99</w:t>
            </w:r>
            <w:r>
              <w:rPr>
                <w:rFonts w:hint="eastAsia" w:ascii="宋体" w:hAnsi="宋体" w:eastAsia="宋体" w:cs="宋体"/>
                <w:i w:val="0"/>
                <w:iCs w:val="0"/>
                <w:color w:val="000000"/>
                <w:kern w:val="0"/>
                <w:sz w:val="20"/>
                <w:szCs w:val="20"/>
                <w:u w:val="none"/>
                <w:lang w:val="en-US" w:eastAsia="zh-CN" w:bidi="ar"/>
              </w:rPr>
              <w:t>%），乙肝全程接种率为99.</w:t>
            </w:r>
            <w:r>
              <w:rPr>
                <w:rFonts w:hint="eastAsia" w:ascii="宋体" w:hAnsi="宋体" w:cs="宋体"/>
                <w:i w:val="0"/>
                <w:iCs w:val="0"/>
                <w:color w:val="000000"/>
                <w:kern w:val="0"/>
                <w:sz w:val="20"/>
                <w:szCs w:val="20"/>
                <w:u w:val="none"/>
                <w:lang w:val="en-US" w:eastAsia="zh-CN" w:bidi="ar"/>
              </w:rPr>
              <w:t>66</w:t>
            </w:r>
            <w:r>
              <w:rPr>
                <w:rFonts w:hint="eastAsia" w:ascii="宋体" w:hAnsi="宋体" w:eastAsia="宋体" w:cs="宋体"/>
                <w:i w:val="0"/>
                <w:iCs w:val="0"/>
                <w:color w:val="000000"/>
                <w:kern w:val="0"/>
                <w:sz w:val="20"/>
                <w:szCs w:val="20"/>
                <w:u w:val="none"/>
                <w:lang w:val="en-US" w:eastAsia="zh-CN" w:bidi="ar"/>
              </w:rPr>
              <w:t>%。其他国家免疫规划疫苗接种率均达到99%以上。</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cs="宋体"/>
                <w:i w:val="0"/>
                <w:iCs w:val="0"/>
                <w:color w:val="000000"/>
                <w:sz w:val="20"/>
                <w:szCs w:val="20"/>
                <w:u w:val="none"/>
                <w:lang w:val="en-US" w:eastAsia="zh-CN"/>
              </w:rPr>
              <w:t>完成青少年近视调查及学生重点常见病监测调查率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cs="宋体"/>
                <w:i w:val="0"/>
                <w:iCs w:val="0"/>
                <w:color w:val="000000"/>
                <w:sz w:val="20"/>
                <w:szCs w:val="20"/>
                <w:u w:val="none"/>
                <w:lang w:val="en-US" w:eastAsia="zh-CN"/>
              </w:rPr>
              <w:t>100%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8"/>
                <w:szCs w:val="28"/>
              </w:rPr>
            </w:pPr>
            <w:r>
              <w:rPr>
                <w:rFonts w:hint="eastAsia" w:ascii="宋体" w:hAnsi="宋体" w:cs="宋体"/>
                <w:i w:val="0"/>
                <w:iCs w:val="0"/>
                <w:color w:val="000000"/>
                <w:sz w:val="20"/>
                <w:szCs w:val="20"/>
                <w:u w:val="none"/>
                <w:lang w:val="en-US" w:eastAsia="zh-CN"/>
              </w:rPr>
              <w:t>100%</w:t>
            </w:r>
          </w:p>
        </w:tc>
      </w:tr>
      <w:tr>
        <w:tblPrEx>
          <w:tblCellMar>
            <w:top w:w="0" w:type="dxa"/>
            <w:left w:w="108" w:type="dxa"/>
            <w:bottom w:w="0" w:type="dxa"/>
            <w:right w:w="108" w:type="dxa"/>
          </w:tblCellMar>
        </w:tblPrEx>
        <w:trPr>
          <w:gridAfter w:val="1"/>
          <w:wAfter w:w="236" w:type="dxa"/>
          <w:trHeight w:val="415"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12月底前完成医疗机构培训，12月中旬前完成医疗机构督导。</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完成</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gridAfter w:val="1"/>
          <w:wAfter w:w="236" w:type="dxa"/>
          <w:trHeight w:val="480"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居民健康水平提高</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中长期</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577" w:hRule="atLeast"/>
        </w:trPr>
        <w:tc>
          <w:tcPr>
            <w:tcW w:w="1168"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社会效益  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公共卫生均等化水平提高</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中长期</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530" w:hRule="atLeast"/>
        </w:trPr>
        <w:tc>
          <w:tcPr>
            <w:tcW w:w="1168"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患者满意度</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90%</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8"/>
                <w:szCs w:val="28"/>
              </w:rPr>
            </w:pPr>
            <w:r>
              <w:rPr>
                <w:rFonts w:hint="eastAsia" w:ascii="宋体" w:hAnsi="宋体" w:cs="宋体"/>
                <w:color w:val="000000"/>
                <w:kern w:val="0"/>
                <w:sz w:val="20"/>
                <w:szCs w:val="20"/>
              </w:rPr>
              <w:t>90%</w:t>
            </w:r>
          </w:p>
        </w:tc>
      </w:tr>
    </w:tbl>
    <w:p>
      <w:pPr>
        <w:rPr>
          <w:rStyle w:val="31"/>
          <w:rFonts w:hint="eastAsia" w:ascii="黑体" w:hAnsi="黑体" w:eastAsia="黑体"/>
          <w:b w:val="0"/>
          <w:color w:val="auto"/>
          <w:highlight w:val="none"/>
          <w:lang w:eastAsia="zh-CN"/>
        </w:rPr>
      </w:pPr>
      <w:r>
        <w:rPr>
          <w:rStyle w:val="31"/>
          <w:rFonts w:hint="eastAsia" w:ascii="黑体" w:hAnsi="黑体" w:eastAsia="黑体"/>
          <w:b w:val="0"/>
          <w:color w:val="auto"/>
          <w:highlight w:val="none"/>
          <w:lang w:eastAsia="zh-CN"/>
        </w:rPr>
        <w:br w:type="page"/>
      </w:r>
    </w:p>
    <w:p>
      <w:pPr>
        <w:spacing w:line="600" w:lineRule="exact"/>
        <w:jc w:val="center"/>
        <w:outlineLvl w:val="0"/>
        <w:rPr>
          <w:rFonts w:hint="eastAsia" w:ascii="仿宋" w:hAnsi="仿宋" w:eastAsia="仿宋"/>
          <w:b w:val="0"/>
          <w:color w:val="auto"/>
          <w:highlight w:val="none"/>
        </w:rPr>
      </w:pPr>
      <w:bookmarkStart w:id="115" w:name="_Toc13274"/>
      <w:bookmarkStart w:id="116" w:name="_Toc15396618"/>
      <w:r>
        <w:rPr>
          <w:rFonts w:hint="eastAsia" w:ascii="黑体" w:hAnsi="黑体" w:eastAsia="黑体"/>
          <w:color w:val="auto"/>
          <w:sz w:val="44"/>
          <w:szCs w:val="44"/>
          <w:highlight w:val="none"/>
        </w:rPr>
        <w:t>第</w:t>
      </w:r>
      <w:r>
        <w:rPr>
          <w:rStyle w:val="31"/>
          <w:rFonts w:hint="eastAsia" w:ascii="黑体" w:hAnsi="黑体" w:eastAsia="黑体"/>
          <w:b w:val="0"/>
          <w:color w:val="auto"/>
          <w:highlight w:val="none"/>
        </w:rPr>
        <w:t>五部分 附表</w:t>
      </w:r>
      <w:bookmarkEnd w:id="112"/>
      <w:bookmarkEnd w:id="115"/>
      <w:bookmarkEnd w:id="116"/>
      <w:bookmarkStart w:id="117" w:name="_Toc15396619"/>
    </w:p>
    <w:p>
      <w:pPr>
        <w:pStyle w:val="3"/>
        <w:rPr>
          <w:rFonts w:ascii="仿宋" w:hAnsi="仿宋" w:eastAsia="仿宋"/>
          <w:color w:val="auto"/>
          <w:highlight w:val="none"/>
        </w:rPr>
      </w:pPr>
      <w:bookmarkStart w:id="118" w:name="_Toc11348"/>
      <w:r>
        <w:rPr>
          <w:rFonts w:hint="eastAsia" w:ascii="仿宋" w:hAnsi="仿宋" w:eastAsia="仿宋"/>
          <w:b w:val="0"/>
          <w:color w:val="auto"/>
          <w:highlight w:val="none"/>
        </w:rPr>
        <w:t>一、收</w:t>
      </w:r>
      <w:r>
        <w:rPr>
          <w:rStyle w:val="32"/>
          <w:rFonts w:hint="eastAsia" w:ascii="仿宋" w:hAnsi="仿宋" w:eastAsia="仿宋"/>
          <w:b w:val="0"/>
          <w:bCs w:val="0"/>
          <w:color w:val="auto"/>
          <w:highlight w:val="none"/>
        </w:rPr>
        <w:t>入支出决算总表</w:t>
      </w:r>
      <w:bookmarkEnd w:id="117"/>
      <w:bookmarkEnd w:id="118"/>
    </w:p>
    <w:p>
      <w:pPr>
        <w:pStyle w:val="3"/>
        <w:rPr>
          <w:rFonts w:ascii="仿宋" w:hAnsi="仿宋" w:eastAsia="仿宋"/>
          <w:color w:val="auto"/>
          <w:highlight w:val="none"/>
        </w:rPr>
      </w:pPr>
      <w:bookmarkStart w:id="119" w:name="_Toc24951"/>
      <w:bookmarkStart w:id="120" w:name="_Toc15396620"/>
      <w:r>
        <w:rPr>
          <w:rFonts w:hint="eastAsia" w:ascii="仿宋" w:hAnsi="仿宋" w:eastAsia="仿宋"/>
          <w:b w:val="0"/>
          <w:color w:val="auto"/>
          <w:highlight w:val="none"/>
        </w:rPr>
        <w:t>二、收</w:t>
      </w:r>
      <w:r>
        <w:rPr>
          <w:rStyle w:val="32"/>
          <w:rFonts w:hint="eastAsia" w:ascii="仿宋" w:hAnsi="仿宋" w:eastAsia="仿宋"/>
          <w:b w:val="0"/>
          <w:bCs w:val="0"/>
          <w:color w:val="auto"/>
          <w:highlight w:val="none"/>
        </w:rPr>
        <w:t>入决算表</w:t>
      </w:r>
      <w:bookmarkEnd w:id="119"/>
      <w:bookmarkEnd w:id="120"/>
    </w:p>
    <w:p>
      <w:pPr>
        <w:pStyle w:val="3"/>
        <w:rPr>
          <w:rFonts w:ascii="仿宋" w:hAnsi="仿宋" w:eastAsia="仿宋"/>
          <w:color w:val="auto"/>
          <w:highlight w:val="none"/>
        </w:rPr>
      </w:pPr>
      <w:bookmarkStart w:id="121" w:name="_Toc5191"/>
      <w:bookmarkStart w:id="122" w:name="_Toc15396621"/>
      <w:r>
        <w:rPr>
          <w:rStyle w:val="32"/>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2"/>
          <w:rFonts w:hint="eastAsia" w:ascii="仿宋" w:hAnsi="仿宋" w:eastAsia="仿宋"/>
          <w:b w:val="0"/>
          <w:bCs w:val="0"/>
          <w:color w:val="auto"/>
          <w:highlight w:val="none"/>
        </w:rPr>
        <w:t>出决算表</w:t>
      </w:r>
      <w:bookmarkEnd w:id="121"/>
      <w:bookmarkEnd w:id="122"/>
    </w:p>
    <w:p>
      <w:pPr>
        <w:pStyle w:val="3"/>
        <w:rPr>
          <w:rFonts w:ascii="仿宋" w:hAnsi="仿宋" w:eastAsia="仿宋"/>
          <w:b w:val="0"/>
          <w:color w:val="auto"/>
          <w:highlight w:val="none"/>
        </w:rPr>
      </w:pPr>
      <w:bookmarkStart w:id="123" w:name="_Toc15396622"/>
      <w:bookmarkStart w:id="124" w:name="_Toc15200"/>
      <w:r>
        <w:rPr>
          <w:rStyle w:val="32"/>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2"/>
          <w:rFonts w:hint="eastAsia" w:ascii="仿宋" w:hAnsi="仿宋" w:eastAsia="仿宋"/>
          <w:b w:val="0"/>
          <w:bCs w:val="0"/>
          <w:color w:val="auto"/>
          <w:highlight w:val="none"/>
        </w:rPr>
        <w:t>政拨款收入支出决算总表</w:t>
      </w:r>
      <w:bookmarkEnd w:id="123"/>
      <w:bookmarkEnd w:id="124"/>
    </w:p>
    <w:p>
      <w:pPr>
        <w:pStyle w:val="3"/>
        <w:rPr>
          <w:rStyle w:val="32"/>
          <w:rFonts w:ascii="仿宋" w:hAnsi="仿宋" w:eastAsia="仿宋"/>
          <w:b w:val="0"/>
          <w:bCs w:val="0"/>
          <w:color w:val="auto"/>
          <w:highlight w:val="none"/>
        </w:rPr>
      </w:pPr>
      <w:bookmarkStart w:id="125" w:name="_Toc9450"/>
      <w:bookmarkStart w:id="126" w:name="_Toc15396623"/>
      <w:r>
        <w:rPr>
          <w:rStyle w:val="32"/>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2"/>
          <w:rFonts w:hint="eastAsia" w:ascii="仿宋" w:hAnsi="仿宋" w:eastAsia="仿宋"/>
          <w:b w:val="0"/>
          <w:bCs w:val="0"/>
          <w:color w:val="auto"/>
          <w:highlight w:val="none"/>
        </w:rPr>
        <w:t>政拨款支出决算明细表</w:t>
      </w:r>
      <w:bookmarkEnd w:id="125"/>
      <w:bookmarkEnd w:id="126"/>
      <w:bookmarkStart w:id="127" w:name="_Toc15396624"/>
    </w:p>
    <w:p>
      <w:pPr>
        <w:pStyle w:val="3"/>
        <w:rPr>
          <w:rFonts w:ascii="仿宋" w:hAnsi="仿宋" w:eastAsia="仿宋"/>
          <w:color w:val="auto"/>
          <w:highlight w:val="none"/>
        </w:rPr>
      </w:pPr>
      <w:bookmarkStart w:id="128" w:name="_Toc13179"/>
      <w:r>
        <w:rPr>
          <w:rStyle w:val="32"/>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2"/>
          <w:rFonts w:hint="eastAsia" w:ascii="仿宋" w:hAnsi="仿宋" w:eastAsia="仿宋"/>
          <w:b w:val="0"/>
          <w:bCs w:val="0"/>
          <w:color w:val="auto"/>
          <w:highlight w:val="none"/>
        </w:rPr>
        <w:t>般公共预算财政拨款支出决算表</w:t>
      </w:r>
      <w:bookmarkEnd w:id="127"/>
      <w:bookmarkEnd w:id="128"/>
    </w:p>
    <w:p>
      <w:pPr>
        <w:pStyle w:val="3"/>
        <w:rPr>
          <w:rFonts w:ascii="仿宋" w:hAnsi="仿宋" w:eastAsia="仿宋"/>
          <w:color w:val="auto"/>
          <w:highlight w:val="none"/>
        </w:rPr>
      </w:pPr>
      <w:bookmarkStart w:id="129" w:name="_Toc15396625"/>
      <w:bookmarkStart w:id="130" w:name="_Toc12080"/>
      <w:r>
        <w:rPr>
          <w:rStyle w:val="32"/>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2"/>
          <w:rFonts w:hint="eastAsia" w:ascii="仿宋" w:hAnsi="仿宋" w:eastAsia="仿宋"/>
          <w:b w:val="0"/>
          <w:bCs w:val="0"/>
          <w:color w:val="auto"/>
          <w:highlight w:val="none"/>
        </w:rPr>
        <w:t>般公共预算财政拨款支出决算明细表</w:t>
      </w:r>
      <w:bookmarkEnd w:id="129"/>
      <w:bookmarkEnd w:id="130"/>
    </w:p>
    <w:p>
      <w:pPr>
        <w:pStyle w:val="3"/>
        <w:rPr>
          <w:rFonts w:ascii="仿宋" w:hAnsi="仿宋" w:eastAsia="仿宋"/>
          <w:color w:val="auto"/>
          <w:highlight w:val="none"/>
        </w:rPr>
      </w:pPr>
      <w:bookmarkStart w:id="131" w:name="_Toc27401"/>
      <w:bookmarkStart w:id="132" w:name="_Toc15396626"/>
      <w:r>
        <w:rPr>
          <w:rStyle w:val="32"/>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2"/>
          <w:rFonts w:hint="eastAsia" w:ascii="仿宋" w:hAnsi="仿宋" w:eastAsia="仿宋"/>
          <w:b w:val="0"/>
          <w:bCs w:val="0"/>
          <w:color w:val="auto"/>
          <w:highlight w:val="none"/>
        </w:rPr>
        <w:t>般公共预算财政拨款基本支出决算表</w:t>
      </w:r>
      <w:bookmarkEnd w:id="131"/>
      <w:bookmarkEnd w:id="132"/>
    </w:p>
    <w:p>
      <w:pPr>
        <w:pStyle w:val="3"/>
        <w:rPr>
          <w:rFonts w:ascii="仿宋" w:hAnsi="仿宋" w:eastAsia="仿宋"/>
          <w:color w:val="auto"/>
          <w:highlight w:val="none"/>
        </w:rPr>
      </w:pPr>
      <w:bookmarkStart w:id="133" w:name="_Toc15396627"/>
      <w:bookmarkStart w:id="134" w:name="_Toc31489"/>
      <w:r>
        <w:rPr>
          <w:rStyle w:val="32"/>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2"/>
          <w:rFonts w:hint="eastAsia" w:ascii="仿宋" w:hAnsi="仿宋" w:eastAsia="仿宋"/>
          <w:b w:val="0"/>
          <w:bCs w:val="0"/>
          <w:color w:val="auto"/>
          <w:highlight w:val="none"/>
        </w:rPr>
        <w:t>般公共预算财政拨款项目支出决算表</w:t>
      </w:r>
      <w:bookmarkEnd w:id="133"/>
      <w:bookmarkEnd w:id="134"/>
    </w:p>
    <w:p>
      <w:pPr>
        <w:pStyle w:val="3"/>
        <w:rPr>
          <w:rFonts w:ascii="仿宋" w:hAnsi="仿宋" w:eastAsia="仿宋"/>
          <w:color w:val="auto"/>
          <w:highlight w:val="none"/>
        </w:rPr>
      </w:pPr>
      <w:bookmarkStart w:id="135" w:name="_Toc15396628"/>
      <w:bookmarkStart w:id="136" w:name="_Toc20286"/>
      <w:r>
        <w:rPr>
          <w:rStyle w:val="32"/>
          <w:rFonts w:hint="eastAsia" w:ascii="仿宋" w:hAnsi="仿宋" w:eastAsia="仿宋"/>
          <w:b w:val="0"/>
          <w:bCs w:val="0"/>
          <w:color w:val="auto"/>
          <w:highlight w:val="none"/>
        </w:rPr>
        <w:t>十、</w:t>
      </w:r>
      <w:bookmarkEnd w:id="135"/>
      <w:r>
        <w:rPr>
          <w:rFonts w:hint="eastAsia" w:ascii="仿宋" w:hAnsi="仿宋" w:eastAsia="仿宋"/>
          <w:b w:val="0"/>
          <w:color w:val="auto"/>
          <w:highlight w:val="none"/>
        </w:rPr>
        <w:t>政</w:t>
      </w:r>
      <w:r>
        <w:rPr>
          <w:rStyle w:val="32"/>
          <w:rFonts w:hint="eastAsia" w:ascii="仿宋" w:hAnsi="仿宋" w:eastAsia="仿宋"/>
          <w:b w:val="0"/>
          <w:bCs w:val="0"/>
          <w:color w:val="auto"/>
          <w:highlight w:val="none"/>
        </w:rPr>
        <w:t>府性基金预算财政拨款收入支出决算表</w:t>
      </w:r>
      <w:bookmarkEnd w:id="136"/>
    </w:p>
    <w:p>
      <w:pPr>
        <w:pStyle w:val="3"/>
        <w:rPr>
          <w:rFonts w:ascii="仿宋" w:hAnsi="仿宋" w:eastAsia="仿宋"/>
          <w:color w:val="auto"/>
          <w:highlight w:val="none"/>
        </w:rPr>
      </w:pPr>
      <w:bookmarkStart w:id="137" w:name="_Toc15396629"/>
      <w:bookmarkStart w:id="138" w:name="_Toc6667"/>
      <w:r>
        <w:rPr>
          <w:rStyle w:val="32"/>
          <w:rFonts w:hint="eastAsia" w:ascii="仿宋" w:hAnsi="仿宋" w:eastAsia="仿宋"/>
          <w:b w:val="0"/>
          <w:bCs w:val="0"/>
          <w:color w:val="auto"/>
          <w:highlight w:val="none"/>
        </w:rPr>
        <w:t>十一、</w:t>
      </w:r>
      <w:bookmarkEnd w:id="137"/>
      <w:r>
        <w:rPr>
          <w:rFonts w:hint="eastAsia" w:ascii="仿宋" w:hAnsi="仿宋" w:eastAsia="仿宋"/>
          <w:b w:val="0"/>
          <w:color w:val="auto"/>
          <w:highlight w:val="none"/>
        </w:rPr>
        <w:t>国</w:t>
      </w:r>
      <w:r>
        <w:rPr>
          <w:rStyle w:val="32"/>
          <w:rFonts w:hint="eastAsia" w:ascii="仿宋" w:hAnsi="仿宋" w:eastAsia="仿宋"/>
          <w:b w:val="0"/>
          <w:bCs w:val="0"/>
          <w:color w:val="auto"/>
          <w:highlight w:val="none"/>
        </w:rPr>
        <w:t>有资本经营预算</w:t>
      </w:r>
      <w:r>
        <w:rPr>
          <w:rStyle w:val="32"/>
          <w:rFonts w:hint="eastAsia" w:ascii="仿宋" w:hAnsi="仿宋" w:eastAsia="仿宋"/>
          <w:b w:val="0"/>
          <w:bCs w:val="0"/>
          <w:color w:val="auto"/>
          <w:highlight w:val="none"/>
          <w:lang w:eastAsia="zh-CN"/>
        </w:rPr>
        <w:t>财政拨款收入</w:t>
      </w:r>
      <w:r>
        <w:rPr>
          <w:rStyle w:val="32"/>
          <w:rFonts w:hint="eastAsia" w:ascii="仿宋" w:hAnsi="仿宋" w:eastAsia="仿宋"/>
          <w:b w:val="0"/>
          <w:bCs w:val="0"/>
          <w:color w:val="auto"/>
          <w:highlight w:val="none"/>
        </w:rPr>
        <w:t>支出决算表</w:t>
      </w:r>
      <w:bookmarkEnd w:id="138"/>
    </w:p>
    <w:p>
      <w:pPr>
        <w:pStyle w:val="3"/>
        <w:rPr>
          <w:rFonts w:ascii="仿宋" w:hAnsi="仿宋" w:eastAsia="仿宋"/>
          <w:color w:val="auto"/>
          <w:highlight w:val="none"/>
        </w:rPr>
      </w:pPr>
      <w:bookmarkStart w:id="139" w:name="_Toc15396630"/>
      <w:bookmarkStart w:id="140" w:name="_Toc10057"/>
      <w:r>
        <w:rPr>
          <w:rStyle w:val="32"/>
          <w:rFonts w:hint="eastAsia" w:ascii="仿宋" w:hAnsi="仿宋" w:eastAsia="仿宋"/>
          <w:b w:val="0"/>
          <w:bCs w:val="0"/>
          <w:color w:val="auto"/>
          <w:highlight w:val="none"/>
        </w:rPr>
        <w:t>十二、</w:t>
      </w:r>
      <w:bookmarkEnd w:id="139"/>
      <w:r>
        <w:rPr>
          <w:rStyle w:val="32"/>
          <w:rFonts w:hint="eastAsia" w:ascii="仿宋" w:hAnsi="仿宋" w:eastAsia="仿宋"/>
          <w:b w:val="0"/>
          <w:bCs w:val="0"/>
          <w:color w:val="auto"/>
          <w:highlight w:val="none"/>
          <w:lang w:eastAsia="zh-CN"/>
        </w:rPr>
        <w:t>国有资本经营预算财政拨款支出决算表</w:t>
      </w:r>
      <w:bookmarkEnd w:id="140"/>
    </w:p>
    <w:p>
      <w:pPr>
        <w:pStyle w:val="3"/>
        <w:rPr>
          <w:rFonts w:hint="eastAsia" w:eastAsia="仿宋"/>
          <w:color w:val="auto"/>
          <w:highlight w:val="none"/>
          <w:lang w:eastAsia="zh-CN"/>
        </w:rPr>
      </w:pPr>
      <w:bookmarkStart w:id="141" w:name="_Toc15396631"/>
      <w:bookmarkStart w:id="142" w:name="_Toc10766"/>
      <w:r>
        <w:rPr>
          <w:rStyle w:val="32"/>
          <w:rFonts w:hint="eastAsia" w:ascii="仿宋" w:hAnsi="仿宋" w:eastAsia="仿宋"/>
          <w:b w:val="0"/>
          <w:bCs w:val="0"/>
          <w:color w:val="auto"/>
          <w:highlight w:val="none"/>
        </w:rPr>
        <w:t>十三、</w:t>
      </w:r>
      <w:bookmarkEnd w:id="141"/>
      <w:r>
        <w:rPr>
          <w:rStyle w:val="32"/>
          <w:rFonts w:hint="eastAsia" w:ascii="仿宋" w:hAnsi="仿宋" w:eastAsia="仿宋"/>
          <w:b w:val="0"/>
          <w:bCs w:val="0"/>
          <w:color w:val="auto"/>
          <w:highlight w:val="none"/>
          <w:lang w:eastAsia="zh-CN"/>
        </w:rPr>
        <w:t>财政拨款“三公”经费支出决算表</w:t>
      </w:r>
      <w:bookmarkEnd w:id="142"/>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lang w:val="en-US"/>
      </w:rPr>
      <w:id w:val="-1994781956"/>
    </w:sdtPr>
    <w:sdtEndPr>
      <w:rPr>
        <w:rFonts w:hint="default"/>
        <w:lang w:val="en-US"/>
      </w:rPr>
    </w:sdtEndPr>
    <w:sdtContent>
      <w:p>
        <w:pPr>
          <w:pStyle w:val="11"/>
          <w:jc w:val="center"/>
        </w:pPr>
        <w:r>
          <w:rPr>
            <w:rFonts w:hint="eastAsia"/>
            <w:lang w:val="en-US" w:eastAsia="zh-CN"/>
          </w:rPr>
          <w:t>2</w:t>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710AE1B"/>
    <w:multiLevelType w:val="singleLevel"/>
    <w:tmpl w:val="1710AE1B"/>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zA2ZjIyZTQwZmFmZGMwZjhhNjI3NTM3OGRmY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1A230A5"/>
    <w:rsid w:val="01F15A5D"/>
    <w:rsid w:val="02143E91"/>
    <w:rsid w:val="036B533A"/>
    <w:rsid w:val="054E582C"/>
    <w:rsid w:val="066E0107"/>
    <w:rsid w:val="07996F6E"/>
    <w:rsid w:val="0A2032A3"/>
    <w:rsid w:val="0F98263C"/>
    <w:rsid w:val="101860EC"/>
    <w:rsid w:val="10C055FF"/>
    <w:rsid w:val="118107EC"/>
    <w:rsid w:val="12265D6B"/>
    <w:rsid w:val="13D50BC4"/>
    <w:rsid w:val="16BB723D"/>
    <w:rsid w:val="1BE8440E"/>
    <w:rsid w:val="1D155CEE"/>
    <w:rsid w:val="1D463211"/>
    <w:rsid w:val="1F850DBB"/>
    <w:rsid w:val="1FF35744"/>
    <w:rsid w:val="23860B96"/>
    <w:rsid w:val="240371BF"/>
    <w:rsid w:val="29FD04D3"/>
    <w:rsid w:val="2C8A61B5"/>
    <w:rsid w:val="2DF04E50"/>
    <w:rsid w:val="2E0D2B08"/>
    <w:rsid w:val="2F040D46"/>
    <w:rsid w:val="2F1F251D"/>
    <w:rsid w:val="319F7F4E"/>
    <w:rsid w:val="3304709D"/>
    <w:rsid w:val="36062A6B"/>
    <w:rsid w:val="36AA5135"/>
    <w:rsid w:val="376D39B2"/>
    <w:rsid w:val="37E16F03"/>
    <w:rsid w:val="38D469F0"/>
    <w:rsid w:val="38F911DD"/>
    <w:rsid w:val="3AF323B7"/>
    <w:rsid w:val="3D98207C"/>
    <w:rsid w:val="3E78745D"/>
    <w:rsid w:val="44E268DA"/>
    <w:rsid w:val="45A2171C"/>
    <w:rsid w:val="4A627F82"/>
    <w:rsid w:val="4B0E749A"/>
    <w:rsid w:val="4B4F25DA"/>
    <w:rsid w:val="4BE068DB"/>
    <w:rsid w:val="4BF1210F"/>
    <w:rsid w:val="4D577224"/>
    <w:rsid w:val="4EAB630A"/>
    <w:rsid w:val="4ECE2238"/>
    <w:rsid w:val="537E6D0A"/>
    <w:rsid w:val="56A82D3D"/>
    <w:rsid w:val="5AF92295"/>
    <w:rsid w:val="5CD71FC4"/>
    <w:rsid w:val="657339D9"/>
    <w:rsid w:val="6C4A05C8"/>
    <w:rsid w:val="6CC50BBE"/>
    <w:rsid w:val="6E7E3605"/>
    <w:rsid w:val="6EB51CFF"/>
    <w:rsid w:val="6FF5CC65"/>
    <w:rsid w:val="715C0E4B"/>
    <w:rsid w:val="72734D90"/>
    <w:rsid w:val="73AD73D5"/>
    <w:rsid w:val="73B6EB34"/>
    <w:rsid w:val="744731E5"/>
    <w:rsid w:val="76E3355F"/>
    <w:rsid w:val="778769C8"/>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keepLines/>
      <w:spacing w:before="340" w:after="330" w:line="578" w:lineRule="auto"/>
      <w:jc w:val="center"/>
      <w:outlineLvl w:val="0"/>
    </w:pPr>
    <w:rPr>
      <w:rFonts w:ascii="Times New Roman" w:hAnsi="Times New Roman" w:eastAsia="宋体"/>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unhideWhenUsed/>
    <w:qFormat/>
    <w:uiPriority w:val="9"/>
    <w:pPr>
      <w:keepNext/>
      <w:keepLines/>
      <w:spacing w:before="260" w:after="260" w:line="600" w:lineRule="exact"/>
      <w:ind w:firstLine="641"/>
      <w:outlineLvl w:val="2"/>
    </w:pPr>
    <w:rPr>
      <w:rFonts w:ascii="Times New Roman" w:hAnsi="Times New Roman" w:eastAsia="仿宋"/>
      <w:b/>
      <w:bCs/>
      <w:sz w:val="32"/>
      <w:szCs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Salutation"/>
    <w:basedOn w:val="1"/>
    <w:next w:val="1"/>
    <w:qFormat/>
    <w:uiPriority w:val="0"/>
  </w:style>
  <w:style w:type="paragraph" w:styleId="7">
    <w:name w:val="Body Text"/>
    <w:basedOn w:val="1"/>
    <w:link w:val="28"/>
    <w:qFormat/>
    <w:uiPriority w:val="99"/>
    <w:pPr>
      <w:spacing w:beforeLines="30"/>
    </w:pPr>
    <w:rPr>
      <w:rFonts w:ascii="仿宋_GB2312" w:eastAsia="仿宋_GB2312"/>
      <w:kern w:val="0"/>
      <w:sz w:val="30"/>
    </w:rPr>
  </w:style>
  <w:style w:type="paragraph" w:styleId="8">
    <w:name w:val="Body Text Indent"/>
    <w:basedOn w:val="1"/>
    <w:qFormat/>
    <w:uiPriority w:val="0"/>
    <w:pPr>
      <w:spacing w:after="120"/>
      <w:ind w:leftChars="200"/>
    </w:pPr>
    <w:rPr>
      <w:rFonts w:ascii="仿宋_GB2312"/>
      <w:szCs w:val="32"/>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4"/>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able of figures"/>
    <w:basedOn w:val="1"/>
    <w:next w:val="1"/>
    <w:qFormat/>
    <w:uiPriority w:val="0"/>
    <w:pPr>
      <w:spacing w:line="560" w:lineRule="exact"/>
      <w:ind w:left="200" w:leftChars="200" w:hanging="200" w:hangingChars="200"/>
    </w:pPr>
    <w:rPr>
      <w:rFonts w:ascii="Calibri" w:hAnsi="Calibri" w:eastAsia="宋体" w:cs="Times New Roman"/>
      <w:szCs w:val="24"/>
    </w:rPr>
  </w:style>
  <w:style w:type="paragraph" w:styleId="15">
    <w:name w:val="toc 2"/>
    <w:basedOn w:val="1"/>
    <w:next w:val="1"/>
    <w:unhideWhenUsed/>
    <w:qFormat/>
    <w:uiPriority w:val="39"/>
    <w:pPr>
      <w:tabs>
        <w:tab w:val="right" w:leader="dot" w:pos="8296"/>
      </w:tabs>
      <w:ind w:left="420" w:leftChars="200"/>
    </w:pPr>
  </w:style>
  <w:style w:type="paragraph" w:styleId="16">
    <w:name w:val="Body Text First Indent 2"/>
    <w:basedOn w:val="8"/>
    <w:unhideWhenUsed/>
    <w:qFormat/>
    <w:uiPriority w:val="99"/>
    <w:pPr>
      <w:ind w:firstLine="420" w:firstLineChars="200"/>
    </w:p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Char"/>
    <w:link w:val="12"/>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Char"/>
    <w:link w:val="11"/>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Char"/>
    <w:link w:val="7"/>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Char"/>
    <w:basedOn w:val="19"/>
    <w:link w:val="2"/>
    <w:qFormat/>
    <w:uiPriority w:val="9"/>
    <w:rPr>
      <w:rFonts w:ascii="Times New Roman" w:hAnsi="Times New Roman" w:eastAsia="宋体"/>
      <w:b/>
      <w:bCs/>
      <w:kern w:val="44"/>
      <w:sz w:val="44"/>
      <w:szCs w:val="44"/>
    </w:rPr>
  </w:style>
  <w:style w:type="character" w:customStyle="1" w:styleId="32">
    <w:name w:val="标题 2 Char"/>
    <w:basedOn w:val="19"/>
    <w:link w:val="3"/>
    <w:qFormat/>
    <w:uiPriority w:val="9"/>
    <w:rPr>
      <w:rFonts w:asciiTheme="majorHAnsi" w:hAnsiTheme="majorHAnsi" w:eastAsiaTheme="majorEastAsia" w:cstheme="majorBidi"/>
      <w:b/>
      <w:bCs/>
      <w:kern w:val="2"/>
      <w:sz w:val="32"/>
      <w:szCs w:val="32"/>
    </w:rPr>
  </w:style>
  <w:style w:type="paragraph" w:customStyle="1" w:styleId="3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9"/>
    <w:link w:val="10"/>
    <w:semiHidden/>
    <w:qFormat/>
    <w:uiPriority w:val="99"/>
    <w:rPr>
      <w:rFonts w:ascii="Times New Roman" w:hAnsi="Times New Roman"/>
      <w:kern w:val="2"/>
      <w:sz w:val="18"/>
      <w:szCs w:val="18"/>
    </w:rPr>
  </w:style>
  <w:style w:type="character" w:customStyle="1" w:styleId="35">
    <w:name w:val="标题 3 Char"/>
    <w:basedOn w:val="19"/>
    <w:link w:val="4"/>
    <w:qFormat/>
    <w:uiPriority w:val="9"/>
    <w:rPr>
      <w:rFonts w:ascii="Times New Roman" w:hAnsi="Times New Roman" w:eastAsia="仿宋"/>
      <w:b/>
      <w:bCs/>
      <w:kern w:val="2"/>
      <w:sz w:val="32"/>
      <w:szCs w:val="32"/>
    </w:rPr>
  </w:style>
  <w:style w:type="paragraph" w:customStyle="1" w:styleId="3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8">
    <w:name w:val="Table Paragraph"/>
    <w:basedOn w:val="1"/>
    <w:qFormat/>
    <w:uiPriority w:val="1"/>
    <w:pPr>
      <w:jc w:val="center"/>
    </w:pPr>
    <w:rPr>
      <w:rFonts w:ascii="宋体" w:hAnsi="宋体" w:eastAsia="宋体" w:cs="宋体"/>
      <w:lang w:val="en-US" w:eastAsia="zh-CN" w:bidi="ar-SA"/>
    </w:rPr>
  </w:style>
  <w:style w:type="character" w:customStyle="1" w:styleId="39">
    <w:name w:val="font61"/>
    <w:basedOn w:val="19"/>
    <w:qFormat/>
    <w:uiPriority w:val="0"/>
    <w:rPr>
      <w:rFonts w:ascii="宋体" w:hAnsi="宋体" w:eastAsia="宋体" w:cs="宋体"/>
      <w:b/>
      <w:bCs/>
      <w:color w:val="000000"/>
      <w:sz w:val="18"/>
      <w:szCs w:val="18"/>
      <w:u w:val="none"/>
    </w:rPr>
  </w:style>
  <w:style w:type="character" w:customStyle="1" w:styleId="40">
    <w:name w:val="20"/>
    <w:basedOn w:val="19"/>
    <w:qFormat/>
    <w:uiPriority w:val="0"/>
    <w:rPr>
      <w:rFonts w:hint="default" w:ascii="Times New Roman" w:hAnsi="Times New Roman" w:eastAsia="楷体_GB2312" w:cs="楷体_GB2312"/>
      <w:sz w:val="32"/>
      <w:szCs w:val="32"/>
    </w:rPr>
  </w:style>
  <w:style w:type="character" w:customStyle="1" w:styleId="41">
    <w:name w:val="font11"/>
    <w:basedOn w:val="19"/>
    <w:qFormat/>
    <w:uiPriority w:val="0"/>
    <w:rPr>
      <w:rFonts w:hint="eastAsia" w:ascii="宋体" w:hAnsi="宋体" w:eastAsia="宋体" w:cs="宋体"/>
      <w:color w:val="000000"/>
      <w:sz w:val="20"/>
      <w:szCs w:val="20"/>
      <w:u w:val="none"/>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extLst>
                <c:ext xmlns:c15="http://schemas.microsoft.com/office/drawing/2012/chart" uri="{02D57815-91ED-43cb-92C2-25804820EDAC}">
                  <c15:fullRef>
                    <c15:sqref>Sheet1!$A$2:$A$5</c15:sqref>
                  </c15:fullRef>
                </c:ext>
              </c:extLst>
              <c:f>Sheet1!$A$2:$A$3</c:f>
              <c:numCache>
                <c:formatCode>General</c:formatCode>
                <c:ptCount val="2"/>
                <c:pt idx="0">
                  <c:v>2021</c:v>
                </c:pt>
                <c:pt idx="1">
                  <c:v>2022</c:v>
                </c:pt>
              </c:numCache>
            </c:numRef>
          </c:cat>
          <c:val>
            <c:numRef>
              <c:extLst>
                <c:ext xmlns:c15="http://schemas.microsoft.com/office/drawing/2012/chart" uri="{02D57815-91ED-43cb-92C2-25804820EDAC}">
                  <c15:fullRef>
                    <c15:sqref>Sheet1!$B$2:$B$5</c15:sqref>
                  </c15:fullRef>
                </c:ext>
              </c:extLst>
              <c:f>Sheet1!$B$2:$B$3</c:f>
              <c:numCache>
                <c:formatCode>General</c:formatCode>
                <c:ptCount val="2"/>
                <c:pt idx="0">
                  <c:v>918.62</c:v>
                </c:pt>
                <c:pt idx="1">
                  <c:v>1081.2</c:v>
                </c:pt>
              </c:numCache>
            </c:numRef>
          </c:val>
        </c:ser>
        <c:dLbls>
          <c:showLegendKey val="0"/>
          <c:showVal val="0"/>
          <c:showCatName val="0"/>
          <c:showSerName val="0"/>
          <c:showPercent val="0"/>
          <c:showBubbleSize val="0"/>
        </c:dLbls>
        <c:gapWidth val="246"/>
        <c:overlap val="-28"/>
        <c:axId val="182159186"/>
        <c:axId val="695159260"/>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0"/>
                <c:dLbls>
                  <c:delete val="1"/>
                </c:dLbls>
                <c:cat>
                  <c:numRef>
                    <c:extLst>
                      <c:ext uri="{02D57815-91ED-43cb-92C2-25804820EDAC}">
                        <c15:fullRef>
                          <c15:sqref>Sheet1!$A$2:$A$5</c15:sqref>
                        </c15:fullRef>
                        <c15:formulaRef>
                          <c15:sqref>Sheet1!$A$2:$A$3</c15:sqref>
                        </c15:formulaRef>
                      </c:ext>
                    </c:extLst>
                    <c:numCache>
                      <c:formatCode>General</c:formatCode>
                      <c:ptCount val="2"/>
                      <c:pt idx="0">
                        <c:v>2021</c:v>
                      </c:pt>
                      <c:pt idx="1">
                        <c:v>2022</c:v>
                      </c:pt>
                    </c:numCache>
                  </c:numRef>
                </c:cat>
                <c:val>
                  <c:numRef>
                    <c:extLst>
                      <c:ext uri="{02D57815-91ED-43cb-92C2-25804820EDAC}">
                        <c15:fullRef>
                          <c15:sqref>Sheet1!$C$2:$C$5</c15:sqref>
                        </c15:fullRef>
                        <c15:formulaRef>
                          <c15:sqref>Sheet1!$C$2:$C$3</c15:sqref>
                        </c15:formulaRef>
                      </c:ext>
                    </c:extLst>
                    <c:numCache>
                      <c:formatCode>General</c:formatCode>
                      <c:ptCount val="2"/>
                      <c:pt idx="0">
                        <c:v>2.4</c:v>
                      </c:pt>
                      <c:pt idx="1">
                        <c:v>4.4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numRef>
                    <c:extLst>
                      <c:ext uri="{02D57815-91ED-43cb-92C2-25804820EDAC}">
                        <c15:fullRef>
                          <c15:sqref>Sheet1!$A$2:$A$5</c15:sqref>
                        </c15:fullRef>
                        <c15:formulaRef>
                          <c15:sqref>Sheet1!$A$2:$A$3</c15:sqref>
                        </c15:formulaRef>
                      </c:ext>
                    </c:extLst>
                    <c:numCache>
                      <c:formatCode>General</c:formatCode>
                      <c:ptCount val="2"/>
                      <c:pt idx="0">
                        <c:v>2021</c:v>
                      </c:pt>
                      <c:pt idx="1">
                        <c:v>2022</c:v>
                      </c:pt>
                    </c:numCache>
                  </c:num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18215918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159260"/>
        <c:crosses val="autoZero"/>
        <c:auto val="1"/>
        <c:lblAlgn val="ctr"/>
        <c:lblOffset val="100"/>
        <c:noMultiLvlLbl val="0"/>
      </c:catAx>
      <c:valAx>
        <c:axId val="695159260"/>
        <c:scaling>
          <c:orientation val="minMax"/>
          <c:max val="1600"/>
          <c:min val="0"/>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21591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Sheet1!$A$5</c:f>
              <c:strCache>
                <c:ptCount val="1"/>
                <c:pt idx="0">
                  <c:v>一般公共预算财政拨款收入</c:v>
                </c:pt>
              </c:strCache>
            </c:strRef>
          </c:cat>
          <c:val>
            <c:numRef>
              <c:extLst>
                <c:ext xmlns:c15="http://schemas.microsoft.com/office/drawing/2012/chart" uri="{02D57815-91ED-43cb-92C2-25804820EDAC}">
                  <c15:fullRef>
                    <c15:sqref>Sheet1!$B$2:$B$5</c15:sqref>
                  </c15:fullRef>
                </c:ext>
              </c:extLst>
              <c:f>Sheet1!$B$5</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0" vertOverflow="ellipsis" vert="horz" wrap="square" anchor="ctr" anchorCtr="1" forceAA="0"/>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8410244020295"/>
          <c:y val="0.202294942626434"/>
          <c:w val="0.449867117661271"/>
          <c:h val="0.791330216744581"/>
        </c:manualLayout>
      </c:layout>
      <c:pieChart>
        <c:varyColors val="1"/>
        <c:ser>
          <c:idx val="0"/>
          <c:order val="0"/>
          <c:tx>
            <c:strRef>
              <c:f>Sheet1!$B$1</c:f>
              <c:strCache>
                <c:ptCount val="1"/>
                <c:pt idx="0">
                  <c:v>销售额</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(Sheet1!$A$2,Sheet1!$A$5)</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(Sheet1!$B$2,Sheet1!$B$5)</c:f>
              <c:numCache>
                <c:formatCode>0.00%</c:formatCode>
                <c:ptCount val="2"/>
                <c:pt idx="0">
                  <c:v>0.426</c:v>
                </c:pt>
                <c:pt idx="1">
                  <c:v>0.5784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0" vertOverflow="ellipsis" vert="horz" wrap="square" anchor="ctr" anchorCtr="1" forceAA="0"/>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extLst>
                <c:ext xmlns:c15="http://schemas.microsoft.com/office/drawing/2012/chart" uri="{02D57815-91ED-43cb-92C2-25804820EDAC}">
                  <c15:fullRef>
                    <c15:sqref>Sheet1!$A$2:$A$5</c15:sqref>
                  </c15:fullRef>
                </c:ext>
              </c:extLst>
              <c:f>Sheet1!$A$2:$A$3</c:f>
              <c:numCache>
                <c:formatCode>General</c:formatCode>
                <c:ptCount val="2"/>
                <c:pt idx="0">
                  <c:v>2021</c:v>
                </c:pt>
                <c:pt idx="1">
                  <c:v>2022</c:v>
                </c:pt>
              </c:numCache>
            </c:numRef>
          </c:cat>
          <c:val>
            <c:numRef>
              <c:extLst>
                <c:ext xmlns:c15="http://schemas.microsoft.com/office/drawing/2012/chart" uri="{02D57815-91ED-43cb-92C2-25804820EDAC}">
                  <c15:fullRef>
                    <c15:sqref>Sheet1!$B$2:$B$5</c15:sqref>
                  </c15:fullRef>
                </c:ext>
              </c:extLst>
              <c:f>Sheet1!$B$2:$B$3</c:f>
              <c:numCache>
                <c:formatCode>General</c:formatCode>
                <c:ptCount val="2"/>
                <c:pt idx="0">
                  <c:v>918.62</c:v>
                </c:pt>
                <c:pt idx="1">
                  <c:v>1081.2</c:v>
                </c:pt>
              </c:numCache>
            </c:numRef>
          </c:val>
        </c:ser>
        <c:dLbls>
          <c:showLegendKey val="0"/>
          <c:showVal val="1"/>
          <c:showCatName val="0"/>
          <c:showSerName val="0"/>
          <c:showPercent val="0"/>
          <c:showBubbleSize val="0"/>
        </c:dLbls>
        <c:gapWidth val="246"/>
        <c:overlap val="-28"/>
        <c:axId val="344730497"/>
        <c:axId val="76423120"/>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ullRef>
                          <c15:sqref>Sheet1!$A$2:$A$5</c15:sqref>
                        </c15:fullRef>
                        <c15:formulaRef>
                          <c15:sqref>Sheet1!$A$2:$A$3</c15:sqref>
                        </c15:formulaRef>
                      </c:ext>
                    </c:extLst>
                    <c:numCache>
                      <c:formatCode>General</c:formatCode>
                      <c:ptCount val="2"/>
                      <c:pt idx="0">
                        <c:v>2021</c:v>
                      </c:pt>
                      <c:pt idx="1">
                        <c:v>2022</c:v>
                      </c:pt>
                    </c:numCache>
                  </c:numRef>
                </c:cat>
                <c:val>
                  <c:numRef>
                    <c:extLst>
                      <c:ext uri="{02D57815-91ED-43cb-92C2-25804820EDAC}">
                        <c15:fullRef>
                          <c15:sqref>Sheet1!$C$2:$C$5</c15:sqref>
                        </c15:fullRef>
                        <c15:formulaRef>
                          <c15:sqref>Sheet1!$C$2:$C$3</c15:sqref>
                        </c15:formulaRef>
                      </c:ext>
                    </c:extLst>
                    <c:numCache>
                      <c:formatCode>General</c:formatCode>
                      <c:ptCount val="2"/>
                      <c:pt idx="0">
                        <c:v>2.4</c:v>
                      </c:pt>
                      <c:pt idx="1">
                        <c:v>4.4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ullRef>
                          <c15:sqref>Sheet1!$A$2:$A$5</c15:sqref>
                        </c15:fullRef>
                        <c15:formulaRef>
                          <c15:sqref>Sheet1!$A$2:$A$3</c15:sqref>
                        </c15:formulaRef>
                      </c:ext>
                    </c:extLst>
                    <c:numCache>
                      <c:formatCode>General</c:formatCode>
                      <c:ptCount val="2"/>
                      <c:pt idx="0">
                        <c:v>2021</c:v>
                      </c:pt>
                      <c:pt idx="1">
                        <c:v>2022</c:v>
                      </c:pt>
                    </c:numCache>
                  </c:num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3447304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423120"/>
        <c:crosses val="autoZero"/>
        <c:auto val="1"/>
        <c:lblAlgn val="ctr"/>
        <c:lblOffset val="100"/>
        <c:noMultiLvlLbl val="0"/>
      </c:catAx>
      <c:valAx>
        <c:axId val="76423120"/>
        <c:scaling>
          <c:orientation val="minMax"/>
          <c:max val="1600"/>
          <c:min val="0"/>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73049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extLst>
                <c:ext xmlns:c15="http://schemas.microsoft.com/office/drawing/2012/chart" uri="{02D57815-91ED-43cb-92C2-25804820EDAC}">
                  <c15:fullRef>
                    <c15:sqref>Sheet1!$A$2:$A$5</c15:sqref>
                  </c15:fullRef>
                </c:ext>
              </c:extLst>
              <c:f>Sheet1!$A$2:$A$3</c:f>
              <c:numCache>
                <c:formatCode>General</c:formatCode>
                <c:ptCount val="2"/>
                <c:pt idx="0">
                  <c:v>2021</c:v>
                </c:pt>
                <c:pt idx="1">
                  <c:v>2022</c:v>
                </c:pt>
              </c:numCache>
            </c:numRef>
          </c:cat>
          <c:val>
            <c:numRef>
              <c:extLst>
                <c:ext xmlns:c15="http://schemas.microsoft.com/office/drawing/2012/chart" uri="{02D57815-91ED-43cb-92C2-25804820EDAC}">
                  <c15:fullRef>
                    <c15:sqref>Sheet1!$B$2:$B$5</c15:sqref>
                  </c15:fullRef>
                </c:ext>
              </c:extLst>
              <c:f>Sheet1!$B$2:$B$3</c:f>
              <c:numCache>
                <c:formatCode>General</c:formatCode>
                <c:ptCount val="2"/>
                <c:pt idx="0">
                  <c:v>759.03</c:v>
                </c:pt>
                <c:pt idx="1">
                  <c:v>1081.2</c:v>
                </c:pt>
              </c:numCache>
            </c:numRef>
          </c:val>
        </c:ser>
        <c:dLbls>
          <c:showLegendKey val="0"/>
          <c:showVal val="1"/>
          <c:showCatName val="0"/>
          <c:showSerName val="0"/>
          <c:showPercent val="0"/>
          <c:showBubbleSize val="0"/>
        </c:dLbls>
        <c:gapWidth val="246"/>
        <c:overlap val="-28"/>
        <c:axId val="976859156"/>
        <c:axId val="796342295"/>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系列 2</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ullRef>
                          <c15:sqref>Sheet1!$A$2:$A$5</c15:sqref>
                        </c15:fullRef>
                        <c15:formulaRef>
                          <c15:sqref>Sheet1!$A$2:$A$3</c15:sqref>
                        </c15:formulaRef>
                      </c:ext>
                    </c:extLst>
                    <c:numCache>
                      <c:formatCode>General</c:formatCode>
                      <c:ptCount val="2"/>
                      <c:pt idx="0">
                        <c:v>2021</c:v>
                      </c:pt>
                      <c:pt idx="1">
                        <c:v>2022</c:v>
                      </c:pt>
                    </c:numCache>
                  </c:numRef>
                </c:cat>
                <c:val>
                  <c:numRef>
                    <c:extLst>
                      <c:ext uri="{02D57815-91ED-43cb-92C2-25804820EDAC}">
                        <c15:fullRef>
                          <c15:sqref>Sheet1!$C$2:$C$5</c15:sqref>
                        </c15:fullRef>
                        <c15:formulaRef>
                          <c15:sqref>Sheet1!$C$2:$C$3</c15:sqref>
                        </c15:formulaRef>
                      </c:ext>
                    </c:extLst>
                    <c:numCache>
                      <c:formatCode>General</c:formatCode>
                      <c:ptCount val="2"/>
                      <c:pt idx="0">
                        <c:v>2.4</c:v>
                      </c:pt>
                      <c:pt idx="1">
                        <c:v>4.4</c:v>
                      </c:pt>
                    </c:numCache>
                  </c:numRef>
                </c:val>
              </c15:ser>
            </c15:filteredBarSeries>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ullRef>
                          <c15:sqref>Sheet1!$A$2:$A$5</c15:sqref>
                        </c15:fullRef>
                        <c15:formulaRef>
                          <c15:sqref>Sheet1!$A$2:$A$3</c15:sqref>
                        </c15:formulaRef>
                      </c:ext>
                    </c:extLst>
                    <c:numCache>
                      <c:formatCode>General</c:formatCode>
                      <c:ptCount val="2"/>
                      <c:pt idx="0">
                        <c:v>2021</c:v>
                      </c:pt>
                      <c:pt idx="1">
                        <c:v>2022</c:v>
                      </c:pt>
                    </c:numCache>
                  </c:numRef>
                </c:cat>
                <c:val>
                  <c:numRef>
                    <c:extLst>
                      <c:ext uri="{02D57815-91ED-43cb-92C2-25804820EDAC}">
                        <c15:fullRef>
                          <c15:sqref>Sheet1!$D$2:$D$5</c15:sqref>
                        </c15:fullRef>
                        <c15:formulaRef>
                          <c15:sqref>Sheet1!$D$2:$D$3</c15:sqref>
                        </c15:formulaRef>
                      </c:ext>
                    </c:extLst>
                    <c:numCache>
                      <c:formatCode>General</c:formatCode>
                      <c:ptCount val="2"/>
                      <c:pt idx="0">
                        <c:v>2</c:v>
                      </c:pt>
                      <c:pt idx="1">
                        <c:v>2</c:v>
                      </c:pt>
                    </c:numCache>
                  </c:numRef>
                </c:val>
              </c15:ser>
            </c15:filteredBarSeries>
          </c:ext>
        </c:extLst>
      </c:barChart>
      <c:catAx>
        <c:axId val="9768591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6342295"/>
        <c:crosses val="autoZero"/>
        <c:auto val="1"/>
        <c:lblAlgn val="ctr"/>
        <c:lblOffset val="100"/>
        <c:noMultiLvlLbl val="0"/>
      </c:catAx>
      <c:valAx>
        <c:axId val="796342295"/>
        <c:scaling>
          <c:orientation val="minMax"/>
          <c:max val="1600"/>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68591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教育支出</c:v>
                </c:pt>
                <c:pt idx="1">
                  <c:v>社会保障和就业支出</c:v>
                </c:pt>
                <c:pt idx="2">
                  <c:v>卫生健康支出</c:v>
                </c:pt>
                <c:pt idx="3">
                  <c:v>住房保障支出</c:v>
                </c:pt>
              </c:strCache>
            </c:strRef>
          </c:cat>
          <c:val>
            <c:numRef>
              <c:f>Sheet1!$B$2:$B$5</c:f>
              <c:numCache>
                <c:formatCode>0.00%</c:formatCode>
                <c:ptCount val="4"/>
                <c:pt idx="0">
                  <c:v>0.185</c:v>
                </c:pt>
                <c:pt idx="1">
                  <c:v>0.0457</c:v>
                </c:pt>
                <c:pt idx="2">
                  <c:v>0.7389</c:v>
                </c:pt>
                <c:pt idx="3">
                  <c:v>0.0304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0" vertOverflow="ellipsis" vert="horz" wrap="square" anchor="ctr" anchorCtr="1" forceAA="0"/>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Sheet1!$A$5</c:f>
              <c:strCache>
                <c:ptCount val="1"/>
                <c:pt idx="0">
                  <c:v>公务接待费支出</c:v>
                </c:pt>
              </c:strCache>
            </c:strRef>
          </c:cat>
          <c:val>
            <c:numRef>
              <c:extLst>
                <c:ext xmlns:c15="http://schemas.microsoft.com/office/drawing/2012/chart" uri="{02D57815-91ED-43cb-92C2-25804820EDAC}">
                  <c15:fullRef>
                    <c15:sqref>Sheet1!$B$2:$B$5</c15:sqref>
                  </c15:fullRef>
                </c:ext>
              </c:extLst>
              <c:f>Sheet1!$B$5</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0" vertOverflow="ellipsis" vert="horz" wrap="square" anchor="ctr" anchorCtr="1" forceAA="0"/>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0</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WPS_1651227375</cp:lastModifiedBy>
  <cp:lastPrinted>2023-07-31T02:35:00Z</cp:lastPrinted>
  <dcterms:modified xsi:type="dcterms:W3CDTF">2023-09-28T09:08:04Z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E7819EE9EC5E4CE7B175CB3E3B7B2D90_13</vt:lpwstr>
  </property>
</Properties>
</file>