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eastAsia="方正小标宋简体"/>
          <w:color w:val="auto"/>
          <w:sz w:val="21"/>
          <w:szCs w:val="21"/>
          <w:highlight w:val="none"/>
        </w:rPr>
      </w:pPr>
      <w:bookmarkStart w:id="0" w:name="_Toc15306267"/>
    </w:p>
    <w:p>
      <w:pPr>
        <w:spacing w:line="600" w:lineRule="exact"/>
        <w:jc w:val="center"/>
        <w:outlineLvl w:val="9"/>
        <w:rPr>
          <w:rFonts w:ascii="方正小标宋简体" w:eastAsia="方正小标宋简体"/>
          <w:color w:val="auto"/>
          <w:sz w:val="72"/>
          <w:szCs w:val="72"/>
          <w:highlight w:val="none"/>
        </w:rPr>
      </w:pPr>
    </w:p>
    <w:p>
      <w:pPr>
        <w:spacing w:line="600" w:lineRule="exact"/>
        <w:jc w:val="center"/>
        <w:outlineLvl w:val="9"/>
        <w:rPr>
          <w:rFonts w:ascii="方正小标宋简体" w:eastAsia="方正小标宋简体"/>
          <w:color w:val="auto"/>
          <w:sz w:val="72"/>
          <w:szCs w:val="72"/>
          <w:highlight w:val="none"/>
        </w:rPr>
      </w:pPr>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8720"/>
      <w:bookmarkStart w:id="2" w:name="_Toc15377193"/>
      <w:bookmarkStart w:id="3" w:name="_Toc8452"/>
      <w:bookmarkStart w:id="4" w:name="_Toc18228"/>
      <w:bookmarkStart w:id="5" w:name="_Toc29655"/>
      <w:bookmarkStart w:id="6" w:name="_Toc5763"/>
      <w:bookmarkStart w:id="7" w:name="_Toc15377425"/>
      <w:bookmarkStart w:id="8" w:name="_Toc22204"/>
      <w:bookmarkStart w:id="9" w:name="_Toc15378441"/>
      <w:bookmarkStart w:id="10" w:name="_Toc15396597"/>
      <w:bookmarkStart w:id="11" w:name="_Toc15396475"/>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22</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bookmarkEnd w:id="8"/>
      <w:bookmarkEnd w:id="9"/>
      <w:bookmarkEnd w:id="10"/>
      <w:bookmarkEnd w:id="11"/>
    </w:p>
    <w:p>
      <w:pPr>
        <w:adjustRightInd w:val="0"/>
        <w:snapToGrid w:val="0"/>
        <w:spacing w:line="360" w:lineRule="auto"/>
        <w:jc w:val="center"/>
        <w:outlineLvl w:val="0"/>
        <w:rPr>
          <w:rFonts w:ascii="方正小标宋简体" w:eastAsia="方正小标宋简体"/>
          <w:color w:val="auto"/>
          <w:sz w:val="36"/>
          <w:szCs w:val="36"/>
          <w:highlight w:val="none"/>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bookmarkStart w:id="12" w:name="_Toc15378442"/>
      <w:bookmarkStart w:id="13" w:name="_Toc15396598"/>
      <w:bookmarkStart w:id="14" w:name="_Toc14535"/>
      <w:bookmarkStart w:id="15" w:name="_Toc2051"/>
      <w:bookmarkStart w:id="16" w:name="_Toc15377426"/>
      <w:bookmarkStart w:id="17" w:name="_Toc2386"/>
      <w:bookmarkStart w:id="18" w:name="_Toc3103"/>
      <w:bookmarkStart w:id="19" w:name="_Toc6562"/>
      <w:bookmarkStart w:id="20" w:name="_Toc15396476"/>
      <w:bookmarkStart w:id="21" w:name="_Toc15377194"/>
      <w:bookmarkStart w:id="22" w:name="_Toc13977"/>
      <w:r>
        <w:rPr>
          <w:rFonts w:hint="eastAsia" w:ascii="方正小标宋简体" w:eastAsia="方正小标宋简体" w:cs="方正小标宋简体"/>
          <w:color w:val="auto"/>
          <w:sz w:val="72"/>
          <w:szCs w:val="72"/>
          <w:highlight w:val="none"/>
        </w:rPr>
        <w:t>四川省</w:t>
      </w:r>
      <w:bookmarkEnd w:id="0"/>
      <w:bookmarkStart w:id="23" w:name="_Toc15306268"/>
      <w:r>
        <w:rPr>
          <w:rFonts w:ascii="方正小标宋简体" w:eastAsia="方正小标宋简体" w:cs="方正小标宋简体"/>
          <w:color w:val="auto"/>
          <w:sz w:val="72"/>
          <w:szCs w:val="72"/>
          <w:highlight w:val="none"/>
        </w:rPr>
        <w:t>广元市昭化区卫</w:t>
      </w:r>
      <w:r>
        <w:rPr>
          <w:rFonts w:ascii="方正小标宋简体" w:eastAsia="方正小标宋简体" w:cs="方正小标宋简体"/>
          <w:b/>
          <w:bCs/>
          <w:color w:val="auto"/>
          <w:sz w:val="72"/>
          <w:szCs w:val="72"/>
          <w:highlight w:val="none"/>
        </w:rPr>
        <w:t>子镇中</w:t>
      </w:r>
      <w:r>
        <w:rPr>
          <w:rFonts w:ascii="方正小标宋简体" w:eastAsia="方正小标宋简体" w:cs="方正小标宋简体"/>
          <w:color w:val="auto"/>
          <w:sz w:val="72"/>
          <w:szCs w:val="72"/>
          <w:highlight w:val="none"/>
        </w:rPr>
        <w:t>心卫生院</w:t>
      </w:r>
      <w:r>
        <w:rPr>
          <w:rFonts w:hint="eastAsia" w:ascii="方正小标宋简体" w:eastAsia="方正小标宋简体" w:cs="方正小标宋简体"/>
          <w:color w:val="auto"/>
          <w:sz w:val="72"/>
          <w:szCs w:val="72"/>
          <w:highlight w:val="none"/>
          <w:lang w:eastAsia="zh-CN"/>
        </w:rPr>
        <w:t>单位</w:t>
      </w:r>
      <w:bookmarkEnd w:id="12"/>
      <w:bookmarkEnd w:id="13"/>
      <w:bookmarkEnd w:id="14"/>
      <w:bookmarkEnd w:id="15"/>
      <w:bookmarkEnd w:id="16"/>
      <w:bookmarkEnd w:id="17"/>
      <w:bookmarkEnd w:id="18"/>
      <w:bookmarkEnd w:id="19"/>
      <w:bookmarkEnd w:id="20"/>
      <w:bookmarkEnd w:id="21"/>
      <w:bookmarkEnd w:id="22"/>
      <w:bookmarkEnd w:id="23"/>
    </w:p>
    <w:p>
      <w:pPr>
        <w:widowControl/>
        <w:jc w:val="both"/>
        <w:rPr>
          <w:rFonts w:ascii="方正小标宋简体" w:eastAsia="方正小标宋简体"/>
          <w:color w:val="auto"/>
          <w:sz w:val="36"/>
          <w:szCs w:val="36"/>
          <w:highlight w:val="none"/>
        </w:rPr>
      </w:pPr>
    </w:p>
    <w:p>
      <w:pPr>
        <w:widowControl/>
        <w:jc w:val="center"/>
        <w:rPr>
          <w:rFonts w:ascii="黑体" w:eastAsia="黑体" w:cs="Arial"/>
          <w:color w:val="auto"/>
          <w:sz w:val="28"/>
          <w:szCs w:val="28"/>
          <w:highlight w:val="none"/>
        </w:rPr>
      </w:pPr>
      <w:r>
        <w:rPr>
          <w:rFonts w:hint="eastAsia" w:ascii="黑体" w:eastAsia="黑体"/>
          <w:color w:val="auto"/>
          <w:sz w:val="48"/>
          <w:szCs w:val="48"/>
          <w:highlight w:val="none"/>
        </w:rPr>
        <w:t>目</w:t>
      </w:r>
      <w:r>
        <w:rPr>
          <w:rFonts w:hint="eastAsia" w:ascii="黑体" w:eastAsia="黑体"/>
          <w:color w:val="auto"/>
          <w:sz w:val="48"/>
          <w:szCs w:val="48"/>
          <w:highlight w:val="none"/>
          <w:lang w:val="en-US" w:eastAsia="zh-CN"/>
        </w:rPr>
        <w:t xml:space="preserve"> </w:t>
      </w:r>
      <w:r>
        <w:rPr>
          <w:rFonts w:hint="eastAsia" w:ascii="黑体" w:eastAsia="黑体"/>
          <w:color w:val="auto"/>
          <w:sz w:val="48"/>
          <w:szCs w:val="48"/>
          <w:highlight w:val="none"/>
        </w:rPr>
        <w:t>录</w:t>
      </w:r>
    </w:p>
    <w:p>
      <w:pPr>
        <w:pStyle w:val="16"/>
        <w:tabs>
          <w:tab w:val="right" w:leader="dot" w:pos="8296"/>
        </w:tabs>
        <w:jc w:val="center"/>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公开时间：20</w:t>
      </w:r>
      <w:r>
        <w:rPr>
          <w:rFonts w:hint="eastAsia" w:ascii="仿宋" w:hAnsi="仿宋" w:eastAsia="仿宋" w:cs="仿宋"/>
          <w:b w:val="0"/>
          <w:bCs/>
          <w:color w:val="auto"/>
          <w:sz w:val="32"/>
          <w:szCs w:val="32"/>
          <w:highlight w:val="none"/>
          <w:lang w:val="en-US" w:eastAsia="zh-CN"/>
        </w:rPr>
        <w:t>23</w:t>
      </w:r>
      <w:r>
        <w:rPr>
          <w:rFonts w:hint="eastAsia" w:ascii="仿宋" w:hAnsi="仿宋" w:eastAsia="仿宋" w:cs="仿宋"/>
          <w:b w:val="0"/>
          <w:bCs/>
          <w:color w:val="auto"/>
          <w:sz w:val="32"/>
          <w:szCs w:val="32"/>
          <w:highlight w:val="none"/>
        </w:rPr>
        <w:t>年</w:t>
      </w:r>
      <w:r>
        <w:rPr>
          <w:rFonts w:hint="eastAsia" w:ascii="仿宋" w:hAnsi="仿宋" w:eastAsia="仿宋" w:cs="仿宋"/>
          <w:b w:val="0"/>
          <w:bCs/>
          <w:color w:val="auto"/>
          <w:sz w:val="32"/>
          <w:szCs w:val="32"/>
          <w:highlight w:val="none"/>
          <w:lang w:val="en-US" w:eastAsia="zh-CN"/>
        </w:rPr>
        <w:t xml:space="preserve"> 9</w:t>
      </w:r>
      <w:r>
        <w:rPr>
          <w:rFonts w:hint="eastAsia" w:ascii="仿宋" w:hAnsi="仿宋" w:eastAsia="仿宋" w:cs="仿宋"/>
          <w:b w:val="0"/>
          <w:bCs/>
          <w:color w:val="auto"/>
          <w:sz w:val="32"/>
          <w:szCs w:val="32"/>
          <w:highlight w:val="none"/>
        </w:rPr>
        <w:t>月</w:t>
      </w:r>
      <w:r>
        <w:rPr>
          <w:rFonts w:hint="eastAsia" w:ascii="仿宋" w:hAnsi="仿宋" w:eastAsia="仿宋" w:cs="仿宋"/>
          <w:b w:val="0"/>
          <w:bCs/>
          <w:color w:val="auto"/>
          <w:sz w:val="32"/>
          <w:szCs w:val="32"/>
          <w:highlight w:val="none"/>
          <w:lang w:val="en-US" w:eastAsia="zh-CN"/>
        </w:rPr>
        <w:t xml:space="preserve"> 28</w:t>
      </w:r>
      <w:r>
        <w:rPr>
          <w:rFonts w:hint="eastAsia" w:ascii="仿宋" w:hAnsi="仿宋" w:eastAsia="仿宋" w:cs="仿宋"/>
          <w:b w:val="0"/>
          <w:bCs/>
          <w:color w:val="auto"/>
          <w:sz w:val="32"/>
          <w:szCs w:val="32"/>
          <w:highlight w:val="none"/>
        </w:rPr>
        <w:t>日</w:t>
      </w:r>
    </w:p>
    <w:sdt>
      <w:sdtPr>
        <w:rPr>
          <w:rFonts w:ascii="宋体" w:hAnsi="宋体" w:eastAsia="宋体" w:cs="Times New Roman"/>
          <w:kern w:val="2"/>
          <w:sz w:val="21"/>
          <w:szCs w:val="24"/>
          <w:lang w:val="en-US" w:eastAsia="zh-CN" w:bidi="ar-SA"/>
        </w:rPr>
        <w:id w:val="147460688"/>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r>
            <w:fldChar w:fldCharType="begin"/>
          </w:r>
          <w:r>
            <w:instrText xml:space="preserve">TOC \o "1-3" \h \u </w:instrText>
          </w:r>
          <w:r>
            <w:fldChar w:fldCharType="separate"/>
          </w:r>
        </w:p>
        <w:p>
          <w:pPr>
            <w:pStyle w:val="36"/>
            <w:tabs>
              <w:tab w:val="right" w:leader="dot" w:pos="8306"/>
            </w:tabs>
          </w:pPr>
          <w:r>
            <w:fldChar w:fldCharType="begin"/>
          </w:r>
          <w:r>
            <w:instrText xml:space="preserve"> HYPERLINK \l _Toc18148 </w:instrText>
          </w:r>
          <w:r>
            <w:fldChar w:fldCharType="separate"/>
          </w:r>
          <w:r>
            <w:rPr>
              <w:rFonts w:hint="eastAsia" w:ascii="黑体" w:eastAsia="黑体"/>
              <w:highlight w:val="none"/>
            </w:rPr>
            <w:t xml:space="preserve">第一部分 </w:t>
          </w:r>
          <w:r>
            <w:rPr>
              <w:rFonts w:hint="eastAsia" w:ascii="黑体" w:eastAsia="黑体"/>
              <w:highlight w:val="none"/>
              <w:lang w:eastAsia="zh-CN"/>
            </w:rPr>
            <w:t>单位</w:t>
          </w:r>
          <w:r>
            <w:rPr>
              <w:rFonts w:hint="eastAsia" w:ascii="黑体" w:eastAsia="黑体"/>
              <w:bCs w:val="0"/>
              <w:highlight w:val="none"/>
            </w:rPr>
            <w:t>概况</w:t>
          </w:r>
          <w:r>
            <w:tab/>
          </w:r>
          <w:r>
            <w:fldChar w:fldCharType="begin"/>
          </w:r>
          <w:r>
            <w:instrText xml:space="preserve"> PAGEREF _Toc18148 \h </w:instrText>
          </w:r>
          <w:r>
            <w:fldChar w:fldCharType="separate"/>
          </w:r>
          <w:r>
            <w:t>1</w:t>
          </w:r>
          <w:r>
            <w:fldChar w:fldCharType="end"/>
          </w:r>
          <w:r>
            <w:fldChar w:fldCharType="end"/>
          </w:r>
        </w:p>
        <w:p>
          <w:pPr>
            <w:pStyle w:val="37"/>
            <w:tabs>
              <w:tab w:val="right" w:leader="dot" w:pos="8306"/>
            </w:tabs>
          </w:pPr>
          <w:r>
            <w:fldChar w:fldCharType="begin"/>
          </w:r>
          <w:r>
            <w:instrText xml:space="preserve"> HYPERLINK \l _Toc28283 </w:instrText>
          </w:r>
          <w:r>
            <w:fldChar w:fldCharType="separate"/>
          </w:r>
          <w:r>
            <w:rPr>
              <w:rFonts w:hint="eastAsia" w:ascii="黑体" w:eastAsia="黑体"/>
              <w:bCs w:val="0"/>
              <w:lang w:eastAsia="zh-CN"/>
            </w:rPr>
            <w:t xml:space="preserve">一、 </w:t>
          </w:r>
          <w:r>
            <w:rPr>
              <w:rFonts w:hint="eastAsia" w:ascii="黑体" w:eastAsia="黑体"/>
              <w:bCs w:val="0"/>
              <w:highlight w:val="none"/>
              <w:lang w:eastAsia="zh-CN"/>
            </w:rPr>
            <w:t>主要职责</w:t>
          </w:r>
          <w:r>
            <w:tab/>
          </w:r>
          <w:r>
            <w:fldChar w:fldCharType="begin"/>
          </w:r>
          <w:r>
            <w:instrText xml:space="preserve"> PAGEREF _Toc28283 \h </w:instrText>
          </w:r>
          <w:r>
            <w:fldChar w:fldCharType="separate"/>
          </w:r>
          <w:r>
            <w:t>1</w:t>
          </w:r>
          <w:r>
            <w:fldChar w:fldCharType="end"/>
          </w:r>
          <w:r>
            <w:fldChar w:fldCharType="end"/>
          </w:r>
        </w:p>
        <w:p>
          <w:pPr>
            <w:pStyle w:val="37"/>
            <w:tabs>
              <w:tab w:val="right" w:leader="dot" w:pos="8306"/>
            </w:tabs>
          </w:pPr>
          <w:r>
            <w:fldChar w:fldCharType="begin"/>
          </w:r>
          <w:r>
            <w:instrText xml:space="preserve"> HYPERLINK \l _Toc1985 </w:instrText>
          </w:r>
          <w:r>
            <w:fldChar w:fldCharType="separate"/>
          </w:r>
          <w:r>
            <w:rPr>
              <w:rFonts w:hint="eastAsia" w:ascii="黑体" w:eastAsia="黑体"/>
              <w:highlight w:val="none"/>
              <w:lang w:val="en-US" w:eastAsia="zh-CN"/>
            </w:rPr>
            <w:t>二、机构设置</w:t>
          </w:r>
          <w:r>
            <w:tab/>
          </w:r>
          <w:r>
            <w:fldChar w:fldCharType="begin"/>
          </w:r>
          <w:r>
            <w:instrText xml:space="preserve"> PAGEREF _Toc1985 \h </w:instrText>
          </w:r>
          <w:r>
            <w:fldChar w:fldCharType="separate"/>
          </w:r>
          <w:r>
            <w:t>1</w:t>
          </w:r>
          <w:r>
            <w:fldChar w:fldCharType="end"/>
          </w:r>
          <w:r>
            <w:fldChar w:fldCharType="end"/>
          </w:r>
        </w:p>
        <w:p>
          <w:pPr>
            <w:pStyle w:val="36"/>
            <w:tabs>
              <w:tab w:val="right" w:leader="dot" w:pos="8306"/>
            </w:tabs>
          </w:pPr>
          <w:r>
            <w:fldChar w:fldCharType="begin"/>
          </w:r>
          <w:r>
            <w:instrText xml:space="preserve"> HYPERLINK \l _Toc12914 </w:instrText>
          </w:r>
          <w:r>
            <w:fldChar w:fldCharType="separate"/>
          </w:r>
          <w:r>
            <w:rPr>
              <w:rFonts w:hint="eastAsia" w:ascii="黑体" w:eastAsia="黑体"/>
              <w:bCs/>
              <w:highlight w:val="none"/>
            </w:rPr>
            <w:t xml:space="preserve">第二部分 </w:t>
          </w:r>
          <w:r>
            <w:rPr>
              <w:rFonts w:hint="eastAsia" w:ascii="黑体" w:eastAsia="黑体"/>
              <w:bCs/>
              <w:highlight w:val="none"/>
              <w:lang w:val="en-US" w:eastAsia="zh-CN"/>
            </w:rPr>
            <w:t>2022年度</w:t>
          </w:r>
          <w:r>
            <w:rPr>
              <w:rFonts w:hint="eastAsia" w:ascii="黑体" w:eastAsia="黑体"/>
              <w:bCs/>
              <w:highlight w:val="none"/>
              <w:lang w:eastAsia="zh-CN"/>
            </w:rPr>
            <w:t>单位</w:t>
          </w:r>
          <w:r>
            <w:rPr>
              <w:rFonts w:hint="eastAsia" w:ascii="黑体" w:eastAsia="黑体"/>
              <w:bCs/>
              <w:highlight w:val="none"/>
            </w:rPr>
            <w:t>决算情况说明</w:t>
          </w:r>
          <w:r>
            <w:tab/>
          </w:r>
          <w:r>
            <w:fldChar w:fldCharType="begin"/>
          </w:r>
          <w:r>
            <w:instrText xml:space="preserve"> PAGEREF _Toc12914 \h </w:instrText>
          </w:r>
          <w:r>
            <w:fldChar w:fldCharType="separate"/>
          </w:r>
          <w:r>
            <w:t>2</w:t>
          </w:r>
          <w:r>
            <w:fldChar w:fldCharType="end"/>
          </w:r>
          <w:r>
            <w:fldChar w:fldCharType="end"/>
          </w:r>
        </w:p>
        <w:p>
          <w:pPr>
            <w:pStyle w:val="37"/>
            <w:tabs>
              <w:tab w:val="right" w:leader="dot" w:pos="8306"/>
            </w:tabs>
          </w:pPr>
          <w:r>
            <w:fldChar w:fldCharType="begin"/>
          </w:r>
          <w:r>
            <w:instrText xml:space="preserve"> HYPERLINK \l _Toc23611 </w:instrText>
          </w:r>
          <w:r>
            <w:fldChar w:fldCharType="separate"/>
          </w:r>
          <w:r>
            <w:rPr>
              <w:rFonts w:hint="default" w:ascii="黑体" w:eastAsia="黑体"/>
            </w:rPr>
            <w:t xml:space="preserve">一、 </w:t>
          </w:r>
          <w:r>
            <w:rPr>
              <w:rFonts w:hint="eastAsia" w:ascii="黑体" w:eastAsia="黑体"/>
              <w:szCs w:val="32"/>
              <w:highlight w:val="none"/>
            </w:rPr>
            <w:t>收</w:t>
          </w:r>
          <w:r>
            <w:rPr>
              <w:rFonts w:hint="eastAsia" w:ascii="黑体" w:eastAsia="黑体"/>
              <w:highlight w:val="none"/>
            </w:rPr>
            <w:t>入支出决算总体情况说明</w:t>
          </w:r>
          <w:r>
            <w:tab/>
          </w:r>
          <w:r>
            <w:fldChar w:fldCharType="begin"/>
          </w:r>
          <w:r>
            <w:instrText xml:space="preserve"> PAGEREF _Toc23611 \h </w:instrText>
          </w:r>
          <w:r>
            <w:fldChar w:fldCharType="separate"/>
          </w:r>
          <w:r>
            <w:t>2</w:t>
          </w:r>
          <w:r>
            <w:fldChar w:fldCharType="end"/>
          </w:r>
          <w:r>
            <w:fldChar w:fldCharType="end"/>
          </w:r>
        </w:p>
        <w:p>
          <w:pPr>
            <w:pStyle w:val="37"/>
            <w:tabs>
              <w:tab w:val="right" w:leader="dot" w:pos="8306"/>
            </w:tabs>
          </w:pPr>
          <w:r>
            <w:fldChar w:fldCharType="begin"/>
          </w:r>
          <w:r>
            <w:instrText xml:space="preserve"> HYPERLINK \l _Toc9094 </w:instrText>
          </w:r>
          <w:r>
            <w:fldChar w:fldCharType="separate"/>
          </w:r>
          <w:r>
            <w:rPr>
              <w:rFonts w:hint="eastAsia" w:ascii="黑体" w:eastAsia="黑体"/>
              <w:szCs w:val="32"/>
              <w:highlight w:val="none"/>
            </w:rPr>
            <w:t>二、收入决算情况说明</w:t>
          </w:r>
          <w:r>
            <w:tab/>
          </w:r>
          <w:r>
            <w:fldChar w:fldCharType="begin"/>
          </w:r>
          <w:r>
            <w:instrText xml:space="preserve"> PAGEREF _Toc9094 \h </w:instrText>
          </w:r>
          <w:r>
            <w:fldChar w:fldCharType="separate"/>
          </w:r>
          <w:r>
            <w:t>2</w:t>
          </w:r>
          <w:r>
            <w:fldChar w:fldCharType="end"/>
          </w:r>
          <w:r>
            <w:fldChar w:fldCharType="end"/>
          </w:r>
        </w:p>
        <w:p>
          <w:pPr>
            <w:pStyle w:val="37"/>
            <w:tabs>
              <w:tab w:val="right" w:leader="dot" w:pos="8306"/>
            </w:tabs>
          </w:pPr>
          <w:r>
            <w:fldChar w:fldCharType="begin"/>
          </w:r>
          <w:r>
            <w:instrText xml:space="preserve"> HYPERLINK \l _Toc16273 </w:instrText>
          </w:r>
          <w:r>
            <w:fldChar w:fldCharType="separate"/>
          </w:r>
          <w:r>
            <w:rPr>
              <w:rFonts w:ascii="黑体" w:eastAsia="黑体"/>
              <w:szCs w:val="32"/>
              <w:highlight w:val="none"/>
            </w:rPr>
            <w:t>三、</w:t>
          </w:r>
          <w:r>
            <w:rPr>
              <w:rFonts w:hint="eastAsia" w:ascii="黑体" w:eastAsia="黑体"/>
              <w:szCs w:val="32"/>
              <w:highlight w:val="none"/>
            </w:rPr>
            <w:t>支</w:t>
          </w:r>
          <w:r>
            <w:rPr>
              <w:rFonts w:hint="eastAsia" w:ascii="黑体" w:eastAsia="黑体"/>
              <w:highlight w:val="none"/>
            </w:rPr>
            <w:t>出决算情况说明</w:t>
          </w:r>
          <w:r>
            <w:tab/>
          </w:r>
          <w:r>
            <w:fldChar w:fldCharType="begin"/>
          </w:r>
          <w:r>
            <w:instrText xml:space="preserve"> PAGEREF _Toc16273 \h </w:instrText>
          </w:r>
          <w:r>
            <w:fldChar w:fldCharType="separate"/>
          </w:r>
          <w:r>
            <w:t>2</w:t>
          </w:r>
          <w:r>
            <w:fldChar w:fldCharType="end"/>
          </w:r>
          <w:r>
            <w:fldChar w:fldCharType="end"/>
          </w:r>
        </w:p>
        <w:p>
          <w:pPr>
            <w:pStyle w:val="37"/>
            <w:tabs>
              <w:tab w:val="right" w:leader="dot" w:pos="8306"/>
            </w:tabs>
          </w:pPr>
          <w:r>
            <w:fldChar w:fldCharType="begin"/>
          </w:r>
          <w:r>
            <w:instrText xml:space="preserve"> HYPERLINK \l _Toc28507 </w:instrText>
          </w:r>
          <w:r>
            <w:fldChar w:fldCharType="separate"/>
          </w:r>
          <w:r>
            <w:rPr>
              <w:rFonts w:hint="eastAsia" w:ascii="黑体" w:eastAsia="黑体"/>
              <w:szCs w:val="32"/>
              <w:highlight w:val="none"/>
            </w:rPr>
            <w:t>四、财</w:t>
          </w:r>
          <w:r>
            <w:rPr>
              <w:rFonts w:hint="eastAsia" w:ascii="黑体" w:eastAsia="黑体"/>
              <w:highlight w:val="none"/>
            </w:rPr>
            <w:t>政拨款收入支出决算总体情况说明</w:t>
          </w:r>
          <w:r>
            <w:tab/>
          </w:r>
          <w:r>
            <w:fldChar w:fldCharType="begin"/>
          </w:r>
          <w:r>
            <w:instrText xml:space="preserve"> PAGEREF _Toc28507 \h </w:instrText>
          </w:r>
          <w:r>
            <w:fldChar w:fldCharType="separate"/>
          </w:r>
          <w:r>
            <w:t>3</w:t>
          </w:r>
          <w:r>
            <w:fldChar w:fldCharType="end"/>
          </w:r>
          <w:r>
            <w:fldChar w:fldCharType="end"/>
          </w:r>
        </w:p>
        <w:p>
          <w:pPr>
            <w:pStyle w:val="37"/>
            <w:tabs>
              <w:tab w:val="right" w:leader="dot" w:pos="8306"/>
            </w:tabs>
          </w:pPr>
          <w:r>
            <w:fldChar w:fldCharType="begin"/>
          </w:r>
          <w:r>
            <w:instrText xml:space="preserve"> HYPERLINK \l _Toc6180 </w:instrText>
          </w:r>
          <w:r>
            <w:fldChar w:fldCharType="separate"/>
          </w:r>
          <w:r>
            <w:rPr>
              <w:rFonts w:hint="eastAsia" w:ascii="黑体" w:eastAsia="黑体"/>
              <w:szCs w:val="32"/>
              <w:highlight w:val="none"/>
            </w:rPr>
            <w:t>五、一</w:t>
          </w:r>
          <w:r>
            <w:rPr>
              <w:rFonts w:hint="eastAsia" w:ascii="黑体" w:eastAsia="黑体"/>
              <w:highlight w:val="none"/>
            </w:rPr>
            <w:t>般公共预算财政拨款支出决算情况说明</w:t>
          </w:r>
          <w:r>
            <w:tab/>
          </w:r>
          <w:r>
            <w:fldChar w:fldCharType="begin"/>
          </w:r>
          <w:r>
            <w:instrText xml:space="preserve"> PAGEREF _Toc6180 \h </w:instrText>
          </w:r>
          <w:r>
            <w:fldChar w:fldCharType="separate"/>
          </w:r>
          <w:r>
            <w:t>3</w:t>
          </w:r>
          <w:r>
            <w:fldChar w:fldCharType="end"/>
          </w:r>
          <w:r>
            <w:fldChar w:fldCharType="end"/>
          </w:r>
        </w:p>
        <w:p>
          <w:pPr>
            <w:pStyle w:val="37"/>
            <w:tabs>
              <w:tab w:val="right" w:leader="dot" w:pos="8306"/>
            </w:tabs>
          </w:pPr>
          <w:r>
            <w:fldChar w:fldCharType="begin"/>
          </w:r>
          <w:r>
            <w:instrText xml:space="preserve"> HYPERLINK \l _Toc22833 </w:instrText>
          </w:r>
          <w:r>
            <w:fldChar w:fldCharType="separate"/>
          </w:r>
          <w:r>
            <w:rPr>
              <w:rFonts w:hint="eastAsia" w:ascii="黑体" w:eastAsia="黑体"/>
              <w:szCs w:val="32"/>
              <w:highlight w:val="none"/>
            </w:rPr>
            <w:t>六、一</w:t>
          </w:r>
          <w:r>
            <w:rPr>
              <w:rFonts w:hint="eastAsia" w:ascii="黑体" w:eastAsia="黑体"/>
              <w:highlight w:val="none"/>
            </w:rPr>
            <w:t>般公共预算财政拨款基本支出决算情况说明</w:t>
          </w:r>
          <w:r>
            <w:tab/>
          </w:r>
          <w:r>
            <w:fldChar w:fldCharType="begin"/>
          </w:r>
          <w:r>
            <w:instrText xml:space="preserve"> PAGEREF _Toc22833 \h </w:instrText>
          </w:r>
          <w:r>
            <w:fldChar w:fldCharType="separate"/>
          </w:r>
          <w:r>
            <w:t>4</w:t>
          </w:r>
          <w:r>
            <w:fldChar w:fldCharType="end"/>
          </w:r>
          <w:r>
            <w:fldChar w:fldCharType="end"/>
          </w:r>
        </w:p>
        <w:p>
          <w:pPr>
            <w:pStyle w:val="37"/>
            <w:tabs>
              <w:tab w:val="right" w:leader="dot" w:pos="8306"/>
            </w:tabs>
          </w:pPr>
          <w:r>
            <w:fldChar w:fldCharType="begin"/>
          </w:r>
          <w:r>
            <w:instrText xml:space="preserve"> HYPERLINK \l _Toc10372 </w:instrText>
          </w:r>
          <w:r>
            <w:fldChar w:fldCharType="separate"/>
          </w:r>
          <w:r>
            <w:rPr>
              <w:rFonts w:hint="eastAsia" w:ascii="黑体" w:eastAsia="黑体"/>
              <w:szCs w:val="32"/>
              <w:highlight w:val="none"/>
            </w:rPr>
            <w:t>七、</w:t>
          </w:r>
          <w:r>
            <w:rPr>
              <w:rFonts w:hint="eastAsia" w:ascii="黑体" w:eastAsia="黑体"/>
              <w:highlight w:val="none"/>
            </w:rPr>
            <w:t>财政拨款“三公”经费支出决算情况说明</w:t>
          </w:r>
          <w:r>
            <w:rPr>
              <w:rFonts w:ascii="黑体" w:eastAsia="黑体"/>
              <w:highlight w:val="none"/>
            </w:rPr>
            <w:t>（无）</w:t>
          </w:r>
          <w:r>
            <w:tab/>
          </w:r>
          <w:r>
            <w:fldChar w:fldCharType="begin"/>
          </w:r>
          <w:r>
            <w:instrText xml:space="preserve"> PAGEREF _Toc10372 \h </w:instrText>
          </w:r>
          <w:r>
            <w:fldChar w:fldCharType="separate"/>
          </w:r>
          <w:r>
            <w:t>5</w:t>
          </w:r>
          <w:r>
            <w:fldChar w:fldCharType="end"/>
          </w:r>
          <w:r>
            <w:fldChar w:fldCharType="end"/>
          </w:r>
        </w:p>
        <w:p>
          <w:pPr>
            <w:pStyle w:val="37"/>
            <w:tabs>
              <w:tab w:val="right" w:leader="dot" w:pos="8306"/>
            </w:tabs>
          </w:pPr>
          <w:r>
            <w:fldChar w:fldCharType="begin"/>
          </w:r>
          <w:r>
            <w:instrText xml:space="preserve"> HYPERLINK \l _Toc28019 </w:instrText>
          </w:r>
          <w:r>
            <w:fldChar w:fldCharType="separate"/>
          </w:r>
          <w:r>
            <w:rPr>
              <w:rFonts w:hint="eastAsia" w:ascii="黑体" w:eastAsia="黑体"/>
              <w:szCs w:val="32"/>
              <w:highlight w:val="none"/>
            </w:rPr>
            <w:t>八、</w:t>
          </w:r>
          <w:r>
            <w:rPr>
              <w:rFonts w:hint="eastAsia" w:ascii="黑体" w:eastAsia="黑体"/>
              <w:highlight w:val="none"/>
            </w:rPr>
            <w:t>政府性基金预算支出决算情况说明</w:t>
          </w:r>
          <w:r>
            <w:tab/>
          </w:r>
          <w:r>
            <w:fldChar w:fldCharType="begin"/>
          </w:r>
          <w:r>
            <w:instrText xml:space="preserve"> PAGEREF _Toc28019 \h </w:instrText>
          </w:r>
          <w:r>
            <w:fldChar w:fldCharType="separate"/>
          </w:r>
          <w:r>
            <w:t>5</w:t>
          </w:r>
          <w:r>
            <w:fldChar w:fldCharType="end"/>
          </w:r>
          <w:r>
            <w:fldChar w:fldCharType="end"/>
          </w:r>
        </w:p>
        <w:p>
          <w:pPr>
            <w:pStyle w:val="37"/>
            <w:tabs>
              <w:tab w:val="right" w:leader="dot" w:pos="8306"/>
            </w:tabs>
          </w:pPr>
          <w:r>
            <w:fldChar w:fldCharType="begin"/>
          </w:r>
          <w:r>
            <w:instrText xml:space="preserve"> HYPERLINK \l _Toc15162 </w:instrText>
          </w:r>
          <w:r>
            <w:fldChar w:fldCharType="separate"/>
          </w:r>
          <w:r>
            <w:rPr>
              <w:rFonts w:hint="eastAsia" w:ascii="黑体" w:eastAsia="黑体"/>
            </w:rPr>
            <w:t xml:space="preserve">九、 </w:t>
          </w:r>
          <w:r>
            <w:rPr>
              <w:rFonts w:hint="eastAsia" w:ascii="黑体" w:eastAsia="黑体"/>
              <w:highlight w:val="none"/>
            </w:rPr>
            <w:t>国有资本经营预算支出决算情况说明</w:t>
          </w:r>
          <w:r>
            <w:tab/>
          </w:r>
          <w:r>
            <w:fldChar w:fldCharType="begin"/>
          </w:r>
          <w:r>
            <w:instrText xml:space="preserve"> PAGEREF _Toc15162 \h </w:instrText>
          </w:r>
          <w:r>
            <w:fldChar w:fldCharType="separate"/>
          </w:r>
          <w:r>
            <w:t>6</w:t>
          </w:r>
          <w:r>
            <w:fldChar w:fldCharType="end"/>
          </w:r>
          <w:r>
            <w:fldChar w:fldCharType="end"/>
          </w:r>
        </w:p>
        <w:p>
          <w:pPr>
            <w:pStyle w:val="37"/>
            <w:tabs>
              <w:tab w:val="right" w:leader="dot" w:pos="8306"/>
            </w:tabs>
          </w:pPr>
          <w:r>
            <w:fldChar w:fldCharType="begin"/>
          </w:r>
          <w:r>
            <w:instrText xml:space="preserve"> HYPERLINK \l _Toc14204 </w:instrText>
          </w:r>
          <w:r>
            <w:fldChar w:fldCharType="separate"/>
          </w:r>
          <w:r>
            <w:rPr>
              <w:rFonts w:hint="eastAsia" w:ascii="黑体" w:eastAsia="黑体"/>
            </w:rPr>
            <w:t xml:space="preserve">十、 </w:t>
          </w:r>
          <w:r>
            <w:rPr>
              <w:rFonts w:hint="eastAsia" w:ascii="黑体" w:eastAsia="黑体"/>
              <w:highlight w:val="none"/>
            </w:rPr>
            <w:t>其他重要事项的情况说明</w:t>
          </w:r>
          <w:r>
            <w:rPr>
              <w:rFonts w:ascii="黑体" w:eastAsia="黑体"/>
              <w:highlight w:val="none"/>
            </w:rPr>
            <w:t>（无）</w:t>
          </w:r>
          <w:r>
            <w:tab/>
          </w:r>
          <w:r>
            <w:fldChar w:fldCharType="begin"/>
          </w:r>
          <w:r>
            <w:instrText xml:space="preserve"> PAGEREF _Toc14204 \h </w:instrText>
          </w:r>
          <w:r>
            <w:fldChar w:fldCharType="separate"/>
          </w:r>
          <w:r>
            <w:t>6</w:t>
          </w:r>
          <w:r>
            <w:fldChar w:fldCharType="end"/>
          </w:r>
          <w:r>
            <w:fldChar w:fldCharType="end"/>
          </w:r>
        </w:p>
        <w:p>
          <w:pPr>
            <w:pStyle w:val="38"/>
            <w:tabs>
              <w:tab w:val="right" w:leader="dot" w:pos="8306"/>
            </w:tabs>
          </w:pPr>
          <w:r>
            <w:rPr>
              <w:rFonts w:hint="eastAsia"/>
              <w:lang w:eastAsia="zh-CN"/>
            </w:rPr>
            <w:t>（</w:t>
          </w:r>
          <w:r>
            <w:fldChar w:fldCharType="begin"/>
          </w:r>
          <w:r>
            <w:instrText xml:space="preserve"> HYPERLINK \l _Toc10405 </w:instrText>
          </w:r>
          <w:r>
            <w:fldChar w:fldCharType="separate"/>
          </w:r>
          <w:r>
            <w:rPr>
              <w:rFonts w:hint="eastAsia" w:ascii="仿宋" w:hAnsi="仿宋" w:eastAsia="仿宋"/>
              <w:szCs w:val="32"/>
            </w:rPr>
            <w:t>一）</w:t>
          </w:r>
          <w:r>
            <w:rPr>
              <w:rFonts w:hint="eastAsia" w:ascii="仿宋" w:hAnsi="仿宋" w:eastAsia="仿宋"/>
              <w:szCs w:val="32"/>
              <w:lang w:eastAsia="zh-CN"/>
            </w:rPr>
            <w:t>机关</w:t>
          </w:r>
          <w:r>
            <w:rPr>
              <w:rFonts w:hint="eastAsia" w:ascii="仿宋" w:hAnsi="仿宋" w:eastAsia="仿宋"/>
              <w:szCs w:val="32"/>
            </w:rPr>
            <w:t>运行经费支出情况</w:t>
          </w:r>
          <w:r>
            <w:tab/>
          </w:r>
          <w:r>
            <w:fldChar w:fldCharType="begin"/>
          </w:r>
          <w:r>
            <w:instrText xml:space="preserve"> PAGEREF _Toc10405 \h </w:instrText>
          </w:r>
          <w:r>
            <w:fldChar w:fldCharType="separate"/>
          </w:r>
          <w:r>
            <w:t>6</w:t>
          </w:r>
          <w:r>
            <w:fldChar w:fldCharType="end"/>
          </w:r>
          <w:r>
            <w:fldChar w:fldCharType="end"/>
          </w:r>
        </w:p>
        <w:p>
          <w:pPr>
            <w:pStyle w:val="38"/>
            <w:tabs>
              <w:tab w:val="right" w:leader="dot" w:pos="8306"/>
            </w:tabs>
          </w:pPr>
          <w:r>
            <w:fldChar w:fldCharType="begin"/>
          </w:r>
          <w:r>
            <w:instrText xml:space="preserve"> HYPERLINK \l _Toc8016 </w:instrText>
          </w:r>
          <w:r>
            <w:fldChar w:fldCharType="separate"/>
          </w:r>
          <w:r>
            <w:rPr>
              <w:rFonts w:hint="eastAsia" w:ascii="仿宋" w:hAnsi="仿宋" w:eastAsia="仿宋"/>
              <w:szCs w:val="32"/>
              <w:highlight w:val="none"/>
            </w:rPr>
            <w:t>（二）政府采购支出情况</w:t>
          </w:r>
          <w:r>
            <w:tab/>
          </w:r>
          <w:r>
            <w:fldChar w:fldCharType="begin"/>
          </w:r>
          <w:r>
            <w:instrText xml:space="preserve"> PAGEREF _Toc8016 \h </w:instrText>
          </w:r>
          <w:r>
            <w:fldChar w:fldCharType="separate"/>
          </w:r>
          <w:r>
            <w:t>6</w:t>
          </w:r>
          <w:r>
            <w:fldChar w:fldCharType="end"/>
          </w:r>
          <w:r>
            <w:fldChar w:fldCharType="end"/>
          </w:r>
        </w:p>
        <w:p>
          <w:pPr>
            <w:pStyle w:val="38"/>
            <w:tabs>
              <w:tab w:val="right" w:leader="dot" w:pos="8306"/>
            </w:tabs>
          </w:pPr>
          <w:r>
            <w:fldChar w:fldCharType="begin"/>
          </w:r>
          <w:r>
            <w:instrText xml:space="preserve"> HYPERLINK \l _Toc10511 </w:instrText>
          </w:r>
          <w:r>
            <w:fldChar w:fldCharType="separate"/>
          </w:r>
          <w:r>
            <w:rPr>
              <w:rFonts w:hint="eastAsia" w:ascii="仿宋" w:hAnsi="仿宋" w:eastAsia="仿宋"/>
              <w:szCs w:val="32"/>
            </w:rPr>
            <w:t>（三）国有资产占有使用情况</w:t>
          </w:r>
          <w:r>
            <w:tab/>
          </w:r>
          <w:r>
            <w:fldChar w:fldCharType="begin"/>
          </w:r>
          <w:r>
            <w:instrText xml:space="preserve"> PAGEREF _Toc10511 \h </w:instrText>
          </w:r>
          <w:r>
            <w:fldChar w:fldCharType="separate"/>
          </w:r>
          <w:r>
            <w:t>6</w:t>
          </w:r>
          <w:r>
            <w:fldChar w:fldCharType="end"/>
          </w:r>
          <w:r>
            <w:fldChar w:fldCharType="end"/>
          </w:r>
        </w:p>
        <w:p>
          <w:pPr>
            <w:pStyle w:val="38"/>
            <w:tabs>
              <w:tab w:val="right" w:leader="dot" w:pos="8306"/>
            </w:tabs>
          </w:pPr>
          <w:r>
            <w:fldChar w:fldCharType="begin"/>
          </w:r>
          <w:r>
            <w:instrText xml:space="preserve"> HYPERLINK \l _Toc7680 </w:instrText>
          </w:r>
          <w:r>
            <w:fldChar w:fldCharType="separate"/>
          </w:r>
          <w:r>
            <w:rPr>
              <w:rFonts w:hint="eastAsia" w:ascii="仿宋" w:eastAsia="仿宋"/>
              <w:szCs w:val="32"/>
              <w:highlight w:val="none"/>
            </w:rPr>
            <w:t>（四）预算绩效管理情况</w:t>
          </w:r>
          <w:r>
            <w:tab/>
          </w:r>
          <w:r>
            <w:fldChar w:fldCharType="begin"/>
          </w:r>
          <w:r>
            <w:instrText xml:space="preserve"> PAGEREF _Toc7680 \h </w:instrText>
          </w:r>
          <w:r>
            <w:fldChar w:fldCharType="separate"/>
          </w:r>
          <w:r>
            <w:t>6</w:t>
          </w:r>
          <w:r>
            <w:fldChar w:fldCharType="end"/>
          </w:r>
          <w:r>
            <w:fldChar w:fldCharType="end"/>
          </w:r>
        </w:p>
        <w:p>
          <w:pPr>
            <w:pStyle w:val="36"/>
            <w:tabs>
              <w:tab w:val="right" w:leader="dot" w:pos="8306"/>
            </w:tabs>
          </w:pPr>
          <w:r>
            <w:fldChar w:fldCharType="begin"/>
          </w:r>
          <w:r>
            <w:instrText xml:space="preserve"> HYPERLINK \l _Toc13902 </w:instrText>
          </w:r>
          <w:r>
            <w:fldChar w:fldCharType="separate"/>
          </w:r>
          <w:r>
            <w:rPr>
              <w:rFonts w:hint="eastAsia" w:ascii="黑体" w:hAnsi="黑体" w:eastAsia="黑体" w:cs="黑体"/>
              <w:szCs w:val="44"/>
            </w:rPr>
            <w:t xml:space="preserve">第三部分 </w:t>
          </w:r>
          <w:r>
            <w:rPr>
              <w:rFonts w:hint="eastAsia" w:ascii="黑体" w:eastAsia="黑体"/>
              <w:szCs w:val="44"/>
              <w:highlight w:val="none"/>
            </w:rPr>
            <w:t>名</w:t>
          </w:r>
          <w:r>
            <w:rPr>
              <w:rFonts w:hint="eastAsia" w:ascii="黑体" w:eastAsia="黑体"/>
              <w:highlight w:val="none"/>
            </w:rPr>
            <w:t>词解释</w:t>
          </w:r>
          <w:r>
            <w:tab/>
          </w:r>
          <w:r>
            <w:fldChar w:fldCharType="begin"/>
          </w:r>
          <w:r>
            <w:instrText xml:space="preserve"> PAGEREF _Toc13902 \h </w:instrText>
          </w:r>
          <w:r>
            <w:fldChar w:fldCharType="separate"/>
          </w:r>
          <w:r>
            <w:t>7</w:t>
          </w:r>
          <w:r>
            <w:fldChar w:fldCharType="end"/>
          </w:r>
          <w:r>
            <w:fldChar w:fldCharType="end"/>
          </w:r>
        </w:p>
        <w:p>
          <w:pPr>
            <w:pStyle w:val="36"/>
            <w:tabs>
              <w:tab w:val="right" w:leader="dot" w:pos="8306"/>
            </w:tabs>
          </w:pPr>
          <w:r>
            <w:fldChar w:fldCharType="begin"/>
          </w:r>
          <w:r>
            <w:instrText xml:space="preserve"> HYPERLINK \l _Toc16113 </w:instrText>
          </w:r>
          <w:r>
            <w:fldChar w:fldCharType="separate"/>
          </w:r>
          <w:r>
            <w:rPr>
              <w:rFonts w:hint="eastAsia" w:ascii="黑体" w:eastAsia="黑体"/>
              <w:szCs w:val="44"/>
              <w:highlight w:val="none"/>
            </w:rPr>
            <w:t>第</w:t>
          </w:r>
          <w:r>
            <w:rPr>
              <w:rFonts w:hint="eastAsia" w:ascii="黑体" w:eastAsia="黑体"/>
              <w:highlight w:val="none"/>
            </w:rPr>
            <w:t>四部分 附件</w:t>
          </w:r>
          <w:r>
            <w:tab/>
          </w:r>
          <w:r>
            <w:fldChar w:fldCharType="begin"/>
          </w:r>
          <w:r>
            <w:instrText xml:space="preserve"> PAGEREF _Toc16113 \h </w:instrText>
          </w:r>
          <w:r>
            <w:fldChar w:fldCharType="separate"/>
          </w:r>
          <w:r>
            <w:t>10</w:t>
          </w:r>
          <w:r>
            <w:fldChar w:fldCharType="end"/>
          </w:r>
          <w:r>
            <w:fldChar w:fldCharType="end"/>
          </w:r>
        </w:p>
        <w:p>
          <w:pPr>
            <w:pStyle w:val="36"/>
            <w:tabs>
              <w:tab w:val="right" w:leader="dot" w:pos="8306"/>
            </w:tabs>
          </w:pPr>
          <w:r>
            <w:fldChar w:fldCharType="begin"/>
          </w:r>
          <w:r>
            <w:instrText xml:space="preserve"> HYPERLINK \l _Toc8327 </w:instrText>
          </w:r>
          <w:r>
            <w:fldChar w:fldCharType="separate"/>
          </w:r>
          <w:r>
            <w:rPr>
              <w:rFonts w:hint="eastAsia" w:ascii="黑体" w:eastAsia="黑体"/>
              <w:szCs w:val="44"/>
              <w:highlight w:val="none"/>
            </w:rPr>
            <w:t>第</w:t>
          </w:r>
          <w:r>
            <w:rPr>
              <w:rFonts w:hint="eastAsia" w:ascii="黑体" w:eastAsia="黑体"/>
              <w:highlight w:val="none"/>
            </w:rPr>
            <w:t>五部分 附表</w:t>
          </w:r>
          <w:r>
            <w:tab/>
          </w:r>
          <w:r>
            <w:fldChar w:fldCharType="begin"/>
          </w:r>
          <w:r>
            <w:instrText xml:space="preserve"> PAGEREF _Toc8327 \h </w:instrText>
          </w:r>
          <w:r>
            <w:fldChar w:fldCharType="separate"/>
          </w:r>
          <w:r>
            <w:t>17</w:t>
          </w:r>
          <w:r>
            <w:fldChar w:fldCharType="end"/>
          </w:r>
          <w:r>
            <w:fldChar w:fldCharType="end"/>
          </w:r>
        </w:p>
        <w:p>
          <w:pPr>
            <w:pStyle w:val="37"/>
            <w:tabs>
              <w:tab w:val="right" w:leader="dot" w:pos="8306"/>
            </w:tabs>
          </w:pPr>
          <w:r>
            <w:fldChar w:fldCharType="begin"/>
          </w:r>
          <w:r>
            <w:instrText xml:space="preserve"> HYPERLINK \l _Toc9686 </w:instrText>
          </w:r>
          <w:r>
            <w:fldChar w:fldCharType="separate"/>
          </w:r>
          <w:r>
            <w:rPr>
              <w:rFonts w:hint="eastAsia" w:ascii="仿宋" w:hAnsi="仿宋" w:eastAsia="仿宋"/>
              <w:bCs w:val="0"/>
              <w:highlight w:val="none"/>
            </w:rPr>
            <w:t>一</w:t>
          </w:r>
          <w:r>
            <w:rPr>
              <w:rFonts w:hint="eastAsia" w:ascii="仿宋" w:hAnsi="仿宋" w:eastAsia="仿宋"/>
              <w:highlight w:val="none"/>
            </w:rPr>
            <w:t>、</w:t>
          </w:r>
          <w:r>
            <w:rPr>
              <w:rFonts w:hint="eastAsia" w:ascii="仿宋" w:hAnsi="仿宋" w:eastAsia="仿宋"/>
              <w:bCs w:val="0"/>
              <w:highlight w:val="none"/>
            </w:rPr>
            <w:t>收入支出决算总表</w:t>
          </w:r>
          <w:r>
            <w:tab/>
          </w:r>
          <w:r>
            <w:fldChar w:fldCharType="begin"/>
          </w:r>
          <w:r>
            <w:instrText xml:space="preserve"> PAGEREF _Toc9686 \h </w:instrText>
          </w:r>
          <w:r>
            <w:fldChar w:fldCharType="separate"/>
          </w:r>
          <w:r>
            <w:t>17</w:t>
          </w:r>
          <w:r>
            <w:fldChar w:fldCharType="end"/>
          </w:r>
          <w:r>
            <w:fldChar w:fldCharType="end"/>
          </w:r>
        </w:p>
        <w:p>
          <w:pPr>
            <w:pStyle w:val="37"/>
            <w:tabs>
              <w:tab w:val="right" w:leader="dot" w:pos="8306"/>
            </w:tabs>
          </w:pPr>
          <w:r>
            <w:fldChar w:fldCharType="begin"/>
          </w:r>
          <w:r>
            <w:instrText xml:space="preserve"> HYPERLINK \l _Toc27465 </w:instrText>
          </w:r>
          <w:r>
            <w:fldChar w:fldCharType="separate"/>
          </w:r>
          <w:r>
            <w:rPr>
              <w:rFonts w:hint="eastAsia" w:ascii="仿宋" w:hAnsi="仿宋" w:eastAsia="仿宋"/>
              <w:bCs w:val="0"/>
              <w:highlight w:val="none"/>
            </w:rPr>
            <w:t>二、收入决算表</w:t>
          </w:r>
          <w:r>
            <w:tab/>
          </w:r>
          <w:r>
            <w:fldChar w:fldCharType="begin"/>
          </w:r>
          <w:r>
            <w:instrText xml:space="preserve"> PAGEREF _Toc27465 \h </w:instrText>
          </w:r>
          <w:r>
            <w:fldChar w:fldCharType="separate"/>
          </w:r>
          <w:r>
            <w:t>17</w:t>
          </w:r>
          <w:r>
            <w:fldChar w:fldCharType="end"/>
          </w:r>
          <w:r>
            <w:fldChar w:fldCharType="end"/>
          </w:r>
        </w:p>
        <w:p>
          <w:pPr>
            <w:pStyle w:val="37"/>
            <w:tabs>
              <w:tab w:val="right" w:leader="dot" w:pos="8306"/>
            </w:tabs>
          </w:pPr>
          <w:r>
            <w:fldChar w:fldCharType="begin"/>
          </w:r>
          <w:r>
            <w:instrText xml:space="preserve"> HYPERLINK \l _Toc13566 </w:instrText>
          </w:r>
          <w:r>
            <w:fldChar w:fldCharType="separate"/>
          </w:r>
          <w:r>
            <w:rPr>
              <w:rFonts w:hint="eastAsia" w:ascii="仿宋" w:hAnsi="仿宋" w:eastAsia="仿宋"/>
              <w:bCs w:val="0"/>
              <w:highlight w:val="none"/>
            </w:rPr>
            <w:t>三、支出决算表</w:t>
          </w:r>
          <w:r>
            <w:tab/>
          </w:r>
          <w:r>
            <w:fldChar w:fldCharType="begin"/>
          </w:r>
          <w:r>
            <w:instrText xml:space="preserve"> PAGEREF _Toc13566 \h </w:instrText>
          </w:r>
          <w:r>
            <w:fldChar w:fldCharType="separate"/>
          </w:r>
          <w:r>
            <w:t>17</w:t>
          </w:r>
          <w:r>
            <w:fldChar w:fldCharType="end"/>
          </w:r>
          <w:r>
            <w:fldChar w:fldCharType="end"/>
          </w:r>
        </w:p>
        <w:p>
          <w:pPr>
            <w:pStyle w:val="37"/>
            <w:tabs>
              <w:tab w:val="right" w:leader="dot" w:pos="8306"/>
            </w:tabs>
          </w:pPr>
          <w:r>
            <w:fldChar w:fldCharType="begin"/>
          </w:r>
          <w:r>
            <w:instrText xml:space="preserve"> HYPERLINK \l _Toc31524 </w:instrText>
          </w:r>
          <w:r>
            <w:fldChar w:fldCharType="separate"/>
          </w:r>
          <w:r>
            <w:rPr>
              <w:rFonts w:hint="eastAsia" w:ascii="仿宋" w:hAnsi="仿宋" w:eastAsia="仿宋"/>
              <w:bCs w:val="0"/>
              <w:highlight w:val="none"/>
            </w:rPr>
            <w:t>四、财政拨款收入支出决算总表</w:t>
          </w:r>
          <w:r>
            <w:tab/>
          </w:r>
          <w:r>
            <w:fldChar w:fldCharType="begin"/>
          </w:r>
          <w:r>
            <w:instrText xml:space="preserve"> PAGEREF _Toc31524 \h </w:instrText>
          </w:r>
          <w:r>
            <w:fldChar w:fldCharType="separate"/>
          </w:r>
          <w:r>
            <w:t>18</w:t>
          </w:r>
          <w:r>
            <w:fldChar w:fldCharType="end"/>
          </w:r>
          <w:r>
            <w:fldChar w:fldCharType="end"/>
          </w:r>
        </w:p>
        <w:p>
          <w:pPr>
            <w:pStyle w:val="37"/>
            <w:tabs>
              <w:tab w:val="right" w:leader="dot" w:pos="8306"/>
            </w:tabs>
          </w:pPr>
          <w:r>
            <w:fldChar w:fldCharType="begin"/>
          </w:r>
          <w:r>
            <w:instrText xml:space="preserve"> HYPERLINK \l _Toc10894 </w:instrText>
          </w:r>
          <w:r>
            <w:fldChar w:fldCharType="separate"/>
          </w:r>
          <w:r>
            <w:rPr>
              <w:rFonts w:hint="eastAsia" w:ascii="仿宋" w:hAnsi="仿宋" w:eastAsia="仿宋"/>
              <w:bCs w:val="0"/>
              <w:highlight w:val="none"/>
            </w:rPr>
            <w:t>五、财政拨款支出决算明细表</w:t>
          </w:r>
          <w:r>
            <w:tab/>
          </w:r>
          <w:r>
            <w:fldChar w:fldCharType="begin"/>
          </w:r>
          <w:r>
            <w:instrText xml:space="preserve"> PAGEREF _Toc10894 \h </w:instrText>
          </w:r>
          <w:r>
            <w:fldChar w:fldCharType="separate"/>
          </w:r>
          <w:r>
            <w:t>18</w:t>
          </w:r>
          <w:r>
            <w:fldChar w:fldCharType="end"/>
          </w:r>
          <w:r>
            <w:fldChar w:fldCharType="end"/>
          </w:r>
        </w:p>
        <w:p>
          <w:pPr>
            <w:pStyle w:val="37"/>
            <w:tabs>
              <w:tab w:val="right" w:leader="dot" w:pos="8306"/>
            </w:tabs>
          </w:pPr>
          <w:r>
            <w:fldChar w:fldCharType="begin"/>
          </w:r>
          <w:r>
            <w:instrText xml:space="preserve"> HYPERLINK \l _Toc5040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_Toc5040 \h </w:instrText>
          </w:r>
          <w:r>
            <w:fldChar w:fldCharType="separate"/>
          </w:r>
          <w:r>
            <w:t>18</w:t>
          </w:r>
          <w:r>
            <w:fldChar w:fldCharType="end"/>
          </w:r>
          <w:r>
            <w:fldChar w:fldCharType="end"/>
          </w:r>
        </w:p>
        <w:p>
          <w:pPr>
            <w:pStyle w:val="37"/>
            <w:tabs>
              <w:tab w:val="right" w:leader="dot" w:pos="8306"/>
            </w:tabs>
          </w:pPr>
          <w:r>
            <w:fldChar w:fldCharType="begin"/>
          </w:r>
          <w:r>
            <w:instrText xml:space="preserve"> HYPERLINK \l _Toc15194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_Toc15194 \h </w:instrText>
          </w:r>
          <w:r>
            <w:fldChar w:fldCharType="separate"/>
          </w:r>
          <w:r>
            <w:t>18</w:t>
          </w:r>
          <w:r>
            <w:fldChar w:fldCharType="end"/>
          </w:r>
          <w:r>
            <w:fldChar w:fldCharType="end"/>
          </w:r>
        </w:p>
        <w:p>
          <w:pPr>
            <w:pStyle w:val="37"/>
            <w:tabs>
              <w:tab w:val="right" w:leader="dot" w:pos="8306"/>
            </w:tabs>
          </w:pPr>
          <w:r>
            <w:fldChar w:fldCharType="begin"/>
          </w:r>
          <w:r>
            <w:instrText xml:space="preserve"> HYPERLINK \l _Toc32672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_Toc32672 \h </w:instrText>
          </w:r>
          <w:r>
            <w:fldChar w:fldCharType="separate"/>
          </w:r>
          <w:r>
            <w:t>18</w:t>
          </w:r>
          <w:r>
            <w:fldChar w:fldCharType="end"/>
          </w:r>
          <w:r>
            <w:fldChar w:fldCharType="end"/>
          </w:r>
        </w:p>
        <w:p>
          <w:pPr>
            <w:pStyle w:val="37"/>
            <w:tabs>
              <w:tab w:val="right" w:leader="dot" w:pos="8306"/>
            </w:tabs>
          </w:pPr>
          <w:r>
            <w:fldChar w:fldCharType="begin"/>
          </w:r>
          <w:r>
            <w:instrText xml:space="preserve"> HYPERLINK \l _Toc5039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_Toc5039 \h </w:instrText>
          </w:r>
          <w:r>
            <w:fldChar w:fldCharType="separate"/>
          </w:r>
          <w:r>
            <w:t>18</w:t>
          </w:r>
          <w:r>
            <w:fldChar w:fldCharType="end"/>
          </w:r>
          <w:r>
            <w:fldChar w:fldCharType="end"/>
          </w:r>
        </w:p>
        <w:p>
          <w:pPr>
            <w:pStyle w:val="37"/>
            <w:tabs>
              <w:tab w:val="right" w:leader="dot" w:pos="8306"/>
            </w:tabs>
          </w:pPr>
          <w:r>
            <w:fldChar w:fldCharType="begin"/>
          </w:r>
          <w:r>
            <w:instrText xml:space="preserve"> HYPERLINK \l _Toc15565 </w:instrText>
          </w:r>
          <w: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_Toc15565 \h </w:instrText>
          </w:r>
          <w:r>
            <w:fldChar w:fldCharType="separate"/>
          </w:r>
          <w:r>
            <w:t>18</w:t>
          </w:r>
          <w:r>
            <w:fldChar w:fldCharType="end"/>
          </w:r>
          <w:r>
            <w:fldChar w:fldCharType="end"/>
          </w:r>
        </w:p>
        <w:p>
          <w:pPr>
            <w:pStyle w:val="37"/>
            <w:tabs>
              <w:tab w:val="right" w:leader="dot" w:pos="8306"/>
            </w:tabs>
          </w:pPr>
          <w:r>
            <w:fldChar w:fldCharType="begin"/>
          </w:r>
          <w:r>
            <w:instrText xml:space="preserve"> HYPERLINK \l _Toc14782 </w:instrText>
          </w:r>
          <w: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_Toc14782 \h </w:instrText>
          </w:r>
          <w:r>
            <w:fldChar w:fldCharType="separate"/>
          </w:r>
          <w:r>
            <w:t>18</w:t>
          </w:r>
          <w:r>
            <w:fldChar w:fldCharType="end"/>
          </w:r>
          <w:r>
            <w:fldChar w:fldCharType="end"/>
          </w:r>
        </w:p>
        <w:p>
          <w:pPr>
            <w:pStyle w:val="37"/>
            <w:tabs>
              <w:tab w:val="right" w:leader="dot" w:pos="8306"/>
            </w:tabs>
          </w:pPr>
          <w:r>
            <w:fldChar w:fldCharType="begin"/>
          </w:r>
          <w:r>
            <w:instrText xml:space="preserve"> HYPERLINK \l _Toc8570 </w:instrText>
          </w:r>
          <w: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_Toc8570 \h </w:instrText>
          </w:r>
          <w:r>
            <w:fldChar w:fldCharType="separate"/>
          </w:r>
          <w:r>
            <w:t>18</w:t>
          </w:r>
          <w:r>
            <w:fldChar w:fldCharType="end"/>
          </w:r>
          <w:r>
            <w:fldChar w:fldCharType="end"/>
          </w:r>
        </w:p>
        <w:p>
          <w:pPr>
            <w:pStyle w:val="37"/>
            <w:tabs>
              <w:tab w:val="right" w:leader="dot" w:pos="8306"/>
            </w:tabs>
          </w:pPr>
          <w:r>
            <w:fldChar w:fldCharType="begin"/>
          </w:r>
          <w:r>
            <w:instrText xml:space="preserve"> HYPERLINK \l _Toc14412 </w:instrText>
          </w:r>
          <w: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_Toc14412 \h </w:instrText>
          </w:r>
          <w:r>
            <w:fldChar w:fldCharType="separate"/>
          </w:r>
          <w:r>
            <w:t>18</w:t>
          </w:r>
          <w:r>
            <w:fldChar w:fldCharType="end"/>
          </w:r>
          <w:r>
            <w:fldChar w:fldCharType="end"/>
          </w:r>
        </w:p>
        <w:p>
          <w:r>
            <w:fldChar w:fldCharType="end"/>
          </w:r>
        </w:p>
      </w:sdtContent>
    </w:sdt>
    <w:p>
      <w:pPr>
        <w:pStyle w:val="3"/>
        <w:jc w:val="center"/>
        <w:rPr>
          <w:rFonts w:hint="eastAsia" w:ascii="黑体" w:eastAsia="黑体"/>
          <w:b w:val="0"/>
          <w:color w:val="auto"/>
          <w:highlight w:val="none"/>
        </w:rPr>
        <w:sectPr>
          <w:footerReference r:id="rId5" w:type="default"/>
          <w:pgSz w:w="11906" w:h="16838"/>
          <w:pgMar w:top="1440" w:right="1800" w:bottom="1440" w:left="1800" w:header="851" w:footer="992" w:gutter="0"/>
          <w:pgNumType w:start="1"/>
          <w:cols w:space="720" w:num="1"/>
          <w:docGrid w:type="lines" w:linePitch="312" w:charSpace="0"/>
        </w:sectPr>
      </w:pPr>
      <w:bookmarkStart w:id="24" w:name="_Toc18148"/>
    </w:p>
    <w:p>
      <w:pPr>
        <w:pStyle w:val="3"/>
        <w:jc w:val="center"/>
        <w:rPr>
          <w:rFonts w:ascii="黑体" w:eastAsia="黑体"/>
          <w:color w:val="auto"/>
          <w:sz w:val="32"/>
          <w:szCs w:val="32"/>
          <w:highlight w:val="none"/>
        </w:rPr>
      </w:pPr>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26"/>
          <w:rFonts w:hint="eastAsia" w:ascii="黑体" w:eastAsia="黑体"/>
          <w:b w:val="0"/>
          <w:bCs w:val="0"/>
          <w:color w:val="auto"/>
          <w:highlight w:val="none"/>
        </w:rPr>
        <w:t>概况</w:t>
      </w:r>
      <w:bookmarkEnd w:id="24"/>
    </w:p>
    <w:p>
      <w:pPr>
        <w:pStyle w:val="4"/>
        <w:numPr>
          <w:ilvl w:val="0"/>
          <w:numId w:val="1"/>
        </w:numPr>
        <w:rPr>
          <w:rStyle w:val="27"/>
          <w:rFonts w:hint="eastAsia" w:ascii="黑体" w:eastAsia="黑体"/>
          <w:b w:val="0"/>
          <w:bCs w:val="0"/>
          <w:color w:val="auto"/>
          <w:highlight w:val="none"/>
          <w:lang w:eastAsia="zh-CN"/>
        </w:rPr>
      </w:pPr>
      <w:bookmarkStart w:id="25" w:name="_Toc28283"/>
      <w:bookmarkStart w:id="26" w:name="_Toc15396600"/>
      <w:bookmarkStart w:id="27" w:name="_Toc15377197"/>
      <w:r>
        <w:rPr>
          <w:rStyle w:val="27"/>
          <w:rFonts w:hint="eastAsia" w:ascii="黑体" w:eastAsia="黑体"/>
          <w:b w:val="0"/>
          <w:bCs w:val="0"/>
          <w:color w:val="auto"/>
          <w:highlight w:val="none"/>
          <w:lang w:eastAsia="zh-CN"/>
        </w:rPr>
        <w:t>主要职责</w:t>
      </w:r>
      <w:bookmarkEnd w:id="25"/>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Autospacing="0" w:line="580" w:lineRule="atLeast"/>
        <w:ind w:left="0" w:right="0" w:firstLine="640" w:firstLineChars="200"/>
        <w:jc w:val="both"/>
        <w:rPr>
          <w:rFonts w:hint="default"/>
          <w:lang w:val="en-US"/>
        </w:rPr>
      </w:pPr>
      <w:r>
        <w:rPr>
          <w:rFonts w:hint="eastAsia" w:ascii="仿宋" w:eastAsia="仿宋" w:cs="仿宋"/>
          <w:kern w:val="0"/>
          <w:sz w:val="32"/>
          <w:szCs w:val="32"/>
          <w:lang w:val="en-US" w:eastAsia="zh-CN"/>
        </w:rPr>
        <w:t>1、以公共卫生服务为主，综合提供预防、保健和基本医疗等服务。2、加强农村疾病预防控制，做好传染病、地方病防治和疫情等农村突发性公共卫生事件报告工作，重点控制严重危害农民身体健康的传染病、地方病、职业病和寄生虫病等重大疾病。3、认真执行儿童计划免疫。积极开展慢性非传染性疾病的防治工作。</w:t>
      </w:r>
      <w:bookmarkStart w:id="148" w:name="_GoBack"/>
      <w:bookmarkEnd w:id="148"/>
      <w:r>
        <w:rPr>
          <w:rFonts w:hint="eastAsia" w:ascii="仿宋" w:eastAsia="仿宋" w:cs="仿宋"/>
          <w:kern w:val="0"/>
          <w:sz w:val="32"/>
          <w:szCs w:val="32"/>
          <w:lang w:val="en-US" w:eastAsia="zh-CN"/>
        </w:rPr>
        <w:t xml:space="preserve">4、做好农村孕产妇和儿童保健工作，提高住院分娩率，改善儿童营养状况。5、积极做好新型农村合作医疗的服务、计划生育技术指导、康复等工作。6、开展爱国卫生运动，普及疾病预防和卫生保健知识，指导群众改善居住、饮食、饮水和环境卫生条件，引导和帮助农民建立良好的卫生习惯。 </w:t>
      </w:r>
    </w:p>
    <w:p>
      <w:pPr>
        <w:pStyle w:val="4"/>
        <w:spacing w:before="0" w:beforeAutospacing="0" w:after="0" w:afterAutospacing="0"/>
        <w:rPr>
          <w:rFonts w:hint="eastAsia" w:ascii="黑体" w:eastAsia="黑体"/>
          <w:b w:val="0"/>
          <w:color w:val="auto"/>
          <w:highlight w:val="none"/>
          <w:lang w:val="en-US" w:eastAsia="zh-CN"/>
        </w:rPr>
      </w:pPr>
      <w:bookmarkStart w:id="28" w:name="_Toc1985"/>
      <w:r>
        <w:rPr>
          <w:rFonts w:hint="eastAsia" w:ascii="黑体" w:eastAsia="黑体"/>
          <w:b w:val="0"/>
          <w:color w:val="auto"/>
          <w:highlight w:val="none"/>
          <w:lang w:val="en-US" w:eastAsia="zh-CN"/>
        </w:rPr>
        <w:t>二、机构设置</w:t>
      </w:r>
      <w:bookmarkEnd w:id="28"/>
    </w:p>
    <w:bookmarkEnd w:id="26"/>
    <w:bookmarkEnd w:id="27"/>
    <w:p>
      <w:pPr>
        <w:pStyle w:val="4"/>
        <w:spacing w:before="0" w:beforeAutospacing="0"/>
        <w:ind w:firstLine="640" w:firstLineChars="200"/>
        <w:outlineLvl w:val="0"/>
        <w:rPr>
          <w:rFonts w:hint="eastAsia" w:ascii="仿宋" w:eastAsia="仿宋"/>
          <w:b w:val="0"/>
          <w:color w:val="auto"/>
          <w:highlight w:val="none"/>
          <w:lang w:val="en-US" w:eastAsia="zh-CN"/>
        </w:rPr>
      </w:pPr>
      <w:bookmarkStart w:id="29" w:name="_Toc10087"/>
      <w:bookmarkStart w:id="30" w:name="_Toc18522"/>
      <w:bookmarkStart w:id="31" w:name="_Toc20420"/>
      <w:bookmarkStart w:id="32" w:name="_Toc32642"/>
      <w:r>
        <w:rPr>
          <w:rFonts w:ascii="仿宋" w:eastAsia="仿宋"/>
          <w:b w:val="0"/>
          <w:color w:val="auto"/>
          <w:highlight w:val="none"/>
          <w:lang w:val="en-US" w:eastAsia="zh-CN"/>
        </w:rPr>
        <w:t>广元市昭化区卫子镇中心卫生院</w:t>
      </w:r>
      <w:r>
        <w:rPr>
          <w:rFonts w:hint="eastAsia" w:ascii="仿宋" w:eastAsia="仿宋"/>
          <w:b w:val="0"/>
          <w:color w:val="auto"/>
          <w:highlight w:val="none"/>
          <w:lang w:val="en-US" w:eastAsia="zh-CN"/>
        </w:rPr>
        <w:t>无</w:t>
      </w:r>
      <w:r>
        <w:rPr>
          <w:rFonts w:ascii="仿宋" w:eastAsia="仿宋"/>
          <w:b w:val="0"/>
          <w:color w:val="auto"/>
          <w:highlight w:val="none"/>
          <w:lang w:val="en-US" w:eastAsia="zh-CN"/>
        </w:rPr>
        <w:t>部门下属二级预算单位。</w:t>
      </w:r>
      <w:bookmarkEnd w:id="29"/>
      <w:bookmarkEnd w:id="30"/>
      <w:bookmarkEnd w:id="31"/>
      <w:bookmarkEnd w:id="32"/>
    </w:p>
    <w:p>
      <w:pPr>
        <w:widowControl/>
        <w:jc w:val="left"/>
        <w:rPr>
          <w:rFonts w:ascii="仿宋" w:eastAsia="仿宋"/>
          <w:color w:val="auto"/>
          <w:kern w:val="0"/>
          <w:sz w:val="32"/>
          <w:szCs w:val="32"/>
          <w:highlight w:val="none"/>
        </w:rPr>
      </w:pPr>
      <w:r>
        <w:rPr>
          <w:rFonts w:ascii="仿宋" w:eastAsia="仿宋"/>
          <w:color w:val="auto"/>
          <w:sz w:val="32"/>
          <w:szCs w:val="32"/>
          <w:highlight w:val="none"/>
        </w:rPr>
        <w:br w:type="page"/>
      </w:r>
    </w:p>
    <w:p>
      <w:pPr>
        <w:pStyle w:val="3"/>
        <w:spacing w:after="0" w:afterAutospacing="0"/>
        <w:ind w:right="440"/>
        <w:jc w:val="center"/>
        <w:rPr>
          <w:color w:val="auto"/>
          <w:highlight w:val="none"/>
        </w:rPr>
      </w:pPr>
      <w:bookmarkStart w:id="33" w:name="_Toc15377204"/>
      <w:bookmarkStart w:id="34" w:name="_Toc15396602"/>
      <w:bookmarkStart w:id="35" w:name="_Toc12914"/>
      <w:r>
        <w:rPr>
          <w:rFonts w:hint="eastAsia" w:ascii="黑体" w:eastAsia="黑体"/>
          <w:b w:val="0"/>
          <w:bCs/>
          <w:color w:val="auto"/>
          <w:highlight w:val="none"/>
        </w:rPr>
        <w:t xml:space="preserve">第二部分 </w:t>
      </w:r>
      <w:r>
        <w:rPr>
          <w:rFonts w:hint="eastAsia" w:ascii="黑体" w:eastAsia="黑体"/>
          <w:b w:val="0"/>
          <w:bCs/>
          <w:color w:val="auto"/>
          <w:highlight w:val="none"/>
          <w:lang w:val="en-US" w:eastAsia="zh-CN"/>
        </w:rPr>
        <w:t>2022年度</w:t>
      </w:r>
      <w:r>
        <w:rPr>
          <w:rStyle w:val="26"/>
          <w:rFonts w:hint="eastAsia" w:ascii="黑体" w:eastAsia="黑体"/>
          <w:b w:val="0"/>
          <w:bCs/>
          <w:color w:val="auto"/>
          <w:highlight w:val="none"/>
          <w:lang w:eastAsia="zh-CN"/>
        </w:rPr>
        <w:t>单位</w:t>
      </w:r>
      <w:r>
        <w:rPr>
          <w:rStyle w:val="26"/>
          <w:rFonts w:hint="eastAsia" w:ascii="黑体" w:eastAsia="黑体"/>
          <w:b w:val="0"/>
          <w:bCs/>
          <w:color w:val="auto"/>
          <w:highlight w:val="none"/>
        </w:rPr>
        <w:t>决算情况说明</w:t>
      </w:r>
      <w:bookmarkEnd w:id="33"/>
      <w:bookmarkEnd w:id="34"/>
      <w:bookmarkEnd w:id="35"/>
    </w:p>
    <w:p>
      <w:pPr>
        <w:pStyle w:val="32"/>
        <w:numPr>
          <w:ilvl w:val="0"/>
          <w:numId w:val="2"/>
        </w:numPr>
        <w:spacing w:line="600" w:lineRule="exact"/>
        <w:ind w:firstLineChars="0"/>
        <w:outlineLvl w:val="1"/>
        <w:rPr>
          <w:rStyle w:val="27"/>
          <w:rFonts w:ascii="黑体" w:eastAsia="黑体"/>
          <w:b w:val="0"/>
          <w:color w:val="auto"/>
          <w:highlight w:val="none"/>
        </w:rPr>
      </w:pPr>
      <w:bookmarkStart w:id="36" w:name="_Toc15396603"/>
      <w:bookmarkStart w:id="37" w:name="_Toc15377205"/>
      <w:bookmarkStart w:id="38" w:name="_Toc23611"/>
      <w:r>
        <w:rPr>
          <w:rFonts w:hint="eastAsia" w:ascii="黑体" w:eastAsia="黑体"/>
          <w:color w:val="auto"/>
          <w:sz w:val="32"/>
          <w:szCs w:val="32"/>
          <w:highlight w:val="none"/>
        </w:rPr>
        <w:t>收</w:t>
      </w:r>
      <w:r>
        <w:rPr>
          <w:rStyle w:val="27"/>
          <w:rFonts w:hint="eastAsia" w:ascii="黑体" w:eastAsia="黑体"/>
          <w:b w:val="0"/>
          <w:color w:val="auto"/>
          <w:highlight w:val="none"/>
        </w:rPr>
        <w:t>入支出决算总体情况说明</w:t>
      </w:r>
      <w:bookmarkEnd w:id="36"/>
      <w:bookmarkEnd w:id="37"/>
      <w:bookmarkEnd w:id="38"/>
    </w:p>
    <w:p>
      <w:pPr>
        <w:spacing w:line="600" w:lineRule="exact"/>
        <w:ind w:firstLine="640" w:firstLineChars="200"/>
        <w:rPr>
          <w:rFonts w:hint="eastAsia" w:ascii="仿宋" w:eastAsia="仿宋"/>
          <w:sz w:val="32"/>
          <w:szCs w:val="32"/>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年度收、支总计</w:t>
      </w:r>
      <w:r>
        <w:rPr>
          <w:rFonts w:ascii="仿宋" w:eastAsia="仿宋"/>
          <w:color w:val="auto"/>
          <w:sz w:val="32"/>
          <w:szCs w:val="32"/>
          <w:highlight w:val="none"/>
        </w:rPr>
        <w:t>1024.78</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年相比，收、支总计各增加</w:t>
      </w:r>
      <w:r>
        <w:rPr>
          <w:rFonts w:ascii="仿宋" w:eastAsia="仿宋"/>
          <w:color w:val="auto"/>
          <w:sz w:val="32"/>
          <w:szCs w:val="32"/>
          <w:highlight w:val="none"/>
        </w:rPr>
        <w:t>247.74</w:t>
      </w:r>
      <w:r>
        <w:rPr>
          <w:rFonts w:hint="eastAsia" w:ascii="仿宋" w:eastAsia="仿宋"/>
          <w:color w:val="auto"/>
          <w:sz w:val="32"/>
          <w:szCs w:val="32"/>
          <w:highlight w:val="none"/>
        </w:rPr>
        <w:t>万元，增长</w:t>
      </w:r>
      <w:r>
        <w:rPr>
          <w:rFonts w:ascii="仿宋" w:eastAsia="仿宋"/>
          <w:color w:val="auto"/>
          <w:sz w:val="32"/>
          <w:szCs w:val="32"/>
          <w:highlight w:val="none"/>
        </w:rPr>
        <w:t>24.17%</w:t>
      </w:r>
      <w:r>
        <w:rPr>
          <w:rFonts w:hint="eastAsia" w:ascii="仿宋" w:eastAsia="仿宋"/>
          <w:color w:val="auto"/>
          <w:sz w:val="32"/>
          <w:szCs w:val="32"/>
          <w:highlight w:val="none"/>
        </w:rPr>
        <w:t>。主要变动原因是</w:t>
      </w:r>
      <w:r>
        <w:rPr>
          <w:rFonts w:ascii="仿宋" w:eastAsia="仿宋"/>
          <w:color w:val="auto"/>
          <w:sz w:val="32"/>
          <w:szCs w:val="32"/>
          <w:highlight w:val="none"/>
        </w:rPr>
        <w:t>乡镇合并人员增加，财政拨款增加</w:t>
      </w:r>
      <w:r>
        <w:rPr>
          <w:rFonts w:hint="eastAsia" w:ascii="仿宋" w:eastAsia="仿宋"/>
          <w:color w:val="auto"/>
          <w:sz w:val="32"/>
          <w:szCs w:val="32"/>
          <w:highlight w:val="none"/>
          <w:lang w:eastAsia="zh-CN"/>
        </w:rPr>
        <w:t>。</w:t>
      </w:r>
      <w:r>
        <w:rPr>
          <w:rFonts w:ascii="仿宋" w:eastAsia="仿宋"/>
          <w:color w:val="auto"/>
          <w:sz w:val="32"/>
          <w:szCs w:val="32"/>
          <w:highlight w:val="none"/>
          <w:lang w:eastAsia="zh-CN"/>
        </w:rPr>
        <w:t>业务收入增加</w:t>
      </w:r>
      <w:bookmarkStart w:id="39" w:name="_Toc15396604"/>
      <w:bookmarkStart w:id="40" w:name="_Toc15377206"/>
      <w:r>
        <w:rPr>
          <w:rFonts w:ascii="仿宋" w:eastAsia="仿宋"/>
          <w:color w:val="auto"/>
          <w:sz w:val="32"/>
          <w:szCs w:val="32"/>
          <w:highlight w:val="none"/>
          <w:lang w:eastAsia="zh-CN"/>
        </w:rPr>
        <w:t>。</w:t>
      </w:r>
    </w:p>
    <w:p>
      <w:pPr>
        <w:pStyle w:val="32"/>
        <w:spacing w:line="600" w:lineRule="exact"/>
        <w:ind w:firstLine="0" w:firstLineChars="0"/>
        <w:outlineLvl w:val="9"/>
        <w:rPr>
          <w:rFonts w:ascii="黑体" w:eastAsia="黑体"/>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1145540</wp:posOffset>
            </wp:positionH>
            <wp:positionV relativeFrom="paragraph">
              <wp:posOffset>281940</wp:posOffset>
            </wp:positionV>
            <wp:extent cx="3247390" cy="1620520"/>
            <wp:effectExtent l="0" t="0" r="10160" b="17780"/>
            <wp:wrapNone/>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8"/>
                    <a:stretch>
                      <a:fillRect/>
                    </a:stretch>
                  </pic:blipFill>
                  <pic:spPr>
                    <a:xfrm>
                      <a:off x="0" y="0"/>
                      <a:ext cx="3247390" cy="1620520"/>
                    </a:xfrm>
                    <a:prstGeom prst="rect">
                      <a:avLst/>
                    </a:prstGeom>
                    <a:noFill/>
                    <a:ln w="9525" cap="flat" cmpd="sng">
                      <a:noFill/>
                      <a:prstDash val="solid"/>
                      <a:miter/>
                    </a:ln>
                  </pic:spPr>
                </pic:pic>
              </a:graphicData>
            </a:graphic>
          </wp:anchor>
        </w:drawing>
      </w:r>
    </w:p>
    <w:p>
      <w:pPr>
        <w:pStyle w:val="32"/>
        <w:spacing w:line="600" w:lineRule="exact"/>
        <w:ind w:firstLine="0" w:firstLineChars="0"/>
        <w:outlineLvl w:val="9"/>
        <w:rPr>
          <w:rFonts w:ascii="黑体" w:eastAsia="黑体"/>
          <w:color w:val="auto"/>
          <w:sz w:val="32"/>
          <w:szCs w:val="32"/>
          <w:highlight w:val="none"/>
        </w:rPr>
      </w:pPr>
    </w:p>
    <w:p>
      <w:pPr>
        <w:pStyle w:val="32"/>
        <w:spacing w:line="600" w:lineRule="exact"/>
        <w:ind w:firstLine="0" w:firstLineChars="0"/>
        <w:outlineLvl w:val="9"/>
        <w:rPr>
          <w:rFonts w:ascii="黑体" w:eastAsia="黑体"/>
          <w:color w:val="auto"/>
          <w:sz w:val="32"/>
          <w:szCs w:val="32"/>
          <w:highlight w:val="none"/>
        </w:rPr>
      </w:pPr>
    </w:p>
    <w:p>
      <w:pPr>
        <w:pStyle w:val="32"/>
        <w:spacing w:line="600" w:lineRule="exact"/>
        <w:ind w:firstLine="0" w:firstLineChars="0"/>
        <w:outlineLvl w:val="9"/>
        <w:rPr>
          <w:rFonts w:ascii="黑体" w:eastAsia="黑体"/>
          <w:color w:val="auto"/>
          <w:sz w:val="32"/>
          <w:szCs w:val="32"/>
          <w:highlight w:val="none"/>
        </w:rPr>
      </w:pPr>
    </w:p>
    <w:p>
      <w:pPr>
        <w:pStyle w:val="32"/>
        <w:spacing w:line="600" w:lineRule="exact"/>
        <w:ind w:firstLine="0" w:firstLineChars="0"/>
        <w:outlineLvl w:val="9"/>
        <w:rPr>
          <w:rFonts w:ascii="黑体" w:eastAsia="黑体"/>
          <w:color w:val="auto"/>
          <w:sz w:val="32"/>
          <w:szCs w:val="32"/>
          <w:highlight w:val="none"/>
        </w:rPr>
      </w:pPr>
    </w:p>
    <w:p>
      <w:pPr>
        <w:pageBreakBefore w:val="0"/>
        <w:wordWrap/>
        <w:overflowPunct/>
        <w:topLinePunct w:val="0"/>
        <w:bidi w:val="0"/>
        <w:spacing w:line="580" w:lineRule="exact"/>
        <w:ind w:left="0" w:leftChars="0" w:firstLine="0" w:firstLineChars="0"/>
        <w:jc w:val="center"/>
        <w:rPr>
          <w:rFonts w:ascii="黑体" w:eastAsia="黑体"/>
          <w:color w:val="auto"/>
          <w:sz w:val="32"/>
          <w:szCs w:val="32"/>
          <w:highlight w:val="none"/>
        </w:rPr>
      </w:pPr>
      <w:r>
        <w:rPr>
          <w:rFonts w:hint="eastAsia" w:ascii="仿宋" w:hAnsi="仿宋" w:eastAsia="仿宋"/>
          <w:color w:val="auto"/>
          <w:sz w:val="24"/>
          <w:szCs w:val="24"/>
          <w:highlight w:val="none"/>
        </w:rPr>
        <w:t>（图</w:t>
      </w:r>
      <w:r>
        <w:rPr>
          <w:rFonts w:ascii="仿宋" w:hAnsi="仿宋" w:eastAsia="仿宋"/>
          <w:color w:val="auto"/>
          <w:sz w:val="24"/>
          <w:szCs w:val="24"/>
          <w:highlight w:val="none"/>
        </w:rPr>
        <w:t>1</w:t>
      </w:r>
      <w:r>
        <w:rPr>
          <w:rFonts w:hint="eastAsia" w:ascii="仿宋" w:hAnsi="仿宋" w:eastAsia="仿宋"/>
          <w:color w:val="auto"/>
          <w:sz w:val="24"/>
          <w:szCs w:val="24"/>
          <w:highlight w:val="none"/>
        </w:rPr>
        <w:t>：收、支决算总计变动情况图）（柱状图）</w:t>
      </w:r>
    </w:p>
    <w:bookmarkEnd w:id="39"/>
    <w:bookmarkEnd w:id="40"/>
    <w:p>
      <w:pPr>
        <w:spacing w:line="600" w:lineRule="exact"/>
        <w:ind w:firstLine="640" w:firstLineChars="200"/>
        <w:jc w:val="both"/>
        <w:outlineLvl w:val="1"/>
        <w:rPr>
          <w:rFonts w:hint="eastAsia" w:ascii="黑体" w:eastAsia="黑体"/>
          <w:color w:val="auto"/>
          <w:sz w:val="32"/>
          <w:szCs w:val="32"/>
          <w:highlight w:val="none"/>
        </w:rPr>
      </w:pPr>
      <w:bookmarkStart w:id="41" w:name="_Toc9094"/>
      <w:r>
        <w:rPr>
          <w:rFonts w:hint="eastAsia" w:ascii="黑体" w:eastAsia="黑体"/>
          <w:color w:val="auto"/>
          <w:sz w:val="32"/>
          <w:szCs w:val="32"/>
          <w:highlight w:val="none"/>
        </w:rPr>
        <w:t>二、收入决算情况说明</w:t>
      </w:r>
      <w:bookmarkEnd w:id="41"/>
    </w:p>
    <w:p>
      <w:pPr>
        <w:spacing w:line="600" w:lineRule="exact"/>
        <w:ind w:firstLine="640" w:firstLineChars="200"/>
        <w:outlineLvl w:val="1"/>
      </w:pPr>
      <w:bookmarkStart w:id="42" w:name="_Toc17336"/>
      <w:bookmarkStart w:id="43" w:name="_Toc21139"/>
      <w:bookmarkStart w:id="44" w:name="_Toc4328"/>
      <w:bookmarkStart w:id="45" w:name="_Toc6752"/>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年本年收入合计</w:t>
      </w:r>
      <w:r>
        <w:rPr>
          <w:rFonts w:ascii="仿宋" w:eastAsia="仿宋"/>
          <w:color w:val="auto"/>
          <w:sz w:val="32"/>
          <w:szCs w:val="32"/>
          <w:highlight w:val="none"/>
        </w:rPr>
        <w:t>1024.78</w:t>
      </w:r>
      <w:r>
        <w:rPr>
          <w:rFonts w:hint="eastAsia" w:ascii="仿宋" w:eastAsia="仿宋"/>
          <w:color w:val="auto"/>
          <w:sz w:val="32"/>
          <w:szCs w:val="32"/>
          <w:highlight w:val="none"/>
        </w:rPr>
        <w:t>万元，其中：一般公共预算财政拨款收入</w:t>
      </w:r>
      <w:r>
        <w:rPr>
          <w:rFonts w:ascii="仿宋" w:eastAsia="仿宋"/>
          <w:color w:val="auto"/>
          <w:sz w:val="32"/>
          <w:szCs w:val="32"/>
          <w:highlight w:val="none"/>
        </w:rPr>
        <w:t>469.48</w:t>
      </w:r>
      <w:r>
        <w:rPr>
          <w:rFonts w:hint="eastAsia" w:ascii="仿宋" w:eastAsia="仿宋"/>
          <w:color w:val="auto"/>
          <w:sz w:val="32"/>
          <w:szCs w:val="32"/>
          <w:highlight w:val="none"/>
        </w:rPr>
        <w:t>万元，占</w:t>
      </w:r>
      <w:r>
        <w:rPr>
          <w:rFonts w:ascii="仿宋" w:eastAsia="仿宋"/>
          <w:color w:val="auto"/>
          <w:sz w:val="32"/>
          <w:szCs w:val="32"/>
          <w:highlight w:val="none"/>
        </w:rPr>
        <w:t>45.81%</w:t>
      </w:r>
      <w:r>
        <w:rPr>
          <w:rFonts w:hint="eastAsia" w:ascii="仿宋" w:eastAsia="仿宋"/>
          <w:color w:val="auto"/>
          <w:sz w:val="32"/>
          <w:szCs w:val="32"/>
          <w:highlight w:val="none"/>
        </w:rPr>
        <w:t>；政府性基金预算财政拨款收入</w:t>
      </w:r>
      <w:r>
        <w:rPr>
          <w:rFonts w:ascii="仿宋" w:eastAsia="仿宋"/>
          <w:color w:val="auto"/>
          <w:sz w:val="32"/>
          <w:szCs w:val="32"/>
          <w:highlight w:val="none"/>
        </w:rPr>
        <w:t>19.16</w:t>
      </w:r>
      <w:r>
        <w:rPr>
          <w:rFonts w:hint="eastAsia" w:ascii="仿宋" w:eastAsia="仿宋"/>
          <w:color w:val="auto"/>
          <w:sz w:val="32"/>
          <w:szCs w:val="32"/>
          <w:highlight w:val="none"/>
        </w:rPr>
        <w:t>万元，占</w:t>
      </w:r>
      <w:r>
        <w:rPr>
          <w:rFonts w:ascii="仿宋" w:eastAsia="仿宋"/>
          <w:color w:val="auto"/>
          <w:sz w:val="32"/>
          <w:szCs w:val="32"/>
          <w:highlight w:val="none"/>
        </w:rPr>
        <w:t>1.87%</w:t>
      </w:r>
      <w:r>
        <w:rPr>
          <w:rFonts w:hint="eastAsia" w:ascii="仿宋" w:eastAsia="仿宋"/>
          <w:color w:val="auto"/>
          <w:sz w:val="32"/>
          <w:szCs w:val="32"/>
          <w:highlight w:val="none"/>
        </w:rPr>
        <w:t>；</w:t>
      </w:r>
      <w:r>
        <w:rPr>
          <w:rFonts w:hint="eastAsia" w:ascii="仿宋" w:eastAsia="仿宋"/>
          <w:color w:val="auto"/>
          <w:sz w:val="32"/>
          <w:szCs w:val="32"/>
          <w:highlight w:val="none"/>
          <w:lang w:eastAsia="zh-CN"/>
        </w:rPr>
        <w:t>国有资本经营预算财政拨款收入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；上级补助收入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；事业收入</w:t>
      </w:r>
      <w:r>
        <w:rPr>
          <w:rFonts w:ascii="仿宋" w:eastAsia="仿宋"/>
          <w:color w:val="auto"/>
          <w:sz w:val="32"/>
          <w:szCs w:val="32"/>
          <w:highlight w:val="none"/>
        </w:rPr>
        <w:t>536.14</w:t>
      </w:r>
      <w:r>
        <w:rPr>
          <w:rFonts w:hint="eastAsia" w:ascii="仿宋" w:eastAsia="仿宋"/>
          <w:color w:val="auto"/>
          <w:sz w:val="32"/>
          <w:szCs w:val="32"/>
          <w:highlight w:val="none"/>
        </w:rPr>
        <w:t>万元，占</w:t>
      </w:r>
      <w:r>
        <w:rPr>
          <w:rFonts w:ascii="仿宋" w:eastAsia="仿宋"/>
          <w:color w:val="auto"/>
          <w:sz w:val="32"/>
          <w:szCs w:val="32"/>
          <w:highlight w:val="none"/>
        </w:rPr>
        <w:t>52.32%</w:t>
      </w:r>
      <w:r>
        <w:rPr>
          <w:rFonts w:hint="eastAsia" w:ascii="仿宋" w:eastAsia="仿宋"/>
          <w:color w:val="auto"/>
          <w:sz w:val="32"/>
          <w:szCs w:val="32"/>
          <w:highlight w:val="none"/>
        </w:rPr>
        <w:t>；经营收入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；附属单位上缴收入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；其他收入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w:t>
      </w:r>
      <w:bookmarkEnd w:id="42"/>
      <w:bookmarkEnd w:id="43"/>
      <w:bookmarkEnd w:id="44"/>
      <w:bookmarkEnd w:id="45"/>
    </w:p>
    <w:p>
      <w:pPr>
        <w:pStyle w:val="2"/>
        <w:jc w:val="center"/>
      </w:pPr>
      <w:r>
        <w:drawing>
          <wp:inline distT="0" distB="0" distL="67945" distR="67945">
            <wp:extent cx="3431540" cy="1158875"/>
            <wp:effectExtent l="0" t="0" r="0" b="0"/>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1"/>
                    </pic:cNvPicPr>
                  </pic:nvPicPr>
                  <pic:blipFill>
                    <a:blip r:embed="rId9"/>
                    <a:srcRect t="11494" r="989"/>
                    <a:stretch>
                      <a:fillRect/>
                    </a:stretch>
                  </pic:blipFill>
                  <pic:spPr>
                    <a:xfrm>
                      <a:off x="0" y="0"/>
                      <a:ext cx="3431540" cy="1158875"/>
                    </a:xfrm>
                    <a:prstGeom prst="rect">
                      <a:avLst/>
                    </a:prstGeom>
                    <a:noFill/>
                    <a:ln w="9525" cap="flat" cmpd="sng">
                      <a:noFill/>
                      <a:prstDash val="solid"/>
                      <a:miter/>
                    </a:ln>
                  </pic:spPr>
                </pic:pic>
              </a:graphicData>
            </a:graphic>
          </wp:inline>
        </w:drawing>
      </w:r>
    </w:p>
    <w:p>
      <w:pPr>
        <w:pageBreakBefore w:val="0"/>
        <w:wordWrap/>
        <w:overflowPunct/>
        <w:topLinePunct w:val="0"/>
        <w:bidi w:val="0"/>
        <w:spacing w:line="580" w:lineRule="exact"/>
        <w:ind w:left="0" w:leftChars="0" w:firstLine="0" w:firstLineChars="0"/>
        <w:jc w:val="center"/>
        <w:rPr>
          <w:rFonts w:ascii="黑体" w:eastAsia="黑体"/>
          <w:color w:val="auto"/>
          <w:sz w:val="32"/>
          <w:szCs w:val="32"/>
          <w:highlight w:val="none"/>
        </w:rPr>
      </w:pPr>
      <w:bookmarkStart w:id="46" w:name="_Toc15396605"/>
      <w:bookmarkStart w:id="47" w:name="_Toc15377207"/>
      <w:bookmarkStart w:id="48" w:name="_Toc16273"/>
      <w:r>
        <w:rPr>
          <w:rFonts w:hint="eastAsia" w:ascii="仿宋" w:hAnsi="仿宋" w:eastAsia="仿宋"/>
          <w:color w:val="auto"/>
          <w:sz w:val="24"/>
          <w:szCs w:val="24"/>
          <w:highlight w:val="none"/>
        </w:rPr>
        <w:t>（图2：收入决算结构图）（饼状图）</w:t>
      </w:r>
    </w:p>
    <w:p>
      <w:pPr>
        <w:pStyle w:val="32"/>
        <w:spacing w:line="600" w:lineRule="exact"/>
        <w:ind w:left="0" w:leftChars="0" w:firstLine="640" w:firstLineChars="200"/>
        <w:outlineLvl w:val="1"/>
        <w:rPr>
          <w:rStyle w:val="27"/>
          <w:rFonts w:ascii="黑体" w:eastAsia="黑体"/>
          <w:b w:val="0"/>
        </w:rPr>
      </w:pPr>
      <w:r>
        <w:rPr>
          <w:rFonts w:ascii="黑体" w:eastAsia="黑体"/>
          <w:color w:val="auto"/>
          <w:sz w:val="32"/>
          <w:szCs w:val="32"/>
          <w:highlight w:val="none"/>
        </w:rPr>
        <w:t>三、</w:t>
      </w:r>
      <w:r>
        <w:rPr>
          <w:rFonts w:hint="eastAsia" w:ascii="黑体" w:eastAsia="黑体"/>
          <w:color w:val="auto"/>
          <w:sz w:val="32"/>
          <w:szCs w:val="32"/>
          <w:highlight w:val="none"/>
        </w:rPr>
        <w:t>支</w:t>
      </w:r>
      <w:r>
        <w:rPr>
          <w:rStyle w:val="27"/>
          <w:rFonts w:hint="eastAsia" w:ascii="黑体" w:eastAsia="黑体"/>
          <w:b w:val="0"/>
          <w:color w:val="auto"/>
          <w:highlight w:val="none"/>
        </w:rPr>
        <w:t>出决算情况说明</w:t>
      </w:r>
      <w:bookmarkEnd w:id="46"/>
      <w:bookmarkEnd w:id="47"/>
      <w:bookmarkEnd w:id="48"/>
    </w:p>
    <w:p>
      <w:pPr>
        <w:pStyle w:val="32"/>
        <w:spacing w:line="600" w:lineRule="exact"/>
        <w:ind w:firstLine="640" w:firstLineChars="200"/>
        <w:outlineLvl w:val="1"/>
        <w:rPr>
          <w:rStyle w:val="27"/>
          <w:rFonts w:hint="eastAsia" w:ascii="黑体" w:eastAsia="仿宋"/>
          <w:b w:val="0"/>
          <w:lang w:val="en-US" w:eastAsia="zh-CN"/>
        </w:rPr>
      </w:pPr>
      <w:bookmarkStart w:id="49" w:name="_Toc21870"/>
      <w:bookmarkStart w:id="50" w:name="_Toc12426"/>
      <w:bookmarkStart w:id="51" w:name="_Toc26499"/>
      <w:bookmarkStart w:id="52" w:name="_Toc8948"/>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年本年支出合计</w:t>
      </w:r>
      <w:r>
        <w:rPr>
          <w:rFonts w:ascii="仿宋" w:eastAsia="仿宋"/>
          <w:color w:val="auto"/>
          <w:sz w:val="32"/>
          <w:szCs w:val="32"/>
          <w:highlight w:val="none"/>
        </w:rPr>
        <w:t>468.48</w:t>
      </w:r>
      <w:r>
        <w:rPr>
          <w:rFonts w:hint="eastAsia" w:ascii="仿宋" w:eastAsia="仿宋"/>
          <w:color w:val="auto"/>
          <w:sz w:val="32"/>
          <w:szCs w:val="32"/>
          <w:highlight w:val="none"/>
        </w:rPr>
        <w:t>万元，其中：基本支出</w:t>
      </w:r>
      <w:r>
        <w:rPr>
          <w:rFonts w:ascii="仿宋" w:eastAsia="仿宋"/>
          <w:color w:val="auto"/>
          <w:sz w:val="32"/>
          <w:szCs w:val="32"/>
          <w:highlight w:val="none"/>
        </w:rPr>
        <w:t>320.45</w:t>
      </w:r>
      <w:r>
        <w:rPr>
          <w:rFonts w:hint="eastAsia" w:ascii="仿宋" w:eastAsia="仿宋"/>
          <w:color w:val="auto"/>
          <w:sz w:val="32"/>
          <w:szCs w:val="32"/>
          <w:highlight w:val="none"/>
        </w:rPr>
        <w:t>万元，占</w:t>
      </w:r>
      <w:r>
        <w:rPr>
          <w:rFonts w:ascii="仿宋" w:eastAsia="仿宋"/>
          <w:color w:val="auto"/>
          <w:sz w:val="32"/>
          <w:szCs w:val="32"/>
          <w:highlight w:val="none"/>
        </w:rPr>
        <w:t>68.4%</w:t>
      </w:r>
      <w:r>
        <w:rPr>
          <w:rFonts w:hint="eastAsia" w:ascii="仿宋" w:eastAsia="仿宋"/>
          <w:color w:val="auto"/>
          <w:sz w:val="32"/>
          <w:szCs w:val="32"/>
          <w:highlight w:val="none"/>
        </w:rPr>
        <w:t>；项目支出</w:t>
      </w:r>
      <w:r>
        <w:rPr>
          <w:rFonts w:ascii="仿宋" w:eastAsia="仿宋"/>
          <w:color w:val="auto"/>
          <w:sz w:val="32"/>
          <w:szCs w:val="32"/>
          <w:highlight w:val="none"/>
        </w:rPr>
        <w:t>148.03</w:t>
      </w:r>
      <w:r>
        <w:rPr>
          <w:rFonts w:hint="eastAsia" w:ascii="仿宋" w:eastAsia="仿宋"/>
          <w:color w:val="auto"/>
          <w:sz w:val="32"/>
          <w:szCs w:val="32"/>
          <w:highlight w:val="none"/>
        </w:rPr>
        <w:t>万元，占</w:t>
      </w:r>
      <w:r>
        <w:rPr>
          <w:rFonts w:ascii="仿宋" w:eastAsia="仿宋"/>
          <w:color w:val="auto"/>
          <w:sz w:val="32"/>
          <w:szCs w:val="32"/>
          <w:highlight w:val="none"/>
        </w:rPr>
        <w:t>31.6%</w:t>
      </w:r>
      <w:bookmarkEnd w:id="49"/>
      <w:bookmarkEnd w:id="50"/>
      <w:bookmarkEnd w:id="51"/>
      <w:bookmarkStart w:id="53" w:name="_Toc15377208"/>
      <w:bookmarkStart w:id="54" w:name="_Toc15396606"/>
      <w:r>
        <w:rPr>
          <w:rFonts w:hint="eastAsia" w:ascii="仿宋" w:eastAsia="仿宋"/>
          <w:color w:val="auto"/>
          <w:sz w:val="32"/>
          <w:szCs w:val="32"/>
          <w:highlight w:val="none"/>
          <w:lang w:eastAsia="zh-CN"/>
        </w:rPr>
        <w:t>。</w:t>
      </w:r>
      <w:bookmarkEnd w:id="52"/>
    </w:p>
    <w:p>
      <w:pPr>
        <w:spacing w:line="600" w:lineRule="exact"/>
        <w:ind w:firstLine="640" w:firstLineChars="200"/>
        <w:jc w:val="center"/>
        <w:outlineLvl w:val="9"/>
        <w:rPr>
          <w:rFonts w:ascii="黑体" w:eastAsia="黑体"/>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1026795</wp:posOffset>
            </wp:positionH>
            <wp:positionV relativeFrom="paragraph">
              <wp:posOffset>228600</wp:posOffset>
            </wp:positionV>
            <wp:extent cx="3200400" cy="1736725"/>
            <wp:effectExtent l="0" t="0" r="0" b="15875"/>
            <wp:wrapNone/>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1"/>
                    </pic:cNvPicPr>
                  </pic:nvPicPr>
                  <pic:blipFill>
                    <a:blip r:embed="rId10"/>
                    <a:stretch>
                      <a:fillRect/>
                    </a:stretch>
                  </pic:blipFill>
                  <pic:spPr>
                    <a:xfrm>
                      <a:off x="0" y="0"/>
                      <a:ext cx="3200400" cy="1736725"/>
                    </a:xfrm>
                    <a:prstGeom prst="rect">
                      <a:avLst/>
                    </a:prstGeom>
                    <a:noFill/>
                    <a:ln w="9525" cap="flat" cmpd="sng">
                      <a:noFill/>
                      <a:prstDash val="solid"/>
                      <a:miter/>
                    </a:ln>
                  </pic:spPr>
                </pic:pic>
              </a:graphicData>
            </a:graphic>
          </wp:anchor>
        </w:drawing>
      </w:r>
    </w:p>
    <w:p>
      <w:pPr>
        <w:spacing w:line="600" w:lineRule="exact"/>
        <w:ind w:firstLine="640" w:firstLineChars="200"/>
        <w:outlineLvl w:val="9"/>
        <w:rPr>
          <w:rFonts w:ascii="黑体" w:eastAsia="黑体"/>
          <w:color w:val="auto"/>
          <w:sz w:val="32"/>
          <w:szCs w:val="32"/>
          <w:highlight w:val="none"/>
        </w:rPr>
      </w:pPr>
    </w:p>
    <w:p>
      <w:pPr>
        <w:spacing w:line="600" w:lineRule="exact"/>
        <w:ind w:firstLine="640" w:firstLineChars="200"/>
        <w:outlineLvl w:val="9"/>
        <w:rPr>
          <w:rFonts w:ascii="黑体" w:eastAsia="黑体"/>
          <w:color w:val="auto"/>
          <w:sz w:val="32"/>
          <w:szCs w:val="32"/>
          <w:highlight w:val="none"/>
        </w:rPr>
      </w:pPr>
    </w:p>
    <w:p>
      <w:pPr>
        <w:spacing w:line="600" w:lineRule="exact"/>
        <w:ind w:left="0"/>
        <w:outlineLvl w:val="9"/>
        <w:rPr>
          <w:rFonts w:ascii="黑体" w:eastAsia="黑体"/>
          <w:color w:val="auto"/>
          <w:sz w:val="32"/>
          <w:szCs w:val="32"/>
          <w:highlight w:val="none"/>
        </w:rPr>
      </w:pPr>
    </w:p>
    <w:p>
      <w:pPr>
        <w:spacing w:line="600" w:lineRule="exact"/>
        <w:ind w:firstLine="640" w:firstLineChars="200"/>
        <w:outlineLvl w:val="9"/>
        <w:rPr>
          <w:rFonts w:ascii="黑体" w:eastAsia="黑体"/>
          <w:color w:val="auto"/>
          <w:sz w:val="32"/>
          <w:szCs w:val="32"/>
          <w:highlight w:val="none"/>
        </w:rPr>
      </w:pPr>
    </w:p>
    <w:p>
      <w:pPr>
        <w:pageBreakBefore w:val="0"/>
        <w:wordWrap/>
        <w:overflowPunct/>
        <w:topLinePunct w:val="0"/>
        <w:bidi w:val="0"/>
        <w:spacing w:line="580" w:lineRule="exact"/>
        <w:ind w:left="0" w:leftChars="0" w:firstLine="0" w:firstLineChars="0"/>
        <w:jc w:val="center"/>
        <w:rPr>
          <w:rFonts w:hint="eastAsia" w:ascii="黑体" w:eastAsia="黑体"/>
          <w:color w:val="auto"/>
          <w:sz w:val="32"/>
          <w:szCs w:val="32"/>
          <w:highlight w:val="none"/>
          <w:lang w:val="en-US" w:eastAsia="zh-CN"/>
        </w:rPr>
      </w:pPr>
      <w:r>
        <w:rPr>
          <w:rFonts w:hint="eastAsia" w:ascii="仿宋" w:hAnsi="仿宋" w:eastAsia="仿宋"/>
          <w:color w:val="auto"/>
          <w:sz w:val="24"/>
          <w:szCs w:val="24"/>
          <w:highlight w:val="none"/>
        </w:rPr>
        <w:t>（图3：支出决算结构图）（饼状图）</w:t>
      </w:r>
    </w:p>
    <w:p>
      <w:pPr>
        <w:spacing w:line="600" w:lineRule="exact"/>
        <w:ind w:left="0" w:firstLine="640" w:firstLineChars="200"/>
        <w:outlineLvl w:val="1"/>
        <w:rPr>
          <w:rStyle w:val="27"/>
          <w:rFonts w:ascii="黑体" w:eastAsia="黑体"/>
          <w:b w:val="0"/>
          <w:color w:val="auto"/>
          <w:highlight w:val="none"/>
        </w:rPr>
      </w:pPr>
      <w:bookmarkStart w:id="55" w:name="_Toc28507"/>
      <w:r>
        <w:rPr>
          <w:rFonts w:hint="eastAsia" w:ascii="黑体" w:eastAsia="黑体"/>
          <w:color w:val="auto"/>
          <w:sz w:val="32"/>
          <w:szCs w:val="32"/>
          <w:highlight w:val="none"/>
        </w:rPr>
        <w:t>四、财</w:t>
      </w:r>
      <w:r>
        <w:rPr>
          <w:rStyle w:val="27"/>
          <w:rFonts w:hint="eastAsia" w:ascii="黑体" w:eastAsia="黑体"/>
          <w:b w:val="0"/>
          <w:color w:val="auto"/>
          <w:highlight w:val="none"/>
        </w:rPr>
        <w:t>政拨款收入支出决算总体情况说明</w:t>
      </w:r>
      <w:bookmarkEnd w:id="53"/>
      <w:bookmarkEnd w:id="54"/>
      <w:bookmarkEnd w:id="55"/>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年财政拨款收、支总计</w:t>
      </w:r>
      <w:r>
        <w:rPr>
          <w:rFonts w:ascii="仿宋" w:eastAsia="仿宋"/>
          <w:color w:val="auto"/>
          <w:sz w:val="32"/>
          <w:szCs w:val="32"/>
          <w:highlight w:val="none"/>
        </w:rPr>
        <w:t>469.48</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年相比，财政拨款收、支总计各增加</w:t>
      </w:r>
      <w:r>
        <w:rPr>
          <w:rFonts w:ascii="仿宋" w:eastAsia="仿宋"/>
          <w:color w:val="auto"/>
          <w:sz w:val="32"/>
          <w:szCs w:val="32"/>
          <w:highlight w:val="none"/>
        </w:rPr>
        <w:t>105.23</w:t>
      </w:r>
      <w:r>
        <w:rPr>
          <w:rFonts w:hint="eastAsia" w:ascii="仿宋" w:eastAsia="仿宋"/>
          <w:color w:val="auto"/>
          <w:sz w:val="32"/>
          <w:szCs w:val="32"/>
          <w:highlight w:val="none"/>
        </w:rPr>
        <w:t>万元，增长</w:t>
      </w:r>
      <w:r>
        <w:rPr>
          <w:rFonts w:ascii="仿宋" w:eastAsia="仿宋"/>
          <w:color w:val="auto"/>
          <w:sz w:val="32"/>
          <w:szCs w:val="32"/>
          <w:highlight w:val="none"/>
        </w:rPr>
        <w:t>22.41%</w:t>
      </w:r>
      <w:r>
        <w:rPr>
          <w:rFonts w:hint="eastAsia" w:ascii="仿宋" w:eastAsia="仿宋"/>
          <w:color w:val="auto"/>
          <w:sz w:val="32"/>
          <w:szCs w:val="32"/>
          <w:highlight w:val="none"/>
        </w:rPr>
        <w:t>。主要变动原因是</w:t>
      </w:r>
      <w:r>
        <w:rPr>
          <w:rFonts w:ascii="仿宋" w:eastAsia="仿宋"/>
          <w:color w:val="auto"/>
          <w:sz w:val="32"/>
          <w:szCs w:val="32"/>
          <w:highlight w:val="none"/>
        </w:rPr>
        <w:t>乡镇合并人员增加，财政拨款增加</w:t>
      </w:r>
      <w:r>
        <w:rPr>
          <w:rFonts w:hint="eastAsia" w:ascii="仿宋" w:eastAsia="仿宋"/>
          <w:color w:val="auto"/>
          <w:sz w:val="32"/>
          <w:szCs w:val="32"/>
          <w:highlight w:val="none"/>
          <w:lang w:eastAsia="zh-CN"/>
        </w:rPr>
        <w:t>。</w:t>
      </w:r>
    </w:p>
    <w:p>
      <w:pPr>
        <w:spacing w:line="600" w:lineRule="exact"/>
        <w:ind w:firstLine="640" w:firstLineChars="200"/>
        <w:rPr>
          <w:rFonts w:ascii="仿宋" w:eastAsia="仿宋"/>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1177290</wp:posOffset>
            </wp:positionH>
            <wp:positionV relativeFrom="paragraph">
              <wp:posOffset>99060</wp:posOffset>
            </wp:positionV>
            <wp:extent cx="3177540" cy="1906905"/>
            <wp:effectExtent l="0" t="0" r="3810" b="17145"/>
            <wp:wrapNone/>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1"/>
                    </pic:cNvPicPr>
                  </pic:nvPicPr>
                  <pic:blipFill>
                    <a:blip r:embed="rId11"/>
                    <a:stretch>
                      <a:fillRect/>
                    </a:stretch>
                  </pic:blipFill>
                  <pic:spPr>
                    <a:xfrm>
                      <a:off x="0" y="0"/>
                      <a:ext cx="3177540" cy="1906905"/>
                    </a:xfrm>
                    <a:prstGeom prst="rect">
                      <a:avLst/>
                    </a:prstGeom>
                    <a:noFill/>
                    <a:ln w="9525" cap="flat" cmpd="sng">
                      <a:noFill/>
                      <a:prstDash val="solid"/>
                      <a:miter/>
                    </a:ln>
                  </pic:spPr>
                </pic:pic>
              </a:graphicData>
            </a:graphic>
          </wp:anchor>
        </w:drawing>
      </w:r>
    </w:p>
    <w:p>
      <w:pPr>
        <w:spacing w:line="600" w:lineRule="exact"/>
        <w:ind w:left="0"/>
        <w:rPr>
          <w:rFonts w:ascii="Times New Roman" w:hAnsi="Times New Roman" w:eastAsia="宋体"/>
          <w:sz w:val="24"/>
        </w:rPr>
      </w:pPr>
    </w:p>
    <w:p>
      <w:pPr>
        <w:spacing w:line="600" w:lineRule="exact"/>
        <w:ind w:left="0"/>
        <w:outlineLvl w:val="9"/>
        <w:rPr>
          <w:rFonts w:ascii="黑体" w:eastAsia="黑体"/>
          <w:color w:val="auto"/>
          <w:sz w:val="32"/>
          <w:szCs w:val="32"/>
          <w:highlight w:val="none"/>
        </w:rPr>
      </w:pPr>
      <w:bookmarkStart w:id="56" w:name="_Toc15377209"/>
      <w:bookmarkStart w:id="57" w:name="_Toc15396607"/>
    </w:p>
    <w:p>
      <w:pPr>
        <w:spacing w:line="600" w:lineRule="exact"/>
        <w:ind w:left="0"/>
        <w:outlineLvl w:val="9"/>
        <w:rPr>
          <w:rFonts w:ascii="黑体" w:eastAsia="黑体"/>
          <w:color w:val="auto"/>
          <w:sz w:val="32"/>
          <w:szCs w:val="32"/>
          <w:highlight w:val="none"/>
        </w:rPr>
      </w:pPr>
    </w:p>
    <w:p>
      <w:pPr>
        <w:spacing w:line="600" w:lineRule="exact"/>
        <w:outlineLvl w:val="9"/>
        <w:rPr>
          <w:rFonts w:ascii="黑体" w:eastAsia="黑体"/>
          <w:color w:val="auto"/>
          <w:sz w:val="32"/>
          <w:szCs w:val="32"/>
          <w:highlight w:val="none"/>
        </w:rPr>
      </w:pPr>
    </w:p>
    <w:p>
      <w:pPr>
        <w:pageBreakBefore w:val="0"/>
        <w:wordWrap/>
        <w:overflowPunct/>
        <w:topLinePunct w:val="0"/>
        <w:bidi w:val="0"/>
        <w:spacing w:line="580" w:lineRule="exact"/>
        <w:ind w:left="0" w:leftChars="0" w:firstLine="0" w:firstLineChars="0"/>
        <w:jc w:val="center"/>
      </w:pPr>
      <w:r>
        <w:rPr>
          <w:rFonts w:hint="eastAsia" w:ascii="仿宋" w:hAnsi="仿宋" w:eastAsia="仿宋"/>
          <w:color w:val="auto"/>
          <w:sz w:val="24"/>
          <w:szCs w:val="24"/>
          <w:highlight w:val="none"/>
        </w:rPr>
        <w:t>（图4：财政拨款收、支决算总计变动情况）（柱状图）</w:t>
      </w:r>
    </w:p>
    <w:p>
      <w:pPr>
        <w:spacing w:line="600" w:lineRule="exact"/>
        <w:ind w:firstLine="640" w:firstLineChars="200"/>
        <w:outlineLvl w:val="1"/>
        <w:rPr>
          <w:rStyle w:val="27"/>
          <w:rFonts w:ascii="黑体" w:eastAsia="黑体"/>
          <w:b w:val="0"/>
          <w:color w:val="auto"/>
          <w:highlight w:val="none"/>
        </w:rPr>
      </w:pPr>
      <w:bookmarkStart w:id="58" w:name="_Toc6180"/>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27"/>
          <w:rFonts w:hint="eastAsia" w:ascii="黑体" w:eastAsia="黑体"/>
          <w:b w:val="0"/>
          <w:color w:val="auto"/>
          <w:highlight w:val="none"/>
        </w:rPr>
        <w:t>般公共预算财政拨款支出决算情况说明</w:t>
      </w:r>
      <w:bookmarkEnd w:id="56"/>
      <w:bookmarkEnd w:id="57"/>
      <w:bookmarkEnd w:id="58"/>
    </w:p>
    <w:p>
      <w:pPr>
        <w:spacing w:line="600" w:lineRule="exact"/>
        <w:ind w:firstLine="643" w:firstLineChars="200"/>
        <w:outlineLvl w:val="2"/>
        <w:rPr>
          <w:rFonts w:ascii="仿宋" w:eastAsia="仿宋"/>
          <w:b/>
          <w:color w:val="auto"/>
          <w:sz w:val="32"/>
          <w:szCs w:val="32"/>
          <w:highlight w:val="none"/>
        </w:rPr>
      </w:pPr>
      <w:bookmarkStart w:id="59" w:name="_Toc15377210"/>
      <w:bookmarkStart w:id="60" w:name="_Toc24255"/>
      <w:r>
        <w:rPr>
          <w:rFonts w:hint="eastAsia" w:ascii="仿宋" w:eastAsia="仿宋"/>
          <w:b/>
          <w:color w:val="auto"/>
          <w:sz w:val="32"/>
          <w:szCs w:val="32"/>
          <w:highlight w:val="none"/>
        </w:rPr>
        <w:t>（一）一般公共预算财政拨款支出决算总体情况</w:t>
      </w:r>
      <w:bookmarkEnd w:id="59"/>
      <w:bookmarkEnd w:id="60"/>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rPr>
        <w:t>469.48</w:t>
      </w:r>
      <w:r>
        <w:rPr>
          <w:rFonts w:hint="eastAsia" w:ascii="仿宋" w:eastAsia="仿宋"/>
          <w:color w:val="auto"/>
          <w:sz w:val="32"/>
          <w:szCs w:val="32"/>
          <w:highlight w:val="none"/>
        </w:rPr>
        <w:t>万元，占本年支出合计的</w:t>
      </w:r>
      <w:r>
        <w:rPr>
          <w:rFonts w:ascii="仿宋" w:eastAsia="仿宋"/>
          <w:color w:val="auto"/>
          <w:sz w:val="32"/>
          <w:szCs w:val="32"/>
          <w:highlight w:val="none"/>
        </w:rPr>
        <w:t>45.81%</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w:t>
      </w:r>
      <w:r>
        <w:rPr>
          <w:rFonts w:hint="eastAsia" w:ascii="仿宋" w:eastAsia="仿宋"/>
          <w:color w:val="auto"/>
          <w:sz w:val="32"/>
          <w:szCs w:val="32"/>
          <w:highlight w:val="none"/>
        </w:rPr>
        <w:t>增加</w:t>
      </w:r>
      <w:r>
        <w:rPr>
          <w:rFonts w:ascii="仿宋" w:eastAsia="仿宋"/>
          <w:color w:val="auto"/>
          <w:sz w:val="32"/>
          <w:szCs w:val="32"/>
          <w:highlight w:val="none"/>
        </w:rPr>
        <w:t>105.23</w:t>
      </w:r>
      <w:r>
        <w:rPr>
          <w:rFonts w:hint="eastAsia" w:ascii="仿宋" w:eastAsia="仿宋"/>
          <w:color w:val="auto"/>
          <w:sz w:val="32"/>
          <w:szCs w:val="32"/>
          <w:highlight w:val="none"/>
        </w:rPr>
        <w:t>万元，增长</w:t>
      </w:r>
      <w:r>
        <w:rPr>
          <w:rFonts w:ascii="仿宋" w:eastAsia="仿宋"/>
          <w:color w:val="auto"/>
          <w:sz w:val="32"/>
          <w:szCs w:val="32"/>
          <w:highlight w:val="none"/>
        </w:rPr>
        <w:t>22.41%</w:t>
      </w:r>
      <w:r>
        <w:rPr>
          <w:rFonts w:hint="eastAsia" w:ascii="仿宋" w:eastAsia="仿宋"/>
          <w:color w:val="auto"/>
          <w:sz w:val="32"/>
          <w:szCs w:val="32"/>
          <w:highlight w:val="none"/>
        </w:rPr>
        <w:t>。主要变动原因是</w:t>
      </w:r>
      <w:r>
        <w:rPr>
          <w:rFonts w:ascii="仿宋" w:eastAsia="仿宋"/>
          <w:color w:val="auto"/>
          <w:sz w:val="32"/>
          <w:szCs w:val="32"/>
          <w:highlight w:val="none"/>
        </w:rPr>
        <w:t>乡镇合并人员增加，财政拨款增加</w:t>
      </w:r>
      <w:r>
        <w:rPr>
          <w:rFonts w:hint="eastAsia" w:ascii="仿宋" w:eastAsia="仿宋"/>
          <w:color w:val="auto"/>
          <w:sz w:val="32"/>
          <w:szCs w:val="32"/>
          <w:highlight w:val="none"/>
          <w:lang w:eastAsia="zh-CN"/>
        </w:rPr>
        <w:t>。</w:t>
      </w:r>
    </w:p>
    <w:p>
      <w:pPr>
        <w:spacing w:line="600" w:lineRule="exact"/>
        <w:ind w:firstLine="640" w:firstLineChars="200"/>
        <w:rPr>
          <w:rFonts w:ascii="仿宋" w:eastAsia="仿宋"/>
          <w:color w:val="auto"/>
          <w:sz w:val="32"/>
          <w:szCs w:val="32"/>
          <w:highlight w:val="none"/>
        </w:rPr>
      </w:pPr>
      <w:r>
        <w:rPr>
          <w:rFonts w:ascii="仿宋" w:eastAsia="仿宋"/>
          <w:color w:val="auto"/>
          <w:sz w:val="32"/>
          <w:szCs w:val="32"/>
          <w:highlight w:val="none"/>
        </w:rPr>
        <w:drawing>
          <wp:anchor distT="0" distB="0" distL="67945" distR="67945" simplePos="0" relativeHeight="251659264" behindDoc="0" locked="0" layoutInCell="1" allowOverlap="1">
            <wp:simplePos x="0" y="0"/>
            <wp:positionH relativeFrom="column">
              <wp:posOffset>664845</wp:posOffset>
            </wp:positionH>
            <wp:positionV relativeFrom="paragraph">
              <wp:posOffset>182245</wp:posOffset>
            </wp:positionV>
            <wp:extent cx="3909695" cy="1722755"/>
            <wp:effectExtent l="0" t="0" r="0" b="0"/>
            <wp:wrapNone/>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pic:cNvPicPr>
                      <a:picLocks noChangeAspect="1"/>
                    </pic:cNvPicPr>
                  </pic:nvPicPr>
                  <pic:blipFill>
                    <a:blip r:embed="rId12"/>
                    <a:stretch>
                      <a:fillRect/>
                    </a:stretch>
                  </pic:blipFill>
                  <pic:spPr>
                    <a:xfrm>
                      <a:off x="0" y="0"/>
                      <a:ext cx="3909633" cy="1722727"/>
                    </a:xfrm>
                    <a:prstGeom prst="rect">
                      <a:avLst/>
                    </a:prstGeom>
                    <a:noFill/>
                    <a:ln w="9525" cap="flat" cmpd="sng">
                      <a:noFill/>
                      <a:prstDash val="solid"/>
                      <a:miter/>
                    </a:ln>
                  </pic:spPr>
                </pic:pic>
              </a:graphicData>
            </a:graphic>
          </wp:anchor>
        </w:drawing>
      </w:r>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spacing w:line="600" w:lineRule="exact"/>
        <w:rPr>
          <w:rFonts w:ascii="仿宋" w:eastAsia="仿宋"/>
          <w:color w:val="auto"/>
          <w:sz w:val="32"/>
          <w:szCs w:val="32"/>
          <w:highlight w:val="none"/>
        </w:rPr>
      </w:pPr>
    </w:p>
    <w:p>
      <w:pPr>
        <w:pageBreakBefore w:val="0"/>
        <w:wordWrap/>
        <w:overflowPunct/>
        <w:topLinePunct w:val="0"/>
        <w:bidi w:val="0"/>
        <w:spacing w:line="580" w:lineRule="exact"/>
        <w:ind w:left="0" w:leftChars="0" w:firstLine="0" w:firstLineChars="0"/>
        <w:jc w:val="center"/>
      </w:pPr>
      <w:r>
        <w:rPr>
          <w:rFonts w:hint="eastAsia" w:ascii="仿宋" w:hAnsi="仿宋" w:eastAsia="仿宋"/>
          <w:color w:val="auto"/>
          <w:sz w:val="24"/>
          <w:szCs w:val="24"/>
          <w:highlight w:val="none"/>
        </w:rPr>
        <w:t>（图6：一般公共预算财政拨款支出决算结构）（饼状图）</w:t>
      </w:r>
    </w:p>
    <w:p>
      <w:pPr>
        <w:spacing w:line="600" w:lineRule="exact"/>
        <w:ind w:left="0" w:firstLine="482" w:firstLineChars="150"/>
        <w:outlineLvl w:val="2"/>
        <w:rPr>
          <w:rFonts w:ascii="仿宋" w:eastAsia="仿宋"/>
          <w:b/>
          <w:color w:val="auto"/>
          <w:sz w:val="32"/>
          <w:szCs w:val="32"/>
          <w:highlight w:val="none"/>
        </w:rPr>
      </w:pPr>
      <w:bookmarkStart w:id="61" w:name="_Toc15377211"/>
      <w:bookmarkStart w:id="62" w:name="_Toc18234"/>
      <w:r>
        <w:rPr>
          <w:rFonts w:hint="eastAsia" w:ascii="仿宋" w:eastAsia="仿宋"/>
          <w:b/>
          <w:color w:val="auto"/>
          <w:sz w:val="32"/>
          <w:szCs w:val="32"/>
          <w:highlight w:val="none"/>
        </w:rPr>
        <w:t>（二）一般公共预算财政拨款支出决算结构情况</w:t>
      </w:r>
      <w:bookmarkEnd w:id="61"/>
      <w:bookmarkEnd w:id="62"/>
    </w:p>
    <w:p>
      <w:pPr>
        <w:spacing w:line="600" w:lineRule="exact"/>
        <w:ind w:firstLine="640"/>
        <w:rPr>
          <w:rFonts w:ascii="仿宋" w:eastAsia="仿宋"/>
          <w:b/>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rPr>
        <w:t>469.48</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社会保障和就业</w:t>
      </w:r>
      <w:r>
        <w:rPr>
          <w:rFonts w:hint="eastAsia" w:ascii="仿宋" w:eastAsia="仿宋"/>
          <w:b/>
          <w:bCs/>
          <w:color w:val="auto"/>
          <w:sz w:val="32"/>
          <w:szCs w:val="32"/>
          <w:highlight w:val="none"/>
        </w:rPr>
        <w:t>支出</w:t>
      </w:r>
      <w:r>
        <w:rPr>
          <w:rFonts w:ascii="仿宋" w:eastAsia="仿宋"/>
          <w:color w:val="auto"/>
          <w:sz w:val="32"/>
          <w:szCs w:val="32"/>
          <w:highlight w:val="none"/>
        </w:rPr>
        <w:t>48.25</w:t>
      </w:r>
      <w:r>
        <w:rPr>
          <w:rFonts w:hint="eastAsia" w:ascii="仿宋" w:eastAsia="仿宋"/>
          <w:color w:val="auto"/>
          <w:sz w:val="32"/>
          <w:szCs w:val="32"/>
          <w:highlight w:val="none"/>
        </w:rPr>
        <w:t>万元，占</w:t>
      </w:r>
      <w:r>
        <w:rPr>
          <w:rFonts w:ascii="仿宋" w:eastAsia="仿宋"/>
          <w:color w:val="auto"/>
          <w:sz w:val="32"/>
          <w:szCs w:val="32"/>
          <w:highlight w:val="none"/>
        </w:rPr>
        <w:t>10.28%</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ascii="仿宋" w:eastAsia="仿宋"/>
          <w:color w:val="auto"/>
          <w:sz w:val="32"/>
          <w:szCs w:val="32"/>
          <w:highlight w:val="none"/>
        </w:rPr>
        <w:t>390.37</w:t>
      </w:r>
      <w:r>
        <w:rPr>
          <w:rFonts w:hint="eastAsia" w:ascii="仿宋" w:eastAsia="仿宋"/>
          <w:color w:val="auto"/>
          <w:sz w:val="32"/>
          <w:szCs w:val="32"/>
          <w:highlight w:val="none"/>
        </w:rPr>
        <w:t>万元，占</w:t>
      </w:r>
      <w:r>
        <w:rPr>
          <w:rFonts w:ascii="仿宋" w:eastAsia="仿宋"/>
          <w:color w:val="auto"/>
          <w:sz w:val="32"/>
          <w:szCs w:val="32"/>
          <w:highlight w:val="none"/>
        </w:rPr>
        <w:t>83.15%</w:t>
      </w:r>
      <w:r>
        <w:rPr>
          <w:rFonts w:hint="eastAsia" w:ascii="仿宋" w:eastAsia="仿宋"/>
          <w:color w:val="auto"/>
          <w:sz w:val="32"/>
          <w:szCs w:val="32"/>
          <w:highlight w:val="none"/>
        </w:rPr>
        <w:t>；</w:t>
      </w:r>
      <w:r>
        <w:rPr>
          <w:rFonts w:hint="eastAsia" w:ascii="仿宋" w:eastAsia="仿宋"/>
          <w:b/>
          <w:bCs/>
          <w:color w:val="auto"/>
          <w:sz w:val="32"/>
          <w:szCs w:val="32"/>
          <w:highlight w:val="none"/>
        </w:rPr>
        <w:t>住房保障支出</w:t>
      </w:r>
      <w:r>
        <w:rPr>
          <w:rFonts w:ascii="仿宋" w:eastAsia="仿宋"/>
          <w:color w:val="auto"/>
          <w:sz w:val="32"/>
          <w:szCs w:val="32"/>
          <w:highlight w:val="none"/>
        </w:rPr>
        <w:t>30.86</w:t>
      </w:r>
      <w:r>
        <w:rPr>
          <w:rFonts w:hint="eastAsia" w:ascii="仿宋" w:eastAsia="仿宋"/>
          <w:color w:val="auto"/>
          <w:sz w:val="32"/>
          <w:szCs w:val="32"/>
          <w:highlight w:val="none"/>
        </w:rPr>
        <w:t>万元，占</w:t>
      </w:r>
      <w:r>
        <w:rPr>
          <w:rFonts w:ascii="仿宋" w:eastAsia="仿宋"/>
          <w:color w:val="auto"/>
          <w:sz w:val="32"/>
          <w:szCs w:val="32"/>
          <w:highlight w:val="none"/>
        </w:rPr>
        <w:t>6.57%。</w:t>
      </w:r>
    </w:p>
    <w:p>
      <w:pPr>
        <w:spacing w:line="600" w:lineRule="exact"/>
        <w:ind w:left="0" w:firstLine="321" w:firstLineChars="100"/>
        <w:outlineLvl w:val="2"/>
        <w:rPr>
          <w:rFonts w:ascii="仿宋" w:eastAsia="仿宋"/>
          <w:b/>
          <w:color w:val="auto"/>
          <w:sz w:val="32"/>
          <w:szCs w:val="32"/>
          <w:highlight w:val="none"/>
        </w:rPr>
      </w:pPr>
      <w:bookmarkStart w:id="63" w:name="_Toc15377212"/>
      <w:bookmarkStart w:id="64" w:name="_Toc6992"/>
      <w:r>
        <w:rPr>
          <w:rFonts w:hint="eastAsia" w:ascii="仿宋" w:eastAsia="仿宋"/>
          <w:b/>
          <w:color w:val="auto"/>
          <w:sz w:val="32"/>
          <w:szCs w:val="32"/>
          <w:highlight w:val="none"/>
        </w:rPr>
        <w:t>（三）一般公共预算财政拨款支出决算具体情况</w:t>
      </w:r>
      <w:bookmarkEnd w:id="63"/>
      <w:bookmarkEnd w:id="64"/>
    </w:p>
    <w:p>
      <w:pPr>
        <w:spacing w:line="600" w:lineRule="exact"/>
        <w:ind w:firstLine="643" w:firstLineChars="200"/>
        <w:outlineLvl w:val="1"/>
        <w:rPr>
          <w:rFonts w:ascii="仿宋" w:eastAsia="仿宋"/>
          <w:color w:val="auto"/>
          <w:sz w:val="32"/>
          <w:szCs w:val="32"/>
          <w:highlight w:val="none"/>
        </w:rPr>
      </w:pPr>
      <w:bookmarkStart w:id="65" w:name="_Toc15378460"/>
      <w:bookmarkStart w:id="66" w:name="_Toc15377444"/>
      <w:bookmarkStart w:id="67" w:name="_Toc15377213"/>
      <w:bookmarkStart w:id="68" w:name="_Toc24284"/>
      <w:bookmarkStart w:id="69" w:name="_Toc652"/>
      <w:bookmarkStart w:id="70" w:name="_Toc9768"/>
      <w:bookmarkStart w:id="71" w:name="_Toc28460"/>
      <w:r>
        <w:rPr>
          <w:rFonts w:hint="eastAsia" w:ascii="仿宋" w:eastAsia="仿宋"/>
          <w:b/>
          <w:color w:val="auto"/>
          <w:sz w:val="32"/>
          <w:szCs w:val="32"/>
          <w:highlight w:val="none"/>
        </w:rPr>
        <w:t>20</w:t>
      </w:r>
      <w:r>
        <w:rPr>
          <w:rFonts w:hint="eastAsia" w:ascii="仿宋" w:eastAsia="仿宋"/>
          <w:b/>
          <w:color w:val="auto"/>
          <w:sz w:val="32"/>
          <w:szCs w:val="32"/>
          <w:highlight w:val="none"/>
          <w:lang w:val="en-US" w:eastAsia="zh-CN"/>
        </w:rPr>
        <w:t>22</w:t>
      </w:r>
      <w:r>
        <w:rPr>
          <w:rFonts w:hint="eastAsia" w:ascii="仿宋" w:eastAsia="仿宋"/>
          <w:b/>
          <w:color w:val="auto"/>
          <w:sz w:val="32"/>
          <w:szCs w:val="32"/>
          <w:highlight w:val="none"/>
        </w:rPr>
        <w:t>年</w:t>
      </w:r>
      <w:r>
        <w:rPr>
          <w:rFonts w:hint="eastAsia" w:ascii="仿宋" w:eastAsia="仿宋"/>
          <w:b/>
          <w:color w:val="auto"/>
          <w:sz w:val="32"/>
          <w:szCs w:val="32"/>
          <w:highlight w:val="none"/>
          <w:lang w:eastAsia="zh-CN"/>
        </w:rPr>
        <w:t>一</w:t>
      </w:r>
      <w:r>
        <w:rPr>
          <w:rFonts w:hint="eastAsia" w:ascii="仿宋" w:eastAsia="仿宋"/>
          <w:b/>
          <w:color w:val="auto"/>
          <w:sz w:val="32"/>
          <w:szCs w:val="32"/>
          <w:highlight w:val="none"/>
        </w:rPr>
        <w:t>般公共预算支出决算数为</w:t>
      </w:r>
      <w:r>
        <w:rPr>
          <w:rFonts w:ascii="仿宋" w:eastAsia="仿宋"/>
          <w:b/>
          <w:color w:val="auto"/>
          <w:sz w:val="32"/>
          <w:szCs w:val="32"/>
          <w:highlight w:val="none"/>
        </w:rPr>
        <w:t>469.48万元</w:t>
      </w:r>
      <w:r>
        <w:rPr>
          <w:rFonts w:hint="eastAsia" w:ascii="仿宋" w:eastAsia="仿宋"/>
          <w:color w:val="auto"/>
          <w:sz w:val="32"/>
          <w:szCs w:val="32"/>
          <w:highlight w:val="none"/>
        </w:rPr>
        <w:t>，</w:t>
      </w:r>
      <w:r>
        <w:rPr>
          <w:rStyle w:val="24"/>
          <w:rFonts w:hint="eastAsia" w:ascii="仿宋" w:eastAsia="仿宋"/>
          <w:bCs/>
          <w:color w:val="auto"/>
          <w:sz w:val="32"/>
          <w:szCs w:val="32"/>
          <w:highlight w:val="none"/>
        </w:rPr>
        <w:t>完成预算</w:t>
      </w:r>
      <w:r>
        <w:rPr>
          <w:rStyle w:val="24"/>
          <w:rFonts w:ascii="仿宋" w:eastAsia="仿宋"/>
          <w:bCs/>
          <w:color w:val="auto"/>
          <w:sz w:val="32"/>
          <w:szCs w:val="32"/>
          <w:highlight w:val="none"/>
        </w:rPr>
        <w:t>100%</w:t>
      </w:r>
      <w:r>
        <w:rPr>
          <w:rStyle w:val="24"/>
          <w:rFonts w:hint="eastAsia" w:ascii="仿宋" w:eastAsia="仿宋"/>
          <w:bCs/>
          <w:color w:val="auto"/>
          <w:sz w:val="32"/>
          <w:szCs w:val="32"/>
          <w:highlight w:val="none"/>
        </w:rPr>
        <w:t>。其中：</w:t>
      </w:r>
      <w:bookmarkEnd w:id="65"/>
      <w:bookmarkEnd w:id="66"/>
      <w:bookmarkEnd w:id="67"/>
      <w:bookmarkEnd w:id="68"/>
      <w:bookmarkEnd w:id="69"/>
      <w:bookmarkEnd w:id="70"/>
      <w:bookmarkEnd w:id="71"/>
    </w:p>
    <w:p>
      <w:pPr>
        <w:spacing w:line="600" w:lineRule="exact"/>
        <w:ind w:firstLine="643" w:firstLineChars="200"/>
        <w:rPr>
          <w:rFonts w:ascii="仿宋" w:eastAsia="仿宋"/>
          <w:b/>
          <w:color w:val="auto"/>
          <w:sz w:val="32"/>
          <w:szCs w:val="32"/>
          <w:highlight w:val="none"/>
        </w:rPr>
      </w:pPr>
      <w:r>
        <w:rPr>
          <w:rStyle w:val="24"/>
          <w:rFonts w:ascii="仿宋" w:eastAsia="仿宋"/>
          <w:bCs/>
          <w:color w:val="auto"/>
          <w:sz w:val="32"/>
          <w:szCs w:val="32"/>
          <w:highlight w:val="none"/>
        </w:rPr>
        <w:t>1.</w:t>
      </w:r>
      <w:r>
        <w:rPr>
          <w:rStyle w:val="24"/>
          <w:rFonts w:hint="eastAsia" w:ascii="仿宋" w:eastAsia="仿宋"/>
          <w:bCs/>
          <w:color w:val="auto"/>
          <w:sz w:val="32"/>
          <w:szCs w:val="32"/>
          <w:highlight w:val="none"/>
        </w:rPr>
        <w:t>社会保障和就业（类）</w:t>
      </w:r>
      <w:r>
        <w:rPr>
          <w:rStyle w:val="24"/>
          <w:rFonts w:ascii="仿宋" w:eastAsia="仿宋"/>
          <w:bCs/>
          <w:color w:val="auto"/>
          <w:sz w:val="32"/>
          <w:szCs w:val="32"/>
          <w:highlight w:val="none"/>
        </w:rPr>
        <w:t>:</w:t>
      </w:r>
      <w:r>
        <w:rPr>
          <w:rStyle w:val="24"/>
          <w:rFonts w:ascii="仿宋" w:eastAsia="仿宋"/>
          <w:b w:val="0"/>
          <w:bCs/>
          <w:color w:val="auto"/>
          <w:sz w:val="32"/>
          <w:szCs w:val="32"/>
          <w:highlight w:val="none"/>
        </w:rPr>
        <w:t xml:space="preserve"> </w:t>
      </w:r>
      <w:r>
        <w:rPr>
          <w:rFonts w:hint="eastAsia" w:ascii="仿宋" w:hAnsi="仿宋" w:eastAsia="仿宋" w:cs="仿宋"/>
          <w:color w:val="000000"/>
          <w:sz w:val="32"/>
          <w:szCs w:val="32"/>
          <w:lang w:val="en-US" w:eastAsia="zh-CN"/>
        </w:rPr>
        <w:t>支出决算为48.73万元，完成预算100%，决算数等于预算数的主要原因是收支持平。</w:t>
      </w:r>
    </w:p>
    <w:p>
      <w:pPr>
        <w:spacing w:line="600" w:lineRule="exact"/>
        <w:ind w:firstLine="643" w:firstLineChars="200"/>
        <w:rPr>
          <w:rFonts w:hint="eastAsia" w:ascii="仿宋" w:hAnsi="仿宋" w:eastAsia="仿宋" w:cs="仿宋"/>
          <w:color w:val="000000"/>
          <w:sz w:val="32"/>
          <w:szCs w:val="32"/>
          <w:lang w:val="en-US" w:eastAsia="zh-CN"/>
        </w:rPr>
      </w:pPr>
      <w:r>
        <w:rPr>
          <w:rStyle w:val="24"/>
          <w:rFonts w:ascii="仿宋" w:eastAsia="仿宋"/>
          <w:bCs/>
          <w:color w:val="auto"/>
          <w:sz w:val="32"/>
          <w:szCs w:val="32"/>
          <w:highlight w:val="none"/>
        </w:rPr>
        <w:t>2.</w:t>
      </w:r>
      <w:r>
        <w:rPr>
          <w:rFonts w:hint="eastAsia" w:ascii="仿宋" w:eastAsia="仿宋"/>
          <w:b/>
          <w:bCs/>
          <w:color w:val="auto"/>
          <w:sz w:val="32"/>
          <w:szCs w:val="32"/>
          <w:highlight w:val="none"/>
        </w:rPr>
        <w:t>卫生健康</w:t>
      </w:r>
      <w:r>
        <w:rPr>
          <w:rStyle w:val="24"/>
          <w:rFonts w:hint="eastAsia" w:ascii="仿宋" w:eastAsia="仿宋"/>
          <w:bCs/>
          <w:color w:val="auto"/>
          <w:sz w:val="32"/>
          <w:szCs w:val="32"/>
          <w:highlight w:val="none"/>
        </w:rPr>
        <w:t>（类）</w:t>
      </w:r>
      <w:r>
        <w:rPr>
          <w:rStyle w:val="24"/>
          <w:rFonts w:ascii="仿宋" w:eastAsia="仿宋"/>
          <w:bCs/>
          <w:color w:val="auto"/>
          <w:sz w:val="32"/>
          <w:szCs w:val="32"/>
          <w:highlight w:val="none"/>
        </w:rPr>
        <w:t>:</w:t>
      </w:r>
      <w:r>
        <w:rPr>
          <w:rFonts w:hint="eastAsia" w:ascii="仿宋" w:hAnsi="仿宋" w:eastAsia="仿宋" w:cs="仿宋"/>
          <w:color w:val="000000"/>
          <w:sz w:val="32"/>
          <w:szCs w:val="32"/>
          <w:lang w:val="en-US" w:eastAsia="zh-CN"/>
        </w:rPr>
        <w:t>支出决算为390.37万元，完成预算100%，决算数等于预算数的主要原因是收支持平。</w:t>
      </w:r>
    </w:p>
    <w:p>
      <w:pPr>
        <w:spacing w:line="600" w:lineRule="exact"/>
        <w:ind w:firstLine="643" w:firstLineChars="200"/>
        <w:rPr>
          <w:rFonts w:hint="eastAsia" w:ascii="仿宋" w:hAnsi="仿宋" w:eastAsia="仿宋" w:cs="仿宋"/>
          <w:color w:val="000000"/>
          <w:sz w:val="32"/>
          <w:szCs w:val="32"/>
          <w:lang w:val="en-US" w:eastAsia="zh-CN"/>
        </w:rPr>
      </w:pPr>
      <w:bookmarkStart w:id="72" w:name="_Toc15396608"/>
      <w:bookmarkStart w:id="73" w:name="_Toc15377214"/>
      <w:r>
        <w:rPr>
          <w:rFonts w:ascii="仿宋" w:eastAsia="仿宋"/>
          <w:b/>
          <w:color w:val="auto"/>
          <w:sz w:val="32"/>
          <w:szCs w:val="32"/>
          <w:highlight w:val="none"/>
        </w:rPr>
        <w:t>3、住房保障</w:t>
      </w:r>
      <w:r>
        <w:rPr>
          <w:rFonts w:hint="eastAsia" w:ascii="仿宋" w:hAnsi="仿宋" w:eastAsia="仿宋" w:cs="仿宋"/>
          <w:color w:val="000000"/>
          <w:sz w:val="32"/>
          <w:szCs w:val="32"/>
          <w:lang w:val="en-US" w:eastAsia="zh-CN"/>
        </w:rPr>
        <w:t>支出决算为30.86万元，完成预算100%，决算数等于预算数的主要原因是收支持平。</w:t>
      </w:r>
    </w:p>
    <w:p>
      <w:pPr>
        <w:tabs>
          <w:tab w:val="right" w:pos="8306"/>
        </w:tabs>
        <w:spacing w:line="600" w:lineRule="exact"/>
        <w:ind w:firstLine="640"/>
        <w:outlineLvl w:val="1"/>
        <w:rPr>
          <w:rStyle w:val="27"/>
          <w:color w:val="auto"/>
          <w:highlight w:val="none"/>
        </w:rPr>
      </w:pPr>
      <w:bookmarkStart w:id="74" w:name="_Toc22833"/>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27"/>
          <w:rFonts w:hint="eastAsia" w:ascii="黑体" w:eastAsia="黑体"/>
          <w:b w:val="0"/>
          <w:color w:val="auto"/>
          <w:highlight w:val="none"/>
        </w:rPr>
        <w:t>般公共预算财政拨款基本支出决算情况说明</w:t>
      </w:r>
      <w:bookmarkEnd w:id="72"/>
      <w:bookmarkEnd w:id="73"/>
      <w:bookmarkEnd w:id="74"/>
      <w:r>
        <w:rPr>
          <w:rStyle w:val="27"/>
          <w:rFonts w:ascii="黑体" w:eastAsia="黑体"/>
          <w:b w:val="0"/>
          <w:color w:val="auto"/>
          <w:highlight w:val="none"/>
        </w:rPr>
        <w:tab/>
      </w:r>
    </w:p>
    <w:p>
      <w:pPr>
        <w:spacing w:line="600" w:lineRule="exact"/>
        <w:ind w:firstLine="645"/>
        <w:rPr>
          <w:rFonts w:ascii="仿宋" w:eastAsia="仿宋"/>
          <w:color w:val="auto"/>
          <w:sz w:val="32"/>
          <w:szCs w:val="32"/>
          <w:highlight w:val="none"/>
        </w:rPr>
      </w:pPr>
      <w:r>
        <w:rPr>
          <w:rFonts w:hint="eastAsia" w:ascii="仿宋" w:hAnsi="仿宋" w:eastAsia="仿宋" w:cs="仿宋"/>
          <w:color w:val="000000"/>
          <w:sz w:val="32"/>
          <w:szCs w:val="32"/>
          <w:lang w:val="en-US" w:eastAsia="zh-CN"/>
        </w:rPr>
        <w:t>2022年一般公共预算财政拨款基本支出321.46万元，其中：</w:t>
      </w:r>
    </w:p>
    <w:p>
      <w:pPr>
        <w:pageBreakBefore w:val="0"/>
        <w:kinsoku/>
        <w:wordWrap/>
        <w:overflowPunct/>
        <w:topLinePunct w:val="0"/>
        <w:bidi w:val="0"/>
        <w:spacing w:line="580" w:lineRule="exact"/>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人员经费320.74万元，主要包括：基本工资120.29万元、津贴补贴5.07万元、绩效工资95.88万元、机关事业单位基本养老保险缴费32.73万元、职业年金缴费、16万元医疗保险19.84万元、励金、住房公积金30.86万元。</w:t>
      </w:r>
    </w:p>
    <w:p>
      <w:pPr>
        <w:pageBreakBefore w:val="0"/>
        <w:kinsoku/>
        <w:wordWrap/>
        <w:overflowPunct/>
        <w:topLinePunct w:val="0"/>
        <w:bidi w:val="0"/>
        <w:spacing w:line="580" w:lineRule="exact"/>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公用经费0.78万元，主要用于邮电费支出。</w:t>
      </w:r>
    </w:p>
    <w:p>
      <w:pPr>
        <w:spacing w:line="600" w:lineRule="exact"/>
        <w:ind w:left="0" w:firstLine="640" w:firstLineChars="200"/>
        <w:outlineLvl w:val="1"/>
        <w:rPr>
          <w:rStyle w:val="27"/>
          <w:rFonts w:ascii="黑体" w:eastAsia="黑体"/>
          <w:b w:val="0"/>
          <w:color w:val="auto"/>
          <w:highlight w:val="none"/>
        </w:rPr>
      </w:pPr>
      <w:bookmarkStart w:id="75" w:name="_Toc15396609"/>
      <w:bookmarkStart w:id="76" w:name="_Toc15377215"/>
      <w:bookmarkStart w:id="77" w:name="_Toc10372"/>
      <w:r>
        <w:rPr>
          <w:rFonts w:hint="eastAsia" w:ascii="黑体" w:eastAsia="黑体"/>
          <w:color w:val="auto"/>
          <w:sz w:val="32"/>
          <w:szCs w:val="32"/>
          <w:highlight w:val="none"/>
        </w:rPr>
        <w:t>七、</w:t>
      </w:r>
      <w:r>
        <w:rPr>
          <w:rStyle w:val="27"/>
          <w:rFonts w:hint="eastAsia" w:ascii="黑体" w:eastAsia="黑体"/>
          <w:b w:val="0"/>
          <w:color w:val="auto"/>
          <w:highlight w:val="none"/>
        </w:rPr>
        <w:t>财政拨款</w:t>
      </w:r>
      <w:r>
        <w:rPr>
          <w:rStyle w:val="27"/>
          <w:rFonts w:hint="eastAsia" w:ascii="黑体" w:eastAsia="黑体"/>
          <w:color w:val="auto"/>
          <w:highlight w:val="none"/>
        </w:rPr>
        <w:t>“</w:t>
      </w:r>
      <w:r>
        <w:rPr>
          <w:rStyle w:val="27"/>
          <w:rFonts w:hint="eastAsia" w:ascii="黑体" w:eastAsia="黑体"/>
          <w:b w:val="0"/>
          <w:color w:val="auto"/>
          <w:highlight w:val="none"/>
        </w:rPr>
        <w:t>三公”经费支出决算情况说明</w:t>
      </w:r>
      <w:bookmarkEnd w:id="75"/>
      <w:bookmarkEnd w:id="76"/>
      <w:r>
        <w:rPr>
          <w:rStyle w:val="27"/>
          <w:rFonts w:ascii="黑体" w:eastAsia="黑体"/>
          <w:b w:val="0"/>
          <w:color w:val="auto"/>
          <w:highlight w:val="none"/>
        </w:rPr>
        <w:t>（无）</w:t>
      </w:r>
      <w:bookmarkEnd w:id="77"/>
    </w:p>
    <w:p>
      <w:pPr>
        <w:pageBreakBefore w:val="0"/>
        <w:kinsoku/>
        <w:wordWrap/>
        <w:overflowPunct/>
        <w:topLinePunct w:val="0"/>
        <w:bidi w:val="0"/>
        <w:spacing w:line="580" w:lineRule="exact"/>
        <w:ind w:firstLine="640"/>
        <w:outlineLvl w:val="2"/>
        <w:rPr>
          <w:rFonts w:ascii="仿宋" w:hAnsi="仿宋" w:eastAsia="仿宋"/>
          <w:b/>
          <w:color w:val="000000"/>
          <w:sz w:val="32"/>
          <w:szCs w:val="32"/>
        </w:rPr>
      </w:pPr>
      <w:bookmarkStart w:id="78" w:name="_Toc23076"/>
      <w:bookmarkStart w:id="79" w:name="_Toc15377216"/>
      <w:bookmarkStart w:id="80" w:name="_Toc6101"/>
      <w:bookmarkStart w:id="81" w:name="_Toc15377218"/>
      <w:bookmarkStart w:id="82" w:name="_Toc15396610"/>
      <w:r>
        <w:rPr>
          <w:rFonts w:hint="eastAsia" w:ascii="仿宋" w:hAnsi="仿宋" w:eastAsia="仿宋"/>
          <w:b/>
          <w:color w:val="000000"/>
          <w:sz w:val="32"/>
          <w:szCs w:val="32"/>
        </w:rPr>
        <w:t>（一）“三公”经费财政拨款支出决算总体情况说明</w:t>
      </w:r>
      <w:bookmarkEnd w:id="78"/>
      <w:bookmarkEnd w:id="79"/>
      <w:bookmarkEnd w:id="80"/>
    </w:p>
    <w:p>
      <w:pPr>
        <w:pageBreakBefore w:val="0"/>
        <w:kinsoku/>
        <w:wordWrap/>
        <w:overflowPunct/>
        <w:topLinePunct w:val="0"/>
        <w:bidi w:val="0"/>
        <w:spacing w:line="580" w:lineRule="exact"/>
        <w:ind w:firstLine="640"/>
        <w:rPr>
          <w:rFonts w:hint="eastAsia" w:ascii="仿宋" w:eastAsia="仿宋"/>
          <w:color w:val="000000"/>
          <w:sz w:val="32"/>
          <w:szCs w:val="32"/>
        </w:rPr>
      </w:pPr>
      <w:r>
        <w:rPr>
          <w:rFonts w:hint="eastAsia" w:ascii="仿宋" w:hAnsi="仿宋" w:eastAsia="仿宋" w:cs="仿宋"/>
          <w:color w:val="000000"/>
          <w:sz w:val="32"/>
          <w:szCs w:val="32"/>
          <w:lang w:val="en-US" w:eastAsia="zh-CN"/>
        </w:rPr>
        <w:t>2021年“三公”经费财政拨款支出决算为0万元，</w:t>
      </w:r>
      <w:bookmarkStart w:id="83" w:name="_Toc15377217"/>
      <w:r>
        <w:rPr>
          <w:rFonts w:hint="eastAsia" w:ascii="仿宋" w:hAnsi="仿宋" w:eastAsia="仿宋" w:cs="仿宋"/>
          <w:color w:val="000000"/>
          <w:sz w:val="32"/>
          <w:szCs w:val="32"/>
          <w:lang w:val="en-US" w:eastAsia="zh-CN"/>
        </w:rPr>
        <w:t>年初未安排预算。</w:t>
      </w:r>
    </w:p>
    <w:p>
      <w:pPr>
        <w:pageBreakBefore w:val="0"/>
        <w:kinsoku/>
        <w:wordWrap/>
        <w:overflowPunct/>
        <w:topLinePunct w:val="0"/>
        <w:bidi w:val="0"/>
        <w:spacing w:line="580" w:lineRule="exact"/>
        <w:ind w:firstLine="640"/>
        <w:outlineLvl w:val="2"/>
        <w:rPr>
          <w:rFonts w:ascii="仿宋" w:hAnsi="仿宋" w:eastAsia="仿宋"/>
          <w:b/>
          <w:color w:val="000000"/>
          <w:sz w:val="32"/>
          <w:szCs w:val="32"/>
        </w:rPr>
      </w:pPr>
      <w:bookmarkStart w:id="84" w:name="_Toc657"/>
      <w:bookmarkStart w:id="85" w:name="_Toc25018"/>
      <w:r>
        <w:rPr>
          <w:rFonts w:hint="eastAsia" w:ascii="仿宋" w:hAnsi="仿宋" w:eastAsia="仿宋"/>
          <w:b/>
          <w:color w:val="000000"/>
          <w:sz w:val="32"/>
          <w:szCs w:val="32"/>
        </w:rPr>
        <w:t>（二）“三公”经费财政拨款支出决算具体情况说明</w:t>
      </w:r>
      <w:bookmarkEnd w:id="83"/>
      <w:bookmarkEnd w:id="84"/>
      <w:bookmarkEnd w:id="85"/>
    </w:p>
    <w:p>
      <w:pPr>
        <w:pageBreakBefore w:val="0"/>
        <w:kinsoku/>
        <w:wordWrap/>
        <w:overflowPunct/>
        <w:topLinePunct w:val="0"/>
        <w:bidi w:val="0"/>
        <w:spacing w:line="580" w:lineRule="exact"/>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2021年“三公”经费财政拨款支出决算中，因公出国（境）费支出决算0万元，年初未安排预算；公务用车购置及运行维护费支出决算0万元，年初未安排预算，与上年数持平；公务接待费总支出决算0万元，年初未安排预算。</w:t>
      </w:r>
    </w:p>
    <w:p>
      <w:pPr>
        <w:pageBreakBefore w:val="0"/>
        <w:kinsoku/>
        <w:wordWrap/>
        <w:overflowPunct/>
        <w:topLinePunct w:val="0"/>
        <w:bidi w:val="0"/>
        <w:spacing w:line="58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 w:hAnsi="仿宋" w:eastAsia="仿宋" w:cs="仿宋"/>
          <w:color w:val="000000"/>
          <w:sz w:val="32"/>
          <w:szCs w:val="32"/>
          <w:lang w:val="en-US" w:eastAsia="zh-CN"/>
        </w:rPr>
        <w:t>0万元，年初未安排预算。年初未安排预算，与上年数持平。</w:t>
      </w:r>
    </w:p>
    <w:p>
      <w:pPr>
        <w:pageBreakBefore w:val="0"/>
        <w:kinsoku/>
        <w:wordWrap/>
        <w:overflowPunct/>
        <w:topLinePunct w:val="0"/>
        <w:bidi w:val="0"/>
        <w:spacing w:line="580" w:lineRule="exact"/>
        <w:ind w:firstLine="640"/>
        <w:rPr>
          <w:rFonts w:hint="default" w:ascii="仿宋" w:hAnsi="仿宋" w:eastAsia="仿宋" w:cs="仿宋"/>
          <w:color w:val="000000"/>
          <w:sz w:val="32"/>
          <w:szCs w:val="32"/>
          <w:lang w:val="en-US"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 w:hAnsi="仿宋" w:eastAsia="仿宋" w:cs="仿宋"/>
          <w:color w:val="000000"/>
          <w:sz w:val="32"/>
          <w:szCs w:val="32"/>
          <w:lang w:val="en-US" w:eastAsia="zh-CN"/>
        </w:rPr>
        <w:t>0万元,年初未安排预算。</w:t>
      </w:r>
    </w:p>
    <w:p>
      <w:pPr>
        <w:pageBreakBefore w:val="0"/>
        <w:kinsoku/>
        <w:wordWrap/>
        <w:overflowPunct/>
        <w:topLinePunct w:val="0"/>
        <w:bidi w:val="0"/>
        <w:spacing w:line="580" w:lineRule="exact"/>
        <w:ind w:firstLine="640"/>
        <w:rPr>
          <w:rFonts w:hint="eastAsia" w:ascii="仿宋" w:hAnsi="仿宋" w:eastAsia="仿宋" w:cs="仿宋"/>
          <w:color w:val="000000"/>
          <w:sz w:val="32"/>
          <w:szCs w:val="32"/>
          <w:lang w:val="en-US" w:eastAsia="zh-CN"/>
        </w:rPr>
      </w:pPr>
      <w:r>
        <w:rPr>
          <w:rFonts w:hint="eastAsia" w:ascii="仿宋_GB2312" w:eastAsia="仿宋_GB2312"/>
          <w:b/>
          <w:color w:val="000000"/>
          <w:sz w:val="32"/>
          <w:szCs w:val="32"/>
          <w:lang w:val="en-US" w:eastAsia="zh-CN"/>
        </w:rPr>
        <w:t>3.</w:t>
      </w:r>
      <w:r>
        <w:rPr>
          <w:rFonts w:hint="eastAsia" w:ascii="仿宋_GB2312" w:eastAsia="仿宋_GB2312"/>
          <w:b/>
          <w:color w:val="000000"/>
          <w:sz w:val="32"/>
          <w:szCs w:val="32"/>
        </w:rPr>
        <w:t>公务用车运行维护费支出</w:t>
      </w:r>
      <w:r>
        <w:rPr>
          <w:rFonts w:hint="eastAsia" w:ascii="仿宋" w:hAnsi="仿宋" w:eastAsia="仿宋" w:cs="仿宋"/>
          <w:color w:val="000000"/>
          <w:sz w:val="32"/>
          <w:szCs w:val="32"/>
          <w:lang w:val="en-US" w:eastAsia="zh-CN"/>
        </w:rPr>
        <w:t>0万元。</w:t>
      </w:r>
    </w:p>
    <w:p>
      <w:pPr>
        <w:pageBreakBefore w:val="0"/>
        <w:kinsoku/>
        <w:wordWrap/>
        <w:overflowPunct/>
        <w:topLinePunct w:val="0"/>
        <w:bidi w:val="0"/>
        <w:spacing w:line="580" w:lineRule="exact"/>
        <w:ind w:firstLine="640"/>
        <w:rPr>
          <w:rFonts w:ascii="黑体" w:eastAsia="黑体"/>
          <w:color w:val="auto"/>
          <w:sz w:val="32"/>
          <w:szCs w:val="32"/>
          <w:highlight w:val="none"/>
        </w:rPr>
      </w:pPr>
      <w:r>
        <w:rPr>
          <w:rFonts w:hint="eastAsia" w:ascii="仿宋_GB2312" w:eastAsia="仿宋_GB2312"/>
          <w:b/>
          <w:color w:val="000000"/>
          <w:sz w:val="32"/>
          <w:szCs w:val="32"/>
          <w:lang w:val="en-US" w:eastAsia="zh-CN"/>
        </w:rPr>
        <w:t>4</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万元，年初未安排预算</w:t>
      </w:r>
      <w:r>
        <w:rPr>
          <w:rStyle w:val="24"/>
          <w:rFonts w:hint="eastAsia" w:ascii="仿宋" w:hAnsi="仿宋" w:eastAsia="仿宋" w:cs="仿宋"/>
          <w:b w:val="0"/>
          <w:bCs/>
          <w:color w:val="000000"/>
          <w:sz w:val="32"/>
          <w:szCs w:val="32"/>
        </w:rPr>
        <w:t>。</w:t>
      </w:r>
    </w:p>
    <w:p>
      <w:pPr>
        <w:spacing w:line="600" w:lineRule="exact"/>
        <w:ind w:firstLine="640"/>
        <w:outlineLvl w:val="1"/>
        <w:rPr>
          <w:rStyle w:val="27"/>
          <w:rFonts w:ascii="黑体" w:eastAsia="黑体"/>
          <w:color w:val="auto"/>
          <w:highlight w:val="none"/>
        </w:rPr>
      </w:pPr>
      <w:bookmarkStart w:id="86" w:name="_Toc28019"/>
      <w:r>
        <w:rPr>
          <w:rFonts w:hint="eastAsia" w:ascii="黑体" w:eastAsia="黑体"/>
          <w:color w:val="auto"/>
          <w:sz w:val="32"/>
          <w:szCs w:val="32"/>
          <w:highlight w:val="none"/>
        </w:rPr>
        <w:t>八、</w:t>
      </w:r>
      <w:r>
        <w:rPr>
          <w:rStyle w:val="27"/>
          <w:rFonts w:hint="eastAsia" w:ascii="黑体" w:eastAsia="黑体"/>
          <w:b w:val="0"/>
          <w:color w:val="auto"/>
          <w:highlight w:val="none"/>
        </w:rPr>
        <w:t>政府性基金预算支出决算情况说明</w:t>
      </w:r>
      <w:bookmarkEnd w:id="81"/>
      <w:bookmarkEnd w:id="82"/>
      <w:bookmarkEnd w:id="86"/>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ascii="仿宋_GB2312" w:eastAsia="仿宋_GB2312"/>
          <w:color w:val="auto"/>
          <w:sz w:val="32"/>
          <w:szCs w:val="32"/>
          <w:highlight w:val="none"/>
        </w:rPr>
        <w:t>19.16</w:t>
      </w:r>
      <w:r>
        <w:rPr>
          <w:rFonts w:hint="eastAsia" w:ascii="仿宋_GB2312" w:eastAsia="仿宋_GB2312"/>
          <w:color w:val="auto"/>
          <w:sz w:val="32"/>
          <w:szCs w:val="32"/>
          <w:highlight w:val="none"/>
        </w:rPr>
        <w:t>万元。</w:t>
      </w:r>
    </w:p>
    <w:p>
      <w:pPr>
        <w:numPr>
          <w:ilvl w:val="0"/>
          <w:numId w:val="3"/>
        </w:numPr>
        <w:spacing w:line="600" w:lineRule="exact"/>
        <w:ind w:left="0" w:firstLine="640"/>
        <w:outlineLvl w:val="1"/>
        <w:rPr>
          <w:rStyle w:val="27"/>
          <w:rFonts w:ascii="黑体" w:eastAsia="黑体"/>
          <w:b w:val="0"/>
          <w:color w:val="auto"/>
          <w:highlight w:val="none"/>
        </w:rPr>
      </w:pPr>
      <w:bookmarkStart w:id="87" w:name="_Toc15377219"/>
      <w:bookmarkStart w:id="88" w:name="_Toc15396611"/>
      <w:bookmarkStart w:id="89" w:name="_Toc15162"/>
      <w:r>
        <w:rPr>
          <w:rStyle w:val="27"/>
          <w:rFonts w:hint="eastAsia" w:ascii="黑体" w:eastAsia="黑体"/>
          <w:b w:val="0"/>
          <w:color w:val="auto"/>
          <w:highlight w:val="none"/>
        </w:rPr>
        <w:t>国有资本经营预算支出决算情况说明</w:t>
      </w:r>
      <w:bookmarkEnd w:id="87"/>
      <w:bookmarkEnd w:id="88"/>
      <w:bookmarkEnd w:id="89"/>
    </w:p>
    <w:p>
      <w:pPr>
        <w:spacing w:line="600" w:lineRule="exact"/>
        <w:ind w:firstLine="640"/>
        <w:rPr>
          <w:rFonts w:asci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ascii="仿宋_GB2312" w:eastAsia="仿宋_GB2312"/>
          <w:color w:val="auto"/>
          <w:sz w:val="32"/>
          <w:szCs w:val="32"/>
          <w:highlight w:val="none"/>
        </w:rPr>
        <w:t>0</w:t>
      </w:r>
      <w:r>
        <w:rPr>
          <w:rFonts w:hint="eastAsia" w:ascii="仿宋_GB2312" w:eastAsia="仿宋_GB2312"/>
          <w:color w:val="auto"/>
          <w:sz w:val="32"/>
          <w:szCs w:val="32"/>
          <w:highlight w:val="none"/>
        </w:rPr>
        <w:t>万元。</w:t>
      </w:r>
    </w:p>
    <w:p>
      <w:pPr>
        <w:numPr>
          <w:ilvl w:val="0"/>
          <w:numId w:val="3"/>
        </w:numPr>
        <w:spacing w:line="600" w:lineRule="exact"/>
        <w:ind w:left="0" w:firstLine="640"/>
        <w:outlineLvl w:val="1"/>
        <w:rPr>
          <w:rStyle w:val="27"/>
          <w:rFonts w:hint="eastAsia" w:ascii="黑体" w:eastAsia="黑体"/>
          <w:b w:val="0"/>
          <w:color w:val="auto"/>
          <w:highlight w:val="none"/>
        </w:rPr>
      </w:pPr>
      <w:bookmarkStart w:id="90" w:name="_Toc15396612"/>
      <w:bookmarkStart w:id="91" w:name="_Toc15377221"/>
      <w:bookmarkStart w:id="92" w:name="_Toc14204"/>
      <w:r>
        <w:rPr>
          <w:rStyle w:val="27"/>
          <w:rFonts w:hint="eastAsia" w:ascii="黑体" w:eastAsia="黑体"/>
          <w:b w:val="0"/>
          <w:color w:val="auto"/>
          <w:highlight w:val="none"/>
        </w:rPr>
        <w:t>其他重要事项的情况说明</w:t>
      </w:r>
      <w:bookmarkEnd w:id="90"/>
      <w:bookmarkEnd w:id="91"/>
      <w:r>
        <w:rPr>
          <w:rStyle w:val="27"/>
          <w:rFonts w:ascii="黑体" w:eastAsia="黑体"/>
          <w:b w:val="0"/>
          <w:color w:val="auto"/>
          <w:highlight w:val="none"/>
        </w:rPr>
        <w:t>（无）</w:t>
      </w:r>
      <w:bookmarkEnd w:id="92"/>
    </w:p>
    <w:p>
      <w:pPr>
        <w:pageBreakBefore w:val="0"/>
        <w:tabs>
          <w:tab w:val="left" w:pos="580"/>
        </w:tabs>
        <w:kinsoku/>
        <w:wordWrap/>
        <w:overflowPunct/>
        <w:topLinePunct w:val="0"/>
        <w:bidi w:val="0"/>
        <w:spacing w:line="580" w:lineRule="exact"/>
        <w:ind w:firstLine="643" w:firstLineChars="200"/>
        <w:outlineLvl w:val="2"/>
        <w:rPr>
          <w:rFonts w:hint="eastAsia" w:ascii="仿宋" w:hAnsi="仿宋" w:eastAsia="仿宋" w:cs="仿宋"/>
          <w:color w:val="000000"/>
          <w:sz w:val="32"/>
          <w:szCs w:val="32"/>
        </w:rPr>
      </w:pPr>
      <w:bookmarkStart w:id="93" w:name="_Toc10405"/>
      <w:r>
        <w:rPr>
          <w:rFonts w:hint="eastAsia" w:ascii="仿宋" w:hAnsi="仿宋" w:eastAsia="仿宋"/>
          <w:b/>
          <w:color w:val="000000"/>
          <w:sz w:val="32"/>
          <w:szCs w:val="32"/>
          <w:lang w:eastAsia="zh-CN"/>
        </w:rPr>
        <w:tab/>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一）</w:t>
      </w:r>
      <w:r>
        <w:rPr>
          <w:rFonts w:hint="eastAsia" w:ascii="仿宋" w:hAnsi="仿宋" w:eastAsia="仿宋" w:cs="仿宋"/>
          <w:b/>
          <w:color w:val="000000"/>
          <w:sz w:val="32"/>
          <w:szCs w:val="32"/>
          <w:lang w:eastAsia="zh-CN"/>
        </w:rPr>
        <w:t>机关</w:t>
      </w:r>
      <w:r>
        <w:rPr>
          <w:rFonts w:hint="eastAsia" w:ascii="仿宋" w:hAnsi="仿宋" w:eastAsia="仿宋" w:cs="仿宋"/>
          <w:b/>
          <w:color w:val="000000"/>
          <w:sz w:val="32"/>
          <w:szCs w:val="32"/>
        </w:rPr>
        <w:t>运行经费支出情况</w:t>
      </w:r>
      <w:bookmarkEnd w:id="93"/>
    </w:p>
    <w:p>
      <w:pPr>
        <w:pageBreakBefore w:val="0"/>
        <w:kinsoku/>
        <w:wordWrap/>
        <w:overflowPunct/>
        <w:topLinePunct w:val="0"/>
        <w:autoSpaceDE w:val="0"/>
        <w:autoSpaceDN w:val="0"/>
        <w:bidi w:val="0"/>
        <w:adjustRightInd w:val="0"/>
        <w:spacing w:line="580" w:lineRule="exact"/>
        <w:ind w:left="638" w:leftChars="304" w:firstLine="0" w:firstLineChars="0"/>
        <w:jc w:val="left"/>
        <w:outlineLvl w:val="2"/>
        <w:rPr>
          <w:rFonts w:hint="eastAsia" w:ascii="仿宋" w:hAnsi="仿宋" w:eastAsia="仿宋" w:cs="仿宋"/>
          <w:b/>
          <w:color w:val="auto"/>
          <w:sz w:val="32"/>
          <w:szCs w:val="32"/>
          <w:highlight w:val="none"/>
        </w:rPr>
      </w:pPr>
      <w:bookmarkStart w:id="94" w:name="_Toc29392"/>
      <w:bookmarkStart w:id="95" w:name="_Toc15377223"/>
      <w:bookmarkStart w:id="96" w:name="_Toc8016"/>
      <w:r>
        <w:rPr>
          <w:rFonts w:hint="eastAsia" w:ascii="仿宋" w:hAnsi="仿宋" w:eastAsia="仿宋" w:cs="仿宋"/>
          <w:b w:val="0"/>
          <w:bCs/>
          <w:color w:val="auto"/>
          <w:sz w:val="32"/>
          <w:szCs w:val="32"/>
          <w:highlight w:val="none"/>
        </w:rPr>
        <w:t>202</w:t>
      </w:r>
      <w:r>
        <w:rPr>
          <w:rFonts w:hint="eastAsia" w:ascii="仿宋" w:hAnsi="仿宋" w:eastAsia="仿宋" w:cs="仿宋"/>
          <w:b w:val="0"/>
          <w:bCs/>
          <w:color w:val="auto"/>
          <w:sz w:val="32"/>
          <w:szCs w:val="32"/>
          <w:highlight w:val="none"/>
          <w:lang w:val="en-US" w:eastAsia="zh-CN"/>
        </w:rPr>
        <w:t>2</w:t>
      </w:r>
      <w:r>
        <w:rPr>
          <w:rFonts w:hint="eastAsia" w:ascii="仿宋" w:hAnsi="仿宋" w:eastAsia="仿宋" w:cs="仿宋"/>
          <w:b w:val="0"/>
          <w:bCs/>
          <w:color w:val="auto"/>
          <w:sz w:val="32"/>
          <w:szCs w:val="32"/>
          <w:highlight w:val="none"/>
        </w:rPr>
        <w:t>年未发生机关运行经费支出，与上年决算数持平。</w:t>
      </w:r>
      <w:r>
        <w:rPr>
          <w:rFonts w:hint="eastAsia" w:ascii="仿宋" w:hAnsi="仿宋" w:eastAsia="仿宋" w:cs="仿宋"/>
          <w:b/>
          <w:color w:val="auto"/>
          <w:sz w:val="32"/>
          <w:szCs w:val="32"/>
          <w:highlight w:val="none"/>
        </w:rPr>
        <w:t>（二）政府采购支出情况</w:t>
      </w:r>
      <w:bookmarkEnd w:id="94"/>
      <w:bookmarkEnd w:id="95"/>
      <w:bookmarkEnd w:id="96"/>
    </w:p>
    <w:p>
      <w:pPr>
        <w:pageBreakBefore w:val="0"/>
        <w:kinsoku/>
        <w:wordWrap/>
        <w:overflowPunct/>
        <w:topLinePunct w:val="0"/>
        <w:bidi w:val="0"/>
        <w:spacing w:line="580" w:lineRule="exact"/>
        <w:ind w:firstLine="640" w:firstLineChars="200"/>
        <w:rPr>
          <w:rFonts w:hint="eastAsia" w:ascii="仿宋" w:hAnsi="仿宋" w:eastAsia="仿宋" w:cs="仿宋"/>
          <w:color w:val="000000"/>
          <w:sz w:val="32"/>
          <w:szCs w:val="32"/>
          <w:highlight w:val="yellow"/>
        </w:rPr>
      </w:pP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卫子</w:t>
      </w:r>
      <w:r>
        <w:rPr>
          <w:rFonts w:hint="eastAsia" w:ascii="仿宋" w:hAnsi="仿宋" w:eastAsia="仿宋" w:cs="仿宋"/>
          <w:color w:val="000000"/>
          <w:sz w:val="32"/>
          <w:szCs w:val="32"/>
        </w:rPr>
        <w:t>卫生院政府采购0万元。</w:t>
      </w:r>
    </w:p>
    <w:p>
      <w:pPr>
        <w:pageBreakBefore w:val="0"/>
        <w:kinsoku/>
        <w:wordWrap/>
        <w:overflowPunct/>
        <w:topLinePunct w:val="0"/>
        <w:autoSpaceDE w:val="0"/>
        <w:autoSpaceDN w:val="0"/>
        <w:bidi w:val="0"/>
        <w:adjustRightInd w:val="0"/>
        <w:spacing w:line="580" w:lineRule="exact"/>
        <w:ind w:firstLine="643" w:firstLineChars="200"/>
        <w:jc w:val="left"/>
        <w:outlineLvl w:val="2"/>
        <w:rPr>
          <w:rFonts w:hint="eastAsia" w:ascii="仿宋" w:hAnsi="仿宋" w:eastAsia="仿宋" w:cs="仿宋"/>
          <w:b/>
          <w:color w:val="000000"/>
          <w:sz w:val="32"/>
          <w:szCs w:val="32"/>
        </w:rPr>
      </w:pPr>
      <w:bookmarkStart w:id="97" w:name="_Toc15377224"/>
      <w:bookmarkStart w:id="98" w:name="_Toc3193"/>
      <w:bookmarkStart w:id="99" w:name="_Toc10511"/>
      <w:r>
        <w:rPr>
          <w:rFonts w:hint="eastAsia" w:ascii="仿宋" w:hAnsi="仿宋" w:eastAsia="仿宋" w:cs="仿宋"/>
          <w:b/>
          <w:color w:val="000000"/>
          <w:sz w:val="32"/>
          <w:szCs w:val="32"/>
        </w:rPr>
        <w:t>（三）国有资产占有使用情况</w:t>
      </w:r>
      <w:bookmarkEnd w:id="97"/>
      <w:bookmarkEnd w:id="98"/>
      <w:bookmarkEnd w:id="99"/>
    </w:p>
    <w:p>
      <w:pPr>
        <w:pageBreakBefore w:val="0"/>
        <w:kinsoku/>
        <w:wordWrap/>
        <w:overflowPunct/>
        <w:topLinePunct w:val="0"/>
        <w:autoSpaceDE w:val="0"/>
        <w:autoSpaceDN w:val="0"/>
        <w:bidi w:val="0"/>
        <w:adjustRightInd w:val="0"/>
        <w:spacing w:afterAutospacing="0" w:line="58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截至</w:t>
      </w:r>
      <w:r>
        <w:rPr>
          <w:rFonts w:hint="eastAsia" w:ascii="仿宋" w:hAnsi="仿宋" w:eastAsia="仿宋" w:cs="仿宋"/>
          <w:color w:val="000000"/>
          <w:sz w:val="32"/>
          <w:szCs w:val="32"/>
          <w:lang w:eastAsia="zh-CN"/>
        </w:rPr>
        <w:t>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年12月31日，</w:t>
      </w:r>
      <w:r>
        <w:rPr>
          <w:rFonts w:hint="eastAsia" w:ascii="仿宋" w:hAnsi="仿宋" w:eastAsia="仿宋" w:cs="仿宋"/>
          <w:color w:val="000000"/>
          <w:sz w:val="32"/>
          <w:szCs w:val="32"/>
          <w:lang w:eastAsia="zh-CN"/>
        </w:rPr>
        <w:t>卫子</w:t>
      </w:r>
      <w:r>
        <w:rPr>
          <w:rFonts w:hint="eastAsia" w:ascii="仿宋" w:hAnsi="仿宋" w:eastAsia="仿宋" w:cs="仿宋"/>
          <w:color w:val="000000"/>
          <w:sz w:val="32"/>
          <w:szCs w:val="32"/>
        </w:rPr>
        <w:t>卫生院共有车辆0辆，单价50万元以上通用设备0台（套），单价100万元以上专用设备0台（套）。</w:t>
      </w:r>
    </w:p>
    <w:p>
      <w:pPr>
        <w:autoSpaceDE w:val="0"/>
        <w:autoSpaceDN w:val="0"/>
        <w:adjustRightInd w:val="0"/>
        <w:spacing w:line="600" w:lineRule="exact"/>
        <w:ind w:firstLine="643" w:firstLineChars="200"/>
        <w:jc w:val="left"/>
        <w:outlineLvl w:val="2"/>
        <w:rPr>
          <w:rFonts w:hint="eastAsia" w:ascii="仿宋" w:hAnsi="仿宋" w:eastAsia="仿宋" w:cs="仿宋"/>
          <w:b/>
          <w:color w:val="auto"/>
          <w:sz w:val="32"/>
          <w:szCs w:val="32"/>
          <w:highlight w:val="none"/>
          <w:lang w:eastAsia="zh-CN"/>
        </w:rPr>
      </w:pPr>
      <w:bookmarkStart w:id="100" w:name="_Toc7680"/>
      <w:r>
        <w:rPr>
          <w:rFonts w:hint="eastAsia" w:ascii="仿宋" w:hAnsi="仿宋" w:eastAsia="仿宋" w:cs="仿宋"/>
          <w:b/>
          <w:color w:val="auto"/>
          <w:sz w:val="32"/>
          <w:szCs w:val="32"/>
          <w:highlight w:val="none"/>
        </w:rPr>
        <w:t>（四）预算绩效管理情况</w:t>
      </w:r>
      <w:bookmarkEnd w:id="100"/>
    </w:p>
    <w:p>
      <w:pPr>
        <w:pStyle w:val="2"/>
        <w:ind w:firstLine="640" w:firstLineChars="200"/>
        <w:rPr>
          <w:rFonts w:hint="eastAsia" w:ascii="仿宋" w:hAnsi="仿宋" w:eastAsia="仿宋" w:cs="仿宋"/>
          <w:color w:val="auto"/>
          <w:highlight w:val="yellow"/>
        </w:rPr>
      </w:pPr>
      <w:r>
        <w:rPr>
          <w:rFonts w:hint="eastAsia" w:ascii="仿宋" w:hAnsi="仿宋" w:eastAsia="仿宋" w:cs="仿宋"/>
          <w:color w:val="auto"/>
          <w:sz w:val="32"/>
          <w:szCs w:val="32"/>
          <w:highlight w:val="none"/>
        </w:rPr>
        <w:t>根据预算绩效管理要求，本单位在202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度预算编制阶段，组织对公卫、乡村医生补助、次中心建设项目（项目名称）等3个项目开展了预算事前绩效评估，对3个项目编制了绩效目标，预算执行过程中，选取3个项目开展绩效监控，组织对3个项目开展绩效自评，绩效自评表详见</w:t>
      </w:r>
      <w:r>
        <w:rPr>
          <w:rFonts w:hint="eastAsia" w:ascii="仿宋" w:hAnsi="仿宋" w:eastAsia="仿宋" w:cs="仿宋"/>
          <w:color w:val="auto"/>
          <w:sz w:val="32"/>
          <w:szCs w:val="32"/>
          <w:highlight w:val="none"/>
          <w:lang w:eastAsia="zh-CN"/>
        </w:rPr>
        <w:t>第四部分</w:t>
      </w:r>
      <w:r>
        <w:rPr>
          <w:rFonts w:hint="eastAsia" w:ascii="仿宋" w:hAnsi="仿宋" w:eastAsia="仿宋" w:cs="仿宋"/>
          <w:color w:val="auto"/>
          <w:sz w:val="32"/>
          <w:szCs w:val="32"/>
          <w:highlight w:val="none"/>
        </w:rPr>
        <w:t>附件。</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left="0" w:firstLine="660" w:firstLineChars="150"/>
        <w:jc w:val="center"/>
        <w:outlineLvl w:val="0"/>
        <w:rPr>
          <w:rStyle w:val="26"/>
          <w:rFonts w:ascii="黑体" w:eastAsia="黑体"/>
          <w:b w:val="0"/>
          <w:color w:val="auto"/>
          <w:highlight w:val="none"/>
        </w:rPr>
      </w:pPr>
      <w:bookmarkStart w:id="101" w:name="_Toc15377225"/>
      <w:bookmarkStart w:id="102" w:name="_Toc15396613"/>
      <w:bookmarkStart w:id="103" w:name="_Toc13902"/>
      <w:r>
        <w:rPr>
          <w:rFonts w:hint="eastAsia" w:ascii="黑体" w:eastAsia="黑体"/>
          <w:color w:val="auto"/>
          <w:sz w:val="44"/>
          <w:szCs w:val="44"/>
          <w:highlight w:val="none"/>
        </w:rPr>
        <w:t>名</w:t>
      </w:r>
      <w:r>
        <w:rPr>
          <w:rStyle w:val="26"/>
          <w:rFonts w:hint="eastAsia" w:ascii="黑体" w:eastAsia="黑体"/>
          <w:b w:val="0"/>
          <w:color w:val="auto"/>
          <w:highlight w:val="none"/>
        </w:rPr>
        <w:t>词解释</w:t>
      </w:r>
      <w:bookmarkEnd w:id="101"/>
      <w:bookmarkEnd w:id="102"/>
      <w:bookmarkEnd w:id="103"/>
    </w:p>
    <w:p>
      <w:pPr>
        <w:pStyle w:val="31"/>
        <w:pageBreakBefore w:val="0"/>
        <w:kinsoku/>
        <w:wordWrap/>
        <w:overflowPunct/>
        <w:topLinePunct w:val="0"/>
        <w:bidi w:val="0"/>
        <w:spacing w:beforeAutospacing="0" w:line="580" w:lineRule="exact"/>
        <w:ind w:firstLine="640" w:firstLineChars="200"/>
        <w:rPr>
          <w:rFonts w:hint="eastAsia" w:ascii="仿宋" w:hAnsi="仿宋" w:eastAsia="仿宋" w:cs="仿宋"/>
          <w:sz w:val="32"/>
          <w:szCs w:val="32"/>
        </w:rPr>
      </w:pPr>
      <w:bookmarkStart w:id="104" w:name="_Toc15377226"/>
      <w:r>
        <w:rPr>
          <w:rFonts w:hint="eastAsia" w:ascii="仿宋" w:hAnsi="仿宋" w:eastAsia="仿宋" w:cs="仿宋"/>
          <w:sz w:val="32"/>
          <w:szCs w:val="32"/>
        </w:rPr>
        <w:t>1.财政拨款收入：指单位从同级财政</w:t>
      </w:r>
      <w:r>
        <w:rPr>
          <w:rFonts w:hint="eastAsia" w:ascii="仿宋" w:hAnsi="仿宋" w:eastAsia="仿宋" w:cs="仿宋"/>
          <w:sz w:val="32"/>
          <w:szCs w:val="32"/>
          <w:lang w:eastAsia="zh-CN"/>
        </w:rPr>
        <w:t>单位</w:t>
      </w:r>
      <w:r>
        <w:rPr>
          <w:rFonts w:hint="eastAsia" w:ascii="仿宋" w:hAnsi="仿宋" w:eastAsia="仿宋" w:cs="仿宋"/>
          <w:sz w:val="32"/>
          <w:szCs w:val="32"/>
        </w:rPr>
        <w:t>取得的各类拨款。</w:t>
      </w:r>
    </w:p>
    <w:p>
      <w:pPr>
        <w:pStyle w:val="31"/>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2.事业收入：指事业单位开展专业业务活动及辅助活动取得的收入。如区人民医院、妇幼保健计生生育服务中心、区中医医院、乡镇卫生院医疗收入等。</w:t>
      </w:r>
    </w:p>
    <w:p>
      <w:pPr>
        <w:pStyle w:val="31"/>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3.其他收入：指单位取得的除上述收入以外的各项收入。主要是利息收入等。 </w:t>
      </w:r>
    </w:p>
    <w:p>
      <w:pPr>
        <w:pStyle w:val="31"/>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4.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31"/>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5.年初结转和结余：指以前年度尚未完成、结转到本年按有关规定继续使用的资金。 </w:t>
      </w:r>
    </w:p>
    <w:p>
      <w:pPr>
        <w:pStyle w:val="31"/>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6.本年盈余分配：指事业单位按照政府会计制度的规定从非财政拨款结余或事业结余中提取的奖励基金和职工福利基金等。</w:t>
      </w:r>
    </w:p>
    <w:p>
      <w:pPr>
        <w:pStyle w:val="31"/>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7.年末结转和结余：指单位按有关规定结转到下年或以后年度继续使用的资金。</w:t>
      </w:r>
    </w:p>
    <w:p>
      <w:pPr>
        <w:keepNext w:val="0"/>
        <w:keepLines w:val="0"/>
        <w:pageBreakBefore w:val="0"/>
        <w:kinsoku/>
        <w:wordWrap/>
        <w:overflowPunct/>
        <w:topLinePunct w:val="0"/>
        <w:bidi w:val="0"/>
        <w:spacing w:line="580" w:lineRule="exact"/>
        <w:ind w:left="0" w:leftChars="0" w:firstLine="640" w:firstLineChars="200"/>
        <w:textAlignment w:val="auto"/>
        <w:rPr>
          <w:rStyle w:val="24"/>
          <w:rFonts w:hint="eastAsia" w:ascii="仿宋" w:hAnsi="仿宋" w:eastAsia="仿宋" w:cs="仿宋"/>
          <w:b w:val="0"/>
          <w:color w:val="000000"/>
          <w:sz w:val="32"/>
          <w:szCs w:val="32"/>
        </w:rPr>
      </w:pPr>
      <w:r>
        <w:rPr>
          <w:rFonts w:hint="eastAsia" w:ascii="仿宋" w:hAnsi="仿宋" w:eastAsia="仿宋" w:cs="仿宋"/>
          <w:color w:val="000000"/>
          <w:sz w:val="32"/>
          <w:szCs w:val="32"/>
        </w:rPr>
        <w:t>8.卫生健康支出（类）基层医疗卫生机构（款）</w:t>
      </w:r>
      <w:r>
        <w:rPr>
          <w:rStyle w:val="24"/>
          <w:rFonts w:hint="eastAsia" w:ascii="仿宋" w:hAnsi="仿宋" w:eastAsia="仿宋" w:cs="仿宋"/>
          <w:b w:val="0"/>
          <w:color w:val="000000"/>
          <w:sz w:val="32"/>
          <w:szCs w:val="32"/>
        </w:rPr>
        <w:t>乡镇卫生院（项）</w:t>
      </w:r>
      <w:r>
        <w:rPr>
          <w:rFonts w:hint="eastAsia" w:ascii="仿宋" w:hAnsi="仿宋" w:eastAsia="仿宋" w:cs="仿宋"/>
          <w:color w:val="000000"/>
          <w:sz w:val="32"/>
          <w:szCs w:val="32"/>
        </w:rPr>
        <w:t>：反映乡镇卫生院的支出；</w:t>
      </w:r>
      <w:r>
        <w:rPr>
          <w:rStyle w:val="24"/>
          <w:rFonts w:hint="eastAsia" w:ascii="仿宋" w:hAnsi="仿宋" w:eastAsia="仿宋" w:cs="仿宋"/>
          <w:b w:val="0"/>
          <w:color w:val="000000"/>
          <w:sz w:val="32"/>
          <w:szCs w:val="32"/>
        </w:rPr>
        <w:t>卫生健康支出（类）公共卫生（款）基本公共卫生服务（项）</w:t>
      </w:r>
      <w:r>
        <w:rPr>
          <w:rFonts w:hint="eastAsia" w:ascii="仿宋" w:hAnsi="仿宋" w:eastAsia="仿宋" w:cs="仿宋"/>
          <w:color w:val="000000"/>
          <w:sz w:val="32"/>
          <w:szCs w:val="32"/>
        </w:rPr>
        <w:t>：反映乡镇卫生院、社区卫生机构开展基本公共卫生服务的支出；</w:t>
      </w:r>
      <w:r>
        <w:rPr>
          <w:rStyle w:val="24"/>
          <w:rFonts w:hint="eastAsia" w:ascii="仿宋" w:hAnsi="仿宋" w:eastAsia="仿宋" w:cs="仿宋"/>
          <w:b w:val="0"/>
          <w:color w:val="000000"/>
          <w:sz w:val="32"/>
          <w:szCs w:val="32"/>
        </w:rPr>
        <w:t>卫生健康支出</w:t>
      </w:r>
      <w:r>
        <w:rPr>
          <w:rFonts w:hint="eastAsia" w:ascii="仿宋" w:hAnsi="仿宋" w:eastAsia="仿宋" w:cs="仿宋"/>
          <w:color w:val="000000"/>
          <w:sz w:val="32"/>
          <w:szCs w:val="32"/>
        </w:rPr>
        <w:t>（类）基层医疗卫生机构（款）其他基层医疗卫生机构支出（项）</w:t>
      </w:r>
      <w:r>
        <w:rPr>
          <w:rStyle w:val="24"/>
          <w:rFonts w:hint="eastAsia" w:ascii="仿宋" w:hAnsi="仿宋" w:eastAsia="仿宋" w:cs="仿宋"/>
          <w:b w:val="0"/>
          <w:color w:val="000000"/>
          <w:sz w:val="32"/>
          <w:szCs w:val="32"/>
        </w:rPr>
        <w:t>：反映除乡镇卫生院、城市社区卫生机构以外的其他用于基层医疗卫生机构的支出；卫生健康支出（类）行政事业单位医疗</w:t>
      </w:r>
      <w:r>
        <w:rPr>
          <w:rFonts w:hint="eastAsia" w:ascii="仿宋" w:hAnsi="仿宋" w:eastAsia="仿宋" w:cs="仿宋"/>
          <w:color w:val="000000"/>
          <w:sz w:val="32"/>
          <w:szCs w:val="32"/>
        </w:rPr>
        <w:t>（款）事业单位医疗（项）</w:t>
      </w:r>
      <w:r>
        <w:rPr>
          <w:rStyle w:val="24"/>
          <w:rFonts w:hint="eastAsia" w:ascii="仿宋" w:hAnsi="仿宋" w:eastAsia="仿宋" w:cs="仿宋"/>
          <w:b w:val="0"/>
          <w:color w:val="000000"/>
          <w:sz w:val="32"/>
          <w:szCs w:val="32"/>
        </w:rPr>
        <w:t>:</w:t>
      </w:r>
      <w:r>
        <w:rPr>
          <w:rStyle w:val="24"/>
          <w:rFonts w:hint="eastAsia" w:ascii="仿宋" w:hAnsi="仿宋" w:eastAsia="仿宋" w:cs="仿宋"/>
          <w:b w:val="0"/>
          <w:sz w:val="32"/>
          <w:szCs w:val="32"/>
        </w:rPr>
        <w:t>反映</w:t>
      </w:r>
      <w:r>
        <w:rPr>
          <w:rStyle w:val="24"/>
          <w:rFonts w:hint="eastAsia" w:ascii="仿宋" w:hAnsi="仿宋" w:eastAsia="仿宋" w:cs="仿宋"/>
          <w:b w:val="0"/>
          <w:color w:val="000000"/>
          <w:sz w:val="32"/>
          <w:szCs w:val="32"/>
        </w:rPr>
        <w:t>卫生健康支出中的在职人员医疗保险。</w:t>
      </w:r>
    </w:p>
    <w:p>
      <w:pPr>
        <w:pageBreakBefore w:val="0"/>
        <w:kinsoku/>
        <w:wordWrap/>
        <w:overflowPunct/>
        <w:topLinePunct w:val="0"/>
        <w:bidi w:val="0"/>
        <w:spacing w:line="580" w:lineRule="exact"/>
        <w:ind w:firstLine="640" w:firstLineChars="200"/>
        <w:rPr>
          <w:rFonts w:hint="eastAsia" w:ascii="仿宋" w:hAnsi="仿宋" w:eastAsia="仿宋" w:cs="仿宋"/>
          <w:sz w:val="32"/>
          <w:szCs w:val="32"/>
          <w:lang w:eastAsia="zh-CN" w:bidi="ar"/>
        </w:rPr>
      </w:pPr>
      <w:r>
        <w:rPr>
          <w:rFonts w:hint="eastAsia" w:ascii="仿宋" w:hAnsi="仿宋" w:eastAsia="仿宋" w:cs="仿宋"/>
          <w:sz w:val="32"/>
          <w:szCs w:val="32"/>
          <w:lang w:bidi="ar"/>
        </w:rPr>
        <w:t>9.社会保障和就业支出：反映政府在社会保障和就业方面的支出。</w:t>
      </w:r>
    </w:p>
    <w:p>
      <w:pPr>
        <w:pageBreakBefore w:val="0"/>
        <w:kinsoku/>
        <w:wordWrap/>
        <w:overflowPunct/>
        <w:topLinePunct w:val="0"/>
        <w:bidi w:val="0"/>
        <w:spacing w:line="580" w:lineRule="exact"/>
        <w:ind w:firstLine="640" w:firstLineChars="200"/>
        <w:rPr>
          <w:rFonts w:hint="eastAsia" w:ascii="仿宋" w:hAnsi="仿宋" w:eastAsia="仿宋" w:cs="仿宋"/>
          <w:sz w:val="32"/>
          <w:szCs w:val="32"/>
          <w:lang w:eastAsia="zh-CN" w:bidi="ar"/>
        </w:rPr>
      </w:pPr>
      <w:r>
        <w:rPr>
          <w:rFonts w:hint="eastAsia" w:ascii="仿宋" w:hAnsi="仿宋" w:eastAsia="仿宋" w:cs="仿宋"/>
          <w:sz w:val="32"/>
          <w:szCs w:val="32"/>
          <w:lang w:bidi="ar"/>
        </w:rPr>
        <w:t>社会保障和就业支出-行政事业单位离退休-机关事业单位基本养老保险缴费支出：反映机关事业单位实施养老保险制度由单位缴纳的基本养老保险支出；</w:t>
      </w:r>
    </w:p>
    <w:p>
      <w:pPr>
        <w:pageBreakBefore w:val="0"/>
        <w:kinsoku/>
        <w:wordWrap/>
        <w:overflowPunct/>
        <w:topLinePunct w:val="0"/>
        <w:bidi w:val="0"/>
        <w:spacing w:line="580" w:lineRule="exact"/>
        <w:ind w:firstLine="640" w:firstLineChars="200"/>
        <w:rPr>
          <w:rStyle w:val="24"/>
          <w:rFonts w:hint="eastAsia" w:ascii="仿宋" w:hAnsi="仿宋" w:eastAsia="仿宋" w:cs="仿宋"/>
          <w:b w:val="0"/>
          <w:color w:val="000000"/>
          <w:sz w:val="32"/>
          <w:szCs w:val="32"/>
        </w:rPr>
      </w:pPr>
      <w:r>
        <w:rPr>
          <w:rFonts w:hint="eastAsia" w:ascii="仿宋" w:hAnsi="仿宋" w:eastAsia="仿宋" w:cs="仿宋"/>
          <w:sz w:val="32"/>
          <w:szCs w:val="32"/>
          <w:lang w:bidi="ar"/>
        </w:rPr>
        <w:t>10.住房保障支出：住房保障支出-住房改革支出-住房公积金：反映行政事业单位按人力资源和社会保障部、财政部规定的基本工资和津贴补贴以及规定比例为职工缴纳的住房公积金。</w:t>
      </w:r>
    </w:p>
    <w:p>
      <w:pPr>
        <w:pageBreakBefore w:val="0"/>
        <w:kinsoku/>
        <w:wordWrap/>
        <w:overflowPunct/>
        <w:topLinePunct w:val="0"/>
        <w:bidi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11.基本支出：指为保障机构正常运转、完成日常工作任务而发生的人员支出和公用支出。</w:t>
      </w:r>
    </w:p>
    <w:p>
      <w:pPr>
        <w:pageBreakBefore w:val="0"/>
        <w:kinsoku/>
        <w:wordWrap/>
        <w:overflowPunct/>
        <w:topLinePunct w:val="0"/>
        <w:bidi w:val="0"/>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12.项目支出：指在基本支出之外为完成特定行政任务和事业发展目标所发生的支出。 </w:t>
      </w:r>
    </w:p>
    <w:p>
      <w:pPr>
        <w:pStyle w:val="31"/>
        <w:pageBreakBefore w:val="0"/>
        <w:kinsoku/>
        <w:wordWrap/>
        <w:overflowPunct/>
        <w:topLinePunct w:val="0"/>
        <w:bidi w:val="0"/>
        <w:spacing w:afterAutospacing="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13.“三公”经费：指</w:t>
      </w:r>
      <w:r>
        <w:rPr>
          <w:rFonts w:hint="eastAsia" w:ascii="仿宋" w:hAnsi="仿宋" w:eastAsia="仿宋" w:cs="仿宋"/>
          <w:sz w:val="32"/>
          <w:szCs w:val="32"/>
          <w:lang w:eastAsia="zh-CN"/>
        </w:rPr>
        <w:t>单位</w:t>
      </w:r>
      <w:r>
        <w:rPr>
          <w:rFonts w:hint="eastAsia" w:ascii="仿宋" w:hAnsi="仿宋" w:eastAsia="仿宋" w:cs="仿宋"/>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1"/>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105" w:name="_Toc15396614"/>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bookmarkStart w:id="106" w:name="_Toc16113"/>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p>
    <w:p>
      <w:pPr>
        <w:pStyle w:val="31"/>
        <w:pageBreakBefore w:val="0"/>
        <w:kinsoku/>
        <w:wordWrap/>
        <w:overflowPunct/>
        <w:topLinePunct w:val="0"/>
        <w:bidi w:val="0"/>
        <w:spacing w:line="580" w:lineRule="exact"/>
        <w:ind w:firstLine="880" w:firstLineChars="200"/>
        <w:jc w:val="center"/>
        <w:outlineLvl w:val="0"/>
        <w:rPr>
          <w:rFonts w:hint="eastAsia" w:ascii="黑体" w:eastAsia="黑体"/>
          <w:color w:val="auto"/>
          <w:sz w:val="44"/>
          <w:szCs w:val="44"/>
          <w:highlight w:val="none"/>
        </w:rPr>
      </w:pPr>
    </w:p>
    <w:p>
      <w:pPr>
        <w:pStyle w:val="31"/>
        <w:pageBreakBefore w:val="0"/>
        <w:kinsoku/>
        <w:wordWrap/>
        <w:overflowPunct/>
        <w:topLinePunct w:val="0"/>
        <w:bidi w:val="0"/>
        <w:spacing w:line="580" w:lineRule="exact"/>
        <w:ind w:firstLine="880" w:firstLineChars="200"/>
        <w:jc w:val="center"/>
        <w:outlineLvl w:val="0"/>
        <w:rPr>
          <w:rStyle w:val="26"/>
          <w:rFonts w:ascii="黑体" w:eastAsia="黑体"/>
          <w:b w:val="0"/>
          <w:color w:val="auto"/>
          <w:highlight w:val="none"/>
        </w:rPr>
      </w:pPr>
      <w:r>
        <w:rPr>
          <w:rFonts w:hint="eastAsia" w:ascii="黑体" w:eastAsia="黑体"/>
          <w:color w:val="auto"/>
          <w:sz w:val="44"/>
          <w:szCs w:val="44"/>
          <w:highlight w:val="none"/>
        </w:rPr>
        <w:t>第</w:t>
      </w:r>
      <w:r>
        <w:rPr>
          <w:rStyle w:val="26"/>
          <w:rFonts w:hint="eastAsia" w:ascii="黑体" w:eastAsia="黑体"/>
          <w:b w:val="0"/>
          <w:color w:val="auto"/>
          <w:highlight w:val="none"/>
        </w:rPr>
        <w:t>四部分 附件</w:t>
      </w:r>
      <w:bookmarkEnd w:id="105"/>
      <w:bookmarkEnd w:id="106"/>
    </w:p>
    <w:tbl>
      <w:tblPr>
        <w:tblStyle w:val="22"/>
        <w:tblpPr w:leftFromText="144" w:rightFromText="144" w:vertAnchor="text" w:horzAnchor="page" w:tblpX="1943" w:tblpY="870"/>
        <w:tblOverlap w:val="never"/>
        <w:tblW w:w="8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6"/>
        <w:gridCol w:w="964"/>
        <w:gridCol w:w="104"/>
        <w:gridCol w:w="576"/>
        <w:gridCol w:w="744"/>
        <w:gridCol w:w="1537"/>
        <w:gridCol w:w="257"/>
        <w:gridCol w:w="1555"/>
        <w:gridCol w:w="257"/>
        <w:gridCol w:w="732"/>
        <w:gridCol w:w="1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2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bookmarkStart w:id="107" w:name="_Toc20934"/>
            <w:bookmarkStart w:id="108" w:name="_Toc9084"/>
            <w:bookmarkStart w:id="109" w:name="_Toc3173"/>
            <w:r>
              <w:rPr>
                <w:rFonts w:ascii="宋体" w:eastAsia="宋体" w:cs="Arial"/>
                <w:color w:val="000000"/>
                <w:sz w:val="20"/>
              </w:rPr>
              <w:t>转移支付（项目）名称</w:t>
            </w:r>
          </w:p>
        </w:tc>
        <w:tc>
          <w:tcPr>
            <w:tcW w:w="7050" w:type="dxa"/>
            <w:gridSpan w:val="9"/>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2022年基本公共卫生服务项目补助资金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2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中央主管部门</w:t>
            </w:r>
          </w:p>
        </w:tc>
        <w:tc>
          <w:tcPr>
            <w:tcW w:w="7050" w:type="dxa"/>
            <w:gridSpan w:val="9"/>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国家卫生健康委员会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12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地方主管部门</w:t>
            </w:r>
          </w:p>
        </w:tc>
        <w:tc>
          <w:tcPr>
            <w:tcW w:w="2961" w:type="dxa"/>
            <w:gridSpan w:val="4"/>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广元市昭化区卫生健康局</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资金使用单位</w:t>
            </w:r>
          </w:p>
        </w:tc>
        <w:tc>
          <w:tcPr>
            <w:tcW w:w="227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卫子镇中心卫生院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200" w:type="dxa"/>
            <w:gridSpan w:val="2"/>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资金投入情况</w:t>
            </w:r>
          </w:p>
          <w:p>
            <w:pPr>
              <w:jc w:val="center"/>
              <w:rPr>
                <w:rFonts w:ascii="宋体" w:eastAsia="宋体" w:cs="Arial"/>
                <w:color w:val="000000"/>
                <w:sz w:val="20"/>
              </w:rPr>
            </w:pPr>
            <w:r>
              <w:rPr>
                <w:rFonts w:ascii="宋体" w:eastAsia="宋体" w:cs="Arial"/>
                <w:color w:val="000000"/>
                <w:sz w:val="20"/>
              </w:rPr>
              <w:t>（万元）</w:t>
            </w:r>
          </w:p>
        </w:tc>
        <w:tc>
          <w:tcPr>
            <w:tcW w:w="142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153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全年预算数（A）</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全年执行数（B）</w:t>
            </w:r>
          </w:p>
        </w:tc>
        <w:tc>
          <w:tcPr>
            <w:tcW w:w="227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42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年度资金总额：</w:t>
            </w:r>
          </w:p>
        </w:tc>
        <w:tc>
          <w:tcPr>
            <w:tcW w:w="153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109.84</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109.84</w:t>
            </w:r>
          </w:p>
        </w:tc>
        <w:tc>
          <w:tcPr>
            <w:tcW w:w="227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42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r>
              <w:rPr>
                <w:rFonts w:ascii="宋体" w:eastAsia="宋体"/>
                <w:color w:val="000000"/>
                <w:sz w:val="20"/>
              </w:rPr>
              <w:t xml:space="preserve"> 其中：中央财政资金</w:t>
            </w:r>
          </w:p>
        </w:tc>
        <w:tc>
          <w:tcPr>
            <w:tcW w:w="153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227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42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r>
              <w:rPr>
                <w:rFonts w:ascii="宋体" w:eastAsia="宋体"/>
                <w:color w:val="000000"/>
                <w:sz w:val="20"/>
              </w:rPr>
              <w:t xml:space="preserve">       地方资金</w:t>
            </w:r>
          </w:p>
        </w:tc>
        <w:tc>
          <w:tcPr>
            <w:tcW w:w="153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227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42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r>
              <w:rPr>
                <w:rFonts w:ascii="宋体" w:eastAsia="宋体"/>
                <w:color w:val="000000"/>
                <w:sz w:val="18"/>
              </w:rPr>
              <w:t xml:space="preserve">      </w:t>
            </w:r>
            <w:r>
              <w:rPr>
                <w:rFonts w:ascii="宋体" w:eastAsia="宋体"/>
                <w:color w:val="000000"/>
                <w:sz w:val="20"/>
              </w:rPr>
              <w:t xml:space="preserve">  其他资金</w:t>
            </w:r>
          </w:p>
        </w:tc>
        <w:tc>
          <w:tcPr>
            <w:tcW w:w="153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227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200" w:type="dxa"/>
            <w:gridSpan w:val="2"/>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资金管理情况</w:t>
            </w:r>
          </w:p>
        </w:tc>
        <w:tc>
          <w:tcPr>
            <w:tcW w:w="142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3349"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情况说明</w:t>
            </w:r>
          </w:p>
        </w:tc>
        <w:tc>
          <w:tcPr>
            <w:tcW w:w="227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42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分配科学性</w:t>
            </w:r>
          </w:p>
        </w:tc>
        <w:tc>
          <w:tcPr>
            <w:tcW w:w="3349"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按照各镇服务常住人口数，结合省市区绩效评价方案将所有资金100%下达至项目实施单位，同时督促项目实施单位40%下达至村卫生室。</w:t>
            </w:r>
          </w:p>
        </w:tc>
        <w:tc>
          <w:tcPr>
            <w:tcW w:w="227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42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下达及时性</w:t>
            </w:r>
          </w:p>
        </w:tc>
        <w:tc>
          <w:tcPr>
            <w:tcW w:w="3349"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8月份下达到位资金的80%，12月底将所有资金全部拨付到位。</w:t>
            </w:r>
          </w:p>
        </w:tc>
        <w:tc>
          <w:tcPr>
            <w:tcW w:w="227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42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拨付合规性</w:t>
            </w:r>
          </w:p>
        </w:tc>
        <w:tc>
          <w:tcPr>
            <w:tcW w:w="3349"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按照各镇常住人口数，结合2022年绩效评价结果合理合规拨付资金。</w:t>
            </w:r>
          </w:p>
        </w:tc>
        <w:tc>
          <w:tcPr>
            <w:tcW w:w="227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42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使用规范性</w:t>
            </w:r>
          </w:p>
        </w:tc>
        <w:tc>
          <w:tcPr>
            <w:tcW w:w="3349"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本着专款专用的原则，严格按照项目资金审批要求使用项目资金。</w:t>
            </w:r>
          </w:p>
        </w:tc>
        <w:tc>
          <w:tcPr>
            <w:tcW w:w="227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42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执行准确性</w:t>
            </w:r>
          </w:p>
        </w:tc>
        <w:tc>
          <w:tcPr>
            <w:tcW w:w="3349"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所有资金全部用于基本公共卫生服务项目</w:t>
            </w:r>
          </w:p>
        </w:tc>
        <w:tc>
          <w:tcPr>
            <w:tcW w:w="227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42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预算绩效管理情况</w:t>
            </w:r>
          </w:p>
        </w:tc>
        <w:tc>
          <w:tcPr>
            <w:tcW w:w="3349"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按照全区常住人口数量预算全年项目资金，提升财政专项资金使用效益</w:t>
            </w:r>
          </w:p>
        </w:tc>
        <w:tc>
          <w:tcPr>
            <w:tcW w:w="227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200"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42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支出责任履行情况</w:t>
            </w:r>
          </w:p>
        </w:tc>
        <w:tc>
          <w:tcPr>
            <w:tcW w:w="3349"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建立由卫健支出，财政局监督的资金支出制度，确保资金使用的合理合法合规。</w:t>
            </w:r>
          </w:p>
        </w:tc>
        <w:tc>
          <w:tcPr>
            <w:tcW w:w="227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restart"/>
            <w:tcBorders>
              <w:top w:val="nil"/>
              <w:left w:val="single" w:color="auto" w:sz="6" w:space="0"/>
              <w:bottom w:val="nil"/>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总体目标完成情况</w:t>
            </w:r>
          </w:p>
        </w:tc>
        <w:tc>
          <w:tcPr>
            <w:tcW w:w="4182" w:type="dxa"/>
            <w:gridSpan w:val="6"/>
            <w:tcBorders>
              <w:top w:val="nil"/>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总体目标</w:t>
            </w:r>
          </w:p>
        </w:tc>
        <w:tc>
          <w:tcPr>
            <w:tcW w:w="3832" w:type="dxa"/>
            <w:gridSpan w:val="4"/>
            <w:tcBorders>
              <w:top w:val="nil"/>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3" w:hRule="atLeast"/>
        </w:trPr>
        <w:tc>
          <w:tcPr>
            <w:tcW w:w="236" w:type="dxa"/>
            <w:vMerge w:val="continue"/>
            <w:tcBorders>
              <w:top w:val="nil"/>
              <w:left w:val="single" w:color="auto" w:sz="6" w:space="0"/>
              <w:bottom w:val="single" w:color="auto" w:sz="6" w:space="0"/>
              <w:right w:val="single" w:color="auto" w:sz="6" w:space="0"/>
              <w:tl2br w:val="nil"/>
              <w:tr2bl w:val="nil"/>
            </w:tcBorders>
            <w:noWrap/>
            <w:vAlign w:val="center"/>
          </w:tcPr>
          <w:p/>
        </w:tc>
        <w:tc>
          <w:tcPr>
            <w:tcW w:w="4182"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1、免费向城乡居民提供基本公共卫生服务。</w:t>
            </w:r>
          </w:p>
          <w:p>
            <w:pPr>
              <w:rPr>
                <w:rFonts w:ascii="宋体" w:eastAsia="宋体" w:cs="Arial"/>
                <w:color w:val="000000"/>
                <w:sz w:val="20"/>
              </w:rPr>
            </w:pPr>
            <w:r>
              <w:rPr>
                <w:rFonts w:ascii="宋体" w:eastAsia="宋体" w:cs="Arial"/>
                <w:color w:val="000000"/>
                <w:sz w:val="20"/>
              </w:rPr>
              <w:t>2、开展对重点疾病及危害因素监测，有效控制疾病流行，为制定相关政策提供科学的依据。保持重点地方病防治措施全面落实，开展职业病监测，最大限度地保护放射工作人员、患者和公众的健康权益，同时推进妇幼卫生、健康素养促进、老年健康服务、卫生应急、计划生育等方面工作。</w:t>
            </w:r>
          </w:p>
          <w:p>
            <w:pPr>
              <w:rPr>
                <w:rFonts w:ascii="宋体" w:eastAsia="宋体" w:cs="Arial"/>
                <w:color w:val="000000"/>
                <w:sz w:val="20"/>
              </w:rPr>
            </w:pPr>
            <w:r>
              <w:rPr>
                <w:rFonts w:ascii="宋体" w:eastAsia="宋体" w:cs="Arial"/>
                <w:color w:val="000000"/>
                <w:sz w:val="20"/>
              </w:rPr>
              <w:t>3.实施职业病行动，引导居民提高自我防范意识，加强对职业病防治知识宣传、培训及督导检查，做好职业病监测警，确保职业病危害得到有效防控，职业病病人权益得到有效保障。</w:t>
            </w:r>
          </w:p>
          <w:p>
            <w:pPr>
              <w:rPr>
                <w:rFonts w:ascii="宋体" w:eastAsia="宋体" w:cs="Arial"/>
                <w:color w:val="000000"/>
                <w:sz w:val="20"/>
              </w:rPr>
            </w:pPr>
            <w:r>
              <w:rPr>
                <w:rFonts w:ascii="宋体" w:eastAsia="宋体" w:cs="Arial"/>
                <w:color w:val="000000"/>
                <w:sz w:val="20"/>
              </w:rPr>
              <w:t>4.开展对新生儿的疾病筛查，有效控制新生儿患病风险，使患儿得以早期诊断，早期治疗，有效避免因脑、肝、肾等器官损害导致生长、智力发育障碍甚至死亡</w:t>
            </w:r>
          </w:p>
          <w:p>
            <w:pPr>
              <w:rPr>
                <w:rFonts w:ascii="宋体" w:eastAsia="宋体" w:cs="Arial"/>
                <w:color w:val="000000"/>
                <w:sz w:val="20"/>
              </w:rPr>
            </w:pPr>
            <w:r>
              <w:rPr>
                <w:rFonts w:ascii="宋体" w:eastAsia="宋体" w:cs="Arial"/>
                <w:color w:val="000000"/>
                <w:sz w:val="20"/>
              </w:rPr>
              <w:t>5.开展农村妇女“两癌”筛查，提高农村妇女“两癌”早诊早治率，降低死亡率，进一步提高广大农村妇女健康水平</w:t>
            </w:r>
          </w:p>
          <w:p>
            <w:pPr>
              <w:rPr>
                <w:rFonts w:ascii="宋体" w:eastAsia="宋体" w:cs="Arial"/>
                <w:color w:val="000000"/>
                <w:sz w:val="20"/>
              </w:rPr>
            </w:pPr>
            <w:r>
              <w:rPr>
                <w:rFonts w:ascii="宋体" w:eastAsia="宋体" w:cs="Arial"/>
                <w:color w:val="000000"/>
                <w:sz w:val="20"/>
              </w:rPr>
              <w:t xml:space="preserve">6.为符合生育政策、计划怀孕的城乡夫妇免费提供孕前优生检查服务，提高城乡计划怀孕夫妇优生科学知识知晓率，提高免费孕前优生健康检查目标人群覆盖率                           </w:t>
            </w:r>
          </w:p>
        </w:tc>
        <w:tc>
          <w:tcPr>
            <w:tcW w:w="3832" w:type="dxa"/>
            <w:gridSpan w:val="4"/>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 xml:space="preserve">   全年为辖区1.8万人提供国家基本公共卫生服务，按照12大类分类实施，开展基本公共卫生服务项目培训14次，接受区级督导检查2次，辖区公卫督导及绩效评价2次，主要通过日常工作和现场测评进行考核。全年资金到位109.84万元，实际支出109.84万元。完成院内尘肺康复站改造，全年完成8余人的尘肺康复。完成两癌筛查任务：乳腺癌400人次、宫颈癌400人次；新生儿筛查60人；符合生育政策、计划怀孕的城乡夫妇（包括流动人口）参检210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236" w:type="dxa"/>
            <w:vMerge w:val="restart"/>
            <w:tcBorders>
              <w:top w:val="single" w:color="auto" w:sz="6" w:space="0"/>
              <w:left w:val="single" w:color="auto" w:sz="6" w:space="0"/>
              <w:bottom w:val="single" w:color="auto" w:sz="6" w:space="0"/>
              <w:right w:val="single" w:color="auto" w:sz="6" w:space="0"/>
              <w:tl2br w:val="nil"/>
              <w:tr2bl w:val="nil"/>
            </w:tcBorders>
            <w:noWrap/>
            <w:textDirection w:val="tbRlV"/>
            <w:vAlign w:val="center"/>
          </w:tcPr>
          <w:p>
            <w:pPr>
              <w:jc w:val="center"/>
              <w:rPr>
                <w:rFonts w:ascii="宋体" w:eastAsia="宋体" w:cs="Arial"/>
                <w:color w:val="000000"/>
                <w:sz w:val="20"/>
              </w:rPr>
            </w:pPr>
            <w:r>
              <w:rPr>
                <w:rFonts w:ascii="宋体" w:eastAsia="宋体" w:cs="Arial"/>
                <w:color w:val="000000"/>
                <w:sz w:val="20"/>
              </w:rPr>
              <w:t>绩效指标</w:t>
            </w:r>
          </w:p>
        </w:tc>
        <w:tc>
          <w:tcPr>
            <w:tcW w:w="1068"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一级</w:t>
            </w:r>
          </w:p>
          <w:p>
            <w:pPr>
              <w:jc w:val="center"/>
              <w:rPr>
                <w:rFonts w:ascii="宋体" w:eastAsia="宋体" w:cs="Arial"/>
                <w:color w:val="000000"/>
                <w:sz w:val="20"/>
              </w:rPr>
            </w:pPr>
            <w:r>
              <w:rPr>
                <w:rFonts w:ascii="宋体" w:eastAsia="宋体" w:cs="Arial"/>
                <w:color w:val="000000"/>
                <w:sz w:val="20"/>
              </w:rPr>
              <w:t>指标</w:t>
            </w: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二级指标</w:t>
            </w: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三级指标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指标值</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全年实际完成值</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sz w:val="20"/>
              </w:rPr>
            </w:p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数量指标</w:t>
            </w: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适龄儿童国家免疫规划疫苗接种率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olor w:val="000000"/>
                <w:sz w:val="20"/>
              </w:rPr>
            </w:pPr>
            <w:r>
              <w:rPr>
                <w:sz w:val="24"/>
              </w:rPr>
              <w:t>7</w:t>
            </w:r>
            <w:r>
              <w:rPr>
                <w:rFonts w:ascii="宋体" w:eastAsia="宋体"/>
                <w:color w:val="000000"/>
                <w:sz w:val="20"/>
              </w:rPr>
              <w:t>岁以下儿童健康管理率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85%</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olor w:val="000000"/>
                <w:sz w:val="20"/>
              </w:rPr>
            </w:pPr>
            <w:r>
              <w:rPr>
                <w:sz w:val="24"/>
              </w:rPr>
              <w:t>0-6</w:t>
            </w:r>
            <w:r>
              <w:rPr>
                <w:rFonts w:ascii="宋体" w:eastAsia="宋体"/>
                <w:color w:val="000000"/>
                <w:sz w:val="20"/>
              </w:rPr>
              <w:t>岁儿童眼保健和视力检查覆盖率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93%</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孕产妇系统管理率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99.55</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olor w:val="000000"/>
                <w:sz w:val="20"/>
              </w:rPr>
            </w:pPr>
            <w:r>
              <w:rPr>
                <w:sz w:val="24"/>
              </w:rPr>
              <w:t>3</w:t>
            </w:r>
            <w:r>
              <w:rPr>
                <w:rFonts w:ascii="宋体" w:eastAsia="宋体"/>
                <w:color w:val="000000"/>
                <w:sz w:val="20"/>
              </w:rPr>
              <w:t>岁以下儿童系统管理率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80%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86%</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高血压患者管理人数</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1720</w:t>
            </w:r>
            <w:r>
              <w:rPr>
                <w:rFonts w:ascii="宋体" w:eastAsia="宋体"/>
                <w:color w:val="000000"/>
                <w:sz w:val="20"/>
              </w:rPr>
              <w:t>人</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50%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olor w:val="000000"/>
                <w:sz w:val="20"/>
              </w:rPr>
            </w:pPr>
            <w:r>
              <w:rPr>
                <w:sz w:val="24"/>
              </w:rPr>
              <w:t>2</w:t>
            </w:r>
            <w:r>
              <w:rPr>
                <w:rFonts w:ascii="宋体" w:eastAsia="宋体"/>
                <w:color w:val="000000"/>
                <w:sz w:val="20"/>
              </w:rPr>
              <w:t>型糖尿病患者管理人数</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185</w:t>
            </w:r>
            <w:r>
              <w:rPr>
                <w:rFonts w:ascii="宋体" w:eastAsia="宋体"/>
                <w:color w:val="000000"/>
                <w:sz w:val="20"/>
              </w:rPr>
              <w:t>人</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50%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地方病核心指标监测率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职业健康核心指标监测县区覆盖率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92%</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肺结核患者管理率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社区在册居家严重精神障碍患者健康管理率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80%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99.61%</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儿童中医药健康管理率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65%</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80%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老年人中医药健康管理率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65%</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75%</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olor w:val="000000"/>
                <w:sz w:val="20"/>
              </w:rPr>
            </w:pPr>
            <w:r>
              <w:rPr>
                <w:sz w:val="24"/>
              </w:rPr>
              <w:t>卫生监督协管各专业每年巡查（访）</w:t>
            </w:r>
            <w:r>
              <w:rPr>
                <w:rFonts w:ascii="宋体" w:eastAsia="宋体"/>
                <w:color w:val="000000"/>
                <w:sz w:val="20"/>
              </w:rPr>
              <w:t>2次完成率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贫困地区儿童营养改善国家级贫困县覆盖率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100%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目标人群叶酸服用率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97%</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孕前优生健康检查目标人群覆盖率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80%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新生儿听力筛查率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85%</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95%</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“两癌”检查项目目标任务完成率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nil"/>
              <w:right w:val="single" w:color="auto" w:sz="6" w:space="0"/>
              <w:tl2br w:val="nil"/>
              <w:tr2bl w:val="nil"/>
            </w:tcBorders>
            <w:noWrap/>
            <w:vAlign w:val="center"/>
          </w:tcPr>
          <w:p>
            <w:pPr>
              <w:rPr>
                <w:rFonts w:ascii="宋体" w:eastAsia="宋体"/>
                <w:color w:val="000000"/>
                <w:sz w:val="20"/>
              </w:rPr>
            </w:pPr>
            <w:r>
              <w:rPr>
                <w:sz w:val="24"/>
              </w:rPr>
              <w:t>65</w:t>
            </w:r>
            <w:r>
              <w:rPr>
                <w:rFonts w:ascii="宋体" w:eastAsia="宋体"/>
                <w:color w:val="000000"/>
                <w:sz w:val="20"/>
              </w:rPr>
              <w:t>岁以上失能老年人健康服务率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≥18%</w:t>
            </w:r>
          </w:p>
        </w:tc>
        <w:tc>
          <w:tcPr>
            <w:tcW w:w="732"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45%</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居民规范化电子健康档案覆盖率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改造尘肺病康复站</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250㎡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250㎡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培养康复医务人员</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3人</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3人</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完成尘肺病患者档案，采购设施设备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110份</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110份</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农村妇女免费“两癌”检查乳腺癌项目人数</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≥1800人</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2173</w:t>
            </w:r>
            <w:r>
              <w:rPr>
                <w:rFonts w:ascii="宋体" w:eastAsia="宋体"/>
                <w:color w:val="000000"/>
                <w:sz w:val="20"/>
              </w:rPr>
              <w:t>人</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农村妇女免费“两癌”检查宫颈癌项目人数</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≥1800人</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2060人</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计划年度符合生育政策、计划怀孕的城乡夫妇（包括流动人口）参检对数</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≥671人</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685人</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新生儿筛查人数</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≧330人</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337人</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质量指标</w:t>
            </w: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按照四川省、广元市第二批尘肺病康复站建设标准，规范建好“七个一”。</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达标</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达标</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创新中医药适宜技术参与尘肺病康复</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有机结合</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有机结合</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高血压患者基层规范管理服务率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60%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85%</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2型糖尿病患者基层规范管理服务率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60%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85%</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65岁及以上老年人城乡社区规范健康管理服务率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60%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80%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传染病和突发公共卫生事件报告率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95%</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严重精神障碍患者规范管理率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r>
              <w:rPr>
                <w:sz w:val="24"/>
              </w:rPr>
              <w:t>≥</w:t>
            </w:r>
            <w:r>
              <w:rPr>
                <w:rFonts w:ascii="宋体" w:eastAsia="宋体"/>
                <w:color w:val="000000"/>
                <w:sz w:val="20"/>
              </w:rPr>
              <w:t>90%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99.61%</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农村妇女“两癌”筛查任务完成率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117.58%</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出生缺陷发生风险</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逐步降低</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逐步降低</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新生儿听力筛查率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≥85%</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新生儿两种遗传代谢病（ PKU和CH)筛查率</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≥95%</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时效指标</w:t>
            </w: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完成周期</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1年</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1年</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成本指标</w:t>
            </w: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“两癌”筛查项目标准：宫颈癌检查补助标准</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49元/人</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49元/人</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“两癌”筛查项目标准：乳腺癌检查补助标准</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79元/人</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79元/人</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新生儿筛查项目标准（共计120元/人）</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两种遗传代谢病筛查50元/人；听力筛查70元/人</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其中两种遗传代谢病筛查50元/人；听力筛查70元/人</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每对参检夫妇结算标准</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240元/对</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总成本</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≦1018.867万元</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1018.867万元</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效</w:t>
            </w:r>
          </w:p>
          <w:p>
            <w:pPr>
              <w:jc w:val="center"/>
              <w:rPr>
                <w:rFonts w:ascii="宋体" w:eastAsia="宋体"/>
                <w:color w:val="auto"/>
                <w:sz w:val="20"/>
              </w:rPr>
            </w:pPr>
            <w:r>
              <w:rPr>
                <w:rFonts w:ascii="宋体" w:eastAsia="宋体"/>
                <w:color w:val="auto"/>
                <w:sz w:val="20"/>
              </w:rPr>
              <w:t>益</w:t>
            </w:r>
          </w:p>
          <w:p>
            <w:pPr>
              <w:jc w:val="center"/>
              <w:rPr>
                <w:rFonts w:ascii="宋体" w:eastAsia="宋体"/>
                <w:color w:val="auto"/>
                <w:sz w:val="20"/>
              </w:rPr>
            </w:pPr>
            <w:r>
              <w:rPr>
                <w:rFonts w:ascii="宋体" w:eastAsia="宋体"/>
                <w:color w:val="auto"/>
                <w:sz w:val="20"/>
              </w:rPr>
              <w:t>指</w:t>
            </w:r>
          </w:p>
          <w:p>
            <w:pPr>
              <w:jc w:val="center"/>
              <w:rPr>
                <w:rFonts w:ascii="宋体" w:eastAsia="宋体"/>
                <w:color w:val="auto"/>
                <w:sz w:val="20"/>
              </w:rPr>
            </w:pPr>
            <w:r>
              <w:rPr>
                <w:rFonts w:ascii="宋体" w:eastAsia="宋体"/>
                <w:color w:val="auto"/>
                <w:sz w:val="20"/>
              </w:rPr>
              <w:t>标</w:t>
            </w: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经济效益</w:t>
            </w:r>
          </w:p>
          <w:p>
            <w:pPr>
              <w:jc w:val="center"/>
              <w:rPr>
                <w:rFonts w:ascii="宋体" w:eastAsia="宋体"/>
                <w:color w:val="auto"/>
                <w:sz w:val="20"/>
              </w:rPr>
            </w:pPr>
            <w:r>
              <w:rPr>
                <w:rFonts w:ascii="宋体" w:eastAsia="宋体"/>
                <w:color w:val="auto"/>
                <w:sz w:val="20"/>
              </w:rPr>
              <w:t>指标</w:t>
            </w: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城乡居民公共卫生服务差距</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不断缩小</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完成</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居民健康素养水平</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不断提高</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完成</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可持续影响指标</w:t>
            </w: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指标2:城乡计划怀孕夫妇参加免费孕前优生健康检查的主动性和自觉性</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逐步提高</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逐步提高</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基本公共卫生服务水平</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不断提高</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完成</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23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68"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满意度指标</w:t>
            </w:r>
          </w:p>
        </w:tc>
        <w:tc>
          <w:tcPr>
            <w:tcW w:w="57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服务对象</w:t>
            </w:r>
          </w:p>
          <w:p>
            <w:pPr>
              <w:jc w:val="center"/>
              <w:rPr>
                <w:rFonts w:ascii="宋体" w:eastAsia="宋体"/>
                <w:color w:val="auto"/>
                <w:sz w:val="20"/>
              </w:rPr>
            </w:pPr>
            <w:r>
              <w:rPr>
                <w:rFonts w:ascii="宋体" w:eastAsia="宋体"/>
                <w:color w:val="auto"/>
                <w:sz w:val="20"/>
              </w:rPr>
              <w:t>满意度指标</w:t>
            </w:r>
          </w:p>
        </w:tc>
        <w:tc>
          <w:tcPr>
            <w:tcW w:w="253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服务对象满意度</w:t>
            </w:r>
          </w:p>
        </w:tc>
        <w:tc>
          <w:tcPr>
            <w:tcW w:w="181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不断提高</w:t>
            </w:r>
          </w:p>
        </w:tc>
        <w:tc>
          <w:tcPr>
            <w:tcW w:w="73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完成</w:t>
            </w:r>
          </w:p>
        </w:tc>
        <w:tc>
          <w:tcPr>
            <w:tcW w:w="12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3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说明</w:t>
            </w:r>
          </w:p>
        </w:tc>
        <w:tc>
          <w:tcPr>
            <w:tcW w:w="8014" w:type="dxa"/>
            <w:gridSpan w:val="10"/>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请在此处简要说明中央巡视、各级审计和财政监督中发现的问题及其所涉及的金额，如没有请填无。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250" w:type="dxa"/>
            <w:gridSpan w:val="11"/>
            <w:tcBorders>
              <w:top w:val="nil"/>
              <w:left w:val="nil"/>
              <w:bottom w:val="nil"/>
              <w:right w:val="nil"/>
              <w:tl2br w:val="nil"/>
              <w:tr2bl w:val="nil"/>
            </w:tcBorders>
            <w:noWrap/>
            <w:vAlign w:val="center"/>
          </w:tcPr>
          <w:p>
            <w:pPr>
              <w:rPr>
                <w:rFonts w:ascii="宋体" w:eastAsia="宋体" w:cs="Arial"/>
                <w:color w:val="000000"/>
                <w:sz w:val="20"/>
              </w:rPr>
            </w:pPr>
            <w:r>
              <w:rPr>
                <w:rFonts w:ascii="宋体" w:eastAsia="宋体" w:cs="Arial"/>
                <w:color w:val="000000"/>
                <w:sz w:val="20"/>
              </w:rPr>
              <w:t>注：1.资金使用单位按项目绩效目标填报，主管部门汇总时按区域绩效目标填报。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250" w:type="dxa"/>
            <w:gridSpan w:val="11"/>
            <w:tcBorders>
              <w:top w:val="nil"/>
              <w:left w:val="nil"/>
              <w:bottom w:val="nil"/>
              <w:right w:val="nil"/>
              <w:tl2br w:val="nil"/>
              <w:tr2bl w:val="nil"/>
            </w:tcBorders>
            <w:noWrap/>
            <w:vAlign w:val="center"/>
          </w:tcPr>
          <w:p>
            <w:pPr>
              <w:rPr>
                <w:rFonts w:ascii="宋体" w:eastAsia="宋体" w:cs="Arial"/>
                <w:color w:val="000000"/>
                <w:sz w:val="20"/>
              </w:rPr>
            </w:pPr>
            <w:r>
              <w:rPr>
                <w:rFonts w:ascii="宋体" w:eastAsia="宋体" w:cs="Arial"/>
                <w:color w:val="000000"/>
                <w:sz w:val="20"/>
              </w:rPr>
              <w:t xml:space="preserve">    2.其他资金包括与中央财政资金、地方财政资金共同投入到同一项目的自有资金、社会资金，以及以前年度的结转结余资金等。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8250" w:type="dxa"/>
            <w:gridSpan w:val="11"/>
            <w:tcBorders>
              <w:top w:val="nil"/>
              <w:left w:val="nil"/>
              <w:bottom w:val="nil"/>
              <w:right w:val="nil"/>
              <w:tl2br w:val="nil"/>
              <w:tr2bl w:val="nil"/>
            </w:tcBorders>
            <w:noWrap/>
            <w:vAlign w:val="center"/>
          </w:tcPr>
          <w:p>
            <w:pPr>
              <w:rPr>
                <w:rFonts w:ascii="宋体" w:eastAsia="宋体" w:cs="Arial"/>
                <w:color w:val="000000"/>
                <w:sz w:val="20"/>
              </w:rPr>
            </w:pPr>
            <w:r>
              <w:rPr>
                <w:rFonts w:ascii="宋体" w:eastAsia="宋体" w:cs="Arial"/>
                <w:color w:val="000000"/>
                <w:sz w:val="20"/>
              </w:rPr>
              <w:t xml:space="preserve">    3.全年执行数是指按照国库集中支付制度要求所形成的实际支出。</w:t>
            </w:r>
          </w:p>
        </w:tc>
      </w:tr>
    </w:tbl>
    <w:p>
      <w:pPr>
        <w:keepNext w:val="0"/>
        <w:keepLines w:val="0"/>
        <w:pageBreakBefore w:val="0"/>
        <w:widowControl w:val="0"/>
        <w:kinsoku/>
        <w:wordWrap/>
        <w:overflowPunct/>
        <w:topLinePunct w:val="0"/>
        <w:autoSpaceDE/>
        <w:autoSpaceDN/>
        <w:spacing w:line="572" w:lineRule="exact"/>
        <w:jc w:val="center"/>
        <w:outlineLvl w:val="1"/>
      </w:pPr>
      <w:bookmarkStart w:id="110" w:name="_Toc19345"/>
      <w:r>
        <w:rPr>
          <w:rFonts w:ascii="仿宋_GB2312" w:eastAsia="仿宋_GB2312" w:cs="Arial"/>
          <w:color w:val="000000"/>
          <w:sz w:val="22"/>
        </w:rPr>
        <w:t>（2022年4度）</w:t>
      </w:r>
      <w:bookmarkEnd w:id="107"/>
      <w:bookmarkEnd w:id="108"/>
      <w:bookmarkEnd w:id="109"/>
      <w:bookmarkEnd w:id="110"/>
    </w:p>
    <w:tbl>
      <w:tblPr>
        <w:tblStyle w:val="22"/>
        <w:tblW w:w="0" w:type="auto"/>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0"/>
        <w:gridCol w:w="409"/>
        <w:gridCol w:w="1054"/>
        <w:gridCol w:w="1318"/>
        <w:gridCol w:w="1265"/>
        <w:gridCol w:w="1388"/>
        <w:gridCol w:w="903"/>
        <w:gridCol w:w="1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8314" w:type="dxa"/>
            <w:gridSpan w:val="8"/>
            <w:tcBorders>
              <w:top w:val="nil"/>
              <w:left w:val="nil"/>
              <w:bottom w:val="nil"/>
              <w:right w:val="nil"/>
              <w:tl2br w:val="nil"/>
              <w:tr2bl w:val="nil"/>
            </w:tcBorders>
            <w:noWrap/>
            <w:vAlign w:val="center"/>
          </w:tcPr>
          <w:p>
            <w:pPr>
              <w:jc w:val="center"/>
              <w:rPr>
                <w:rFonts w:ascii="方正小标宋简体" w:eastAsia="方正小标宋简体" w:cs="Arial"/>
                <w:b/>
                <w:i w:val="0"/>
                <w:color w:val="000000"/>
                <w:sz w:val="32"/>
              </w:rPr>
            </w:pPr>
            <w:bookmarkStart w:id="111" w:name="_Toc15396618"/>
            <w:r>
              <w:rPr>
                <w:rFonts w:ascii="方正小标宋简体" w:eastAsia="方正小标宋简体" w:cs="Arial"/>
                <w:b/>
                <w:i w:val="0"/>
                <w:color w:val="000000"/>
                <w:sz w:val="32"/>
              </w:rPr>
              <w:t>昭化区卫健局转移支付区域医疗服务能力提升（卫子次中心建设）绩效目标自评表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8314" w:type="dxa"/>
            <w:gridSpan w:val="8"/>
            <w:tcBorders>
              <w:top w:val="nil"/>
              <w:left w:val="nil"/>
              <w:bottom w:val="single" w:color="auto" w:sz="6" w:space="0"/>
              <w:right w:val="nil"/>
              <w:tl2br w:val="nil"/>
              <w:tr2bl w:val="nil"/>
            </w:tcBorders>
            <w:noWrap/>
          </w:tcPr>
          <w:p>
            <w:pPr>
              <w:jc w:val="center"/>
              <w:rPr>
                <w:rFonts w:ascii="仿宋_GB2312" w:eastAsia="仿宋_GB2312" w:cs="Arial"/>
                <w:color w:val="000000"/>
                <w:sz w:val="22"/>
              </w:rPr>
            </w:pPr>
            <w:r>
              <w:rPr>
                <w:rFonts w:ascii="仿宋_GB2312" w:eastAsia="仿宋_GB2312" w:cs="Arial"/>
                <w:color w:val="000000"/>
                <w:sz w:val="22"/>
              </w:rPr>
              <w:t>（2022年4度）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1773"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转移支付（项目）名称</w:t>
            </w:r>
          </w:p>
        </w:tc>
        <w:tc>
          <w:tcPr>
            <w:tcW w:w="6541"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医疗服务能力提升（卫子次中心建设）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773"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中央主管部门</w:t>
            </w:r>
          </w:p>
        </w:tc>
        <w:tc>
          <w:tcPr>
            <w:tcW w:w="6541"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国家卫生健康委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773"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地方主管部门</w:t>
            </w: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广元市昭化区卫生健康局</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资金使用单位</w:t>
            </w:r>
          </w:p>
        </w:tc>
        <w:tc>
          <w:tcPr>
            <w:tcW w:w="25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广元市昭化区葭萌建设有限公司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1773" w:type="dxa"/>
            <w:gridSpan w:val="3"/>
            <w:vMerge w:val="restart"/>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资金投入情况</w:t>
            </w:r>
          </w:p>
          <w:p>
            <w:pPr>
              <w:jc w:val="center"/>
              <w:rPr>
                <w:rFonts w:ascii="宋体" w:eastAsia="宋体" w:cs="Arial"/>
                <w:color w:val="000000"/>
                <w:sz w:val="20"/>
              </w:rPr>
            </w:pPr>
            <w:r>
              <w:rPr>
                <w:rFonts w:ascii="宋体" w:eastAsia="宋体" w:cs="Arial"/>
                <w:color w:val="000000"/>
                <w:sz w:val="20"/>
              </w:rPr>
              <w:t>（万元）</w:t>
            </w:r>
          </w:p>
        </w:tc>
        <w:tc>
          <w:tcPr>
            <w:tcW w:w="131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126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全年预算数（A）</w:t>
            </w:r>
          </w:p>
        </w:tc>
        <w:tc>
          <w:tcPr>
            <w:tcW w:w="2291"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全年执行数（B）</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773" w:type="dxa"/>
            <w:gridSpan w:val="3"/>
            <w:vMerge w:val="continue"/>
            <w:tcBorders>
              <w:top w:val="nil"/>
              <w:left w:val="single" w:color="auto" w:sz="6" w:space="0"/>
              <w:bottom w:val="nil"/>
              <w:right w:val="single" w:color="auto" w:sz="6" w:space="0"/>
              <w:tl2br w:val="nil"/>
              <w:tr2bl w:val="nil"/>
            </w:tcBorders>
            <w:noWrap/>
            <w:vAlign w:val="center"/>
          </w:tcPr>
          <w:p/>
        </w:tc>
        <w:tc>
          <w:tcPr>
            <w:tcW w:w="131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年度资金总额：</w:t>
            </w:r>
          </w:p>
        </w:tc>
        <w:tc>
          <w:tcPr>
            <w:tcW w:w="126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400</w:t>
            </w:r>
          </w:p>
        </w:tc>
        <w:tc>
          <w:tcPr>
            <w:tcW w:w="2291"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400</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773" w:type="dxa"/>
            <w:gridSpan w:val="3"/>
            <w:vMerge w:val="continue"/>
            <w:tcBorders>
              <w:top w:val="nil"/>
              <w:left w:val="single" w:color="auto" w:sz="6" w:space="0"/>
              <w:bottom w:val="nil"/>
              <w:right w:val="single" w:color="auto" w:sz="6" w:space="0"/>
              <w:tl2br w:val="nil"/>
              <w:tr2bl w:val="nil"/>
            </w:tcBorders>
            <w:noWrap/>
            <w:vAlign w:val="center"/>
          </w:tcPr>
          <w:p/>
        </w:tc>
        <w:tc>
          <w:tcPr>
            <w:tcW w:w="131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r>
              <w:rPr>
                <w:rFonts w:ascii="宋体" w:eastAsia="宋体"/>
                <w:color w:val="000000"/>
                <w:sz w:val="20"/>
              </w:rPr>
              <w:t xml:space="preserve"> 其中：中央财政资金</w:t>
            </w:r>
          </w:p>
        </w:tc>
        <w:tc>
          <w:tcPr>
            <w:tcW w:w="126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400</w:t>
            </w:r>
          </w:p>
        </w:tc>
        <w:tc>
          <w:tcPr>
            <w:tcW w:w="2291"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400</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773" w:type="dxa"/>
            <w:gridSpan w:val="3"/>
            <w:vMerge w:val="continue"/>
            <w:tcBorders>
              <w:top w:val="nil"/>
              <w:left w:val="single" w:color="auto" w:sz="6" w:space="0"/>
              <w:bottom w:val="nil"/>
              <w:right w:val="single" w:color="auto" w:sz="6" w:space="0"/>
              <w:tl2br w:val="nil"/>
              <w:tr2bl w:val="nil"/>
            </w:tcBorders>
            <w:noWrap/>
            <w:vAlign w:val="center"/>
          </w:tcPr>
          <w:p/>
        </w:tc>
        <w:tc>
          <w:tcPr>
            <w:tcW w:w="131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r>
              <w:rPr>
                <w:rFonts w:ascii="宋体" w:eastAsia="宋体"/>
                <w:color w:val="000000"/>
                <w:sz w:val="20"/>
              </w:rPr>
              <w:t xml:space="preserve">       地方资金</w:t>
            </w:r>
          </w:p>
        </w:tc>
        <w:tc>
          <w:tcPr>
            <w:tcW w:w="126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2291"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773" w:type="dxa"/>
            <w:gridSpan w:val="3"/>
            <w:vMerge w:val="continue"/>
            <w:tcBorders>
              <w:top w:val="nil"/>
              <w:left w:val="single" w:color="auto" w:sz="6" w:space="0"/>
              <w:bottom w:val="single" w:color="auto" w:sz="6" w:space="0"/>
              <w:right w:val="single" w:color="auto" w:sz="6" w:space="0"/>
              <w:tl2br w:val="nil"/>
              <w:tr2bl w:val="nil"/>
            </w:tcBorders>
            <w:noWrap/>
            <w:vAlign w:val="center"/>
          </w:tcPr>
          <w:p/>
        </w:tc>
        <w:tc>
          <w:tcPr>
            <w:tcW w:w="131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r>
              <w:rPr>
                <w:rFonts w:ascii="宋体" w:eastAsia="宋体"/>
                <w:color w:val="000000"/>
                <w:sz w:val="18"/>
              </w:rPr>
              <w:t xml:space="preserve">      </w:t>
            </w:r>
            <w:r>
              <w:rPr>
                <w:rFonts w:ascii="宋体" w:eastAsia="宋体"/>
                <w:color w:val="000000"/>
                <w:sz w:val="20"/>
              </w:rPr>
              <w:t xml:space="preserve">  其他资金</w:t>
            </w:r>
          </w:p>
        </w:tc>
        <w:tc>
          <w:tcPr>
            <w:tcW w:w="126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2291"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0</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773" w:type="dxa"/>
            <w:gridSpan w:val="3"/>
            <w:vMerge w:val="restart"/>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资金管理情况</w:t>
            </w:r>
          </w:p>
        </w:tc>
        <w:tc>
          <w:tcPr>
            <w:tcW w:w="131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3556"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情况说明</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1773" w:type="dxa"/>
            <w:gridSpan w:val="3"/>
            <w:vMerge w:val="continue"/>
            <w:tcBorders>
              <w:top w:val="nil"/>
              <w:left w:val="single" w:color="auto" w:sz="6" w:space="0"/>
              <w:bottom w:val="nil"/>
              <w:right w:val="single" w:color="auto" w:sz="6" w:space="0"/>
              <w:tl2br w:val="nil"/>
              <w:tr2bl w:val="nil"/>
            </w:tcBorders>
            <w:noWrap/>
            <w:vAlign w:val="center"/>
          </w:tcPr>
          <w:p/>
        </w:tc>
        <w:tc>
          <w:tcPr>
            <w:tcW w:w="131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分配科学性</w:t>
            </w:r>
          </w:p>
        </w:tc>
        <w:tc>
          <w:tcPr>
            <w:tcW w:w="3556"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严格按照转移支付管理制度以及资金管理办法规定的范围和标准分配资金。</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1773" w:type="dxa"/>
            <w:gridSpan w:val="3"/>
            <w:vMerge w:val="continue"/>
            <w:tcBorders>
              <w:top w:val="nil"/>
              <w:left w:val="single" w:color="auto" w:sz="6" w:space="0"/>
              <w:bottom w:val="nil"/>
              <w:right w:val="single" w:color="auto" w:sz="6" w:space="0"/>
              <w:tl2br w:val="nil"/>
              <w:tr2bl w:val="nil"/>
            </w:tcBorders>
            <w:noWrap/>
            <w:vAlign w:val="center"/>
          </w:tcPr>
          <w:p/>
        </w:tc>
        <w:tc>
          <w:tcPr>
            <w:tcW w:w="131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下达及时性</w:t>
            </w:r>
          </w:p>
        </w:tc>
        <w:tc>
          <w:tcPr>
            <w:tcW w:w="3556"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严格按照预算法及其实施条例、转移支付管理制度规定以及资金管理办法规定的时限要求分解下达。</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1773" w:type="dxa"/>
            <w:gridSpan w:val="3"/>
            <w:vMerge w:val="continue"/>
            <w:tcBorders>
              <w:top w:val="nil"/>
              <w:left w:val="single" w:color="auto" w:sz="6" w:space="0"/>
              <w:bottom w:val="nil"/>
              <w:right w:val="single" w:color="auto" w:sz="6" w:space="0"/>
              <w:tl2br w:val="nil"/>
              <w:tr2bl w:val="nil"/>
            </w:tcBorders>
            <w:noWrap/>
            <w:vAlign w:val="center"/>
          </w:tcPr>
          <w:p/>
        </w:tc>
        <w:tc>
          <w:tcPr>
            <w:tcW w:w="131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拨付合规性</w:t>
            </w:r>
          </w:p>
        </w:tc>
        <w:tc>
          <w:tcPr>
            <w:tcW w:w="3556"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严格按照国库集中支付制度有关规定支付资金，未出现违规将资金从国库转入财政专户或支付到预算单位实有资金账户等问题。</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1773" w:type="dxa"/>
            <w:gridSpan w:val="3"/>
            <w:vMerge w:val="continue"/>
            <w:tcBorders>
              <w:top w:val="nil"/>
              <w:left w:val="single" w:color="auto" w:sz="6" w:space="0"/>
              <w:bottom w:val="nil"/>
              <w:right w:val="single" w:color="auto" w:sz="6" w:space="0"/>
              <w:tl2br w:val="nil"/>
              <w:tr2bl w:val="nil"/>
            </w:tcBorders>
            <w:noWrap/>
            <w:vAlign w:val="center"/>
          </w:tcPr>
          <w:p/>
        </w:tc>
        <w:tc>
          <w:tcPr>
            <w:tcW w:w="131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使用规范性</w:t>
            </w:r>
          </w:p>
        </w:tc>
        <w:tc>
          <w:tcPr>
            <w:tcW w:w="3556"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严格按照下达预算的科目和项目执行，未出现截留、挤占、挪用或擅自调整等问题。</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1773" w:type="dxa"/>
            <w:gridSpan w:val="3"/>
            <w:vMerge w:val="continue"/>
            <w:tcBorders>
              <w:top w:val="nil"/>
              <w:left w:val="single" w:color="auto" w:sz="6" w:space="0"/>
              <w:bottom w:val="nil"/>
              <w:right w:val="single" w:color="auto" w:sz="6" w:space="0"/>
              <w:tl2br w:val="nil"/>
              <w:tr2bl w:val="nil"/>
            </w:tcBorders>
            <w:noWrap/>
            <w:vAlign w:val="center"/>
          </w:tcPr>
          <w:p/>
        </w:tc>
        <w:tc>
          <w:tcPr>
            <w:tcW w:w="131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执行准确性</w:t>
            </w:r>
          </w:p>
        </w:tc>
        <w:tc>
          <w:tcPr>
            <w:tcW w:w="3556"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按照上级下达和本级预算安排的金额执行，不存在执行数偏离预算数较多的问题。</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1773" w:type="dxa"/>
            <w:gridSpan w:val="3"/>
            <w:vMerge w:val="continue"/>
            <w:tcBorders>
              <w:top w:val="nil"/>
              <w:left w:val="single" w:color="auto" w:sz="6" w:space="0"/>
              <w:bottom w:val="nil"/>
              <w:right w:val="single" w:color="auto" w:sz="6" w:space="0"/>
              <w:tl2br w:val="nil"/>
              <w:tr2bl w:val="nil"/>
            </w:tcBorders>
            <w:noWrap/>
            <w:vAlign w:val="center"/>
          </w:tcPr>
          <w:p/>
        </w:tc>
        <w:tc>
          <w:tcPr>
            <w:tcW w:w="131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预算绩效管理情况</w:t>
            </w:r>
          </w:p>
        </w:tc>
        <w:tc>
          <w:tcPr>
            <w:tcW w:w="3556"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在细化下达预算时同步下达绩效目标，将有关资金纳入本级预算或对下转移支付绩效管理，开展绩效监控和绩效评价。</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1773" w:type="dxa"/>
            <w:gridSpan w:val="3"/>
            <w:vMerge w:val="continue"/>
            <w:tcBorders>
              <w:top w:val="nil"/>
              <w:left w:val="single" w:color="auto" w:sz="6" w:space="0"/>
              <w:bottom w:val="single" w:color="auto" w:sz="6" w:space="0"/>
              <w:right w:val="single" w:color="auto" w:sz="6" w:space="0"/>
              <w:tl2br w:val="nil"/>
              <w:tr2bl w:val="nil"/>
            </w:tcBorders>
            <w:noWrap/>
            <w:vAlign w:val="center"/>
          </w:tcPr>
          <w:p/>
        </w:tc>
        <w:tc>
          <w:tcPr>
            <w:tcW w:w="131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支出责任履行情况</w:t>
            </w:r>
          </w:p>
        </w:tc>
        <w:tc>
          <w:tcPr>
            <w:tcW w:w="3556"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对共同财政事权转移支付，按照财政事权和支出责任划分有关规定，足额安排资金履行本级支出责任。</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310" w:type="dxa"/>
            <w:vMerge w:val="restart"/>
            <w:tcBorders>
              <w:top w:val="nil"/>
              <w:left w:val="single" w:color="auto" w:sz="6" w:space="0"/>
              <w:bottom w:val="nil"/>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总体目标完成情况</w:t>
            </w:r>
          </w:p>
        </w:tc>
        <w:tc>
          <w:tcPr>
            <w:tcW w:w="4046" w:type="dxa"/>
            <w:gridSpan w:val="4"/>
            <w:tcBorders>
              <w:top w:val="nil"/>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总体目标</w:t>
            </w:r>
          </w:p>
        </w:tc>
        <w:tc>
          <w:tcPr>
            <w:tcW w:w="3958" w:type="dxa"/>
            <w:gridSpan w:val="3"/>
            <w:tcBorders>
              <w:top w:val="nil"/>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310" w:type="dxa"/>
            <w:vMerge w:val="continue"/>
            <w:tcBorders>
              <w:top w:val="nil"/>
              <w:left w:val="single" w:color="auto" w:sz="6" w:space="0"/>
              <w:bottom w:val="single" w:color="auto" w:sz="6" w:space="0"/>
              <w:right w:val="single" w:color="auto" w:sz="6" w:space="0"/>
              <w:tl2br w:val="nil"/>
              <w:tr2bl w:val="nil"/>
            </w:tcBorders>
            <w:noWrap/>
            <w:vAlign w:val="center"/>
          </w:tcPr>
          <w:p/>
        </w:tc>
        <w:tc>
          <w:tcPr>
            <w:tcW w:w="4046" w:type="dxa"/>
            <w:gridSpan w:val="4"/>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1.支持县域医疗卫生次中心建设，辐射带动周边卫生院发展。</w:t>
            </w:r>
          </w:p>
          <w:p>
            <w:pPr>
              <w:rPr>
                <w:rFonts w:ascii="宋体" w:eastAsia="宋体" w:cs="Arial"/>
                <w:color w:val="000000"/>
                <w:sz w:val="20"/>
              </w:rPr>
            </w:pPr>
            <w:r>
              <w:rPr>
                <w:rFonts w:ascii="宋体" w:eastAsia="宋体" w:cs="Arial"/>
                <w:color w:val="000000"/>
                <w:sz w:val="20"/>
              </w:rPr>
              <w:t>2.按时完成边坡开挖及地下开挖，资金支付100%。</w:t>
            </w:r>
          </w:p>
        </w:tc>
        <w:tc>
          <w:tcPr>
            <w:tcW w:w="395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按时间节点完成边坡开挖及地下开挖，资金支付100%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310" w:type="dxa"/>
            <w:vMerge w:val="restart"/>
            <w:tcBorders>
              <w:top w:val="single" w:color="auto" w:sz="6" w:space="0"/>
              <w:left w:val="single" w:color="auto" w:sz="6" w:space="0"/>
              <w:bottom w:val="single" w:color="auto" w:sz="6" w:space="0"/>
              <w:right w:val="single" w:color="auto" w:sz="6" w:space="0"/>
              <w:tl2br w:val="nil"/>
              <w:tr2bl w:val="nil"/>
            </w:tcBorders>
            <w:noWrap/>
            <w:textDirection w:val="tbRlV"/>
            <w:vAlign w:val="center"/>
          </w:tcPr>
          <w:p>
            <w:pPr>
              <w:jc w:val="center"/>
              <w:rPr>
                <w:rFonts w:ascii="宋体" w:eastAsia="宋体" w:cs="Arial"/>
                <w:color w:val="000000"/>
                <w:sz w:val="20"/>
              </w:rPr>
            </w:pPr>
            <w:r>
              <w:rPr>
                <w:rFonts w:ascii="宋体" w:eastAsia="宋体" w:cs="Arial"/>
                <w:color w:val="000000"/>
                <w:sz w:val="20"/>
              </w:rPr>
              <w:t>绩效指标</w:t>
            </w:r>
          </w:p>
        </w:tc>
        <w:tc>
          <w:tcPr>
            <w:tcW w:w="409"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一级</w:t>
            </w:r>
          </w:p>
          <w:p>
            <w:pPr>
              <w:jc w:val="center"/>
              <w:rPr>
                <w:rFonts w:ascii="宋体" w:eastAsia="宋体" w:cs="Arial"/>
                <w:color w:val="000000"/>
                <w:sz w:val="20"/>
              </w:rPr>
            </w:pPr>
            <w:r>
              <w:rPr>
                <w:rFonts w:ascii="宋体" w:eastAsia="宋体" w:cs="Arial"/>
                <w:color w:val="000000"/>
                <w:sz w:val="20"/>
              </w:rPr>
              <w:t>指标</w:t>
            </w:r>
          </w:p>
        </w:tc>
        <w:tc>
          <w:tcPr>
            <w:tcW w:w="1054"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二级指标</w:t>
            </w: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三级指标</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指标值</w:t>
            </w:r>
          </w:p>
        </w:tc>
        <w:tc>
          <w:tcPr>
            <w:tcW w:w="90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全年实际完成值</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1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9"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产</w:t>
            </w:r>
          </w:p>
          <w:p>
            <w:pPr>
              <w:jc w:val="center"/>
              <w:rPr>
                <w:rFonts w:ascii="宋体" w:eastAsia="宋体"/>
                <w:color w:val="auto"/>
                <w:sz w:val="20"/>
              </w:rPr>
            </w:pPr>
            <w:r>
              <w:rPr>
                <w:rFonts w:ascii="宋体" w:eastAsia="宋体"/>
                <w:color w:val="auto"/>
                <w:sz w:val="20"/>
              </w:rPr>
              <w:t>出</w:t>
            </w:r>
          </w:p>
          <w:p>
            <w:pPr>
              <w:jc w:val="center"/>
              <w:rPr>
                <w:rFonts w:ascii="宋体" w:eastAsia="宋体"/>
                <w:color w:val="auto"/>
                <w:sz w:val="20"/>
              </w:rPr>
            </w:pPr>
            <w:r>
              <w:rPr>
                <w:rFonts w:ascii="宋体" w:eastAsia="宋体"/>
                <w:color w:val="auto"/>
                <w:sz w:val="20"/>
              </w:rPr>
              <w:t>指</w:t>
            </w:r>
          </w:p>
          <w:p>
            <w:pPr>
              <w:jc w:val="center"/>
              <w:rPr>
                <w:rFonts w:ascii="宋体" w:eastAsia="宋体"/>
                <w:color w:val="auto"/>
                <w:sz w:val="20"/>
              </w:rPr>
            </w:pPr>
            <w:r>
              <w:rPr>
                <w:rFonts w:ascii="宋体" w:eastAsia="宋体"/>
                <w:color w:val="auto"/>
                <w:sz w:val="20"/>
              </w:rPr>
              <w:t>标</w:t>
            </w:r>
          </w:p>
        </w:tc>
        <w:tc>
          <w:tcPr>
            <w:tcW w:w="1054" w:type="dxa"/>
            <w:vMerge w:val="restart"/>
            <w:tcBorders>
              <w:top w:val="single" w:color="auto" w:sz="6" w:space="0"/>
              <w:left w:val="single" w:color="auto" w:sz="6" w:space="0"/>
              <w:bottom w:val="nil"/>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数量指标</w:t>
            </w: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指标1：新建业务综合楼一幢</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建筑面积9846.04平方米</w:t>
            </w:r>
          </w:p>
        </w:tc>
        <w:tc>
          <w:tcPr>
            <w:tcW w:w="90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1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54" w:type="dxa"/>
            <w:vMerge w:val="continue"/>
            <w:tcBorders>
              <w:top w:val="nil"/>
              <w:left w:val="single" w:color="auto" w:sz="6" w:space="0"/>
              <w:bottom w:val="nil"/>
              <w:right w:val="single" w:color="auto" w:sz="6" w:space="0"/>
              <w:tl2br w:val="nil"/>
              <w:tr2bl w:val="nil"/>
            </w:tcBorders>
            <w:noWrap/>
            <w:vAlign w:val="center"/>
          </w:tcP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指标2：新增床位数量</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50张</w:t>
            </w:r>
          </w:p>
        </w:tc>
        <w:tc>
          <w:tcPr>
            <w:tcW w:w="90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1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54" w:type="dxa"/>
            <w:vMerge w:val="continue"/>
            <w:tcBorders>
              <w:top w:val="nil"/>
              <w:left w:val="single" w:color="auto" w:sz="6" w:space="0"/>
              <w:bottom w:val="nil"/>
              <w:right w:val="single" w:color="auto" w:sz="6" w:space="0"/>
              <w:tl2br w:val="nil"/>
              <w:tr2bl w:val="nil"/>
            </w:tcBorders>
            <w:noWrap/>
            <w:vAlign w:val="center"/>
          </w:tcP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指标3：新增CT、胃肠镜、等设施设备</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74台/套</w:t>
            </w:r>
          </w:p>
        </w:tc>
        <w:tc>
          <w:tcPr>
            <w:tcW w:w="90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1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54" w:type="dxa"/>
            <w:vMerge w:val="continue"/>
            <w:tcBorders>
              <w:top w:val="nil"/>
              <w:left w:val="single" w:color="auto" w:sz="6" w:space="0"/>
              <w:bottom w:val="single" w:color="auto" w:sz="6" w:space="0"/>
              <w:right w:val="single" w:color="auto" w:sz="6" w:space="0"/>
              <w:tl2br w:val="nil"/>
              <w:tr2bl w:val="nil"/>
            </w:tcBorders>
            <w:noWrap/>
            <w:vAlign w:val="center"/>
          </w:tcP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县域医疗卫生次中心建设(非民族十年行动计划)</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1个</w:t>
            </w:r>
          </w:p>
        </w:tc>
        <w:tc>
          <w:tcPr>
            <w:tcW w:w="90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1个</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1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54"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质量指标</w:t>
            </w: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指标1：项目竣工验收率</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≥95%</w:t>
            </w:r>
          </w:p>
        </w:tc>
        <w:tc>
          <w:tcPr>
            <w:tcW w:w="90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1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54"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指标2：项目设计方案变更率</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w:t>
            </w:r>
          </w:p>
        </w:tc>
        <w:tc>
          <w:tcPr>
            <w:tcW w:w="90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1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54"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指标3：工程验收标准</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按国家规定的质量标准</w:t>
            </w:r>
          </w:p>
        </w:tc>
        <w:tc>
          <w:tcPr>
            <w:tcW w:w="90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1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54"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时效指标</w:t>
            </w: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指标1：工程按时开标</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2022年11月20日</w:t>
            </w:r>
          </w:p>
        </w:tc>
        <w:tc>
          <w:tcPr>
            <w:tcW w:w="90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100%</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1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54"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指标2：工程按时竣工验收</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2024年7月30日</w:t>
            </w:r>
          </w:p>
        </w:tc>
        <w:tc>
          <w:tcPr>
            <w:tcW w:w="90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31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54"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成本指标</w:t>
            </w: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县域医疗卫生次中心建设补助标准(革命老区)</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400万元/个</w:t>
            </w:r>
          </w:p>
        </w:tc>
        <w:tc>
          <w:tcPr>
            <w:tcW w:w="90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400万元/个</w:t>
            </w: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31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9"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sz w:val="20"/>
              </w:rPr>
            </w:pPr>
          </w:p>
        </w:tc>
        <w:tc>
          <w:tcPr>
            <w:tcW w:w="1054"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社会效益指标</w:t>
            </w: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指标1：社会满意度</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 xml:space="preserve">         ≥90%</w:t>
            </w:r>
          </w:p>
        </w:tc>
        <w:tc>
          <w:tcPr>
            <w:tcW w:w="90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31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9"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满意度指标</w:t>
            </w:r>
          </w:p>
        </w:tc>
        <w:tc>
          <w:tcPr>
            <w:tcW w:w="1054"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olor w:val="auto"/>
                <w:sz w:val="20"/>
              </w:rPr>
            </w:pPr>
            <w:r>
              <w:rPr>
                <w:rFonts w:ascii="宋体" w:eastAsia="宋体"/>
                <w:color w:val="auto"/>
                <w:sz w:val="20"/>
              </w:rPr>
              <w:t>服务对象</w:t>
            </w:r>
          </w:p>
          <w:p>
            <w:pPr>
              <w:jc w:val="center"/>
              <w:rPr>
                <w:rFonts w:ascii="宋体" w:eastAsia="宋体"/>
                <w:color w:val="auto"/>
                <w:sz w:val="20"/>
              </w:rPr>
            </w:pPr>
            <w:r>
              <w:rPr>
                <w:rFonts w:ascii="宋体" w:eastAsia="宋体"/>
                <w:color w:val="auto"/>
                <w:sz w:val="20"/>
              </w:rPr>
              <w:t>满意度指标</w:t>
            </w: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指标1：职工满意度</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≥90%</w:t>
            </w:r>
          </w:p>
        </w:tc>
        <w:tc>
          <w:tcPr>
            <w:tcW w:w="90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31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54"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指标2：门诊患者满意度</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≥90%</w:t>
            </w:r>
          </w:p>
        </w:tc>
        <w:tc>
          <w:tcPr>
            <w:tcW w:w="90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31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054"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258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指标3：住院患者满意度</w:t>
            </w:r>
          </w:p>
        </w:tc>
        <w:tc>
          <w:tcPr>
            <w:tcW w:w="13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≥90%</w:t>
            </w:r>
          </w:p>
        </w:tc>
        <w:tc>
          <w:tcPr>
            <w:tcW w:w="90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olor w:val="000000"/>
                <w:sz w:val="20"/>
              </w:rPr>
            </w:pPr>
          </w:p>
        </w:tc>
        <w:tc>
          <w:tcPr>
            <w:tcW w:w="166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31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宋体" w:eastAsia="宋体" w:cs="Arial"/>
                <w:color w:val="000000"/>
                <w:sz w:val="20"/>
              </w:rPr>
            </w:pPr>
            <w:r>
              <w:rPr>
                <w:rFonts w:ascii="宋体" w:eastAsia="宋体" w:cs="Arial"/>
                <w:color w:val="000000"/>
                <w:sz w:val="20"/>
              </w:rPr>
              <w:t>说明</w:t>
            </w:r>
          </w:p>
        </w:tc>
        <w:tc>
          <w:tcPr>
            <w:tcW w:w="8004"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宋体" w:eastAsia="宋体" w:cs="Arial"/>
                <w:color w:val="000000"/>
                <w:sz w:val="20"/>
              </w:rPr>
            </w:pPr>
            <w:r>
              <w:rPr>
                <w:rFonts w:ascii="宋体" w:eastAsia="宋体" w:cs="Arial"/>
                <w:color w:val="000000"/>
                <w:sz w:val="20"/>
              </w:rPr>
              <w:t>请在此处简要说明中央巡视、各级审计和财政监督中发现的问题及其所涉及的金额，如没有请填无。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8314" w:type="dxa"/>
            <w:gridSpan w:val="8"/>
            <w:tcBorders>
              <w:top w:val="nil"/>
              <w:left w:val="nil"/>
              <w:bottom w:val="nil"/>
              <w:right w:val="nil"/>
              <w:tl2br w:val="nil"/>
              <w:tr2bl w:val="nil"/>
            </w:tcBorders>
            <w:noWrap/>
            <w:vAlign w:val="center"/>
          </w:tcPr>
          <w:p>
            <w:pPr>
              <w:rPr>
                <w:rFonts w:ascii="宋体" w:eastAsia="宋体" w:cs="Arial"/>
                <w:color w:val="000000"/>
                <w:sz w:val="20"/>
              </w:rPr>
            </w:pPr>
            <w:r>
              <w:rPr>
                <w:rFonts w:ascii="宋体" w:eastAsia="宋体" w:cs="Arial"/>
                <w:color w:val="000000"/>
                <w:sz w:val="20"/>
              </w:rPr>
              <w:t>注：1.资金使用单位按项目绩效目标填报，主管部门汇总时按区域绩效目标填报。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8314" w:type="dxa"/>
            <w:gridSpan w:val="8"/>
            <w:tcBorders>
              <w:top w:val="nil"/>
              <w:left w:val="nil"/>
              <w:bottom w:val="nil"/>
              <w:right w:val="nil"/>
              <w:tl2br w:val="nil"/>
              <w:tr2bl w:val="nil"/>
            </w:tcBorders>
            <w:noWrap/>
            <w:vAlign w:val="center"/>
          </w:tcPr>
          <w:p>
            <w:pPr>
              <w:rPr>
                <w:rFonts w:ascii="宋体" w:eastAsia="宋体" w:cs="Arial"/>
                <w:color w:val="000000"/>
                <w:sz w:val="20"/>
              </w:rPr>
            </w:pPr>
            <w:r>
              <w:rPr>
                <w:rFonts w:ascii="宋体" w:eastAsia="宋体" w:cs="Arial"/>
                <w:color w:val="000000"/>
                <w:sz w:val="20"/>
              </w:rPr>
              <w:t xml:space="preserve">    2.其他资金包括与中央财政资金、地方财政资金共同投入到同一项目的自有资金、社会资金，以及以前年度的结转结余资金等。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8314" w:type="dxa"/>
            <w:gridSpan w:val="8"/>
            <w:tcBorders>
              <w:top w:val="nil"/>
              <w:left w:val="nil"/>
              <w:bottom w:val="nil"/>
              <w:right w:val="nil"/>
              <w:tl2br w:val="nil"/>
              <w:tr2bl w:val="nil"/>
            </w:tcBorders>
            <w:noWrap/>
            <w:vAlign w:val="center"/>
          </w:tcPr>
          <w:p>
            <w:pPr>
              <w:rPr>
                <w:rFonts w:ascii="宋体" w:eastAsia="宋体" w:cs="Arial"/>
                <w:color w:val="000000"/>
                <w:sz w:val="20"/>
              </w:rPr>
            </w:pPr>
            <w:r>
              <w:rPr>
                <w:rFonts w:ascii="宋体" w:eastAsia="宋体" w:cs="Arial"/>
                <w:color w:val="000000"/>
                <w:sz w:val="20"/>
              </w:rPr>
              <w:t xml:space="preserve">    3.全年执行数是指按照国库集中支付制度要求所形成的实际支出。</w:t>
            </w:r>
          </w:p>
        </w:tc>
      </w:tr>
    </w:tbl>
    <w:p>
      <w:pPr>
        <w:pStyle w:val="2"/>
        <w:rPr>
          <w:rFonts w:hint="eastAsia" w:ascii="仿宋_GB2312" w:eastAsia="仿宋_GB2312" w:cs="仿宋"/>
          <w:color w:val="auto"/>
          <w:kern w:val="0"/>
          <w:sz w:val="32"/>
          <w:szCs w:val="32"/>
          <w:highlight w:val="none"/>
          <w:lang w:val="en-US" w:eastAsia="zh-CN" w:bidi="ar-SA"/>
        </w:rPr>
      </w:pPr>
    </w:p>
    <w:tbl>
      <w:tblPr>
        <w:tblStyle w:val="22"/>
        <w:tblpPr w:leftFromText="180" w:rightFromText="180" w:vertAnchor="text" w:horzAnchor="page" w:tblpXSpec="center" w:tblpY="423"/>
        <w:tblOverlap w:val="never"/>
        <w:tblW w:w="8452" w:type="dxa"/>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836"/>
        <w:gridCol w:w="1568"/>
        <w:gridCol w:w="1564"/>
        <w:gridCol w:w="2100"/>
        <w:gridCol w:w="1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8452" w:type="dxa"/>
            <w:gridSpan w:val="6"/>
            <w:tcBorders>
              <w:top w:val="nil"/>
              <w:left w:val="nil"/>
              <w:bottom w:val="nil"/>
              <w:right w:val="nil"/>
            </w:tcBorders>
            <w:noWrap/>
            <w:tcMar>
              <w:top w:w="15" w:type="dxa"/>
              <w:left w:w="15" w:type="dxa"/>
              <w:right w:w="15" w:type="dxa"/>
            </w:tcMar>
            <w:vAlign w:val="center"/>
          </w:tcPr>
          <w:p>
            <w:pPr>
              <w:pStyle w:val="32"/>
              <w:keepNext w:val="0"/>
              <w:keepLines w:val="0"/>
              <w:widowControl/>
              <w:suppressLineNumbers w:val="0"/>
              <w:spacing w:before="0" w:beforeAutospacing="0" w:after="0" w:afterAutospacing="0"/>
              <w:ind w:left="4173" w:leftChars="1310" w:right="0" w:hanging="1422" w:hangingChars="395"/>
              <w:textAlignment w:val="center"/>
              <w:rPr>
                <w:rFonts w:hint="eastAsia" w:ascii="黑体" w:eastAsia="黑体" w:cs="宋体"/>
                <w:bCs/>
                <w:color w:val="auto"/>
                <w:kern w:val="0"/>
                <w:sz w:val="36"/>
                <w:szCs w:val="36"/>
                <w:lang w:eastAsia="zh-CN"/>
              </w:rPr>
            </w:pPr>
            <w:r>
              <w:rPr>
                <w:rFonts w:hint="eastAsia" w:ascii="黑体" w:eastAsia="黑体" w:cs="宋体"/>
                <w:bCs/>
                <w:color w:val="auto"/>
                <w:kern w:val="0"/>
                <w:sz w:val="36"/>
                <w:szCs w:val="36"/>
              </w:rPr>
              <w:t>项目支出绩效目标完成情况表</w:t>
            </w:r>
          </w:p>
          <w:p>
            <w:pPr>
              <w:pStyle w:val="32"/>
              <w:keepNext w:val="0"/>
              <w:keepLines w:val="0"/>
              <w:widowControl/>
              <w:suppressLineNumbers w:val="0"/>
              <w:spacing w:before="0" w:beforeAutospacing="0" w:after="0" w:afterAutospacing="0"/>
              <w:ind w:left="4173" w:leftChars="1310" w:right="0" w:hanging="1422" w:hangingChars="395"/>
              <w:textAlignment w:val="center"/>
              <w:rPr>
                <w:rFonts w:hint="eastAsia" w:ascii="宋体" w:cs="宋体"/>
                <w:color w:val="auto"/>
                <w:sz w:val="36"/>
                <w:szCs w:val="36"/>
                <w:lang w:bidi="ar-SA"/>
              </w:rPr>
            </w:pPr>
            <w:r>
              <w:rPr>
                <w:rFonts w:hint="eastAsia" w:ascii="宋体" w:cs="宋体"/>
                <w:color w:val="auto"/>
                <w:kern w:val="0"/>
                <w:sz w:val="36"/>
                <w:szCs w:val="36"/>
              </w:rPr>
              <w:t>(20</w:t>
            </w:r>
            <w:r>
              <w:rPr>
                <w:rFonts w:hint="eastAsia" w:ascii="宋体" w:cs="宋体"/>
                <w:color w:val="auto"/>
                <w:kern w:val="0"/>
                <w:sz w:val="36"/>
                <w:szCs w:val="36"/>
                <w:lang w:val="en-US" w:eastAsia="zh-CN"/>
              </w:rPr>
              <w:t>2</w:t>
            </w:r>
            <w:r>
              <w:rPr>
                <w:rFonts w:ascii="宋体" w:cs="宋体"/>
                <w:color w:val="auto"/>
                <w:kern w:val="0"/>
                <w:sz w:val="36"/>
                <w:szCs w:val="36"/>
                <w:lang w:val="en-US" w:eastAsia="zh-CN"/>
              </w:rPr>
              <w:t>2</w:t>
            </w:r>
            <w:r>
              <w:rPr>
                <w:rFonts w:hint="eastAsia" w:ascii="宋体" w:cs="宋体"/>
                <w:color w:val="auto"/>
                <w:kern w:val="0"/>
                <w:sz w:val="36"/>
                <w:szCs w:val="36"/>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0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项目名称</w:t>
            </w:r>
          </w:p>
        </w:tc>
        <w:tc>
          <w:tcPr>
            <w:tcW w:w="542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eastAsia="zh-CN" w:bidi="ar-SA"/>
              </w:rPr>
            </w:pPr>
            <w:r>
              <w:rPr>
                <w:rFonts w:hint="eastAsia" w:ascii="宋体" w:cs="宋体"/>
                <w:color w:val="auto"/>
                <w:sz w:val="24"/>
                <w:lang w:eastAsia="zh-CN" w:bidi="ar-SA"/>
              </w:rPr>
              <w:t>村卫生站基本药物制度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0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预算单位</w:t>
            </w:r>
          </w:p>
        </w:tc>
        <w:tc>
          <w:tcPr>
            <w:tcW w:w="542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eastAsia="zh-CN" w:bidi="ar-SA"/>
              </w:rPr>
            </w:pPr>
            <w:r>
              <w:rPr>
                <w:rFonts w:ascii="宋体" w:cs="宋体"/>
                <w:color w:val="auto"/>
                <w:sz w:val="24"/>
                <w:lang w:eastAsia="zh-CN" w:bidi="ar-SA"/>
              </w:rPr>
              <w:t>卫子镇</w:t>
            </w:r>
            <w:r>
              <w:rPr>
                <w:rFonts w:hint="eastAsia" w:ascii="宋体" w:cs="宋体"/>
                <w:color w:val="auto"/>
                <w:sz w:val="24"/>
                <w:lang w:eastAsia="zh-CN" w:bidi="ar-SA"/>
              </w:rPr>
              <w:t>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62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预算执行情况(万元)</w:t>
            </w:r>
          </w:p>
        </w:tc>
        <w:tc>
          <w:tcPr>
            <w:tcW w:w="24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预算数:</w:t>
            </w:r>
          </w:p>
        </w:tc>
        <w:tc>
          <w:tcPr>
            <w:tcW w:w="1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eastAsia="宋体" w:cs="宋体"/>
                <w:color w:val="auto"/>
                <w:sz w:val="24"/>
                <w:lang w:val="en-US" w:eastAsia="zh-CN" w:bidi="ar-SA"/>
              </w:rPr>
            </w:pPr>
            <w:r>
              <w:rPr>
                <w:rFonts w:ascii="宋体" w:cs="宋体"/>
                <w:color w:val="auto"/>
                <w:sz w:val="24"/>
                <w:lang w:val="en-US" w:eastAsia="zh-CN" w:bidi="ar-SA"/>
              </w:rPr>
              <w:t>38.18</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执行数:</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eastAsia="宋体" w:cs="宋体"/>
                <w:color w:val="auto"/>
                <w:sz w:val="24"/>
                <w:lang w:val="en-US" w:eastAsia="zh-CN" w:bidi="ar-SA"/>
              </w:rPr>
            </w:pPr>
            <w:r>
              <w:rPr>
                <w:rFonts w:ascii="宋体" w:cs="宋体"/>
                <w:color w:val="auto"/>
                <w:sz w:val="24"/>
                <w:lang w:val="en-US" w:eastAsia="zh-CN" w:bidi="ar-SA"/>
              </w:rPr>
              <w:t>38.18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621"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4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其中-财政拨款:</w:t>
            </w:r>
          </w:p>
        </w:tc>
        <w:tc>
          <w:tcPr>
            <w:tcW w:w="1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eastAsia="宋体" w:cs="宋体"/>
                <w:color w:val="auto"/>
                <w:sz w:val="24"/>
                <w:lang w:val="en-US" w:eastAsia="zh-CN" w:bidi="ar-SA"/>
              </w:rPr>
            </w:pPr>
            <w:r>
              <w:rPr>
                <w:rFonts w:ascii="宋体" w:cs="宋体"/>
                <w:color w:val="auto"/>
                <w:sz w:val="24"/>
                <w:lang w:val="en-US" w:eastAsia="zh-CN" w:bidi="ar-SA"/>
              </w:rPr>
              <w:t>38.18</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其中-财政拨款:</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eastAsia="宋体" w:cs="宋体"/>
                <w:color w:val="auto"/>
                <w:sz w:val="24"/>
                <w:lang w:val="en-US" w:eastAsia="zh-CN" w:bidi="ar-SA"/>
              </w:rPr>
            </w:pPr>
            <w:r>
              <w:rPr>
                <w:rFonts w:ascii="宋体" w:cs="宋体"/>
                <w:color w:val="auto"/>
                <w:sz w:val="24"/>
                <w:lang w:val="en-US" w:eastAsia="zh-CN" w:bidi="ar-SA"/>
              </w:rPr>
              <w:t>38.18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1" w:hRule="atLeast"/>
        </w:trPr>
        <w:tc>
          <w:tcPr>
            <w:tcW w:w="621"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4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其它资金:</w:t>
            </w:r>
          </w:p>
        </w:tc>
        <w:tc>
          <w:tcPr>
            <w:tcW w:w="1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0</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其它资金:</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eastAsia="宋体" w:cs="宋体"/>
                <w:color w:val="auto"/>
                <w:sz w:val="24"/>
                <w:lang w:val="en-US" w:eastAsia="zh-CN" w:bidi="ar-SA"/>
              </w:rPr>
            </w:pPr>
            <w:r>
              <w:rPr>
                <w:rFonts w:hint="eastAsia" w:ascii="宋体" w:cs="宋体"/>
                <w:color w:val="auto"/>
                <w:sz w:val="24"/>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62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年度目标完成情况</w:t>
            </w:r>
          </w:p>
        </w:tc>
        <w:tc>
          <w:tcPr>
            <w:tcW w:w="39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预期目标</w:t>
            </w:r>
          </w:p>
        </w:tc>
        <w:tc>
          <w:tcPr>
            <w:tcW w:w="38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621"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396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szCs w:val="24"/>
                <w:lang w:bidi="ar-SA"/>
              </w:rPr>
            </w:pPr>
            <w:r>
              <w:rPr>
                <w:rFonts w:hint="eastAsia" w:ascii="宋体" w:eastAsia="宋体" w:cs="宋体"/>
                <w:color w:val="auto"/>
                <w:sz w:val="24"/>
                <w:szCs w:val="24"/>
                <w:lang w:bidi="ar-SA"/>
              </w:rPr>
              <w:t>乡村卫生室全面落实基本药物制度，药品实施零加成，规范药品采购程序。</w:t>
            </w:r>
          </w:p>
        </w:tc>
        <w:tc>
          <w:tcPr>
            <w:tcW w:w="38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color w:val="auto"/>
                <w:sz w:val="24"/>
                <w:lang w:eastAsia="zh-CN" w:bidi="ar-SA"/>
              </w:rPr>
            </w:pPr>
            <w:r>
              <w:rPr>
                <w:rFonts w:hint="eastAsia" w:ascii="宋体" w:eastAsia="宋体" w:cs="宋体"/>
                <w:color w:val="auto"/>
                <w:sz w:val="24"/>
                <w:lang w:eastAsia="zh-CN" w:bidi="ar-SA"/>
              </w:rPr>
              <w:t>所有村卫生室100%落实了基本药物制度，100%基本药物实行零加成。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62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绩效指标完成情况</w:t>
            </w: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一级指标</w:t>
            </w:r>
          </w:p>
        </w:tc>
        <w:tc>
          <w:tcPr>
            <w:tcW w:w="1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二级指标</w:t>
            </w:r>
          </w:p>
        </w:tc>
        <w:tc>
          <w:tcPr>
            <w:tcW w:w="1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三级指标</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预期指标值(包含数字及文字描述)</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621"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项目完成指标</w:t>
            </w:r>
          </w:p>
        </w:tc>
        <w:tc>
          <w:tcPr>
            <w:tcW w:w="1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eastAsia="zh-CN" w:bidi="ar-SA"/>
              </w:rPr>
            </w:pPr>
            <w:r>
              <w:rPr>
                <w:rFonts w:hint="eastAsia" w:ascii="宋体" w:cs="宋体"/>
                <w:color w:val="auto"/>
                <w:sz w:val="24"/>
                <w:lang w:eastAsia="zh-CN" w:bidi="ar-SA"/>
              </w:rPr>
              <w:t>数量指标</w:t>
            </w:r>
          </w:p>
        </w:tc>
        <w:tc>
          <w:tcPr>
            <w:tcW w:w="1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所有村卫生站实施基本药物制度</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村卫生室全部基药实施零加成，基药补助100%</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落实了基本药物零加成制度，1-8月基药补助到位68.9%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2" w:hRule="atLeast"/>
        </w:trPr>
        <w:tc>
          <w:tcPr>
            <w:tcW w:w="621"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效益指标</w:t>
            </w:r>
          </w:p>
        </w:tc>
        <w:tc>
          <w:tcPr>
            <w:tcW w:w="1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eastAsia="zh-CN" w:bidi="ar-SA"/>
              </w:rPr>
            </w:pPr>
            <w:r>
              <w:rPr>
                <w:rFonts w:hint="eastAsia" w:ascii="宋体" w:cs="宋体"/>
                <w:color w:val="auto"/>
                <w:sz w:val="24"/>
                <w:lang w:eastAsia="zh-CN" w:bidi="ar-SA"/>
              </w:rPr>
              <w:t>社会效益</w:t>
            </w:r>
          </w:p>
        </w:tc>
        <w:tc>
          <w:tcPr>
            <w:tcW w:w="1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药品零加成，群众就医获得感加强，就近就医明显增加</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群众获得感明显加强，就近就医率明显提升。</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eastAsia="宋体" w:cs="宋体"/>
                <w:color w:val="auto"/>
                <w:sz w:val="24"/>
                <w:lang w:val="en-US" w:eastAsia="zh-CN" w:bidi="ar-SA"/>
              </w:rPr>
            </w:pPr>
            <w:r>
              <w:rPr>
                <w:rFonts w:hint="eastAsia" w:ascii="宋体" w:cs="宋体"/>
                <w:color w:val="auto"/>
                <w:sz w:val="24"/>
                <w:lang w:eastAsia="zh-CN" w:bidi="ar-SA"/>
              </w:rPr>
              <w:t>门诊人次上升</w:t>
            </w:r>
            <w:r>
              <w:rPr>
                <w:rFonts w:hint="eastAsia" w:ascii="宋体" w:cs="宋体"/>
                <w:color w:val="auto"/>
                <w:sz w:val="24"/>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621"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效益指标</w:t>
            </w:r>
          </w:p>
        </w:tc>
        <w:tc>
          <w:tcPr>
            <w:tcW w:w="1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eastAsia="zh-CN" w:bidi="ar-SA"/>
              </w:rPr>
            </w:pPr>
            <w:r>
              <w:rPr>
                <w:rFonts w:hint="eastAsia" w:ascii="宋体" w:cs="宋体"/>
                <w:color w:val="auto"/>
                <w:sz w:val="24"/>
                <w:lang w:eastAsia="zh-CN" w:bidi="ar-SA"/>
              </w:rPr>
              <w:t>可持续影响</w:t>
            </w:r>
          </w:p>
        </w:tc>
        <w:tc>
          <w:tcPr>
            <w:tcW w:w="1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eastAsia="zh-CN" w:bidi="ar-SA"/>
              </w:rPr>
            </w:pPr>
            <w:r>
              <w:rPr>
                <w:rFonts w:hint="eastAsia" w:ascii="宋体" w:eastAsia="宋体" w:cs="宋体"/>
                <w:color w:val="auto"/>
                <w:sz w:val="24"/>
                <w:lang w:eastAsia="zh-CN" w:bidi="ar-SA"/>
              </w:rPr>
              <w:t>全面落实基本药物零加成制度，减轻群众就医负担</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群众就医负担明显减轻，就医成本明显下降。</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eastAsia="宋体" w:cs="宋体"/>
                <w:color w:val="auto"/>
                <w:sz w:val="24"/>
                <w:lang w:val="en-US" w:eastAsia="zh-CN" w:bidi="ar-SA"/>
              </w:rPr>
            </w:pPr>
            <w:r>
              <w:rPr>
                <w:rFonts w:hint="eastAsia" w:ascii="宋体" w:cs="宋体"/>
                <w:color w:val="auto"/>
                <w:sz w:val="24"/>
                <w:lang w:eastAsia="zh-CN" w:bidi="ar-SA"/>
              </w:rPr>
              <w:t>均次费用下降</w:t>
            </w:r>
            <w:r>
              <w:rPr>
                <w:rFonts w:hint="eastAsia" w:ascii="宋体" w:cs="宋体"/>
                <w:color w:val="auto"/>
                <w:sz w:val="24"/>
                <w:lang w:val="en-US" w:eastAsia="zh-CN" w:bidi="ar-SA"/>
              </w:rPr>
              <w:t>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50" w:hRule="atLeast"/>
        </w:trPr>
        <w:tc>
          <w:tcPr>
            <w:tcW w:w="621"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8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kern w:val="0"/>
                <w:sz w:val="24"/>
              </w:rPr>
              <w:t>满意度指标</w:t>
            </w:r>
          </w:p>
        </w:tc>
        <w:tc>
          <w:tcPr>
            <w:tcW w:w="1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eastAsia="zh-CN" w:bidi="ar-SA"/>
              </w:rPr>
            </w:pPr>
            <w:r>
              <w:rPr>
                <w:rFonts w:hint="eastAsia" w:ascii="宋体" w:cs="宋体"/>
                <w:color w:val="auto"/>
                <w:sz w:val="24"/>
                <w:lang w:eastAsia="zh-CN" w:bidi="ar-SA"/>
              </w:rPr>
              <w:t>群众满意度指标</w:t>
            </w:r>
          </w:p>
        </w:tc>
        <w:tc>
          <w:tcPr>
            <w:tcW w:w="15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cs="宋体"/>
                <w:color w:val="auto"/>
                <w:sz w:val="24"/>
                <w:lang w:bidi="ar-SA"/>
              </w:rPr>
            </w:pPr>
            <w:r>
              <w:rPr>
                <w:rFonts w:hint="eastAsia" w:ascii="宋体" w:cs="宋体"/>
                <w:color w:val="auto"/>
                <w:sz w:val="24"/>
                <w:lang w:bidi="ar-SA"/>
              </w:rPr>
              <w:t>群众满意度提升</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auto"/>
                <w:sz w:val="24"/>
                <w:lang w:val="en-US" w:eastAsia="zh-CN" w:bidi="ar-SA"/>
              </w:rPr>
            </w:pPr>
            <w:r>
              <w:rPr>
                <w:rFonts w:hint="eastAsia" w:ascii="宋体" w:cs="宋体"/>
                <w:color w:val="auto"/>
                <w:sz w:val="24"/>
                <w:lang w:val="en-US" w:eastAsia="zh-CN" w:bidi="ar-SA"/>
              </w:rPr>
              <w:t>90%以上</w:t>
            </w:r>
          </w:p>
        </w:tc>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eastAsia="宋体" w:cs="宋体"/>
                <w:color w:val="auto"/>
                <w:sz w:val="24"/>
                <w:lang w:val="en-US" w:eastAsia="zh-CN" w:bidi="ar-SA"/>
              </w:rPr>
            </w:pPr>
            <w:r>
              <w:rPr>
                <w:rFonts w:hint="eastAsia" w:ascii="宋体" w:cs="宋体"/>
                <w:color w:val="auto"/>
                <w:sz w:val="24"/>
                <w:lang w:val="en-US" w:eastAsia="zh-CN" w:bidi="ar-SA"/>
              </w:rPr>
              <w:t>92%</w:t>
            </w:r>
          </w:p>
        </w:tc>
      </w:tr>
    </w:tbl>
    <w:p>
      <w:pPr>
        <w:pStyle w:val="31"/>
        <w:spacing w:line="560" w:lineRule="exact"/>
        <w:ind w:left="0"/>
        <w:rPr>
          <w:rStyle w:val="26"/>
          <w:rFonts w:ascii="黑体" w:eastAsia="黑体"/>
          <w:b w:val="0"/>
        </w:rPr>
      </w:pPr>
    </w:p>
    <w:p>
      <w:pPr>
        <w:pStyle w:val="31"/>
        <w:spacing w:line="560" w:lineRule="exact"/>
        <w:ind w:left="0"/>
        <w:jc w:val="center"/>
        <w:outlineLvl w:val="0"/>
        <w:rPr>
          <w:rStyle w:val="26"/>
          <w:rFonts w:ascii="黑体" w:eastAsia="黑体"/>
          <w:b w:val="0"/>
          <w:color w:val="auto"/>
          <w:highlight w:val="none"/>
        </w:rPr>
      </w:pPr>
      <w:bookmarkStart w:id="112" w:name="_Toc8327"/>
      <w:r>
        <w:rPr>
          <w:rFonts w:hint="eastAsia" w:ascii="黑体" w:eastAsia="黑体"/>
          <w:color w:val="auto"/>
          <w:sz w:val="44"/>
          <w:szCs w:val="44"/>
          <w:highlight w:val="none"/>
        </w:rPr>
        <w:t>第</w:t>
      </w:r>
      <w:r>
        <w:rPr>
          <w:rStyle w:val="26"/>
          <w:rFonts w:hint="eastAsia" w:ascii="黑体" w:eastAsia="黑体"/>
          <w:b w:val="0"/>
          <w:color w:val="auto"/>
          <w:highlight w:val="none"/>
        </w:rPr>
        <w:t>五部分 附表</w:t>
      </w:r>
      <w:bookmarkEnd w:id="104"/>
      <w:bookmarkEnd w:id="111"/>
      <w:bookmarkEnd w:id="112"/>
      <w:bookmarkStart w:id="113" w:name="_Toc15396619"/>
    </w:p>
    <w:p>
      <w:pPr>
        <w:pStyle w:val="31"/>
        <w:spacing w:line="560" w:lineRule="exact"/>
        <w:ind w:left="0"/>
        <w:jc w:val="center"/>
        <w:rPr>
          <w:rStyle w:val="26"/>
          <w:rFonts w:ascii="黑体" w:eastAsia="黑体"/>
          <w:b w:val="0"/>
          <w:color w:val="auto"/>
          <w:highlight w:val="none"/>
        </w:rPr>
      </w:pPr>
    </w:p>
    <w:bookmarkEnd w:id="113"/>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Style w:val="39"/>
          <w:rFonts w:hint="eastAsia" w:ascii="仿宋" w:hAnsi="仿宋" w:eastAsia="仿宋"/>
          <w:b w:val="0"/>
          <w:bCs w:val="0"/>
          <w:color w:val="auto"/>
          <w:highlight w:val="none"/>
        </w:rPr>
      </w:pPr>
      <w:bookmarkStart w:id="114" w:name="_Toc28340"/>
      <w:bookmarkStart w:id="115" w:name="_Toc9686"/>
      <w:r>
        <w:rPr>
          <w:rStyle w:val="39"/>
          <w:rFonts w:hint="eastAsia" w:ascii="仿宋" w:hAnsi="仿宋" w:eastAsia="仿宋"/>
          <w:b w:val="0"/>
          <w:bCs w:val="0"/>
          <w:color w:val="auto"/>
          <w:highlight w:val="none"/>
        </w:rPr>
        <w:t>一</w:t>
      </w:r>
      <w:r>
        <w:rPr>
          <w:rFonts w:hint="eastAsia" w:ascii="仿宋" w:hAnsi="仿宋" w:eastAsia="仿宋"/>
          <w:b w:val="0"/>
          <w:color w:val="auto"/>
          <w:highlight w:val="none"/>
        </w:rPr>
        <w:t>、</w:t>
      </w:r>
      <w:r>
        <w:rPr>
          <w:rStyle w:val="39"/>
          <w:rFonts w:hint="eastAsia" w:ascii="仿宋" w:hAnsi="仿宋" w:eastAsia="仿宋"/>
          <w:b w:val="0"/>
          <w:bCs w:val="0"/>
          <w:color w:val="auto"/>
          <w:highlight w:val="none"/>
        </w:rPr>
        <w:t>收入支出决算总表</w:t>
      </w:r>
      <w:bookmarkEnd w:id="114"/>
      <w:bookmarkEnd w:id="115"/>
      <w:bookmarkStart w:id="116" w:name="_Toc1539662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Style w:val="39"/>
          <w:rFonts w:hint="eastAsia" w:ascii="仿宋" w:hAnsi="仿宋" w:eastAsia="仿宋"/>
          <w:b w:val="0"/>
          <w:bCs w:val="0"/>
          <w:color w:val="auto"/>
          <w:highlight w:val="none"/>
        </w:rPr>
      </w:pPr>
      <w:bookmarkStart w:id="117" w:name="_Toc32422"/>
      <w:bookmarkStart w:id="118" w:name="_Toc27465"/>
      <w:r>
        <w:rPr>
          <w:rStyle w:val="39"/>
          <w:rFonts w:hint="eastAsia" w:ascii="仿宋" w:hAnsi="仿宋" w:eastAsia="仿宋"/>
          <w:b w:val="0"/>
          <w:bCs w:val="0"/>
          <w:color w:val="auto"/>
          <w:highlight w:val="none"/>
        </w:rPr>
        <w:t>二、收入决算表</w:t>
      </w:r>
      <w:bookmarkEnd w:id="116"/>
      <w:bookmarkEnd w:id="117"/>
      <w:bookmarkEnd w:id="118"/>
      <w:bookmarkStart w:id="119" w:name="_Toc1539662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Style w:val="39"/>
          <w:rFonts w:hint="eastAsia" w:ascii="仿宋" w:hAnsi="仿宋" w:eastAsia="仿宋"/>
          <w:b w:val="0"/>
          <w:bCs w:val="0"/>
          <w:color w:val="auto"/>
          <w:highlight w:val="none"/>
        </w:rPr>
      </w:pPr>
      <w:bookmarkStart w:id="120" w:name="_Toc15027"/>
      <w:bookmarkStart w:id="121" w:name="_Toc13566"/>
      <w:r>
        <w:rPr>
          <w:rStyle w:val="39"/>
          <w:rFonts w:hint="eastAsia" w:ascii="仿宋" w:hAnsi="仿宋" w:eastAsia="仿宋"/>
          <w:b w:val="0"/>
          <w:bCs w:val="0"/>
          <w:color w:val="auto"/>
          <w:highlight w:val="none"/>
        </w:rPr>
        <w:t>三、支出决算表</w:t>
      </w:r>
      <w:bookmarkEnd w:id="119"/>
      <w:bookmarkEnd w:id="120"/>
      <w:bookmarkEnd w:id="121"/>
      <w:bookmarkStart w:id="122" w:name="_Toc1539662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Style w:val="39"/>
          <w:rFonts w:hint="eastAsia" w:ascii="仿宋" w:hAnsi="仿宋" w:eastAsia="仿宋"/>
          <w:b w:val="0"/>
          <w:bCs w:val="0"/>
          <w:color w:val="auto"/>
          <w:highlight w:val="none"/>
        </w:rPr>
      </w:pPr>
      <w:bookmarkStart w:id="123" w:name="_Toc19858"/>
      <w:bookmarkStart w:id="124" w:name="_Toc31524"/>
      <w:r>
        <w:rPr>
          <w:rStyle w:val="39"/>
          <w:rFonts w:hint="eastAsia" w:ascii="仿宋" w:hAnsi="仿宋" w:eastAsia="仿宋"/>
          <w:b w:val="0"/>
          <w:bCs w:val="0"/>
          <w:color w:val="auto"/>
          <w:highlight w:val="none"/>
        </w:rPr>
        <w:t>四、财政拨款收入支出决算总表</w:t>
      </w:r>
      <w:bookmarkEnd w:id="122"/>
      <w:bookmarkEnd w:id="123"/>
      <w:bookmarkEnd w:id="124"/>
      <w:bookmarkStart w:id="125" w:name="_Toc1539662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Style w:val="39"/>
          <w:rFonts w:hint="eastAsia" w:ascii="仿宋" w:hAnsi="仿宋" w:eastAsia="仿宋"/>
          <w:b w:val="0"/>
          <w:bCs w:val="0"/>
          <w:color w:val="auto"/>
          <w:highlight w:val="none"/>
        </w:rPr>
      </w:pPr>
      <w:bookmarkStart w:id="126" w:name="_Toc24526"/>
      <w:bookmarkStart w:id="127" w:name="_Toc10894"/>
      <w:r>
        <w:rPr>
          <w:rStyle w:val="39"/>
          <w:rFonts w:hint="eastAsia" w:ascii="仿宋" w:hAnsi="仿宋" w:eastAsia="仿宋"/>
          <w:b w:val="0"/>
          <w:bCs w:val="0"/>
          <w:color w:val="auto"/>
          <w:highlight w:val="none"/>
        </w:rPr>
        <w:t>五、财政拨款支出决算明细表</w:t>
      </w:r>
      <w:bookmarkEnd w:id="125"/>
      <w:bookmarkEnd w:id="126"/>
      <w:bookmarkEnd w:id="127"/>
      <w:bookmarkStart w:id="128" w:name="_Toc1539662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Style w:val="39"/>
          <w:rFonts w:hint="eastAsia" w:ascii="仿宋" w:hAnsi="仿宋" w:eastAsia="仿宋"/>
          <w:b w:val="0"/>
          <w:bCs w:val="0"/>
          <w:color w:val="auto"/>
          <w:highlight w:val="none"/>
        </w:rPr>
      </w:pPr>
      <w:bookmarkStart w:id="129" w:name="_Toc10428"/>
      <w:bookmarkStart w:id="130" w:name="_Toc5040"/>
      <w:r>
        <w:rPr>
          <w:rStyle w:val="3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9"/>
          <w:rFonts w:hint="eastAsia" w:ascii="仿宋" w:hAnsi="仿宋" w:eastAsia="仿宋"/>
          <w:b w:val="0"/>
          <w:bCs w:val="0"/>
          <w:color w:val="auto"/>
          <w:highlight w:val="none"/>
        </w:rPr>
        <w:t>般公共预算财政拨款支出决算表</w:t>
      </w:r>
      <w:bookmarkEnd w:id="128"/>
      <w:bookmarkEnd w:id="129"/>
      <w:bookmarkEnd w:id="130"/>
      <w:bookmarkStart w:id="131" w:name="_Toc1539662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Style w:val="39"/>
          <w:rFonts w:hint="eastAsia" w:ascii="仿宋" w:hAnsi="仿宋" w:eastAsia="仿宋"/>
          <w:b w:val="0"/>
          <w:bCs w:val="0"/>
          <w:color w:val="auto"/>
          <w:highlight w:val="none"/>
        </w:rPr>
      </w:pPr>
      <w:bookmarkStart w:id="132" w:name="_Toc28288"/>
      <w:bookmarkStart w:id="133" w:name="_Toc15194"/>
      <w:r>
        <w:rPr>
          <w:rStyle w:val="3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9"/>
          <w:rFonts w:hint="eastAsia" w:ascii="仿宋" w:hAnsi="仿宋" w:eastAsia="仿宋"/>
          <w:b w:val="0"/>
          <w:bCs w:val="0"/>
          <w:color w:val="auto"/>
          <w:highlight w:val="none"/>
        </w:rPr>
        <w:t>般公共预算财政拨款支出决算明细表</w:t>
      </w:r>
      <w:bookmarkEnd w:id="131"/>
      <w:bookmarkEnd w:id="132"/>
      <w:bookmarkEnd w:id="133"/>
      <w:bookmarkStart w:id="134" w:name="_Toc1539662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Style w:val="39"/>
          <w:rFonts w:hint="eastAsia" w:ascii="仿宋" w:hAnsi="仿宋" w:eastAsia="仿宋"/>
          <w:b w:val="0"/>
          <w:bCs w:val="0"/>
          <w:color w:val="auto"/>
          <w:highlight w:val="none"/>
        </w:rPr>
      </w:pPr>
      <w:bookmarkStart w:id="135" w:name="_Toc7486"/>
      <w:bookmarkStart w:id="136" w:name="_Toc32672"/>
      <w:r>
        <w:rPr>
          <w:rStyle w:val="3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9"/>
          <w:rFonts w:hint="eastAsia" w:ascii="仿宋" w:hAnsi="仿宋" w:eastAsia="仿宋"/>
          <w:b w:val="0"/>
          <w:bCs w:val="0"/>
          <w:color w:val="auto"/>
          <w:highlight w:val="none"/>
        </w:rPr>
        <w:t>般公共预算财政拨款基本支出决算表</w:t>
      </w:r>
      <w:bookmarkEnd w:id="134"/>
      <w:bookmarkEnd w:id="135"/>
      <w:bookmarkEnd w:id="136"/>
      <w:bookmarkStart w:id="137" w:name="_Toc1539662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Style w:val="39"/>
          <w:rFonts w:hint="eastAsia" w:ascii="仿宋" w:hAnsi="仿宋" w:eastAsia="仿宋"/>
          <w:b w:val="0"/>
          <w:bCs w:val="0"/>
          <w:color w:val="auto"/>
          <w:highlight w:val="none"/>
        </w:rPr>
      </w:pPr>
      <w:bookmarkStart w:id="138" w:name="_Toc11223"/>
      <w:bookmarkStart w:id="139" w:name="_Toc5039"/>
      <w:r>
        <w:rPr>
          <w:rStyle w:val="3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9"/>
          <w:rFonts w:hint="eastAsia" w:ascii="仿宋" w:hAnsi="仿宋" w:eastAsia="仿宋"/>
          <w:b w:val="0"/>
          <w:bCs w:val="0"/>
          <w:color w:val="auto"/>
          <w:highlight w:val="none"/>
        </w:rPr>
        <w:t>般公共预算财政拨款项目支出决算表</w:t>
      </w:r>
      <w:bookmarkEnd w:id="137"/>
      <w:bookmarkEnd w:id="138"/>
      <w:bookmarkEnd w:id="13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Style w:val="39"/>
          <w:rFonts w:hint="eastAsia" w:ascii="仿宋" w:hAnsi="仿宋" w:eastAsia="仿宋"/>
          <w:b w:val="0"/>
          <w:bCs w:val="0"/>
          <w:color w:val="auto"/>
          <w:highlight w:val="none"/>
        </w:rPr>
      </w:pPr>
      <w:bookmarkStart w:id="140" w:name="_Toc7877"/>
      <w:bookmarkStart w:id="141" w:name="_Toc15565"/>
      <w:r>
        <w:rPr>
          <w:rStyle w:val="39"/>
          <w:rFonts w:hint="eastAsia" w:ascii="仿宋" w:hAnsi="仿宋" w:eastAsia="仿宋"/>
          <w:b w:val="0"/>
          <w:bCs w:val="0"/>
          <w:color w:val="auto"/>
          <w:highlight w:val="none"/>
        </w:rPr>
        <w:t>十、</w:t>
      </w:r>
      <w:r>
        <w:rPr>
          <w:rFonts w:hint="eastAsia" w:ascii="仿宋" w:hAnsi="仿宋" w:eastAsia="仿宋"/>
          <w:b w:val="0"/>
          <w:color w:val="auto"/>
          <w:highlight w:val="none"/>
        </w:rPr>
        <w:t>政</w:t>
      </w:r>
      <w:r>
        <w:rPr>
          <w:rStyle w:val="39"/>
          <w:rFonts w:hint="eastAsia" w:ascii="仿宋" w:hAnsi="仿宋" w:eastAsia="仿宋"/>
          <w:b w:val="0"/>
          <w:bCs w:val="0"/>
          <w:color w:val="auto"/>
          <w:highlight w:val="none"/>
        </w:rPr>
        <w:t>府性基金预算财政拨款收入支出决算表</w:t>
      </w:r>
      <w:bookmarkEnd w:id="140"/>
      <w:bookmarkEnd w:id="14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Style w:val="39"/>
          <w:rFonts w:hint="eastAsia" w:ascii="仿宋" w:hAnsi="仿宋" w:eastAsia="仿宋"/>
          <w:b w:val="0"/>
          <w:bCs w:val="0"/>
          <w:color w:val="auto"/>
          <w:highlight w:val="none"/>
        </w:rPr>
      </w:pPr>
      <w:bookmarkStart w:id="142" w:name="_Toc23613"/>
      <w:bookmarkStart w:id="143" w:name="_Toc14782"/>
      <w:r>
        <w:rPr>
          <w:rStyle w:val="39"/>
          <w:rFonts w:hint="eastAsia" w:ascii="仿宋" w:hAnsi="仿宋" w:eastAsia="仿宋"/>
          <w:b w:val="0"/>
          <w:bCs w:val="0"/>
          <w:color w:val="auto"/>
          <w:highlight w:val="none"/>
        </w:rPr>
        <w:t>十一、</w:t>
      </w:r>
      <w:r>
        <w:rPr>
          <w:rFonts w:hint="eastAsia" w:ascii="仿宋" w:hAnsi="仿宋" w:eastAsia="仿宋"/>
          <w:b w:val="0"/>
          <w:color w:val="auto"/>
          <w:highlight w:val="none"/>
        </w:rPr>
        <w:t>国</w:t>
      </w:r>
      <w:r>
        <w:rPr>
          <w:rStyle w:val="39"/>
          <w:rFonts w:hint="eastAsia" w:ascii="仿宋" w:hAnsi="仿宋" w:eastAsia="仿宋"/>
          <w:b w:val="0"/>
          <w:bCs w:val="0"/>
          <w:color w:val="auto"/>
          <w:highlight w:val="none"/>
        </w:rPr>
        <w:t>有资本经营预算</w:t>
      </w:r>
      <w:r>
        <w:rPr>
          <w:rStyle w:val="39"/>
          <w:rFonts w:hint="eastAsia" w:ascii="仿宋" w:hAnsi="仿宋" w:eastAsia="仿宋"/>
          <w:b w:val="0"/>
          <w:bCs w:val="0"/>
          <w:color w:val="auto"/>
          <w:highlight w:val="none"/>
          <w:lang w:eastAsia="zh-CN"/>
        </w:rPr>
        <w:t>财政拨款收入</w:t>
      </w:r>
      <w:r>
        <w:rPr>
          <w:rStyle w:val="39"/>
          <w:rFonts w:hint="eastAsia" w:ascii="仿宋" w:hAnsi="仿宋" w:eastAsia="仿宋"/>
          <w:b w:val="0"/>
          <w:bCs w:val="0"/>
          <w:color w:val="auto"/>
          <w:highlight w:val="none"/>
        </w:rPr>
        <w:t>支出决算表</w:t>
      </w:r>
      <w:bookmarkEnd w:id="142"/>
      <w:bookmarkEnd w:id="14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Style w:val="39"/>
          <w:rFonts w:hint="eastAsia" w:ascii="仿宋" w:hAnsi="仿宋" w:eastAsia="仿宋"/>
          <w:b w:val="0"/>
          <w:bCs w:val="0"/>
          <w:color w:val="auto"/>
          <w:highlight w:val="none"/>
          <w:lang w:eastAsia="zh-CN"/>
        </w:rPr>
      </w:pPr>
      <w:bookmarkStart w:id="144" w:name="_Toc18876"/>
      <w:bookmarkStart w:id="145" w:name="_Toc8570"/>
      <w:r>
        <w:rPr>
          <w:rStyle w:val="39"/>
          <w:rFonts w:hint="eastAsia" w:ascii="仿宋" w:hAnsi="仿宋" w:eastAsia="仿宋"/>
          <w:b w:val="0"/>
          <w:bCs w:val="0"/>
          <w:color w:val="auto"/>
          <w:highlight w:val="none"/>
        </w:rPr>
        <w:t>十二、</w:t>
      </w:r>
      <w:r>
        <w:rPr>
          <w:rStyle w:val="39"/>
          <w:rFonts w:hint="eastAsia" w:ascii="仿宋" w:hAnsi="仿宋" w:eastAsia="仿宋"/>
          <w:b w:val="0"/>
          <w:bCs w:val="0"/>
          <w:color w:val="auto"/>
          <w:highlight w:val="none"/>
          <w:lang w:eastAsia="zh-CN"/>
        </w:rPr>
        <w:t>国有资本经营预算财政拨款支出决算表</w:t>
      </w:r>
      <w:bookmarkEnd w:id="144"/>
      <w:bookmarkEnd w:id="14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eastAsia="仿宋"/>
          <w:color w:val="auto"/>
          <w:highlight w:val="none"/>
          <w:lang w:eastAsia="zh-CN"/>
        </w:rPr>
      </w:pPr>
      <w:bookmarkStart w:id="146" w:name="_Toc5493"/>
      <w:bookmarkStart w:id="147" w:name="_Toc14412"/>
      <w:r>
        <w:rPr>
          <w:rStyle w:val="39"/>
          <w:rFonts w:hint="eastAsia" w:ascii="仿宋" w:hAnsi="仿宋" w:eastAsia="仿宋"/>
          <w:b w:val="0"/>
          <w:bCs w:val="0"/>
          <w:color w:val="auto"/>
          <w:highlight w:val="none"/>
        </w:rPr>
        <w:t>十三、</w:t>
      </w:r>
      <w:r>
        <w:rPr>
          <w:rStyle w:val="39"/>
          <w:rFonts w:hint="eastAsia" w:ascii="仿宋" w:hAnsi="仿宋" w:eastAsia="仿宋"/>
          <w:b w:val="0"/>
          <w:bCs w:val="0"/>
          <w:color w:val="auto"/>
          <w:highlight w:val="none"/>
          <w:lang w:eastAsia="zh-CN"/>
        </w:rPr>
        <w:t>财政拨款“三公”经费支出决算表</w:t>
      </w:r>
      <w:bookmarkEnd w:id="146"/>
      <w:bookmarkEnd w:id="147"/>
    </w:p>
    <w:p>
      <w:pPr>
        <w:pStyle w:val="4"/>
        <w:outlineLvl w:val="9"/>
        <w:rPr>
          <w:rFonts w:hint="eastAsia" w:eastAsia="仿宋"/>
          <w:color w:val="auto"/>
          <w:highlight w:val="none"/>
          <w:lang w:eastAsia="zh-CN"/>
        </w:rPr>
      </w:pPr>
    </w:p>
    <w:sectPr>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黑体"/>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548363"/>
    </w:sdtPr>
    <w:sdtContent>
      <w:p>
        <w:pPr>
          <w:pStyle w:val="14"/>
          <w:jc w:val="center"/>
        </w:pPr>
        <w:r>
          <w:fldChar w:fldCharType="begin"/>
        </w:r>
        <w:r>
          <w:instrText xml:space="preserve">PAGE   \* MERGEFORMAT</w:instrText>
        </w:r>
        <w:r>
          <w:fldChar w:fldCharType="separate"/>
        </w:r>
        <w:r>
          <w:rPr>
            <w:lang w:val="zh-CN"/>
          </w:rPr>
          <w:t>8</w:t>
        </w:r>
        <w: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548363"/>
    </w:sdtPr>
    <w:sdtContent>
      <w:p>
        <w:pPr>
          <w:pStyle w:val="14"/>
          <w:jc w:val="center"/>
        </w:pPr>
        <w:r>
          <w:fldChar w:fldCharType="begin"/>
        </w:r>
        <w:r>
          <w:instrText xml:space="preserve">PAGE   \* MERGEFORMAT</w:instrText>
        </w:r>
        <w:r>
          <w:fldChar w:fldCharType="separate"/>
        </w:r>
        <w:r>
          <w:rPr>
            <w:lang w:val="zh-CN"/>
          </w:rPr>
          <w:t>8</w:t>
        </w:r>
        <w:r>
          <w:fldChar w:fldCharType="end"/>
        </w: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pPr>
        <w:ind w:left="0" w:firstLine="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OWMwMDdjMDFjZjQ1NWM1ZjZjMDI2NDMyZGQyNmU4MjQifQ=="/>
  </w:docVars>
  <w:rsids>
    <w:rsidRoot w:val="17E73FF1"/>
    <w:rsid w:val="17E73FF1"/>
    <w:rsid w:val="18D32216"/>
    <w:rsid w:val="37F0179E"/>
    <w:rsid w:val="47431AC0"/>
    <w:rsid w:val="5F813A91"/>
    <w:rsid w:val="6A2F0CCA"/>
    <w:rsid w:val="7D672CE3"/>
    <w:rsid w:val="7EE63A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39"/>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23">
    <w:name w:val="Default Paragraph Font"/>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30" w:beforeLines="30"/>
    </w:pPr>
    <w:rPr>
      <w:rFonts w:ascii="仿宋_GB2312" w:eastAsia="仿宋_GB2312"/>
      <w:kern w:val="0"/>
      <w:sz w:val="30"/>
    </w:rPr>
  </w:style>
  <w:style w:type="paragraph" w:styleId="6">
    <w:name w:val="toc 7"/>
    <w:next w:val="1"/>
    <w:qFormat/>
    <w:uiPriority w:val="0"/>
    <w:pPr>
      <w:ind w:left="1260"/>
      <w:jc w:val="left"/>
    </w:pPr>
    <w:rPr>
      <w:rFonts w:ascii="Times New Roman" w:hAnsi="Times New Roman" w:eastAsia="宋体" w:cs="Times New Roman"/>
      <w:sz w:val="18"/>
      <w:szCs w:val="20"/>
      <w:lang w:val="en-US" w:eastAsia="zh-CN" w:bidi="ar-SA"/>
    </w:rPr>
  </w:style>
  <w:style w:type="paragraph" w:styleId="7">
    <w:name w:val="index 8"/>
    <w:basedOn w:val="1"/>
    <w:next w:val="1"/>
    <w:qFormat/>
    <w:uiPriority w:val="0"/>
    <w:pPr>
      <w:ind w:left="2940"/>
    </w:pPr>
  </w:style>
  <w:style w:type="paragraph" w:styleId="8">
    <w:name w:val="Body Text Indent"/>
    <w:basedOn w:val="1"/>
    <w:next w:val="9"/>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9">
    <w:name w:val="Body Text First Indent 2"/>
    <w:basedOn w:val="8"/>
    <w:next w:val="1"/>
    <w:qFormat/>
    <w:uiPriority w:val="0"/>
    <w:pPr>
      <w:ind w:firstLine="200" w:firstLineChars="200"/>
    </w:pPr>
  </w:style>
  <w:style w:type="paragraph" w:styleId="10">
    <w:name w:val="toc 5"/>
    <w:next w:val="1"/>
    <w:qFormat/>
    <w:uiPriority w:val="0"/>
    <w:pPr>
      <w:ind w:left="840"/>
      <w:jc w:val="left"/>
    </w:pPr>
    <w:rPr>
      <w:rFonts w:ascii="Times New Roman" w:hAnsi="Times New Roman" w:eastAsia="宋体" w:cs="Times New Roman"/>
      <w:sz w:val="18"/>
      <w:szCs w:val="20"/>
      <w:lang w:val="en-US" w:eastAsia="zh-CN" w:bidi="ar-SA"/>
    </w:rPr>
  </w:style>
  <w:style w:type="paragraph" w:styleId="11">
    <w:name w:val="toc 3"/>
    <w:next w:val="1"/>
    <w:qFormat/>
    <w:uiPriority w:val="0"/>
    <w:pPr>
      <w:ind w:left="420"/>
      <w:jc w:val="left"/>
    </w:pPr>
    <w:rPr>
      <w:rFonts w:ascii="Times New Roman" w:hAnsi="Times New Roman" w:eastAsia="宋体" w:cs="Times New Roman"/>
      <w:i/>
      <w:sz w:val="20"/>
      <w:szCs w:val="20"/>
      <w:lang w:val="en-US" w:eastAsia="zh-CN" w:bidi="ar-SA"/>
    </w:rPr>
  </w:style>
  <w:style w:type="paragraph" w:styleId="12">
    <w:name w:val="toc 8"/>
    <w:next w:val="1"/>
    <w:qFormat/>
    <w:uiPriority w:val="0"/>
    <w:pPr>
      <w:ind w:left="1470"/>
      <w:jc w:val="left"/>
    </w:pPr>
    <w:rPr>
      <w:rFonts w:ascii="Times New Roman" w:hAnsi="Times New Roman" w:eastAsia="宋体" w:cs="Times New Roman"/>
      <w:sz w:val="18"/>
      <w:szCs w:val="20"/>
      <w:lang w:val="en-US" w:eastAsia="zh-CN" w:bidi="ar-SA"/>
    </w:rPr>
  </w:style>
  <w:style w:type="paragraph" w:styleId="13">
    <w:name w:val="Balloon Text"/>
    <w:basedOn w:val="1"/>
    <w:qFormat/>
    <w:uiPriority w:val="0"/>
    <w:rPr>
      <w:sz w:val="18"/>
      <w:szCs w:val="18"/>
    </w:rPr>
  </w:style>
  <w:style w:type="paragraph" w:styleId="14">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6">
    <w:name w:val="toc 1"/>
    <w:next w:val="1"/>
    <w:qFormat/>
    <w:uiPriority w:val="0"/>
    <w:pPr>
      <w:spacing w:before="120" w:after="120"/>
      <w:ind w:left="0"/>
      <w:jc w:val="left"/>
    </w:pPr>
    <w:rPr>
      <w:rFonts w:ascii="Times New Roman" w:hAnsi="Times New Roman" w:eastAsia="宋体" w:cs="Times New Roman"/>
      <w:b/>
      <w:caps/>
      <w:sz w:val="20"/>
      <w:szCs w:val="20"/>
      <w:lang w:val="en-US" w:eastAsia="zh-CN" w:bidi="ar-SA"/>
    </w:rPr>
  </w:style>
  <w:style w:type="paragraph" w:styleId="17">
    <w:name w:val="toc 4"/>
    <w:next w:val="1"/>
    <w:qFormat/>
    <w:uiPriority w:val="0"/>
    <w:pPr>
      <w:ind w:left="630"/>
      <w:jc w:val="left"/>
    </w:pPr>
    <w:rPr>
      <w:rFonts w:ascii="Times New Roman" w:hAnsi="Times New Roman" w:eastAsia="宋体" w:cs="Times New Roman"/>
      <w:sz w:val="18"/>
      <w:szCs w:val="20"/>
      <w:lang w:val="en-US" w:eastAsia="zh-CN" w:bidi="ar-SA"/>
    </w:rPr>
  </w:style>
  <w:style w:type="paragraph" w:styleId="18">
    <w:name w:val="toc 6"/>
    <w:next w:val="1"/>
    <w:qFormat/>
    <w:uiPriority w:val="0"/>
    <w:pPr>
      <w:ind w:left="1050"/>
      <w:jc w:val="left"/>
    </w:pPr>
    <w:rPr>
      <w:rFonts w:ascii="Times New Roman" w:hAnsi="Times New Roman" w:eastAsia="宋体" w:cs="Times New Roman"/>
      <w:sz w:val="18"/>
      <w:szCs w:val="20"/>
      <w:lang w:val="en-US" w:eastAsia="zh-CN" w:bidi="ar-SA"/>
    </w:rPr>
  </w:style>
  <w:style w:type="paragraph" w:styleId="19">
    <w:name w:val="toc 2"/>
    <w:next w:val="1"/>
    <w:qFormat/>
    <w:uiPriority w:val="0"/>
    <w:pPr>
      <w:ind w:left="210"/>
      <w:jc w:val="left"/>
    </w:pPr>
    <w:rPr>
      <w:rFonts w:ascii="Times New Roman" w:hAnsi="Times New Roman" w:eastAsia="宋体" w:cs="Times New Roman"/>
      <w:smallCaps/>
      <w:sz w:val="20"/>
      <w:szCs w:val="20"/>
      <w:lang w:val="en-US" w:eastAsia="zh-CN" w:bidi="ar-SA"/>
    </w:rPr>
  </w:style>
  <w:style w:type="paragraph" w:styleId="20">
    <w:name w:val="toc 9"/>
    <w:next w:val="1"/>
    <w:qFormat/>
    <w:uiPriority w:val="0"/>
    <w:pPr>
      <w:ind w:left="1680"/>
      <w:jc w:val="left"/>
    </w:pPr>
    <w:rPr>
      <w:rFonts w:ascii="Times New Roman" w:hAnsi="Times New Roman" w:eastAsia="宋体" w:cs="Times New Roman"/>
      <w:sz w:val="18"/>
      <w:szCs w:val="20"/>
      <w:lang w:val="en-US" w:eastAsia="zh-CN" w:bidi="ar-SA"/>
    </w:rPr>
  </w:style>
  <w:style w:type="paragraph" w:styleId="21">
    <w:name w:val="Normal (Web)"/>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SA"/>
    </w:rPr>
  </w:style>
  <w:style w:type="character" w:styleId="24">
    <w:name w:val="Strong"/>
    <w:basedOn w:val="23"/>
    <w:qFormat/>
    <w:uiPriority w:val="0"/>
    <w:rPr>
      <w:b/>
    </w:rPr>
  </w:style>
  <w:style w:type="character" w:styleId="25">
    <w:name w:val="Hyperlink"/>
    <w:basedOn w:val="23"/>
    <w:qFormat/>
    <w:uiPriority w:val="0"/>
    <w:rPr>
      <w:color w:val="0000FF"/>
      <w:u w:val="single"/>
    </w:rPr>
  </w:style>
  <w:style w:type="character" w:customStyle="1" w:styleId="26">
    <w:name w:val="heading 1 Char"/>
    <w:basedOn w:val="23"/>
    <w:link w:val="3"/>
    <w:qFormat/>
    <w:uiPriority w:val="0"/>
    <w:rPr>
      <w:rFonts w:ascii="Times New Roman" w:hAnsi="Times New Roman" w:eastAsia="宋体" w:cs="Times New Roman"/>
      <w:b/>
      <w:bCs/>
      <w:kern w:val="44"/>
      <w:sz w:val="44"/>
      <w:szCs w:val="44"/>
      <w:lang w:val="en-US" w:eastAsia="zh-CN" w:bidi="ar-SA"/>
    </w:rPr>
  </w:style>
  <w:style w:type="character" w:customStyle="1" w:styleId="27">
    <w:name w:val="heading 2 Char"/>
    <w:basedOn w:val="23"/>
    <w:link w:val="4"/>
    <w:qFormat/>
    <w:uiPriority w:val="0"/>
    <w:rPr>
      <w:rFonts w:ascii="Cambria" w:hAnsi="Cambria" w:eastAsia="宋体" w:cs="Times New Roman"/>
      <w:b/>
      <w:bCs/>
      <w:kern w:val="2"/>
      <w:sz w:val="32"/>
      <w:szCs w:val="32"/>
      <w:lang w:val="en-US" w:eastAsia="zh-CN" w:bidi="ar-SA"/>
    </w:rPr>
  </w:style>
  <w:style w:type="character" w:customStyle="1" w:styleId="28">
    <w:name w:val="Header Char"/>
    <w:basedOn w:val="23"/>
    <w:qFormat/>
    <w:uiPriority w:val="0"/>
    <w:rPr>
      <w:rFonts w:ascii="Times New Roman" w:hAnsi="Times New Roman"/>
      <w:sz w:val="18"/>
      <w:szCs w:val="18"/>
    </w:rPr>
  </w:style>
  <w:style w:type="character" w:customStyle="1" w:styleId="29">
    <w:name w:val="Footer Char"/>
    <w:basedOn w:val="23"/>
    <w:qFormat/>
    <w:uiPriority w:val="0"/>
    <w:rPr>
      <w:rFonts w:ascii="Times New Roman" w:hAnsi="Times New Roman"/>
      <w:sz w:val="18"/>
      <w:szCs w:val="18"/>
    </w:rPr>
  </w:style>
  <w:style w:type="character" w:customStyle="1" w:styleId="30">
    <w:name w:val="Body Text Char"/>
    <w:basedOn w:val="23"/>
    <w:qFormat/>
    <w:uiPriority w:val="0"/>
    <w:rPr>
      <w:rFonts w:ascii="Times New Roman" w:hAnsi="Times New Roman"/>
      <w:szCs w:val="24"/>
    </w:rPr>
  </w:style>
  <w:style w:type="paragraph" w:customStyle="1" w:styleId="31">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32">
    <w:name w:val="List Paragraph"/>
    <w:basedOn w:val="1"/>
    <w:qFormat/>
    <w:uiPriority w:val="0"/>
    <w:pPr>
      <w:ind w:firstLine="200" w:firstLineChars="200"/>
    </w:pPr>
  </w:style>
  <w:style w:type="paragraph" w:customStyle="1" w:styleId="33">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34">
    <w:name w:val="TOC Heading"/>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character" w:customStyle="1" w:styleId="35">
    <w:name w:val="19"/>
    <w:qFormat/>
    <w:uiPriority w:val="0"/>
    <w:rPr>
      <w:rFonts w:ascii="Times New Roman" w:hAnsi="Times New Roman" w:eastAsia="楷体_GB2312" w:cs="楷体_GB2312"/>
      <w:sz w:val="32"/>
      <w:szCs w:val="32"/>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 w:type="paragraph" w:customStyle="1" w:styleId="38">
    <w:name w:val="WPSOffice手动目录 3"/>
    <w:qFormat/>
    <w:uiPriority w:val="0"/>
    <w:pPr>
      <w:ind w:leftChars="400"/>
    </w:pPr>
    <w:rPr>
      <w:rFonts w:ascii="Times New Roman" w:hAnsi="Times New Roman" w:eastAsia="宋体" w:cs="Times New Roman"/>
      <w:sz w:val="20"/>
      <w:szCs w:val="20"/>
    </w:rPr>
  </w:style>
  <w:style w:type="character" w:customStyle="1" w:styleId="39">
    <w:name w:val="标题 2 Char"/>
    <w:basedOn w:val="23"/>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bmp"/><Relationship Id="rId8" Type="http://schemas.openxmlformats.org/officeDocument/2006/relationships/image" Target="media/image1.bmp"/><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5.bmp"/><Relationship Id="rId11" Type="http://schemas.openxmlformats.org/officeDocument/2006/relationships/image" Target="media/image4.bmp"/><Relationship Id="rId10" Type="http://schemas.openxmlformats.org/officeDocument/2006/relationships/image" Target="media/image3.bmp"/><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2&#24180;&#22235;&#24029;&#30465;&#24191;&#20803;&#24066;&#26157;&#21270;&#21306;&#21355;&#23376;&#38215;&#20013;&#24515;&#21355;&#29983;&#38498;&#20915;&#31639;&#20844;&#24320;&#25253;&#21578;.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2022年四川省广元市昭化区卫子镇中心卫生院决算公开报告.dotx</Template>
  <Pages>19</Pages>
  <Words>7784</Words>
  <Characters>8535</Characters>
  <Lines>0</Lines>
  <Paragraphs>194</Paragraphs>
  <TotalTime>3</TotalTime>
  <ScaleCrop>false</ScaleCrop>
  <LinksUpToDate>false</LinksUpToDate>
  <CharactersWithSpaces>8749</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2023-09-27T06:39:00Z</dcterms:created>
  <dc:creator>viky</dc:creator>
  <cp:lastModifiedBy>兔子</cp:lastModifiedBy>
  <dcterms:modified xsi:type="dcterms:W3CDTF">2023-09-28T09:40:49Z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9E9BE8D6725D49ACBF8F0957950D7E03_11</vt:lpwstr>
  </property>
</Properties>
</file>