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32061"/>
      <w:bookmarkStart w:id="2" w:name="_Toc15396475"/>
      <w:bookmarkStart w:id="3" w:name="_Toc15396597"/>
      <w:bookmarkStart w:id="4" w:name="_Toc15378441"/>
      <w:bookmarkStart w:id="5" w:name="_Toc15377425"/>
      <w:bookmarkStart w:id="6" w:name="_Toc21847"/>
      <w:bookmarkStart w:id="7" w:name="_Toc15377193"/>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8" w:name="_Toc15396598"/>
      <w:bookmarkStart w:id="9" w:name="_Toc17300"/>
      <w:bookmarkStart w:id="10" w:name="_Toc15377426"/>
      <w:bookmarkStart w:id="11" w:name="_Toc5615"/>
      <w:bookmarkStart w:id="12" w:name="_Toc15377194"/>
      <w:bookmarkStart w:id="13" w:name="_Toc15378442"/>
      <w:bookmarkStart w:id="14" w:name="_Toc15396476"/>
      <w:r>
        <w:rPr>
          <w:rFonts w:hint="eastAsia" w:ascii="方正小标宋简体" w:eastAsia="方正小标宋简体" w:cs="方正小标宋简体"/>
          <w:color w:val="auto"/>
          <w:sz w:val="72"/>
          <w:szCs w:val="72"/>
          <w:highlight w:val="none"/>
        </w:rPr>
        <w:t>四川省</w:t>
      </w:r>
      <w:bookmarkEnd w:id="0"/>
      <w:bookmarkStart w:id="15" w:name="_Toc15306268"/>
      <w:r>
        <w:rPr>
          <w:rFonts w:hint="eastAsia" w:ascii="方正小标宋简体" w:eastAsia="方正小标宋简体" w:cs="方正小标宋简体"/>
          <w:color w:val="auto"/>
          <w:sz w:val="72"/>
          <w:szCs w:val="72"/>
          <w:highlight w:val="none"/>
          <w:lang w:eastAsia="zh-CN"/>
        </w:rPr>
        <w:t>广元市昭化区昭化镇中心卫生院单位</w:t>
      </w:r>
      <w:r>
        <w:rPr>
          <w:rFonts w:hint="eastAsia" w:asci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pStyle w:val="12"/>
        <w:rPr>
          <w:rFonts w:eastAsia="仿宋"/>
          <w:color w:val="auto"/>
          <w:highlight w:val="none"/>
          <w:lang w:val="en-US" w:eastAsia="zh-CN"/>
        </w:rPr>
      </w:pPr>
      <w:r>
        <w:rPr>
          <w:rFonts w:hint="eastAsia"/>
          <w:color w:val="auto"/>
          <w:highlight w:val="none"/>
        </w:rPr>
        <w:t>公开时间：2</w:t>
      </w:r>
      <w:r>
        <w:rPr>
          <w:rFonts w:hint="eastAsia"/>
          <w:color w:val="auto"/>
          <w:highlight w:val="none"/>
          <w:lang w:val="en-US" w:eastAsia="zh-CN"/>
        </w:rPr>
        <w:t>023年9月28日</w:t>
      </w:r>
    </w:p>
    <w:sdt>
      <w:sdtPr>
        <w:rPr>
          <w:rFonts w:ascii="宋体" w:eastAsia="宋体" w:cs="Times New Roman"/>
          <w:kern w:val="2"/>
          <w:sz w:val="21"/>
          <w:szCs w:val="24"/>
          <w:lang w:val="en-US" w:eastAsia="zh-CN" w:bidi="ar-SA"/>
        </w:rPr>
        <w:id w:val="-285538090"/>
        <w15:color w:val="DBDBDB"/>
        <w:docPartObj>
          <w:docPartGallery w:val="Table of Contents"/>
          <w:docPartUnique/>
        </w:docPartObj>
      </w:sdtPr>
      <w:sdtEndPr>
        <w:rPr>
          <w:rFonts w:asci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2"/>
            <w:tabs>
              <w:tab w:val="right" w:leader="dot" w:pos="8306"/>
              <w:tab w:val="clear" w:pos="8296"/>
            </w:tabs>
            <w:jc w:val="both"/>
          </w:pPr>
          <w:r>
            <w:fldChar w:fldCharType="begin"/>
          </w:r>
          <w:r>
            <w:instrText xml:space="preserve"> HYPERLINK \l _Toc14672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_Toc14672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_Toc21023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_Toc21023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_Toc10125 </w:instrText>
          </w:r>
          <w:r>
            <w:fldChar w:fldCharType="separate"/>
          </w:r>
          <w:r>
            <w:rPr>
              <w:rFonts w:hint="eastAsia" w:ascii="黑体" w:eastAsia="黑体" w:cs="Times New Roman"/>
              <w:bCs w:val="0"/>
              <w:lang w:val="en-US" w:eastAsia="zh-CN"/>
            </w:rPr>
            <w:t xml:space="preserve">二、 </w:t>
          </w:r>
          <w:r>
            <w:rPr>
              <w:rFonts w:hint="eastAsia" w:ascii="黑体" w:eastAsia="黑体" w:cs="Times New Roman"/>
              <w:bCs w:val="0"/>
              <w:highlight w:val="none"/>
              <w:lang w:val="en-US" w:eastAsia="zh-CN"/>
            </w:rPr>
            <w:t>机构设置</w:t>
          </w:r>
          <w:r>
            <w:tab/>
          </w:r>
          <w:r>
            <w:fldChar w:fldCharType="begin"/>
          </w:r>
          <w:r>
            <w:instrText xml:space="preserve"> PAGEREF _Toc10125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_Toc3497 </w:instrText>
          </w:r>
          <w:r>
            <w:fldChar w:fldCharType="separate"/>
          </w:r>
          <w:r>
            <w:rPr>
              <w:rFonts w:hint="eastAsia" w:ascii="黑体" w:eastAsia="黑体"/>
              <w:bCs/>
              <w:highlight w:val="none"/>
            </w:rPr>
            <w:t xml:space="preserve">第二部分 </w:t>
          </w:r>
          <w:r>
            <w:rPr>
              <w:rFonts w:hint="eastAsia" w:ascii="黑体" w:eastAsia="黑体"/>
              <w:bCs/>
              <w:highlight w:val="none"/>
              <w:lang w:val="en-US" w:eastAsia="zh-CN"/>
            </w:rPr>
            <w:t>2022年度</w:t>
          </w:r>
          <w:r>
            <w:rPr>
              <w:rFonts w:hint="eastAsia" w:ascii="黑体" w:eastAsia="黑体"/>
              <w:bCs/>
              <w:highlight w:val="none"/>
              <w:lang w:eastAsia="zh-CN"/>
            </w:rPr>
            <w:t>单位</w:t>
          </w:r>
          <w:r>
            <w:rPr>
              <w:rFonts w:hint="eastAsia" w:ascii="黑体" w:eastAsia="黑体"/>
              <w:bCs/>
              <w:highlight w:val="none"/>
            </w:rPr>
            <w:t>决算情况说明</w:t>
          </w:r>
          <w:r>
            <w:tab/>
          </w:r>
          <w:r>
            <w:fldChar w:fldCharType="begin"/>
          </w:r>
          <w:r>
            <w:instrText xml:space="preserve"> PAGEREF _Toc3497 </w:instrText>
          </w:r>
          <w:r>
            <w:fldChar w:fldCharType="separate"/>
          </w:r>
          <w:r>
            <w:t>2</w:t>
          </w:r>
          <w:r>
            <w:fldChar w:fldCharType="end"/>
          </w:r>
          <w:r>
            <w:fldChar w:fldCharType="end"/>
          </w:r>
        </w:p>
        <w:p>
          <w:pPr>
            <w:pStyle w:val="13"/>
            <w:tabs>
              <w:tab w:val="right" w:leader="dot" w:pos="8306"/>
              <w:tab w:val="clear" w:pos="8296"/>
            </w:tabs>
          </w:pPr>
          <w:r>
            <w:fldChar w:fldCharType="begin"/>
          </w:r>
          <w:r>
            <w:instrText xml:space="preserve"> HYPERLINK \l _Toc5715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_Toc5715 </w:instrText>
          </w:r>
          <w:r>
            <w:fldChar w:fldCharType="separate"/>
          </w:r>
          <w:r>
            <w:t>2</w:t>
          </w:r>
          <w:r>
            <w:fldChar w:fldCharType="end"/>
          </w:r>
          <w:r>
            <w:fldChar w:fldCharType="end"/>
          </w:r>
        </w:p>
        <w:p>
          <w:pPr>
            <w:pStyle w:val="13"/>
            <w:tabs>
              <w:tab w:val="right" w:leader="dot" w:pos="8306"/>
              <w:tab w:val="clear" w:pos="8296"/>
            </w:tabs>
          </w:pPr>
          <w:r>
            <w:fldChar w:fldCharType="begin"/>
          </w:r>
          <w:r>
            <w:instrText xml:space="preserve"> HYPERLINK \l _Toc16584 </w:instrText>
          </w:r>
          <w: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_Toc16584 </w:instrText>
          </w:r>
          <w:r>
            <w:fldChar w:fldCharType="separate"/>
          </w:r>
          <w:r>
            <w:t>2</w:t>
          </w:r>
          <w:r>
            <w:fldChar w:fldCharType="end"/>
          </w:r>
          <w:r>
            <w:fldChar w:fldCharType="end"/>
          </w:r>
        </w:p>
        <w:p>
          <w:pPr>
            <w:pStyle w:val="13"/>
            <w:tabs>
              <w:tab w:val="right" w:leader="dot" w:pos="8306"/>
              <w:tab w:val="clear" w:pos="8296"/>
            </w:tabs>
          </w:pPr>
          <w:r>
            <w:fldChar w:fldCharType="begin"/>
          </w:r>
          <w:r>
            <w:instrText xml:space="preserve"> HYPERLINK \l _Toc1238 </w:instrText>
          </w:r>
          <w: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_Toc1238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_Toc14162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_Toc14162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_Toc11025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_Toc11025 </w:instrText>
          </w:r>
          <w:r>
            <w:fldChar w:fldCharType="separate"/>
          </w:r>
          <w:r>
            <w:t>4</w:t>
          </w:r>
          <w:r>
            <w:fldChar w:fldCharType="end"/>
          </w:r>
          <w:r>
            <w:fldChar w:fldCharType="end"/>
          </w:r>
        </w:p>
        <w:p>
          <w:pPr>
            <w:pStyle w:val="8"/>
            <w:tabs>
              <w:tab w:val="right" w:leader="dot" w:pos="8306"/>
              <w:tab w:val="clear" w:pos="8296"/>
            </w:tabs>
          </w:pPr>
          <w:r>
            <w:fldChar w:fldCharType="begin"/>
          </w:r>
          <w:r>
            <w:instrText xml:space="preserve"> HYPERLINK \l _Toc1604 </w:instrText>
          </w:r>
          <w:r>
            <w:fldChar w:fldCharType="separate"/>
          </w:r>
          <w:r>
            <w:rPr>
              <w:rFonts w:hint="eastAsia" w:ascii="仿宋" w:eastAsia="仿宋"/>
              <w:szCs w:val="32"/>
              <w:highlight w:val="none"/>
            </w:rPr>
            <w:t>（一）一般公共预算财政拨款支出决算总体情况</w:t>
          </w:r>
          <w:r>
            <w:tab/>
          </w:r>
          <w:r>
            <w:fldChar w:fldCharType="begin"/>
          </w:r>
          <w:r>
            <w:instrText xml:space="preserve"> PAGEREF _Toc1604 </w:instrText>
          </w:r>
          <w:r>
            <w:fldChar w:fldCharType="separate"/>
          </w:r>
          <w:r>
            <w:t>4</w:t>
          </w:r>
          <w:r>
            <w:fldChar w:fldCharType="end"/>
          </w:r>
          <w:r>
            <w:fldChar w:fldCharType="end"/>
          </w:r>
        </w:p>
        <w:p>
          <w:pPr>
            <w:pStyle w:val="8"/>
            <w:tabs>
              <w:tab w:val="right" w:leader="dot" w:pos="8306"/>
              <w:tab w:val="clear" w:pos="8296"/>
            </w:tabs>
          </w:pPr>
          <w:r>
            <w:fldChar w:fldCharType="begin"/>
          </w:r>
          <w:r>
            <w:instrText xml:space="preserve"> HYPERLINK \l _Toc19847 </w:instrText>
          </w:r>
          <w:r>
            <w:fldChar w:fldCharType="separate"/>
          </w:r>
          <w:r>
            <w:rPr>
              <w:rFonts w:hint="eastAsia" w:ascii="仿宋" w:eastAsia="仿宋"/>
              <w:szCs w:val="32"/>
              <w:highlight w:val="none"/>
            </w:rPr>
            <w:t>（二）一般公共预算财政拨款支出决算结构情况</w:t>
          </w:r>
          <w:r>
            <w:tab/>
          </w:r>
          <w:r>
            <w:fldChar w:fldCharType="begin"/>
          </w:r>
          <w:r>
            <w:instrText xml:space="preserve"> PAGEREF _Toc19847 </w:instrText>
          </w:r>
          <w:r>
            <w:fldChar w:fldCharType="separate"/>
          </w:r>
          <w:r>
            <w:t>4</w:t>
          </w:r>
          <w:r>
            <w:fldChar w:fldCharType="end"/>
          </w:r>
          <w:r>
            <w:fldChar w:fldCharType="end"/>
          </w:r>
        </w:p>
        <w:p>
          <w:pPr>
            <w:pStyle w:val="8"/>
            <w:tabs>
              <w:tab w:val="right" w:leader="dot" w:pos="8306"/>
              <w:tab w:val="clear" w:pos="8296"/>
            </w:tabs>
          </w:pPr>
          <w:r>
            <w:fldChar w:fldCharType="begin"/>
          </w:r>
          <w:r>
            <w:instrText xml:space="preserve"> HYPERLINK \l _Toc14489 </w:instrText>
          </w:r>
          <w:r>
            <w:fldChar w:fldCharType="separate"/>
          </w:r>
          <w:r>
            <w:rPr>
              <w:rFonts w:hint="eastAsia" w:ascii="仿宋" w:eastAsia="仿宋"/>
              <w:szCs w:val="32"/>
              <w:highlight w:val="none"/>
            </w:rPr>
            <w:t>（三）一般公共预算财政拨款支出决算具体情况</w:t>
          </w:r>
          <w:r>
            <w:tab/>
          </w:r>
          <w:r>
            <w:fldChar w:fldCharType="begin"/>
          </w:r>
          <w:r>
            <w:instrText xml:space="preserve"> PAGEREF _Toc14489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_Toc23139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_Toc23139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_Toc19745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_Toc19745 </w:instrText>
          </w:r>
          <w:r>
            <w:fldChar w:fldCharType="separate"/>
          </w:r>
          <w:r>
            <w:t>6</w:t>
          </w:r>
          <w:r>
            <w:fldChar w:fldCharType="end"/>
          </w:r>
          <w:r>
            <w:fldChar w:fldCharType="end"/>
          </w:r>
        </w:p>
        <w:p>
          <w:pPr>
            <w:pStyle w:val="8"/>
            <w:tabs>
              <w:tab w:val="right" w:leader="dot" w:pos="8306"/>
              <w:tab w:val="clear" w:pos="8296"/>
            </w:tabs>
          </w:pPr>
          <w:r>
            <w:fldChar w:fldCharType="begin"/>
          </w:r>
          <w:r>
            <w:instrText xml:space="preserve"> HYPERLINK \l _Toc29736 </w:instrText>
          </w:r>
          <w:r>
            <w:fldChar w:fldCharType="separate"/>
          </w:r>
          <w:r>
            <w:rPr>
              <w:rFonts w:hint="eastAsia" w:ascii="仿宋" w:eastAsia="仿宋"/>
              <w:szCs w:val="32"/>
              <w:highlight w:val="none"/>
            </w:rPr>
            <w:t>（一）“三公”经费财政拨款支出决算总体情况说明</w:t>
          </w:r>
          <w:r>
            <w:tab/>
          </w:r>
          <w:r>
            <w:fldChar w:fldCharType="begin"/>
          </w:r>
          <w:r>
            <w:instrText xml:space="preserve"> PAGEREF _Toc29736 </w:instrText>
          </w:r>
          <w:r>
            <w:fldChar w:fldCharType="separate"/>
          </w:r>
          <w:r>
            <w:t>6</w:t>
          </w:r>
          <w:r>
            <w:fldChar w:fldCharType="end"/>
          </w:r>
          <w:r>
            <w:fldChar w:fldCharType="end"/>
          </w:r>
        </w:p>
        <w:p>
          <w:pPr>
            <w:pStyle w:val="8"/>
            <w:tabs>
              <w:tab w:val="right" w:leader="dot" w:pos="8306"/>
              <w:tab w:val="clear" w:pos="8296"/>
            </w:tabs>
          </w:pPr>
          <w:r>
            <w:fldChar w:fldCharType="begin"/>
          </w:r>
          <w:r>
            <w:instrText xml:space="preserve"> HYPERLINK \l _Toc9727 </w:instrText>
          </w:r>
          <w:r>
            <w:fldChar w:fldCharType="separate"/>
          </w:r>
          <w:r>
            <w:rPr>
              <w:rFonts w:hint="eastAsia" w:ascii="仿宋" w:eastAsia="仿宋"/>
              <w:szCs w:val="32"/>
              <w:highlight w:val="none"/>
            </w:rPr>
            <w:t>（二）“三公”经费财政拨款支出决算具体情况说明</w:t>
          </w:r>
          <w:r>
            <w:tab/>
          </w:r>
          <w:r>
            <w:fldChar w:fldCharType="begin"/>
          </w:r>
          <w:r>
            <w:instrText xml:space="preserve"> PAGEREF _Toc9727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_Toc28071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_Toc28071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_Toc18776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_Toc18776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_Toc32695 </w:instrText>
          </w:r>
          <w: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_Toc32695 </w:instrText>
          </w:r>
          <w:r>
            <w:fldChar w:fldCharType="separate"/>
          </w:r>
          <w:r>
            <w:t>7</w:t>
          </w:r>
          <w:r>
            <w:fldChar w:fldCharType="end"/>
          </w:r>
          <w:r>
            <w:fldChar w:fldCharType="end"/>
          </w:r>
        </w:p>
        <w:p>
          <w:pPr>
            <w:pStyle w:val="8"/>
            <w:tabs>
              <w:tab w:val="right" w:leader="dot" w:pos="8306"/>
              <w:tab w:val="clear" w:pos="8296"/>
            </w:tabs>
          </w:pPr>
          <w:r>
            <w:fldChar w:fldCharType="begin"/>
          </w:r>
          <w:r>
            <w:instrText xml:space="preserve"> HYPERLINK \l _Toc7154 </w:instrText>
          </w:r>
          <w:r>
            <w:fldChar w:fldCharType="separate"/>
          </w:r>
          <w:r>
            <w:rPr>
              <w:rFonts w:hint="eastAsia" w:ascii="仿宋" w:eastAsia="仿宋"/>
              <w:szCs w:val="32"/>
              <w:highlight w:val="none"/>
            </w:rPr>
            <w:t>（一）机关运行经费支出情况</w:t>
          </w:r>
          <w:r>
            <w:tab/>
          </w:r>
          <w:r>
            <w:fldChar w:fldCharType="begin"/>
          </w:r>
          <w:r>
            <w:instrText xml:space="preserve"> PAGEREF _Toc7154 </w:instrText>
          </w:r>
          <w:r>
            <w:fldChar w:fldCharType="separate"/>
          </w:r>
          <w:r>
            <w:t>7</w:t>
          </w:r>
          <w:r>
            <w:fldChar w:fldCharType="end"/>
          </w:r>
          <w:r>
            <w:fldChar w:fldCharType="end"/>
          </w:r>
        </w:p>
        <w:p>
          <w:pPr>
            <w:pStyle w:val="8"/>
            <w:tabs>
              <w:tab w:val="right" w:leader="dot" w:pos="8306"/>
              <w:tab w:val="clear" w:pos="8296"/>
            </w:tabs>
          </w:pPr>
          <w:r>
            <w:fldChar w:fldCharType="begin"/>
          </w:r>
          <w:r>
            <w:instrText xml:space="preserve"> HYPERLINK \l _Toc30254 </w:instrText>
          </w:r>
          <w:r>
            <w:fldChar w:fldCharType="separate"/>
          </w:r>
          <w:r>
            <w:rPr>
              <w:rFonts w:hint="eastAsia" w:ascii="仿宋" w:eastAsia="仿宋"/>
              <w:szCs w:val="32"/>
              <w:highlight w:val="none"/>
            </w:rPr>
            <w:t>（二）政府采购支出情况</w:t>
          </w:r>
          <w:r>
            <w:tab/>
          </w:r>
          <w:r>
            <w:fldChar w:fldCharType="begin"/>
          </w:r>
          <w:r>
            <w:instrText xml:space="preserve"> PAGEREF _Toc30254 </w:instrText>
          </w:r>
          <w:r>
            <w:fldChar w:fldCharType="separate"/>
          </w:r>
          <w:r>
            <w:t>7</w:t>
          </w:r>
          <w:r>
            <w:fldChar w:fldCharType="end"/>
          </w:r>
          <w:r>
            <w:fldChar w:fldCharType="end"/>
          </w:r>
        </w:p>
        <w:p>
          <w:pPr>
            <w:pStyle w:val="8"/>
            <w:tabs>
              <w:tab w:val="right" w:leader="dot" w:pos="8306"/>
              <w:tab w:val="clear" w:pos="8296"/>
            </w:tabs>
          </w:pPr>
          <w:r>
            <w:fldChar w:fldCharType="begin"/>
          </w:r>
          <w:r>
            <w:instrText xml:space="preserve"> HYPERLINK \l _Toc21476 </w:instrText>
          </w:r>
          <w:r>
            <w:fldChar w:fldCharType="separate"/>
          </w:r>
          <w:r>
            <w:rPr>
              <w:rFonts w:hint="eastAsia" w:ascii="仿宋" w:eastAsia="仿宋"/>
              <w:szCs w:val="32"/>
              <w:highlight w:val="none"/>
            </w:rPr>
            <w:t>（三）国有资产占有使用情况</w:t>
          </w:r>
          <w:r>
            <w:tab/>
          </w:r>
          <w:r>
            <w:fldChar w:fldCharType="begin"/>
          </w:r>
          <w:r>
            <w:instrText xml:space="preserve"> PAGEREF _Toc21476 </w:instrText>
          </w:r>
          <w:r>
            <w:fldChar w:fldCharType="separate"/>
          </w:r>
          <w:r>
            <w:t>7</w:t>
          </w:r>
          <w:r>
            <w:fldChar w:fldCharType="end"/>
          </w:r>
          <w:r>
            <w:fldChar w:fldCharType="end"/>
          </w:r>
        </w:p>
        <w:p>
          <w:pPr>
            <w:pStyle w:val="8"/>
            <w:tabs>
              <w:tab w:val="right" w:leader="dot" w:pos="8306"/>
              <w:tab w:val="clear" w:pos="8296"/>
            </w:tabs>
          </w:pPr>
          <w:r>
            <w:fldChar w:fldCharType="begin"/>
          </w:r>
          <w:r>
            <w:instrText xml:space="preserve"> HYPERLINK \l _Toc18930 </w:instrText>
          </w:r>
          <w:r>
            <w:fldChar w:fldCharType="separate"/>
          </w:r>
          <w:r>
            <w:rPr>
              <w:rFonts w:hint="eastAsia" w:ascii="仿宋" w:eastAsia="仿宋"/>
              <w:szCs w:val="32"/>
              <w:highlight w:val="none"/>
            </w:rPr>
            <w:t>（四）预算绩效管理情况</w:t>
          </w:r>
          <w:r>
            <w:tab/>
          </w:r>
          <w:r>
            <w:fldChar w:fldCharType="begin"/>
          </w:r>
          <w:r>
            <w:instrText xml:space="preserve"> PAGEREF _Toc18930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_Toc7331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_Toc7331 </w:instrText>
          </w:r>
          <w:r>
            <w:fldChar w:fldCharType="separate"/>
          </w:r>
          <w:r>
            <w:t>14</w:t>
          </w:r>
          <w:r>
            <w:fldChar w:fldCharType="end"/>
          </w:r>
          <w:r>
            <w:fldChar w:fldCharType="end"/>
          </w:r>
        </w:p>
        <w:p>
          <w:pPr>
            <w:pStyle w:val="12"/>
            <w:tabs>
              <w:tab w:val="right" w:leader="dot" w:pos="8306"/>
              <w:tab w:val="clear" w:pos="8296"/>
            </w:tabs>
            <w:rPr>
              <w:rFonts w:hint="eastAsia" w:eastAsia="仿宋"/>
              <w:lang w:val="en-US" w:eastAsia="zh-CN"/>
            </w:rPr>
          </w:pPr>
          <w:r>
            <w:rPr>
              <w:rFonts w:hint="eastAsia" w:ascii="黑体" w:hAnsi="黑体" w:eastAsia="黑体" w:cs="黑体"/>
              <w:szCs w:val="32"/>
              <w:highlight w:val="none"/>
              <w:lang w:eastAsia="zh-CN"/>
            </w:rPr>
            <w:t>第四部分</w:t>
          </w:r>
          <w:r>
            <w:rPr>
              <w:rFonts w:hint="eastAsia" w:ascii="黑体" w:hAnsi="黑体" w:eastAsia="黑体" w:cs="黑体"/>
              <w:szCs w:val="32"/>
              <w:highlight w:val="none"/>
              <w:lang w:val="en-US" w:eastAsia="zh-CN"/>
            </w:rPr>
            <w:t xml:space="preserve"> </w:t>
          </w:r>
          <w:r>
            <w:fldChar w:fldCharType="begin"/>
          </w:r>
          <w:r>
            <w:instrText xml:space="preserve"> HYPERLINK \l _Toc27603 </w:instrText>
          </w:r>
          <w:r>
            <w:fldChar w:fldCharType="separate"/>
          </w:r>
          <w:r>
            <w:rPr>
              <w:rFonts w:hint="eastAsia" w:ascii="黑体" w:hAnsi="黑体" w:eastAsia="黑体" w:cs="黑体"/>
              <w:szCs w:val="32"/>
              <w:highlight w:val="none"/>
            </w:rPr>
            <w:t>附件</w:t>
          </w:r>
          <w:r>
            <w:tab/>
          </w:r>
          <w:r>
            <w:rPr>
              <w:rFonts w:hint="eastAsia"/>
              <w:lang w:val="en-US" w:eastAsia="zh-CN"/>
            </w:rPr>
            <w:t>1</w:t>
          </w:r>
          <w:r>
            <w:fldChar w:fldCharType="end"/>
          </w:r>
          <w:r>
            <w:rPr>
              <w:rFonts w:hint="eastAsia"/>
              <w:lang w:val="en-US" w:eastAsia="zh-CN"/>
            </w:rPr>
            <w:t>7</w:t>
          </w:r>
        </w:p>
        <w:p>
          <w:pPr>
            <w:pStyle w:val="12"/>
            <w:tabs>
              <w:tab w:val="right" w:leader="dot" w:pos="8306"/>
              <w:tab w:val="clear" w:pos="8296"/>
            </w:tabs>
          </w:pPr>
          <w:r>
            <w:fldChar w:fldCharType="begin"/>
          </w:r>
          <w:r>
            <w:instrText xml:space="preserve"> HYPERLINK \l _Toc10876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_Toc10876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_Toc897 </w:instrText>
          </w:r>
          <w: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_Toc897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_Toc11362 </w:instrText>
          </w:r>
          <w: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_Toc11362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_Toc32033 </w:instrText>
          </w:r>
          <w: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_Toc32033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_Toc13108 </w:instrText>
          </w:r>
          <w: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_Toc13108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_Toc14521 </w:instrText>
          </w:r>
          <w: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_Toc14521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_Toc3804 </w:instrText>
          </w:r>
          <w: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_Toc3804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_Toc32392 </w:instrText>
          </w:r>
          <w: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_Toc32392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_Toc9911 </w:instrText>
          </w:r>
          <w: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_Toc9911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_Toc8261 </w:instrText>
          </w:r>
          <w: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_Toc8261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_Toc5693 </w:instrText>
          </w:r>
          <w: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_Toc5693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_Toc8601 </w:instrText>
          </w:r>
          <w: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_Toc8601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_Toc14374 </w:instrText>
          </w:r>
          <w: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_Toc14374 </w:instrText>
          </w:r>
          <w:r>
            <w:fldChar w:fldCharType="separate"/>
          </w:r>
          <w:r>
            <w:t>24</w:t>
          </w:r>
          <w:r>
            <w:fldChar w:fldCharType="end"/>
          </w:r>
          <w:r>
            <w:fldChar w:fldCharType="end"/>
          </w:r>
        </w:p>
        <w:p>
          <w:pPr>
            <w:pStyle w:val="13"/>
            <w:tabs>
              <w:tab w:val="right" w:leader="dot" w:pos="8306"/>
              <w:tab w:val="clear" w:pos="8296"/>
            </w:tabs>
          </w:pPr>
          <w:r>
            <w:fldChar w:fldCharType="begin"/>
          </w:r>
          <w:r>
            <w:instrText xml:space="preserve"> HYPERLINK \l _Toc2385 </w:instrText>
          </w:r>
          <w: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_Toc2385 </w:instrText>
          </w:r>
          <w:r>
            <w:fldChar w:fldCharType="separate"/>
          </w:r>
          <w:r>
            <w:t>24</w:t>
          </w:r>
          <w:r>
            <w:fldChar w:fldCharType="end"/>
          </w:r>
          <w:r>
            <w:fldChar w:fldCharType="end"/>
          </w:r>
        </w:p>
        <w:p>
          <w:pPr>
            <w:widowControl/>
            <w:spacing w:before="0" w:after="0" w:line="240" w:lineRule="auto"/>
            <w:ind w:left="0" w:right="0" w:firstLine="0"/>
            <w:jc w:val="center"/>
          </w:pPr>
          <w:r>
            <w:fldChar w:fldCharType="end"/>
          </w:r>
        </w:p>
      </w:sdtContent>
    </w:sdt>
    <w:p>
      <w:pPr>
        <w:pStyle w:val="7"/>
      </w:pPr>
      <w:bookmarkStart w:id="16" w:name="_Toc15396599"/>
      <w:bookmarkStart w:id="17" w:name="_Toc15377196"/>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Pr>
        <w:pStyle w:val="4"/>
        <w:jc w:val="center"/>
        <w:rPr>
          <w:rFonts w:hint="eastAsia" w:ascii="黑体" w:eastAsia="黑体"/>
          <w:b w:val="0"/>
          <w:color w:val="auto"/>
          <w:highlight w:val="none"/>
        </w:rPr>
        <w:sectPr>
          <w:headerReference r:id="rId3" w:type="default"/>
          <w:pgSz w:w="11906" w:h="16838"/>
          <w:pgMar w:top="1440" w:right="1800" w:bottom="1440" w:left="1800" w:header="851" w:footer="992" w:gutter="0"/>
          <w:pgNumType w:start="1"/>
          <w:cols w:space="720" w:num="1"/>
          <w:titlePg/>
          <w:docGrid w:type="lines" w:linePitch="312" w:charSpace="0"/>
        </w:sectPr>
      </w:pPr>
      <w:bookmarkStart w:id="18" w:name="_Toc14672"/>
    </w:p>
    <w:p>
      <w:pPr>
        <w:pStyle w:val="4"/>
        <w:jc w:val="center"/>
        <w:rPr>
          <w:rStyle w:val="19"/>
          <w:rFonts w:ascii="黑体" w:eastAsia="黑体"/>
          <w:b/>
          <w:bCs w:val="0"/>
          <w:color w:val="auto"/>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9"/>
          <w:rFonts w:hint="eastAsia" w:asci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5"/>
        <w:numPr>
          <w:ilvl w:val="0"/>
          <w:numId w:val="1"/>
        </w:numPr>
        <w:rPr>
          <w:rStyle w:val="20"/>
          <w:rFonts w:hint="eastAsia" w:ascii="黑体" w:eastAsia="黑体"/>
          <w:b w:val="0"/>
          <w:bCs w:val="0"/>
          <w:color w:val="auto"/>
          <w:highlight w:val="none"/>
          <w:lang w:eastAsia="zh-CN"/>
        </w:rPr>
      </w:pPr>
      <w:bookmarkStart w:id="19" w:name="_Toc21023"/>
      <w:bookmarkStart w:id="20" w:name="_Toc15396600"/>
      <w:bookmarkStart w:id="21" w:name="_Toc15377197"/>
      <w:r>
        <w:rPr>
          <w:rStyle w:val="20"/>
          <w:rFonts w:hint="eastAsia" w:ascii="黑体" w:eastAsia="黑体"/>
          <w:b w:val="0"/>
          <w:bCs w:val="0"/>
          <w:color w:val="auto"/>
          <w:highlight w:val="none"/>
          <w:lang w:eastAsia="zh-CN"/>
        </w:rPr>
        <w:t>主要职责</w:t>
      </w:r>
      <w:bookmarkEnd w:id="19"/>
    </w:p>
    <w:p>
      <w:pPr>
        <w:spacing w:line="600" w:lineRule="exact"/>
        <w:ind w:firstLine="640" w:firstLineChars="20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负责本乡镇的卫生工作法律、法规、政策的贯彻，卫生事业发展规划和工作计划制定，社会公共卫生工作的组织和实施；负责本乡镇的基本医疗服务；负责本乡镇预防保健工作；负责本乡镇突发公共卫生事件的报告，并依据上级部门要求组织实施处置；负责对本乡镇辖区内村级卫生组织和乡村医生的业务指导和培训；负责承办政府卫生行政部门委托的相关业务或事项；负责上级卫生行政部门下达的其他工作等。</w:t>
      </w:r>
      <w:bookmarkEnd w:id="20"/>
      <w:bookmarkEnd w:id="21"/>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leftChars="0" w:right="0" w:firstLine="0" w:firstLineChars="0"/>
        <w:jc w:val="both"/>
        <w:rPr>
          <w:rStyle w:val="20"/>
          <w:rFonts w:hint="eastAsia" w:ascii="黑体" w:eastAsia="黑体" w:cs="Times New Roman"/>
          <w:b w:val="0"/>
          <w:bCs w:val="0"/>
          <w:color w:val="auto"/>
          <w:highlight w:val="none"/>
          <w:lang w:val="en-US" w:eastAsia="zh-CN"/>
        </w:rPr>
      </w:pPr>
      <w:bookmarkStart w:id="22" w:name="_Toc10125"/>
      <w:r>
        <w:rPr>
          <w:rStyle w:val="20"/>
          <w:rFonts w:hint="eastAsia" w:ascii="黑体" w:eastAsia="黑体" w:cs="Times New Roman"/>
          <w:b w:val="0"/>
          <w:bCs w:val="0"/>
          <w:color w:val="auto"/>
          <w:highlight w:val="none"/>
          <w:lang w:val="en-US" w:eastAsia="zh-CN"/>
        </w:rPr>
        <w:t>机构设置</w:t>
      </w:r>
    </w:p>
    <w:bookmarkEnd w:id="22"/>
    <w:p>
      <w:pPr>
        <w:spacing w:line="600" w:lineRule="exact"/>
        <w:ind w:firstLine="640" w:firstLineChars="20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广元市昭化区昭化镇中心卫生院属主管部门下属单位，属于二级预算单位，无下属机构。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leftChars="0" w:right="0" w:firstLine="0" w:firstLineChars="0"/>
        <w:jc w:val="both"/>
        <w:rPr>
          <w:rFonts w:ascii="仿宋" w:eastAsia="仿宋"/>
          <w:color w:val="auto"/>
          <w:kern w:val="0"/>
          <w:sz w:val="32"/>
          <w:szCs w:val="32"/>
          <w:highlight w:val="none"/>
        </w:rPr>
      </w:pPr>
      <w:r>
        <w:rPr>
          <w:rFonts w:ascii="仿宋" w:eastAsia="仿宋"/>
          <w:color w:val="auto"/>
          <w:sz w:val="32"/>
          <w:szCs w:val="32"/>
          <w:highlight w:val="none"/>
        </w:rPr>
        <w:br w:type="page"/>
      </w:r>
    </w:p>
    <w:p>
      <w:pPr>
        <w:pStyle w:val="4"/>
        <w:ind w:right="440"/>
        <w:jc w:val="center"/>
        <w:rPr>
          <w:rStyle w:val="19"/>
          <w:rFonts w:ascii="黑体" w:eastAsia="黑体"/>
          <w:b w:val="0"/>
          <w:bCs/>
          <w:color w:val="auto"/>
          <w:highlight w:val="none"/>
        </w:rPr>
      </w:pPr>
      <w:bookmarkStart w:id="23" w:name="_Toc3497"/>
      <w:bookmarkStart w:id="24" w:name="_Toc15396602"/>
      <w:bookmarkStart w:id="25" w:name="_Toc15377204"/>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19"/>
          <w:rFonts w:hint="eastAsia" w:ascii="黑体" w:eastAsia="黑体"/>
          <w:b w:val="0"/>
          <w:bCs/>
          <w:color w:val="auto"/>
          <w:highlight w:val="none"/>
          <w:lang w:eastAsia="zh-CN"/>
        </w:rPr>
        <w:t>单位</w:t>
      </w:r>
      <w:r>
        <w:rPr>
          <w:rStyle w:val="19"/>
          <w:rFonts w:hint="eastAsia" w:ascii="黑体" w:eastAsia="黑体"/>
          <w:b w:val="0"/>
          <w:bCs/>
          <w:color w:val="auto"/>
          <w:highlight w:val="none"/>
        </w:rPr>
        <w:t>决算情况说明</w:t>
      </w:r>
      <w:bookmarkEnd w:id="23"/>
      <w:bookmarkEnd w:id="24"/>
      <w:bookmarkEnd w:id="25"/>
    </w:p>
    <w:p>
      <w:pPr>
        <w:rPr>
          <w:color w:val="auto"/>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26" w:name="_Toc5715"/>
      <w:bookmarkStart w:id="27" w:name="_Toc15377205"/>
      <w:bookmarkStart w:id="28" w:name="_Toc15396603"/>
      <w:r>
        <w:rPr>
          <w:rFonts w:hint="eastAsia" w:ascii="黑体" w:eastAsia="黑体"/>
          <w:color w:val="auto"/>
          <w:sz w:val="32"/>
          <w:szCs w:val="32"/>
          <w:highlight w:val="none"/>
        </w:rPr>
        <w:t>收</w:t>
      </w:r>
      <w:r>
        <w:rPr>
          <w:rStyle w:val="20"/>
          <w:rFonts w:hint="eastAsia" w:asci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ascii="仿宋" w:eastAsia="仿宋"/>
          <w:color w:val="auto"/>
          <w:sz w:val="32"/>
          <w:szCs w:val="32"/>
          <w:highlight w:val="none"/>
          <w:lang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869.54</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年相比，收、支总计各增加</w:t>
      </w:r>
      <w:r>
        <w:rPr>
          <w:rFonts w:hint="eastAsia" w:ascii="仿宋" w:eastAsia="仿宋"/>
          <w:color w:val="auto"/>
          <w:sz w:val="32"/>
          <w:szCs w:val="32"/>
          <w:highlight w:val="none"/>
          <w:lang w:val="en-US" w:eastAsia="zh-CN"/>
        </w:rPr>
        <w:t>222.29</w:t>
      </w:r>
      <w:r>
        <w:rPr>
          <w:rFonts w:hint="eastAsia" w:ascii="仿宋" w:eastAsia="仿宋"/>
          <w:color w:val="auto"/>
          <w:sz w:val="32"/>
          <w:szCs w:val="32"/>
          <w:highlight w:val="none"/>
        </w:rPr>
        <w:t>万元，增长</w:t>
      </w:r>
      <w:r>
        <w:rPr>
          <w:rFonts w:hint="eastAsia" w:ascii="仿宋" w:eastAsia="仿宋"/>
          <w:color w:val="auto"/>
          <w:sz w:val="32"/>
          <w:szCs w:val="32"/>
          <w:highlight w:val="none"/>
          <w:lang w:val="en-US" w:eastAsia="zh-CN"/>
        </w:rPr>
        <w:t>34.34</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医疗收入增加，人员经费增加。</w:t>
      </w:r>
    </w:p>
    <w:p>
      <w:pPr>
        <w:pStyle w:val="7"/>
        <w:rPr>
          <w:rFonts w:hint="eastAsia"/>
          <w:lang w:eastAsia="zh-CN"/>
        </w:rPr>
      </w:pPr>
      <w:r>
        <w:rPr>
          <w:rFonts w:hint="eastAsia"/>
          <w:lang w:val="en-US" w:eastAsia="zh-CN"/>
        </w:rPr>
        <w:t xml:space="preserve">           </w:t>
      </w:r>
      <w:r>
        <w:drawing>
          <wp:inline distT="0" distB="0" distL="114300" distR="114300">
            <wp:extent cx="2887980" cy="1913255"/>
            <wp:effectExtent l="0" t="0" r="0" b="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29" w:name="_Toc15377206"/>
      <w:bookmarkStart w:id="30" w:name="_Toc15396604"/>
      <w:bookmarkStart w:id="31" w:name="_Toc16584"/>
      <w:r>
        <w:rPr>
          <w:rFonts w:hint="eastAsia" w:ascii="黑体" w:eastAsia="黑体"/>
          <w:color w:val="auto"/>
          <w:sz w:val="32"/>
          <w:szCs w:val="32"/>
          <w:highlight w:val="none"/>
        </w:rPr>
        <w:t>收</w:t>
      </w:r>
      <w:r>
        <w:rPr>
          <w:rStyle w:val="20"/>
          <w:rFonts w:hint="eastAsia" w:ascii="黑体" w:eastAsia="黑体"/>
          <w:b w:val="0"/>
          <w:color w:val="auto"/>
          <w:highlight w:val="none"/>
        </w:rPr>
        <w:t>入决算情况说明</w:t>
      </w:r>
      <w:bookmarkEnd w:id="29"/>
      <w:bookmarkEnd w:id="30"/>
      <w:bookmarkEnd w:id="31"/>
    </w:p>
    <w:p>
      <w:pPr>
        <w:spacing w:line="600" w:lineRule="exact"/>
        <w:ind w:firstLine="640" w:firstLineChars="200"/>
        <w:outlineLvl w:val="1"/>
        <w:rPr>
          <w:rFonts w:hint="eastAsia" w:ascii="仿宋" w:eastAsia="仿宋"/>
          <w:color w:val="auto"/>
          <w:sz w:val="32"/>
          <w:szCs w:val="32"/>
          <w:highlight w:val="none"/>
          <w:lang w:eastAsia="zh-CN"/>
        </w:rPr>
      </w:pPr>
      <w:bookmarkStart w:id="32" w:name="_Toc9422"/>
      <w:bookmarkStart w:id="33" w:name="_Toc21436"/>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w:t>
      </w:r>
      <w:r>
        <w:rPr>
          <w:rFonts w:hint="eastAsia" w:ascii="仿宋" w:eastAsia="仿宋"/>
          <w:color w:val="auto"/>
          <w:sz w:val="32"/>
          <w:szCs w:val="32"/>
          <w:highlight w:val="none"/>
          <w:lang w:val="en-US" w:eastAsia="zh-CN"/>
        </w:rPr>
        <w:t>本年收入合计</w:t>
      </w:r>
      <w:r>
        <w:rPr>
          <w:rFonts w:hint="eastAsia" w:ascii="仿宋" w:eastAsia="仿宋"/>
          <w:color w:val="auto"/>
          <w:sz w:val="32"/>
          <w:szCs w:val="32"/>
          <w:highlight w:val="none"/>
          <w:lang w:val="en-US" w:eastAsia="zh-CN"/>
        </w:rPr>
        <w:t>869.54万元，其中：一般公共预算财政拨款收入</w:t>
      </w:r>
      <w:r>
        <w:rPr>
          <w:rFonts w:hint="eastAsia" w:ascii="仿宋" w:eastAsia="仿宋"/>
          <w:color w:val="auto"/>
          <w:sz w:val="32"/>
          <w:szCs w:val="32"/>
          <w:highlight w:val="none"/>
          <w:lang w:val="en-US" w:eastAsia="zh-CN"/>
        </w:rPr>
        <w:t>547.04万元，占</w:t>
      </w:r>
      <w:r>
        <w:rPr>
          <w:rFonts w:hint="eastAsia" w:ascii="仿宋" w:eastAsia="仿宋"/>
          <w:color w:val="auto"/>
          <w:sz w:val="32"/>
          <w:szCs w:val="32"/>
          <w:highlight w:val="none"/>
          <w:lang w:val="en-US" w:eastAsia="zh-CN"/>
        </w:rPr>
        <w:t>62.91%；政府性基金预算财政拨款收入</w:t>
      </w:r>
      <w:r>
        <w:rPr>
          <w:rFonts w:hint="eastAsia" w:ascii="仿宋" w:eastAsia="仿宋"/>
          <w:color w:val="auto"/>
          <w:sz w:val="32"/>
          <w:szCs w:val="32"/>
          <w:highlight w:val="none"/>
          <w:lang w:val="en-US" w:eastAsia="zh-CN"/>
        </w:rPr>
        <w:t>18.42万元，占</w:t>
      </w:r>
      <w:r>
        <w:rPr>
          <w:rFonts w:hint="eastAsia" w:ascii="仿宋" w:eastAsia="仿宋"/>
          <w:color w:val="auto"/>
          <w:sz w:val="32"/>
          <w:szCs w:val="32"/>
          <w:highlight w:val="none"/>
          <w:lang w:val="en-US" w:eastAsia="zh-CN"/>
        </w:rPr>
        <w:t>2.12%</w:t>
      </w:r>
      <w:r>
        <w:rPr>
          <w:rFonts w:hint="eastAsia" w:ascii="仿宋" w:eastAsia="仿宋"/>
          <w:color w:val="auto"/>
          <w:sz w:val="32"/>
          <w:szCs w:val="32"/>
          <w:highlight w:val="none"/>
        </w:rPr>
        <w:t>；事业收入</w:t>
      </w:r>
      <w:r>
        <w:rPr>
          <w:rFonts w:hint="eastAsia" w:ascii="仿宋" w:eastAsia="仿宋"/>
          <w:color w:val="auto"/>
          <w:sz w:val="32"/>
          <w:szCs w:val="32"/>
          <w:highlight w:val="none"/>
          <w:lang w:val="en-US" w:eastAsia="zh-CN"/>
        </w:rPr>
        <w:t>304.08</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34.97</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32"/>
      <w:bookmarkEnd w:id="33"/>
    </w:p>
    <w:p>
      <w:pPr>
        <w:rPr>
          <w:rFonts w:hint="eastAsia"/>
          <w:lang w:eastAsia="zh-CN"/>
        </w:rPr>
      </w:pPr>
      <w:r>
        <w:rPr>
          <w:rFonts w:hint="eastAsia"/>
          <w:lang w:val="en-US" w:eastAsia="zh-CN"/>
        </w:rPr>
        <w:t xml:space="preserve">                 </w:t>
      </w:r>
      <w:r>
        <w:drawing>
          <wp:inline distT="0" distB="0" distL="114300" distR="114300">
            <wp:extent cx="2629535" cy="1463040"/>
            <wp:effectExtent l="0" t="0" r="0" b="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600" w:firstLineChars="500"/>
        <w:rPr>
          <w:rFonts w:ascii="仿宋" w:eastAsia="仿宋"/>
          <w:color w:val="auto"/>
          <w:sz w:val="32"/>
          <w:szCs w:val="32"/>
          <w:highlight w:val="none"/>
        </w:rPr>
      </w:pPr>
      <w:r>
        <w:rPr>
          <w:rFonts w:hint="eastAsia" w:asci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34" w:name="_Toc1238"/>
      <w:bookmarkStart w:id="35" w:name="_Toc15396605"/>
      <w:bookmarkStart w:id="36" w:name="_Toc15377207"/>
      <w:r>
        <w:rPr>
          <w:rFonts w:hint="eastAsia" w:ascii="黑体" w:eastAsia="黑体"/>
          <w:color w:val="auto"/>
          <w:sz w:val="32"/>
          <w:szCs w:val="32"/>
          <w:highlight w:val="none"/>
        </w:rPr>
        <w:t>支</w:t>
      </w:r>
      <w:r>
        <w:rPr>
          <w:rStyle w:val="20"/>
          <w:rFonts w:hint="eastAsia" w:ascii="黑体" w:eastAsia="黑体"/>
          <w:b w:val="0"/>
          <w:color w:val="auto"/>
          <w:highlight w:val="none"/>
        </w:rPr>
        <w:t>出决算情况说明</w:t>
      </w:r>
      <w:bookmarkEnd w:id="34"/>
      <w:bookmarkEnd w:id="35"/>
      <w:bookmarkEnd w:id="36"/>
    </w:p>
    <w:p>
      <w:pPr>
        <w:spacing w:line="600" w:lineRule="exact"/>
        <w:ind w:firstLine="640" w:firstLineChars="200"/>
        <w:outlineLvl w:val="1"/>
        <w:rPr>
          <w:rFonts w:ascii="仿宋" w:eastAsia="仿宋"/>
          <w:color w:val="auto"/>
          <w:sz w:val="32"/>
          <w:szCs w:val="32"/>
          <w:highlight w:val="none"/>
        </w:rPr>
      </w:pPr>
      <w:bookmarkStart w:id="37" w:name="_Toc6281"/>
      <w:bookmarkStart w:id="38" w:name="_Toc4313"/>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hint="eastAsia" w:ascii="仿宋" w:eastAsia="仿宋"/>
          <w:color w:val="auto"/>
          <w:sz w:val="32"/>
          <w:szCs w:val="32"/>
          <w:highlight w:val="none"/>
          <w:lang w:val="en-US" w:eastAsia="zh-CN"/>
        </w:rPr>
        <w:t>869.54</w:t>
      </w:r>
      <w:r>
        <w:rPr>
          <w:rFonts w:hint="eastAsia" w:ascii="仿宋" w:eastAsia="仿宋"/>
          <w:color w:val="auto"/>
          <w:sz w:val="32"/>
          <w:szCs w:val="32"/>
          <w:highlight w:val="none"/>
        </w:rPr>
        <w:t>万元，其中：基本支出</w:t>
      </w:r>
      <w:r>
        <w:rPr>
          <w:rFonts w:hint="eastAsia" w:ascii="仿宋" w:eastAsia="仿宋"/>
          <w:color w:val="auto"/>
          <w:sz w:val="32"/>
          <w:szCs w:val="32"/>
          <w:highlight w:val="none"/>
          <w:lang w:val="en-US" w:eastAsia="zh-CN"/>
        </w:rPr>
        <w:t>673.55</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77.46</w:t>
      </w:r>
      <w:r>
        <w:rPr>
          <w:rFonts w:ascii="仿宋" w:eastAsia="仿宋"/>
          <w:color w:val="auto"/>
          <w:sz w:val="32"/>
          <w:szCs w:val="32"/>
          <w:highlight w:val="none"/>
        </w:rPr>
        <w:t>%</w:t>
      </w:r>
      <w:r>
        <w:rPr>
          <w:rFonts w:hint="eastAsia" w:ascii="仿宋" w:eastAsia="仿宋"/>
          <w:color w:val="auto"/>
          <w:sz w:val="32"/>
          <w:szCs w:val="32"/>
          <w:highlight w:val="none"/>
        </w:rPr>
        <w:t>；项目支出</w:t>
      </w:r>
      <w:r>
        <w:rPr>
          <w:rFonts w:hint="eastAsia" w:ascii="仿宋" w:eastAsia="仿宋"/>
          <w:color w:val="auto"/>
          <w:sz w:val="32"/>
          <w:szCs w:val="32"/>
          <w:highlight w:val="none"/>
          <w:lang w:val="en-US" w:eastAsia="zh-CN"/>
        </w:rPr>
        <w:t>195.99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22.54</w:t>
      </w:r>
      <w:r>
        <w:rPr>
          <w:rFonts w:ascii="仿宋" w:eastAsia="仿宋"/>
          <w:color w:val="auto"/>
          <w:sz w:val="32"/>
          <w:szCs w:val="32"/>
          <w:highlight w:val="none"/>
        </w:rPr>
        <w:t>%</w:t>
      </w:r>
      <w:r>
        <w:rPr>
          <w:rFonts w:hint="eastAsia" w:ascii="仿宋" w:eastAsia="仿宋"/>
          <w:color w:val="auto"/>
          <w:sz w:val="32"/>
          <w:szCs w:val="32"/>
          <w:highlight w:val="none"/>
        </w:rPr>
        <w:t>。</w:t>
      </w:r>
      <w:bookmarkEnd w:id="37"/>
      <w:bookmarkEnd w:id="38"/>
    </w:p>
    <w:p>
      <w:pPr>
        <w:pStyle w:val="7"/>
        <w:jc w:val="center"/>
      </w:pPr>
      <w:r>
        <w:drawing>
          <wp:inline distT="0" distB="0" distL="114300" distR="114300">
            <wp:extent cx="2727960" cy="1625600"/>
            <wp:effectExtent l="0" t="0" r="0" b="0"/>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eastAsia="仿宋"/>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0"/>
          <w:rFonts w:ascii="黑体" w:eastAsia="黑体"/>
          <w:b w:val="0"/>
          <w:color w:val="auto"/>
          <w:highlight w:val="none"/>
        </w:rPr>
      </w:pPr>
      <w:bookmarkStart w:id="39" w:name="_Toc15377208"/>
      <w:bookmarkStart w:id="40" w:name="_Toc14162"/>
      <w:bookmarkStart w:id="41" w:name="_Toc15396606"/>
      <w:r>
        <w:rPr>
          <w:rFonts w:hint="eastAsia" w:ascii="黑体" w:eastAsia="黑体"/>
          <w:color w:val="auto"/>
          <w:sz w:val="32"/>
          <w:szCs w:val="32"/>
          <w:highlight w:val="none"/>
        </w:rPr>
        <w:t>四、财</w:t>
      </w:r>
      <w:r>
        <w:rPr>
          <w:rStyle w:val="20"/>
          <w:rFonts w:hint="eastAsia" w:ascii="黑体" w:eastAsia="黑体"/>
          <w:b w:val="0"/>
          <w:color w:val="auto"/>
          <w:highlight w:val="none"/>
        </w:rPr>
        <w:t>政拨款收入支出决算总体情况说明</w:t>
      </w:r>
      <w:bookmarkEnd w:id="39"/>
      <w:bookmarkEnd w:id="40"/>
      <w:bookmarkEnd w:id="41"/>
    </w:p>
    <w:p>
      <w:pPr>
        <w:spacing w:line="600" w:lineRule="exact"/>
        <w:ind w:firstLine="64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hint="eastAsia" w:ascii="仿宋" w:eastAsia="仿宋"/>
          <w:color w:val="auto"/>
          <w:sz w:val="32"/>
          <w:szCs w:val="32"/>
          <w:highlight w:val="none"/>
          <w:lang w:val="en-US" w:eastAsia="zh-CN"/>
        </w:rPr>
        <w:t>565.46</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年相比，财政拨款收、支总计各增加</w:t>
      </w:r>
      <w:r>
        <w:rPr>
          <w:rFonts w:hint="eastAsia" w:ascii="仿宋" w:eastAsia="仿宋"/>
          <w:color w:val="auto"/>
          <w:sz w:val="32"/>
          <w:szCs w:val="32"/>
          <w:highlight w:val="none"/>
          <w:lang w:val="en-US" w:eastAsia="zh-CN"/>
        </w:rPr>
        <w:t>150.22</w:t>
      </w:r>
      <w:r>
        <w:rPr>
          <w:rFonts w:hint="eastAsia" w:ascii="仿宋" w:eastAsia="仿宋"/>
          <w:color w:val="auto"/>
          <w:sz w:val="32"/>
          <w:szCs w:val="32"/>
          <w:highlight w:val="none"/>
        </w:rPr>
        <w:t>万元，增长</w:t>
      </w:r>
      <w:r>
        <w:rPr>
          <w:rFonts w:hint="eastAsia" w:ascii="仿宋" w:eastAsia="仿宋"/>
          <w:color w:val="auto"/>
          <w:sz w:val="32"/>
          <w:szCs w:val="32"/>
          <w:highlight w:val="none"/>
          <w:lang w:val="en-US" w:eastAsia="zh-CN"/>
        </w:rPr>
        <w:t>26.57</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人员经费增加，疫情防控资金增加。</w:t>
      </w:r>
    </w:p>
    <w:p>
      <w:pPr>
        <w:rPr>
          <w:rFonts w:hint="eastAsia" w:ascii="仿宋" w:eastAsia="仿宋"/>
          <w:color w:val="auto"/>
          <w:sz w:val="32"/>
          <w:szCs w:val="32"/>
          <w:highlight w:val="none"/>
          <w:lang w:val="en-US" w:eastAsia="zh-CN"/>
        </w:rPr>
      </w:pPr>
      <w:r>
        <w:rPr>
          <w:rFonts w:hint="eastAsia"/>
          <w:lang w:val="en-US" w:eastAsia="zh-CN"/>
        </w:rPr>
        <w:t xml:space="preserve">               </w:t>
      </w:r>
      <w:r>
        <w:drawing>
          <wp:inline distT="0" distB="0" distL="114300" distR="114300">
            <wp:extent cx="2887980" cy="191325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20"/>
          <w:rFonts w:ascii="黑体" w:eastAsia="黑体"/>
          <w:b w:val="0"/>
          <w:color w:val="auto"/>
          <w:highlight w:val="none"/>
        </w:rPr>
      </w:pPr>
      <w:bookmarkStart w:id="42" w:name="_Toc15396607"/>
      <w:bookmarkStart w:id="43" w:name="_Toc15377209"/>
      <w:bookmarkStart w:id="44" w:name="_Toc11025"/>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般公共预算财政拨款支出决算情况说明</w:t>
      </w:r>
      <w:bookmarkEnd w:id="42"/>
      <w:bookmarkEnd w:id="43"/>
      <w:bookmarkEnd w:id="44"/>
    </w:p>
    <w:p>
      <w:pPr>
        <w:spacing w:line="600" w:lineRule="exact"/>
        <w:ind w:firstLine="643" w:firstLineChars="200"/>
        <w:outlineLvl w:val="2"/>
        <w:rPr>
          <w:rFonts w:ascii="仿宋" w:eastAsia="仿宋"/>
          <w:b/>
          <w:color w:val="auto"/>
          <w:sz w:val="32"/>
          <w:szCs w:val="32"/>
          <w:highlight w:val="none"/>
        </w:rPr>
      </w:pPr>
      <w:bookmarkStart w:id="45" w:name="_Toc1604"/>
      <w:bookmarkStart w:id="46" w:name="_Toc15377210"/>
      <w:r>
        <w:rPr>
          <w:rFonts w:hint="eastAsia" w:ascii="仿宋" w:eastAsia="仿宋"/>
          <w:b/>
          <w:color w:val="auto"/>
          <w:sz w:val="32"/>
          <w:szCs w:val="32"/>
          <w:highlight w:val="none"/>
        </w:rPr>
        <w:t>（一）一般公共预算财政拨款支出决算总体情况</w:t>
      </w:r>
      <w:bookmarkEnd w:id="45"/>
      <w:bookmarkEnd w:id="46"/>
    </w:p>
    <w:p>
      <w:pPr>
        <w:spacing w:line="600" w:lineRule="exact"/>
        <w:ind w:firstLine="640" w:firstLineChars="20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547.04</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62.91</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增加</w:t>
      </w:r>
      <w:r>
        <w:rPr>
          <w:rFonts w:hint="eastAsia" w:ascii="仿宋" w:eastAsia="仿宋"/>
          <w:color w:val="auto"/>
          <w:sz w:val="32"/>
          <w:szCs w:val="32"/>
          <w:highlight w:val="none"/>
          <w:lang w:val="en-US" w:eastAsia="zh-CN"/>
        </w:rPr>
        <w:t>131.8</w:t>
      </w:r>
      <w:r>
        <w:rPr>
          <w:rFonts w:hint="eastAsia" w:ascii="仿宋" w:eastAsia="仿宋"/>
          <w:color w:val="auto"/>
          <w:sz w:val="32"/>
          <w:szCs w:val="32"/>
          <w:highlight w:val="none"/>
        </w:rPr>
        <w:t>万元，增长</w:t>
      </w:r>
      <w:r>
        <w:rPr>
          <w:rFonts w:hint="eastAsia" w:ascii="仿宋" w:eastAsia="仿宋"/>
          <w:color w:val="auto"/>
          <w:sz w:val="32"/>
          <w:szCs w:val="32"/>
          <w:highlight w:val="none"/>
          <w:lang w:val="en-US" w:eastAsia="zh-CN"/>
        </w:rPr>
        <w:t>24.09</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人员经费增加。</w:t>
      </w:r>
    </w:p>
    <w:p>
      <w:r>
        <w:rPr>
          <w:rFonts w:hint="eastAsia"/>
          <w:lang w:val="en-US" w:eastAsia="zh-CN"/>
        </w:rPr>
        <w:t xml:space="preserve">                   </w:t>
      </w:r>
      <w:r>
        <w:drawing>
          <wp:inline distT="0" distB="0" distL="114300" distR="114300">
            <wp:extent cx="2583815" cy="1608455"/>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47" w:name="_Toc19847"/>
      <w:bookmarkStart w:id="48" w:name="_Toc15377211"/>
      <w:r>
        <w:rPr>
          <w:rFonts w:hint="eastAsia" w:ascii="仿宋" w:eastAsia="仿宋"/>
          <w:b/>
          <w:color w:val="auto"/>
          <w:sz w:val="32"/>
          <w:szCs w:val="32"/>
          <w:highlight w:val="none"/>
        </w:rPr>
        <w:t>（二）一般公共预算财政拨款支出决算结构情况</w:t>
      </w:r>
      <w:bookmarkEnd w:id="47"/>
      <w:bookmarkEnd w:id="48"/>
    </w:p>
    <w:p>
      <w:pPr>
        <w:spacing w:line="600" w:lineRule="exact"/>
        <w:ind w:firstLine="640"/>
        <w:rPr>
          <w:rFonts w:hint="eastAsia" w:ascii="仿宋" w:eastAsia="仿宋"/>
          <w:b/>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547.04</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hint="eastAsia" w:ascii="仿宋" w:eastAsia="仿宋"/>
          <w:color w:val="auto"/>
          <w:sz w:val="32"/>
          <w:szCs w:val="32"/>
          <w:highlight w:val="none"/>
          <w:lang w:val="en-US" w:eastAsia="zh-CN"/>
        </w:rPr>
        <w:t>51.03</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9.3</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hint="eastAsia" w:ascii="仿宋" w:eastAsia="仿宋"/>
          <w:color w:val="auto"/>
          <w:sz w:val="32"/>
          <w:szCs w:val="32"/>
          <w:highlight w:val="none"/>
          <w:lang w:val="en-US" w:eastAsia="zh-CN"/>
        </w:rPr>
        <w:t>464.74</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85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hint="eastAsia" w:ascii="仿宋" w:eastAsia="仿宋"/>
          <w:color w:val="auto"/>
          <w:sz w:val="32"/>
          <w:szCs w:val="32"/>
          <w:highlight w:val="none"/>
          <w:lang w:val="en-US" w:eastAsia="zh-CN"/>
        </w:rPr>
        <w:t>31.29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5.7</w:t>
      </w:r>
      <w:r>
        <w:rPr>
          <w:rFonts w:ascii="仿宋" w:eastAsia="仿宋"/>
          <w:color w:val="auto"/>
          <w:sz w:val="32"/>
          <w:szCs w:val="32"/>
          <w:highlight w:val="none"/>
        </w:rPr>
        <w:t>%</w:t>
      </w:r>
      <w:r>
        <w:rPr>
          <w:rFonts w:hint="eastAsia" w:ascii="仿宋" w:eastAsia="仿宋"/>
          <w:color w:val="auto"/>
          <w:sz w:val="32"/>
          <w:szCs w:val="32"/>
          <w:highlight w:val="none"/>
          <w:lang w:eastAsia="zh-CN"/>
        </w:rPr>
        <w:t>。</w:t>
      </w:r>
    </w:p>
    <w:p>
      <w:pPr>
        <w:rPr>
          <w:rFonts w:ascii="仿宋" w:eastAsia="仿宋"/>
          <w:color w:val="auto"/>
          <w:sz w:val="32"/>
          <w:szCs w:val="32"/>
          <w:highlight w:val="none"/>
        </w:rPr>
      </w:pPr>
      <w:r>
        <w:rPr>
          <w:rFonts w:hint="eastAsia"/>
          <w:lang w:val="en-US" w:eastAsia="zh-CN"/>
        </w:rPr>
        <w:t xml:space="preserve">                      </w:t>
      </w:r>
      <w:r>
        <w:drawing>
          <wp:inline distT="0" distB="0" distL="114300" distR="114300">
            <wp:extent cx="2698750" cy="1663065"/>
            <wp:effectExtent l="0" t="0" r="0" b="0"/>
            <wp:docPr id="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eastAsia="仿宋"/>
          <w:b/>
          <w:color w:val="auto"/>
          <w:sz w:val="32"/>
          <w:szCs w:val="32"/>
          <w:highlight w:val="none"/>
        </w:rPr>
      </w:pPr>
      <w:bookmarkStart w:id="49" w:name="_Toc14489"/>
      <w:bookmarkStart w:id="50" w:name="_Toc15377212"/>
      <w:r>
        <w:rPr>
          <w:rFonts w:hint="eastAsia" w:ascii="仿宋" w:eastAsia="仿宋"/>
          <w:b/>
          <w:color w:val="auto"/>
          <w:sz w:val="32"/>
          <w:szCs w:val="32"/>
          <w:highlight w:val="none"/>
        </w:rPr>
        <w:t>（三）一般公共预算财政拨款支出决算具体情况</w:t>
      </w:r>
      <w:bookmarkEnd w:id="49"/>
      <w:bookmarkEnd w:id="50"/>
    </w:p>
    <w:p>
      <w:pPr>
        <w:spacing w:line="600" w:lineRule="exact"/>
        <w:ind w:firstLine="643" w:firstLineChars="200"/>
        <w:outlineLvl w:val="2"/>
        <w:rPr>
          <w:rFonts w:ascii="仿宋" w:eastAsia="仿宋"/>
          <w:color w:val="auto"/>
          <w:sz w:val="32"/>
          <w:szCs w:val="32"/>
          <w:highlight w:val="none"/>
        </w:rPr>
      </w:pPr>
      <w:bookmarkStart w:id="51" w:name="_Toc15377444"/>
      <w:bookmarkStart w:id="52" w:name="_Toc4737"/>
      <w:bookmarkStart w:id="53" w:name="_Toc15377213"/>
      <w:bookmarkStart w:id="54" w:name="_Toc8235"/>
      <w:bookmarkStart w:id="55" w:name="_Toc15378460"/>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hint="eastAsia" w:ascii="仿宋" w:eastAsia="仿宋"/>
          <w:b/>
          <w:color w:val="auto"/>
          <w:sz w:val="32"/>
          <w:szCs w:val="32"/>
          <w:highlight w:val="none"/>
          <w:lang w:val="en-US" w:eastAsia="zh-CN"/>
        </w:rPr>
        <w:t>547.04万元</w:t>
      </w:r>
      <w:r>
        <w:rPr>
          <w:rFonts w:hint="eastAsia" w:ascii="仿宋" w:eastAsia="仿宋"/>
          <w:color w:val="auto"/>
          <w:sz w:val="32"/>
          <w:szCs w:val="32"/>
          <w:highlight w:val="none"/>
        </w:rPr>
        <w:t>，</w:t>
      </w:r>
      <w:r>
        <w:rPr>
          <w:rStyle w:val="16"/>
          <w:rFonts w:hint="eastAsia" w:ascii="仿宋" w:eastAsia="仿宋"/>
          <w:bCs/>
          <w:color w:val="auto"/>
          <w:sz w:val="32"/>
          <w:szCs w:val="32"/>
          <w:highlight w:val="none"/>
        </w:rPr>
        <w:t>完成预算</w:t>
      </w:r>
      <w:r>
        <w:rPr>
          <w:rStyle w:val="16"/>
          <w:rFonts w:hint="eastAsia" w:ascii="仿宋" w:eastAsia="仿宋"/>
          <w:bCs/>
          <w:color w:val="auto"/>
          <w:sz w:val="32"/>
          <w:szCs w:val="32"/>
          <w:highlight w:val="none"/>
          <w:lang w:val="en-US" w:eastAsia="zh-CN"/>
        </w:rPr>
        <w:t>100</w:t>
      </w:r>
      <w:r>
        <w:rPr>
          <w:rStyle w:val="16"/>
          <w:rFonts w:ascii="仿宋" w:eastAsia="仿宋"/>
          <w:bCs/>
          <w:color w:val="auto"/>
          <w:sz w:val="32"/>
          <w:szCs w:val="32"/>
          <w:highlight w:val="none"/>
        </w:rPr>
        <w:t>%</w:t>
      </w:r>
      <w:r>
        <w:rPr>
          <w:rStyle w:val="16"/>
          <w:rFonts w:hint="eastAsia" w:ascii="仿宋" w:eastAsia="仿宋"/>
          <w:bCs/>
          <w:color w:val="auto"/>
          <w:sz w:val="32"/>
          <w:szCs w:val="32"/>
          <w:highlight w:val="none"/>
        </w:rPr>
        <w:t>。其中：</w:t>
      </w:r>
      <w:bookmarkEnd w:id="51"/>
      <w:bookmarkEnd w:id="52"/>
      <w:bookmarkEnd w:id="53"/>
      <w:bookmarkEnd w:id="54"/>
      <w:bookmarkEnd w:id="55"/>
    </w:p>
    <w:p>
      <w:pPr>
        <w:spacing w:line="600" w:lineRule="exact"/>
        <w:ind w:left="0" w:firstLine="643" w:firstLineChars="200"/>
        <w:rPr>
          <w:rStyle w:val="16"/>
          <w:rFonts w:hint="eastAsia" w:ascii="仿宋" w:eastAsia="仿宋"/>
          <w:b w:val="0"/>
          <w:bCs/>
          <w:color w:val="auto"/>
          <w:sz w:val="32"/>
          <w:szCs w:val="32"/>
          <w:highlight w:val="none"/>
          <w:lang w:eastAsia="zh-CN"/>
        </w:rPr>
      </w:pPr>
      <w:r>
        <w:rPr>
          <w:rStyle w:val="16"/>
          <w:rFonts w:hint="eastAsia" w:ascii="仿宋" w:eastAsia="仿宋"/>
          <w:bCs/>
          <w:color w:val="auto"/>
          <w:sz w:val="32"/>
          <w:szCs w:val="32"/>
          <w:highlight w:val="none"/>
          <w:lang w:val="en-US" w:eastAsia="zh-CN"/>
        </w:rPr>
        <w:t>1.</w:t>
      </w:r>
      <w:r>
        <w:rPr>
          <w:rStyle w:val="16"/>
          <w:rFonts w:hint="eastAsia" w:ascii="仿宋" w:eastAsia="仿宋"/>
          <w:bCs/>
          <w:color w:val="auto"/>
          <w:sz w:val="32"/>
          <w:szCs w:val="32"/>
          <w:highlight w:val="none"/>
        </w:rPr>
        <w:t>社会保障和就业（类）行政事业单位养老支出（款）机关事业单位基本养老保险缴费支出（项）</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hint="eastAsia" w:ascii="仿宋" w:eastAsia="仿宋"/>
          <w:b w:val="0"/>
          <w:bCs/>
          <w:color w:val="auto"/>
          <w:sz w:val="32"/>
          <w:szCs w:val="32"/>
          <w:highlight w:val="none"/>
          <w:lang w:val="en-US" w:eastAsia="zh-CN"/>
        </w:rPr>
        <w:t>30.73</w:t>
      </w:r>
      <w:r>
        <w:rPr>
          <w:rStyle w:val="16"/>
          <w:rFonts w:hint="eastAsia" w:ascii="仿宋" w:eastAsia="仿宋"/>
          <w:b w:val="0"/>
          <w:bCs/>
          <w:color w:val="auto"/>
          <w:sz w:val="32"/>
          <w:szCs w:val="32"/>
          <w:highlight w:val="none"/>
        </w:rPr>
        <w:t>万元，完成预算</w:t>
      </w:r>
      <w:r>
        <w:rPr>
          <w:rStyle w:val="16"/>
          <w:rFonts w:hint="eastAsia" w:ascii="仿宋" w:eastAsia="仿宋"/>
          <w:b w:val="0"/>
          <w:bCs/>
          <w:color w:val="auto"/>
          <w:sz w:val="32"/>
          <w:szCs w:val="32"/>
          <w:highlight w:val="none"/>
          <w:lang w:val="en-US" w:eastAsia="zh-CN"/>
        </w:rPr>
        <w:t>100</w:t>
      </w:r>
      <w:r>
        <w:rPr>
          <w:rStyle w:val="16"/>
          <w:rFonts w:ascii="仿宋" w:eastAsia="仿宋"/>
          <w:b w:val="0"/>
          <w:bCs/>
          <w:color w:val="auto"/>
          <w:sz w:val="32"/>
          <w:szCs w:val="32"/>
          <w:highlight w:val="none"/>
        </w:rPr>
        <w:t>%</w:t>
      </w:r>
      <w:r>
        <w:rPr>
          <w:rStyle w:val="16"/>
          <w:rFonts w:hint="eastAsia" w:ascii="仿宋" w:eastAsia="仿宋"/>
          <w:b w:val="0"/>
          <w:bCs/>
          <w:color w:val="auto"/>
          <w:sz w:val="32"/>
          <w:szCs w:val="32"/>
          <w:highlight w:val="none"/>
          <w:lang w:eastAsia="zh-CN"/>
        </w:rPr>
        <w:t>。</w:t>
      </w:r>
    </w:p>
    <w:p>
      <w:pPr>
        <w:spacing w:line="600" w:lineRule="exact"/>
        <w:ind w:left="0" w:firstLine="643" w:firstLineChars="200"/>
        <w:rPr>
          <w:rStyle w:val="16"/>
          <w:rFonts w:hint="eastAsia" w:ascii="仿宋" w:eastAsia="仿宋"/>
          <w:b w:val="0"/>
          <w:bCs/>
          <w:color w:val="auto"/>
          <w:sz w:val="32"/>
          <w:szCs w:val="32"/>
          <w:highlight w:val="none"/>
          <w:lang w:eastAsia="zh-CN"/>
        </w:rPr>
      </w:pPr>
      <w:r>
        <w:rPr>
          <w:rStyle w:val="16"/>
          <w:rFonts w:hint="eastAsia" w:ascii="仿宋" w:eastAsia="仿宋"/>
          <w:bCs/>
          <w:color w:val="auto"/>
          <w:sz w:val="32"/>
          <w:szCs w:val="32"/>
          <w:highlight w:val="none"/>
          <w:lang w:val="en-US" w:eastAsia="zh-CN"/>
        </w:rPr>
        <w:t>2.</w:t>
      </w:r>
      <w:r>
        <w:rPr>
          <w:rStyle w:val="16"/>
          <w:rFonts w:hint="eastAsia" w:ascii="仿宋" w:eastAsia="仿宋"/>
          <w:bCs/>
          <w:color w:val="auto"/>
          <w:sz w:val="32"/>
          <w:szCs w:val="32"/>
          <w:highlight w:val="none"/>
        </w:rPr>
        <w:t>社会保障和就业（类）行政事业单位养老支出（款）机关事业单位职业年金缴费支出（项）</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hint="eastAsia" w:ascii="仿宋" w:eastAsia="仿宋"/>
          <w:b w:val="0"/>
          <w:bCs/>
          <w:color w:val="auto"/>
          <w:sz w:val="32"/>
          <w:szCs w:val="32"/>
          <w:highlight w:val="none"/>
          <w:lang w:val="en-US" w:eastAsia="zh-CN"/>
        </w:rPr>
        <w:t>20.3</w:t>
      </w:r>
      <w:r>
        <w:rPr>
          <w:rStyle w:val="16"/>
          <w:rFonts w:hint="eastAsia" w:ascii="仿宋" w:eastAsia="仿宋"/>
          <w:b w:val="0"/>
          <w:bCs/>
          <w:color w:val="auto"/>
          <w:sz w:val="32"/>
          <w:szCs w:val="32"/>
          <w:highlight w:val="none"/>
        </w:rPr>
        <w:t>万元，完成预算</w:t>
      </w:r>
      <w:r>
        <w:rPr>
          <w:rStyle w:val="16"/>
          <w:rFonts w:hint="eastAsia" w:ascii="仿宋" w:eastAsia="仿宋"/>
          <w:b w:val="0"/>
          <w:bCs/>
          <w:color w:val="auto"/>
          <w:sz w:val="32"/>
          <w:szCs w:val="32"/>
          <w:highlight w:val="none"/>
          <w:lang w:val="en-US" w:eastAsia="zh-CN"/>
        </w:rPr>
        <w:t>100</w:t>
      </w:r>
      <w:r>
        <w:rPr>
          <w:rStyle w:val="16"/>
          <w:rFonts w:ascii="仿宋" w:eastAsia="仿宋"/>
          <w:b w:val="0"/>
          <w:bCs/>
          <w:color w:val="auto"/>
          <w:sz w:val="32"/>
          <w:szCs w:val="32"/>
          <w:highlight w:val="none"/>
        </w:rPr>
        <w:t>%</w:t>
      </w:r>
      <w:r>
        <w:rPr>
          <w:rStyle w:val="16"/>
          <w:rFonts w:hint="eastAsia" w:ascii="仿宋" w:eastAsia="仿宋"/>
          <w:b w:val="0"/>
          <w:bCs/>
          <w:color w:val="auto"/>
          <w:sz w:val="32"/>
          <w:szCs w:val="32"/>
          <w:highlight w:val="none"/>
          <w:lang w:eastAsia="zh-CN"/>
        </w:rPr>
        <w:t>。</w:t>
      </w:r>
    </w:p>
    <w:p>
      <w:pPr>
        <w:spacing w:line="600" w:lineRule="exact"/>
        <w:ind w:firstLine="643" w:firstLineChars="200"/>
        <w:rPr>
          <w:rFonts w:ascii="仿宋" w:eastAsia="仿宋"/>
          <w:b/>
          <w:color w:val="auto"/>
          <w:sz w:val="32"/>
          <w:szCs w:val="32"/>
          <w:highlight w:val="none"/>
        </w:rPr>
      </w:pPr>
      <w:r>
        <w:rPr>
          <w:rStyle w:val="16"/>
          <w:rFonts w:ascii="仿宋" w:eastAsia="仿宋"/>
          <w:bCs/>
          <w:color w:val="auto"/>
          <w:sz w:val="32"/>
          <w:szCs w:val="32"/>
          <w:highlight w:val="none"/>
        </w:rPr>
        <w:t>3.</w:t>
      </w:r>
      <w:r>
        <w:rPr>
          <w:rFonts w:hint="eastAsia" w:ascii="仿宋" w:eastAsia="仿宋"/>
          <w:b/>
          <w:bCs/>
          <w:color w:val="auto"/>
          <w:sz w:val="32"/>
          <w:szCs w:val="32"/>
          <w:highlight w:val="none"/>
        </w:rPr>
        <w:t>卫生健康</w:t>
      </w:r>
      <w:r>
        <w:rPr>
          <w:rStyle w:val="16"/>
          <w:rFonts w:hint="eastAsia" w:ascii="仿宋" w:eastAsia="仿宋"/>
          <w:bCs/>
          <w:color w:val="auto"/>
          <w:sz w:val="32"/>
          <w:szCs w:val="32"/>
          <w:highlight w:val="none"/>
        </w:rPr>
        <w:t>（类）基层医疗卫生机构（款）乡镇卫生院（项）</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hint="eastAsia" w:ascii="仿宋" w:eastAsia="仿宋"/>
          <w:b w:val="0"/>
          <w:bCs/>
          <w:color w:val="auto"/>
          <w:sz w:val="32"/>
          <w:szCs w:val="32"/>
          <w:highlight w:val="none"/>
          <w:lang w:val="en-US" w:eastAsia="zh-CN"/>
        </w:rPr>
        <w:t>413.08</w:t>
      </w:r>
      <w:r>
        <w:rPr>
          <w:rStyle w:val="16"/>
          <w:rFonts w:hint="eastAsia" w:ascii="仿宋" w:eastAsia="仿宋"/>
          <w:b w:val="0"/>
          <w:bCs/>
          <w:color w:val="auto"/>
          <w:sz w:val="32"/>
          <w:szCs w:val="32"/>
          <w:highlight w:val="none"/>
        </w:rPr>
        <w:t>万元，完成预算</w:t>
      </w:r>
      <w:r>
        <w:rPr>
          <w:rStyle w:val="16"/>
          <w:rFonts w:hint="eastAsia" w:ascii="仿宋" w:eastAsia="仿宋"/>
          <w:b w:val="0"/>
          <w:bCs/>
          <w:color w:val="auto"/>
          <w:sz w:val="32"/>
          <w:szCs w:val="32"/>
          <w:highlight w:val="none"/>
          <w:lang w:val="en-US" w:eastAsia="zh-CN"/>
        </w:rPr>
        <w:t>100</w:t>
      </w:r>
      <w:r>
        <w:rPr>
          <w:rStyle w:val="16"/>
          <w:rFonts w:ascii="仿宋" w:eastAsia="仿宋"/>
          <w:b w:val="0"/>
          <w:bCs/>
          <w:color w:val="auto"/>
          <w:sz w:val="32"/>
          <w:szCs w:val="32"/>
          <w:highlight w:val="none"/>
        </w:rPr>
        <w:t>%</w:t>
      </w:r>
      <w:r>
        <w:rPr>
          <w:rStyle w:val="16"/>
          <w:rFonts w:hint="eastAsia" w:ascii="仿宋" w:eastAsia="仿宋"/>
          <w:b w:val="0"/>
          <w:bCs/>
          <w:color w:val="auto"/>
          <w:sz w:val="32"/>
          <w:szCs w:val="32"/>
          <w:highlight w:val="none"/>
        </w:rPr>
        <w:t>。</w:t>
      </w:r>
    </w:p>
    <w:p>
      <w:pPr>
        <w:spacing w:line="600" w:lineRule="exact"/>
        <w:ind w:firstLine="643" w:firstLineChars="200"/>
        <w:rPr>
          <w:rStyle w:val="16"/>
          <w:rFonts w:hint="eastAsia" w:ascii="仿宋" w:eastAsia="仿宋"/>
          <w:b w:val="0"/>
          <w:bCs/>
          <w:color w:val="auto"/>
          <w:sz w:val="32"/>
          <w:szCs w:val="32"/>
          <w:highlight w:val="none"/>
        </w:rPr>
      </w:pPr>
      <w:r>
        <w:rPr>
          <w:rStyle w:val="16"/>
          <w:rFonts w:ascii="仿宋" w:eastAsia="仿宋"/>
          <w:bCs/>
          <w:color w:val="auto"/>
          <w:sz w:val="32"/>
          <w:szCs w:val="32"/>
          <w:highlight w:val="none"/>
        </w:rPr>
        <w:t>4.</w:t>
      </w:r>
      <w:r>
        <w:rPr>
          <w:rFonts w:hint="eastAsia" w:ascii="仿宋" w:eastAsia="仿宋"/>
          <w:b/>
          <w:bCs/>
          <w:color w:val="auto"/>
          <w:sz w:val="32"/>
          <w:szCs w:val="32"/>
          <w:highlight w:val="none"/>
        </w:rPr>
        <w:t>卫生健康</w:t>
      </w:r>
      <w:r>
        <w:rPr>
          <w:rStyle w:val="16"/>
          <w:rFonts w:hint="eastAsia" w:ascii="仿宋" w:eastAsia="仿宋"/>
          <w:bCs/>
          <w:color w:val="auto"/>
          <w:sz w:val="32"/>
          <w:szCs w:val="32"/>
          <w:highlight w:val="none"/>
        </w:rPr>
        <w:t>（类）基层医疗卫生机构（款）其他基层医疗卫生机构支出（项）</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hint="eastAsia" w:ascii="仿宋" w:eastAsia="仿宋"/>
          <w:b w:val="0"/>
          <w:bCs/>
          <w:color w:val="auto"/>
          <w:sz w:val="32"/>
          <w:szCs w:val="32"/>
          <w:highlight w:val="none"/>
          <w:lang w:val="en-US" w:eastAsia="zh-CN"/>
        </w:rPr>
        <w:t>33.23</w:t>
      </w:r>
      <w:r>
        <w:rPr>
          <w:rStyle w:val="16"/>
          <w:rFonts w:hint="eastAsia" w:ascii="仿宋" w:eastAsia="仿宋"/>
          <w:b w:val="0"/>
          <w:bCs/>
          <w:color w:val="auto"/>
          <w:sz w:val="32"/>
          <w:szCs w:val="32"/>
          <w:highlight w:val="none"/>
        </w:rPr>
        <w:t>万元，完成预算</w:t>
      </w:r>
      <w:r>
        <w:rPr>
          <w:rStyle w:val="16"/>
          <w:rFonts w:hint="eastAsia" w:ascii="仿宋" w:eastAsia="仿宋"/>
          <w:b w:val="0"/>
          <w:bCs/>
          <w:color w:val="auto"/>
          <w:sz w:val="32"/>
          <w:szCs w:val="32"/>
          <w:highlight w:val="none"/>
          <w:lang w:val="en-US" w:eastAsia="zh-CN"/>
        </w:rPr>
        <w:t>100</w:t>
      </w:r>
      <w:r>
        <w:rPr>
          <w:rStyle w:val="16"/>
          <w:rFonts w:ascii="仿宋" w:eastAsia="仿宋"/>
          <w:b w:val="0"/>
          <w:bCs/>
          <w:color w:val="auto"/>
          <w:sz w:val="32"/>
          <w:szCs w:val="32"/>
          <w:highlight w:val="none"/>
        </w:rPr>
        <w:t>%</w:t>
      </w:r>
      <w:r>
        <w:rPr>
          <w:rStyle w:val="16"/>
          <w:rFonts w:hint="eastAsia" w:ascii="仿宋" w:eastAsia="仿宋"/>
          <w:b w:val="0"/>
          <w:bCs/>
          <w:color w:val="auto"/>
          <w:sz w:val="32"/>
          <w:szCs w:val="32"/>
          <w:highlight w:val="none"/>
        </w:rPr>
        <w:t>。</w:t>
      </w:r>
    </w:p>
    <w:p>
      <w:pPr>
        <w:ind w:firstLine="643" w:firstLineChars="200"/>
        <w:rPr>
          <w:lang w:val="en-US" w:eastAsia="zh-CN"/>
        </w:rPr>
      </w:pPr>
      <w:r>
        <w:rPr>
          <w:rStyle w:val="16"/>
          <w:rFonts w:hint="eastAsia" w:ascii="仿宋" w:eastAsia="仿宋"/>
          <w:bCs/>
          <w:color w:val="auto"/>
          <w:sz w:val="32"/>
          <w:szCs w:val="32"/>
          <w:highlight w:val="none"/>
          <w:lang w:val="en-US" w:eastAsia="zh-CN"/>
        </w:rPr>
        <w:t>5</w:t>
      </w:r>
      <w:r>
        <w:rPr>
          <w:rStyle w:val="16"/>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6"/>
          <w:rFonts w:hint="eastAsia" w:ascii="仿宋" w:eastAsia="仿宋"/>
          <w:bCs/>
          <w:color w:val="auto"/>
          <w:sz w:val="32"/>
          <w:szCs w:val="32"/>
          <w:highlight w:val="none"/>
        </w:rPr>
        <w:t>（类）行政事业单位医疗（款）事业单位医疗（项）</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hint="eastAsia" w:ascii="仿宋" w:eastAsia="仿宋"/>
          <w:b w:val="0"/>
          <w:bCs/>
          <w:color w:val="auto"/>
          <w:sz w:val="32"/>
          <w:szCs w:val="32"/>
          <w:highlight w:val="none"/>
          <w:lang w:val="en-US" w:eastAsia="zh-CN"/>
        </w:rPr>
        <w:t>18.43</w:t>
      </w:r>
      <w:r>
        <w:rPr>
          <w:rStyle w:val="16"/>
          <w:rFonts w:hint="eastAsia" w:ascii="仿宋" w:eastAsia="仿宋"/>
          <w:b w:val="0"/>
          <w:bCs/>
          <w:color w:val="auto"/>
          <w:sz w:val="32"/>
          <w:szCs w:val="32"/>
          <w:highlight w:val="none"/>
        </w:rPr>
        <w:t>万元，完成预算</w:t>
      </w:r>
      <w:r>
        <w:rPr>
          <w:rStyle w:val="16"/>
          <w:rFonts w:hint="eastAsia" w:ascii="仿宋" w:eastAsia="仿宋"/>
          <w:b w:val="0"/>
          <w:bCs/>
          <w:color w:val="auto"/>
          <w:sz w:val="32"/>
          <w:szCs w:val="32"/>
          <w:highlight w:val="none"/>
          <w:lang w:val="en-US" w:eastAsia="zh-CN"/>
        </w:rPr>
        <w:t>100</w:t>
      </w:r>
      <w:r>
        <w:rPr>
          <w:rStyle w:val="16"/>
          <w:rFonts w:ascii="仿宋" w:eastAsia="仿宋"/>
          <w:b w:val="0"/>
          <w:bCs/>
          <w:color w:val="auto"/>
          <w:sz w:val="32"/>
          <w:szCs w:val="32"/>
          <w:highlight w:val="none"/>
        </w:rPr>
        <w:t>%</w:t>
      </w:r>
      <w:r>
        <w:rPr>
          <w:rStyle w:val="16"/>
          <w:rFonts w:hint="eastAsia" w:ascii="仿宋" w:eastAsia="仿宋"/>
          <w:b w:val="0"/>
          <w:bCs/>
          <w:color w:val="auto"/>
          <w:sz w:val="32"/>
          <w:szCs w:val="32"/>
          <w:highlight w:val="none"/>
        </w:rPr>
        <w:t>。</w:t>
      </w:r>
    </w:p>
    <w:p>
      <w:pPr>
        <w:spacing w:line="600" w:lineRule="exact"/>
        <w:ind w:firstLine="643" w:firstLineChars="200"/>
        <w:rPr>
          <w:rStyle w:val="16"/>
          <w:rFonts w:hint="eastAsia" w:ascii="仿宋" w:eastAsia="仿宋"/>
          <w:b w:val="0"/>
          <w:bCs/>
          <w:color w:val="auto"/>
          <w:sz w:val="32"/>
          <w:szCs w:val="32"/>
          <w:highlight w:val="none"/>
        </w:rPr>
      </w:pPr>
      <w:r>
        <w:rPr>
          <w:rStyle w:val="16"/>
          <w:rFonts w:hint="eastAsia" w:ascii="仿宋" w:eastAsia="仿宋"/>
          <w:bCs/>
          <w:color w:val="auto"/>
          <w:sz w:val="32"/>
          <w:szCs w:val="32"/>
          <w:highlight w:val="none"/>
          <w:lang w:val="en-US" w:eastAsia="zh-CN"/>
        </w:rPr>
        <w:t>6</w:t>
      </w:r>
      <w:r>
        <w:rPr>
          <w:rStyle w:val="16"/>
          <w:rFonts w:ascii="仿宋" w:eastAsia="仿宋"/>
          <w:bCs/>
          <w:color w:val="auto"/>
          <w:sz w:val="32"/>
          <w:szCs w:val="32"/>
          <w:highlight w:val="none"/>
        </w:rPr>
        <w:t>.</w:t>
      </w:r>
      <w:r>
        <w:rPr>
          <w:rStyle w:val="16"/>
          <w:rFonts w:hint="eastAsia" w:ascii="仿宋" w:eastAsia="仿宋"/>
          <w:bCs/>
          <w:color w:val="auto"/>
          <w:sz w:val="32"/>
          <w:szCs w:val="32"/>
          <w:highlight w:val="none"/>
        </w:rPr>
        <w:t>住房保障（类）住房改革支出（款）住房公积金（项）</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hint="eastAsia" w:ascii="仿宋" w:eastAsia="仿宋"/>
          <w:b w:val="0"/>
          <w:bCs/>
          <w:color w:val="auto"/>
          <w:sz w:val="32"/>
          <w:szCs w:val="32"/>
          <w:highlight w:val="none"/>
          <w:lang w:val="en-US" w:eastAsia="zh-CN"/>
        </w:rPr>
        <w:t>31.29</w:t>
      </w:r>
      <w:r>
        <w:rPr>
          <w:rStyle w:val="16"/>
          <w:rFonts w:hint="eastAsia" w:ascii="仿宋" w:eastAsia="仿宋"/>
          <w:b w:val="0"/>
          <w:bCs/>
          <w:color w:val="auto"/>
          <w:sz w:val="32"/>
          <w:szCs w:val="32"/>
          <w:highlight w:val="none"/>
        </w:rPr>
        <w:t>万元，完成预算</w:t>
      </w:r>
      <w:r>
        <w:rPr>
          <w:rStyle w:val="16"/>
          <w:rFonts w:hint="eastAsia" w:ascii="仿宋" w:eastAsia="仿宋"/>
          <w:b w:val="0"/>
          <w:bCs/>
          <w:color w:val="auto"/>
          <w:sz w:val="32"/>
          <w:szCs w:val="32"/>
          <w:highlight w:val="none"/>
          <w:lang w:val="en-US" w:eastAsia="zh-CN"/>
        </w:rPr>
        <w:t>100</w:t>
      </w:r>
      <w:r>
        <w:rPr>
          <w:rStyle w:val="16"/>
          <w:rFonts w:ascii="仿宋" w:eastAsia="仿宋"/>
          <w:b w:val="0"/>
          <w:bCs/>
          <w:color w:val="auto"/>
          <w:sz w:val="32"/>
          <w:szCs w:val="32"/>
          <w:highlight w:val="none"/>
        </w:rPr>
        <w:t>%</w:t>
      </w:r>
      <w:r>
        <w:rPr>
          <w:rStyle w:val="16"/>
          <w:rFonts w:hint="eastAsia" w:ascii="仿宋" w:eastAsia="仿宋"/>
          <w:b w:val="0"/>
          <w:bCs/>
          <w:color w:val="auto"/>
          <w:sz w:val="32"/>
          <w:szCs w:val="32"/>
          <w:highlight w:val="none"/>
        </w:rPr>
        <w:t>。</w:t>
      </w:r>
    </w:p>
    <w:p>
      <w:pPr>
        <w:pStyle w:val="7"/>
      </w:pPr>
    </w:p>
    <w:p>
      <w:pPr>
        <w:tabs>
          <w:tab w:val="right" w:pos="8306"/>
        </w:tabs>
        <w:spacing w:line="600" w:lineRule="exact"/>
        <w:ind w:firstLine="640"/>
        <w:outlineLvl w:val="1"/>
        <w:rPr>
          <w:rStyle w:val="20"/>
          <w:color w:val="auto"/>
          <w:highlight w:val="none"/>
        </w:rPr>
      </w:pPr>
      <w:bookmarkStart w:id="56" w:name="_Toc23139"/>
      <w:bookmarkStart w:id="57" w:name="_Toc15396608"/>
      <w:bookmarkStart w:id="58"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般公共预算财政拨款基本支出决算情况说明</w:t>
      </w:r>
      <w:bookmarkEnd w:id="56"/>
      <w:bookmarkEnd w:id="57"/>
      <w:bookmarkEnd w:id="58"/>
      <w:r>
        <w:rPr>
          <w:rStyle w:val="20"/>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hint="eastAsia" w:ascii="仿宋" w:eastAsia="仿宋"/>
          <w:color w:val="auto"/>
          <w:sz w:val="32"/>
          <w:szCs w:val="32"/>
          <w:highlight w:val="none"/>
          <w:lang w:val="en-US" w:eastAsia="zh-CN"/>
        </w:rPr>
        <w:t>547.04</w:t>
      </w:r>
      <w:r>
        <w:rPr>
          <w:rFonts w:hint="eastAsia" w:ascii="仿宋" w:eastAsia="仿宋"/>
          <w:color w:val="auto"/>
          <w:sz w:val="32"/>
          <w:szCs w:val="32"/>
          <w:highlight w:val="none"/>
        </w:rPr>
        <w:t>万元，其中：</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人员经费</w:t>
      </w:r>
      <w:r>
        <w:rPr>
          <w:rFonts w:hint="eastAsia" w:ascii="仿宋" w:eastAsia="仿宋"/>
          <w:color w:val="auto"/>
          <w:sz w:val="32"/>
          <w:szCs w:val="32"/>
          <w:highlight w:val="none"/>
          <w:lang w:val="en-US" w:eastAsia="zh-CN"/>
        </w:rPr>
        <w:t>368.69</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103.24万元</w:t>
      </w:r>
      <w:r>
        <w:rPr>
          <w:rFonts w:hint="eastAsia" w:ascii="仿宋" w:eastAsia="仿宋"/>
          <w:color w:val="auto"/>
          <w:sz w:val="32"/>
          <w:szCs w:val="32"/>
          <w:highlight w:val="none"/>
        </w:rPr>
        <w:t>、津贴补贴</w:t>
      </w:r>
      <w:r>
        <w:rPr>
          <w:rFonts w:hint="eastAsia" w:ascii="仿宋" w:eastAsia="仿宋"/>
          <w:color w:val="auto"/>
          <w:sz w:val="32"/>
          <w:szCs w:val="32"/>
          <w:highlight w:val="none"/>
          <w:lang w:val="en-US" w:eastAsia="zh-CN"/>
        </w:rPr>
        <w:t>7.82万元</w:t>
      </w:r>
      <w:r>
        <w:rPr>
          <w:rFonts w:hint="eastAsia" w:ascii="仿宋" w:eastAsia="仿宋"/>
          <w:color w:val="auto"/>
          <w:sz w:val="32"/>
          <w:szCs w:val="32"/>
          <w:highlight w:val="none"/>
        </w:rPr>
        <w:t>、绩效工资</w:t>
      </w:r>
      <w:r>
        <w:rPr>
          <w:rFonts w:hint="eastAsia" w:ascii="仿宋" w:eastAsia="仿宋"/>
          <w:color w:val="auto"/>
          <w:sz w:val="32"/>
          <w:szCs w:val="32"/>
          <w:highlight w:val="none"/>
          <w:lang w:val="en-US" w:eastAsia="zh-CN"/>
        </w:rPr>
        <w:t>156.9万元</w:t>
      </w:r>
      <w:r>
        <w:rPr>
          <w:rFonts w:hint="eastAsia" w:ascii="仿宋" w:eastAsia="仿宋"/>
          <w:color w:val="auto"/>
          <w:sz w:val="32"/>
          <w:szCs w:val="32"/>
          <w:highlight w:val="none"/>
        </w:rPr>
        <w:t>、机关事业单位基本养老保险缴费</w:t>
      </w:r>
      <w:r>
        <w:rPr>
          <w:rFonts w:hint="eastAsia" w:ascii="仿宋" w:eastAsia="仿宋"/>
          <w:color w:val="auto"/>
          <w:sz w:val="32"/>
          <w:szCs w:val="32"/>
          <w:highlight w:val="none"/>
          <w:lang w:val="en-US" w:eastAsia="zh-CN"/>
        </w:rPr>
        <w:t>30.73万元</w:t>
      </w:r>
      <w:r>
        <w:rPr>
          <w:rFonts w:hint="eastAsia" w:ascii="仿宋" w:eastAsia="仿宋"/>
          <w:color w:val="auto"/>
          <w:sz w:val="32"/>
          <w:szCs w:val="32"/>
          <w:highlight w:val="none"/>
        </w:rPr>
        <w:t>、职业年金缴费</w:t>
      </w:r>
      <w:r>
        <w:rPr>
          <w:rFonts w:hint="eastAsia" w:ascii="仿宋" w:eastAsia="仿宋"/>
          <w:color w:val="auto"/>
          <w:sz w:val="32"/>
          <w:szCs w:val="32"/>
          <w:highlight w:val="none"/>
          <w:lang w:val="en-US" w:eastAsia="zh-CN"/>
        </w:rPr>
        <w:t>20.3万元</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基本医疗保险缴费</w:t>
      </w:r>
      <w:r>
        <w:rPr>
          <w:rFonts w:hint="eastAsia" w:ascii="仿宋" w:eastAsia="仿宋"/>
          <w:color w:val="auto"/>
          <w:sz w:val="32"/>
          <w:szCs w:val="32"/>
          <w:highlight w:val="none"/>
          <w:lang w:val="en-US" w:eastAsia="zh-CN"/>
        </w:rPr>
        <w:t>48.43万元</w:t>
      </w:r>
      <w:r>
        <w:rPr>
          <w:rFonts w:hint="eastAsia" w:ascii="仿宋" w:eastAsia="仿宋"/>
          <w:color w:val="auto"/>
          <w:sz w:val="32"/>
          <w:szCs w:val="32"/>
          <w:highlight w:val="none"/>
        </w:rPr>
        <w:t>、住房公积金</w:t>
      </w:r>
      <w:r>
        <w:rPr>
          <w:rFonts w:hint="eastAsia" w:ascii="仿宋" w:eastAsia="仿宋"/>
          <w:color w:val="auto"/>
          <w:sz w:val="32"/>
          <w:szCs w:val="32"/>
          <w:highlight w:val="none"/>
          <w:lang w:val="en-US" w:eastAsia="zh-CN"/>
        </w:rPr>
        <w:t>31.29万元</w:t>
      </w:r>
      <w:r>
        <w:rPr>
          <w:rFonts w:hint="eastAsia" w:ascii="仿宋" w:eastAsia="仿宋"/>
          <w:color w:val="auto"/>
          <w:sz w:val="32"/>
          <w:szCs w:val="32"/>
          <w:highlight w:val="none"/>
        </w:rPr>
        <w:t>。</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w:t>
      </w:r>
      <w:r>
        <w:rPr>
          <w:rFonts w:hint="eastAsia" w:ascii="仿宋" w:eastAsia="仿宋"/>
          <w:color w:val="auto"/>
          <w:sz w:val="32"/>
          <w:szCs w:val="32"/>
          <w:highlight w:val="none"/>
          <w:lang w:val="en-US" w:eastAsia="zh-CN"/>
        </w:rPr>
        <w:t>0.78</w:t>
      </w:r>
      <w:r>
        <w:rPr>
          <w:rFonts w:hint="eastAsia" w:ascii="仿宋" w:eastAsia="仿宋"/>
          <w:color w:val="auto"/>
          <w:sz w:val="32"/>
          <w:szCs w:val="32"/>
          <w:highlight w:val="none"/>
        </w:rPr>
        <w:t>万元，主要包括：邮电费</w:t>
      </w:r>
      <w:r>
        <w:rPr>
          <w:rFonts w:hint="eastAsia" w:ascii="仿宋" w:eastAsia="仿宋"/>
          <w:color w:val="auto"/>
          <w:sz w:val="32"/>
          <w:szCs w:val="32"/>
          <w:highlight w:val="none"/>
          <w:lang w:val="en-US" w:eastAsia="zh-CN"/>
        </w:rPr>
        <w:t>0.78万元</w:t>
      </w:r>
      <w:r>
        <w:rPr>
          <w:rFonts w:hint="eastAsia" w:ascii="仿宋" w:eastAsia="仿宋"/>
          <w:color w:val="auto"/>
          <w:sz w:val="32"/>
          <w:szCs w:val="32"/>
          <w:highlight w:val="none"/>
        </w:rPr>
        <w:t>。</w:t>
      </w:r>
    </w:p>
    <w:p>
      <w:pPr>
        <w:spacing w:line="600" w:lineRule="exact"/>
        <w:ind w:firstLine="640"/>
        <w:rPr>
          <w:rFonts w:ascii="仿宋" w:eastAsia="仿宋"/>
          <w:b/>
          <w:color w:val="auto"/>
          <w:sz w:val="32"/>
          <w:szCs w:val="32"/>
          <w:highlight w:val="none"/>
        </w:rPr>
      </w:pPr>
    </w:p>
    <w:p>
      <w:pPr>
        <w:spacing w:line="600" w:lineRule="exact"/>
        <w:ind w:firstLine="640"/>
        <w:outlineLvl w:val="1"/>
        <w:rPr>
          <w:rStyle w:val="20"/>
          <w:rFonts w:ascii="黑体" w:eastAsia="黑体"/>
          <w:b w:val="0"/>
          <w:color w:val="auto"/>
          <w:highlight w:val="none"/>
        </w:rPr>
      </w:pPr>
      <w:bookmarkStart w:id="59" w:name="_Toc15377215"/>
      <w:bookmarkStart w:id="60" w:name="_Toc15396609"/>
      <w:bookmarkStart w:id="61" w:name="_Toc19745"/>
      <w:r>
        <w:rPr>
          <w:rFonts w:hint="eastAsia" w:ascii="黑体" w:eastAsia="黑体"/>
          <w:color w:val="auto"/>
          <w:sz w:val="32"/>
          <w:szCs w:val="32"/>
          <w:highlight w:val="none"/>
        </w:rPr>
        <w:t>七、</w:t>
      </w:r>
      <w:r>
        <w:rPr>
          <w:rStyle w:val="20"/>
          <w:rFonts w:hint="eastAsia" w:ascii="黑体" w:eastAsia="黑体"/>
          <w:b w:val="0"/>
          <w:color w:val="auto"/>
          <w:highlight w:val="none"/>
        </w:rPr>
        <w:t>财政拨款</w:t>
      </w:r>
      <w:r>
        <w:rPr>
          <w:rStyle w:val="20"/>
          <w:rFonts w:hint="eastAsia" w:ascii="黑体" w:eastAsia="黑体"/>
          <w:color w:val="auto"/>
          <w:highlight w:val="none"/>
        </w:rPr>
        <w:t>“</w:t>
      </w:r>
      <w:r>
        <w:rPr>
          <w:rStyle w:val="20"/>
          <w:rFonts w:hint="eastAsia" w:ascii="黑体" w:eastAsia="黑体"/>
          <w:b w:val="0"/>
          <w:color w:val="auto"/>
          <w:highlight w:val="none"/>
        </w:rPr>
        <w:t>三公”经费支出决算情况说明</w:t>
      </w:r>
      <w:bookmarkEnd w:id="59"/>
      <w:bookmarkEnd w:id="60"/>
      <w:bookmarkEnd w:id="61"/>
    </w:p>
    <w:p>
      <w:pPr>
        <w:spacing w:line="600" w:lineRule="exact"/>
        <w:ind w:firstLine="640"/>
        <w:outlineLvl w:val="2"/>
        <w:rPr>
          <w:rFonts w:ascii="仿宋" w:eastAsia="仿宋"/>
          <w:b/>
          <w:color w:val="auto"/>
          <w:sz w:val="32"/>
          <w:szCs w:val="32"/>
          <w:highlight w:val="none"/>
        </w:rPr>
      </w:pPr>
      <w:bookmarkStart w:id="62" w:name="_Toc15377216"/>
      <w:bookmarkStart w:id="63" w:name="_Toc29736"/>
      <w:r>
        <w:rPr>
          <w:rFonts w:hint="eastAsia" w:ascii="仿宋" w:eastAsia="仿宋"/>
          <w:b/>
          <w:color w:val="auto"/>
          <w:sz w:val="32"/>
          <w:szCs w:val="32"/>
          <w:highlight w:val="none"/>
        </w:rPr>
        <w:t>（一）“三公”经费财政拨款支出决算总体情况说明</w:t>
      </w:r>
      <w:bookmarkEnd w:id="62"/>
      <w:bookmarkEnd w:id="63"/>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64" w:name="_Toc15377217"/>
      <w:bookmarkStart w:id="65" w:name="_Toc9727"/>
      <w:r>
        <w:rPr>
          <w:rFonts w:hint="eastAsia" w:ascii="仿宋" w:eastAsia="仿宋"/>
          <w:b/>
          <w:color w:val="auto"/>
          <w:sz w:val="32"/>
          <w:szCs w:val="32"/>
          <w:highlight w:val="none"/>
        </w:rPr>
        <w:t>（二）“三公”经费财政拨款支出决算具体情况说明</w:t>
      </w:r>
      <w:bookmarkEnd w:id="64"/>
      <w:bookmarkEnd w:id="65"/>
    </w:p>
    <w:p>
      <w:pPr>
        <w:spacing w:line="600" w:lineRule="exact"/>
        <w:ind w:firstLine="64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r>
        <w:rPr>
          <w:rFonts w:hint="eastAsia" w:ascii="仿宋" w:eastAsia="仿宋"/>
          <w:color w:val="auto"/>
          <w:sz w:val="32"/>
          <w:szCs w:val="32"/>
          <w:highlight w:val="none"/>
          <w:lang w:eastAsia="zh-CN"/>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1.因公出国（境）经费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2.公务用车购置及运行维护费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0万元，年初未安排预算。</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3.公务接待费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国内公务接待</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ascii="黑体" w:eastAsia="黑体"/>
          <w:color w:val="auto"/>
          <w:sz w:val="32"/>
          <w:szCs w:val="32"/>
          <w:highlight w:val="none"/>
        </w:rPr>
      </w:pPr>
      <w:r>
        <w:rPr>
          <w:rFonts w:hint="eastAsia" w:ascii="仿宋" w:eastAsia="仿宋"/>
          <w:b/>
          <w:bCs/>
          <w:color w:val="auto"/>
          <w:sz w:val="32"/>
          <w:szCs w:val="32"/>
          <w:highlight w:val="none"/>
        </w:rPr>
        <w:t>外事接待</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bookmarkStart w:id="66" w:name="_Toc15396610"/>
      <w:bookmarkStart w:id="67" w:name="_Toc15377218"/>
    </w:p>
    <w:p>
      <w:pPr>
        <w:spacing w:line="600" w:lineRule="exact"/>
        <w:ind w:firstLine="640"/>
        <w:outlineLvl w:val="1"/>
        <w:rPr>
          <w:rStyle w:val="20"/>
          <w:rFonts w:ascii="黑体" w:eastAsia="黑体"/>
          <w:color w:val="auto"/>
          <w:highlight w:val="none"/>
        </w:rPr>
      </w:pPr>
      <w:bookmarkStart w:id="68" w:name="_Toc28071"/>
      <w:r>
        <w:rPr>
          <w:rFonts w:hint="eastAsia" w:ascii="黑体" w:eastAsia="黑体"/>
          <w:color w:val="auto"/>
          <w:sz w:val="32"/>
          <w:szCs w:val="32"/>
          <w:highlight w:val="none"/>
        </w:rPr>
        <w:t>八、</w:t>
      </w:r>
      <w:r>
        <w:rPr>
          <w:rStyle w:val="20"/>
          <w:rFonts w:hint="eastAsia" w:ascii="黑体" w:eastAsia="黑体"/>
          <w:b w:val="0"/>
          <w:color w:val="auto"/>
          <w:highlight w:val="none"/>
        </w:rPr>
        <w:t>政府性基金预算支出决算情况说明</w:t>
      </w:r>
      <w:bookmarkEnd w:id="66"/>
      <w:bookmarkEnd w:id="67"/>
      <w:bookmarkEnd w:id="68"/>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年政府性基金预算</w:t>
      </w:r>
      <w:r>
        <w:rPr>
          <w:rFonts w:hint="eastAsia" w:ascii="仿宋" w:eastAsia="仿宋"/>
          <w:color w:val="auto"/>
          <w:sz w:val="32"/>
          <w:szCs w:val="32"/>
          <w:highlight w:val="none"/>
          <w:lang w:eastAsia="zh-CN"/>
        </w:rPr>
        <w:t>财政</w:t>
      </w:r>
      <w:r>
        <w:rPr>
          <w:rFonts w:hint="eastAsia" w:ascii="仿宋" w:eastAsia="仿宋"/>
          <w:color w:val="auto"/>
          <w:sz w:val="32"/>
          <w:szCs w:val="32"/>
          <w:highlight w:val="none"/>
        </w:rPr>
        <w:t>拨款支出</w:t>
      </w:r>
      <w:r>
        <w:rPr>
          <w:rFonts w:hint="eastAsia" w:ascii="仿宋" w:eastAsia="仿宋"/>
          <w:color w:val="auto"/>
          <w:sz w:val="32"/>
          <w:szCs w:val="32"/>
          <w:highlight w:val="none"/>
          <w:lang w:val="en-US" w:eastAsia="zh-CN"/>
        </w:rPr>
        <w:t>18.42</w:t>
      </w:r>
      <w:r>
        <w:rPr>
          <w:rFonts w:hint="eastAsia" w:ascii="仿宋" w:eastAsia="仿宋"/>
          <w:color w:val="auto"/>
          <w:sz w:val="32"/>
          <w:szCs w:val="32"/>
          <w:highlight w:val="none"/>
        </w:rPr>
        <w:t>万元。</w:t>
      </w:r>
    </w:p>
    <w:p>
      <w:pPr>
        <w:numPr>
          <w:ilvl w:val="0"/>
          <w:numId w:val="3"/>
        </w:numPr>
        <w:spacing w:line="600" w:lineRule="exact"/>
        <w:ind w:left="0" w:firstLine="640"/>
        <w:outlineLvl w:val="1"/>
        <w:rPr>
          <w:rStyle w:val="20"/>
          <w:rFonts w:ascii="黑体" w:eastAsia="黑体"/>
          <w:b w:val="0"/>
          <w:color w:val="auto"/>
          <w:highlight w:val="none"/>
        </w:rPr>
      </w:pPr>
      <w:bookmarkStart w:id="69" w:name="_Toc15396611"/>
      <w:bookmarkStart w:id="70" w:name="_Toc15377219"/>
      <w:bookmarkStart w:id="71" w:name="_Toc18776"/>
      <w:r>
        <w:rPr>
          <w:rStyle w:val="20"/>
          <w:rFonts w:hint="eastAsia" w:ascii="黑体" w:eastAsia="黑体"/>
          <w:b w:val="0"/>
          <w:color w:val="auto"/>
          <w:highlight w:val="none"/>
        </w:rPr>
        <w:t>国有资本经营预算支出决算情况说明</w:t>
      </w:r>
      <w:bookmarkEnd w:id="69"/>
      <w:bookmarkEnd w:id="70"/>
      <w:bookmarkEnd w:id="71"/>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年国有资本经营预算</w:t>
      </w:r>
      <w:r>
        <w:rPr>
          <w:rFonts w:hint="eastAsia" w:ascii="仿宋" w:eastAsia="仿宋"/>
          <w:color w:val="auto"/>
          <w:sz w:val="32"/>
          <w:szCs w:val="32"/>
          <w:highlight w:val="none"/>
          <w:lang w:eastAsia="zh-CN"/>
        </w:rPr>
        <w:t>财政</w:t>
      </w:r>
      <w:r>
        <w:rPr>
          <w:rFonts w:hint="eastAsia" w:ascii="仿宋" w:eastAsia="仿宋"/>
          <w:color w:val="auto"/>
          <w:sz w:val="32"/>
          <w:szCs w:val="32"/>
          <w:highlight w:val="none"/>
        </w:rPr>
        <w:t>拨款支出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numPr>
          <w:ilvl w:val="0"/>
          <w:numId w:val="3"/>
        </w:numPr>
        <w:spacing w:line="600" w:lineRule="exact"/>
        <w:ind w:left="0" w:firstLine="640"/>
        <w:outlineLvl w:val="1"/>
        <w:rPr>
          <w:rStyle w:val="20"/>
          <w:rFonts w:hint="eastAsia" w:ascii="黑体" w:eastAsia="黑体"/>
          <w:b w:val="0"/>
          <w:color w:val="auto"/>
          <w:highlight w:val="none"/>
        </w:rPr>
      </w:pPr>
      <w:bookmarkStart w:id="72" w:name="_Toc15396612"/>
      <w:bookmarkStart w:id="73" w:name="_Toc15377221"/>
      <w:bookmarkStart w:id="74" w:name="_Toc32695"/>
      <w:r>
        <w:rPr>
          <w:rStyle w:val="20"/>
          <w:rFonts w:hint="eastAsia" w:ascii="黑体" w:eastAsia="黑体"/>
          <w:b w:val="0"/>
          <w:color w:val="auto"/>
          <w:highlight w:val="none"/>
        </w:rPr>
        <w:t>其他重要事项的情况说明</w:t>
      </w:r>
      <w:bookmarkEnd w:id="72"/>
      <w:bookmarkEnd w:id="73"/>
      <w:bookmarkEnd w:id="74"/>
    </w:p>
    <w:p>
      <w:pPr>
        <w:spacing w:line="600" w:lineRule="exact"/>
        <w:ind w:firstLine="643" w:firstLineChars="200"/>
        <w:outlineLvl w:val="2"/>
        <w:rPr>
          <w:rFonts w:ascii="仿宋" w:eastAsia="仿宋"/>
          <w:color w:val="auto"/>
          <w:sz w:val="32"/>
          <w:szCs w:val="32"/>
          <w:highlight w:val="none"/>
        </w:rPr>
      </w:pPr>
      <w:bookmarkStart w:id="75" w:name="_Toc15377222"/>
      <w:bookmarkStart w:id="76" w:name="_Toc7154"/>
      <w:r>
        <w:rPr>
          <w:rFonts w:hint="eastAsia" w:ascii="仿宋" w:eastAsia="仿宋"/>
          <w:b/>
          <w:color w:val="auto"/>
          <w:sz w:val="32"/>
          <w:szCs w:val="32"/>
          <w:highlight w:val="none"/>
        </w:rPr>
        <w:t>（一）机关运行经费支出情况</w:t>
      </w:r>
      <w:bookmarkEnd w:id="75"/>
      <w:bookmarkEnd w:id="76"/>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w:t>
      </w:r>
      <w:r>
        <w:rPr>
          <w:rFonts w:hint="eastAsia" w:ascii="仿宋" w:eastAsia="仿宋"/>
          <w:color w:val="auto"/>
          <w:sz w:val="32"/>
          <w:szCs w:val="32"/>
          <w:highlight w:val="none"/>
          <w:lang w:val="en-US"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77" w:name="_Toc15377223"/>
      <w:bookmarkStart w:id="78" w:name="_Toc30254"/>
      <w:r>
        <w:rPr>
          <w:rFonts w:hint="eastAsia" w:ascii="仿宋" w:eastAsia="仿宋"/>
          <w:b/>
          <w:color w:val="auto"/>
          <w:sz w:val="32"/>
          <w:szCs w:val="32"/>
          <w:highlight w:val="none"/>
        </w:rPr>
        <w:t>（二）政府采购支出情况</w:t>
      </w:r>
      <w:bookmarkEnd w:id="77"/>
      <w:bookmarkEnd w:id="78"/>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2022年，本年未发府采购。</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79" w:name="_Toc15377224"/>
      <w:bookmarkStart w:id="80" w:name="_Toc21476"/>
      <w:r>
        <w:rPr>
          <w:rFonts w:hint="eastAsia" w:ascii="仿宋" w:eastAsia="仿宋"/>
          <w:b/>
          <w:color w:val="auto"/>
          <w:sz w:val="32"/>
          <w:szCs w:val="32"/>
          <w:highlight w:val="none"/>
        </w:rPr>
        <w:t>（三）国有资产占有使用情况</w:t>
      </w:r>
      <w:bookmarkEnd w:id="79"/>
      <w:bookmarkEnd w:id="80"/>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截至2022年12月31日，昭化镇中心卫生院共有车辆1辆，其中：主要领导干部用车0辆、机要通信用车0辆、应急保障用车0辆、其他用车1辆(救护车)。单价100万元以上专用设备0台（套）。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81" w:name="_Toc18930"/>
      <w:r>
        <w:rPr>
          <w:rFonts w:hint="eastAsia" w:ascii="仿宋" w:eastAsia="仿宋"/>
          <w:b/>
          <w:color w:val="auto"/>
          <w:sz w:val="32"/>
          <w:szCs w:val="32"/>
          <w:highlight w:val="none"/>
        </w:rPr>
        <w:t>（四）预算绩效管理情况</w:t>
      </w:r>
      <w:bookmarkEnd w:id="81"/>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1.绩效目标管理情况</w:t>
      </w:r>
    </w:p>
    <w:p>
      <w:pPr>
        <w:spacing w:line="600" w:lineRule="exact"/>
        <w:ind w:firstLine="640"/>
        <w:rPr>
          <w:rFonts w:hint="eastAsia" w:ascii="仿宋" w:eastAsia="仿宋"/>
          <w:color w:val="auto"/>
          <w:sz w:val="32"/>
          <w:szCs w:val="32"/>
          <w:highlight w:val="none"/>
          <w:lang w:val="en-US" w:eastAsia="zh-CN"/>
        </w:rPr>
      </w:pPr>
      <w:bookmarkStart w:id="82" w:name="_Toc31974"/>
      <w:r>
        <w:rPr>
          <w:rFonts w:hint="eastAsia" w:ascii="仿宋" w:eastAsia="仿宋"/>
          <w:color w:val="auto"/>
          <w:sz w:val="32"/>
          <w:szCs w:val="32"/>
          <w:highlight w:val="none"/>
          <w:lang w:val="en-US" w:eastAsia="zh-CN"/>
        </w:rPr>
        <w:t>根据预算绩效管理要求，本单位在2022年度预算编制阶段，组织对基本药物制度项目、基本公共卫生服务、新冠疫情防控项目及二类疫苗服务费共4个项目开展了预算事前绩效评估，对3个项目编制了绩效目标，预算执行过程中，选取1个项目开展绩效监控，年终执行完毕后，对3个项目开展了绩效自评，2022年部门预算项目绩效目标自评表见附件（第四部分）。</w:t>
      </w:r>
      <w:bookmarkEnd w:id="82"/>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2.预算项目绩效评价</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基本公共卫生服务项目绩效目标完成情况综述。</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（一）居民健康档案管理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2022年，昭化镇户籍人口共8250户，20947人（其中常住人口18748人，外出2199人），全镇共建立居民健康档案20942份，规范化健康管理18748份，有动态记录档案14075份,其中高血压病管理档案1557份，规范化管理1418份；糖尿病管理档案318份，规范化管理293份；0-6岁儿童保健管理档1704份；孕产妇全年管理档案173份；严重精神障碍患者管理档案158份；老年人管理档案3798份。截止目前，健康档案建档率达到100%，规范管理率达67%。</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（二）健康教育</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2022年，共印刷健康教育资料50种，音像播放资料12种，全镇设置健康宣传栏14个，更新69次；在各村社、社区、单位共举办各类健康教育知识讲座42场，全年参加人数累计1350人，在古城游客中心、街道、市场、学校、人口聚集地进行健康教育宣传咨询活动12余次，全年参加人数累计1100人，影像播放8次，全年累计播放24小时，共发放宣传资料10000余份，使辖区老百姓健康意识、科普知识持续提升。</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（三）计划免疫</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截止9月30日，为适龄儿童免费接种乙肝疫苗、卡介苗、脊灰疫苗、百白破疫苗、麻疹类疫苗（麻风、麻腮风）、甲肝疫苗、流脑疫苗、乙脑疫苗、白破二联等国家免疫规划疫苗，目前辖区内已建立预防接种证1658人（其中新增173人），全年本地应接种一类疫苗3358针次，实接种3358针次；共接种二类疫苗1455针次；新冠疫苗接种6147人次；接种过程中，均无异常反应发生，对辖区内计划免疫疫苗预防疾病进行主动监测，本年度无相关传染病病发生。</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（四）儿童保健管理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截止9月底，辖区内0-6岁儿童在管1704人，规范化管理1704人。其中3岁以上6岁以内1098人，3岁以内606人。3岁以内中医药健康管理606人。</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xml:space="preserve">   （五）孕产妇管理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xml:space="preserve">     1、昭化镇全年孕产妇总数为173人，其中早孕建卡173人，建卡率为100%；孕产妇系统管理173人，住院分娩173人，住院分娩率100%，产后通过家庭、视频电话等方式访视173人次，访视率为100%；母乳喂养173人，喂养率为100%；免费发放叶酸239人份。</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2、筛查出高危产妇70例；均进行了全程跟踪管理，使高危孕妇管理率和住院分娩率均达100%。</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3、全镇孕产妇零死亡。</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（六）老年人保健</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65岁以上老年人3798人，规范化管理2969人，中医药健康管理3071人，对2969名65周岁以上老年人进行了生活自理能力评估；免费为2969位老年人进行健康体检。体检除一般体格检查外，还积极开展血常规、尿常规、空腹血糖和B超等辅助检查。对查出的9名高血压、21名糖尿病纳入了慢性病规范管理，对查出的结石、占位性疾病等异常情况转诊到上级医疗单位进行确诊、治疗。</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（七）慢性病管理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慢性病管理，主要针对高血压、糖尿病等慢性病高危人群进行健康指导。对35岁以上人群实行门诊首诊测血压。对确诊高血压和糖尿病的患者提供随机血糖监测，并针对辖区慢性病人群开展连续科学的健康评估、干预措施等，并对他们进行体格检查及用药、饮食、运动、心理等健康指导，辖区共管理高血压患者1557人、规范化管理1418人，体检1657人次，签约1557人；糖尿病患者318人，规范管理293人，体检327人次，签约318人.并按照规范对高血压、糖尿病患者进行了随访。</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（八）严重精神障碍患者管理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xml:space="preserve">    调整了严重精神障碍领导小组，对我镇严重精神障碍患者进一步排查、摸底，掌握严重精神障碍患者复发、住院、迁出、死亡、走失等情况。并对辖区内已确诊的157例严重精神障碍患者进行随访管理，并于今年8月份开始通过集中和入户方式免费对辖区患者进行了免费体检。</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（九）传染病及突发公共卫生事件报告和处理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一是依据《传染病防治法》、《传染病信息报告管理规范》以及《传染病报告与处理规范》要求，建立健全了传染病报告管理相关制度。二是分期对本单位医护人员进行传染病防治知识、技能的培训。三是采取多种形式对辖区居民进行传染病防治知识的宣传教育，提高了辖区居民传染病知识的知晓率。全年登记传染病1例，报告1例，传染病疫情报告率100%。无突发公共卫生事件发生。</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（十）发热门诊登记、死因管理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xml:space="preserve">     一年来，本辖区共报告发热门诊登记病例156例，死亡报告病例64例。</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（十一）卫生监督协管工作</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在院领导下认真贯彻落实上级有关文件精神，紧紧围饶以保证人民群众食品安全、学校卫生、公共场所卫生、非法行医等工作出发点，根据上级文件精神认真对中心学校开展传染病防治、健康教育、突发公共卫生事件应急预案处置，到各村巡查非法行医，排查公共场所单位和个人；全年开展巡查12次，各项工作取得了显著成绩，切实保障了人民群众身体健康和生命安全。</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（十二）中医药健康管理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辖区65岁以上老年人3798人，接受中医药健康管理服3071人，中医药健康管理率80%，0-36个月儿童606人，接受中医药健康管理服务606 人，中医药健康管理率100%。</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结核病患者健康管理。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(十三）结核病健康管理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全年发现结核病患者3例，管理3例，管理率100%（已结案2例，目前在管1例），发现疑似结核病0例，转诊0例。</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（十四）责任医生签约服务</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调整了全科医生签约服务工作领导小组，制定责任医生签约实施方案，成立签约服务团队12个，截止到9月底，全镇共建居民健康档案20492，实际规范签约18748人，签约率达91%。</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两病健康管理</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xml:space="preserve">     全镇共管理慢性阻患者85人，类风湿患者60人，并于今年8月至9月对他们进行了免费体检。</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 xml:space="preserve">   基本药物制度项目完成情况综述。村卫生室国家基本药物制度覆盖率100%，政府办基层医疗卫生机构基本药物制度覆盖率100%，2022年5个村卫生室全面实施国家基本药物制度，确保基本药物制度的实施，保障药品安全、有效、经济，解决了老百姓看病贵的问题，稳定了乡村医生的收入。</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位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3、单位整体支出绩效自评开展情况。</w:t>
      </w:r>
    </w:p>
    <w:p>
      <w:pPr>
        <w:spacing w:line="600" w:lineRule="exact"/>
        <w:ind w:firstLine="640"/>
        <w:rPr>
          <w:rFonts w:hint="eastAsia" w:ascii="仿宋_GB2312" w:eastAsia="仿宋_GB2312"/>
          <w:color w:val="auto"/>
          <w:sz w:val="32"/>
          <w:szCs w:val="32"/>
          <w:highlight w:val="none"/>
          <w:lang w:val="en-US" w:eastAsia="zh-CN"/>
        </w:rPr>
      </w:pPr>
      <w:r>
        <w:rPr>
          <w:rFonts w:hint="eastAsia" w:ascii="仿宋" w:eastAsia="仿宋"/>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14"/>
        <w:keepNext w:val="0"/>
        <w:keepLines w:val="0"/>
        <w:widowControl/>
        <w:suppressLineNumbers w:val="0"/>
        <w:spacing w:before="0" w:beforeAutospacing="0" w:after="0" w:afterAutospacing="0" w:line="578" w:lineRule="atLeast"/>
        <w:ind w:right="0"/>
        <w:jc w:val="left"/>
        <w:rPr>
          <w:rFonts w:hint="eastAsia" w:ascii="仿宋_GB2312" w:hAnsi="微软雅黑" w:eastAsia="仿宋_GB2312" w:cs="仿宋_GB2312"/>
          <w:b w:val="0"/>
          <w:bCs w:val="0"/>
          <w:i w:val="0"/>
          <w:iCs w:val="0"/>
          <w:caps w:val="0"/>
          <w:color w:val="000000"/>
          <w:spacing w:val="0"/>
          <w:sz w:val="32"/>
          <w:szCs w:val="32"/>
        </w:rPr>
      </w:pPr>
    </w:p>
    <w:p>
      <w:pPr>
        <w:pStyle w:val="14"/>
        <w:keepNext w:val="0"/>
        <w:keepLines w:val="0"/>
        <w:widowControl/>
        <w:suppressLineNumbers w:val="0"/>
        <w:spacing w:before="0" w:beforeAutospacing="0" w:after="0" w:afterAutospacing="0" w:line="578" w:lineRule="atLeast"/>
        <w:ind w:right="0"/>
        <w:jc w:val="left"/>
        <w:rPr>
          <w:rFonts w:hint="eastAsia" w:ascii="仿宋_GB2312" w:hAnsi="微软雅黑" w:eastAsia="仿宋_GB2312" w:cs="仿宋_GB2312"/>
          <w:b w:val="0"/>
          <w:bCs w:val="0"/>
          <w:i w:val="0"/>
          <w:iCs w:val="0"/>
          <w:caps w:val="0"/>
          <w:color w:val="000000"/>
          <w:spacing w:val="0"/>
          <w:sz w:val="32"/>
          <w:szCs w:val="32"/>
        </w:rPr>
      </w:pPr>
    </w:p>
    <w:p>
      <w:pPr>
        <w:pStyle w:val="14"/>
        <w:keepNext w:val="0"/>
        <w:keepLines w:val="0"/>
        <w:widowControl/>
        <w:suppressLineNumbers w:val="0"/>
        <w:spacing w:before="0" w:beforeAutospacing="0" w:after="0" w:afterAutospacing="0" w:line="578" w:lineRule="atLeast"/>
        <w:ind w:right="0"/>
        <w:jc w:val="left"/>
        <w:rPr>
          <w:rFonts w:hint="eastAsia" w:ascii="仿宋_GB2312" w:hAnsi="微软雅黑" w:eastAsia="仿宋_GB2312" w:cs="仿宋_GB2312"/>
          <w:b w:val="0"/>
          <w:bCs w:val="0"/>
          <w:i w:val="0"/>
          <w:iCs w:val="0"/>
          <w:caps w:val="0"/>
          <w:color w:val="000000"/>
          <w:spacing w:val="0"/>
          <w:sz w:val="32"/>
          <w:szCs w:val="32"/>
        </w:rPr>
      </w:pPr>
    </w:p>
    <w:p>
      <w:pPr>
        <w:pStyle w:val="14"/>
        <w:keepNext w:val="0"/>
        <w:keepLines w:val="0"/>
        <w:widowControl/>
        <w:suppressLineNumbers w:val="0"/>
        <w:spacing w:before="0" w:beforeAutospacing="0" w:after="0" w:afterAutospacing="0" w:line="578" w:lineRule="atLeast"/>
        <w:ind w:right="0"/>
        <w:jc w:val="left"/>
        <w:rPr>
          <w:rFonts w:hint="eastAsia" w:ascii="仿宋_GB2312" w:hAnsi="微软雅黑" w:eastAsia="仿宋_GB2312" w:cs="仿宋_GB2312"/>
          <w:b w:val="0"/>
          <w:bCs w:val="0"/>
          <w:i w:val="0"/>
          <w:iCs w:val="0"/>
          <w:caps w:val="0"/>
          <w:color w:val="000000"/>
          <w:spacing w:val="0"/>
          <w:sz w:val="32"/>
          <w:szCs w:val="32"/>
        </w:rPr>
      </w:pPr>
    </w:p>
    <w:p>
      <w:pPr>
        <w:pStyle w:val="14"/>
        <w:keepNext w:val="0"/>
        <w:keepLines w:val="0"/>
        <w:widowControl/>
        <w:suppressLineNumbers w:val="0"/>
        <w:spacing w:before="0" w:beforeAutospacing="0" w:after="0" w:afterAutospacing="0" w:line="578" w:lineRule="atLeast"/>
        <w:ind w:right="0"/>
        <w:jc w:val="left"/>
        <w:rPr>
          <w:rFonts w:hint="eastAsia" w:ascii="仿宋_GB2312" w:hAnsi="微软雅黑" w:eastAsia="仿宋_GB2312" w:cs="仿宋_GB2312"/>
          <w:b w:val="0"/>
          <w:bCs w:val="0"/>
          <w:i w:val="0"/>
          <w:iCs w:val="0"/>
          <w:caps w:val="0"/>
          <w:color w:val="000000"/>
          <w:spacing w:val="0"/>
          <w:sz w:val="32"/>
          <w:szCs w:val="32"/>
        </w:rPr>
      </w:pPr>
    </w:p>
    <w:p>
      <w:pPr>
        <w:pStyle w:val="14"/>
        <w:keepNext w:val="0"/>
        <w:keepLines w:val="0"/>
        <w:widowControl/>
        <w:suppressLineNumbers w:val="0"/>
        <w:spacing w:before="0" w:beforeAutospacing="0" w:after="0" w:afterAutospacing="0" w:line="578" w:lineRule="atLeast"/>
        <w:ind w:right="0"/>
        <w:jc w:val="left"/>
        <w:rPr>
          <w:rFonts w:hint="eastAsia" w:ascii="仿宋_GB2312" w:hAnsi="微软雅黑" w:eastAsia="仿宋_GB2312" w:cs="仿宋_GB2312"/>
          <w:b w:val="0"/>
          <w:bCs w:val="0"/>
          <w:i w:val="0"/>
          <w:iCs w:val="0"/>
          <w:caps w:val="0"/>
          <w:color w:val="000000"/>
          <w:spacing w:val="0"/>
          <w:sz w:val="32"/>
          <w:szCs w:val="32"/>
        </w:rPr>
      </w:pPr>
    </w:p>
    <w:p>
      <w:pPr>
        <w:numPr>
          <w:ilvl w:val="0"/>
          <w:numId w:val="4"/>
        </w:numPr>
        <w:spacing w:line="600" w:lineRule="exact"/>
        <w:ind w:left="0" w:firstLine="660" w:firstLineChars="150"/>
        <w:jc w:val="center"/>
        <w:outlineLvl w:val="0"/>
        <w:rPr>
          <w:rFonts w:ascii="宋体"/>
          <w:b/>
          <w:color w:val="auto"/>
          <w:sz w:val="44"/>
          <w:szCs w:val="44"/>
          <w:highlight w:val="none"/>
        </w:rPr>
      </w:pPr>
      <w:bookmarkStart w:id="83" w:name="_Toc15377225"/>
      <w:bookmarkStart w:id="84" w:name="_Toc15396613"/>
      <w:bookmarkStart w:id="85" w:name="_Toc7331"/>
      <w:r>
        <w:rPr>
          <w:rFonts w:hint="eastAsia" w:ascii="黑体" w:eastAsia="黑体"/>
          <w:color w:val="auto"/>
          <w:sz w:val="44"/>
          <w:szCs w:val="44"/>
          <w:highlight w:val="none"/>
        </w:rPr>
        <w:t>名</w:t>
      </w:r>
      <w:r>
        <w:rPr>
          <w:rStyle w:val="19"/>
          <w:rFonts w:hint="eastAsia" w:ascii="黑体" w:eastAsia="黑体"/>
          <w:b w:val="0"/>
          <w:color w:val="auto"/>
          <w:highlight w:val="none"/>
        </w:rPr>
        <w:t>词解释</w:t>
      </w:r>
      <w:bookmarkEnd w:id="83"/>
      <w:bookmarkEnd w:id="84"/>
      <w:bookmarkEnd w:id="85"/>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bookmarkStart w:id="86" w:name="_Toc15377226"/>
      <w:r>
        <w:rPr>
          <w:rFonts w:hint="eastAsia" w:ascii="仿宋" w:hAnsi="Times New Roman" w:eastAsia="仿宋" w:cs="Times New Roman"/>
          <w:color w:val="auto"/>
          <w:kern w:val="2"/>
          <w:sz w:val="32"/>
          <w:szCs w:val="32"/>
          <w:highlight w:val="none"/>
          <w:lang w:val="en-US" w:eastAsia="zh-CN" w:bidi="ar-SA"/>
        </w:rPr>
        <w:t>1.财政拨款收入：指单位从同级财政单位取得的各类拨款。</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2.事业收入：指事业单位开展专业业务活动及辅助活动取得的收入。如区人民医院、妇幼保健计生生育服务中心、区中医医院、乡镇卫生院医疗收入等。</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3.其他收入：指单位取得的除上述收入以外的各项收入。主要是利息收入等。 </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5.年初结转和结余：指以前年度尚未完成、结转到本年按有关规定继续使用的资金。 </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6.本年盈余分配：指事业单位按照政府会计制度的规定从非财政拨款结余或事业结余中提取的奖励基金和职工福利基金等。</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7.年末结转和结余：指单位按有关规定结转到下年或以后年度继续使用的资金。</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8.卫生健康支出（类）基层医疗卫生机构（款）乡镇卫生院（项）：反映乡镇卫生院的支出；卫生健康支出（类）公共卫生（款）基本公共卫生服务（项）：反映乡镇卫生院、社区卫生机构开展基本公共卫生服务的支出；卫生健康支出（类）基层医疗卫生机构（款）其他基层医疗卫生机构支出（项）：反映除乡镇卫生院、城市社区卫生机构以外的其他用于基层医疗卫生机构的支出；卫生健康支出（类）行政事业单位医疗（款）事业单位医疗（项）:反映卫生健康支出中的在职人员医疗保险。</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9.社会保障和就业支出：反映政府在社会保障和就业方面的支出。社会保障和就业支出-行政事业单位离退休-机关事业单位基本养老保险缴费支出：反映机关事业单位实施养老保险制度由单位缴纳的基本养老保险支出；</w:t>
      </w:r>
      <w:r>
        <w:rPr>
          <w:rFonts w:hint="eastAsia" w:ascii="仿宋" w:hAnsi="Times New Roman" w:eastAsia="仿宋" w:cs="Times New Roman"/>
          <w:color w:val="auto"/>
          <w:kern w:val="2"/>
          <w:sz w:val="32"/>
          <w:szCs w:val="32"/>
          <w:highlight w:val="none"/>
          <w:lang w:val="en-US" w:eastAsia="zh-CN" w:bidi="ar-SA"/>
        </w:rPr>
        <w:br w:type="textWrapping"/>
      </w:r>
      <w:r>
        <w:rPr>
          <w:rFonts w:hint="eastAsia" w:ascii="仿宋" w:hAnsi="Times New Roman" w:eastAsia="仿宋" w:cs="Times New Roman"/>
          <w:color w:val="auto"/>
          <w:kern w:val="2"/>
          <w:sz w:val="32"/>
          <w:szCs w:val="32"/>
          <w:highlight w:val="none"/>
          <w:lang w:val="en-US" w:eastAsia="zh-CN" w:bidi="ar-SA"/>
        </w:rPr>
        <w:t xml:space="preserve">    10.住房保障支出：住房保障支出-住房改革支出-住房公积金：反映行政事业单位按人力资源和社会保障部、财政部规定的基本工资和津贴补贴以及规定比例为职工缴纳的住房公积金。</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11.基本支出：指为保障机构正常运转、完成日常工作任务而发生的人员支出和公用支出。</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12.项目支出：指在基本支出之外为完成特定行政任务和事业发展目标所发生的支出。 </w:t>
      </w:r>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116" w:name="_GoBack"/>
      <w:bookmarkEnd w:id="116"/>
    </w:p>
    <w:p>
      <w:pPr>
        <w:pStyle w:val="24"/>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br w:type="page"/>
      </w:r>
      <w:bookmarkStart w:id="87" w:name="_Toc15396614"/>
    </w:p>
    <w:p>
      <w:pPr>
        <w:pStyle w:val="24"/>
        <w:numPr>
          <w:ilvl w:val="0"/>
          <w:numId w:val="4"/>
        </w:numPr>
        <w:spacing w:line="560" w:lineRule="exact"/>
        <w:ind w:left="0" w:leftChars="0" w:firstLine="660" w:firstLineChars="150"/>
        <w:jc w:val="center"/>
        <w:rPr>
          <w:rFonts w:hint="eastAsia" w:ascii="黑体" w:eastAsia="黑体" w:cs="Times New Roman"/>
          <w:color w:val="auto"/>
          <w:kern w:val="2"/>
          <w:sz w:val="44"/>
          <w:szCs w:val="44"/>
          <w:highlight w:val="none"/>
          <w:lang w:val="en-US" w:eastAsia="zh-CN" w:bidi="ar-SA"/>
        </w:rPr>
      </w:pPr>
      <w:r>
        <w:rPr>
          <w:rFonts w:hint="eastAsia" w:ascii="黑体" w:eastAsia="黑体" w:cs="Times New Roman"/>
          <w:color w:val="auto"/>
          <w:kern w:val="2"/>
          <w:sz w:val="44"/>
          <w:szCs w:val="44"/>
          <w:highlight w:val="none"/>
          <w:lang w:val="en-US" w:eastAsia="zh-CN" w:bidi="ar-SA"/>
        </w:rPr>
        <w:t>附件</w:t>
      </w:r>
      <w:bookmarkEnd w:id="87"/>
    </w:p>
    <w:tbl>
      <w:tblPr>
        <w:tblStyle w:val="18"/>
        <w:tblpPr w:leftFromText="180" w:rightFromText="180" w:vertAnchor="text" w:horzAnchor="page" w:tblpX="1940" w:tblpY="608"/>
        <w:tblOverlap w:val="never"/>
        <w:tblW w:w="8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0"/>
        <w:gridCol w:w="476"/>
        <w:gridCol w:w="549"/>
        <w:gridCol w:w="877"/>
        <w:gridCol w:w="750"/>
        <w:gridCol w:w="754"/>
        <w:gridCol w:w="848"/>
        <w:gridCol w:w="1"/>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52" w:hRule="atLeast"/>
        </w:trPr>
        <w:tc>
          <w:tcPr>
            <w:tcW w:w="826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基本公共卫生转移支付区域（项目）绩效目标自评表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8260" w:type="dxa"/>
            <w:gridSpan w:val="9"/>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57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57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广元市昭化区昭化镇中心卫生院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25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2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144.34</w:t>
            </w:r>
          </w:p>
        </w:tc>
        <w:tc>
          <w:tcPr>
            <w:tcW w:w="1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144.34</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5" w:hRule="atLeast"/>
        </w:trPr>
        <w:tc>
          <w:tcPr>
            <w:tcW w:w="2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8"/>
                <w:rFonts w:ascii="宋体" w:hAnsi="宋体" w:eastAsia="宋体" w:cs="宋体"/>
                <w:sz w:val="24"/>
                <w:szCs w:val="24"/>
                <w:lang w:val="en-US" w:eastAsia="zh-CN" w:bidi="ar"/>
              </w:rPr>
              <w:t>其中：中央财政资金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114.59</w:t>
            </w:r>
          </w:p>
        </w:tc>
        <w:tc>
          <w:tcPr>
            <w:tcW w:w="1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114.59</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8"/>
                <w:rFonts w:ascii="宋体" w:hAnsi="宋体" w:eastAsia="宋体" w:cs="宋体"/>
                <w:sz w:val="24"/>
                <w:szCs w:val="24"/>
                <w:lang w:val="en-US" w:eastAsia="zh-CN" w:bidi="ar"/>
              </w:rPr>
              <w:t xml:space="preserve">      地方资金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29.06</w:t>
            </w:r>
          </w:p>
        </w:tc>
        <w:tc>
          <w:tcPr>
            <w:tcW w:w="1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29.06</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28"/>
                <w:rFonts w:ascii="宋体" w:hAnsi="宋体" w:eastAsia="宋体" w:cs="宋体"/>
                <w:sz w:val="24"/>
                <w:szCs w:val="24"/>
                <w:lang w:val="en-US" w:eastAsia="zh-CN" w:bidi="ar"/>
              </w:rPr>
              <w:t xml:space="preserve">  其他资金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0.69</w:t>
            </w:r>
          </w:p>
        </w:tc>
        <w:tc>
          <w:tcPr>
            <w:tcW w:w="1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0.69</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2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0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免费向常住城乡居民提供12类国家基本公共卫生服务；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40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1.免费为辖区居民提供12类基本公共卫生服务。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7" w:hRule="atLeast"/>
        </w:trPr>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7岁以下儿童健康管理率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老年人健康管理率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1557</w:t>
            </w:r>
            <w:r>
              <w:rPr>
                <w:rFonts w:hint="eastAsia" w:ascii="宋体" w:hAnsi="宋体" w:eastAsia="宋体" w:cs="宋体"/>
                <w:i w:val="0"/>
                <w:iCs w:val="0"/>
                <w:color w:val="000000"/>
                <w:kern w:val="0"/>
                <w:sz w:val="20"/>
                <w:szCs w:val="20"/>
                <w:u w:val="none"/>
                <w:lang w:val="en-US" w:eastAsia="zh-CN" w:bidi="ar"/>
              </w:rPr>
              <w:t>万人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1557</w:t>
            </w:r>
            <w:r>
              <w:rPr>
                <w:rFonts w:hint="eastAsia" w:ascii="宋体" w:hAnsi="宋体" w:eastAsia="宋体" w:cs="宋体"/>
                <w:i w:val="0"/>
                <w:iCs w:val="0"/>
                <w:color w:val="000000"/>
                <w:kern w:val="0"/>
                <w:sz w:val="20"/>
                <w:szCs w:val="20"/>
                <w:u w:val="none"/>
                <w:lang w:val="en-US" w:eastAsia="zh-CN" w:bidi="ar"/>
              </w:rPr>
              <w:t>万人</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1"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2型糖尿病患者管理人数</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r>
              <w:rPr>
                <w:rFonts w:hint="eastAsia" w:ascii="宋体" w:hAnsi="宋体" w:cs="宋体"/>
                <w:i w:val="0"/>
                <w:iCs w:val="0"/>
                <w:color w:val="000000"/>
                <w:kern w:val="0"/>
                <w:sz w:val="20"/>
                <w:szCs w:val="20"/>
                <w:u w:val="none"/>
                <w:lang w:val="en-US" w:eastAsia="zh-CN" w:bidi="ar"/>
              </w:rPr>
              <w:t>318</w:t>
            </w:r>
            <w:r>
              <w:rPr>
                <w:rFonts w:hint="eastAsia" w:ascii="宋体" w:hAnsi="宋体" w:eastAsia="宋体" w:cs="宋体"/>
                <w:i w:val="0"/>
                <w:iCs w:val="0"/>
                <w:color w:val="000000"/>
                <w:kern w:val="0"/>
                <w:sz w:val="20"/>
                <w:szCs w:val="20"/>
                <w:u w:val="none"/>
                <w:lang w:val="en-US" w:eastAsia="zh-CN" w:bidi="ar"/>
              </w:rPr>
              <w:t>万人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r>
              <w:rPr>
                <w:rFonts w:hint="eastAsia" w:ascii="宋体" w:hAnsi="宋体" w:cs="宋体"/>
                <w:i w:val="0"/>
                <w:iCs w:val="0"/>
                <w:color w:val="000000"/>
                <w:kern w:val="0"/>
                <w:sz w:val="20"/>
                <w:szCs w:val="20"/>
                <w:u w:val="none"/>
                <w:lang w:val="en-US" w:eastAsia="zh-CN" w:bidi="ar"/>
              </w:rPr>
              <w:t>318</w:t>
            </w:r>
            <w:r>
              <w:rPr>
                <w:rFonts w:hint="eastAsia" w:ascii="宋体" w:hAnsi="宋体" w:eastAsia="宋体" w:cs="宋体"/>
                <w:i w:val="0"/>
                <w:iCs w:val="0"/>
                <w:color w:val="000000"/>
                <w:kern w:val="0"/>
                <w:sz w:val="20"/>
                <w:szCs w:val="20"/>
                <w:u w:val="none"/>
                <w:lang w:val="en-US" w:eastAsia="zh-CN" w:bidi="ar"/>
              </w:rPr>
              <w:t>万人</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地方病监测完成率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2"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麻风病按规定随访到位率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农村妇女“两癌”检查目标任务完成率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完成国家和省级双随机抽检任务</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65岁及以上老年人医养结合服务率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65岁以上失能老年人健康服务率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高血压患者规范管理率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91</w:t>
            </w:r>
            <w:r>
              <w:rPr>
                <w:rFonts w:hint="eastAsia" w:ascii="宋体" w:hAnsi="宋体" w:eastAsia="宋体" w:cs="宋体"/>
                <w:i w:val="0"/>
                <w:iCs w:val="0"/>
                <w:color w:val="000000"/>
                <w:kern w:val="0"/>
                <w:sz w:val="20"/>
                <w:szCs w:val="20"/>
                <w:u w:val="none"/>
                <w:lang w:val="en-US" w:eastAsia="zh-CN" w:bidi="ar"/>
              </w:rPr>
              <w:t>%</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2型糖尿病患者规范管理率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92</w:t>
            </w:r>
            <w:r>
              <w:rPr>
                <w:rFonts w:hint="eastAsia" w:ascii="宋体" w:hAnsi="宋体" w:eastAsia="宋体" w:cs="宋体"/>
                <w:i w:val="0"/>
                <w:iCs w:val="0"/>
                <w:color w:val="000000"/>
                <w:kern w:val="0"/>
                <w:sz w:val="20"/>
                <w:szCs w:val="20"/>
                <w:u w:val="none"/>
                <w:lang w:val="en-US" w:eastAsia="zh-CN" w:bidi="ar"/>
              </w:rPr>
              <w:t>%</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麻风病可疑线索报告率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开展疾控业务专业指导评价</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乡镇覆盖100%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100%乡镇全覆盖</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0"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年12月底前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完成项目所有内容</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年12月31日前</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2"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人均79元</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8"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1"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2"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避孕药具发放满意度</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67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p>
    <w:p>
      <w:pPr>
        <w:pStyle w:val="7"/>
        <w:rPr>
          <w:rFonts w:hint="eastAsia" w:ascii="仿宋_GB2312" w:eastAsia="仿宋_GB2312" w:cs="仿宋"/>
          <w:color w:val="auto"/>
          <w:kern w:val="0"/>
          <w:sz w:val="32"/>
          <w:szCs w:val="32"/>
          <w:highlight w:val="none"/>
          <w:lang w:val="en-US" w:eastAsia="zh-CN" w:bidi="ar-SA"/>
        </w:rPr>
      </w:pPr>
      <w:bookmarkStart w:id="88" w:name="_Toc15396618"/>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lang w:val="en-US" w:eastAsia="zh-CN"/>
        </w:rPr>
      </w:pPr>
    </w:p>
    <w:tbl>
      <w:tblPr>
        <w:tblStyle w:val="18"/>
        <w:tblpPr w:leftFromText="180" w:rightFromText="180" w:vertAnchor="text" w:horzAnchor="page" w:tblpX="2024" w:tblpY="1242"/>
        <w:tblOverlap w:val="never"/>
        <w:tblW w:w="7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8"/>
        <w:gridCol w:w="297"/>
        <w:gridCol w:w="662"/>
        <w:gridCol w:w="1"/>
        <w:gridCol w:w="1250"/>
        <w:gridCol w:w="942"/>
        <w:gridCol w:w="787"/>
        <w:gridCol w:w="1"/>
        <w:gridCol w:w="568"/>
        <w:gridCol w:w="1"/>
        <w:gridCol w:w="2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6" w:hRule="atLeast"/>
        </w:trPr>
        <w:tc>
          <w:tcPr>
            <w:tcW w:w="780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基本药物制度转移支付区域（项目）绩效目标自评表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0" w:type="dxa"/>
            <w:gridSpan w:val="1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2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558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558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trPr>
        <w:tc>
          <w:tcPr>
            <w:tcW w:w="2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广元市昭化区昭化镇中心卫生院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221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33.23</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33.23</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9"/>
                <w:rFonts w:ascii="宋体" w:hAnsi="宋体" w:eastAsia="宋体" w:cs="宋体"/>
                <w:sz w:val="24"/>
                <w:szCs w:val="24"/>
                <w:lang w:val="en-US" w:eastAsia="zh-CN" w:bidi="ar"/>
              </w:rPr>
              <w:t>其中：中央财政资金</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19.91</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19.91</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9"/>
                <w:rFonts w:ascii="宋体" w:hAnsi="宋体" w:eastAsia="宋体" w:cs="宋体"/>
                <w:sz w:val="24"/>
                <w:szCs w:val="24"/>
                <w:lang w:val="en-US" w:eastAsia="zh-CN" w:bidi="ar"/>
              </w:rPr>
              <w:t xml:space="preserve">      地方资金</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13.32</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13.32</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29"/>
                <w:rFonts w:ascii="宋体" w:hAnsi="宋体" w:eastAsia="宋体" w:cs="宋体"/>
                <w:sz w:val="24"/>
                <w:szCs w:val="24"/>
                <w:lang w:val="en-US" w:eastAsia="zh-CN" w:bidi="ar"/>
              </w:rPr>
              <w:t xml:space="preserve">  其他资金</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1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3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8"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目标1：保证所有政府办村卫生站实施国家基本药物制度，推进综合改革顺利进行；  目标2：对实施国家基本药物制度的村卫生室给予补助，支持国家基本药物制度在村卫生室顺利实施；</w:t>
            </w:r>
          </w:p>
        </w:tc>
        <w:tc>
          <w:tcPr>
            <w:tcW w:w="33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5个村卫生室全面实施国家基本药物制度，确保基本药物制度的实施，解决了老百姓看病贵的问题，稳定了乡村医生的收入。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6" w:hRule="atLeast"/>
        </w:trPr>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政府办基层医疗卫生机构基本药物制度覆盖率</w:t>
            </w:r>
          </w:p>
        </w:tc>
        <w:tc>
          <w:tcPr>
            <w:tcW w:w="787"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村卫生室国家基本药物制度覆盖率</w:t>
            </w:r>
          </w:p>
        </w:tc>
        <w:tc>
          <w:tcPr>
            <w:tcW w:w="787"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目录药品质量合格率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补助资金下达率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严格按照上级补助全额兑现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7"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乡村医生收入</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保持稳定</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国家基本药物制度在基层持续实施</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降低患者的医疗费用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保证药品安全、有效、经济</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8"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654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2"/>
        <w:rPr>
          <w:rFonts w:hint="eastAsia"/>
        </w:rPr>
      </w:pPr>
    </w:p>
    <w:p>
      <w:pPr>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2"/>
        <w:ind w:left="0" w:leftChars="0" w:firstLine="0" w:firstLineChars="0"/>
        <w:rPr>
          <w:rFonts w:ascii="仿宋_GB2312" w:hAnsi="仿宋_GB2312" w:eastAsia="仿宋_GB2312" w:cs="仿宋_GB2312"/>
          <w:color w:val="auto"/>
          <w:sz w:val="32"/>
          <w:szCs w:val="32"/>
          <w:highlight w:val="none"/>
        </w:rPr>
      </w:pPr>
    </w:p>
    <w:p/>
    <w:tbl>
      <w:tblPr>
        <w:tblStyle w:val="18"/>
        <w:tblW w:w="8260" w:type="dxa"/>
        <w:tblInd w:w="0" w:type="dxa"/>
        <w:shd w:val="clear" w:color="auto" w:fill="auto"/>
        <w:tblLayout w:type="fixed"/>
        <w:tblCellMar>
          <w:top w:w="0" w:type="dxa"/>
          <w:left w:w="0" w:type="dxa"/>
          <w:bottom w:w="0" w:type="dxa"/>
          <w:right w:w="0" w:type="dxa"/>
        </w:tblCellMar>
      </w:tblPr>
      <w:tblGrid>
        <w:gridCol w:w="626"/>
        <w:gridCol w:w="859"/>
        <w:gridCol w:w="860"/>
        <w:gridCol w:w="860"/>
        <w:gridCol w:w="704"/>
        <w:gridCol w:w="530"/>
        <w:gridCol w:w="382"/>
        <w:gridCol w:w="859"/>
        <w:gridCol w:w="860"/>
        <w:gridCol w:w="860"/>
        <w:gridCol w:w="860"/>
      </w:tblGrid>
      <w:tr>
        <w:tblPrEx>
          <w:shd w:val="clear" w:color="auto" w:fill="auto"/>
          <w:tblLayout w:type="fixed"/>
          <w:tblCellMar>
            <w:top w:w="0" w:type="dxa"/>
            <w:left w:w="0" w:type="dxa"/>
            <w:bottom w:w="0" w:type="dxa"/>
            <w:right w:w="0" w:type="dxa"/>
          </w:tblCellMar>
        </w:tblPrEx>
        <w:trPr>
          <w:trHeight w:val="687" w:hRule="atLeast"/>
        </w:trPr>
        <w:tc>
          <w:tcPr>
            <w:tcW w:w="826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63" w:hRule="atLeast"/>
        </w:trPr>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77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Layout w:type="fixed"/>
          <w:tblCellMar>
            <w:top w:w="0" w:type="dxa"/>
            <w:left w:w="0" w:type="dxa"/>
            <w:bottom w:w="0" w:type="dxa"/>
            <w:right w:w="0" w:type="dxa"/>
          </w:tblCellMar>
        </w:tblPrEx>
        <w:trPr>
          <w:trHeight w:val="687" w:hRule="atLeast"/>
        </w:trPr>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33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59"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w:t>
            </w:r>
            <w:r>
              <w:rPr>
                <w:rFonts w:hint="eastAsia" w:ascii="宋体" w:hAnsi="宋体" w:cs="宋体"/>
                <w:i w:val="0"/>
                <w:iCs w:val="0"/>
                <w:color w:val="000000"/>
                <w:kern w:val="0"/>
                <w:sz w:val="20"/>
                <w:szCs w:val="20"/>
                <w:u w:val="none"/>
                <w:lang w:val="en-US" w:eastAsia="zh-CN" w:bidi="ar"/>
              </w:rPr>
              <w:t>区</w:t>
            </w:r>
            <w:r>
              <w:rPr>
                <w:rFonts w:hint="eastAsia" w:ascii="宋体" w:hAnsi="宋体" w:eastAsia="宋体" w:cs="宋体"/>
                <w:i w:val="0"/>
                <w:iCs w:val="0"/>
                <w:color w:val="000000"/>
                <w:kern w:val="0"/>
                <w:sz w:val="20"/>
                <w:szCs w:val="20"/>
                <w:u w:val="none"/>
                <w:lang w:val="en-US" w:eastAsia="zh-CN" w:bidi="ar"/>
              </w:rPr>
              <w:t>昭化镇中心卫生院</w:t>
            </w:r>
          </w:p>
        </w:tc>
      </w:tr>
      <w:tr>
        <w:tblPrEx>
          <w:tblLayout w:type="fixed"/>
          <w:tblCellMar>
            <w:top w:w="0" w:type="dxa"/>
            <w:left w:w="0" w:type="dxa"/>
            <w:bottom w:w="0" w:type="dxa"/>
            <w:right w:w="0" w:type="dxa"/>
          </w:tblCellMar>
        </w:tblPrEx>
        <w:trPr>
          <w:trHeight w:val="462"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33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439"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Layout w:type="fixed"/>
          <w:tblCellMar>
            <w:top w:w="0" w:type="dxa"/>
            <w:left w:w="0" w:type="dxa"/>
            <w:bottom w:w="0" w:type="dxa"/>
            <w:right w:w="0" w:type="dxa"/>
          </w:tblCellMar>
        </w:tblPrEx>
        <w:trPr>
          <w:trHeight w:val="555"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3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4.0325万元</w:t>
            </w:r>
          </w:p>
        </w:tc>
        <w:tc>
          <w:tcPr>
            <w:tcW w:w="3439"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999"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77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87"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61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6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374"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4.0325</w:t>
            </w:r>
          </w:p>
        </w:tc>
        <w:tc>
          <w:tcPr>
            <w:tcW w:w="161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4.0325</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6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87"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4.0325</w:t>
            </w:r>
          </w:p>
        </w:tc>
        <w:tc>
          <w:tcPr>
            <w:tcW w:w="161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4.0325</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87"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1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374"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1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502"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1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284"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6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7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60"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74" w:hRule="atLeast"/>
        </w:trPr>
        <w:tc>
          <w:tcPr>
            <w:tcW w:w="568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87"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634"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687"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634"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687"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634"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405" w:hRule="atLeast"/>
        </w:trPr>
        <w:tc>
          <w:tcPr>
            <w:tcW w:w="390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35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rPr>
          <w:rFonts w:hint="eastAsia"/>
          <w:lang w:val="en-US" w:eastAsia="zh-CN"/>
        </w:rPr>
      </w:pPr>
    </w:p>
    <w:p>
      <w:pPr>
        <w:spacing w:line="600" w:lineRule="exact"/>
        <w:jc w:val="both"/>
        <w:outlineLvl w:val="0"/>
        <w:rPr>
          <w:rFonts w:hint="eastAsia" w:ascii="黑体" w:eastAsia="黑体"/>
          <w:color w:val="auto"/>
          <w:sz w:val="44"/>
          <w:szCs w:val="44"/>
          <w:highlight w:val="none"/>
        </w:rPr>
      </w:pPr>
    </w:p>
    <w:p>
      <w:pPr>
        <w:spacing w:line="600" w:lineRule="exact"/>
        <w:jc w:val="center"/>
        <w:outlineLvl w:val="0"/>
        <w:rPr>
          <w:rFonts w:hint="eastAsia" w:ascii="仿宋" w:eastAsia="仿宋"/>
          <w:b w:val="0"/>
          <w:color w:val="auto"/>
          <w:highlight w:val="none"/>
        </w:rPr>
      </w:pPr>
      <w:bookmarkStart w:id="89" w:name="_Toc10876"/>
      <w:r>
        <w:rPr>
          <w:rFonts w:hint="eastAsia" w:ascii="黑体" w:eastAsia="黑体"/>
          <w:color w:val="auto"/>
          <w:sz w:val="44"/>
          <w:szCs w:val="44"/>
          <w:highlight w:val="none"/>
        </w:rPr>
        <w:t>第</w:t>
      </w:r>
      <w:r>
        <w:rPr>
          <w:rStyle w:val="19"/>
          <w:rFonts w:hint="eastAsia" w:ascii="黑体" w:eastAsia="黑体"/>
          <w:b w:val="0"/>
          <w:color w:val="auto"/>
          <w:highlight w:val="none"/>
        </w:rPr>
        <w:t>五部分 附表</w:t>
      </w:r>
      <w:bookmarkEnd w:id="86"/>
      <w:bookmarkEnd w:id="88"/>
      <w:bookmarkEnd w:id="89"/>
      <w:bookmarkStart w:id="90" w:name="_Toc15396619"/>
    </w:p>
    <w:p>
      <w:pPr>
        <w:pStyle w:val="5"/>
        <w:rPr>
          <w:rFonts w:ascii="仿宋" w:eastAsia="仿宋"/>
          <w:color w:val="auto"/>
          <w:highlight w:val="none"/>
        </w:rPr>
      </w:pPr>
      <w:bookmarkStart w:id="91" w:name="_Toc897"/>
      <w:r>
        <w:rPr>
          <w:rFonts w:hint="eastAsia" w:ascii="仿宋" w:eastAsia="仿宋"/>
          <w:b w:val="0"/>
          <w:color w:val="auto"/>
          <w:highlight w:val="none"/>
        </w:rPr>
        <w:t>一、收</w:t>
      </w:r>
      <w:r>
        <w:rPr>
          <w:rStyle w:val="20"/>
          <w:rFonts w:hint="eastAsia" w:ascii="仿宋" w:eastAsia="仿宋"/>
          <w:b w:val="0"/>
          <w:bCs w:val="0"/>
          <w:color w:val="auto"/>
          <w:highlight w:val="none"/>
        </w:rPr>
        <w:t>入支出决算总表</w:t>
      </w:r>
      <w:bookmarkEnd w:id="90"/>
      <w:bookmarkEnd w:id="91"/>
    </w:p>
    <w:p>
      <w:pPr>
        <w:pStyle w:val="5"/>
        <w:rPr>
          <w:rFonts w:ascii="仿宋" w:eastAsia="仿宋"/>
          <w:color w:val="auto"/>
          <w:highlight w:val="none"/>
        </w:rPr>
      </w:pPr>
      <w:bookmarkStart w:id="92" w:name="_Toc15396620"/>
      <w:bookmarkStart w:id="93" w:name="_Toc11362"/>
      <w:r>
        <w:rPr>
          <w:rFonts w:hint="eastAsia" w:ascii="仿宋" w:eastAsia="仿宋"/>
          <w:b w:val="0"/>
          <w:color w:val="auto"/>
          <w:highlight w:val="none"/>
        </w:rPr>
        <w:t>二、收</w:t>
      </w:r>
      <w:r>
        <w:rPr>
          <w:rStyle w:val="20"/>
          <w:rFonts w:hint="eastAsia" w:ascii="仿宋" w:eastAsia="仿宋"/>
          <w:b w:val="0"/>
          <w:bCs w:val="0"/>
          <w:color w:val="auto"/>
          <w:highlight w:val="none"/>
        </w:rPr>
        <w:t>入决算表</w:t>
      </w:r>
      <w:bookmarkEnd w:id="92"/>
      <w:bookmarkEnd w:id="93"/>
    </w:p>
    <w:p>
      <w:pPr>
        <w:pStyle w:val="5"/>
        <w:rPr>
          <w:rFonts w:ascii="仿宋" w:eastAsia="仿宋"/>
          <w:color w:val="auto"/>
          <w:highlight w:val="none"/>
        </w:rPr>
      </w:pPr>
      <w:bookmarkStart w:id="94" w:name="_Toc15396621"/>
      <w:bookmarkStart w:id="95" w:name="_Toc32033"/>
      <w:r>
        <w:rPr>
          <w:rStyle w:val="20"/>
          <w:rFonts w:hint="eastAsia" w:ascii="仿宋" w:eastAsia="仿宋"/>
          <w:b w:val="0"/>
          <w:bCs w:val="0"/>
          <w:color w:val="auto"/>
          <w:highlight w:val="none"/>
        </w:rPr>
        <w:t>三、</w:t>
      </w:r>
      <w:r>
        <w:rPr>
          <w:rFonts w:hint="eastAsia" w:ascii="仿宋" w:eastAsia="仿宋"/>
          <w:b w:val="0"/>
          <w:color w:val="auto"/>
          <w:highlight w:val="none"/>
        </w:rPr>
        <w:t>支</w:t>
      </w:r>
      <w:r>
        <w:rPr>
          <w:rStyle w:val="20"/>
          <w:rFonts w:hint="eastAsia" w:ascii="仿宋" w:eastAsia="仿宋"/>
          <w:b w:val="0"/>
          <w:bCs w:val="0"/>
          <w:color w:val="auto"/>
          <w:highlight w:val="none"/>
        </w:rPr>
        <w:t>出决算表</w:t>
      </w:r>
      <w:bookmarkEnd w:id="94"/>
      <w:bookmarkEnd w:id="95"/>
    </w:p>
    <w:p>
      <w:pPr>
        <w:pStyle w:val="5"/>
        <w:rPr>
          <w:rFonts w:ascii="仿宋" w:eastAsia="仿宋"/>
          <w:b w:val="0"/>
          <w:color w:val="auto"/>
          <w:highlight w:val="none"/>
        </w:rPr>
      </w:pPr>
      <w:bookmarkStart w:id="96" w:name="_Toc15396622"/>
      <w:bookmarkStart w:id="97" w:name="_Toc13108"/>
      <w:r>
        <w:rPr>
          <w:rStyle w:val="20"/>
          <w:rFonts w:hint="eastAsia" w:ascii="仿宋" w:eastAsia="仿宋"/>
          <w:b w:val="0"/>
          <w:bCs w:val="0"/>
          <w:color w:val="auto"/>
          <w:highlight w:val="none"/>
        </w:rPr>
        <w:t>四、</w:t>
      </w:r>
      <w:r>
        <w:rPr>
          <w:rFonts w:hint="eastAsia" w:ascii="仿宋" w:eastAsia="仿宋"/>
          <w:b w:val="0"/>
          <w:color w:val="auto"/>
          <w:highlight w:val="none"/>
        </w:rPr>
        <w:t>财</w:t>
      </w:r>
      <w:r>
        <w:rPr>
          <w:rStyle w:val="20"/>
          <w:rFonts w:hint="eastAsia" w:ascii="仿宋" w:eastAsia="仿宋"/>
          <w:b w:val="0"/>
          <w:bCs w:val="0"/>
          <w:color w:val="auto"/>
          <w:highlight w:val="none"/>
        </w:rPr>
        <w:t>政拨款收入支出决算总表</w:t>
      </w:r>
      <w:bookmarkEnd w:id="96"/>
      <w:bookmarkEnd w:id="97"/>
    </w:p>
    <w:p>
      <w:pPr>
        <w:pStyle w:val="5"/>
        <w:rPr>
          <w:rStyle w:val="20"/>
          <w:rFonts w:ascii="仿宋" w:eastAsia="仿宋"/>
          <w:b w:val="0"/>
          <w:bCs w:val="0"/>
          <w:color w:val="auto"/>
          <w:highlight w:val="none"/>
        </w:rPr>
      </w:pPr>
      <w:bookmarkStart w:id="98" w:name="_Toc15396623"/>
      <w:bookmarkStart w:id="99" w:name="_Toc14521"/>
      <w:r>
        <w:rPr>
          <w:rStyle w:val="20"/>
          <w:rFonts w:hint="eastAsia" w:ascii="仿宋" w:eastAsia="仿宋"/>
          <w:b w:val="0"/>
          <w:bCs w:val="0"/>
          <w:color w:val="auto"/>
          <w:highlight w:val="none"/>
        </w:rPr>
        <w:t>五、</w:t>
      </w:r>
      <w:r>
        <w:rPr>
          <w:rFonts w:hint="eastAsia" w:ascii="仿宋" w:eastAsia="仿宋"/>
          <w:b w:val="0"/>
          <w:color w:val="auto"/>
          <w:highlight w:val="none"/>
        </w:rPr>
        <w:t>财</w:t>
      </w:r>
      <w:r>
        <w:rPr>
          <w:rStyle w:val="20"/>
          <w:rFonts w:hint="eastAsia" w:ascii="仿宋" w:eastAsia="仿宋"/>
          <w:b w:val="0"/>
          <w:bCs w:val="0"/>
          <w:color w:val="auto"/>
          <w:highlight w:val="none"/>
        </w:rPr>
        <w:t>政拨款支出决算明细表</w:t>
      </w:r>
      <w:bookmarkEnd w:id="98"/>
      <w:bookmarkEnd w:id="99"/>
      <w:bookmarkStart w:id="100" w:name="_Toc15396624"/>
    </w:p>
    <w:p>
      <w:pPr>
        <w:pStyle w:val="5"/>
        <w:rPr>
          <w:rFonts w:ascii="仿宋" w:eastAsia="仿宋"/>
          <w:color w:val="auto"/>
          <w:highlight w:val="none"/>
        </w:rPr>
      </w:pPr>
      <w:bookmarkStart w:id="101" w:name="_Toc3804"/>
      <w:r>
        <w:rPr>
          <w:rStyle w:val="20"/>
          <w:rFonts w:hint="eastAsia" w:ascii="仿宋" w:eastAsia="仿宋"/>
          <w:b w:val="0"/>
          <w:bCs w:val="0"/>
          <w:color w:val="auto"/>
          <w:highlight w:val="none"/>
        </w:rPr>
        <w:t>六、</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般公共预算财政拨款支出决算表</w:t>
      </w:r>
      <w:bookmarkEnd w:id="100"/>
      <w:bookmarkEnd w:id="101"/>
    </w:p>
    <w:p>
      <w:pPr>
        <w:pStyle w:val="5"/>
        <w:rPr>
          <w:rFonts w:ascii="仿宋" w:eastAsia="仿宋"/>
          <w:color w:val="auto"/>
          <w:highlight w:val="none"/>
        </w:rPr>
      </w:pPr>
      <w:bookmarkStart w:id="102" w:name="_Toc15396625"/>
      <w:bookmarkStart w:id="103" w:name="_Toc32392"/>
      <w:r>
        <w:rPr>
          <w:rStyle w:val="20"/>
          <w:rFonts w:hint="eastAsia" w:ascii="仿宋" w:eastAsia="仿宋"/>
          <w:b w:val="0"/>
          <w:bCs w:val="0"/>
          <w:color w:val="auto"/>
          <w:highlight w:val="none"/>
        </w:rPr>
        <w:t>七、</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般公共预算财政拨款支出决算明细表</w:t>
      </w:r>
      <w:bookmarkEnd w:id="102"/>
      <w:bookmarkEnd w:id="103"/>
    </w:p>
    <w:p>
      <w:pPr>
        <w:pStyle w:val="5"/>
        <w:rPr>
          <w:rFonts w:ascii="仿宋" w:eastAsia="仿宋"/>
          <w:color w:val="auto"/>
          <w:highlight w:val="none"/>
        </w:rPr>
      </w:pPr>
      <w:bookmarkStart w:id="104" w:name="_Toc15396626"/>
      <w:bookmarkStart w:id="105" w:name="_Toc9911"/>
      <w:r>
        <w:rPr>
          <w:rStyle w:val="20"/>
          <w:rFonts w:hint="eastAsia" w:ascii="仿宋" w:eastAsia="仿宋"/>
          <w:b w:val="0"/>
          <w:bCs w:val="0"/>
          <w:color w:val="auto"/>
          <w:highlight w:val="none"/>
        </w:rPr>
        <w:t>八、</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般公共预算财政拨款基本支出决算表</w:t>
      </w:r>
      <w:bookmarkEnd w:id="104"/>
      <w:bookmarkEnd w:id="105"/>
    </w:p>
    <w:p>
      <w:pPr>
        <w:pStyle w:val="5"/>
        <w:rPr>
          <w:rFonts w:ascii="仿宋" w:eastAsia="仿宋"/>
          <w:color w:val="auto"/>
          <w:highlight w:val="none"/>
        </w:rPr>
      </w:pPr>
      <w:bookmarkStart w:id="106" w:name="_Toc15396627"/>
      <w:bookmarkStart w:id="107" w:name="_Toc8261"/>
      <w:r>
        <w:rPr>
          <w:rStyle w:val="20"/>
          <w:rFonts w:hint="eastAsia" w:ascii="仿宋" w:eastAsia="仿宋"/>
          <w:b w:val="0"/>
          <w:bCs w:val="0"/>
          <w:color w:val="auto"/>
          <w:highlight w:val="none"/>
        </w:rPr>
        <w:t>九、</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般公共预算财政拨款项目支出决算表</w:t>
      </w:r>
      <w:bookmarkEnd w:id="106"/>
      <w:bookmarkEnd w:id="107"/>
    </w:p>
    <w:p>
      <w:pPr>
        <w:pStyle w:val="5"/>
        <w:rPr>
          <w:rFonts w:ascii="仿宋" w:eastAsia="仿宋"/>
          <w:color w:val="auto"/>
          <w:highlight w:val="none"/>
        </w:rPr>
      </w:pPr>
      <w:bookmarkStart w:id="108" w:name="_Toc15396628"/>
      <w:bookmarkStart w:id="109" w:name="_Toc5693"/>
      <w:r>
        <w:rPr>
          <w:rStyle w:val="20"/>
          <w:rFonts w:hint="eastAsia" w:ascii="仿宋" w:eastAsia="仿宋"/>
          <w:b w:val="0"/>
          <w:bCs w:val="0"/>
          <w:color w:val="auto"/>
          <w:highlight w:val="none"/>
        </w:rPr>
        <w:t>十、</w:t>
      </w:r>
      <w:bookmarkEnd w:id="108"/>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府性基金预算财政拨款收入支出决算表</w:t>
      </w:r>
      <w:bookmarkEnd w:id="109"/>
    </w:p>
    <w:p>
      <w:pPr>
        <w:pStyle w:val="5"/>
        <w:rPr>
          <w:rFonts w:ascii="仿宋" w:eastAsia="仿宋"/>
          <w:color w:val="auto"/>
          <w:highlight w:val="none"/>
        </w:rPr>
      </w:pPr>
      <w:bookmarkStart w:id="110" w:name="_Toc15396629"/>
      <w:bookmarkStart w:id="111" w:name="_Toc8601"/>
      <w:r>
        <w:rPr>
          <w:rStyle w:val="20"/>
          <w:rFonts w:hint="eastAsia" w:ascii="仿宋" w:eastAsia="仿宋"/>
          <w:b w:val="0"/>
          <w:bCs w:val="0"/>
          <w:color w:val="auto"/>
          <w:highlight w:val="none"/>
        </w:rPr>
        <w:t>十一、</w:t>
      </w:r>
      <w:bookmarkEnd w:id="110"/>
      <w:r>
        <w:rPr>
          <w:rFonts w:hint="eastAsia" w:ascii="仿宋" w:eastAsia="仿宋"/>
          <w:b w:val="0"/>
          <w:color w:val="auto"/>
          <w:highlight w:val="none"/>
        </w:rPr>
        <w:t>国</w:t>
      </w:r>
      <w:r>
        <w:rPr>
          <w:rStyle w:val="20"/>
          <w:rFonts w:hint="eastAsia" w:ascii="仿宋" w:eastAsia="仿宋"/>
          <w:b w:val="0"/>
          <w:bCs w:val="0"/>
          <w:color w:val="auto"/>
          <w:highlight w:val="none"/>
        </w:rPr>
        <w:t>有资本经营预算</w:t>
      </w:r>
      <w:r>
        <w:rPr>
          <w:rStyle w:val="20"/>
          <w:rFonts w:hint="eastAsia" w:ascii="仿宋" w:eastAsia="仿宋"/>
          <w:b w:val="0"/>
          <w:bCs w:val="0"/>
          <w:color w:val="auto"/>
          <w:highlight w:val="none"/>
          <w:lang w:eastAsia="zh-CN"/>
        </w:rPr>
        <w:t>财政拨款收入</w:t>
      </w:r>
      <w:r>
        <w:rPr>
          <w:rStyle w:val="20"/>
          <w:rFonts w:hint="eastAsia" w:ascii="仿宋" w:eastAsia="仿宋"/>
          <w:b w:val="0"/>
          <w:bCs w:val="0"/>
          <w:color w:val="auto"/>
          <w:highlight w:val="none"/>
        </w:rPr>
        <w:t>支出决算表</w:t>
      </w:r>
      <w:bookmarkEnd w:id="111"/>
    </w:p>
    <w:p>
      <w:pPr>
        <w:pStyle w:val="5"/>
        <w:rPr>
          <w:rFonts w:ascii="仿宋" w:eastAsia="仿宋"/>
          <w:color w:val="auto"/>
          <w:highlight w:val="none"/>
        </w:rPr>
      </w:pPr>
      <w:bookmarkStart w:id="112" w:name="_Toc15396630"/>
      <w:bookmarkStart w:id="113" w:name="_Toc14374"/>
      <w:r>
        <w:rPr>
          <w:rStyle w:val="20"/>
          <w:rFonts w:hint="eastAsia" w:ascii="仿宋" w:eastAsia="仿宋"/>
          <w:b w:val="0"/>
          <w:bCs w:val="0"/>
          <w:color w:val="auto"/>
          <w:highlight w:val="none"/>
        </w:rPr>
        <w:t>十二、</w:t>
      </w:r>
      <w:bookmarkEnd w:id="112"/>
      <w:r>
        <w:rPr>
          <w:rStyle w:val="20"/>
          <w:rFonts w:hint="eastAsia" w:ascii="仿宋" w:eastAsia="仿宋"/>
          <w:b w:val="0"/>
          <w:bCs w:val="0"/>
          <w:color w:val="auto"/>
          <w:highlight w:val="none"/>
          <w:lang w:eastAsia="zh-CN"/>
        </w:rPr>
        <w:t>国有资本经营预算财政拨款支出决算表</w:t>
      </w:r>
      <w:bookmarkEnd w:id="113"/>
    </w:p>
    <w:p>
      <w:pPr>
        <w:pStyle w:val="5"/>
        <w:rPr>
          <w:rFonts w:hint="eastAsia" w:eastAsia="仿宋"/>
          <w:color w:val="auto"/>
          <w:highlight w:val="none"/>
          <w:lang w:eastAsia="zh-CN"/>
        </w:rPr>
      </w:pPr>
      <w:bookmarkStart w:id="114" w:name="_Toc15396631"/>
      <w:bookmarkStart w:id="115" w:name="_Toc2385"/>
      <w:r>
        <w:rPr>
          <w:rStyle w:val="20"/>
          <w:rFonts w:hint="eastAsia" w:ascii="仿宋" w:eastAsia="仿宋"/>
          <w:b w:val="0"/>
          <w:bCs w:val="0"/>
          <w:color w:val="auto"/>
          <w:highlight w:val="none"/>
        </w:rPr>
        <w:t>十三、</w:t>
      </w:r>
      <w:bookmarkEnd w:id="114"/>
      <w:r>
        <w:rPr>
          <w:rStyle w:val="20"/>
          <w:rFonts w:hint="eastAsia" w:ascii="仿宋" w:eastAsia="仿宋"/>
          <w:b w:val="0"/>
          <w:bCs w:val="0"/>
          <w:color w:val="auto"/>
          <w:highlight w:val="none"/>
          <w:lang w:eastAsia="zh-CN"/>
        </w:rPr>
        <w:t>财政拨款“三公”经费支出决算表</w:t>
      </w:r>
      <w:bookmarkEnd w:id="115"/>
    </w:p>
    <w:sectPr>
      <w:footerReference r:id="rId5" w:type="firs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DIxMmZmNDI3YWRjMjkwMTcwYmYwOGM2NmNjYWQ0NGQifQ=="/>
  </w:docVars>
  <w:rsids>
    <w:rsidRoot w:val="00000000"/>
    <w:rsid w:val="00820449"/>
    <w:rsid w:val="00CA5B45"/>
    <w:rsid w:val="050B57B9"/>
    <w:rsid w:val="0D05157A"/>
    <w:rsid w:val="141F4B5D"/>
    <w:rsid w:val="1CDB2B02"/>
    <w:rsid w:val="232B4521"/>
    <w:rsid w:val="24B75EFE"/>
    <w:rsid w:val="2B5E7DEB"/>
    <w:rsid w:val="2FAC4E7C"/>
    <w:rsid w:val="305D4A5D"/>
    <w:rsid w:val="418C4EF6"/>
    <w:rsid w:val="4440003E"/>
    <w:rsid w:val="506B1FD1"/>
    <w:rsid w:val="533C1ABC"/>
    <w:rsid w:val="5B6B6D8A"/>
    <w:rsid w:val="628A566C"/>
    <w:rsid w:val="646D0DD6"/>
    <w:rsid w:val="6DB07C13"/>
    <w:rsid w:val="72DF73CE"/>
    <w:rsid w:val="77D5472C"/>
    <w:rsid w:val="7B745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link w:val="20"/>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2"/>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w:basedOn w:val="1"/>
    <w:next w:val="1"/>
    <w:qFormat/>
    <w:uiPriority w:val="0"/>
    <w:pPr>
      <w:spacing w:before="30" w:beforeLines="30"/>
    </w:pPr>
    <w:rPr>
      <w:rFonts w:ascii="仿宋_GB2312" w:eastAsia="仿宋_GB2312"/>
      <w:kern w:val="0"/>
      <w:sz w:val="30"/>
    </w:r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paragraph" w:styleId="14">
    <w:name w:val="Normal (Web)"/>
    <w:basedOn w:val="1"/>
    <w:qFormat/>
    <w:uiPriority w:val="0"/>
    <w:rPr>
      <w:sz w:val="24"/>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9">
    <w:name w:val="heading 1 Char"/>
    <w:basedOn w:val="15"/>
    <w:link w:val="4"/>
    <w:qFormat/>
    <w:uiPriority w:val="0"/>
    <w:rPr>
      <w:rFonts w:ascii="Times New Roman" w:hAnsi="Times New Roman" w:eastAsia="宋体" w:cs="Times New Roman"/>
      <w:b/>
      <w:bCs/>
      <w:kern w:val="44"/>
      <w:sz w:val="44"/>
      <w:szCs w:val="44"/>
      <w:lang w:val="en-US" w:eastAsia="zh-CN" w:bidi="ar-SA"/>
    </w:rPr>
  </w:style>
  <w:style w:type="character" w:customStyle="1" w:styleId="20">
    <w:name w:val="heading 2 Char"/>
    <w:basedOn w:val="15"/>
    <w:link w:val="5"/>
    <w:qFormat/>
    <w:uiPriority w:val="0"/>
    <w:rPr>
      <w:rFonts w:ascii="Cambria" w:hAnsi="Cambria" w:eastAsia="宋体" w:cs="Times New Roman"/>
      <w:b/>
      <w:bCs/>
      <w:kern w:val="2"/>
      <w:sz w:val="32"/>
      <w:szCs w:val="32"/>
      <w:lang w:val="en-US" w:eastAsia="zh-CN" w:bidi="ar-SA"/>
    </w:rPr>
  </w:style>
  <w:style w:type="character" w:customStyle="1" w:styleId="21">
    <w:name w:val="Header Char"/>
    <w:basedOn w:val="15"/>
    <w:qFormat/>
    <w:uiPriority w:val="0"/>
    <w:rPr>
      <w:rFonts w:ascii="Times New Roman" w:hAnsi="Times New Roman"/>
      <w:sz w:val="18"/>
      <w:szCs w:val="18"/>
    </w:rPr>
  </w:style>
  <w:style w:type="character" w:customStyle="1" w:styleId="22">
    <w:name w:val="Footer Char"/>
    <w:basedOn w:val="15"/>
    <w:qFormat/>
    <w:uiPriority w:val="0"/>
    <w:rPr>
      <w:rFonts w:ascii="Times New Roman" w:hAnsi="Times New Roman"/>
      <w:sz w:val="18"/>
      <w:szCs w:val="18"/>
    </w:rPr>
  </w:style>
  <w:style w:type="character" w:customStyle="1" w:styleId="23">
    <w:name w:val="Body Text Char"/>
    <w:basedOn w:val="15"/>
    <w:qFormat/>
    <w:uiPriority w:val="0"/>
    <w:rPr>
      <w:rFonts w:ascii="Times New Roman" w:hAnsi="Times New Roman"/>
      <w:szCs w:val="24"/>
    </w:r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0"/>
    <w:pPr>
      <w:ind w:firstLine="200" w:firstLineChars="200"/>
    </w:pPr>
  </w:style>
  <w:style w:type="paragraph" w:customStyle="1" w:styleId="26">
    <w:name w:val="TOC 标题1"/>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7">
    <w:name w:val="TOC Heading"/>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8">
    <w:name w:val="font132"/>
    <w:basedOn w:val="15"/>
    <w:qFormat/>
    <w:uiPriority w:val="0"/>
    <w:rPr>
      <w:rFonts w:hint="eastAsia" w:ascii="宋体" w:hAnsi="宋体" w:eastAsia="宋体" w:cs="宋体"/>
      <w:color w:val="000000"/>
      <w:sz w:val="20"/>
      <w:szCs w:val="20"/>
      <w:u w:val="none"/>
    </w:rPr>
  </w:style>
  <w:style w:type="character" w:customStyle="1" w:styleId="29">
    <w:name w:val="font112"/>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2022年</c:f>
              <c:strCache>
                <c:ptCount val="1"/>
                <c:pt idx="0">
                  <c:v>2022年</c:v>
                </c:pt>
              </c:strCache>
            </c:strRef>
          </c:tx>
          <c:spPr>
            <a:solidFill>
              <a:srgbClr val="4F81B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{869.54,869.54}</c:f>
              <c:numCache>
                <c:formatCode>General</c:formatCode>
                <c:ptCount val="2"/>
                <c:pt idx="0">
                  <c:v>869.54</c:v>
                </c:pt>
                <c:pt idx="1">
                  <c:v>869.54</c:v>
                </c:pt>
              </c:numCache>
            </c:numRef>
          </c:val>
        </c:ser>
        <c:ser>
          <c:idx val="1"/>
          <c:order val="1"/>
          <c:tx>
            <c:strRef>
              <c:f>2021年</c:f>
              <c:strCache>
                <c:ptCount val="1"/>
                <c:pt idx="0">
                  <c:v>2021年</c:v>
                </c:pt>
              </c:strCache>
            </c:strRef>
          </c:tx>
          <c:spPr>
            <a:solidFill>
              <a:srgbClr val="C0504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{647.25,647.25}</c:f>
              <c:numCache>
                <c:formatCode>General</c:formatCode>
                <c:ptCount val="2"/>
                <c:pt idx="0">
                  <c:v>647.25</c:v>
                </c:pt>
                <c:pt idx="1">
                  <c:v>647.25</c:v>
                </c:pt>
              </c:numCache>
            </c:numRef>
          </c:val>
        </c:ser>
        <c:dLbls>
          <c:showLegendKey val="0"/>
          <c:showVal val="1"/>
          <c:showCatName val="0"/>
          <c:showSerName val="0"/>
          <c:showPercent val="0"/>
          <c:showBubbleSize val="0"/>
        </c:dLbls>
        <c:gapWidth val="219"/>
        <c:overlap val="-27"/>
        <c:axId val="0"/>
        <c:axId val="1"/>
      </c:barChart>
      <c:catAx>
        <c:axId val="0"/>
        <c:scaling>
          <c:orientation val="minMax"/>
        </c:scaling>
        <c:delete val="0"/>
        <c:axPos val="b"/>
        <c:numFmt formatCode="General" sourceLinked="0"/>
        <c:majorTickMark val="out"/>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12700" cap="flat" cmpd="sng" algn="ctr">
              <a:solidFill>
                <a:srgbClr val="D9D9D9"/>
              </a:solidFill>
              <a:prstDash val="solid"/>
              <a:round/>
            </a:ln>
          </c:spPr>
        </c:majorGridlines>
        <c:numFmt formatCode="General"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4F81BD"/>
            </a:solidFill>
            <a:ln>
              <a:noFill/>
            </a:ln>
          </c:spPr>
          <c:explosion val="0"/>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{"一般公共预算财政拨款收入","政府性基金预算财政拨款收入","事业收入"}</c:f>
              <c:strCache>
                <c:ptCount val="3"/>
                <c:pt idx="0">
                  <c:v>一般公共预算财政拨款收入</c:v>
                </c:pt>
                <c:pt idx="1">
                  <c:v>政府性基金预算财政拨款收入</c:v>
                </c:pt>
                <c:pt idx="2">
                  <c:v>事业收入</c:v>
                </c:pt>
              </c:strCache>
            </c:strRef>
          </c:cat>
          <c:val>
            <c:numRef>
              <c:f>{547.04,18.42,304.08}</c:f>
              <c:numCache>
                <c:formatCode>General</c:formatCode>
                <c:ptCount val="3"/>
                <c:pt idx="0">
                  <c:v>547.04</c:v>
                </c:pt>
                <c:pt idx="1">
                  <c:v>18.42</c:v>
                </c:pt>
                <c:pt idx="2">
                  <c:v>304.08</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4F81BD"/>
            </a:solidFill>
            <a:ln>
              <a:noFill/>
            </a:ln>
          </c:spPr>
          <c:explosion val="0"/>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2"/>
                <c:pt idx="0">
                  <c:v>基本支出</c:v>
                </c:pt>
                <c:pt idx="1">
                  <c:v>项目支出</c:v>
                </c:pt>
              </c:strCache>
            </c:strRef>
          </c:cat>
          <c:val>
            <c:numRef>
              <c:f>{673.55,195.99}</c:f>
              <c:numCache>
                <c:formatCode>General</c:formatCode>
                <c:ptCount val="2"/>
                <c:pt idx="0">
                  <c:v>673.55</c:v>
                </c:pt>
                <c:pt idx="1">
                  <c:v>195.99</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财政拨款收入</c:f>
              <c:strCache>
                <c:ptCount val="1"/>
                <c:pt idx="0">
                  <c:v>财政拨款收入</c:v>
                </c:pt>
              </c:strCache>
            </c:strRef>
          </c:tx>
          <c:spPr>
            <a:solidFill>
              <a:srgbClr val="4F81B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{2021,20222}</c:f>
              <c:numCache>
                <c:formatCode>General</c:formatCode>
                <c:ptCount val="2"/>
                <c:pt idx="0">
                  <c:v>2021</c:v>
                </c:pt>
                <c:pt idx="1">
                  <c:v>20222</c:v>
                </c:pt>
              </c:numCache>
            </c:numRef>
          </c:cat>
          <c:val>
            <c:numRef>
              <c:f>{415.24,547.04}</c:f>
              <c:numCache>
                <c:formatCode>General</c:formatCode>
                <c:ptCount val="2"/>
                <c:pt idx="0">
                  <c:v>415.24</c:v>
                </c:pt>
                <c:pt idx="1">
                  <c:v>547.04</c:v>
                </c:pt>
              </c:numCache>
            </c:numRef>
          </c:val>
        </c:ser>
        <c:ser>
          <c:idx val="1"/>
          <c:order val="1"/>
          <c:tx>
            <c:strRef>
              <c:f>财政拨款支出</c:f>
              <c:strCache>
                <c:ptCount val="1"/>
                <c:pt idx="0">
                  <c:v>财政拨款支出</c:v>
                </c:pt>
              </c:strCache>
            </c:strRef>
          </c:tx>
          <c:spPr>
            <a:solidFill>
              <a:srgbClr val="C0504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{2021,20222}</c:f>
              <c:numCache>
                <c:formatCode>General</c:formatCode>
                <c:ptCount val="2"/>
                <c:pt idx="0">
                  <c:v>2021</c:v>
                </c:pt>
                <c:pt idx="1">
                  <c:v>20222</c:v>
                </c:pt>
              </c:numCache>
            </c:numRef>
          </c:cat>
          <c:val>
            <c:numRef>
              <c:f>{415.24,547.04}</c:f>
              <c:numCache>
                <c:formatCode>General</c:formatCode>
                <c:ptCount val="2"/>
                <c:pt idx="0">
                  <c:v>415.24</c:v>
                </c:pt>
                <c:pt idx="1">
                  <c:v>547.04</c:v>
                </c:pt>
              </c:numCache>
            </c:numRef>
          </c:val>
        </c:ser>
        <c:dLbls>
          <c:showLegendKey val="0"/>
          <c:showVal val="1"/>
          <c:showCatName val="0"/>
          <c:showSerName val="0"/>
          <c:showPercent val="0"/>
          <c:showBubbleSize val="0"/>
        </c:dLbls>
        <c:gapWidth val="219"/>
        <c:overlap val="-27"/>
        <c:axId val="0"/>
        <c:axId val="1"/>
      </c:barChart>
      <c:catAx>
        <c:axId val="0"/>
        <c:scaling>
          <c:orientation val="minMax"/>
        </c:scaling>
        <c:delete val="0"/>
        <c:axPos val="b"/>
        <c:numFmt formatCode="General" sourceLinked="0"/>
        <c:majorTickMark val="out"/>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12700" cap="flat" cmpd="sng" algn="ctr">
              <a:solidFill>
                <a:srgbClr val="D9D9D9"/>
              </a:solidFill>
              <a:prstDash val="solid"/>
              <a:round/>
            </a:ln>
          </c:spPr>
        </c:majorGridlines>
        <c:numFmt formatCode="General"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一般公共预算财政拨款支出</c:f>
              <c:strCache>
                <c:ptCount val="1"/>
                <c:pt idx="0">
                  <c:v>一般公共预算财政拨款支出</c:v>
                </c:pt>
              </c:strCache>
            </c:strRef>
          </c:tx>
          <c:spPr>
            <a:solidFill>
              <a:srgbClr val="4F81B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{2021,20222}</c:f>
              <c:numCache>
                <c:formatCode>General</c:formatCode>
                <c:ptCount val="2"/>
                <c:pt idx="0">
                  <c:v>2021</c:v>
                </c:pt>
                <c:pt idx="1">
                  <c:v>20222</c:v>
                </c:pt>
              </c:numCache>
            </c:numRef>
          </c:cat>
          <c:val>
            <c:numRef>
              <c:f>{415.24,547.04}</c:f>
              <c:numCache>
                <c:formatCode>General</c:formatCode>
                <c:ptCount val="2"/>
                <c:pt idx="0">
                  <c:v>415.24</c:v>
                </c:pt>
                <c:pt idx="1">
                  <c:v>547.04</c:v>
                </c:pt>
              </c:numCache>
            </c:numRef>
          </c:val>
        </c:ser>
        <c:ser>
          <c:idx val="1"/>
          <c:order val="1"/>
          <c:spPr>
            <a:solidFill>
              <a:srgbClr val="C0504D"/>
            </a:solidFill>
            <a:ln>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{2021,20222}</c:f>
              <c:numCache>
                <c:formatCode>General</c:formatCode>
                <c:ptCount val="2"/>
                <c:pt idx="0">
                  <c:v>2021</c:v>
                </c:pt>
                <c:pt idx="1">
                  <c:v>20222</c:v>
                </c:pt>
              </c:numCache>
            </c:numRef>
          </c:cat>
          <c:val>
            <c:numRef>
              <c:f>{}</c:f>
            </c:numRef>
          </c:val>
        </c:ser>
        <c:dLbls>
          <c:showLegendKey val="0"/>
          <c:showVal val="1"/>
          <c:showCatName val="0"/>
          <c:showSerName val="0"/>
          <c:showPercent val="0"/>
          <c:showBubbleSize val="0"/>
        </c:dLbls>
        <c:gapWidth val="219"/>
        <c:overlap val="-27"/>
        <c:axId val="0"/>
        <c:axId val="1"/>
      </c:barChart>
      <c:catAx>
        <c:axId val="0"/>
        <c:scaling>
          <c:orientation val="minMax"/>
        </c:scaling>
        <c:delete val="0"/>
        <c:axPos val="b"/>
        <c:numFmt formatCode="General" sourceLinked="0"/>
        <c:majorTickMark val="out"/>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12700" cap="flat" cmpd="sng" algn="ctr">
              <a:solidFill>
                <a:srgbClr val="D9D9D9"/>
              </a:solidFill>
              <a:prstDash val="solid"/>
              <a:round/>
            </a:ln>
          </c:spPr>
        </c:majorGridlines>
        <c:numFmt formatCode="General"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manualLayout>
          <c:xMode val="edge"/>
          <c:yMode val="edge"/>
          <c:x val="0.20701407"/>
          <c:y val="0.8706365"/>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c:spPr>
      <c:tx>
        <c:rich>
          <a:bodyPr/>
          <a:lstStyle/>
          <a:p>
            <a:pPr>
              <a:defRPr/>
            </a:pPr>
          </a:p>
        </c:rich>
      </c:tx>
    </c:title>
    <c:autoTitleDeleted val="0"/>
    <c:plotArea>
      <c:layout/>
      <c:pieChart>
        <c:varyColors val="1"/>
        <c:ser>
          <c:idx val="0"/>
          <c:order val="0"/>
          <c:spPr>
            <a:solidFill>
              <a:srgbClr val="4F81BD"/>
            </a:solidFill>
            <a:ln>
              <a:noFill/>
            </a:ln>
          </c:spPr>
          <c:explosion val="0"/>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{"社会保障和就业支出","住房保障支出","卫生健康支出"}</c:f>
              <c:strCache>
                <c:ptCount val="3"/>
                <c:pt idx="0">
                  <c:v>社会保障和就业支出</c:v>
                </c:pt>
                <c:pt idx="1">
                  <c:v>住房保障支出</c:v>
                </c:pt>
                <c:pt idx="2">
                  <c:v>卫生健康支出</c:v>
                </c:pt>
              </c:strCache>
            </c:strRef>
          </c:cat>
          <c:val>
            <c:numRef>
              <c:f>{51.03,31.29,464.74}</c:f>
              <c:numCache>
                <c:formatCode>General</c:formatCode>
                <c:ptCount val="3"/>
                <c:pt idx="0">
                  <c:v>51.03</c:v>
                </c:pt>
                <c:pt idx="1">
                  <c:v>31.29</c:v>
                </c:pt>
                <c:pt idx="2">
                  <c:v>464.74</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20</Pages>
  <Words>5974</Words>
  <Characters>6713</Characters>
  <Lines>0</Lines>
  <Paragraphs>192</Paragraphs>
  <TotalTime>3</TotalTime>
  <ScaleCrop>false</ScaleCrop>
  <LinksUpToDate>false</LinksUpToDate>
  <CharactersWithSpaces>6956</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魏连春</cp:lastModifiedBy>
  <cp:lastPrinted>2023-07-31T02:35:00Z</cp:lastPrinted>
  <dcterms:modified xsi:type="dcterms:W3CDTF">2023-09-28T08:42:10Z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418F7A5E08CC40FAB5C0D71647DCDCC9_13</vt:lpwstr>
  </property>
</Properties>
</file>