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autoSpaceDE w:val="0"/>
        <w:spacing w:before="0" w:beforeAutospacing="0" w:after="0" w:afterAutospacing="0" w:line="576" w:lineRule="exact"/>
        <w:jc w:val="both"/>
        <w:rPr>
          <w:rFonts w:hint="eastAsia" w:ascii="方正小标宋_GBK" w:eastAsia="方正小标宋_GBK" w:cs="方正小标宋_GBK"/>
          <w:sz w:val="44"/>
          <w:szCs w:val="44"/>
          <w:shd w:val="clear" w:color="auto" w:fill="FFFFFF"/>
        </w:rPr>
      </w:pPr>
      <w:bookmarkStart w:id="0" w:name="_GoBack"/>
      <w:bookmarkEnd w:id="0"/>
    </w:p>
    <w:p>
      <w:pPr>
        <w:pStyle w:val="7"/>
        <w:widowControl/>
        <w:shd w:val="clear" w:color="auto" w:fill="FFFFFF"/>
        <w:autoSpaceDE w:val="0"/>
        <w:spacing w:before="0" w:beforeAutospacing="0" w:after="0" w:afterAutospacing="0" w:line="576" w:lineRule="exact"/>
        <w:jc w:val="center"/>
        <w:rPr>
          <w:rFonts w:hint="eastAsia" w:ascii="方正小标宋_GBK" w:eastAsia="方正小标宋_GBK" w:cs="方正小标宋_GBK"/>
          <w:sz w:val="44"/>
          <w:szCs w:val="44"/>
          <w:shd w:val="clear" w:color="auto" w:fill="FFFFFF"/>
        </w:rPr>
      </w:pPr>
    </w:p>
    <w:p>
      <w:pPr>
        <w:pStyle w:val="7"/>
        <w:widowControl/>
        <w:shd w:val="clear" w:color="auto" w:fill="FFFFFF"/>
        <w:autoSpaceDE w:val="0"/>
        <w:spacing w:before="0" w:beforeAutospacing="0" w:after="0" w:afterAutospacing="0" w:line="576" w:lineRule="exact"/>
        <w:jc w:val="center"/>
        <w:rPr>
          <w:rFonts w:ascii="方正小标宋_GBK" w:eastAsia="方正小标宋_GBK" w:cs="Times New Roman"/>
          <w:sz w:val="44"/>
          <w:szCs w:val="44"/>
          <w:shd w:val="clear" w:color="auto" w:fill="FFFFFF"/>
        </w:rPr>
      </w:pPr>
      <w:r>
        <w:rPr>
          <w:rFonts w:hint="eastAsia" w:ascii="方正小标宋_GBK" w:eastAsia="方正小标宋_GBK" w:cs="方正小标宋_GBK"/>
          <w:sz w:val="44"/>
          <w:szCs w:val="44"/>
          <w:shd w:val="clear" w:color="auto" w:fill="FFFFFF"/>
        </w:rPr>
        <w:t>广元市</w:t>
      </w:r>
      <w:r>
        <w:rPr>
          <w:rFonts w:hint="eastAsia" w:ascii="方正小标宋_GBK" w:eastAsia="方正小标宋_GBK" w:cs="方正小标宋_GBK"/>
          <w:sz w:val="44"/>
          <w:szCs w:val="44"/>
          <w:shd w:val="clear" w:color="auto" w:fill="FFFFFF"/>
          <w:lang w:eastAsia="zh-CN"/>
        </w:rPr>
        <w:t>昭化区</w:t>
      </w:r>
      <w:r>
        <w:rPr>
          <w:rFonts w:hint="eastAsia" w:ascii="方正小标宋_GBK" w:eastAsia="方正小标宋_GBK" w:cs="方正小标宋_GBK"/>
          <w:sz w:val="44"/>
          <w:szCs w:val="44"/>
          <w:shd w:val="clear" w:color="auto" w:fill="FFFFFF"/>
        </w:rPr>
        <w:t>集中开展安全生产大检查和</w:t>
      </w:r>
    </w:p>
    <w:p>
      <w:pPr>
        <w:pStyle w:val="7"/>
        <w:widowControl/>
        <w:shd w:val="clear" w:color="auto" w:fill="FFFFFF"/>
        <w:autoSpaceDE w:val="0"/>
        <w:spacing w:before="0" w:beforeAutospacing="0" w:after="0" w:afterAutospacing="0" w:line="576" w:lineRule="exact"/>
        <w:jc w:val="center"/>
        <w:rPr>
          <w:rFonts w:ascii="仿宋_GB2312" w:eastAsia="仿宋_GB2312" w:cs="Times New Roman"/>
          <w:b/>
          <w:bCs/>
          <w:sz w:val="28"/>
          <w:szCs w:val="28"/>
          <w:shd w:val="clear" w:color="auto" w:fill="FFFFFF"/>
        </w:rPr>
      </w:pPr>
      <w:r>
        <w:rPr>
          <w:rFonts w:hint="eastAsia" w:ascii="方正小标宋_GBK" w:eastAsia="方正小标宋_GBK" w:cs="方正小标宋_GBK"/>
          <w:sz w:val="44"/>
          <w:szCs w:val="44"/>
          <w:shd w:val="clear" w:color="auto" w:fill="FFFFFF"/>
        </w:rPr>
        <w:t>十大专项整治行动工作方案</w:t>
      </w:r>
    </w:p>
    <w:p>
      <w:pPr>
        <w:autoSpaceDE w:val="0"/>
        <w:spacing w:line="576" w:lineRule="exact"/>
        <w:ind w:firstLine="640" w:firstLineChars="200"/>
        <w:jc w:val="left"/>
        <w:rPr>
          <w:rFonts w:ascii="仿宋_GB2312" w:eastAsia="仿宋_GB2312" w:cs="Times New Roman"/>
          <w:kern w:val="0"/>
          <w:sz w:val="32"/>
          <w:szCs w:val="32"/>
        </w:rPr>
      </w:pPr>
    </w:p>
    <w:p>
      <w:pPr>
        <w:autoSpaceDE w:val="0"/>
        <w:spacing w:line="576" w:lineRule="exact"/>
        <w:ind w:firstLine="640" w:firstLineChars="200"/>
        <w:jc w:val="left"/>
        <w:rPr>
          <w:rFonts w:ascii="仿宋_GB2312" w:eastAsia="仿宋_GB2312" w:cs="Times New Roman"/>
          <w:kern w:val="0"/>
          <w:sz w:val="32"/>
          <w:szCs w:val="32"/>
        </w:rPr>
      </w:pPr>
      <w:r>
        <w:rPr>
          <w:rFonts w:hint="eastAsia" w:ascii="仿宋_GB2312" w:eastAsia="仿宋_GB2312" w:cs="仿宋_GB2312"/>
          <w:kern w:val="0"/>
          <w:sz w:val="32"/>
          <w:szCs w:val="32"/>
        </w:rPr>
        <w:t>为深刻汲取全国全省</w:t>
      </w:r>
      <w:r>
        <w:rPr>
          <w:rFonts w:hint="eastAsia" w:ascii="仿宋_GB2312" w:eastAsia="仿宋_GB2312" w:cs="仿宋_GB2312"/>
          <w:kern w:val="0"/>
          <w:sz w:val="32"/>
          <w:szCs w:val="32"/>
          <w:lang w:eastAsia="zh-CN"/>
        </w:rPr>
        <w:t>全市</w:t>
      </w:r>
      <w:r>
        <w:rPr>
          <w:rFonts w:hint="eastAsia" w:ascii="仿宋_GB2312" w:eastAsia="仿宋_GB2312" w:cs="仿宋_GB2312"/>
          <w:kern w:val="0"/>
          <w:sz w:val="32"/>
          <w:szCs w:val="32"/>
        </w:rPr>
        <w:t>近期发生的生产安全事故教训，深入贯彻落实习近平总书记等中央领导同志近期关于安全生产工作的重要指示批示精神，</w:t>
      </w:r>
      <w:r>
        <w:rPr>
          <w:rFonts w:hint="eastAsia" w:ascii="仿宋_GB2312" w:eastAsia="仿宋_GB2312" w:cs="仿宋_GB2312"/>
          <w:kern w:val="0"/>
          <w:sz w:val="32"/>
          <w:szCs w:val="32"/>
          <w:lang w:eastAsia="zh-CN"/>
        </w:rPr>
        <w:t>根</w:t>
      </w:r>
      <w:r>
        <w:rPr>
          <w:rFonts w:hint="eastAsia" w:ascii="仿宋_GB2312" w:eastAsia="仿宋_GB2312" w:cs="仿宋_GB2312"/>
          <w:kern w:val="0"/>
          <w:sz w:val="32"/>
          <w:szCs w:val="32"/>
        </w:rPr>
        <w:t>据</w:t>
      </w:r>
      <w:r>
        <w:rPr>
          <w:rFonts w:hint="eastAsia" w:ascii="仿宋_GB2312" w:eastAsia="仿宋_GB2312" w:cs="仿宋_GB2312"/>
          <w:kern w:val="0"/>
          <w:sz w:val="32"/>
          <w:szCs w:val="32"/>
          <w:lang w:eastAsia="zh-CN"/>
        </w:rPr>
        <w:t>市</w:t>
      </w:r>
      <w:r>
        <w:rPr>
          <w:rFonts w:hint="eastAsia" w:ascii="仿宋_GB2312" w:eastAsia="仿宋_GB2312" w:cs="仿宋_GB2312"/>
          <w:kern w:val="0"/>
          <w:sz w:val="32"/>
          <w:szCs w:val="32"/>
        </w:rPr>
        <w:t>安</w:t>
      </w:r>
      <w:r>
        <w:rPr>
          <w:rFonts w:hint="eastAsia" w:ascii="仿宋_GB2312" w:eastAsia="仿宋_GB2312" w:cs="仿宋_GB2312"/>
          <w:kern w:val="0"/>
          <w:sz w:val="32"/>
          <w:szCs w:val="32"/>
          <w:lang w:eastAsia="zh-CN"/>
        </w:rPr>
        <w:t>委会</w:t>
      </w:r>
      <w:r>
        <w:rPr>
          <w:rFonts w:hint="eastAsia" w:ascii="仿宋_GB2312" w:eastAsia="仿宋_GB2312" w:cs="仿宋_GB2312"/>
          <w:kern w:val="0"/>
          <w:sz w:val="32"/>
          <w:szCs w:val="32"/>
        </w:rPr>
        <w:t>《关于集中开展安全生产大检查和十大专项整治行动</w:t>
      </w:r>
      <w:r>
        <w:rPr>
          <w:rFonts w:hint="eastAsia" w:ascii="仿宋_GB2312" w:eastAsia="仿宋_GB2312" w:cs="仿宋_GB2312"/>
          <w:kern w:val="0"/>
          <w:sz w:val="32"/>
          <w:szCs w:val="32"/>
          <w:lang w:eastAsia="zh-CN"/>
        </w:rPr>
        <w:t>工作方案</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广</w:t>
      </w:r>
      <w:r>
        <w:rPr>
          <w:rFonts w:hint="eastAsia" w:ascii="仿宋_GB2312" w:hAnsi="仿宋" w:eastAsia="仿宋_GB2312" w:cs="仿宋_GB2312"/>
          <w:spacing w:val="-2"/>
          <w:sz w:val="32"/>
          <w:szCs w:val="32"/>
        </w:rPr>
        <w:t>安</w:t>
      </w:r>
      <w:r>
        <w:rPr>
          <w:rFonts w:hint="eastAsia" w:ascii="仿宋_GB2312" w:hAnsi="仿宋" w:eastAsia="仿宋_GB2312" w:cs="仿宋_GB2312"/>
          <w:spacing w:val="-2"/>
          <w:sz w:val="32"/>
          <w:szCs w:val="32"/>
          <w:lang w:eastAsia="zh-CN"/>
        </w:rPr>
        <w:t>委</w:t>
      </w:r>
      <w:r>
        <w:rPr>
          <w:rFonts w:hint="eastAsia" w:ascii="仿宋_GB2312" w:hAnsi="仿宋" w:eastAsia="仿宋_GB2312" w:cs="仿宋_GB2312"/>
          <w:spacing w:val="-2"/>
          <w:sz w:val="32"/>
          <w:szCs w:val="32"/>
        </w:rPr>
        <w:t>〔</w:t>
      </w:r>
      <w:r>
        <w:rPr>
          <w:rFonts w:ascii="仿宋_GB2312" w:hAnsi="仿宋" w:eastAsia="仿宋_GB2312" w:cs="仿宋_GB2312"/>
          <w:spacing w:val="-2"/>
          <w:sz w:val="32"/>
          <w:szCs w:val="32"/>
        </w:rPr>
        <w:t>2019</w:t>
      </w:r>
      <w:r>
        <w:rPr>
          <w:rFonts w:hint="eastAsia" w:ascii="仿宋_GB2312" w:hAnsi="仿宋" w:eastAsia="仿宋_GB2312" w:cs="仿宋_GB2312"/>
          <w:spacing w:val="-2"/>
          <w:sz w:val="32"/>
          <w:szCs w:val="32"/>
        </w:rPr>
        <w:t>〕</w:t>
      </w:r>
      <w:r>
        <w:rPr>
          <w:rFonts w:hint="eastAsia" w:ascii="仿宋_GB2312" w:hAnsi="仿宋" w:eastAsia="仿宋_GB2312" w:cs="仿宋_GB2312"/>
          <w:spacing w:val="-2"/>
          <w:sz w:val="32"/>
          <w:szCs w:val="32"/>
          <w:lang w:val="en-US" w:eastAsia="zh-CN"/>
        </w:rPr>
        <w:t>7</w:t>
      </w:r>
      <w:r>
        <w:rPr>
          <w:rFonts w:hint="eastAsia" w:ascii="仿宋_GB2312" w:hAnsi="仿宋" w:eastAsia="仿宋_GB2312" w:cs="仿宋_GB2312"/>
          <w:spacing w:val="-2"/>
          <w:sz w:val="32"/>
          <w:szCs w:val="32"/>
        </w:rPr>
        <w:t>号</w:t>
      </w:r>
      <w:r>
        <w:rPr>
          <w:rFonts w:hint="eastAsia" w:ascii="仿宋_GB2312" w:eastAsia="仿宋_GB2312" w:cs="仿宋_GB2312"/>
          <w:kern w:val="0"/>
          <w:sz w:val="32"/>
          <w:szCs w:val="32"/>
        </w:rPr>
        <w:t>）精神，制定本方案。</w:t>
      </w:r>
    </w:p>
    <w:p>
      <w:pPr>
        <w:spacing w:line="576"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一、目标任务</w:t>
      </w:r>
    </w:p>
    <w:p>
      <w:pPr>
        <w:spacing w:line="576"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认真贯彻落实今年以来中央、省、市有关安全生产工作的系列决策部署，按照全覆盖、零容忍、严执法、重实效的总要求，以坚决遏制重特大事故、控制较大事故、减少一般事故为目标，集中开展安全生产大检查和十大专项整治行动，进一步落实安全生产责任，对重点行业、重点企业、重点环节、重点部位、重点时段严防死守，全面排查治理事故隐患，严厉打击各类非法违法行为，确保全</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安全生产形势稳定好转。</w:t>
      </w:r>
    </w:p>
    <w:p>
      <w:pPr>
        <w:spacing w:line="576"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二、检查范围</w:t>
      </w:r>
    </w:p>
    <w:p>
      <w:pPr>
        <w:spacing w:line="576"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检查范围是全</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各</w:t>
      </w:r>
      <w:r>
        <w:rPr>
          <w:rFonts w:hint="eastAsia" w:ascii="仿宋_GB2312" w:eastAsia="仿宋_GB2312" w:cs="仿宋_GB2312"/>
          <w:kern w:val="0"/>
          <w:sz w:val="32"/>
          <w:szCs w:val="32"/>
          <w:lang w:eastAsia="zh-CN"/>
        </w:rPr>
        <w:t>乡镇</w:t>
      </w:r>
      <w:r>
        <w:rPr>
          <w:rFonts w:hint="eastAsia" w:ascii="仿宋_GB2312" w:eastAsia="仿宋_GB2312" w:cs="仿宋_GB2312"/>
          <w:kern w:val="0"/>
          <w:sz w:val="32"/>
          <w:szCs w:val="32"/>
        </w:rPr>
        <w:t>、各行业（领域），各生产经营企事业单位和人员密集场所。重点检查危险化学品和烟花爆竹、交通运输、煤矿、非煤矿山、建筑施工、消防、特种设备等事故易发多发行业（领域），突出学校、医院、商业和文化娱乐场所、车站、旅游景点等人员密集的公共场所以及农民工等人员集中的劳动密集型企业。确保高危（高风险）行业企业一个不漏，检查覆盖面</w:t>
      </w:r>
      <w:r>
        <w:rPr>
          <w:rFonts w:ascii="仿宋_GB2312" w:eastAsia="仿宋_GB2312" w:cs="仿宋_GB2312"/>
          <w:kern w:val="0"/>
          <w:sz w:val="32"/>
          <w:szCs w:val="32"/>
        </w:rPr>
        <w:t>100%</w:t>
      </w:r>
      <w:r>
        <w:rPr>
          <w:rFonts w:hint="eastAsia" w:ascii="仿宋_GB2312" w:eastAsia="仿宋_GB2312" w:cs="仿宋_GB2312"/>
          <w:kern w:val="0"/>
          <w:sz w:val="32"/>
          <w:szCs w:val="32"/>
        </w:rPr>
        <w:t>；确保各类风险隐患得到有效管控，彻底解决问题隐患反复发生、长期得不到根治的重点问题。</w:t>
      </w:r>
    </w:p>
    <w:p>
      <w:pPr>
        <w:pStyle w:val="17"/>
        <w:spacing w:line="576" w:lineRule="exact"/>
        <w:ind w:firstLine="31680"/>
        <w:rPr>
          <w:rFonts w:ascii="仿宋_GB2312"/>
          <w:sz w:val="32"/>
          <w:szCs w:val="32"/>
        </w:rPr>
      </w:pPr>
      <w:r>
        <w:rPr>
          <w:rFonts w:hint="eastAsia" w:ascii="楷体_GB2312" w:eastAsia="楷体_GB2312" w:cs="楷体_GB2312"/>
          <w:sz w:val="32"/>
          <w:szCs w:val="32"/>
        </w:rPr>
        <w:t>（一）贯彻落实</w:t>
      </w:r>
      <w:r>
        <w:rPr>
          <w:rFonts w:hint="eastAsia" w:ascii="楷体_GB2312" w:eastAsia="楷体_GB2312" w:cs="楷体_GB2312"/>
          <w:sz w:val="32"/>
          <w:szCs w:val="32"/>
          <w:lang w:eastAsia="zh-CN"/>
        </w:rPr>
        <w:t>区</w:t>
      </w:r>
      <w:r>
        <w:rPr>
          <w:rFonts w:hint="eastAsia" w:ascii="楷体_GB2312" w:eastAsia="楷体_GB2312" w:cs="楷体_GB2312"/>
          <w:sz w:val="32"/>
          <w:szCs w:val="32"/>
        </w:rPr>
        <w:t>安委会确定重点工作任务的情况</w:t>
      </w:r>
      <w:r>
        <w:rPr>
          <w:rFonts w:hint="eastAsia" w:eastAsia="楷体_GB2312" w:cs="楷体_GB2312"/>
          <w:sz w:val="32"/>
          <w:szCs w:val="32"/>
        </w:rPr>
        <w:t>。</w:t>
      </w:r>
      <w:r>
        <w:rPr>
          <w:rFonts w:hint="eastAsia" w:ascii="仿宋_GB2312" w:hAnsi="仿宋" w:cs="仿宋_GB2312"/>
          <w:sz w:val="32"/>
          <w:szCs w:val="32"/>
        </w:rPr>
        <w:t>检查贯彻落实</w:t>
      </w:r>
      <w:r>
        <w:rPr>
          <w:rFonts w:hint="eastAsia" w:ascii="仿宋_GB2312" w:hAnsi="仿宋" w:cs="仿宋_GB2312"/>
          <w:sz w:val="32"/>
          <w:szCs w:val="32"/>
          <w:lang w:eastAsia="zh-CN"/>
        </w:rPr>
        <w:t>区</w:t>
      </w:r>
      <w:r>
        <w:rPr>
          <w:rFonts w:hint="eastAsia" w:ascii="仿宋_GB2312" w:hAnsi="仿宋" w:cs="仿宋_GB2312"/>
          <w:sz w:val="32"/>
          <w:szCs w:val="32"/>
        </w:rPr>
        <w:t>安委会</w:t>
      </w:r>
      <w:r>
        <w:rPr>
          <w:rFonts w:ascii="仿宋_GB2312" w:hAnsi="仿宋" w:cs="仿宋_GB2312"/>
          <w:sz w:val="32"/>
          <w:szCs w:val="32"/>
        </w:rPr>
        <w:t>2019</w:t>
      </w:r>
      <w:r>
        <w:rPr>
          <w:rFonts w:hint="eastAsia" w:ascii="仿宋_GB2312" w:hAnsi="仿宋" w:cs="仿宋_GB2312"/>
          <w:sz w:val="32"/>
          <w:szCs w:val="32"/>
        </w:rPr>
        <w:t>年第一次全体成员会议确定的重点工作任务情况。</w:t>
      </w:r>
    </w:p>
    <w:p>
      <w:pPr>
        <w:spacing w:line="576" w:lineRule="exact"/>
        <w:ind w:firstLine="643" w:firstLineChars="200"/>
        <w:rPr>
          <w:rFonts w:ascii="仿宋_GB2312" w:eastAsia="仿宋_GB2312" w:cs="Times New Roman"/>
          <w:sz w:val="32"/>
          <w:szCs w:val="32"/>
        </w:rPr>
      </w:pPr>
      <w:r>
        <w:rPr>
          <w:rFonts w:ascii="仿宋_GB2312" w:hAnsi="仿宋" w:eastAsia="仿宋_GB2312" w:cs="仿宋_GB2312"/>
          <w:b/>
          <w:bCs/>
          <w:sz w:val="32"/>
          <w:szCs w:val="32"/>
        </w:rPr>
        <w:t>1.</w:t>
      </w:r>
      <w:r>
        <w:rPr>
          <w:rFonts w:hint="eastAsia" w:ascii="仿宋_GB2312" w:hAnsi="仿宋" w:eastAsia="仿宋_GB2312" w:cs="仿宋_GB2312"/>
          <w:b/>
          <w:bCs/>
          <w:sz w:val="32"/>
          <w:szCs w:val="32"/>
        </w:rPr>
        <w:t>是否认真贯彻落实国家和省、市关于安全生产工作的有关要求。</w:t>
      </w:r>
      <w:r>
        <w:rPr>
          <w:rFonts w:hint="eastAsia" w:ascii="仿宋_GB2312" w:hAnsi="仿宋" w:eastAsia="仿宋_GB2312" w:cs="仿宋_GB2312"/>
          <w:sz w:val="32"/>
          <w:szCs w:val="32"/>
        </w:rPr>
        <w:t>是否第一时间</w:t>
      </w:r>
      <w:r>
        <w:rPr>
          <w:rFonts w:hint="eastAsia" w:ascii="仿宋_GB2312" w:eastAsia="仿宋_GB2312" w:cs="仿宋_GB2312"/>
          <w:sz w:val="32"/>
          <w:szCs w:val="32"/>
        </w:rPr>
        <w:t>学习传达并认真贯彻落实党中央、国务院和省、市党委政府</w:t>
      </w:r>
      <w:r>
        <w:rPr>
          <w:rFonts w:hint="eastAsia" w:ascii="仿宋_GB2312" w:eastAsia="仿宋_GB2312" w:cs="仿宋_GB2312"/>
          <w:sz w:val="32"/>
          <w:szCs w:val="32"/>
          <w:lang w:eastAsia="zh-CN"/>
        </w:rPr>
        <w:t>、区委区政府</w:t>
      </w:r>
      <w:r>
        <w:rPr>
          <w:rFonts w:hint="eastAsia" w:ascii="仿宋_GB2312" w:eastAsia="仿宋_GB2312" w:cs="仿宋_GB2312"/>
          <w:sz w:val="32"/>
          <w:szCs w:val="32"/>
        </w:rPr>
        <w:t>关于安全生产工作的决策部署、规定要求，以及中央领导同志一系列重要指示批示精神；是否勇于担当负责，担负起保安全、护稳定的政治责任；是否牢固树立安全发展理念，把安全生产工作放在重中之重的位置来抓；是否增强做好安全生产工作的责任感和使命感。</w:t>
      </w:r>
    </w:p>
    <w:p>
      <w:pPr>
        <w:spacing w:line="576" w:lineRule="exact"/>
        <w:ind w:firstLine="643" w:firstLineChars="200"/>
        <w:rPr>
          <w:rFonts w:ascii="仿宋_GB2312" w:eastAsia="仿宋_GB2312" w:cs="Times New Roman"/>
          <w:sz w:val="32"/>
          <w:szCs w:val="32"/>
        </w:rPr>
      </w:pPr>
      <w:r>
        <w:rPr>
          <w:rFonts w:ascii="仿宋_GB2312" w:hAnsi="仿宋" w:eastAsia="仿宋_GB2312" w:cs="仿宋_GB2312"/>
          <w:b/>
          <w:bCs/>
          <w:sz w:val="32"/>
          <w:szCs w:val="32"/>
        </w:rPr>
        <w:t>2.</w:t>
      </w:r>
      <w:r>
        <w:rPr>
          <w:rFonts w:hint="eastAsia" w:ascii="仿宋_GB2312" w:hAnsi="仿宋" w:eastAsia="仿宋_GB2312" w:cs="仿宋_GB2312"/>
          <w:b/>
          <w:bCs/>
          <w:sz w:val="32"/>
          <w:szCs w:val="32"/>
        </w:rPr>
        <w:t>是否扎实开展重点行业（领域）安全风险和隐患排查。</w:t>
      </w:r>
      <w:r>
        <w:rPr>
          <w:rFonts w:hint="eastAsia" w:ascii="仿宋_GB2312" w:eastAsia="仿宋_GB2312" w:cs="仿宋_GB2312"/>
          <w:sz w:val="32"/>
          <w:szCs w:val="32"/>
        </w:rPr>
        <w:t>是否严格按照安全生产有关规定，严格安全准入、强化源头管控；对重点行业（领域）开展安全风险辨识、分级管控和隐患排查治理；对存在较大危险因素的生产经营场所和重大危险源登记建档、监测监控。是否加强预防体系建设，</w:t>
      </w:r>
      <w:r>
        <w:rPr>
          <w:rFonts w:hint="eastAsia" w:ascii="仿宋_GB2312" w:eastAsia="仿宋_GB2312" w:cs="仿宋_GB2312"/>
          <w:sz w:val="32"/>
          <w:szCs w:val="32"/>
          <w:lang w:eastAsia="zh-CN"/>
        </w:rPr>
        <w:t>危险化学品</w:t>
      </w:r>
      <w:r>
        <w:rPr>
          <w:rFonts w:hint="eastAsia" w:ascii="仿宋_GB2312" w:eastAsia="仿宋_GB2312" w:cs="仿宋_GB2312"/>
          <w:sz w:val="32"/>
          <w:szCs w:val="32"/>
        </w:rPr>
        <w:t>、煤矿、非煤矿山等场所相对固定的行业在</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4</w:t>
      </w:r>
      <w:r>
        <w:rPr>
          <w:rFonts w:hint="eastAsia" w:ascii="仿宋_GB2312" w:eastAsia="仿宋_GB2312" w:cs="仿宋_GB2312"/>
          <w:sz w:val="32"/>
          <w:szCs w:val="32"/>
        </w:rPr>
        <w:t>月</w:t>
      </w:r>
      <w:r>
        <w:rPr>
          <w:rFonts w:ascii="仿宋_GB2312" w:eastAsia="仿宋_GB2312" w:cs="仿宋_GB2312"/>
          <w:sz w:val="32"/>
          <w:szCs w:val="32"/>
        </w:rPr>
        <w:t>30</w:t>
      </w:r>
      <w:r>
        <w:rPr>
          <w:rFonts w:hint="eastAsia" w:ascii="仿宋_GB2312" w:eastAsia="仿宋_GB2312" w:cs="仿宋_GB2312"/>
          <w:sz w:val="32"/>
          <w:szCs w:val="32"/>
        </w:rPr>
        <w:t>日前系统绘制区域安全风险和重大隐患分布图，其他行业（领域）结合自身特点定期分析研判安全风险类别。是否逐步建立城市安全治理长效机制。是否开展汛期隐患排查和隐患点除险加固，各项安全防范措施是否落到实处；是否健全完善预防自然灾害引发事故工作机制。</w:t>
      </w:r>
    </w:p>
    <w:p>
      <w:pPr>
        <w:spacing w:line="576" w:lineRule="exact"/>
        <w:ind w:firstLine="643" w:firstLineChars="200"/>
        <w:rPr>
          <w:rFonts w:ascii="仿宋_GB2312" w:eastAsia="仿宋_GB2312" w:cs="Times New Roman"/>
          <w:sz w:val="32"/>
          <w:szCs w:val="32"/>
        </w:rPr>
      </w:pPr>
      <w:r>
        <w:rPr>
          <w:rFonts w:ascii="仿宋_GB2312" w:hAnsi="仿宋" w:eastAsia="仿宋_GB2312" w:cs="仿宋_GB2312"/>
          <w:b/>
          <w:bCs/>
          <w:sz w:val="32"/>
          <w:szCs w:val="32"/>
        </w:rPr>
        <w:t>3.</w:t>
      </w:r>
      <w:r>
        <w:rPr>
          <w:rFonts w:hint="eastAsia" w:ascii="仿宋_GB2312" w:hAnsi="仿宋" w:eastAsia="仿宋_GB2312" w:cs="仿宋_GB2312"/>
          <w:b/>
          <w:bCs/>
          <w:sz w:val="32"/>
          <w:szCs w:val="32"/>
        </w:rPr>
        <w:t>是否对安全生产隐患整改到位。</w:t>
      </w:r>
      <w:r>
        <w:rPr>
          <w:rFonts w:hint="eastAsia" w:ascii="仿宋_GB2312" w:eastAsia="仿宋_GB2312" w:cs="仿宋_GB2312"/>
          <w:sz w:val="32"/>
          <w:szCs w:val="32"/>
        </w:rPr>
        <w:t>是否对近年来开展各项专项整治行动和安全生产巡视、督导、检查和隐患排查行动查出的隐患整治情况，进行全面梳理，按照“全覆盖、无遗漏”的要求实行整改闭环管理。对</w:t>
      </w:r>
      <w:r>
        <w:rPr>
          <w:rFonts w:ascii="仿宋_GB2312" w:eastAsia="仿宋_GB2312" w:cs="仿宋_GB2312"/>
          <w:sz w:val="32"/>
          <w:szCs w:val="32"/>
        </w:rPr>
        <w:t>2018</w:t>
      </w:r>
      <w:r>
        <w:rPr>
          <w:rFonts w:hint="eastAsia" w:ascii="仿宋_GB2312" w:eastAsia="仿宋_GB2312" w:cs="仿宋_GB2312"/>
          <w:sz w:val="32"/>
          <w:szCs w:val="32"/>
        </w:rPr>
        <w:t>年以来省、市</w:t>
      </w:r>
      <w:r>
        <w:rPr>
          <w:rFonts w:hint="eastAsia" w:ascii="仿宋_GB2312" w:eastAsia="仿宋_GB2312" w:cs="仿宋_GB2312"/>
          <w:sz w:val="32"/>
          <w:szCs w:val="32"/>
          <w:lang w:eastAsia="zh-CN"/>
        </w:rPr>
        <w:t>、区</w:t>
      </w:r>
      <w:r>
        <w:rPr>
          <w:rFonts w:hint="eastAsia" w:ascii="仿宋_GB2312" w:eastAsia="仿宋_GB2312" w:cs="仿宋_GB2312"/>
          <w:sz w:val="32"/>
          <w:szCs w:val="32"/>
        </w:rPr>
        <w:t>安委会（安办）巡查、督查和督导发现的问题，是否采取”一对一”交办的方式并予以限时落实整改。</w:t>
      </w:r>
    </w:p>
    <w:p>
      <w:pPr>
        <w:spacing w:line="576" w:lineRule="exact"/>
        <w:ind w:firstLine="643" w:firstLineChars="200"/>
        <w:rPr>
          <w:rFonts w:ascii="仿宋_GB2312" w:eastAsia="仿宋_GB2312" w:cs="Times New Roman"/>
          <w:sz w:val="32"/>
          <w:szCs w:val="32"/>
        </w:rPr>
      </w:pPr>
      <w:r>
        <w:rPr>
          <w:rFonts w:ascii="仿宋_GB2312" w:hAnsi="仿宋" w:eastAsia="仿宋_GB2312" w:cs="仿宋_GB2312"/>
          <w:b/>
          <w:bCs/>
          <w:sz w:val="32"/>
          <w:szCs w:val="32"/>
        </w:rPr>
        <w:t>4.</w:t>
      </w:r>
      <w:r>
        <w:rPr>
          <w:rFonts w:hint="eastAsia" w:ascii="仿宋_GB2312" w:hAnsi="仿宋" w:eastAsia="仿宋_GB2312" w:cs="仿宋_GB2312"/>
          <w:b/>
          <w:bCs/>
          <w:sz w:val="32"/>
          <w:szCs w:val="32"/>
        </w:rPr>
        <w:t>是否加大执法力度。</w:t>
      </w:r>
      <w:r>
        <w:rPr>
          <w:rFonts w:hint="eastAsia" w:ascii="仿宋_GB2312" w:eastAsia="仿宋_GB2312" w:cs="仿宋_GB2312"/>
          <w:sz w:val="32"/>
          <w:szCs w:val="32"/>
        </w:rPr>
        <w:t>是否依法严厉打击各种安全生产</w:t>
      </w:r>
      <w:r>
        <w:rPr>
          <w:rFonts w:hint="eastAsia" w:ascii="仿宋_GB2312" w:eastAsia="仿宋_GB2312" w:cs="仿宋_GB2312"/>
          <w:sz w:val="32"/>
          <w:szCs w:val="32"/>
          <w:lang w:eastAsia="zh-CN"/>
        </w:rPr>
        <w:t>违法违规</w:t>
      </w:r>
      <w:r>
        <w:rPr>
          <w:rFonts w:hint="eastAsia" w:ascii="仿宋_GB2312" w:eastAsia="仿宋_GB2312" w:cs="仿宋_GB2312"/>
          <w:sz w:val="32"/>
          <w:szCs w:val="32"/>
        </w:rPr>
        <w:t>行为，严厉查处可能造成爆炸、火灾、泄漏等群死群伤的事故隐患，严格实行“四个一律”措施；是否加强安全</w:t>
      </w:r>
      <w:r>
        <w:rPr>
          <w:rFonts w:hint="eastAsia" w:ascii="仿宋_GB2312" w:eastAsia="仿宋_GB2312" w:cs="仿宋_GB2312"/>
          <w:sz w:val="32"/>
          <w:szCs w:val="32"/>
          <w:lang w:eastAsia="zh-CN"/>
        </w:rPr>
        <w:t>管理</w:t>
      </w:r>
      <w:r>
        <w:rPr>
          <w:rFonts w:hint="eastAsia" w:ascii="仿宋_GB2312" w:eastAsia="仿宋_GB2312" w:cs="仿宋_GB2312"/>
          <w:sz w:val="32"/>
          <w:szCs w:val="32"/>
        </w:rPr>
        <w:t>队伍建设，建立健全安全</w:t>
      </w:r>
      <w:r>
        <w:rPr>
          <w:rFonts w:hint="eastAsia" w:ascii="仿宋_GB2312" w:eastAsia="仿宋_GB2312" w:cs="仿宋_GB2312"/>
          <w:sz w:val="32"/>
          <w:szCs w:val="32"/>
          <w:lang w:eastAsia="zh-CN"/>
        </w:rPr>
        <w:t>督查巡查工作机制</w:t>
      </w:r>
      <w:r>
        <w:rPr>
          <w:rFonts w:hint="eastAsia" w:ascii="仿宋_GB2312" w:eastAsia="仿宋_GB2312" w:cs="仿宋_GB2312"/>
          <w:sz w:val="32"/>
          <w:szCs w:val="32"/>
        </w:rPr>
        <w:t>；是否规范执法行为，做到严格、规范、公正、文明执法；是否善抓善用典型，对于重大隐患和典型违法行为公开曝光。</w:t>
      </w:r>
    </w:p>
    <w:p>
      <w:pPr>
        <w:spacing w:line="576" w:lineRule="exact"/>
        <w:ind w:firstLine="643" w:firstLineChars="200"/>
        <w:rPr>
          <w:rFonts w:ascii="仿宋_GB2312" w:eastAsia="仿宋_GB2312" w:cs="Times New Roman"/>
          <w:sz w:val="32"/>
          <w:szCs w:val="32"/>
        </w:rPr>
      </w:pPr>
      <w:r>
        <w:rPr>
          <w:rFonts w:ascii="仿宋_GB2312" w:hAnsi="仿宋" w:eastAsia="仿宋_GB2312" w:cs="仿宋_GB2312"/>
          <w:b/>
          <w:bCs/>
          <w:sz w:val="32"/>
          <w:szCs w:val="32"/>
        </w:rPr>
        <w:t>5.</w:t>
      </w:r>
      <w:r>
        <w:rPr>
          <w:rFonts w:hint="eastAsia" w:ascii="仿宋_GB2312" w:hAnsi="仿宋" w:eastAsia="仿宋_GB2312" w:cs="仿宋_GB2312"/>
          <w:b/>
          <w:bCs/>
          <w:sz w:val="32"/>
          <w:szCs w:val="32"/>
        </w:rPr>
        <w:t>是否严格落实安全生产责任制。</w:t>
      </w:r>
      <w:r>
        <w:rPr>
          <w:rFonts w:hint="eastAsia" w:ascii="仿宋_GB2312" w:eastAsia="仿宋_GB2312" w:cs="仿宋_GB2312"/>
          <w:sz w:val="32"/>
          <w:szCs w:val="32"/>
        </w:rPr>
        <w:t>重点检查是否建立安全生产责任体系，落实领导干部的领导责任和属地管理责任、行业</w:t>
      </w:r>
      <w:r>
        <w:rPr>
          <w:rFonts w:hint="eastAsia" w:ascii="仿宋_GB2312" w:eastAsia="仿宋_GB2312" w:cs="仿宋_GB2312"/>
          <w:spacing w:val="-4"/>
          <w:sz w:val="32"/>
          <w:szCs w:val="32"/>
        </w:rPr>
        <w:t>管理部门的监管责任、企业的主体责任和全员安全生产责任制</w:t>
      </w:r>
      <w:r>
        <w:rPr>
          <w:rFonts w:hint="eastAsia" w:ascii="仿宋_GB2312" w:eastAsia="仿宋_GB2312" w:cs="仿宋_GB2312"/>
          <w:sz w:val="32"/>
          <w:szCs w:val="32"/>
        </w:rPr>
        <w:t>。</w:t>
      </w:r>
    </w:p>
    <w:p>
      <w:pPr>
        <w:spacing w:line="576" w:lineRule="exact"/>
        <w:ind w:firstLine="643" w:firstLineChars="200"/>
        <w:jc w:val="left"/>
        <w:rPr>
          <w:rFonts w:ascii="仿宋_GB2312" w:eastAsia="仿宋_GB2312" w:cs="Times New Roman"/>
          <w:sz w:val="32"/>
          <w:szCs w:val="32"/>
        </w:rPr>
      </w:pPr>
      <w:r>
        <w:rPr>
          <w:rFonts w:ascii="仿宋_GB2312" w:hAnsi="仿宋" w:eastAsia="仿宋_GB2312" w:cs="仿宋_GB2312"/>
          <w:b/>
          <w:bCs/>
          <w:sz w:val="32"/>
          <w:szCs w:val="32"/>
        </w:rPr>
        <w:t>6.</w:t>
      </w:r>
      <w:r>
        <w:rPr>
          <w:rFonts w:hint="eastAsia" w:ascii="仿宋_GB2312" w:hAnsi="仿宋" w:eastAsia="仿宋_GB2312" w:cs="仿宋_GB2312"/>
          <w:b/>
          <w:bCs/>
          <w:sz w:val="32"/>
          <w:szCs w:val="32"/>
        </w:rPr>
        <w:t>是否加强组织领导。</w:t>
      </w:r>
      <w:r>
        <w:rPr>
          <w:rFonts w:hint="eastAsia" w:ascii="仿宋_GB2312" w:eastAsia="仿宋_GB2312" w:cs="仿宋_GB2312"/>
          <w:sz w:val="32"/>
          <w:szCs w:val="32"/>
        </w:rPr>
        <w:t>主要领导是否做到亲自过问安全生产，及时研究解决安全生产工作中遇到的困难和问题，安全生产分管领导是否做到具体抓，督促检查，跟踪落实工作；是否</w:t>
      </w:r>
      <w:r>
        <w:rPr>
          <w:rFonts w:hint="eastAsia" w:ascii="仿宋_GB2312" w:eastAsia="仿宋_GB2312" w:cs="仿宋_GB2312"/>
          <w:sz w:val="32"/>
          <w:szCs w:val="32"/>
          <w:lang w:eastAsia="zh-CN"/>
        </w:rPr>
        <w:t>在机构改革期间认真履行安全生产职责</w:t>
      </w:r>
      <w:r>
        <w:rPr>
          <w:rFonts w:hint="eastAsia" w:ascii="仿宋_GB2312" w:eastAsia="仿宋_GB2312" w:cs="仿宋_GB2312"/>
          <w:sz w:val="32"/>
          <w:szCs w:val="32"/>
        </w:rPr>
        <w:t>；是否加强应急值守工作，实行领导带班和</w:t>
      </w:r>
      <w:r>
        <w:rPr>
          <w:rFonts w:ascii="仿宋_GB2312" w:eastAsia="仿宋_GB2312" w:cs="仿宋_GB2312"/>
          <w:sz w:val="32"/>
          <w:szCs w:val="32"/>
        </w:rPr>
        <w:t>24</w:t>
      </w:r>
      <w:r>
        <w:rPr>
          <w:rFonts w:hint="eastAsia" w:ascii="仿宋_GB2312" w:eastAsia="仿宋_GB2312" w:cs="仿宋_GB2312"/>
          <w:sz w:val="32"/>
          <w:szCs w:val="32"/>
        </w:rPr>
        <w:t>小时值班以及信息报告制度，及时调度辖区内安全生产和应急值守情况，认真分析研判苗头性、倾向性、预警性信息，一旦发生重大险情，及时妥善处置应对；是否编制应急预案和现场处置方案，组织救援队伍开展演练，配备必要应急装备，储备应急物资，开展事故应急处置的总结评估工作以及加强岗位应急培训。水利、气象、应急等部门是否在汛期期间协调配合，加强监测、预警、预报，及时发布自然灾害信息，做好避险防灾工作。</w:t>
      </w:r>
    </w:p>
    <w:p>
      <w:pPr>
        <w:spacing w:line="576" w:lineRule="exact"/>
        <w:ind w:firstLine="640" w:firstLineChars="200"/>
        <w:outlineLvl w:val="3"/>
        <w:rPr>
          <w:rFonts w:ascii="楷体_GB2312" w:hAnsi="Times New Roman" w:eastAsia="楷体_GB2312" w:cs="Times New Roman"/>
          <w:sz w:val="32"/>
          <w:szCs w:val="32"/>
        </w:rPr>
      </w:pPr>
      <w:r>
        <w:rPr>
          <w:rFonts w:hint="eastAsia" w:ascii="楷体_GB2312" w:hAnsi="Times New Roman" w:eastAsia="楷体_GB2312" w:cs="楷体_GB2312"/>
          <w:sz w:val="32"/>
          <w:szCs w:val="32"/>
        </w:rPr>
        <w:t>（二）深入推进安全生产十大专项整治行动</w:t>
      </w:r>
    </w:p>
    <w:p>
      <w:pPr>
        <w:spacing w:line="576" w:lineRule="exact"/>
        <w:ind w:firstLine="643" w:firstLineChars="200"/>
        <w:rPr>
          <w:rFonts w:ascii="仿宋_GB2312" w:eastAsia="仿宋_GB2312" w:cs="Times New Roman"/>
          <w:sz w:val="32"/>
          <w:szCs w:val="32"/>
        </w:rPr>
      </w:pPr>
      <w:r>
        <w:rPr>
          <w:rFonts w:ascii="仿宋_GB2312" w:hAnsi="Times New Roman" w:eastAsia="仿宋_GB2312" w:cs="仿宋_GB2312"/>
          <w:b/>
          <w:bCs/>
          <w:sz w:val="32"/>
          <w:szCs w:val="32"/>
        </w:rPr>
        <w:t>1.</w:t>
      </w:r>
      <w:r>
        <w:rPr>
          <w:rFonts w:hint="eastAsia" w:ascii="仿宋_GB2312" w:hAnsi="Times New Roman" w:eastAsia="仿宋_GB2312" w:cs="仿宋_GB2312"/>
          <w:b/>
          <w:bCs/>
          <w:sz w:val="32"/>
          <w:szCs w:val="32"/>
        </w:rPr>
        <w:t>危险化学品和易燃易爆物品专项整治行动。</w:t>
      </w:r>
      <w:r>
        <w:rPr>
          <w:rFonts w:hint="eastAsia" w:ascii="仿宋_GB2312" w:eastAsia="仿宋_GB2312" w:cs="仿宋_GB2312"/>
          <w:sz w:val="32"/>
          <w:szCs w:val="32"/>
        </w:rPr>
        <w:t>重点整治涉及“两重点一重大”的危险化学品生产、储存和使用企业和精细化工等</w:t>
      </w:r>
      <w:r>
        <w:rPr>
          <w:rFonts w:ascii="仿宋_GB2312" w:eastAsia="仿宋_GB2312" w:cs="仿宋_GB2312"/>
          <w:sz w:val="32"/>
          <w:szCs w:val="32"/>
        </w:rPr>
        <w:t>5</w:t>
      </w:r>
      <w:r>
        <w:rPr>
          <w:rFonts w:hint="eastAsia" w:ascii="仿宋_GB2312" w:eastAsia="仿宋_GB2312" w:cs="仿宋_GB2312"/>
          <w:sz w:val="32"/>
          <w:szCs w:val="32"/>
        </w:rPr>
        <w:t>类安全风险大、事故隐患多的企业；危化品运输环节；危化品废弃物处置环节等。深化烟花爆竹经营领域专项整治，重点整治经营零售店“两关闭、三严禁”执行情况，经营批发企业“六严禁”执行情况。持续开展城镇燃气、民用爆炸物品专项整治。巩固油气输送管道隐患整治攻坚战成果，加强人口密集区安全监管。</w:t>
      </w:r>
    </w:p>
    <w:p>
      <w:pPr>
        <w:spacing w:line="576" w:lineRule="exact"/>
        <w:ind w:firstLine="643" w:firstLineChars="200"/>
        <w:rPr>
          <w:rFonts w:hint="eastAsia" w:eastAsia="仿宋" w:cs="仿宋"/>
          <w:sz w:val="32"/>
          <w:szCs w:val="32"/>
          <w:lang w:eastAsia="zh-CN"/>
        </w:rPr>
      </w:pPr>
      <w:r>
        <w:rPr>
          <w:rFonts w:hint="eastAsia" w:ascii="仿宋_GB2312" w:eastAsia="仿宋_GB2312" w:cs="仿宋_GB2312"/>
          <w:b/>
          <w:bCs/>
          <w:kern w:val="0"/>
          <w:sz w:val="32"/>
          <w:szCs w:val="32"/>
          <w:lang w:eastAsia="zh-CN"/>
        </w:rPr>
        <w:t>责任</w:t>
      </w:r>
      <w:r>
        <w:rPr>
          <w:rFonts w:hint="eastAsia" w:ascii="仿宋_GB2312" w:eastAsia="仿宋_GB2312" w:cs="仿宋_GB2312"/>
          <w:b/>
          <w:bCs/>
          <w:kern w:val="0"/>
          <w:sz w:val="32"/>
          <w:szCs w:val="32"/>
        </w:rPr>
        <w:t>单位：</w:t>
      </w:r>
      <w:r>
        <w:rPr>
          <w:rFonts w:hint="eastAsia" w:ascii="仿宋_GB2312" w:eastAsia="仿宋_GB2312" w:cs="仿宋_GB2312"/>
          <w:b w:val="0"/>
          <w:bCs w:val="0"/>
          <w:kern w:val="0"/>
          <w:sz w:val="32"/>
          <w:szCs w:val="32"/>
          <w:lang w:eastAsia="zh-CN"/>
        </w:rPr>
        <w:t>区应急管理局、</w:t>
      </w:r>
      <w:r>
        <w:rPr>
          <w:rFonts w:hint="eastAsia" w:eastAsia="仿宋" w:cs="仿宋"/>
          <w:sz w:val="32"/>
          <w:szCs w:val="32"/>
          <w:lang w:eastAsia="zh-CN"/>
        </w:rPr>
        <w:t>区</w:t>
      </w:r>
      <w:r>
        <w:rPr>
          <w:rFonts w:hint="eastAsia" w:eastAsia="仿宋" w:cs="仿宋"/>
          <w:sz w:val="32"/>
          <w:szCs w:val="32"/>
        </w:rPr>
        <w:t>发展和改革</w:t>
      </w:r>
      <w:r>
        <w:rPr>
          <w:rFonts w:hint="eastAsia" w:eastAsia="仿宋" w:cs="仿宋"/>
          <w:sz w:val="32"/>
          <w:szCs w:val="32"/>
          <w:lang w:eastAsia="zh-CN"/>
        </w:rPr>
        <w:t>局</w:t>
      </w:r>
      <w:r>
        <w:rPr>
          <w:rFonts w:hint="eastAsia" w:eastAsia="仿宋" w:cs="仿宋"/>
          <w:sz w:val="32"/>
          <w:szCs w:val="32"/>
        </w:rPr>
        <w:t>、</w:t>
      </w:r>
      <w:r>
        <w:rPr>
          <w:rFonts w:hint="eastAsia" w:eastAsia="仿宋" w:cs="仿宋"/>
          <w:sz w:val="32"/>
          <w:szCs w:val="32"/>
          <w:lang w:eastAsia="zh-CN"/>
        </w:rPr>
        <w:t>区</w:t>
      </w:r>
      <w:r>
        <w:rPr>
          <w:rFonts w:hint="eastAsia" w:eastAsia="仿宋" w:cs="仿宋"/>
          <w:sz w:val="32"/>
          <w:szCs w:val="32"/>
        </w:rPr>
        <w:t>经济信息化</w:t>
      </w:r>
      <w:r>
        <w:rPr>
          <w:rFonts w:hint="eastAsia" w:eastAsia="仿宋" w:cs="仿宋"/>
          <w:sz w:val="32"/>
          <w:szCs w:val="32"/>
          <w:lang w:eastAsia="zh-CN"/>
        </w:rPr>
        <w:t>和科学技术</w:t>
      </w:r>
      <w:r>
        <w:rPr>
          <w:rFonts w:hint="eastAsia" w:eastAsia="仿宋" w:cs="仿宋"/>
          <w:sz w:val="32"/>
          <w:szCs w:val="32"/>
        </w:rPr>
        <w:t>局、</w:t>
      </w:r>
      <w:r>
        <w:rPr>
          <w:rFonts w:hint="eastAsia" w:eastAsia="仿宋" w:cs="仿宋"/>
          <w:sz w:val="32"/>
          <w:szCs w:val="32"/>
          <w:lang w:eastAsia="zh-CN"/>
        </w:rPr>
        <w:t>区</w:t>
      </w:r>
      <w:r>
        <w:rPr>
          <w:rFonts w:hint="eastAsia" w:eastAsia="仿宋" w:cs="仿宋"/>
          <w:sz w:val="32"/>
          <w:szCs w:val="32"/>
        </w:rPr>
        <w:t>公安</w:t>
      </w:r>
      <w:r>
        <w:rPr>
          <w:rFonts w:hint="eastAsia" w:eastAsia="仿宋" w:cs="仿宋"/>
          <w:sz w:val="32"/>
          <w:szCs w:val="32"/>
          <w:lang w:eastAsia="zh-CN"/>
        </w:rPr>
        <w:t>分</w:t>
      </w:r>
      <w:r>
        <w:rPr>
          <w:rFonts w:hint="eastAsia" w:eastAsia="仿宋" w:cs="仿宋"/>
          <w:sz w:val="32"/>
          <w:szCs w:val="32"/>
        </w:rPr>
        <w:t>局、</w:t>
      </w:r>
      <w:r>
        <w:rPr>
          <w:rFonts w:hint="eastAsia" w:eastAsia="仿宋" w:cs="仿宋"/>
          <w:sz w:val="32"/>
          <w:szCs w:val="32"/>
          <w:lang w:eastAsia="zh-CN"/>
        </w:rPr>
        <w:t>区</w:t>
      </w:r>
      <w:r>
        <w:rPr>
          <w:rFonts w:hint="eastAsia" w:eastAsia="仿宋" w:cs="仿宋"/>
          <w:sz w:val="32"/>
          <w:szCs w:val="32"/>
        </w:rPr>
        <w:t>交通运输局、</w:t>
      </w:r>
      <w:r>
        <w:rPr>
          <w:rFonts w:hint="eastAsia" w:eastAsia="仿宋" w:cs="仿宋"/>
          <w:sz w:val="32"/>
          <w:szCs w:val="32"/>
          <w:lang w:eastAsia="zh-CN"/>
        </w:rPr>
        <w:t>区</w:t>
      </w:r>
      <w:r>
        <w:rPr>
          <w:rFonts w:hint="eastAsia" w:eastAsia="仿宋" w:cs="仿宋"/>
          <w:sz w:val="32"/>
          <w:szCs w:val="32"/>
        </w:rPr>
        <w:t>住房和城乡建设局、</w:t>
      </w:r>
      <w:r>
        <w:rPr>
          <w:rFonts w:hint="eastAsia" w:eastAsia="仿宋" w:cs="仿宋"/>
          <w:sz w:val="32"/>
          <w:szCs w:val="32"/>
          <w:lang w:eastAsia="zh-CN"/>
        </w:rPr>
        <w:t>区环保局</w:t>
      </w:r>
    </w:p>
    <w:p>
      <w:pPr>
        <w:spacing w:line="576" w:lineRule="exact"/>
        <w:ind w:firstLine="643" w:firstLineChars="200"/>
        <w:rPr>
          <w:rFonts w:ascii="仿宋_GB2312" w:hAnsi="Times New Roman" w:eastAsia="仿宋_GB2312" w:cs="Times New Roman"/>
          <w:b/>
          <w:bCs/>
          <w:sz w:val="32"/>
          <w:szCs w:val="32"/>
        </w:rPr>
      </w:pPr>
      <w:r>
        <w:rPr>
          <w:rFonts w:ascii="仿宋_GB2312" w:hAnsi="Times New Roman" w:eastAsia="仿宋_GB2312" w:cs="仿宋_GB2312"/>
          <w:b/>
          <w:bCs/>
          <w:sz w:val="32"/>
          <w:szCs w:val="32"/>
        </w:rPr>
        <w:t>2.</w:t>
      </w:r>
      <w:r>
        <w:rPr>
          <w:rFonts w:hint="eastAsia" w:ascii="仿宋_GB2312" w:hAnsi="Times New Roman" w:eastAsia="仿宋_GB2312" w:cs="仿宋_GB2312"/>
          <w:b/>
          <w:bCs/>
          <w:sz w:val="32"/>
          <w:szCs w:val="32"/>
        </w:rPr>
        <w:t>交通安全专项整治行动</w:t>
      </w:r>
    </w:p>
    <w:p>
      <w:pPr>
        <w:spacing w:line="576"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）交通运输安全专项整治。做好道路运输、水上交通、公路管理、工程建设等领域安全监管工作，督促交通运输企业落实安全主体责任，加大从源头上防范恶性交通事故。加强公交车行驶</w:t>
      </w:r>
      <w:r>
        <w:rPr>
          <w:rFonts w:hint="eastAsia" w:ascii="仿宋_GB2312" w:eastAsia="仿宋_GB2312" w:cs="仿宋_GB2312"/>
          <w:sz w:val="32"/>
          <w:szCs w:val="32"/>
          <w:lang w:eastAsia="zh-CN"/>
        </w:rPr>
        <w:t>、出租车</w:t>
      </w:r>
      <w:r>
        <w:rPr>
          <w:rFonts w:hint="eastAsia" w:ascii="仿宋_GB2312" w:eastAsia="仿宋_GB2312" w:cs="仿宋_GB2312"/>
          <w:sz w:val="32"/>
          <w:szCs w:val="32"/>
        </w:rPr>
        <w:t>安全和桥梁防护工作，落实相关工作责任分工。</w:t>
      </w:r>
    </w:p>
    <w:p>
      <w:pPr>
        <w:spacing w:line="576" w:lineRule="exact"/>
        <w:ind w:firstLine="643" w:firstLineChars="200"/>
        <w:rPr>
          <w:rFonts w:eastAsia="仿宋" w:cs="Times New Roman"/>
          <w:kern w:val="0"/>
          <w:sz w:val="32"/>
          <w:szCs w:val="32"/>
        </w:rPr>
      </w:pPr>
      <w:r>
        <w:rPr>
          <w:rFonts w:hint="eastAsia" w:ascii="仿宋_GB2312" w:eastAsia="仿宋_GB2312" w:cs="仿宋_GB2312"/>
          <w:b/>
          <w:bCs/>
          <w:sz w:val="32"/>
          <w:szCs w:val="32"/>
        </w:rPr>
        <w:t>责任</w:t>
      </w:r>
      <w:r>
        <w:rPr>
          <w:rFonts w:hint="eastAsia" w:ascii="仿宋_GB2312" w:eastAsia="仿宋_GB2312" w:cs="仿宋_GB2312"/>
          <w:b/>
          <w:bCs/>
          <w:kern w:val="0"/>
          <w:sz w:val="32"/>
          <w:szCs w:val="32"/>
        </w:rPr>
        <w:t>单位：</w:t>
      </w:r>
      <w:r>
        <w:rPr>
          <w:rFonts w:hint="eastAsia" w:eastAsia="仿宋" w:cs="仿宋"/>
          <w:kern w:val="0"/>
          <w:sz w:val="32"/>
          <w:szCs w:val="32"/>
          <w:lang w:eastAsia="zh-CN"/>
        </w:rPr>
        <w:t>区</w:t>
      </w:r>
      <w:r>
        <w:rPr>
          <w:rFonts w:hint="eastAsia" w:eastAsia="仿宋" w:cs="仿宋"/>
          <w:kern w:val="0"/>
          <w:sz w:val="32"/>
          <w:szCs w:val="32"/>
        </w:rPr>
        <w:t>交通运输局、</w:t>
      </w:r>
      <w:r>
        <w:rPr>
          <w:rFonts w:hint="eastAsia" w:eastAsia="仿宋" w:cs="仿宋"/>
          <w:kern w:val="0"/>
          <w:sz w:val="32"/>
          <w:szCs w:val="32"/>
          <w:lang w:eastAsia="zh-CN"/>
        </w:rPr>
        <w:t>区</w:t>
      </w:r>
      <w:r>
        <w:rPr>
          <w:rFonts w:hint="eastAsia" w:eastAsia="仿宋" w:cs="仿宋"/>
          <w:kern w:val="0"/>
          <w:sz w:val="32"/>
          <w:szCs w:val="32"/>
        </w:rPr>
        <w:t>公安交警</w:t>
      </w:r>
      <w:r>
        <w:rPr>
          <w:rFonts w:hint="eastAsia" w:eastAsia="仿宋" w:cs="仿宋"/>
          <w:kern w:val="0"/>
          <w:sz w:val="32"/>
          <w:szCs w:val="32"/>
          <w:lang w:eastAsia="zh-CN"/>
        </w:rPr>
        <w:t>大</w:t>
      </w:r>
      <w:r>
        <w:rPr>
          <w:rFonts w:hint="eastAsia" w:eastAsia="仿宋" w:cs="仿宋"/>
          <w:kern w:val="0"/>
          <w:sz w:val="32"/>
          <w:szCs w:val="32"/>
        </w:rPr>
        <w:t>队、</w:t>
      </w:r>
      <w:r>
        <w:rPr>
          <w:rFonts w:hint="eastAsia" w:eastAsia="仿宋" w:cs="仿宋"/>
          <w:kern w:val="0"/>
          <w:sz w:val="32"/>
          <w:szCs w:val="32"/>
          <w:lang w:eastAsia="zh-CN"/>
        </w:rPr>
        <w:t>区</w:t>
      </w:r>
      <w:r>
        <w:rPr>
          <w:rFonts w:hint="eastAsia" w:eastAsia="仿宋" w:cs="仿宋"/>
          <w:kern w:val="0"/>
          <w:sz w:val="32"/>
          <w:szCs w:val="32"/>
        </w:rPr>
        <w:t>文化旅游</w:t>
      </w:r>
      <w:r>
        <w:rPr>
          <w:rFonts w:hint="eastAsia" w:eastAsia="仿宋" w:cs="仿宋"/>
          <w:kern w:val="0"/>
          <w:sz w:val="32"/>
          <w:szCs w:val="32"/>
          <w:lang w:eastAsia="zh-CN"/>
        </w:rPr>
        <w:t>和体育</w:t>
      </w:r>
      <w:r>
        <w:rPr>
          <w:rFonts w:hint="eastAsia" w:eastAsia="仿宋" w:cs="仿宋"/>
          <w:kern w:val="0"/>
          <w:sz w:val="32"/>
          <w:szCs w:val="32"/>
        </w:rPr>
        <w:t>局、</w:t>
      </w:r>
      <w:r>
        <w:rPr>
          <w:rFonts w:hint="eastAsia" w:eastAsia="仿宋" w:cs="仿宋"/>
          <w:kern w:val="0"/>
          <w:sz w:val="32"/>
          <w:szCs w:val="32"/>
          <w:lang w:eastAsia="zh-CN"/>
        </w:rPr>
        <w:t>区</w:t>
      </w:r>
      <w:r>
        <w:rPr>
          <w:rFonts w:hint="eastAsia" w:eastAsia="仿宋" w:cs="仿宋"/>
          <w:kern w:val="0"/>
          <w:sz w:val="32"/>
          <w:szCs w:val="32"/>
        </w:rPr>
        <w:t>国资委、</w:t>
      </w:r>
      <w:r>
        <w:rPr>
          <w:rFonts w:hint="eastAsia" w:eastAsia="仿宋" w:cs="仿宋"/>
          <w:kern w:val="0"/>
          <w:sz w:val="32"/>
          <w:szCs w:val="32"/>
          <w:lang w:eastAsia="zh-CN"/>
        </w:rPr>
        <w:t>区</w:t>
      </w:r>
      <w:r>
        <w:rPr>
          <w:rFonts w:hint="eastAsia" w:eastAsia="仿宋" w:cs="仿宋"/>
          <w:kern w:val="0"/>
          <w:sz w:val="32"/>
          <w:szCs w:val="32"/>
        </w:rPr>
        <w:t>住房和城乡建设局</w:t>
      </w:r>
    </w:p>
    <w:p>
      <w:pPr>
        <w:spacing w:line="576" w:lineRule="exact"/>
        <w:ind w:firstLine="627" w:firstLineChars="196"/>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道路交通安全专项整治。加强道路交通安全监管，紧盯公交车、校车、危险化学品运输车等重点车辆和面包车、低速货车、摩托车、变形拖拉机等高风险车型，紧盯重大交通违法行为管控处置，加大对旅游线路、急弯陡坡、临水临崖、桥梁涵洞、长下坡等重点路段和国省干线的巡查和管控力度。</w:t>
      </w:r>
    </w:p>
    <w:p>
      <w:pPr>
        <w:pStyle w:val="19"/>
        <w:spacing w:line="576" w:lineRule="exact"/>
        <w:ind w:firstLine="31680"/>
        <w:rPr>
          <w:rFonts w:ascii="仿宋_GB2312" w:hAnsi="Calibri" w:eastAsia="仿宋_GB2312"/>
          <w:sz w:val="28"/>
          <w:szCs w:val="28"/>
        </w:rPr>
      </w:pPr>
      <w:r>
        <w:rPr>
          <w:rFonts w:hint="eastAsia" w:ascii="仿宋_GB2312" w:hAnsi="Calibri" w:eastAsia="仿宋_GB2312" w:cs="仿宋_GB2312"/>
          <w:b/>
          <w:bCs/>
          <w:sz w:val="28"/>
          <w:szCs w:val="28"/>
        </w:rPr>
        <w:t>责任单位：</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公安</w:t>
      </w:r>
      <w:r>
        <w:rPr>
          <w:rFonts w:hint="eastAsia" w:ascii="仿宋_GB2312" w:hAnsi="Calibri" w:eastAsia="仿宋_GB2312" w:cs="仿宋_GB2312"/>
          <w:sz w:val="32"/>
          <w:szCs w:val="32"/>
          <w:lang w:eastAsia="zh-CN"/>
        </w:rPr>
        <w:t>分</w:t>
      </w:r>
      <w:r>
        <w:rPr>
          <w:rFonts w:hint="eastAsia" w:ascii="仿宋_GB2312" w:hAnsi="Calibri" w:eastAsia="仿宋_GB2312" w:cs="仿宋_GB2312"/>
          <w:sz w:val="32"/>
          <w:szCs w:val="32"/>
        </w:rPr>
        <w:t>局、</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交通运输局、</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教育局、</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农业农村局，</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国资</w:t>
      </w:r>
      <w:r>
        <w:rPr>
          <w:rFonts w:hint="eastAsia" w:ascii="仿宋_GB2312" w:hAnsi="Calibri" w:eastAsia="仿宋_GB2312" w:cs="仿宋_GB2312"/>
          <w:sz w:val="32"/>
          <w:szCs w:val="32"/>
          <w:lang w:eastAsia="zh-CN"/>
        </w:rPr>
        <w:t>局</w:t>
      </w:r>
      <w:r>
        <w:rPr>
          <w:rFonts w:hint="eastAsia" w:ascii="仿宋_GB2312" w:hAnsi="Calibri" w:eastAsia="仿宋_GB2312" w:cs="仿宋_GB2312"/>
          <w:sz w:val="32"/>
          <w:szCs w:val="32"/>
        </w:rPr>
        <w:t>，</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住房和城乡建设局。</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）铁路沿线外部环境安全专项整治。</w:t>
      </w:r>
      <w:r>
        <w:rPr>
          <w:rFonts w:hint="eastAsia" w:ascii="仿宋_GB2312" w:eastAsia="仿宋_GB2312" w:cs="仿宋_GB2312"/>
          <w:kern w:val="0"/>
          <w:sz w:val="32"/>
          <w:szCs w:val="32"/>
        </w:rPr>
        <w:t>开展</w:t>
      </w:r>
      <w:r>
        <w:rPr>
          <w:rFonts w:ascii="仿宋_GB2312" w:eastAsia="仿宋_GB2312" w:cs="仿宋_GB2312"/>
          <w:sz w:val="32"/>
          <w:szCs w:val="32"/>
        </w:rPr>
        <w:t xml:space="preserve"> </w:t>
      </w:r>
      <w:r>
        <w:rPr>
          <w:rFonts w:hint="eastAsia" w:ascii="仿宋_GB2312" w:eastAsia="仿宋_GB2312" w:cs="仿宋_GB2312"/>
          <w:sz w:val="32"/>
          <w:szCs w:val="32"/>
        </w:rPr>
        <w:t>“四川铁路安全万里行”铁路沿线外部环境安全专项整治。</w:t>
      </w:r>
    </w:p>
    <w:p>
      <w:pPr>
        <w:pStyle w:val="19"/>
        <w:spacing w:line="576" w:lineRule="exact"/>
        <w:ind w:firstLine="630" w:firstLineChars="196"/>
        <w:rPr>
          <w:rFonts w:ascii="仿宋_GB2312" w:hAnsi="Calibri" w:eastAsia="仿宋_GB2312"/>
          <w:sz w:val="32"/>
          <w:szCs w:val="32"/>
        </w:rPr>
      </w:pPr>
      <w:r>
        <w:rPr>
          <w:rFonts w:hint="eastAsia" w:ascii="仿宋_GB2312" w:hAnsi="Calibri" w:eastAsia="仿宋_GB2312" w:cs="仿宋_GB2312"/>
          <w:b/>
          <w:bCs/>
          <w:sz w:val="32"/>
          <w:szCs w:val="32"/>
        </w:rPr>
        <w:t>责任单位：</w:t>
      </w:r>
      <w:r>
        <w:rPr>
          <w:rFonts w:hint="eastAsia" w:ascii="仿宋_GB2312" w:hAnsi="Calibri" w:eastAsia="仿宋_GB2312" w:cs="仿宋_GB2312"/>
          <w:sz w:val="32"/>
          <w:szCs w:val="32"/>
          <w:lang w:eastAsia="zh-CN"/>
        </w:rPr>
        <w:t>区委政法委、区征收办</w:t>
      </w:r>
      <w:r>
        <w:rPr>
          <w:rFonts w:hint="eastAsia" w:ascii="仿宋_GB2312" w:hAnsi="Calibri" w:eastAsia="仿宋_GB2312" w:cs="仿宋_GB2312"/>
          <w:sz w:val="32"/>
          <w:szCs w:val="32"/>
        </w:rPr>
        <w:t>、</w:t>
      </w:r>
      <w:r>
        <w:rPr>
          <w:rFonts w:hint="eastAsia" w:ascii="仿宋_GB2312" w:hAnsi="Calibri" w:eastAsia="仿宋_GB2312" w:cs="仿宋_GB2312"/>
          <w:sz w:val="32"/>
          <w:szCs w:val="32"/>
          <w:lang w:eastAsia="zh-CN"/>
        </w:rPr>
        <w:t>区</w:t>
      </w:r>
      <w:r>
        <w:rPr>
          <w:rFonts w:hint="eastAsia" w:ascii="仿宋_GB2312" w:hAnsi="Calibri" w:eastAsia="仿宋_GB2312" w:cs="仿宋_GB2312"/>
          <w:sz w:val="32"/>
          <w:szCs w:val="32"/>
        </w:rPr>
        <w:t>发展和改革</w:t>
      </w:r>
      <w:r>
        <w:rPr>
          <w:rFonts w:hint="eastAsia" w:ascii="仿宋_GB2312" w:hAnsi="Calibri" w:eastAsia="仿宋_GB2312" w:cs="仿宋_GB2312"/>
          <w:sz w:val="32"/>
          <w:szCs w:val="32"/>
          <w:lang w:eastAsia="zh-CN"/>
        </w:rPr>
        <w:t>局</w:t>
      </w:r>
    </w:p>
    <w:p>
      <w:pPr>
        <w:spacing w:line="576" w:lineRule="exact"/>
        <w:ind w:firstLine="643" w:firstLineChars="200"/>
        <w:rPr>
          <w:rFonts w:hint="eastAsia" w:ascii="仿宋_GB2312" w:eastAsia="仿宋_GB2312" w:cs="仿宋_GB2312"/>
          <w:kern w:val="0"/>
          <w:sz w:val="32"/>
          <w:szCs w:val="32"/>
          <w:lang w:eastAsia="zh-CN"/>
        </w:rPr>
      </w:pPr>
      <w:r>
        <w:rPr>
          <w:rFonts w:ascii="仿宋_GB2312" w:hAnsi="Times New Roman" w:eastAsia="仿宋_GB2312" w:cs="仿宋_GB2312"/>
          <w:b/>
          <w:bCs/>
          <w:sz w:val="32"/>
          <w:szCs w:val="32"/>
        </w:rPr>
        <w:t>3</w:t>
      </w:r>
      <w:r>
        <w:rPr>
          <w:rFonts w:hint="eastAsia" w:ascii="仿宋_GB2312" w:hAnsi="Times New Roman" w:eastAsia="仿宋_GB2312" w:cs="仿宋_GB2312"/>
          <w:b/>
          <w:bCs/>
          <w:sz w:val="32"/>
          <w:szCs w:val="32"/>
        </w:rPr>
        <w:t>．煤矿专项整治行动。</w:t>
      </w:r>
      <w:r>
        <w:rPr>
          <w:rFonts w:hint="eastAsia" w:ascii="仿宋_GB2312" w:eastAsia="仿宋_GB2312" w:cs="仿宋_GB2312"/>
          <w:kern w:val="0"/>
          <w:sz w:val="32"/>
          <w:szCs w:val="32"/>
        </w:rPr>
        <w:t>持续推进煤矿机械化改造三年行动，加快推动</w:t>
      </w:r>
      <w:r>
        <w:rPr>
          <w:rFonts w:ascii="仿宋_GB2312" w:eastAsia="仿宋_GB2312" w:cs="仿宋_GB2312"/>
          <w:kern w:val="0"/>
          <w:sz w:val="32"/>
          <w:szCs w:val="32"/>
        </w:rPr>
        <w:t>9</w:t>
      </w:r>
      <w:r>
        <w:rPr>
          <w:rFonts w:hint="eastAsia" w:ascii="仿宋_GB2312" w:eastAsia="仿宋_GB2312" w:cs="仿宋_GB2312"/>
          <w:kern w:val="0"/>
          <w:sz w:val="32"/>
          <w:szCs w:val="32"/>
        </w:rPr>
        <w:t>万吨及以下煤矿分类处置，加快调整煤炭产业结构。对关闭退出的小煤矿和不符合安全生产条件的企业加强巡查监管，依法严厉打击违规偷采现象。实施分级分类监管，突出重大灾害防治，加大对瓦斯、水、火等隐蔽致灾因素排查，完善落实瓦斯积聚和瓦斯超限、井下发火、突水透水、粉尘和顶板、人员提升运输等灾害防治技术和管理措施。持续开展</w:t>
      </w:r>
      <w:r>
        <w:rPr>
          <w:rFonts w:hint="eastAsia" w:ascii="仿宋_GB2312" w:eastAsia="仿宋_GB2312" w:cs="仿宋_GB2312"/>
          <w:sz w:val="32"/>
          <w:szCs w:val="32"/>
        </w:rPr>
        <w:t>“</w:t>
      </w:r>
      <w:r>
        <w:rPr>
          <w:rFonts w:hint="eastAsia" w:ascii="仿宋_GB2312" w:eastAsia="仿宋_GB2312" w:cs="仿宋_GB2312"/>
          <w:kern w:val="0"/>
          <w:sz w:val="32"/>
          <w:szCs w:val="32"/>
        </w:rPr>
        <w:t>打非治违”工作，全面开展打击</w:t>
      </w:r>
      <w:r>
        <w:rPr>
          <w:rFonts w:hint="eastAsia" w:ascii="仿宋_GB2312" w:eastAsia="仿宋_GB2312" w:cs="仿宋_GB2312"/>
          <w:sz w:val="32"/>
          <w:szCs w:val="32"/>
        </w:rPr>
        <w:t>“</w:t>
      </w:r>
      <w:r>
        <w:rPr>
          <w:rFonts w:hint="eastAsia" w:ascii="仿宋_GB2312" w:eastAsia="仿宋_GB2312" w:cs="仿宋_GB2312"/>
          <w:kern w:val="0"/>
          <w:sz w:val="32"/>
          <w:szCs w:val="32"/>
        </w:rPr>
        <w:t>六假六超三瞒三不”违法违规行为专项行动，加大执法力度，严厉打击和查处未按照规定和条件配备</w:t>
      </w:r>
      <w:r>
        <w:rPr>
          <w:rFonts w:hint="eastAsia" w:ascii="仿宋_GB2312" w:eastAsia="仿宋_GB2312" w:cs="仿宋_GB2312"/>
          <w:sz w:val="32"/>
          <w:szCs w:val="32"/>
        </w:rPr>
        <w:t>“</w:t>
      </w:r>
      <w:r>
        <w:rPr>
          <w:rFonts w:hint="eastAsia" w:ascii="仿宋_GB2312" w:eastAsia="仿宋_GB2312" w:cs="仿宋_GB2312"/>
          <w:kern w:val="0"/>
          <w:sz w:val="32"/>
          <w:szCs w:val="32"/>
        </w:rPr>
        <w:t>五长五科五队”及相关专业技术人员、在未经批准的头面或擅自打开密闭等进行作业、超层越界、超能力或者超定员组织生产、采取假图纸、假密闭等逃避安全监管监察、不按规定使用火工产品等非法违法行为。采取安全生产通报、约谈、</w:t>
      </w:r>
      <w:r>
        <w:rPr>
          <w:rFonts w:hint="eastAsia" w:ascii="仿宋_GB2312" w:eastAsia="仿宋_GB2312" w:cs="仿宋_GB2312"/>
          <w:sz w:val="32"/>
          <w:szCs w:val="32"/>
        </w:rPr>
        <w:t>“</w:t>
      </w:r>
      <w:r>
        <w:rPr>
          <w:rFonts w:hint="eastAsia" w:ascii="仿宋_GB2312" w:eastAsia="仿宋_GB2312" w:cs="仿宋_GB2312"/>
          <w:kern w:val="0"/>
          <w:sz w:val="32"/>
          <w:szCs w:val="32"/>
        </w:rPr>
        <w:t>黑名单”管理失信联合惩戒、重大事故隐患挂牌督办等制度，推进煤矿企业诚信体系建设。</w:t>
      </w:r>
      <w:r>
        <w:rPr>
          <w:rFonts w:ascii="仿宋_GB2312" w:eastAsia="仿宋_GB2312" w:cs="Times New Roman"/>
          <w:kern w:val="0"/>
          <w:sz w:val="32"/>
          <w:szCs w:val="32"/>
        </w:rPr>
        <w:br w:type="textWrapping"/>
      </w:r>
      <w:r>
        <w:rPr>
          <w:rFonts w:ascii="仿宋_GB2312" w:eastAsia="仿宋_GB2312" w:cs="仿宋_GB2312"/>
          <w:kern w:val="0"/>
          <w:sz w:val="32"/>
          <w:szCs w:val="32"/>
        </w:rPr>
        <w:t xml:space="preserve">    </w:t>
      </w:r>
      <w:r>
        <w:rPr>
          <w:rFonts w:hint="eastAsia" w:ascii="仿宋_GB2312" w:eastAsia="仿宋_GB2312" w:cs="仿宋_GB2312"/>
          <w:b/>
          <w:bCs/>
          <w:kern w:val="0"/>
          <w:sz w:val="32"/>
          <w:szCs w:val="32"/>
        </w:rPr>
        <w:t>责任单位：</w:t>
      </w:r>
      <w:r>
        <w:rPr>
          <w:rFonts w:hint="eastAsia" w:ascii="仿宋_GB2312" w:eastAsia="仿宋_GB2312" w:cs="仿宋_GB2312"/>
          <w:b w:val="0"/>
          <w:bCs w:val="0"/>
          <w:kern w:val="0"/>
          <w:sz w:val="32"/>
          <w:szCs w:val="32"/>
          <w:lang w:eastAsia="zh-CN"/>
        </w:rPr>
        <w:t>区</w:t>
      </w:r>
      <w:r>
        <w:rPr>
          <w:rFonts w:hint="eastAsia" w:ascii="仿宋_GB2312" w:eastAsia="仿宋_GB2312" w:cs="仿宋_GB2312"/>
          <w:kern w:val="0"/>
          <w:sz w:val="32"/>
          <w:szCs w:val="32"/>
        </w:rPr>
        <w:t>应急管理局、</w:t>
      </w:r>
      <w:r>
        <w:rPr>
          <w:rFonts w:hint="eastAsia" w:ascii="仿宋_GB2312" w:eastAsia="仿宋_GB2312" w:cs="仿宋_GB2312"/>
          <w:kern w:val="0"/>
          <w:sz w:val="32"/>
          <w:szCs w:val="32"/>
          <w:lang w:eastAsia="zh-CN"/>
        </w:rPr>
        <w:t>区国土</w:t>
      </w:r>
      <w:r>
        <w:rPr>
          <w:rFonts w:hint="eastAsia" w:ascii="仿宋_GB2312" w:eastAsia="仿宋_GB2312" w:cs="仿宋_GB2312"/>
          <w:kern w:val="0"/>
          <w:sz w:val="32"/>
          <w:szCs w:val="32"/>
        </w:rPr>
        <w:t>资源</w:t>
      </w:r>
      <w:r>
        <w:rPr>
          <w:rFonts w:hint="eastAsia" w:ascii="仿宋_GB2312" w:eastAsia="仿宋_GB2312" w:cs="仿宋_GB2312"/>
          <w:kern w:val="0"/>
          <w:sz w:val="32"/>
          <w:szCs w:val="32"/>
          <w:lang w:eastAsia="zh-CN"/>
        </w:rPr>
        <w:t>分</w:t>
      </w:r>
      <w:r>
        <w:rPr>
          <w:rFonts w:hint="eastAsia" w:ascii="仿宋_GB2312" w:eastAsia="仿宋_GB2312" w:cs="仿宋_GB2312"/>
          <w:kern w:val="0"/>
          <w:sz w:val="32"/>
          <w:szCs w:val="32"/>
        </w:rPr>
        <w:t>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公安</w:t>
      </w:r>
      <w:r>
        <w:rPr>
          <w:rFonts w:hint="eastAsia" w:ascii="仿宋_GB2312" w:eastAsia="仿宋_GB2312" w:cs="仿宋_GB2312"/>
          <w:kern w:val="0"/>
          <w:sz w:val="32"/>
          <w:szCs w:val="32"/>
          <w:lang w:eastAsia="zh-CN"/>
        </w:rPr>
        <w:t>分</w:t>
      </w:r>
      <w:r>
        <w:rPr>
          <w:rFonts w:hint="eastAsia" w:ascii="仿宋_GB2312" w:eastAsia="仿宋_GB2312" w:cs="仿宋_GB2312"/>
          <w:kern w:val="0"/>
          <w:sz w:val="32"/>
          <w:szCs w:val="32"/>
        </w:rPr>
        <w:t>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经济信息化</w:t>
      </w:r>
      <w:r>
        <w:rPr>
          <w:rFonts w:hint="eastAsia" w:ascii="仿宋_GB2312" w:eastAsia="仿宋_GB2312" w:cs="仿宋_GB2312"/>
          <w:kern w:val="0"/>
          <w:sz w:val="32"/>
          <w:szCs w:val="32"/>
          <w:lang w:eastAsia="zh-CN"/>
        </w:rPr>
        <w:t>和科技</w:t>
      </w:r>
      <w:r>
        <w:rPr>
          <w:rFonts w:hint="eastAsia" w:ascii="仿宋_GB2312" w:eastAsia="仿宋_GB2312" w:cs="仿宋_GB2312"/>
          <w:kern w:val="0"/>
          <w:sz w:val="32"/>
          <w:szCs w:val="32"/>
        </w:rPr>
        <w:t>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发展和改革</w:t>
      </w:r>
      <w:r>
        <w:rPr>
          <w:rFonts w:hint="eastAsia" w:ascii="仿宋_GB2312" w:eastAsia="仿宋_GB2312" w:cs="仿宋_GB2312"/>
          <w:kern w:val="0"/>
          <w:sz w:val="32"/>
          <w:szCs w:val="32"/>
          <w:lang w:eastAsia="zh-CN"/>
        </w:rPr>
        <w:t>局</w:t>
      </w:r>
    </w:p>
    <w:p>
      <w:pPr>
        <w:widowControl/>
        <w:spacing w:line="576" w:lineRule="exact"/>
        <w:ind w:firstLine="643" w:firstLineChars="200"/>
        <w:jc w:val="left"/>
        <w:rPr>
          <w:rFonts w:ascii="仿宋_GB2312" w:eastAsia="仿宋_GB2312" w:cs="Times New Roman"/>
          <w:sz w:val="32"/>
          <w:szCs w:val="32"/>
        </w:rPr>
      </w:pPr>
      <w:r>
        <w:rPr>
          <w:rFonts w:ascii="仿宋_GB2312" w:hAnsi="Times New Roman" w:eastAsia="仿宋_GB2312" w:cs="仿宋_GB2312"/>
          <w:b/>
          <w:bCs/>
          <w:sz w:val="32"/>
          <w:szCs w:val="32"/>
        </w:rPr>
        <w:t>4.</w:t>
      </w:r>
      <w:r>
        <w:rPr>
          <w:rFonts w:hint="eastAsia" w:ascii="仿宋_GB2312" w:hAnsi="Times New Roman" w:eastAsia="仿宋_GB2312" w:cs="仿宋_GB2312"/>
          <w:b/>
          <w:bCs/>
          <w:sz w:val="32"/>
          <w:szCs w:val="32"/>
        </w:rPr>
        <w:t>非煤矿山专项整治行动。</w:t>
      </w:r>
      <w:r>
        <w:rPr>
          <w:rFonts w:hint="eastAsia" w:ascii="仿宋_GB2312" w:eastAsia="仿宋_GB2312" w:cs="仿宋_GB2312"/>
          <w:sz w:val="32"/>
          <w:szCs w:val="32"/>
        </w:rPr>
        <w:t>加强矿山建设“三同时”监督管理，严格按批复的安全设施设计和时限进行建设，严厉打击非法开采、以探代采、乱采乱挖、以包代管和无证施工等违规违法行为。持续开展非煤矿山运输车辆安全专项整治。</w:t>
      </w:r>
    </w:p>
    <w:p>
      <w:pPr>
        <w:widowControl/>
        <w:spacing w:line="576" w:lineRule="exact"/>
        <w:ind w:firstLine="643" w:firstLineChars="200"/>
        <w:jc w:val="left"/>
        <w:rPr>
          <w:rFonts w:ascii="仿宋_GB2312" w:eastAsia="仿宋_GB2312" w:cs="Times New Roman"/>
          <w:kern w:val="0"/>
          <w:sz w:val="32"/>
          <w:szCs w:val="32"/>
        </w:rPr>
      </w:pPr>
      <w:r>
        <w:rPr>
          <w:rFonts w:hint="eastAsia" w:ascii="仿宋_GB2312" w:eastAsia="仿宋_GB2312" w:cs="仿宋_GB2312"/>
          <w:b/>
          <w:bCs/>
          <w:kern w:val="0"/>
          <w:sz w:val="32"/>
          <w:szCs w:val="32"/>
        </w:rPr>
        <w:t>责</w:t>
      </w:r>
      <w:r>
        <w:rPr>
          <w:rFonts w:hint="eastAsia" w:ascii="仿宋_GB2312" w:eastAsia="仿宋_GB2312" w:cs="仿宋_GB2312"/>
          <w:b/>
          <w:bCs/>
          <w:spacing w:val="-8"/>
          <w:kern w:val="0"/>
          <w:sz w:val="32"/>
          <w:szCs w:val="32"/>
        </w:rPr>
        <w:t>任单位：</w:t>
      </w:r>
      <w:r>
        <w:rPr>
          <w:rFonts w:hint="eastAsia" w:ascii="仿宋_GB2312" w:eastAsia="仿宋_GB2312" w:cs="仿宋_GB2312"/>
          <w:spacing w:val="-8"/>
          <w:sz w:val="32"/>
          <w:szCs w:val="32"/>
          <w:lang w:eastAsia="zh-CN"/>
        </w:rPr>
        <w:t>区</w:t>
      </w:r>
      <w:r>
        <w:rPr>
          <w:rFonts w:hint="eastAsia" w:ascii="仿宋_GB2312" w:eastAsia="仿宋_GB2312" w:cs="仿宋_GB2312"/>
          <w:spacing w:val="-8"/>
          <w:sz w:val="32"/>
          <w:szCs w:val="32"/>
        </w:rPr>
        <w:t>应急管理局、</w:t>
      </w:r>
      <w:r>
        <w:rPr>
          <w:rFonts w:hint="eastAsia" w:ascii="仿宋_GB2312" w:eastAsia="仿宋_GB2312" w:cs="仿宋_GB2312"/>
          <w:spacing w:val="-8"/>
          <w:sz w:val="32"/>
          <w:szCs w:val="32"/>
          <w:lang w:eastAsia="zh-CN"/>
        </w:rPr>
        <w:t>区国土资源分局</w:t>
      </w:r>
    </w:p>
    <w:p>
      <w:pPr>
        <w:spacing w:line="576" w:lineRule="exact"/>
        <w:ind w:firstLine="643" w:firstLineChars="200"/>
        <w:rPr>
          <w:rFonts w:ascii="仿宋_GB2312" w:eastAsia="仿宋_GB2312" w:cs="Times New Roman"/>
          <w:sz w:val="32"/>
          <w:szCs w:val="32"/>
        </w:rPr>
      </w:pPr>
      <w:r>
        <w:rPr>
          <w:rFonts w:ascii="仿宋_GB2312" w:hAnsi="Times New Roman" w:eastAsia="仿宋_GB2312" w:cs="仿宋_GB2312"/>
          <w:b/>
          <w:bCs/>
          <w:sz w:val="32"/>
          <w:szCs w:val="32"/>
        </w:rPr>
        <w:t>5.</w:t>
      </w:r>
      <w:r>
        <w:rPr>
          <w:rFonts w:hint="eastAsia" w:ascii="仿宋_GB2312" w:hAnsi="Times New Roman" w:eastAsia="仿宋_GB2312" w:cs="仿宋_GB2312"/>
          <w:b/>
          <w:bCs/>
          <w:sz w:val="32"/>
          <w:szCs w:val="32"/>
        </w:rPr>
        <w:t>建筑施工专项整治行动。</w:t>
      </w:r>
      <w:r>
        <w:rPr>
          <w:rFonts w:hint="eastAsia" w:ascii="仿宋_GB2312" w:eastAsia="仿宋_GB2312" w:cs="仿宋_GB2312"/>
          <w:sz w:val="32"/>
          <w:szCs w:val="32"/>
        </w:rPr>
        <w:t>加强深基坑、起重机械、高支模、脚手架等分部分项工程的安全管理，坚决防范基坑垮塌、起重机械倒塌、雷击触电等安全事故发生。全面开展城市管网、地下管线、地下构筑物、垃圾处理、低洼道路等市政公用设施安全隐患整治。</w:t>
      </w:r>
    </w:p>
    <w:p>
      <w:pPr>
        <w:spacing w:line="576" w:lineRule="exact"/>
        <w:ind w:firstLine="643" w:firstLineChars="200"/>
        <w:rPr>
          <w:rFonts w:ascii="仿宋_GB2312" w:eastAsia="仿宋_GB2312" w:cs="Times New Roman"/>
          <w:kern w:val="0"/>
          <w:sz w:val="32"/>
          <w:szCs w:val="32"/>
        </w:rPr>
      </w:pPr>
      <w:r>
        <w:rPr>
          <w:rFonts w:hint="eastAsia" w:ascii="仿宋_GB2312" w:eastAsia="仿宋_GB2312" w:cs="仿宋_GB2312"/>
          <w:b/>
          <w:bCs/>
          <w:sz w:val="32"/>
          <w:szCs w:val="32"/>
        </w:rPr>
        <w:t>责任</w:t>
      </w:r>
      <w:r>
        <w:rPr>
          <w:rFonts w:hint="eastAsia" w:ascii="仿宋_GB2312" w:eastAsia="仿宋_GB2312" w:cs="仿宋_GB2312"/>
          <w:b/>
          <w:bCs/>
          <w:kern w:val="0"/>
          <w:sz w:val="32"/>
          <w:szCs w:val="32"/>
        </w:rPr>
        <w:t>单位：</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住房和城乡建设局、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交通运输局、市水利局、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经济信息化</w:t>
      </w:r>
      <w:r>
        <w:rPr>
          <w:rFonts w:hint="eastAsia" w:ascii="仿宋_GB2312" w:eastAsia="仿宋_GB2312" w:cs="仿宋_GB2312"/>
          <w:kern w:val="0"/>
          <w:sz w:val="32"/>
          <w:szCs w:val="32"/>
          <w:lang w:eastAsia="zh-CN"/>
        </w:rPr>
        <w:t>和科技</w:t>
      </w:r>
      <w:r>
        <w:rPr>
          <w:rFonts w:hint="eastAsia" w:ascii="仿宋_GB2312" w:eastAsia="仿宋_GB2312" w:cs="仿宋_GB2312"/>
          <w:kern w:val="0"/>
          <w:sz w:val="32"/>
          <w:szCs w:val="32"/>
        </w:rPr>
        <w:t>局</w:t>
      </w:r>
    </w:p>
    <w:p>
      <w:pPr>
        <w:spacing w:line="576" w:lineRule="exact"/>
        <w:ind w:firstLine="643" w:firstLineChars="200"/>
        <w:rPr>
          <w:rFonts w:ascii="仿宋_GB2312" w:eastAsia="仿宋_GB2312" w:cs="Times New Roman"/>
          <w:sz w:val="32"/>
          <w:szCs w:val="32"/>
        </w:rPr>
      </w:pPr>
      <w:r>
        <w:rPr>
          <w:rFonts w:ascii="仿宋_GB2312" w:hAnsi="Times New Roman" w:eastAsia="仿宋_GB2312" w:cs="仿宋_GB2312"/>
          <w:b/>
          <w:bCs/>
          <w:sz w:val="32"/>
          <w:szCs w:val="32"/>
        </w:rPr>
        <w:t>6.</w:t>
      </w:r>
      <w:r>
        <w:rPr>
          <w:rFonts w:hint="eastAsia" w:ascii="仿宋_GB2312" w:hAnsi="Times New Roman" w:eastAsia="仿宋_GB2312" w:cs="仿宋_GB2312"/>
          <w:b/>
          <w:bCs/>
          <w:sz w:val="32"/>
          <w:szCs w:val="32"/>
        </w:rPr>
        <w:t>消防安全专项整治行动</w:t>
      </w:r>
      <w:r>
        <w:rPr>
          <w:rFonts w:hint="eastAsia" w:ascii="仿宋_GB2312" w:hAnsi="Times New Roman" w:eastAsia="仿宋_GB2312" w:cs="仿宋_GB2312"/>
          <w:b w:val="0"/>
          <w:bCs w:val="0"/>
          <w:sz w:val="32"/>
          <w:szCs w:val="32"/>
        </w:rPr>
        <w:t>。</w:t>
      </w:r>
      <w:r>
        <w:rPr>
          <w:rFonts w:hint="eastAsia" w:ascii="仿宋_GB2312" w:hAnsi="Times New Roman" w:eastAsia="仿宋_GB2312" w:cs="仿宋_GB2312"/>
          <w:b w:val="0"/>
          <w:bCs w:val="0"/>
          <w:sz w:val="32"/>
          <w:szCs w:val="32"/>
          <w:lang w:eastAsia="zh-CN"/>
        </w:rPr>
        <w:t>要结合国务院安委会办公室召开的“防风险保平安迎大庆”消防安全执法检查专项行动部署，</w:t>
      </w:r>
      <w:r>
        <w:rPr>
          <w:rFonts w:hint="eastAsia" w:ascii="仿宋_GB2312" w:eastAsia="仿宋_GB2312" w:cs="仿宋_GB2312"/>
          <w:sz w:val="32"/>
          <w:szCs w:val="32"/>
        </w:rPr>
        <w:t>持续为期</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个月的</w:t>
      </w:r>
      <w:r>
        <w:rPr>
          <w:rFonts w:hint="eastAsia" w:ascii="仿宋_GB2312" w:eastAsia="仿宋_GB2312" w:cs="仿宋_GB2312"/>
          <w:sz w:val="32"/>
          <w:szCs w:val="32"/>
          <w:lang w:eastAsia="zh-CN"/>
        </w:rPr>
        <w:t>消防安全执法检查和</w:t>
      </w:r>
      <w:r>
        <w:rPr>
          <w:rFonts w:hint="eastAsia" w:ascii="仿宋_GB2312" w:eastAsia="仿宋_GB2312" w:cs="仿宋_GB2312"/>
          <w:sz w:val="32"/>
          <w:szCs w:val="32"/>
        </w:rPr>
        <w:t>城市消防安全隐患大排查大整治行动，重点</w:t>
      </w:r>
      <w:r>
        <w:rPr>
          <w:rFonts w:hint="eastAsia" w:ascii="仿宋_GB2312" w:eastAsia="仿宋_GB2312" w:cs="仿宋_GB2312"/>
          <w:sz w:val="32"/>
          <w:szCs w:val="32"/>
          <w:lang w:eastAsia="zh-CN"/>
        </w:rPr>
        <w:t>整治大型商场、“多合一场所”、劳动密集型场所、公共娱乐场所、群租房、宾馆酒店、高层建筑、养老院、施工工地等</w:t>
      </w:r>
      <w:r>
        <w:rPr>
          <w:rFonts w:hint="eastAsia" w:ascii="仿宋_GB2312" w:eastAsia="仿宋_GB2312" w:cs="仿宋_GB2312"/>
          <w:sz w:val="32"/>
          <w:szCs w:val="32"/>
          <w:lang w:val="en-US" w:eastAsia="zh-CN"/>
        </w:rPr>
        <w:t>9类重点场所，</w:t>
      </w:r>
      <w:r>
        <w:rPr>
          <w:rFonts w:hint="eastAsia" w:ascii="仿宋_GB2312" w:eastAsia="仿宋_GB2312" w:cs="仿宋_GB2312"/>
          <w:sz w:val="32"/>
          <w:szCs w:val="32"/>
        </w:rPr>
        <w:t>针对薄弱环节和重点区域进行集中检查排查，及时消除火灾隐患。严肃查处封堵占用消防通道、安全出口等违法行为，严厉查处电瓶车违规停放、充电现象，坚决防止火灾、踩踏等事故发生。强化集生产、经营、储存和住宿为一体的“三合一”、“多合一”建筑及群租房火灾隐患排查整治。对重大火灾隐患和区域性火灾隐患实施综合治理，加大重大火灾隐患立案、挂牌、整改销案工作力度。</w:t>
      </w:r>
    </w:p>
    <w:p>
      <w:pPr>
        <w:spacing w:line="576" w:lineRule="exact"/>
        <w:ind w:firstLine="643" w:firstLineChars="200"/>
        <w:rPr>
          <w:rFonts w:ascii="仿宋_GB2312" w:eastAsia="仿宋_GB2312" w:cs="Times New Roman"/>
          <w:kern w:val="0"/>
          <w:sz w:val="32"/>
          <w:szCs w:val="32"/>
        </w:rPr>
      </w:pPr>
      <w:r>
        <w:rPr>
          <w:rFonts w:hint="eastAsia" w:ascii="仿宋_GB2312" w:eastAsia="仿宋_GB2312" w:cs="仿宋_GB2312"/>
          <w:b/>
          <w:bCs/>
          <w:sz w:val="32"/>
          <w:szCs w:val="32"/>
        </w:rPr>
        <w:t>责任</w:t>
      </w:r>
      <w:r>
        <w:rPr>
          <w:rFonts w:hint="eastAsia" w:ascii="仿宋_GB2312" w:eastAsia="仿宋_GB2312" w:cs="仿宋_GB2312"/>
          <w:b/>
          <w:bCs/>
          <w:kern w:val="0"/>
          <w:sz w:val="32"/>
          <w:szCs w:val="32"/>
        </w:rPr>
        <w:t>单位：</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消防救援</w:t>
      </w:r>
      <w:r>
        <w:rPr>
          <w:rFonts w:hint="eastAsia" w:ascii="仿宋_GB2312" w:eastAsia="仿宋_GB2312" w:cs="仿宋_GB2312"/>
          <w:kern w:val="0"/>
          <w:sz w:val="32"/>
          <w:szCs w:val="32"/>
          <w:lang w:eastAsia="zh-CN"/>
        </w:rPr>
        <w:t>大</w:t>
      </w:r>
      <w:r>
        <w:rPr>
          <w:rFonts w:hint="eastAsia" w:ascii="仿宋_GB2312" w:eastAsia="仿宋_GB2312" w:cs="仿宋_GB2312"/>
          <w:kern w:val="0"/>
          <w:sz w:val="32"/>
          <w:szCs w:val="32"/>
        </w:rPr>
        <w:t>队、</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市场监管局、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商务局</w:t>
      </w:r>
      <w:r>
        <w:rPr>
          <w:rFonts w:hint="eastAsia" w:ascii="仿宋_GB2312" w:eastAsia="仿宋_GB2312" w:cs="仿宋_GB2312"/>
          <w:kern w:val="0"/>
          <w:sz w:val="32"/>
          <w:szCs w:val="32"/>
          <w:lang w:eastAsia="zh-CN"/>
        </w:rPr>
        <w:t>和经济合作局</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经济信息化</w:t>
      </w:r>
      <w:r>
        <w:rPr>
          <w:rFonts w:hint="eastAsia" w:ascii="仿宋_GB2312" w:eastAsia="仿宋_GB2312" w:cs="仿宋_GB2312"/>
          <w:kern w:val="0"/>
          <w:sz w:val="32"/>
          <w:szCs w:val="32"/>
          <w:lang w:eastAsia="zh-CN"/>
        </w:rPr>
        <w:t>和科技</w:t>
      </w:r>
      <w:r>
        <w:rPr>
          <w:rFonts w:hint="eastAsia" w:ascii="仿宋_GB2312" w:eastAsia="仿宋_GB2312" w:cs="仿宋_GB2312"/>
          <w:kern w:val="0"/>
          <w:sz w:val="32"/>
          <w:szCs w:val="32"/>
        </w:rPr>
        <w:t>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住房和城乡建设局</w:t>
      </w:r>
    </w:p>
    <w:p>
      <w:pPr>
        <w:spacing w:line="576" w:lineRule="exact"/>
        <w:ind w:firstLine="643" w:firstLineChars="200"/>
        <w:rPr>
          <w:rFonts w:ascii="仿宋_GB2312" w:eastAsia="仿宋_GB2312" w:cs="Times New Roman"/>
          <w:sz w:val="32"/>
          <w:szCs w:val="32"/>
        </w:rPr>
      </w:pPr>
      <w:r>
        <w:rPr>
          <w:rFonts w:ascii="仿宋_GB2312" w:hAnsi="Times New Roman" w:eastAsia="仿宋_GB2312" w:cs="仿宋_GB2312"/>
          <w:b/>
          <w:bCs/>
          <w:sz w:val="32"/>
          <w:szCs w:val="32"/>
        </w:rPr>
        <w:t>7.</w:t>
      </w:r>
      <w:r>
        <w:rPr>
          <w:rFonts w:hint="eastAsia" w:ascii="仿宋_GB2312" w:hAnsi="Times New Roman" w:eastAsia="仿宋_GB2312" w:cs="仿宋_GB2312"/>
          <w:b/>
          <w:bCs/>
          <w:sz w:val="32"/>
          <w:szCs w:val="32"/>
        </w:rPr>
        <w:t>城乡公共安全专项整治行动</w:t>
      </w:r>
      <w:r>
        <w:rPr>
          <w:rFonts w:hint="eastAsia" w:ascii="楷体_GB2312" w:hAnsi="Times New Roman" w:eastAsia="楷体_GB2312" w:cs="楷体_GB2312"/>
          <w:sz w:val="32"/>
          <w:szCs w:val="32"/>
        </w:rPr>
        <w:t>。</w:t>
      </w:r>
      <w:r>
        <w:rPr>
          <w:rFonts w:hint="eastAsia" w:ascii="仿宋_GB2312" w:eastAsia="仿宋_GB2312" w:cs="仿宋_GB2312"/>
          <w:sz w:val="32"/>
          <w:szCs w:val="32"/>
        </w:rPr>
        <w:t>加强高层建筑、大型综合体等高风险场所安全监测监控，全面排查治理老旧建筑、城市燃气、城市河道、隧道桥梁等重点部位事故隐患。加强农村建筑施工、道路交通、消防、山坪塘、沼气、煤改电（气）工程等安全监管，深入排查治理安全隐患。</w:t>
      </w:r>
    </w:p>
    <w:p>
      <w:pPr>
        <w:spacing w:line="576" w:lineRule="exact"/>
        <w:ind w:firstLine="643" w:firstLineChars="200"/>
        <w:rPr>
          <w:rFonts w:ascii="仿宋_GB2312" w:eastAsia="仿宋_GB2312" w:cs="Times New Roman"/>
          <w:kern w:val="0"/>
          <w:sz w:val="32"/>
          <w:szCs w:val="32"/>
        </w:rPr>
      </w:pPr>
      <w:r>
        <w:rPr>
          <w:rFonts w:hint="eastAsia" w:ascii="仿宋_GB2312" w:eastAsia="仿宋_GB2312" w:cs="仿宋_GB2312"/>
          <w:b/>
          <w:bCs/>
          <w:sz w:val="32"/>
          <w:szCs w:val="32"/>
        </w:rPr>
        <w:t>责任</w:t>
      </w:r>
      <w:r>
        <w:rPr>
          <w:rFonts w:hint="eastAsia" w:ascii="仿宋_GB2312" w:eastAsia="仿宋_GB2312" w:cs="仿宋_GB2312"/>
          <w:b/>
          <w:bCs/>
          <w:kern w:val="0"/>
          <w:sz w:val="32"/>
          <w:szCs w:val="32"/>
        </w:rPr>
        <w:t>单位：</w:t>
      </w:r>
      <w:r>
        <w:rPr>
          <w:rFonts w:hint="eastAsia" w:ascii="仿宋_GB2312" w:eastAsia="仿宋_GB2312" w:cs="仿宋_GB2312"/>
          <w:b/>
          <w:bCs/>
          <w:kern w:val="0"/>
          <w:sz w:val="32"/>
          <w:szCs w:val="32"/>
          <w:lang w:eastAsia="zh-CN"/>
        </w:rPr>
        <w:t>区</w:t>
      </w:r>
      <w:r>
        <w:rPr>
          <w:rFonts w:hint="eastAsia" w:ascii="仿宋_GB2312" w:eastAsia="仿宋_GB2312" w:cs="仿宋_GB2312"/>
          <w:kern w:val="0"/>
          <w:sz w:val="32"/>
          <w:szCs w:val="32"/>
        </w:rPr>
        <w:t>住房和城乡建设局、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交通运输局、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农业农村局、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水利局、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应急管理局、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公安</w:t>
      </w:r>
      <w:r>
        <w:rPr>
          <w:rFonts w:hint="eastAsia" w:ascii="仿宋_GB2312" w:eastAsia="仿宋_GB2312" w:cs="仿宋_GB2312"/>
          <w:kern w:val="0"/>
          <w:sz w:val="32"/>
          <w:szCs w:val="32"/>
          <w:lang w:eastAsia="zh-CN"/>
        </w:rPr>
        <w:t>分</w:t>
      </w:r>
      <w:r>
        <w:rPr>
          <w:rFonts w:hint="eastAsia" w:ascii="仿宋_GB2312" w:eastAsia="仿宋_GB2312" w:cs="仿宋_GB2312"/>
          <w:kern w:val="0"/>
          <w:sz w:val="32"/>
          <w:szCs w:val="32"/>
        </w:rPr>
        <w:t>局，其他负有安全监管职责的有关部门</w:t>
      </w:r>
    </w:p>
    <w:p>
      <w:pPr>
        <w:spacing w:line="576" w:lineRule="exact"/>
        <w:ind w:firstLine="630" w:firstLineChars="196"/>
        <w:rPr>
          <w:rFonts w:ascii="仿宋_GB2312" w:eastAsia="仿宋_GB2312" w:cs="Times New Roman"/>
          <w:kern w:val="0"/>
          <w:sz w:val="32"/>
          <w:szCs w:val="32"/>
        </w:rPr>
      </w:pPr>
      <w:r>
        <w:rPr>
          <w:rFonts w:ascii="仿宋_GB2312" w:hAnsi="Times New Roman" w:eastAsia="仿宋_GB2312" w:cs="仿宋_GB2312"/>
          <w:b/>
          <w:bCs/>
          <w:sz w:val="32"/>
          <w:szCs w:val="32"/>
        </w:rPr>
        <w:t>8.</w:t>
      </w:r>
      <w:r>
        <w:rPr>
          <w:rFonts w:hint="eastAsia" w:ascii="仿宋_GB2312" w:hAnsi="Times New Roman" w:eastAsia="仿宋_GB2312" w:cs="仿宋_GB2312"/>
          <w:b/>
          <w:bCs/>
          <w:sz w:val="32"/>
          <w:szCs w:val="32"/>
        </w:rPr>
        <w:t>工贸行业专项整治行动</w:t>
      </w:r>
      <w:r>
        <w:rPr>
          <w:rFonts w:hint="eastAsia" w:ascii="仿宋_GB2312" w:hAnsi="Times New Roman" w:eastAsia="仿宋_GB2312" w:cs="仿宋_GB2312"/>
          <w:sz w:val="32"/>
          <w:szCs w:val="32"/>
        </w:rPr>
        <w:t>。</w:t>
      </w:r>
      <w:r>
        <w:rPr>
          <w:rFonts w:hint="eastAsia" w:ascii="仿宋_GB2312" w:eastAsia="仿宋_GB2312" w:cs="仿宋_GB2312"/>
          <w:kern w:val="0"/>
          <w:sz w:val="32"/>
          <w:szCs w:val="32"/>
        </w:rPr>
        <w:t>重点检查有限空间作业、粉尘防爆、涉氨制冷企业的通风除尘设备设施和涉高温熔融金属、煤气企业的相关设备设施是否完善、禁火措施是否制定并落实、电气电路和消防设施是否符合要求、消防器材和个人劳动防护用品是否按规定配置到位、安全条件和安全检查是否到位等情况。</w:t>
      </w:r>
    </w:p>
    <w:p>
      <w:pPr>
        <w:spacing w:line="576" w:lineRule="exact"/>
        <w:ind w:firstLine="630" w:firstLineChars="196"/>
        <w:rPr>
          <w:rFonts w:ascii="仿宋_GB2312" w:eastAsia="仿宋_GB2312" w:cs="Times New Roman"/>
          <w:kern w:val="0"/>
          <w:sz w:val="32"/>
          <w:szCs w:val="32"/>
        </w:rPr>
      </w:pPr>
      <w:r>
        <w:rPr>
          <w:rFonts w:hint="eastAsia" w:ascii="仿宋_GB2312" w:eastAsia="仿宋_GB2312" w:cs="仿宋_GB2312"/>
          <w:b/>
          <w:bCs/>
          <w:kern w:val="0"/>
          <w:sz w:val="32"/>
          <w:szCs w:val="32"/>
        </w:rPr>
        <w:t>责任单位：</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经济信息化</w:t>
      </w:r>
      <w:r>
        <w:rPr>
          <w:rFonts w:hint="eastAsia" w:ascii="仿宋_GB2312" w:eastAsia="仿宋_GB2312" w:cs="仿宋_GB2312"/>
          <w:kern w:val="0"/>
          <w:sz w:val="32"/>
          <w:szCs w:val="32"/>
          <w:lang w:eastAsia="zh-CN"/>
        </w:rPr>
        <w:t>和科技</w:t>
      </w:r>
      <w:r>
        <w:rPr>
          <w:rFonts w:hint="eastAsia" w:ascii="仿宋_GB2312" w:eastAsia="仿宋_GB2312" w:cs="仿宋_GB2312"/>
          <w:kern w:val="0"/>
          <w:sz w:val="32"/>
          <w:szCs w:val="32"/>
        </w:rPr>
        <w:t>局、</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应急管理局</w:t>
      </w:r>
    </w:p>
    <w:p>
      <w:pPr>
        <w:spacing w:line="576" w:lineRule="exact"/>
        <w:ind w:firstLine="630" w:firstLineChars="196"/>
        <w:rPr>
          <w:rFonts w:ascii="仿宋_GB2312" w:eastAsia="仿宋_GB2312" w:cs="Times New Roman"/>
          <w:kern w:val="0"/>
          <w:sz w:val="32"/>
          <w:szCs w:val="32"/>
        </w:rPr>
      </w:pPr>
      <w:r>
        <w:rPr>
          <w:rFonts w:ascii="仿宋_GB2312" w:hAnsi="Times New Roman" w:eastAsia="仿宋_GB2312" w:cs="仿宋_GB2312"/>
          <w:b/>
          <w:bCs/>
          <w:sz w:val="32"/>
          <w:szCs w:val="32"/>
        </w:rPr>
        <w:t>9.</w:t>
      </w:r>
      <w:r>
        <w:rPr>
          <w:rFonts w:hint="eastAsia" w:ascii="仿宋_GB2312" w:hAnsi="Times New Roman" w:eastAsia="仿宋_GB2312" w:cs="仿宋_GB2312"/>
          <w:b/>
          <w:bCs/>
          <w:sz w:val="32"/>
          <w:szCs w:val="32"/>
        </w:rPr>
        <w:t>特种设备专项整治行动。</w:t>
      </w:r>
      <w:r>
        <w:rPr>
          <w:rFonts w:hint="eastAsia" w:ascii="仿宋_GB2312" w:eastAsia="仿宋_GB2312" w:cs="仿宋_GB2312"/>
          <w:kern w:val="0"/>
          <w:sz w:val="32"/>
          <w:szCs w:val="32"/>
        </w:rPr>
        <w:t>以涉及氨制冷、硝化工艺等危险化学品相关特种设备，电站锅炉范围内压力管道，大型游乐设施束缚装置，人员密集场所电梯、重点工程施工工地起重机械（房屋建筑工地和市政工程工地除外）为重点部署开展风险分级管控和隐患排查整治。持续推进电梯安全</w:t>
      </w:r>
      <w:r>
        <w:rPr>
          <w:rFonts w:hint="eastAsia" w:ascii="仿宋_GB2312" w:eastAsia="仿宋_GB2312" w:cs="仿宋_GB2312"/>
          <w:sz w:val="32"/>
          <w:szCs w:val="32"/>
        </w:rPr>
        <w:t>“</w:t>
      </w:r>
      <w:r>
        <w:rPr>
          <w:rFonts w:ascii="仿宋_GB2312" w:eastAsia="仿宋_GB2312" w:cs="仿宋_GB2312"/>
          <w:kern w:val="0"/>
          <w:sz w:val="32"/>
          <w:szCs w:val="32"/>
        </w:rPr>
        <w:t>6+1</w:t>
      </w:r>
      <w:r>
        <w:rPr>
          <w:rFonts w:hint="eastAsia" w:ascii="仿宋_GB2312" w:eastAsia="仿宋_GB2312" w:cs="仿宋_GB2312"/>
          <w:kern w:val="0"/>
          <w:sz w:val="32"/>
          <w:szCs w:val="32"/>
        </w:rPr>
        <w:t>”监管，落实电梯安全六方责任。</w:t>
      </w:r>
    </w:p>
    <w:p>
      <w:pPr>
        <w:spacing w:line="576" w:lineRule="exact"/>
        <w:ind w:firstLine="630" w:firstLineChars="196"/>
        <w:rPr>
          <w:rFonts w:ascii="仿宋_GB2312" w:eastAsia="仿宋_GB2312" w:cs="Times New Roman"/>
          <w:kern w:val="0"/>
          <w:sz w:val="32"/>
          <w:szCs w:val="32"/>
        </w:rPr>
      </w:pPr>
      <w:r>
        <w:rPr>
          <w:rFonts w:hint="eastAsia" w:ascii="仿宋_GB2312" w:eastAsia="仿宋_GB2312" w:cs="仿宋_GB2312"/>
          <w:b/>
          <w:bCs/>
          <w:sz w:val="32"/>
          <w:szCs w:val="32"/>
        </w:rPr>
        <w:t>责任</w:t>
      </w:r>
      <w:r>
        <w:rPr>
          <w:rFonts w:hint="eastAsia" w:ascii="仿宋_GB2312" w:eastAsia="仿宋_GB2312" w:cs="仿宋_GB2312"/>
          <w:b/>
          <w:bCs/>
          <w:kern w:val="0"/>
          <w:sz w:val="32"/>
          <w:szCs w:val="32"/>
        </w:rPr>
        <w:t>单位：</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市场监管局</w:t>
      </w:r>
    </w:p>
    <w:p>
      <w:pPr>
        <w:spacing w:line="576" w:lineRule="exact"/>
        <w:ind w:firstLine="630" w:firstLineChars="196"/>
        <w:rPr>
          <w:rFonts w:ascii="仿宋_GB2312" w:eastAsia="仿宋_GB2312" w:cs="Times New Roman"/>
          <w:sz w:val="32"/>
          <w:szCs w:val="32"/>
        </w:rPr>
      </w:pPr>
      <w:r>
        <w:rPr>
          <w:rFonts w:ascii="仿宋_GB2312" w:hAnsi="Times New Roman" w:eastAsia="仿宋_GB2312" w:cs="仿宋_GB2312"/>
          <w:b/>
          <w:bCs/>
          <w:sz w:val="32"/>
          <w:szCs w:val="32"/>
        </w:rPr>
        <w:t>10.</w:t>
      </w:r>
      <w:r>
        <w:rPr>
          <w:rFonts w:hint="eastAsia" w:ascii="仿宋_GB2312" w:hAnsi="Times New Roman" w:eastAsia="仿宋_GB2312" w:cs="仿宋_GB2312"/>
          <w:b/>
          <w:bCs/>
          <w:sz w:val="32"/>
          <w:szCs w:val="32"/>
        </w:rPr>
        <w:t>人员密集场所专项整治行动。</w:t>
      </w:r>
      <w:r>
        <w:rPr>
          <w:rFonts w:hint="eastAsia" w:ascii="仿宋_GB2312" w:eastAsia="仿宋_GB2312" w:cs="仿宋_GB2312"/>
          <w:sz w:val="32"/>
          <w:szCs w:val="32"/>
        </w:rPr>
        <w:t>以“五一”、端午、国庆等重要节日的集会、庙会、游园及世警会等重大活动的安全管理为重点，加强人流动态监控。</w:t>
      </w:r>
    </w:p>
    <w:p>
      <w:pPr>
        <w:spacing w:line="576" w:lineRule="exact"/>
        <w:ind w:firstLine="630" w:firstLineChars="196"/>
        <w:rPr>
          <w:rFonts w:hint="eastAsia" w:ascii="仿宋_GB2312" w:eastAsia="仿宋_GB2312" w:cs="Times New Roman"/>
          <w:sz w:val="32"/>
          <w:szCs w:val="32"/>
          <w:lang w:eastAsia="zh-CN"/>
        </w:rPr>
      </w:pPr>
      <w:r>
        <w:rPr>
          <w:rFonts w:hint="eastAsia" w:ascii="仿宋_GB2312" w:eastAsia="仿宋_GB2312" w:cs="仿宋_GB2312"/>
          <w:b/>
          <w:bCs/>
          <w:sz w:val="32"/>
          <w:szCs w:val="32"/>
        </w:rPr>
        <w:t>责任</w:t>
      </w:r>
      <w:r>
        <w:rPr>
          <w:rFonts w:hint="eastAsia" w:ascii="仿宋_GB2312" w:eastAsia="仿宋_GB2312" w:cs="仿宋_GB2312"/>
          <w:b/>
          <w:bCs/>
          <w:kern w:val="0"/>
          <w:sz w:val="32"/>
          <w:szCs w:val="32"/>
        </w:rPr>
        <w:t>单位：</w:t>
      </w:r>
      <w:r>
        <w:rPr>
          <w:rFonts w:hint="eastAsia" w:ascii="仿宋_GB2312" w:eastAsia="仿宋_GB2312" w:cs="仿宋_GB2312"/>
          <w:sz w:val="32"/>
          <w:szCs w:val="32"/>
          <w:lang w:eastAsia="zh-CN"/>
        </w:rPr>
        <w:t>区</w:t>
      </w:r>
      <w:r>
        <w:rPr>
          <w:rFonts w:hint="eastAsia" w:ascii="仿宋_GB2312" w:eastAsia="仿宋_GB2312" w:cs="仿宋_GB2312"/>
          <w:sz w:val="32"/>
          <w:szCs w:val="32"/>
        </w:rPr>
        <w:t>公安</w:t>
      </w:r>
      <w:r>
        <w:rPr>
          <w:rFonts w:hint="eastAsia" w:ascii="仿宋_GB2312" w:eastAsia="仿宋_GB2312" w:cs="仿宋_GB2312"/>
          <w:sz w:val="32"/>
          <w:szCs w:val="32"/>
          <w:lang w:eastAsia="zh-CN"/>
        </w:rPr>
        <w:t>分</w:t>
      </w:r>
      <w:r>
        <w:rPr>
          <w:rFonts w:hint="eastAsia" w:ascii="仿宋_GB2312" w:eastAsia="仿宋_GB2312" w:cs="仿宋_GB2312"/>
          <w:sz w:val="32"/>
          <w:szCs w:val="32"/>
        </w:rPr>
        <w:t>局、</w:t>
      </w:r>
      <w:r>
        <w:rPr>
          <w:rFonts w:hint="eastAsia" w:ascii="仿宋_GB2312" w:eastAsia="仿宋_GB2312" w:cs="仿宋_GB2312"/>
          <w:sz w:val="32"/>
          <w:szCs w:val="32"/>
          <w:lang w:eastAsia="zh-CN"/>
        </w:rPr>
        <w:t>区文化旅游和体育局</w:t>
      </w:r>
      <w:r>
        <w:rPr>
          <w:rFonts w:hint="eastAsia" w:ascii="仿宋_GB2312" w:eastAsia="仿宋_GB2312" w:cs="仿宋_GB2312"/>
          <w:sz w:val="32"/>
          <w:szCs w:val="32"/>
        </w:rPr>
        <w:t>、</w:t>
      </w:r>
      <w:r>
        <w:rPr>
          <w:rFonts w:hint="eastAsia" w:ascii="仿宋_GB2312" w:eastAsia="仿宋_GB2312" w:cs="仿宋_GB2312"/>
          <w:sz w:val="32"/>
          <w:szCs w:val="32"/>
          <w:lang w:eastAsia="zh-CN"/>
        </w:rPr>
        <w:t>区</w:t>
      </w:r>
      <w:r>
        <w:rPr>
          <w:rFonts w:hint="eastAsia" w:ascii="仿宋_GB2312" w:eastAsia="仿宋_GB2312" w:cs="仿宋_GB2312"/>
          <w:sz w:val="32"/>
          <w:szCs w:val="32"/>
        </w:rPr>
        <w:t>民政局、</w:t>
      </w:r>
      <w:r>
        <w:rPr>
          <w:rFonts w:hint="eastAsia" w:ascii="仿宋_GB2312" w:eastAsia="仿宋_GB2312" w:cs="仿宋_GB2312"/>
          <w:sz w:val="32"/>
          <w:szCs w:val="32"/>
          <w:lang w:eastAsia="zh-CN"/>
        </w:rPr>
        <w:t>区</w:t>
      </w:r>
      <w:r>
        <w:rPr>
          <w:rFonts w:hint="eastAsia" w:ascii="仿宋_GB2312" w:eastAsia="仿宋_GB2312" w:cs="仿宋_GB2312"/>
          <w:sz w:val="32"/>
          <w:szCs w:val="32"/>
        </w:rPr>
        <w:t>商务</w:t>
      </w:r>
      <w:r>
        <w:rPr>
          <w:rFonts w:hint="eastAsia" w:ascii="仿宋_GB2312" w:eastAsia="仿宋_GB2312" w:cs="仿宋_GB2312"/>
          <w:sz w:val="32"/>
          <w:szCs w:val="32"/>
          <w:lang w:eastAsia="zh-CN"/>
        </w:rPr>
        <w:t>和经济合作局、区民族宗教局</w:t>
      </w:r>
    </w:p>
    <w:p>
      <w:pPr>
        <w:spacing w:line="576" w:lineRule="exact"/>
        <w:ind w:firstLine="643" w:firstLineChars="200"/>
        <w:rPr>
          <w:rFonts w:ascii="仿宋_GB2312" w:eastAsia="仿宋_GB2312" w:cs="Times New Roman"/>
          <w:sz w:val="32"/>
          <w:szCs w:val="32"/>
        </w:rPr>
      </w:pPr>
      <w:r>
        <w:rPr>
          <w:rFonts w:hint="eastAsia" w:ascii="仿宋_GB2312" w:eastAsia="仿宋_GB2312" w:cs="仿宋_GB2312"/>
          <w:b/>
          <w:bCs/>
          <w:kern w:val="0"/>
          <w:sz w:val="32"/>
          <w:szCs w:val="32"/>
        </w:rPr>
        <w:t>其他行业（领域）</w:t>
      </w:r>
      <w:r>
        <w:rPr>
          <w:rFonts w:hint="eastAsia" w:ascii="仿宋_GB2312" w:eastAsia="仿宋_GB2312" w:cs="仿宋_GB2312"/>
          <w:sz w:val="32"/>
          <w:szCs w:val="32"/>
        </w:rPr>
        <w:t>也要迅速组织开展安全专项整治，加强组织协调，强化督导考核，狠抓各项重点工作落实，严防事故发生。</w:t>
      </w:r>
    </w:p>
    <w:p>
      <w:pPr>
        <w:spacing w:line="576" w:lineRule="exact"/>
        <w:ind w:firstLine="640" w:firstLineChars="200"/>
        <w:rPr>
          <w:rFonts w:eastAsia="黑体" w:cs="Times New Roman"/>
          <w:sz w:val="32"/>
          <w:szCs w:val="32"/>
        </w:rPr>
      </w:pPr>
      <w:r>
        <w:rPr>
          <w:rFonts w:hint="eastAsia" w:eastAsia="黑体" w:cs="黑体"/>
          <w:sz w:val="32"/>
          <w:szCs w:val="32"/>
        </w:rPr>
        <w:t>三、时间安排</w:t>
      </w: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从</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4</w:t>
      </w:r>
      <w:r>
        <w:rPr>
          <w:rFonts w:hint="eastAsia" w:ascii="仿宋_GB2312" w:eastAsia="仿宋_GB2312" w:cs="仿宋_GB2312"/>
          <w:sz w:val="32"/>
          <w:szCs w:val="32"/>
        </w:rPr>
        <w:t>月至</w:t>
      </w:r>
      <w:r>
        <w:rPr>
          <w:rFonts w:ascii="仿宋_GB2312" w:eastAsia="仿宋_GB2312" w:cs="仿宋_GB2312"/>
          <w:sz w:val="32"/>
          <w:szCs w:val="32"/>
        </w:rPr>
        <w:t>12</w:t>
      </w:r>
      <w:r>
        <w:rPr>
          <w:rFonts w:hint="eastAsia" w:ascii="仿宋_GB2312" w:eastAsia="仿宋_GB2312" w:cs="仿宋_GB2312"/>
          <w:sz w:val="32"/>
          <w:szCs w:val="32"/>
        </w:rPr>
        <w:t>月，集中开展安全生产大检查和十大专项整治行动，具体分为四个阶段。</w:t>
      </w:r>
    </w:p>
    <w:p>
      <w:pPr>
        <w:spacing w:line="576" w:lineRule="exact"/>
        <w:ind w:firstLine="640" w:firstLineChars="200"/>
        <w:rPr>
          <w:rFonts w:ascii="仿宋_GB2312" w:eastAsia="仿宋_GB2312" w:cs="Times New Roman"/>
          <w:sz w:val="32"/>
          <w:szCs w:val="32"/>
        </w:rPr>
      </w:pPr>
      <w:r>
        <w:rPr>
          <w:rFonts w:hint="eastAsia" w:ascii="楷体_GB2312" w:hAnsi="Times New Roman" w:eastAsia="楷体_GB2312" w:cs="楷体_GB2312"/>
          <w:sz w:val="32"/>
          <w:szCs w:val="32"/>
        </w:rPr>
        <w:t>（一）全面部署阶段（</w:t>
      </w:r>
      <w:r>
        <w:rPr>
          <w:rFonts w:ascii="楷体_GB2312" w:hAnsi="Times New Roman" w:eastAsia="楷体_GB2312" w:cs="楷体_GB2312"/>
          <w:sz w:val="32"/>
          <w:szCs w:val="32"/>
        </w:rPr>
        <w:t>4</w:t>
      </w:r>
      <w:r>
        <w:rPr>
          <w:rFonts w:hint="eastAsia" w:ascii="楷体_GB2312" w:hAnsi="Times New Roman" w:eastAsia="楷体_GB2312" w:cs="楷体_GB2312"/>
          <w:sz w:val="32"/>
          <w:szCs w:val="32"/>
        </w:rPr>
        <w:t>月）</w:t>
      </w:r>
      <w:r>
        <w:rPr>
          <w:rFonts w:hint="eastAsia" w:ascii="仿宋_GB2312" w:hAnsi="Times New Roman" w:eastAsia="仿宋_GB2312" w:cs="仿宋_GB2312"/>
          <w:sz w:val="32"/>
          <w:szCs w:val="32"/>
        </w:rPr>
        <w:t>。</w:t>
      </w:r>
      <w:r>
        <w:rPr>
          <w:rFonts w:hint="eastAsia" w:ascii="仿宋_GB2312" w:eastAsia="仿宋_GB2312" w:cs="仿宋_GB2312"/>
          <w:sz w:val="32"/>
          <w:szCs w:val="32"/>
        </w:rPr>
        <w:t>按照本通知要求，及时制定切实可行的实施方案，明确大检查和十大专项整治行动的主要任务、重点内容和工作要求，落实责任、细化措施，层层动员部署，广泛宣传发动。</w:t>
      </w:r>
    </w:p>
    <w:p>
      <w:pPr>
        <w:spacing w:line="576" w:lineRule="exact"/>
        <w:ind w:firstLine="640" w:firstLineChars="200"/>
        <w:rPr>
          <w:rFonts w:ascii="仿宋_GB2312" w:eastAsia="仿宋_GB2312" w:cs="Times New Roman"/>
          <w:sz w:val="32"/>
          <w:szCs w:val="32"/>
        </w:rPr>
      </w:pPr>
      <w:r>
        <w:rPr>
          <w:rFonts w:hint="eastAsia" w:ascii="楷体_GB2312" w:hAnsi="Times New Roman" w:eastAsia="楷体_GB2312" w:cs="楷体_GB2312"/>
          <w:sz w:val="32"/>
          <w:szCs w:val="32"/>
        </w:rPr>
        <w:t>（二）隐患排查阶段（</w:t>
      </w:r>
      <w:r>
        <w:rPr>
          <w:rFonts w:ascii="楷体_GB2312" w:hAnsi="Times New Roman" w:eastAsia="楷体_GB2312" w:cs="楷体_GB2312"/>
          <w:sz w:val="32"/>
          <w:szCs w:val="32"/>
        </w:rPr>
        <w:t>5</w:t>
      </w:r>
      <w:r>
        <w:rPr>
          <w:rFonts w:hint="eastAsia" w:ascii="楷体_GB2312" w:hAnsi="Times New Roman" w:eastAsia="楷体_GB2312" w:cs="楷体_GB2312"/>
          <w:sz w:val="32"/>
          <w:szCs w:val="32"/>
        </w:rPr>
        <w:t>月至</w:t>
      </w:r>
      <w:r>
        <w:rPr>
          <w:rFonts w:ascii="楷体_GB2312" w:hAnsi="Times New Roman" w:eastAsia="楷体_GB2312" w:cs="楷体_GB2312"/>
          <w:sz w:val="32"/>
          <w:szCs w:val="32"/>
        </w:rPr>
        <w:t>7</w:t>
      </w:r>
      <w:r>
        <w:rPr>
          <w:rFonts w:hint="eastAsia" w:ascii="楷体_GB2312" w:hAnsi="Times New Roman" w:eastAsia="楷体_GB2312" w:cs="楷体_GB2312"/>
          <w:sz w:val="32"/>
          <w:szCs w:val="32"/>
        </w:rPr>
        <w:t>月）。</w:t>
      </w:r>
      <w:r>
        <w:rPr>
          <w:rFonts w:hint="eastAsia" w:ascii="仿宋_GB2312" w:eastAsia="仿宋_GB2312" w:cs="仿宋_GB2312"/>
          <w:sz w:val="32"/>
          <w:szCs w:val="32"/>
        </w:rPr>
        <w:t>按照大检查和十大专项整治行动的部署要求，组织力量，对照检查内容，深入开展隐患排查。各类企业要组织对生产经营建设全过程及每个部位、每个环节、每个岗位，全面排查安全风险点和隐患，制定风险防控措施，建立安全隐患清单和整改清单，落实安全隐患整改责任、措施、资金、时限、预案，彻底整改隐患。</w:t>
      </w:r>
    </w:p>
    <w:p>
      <w:pPr>
        <w:spacing w:line="576" w:lineRule="exact"/>
        <w:ind w:firstLine="640" w:firstLineChars="200"/>
        <w:rPr>
          <w:rFonts w:ascii="仿宋_GB2312" w:eastAsia="仿宋_GB2312" w:cs="Times New Roman"/>
          <w:sz w:val="32"/>
          <w:szCs w:val="32"/>
        </w:rPr>
      </w:pPr>
      <w:r>
        <w:rPr>
          <w:rFonts w:hint="eastAsia" w:ascii="楷体_GB2312" w:hAnsi="Times New Roman" w:eastAsia="楷体_GB2312" w:cs="楷体_GB2312"/>
          <w:sz w:val="32"/>
          <w:szCs w:val="32"/>
        </w:rPr>
        <w:t>（三）集中整治阶段（</w:t>
      </w:r>
      <w:r>
        <w:rPr>
          <w:rFonts w:ascii="楷体_GB2312" w:hAnsi="Times New Roman" w:eastAsia="楷体_GB2312" w:cs="楷体_GB2312"/>
          <w:sz w:val="32"/>
          <w:szCs w:val="32"/>
        </w:rPr>
        <w:t>8</w:t>
      </w:r>
      <w:r>
        <w:rPr>
          <w:rFonts w:hint="eastAsia" w:ascii="楷体_GB2312" w:hAnsi="Times New Roman" w:eastAsia="楷体_GB2312" w:cs="楷体_GB2312"/>
          <w:sz w:val="32"/>
          <w:szCs w:val="32"/>
        </w:rPr>
        <w:t>月至</w:t>
      </w:r>
      <w:r>
        <w:rPr>
          <w:rFonts w:ascii="楷体_GB2312" w:hAnsi="Times New Roman" w:eastAsia="楷体_GB2312" w:cs="楷体_GB2312"/>
          <w:sz w:val="32"/>
          <w:szCs w:val="32"/>
        </w:rPr>
        <w:t>10</w:t>
      </w:r>
      <w:r>
        <w:rPr>
          <w:rFonts w:hint="eastAsia" w:ascii="楷体_GB2312" w:hAnsi="Times New Roman" w:eastAsia="楷体_GB2312" w:cs="楷体_GB2312"/>
          <w:sz w:val="32"/>
          <w:szCs w:val="32"/>
        </w:rPr>
        <w:t>月）。</w:t>
      </w:r>
      <w:r>
        <w:rPr>
          <w:rFonts w:hint="eastAsia" w:ascii="仿宋_GB2312" w:eastAsia="仿宋_GB2312" w:cs="仿宋_GB2312"/>
          <w:sz w:val="32"/>
          <w:szCs w:val="32"/>
        </w:rPr>
        <w:t>结合实际，制定检查表，详细列明检查事项、具体内容和检查标准，在企业自查自改的基础上，组织检查组深入企业开展对表检查。对大检查和十大专项整治行动发现的每一项事故隐患，要严格落实整改责任，制定整改措施，立即整改。对重大事故隐患，要实行挂牌督办，确保整改到位。尤其要将企业反复性存在的隐患作为整改重点，倒查安全生产主体责任落实情况。对涉及多部门或跨地区的重大问题，要加强联合执法。加强警示教育和联合惩戒，集中曝光一批重大事故隐患和严重违法违规行为，公布一批实施联合惩戒和“黑名单”管理企业，公告一批依法关闭取缔的违法违规和不符合安全生产条件的企业。同时要加强中秋、国庆节前和节日期间明察暗访的频次、问题隐患的整治力度和应急值守工作。</w:t>
      </w:r>
    </w:p>
    <w:p>
      <w:pPr>
        <w:spacing w:line="576" w:lineRule="exact"/>
        <w:ind w:firstLine="640" w:firstLineChars="200"/>
        <w:rPr>
          <w:rFonts w:ascii="仿宋_GB2312" w:eastAsia="仿宋_GB2312" w:cs="Times New Roman"/>
          <w:sz w:val="32"/>
          <w:szCs w:val="32"/>
        </w:rPr>
      </w:pPr>
      <w:r>
        <w:rPr>
          <w:rFonts w:hint="eastAsia" w:ascii="楷体_GB2312" w:hAnsi="Times New Roman" w:eastAsia="楷体_GB2312" w:cs="楷体_GB2312"/>
          <w:sz w:val="32"/>
          <w:szCs w:val="32"/>
        </w:rPr>
        <w:t>（四）巩固提高阶段（</w:t>
      </w:r>
      <w:r>
        <w:rPr>
          <w:rFonts w:ascii="楷体_GB2312" w:hAnsi="Times New Roman" w:eastAsia="楷体_GB2312" w:cs="楷体_GB2312"/>
          <w:sz w:val="32"/>
          <w:szCs w:val="32"/>
        </w:rPr>
        <w:t>11</w:t>
      </w:r>
      <w:r>
        <w:rPr>
          <w:rFonts w:hint="eastAsia" w:ascii="楷体_GB2312" w:hAnsi="Times New Roman" w:eastAsia="楷体_GB2312" w:cs="楷体_GB2312"/>
          <w:sz w:val="32"/>
          <w:szCs w:val="32"/>
        </w:rPr>
        <w:t>月至</w:t>
      </w:r>
      <w:r>
        <w:rPr>
          <w:rFonts w:ascii="楷体_GB2312" w:hAnsi="Times New Roman" w:eastAsia="楷体_GB2312" w:cs="楷体_GB2312"/>
          <w:sz w:val="32"/>
          <w:szCs w:val="32"/>
        </w:rPr>
        <w:t>12</w:t>
      </w:r>
      <w:r>
        <w:rPr>
          <w:rFonts w:hint="eastAsia" w:ascii="楷体_GB2312" w:hAnsi="Times New Roman" w:eastAsia="楷体_GB2312" w:cs="楷体_GB2312"/>
          <w:sz w:val="32"/>
          <w:szCs w:val="32"/>
        </w:rPr>
        <w:t>月）。</w:t>
      </w:r>
      <w:r>
        <w:rPr>
          <w:rFonts w:hint="eastAsia" w:ascii="仿宋_GB2312" w:eastAsia="仿宋_GB2312" w:cs="仿宋_GB2312"/>
          <w:sz w:val="32"/>
          <w:szCs w:val="32"/>
        </w:rPr>
        <w:t>全面总结安全生产大检查和十大专项整治行动，针对监管工作中的不足和企业事故防范中的问题，围绕全面落实企业安全生产主体责任，以构建安全风险分级管控和隐患排查治理双重预防机制为重点，进一步强化事故防控工作，固化经验做法，形成长效机制。</w:t>
      </w:r>
    </w:p>
    <w:p>
      <w:pPr>
        <w:spacing w:line="576" w:lineRule="exact"/>
        <w:ind w:firstLine="640" w:firstLineChars="200"/>
        <w:rPr>
          <w:rFonts w:eastAsia="黑体" w:cs="Times New Roman"/>
          <w:sz w:val="32"/>
          <w:szCs w:val="32"/>
        </w:rPr>
      </w:pPr>
      <w:r>
        <w:rPr>
          <w:rFonts w:hint="eastAsia" w:eastAsia="黑体" w:cs="黑体"/>
          <w:sz w:val="32"/>
          <w:szCs w:val="32"/>
        </w:rPr>
        <w:t>四、工作要求</w:t>
      </w:r>
    </w:p>
    <w:p>
      <w:pPr>
        <w:spacing w:line="576" w:lineRule="exact"/>
        <w:ind w:firstLine="640" w:firstLineChars="200"/>
        <w:rPr>
          <w:rFonts w:ascii="仿宋_GB2312" w:eastAsia="仿宋_GB2312" w:cs="Times New Roman"/>
          <w:kern w:val="0"/>
          <w:sz w:val="32"/>
          <w:szCs w:val="32"/>
        </w:rPr>
      </w:pPr>
      <w:r>
        <w:rPr>
          <w:rFonts w:hint="eastAsia" w:ascii="楷体_GB2312" w:hAnsi="Times New Roman" w:eastAsia="楷体_GB2312" w:cs="楷体_GB2312"/>
          <w:sz w:val="32"/>
          <w:szCs w:val="32"/>
        </w:rPr>
        <w:t>（一）加强组织领导，周密安排部署。</w:t>
      </w:r>
      <w:r>
        <w:rPr>
          <w:rFonts w:hint="eastAsia" w:ascii="仿宋_GB2312" w:eastAsia="仿宋_GB2312" w:cs="仿宋_GB2312"/>
          <w:kern w:val="0"/>
          <w:sz w:val="32"/>
          <w:szCs w:val="32"/>
        </w:rPr>
        <w:t>本次安全生产大检查</w:t>
      </w:r>
      <w:r>
        <w:rPr>
          <w:rFonts w:hint="eastAsia" w:ascii="仿宋_GB2312" w:eastAsia="仿宋_GB2312" w:cs="仿宋_GB2312"/>
          <w:sz w:val="32"/>
          <w:szCs w:val="32"/>
        </w:rPr>
        <w:t>和十大专项整治行动</w:t>
      </w:r>
      <w:r>
        <w:rPr>
          <w:rFonts w:hint="eastAsia" w:ascii="仿宋_GB2312" w:eastAsia="仿宋_GB2312" w:cs="仿宋_GB2312"/>
          <w:kern w:val="0"/>
          <w:sz w:val="32"/>
          <w:szCs w:val="32"/>
        </w:rPr>
        <w:t>是省委省政府部署的一项重点工作任务，</w:t>
      </w:r>
      <w:r>
        <w:rPr>
          <w:rFonts w:hint="eastAsia" w:ascii="仿宋_GB2312" w:eastAsia="仿宋_GB2312" w:cs="仿宋_GB2312"/>
          <w:kern w:val="0"/>
          <w:sz w:val="32"/>
          <w:szCs w:val="32"/>
          <w:lang w:eastAsia="zh-CN"/>
        </w:rPr>
        <w:t>务必</w:t>
      </w:r>
      <w:r>
        <w:rPr>
          <w:rFonts w:hint="eastAsia" w:ascii="仿宋_GB2312" w:eastAsia="仿宋_GB2312" w:cs="仿宋_GB2312"/>
          <w:kern w:val="0"/>
          <w:sz w:val="32"/>
          <w:szCs w:val="32"/>
        </w:rPr>
        <w:t>高度重视，坚决把思想和行动统一到上级部署要求上来。要结合本地、本行业领域实际，认真制定工作细化实施方案，明确检查内容、检查时间、检查单位、检查责任和具体工作标准要求，逐级开展检查活动，做到主要领导亲自抓，分管领导具体负责，职能部门分头落实。对于部分行业领域前期已经展开的安全大检查和专项整治，要结合本方案部署安排的工作内容和时间节点，一并整合组织实施。</w:t>
      </w:r>
    </w:p>
    <w:p>
      <w:pPr>
        <w:spacing w:line="576" w:lineRule="exact"/>
        <w:ind w:firstLine="640" w:firstLineChars="200"/>
        <w:rPr>
          <w:rFonts w:ascii="仿宋_GB2312" w:eastAsia="仿宋_GB2312" w:cs="Times New Roman"/>
          <w:kern w:val="0"/>
          <w:sz w:val="32"/>
          <w:szCs w:val="32"/>
        </w:rPr>
      </w:pPr>
      <w:r>
        <w:rPr>
          <w:rFonts w:hint="eastAsia" w:ascii="楷体_GB2312" w:hAnsi="Times New Roman" w:eastAsia="楷体_GB2312" w:cs="楷体_GB2312"/>
          <w:sz w:val="32"/>
          <w:szCs w:val="32"/>
        </w:rPr>
        <w:t>（二）加强舆论宣传，引导社会参与。</w:t>
      </w:r>
      <w:r>
        <w:rPr>
          <w:rFonts w:hint="eastAsia" w:ascii="仿宋_GB2312" w:eastAsia="仿宋_GB2312" w:cs="仿宋_GB2312"/>
          <w:kern w:val="0"/>
          <w:sz w:val="32"/>
          <w:szCs w:val="32"/>
        </w:rPr>
        <w:t>要充分利用各种舆论宣传资源，对安全生产大检查</w:t>
      </w:r>
      <w:r>
        <w:rPr>
          <w:rFonts w:hint="eastAsia" w:ascii="仿宋_GB2312" w:eastAsia="仿宋_GB2312" w:cs="仿宋_GB2312"/>
          <w:sz w:val="32"/>
          <w:szCs w:val="32"/>
        </w:rPr>
        <w:t>和十大专项整治行动</w:t>
      </w:r>
      <w:r>
        <w:rPr>
          <w:rFonts w:hint="eastAsia" w:ascii="仿宋_GB2312" w:eastAsia="仿宋_GB2312" w:cs="仿宋_GB2312"/>
          <w:kern w:val="0"/>
          <w:sz w:val="32"/>
          <w:szCs w:val="32"/>
        </w:rPr>
        <w:t>进行广泛宣传发动。要充分发挥舆论监督和群众监督的作用，及时纠正安全生产违法违规问题，及时组织报道先进典型和经验。对安全检查走过场、隐患排查治理不力的，要予以公开曝光。要及时编发简报专刊，反映情况、交流经验。</w:t>
      </w:r>
    </w:p>
    <w:p>
      <w:pPr>
        <w:spacing w:line="576" w:lineRule="exact"/>
        <w:ind w:firstLine="640" w:firstLineChars="200"/>
        <w:rPr>
          <w:rFonts w:ascii="仿宋_GB2312" w:eastAsia="仿宋_GB2312" w:cs="Times New Roman"/>
          <w:kern w:val="0"/>
          <w:sz w:val="32"/>
          <w:szCs w:val="32"/>
        </w:rPr>
      </w:pPr>
      <w:r>
        <w:rPr>
          <w:rFonts w:hint="eastAsia" w:ascii="楷体_GB2312" w:hAnsi="Times New Roman" w:eastAsia="楷体_GB2312" w:cs="楷体_GB2312"/>
          <w:sz w:val="32"/>
          <w:szCs w:val="32"/>
        </w:rPr>
        <w:t>（三）敢于动真碰硬，务求工作实效。</w:t>
      </w:r>
      <w:r>
        <w:rPr>
          <w:rFonts w:hint="eastAsia" w:ascii="仿宋_GB2312" w:eastAsia="仿宋_GB2312" w:cs="仿宋_GB2312"/>
          <w:kern w:val="0"/>
          <w:sz w:val="32"/>
          <w:szCs w:val="32"/>
        </w:rPr>
        <w:t>安全大检查</w:t>
      </w:r>
      <w:r>
        <w:rPr>
          <w:rFonts w:hint="eastAsia" w:ascii="仿宋_GB2312" w:eastAsia="仿宋_GB2312" w:cs="仿宋_GB2312"/>
          <w:sz w:val="32"/>
          <w:szCs w:val="32"/>
        </w:rPr>
        <w:t>和十大专项整治行动</w:t>
      </w:r>
      <w:r>
        <w:rPr>
          <w:rFonts w:hint="eastAsia" w:ascii="仿宋_GB2312" w:eastAsia="仿宋_GB2312" w:cs="仿宋_GB2312"/>
          <w:kern w:val="0"/>
          <w:sz w:val="32"/>
          <w:szCs w:val="32"/>
        </w:rPr>
        <w:t>要坚持问题导向，重在发现问题，整改问题。从即时起要认真查找安全隐患，即时整改。切实做到不留死角、不留盲区、不走过场，以更加</w:t>
      </w:r>
      <w:r>
        <w:rPr>
          <w:rFonts w:hint="eastAsia" w:ascii="仿宋_GB2312" w:eastAsia="仿宋_GB2312" w:cs="仿宋_GB2312"/>
          <w:sz w:val="32"/>
          <w:szCs w:val="32"/>
        </w:rPr>
        <w:t>“</w:t>
      </w:r>
      <w:r>
        <w:rPr>
          <w:rFonts w:hint="eastAsia" w:ascii="仿宋_GB2312" w:eastAsia="仿宋_GB2312" w:cs="仿宋_GB2312"/>
          <w:kern w:val="0"/>
          <w:sz w:val="32"/>
          <w:szCs w:val="32"/>
        </w:rPr>
        <w:t>严细实”的作风，以对隐患和问题</w:t>
      </w:r>
      <w:r>
        <w:rPr>
          <w:rFonts w:hint="eastAsia" w:ascii="仿宋_GB2312" w:eastAsia="仿宋_GB2312" w:cs="仿宋_GB2312"/>
          <w:sz w:val="32"/>
          <w:szCs w:val="32"/>
        </w:rPr>
        <w:t>“</w:t>
      </w:r>
      <w:r>
        <w:rPr>
          <w:rFonts w:hint="eastAsia" w:ascii="仿宋_GB2312" w:eastAsia="仿宋_GB2312" w:cs="仿宋_GB2312"/>
          <w:kern w:val="0"/>
          <w:sz w:val="32"/>
          <w:szCs w:val="32"/>
        </w:rPr>
        <w:t>零容忍”的态度，敢抓敢管，忠实履行职责，带头深入基层、深入现场，督促指导，狠抓落实，确保大检查</w:t>
      </w:r>
      <w:r>
        <w:rPr>
          <w:rFonts w:hint="eastAsia" w:ascii="仿宋_GB2312" w:eastAsia="仿宋_GB2312" w:cs="仿宋_GB2312"/>
          <w:sz w:val="32"/>
          <w:szCs w:val="32"/>
        </w:rPr>
        <w:t>和十大专项整治行动</w:t>
      </w:r>
      <w:r>
        <w:rPr>
          <w:rFonts w:hint="eastAsia" w:ascii="仿宋_GB2312" w:eastAsia="仿宋_GB2312" w:cs="仿宋_GB2312"/>
          <w:kern w:val="0"/>
          <w:sz w:val="32"/>
          <w:szCs w:val="32"/>
        </w:rPr>
        <w:t>取得实效。</w:t>
      </w:r>
    </w:p>
    <w:p>
      <w:pPr>
        <w:spacing w:line="576" w:lineRule="exact"/>
        <w:ind w:firstLine="640" w:firstLineChars="200"/>
        <w:rPr>
          <w:rFonts w:ascii="仿宋_GB2312" w:eastAsia="仿宋_GB2312" w:cs="Times New Roman"/>
          <w:sz w:val="32"/>
          <w:szCs w:val="32"/>
        </w:rPr>
      </w:pPr>
      <w:r>
        <w:rPr>
          <w:rFonts w:hint="eastAsia" w:ascii="楷体_GB2312" w:hAnsi="Times New Roman" w:eastAsia="楷体_GB2312" w:cs="楷体_GB2312"/>
          <w:sz w:val="32"/>
          <w:szCs w:val="32"/>
        </w:rPr>
        <w:t>（四）注重总结提高，构建长效机制。</w:t>
      </w:r>
      <w:r>
        <w:rPr>
          <w:rFonts w:hint="eastAsia" w:ascii="仿宋_GB2312" w:eastAsia="仿宋_GB2312" w:cs="仿宋_GB2312"/>
          <w:sz w:val="32"/>
          <w:szCs w:val="32"/>
        </w:rPr>
        <w:t>要坚持属地为主与行业督导相结合，企业自查自纠与政府督查相结合，全面排查与重点整治相结合，监督检查与联合执法相结合，通过突击检查、明查暗访、随机抽查、回头检查、交叉检查等多种方式，深入开展大检查和十大专项整治行动。对大检查和十大专项整治行动中出现的突出问题，要进一步研究对策，细化工作措施，做到打击一处、整治一处、巩固一处，对大检查和十大整治专项行动中行之有效的方法、措施，要上升为制度规范，提升安全监管水平科学化、规范化。</w:t>
      </w:r>
    </w:p>
    <w:p>
      <w:pPr>
        <w:spacing w:line="576" w:lineRule="exact"/>
        <w:ind w:firstLine="640" w:firstLineChars="200"/>
        <w:rPr>
          <w:rFonts w:ascii="仿宋_GB2312" w:eastAsia="仿宋_GB2312" w:cs="Times New Roman"/>
          <w:sz w:val="32"/>
          <w:szCs w:val="32"/>
        </w:rPr>
      </w:pPr>
      <w:r>
        <w:rPr>
          <w:rFonts w:hint="eastAsia" w:ascii="楷体_GB2312" w:hAnsi="Times New Roman" w:eastAsia="楷体_GB2312" w:cs="楷体_GB2312"/>
          <w:sz w:val="32"/>
          <w:szCs w:val="32"/>
        </w:rPr>
        <w:t>（五）强化监督考核，严肃责任追究</w:t>
      </w:r>
      <w:r>
        <w:rPr>
          <w:rFonts w:hint="eastAsia" w:ascii="楷体_GB2312" w:eastAsia="楷体_GB2312" w:cs="楷体_GB2312"/>
          <w:sz w:val="32"/>
          <w:szCs w:val="32"/>
        </w:rPr>
        <w:t>。</w:t>
      </w:r>
      <w:r>
        <w:rPr>
          <w:rFonts w:hint="eastAsia" w:ascii="仿宋_GB2312" w:eastAsia="仿宋_GB2312" w:cs="仿宋_GB2312"/>
          <w:sz w:val="32"/>
          <w:szCs w:val="32"/>
        </w:rPr>
        <w:t>对于本次安全生产大检查和十项专项整治行动，</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安委会将适时组织开展综合督查（综合督查方案另行制定），综合督查结果将纳入年度考核内容并在全</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范围内进行通报。</w:t>
      </w:r>
      <w:r>
        <w:rPr>
          <w:rFonts w:hint="eastAsia" w:ascii="仿宋_GB2312" w:eastAsia="仿宋_GB2312" w:cs="仿宋_GB2312"/>
          <w:sz w:val="32"/>
          <w:szCs w:val="32"/>
        </w:rPr>
        <w:t>对大检查和十大专项整治行动推进迟缓、工作不积极、态度不认真、隐患整治不彻底，大检查和十大专项整治行动责任不落实、组织不得力、执法不严格的地区、部门和单位，要严肃提出批评，督促整改，确保大检查和十大专项整治行动不走过场。因责任和措施落实不到位导致事故发生的，依法严惩。</w:t>
      </w:r>
    </w:p>
    <w:p>
      <w:pPr>
        <w:spacing w:line="576" w:lineRule="exact"/>
        <w:ind w:firstLine="640" w:firstLineChars="200"/>
        <w:rPr>
          <w:rFonts w:hint="eastAsia" w:ascii="仿宋_GB2312" w:eastAsia="仿宋_GB2312" w:cs="仿宋_GB2312"/>
          <w:sz w:val="32"/>
          <w:szCs w:val="32"/>
        </w:rPr>
      </w:pPr>
      <w:r>
        <w:rPr>
          <w:rFonts w:hint="eastAsia" w:ascii="楷体_GB2312" w:hAnsi="Times New Roman" w:eastAsia="楷体_GB2312" w:cs="楷体_GB2312"/>
          <w:sz w:val="32"/>
          <w:szCs w:val="32"/>
        </w:rPr>
        <w:t>（六）加强调度统计，做好信息报送</w:t>
      </w:r>
      <w:r>
        <w:rPr>
          <w:rFonts w:hint="eastAsia" w:ascii="仿宋_GB2312" w:hAnsi="Times New Roman" w:eastAsia="仿宋_GB2312" w:cs="仿宋_GB2312"/>
          <w:sz w:val="32"/>
          <w:szCs w:val="32"/>
        </w:rPr>
        <w:t>。</w:t>
      </w:r>
      <w:r>
        <w:rPr>
          <w:rFonts w:hint="eastAsia" w:ascii="仿宋_GB2312" w:eastAsia="仿宋_GB2312" w:cs="仿宋_GB2312"/>
          <w:kern w:val="0"/>
          <w:sz w:val="32"/>
          <w:szCs w:val="32"/>
        </w:rPr>
        <w:t>在</w:t>
      </w:r>
      <w:r>
        <w:rPr>
          <w:rFonts w:hint="eastAsia" w:ascii="仿宋_GB2312" w:eastAsia="仿宋_GB2312" w:cs="仿宋_GB2312"/>
          <w:sz w:val="32"/>
          <w:szCs w:val="32"/>
        </w:rPr>
        <w:t>大检查和十大专项整治行动中，要加强信息交流、调度统计和总结报告。</w:t>
      </w:r>
      <w:r>
        <w:rPr>
          <w:rFonts w:hint="eastAsia" w:ascii="仿宋_GB2312" w:eastAsia="仿宋_GB2312" w:cs="仿宋_GB2312"/>
          <w:kern w:val="0"/>
          <w:sz w:val="32"/>
          <w:szCs w:val="32"/>
        </w:rPr>
        <w:t>各</w:t>
      </w:r>
      <w:r>
        <w:rPr>
          <w:rFonts w:hint="eastAsia" w:ascii="仿宋_GB2312" w:eastAsia="仿宋_GB2312" w:cs="仿宋_GB2312"/>
          <w:kern w:val="0"/>
          <w:sz w:val="32"/>
          <w:szCs w:val="32"/>
          <w:lang w:eastAsia="zh-CN"/>
        </w:rPr>
        <w:t>乡镇、</w:t>
      </w:r>
      <w:r>
        <w:rPr>
          <w:rFonts w:hint="eastAsia" w:ascii="仿宋_GB2312" w:eastAsia="仿宋_GB2312" w:cs="仿宋_GB2312"/>
          <w:kern w:val="0"/>
          <w:sz w:val="32"/>
          <w:szCs w:val="32"/>
        </w:rPr>
        <w:t>专项整治的</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级牵头部门（专项整治中排位第一的</w:t>
      </w:r>
      <w:r>
        <w:rPr>
          <w:rFonts w:hint="eastAsia" w:ascii="仿宋_GB2312" w:eastAsia="仿宋_GB2312" w:cs="仿宋_GB2312"/>
          <w:kern w:val="0"/>
          <w:sz w:val="32"/>
          <w:szCs w:val="32"/>
          <w:lang w:eastAsia="zh-CN"/>
        </w:rPr>
        <w:t>区</w:t>
      </w:r>
      <w:r>
        <w:rPr>
          <w:rFonts w:hint="eastAsia" w:ascii="仿宋_GB2312" w:eastAsia="仿宋_GB2312" w:cs="仿宋_GB2312"/>
          <w:kern w:val="0"/>
          <w:sz w:val="32"/>
          <w:szCs w:val="32"/>
        </w:rPr>
        <w:t>级部门）</w:t>
      </w:r>
      <w:r>
        <w:rPr>
          <w:rFonts w:hint="eastAsia" w:ascii="仿宋_GB2312" w:eastAsia="仿宋_GB2312" w:cs="仿宋_GB2312"/>
          <w:sz w:val="32"/>
          <w:szCs w:val="32"/>
        </w:rPr>
        <w:t>于</w:t>
      </w: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kern w:val="0"/>
          <w:sz w:val="32"/>
          <w:szCs w:val="32"/>
        </w:rPr>
        <w:t>4</w:t>
      </w:r>
      <w:r>
        <w:rPr>
          <w:rFonts w:hint="eastAsia" w:ascii="仿宋_GB2312" w:eastAsia="仿宋_GB2312" w:cs="仿宋_GB2312"/>
          <w:kern w:val="0"/>
          <w:sz w:val="32"/>
          <w:szCs w:val="32"/>
        </w:rPr>
        <w:t>月</w:t>
      </w:r>
      <w:r>
        <w:rPr>
          <w:rFonts w:ascii="仿宋_GB2312" w:eastAsia="仿宋_GB2312" w:cs="仿宋_GB2312"/>
          <w:kern w:val="0"/>
          <w:sz w:val="32"/>
          <w:szCs w:val="32"/>
        </w:rPr>
        <w:t>19</w:t>
      </w:r>
      <w:r>
        <w:rPr>
          <w:rFonts w:hint="eastAsia" w:ascii="仿宋_GB2312" w:eastAsia="仿宋_GB2312" w:cs="仿宋_GB2312"/>
          <w:kern w:val="0"/>
          <w:sz w:val="32"/>
          <w:szCs w:val="32"/>
        </w:rPr>
        <w:t>日前报送大检查</w:t>
      </w:r>
      <w:r>
        <w:rPr>
          <w:rFonts w:hint="eastAsia" w:ascii="仿宋_GB2312" w:eastAsia="仿宋_GB2312" w:cs="仿宋_GB2312"/>
          <w:sz w:val="32"/>
          <w:szCs w:val="32"/>
        </w:rPr>
        <w:t>和十大专项整治行动</w:t>
      </w:r>
      <w:r>
        <w:rPr>
          <w:rFonts w:hint="eastAsia" w:ascii="仿宋_GB2312" w:eastAsia="仿宋_GB2312" w:cs="仿宋_GB2312"/>
          <w:kern w:val="0"/>
          <w:sz w:val="32"/>
          <w:szCs w:val="32"/>
        </w:rPr>
        <w:t>工作方案；从</w:t>
      </w:r>
      <w:r>
        <w:rPr>
          <w:rFonts w:ascii="仿宋_GB2312" w:eastAsia="仿宋_GB2312" w:cs="仿宋_GB2312"/>
          <w:kern w:val="0"/>
          <w:sz w:val="32"/>
          <w:szCs w:val="32"/>
        </w:rPr>
        <w:t>5</w:t>
      </w:r>
      <w:r>
        <w:rPr>
          <w:rFonts w:hint="eastAsia" w:ascii="仿宋_GB2312" w:eastAsia="仿宋_GB2312" w:cs="仿宋_GB2312"/>
          <w:kern w:val="0"/>
          <w:sz w:val="32"/>
          <w:szCs w:val="32"/>
        </w:rPr>
        <w:t>月开始，于</w:t>
      </w:r>
      <w:r>
        <w:rPr>
          <w:rFonts w:hint="eastAsia" w:ascii="仿宋_GB2312" w:eastAsia="仿宋_GB2312" w:cs="仿宋_GB2312"/>
          <w:sz w:val="32"/>
          <w:szCs w:val="32"/>
        </w:rPr>
        <w:t>每月</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日前报送上月度工作情况小结、《安全生产大检查和十大专项整治行动情况统计表》（附件</w:t>
      </w:r>
      <w:r>
        <w:rPr>
          <w:rFonts w:ascii="仿宋_GB2312" w:eastAsia="仿宋_GB2312" w:cs="仿宋_GB2312"/>
          <w:sz w:val="32"/>
          <w:szCs w:val="32"/>
        </w:rPr>
        <w:t>1</w:t>
      </w:r>
      <w:r>
        <w:rPr>
          <w:rFonts w:hint="eastAsia" w:ascii="仿宋_GB2312" w:eastAsia="仿宋_GB2312" w:cs="仿宋_GB2312"/>
          <w:sz w:val="32"/>
          <w:szCs w:val="32"/>
        </w:rPr>
        <w:t>）和《安全生产大检查和十大专项整治行动情况明细表》（附件</w:t>
      </w:r>
      <w:r>
        <w:rPr>
          <w:rFonts w:ascii="仿宋_GB2312" w:eastAsia="仿宋_GB2312" w:cs="仿宋_GB2312"/>
          <w:sz w:val="32"/>
          <w:szCs w:val="32"/>
        </w:rPr>
        <w:t>2</w:t>
      </w:r>
      <w:r>
        <w:rPr>
          <w:rFonts w:hint="eastAsia" w:ascii="仿宋_GB2312" w:eastAsia="仿宋_GB2312" w:cs="仿宋_GB2312"/>
          <w:sz w:val="32"/>
          <w:szCs w:val="32"/>
        </w:rPr>
        <w:t>）；</w:t>
      </w:r>
      <w:r>
        <w:rPr>
          <w:rFonts w:hint="eastAsia" w:ascii="仿宋_GB2312" w:eastAsia="仿宋_GB2312" w:cs="仿宋_GB2312"/>
          <w:kern w:val="0"/>
          <w:sz w:val="32"/>
          <w:szCs w:val="32"/>
        </w:rPr>
        <w:t>于</w:t>
      </w:r>
      <w:r>
        <w:rPr>
          <w:rFonts w:ascii="仿宋_GB2312" w:eastAsia="仿宋_GB2312" w:cs="仿宋_GB2312"/>
          <w:kern w:val="0"/>
          <w:sz w:val="32"/>
          <w:szCs w:val="32"/>
        </w:rPr>
        <w:t>2019</w:t>
      </w:r>
      <w:r>
        <w:rPr>
          <w:rFonts w:hint="eastAsia" w:ascii="仿宋_GB2312" w:eastAsia="仿宋_GB2312" w:cs="仿宋_GB2312"/>
          <w:kern w:val="0"/>
          <w:sz w:val="32"/>
          <w:szCs w:val="32"/>
        </w:rPr>
        <w:t>年</w:t>
      </w:r>
      <w:r>
        <w:rPr>
          <w:rFonts w:ascii="仿宋_GB2312" w:eastAsia="仿宋_GB2312" w:cs="仿宋_GB2312"/>
          <w:kern w:val="0"/>
          <w:sz w:val="32"/>
          <w:szCs w:val="32"/>
        </w:rPr>
        <w:t>12</w:t>
      </w:r>
      <w:r>
        <w:rPr>
          <w:rFonts w:hint="eastAsia" w:ascii="仿宋_GB2312" w:eastAsia="仿宋_GB2312" w:cs="仿宋_GB2312"/>
          <w:kern w:val="0"/>
          <w:sz w:val="32"/>
          <w:szCs w:val="32"/>
        </w:rPr>
        <w:t>月</w:t>
      </w:r>
      <w:r>
        <w:rPr>
          <w:rFonts w:ascii="仿宋_GB2312" w:eastAsia="仿宋_GB2312" w:cs="仿宋_GB2312"/>
          <w:kern w:val="0"/>
          <w:sz w:val="32"/>
          <w:szCs w:val="32"/>
        </w:rPr>
        <w:t>1</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日前报送大检查</w:t>
      </w:r>
      <w:r>
        <w:rPr>
          <w:rFonts w:hint="eastAsia" w:ascii="仿宋_GB2312" w:eastAsia="仿宋_GB2312" w:cs="仿宋_GB2312"/>
          <w:sz w:val="32"/>
          <w:szCs w:val="32"/>
        </w:rPr>
        <w:t>和十大专项整治行动</w:t>
      </w:r>
      <w:r>
        <w:rPr>
          <w:rFonts w:hint="eastAsia" w:ascii="仿宋_GB2312" w:eastAsia="仿宋_GB2312" w:cs="仿宋_GB2312"/>
          <w:kern w:val="0"/>
          <w:sz w:val="32"/>
          <w:szCs w:val="32"/>
        </w:rPr>
        <w:t>总结报告。</w:t>
      </w:r>
      <w:r>
        <w:rPr>
          <w:rFonts w:hint="eastAsia" w:ascii="仿宋_GB2312" w:eastAsia="仿宋_GB2312" w:cs="仿宋_GB2312"/>
          <w:sz w:val="32"/>
          <w:szCs w:val="32"/>
        </w:rPr>
        <w:t>报送的资料须内容真实、文字精炼、数据准确，月度工作情况小结、大检查和十大专项整治行动总结报告应包括工作开展情况、存在的主要问题及下步工作措施建议等。</w:t>
      </w:r>
    </w:p>
    <w:p>
      <w:pPr>
        <w:spacing w:line="576" w:lineRule="exact"/>
        <w:ind w:firstLine="640" w:firstLineChars="200"/>
        <w:rPr>
          <w:rFonts w:ascii="仿宋_GB2312" w:eastAsia="仿宋_GB2312" w:cs="Times New Roman"/>
          <w:kern w:val="0"/>
          <w:sz w:val="32"/>
          <w:szCs w:val="32"/>
        </w:rPr>
      </w:pPr>
      <w:r>
        <w:rPr>
          <w:rFonts w:hint="eastAsia" w:ascii="仿宋_GB2312" w:eastAsia="仿宋_GB2312" w:cs="仿宋_GB2312"/>
          <w:sz w:val="32"/>
          <w:szCs w:val="32"/>
        </w:rPr>
        <w:t>联系人：</w:t>
      </w:r>
      <w:r>
        <w:rPr>
          <w:rFonts w:hint="eastAsia" w:ascii="仿宋_GB2312" w:eastAsia="仿宋_GB2312" w:cs="仿宋_GB2312"/>
          <w:sz w:val="32"/>
          <w:szCs w:val="32"/>
          <w:lang w:eastAsia="zh-CN"/>
        </w:rPr>
        <w:t>杨开胜</w:t>
      </w:r>
      <w:r>
        <w:rPr>
          <w:rFonts w:hint="eastAsia" w:ascii="仿宋_GB2312" w:eastAsia="仿宋_GB2312" w:cs="仿宋_GB2312"/>
          <w:kern w:val="0"/>
          <w:sz w:val="32"/>
          <w:szCs w:val="32"/>
        </w:rPr>
        <w:t>，联系电话：</w:t>
      </w:r>
      <w:r>
        <w:rPr>
          <w:rFonts w:hint="eastAsia" w:ascii="仿宋_GB2312" w:eastAsia="仿宋_GB2312" w:cs="仿宋_GB2312"/>
          <w:kern w:val="0"/>
          <w:sz w:val="32"/>
          <w:szCs w:val="32"/>
          <w:lang w:val="en-US" w:eastAsia="zh-CN"/>
        </w:rPr>
        <w:t>8724147</w:t>
      </w:r>
      <w:r>
        <w:rPr>
          <w:rFonts w:hint="eastAsia" w:ascii="仿宋_GB2312" w:eastAsia="仿宋_GB2312" w:cs="仿宋_GB2312"/>
          <w:kern w:val="0"/>
          <w:sz w:val="32"/>
          <w:szCs w:val="32"/>
        </w:rPr>
        <w:t>。</w:t>
      </w:r>
    </w:p>
    <w:p>
      <w:pPr>
        <w:spacing w:line="576" w:lineRule="exact"/>
        <w:ind w:firstLine="640" w:firstLineChars="200"/>
        <w:rPr>
          <w:rFonts w:ascii="仿宋_GB2312" w:eastAsia="仿宋_GB2312" w:cs="Times New Roman"/>
          <w:kern w:val="0"/>
          <w:sz w:val="32"/>
          <w:szCs w:val="32"/>
        </w:rPr>
      </w:pPr>
    </w:p>
    <w:p>
      <w:pPr>
        <w:spacing w:line="576"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安全生产大检查和十大专项整治行动情况统计表</w:t>
      </w:r>
    </w:p>
    <w:p>
      <w:pPr>
        <w:spacing w:line="576" w:lineRule="exact"/>
        <w:ind w:firstLine="1440" w:firstLineChars="45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安全生产大检查和十大专项整治行动情况明细表</w:t>
      </w:r>
    </w:p>
    <w:p>
      <w:pPr>
        <w:spacing w:line="576" w:lineRule="exact"/>
        <w:ind w:firstLine="640" w:firstLineChars="200"/>
        <w:rPr>
          <w:rFonts w:ascii="仿宋_GB2312" w:eastAsia="仿宋_GB2312" w:cs="Times New Roman"/>
          <w:sz w:val="32"/>
          <w:szCs w:val="32"/>
        </w:rPr>
      </w:pPr>
    </w:p>
    <w:p>
      <w:pPr>
        <w:spacing w:line="576" w:lineRule="exact"/>
        <w:rPr>
          <w:rFonts w:eastAsia="仿宋"/>
          <w:sz w:val="32"/>
          <w:szCs w:val="32"/>
        </w:rPr>
      </w:pPr>
      <w:r>
        <w:rPr>
          <w:rFonts w:eastAsia="仿宋"/>
          <w:sz w:val="32"/>
          <w:szCs w:val="32"/>
        </w:rPr>
        <w:t xml:space="preserve">    </w:t>
      </w:r>
    </w:p>
    <w:p>
      <w:pPr>
        <w:spacing w:line="576" w:lineRule="exact"/>
        <w:ind w:firstLine="640" w:firstLineChars="200"/>
        <w:rPr>
          <w:rFonts w:eastAsia="仿宋" w:cs="Times New Roman"/>
          <w:sz w:val="32"/>
          <w:szCs w:val="32"/>
        </w:rPr>
      </w:pPr>
    </w:p>
    <w:p>
      <w:pPr>
        <w:spacing w:line="576" w:lineRule="exact"/>
        <w:rPr>
          <w:rFonts w:eastAsia="仿宋" w:cs="Times New Roman"/>
          <w:sz w:val="32"/>
          <w:szCs w:val="32"/>
        </w:rPr>
      </w:pPr>
    </w:p>
    <w:p>
      <w:pPr>
        <w:spacing w:line="400" w:lineRule="exact"/>
        <w:ind w:left="516" w:leftChars="134" w:hanging="235" w:hangingChars="112"/>
        <w:rPr>
          <w:rFonts w:ascii="仿宋_GB2312" w:eastAsia="仿宋_GB2312" w:cs="Times New Roman"/>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308610</wp:posOffset>
                </wp:positionV>
                <wp:extent cx="5532120" cy="0"/>
                <wp:effectExtent l="0" t="0" r="0" b="0"/>
                <wp:wrapNone/>
                <wp:docPr id="1" name="直线 2"/>
                <wp:cNvGraphicFramePr/>
                <a:graphic xmlns:a="http://schemas.openxmlformats.org/drawingml/2006/main">
                  <a:graphicData uri="http://schemas.microsoft.com/office/word/2010/wordprocessingShape">
                    <wps:wsp>
                      <wps:cNvCnPr/>
                      <wps:spPr>
                        <a:xfrm>
                          <a:off x="0" y="0"/>
                          <a:ext cx="55321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24.3pt;height:0pt;width:435.6pt;z-index:251658240;mso-width-relative:page;mso-height-relative:page;" filled="f" stroked="t" coordsize="21600,21600" o:gfxdata="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hhLZk1QAAAAYBAAAPAAAAAAAAAAEAIAAAACIAAABkcnMv&#10;ZG93bnJldi54bWxQSwECFAAUAAAACACHTuJAvm75W80BAACNAwAADgAAAAAAAAABACAAAAAkAQAA&#10;ZHJzL2Uyb0RvYy54bWxQSwUGAAAAAAYABgBZAQAAY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5532120" cy="0"/>
                <wp:effectExtent l="0" t="0" r="0" b="0"/>
                <wp:wrapNone/>
                <wp:docPr id="2" name="直线 3"/>
                <wp:cNvGraphicFramePr/>
                <a:graphic xmlns:a="http://schemas.openxmlformats.org/drawingml/2006/main">
                  <a:graphicData uri="http://schemas.microsoft.com/office/word/2010/wordprocessingShape">
                    <wps:wsp>
                      <wps:cNvCnPr/>
                      <wps:spPr>
                        <a:xfrm>
                          <a:off x="0" y="0"/>
                          <a:ext cx="55321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4pt;height:0pt;width:435.6pt;z-index:251659264;mso-width-relative:page;mso-height-relative:page;" filled="f" stroked="t" coordsize="21600,21600" o:gfxdata="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8uCibRAAAAAgEAAA8AAAAAAAAAAQAgAAAAIgAAAGRycy9kb3du&#10;cmV2LnhtbFBLAQIUABQAAAAIAIdO4kBZhxDIzQEAAI0DAAAOAAAAAAAAAAEAIAAAACABAABkcnMv&#10;ZTJvRG9jLnhtbFBLBQYAAAAABgAGAFkBAABfBQAAAAA=&#10;">
                <v:fill on="f" focussize="0,0"/>
                <v:stroke color="#000000" joinstyle="round"/>
                <v:imagedata o:title=""/>
                <o:lock v:ext="edit" aspectratio="f"/>
              </v:line>
            </w:pict>
          </mc:Fallback>
        </mc:AlternateContent>
      </w:r>
      <w:r>
        <w:rPr>
          <w:rFonts w:hint="eastAsia" w:ascii="仿宋_GB2312" w:eastAsia="仿宋_GB2312" w:cs="仿宋_GB2312"/>
          <w:sz w:val="28"/>
          <w:szCs w:val="28"/>
        </w:rPr>
        <w:t>广元市</w:t>
      </w:r>
      <w:r>
        <w:rPr>
          <w:rFonts w:hint="eastAsia" w:ascii="仿宋_GB2312" w:eastAsia="仿宋_GB2312" w:cs="仿宋_GB2312"/>
          <w:sz w:val="28"/>
          <w:szCs w:val="28"/>
          <w:lang w:eastAsia="zh-CN"/>
        </w:rPr>
        <w:t>昭化区安委会</w:t>
      </w:r>
      <w:r>
        <w:rPr>
          <w:rFonts w:hint="eastAsia" w:ascii="仿宋_GB2312" w:eastAsia="仿宋_GB2312" w:cs="仿宋_GB2312"/>
          <w:sz w:val="28"/>
          <w:szCs w:val="28"/>
        </w:rPr>
        <w:t>办公室</w:t>
      </w:r>
      <w:r>
        <w:rPr>
          <w:rFonts w:ascii="仿宋_GB2312" w:eastAsia="仿宋_GB2312" w:cs="仿宋_GB2312"/>
          <w:sz w:val="28"/>
          <w:szCs w:val="28"/>
        </w:rPr>
        <w:t xml:space="preserve">           2019</w:t>
      </w:r>
      <w:r>
        <w:rPr>
          <w:rFonts w:hint="eastAsia" w:ascii="仿宋_GB2312" w:eastAsia="仿宋_GB2312" w:cs="仿宋_GB2312"/>
          <w:sz w:val="28"/>
          <w:szCs w:val="28"/>
        </w:rPr>
        <w:t>年</w:t>
      </w:r>
      <w:r>
        <w:rPr>
          <w:rFonts w:ascii="仿宋_GB2312" w:eastAsia="仿宋_GB2312" w:cs="仿宋_GB2312"/>
          <w:sz w:val="28"/>
          <w:szCs w:val="28"/>
        </w:rPr>
        <w:t>4</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17</w:t>
      </w:r>
      <w:r>
        <w:rPr>
          <w:rFonts w:hint="eastAsia" w:ascii="仿宋_GB2312" w:eastAsia="仿宋_GB2312" w:cs="仿宋_GB2312"/>
          <w:sz w:val="28"/>
          <w:szCs w:val="28"/>
        </w:rPr>
        <w:t>日</w:t>
      </w:r>
      <w:r>
        <w:rPr>
          <w:rFonts w:ascii="仿宋_GB2312" w:eastAsia="仿宋_GB2312" w:cs="仿宋_GB2312"/>
          <w:sz w:val="28"/>
          <w:szCs w:val="28"/>
        </w:rPr>
        <w:t xml:space="preserve">  </w:t>
      </w:r>
      <w:r>
        <w:rPr>
          <w:rFonts w:hint="eastAsia" w:ascii="仿宋_GB2312" w:eastAsia="仿宋_GB2312" w:cs="仿宋_GB2312"/>
          <w:sz w:val="28"/>
          <w:szCs w:val="28"/>
        </w:rPr>
        <w:t>印发</w:t>
      </w:r>
    </w:p>
    <w:p>
      <w:pPr>
        <w:spacing w:line="576" w:lineRule="exact"/>
        <w:rPr>
          <w:rFonts w:eastAsia="仿宋" w:cs="Times New Roman"/>
          <w:sz w:val="32"/>
          <w:szCs w:val="32"/>
        </w:rPr>
        <w:sectPr>
          <w:footerReference r:id="rId3" w:type="default"/>
          <w:footerReference r:id="rId4" w:type="even"/>
          <w:pgSz w:w="11906" w:h="16838"/>
          <w:pgMar w:top="2098" w:right="1474" w:bottom="1985" w:left="1588" w:header="851" w:footer="1531" w:gutter="0"/>
          <w:cols w:space="720" w:num="1"/>
          <w:docGrid w:linePitch="582" w:charSpace="-886"/>
        </w:sectPr>
      </w:pPr>
    </w:p>
    <w:p>
      <w:pPr>
        <w:spacing w:line="580" w:lineRule="exact"/>
        <w:outlineLvl w:val="2"/>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安全生产大检查和十大专项整治行动情况统计表</w:t>
      </w:r>
    </w:p>
    <w:p>
      <w:pPr>
        <w:spacing w:line="580" w:lineRule="exact"/>
        <w:jc w:val="center"/>
        <w:rPr>
          <w:rFonts w:ascii="楷体_GB2312" w:eastAsia="楷体_GB2312" w:cs="Times New Roman"/>
          <w:sz w:val="32"/>
          <w:szCs w:val="32"/>
        </w:rPr>
      </w:pPr>
      <w:r>
        <w:rPr>
          <w:rFonts w:ascii="楷体_GB2312" w:eastAsia="楷体_GB2312" w:cs="楷体_GB2312"/>
          <w:sz w:val="28"/>
          <w:szCs w:val="28"/>
        </w:rPr>
        <w:t>2019</w:t>
      </w:r>
      <w:r>
        <w:rPr>
          <w:rFonts w:hint="eastAsia" w:ascii="楷体_GB2312" w:eastAsia="楷体_GB2312" w:cs="楷体_GB2312"/>
          <w:sz w:val="28"/>
          <w:szCs w:val="28"/>
        </w:rPr>
        <w:t>年</w:t>
      </w:r>
      <w:r>
        <w:rPr>
          <w:rFonts w:ascii="楷体_GB2312" w:eastAsia="楷体_GB2312" w:cs="楷体_GB2312"/>
          <w:sz w:val="28"/>
          <w:szCs w:val="28"/>
        </w:rPr>
        <w:t>4</w:t>
      </w:r>
      <w:r>
        <w:rPr>
          <w:rFonts w:hint="eastAsia" w:ascii="楷体_GB2312" w:eastAsia="楷体_GB2312" w:cs="楷体_GB2312"/>
          <w:sz w:val="28"/>
          <w:szCs w:val="28"/>
        </w:rPr>
        <w:t>月至</w:t>
      </w:r>
      <w:r>
        <w:rPr>
          <w:rFonts w:ascii="楷体_GB2312" w:eastAsia="楷体_GB2312" w:cs="楷体_GB2312"/>
          <w:sz w:val="28"/>
          <w:szCs w:val="28"/>
        </w:rPr>
        <w:t xml:space="preserve">   </w:t>
      </w:r>
      <w:r>
        <w:rPr>
          <w:rFonts w:hint="eastAsia" w:ascii="楷体_GB2312" w:eastAsia="楷体_GB2312" w:cs="楷体_GB2312"/>
          <w:sz w:val="28"/>
          <w:szCs w:val="28"/>
        </w:rPr>
        <w:t>月（累计）</w:t>
      </w:r>
    </w:p>
    <w:p>
      <w:pPr>
        <w:spacing w:line="300" w:lineRule="exact"/>
        <w:rPr>
          <w:rFonts w:eastAsia="楷体_GB2312" w:cs="Times New Roman"/>
          <w:sz w:val="28"/>
          <w:szCs w:val="28"/>
        </w:rPr>
      </w:pPr>
      <w:r>
        <w:rPr>
          <w:rFonts w:hint="eastAsia" w:eastAsia="楷体_GB2312" w:cs="楷体_GB2312"/>
          <w:sz w:val="28"/>
          <w:szCs w:val="28"/>
        </w:rPr>
        <w:t>填报单位：</w:t>
      </w:r>
      <w:r>
        <w:rPr>
          <w:rFonts w:eastAsia="楷体_GB2312"/>
          <w:sz w:val="28"/>
          <w:szCs w:val="28"/>
        </w:rPr>
        <w:t xml:space="preserve">                                                              </w:t>
      </w:r>
      <w:r>
        <w:rPr>
          <w:rFonts w:hint="eastAsia" w:eastAsia="楷体_GB2312" w:cs="楷体_GB2312"/>
          <w:sz w:val="28"/>
          <w:szCs w:val="28"/>
        </w:rPr>
        <w:t>填报日期：</w:t>
      </w:r>
    </w:p>
    <w:tbl>
      <w:tblPr>
        <w:tblStyle w:val="8"/>
        <w:tblW w:w="15517" w:type="dxa"/>
        <w:jc w:val="center"/>
        <w:tblInd w:w="0" w:type="dxa"/>
        <w:tblLayout w:type="fixed"/>
        <w:tblCellMar>
          <w:top w:w="0" w:type="dxa"/>
          <w:left w:w="108" w:type="dxa"/>
          <w:bottom w:w="0" w:type="dxa"/>
          <w:right w:w="108" w:type="dxa"/>
        </w:tblCellMar>
      </w:tblPr>
      <w:tblGrid>
        <w:gridCol w:w="1819"/>
        <w:gridCol w:w="756"/>
        <w:gridCol w:w="756"/>
        <w:gridCol w:w="756"/>
        <w:gridCol w:w="639"/>
        <w:gridCol w:w="756"/>
        <w:gridCol w:w="639"/>
        <w:gridCol w:w="756"/>
        <w:gridCol w:w="891"/>
        <w:gridCol w:w="639"/>
        <w:gridCol w:w="756"/>
        <w:gridCol w:w="639"/>
        <w:gridCol w:w="756"/>
        <w:gridCol w:w="756"/>
        <w:gridCol w:w="848"/>
        <w:gridCol w:w="904"/>
        <w:gridCol w:w="756"/>
        <w:gridCol w:w="1695"/>
      </w:tblGrid>
      <w:tr>
        <w:tblPrEx>
          <w:tblLayout w:type="fixed"/>
          <w:tblCellMar>
            <w:top w:w="0" w:type="dxa"/>
            <w:left w:w="108" w:type="dxa"/>
            <w:bottom w:w="0" w:type="dxa"/>
            <w:right w:w="108" w:type="dxa"/>
          </w:tblCellMar>
        </w:tblPrEx>
        <w:trPr>
          <w:trHeight w:val="170" w:hRule="atLeast"/>
          <w:jc w:val="center"/>
        </w:trPr>
        <w:tc>
          <w:tcPr>
            <w:tcW w:w="1819"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宋体" w:cs="Times New Roman"/>
                <w:kern w:val="0"/>
                <w:sz w:val="18"/>
                <w:szCs w:val="18"/>
              </w:rPr>
            </w:pPr>
            <w:r>
              <w:rPr>
                <w:rFonts w:hint="eastAsia" w:ascii="宋体" w:hAnsi="宋体" w:cs="宋体"/>
                <w:kern w:val="0"/>
                <w:sz w:val="18"/>
                <w:szCs w:val="18"/>
              </w:rPr>
              <w:t>行业（领域）</w:t>
            </w:r>
          </w:p>
        </w:tc>
        <w:tc>
          <w:tcPr>
            <w:tcW w:w="7344" w:type="dxa"/>
            <w:gridSpan w:val="10"/>
            <w:tcBorders>
              <w:top w:val="single" w:color="000000" w:sz="8" w:space="0"/>
              <w:left w:val="nil"/>
              <w:bottom w:val="single" w:color="000000" w:sz="8" w:space="0"/>
              <w:right w:val="single" w:color="000000" w:sz="8" w:space="0"/>
            </w:tcBorders>
            <w:vAlign w:val="center"/>
          </w:tcPr>
          <w:p>
            <w:pPr>
              <w:widowControl/>
              <w:spacing w:line="300" w:lineRule="exact"/>
              <w:jc w:val="center"/>
              <w:rPr>
                <w:rFonts w:ascii="宋体" w:cs="Times New Roman"/>
                <w:kern w:val="0"/>
                <w:sz w:val="18"/>
                <w:szCs w:val="18"/>
              </w:rPr>
            </w:pPr>
            <w:r>
              <w:rPr>
                <w:rFonts w:hint="eastAsia" w:ascii="宋体" w:hAnsi="宋体" w:cs="宋体"/>
                <w:kern w:val="0"/>
                <w:sz w:val="18"/>
                <w:szCs w:val="18"/>
              </w:rPr>
              <w:t>检查执法情况</w:t>
            </w:r>
          </w:p>
        </w:tc>
        <w:tc>
          <w:tcPr>
            <w:tcW w:w="4659" w:type="dxa"/>
            <w:gridSpan w:val="6"/>
            <w:tcBorders>
              <w:top w:val="single" w:color="000000" w:sz="8" w:space="0"/>
              <w:left w:val="nil"/>
              <w:bottom w:val="single" w:color="000000" w:sz="8" w:space="0"/>
              <w:right w:val="single" w:color="000000" w:sz="8" w:space="0"/>
            </w:tcBorders>
            <w:vAlign w:val="center"/>
          </w:tcPr>
          <w:p>
            <w:pPr>
              <w:widowControl/>
              <w:spacing w:line="300" w:lineRule="exact"/>
              <w:jc w:val="center"/>
              <w:rPr>
                <w:rFonts w:ascii="宋体" w:cs="Times New Roman"/>
                <w:kern w:val="0"/>
                <w:sz w:val="18"/>
                <w:szCs w:val="18"/>
              </w:rPr>
            </w:pPr>
            <w:r>
              <w:rPr>
                <w:rFonts w:hint="eastAsia" w:ascii="宋体" w:hAnsi="宋体" w:cs="宋体"/>
                <w:kern w:val="0"/>
                <w:sz w:val="18"/>
                <w:szCs w:val="18"/>
              </w:rPr>
              <w:t>实施处罚情况</w:t>
            </w:r>
          </w:p>
        </w:tc>
        <w:tc>
          <w:tcPr>
            <w:tcW w:w="1695" w:type="dxa"/>
            <w:tcBorders>
              <w:top w:val="single" w:color="000000" w:sz="8" w:space="0"/>
              <w:left w:val="nil"/>
              <w:bottom w:val="single" w:color="000000" w:sz="8" w:space="0"/>
              <w:right w:val="single" w:color="000000" w:sz="8" w:space="0"/>
            </w:tcBorders>
            <w:vAlign w:val="center"/>
          </w:tcPr>
          <w:p>
            <w:pPr>
              <w:widowControl/>
              <w:spacing w:line="300" w:lineRule="exact"/>
              <w:jc w:val="center"/>
              <w:rPr>
                <w:rFonts w:ascii="宋体" w:cs="Times New Roman"/>
                <w:kern w:val="0"/>
                <w:sz w:val="18"/>
                <w:szCs w:val="18"/>
              </w:rPr>
            </w:pPr>
            <w:r>
              <w:rPr>
                <w:rFonts w:hint="eastAsia" w:ascii="宋体" w:hAnsi="宋体" w:cs="宋体"/>
                <w:kern w:val="0"/>
                <w:sz w:val="18"/>
                <w:szCs w:val="18"/>
              </w:rPr>
              <w:t>督导检查情况</w:t>
            </w:r>
          </w:p>
        </w:tc>
      </w:tr>
      <w:tr>
        <w:tblPrEx>
          <w:tblLayout w:type="fixed"/>
          <w:tblCellMar>
            <w:top w:w="0" w:type="dxa"/>
            <w:left w:w="108" w:type="dxa"/>
            <w:bottom w:w="0" w:type="dxa"/>
            <w:right w:w="108" w:type="dxa"/>
          </w:tblCellMar>
        </w:tblPrEx>
        <w:trPr>
          <w:trHeight w:val="283" w:hRule="atLeast"/>
          <w:jc w:val="center"/>
        </w:trPr>
        <w:tc>
          <w:tcPr>
            <w:tcW w:w="1819"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宋体" w:cs="Times New Roman"/>
                <w:kern w:val="0"/>
                <w:sz w:val="18"/>
                <w:szCs w:val="18"/>
              </w:rPr>
            </w:pPr>
          </w:p>
        </w:tc>
        <w:tc>
          <w:tcPr>
            <w:tcW w:w="756" w:type="dxa"/>
            <w:vMerge w:val="restart"/>
            <w:tcBorders>
              <w:top w:val="nil"/>
              <w:left w:val="nil"/>
              <w:bottom w:val="nil"/>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组织</w:t>
            </w:r>
          </w:p>
          <w:p>
            <w:pPr>
              <w:spacing w:line="200" w:lineRule="exact"/>
              <w:jc w:val="center"/>
              <w:rPr>
                <w:rFonts w:ascii="宋体" w:cs="Times New Roman"/>
                <w:kern w:val="0"/>
                <w:sz w:val="18"/>
                <w:szCs w:val="18"/>
              </w:rPr>
            </w:pPr>
            <w:r>
              <w:rPr>
                <w:rFonts w:hint="eastAsia" w:ascii="宋体" w:hAnsi="宋体" w:cs="宋体"/>
                <w:kern w:val="0"/>
                <w:sz w:val="18"/>
                <w:szCs w:val="18"/>
              </w:rPr>
              <w:t>检查组</w:t>
            </w:r>
          </w:p>
        </w:tc>
        <w:tc>
          <w:tcPr>
            <w:tcW w:w="756" w:type="dxa"/>
            <w:vMerge w:val="restart"/>
            <w:tcBorders>
              <w:top w:val="nil"/>
              <w:left w:val="single" w:color="000000"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其中暗访暗查检查组</w:t>
            </w:r>
          </w:p>
        </w:tc>
        <w:tc>
          <w:tcPr>
            <w:tcW w:w="756" w:type="dxa"/>
            <w:vMerge w:val="restart"/>
            <w:tcBorders>
              <w:top w:val="nil"/>
              <w:left w:val="nil"/>
              <w:bottom w:val="nil"/>
              <w:right w:val="single" w:color="auto" w:sz="4"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检查</w:t>
            </w:r>
          </w:p>
          <w:p>
            <w:pPr>
              <w:spacing w:line="200" w:lineRule="exact"/>
              <w:jc w:val="center"/>
              <w:rPr>
                <w:rFonts w:ascii="宋体" w:cs="Times New Roman"/>
                <w:kern w:val="0"/>
                <w:sz w:val="18"/>
                <w:szCs w:val="18"/>
              </w:rPr>
            </w:pPr>
            <w:r>
              <w:rPr>
                <w:rFonts w:hint="eastAsia" w:ascii="宋体" w:hAnsi="宋体" w:cs="宋体"/>
                <w:kern w:val="0"/>
                <w:sz w:val="18"/>
                <w:szCs w:val="18"/>
              </w:rPr>
              <w:t>企事业单位</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一般隐患</w:t>
            </w:r>
          </w:p>
        </w:tc>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重大隐患</w:t>
            </w:r>
          </w:p>
        </w:tc>
        <w:tc>
          <w:tcPr>
            <w:tcW w:w="891" w:type="dxa"/>
            <w:vMerge w:val="restart"/>
            <w:tcBorders>
              <w:top w:val="nil"/>
              <w:left w:val="single" w:color="auto" w:sz="4"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共计投入落实隐患整改资金</w:t>
            </w:r>
          </w:p>
        </w:tc>
        <w:tc>
          <w:tcPr>
            <w:tcW w:w="639" w:type="dxa"/>
            <w:vMerge w:val="restart"/>
            <w:tcBorders>
              <w:top w:val="nil"/>
              <w:left w:val="single" w:color="000000"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打击非法违法行为</w:t>
            </w:r>
          </w:p>
        </w:tc>
        <w:tc>
          <w:tcPr>
            <w:tcW w:w="756" w:type="dxa"/>
            <w:vMerge w:val="restart"/>
            <w:tcBorders>
              <w:top w:val="nil"/>
              <w:left w:val="single" w:color="000000"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整治违规违章行为</w:t>
            </w:r>
          </w:p>
        </w:tc>
        <w:tc>
          <w:tcPr>
            <w:tcW w:w="639" w:type="dxa"/>
            <w:vMerge w:val="restart"/>
            <w:tcBorders>
              <w:top w:val="nil"/>
              <w:left w:val="nil"/>
              <w:bottom w:val="nil"/>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停产</w:t>
            </w:r>
          </w:p>
          <w:p>
            <w:pPr>
              <w:spacing w:line="200" w:lineRule="exact"/>
              <w:jc w:val="center"/>
              <w:rPr>
                <w:rFonts w:ascii="宋体" w:cs="Times New Roman"/>
                <w:kern w:val="0"/>
                <w:sz w:val="18"/>
                <w:szCs w:val="18"/>
              </w:rPr>
            </w:pPr>
            <w:r>
              <w:rPr>
                <w:rFonts w:hint="eastAsia" w:ascii="宋体" w:hAnsi="宋体" w:cs="宋体"/>
                <w:kern w:val="0"/>
                <w:sz w:val="18"/>
                <w:szCs w:val="18"/>
              </w:rPr>
              <w:t>整顿</w:t>
            </w:r>
          </w:p>
        </w:tc>
        <w:tc>
          <w:tcPr>
            <w:tcW w:w="756" w:type="dxa"/>
            <w:vMerge w:val="restart"/>
            <w:tcBorders>
              <w:top w:val="nil"/>
              <w:left w:val="single" w:color="000000"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暂扣吊销证照</w:t>
            </w:r>
          </w:p>
        </w:tc>
        <w:tc>
          <w:tcPr>
            <w:tcW w:w="756" w:type="dxa"/>
            <w:vMerge w:val="restart"/>
            <w:tcBorders>
              <w:top w:val="nil"/>
              <w:left w:val="nil"/>
              <w:bottom w:val="nil"/>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关闭</w:t>
            </w:r>
          </w:p>
          <w:p>
            <w:pPr>
              <w:spacing w:line="200" w:lineRule="exact"/>
              <w:jc w:val="center"/>
              <w:rPr>
                <w:rFonts w:ascii="宋体" w:cs="Times New Roman"/>
                <w:kern w:val="0"/>
                <w:sz w:val="18"/>
                <w:szCs w:val="18"/>
              </w:rPr>
            </w:pPr>
            <w:r>
              <w:rPr>
                <w:rFonts w:hint="eastAsia" w:ascii="宋体" w:hAnsi="宋体" w:cs="宋体"/>
                <w:kern w:val="0"/>
                <w:sz w:val="18"/>
                <w:szCs w:val="18"/>
              </w:rPr>
              <w:t>取缔</w:t>
            </w:r>
          </w:p>
        </w:tc>
        <w:tc>
          <w:tcPr>
            <w:tcW w:w="848" w:type="dxa"/>
            <w:vMerge w:val="restart"/>
            <w:tcBorders>
              <w:top w:val="nil"/>
              <w:left w:val="nil"/>
              <w:bottom w:val="nil"/>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处罚</w:t>
            </w:r>
          </w:p>
          <w:p>
            <w:pPr>
              <w:spacing w:line="200" w:lineRule="exact"/>
              <w:jc w:val="center"/>
              <w:rPr>
                <w:rFonts w:ascii="宋体" w:cs="Times New Roman"/>
                <w:kern w:val="0"/>
                <w:sz w:val="18"/>
                <w:szCs w:val="18"/>
              </w:rPr>
            </w:pPr>
            <w:r>
              <w:rPr>
                <w:rFonts w:hint="eastAsia" w:ascii="宋体" w:hAnsi="宋体" w:cs="宋体"/>
                <w:kern w:val="0"/>
                <w:sz w:val="18"/>
                <w:szCs w:val="18"/>
              </w:rPr>
              <w:t>罚款</w:t>
            </w:r>
          </w:p>
        </w:tc>
        <w:tc>
          <w:tcPr>
            <w:tcW w:w="904" w:type="dxa"/>
            <w:vMerge w:val="restart"/>
            <w:tcBorders>
              <w:top w:val="nil"/>
              <w:left w:val="single" w:color="000000"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问责曝光责任单位个人</w:t>
            </w:r>
          </w:p>
        </w:tc>
        <w:tc>
          <w:tcPr>
            <w:tcW w:w="756" w:type="dxa"/>
            <w:vMerge w:val="restart"/>
            <w:tcBorders>
              <w:top w:val="nil"/>
              <w:left w:val="single" w:color="000000"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联合惩戒失信企业</w:t>
            </w:r>
          </w:p>
        </w:tc>
        <w:tc>
          <w:tcPr>
            <w:tcW w:w="1695" w:type="dxa"/>
            <w:vMerge w:val="restart"/>
            <w:tcBorders>
              <w:top w:val="nil"/>
              <w:left w:val="nil"/>
              <w:bottom w:val="nil"/>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派出工作</w:t>
            </w:r>
          </w:p>
          <w:p>
            <w:pPr>
              <w:spacing w:line="200" w:lineRule="exact"/>
              <w:jc w:val="center"/>
              <w:rPr>
                <w:rFonts w:ascii="宋体" w:cs="Times New Roman"/>
                <w:b/>
                <w:bCs/>
                <w:kern w:val="0"/>
                <w:sz w:val="18"/>
                <w:szCs w:val="18"/>
              </w:rPr>
            </w:pPr>
            <w:r>
              <w:rPr>
                <w:rFonts w:hint="eastAsia" w:ascii="宋体" w:hAnsi="宋体" w:cs="宋体"/>
                <w:kern w:val="0"/>
                <w:sz w:val="18"/>
                <w:szCs w:val="18"/>
              </w:rPr>
              <w:t>督查组（个）</w:t>
            </w:r>
          </w:p>
        </w:tc>
      </w:tr>
      <w:tr>
        <w:tblPrEx>
          <w:tblLayout w:type="fixed"/>
          <w:tblCellMar>
            <w:top w:w="0" w:type="dxa"/>
            <w:left w:w="108" w:type="dxa"/>
            <w:bottom w:w="0" w:type="dxa"/>
            <w:right w:w="108" w:type="dxa"/>
          </w:tblCellMar>
        </w:tblPrEx>
        <w:trPr>
          <w:trHeight w:val="302" w:hRule="atLeast"/>
          <w:jc w:val="center"/>
        </w:trPr>
        <w:tc>
          <w:tcPr>
            <w:tcW w:w="18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left w:val="nil"/>
              <w:bottom w:val="single" w:color="000000" w:sz="8" w:space="0"/>
              <w:right w:val="single" w:color="auto" w:sz="4" w:space="0"/>
            </w:tcBorders>
            <w:vAlign w:val="center"/>
          </w:tcPr>
          <w:p>
            <w:pPr>
              <w:widowControl/>
              <w:jc w:val="center"/>
              <w:rPr>
                <w:rFonts w:ascii="宋体" w:cs="Times New Roman"/>
                <w:kern w:val="0"/>
                <w:sz w:val="18"/>
                <w:szCs w:val="18"/>
              </w:rPr>
            </w:pPr>
          </w:p>
        </w:tc>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排查</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已整治</w:t>
            </w:r>
          </w:p>
        </w:tc>
        <w:tc>
          <w:tcPr>
            <w:tcW w:w="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排查</w:t>
            </w:r>
          </w:p>
        </w:tc>
        <w:tc>
          <w:tcPr>
            <w:tcW w:w="7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已整治</w:t>
            </w:r>
          </w:p>
        </w:tc>
        <w:tc>
          <w:tcPr>
            <w:tcW w:w="891" w:type="dxa"/>
            <w:vMerge w:val="continue"/>
            <w:tcBorders>
              <w:top w:val="nil"/>
              <w:left w:val="single" w:color="auto" w:sz="4"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vMerge w:val="continue"/>
            <w:tcBorders>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vMerge w:val="continue"/>
            <w:tcBorders>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904"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1695" w:type="dxa"/>
            <w:vMerge w:val="continue"/>
            <w:tcBorders>
              <w:left w:val="nil"/>
              <w:bottom w:val="single" w:color="000000" w:sz="8" w:space="0"/>
              <w:right w:val="single" w:color="000000" w:sz="8" w:space="0"/>
            </w:tcBorders>
            <w:vAlign w:val="center"/>
          </w:tcPr>
          <w:p>
            <w:pPr>
              <w:widowControl/>
              <w:jc w:val="center"/>
              <w:rPr>
                <w:rFonts w:ascii="宋体" w:cs="Times New Roman"/>
                <w:b/>
                <w:bCs/>
                <w:kern w:val="0"/>
                <w:sz w:val="18"/>
                <w:szCs w:val="18"/>
              </w:rPr>
            </w:pPr>
          </w:p>
        </w:tc>
      </w:tr>
      <w:tr>
        <w:tblPrEx>
          <w:tblLayout w:type="fixed"/>
          <w:tblCellMar>
            <w:top w:w="0" w:type="dxa"/>
            <w:left w:w="108" w:type="dxa"/>
            <w:bottom w:w="0" w:type="dxa"/>
            <w:right w:w="108" w:type="dxa"/>
          </w:tblCellMar>
        </w:tblPrEx>
        <w:trPr>
          <w:trHeight w:val="227" w:hRule="atLeast"/>
          <w:jc w:val="center"/>
        </w:trPr>
        <w:tc>
          <w:tcPr>
            <w:tcW w:w="1819"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（个）</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（个）</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（家）</w:t>
            </w:r>
          </w:p>
        </w:tc>
        <w:tc>
          <w:tcPr>
            <w:tcW w:w="639"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项</w:t>
            </w:r>
            <w:r>
              <w:rPr>
                <w:rFonts w:ascii="宋体" w:hAnsi="宋体" w:cs="宋体"/>
                <w:kern w:val="0"/>
                <w:sz w:val="18"/>
                <w:szCs w:val="18"/>
              </w:rPr>
              <w:t>)</w:t>
            </w:r>
          </w:p>
        </w:tc>
        <w:tc>
          <w:tcPr>
            <w:tcW w:w="756" w:type="dxa"/>
            <w:tcBorders>
              <w:top w:val="single" w:color="auto" w:sz="4" w:space="0"/>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（项）</w:t>
            </w:r>
          </w:p>
        </w:tc>
        <w:tc>
          <w:tcPr>
            <w:tcW w:w="639"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项</w:t>
            </w:r>
            <w:r>
              <w:rPr>
                <w:rFonts w:ascii="宋体" w:hAnsi="宋体" w:cs="宋体"/>
                <w:kern w:val="0"/>
                <w:sz w:val="18"/>
                <w:szCs w:val="18"/>
              </w:rPr>
              <w:t>)</w:t>
            </w:r>
          </w:p>
        </w:tc>
        <w:tc>
          <w:tcPr>
            <w:tcW w:w="756" w:type="dxa"/>
            <w:tcBorders>
              <w:top w:val="single" w:color="auto" w:sz="4" w:space="0"/>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（项）</w:t>
            </w: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（万元）</w:t>
            </w:r>
          </w:p>
        </w:tc>
        <w:tc>
          <w:tcPr>
            <w:tcW w:w="639" w:type="dxa"/>
            <w:tcBorders>
              <w:top w:val="nil"/>
              <w:left w:val="nil"/>
              <w:bottom w:val="single" w:color="000000" w:sz="8" w:space="0"/>
              <w:right w:val="single" w:color="000000" w:sz="8" w:space="0"/>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起</w:t>
            </w:r>
            <w:r>
              <w:rPr>
                <w:rFonts w:ascii="宋体" w:hAnsi="宋体" w:cs="宋体"/>
                <w:kern w:val="0"/>
                <w:sz w:val="18"/>
                <w:szCs w:val="18"/>
              </w:rPr>
              <w:t>)</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（起）</w:t>
            </w:r>
          </w:p>
        </w:tc>
        <w:tc>
          <w:tcPr>
            <w:tcW w:w="639" w:type="dxa"/>
            <w:tcBorders>
              <w:top w:val="nil"/>
              <w:left w:val="nil"/>
              <w:bottom w:val="single" w:color="000000"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家</w:t>
            </w:r>
            <w:r>
              <w:rPr>
                <w:rFonts w:ascii="宋体" w:hAnsi="宋体" w:cs="宋体"/>
                <w:kern w:val="0"/>
                <w:sz w:val="18"/>
                <w:szCs w:val="18"/>
              </w:rPr>
              <w:t>)</w:t>
            </w: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（个）</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（家）</w:t>
            </w:r>
          </w:p>
        </w:tc>
        <w:tc>
          <w:tcPr>
            <w:tcW w:w="848" w:type="dxa"/>
            <w:tcBorders>
              <w:top w:val="nil"/>
              <w:left w:val="nil"/>
              <w:bottom w:val="single" w:color="000000" w:sz="8" w:space="0"/>
              <w:right w:val="single" w:color="auto" w:sz="8" w:space="0"/>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万元</w:t>
            </w:r>
            <w:r>
              <w:rPr>
                <w:rFonts w:ascii="宋体" w:hAnsi="宋体" w:cs="宋体"/>
                <w:kern w:val="0"/>
                <w:sz w:val="18"/>
                <w:szCs w:val="18"/>
              </w:rPr>
              <w:t>)</w:t>
            </w:r>
          </w:p>
        </w:tc>
        <w:tc>
          <w:tcPr>
            <w:tcW w:w="904" w:type="dxa"/>
            <w:tcBorders>
              <w:top w:val="nil"/>
              <w:left w:val="nil"/>
              <w:bottom w:val="single" w:color="auto" w:sz="8" w:space="0"/>
              <w:right w:val="single" w:color="000000" w:sz="8" w:space="0"/>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家、人</w:t>
            </w:r>
            <w:r>
              <w:rPr>
                <w:rFonts w:ascii="宋体" w:hAnsi="宋体" w:cs="宋体"/>
                <w:kern w:val="0"/>
                <w:sz w:val="18"/>
                <w:szCs w:val="18"/>
              </w:rPr>
              <w:t>)</w:t>
            </w:r>
          </w:p>
        </w:tc>
        <w:tc>
          <w:tcPr>
            <w:tcW w:w="756" w:type="dxa"/>
            <w:tcBorders>
              <w:top w:val="nil"/>
              <w:left w:val="nil"/>
              <w:bottom w:val="single" w:color="auto" w:sz="8" w:space="0"/>
              <w:right w:val="single" w:color="auto" w:sz="8" w:space="0"/>
            </w:tcBorders>
            <w:vAlign w:val="center"/>
          </w:tcPr>
          <w:p>
            <w:pPr>
              <w:widowControl/>
              <w:jc w:val="center"/>
              <w:rPr>
                <w:rFonts w:ascii="宋体" w:cs="Times New Roman"/>
                <w:kern w:val="0"/>
                <w:sz w:val="18"/>
                <w:szCs w:val="18"/>
              </w:rPr>
            </w:pPr>
            <w:r>
              <w:rPr>
                <w:rFonts w:hint="eastAsia" w:ascii="宋体" w:hAnsi="宋体" w:cs="宋体"/>
                <w:kern w:val="0"/>
                <w:sz w:val="18"/>
                <w:szCs w:val="18"/>
              </w:rPr>
              <w:t>（家）</w:t>
            </w:r>
          </w:p>
        </w:tc>
        <w:tc>
          <w:tcPr>
            <w:tcW w:w="1695" w:type="dxa"/>
            <w:tcBorders>
              <w:top w:val="nil"/>
              <w:left w:val="nil"/>
              <w:bottom w:val="single" w:color="auto" w:sz="8" w:space="0"/>
              <w:right w:val="single" w:color="000000" w:sz="8" w:space="0"/>
            </w:tcBorders>
            <w:vAlign w:val="center"/>
          </w:tcPr>
          <w:p>
            <w:pPr>
              <w:widowControl/>
              <w:jc w:val="center"/>
              <w:rPr>
                <w:rFonts w:ascii="宋体" w:cs="Times New Roman"/>
                <w:b/>
                <w:bCs/>
                <w:kern w:val="0"/>
                <w:sz w:val="18"/>
                <w:szCs w:val="18"/>
              </w:rPr>
            </w:pPr>
          </w:p>
        </w:tc>
      </w:tr>
      <w:tr>
        <w:tblPrEx>
          <w:tblLayout w:type="fixed"/>
          <w:tblCellMar>
            <w:top w:w="0" w:type="dxa"/>
            <w:left w:w="108" w:type="dxa"/>
            <w:bottom w:w="0" w:type="dxa"/>
            <w:right w:w="108" w:type="dxa"/>
          </w:tblCellMar>
        </w:tblPrEx>
        <w:trPr>
          <w:trHeight w:val="289"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hint="eastAsia" w:ascii="宋体" w:hAnsi="宋体" w:cs="宋体"/>
                <w:kern w:val="0"/>
                <w:sz w:val="18"/>
                <w:szCs w:val="18"/>
              </w:rPr>
              <w:t>合计</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restart"/>
            <w:tcBorders>
              <w:top w:val="nil"/>
              <w:left w:val="single" w:color="auto"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督查县（区）和乡镇（街道）政府、工业园区等特殊功能区分别数量（个）</w:t>
            </w:r>
          </w:p>
        </w:tc>
      </w:tr>
      <w:tr>
        <w:tblPrEx>
          <w:tblLayout w:type="fixed"/>
          <w:tblCellMar>
            <w:top w:w="0" w:type="dxa"/>
            <w:left w:w="108" w:type="dxa"/>
            <w:bottom w:w="0" w:type="dxa"/>
            <w:right w:w="108" w:type="dxa"/>
          </w:tblCellMar>
        </w:tblPrEx>
        <w:trPr>
          <w:trHeight w:val="19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1.</w:t>
            </w:r>
            <w:r>
              <w:rPr>
                <w:rFonts w:hint="eastAsia" w:ascii="宋体" w:hAnsi="宋体" w:cs="宋体"/>
                <w:kern w:val="0"/>
                <w:sz w:val="18"/>
                <w:szCs w:val="18"/>
              </w:rPr>
              <w:t>危险化学品</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continue"/>
            <w:tcBorders>
              <w:top w:val="nil"/>
              <w:left w:val="single" w:color="auto"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181"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2.</w:t>
            </w:r>
            <w:r>
              <w:rPr>
                <w:rFonts w:hint="eastAsia" w:ascii="宋体" w:hAnsi="宋体" w:cs="宋体"/>
                <w:kern w:val="0"/>
                <w:sz w:val="18"/>
                <w:szCs w:val="18"/>
              </w:rPr>
              <w:t>交通运输</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continue"/>
            <w:tcBorders>
              <w:top w:val="nil"/>
              <w:left w:val="single" w:color="auto"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3.</w:t>
            </w:r>
            <w:r>
              <w:rPr>
                <w:rFonts w:hint="eastAsia" w:ascii="宋体" w:hAnsi="宋体" w:cs="宋体"/>
                <w:kern w:val="0"/>
                <w:sz w:val="18"/>
                <w:szCs w:val="18"/>
              </w:rPr>
              <w:t>建筑施工</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tcBorders>
              <w:top w:val="nil"/>
              <w:left w:val="nil"/>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煤矿</w:t>
            </w:r>
            <w:r>
              <w:rPr>
                <w:rFonts w:ascii="宋体" w:hAnsi="宋体" w:cs="宋体"/>
                <w:kern w:val="0"/>
                <w:sz w:val="18"/>
                <w:szCs w:val="18"/>
              </w:rPr>
              <w:t xml:space="preserve"> </w:t>
            </w:r>
          </w:p>
        </w:tc>
        <w:tc>
          <w:tcPr>
            <w:tcW w:w="756" w:type="dxa"/>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single" w:color="000000" w:sz="8" w:space="0"/>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single" w:color="auto"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single" w:color="000000" w:sz="8" w:space="0"/>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single" w:color="auto"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single" w:color="000000"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single" w:color="000000" w:sz="8" w:space="0"/>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single" w:color="auto" w:sz="8" w:space="0"/>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single" w:color="auto"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single" w:color="000000" w:sz="8" w:space="0"/>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single" w:color="auto" w:sz="8" w:space="0"/>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single" w:color="000000" w:sz="8" w:space="0"/>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restart"/>
            <w:tcBorders>
              <w:top w:val="nil"/>
              <w:left w:val="nil"/>
              <w:bottom w:val="nil"/>
              <w:right w:val="single" w:color="000000" w:sz="8" w:space="0"/>
            </w:tcBorders>
            <w:vAlign w:val="center"/>
          </w:tcPr>
          <w:p>
            <w:pPr>
              <w:widowControl/>
              <w:spacing w:line="200" w:lineRule="exact"/>
              <w:jc w:val="center"/>
              <w:rPr>
                <w:rFonts w:ascii="宋体" w:cs="Times New Roman"/>
                <w:kern w:val="0"/>
                <w:sz w:val="18"/>
                <w:szCs w:val="18"/>
              </w:rPr>
            </w:pPr>
            <w:r>
              <w:rPr>
                <w:rFonts w:hint="eastAsia" w:ascii="宋体" w:hAnsi="宋体" w:cs="宋体"/>
                <w:kern w:val="0"/>
                <w:sz w:val="18"/>
                <w:szCs w:val="18"/>
              </w:rPr>
              <w:t>督查企事业单位</w:t>
            </w:r>
          </w:p>
          <w:p>
            <w:pPr>
              <w:widowControl/>
              <w:spacing w:line="200" w:lineRule="exact"/>
              <w:jc w:val="center"/>
              <w:rPr>
                <w:rFonts w:ascii="宋体" w:cs="Times New Roman"/>
                <w:kern w:val="0"/>
                <w:sz w:val="18"/>
                <w:szCs w:val="18"/>
              </w:rPr>
            </w:pPr>
            <w:r>
              <w:rPr>
                <w:rFonts w:hint="eastAsia" w:ascii="宋体" w:hAnsi="宋体" w:cs="宋体"/>
                <w:kern w:val="0"/>
                <w:sz w:val="18"/>
                <w:szCs w:val="18"/>
              </w:rPr>
              <w:t>数量（个）</w:t>
            </w: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5.</w:t>
            </w:r>
            <w:r>
              <w:rPr>
                <w:rFonts w:hint="eastAsia" w:ascii="宋体" w:hAnsi="宋体" w:cs="宋体"/>
                <w:kern w:val="0"/>
                <w:sz w:val="18"/>
                <w:szCs w:val="18"/>
              </w:rPr>
              <w:t>非煤矿山</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continue"/>
            <w:tcBorders>
              <w:left w:val="nil"/>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spacing w:line="240" w:lineRule="exact"/>
              <w:jc w:val="left"/>
              <w:rPr>
                <w:rFonts w:ascii="宋体" w:cs="Times New Roman"/>
                <w:kern w:val="0"/>
                <w:sz w:val="18"/>
                <w:szCs w:val="18"/>
              </w:rPr>
            </w:pPr>
            <w:r>
              <w:rPr>
                <w:rFonts w:ascii="宋体" w:hAnsi="宋体" w:cs="宋体"/>
                <w:kern w:val="0"/>
                <w:sz w:val="18"/>
                <w:szCs w:val="18"/>
              </w:rPr>
              <w:t>6.</w:t>
            </w:r>
            <w:r>
              <w:rPr>
                <w:rFonts w:hint="eastAsia" w:ascii="宋体" w:hAnsi="宋体" w:cs="宋体"/>
                <w:kern w:val="0"/>
                <w:sz w:val="18"/>
                <w:szCs w:val="18"/>
              </w:rPr>
              <w:t>烟花爆竹</w:t>
            </w:r>
          </w:p>
          <w:p>
            <w:pPr>
              <w:widowControl/>
              <w:spacing w:line="240" w:lineRule="exact"/>
              <w:jc w:val="left"/>
              <w:rPr>
                <w:rFonts w:ascii="宋体" w:cs="Times New Roman"/>
                <w:kern w:val="0"/>
                <w:sz w:val="18"/>
                <w:szCs w:val="18"/>
              </w:rPr>
            </w:pPr>
            <w:r>
              <w:rPr>
                <w:rFonts w:ascii="宋体" w:hAnsi="宋体" w:cs="宋体"/>
                <w:kern w:val="0"/>
                <w:sz w:val="18"/>
                <w:szCs w:val="18"/>
              </w:rPr>
              <w:t xml:space="preserve">  </w:t>
            </w:r>
            <w:r>
              <w:rPr>
                <w:rFonts w:hint="eastAsia" w:ascii="宋体" w:hAnsi="宋体" w:cs="宋体"/>
                <w:kern w:val="0"/>
                <w:sz w:val="18"/>
                <w:szCs w:val="18"/>
              </w:rPr>
              <w:t>民爆物品</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tcBorders>
              <w:top w:val="nil"/>
              <w:left w:val="nil"/>
              <w:bottom w:val="single" w:color="auto"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34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7.</w:t>
            </w:r>
            <w:r>
              <w:rPr>
                <w:rFonts w:hint="eastAsia" w:ascii="宋体" w:hAnsi="宋体" w:cs="宋体"/>
                <w:kern w:val="0"/>
                <w:sz w:val="18"/>
                <w:szCs w:val="18"/>
              </w:rPr>
              <w:t>旅游</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restart"/>
            <w:tcBorders>
              <w:top w:val="nil"/>
              <w:left w:val="single" w:color="auto" w:sz="8" w:space="0"/>
              <w:bottom w:val="single" w:color="000000" w:sz="8" w:space="0"/>
              <w:right w:val="single" w:color="000000" w:sz="8"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督查出政府、企业层面问题隐患数量</w:t>
            </w:r>
            <w:r>
              <w:rPr>
                <w:rFonts w:ascii="宋体" w:hAnsi="宋体" w:cs="宋体"/>
                <w:kern w:val="0"/>
                <w:sz w:val="18"/>
                <w:szCs w:val="18"/>
              </w:rPr>
              <w:t>(</w:t>
            </w:r>
            <w:r>
              <w:rPr>
                <w:rFonts w:hint="eastAsia" w:ascii="宋体" w:hAnsi="宋体" w:cs="宋体"/>
                <w:kern w:val="0"/>
                <w:sz w:val="18"/>
                <w:szCs w:val="18"/>
              </w:rPr>
              <w:t>项</w:t>
            </w:r>
            <w:r>
              <w:rPr>
                <w:rFonts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8.</w:t>
            </w:r>
            <w:r>
              <w:rPr>
                <w:rFonts w:hint="eastAsia" w:ascii="宋体" w:hAnsi="宋体" w:cs="宋体"/>
                <w:kern w:val="0"/>
                <w:sz w:val="18"/>
                <w:szCs w:val="18"/>
              </w:rPr>
              <w:t>特种设备</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continue"/>
            <w:tcBorders>
              <w:top w:val="nil"/>
              <w:left w:val="single" w:color="auto" w:sz="8" w:space="0"/>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9.</w:t>
            </w:r>
            <w:r>
              <w:rPr>
                <w:rFonts w:hint="eastAsia" w:ascii="宋体" w:hAnsi="宋体" w:cs="宋体"/>
                <w:kern w:val="0"/>
                <w:sz w:val="18"/>
                <w:szCs w:val="18"/>
              </w:rPr>
              <w:t>消防及公共安全</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tcBorders>
              <w:top w:val="nil"/>
              <w:left w:val="nil"/>
              <w:bottom w:val="single" w:color="000000" w:sz="8" w:space="0"/>
              <w:right w:val="single" w:color="000000" w:sz="8" w:space="0"/>
            </w:tcBorders>
            <w:vAlign w:val="center"/>
          </w:tcPr>
          <w:p>
            <w:pPr>
              <w:widowControl/>
              <w:spacing w:line="200" w:lineRule="exact"/>
              <w:jc w:val="center"/>
              <w:rPr>
                <w:rFonts w:ascii="宋体" w:cs="Times New Roman"/>
                <w:kern w:val="0"/>
                <w:sz w:val="18"/>
                <w:szCs w:val="18"/>
              </w:rPr>
            </w:pPr>
          </w:p>
        </w:tc>
      </w:tr>
      <w:tr>
        <w:tblPrEx>
          <w:tblLayout w:type="fixed"/>
          <w:tblCellMar>
            <w:top w:w="0" w:type="dxa"/>
            <w:left w:w="108" w:type="dxa"/>
            <w:bottom w:w="0" w:type="dxa"/>
            <w:right w:w="108" w:type="dxa"/>
          </w:tblCellMar>
        </w:tblPrEx>
        <w:trPr>
          <w:trHeight w:val="354"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10.</w:t>
            </w:r>
            <w:r>
              <w:rPr>
                <w:rFonts w:hint="eastAsia" w:ascii="宋体" w:hAnsi="宋体" w:cs="宋体"/>
                <w:kern w:val="0"/>
                <w:sz w:val="18"/>
                <w:szCs w:val="18"/>
              </w:rPr>
              <w:t>电力、水利</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b/>
                <w:bCs/>
                <w:kern w:val="0"/>
                <w:sz w:val="18"/>
                <w:szCs w:val="18"/>
              </w:rPr>
            </w:pPr>
          </w:p>
        </w:tc>
        <w:tc>
          <w:tcPr>
            <w:tcW w:w="1695" w:type="dxa"/>
            <w:vMerge w:val="restart"/>
            <w:tcBorders>
              <w:top w:val="nil"/>
              <w:left w:val="single" w:color="auto" w:sz="8" w:space="0"/>
              <w:bottom w:val="single" w:color="000000" w:sz="8" w:space="0"/>
              <w:right w:val="single" w:color="000000" w:sz="8"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政府、企业层面问题隐患已整治数量</w:t>
            </w:r>
            <w:r>
              <w:rPr>
                <w:rFonts w:ascii="宋体" w:hAnsi="宋体" w:cs="宋体"/>
                <w:kern w:val="0"/>
                <w:sz w:val="18"/>
                <w:szCs w:val="18"/>
              </w:rPr>
              <w:t>(</w:t>
            </w:r>
            <w:r>
              <w:rPr>
                <w:rFonts w:hint="eastAsia" w:ascii="宋体" w:hAnsi="宋体" w:cs="宋体"/>
                <w:kern w:val="0"/>
                <w:sz w:val="18"/>
                <w:szCs w:val="18"/>
              </w:rPr>
              <w:t>项</w:t>
            </w:r>
            <w:r>
              <w:rPr>
                <w:rFonts w:ascii="宋体" w:hAnsi="宋体" w:cs="宋体"/>
                <w:kern w:val="0"/>
                <w:sz w:val="18"/>
                <w:szCs w:val="18"/>
              </w:rPr>
              <w:t>)</w:t>
            </w: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11.</w:t>
            </w:r>
            <w:r>
              <w:rPr>
                <w:rFonts w:hint="eastAsia" w:ascii="宋体" w:hAnsi="宋体" w:cs="宋体"/>
                <w:kern w:val="0"/>
                <w:sz w:val="18"/>
                <w:szCs w:val="18"/>
              </w:rPr>
              <w:t>冶金工贸</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1695" w:type="dxa"/>
            <w:vMerge w:val="continue"/>
            <w:tcBorders>
              <w:top w:val="nil"/>
              <w:left w:val="single" w:color="auto" w:sz="8" w:space="0"/>
              <w:bottom w:val="single" w:color="000000" w:sz="8" w:space="0"/>
              <w:right w:val="single" w:color="000000" w:sz="8" w:space="0"/>
            </w:tcBorders>
            <w:vAlign w:val="center"/>
          </w:tcPr>
          <w:p>
            <w:pPr>
              <w:widowControl/>
              <w:jc w:val="left"/>
              <w:rPr>
                <w:rFonts w:ascii="宋体" w:cs="Times New Roman"/>
                <w:b/>
                <w:bCs/>
                <w:kern w:val="0"/>
                <w:sz w:val="18"/>
                <w:szCs w:val="18"/>
              </w:rPr>
            </w:pPr>
          </w:p>
        </w:tc>
      </w:tr>
      <w:tr>
        <w:tblPrEx>
          <w:tblLayout w:type="fixed"/>
          <w:tblCellMar>
            <w:top w:w="0" w:type="dxa"/>
            <w:left w:w="108" w:type="dxa"/>
            <w:bottom w:w="0" w:type="dxa"/>
            <w:right w:w="108" w:type="dxa"/>
          </w:tblCellMar>
        </w:tblPrEx>
        <w:trPr>
          <w:trHeight w:val="20" w:hRule="atLeast"/>
          <w:jc w:val="center"/>
        </w:trPr>
        <w:tc>
          <w:tcPr>
            <w:tcW w:w="1819" w:type="dxa"/>
            <w:tcBorders>
              <w:top w:val="nil"/>
              <w:left w:val="single" w:color="000000" w:sz="8" w:space="0"/>
              <w:bottom w:val="single" w:color="000000" w:sz="8" w:space="0"/>
              <w:right w:val="single" w:color="000000" w:sz="8" w:space="0"/>
            </w:tcBorders>
            <w:vAlign w:val="center"/>
          </w:tcPr>
          <w:p>
            <w:pPr>
              <w:widowControl/>
              <w:jc w:val="left"/>
              <w:rPr>
                <w:rFonts w:ascii="宋体" w:cs="Times New Roman"/>
                <w:kern w:val="0"/>
                <w:sz w:val="18"/>
                <w:szCs w:val="18"/>
              </w:rPr>
            </w:pPr>
            <w:r>
              <w:rPr>
                <w:rFonts w:ascii="宋体" w:hAnsi="宋体" w:cs="宋体"/>
                <w:kern w:val="0"/>
                <w:sz w:val="18"/>
                <w:szCs w:val="18"/>
              </w:rPr>
              <w:t>12.</w:t>
            </w:r>
            <w:r>
              <w:rPr>
                <w:rFonts w:hint="eastAsia" w:ascii="宋体" w:hAnsi="宋体" w:cs="宋体"/>
                <w:kern w:val="0"/>
                <w:sz w:val="18"/>
                <w:szCs w:val="18"/>
              </w:rPr>
              <w:t>其他行业（领域）</w:t>
            </w: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91"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639"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848"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904" w:type="dxa"/>
            <w:tcBorders>
              <w:top w:val="nil"/>
              <w:left w:val="nil"/>
              <w:bottom w:val="single" w:color="000000" w:sz="8" w:space="0"/>
              <w:right w:val="single" w:color="000000" w:sz="8" w:space="0"/>
            </w:tcBorders>
            <w:vAlign w:val="center"/>
          </w:tcPr>
          <w:p>
            <w:pPr>
              <w:widowControl/>
              <w:jc w:val="center"/>
              <w:rPr>
                <w:rFonts w:ascii="宋体" w:cs="Times New Roman"/>
                <w:kern w:val="0"/>
                <w:sz w:val="18"/>
                <w:szCs w:val="18"/>
              </w:rPr>
            </w:pPr>
          </w:p>
        </w:tc>
        <w:tc>
          <w:tcPr>
            <w:tcW w:w="756" w:type="dxa"/>
            <w:tcBorders>
              <w:top w:val="nil"/>
              <w:left w:val="nil"/>
              <w:bottom w:val="single" w:color="000000" w:sz="8" w:space="0"/>
              <w:right w:val="single" w:color="auto" w:sz="8" w:space="0"/>
            </w:tcBorders>
            <w:vAlign w:val="center"/>
          </w:tcPr>
          <w:p>
            <w:pPr>
              <w:widowControl/>
              <w:jc w:val="center"/>
              <w:rPr>
                <w:rFonts w:ascii="宋体" w:cs="Times New Roman"/>
                <w:kern w:val="0"/>
                <w:sz w:val="18"/>
                <w:szCs w:val="18"/>
              </w:rPr>
            </w:pPr>
          </w:p>
        </w:tc>
        <w:tc>
          <w:tcPr>
            <w:tcW w:w="1695" w:type="dxa"/>
            <w:tcBorders>
              <w:top w:val="nil"/>
              <w:left w:val="nil"/>
              <w:bottom w:val="single" w:color="000000" w:sz="8" w:space="0"/>
              <w:right w:val="single" w:color="000000" w:sz="8" w:space="0"/>
            </w:tcBorders>
          </w:tcPr>
          <w:p>
            <w:pPr>
              <w:widowControl/>
              <w:jc w:val="center"/>
              <w:rPr>
                <w:rFonts w:ascii="宋体" w:cs="Times New Roman"/>
                <w:kern w:val="0"/>
                <w:sz w:val="18"/>
                <w:szCs w:val="18"/>
              </w:rPr>
            </w:pPr>
            <w:r>
              <w:rPr>
                <w:rFonts w:hint="eastAsia" w:ascii="宋体" w:hAnsi="宋体" w:cs="宋体"/>
                <w:kern w:val="0"/>
                <w:sz w:val="18"/>
                <w:szCs w:val="18"/>
              </w:rPr>
              <w:t>　</w:t>
            </w:r>
          </w:p>
        </w:tc>
      </w:tr>
    </w:tbl>
    <w:p>
      <w:pPr>
        <w:spacing w:line="580" w:lineRule="exact"/>
        <w:rPr>
          <w:rFonts w:ascii="宋体" w:hAnsi="宋体" w:cs="宋体"/>
          <w:sz w:val="24"/>
          <w:szCs w:val="24"/>
        </w:rPr>
      </w:pPr>
      <w:r>
        <w:rPr>
          <w:rFonts w:hint="eastAsia" w:ascii="宋体" w:hAnsi="宋体" w:cs="宋体"/>
          <w:sz w:val="24"/>
          <w:szCs w:val="24"/>
        </w:rPr>
        <w:t>审签人：</w:t>
      </w:r>
      <w:r>
        <w:rPr>
          <w:rFonts w:ascii="宋体" w:hAnsi="宋体" w:cs="宋体"/>
          <w:sz w:val="24"/>
          <w:szCs w:val="24"/>
        </w:rPr>
        <w:t xml:space="preserve">                             </w:t>
      </w:r>
      <w:r>
        <w:rPr>
          <w:rFonts w:hint="eastAsia" w:ascii="宋体" w:hAnsi="宋体" w:cs="宋体"/>
          <w:sz w:val="24"/>
          <w:szCs w:val="24"/>
        </w:rPr>
        <w:t>填报人：</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        </w:t>
      </w:r>
    </w:p>
    <w:p>
      <w:pPr>
        <w:spacing w:line="580" w:lineRule="exact"/>
        <w:jc w:val="left"/>
        <w:outlineLvl w:val="0"/>
        <w:rPr>
          <w:rFonts w:eastAsia="黑体" w:cs="Times New Roman"/>
          <w:sz w:val="32"/>
          <w:szCs w:val="32"/>
        </w:rPr>
        <w:sectPr>
          <w:footerReference r:id="rId5" w:type="default"/>
          <w:footerReference r:id="rId6" w:type="even"/>
          <w:pgSz w:w="16838" w:h="11906" w:orient="landscape"/>
          <w:pgMar w:top="1474" w:right="1474" w:bottom="1474" w:left="1588" w:header="851" w:footer="1531" w:gutter="0"/>
          <w:cols w:space="720" w:num="1"/>
          <w:docGrid w:type="lines" w:linePitch="312" w:charSpace="0"/>
        </w:sectPr>
      </w:pPr>
    </w:p>
    <w:p>
      <w:pPr>
        <w:spacing w:line="580" w:lineRule="exact"/>
        <w:jc w:val="left"/>
        <w:outlineLvl w:val="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jc w:val="center"/>
        <w:outlineLvl w:val="0"/>
        <w:rPr>
          <w:rFonts w:ascii="方正小标宋_GBK" w:eastAsia="方正小标宋_GBK" w:cs="Times New Roman"/>
          <w:sz w:val="44"/>
          <w:szCs w:val="44"/>
        </w:rPr>
      </w:pPr>
      <w:r>
        <w:rPr>
          <w:rFonts w:hint="eastAsia" w:ascii="方正小标宋_GBK" w:eastAsia="方正小标宋_GBK" w:cs="方正小标宋_GBK"/>
          <w:sz w:val="44"/>
          <w:szCs w:val="44"/>
        </w:rPr>
        <w:t>安全生产大检查和十大专项整治行动情况明细表</w:t>
      </w:r>
    </w:p>
    <w:p>
      <w:pPr>
        <w:spacing w:line="500" w:lineRule="exact"/>
        <w:jc w:val="center"/>
        <w:rPr>
          <w:rFonts w:ascii="楷体_GB2312" w:eastAsia="楷体_GB2312" w:cs="Times New Roman"/>
          <w:sz w:val="28"/>
          <w:szCs w:val="28"/>
        </w:rPr>
      </w:pPr>
      <w:r>
        <w:rPr>
          <w:rFonts w:ascii="楷体_GB2312" w:eastAsia="楷体_GB2312" w:cs="楷体_GB2312"/>
          <w:sz w:val="28"/>
          <w:szCs w:val="28"/>
        </w:rPr>
        <w:t>2019</w:t>
      </w:r>
      <w:r>
        <w:rPr>
          <w:rFonts w:hint="eastAsia" w:ascii="楷体_GB2312" w:eastAsia="楷体_GB2312" w:cs="楷体_GB2312"/>
          <w:sz w:val="28"/>
          <w:szCs w:val="28"/>
        </w:rPr>
        <w:t>年</w:t>
      </w:r>
      <w:r>
        <w:rPr>
          <w:rFonts w:ascii="楷体_GB2312" w:eastAsia="楷体_GB2312" w:cs="楷体_GB2312"/>
          <w:sz w:val="28"/>
          <w:szCs w:val="28"/>
        </w:rPr>
        <w:t>4</w:t>
      </w:r>
      <w:r>
        <w:rPr>
          <w:rFonts w:hint="eastAsia" w:ascii="楷体_GB2312" w:eastAsia="楷体_GB2312" w:cs="楷体_GB2312"/>
          <w:sz w:val="28"/>
          <w:szCs w:val="28"/>
        </w:rPr>
        <w:t>月至</w:t>
      </w:r>
      <w:r>
        <w:rPr>
          <w:rFonts w:ascii="楷体_GB2312" w:eastAsia="楷体_GB2312" w:cs="楷体_GB2312"/>
          <w:sz w:val="28"/>
          <w:szCs w:val="28"/>
        </w:rPr>
        <w:t xml:space="preserve">  </w:t>
      </w:r>
      <w:r>
        <w:rPr>
          <w:rFonts w:hint="eastAsia" w:ascii="楷体_GB2312" w:eastAsia="楷体_GB2312" w:cs="楷体_GB2312"/>
          <w:sz w:val="28"/>
          <w:szCs w:val="28"/>
        </w:rPr>
        <w:t>月（累计）</w:t>
      </w:r>
    </w:p>
    <w:p>
      <w:pPr>
        <w:spacing w:line="500" w:lineRule="exact"/>
        <w:rPr>
          <w:rFonts w:ascii="楷体_GB2312" w:eastAsia="楷体_GB2312" w:cs="Times New Roman"/>
          <w:sz w:val="32"/>
          <w:szCs w:val="32"/>
        </w:rPr>
      </w:pPr>
      <w:r>
        <w:rPr>
          <w:rFonts w:hint="eastAsia" w:ascii="楷体_GB2312" w:eastAsia="楷体_GB2312" w:cs="楷体_GB2312"/>
          <w:sz w:val="28"/>
          <w:szCs w:val="28"/>
        </w:rPr>
        <w:t>填报单位：</w:t>
      </w:r>
      <w:r>
        <w:rPr>
          <w:rFonts w:ascii="楷体_GB2312" w:eastAsia="楷体_GB2312" w:cs="楷体_GB2312"/>
          <w:sz w:val="28"/>
          <w:szCs w:val="28"/>
        </w:rPr>
        <w:t xml:space="preserve">                                                     </w:t>
      </w:r>
      <w:r>
        <w:rPr>
          <w:rFonts w:hint="eastAsia" w:ascii="楷体_GB2312" w:eastAsia="楷体_GB2312" w:cs="楷体_GB2312"/>
          <w:sz w:val="28"/>
          <w:szCs w:val="28"/>
        </w:rPr>
        <w:t>填报日期：</w:t>
      </w:r>
    </w:p>
    <w:tbl>
      <w:tblPr>
        <w:tblStyle w:val="8"/>
        <w:tblpPr w:leftFromText="180" w:rightFromText="180" w:vertAnchor="page" w:horzAnchor="margin" w:tblpXSpec="center" w:tblpY="3961"/>
        <w:tblW w:w="13568" w:type="dxa"/>
        <w:tblInd w:w="0" w:type="dxa"/>
        <w:tblLayout w:type="fixed"/>
        <w:tblCellMar>
          <w:top w:w="0" w:type="dxa"/>
          <w:left w:w="108" w:type="dxa"/>
          <w:bottom w:w="0" w:type="dxa"/>
          <w:right w:w="108" w:type="dxa"/>
        </w:tblCellMar>
      </w:tblPr>
      <w:tblGrid>
        <w:gridCol w:w="1130"/>
        <w:gridCol w:w="1606"/>
        <w:gridCol w:w="3008"/>
        <w:gridCol w:w="1945"/>
        <w:gridCol w:w="2013"/>
        <w:gridCol w:w="2487"/>
        <w:gridCol w:w="1379"/>
      </w:tblGrid>
      <w:tr>
        <w:tblPrEx>
          <w:tblLayout w:type="fixed"/>
          <w:tblCellMar>
            <w:top w:w="0" w:type="dxa"/>
            <w:left w:w="108" w:type="dxa"/>
            <w:bottom w:w="0" w:type="dxa"/>
            <w:right w:w="108" w:type="dxa"/>
          </w:tblCellMar>
        </w:tblPrEx>
        <w:trPr>
          <w:trHeight w:val="699" w:hRule="atLeast"/>
        </w:trPr>
        <w:tc>
          <w:tcPr>
            <w:tcW w:w="2736" w:type="dxa"/>
            <w:gridSpan w:val="2"/>
            <w:tcBorders>
              <w:top w:val="single" w:color="auto" w:sz="4" w:space="0"/>
              <w:left w:val="single" w:color="auto" w:sz="4" w:space="0"/>
              <w:bottom w:val="single" w:color="auto" w:sz="4" w:space="0"/>
              <w:right w:val="single" w:color="000000" w:sz="4" w:space="0"/>
            </w:tcBorders>
            <w:noWrap/>
            <w:vAlign w:val="center"/>
          </w:tcPr>
          <w:p>
            <w:pPr>
              <w:spacing w:line="240" w:lineRule="exact"/>
              <w:jc w:val="center"/>
              <w:rPr>
                <w:rFonts w:ascii="宋体" w:cs="Times New Roman"/>
                <w:b/>
                <w:bCs/>
              </w:rPr>
            </w:pPr>
            <w:r>
              <w:rPr>
                <w:rFonts w:hint="eastAsia" w:ascii="宋体" w:hAnsi="宋体" w:cs="宋体"/>
                <w:b/>
                <w:bCs/>
              </w:rPr>
              <w:t>项目名称及分类</w:t>
            </w:r>
          </w:p>
        </w:tc>
        <w:tc>
          <w:tcPr>
            <w:tcW w:w="300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企业名称</w:t>
            </w:r>
          </w:p>
        </w:tc>
        <w:tc>
          <w:tcPr>
            <w:tcW w:w="194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所属县（市、区）</w:t>
            </w:r>
          </w:p>
        </w:tc>
        <w:tc>
          <w:tcPr>
            <w:tcW w:w="201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所属行业（领域）</w:t>
            </w:r>
          </w:p>
        </w:tc>
        <w:tc>
          <w:tcPr>
            <w:tcW w:w="248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整改进展情况</w:t>
            </w:r>
          </w:p>
        </w:tc>
        <w:tc>
          <w:tcPr>
            <w:tcW w:w="137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已累计投入整改资金</w:t>
            </w:r>
          </w:p>
          <w:p>
            <w:pPr>
              <w:spacing w:line="240" w:lineRule="exact"/>
              <w:jc w:val="center"/>
              <w:rPr>
                <w:rFonts w:ascii="宋体" w:cs="Times New Roman"/>
                <w:b/>
                <w:bCs/>
              </w:rPr>
            </w:pPr>
            <w:r>
              <w:rPr>
                <w:rFonts w:hint="eastAsia" w:ascii="宋体" w:hAnsi="宋体" w:cs="宋体"/>
                <w:b/>
                <w:bCs/>
              </w:rPr>
              <w:t>（万元）</w:t>
            </w:r>
          </w:p>
        </w:tc>
      </w:tr>
      <w:tr>
        <w:tblPrEx>
          <w:tblLayout w:type="fixed"/>
          <w:tblCellMar>
            <w:top w:w="0" w:type="dxa"/>
            <w:left w:w="108" w:type="dxa"/>
            <w:bottom w:w="0" w:type="dxa"/>
            <w:right w:w="108" w:type="dxa"/>
          </w:tblCellMar>
        </w:tblPrEx>
        <w:trPr>
          <w:trHeight w:val="271" w:hRule="atLeast"/>
        </w:trPr>
        <w:tc>
          <w:tcPr>
            <w:tcW w:w="113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重大隐患整改情况</w:t>
            </w:r>
          </w:p>
        </w:tc>
        <w:tc>
          <w:tcPr>
            <w:tcW w:w="160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重大隐患简况</w:t>
            </w: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w:t>
            </w:r>
          </w:p>
        </w:tc>
        <w:tc>
          <w:tcPr>
            <w:tcW w:w="1945"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1379"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w:t>
            </w:r>
          </w:p>
        </w:tc>
        <w:tc>
          <w:tcPr>
            <w:tcW w:w="1945"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1379"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trHeight w:val="252"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cs="宋体"/>
              </w:rPr>
              <w:t>……</w:t>
            </w:r>
          </w:p>
        </w:tc>
        <w:tc>
          <w:tcPr>
            <w:tcW w:w="1945"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1379"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r>
      <w:tr>
        <w:tblPrEx>
          <w:tblLayout w:type="fixed"/>
          <w:tblCellMar>
            <w:top w:w="0" w:type="dxa"/>
            <w:left w:w="108" w:type="dxa"/>
            <w:bottom w:w="0" w:type="dxa"/>
            <w:right w:w="108" w:type="dxa"/>
          </w:tblCellMar>
        </w:tblPrEx>
        <w:trPr>
          <w:trHeight w:val="259" w:hRule="atLeast"/>
        </w:trPr>
        <w:tc>
          <w:tcPr>
            <w:tcW w:w="113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实施处罚情况</w:t>
            </w:r>
          </w:p>
        </w:tc>
        <w:tc>
          <w:tcPr>
            <w:tcW w:w="160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停产整顿</w:t>
            </w: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暂扣吊销证照</w:t>
            </w: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关闭取缔</w:t>
            </w: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Times New Roman"/>
                <w:b/>
                <w:bCs/>
              </w:rPr>
            </w:pPr>
            <w:r>
              <w:rPr>
                <w:rFonts w:hint="eastAsia" w:ascii="宋体" w:hAnsi="宋体" w:cs="宋体"/>
                <w:b/>
                <w:bCs/>
              </w:rPr>
              <w:t>问责曝光责任单位及个人</w:t>
            </w: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1.</w:t>
            </w:r>
            <w:r>
              <w:rPr>
                <w:rFonts w:hint="eastAsia" w:ascii="宋体" w:hAnsi="宋体" w:cs="宋体"/>
              </w:rPr>
              <w:t>……</w:t>
            </w:r>
          </w:p>
        </w:tc>
        <w:tc>
          <w:tcPr>
            <w:tcW w:w="1945"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vAlign w:val="center"/>
          </w:tcPr>
          <w:p>
            <w:pPr>
              <w:spacing w:line="240" w:lineRule="exact"/>
              <w:rPr>
                <w:rFonts w:ascii="宋体" w:cs="Times New Roman"/>
              </w:rPr>
            </w:pPr>
            <w:r>
              <w:rPr>
                <w:rFonts w:ascii="宋体" w:hAnsi="宋体" w:cs="宋体"/>
              </w:rPr>
              <w:t>2.</w:t>
            </w:r>
            <w:r>
              <w:rPr>
                <w:rFonts w:hint="eastAsia" w:ascii="宋体" w:hAnsi="宋体" w:cs="宋体"/>
              </w:rPr>
              <w:t>……</w:t>
            </w:r>
          </w:p>
        </w:tc>
        <w:tc>
          <w:tcPr>
            <w:tcW w:w="1945"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r>
        <w:tblPrEx>
          <w:tblLayout w:type="fixed"/>
          <w:tblCellMar>
            <w:top w:w="0" w:type="dxa"/>
            <w:left w:w="108" w:type="dxa"/>
            <w:bottom w:w="0" w:type="dxa"/>
            <w:right w:w="108" w:type="dxa"/>
          </w:tblCellMar>
        </w:tblPrEx>
        <w:trPr>
          <w:trHeight w:val="259" w:hRule="atLeast"/>
        </w:trPr>
        <w:tc>
          <w:tcPr>
            <w:tcW w:w="1130"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rPr>
            </w:pPr>
          </w:p>
        </w:tc>
        <w:tc>
          <w:tcPr>
            <w:tcW w:w="1606" w:type="dxa"/>
            <w:vMerge w:val="continue"/>
            <w:tcBorders>
              <w:top w:val="nil"/>
              <w:left w:val="single" w:color="auto" w:sz="4" w:space="0"/>
              <w:bottom w:val="single" w:color="auto" w:sz="4" w:space="0"/>
              <w:right w:val="single" w:color="auto" w:sz="4" w:space="0"/>
            </w:tcBorders>
            <w:vAlign w:val="center"/>
          </w:tcPr>
          <w:p>
            <w:pPr>
              <w:spacing w:line="240" w:lineRule="exact"/>
              <w:rPr>
                <w:rFonts w:ascii="宋体" w:cs="Times New Roman"/>
                <w:b/>
                <w:bCs/>
              </w:rPr>
            </w:pPr>
          </w:p>
        </w:tc>
        <w:tc>
          <w:tcPr>
            <w:tcW w:w="3008"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cs="宋体"/>
              </w:rPr>
              <w:t>……</w:t>
            </w:r>
          </w:p>
        </w:tc>
        <w:tc>
          <w:tcPr>
            <w:tcW w:w="1945"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013" w:type="dxa"/>
            <w:tcBorders>
              <w:top w:val="nil"/>
              <w:left w:val="nil"/>
              <w:bottom w:val="single" w:color="auto" w:sz="4" w:space="0"/>
              <w:right w:val="single" w:color="auto" w:sz="4" w:space="0"/>
            </w:tcBorders>
            <w:noWrap/>
            <w:vAlign w:val="center"/>
          </w:tcPr>
          <w:p>
            <w:pPr>
              <w:spacing w:line="240" w:lineRule="exact"/>
              <w:rPr>
                <w:rFonts w:ascii="宋体" w:cs="Times New Roman"/>
              </w:rPr>
            </w:pPr>
            <w:r>
              <w:rPr>
                <w:rFonts w:hint="eastAsia" w:ascii="宋体" w:hAnsi="宋体" w:cs="宋体"/>
              </w:rPr>
              <w:t>　</w:t>
            </w:r>
          </w:p>
        </w:tc>
        <w:tc>
          <w:tcPr>
            <w:tcW w:w="2487"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c>
          <w:tcPr>
            <w:tcW w:w="1379" w:type="dxa"/>
            <w:tcBorders>
              <w:top w:val="nil"/>
              <w:left w:val="nil"/>
              <w:bottom w:val="single" w:color="auto" w:sz="4" w:space="0"/>
              <w:right w:val="single" w:color="auto" w:sz="4" w:space="0"/>
            </w:tcBorders>
            <w:noWrap/>
            <w:vAlign w:val="center"/>
          </w:tcPr>
          <w:p>
            <w:pPr>
              <w:spacing w:line="240" w:lineRule="exact"/>
              <w:jc w:val="center"/>
              <w:rPr>
                <w:rFonts w:ascii="宋体" w:hAnsi="宋体" w:cs="宋体"/>
              </w:rPr>
            </w:pPr>
            <w:r>
              <w:rPr>
                <w:rFonts w:ascii="宋体" w:hAnsi="宋体" w:cs="宋体"/>
              </w:rPr>
              <w:t>——</w:t>
            </w:r>
          </w:p>
        </w:tc>
      </w:tr>
    </w:tbl>
    <w:p>
      <w:pPr>
        <w:spacing w:line="300" w:lineRule="exact"/>
        <w:rPr>
          <w:rFonts w:ascii="宋体" w:cs="Times New Roman"/>
        </w:rPr>
      </w:pPr>
      <w:r>
        <w:rPr>
          <w:rFonts w:hint="eastAsia" w:ascii="宋体" w:hAnsi="宋体" w:cs="宋体"/>
        </w:rPr>
        <w:t>审签人：</w:t>
      </w:r>
      <w:r>
        <w:rPr>
          <w:rFonts w:ascii="宋体" w:hAnsi="宋体" w:cs="宋体"/>
        </w:rPr>
        <w:t xml:space="preserve">                                      </w:t>
      </w:r>
      <w:r>
        <w:rPr>
          <w:rFonts w:hint="eastAsia" w:ascii="宋体" w:hAnsi="宋体" w:cs="宋体"/>
        </w:rPr>
        <w:t>填报人：</w:t>
      </w:r>
      <w:r>
        <w:rPr>
          <w:rFonts w:ascii="宋体" w:hAnsi="宋体" w:cs="宋体"/>
        </w:rPr>
        <w:t xml:space="preserve">                                    </w:t>
      </w:r>
      <w:r>
        <w:rPr>
          <w:rFonts w:hint="eastAsia" w:ascii="宋体" w:hAnsi="宋体" w:cs="宋体"/>
        </w:rPr>
        <w:t>联系电话：</w:t>
      </w:r>
    </w:p>
    <w:p>
      <w:pPr>
        <w:spacing w:line="280" w:lineRule="exact"/>
        <w:ind w:firstLine="211" w:firstLineChars="100"/>
        <w:rPr>
          <w:rFonts w:ascii="黑体" w:hAnsi="黑体" w:eastAsia="黑体" w:cs="Times New Roman"/>
          <w:spacing w:val="-2"/>
          <w:sz w:val="32"/>
          <w:szCs w:val="32"/>
        </w:rPr>
      </w:pPr>
      <w:r>
        <w:rPr>
          <w:rFonts w:hint="eastAsia" w:cs="宋体"/>
          <w:b/>
          <w:bCs/>
        </w:rPr>
        <w:t>说明：</w:t>
      </w:r>
      <w:r>
        <w:t>1.</w:t>
      </w:r>
      <w:r>
        <w:rPr>
          <w:rFonts w:hint="eastAsia" w:cs="宋体"/>
        </w:rPr>
        <w:t>《安全生产大检查和十大专项整治行动工作情况明细表》中的各单项明细总量要与《安全生产大检查和十大专项整治行动工作情况统计表》中单项数据一致；</w:t>
      </w:r>
      <w:r>
        <w:t>2.</w:t>
      </w:r>
      <w:r>
        <w:rPr>
          <w:rFonts w:hint="eastAsia" w:cs="宋体"/>
        </w:rPr>
        <w:t>所属行业（领域）按照《安全生产大检查和十大专项整治行动工作情况统计表》中</w:t>
      </w:r>
      <w:r>
        <w:t>12</w:t>
      </w:r>
      <w:r>
        <w:rPr>
          <w:rFonts w:hint="eastAsia" w:cs="宋体"/>
        </w:rPr>
        <w:t>个行业分类进行填报。</w:t>
      </w:r>
      <w:r>
        <w:t>3.</w:t>
      </w:r>
      <w:r>
        <w:rPr>
          <w:rFonts w:hint="eastAsia" w:cs="宋体"/>
        </w:rPr>
        <w:t>重大整改进展情况填报</w:t>
      </w:r>
      <w:r>
        <w:t>”</w:t>
      </w:r>
      <w:r>
        <w:rPr>
          <w:rFonts w:hint="eastAsia" w:cs="宋体"/>
        </w:rPr>
        <w:t>未整改、整改中、预计整改完成时间、已整改完成。</w:t>
      </w:r>
    </w:p>
    <w:sectPr>
      <w:pgSz w:w="16838" w:h="11906" w:orient="landscape"/>
      <w:pgMar w:top="1701" w:right="1474" w:bottom="1701" w:left="1588"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Times New Roman"/>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5</w:t>
    </w:r>
    <w:r>
      <w:rPr>
        <w:rStyle w:val="10"/>
        <w:rFonts w:ascii="宋体" w:hAnsi="宋体" w:cs="宋体"/>
        <w:sz w:val="28"/>
        <w:szCs w:val="28"/>
      </w:rPr>
      <w:fldChar w:fldCharType="end"/>
    </w:r>
    <w:r>
      <w:rPr>
        <w:rStyle w:val="10"/>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545" w:wrap="around" w:vAnchor="text" w:hAnchor="margin" w:xAlign="outside" w:y="7"/>
      <w:rPr>
        <w:rStyle w:val="10"/>
        <w:rFonts w:ascii="宋体" w:cs="Times New Roman"/>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6</w:t>
    </w:r>
    <w:r>
      <w:rPr>
        <w:rStyle w:val="10"/>
        <w:rFonts w:ascii="宋体" w:hAnsi="宋体" w:cs="宋体"/>
        <w:sz w:val="28"/>
        <w:szCs w:val="28"/>
      </w:rPr>
      <w:fldChar w:fldCharType="end"/>
    </w:r>
    <w:r>
      <w:rPr>
        <w:rStyle w:val="10"/>
        <w:rFonts w:ascii="宋体" w:hAnsi="宋体" w:cs="宋体"/>
        <w:sz w:val="28"/>
        <w:szCs w:val="28"/>
      </w:rPr>
      <w:t xml:space="preserve"> —</w:t>
    </w:r>
  </w:p>
  <w:p>
    <w:pPr>
      <w:pStyle w:val="5"/>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Times New Roman"/>
        <w:sz w:val="28"/>
        <w:szCs w:val="28"/>
      </w:rPr>
    </w:pPr>
    <w:r>
      <w:rPr>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15</w:t>
    </w:r>
    <w:r>
      <w:rPr>
        <w:rStyle w:val="10"/>
        <w:rFonts w:ascii="宋体" w:hAnsi="宋体" w:cs="宋体"/>
        <w:sz w:val="28"/>
        <w:szCs w:val="28"/>
      </w:rPr>
      <w:fldChar w:fldCharType="end"/>
    </w:r>
    <w:r>
      <w:rPr>
        <w:rFonts w:ascii="宋体" w:hAnsi="宋体" w:cs="宋体"/>
        <w:sz w:val="28"/>
        <w:szCs w:val="28"/>
      </w:rPr>
      <w:t xml:space="preserve"> —</w:t>
    </w:r>
  </w:p>
  <w:p>
    <w:pPr>
      <w:pStyle w:val="5"/>
      <w:ind w:right="360" w:firstLine="36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Times New Roman"/>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16</w:t>
    </w:r>
    <w:r>
      <w:rPr>
        <w:rStyle w:val="10"/>
        <w:rFonts w:ascii="宋体" w:hAnsi="宋体" w:cs="宋体"/>
        <w:sz w:val="28"/>
        <w:szCs w:val="28"/>
      </w:rPr>
      <w:fldChar w:fldCharType="end"/>
    </w:r>
    <w:r>
      <w:rPr>
        <w:rStyle w:val="10"/>
        <w:rFonts w:ascii="宋体" w:hAnsi="宋体" w:cs="宋体"/>
        <w:sz w:val="28"/>
        <w:szCs w:val="28"/>
      </w:rPr>
      <w:t xml:space="preserve"> —</w:t>
    </w:r>
  </w:p>
  <w:p>
    <w:pPr>
      <w:pStyle w:val="5"/>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3"/>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77"/>
    <w:rsid w:val="0000540A"/>
    <w:rsid w:val="000425A8"/>
    <w:rsid w:val="00064CA4"/>
    <w:rsid w:val="000745D4"/>
    <w:rsid w:val="00077FB1"/>
    <w:rsid w:val="00083928"/>
    <w:rsid w:val="000A62D1"/>
    <w:rsid w:val="000B0167"/>
    <w:rsid w:val="000B2928"/>
    <w:rsid w:val="000E47EE"/>
    <w:rsid w:val="00107BBE"/>
    <w:rsid w:val="00107F83"/>
    <w:rsid w:val="00110B48"/>
    <w:rsid w:val="001117AB"/>
    <w:rsid w:val="00117873"/>
    <w:rsid w:val="001222E1"/>
    <w:rsid w:val="0012505A"/>
    <w:rsid w:val="001333BE"/>
    <w:rsid w:val="0013509B"/>
    <w:rsid w:val="00145839"/>
    <w:rsid w:val="00147312"/>
    <w:rsid w:val="00153E63"/>
    <w:rsid w:val="00184D63"/>
    <w:rsid w:val="00186EC9"/>
    <w:rsid w:val="001972B8"/>
    <w:rsid w:val="001B3C1A"/>
    <w:rsid w:val="001D19A5"/>
    <w:rsid w:val="001E0D0E"/>
    <w:rsid w:val="001F0822"/>
    <w:rsid w:val="00220056"/>
    <w:rsid w:val="00225629"/>
    <w:rsid w:val="0023015D"/>
    <w:rsid w:val="0025557E"/>
    <w:rsid w:val="00261784"/>
    <w:rsid w:val="0026329D"/>
    <w:rsid w:val="002633C2"/>
    <w:rsid w:val="00264007"/>
    <w:rsid w:val="00271447"/>
    <w:rsid w:val="002724A2"/>
    <w:rsid w:val="0028222E"/>
    <w:rsid w:val="00295963"/>
    <w:rsid w:val="002961EF"/>
    <w:rsid w:val="002B09E8"/>
    <w:rsid w:val="002D2812"/>
    <w:rsid w:val="002D64CB"/>
    <w:rsid w:val="002F54E2"/>
    <w:rsid w:val="003115A2"/>
    <w:rsid w:val="00320041"/>
    <w:rsid w:val="00380722"/>
    <w:rsid w:val="00385C44"/>
    <w:rsid w:val="00386811"/>
    <w:rsid w:val="00386E93"/>
    <w:rsid w:val="00391367"/>
    <w:rsid w:val="003A1524"/>
    <w:rsid w:val="003C248B"/>
    <w:rsid w:val="003C26F8"/>
    <w:rsid w:val="003C32A3"/>
    <w:rsid w:val="003C6102"/>
    <w:rsid w:val="003D0C6F"/>
    <w:rsid w:val="003D19C8"/>
    <w:rsid w:val="003F3431"/>
    <w:rsid w:val="00410734"/>
    <w:rsid w:val="00416D7A"/>
    <w:rsid w:val="004177AF"/>
    <w:rsid w:val="0043079C"/>
    <w:rsid w:val="00437399"/>
    <w:rsid w:val="00460F2E"/>
    <w:rsid w:val="004611A9"/>
    <w:rsid w:val="00461760"/>
    <w:rsid w:val="00461BE6"/>
    <w:rsid w:val="0046489D"/>
    <w:rsid w:val="00496DCA"/>
    <w:rsid w:val="004A4288"/>
    <w:rsid w:val="004A5085"/>
    <w:rsid w:val="004B0DB4"/>
    <w:rsid w:val="004B2AE7"/>
    <w:rsid w:val="004B48D2"/>
    <w:rsid w:val="004E0C6A"/>
    <w:rsid w:val="004F20E8"/>
    <w:rsid w:val="00510217"/>
    <w:rsid w:val="00520E94"/>
    <w:rsid w:val="005246A5"/>
    <w:rsid w:val="00525565"/>
    <w:rsid w:val="00541F17"/>
    <w:rsid w:val="00541F66"/>
    <w:rsid w:val="00560986"/>
    <w:rsid w:val="00570F3C"/>
    <w:rsid w:val="005734A8"/>
    <w:rsid w:val="00575EDF"/>
    <w:rsid w:val="005760F7"/>
    <w:rsid w:val="0058153F"/>
    <w:rsid w:val="00593793"/>
    <w:rsid w:val="005A1AF0"/>
    <w:rsid w:val="005A31CD"/>
    <w:rsid w:val="005A35A7"/>
    <w:rsid w:val="005A36B5"/>
    <w:rsid w:val="005B24E0"/>
    <w:rsid w:val="005C0892"/>
    <w:rsid w:val="005F3CFD"/>
    <w:rsid w:val="00610277"/>
    <w:rsid w:val="0061095D"/>
    <w:rsid w:val="00624F83"/>
    <w:rsid w:val="00634A54"/>
    <w:rsid w:val="00640CBF"/>
    <w:rsid w:val="00664E7C"/>
    <w:rsid w:val="00665B56"/>
    <w:rsid w:val="00667E0A"/>
    <w:rsid w:val="00670F4B"/>
    <w:rsid w:val="0068073C"/>
    <w:rsid w:val="00683C3F"/>
    <w:rsid w:val="00695590"/>
    <w:rsid w:val="006A4411"/>
    <w:rsid w:val="006A457D"/>
    <w:rsid w:val="006A56A0"/>
    <w:rsid w:val="006B0B88"/>
    <w:rsid w:val="006B1FAC"/>
    <w:rsid w:val="006C04F3"/>
    <w:rsid w:val="006C5F39"/>
    <w:rsid w:val="006D6E3F"/>
    <w:rsid w:val="006E5022"/>
    <w:rsid w:val="006E6400"/>
    <w:rsid w:val="006F4A09"/>
    <w:rsid w:val="00720BE7"/>
    <w:rsid w:val="00722CDF"/>
    <w:rsid w:val="00724AB9"/>
    <w:rsid w:val="00734E76"/>
    <w:rsid w:val="007711B7"/>
    <w:rsid w:val="00774AF9"/>
    <w:rsid w:val="00777ABC"/>
    <w:rsid w:val="007A47B7"/>
    <w:rsid w:val="007B737B"/>
    <w:rsid w:val="007D1AA1"/>
    <w:rsid w:val="007E04F6"/>
    <w:rsid w:val="007F6C91"/>
    <w:rsid w:val="00807B9E"/>
    <w:rsid w:val="00816829"/>
    <w:rsid w:val="008170F8"/>
    <w:rsid w:val="00823F32"/>
    <w:rsid w:val="00846D03"/>
    <w:rsid w:val="008476ED"/>
    <w:rsid w:val="008551FD"/>
    <w:rsid w:val="0086353D"/>
    <w:rsid w:val="00863E5E"/>
    <w:rsid w:val="00871194"/>
    <w:rsid w:val="0087237D"/>
    <w:rsid w:val="008A3D20"/>
    <w:rsid w:val="008B0EAE"/>
    <w:rsid w:val="008B6313"/>
    <w:rsid w:val="008B7D3D"/>
    <w:rsid w:val="008D16F9"/>
    <w:rsid w:val="008D456E"/>
    <w:rsid w:val="008D4E4D"/>
    <w:rsid w:val="008E2E78"/>
    <w:rsid w:val="008E3A2E"/>
    <w:rsid w:val="0090650A"/>
    <w:rsid w:val="009215CA"/>
    <w:rsid w:val="00922A40"/>
    <w:rsid w:val="0094210A"/>
    <w:rsid w:val="009459EC"/>
    <w:rsid w:val="0094618B"/>
    <w:rsid w:val="00962408"/>
    <w:rsid w:val="009625A9"/>
    <w:rsid w:val="00990C5D"/>
    <w:rsid w:val="009A32F0"/>
    <w:rsid w:val="009B079F"/>
    <w:rsid w:val="009B12D7"/>
    <w:rsid w:val="009B610D"/>
    <w:rsid w:val="009B7FF8"/>
    <w:rsid w:val="009C4E0F"/>
    <w:rsid w:val="009D3DC4"/>
    <w:rsid w:val="009F791D"/>
    <w:rsid w:val="00A13F73"/>
    <w:rsid w:val="00A2078D"/>
    <w:rsid w:val="00A2295F"/>
    <w:rsid w:val="00A27058"/>
    <w:rsid w:val="00A35711"/>
    <w:rsid w:val="00A45F6F"/>
    <w:rsid w:val="00A470A5"/>
    <w:rsid w:val="00A50ECF"/>
    <w:rsid w:val="00A615B8"/>
    <w:rsid w:val="00A82874"/>
    <w:rsid w:val="00A97CEC"/>
    <w:rsid w:val="00AA0F9D"/>
    <w:rsid w:val="00AB1FF4"/>
    <w:rsid w:val="00AE6243"/>
    <w:rsid w:val="00B000EA"/>
    <w:rsid w:val="00B07189"/>
    <w:rsid w:val="00B13FD5"/>
    <w:rsid w:val="00B17715"/>
    <w:rsid w:val="00B30100"/>
    <w:rsid w:val="00B40349"/>
    <w:rsid w:val="00B42CA2"/>
    <w:rsid w:val="00B459A7"/>
    <w:rsid w:val="00B53BDE"/>
    <w:rsid w:val="00B620E2"/>
    <w:rsid w:val="00B62F64"/>
    <w:rsid w:val="00B64B51"/>
    <w:rsid w:val="00B837B4"/>
    <w:rsid w:val="00B9400B"/>
    <w:rsid w:val="00B96535"/>
    <w:rsid w:val="00BA3ADB"/>
    <w:rsid w:val="00BA5C11"/>
    <w:rsid w:val="00BC1A60"/>
    <w:rsid w:val="00BC7CC2"/>
    <w:rsid w:val="00BD6E36"/>
    <w:rsid w:val="00BF7320"/>
    <w:rsid w:val="00C01991"/>
    <w:rsid w:val="00C13C52"/>
    <w:rsid w:val="00C15E13"/>
    <w:rsid w:val="00C42F08"/>
    <w:rsid w:val="00C51E9C"/>
    <w:rsid w:val="00C571AA"/>
    <w:rsid w:val="00C84C7F"/>
    <w:rsid w:val="00CB43F4"/>
    <w:rsid w:val="00CB5F6C"/>
    <w:rsid w:val="00CC3D79"/>
    <w:rsid w:val="00CD1677"/>
    <w:rsid w:val="00CE1342"/>
    <w:rsid w:val="00CE2FB2"/>
    <w:rsid w:val="00CE35F9"/>
    <w:rsid w:val="00CF42F4"/>
    <w:rsid w:val="00CF51BC"/>
    <w:rsid w:val="00CF5828"/>
    <w:rsid w:val="00D02B17"/>
    <w:rsid w:val="00D04205"/>
    <w:rsid w:val="00D12507"/>
    <w:rsid w:val="00D375D8"/>
    <w:rsid w:val="00D446C5"/>
    <w:rsid w:val="00D54074"/>
    <w:rsid w:val="00D541F6"/>
    <w:rsid w:val="00D90303"/>
    <w:rsid w:val="00D92238"/>
    <w:rsid w:val="00DA4B4C"/>
    <w:rsid w:val="00DB25EB"/>
    <w:rsid w:val="00DC507D"/>
    <w:rsid w:val="00DC7F22"/>
    <w:rsid w:val="00DF6DA9"/>
    <w:rsid w:val="00E0141A"/>
    <w:rsid w:val="00E125EE"/>
    <w:rsid w:val="00E231CB"/>
    <w:rsid w:val="00E41AAF"/>
    <w:rsid w:val="00E62C10"/>
    <w:rsid w:val="00E719B4"/>
    <w:rsid w:val="00E83E66"/>
    <w:rsid w:val="00E95F00"/>
    <w:rsid w:val="00E96AFA"/>
    <w:rsid w:val="00EA55A8"/>
    <w:rsid w:val="00EA65AF"/>
    <w:rsid w:val="00EC11D0"/>
    <w:rsid w:val="00EC34EE"/>
    <w:rsid w:val="00ED2D5B"/>
    <w:rsid w:val="00ED77C0"/>
    <w:rsid w:val="00EF4E87"/>
    <w:rsid w:val="00F15543"/>
    <w:rsid w:val="00F15C95"/>
    <w:rsid w:val="00F16942"/>
    <w:rsid w:val="00F16AEA"/>
    <w:rsid w:val="00F20E4F"/>
    <w:rsid w:val="00F46851"/>
    <w:rsid w:val="00F52FFF"/>
    <w:rsid w:val="00F54B49"/>
    <w:rsid w:val="00F622C9"/>
    <w:rsid w:val="00F679C7"/>
    <w:rsid w:val="00F8170C"/>
    <w:rsid w:val="00FA1347"/>
    <w:rsid w:val="00FC3D7D"/>
    <w:rsid w:val="00FD1675"/>
    <w:rsid w:val="00FD47A6"/>
    <w:rsid w:val="00FE3626"/>
    <w:rsid w:val="00FE620A"/>
    <w:rsid w:val="00FF7220"/>
    <w:rsid w:val="017741AD"/>
    <w:rsid w:val="06EA61D5"/>
    <w:rsid w:val="08DB0C6D"/>
    <w:rsid w:val="13B8211A"/>
    <w:rsid w:val="22AC3552"/>
    <w:rsid w:val="25BF7D46"/>
    <w:rsid w:val="2CD55843"/>
    <w:rsid w:val="311961EF"/>
    <w:rsid w:val="31A10E08"/>
    <w:rsid w:val="3CEB4679"/>
    <w:rsid w:val="41974EFD"/>
    <w:rsid w:val="41BD0F2F"/>
    <w:rsid w:val="42E127BE"/>
    <w:rsid w:val="43DA761A"/>
    <w:rsid w:val="4752466A"/>
    <w:rsid w:val="47F813CB"/>
    <w:rsid w:val="4B3D5E55"/>
    <w:rsid w:val="50353B3B"/>
    <w:rsid w:val="53EF0026"/>
    <w:rsid w:val="56085F61"/>
    <w:rsid w:val="62675049"/>
    <w:rsid w:val="68186D97"/>
    <w:rsid w:val="6A224786"/>
    <w:rsid w:val="73594F4A"/>
    <w:rsid w:val="7DC629E9"/>
    <w:rsid w:val="7DF11C05"/>
    <w:rsid w:val="7FEF10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link w:val="13"/>
    <w:qFormat/>
    <w:uiPriority w:val="99"/>
    <w:pPr>
      <w:spacing w:line="540" w:lineRule="exact"/>
    </w:pPr>
    <w:rPr>
      <w:rFonts w:ascii="Times New Roman" w:hAnsi="Times New Roman" w:eastAsia="仿宋_GB2312" w:cs="Times New Roman"/>
      <w:spacing w:val="-2"/>
      <w:sz w:val="32"/>
      <w:szCs w:val="32"/>
    </w:rPr>
  </w:style>
  <w:style w:type="paragraph" w:styleId="3">
    <w:name w:val="Date"/>
    <w:basedOn w:val="1"/>
    <w:next w:val="1"/>
    <w:link w:val="21"/>
    <w:semiHidden/>
    <w:qFormat/>
    <w:uiPriority w:val="99"/>
    <w:pPr>
      <w:ind w:left="100" w:leftChars="2500"/>
    </w:pPr>
  </w:style>
  <w:style w:type="paragraph" w:styleId="4">
    <w:name w:val="Balloon Text"/>
    <w:basedOn w:val="1"/>
    <w:link w:val="20"/>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character" w:styleId="10">
    <w:name w:val="page number"/>
    <w:basedOn w:val="9"/>
    <w:qFormat/>
    <w:uiPriority w:val="99"/>
  </w:style>
  <w:style w:type="character" w:styleId="11">
    <w:name w:val="Hyperlink"/>
    <w:basedOn w:val="9"/>
    <w:qFormat/>
    <w:uiPriority w:val="99"/>
    <w:rPr>
      <w:color w:val="0000FF"/>
      <w:u w:val="single"/>
    </w:rPr>
  </w:style>
  <w:style w:type="character" w:customStyle="1" w:styleId="12">
    <w:name w:val="Footer Char"/>
    <w:basedOn w:val="9"/>
    <w:link w:val="5"/>
    <w:qFormat/>
    <w:locked/>
    <w:uiPriority w:val="99"/>
    <w:rPr>
      <w:rFonts w:ascii="Calibri" w:hAnsi="Calibri" w:eastAsia="宋体" w:cs="Calibri"/>
      <w:sz w:val="18"/>
      <w:szCs w:val="18"/>
    </w:rPr>
  </w:style>
  <w:style w:type="character" w:customStyle="1" w:styleId="13">
    <w:name w:val="Salutation Char"/>
    <w:basedOn w:val="9"/>
    <w:link w:val="2"/>
    <w:qFormat/>
    <w:locked/>
    <w:uiPriority w:val="99"/>
    <w:rPr>
      <w:rFonts w:ascii="Times New Roman" w:hAnsi="Times New Roman" w:eastAsia="仿宋_GB2312" w:cs="Times New Roman"/>
      <w:spacing w:val="-2"/>
      <w:sz w:val="32"/>
      <w:szCs w:val="32"/>
    </w:rPr>
  </w:style>
  <w:style w:type="paragraph" w:customStyle="1" w:styleId="14">
    <w:name w:val="主送单位"/>
    <w:basedOn w:val="1"/>
    <w:next w:val="1"/>
    <w:qFormat/>
    <w:uiPriority w:val="99"/>
    <w:pPr>
      <w:spacing w:line="580" w:lineRule="exact"/>
      <w:outlineLvl w:val="1"/>
    </w:pPr>
    <w:rPr>
      <w:rFonts w:ascii="仿宋_GB2312" w:eastAsia="仿宋_GB2312" w:cs="仿宋_GB2312"/>
      <w:sz w:val="32"/>
      <w:szCs w:val="32"/>
    </w:rPr>
  </w:style>
  <w:style w:type="paragraph" w:customStyle="1" w:styleId="15">
    <w:name w:val="大标题"/>
    <w:basedOn w:val="1"/>
    <w:next w:val="1"/>
    <w:qFormat/>
    <w:uiPriority w:val="99"/>
    <w:pPr>
      <w:spacing w:line="580" w:lineRule="exact"/>
      <w:jc w:val="center"/>
      <w:outlineLvl w:val="0"/>
    </w:pPr>
    <w:rPr>
      <w:rFonts w:ascii="Times New Roman" w:hAnsi="Times New Roman" w:eastAsia="方正小标宋简体" w:cs="Times New Roman"/>
      <w:sz w:val="44"/>
      <w:szCs w:val="44"/>
    </w:rPr>
  </w:style>
  <w:style w:type="character" w:customStyle="1" w:styleId="16">
    <w:name w:val="公文主体 Char"/>
    <w:link w:val="17"/>
    <w:qFormat/>
    <w:locked/>
    <w:uiPriority w:val="99"/>
    <w:rPr>
      <w:rFonts w:ascii="Times New Roman" w:hAnsi="Times New Roman" w:eastAsia="仿宋_GB2312" w:cs="Times New Roman"/>
      <w:sz w:val="24"/>
      <w:szCs w:val="24"/>
    </w:rPr>
  </w:style>
  <w:style w:type="paragraph" w:customStyle="1" w:styleId="17">
    <w:name w:val="公文主体"/>
    <w:basedOn w:val="1"/>
    <w:link w:val="16"/>
    <w:qFormat/>
    <w:uiPriority w:val="99"/>
    <w:pPr>
      <w:spacing w:line="580" w:lineRule="exact"/>
      <w:ind w:firstLine="200" w:firstLineChars="200"/>
    </w:pPr>
    <w:rPr>
      <w:rFonts w:ascii="Times New Roman" w:hAnsi="Times New Roman" w:eastAsia="仿宋_GB2312" w:cs="Times New Roman"/>
      <w:kern w:val="0"/>
      <w:sz w:val="24"/>
      <w:szCs w:val="24"/>
    </w:rPr>
  </w:style>
  <w:style w:type="character" w:customStyle="1" w:styleId="18">
    <w:name w:val="Header Char"/>
    <w:basedOn w:val="9"/>
    <w:link w:val="6"/>
    <w:semiHidden/>
    <w:qFormat/>
    <w:locked/>
    <w:uiPriority w:val="99"/>
    <w:rPr>
      <w:rFonts w:ascii="Calibri" w:hAnsi="Calibri" w:eastAsia="宋体" w:cs="Calibri"/>
      <w:sz w:val="18"/>
      <w:szCs w:val="18"/>
    </w:rPr>
  </w:style>
  <w:style w:type="paragraph" w:customStyle="1" w:styleId="19">
    <w:name w:val="二级标题"/>
    <w:basedOn w:val="17"/>
    <w:next w:val="17"/>
    <w:qFormat/>
    <w:uiPriority w:val="99"/>
    <w:pPr>
      <w:outlineLvl w:val="3"/>
    </w:pPr>
    <w:rPr>
      <w:rFonts w:eastAsia="楷体_GB2312"/>
    </w:rPr>
  </w:style>
  <w:style w:type="character" w:customStyle="1" w:styleId="20">
    <w:name w:val="Balloon Text Char"/>
    <w:basedOn w:val="9"/>
    <w:link w:val="4"/>
    <w:semiHidden/>
    <w:qFormat/>
    <w:locked/>
    <w:uiPriority w:val="99"/>
    <w:rPr>
      <w:rFonts w:ascii="Calibri" w:hAnsi="Calibri" w:eastAsia="宋体" w:cs="Calibri"/>
      <w:sz w:val="18"/>
      <w:szCs w:val="18"/>
    </w:rPr>
  </w:style>
  <w:style w:type="character" w:customStyle="1" w:styleId="21">
    <w:name w:val="Date Char"/>
    <w:basedOn w:val="9"/>
    <w:link w:val="3"/>
    <w:semiHidden/>
    <w:qFormat/>
    <w:locked/>
    <w:uiPriority w:val="99"/>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P R C</Company>
  <Pages>16</Pages>
  <Words>1333</Words>
  <Characters>7600</Characters>
  <Lines>0</Lines>
  <Paragraphs>0</Paragraphs>
  <TotalTime>207</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2019-04-15T07:40:00Z</dcterms:created>
  <dc:creator>Windows User</dc:creator>
  <cp:lastModifiedBy>小采</cp:lastModifiedBy>
  <cp:lastPrinted>2019-04-17T08:01:00Z</cp:lastPrinted>
  <dcterms:modified xsi:type="dcterms:W3CDTF">2019-04-20T08:12:31Z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