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auto"/>
          <w:sz w:val="21"/>
          <w:szCs w:val="21"/>
          <w:highlight w:val="none"/>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78441"/>
      <w:bookmarkStart w:id="3" w:name="_Toc15377425"/>
      <w:bookmarkStart w:id="4" w:name="_Toc15396597"/>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outlineLvl w:val="9"/>
        <w:rPr>
          <w:rFonts w:hint="eastAsia" w:ascii="方正小标宋简体" w:hAnsi="方正小标宋简体" w:eastAsia="方正小标宋简体" w:cs="方正小标宋简体"/>
          <w:color w:val="auto"/>
          <w:sz w:val="72"/>
          <w:szCs w:val="72"/>
          <w:highlight w:val="none"/>
        </w:rPr>
      </w:pPr>
      <w:bookmarkStart w:id="6" w:name="_Toc15396598"/>
      <w:bookmarkStart w:id="7" w:name="_Toc15378442"/>
      <w:bookmarkStart w:id="8" w:name="_Toc15377194"/>
      <w:bookmarkStart w:id="9" w:name="_Toc15396476"/>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val="en-US" w:eastAsia="zh-CN"/>
        </w:rPr>
        <w:t>广元市昭化区经济信息化和科学技术局</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p>
      <w:pPr>
        <w:pStyle w:val="2"/>
      </w:pPr>
    </w:p>
    <w:p>
      <w:pPr>
        <w:pStyle w:val="13"/>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none"/>
        </w:rPr>
      </w:pPr>
    </w:p>
    <w:p>
      <w:pPr>
        <w:pStyle w:val="13"/>
        <w:keepNext w:val="0"/>
        <w:keepLines w:val="0"/>
        <w:pageBreakBefore w:val="0"/>
        <w:widowControl w:val="0"/>
        <w:tabs>
          <w:tab w:val="right" w:leader="dot" w:pos="8306"/>
          <w:tab w:val="clear" w:pos="8296"/>
        </w:tabs>
        <w:kinsoku/>
        <w:wordWrap/>
        <w:overflowPunct/>
        <w:topLinePunct w:val="0"/>
        <w:autoSpaceDE/>
        <w:autoSpaceDN/>
        <w:bidi w:val="0"/>
        <w:spacing w:before="0"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color w:val="auto"/>
          <w:sz w:val="30"/>
          <w:szCs w:val="30"/>
          <w:highlight w:val="none"/>
        </w:rPr>
        <w:instrText xml:space="preserve">TOC \o "1-3" \h \u </w:instrText>
      </w:r>
      <w:r>
        <w:rPr>
          <w:rFonts w:hint="eastAsia" w:ascii="仿宋_GB2312" w:hAnsi="仿宋_GB2312" w:eastAsia="仿宋_GB2312" w:cs="仿宋_GB2312"/>
          <w:color w:val="auto"/>
          <w:sz w:val="30"/>
          <w:szCs w:val="30"/>
          <w:highlight w:val="none"/>
        </w:rPr>
        <w:fldChar w:fldCharType="separate"/>
      </w: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_Toc4175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 xml:space="preserve">第一部分 </w:t>
      </w:r>
      <w:r>
        <w:rPr>
          <w:rFonts w:hint="eastAsia" w:ascii="仿宋_GB2312" w:hAnsi="仿宋_GB2312" w:eastAsia="仿宋_GB2312" w:cs="仿宋_GB2312"/>
          <w:bCs w:val="0"/>
          <w:sz w:val="30"/>
          <w:szCs w:val="30"/>
          <w:highlight w:val="none"/>
        </w:rPr>
        <w:t>部门概况</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_Toc4175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_Toc14828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lang w:val="en-US" w:eastAsia="zh-CN"/>
        </w:rPr>
        <w:t>一、部门</w:t>
      </w:r>
      <w:r>
        <w:rPr>
          <w:rFonts w:hint="eastAsia" w:ascii="仿宋_GB2312" w:hAnsi="仿宋_GB2312" w:eastAsia="仿宋_GB2312" w:cs="仿宋_GB2312"/>
          <w:bCs w:val="0"/>
          <w:sz w:val="30"/>
          <w:szCs w:val="30"/>
          <w:highlight w:val="none"/>
          <w:lang w:eastAsia="zh-CN"/>
        </w:rPr>
        <w:t>职责</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_Toc14828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_Toc8914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lang w:val="en-US" w:eastAsia="zh-CN"/>
        </w:rPr>
        <w:t>二、机构设置</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_Toc8914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spacing w:before="0"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_Toc22683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sz w:val="30"/>
          <w:szCs w:val="30"/>
          <w:highlight w:val="none"/>
        </w:rPr>
        <w:t xml:space="preserve">第二部分 </w:t>
      </w:r>
      <w:r>
        <w:rPr>
          <w:rFonts w:hint="eastAsia" w:ascii="仿宋_GB2312" w:hAnsi="仿宋_GB2312" w:eastAsia="仿宋_GB2312" w:cs="仿宋_GB2312"/>
          <w:bCs/>
          <w:sz w:val="30"/>
          <w:szCs w:val="30"/>
          <w:highlight w:val="none"/>
          <w:lang w:val="en-US" w:eastAsia="zh-CN"/>
        </w:rPr>
        <w:t>2022年度</w:t>
      </w:r>
      <w:r>
        <w:rPr>
          <w:rFonts w:hint="eastAsia" w:ascii="仿宋_GB2312" w:hAnsi="仿宋_GB2312" w:eastAsia="仿宋_GB2312" w:cs="仿宋_GB2312"/>
          <w:bCs/>
          <w:sz w:val="30"/>
          <w:szCs w:val="30"/>
          <w:highlight w:val="none"/>
          <w:lang w:eastAsia="zh-CN"/>
        </w:rPr>
        <w:t>部门</w:t>
      </w:r>
      <w:r>
        <w:rPr>
          <w:rFonts w:hint="eastAsia" w:ascii="仿宋_GB2312" w:hAnsi="仿宋_GB2312" w:eastAsia="仿宋_GB2312" w:cs="仿宋_GB2312"/>
          <w:bCs/>
          <w:sz w:val="30"/>
          <w:szCs w:val="30"/>
          <w:highlight w:val="none"/>
        </w:rPr>
        <w:t>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_Toc22683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_Toc16577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highlight w:val="none"/>
        </w:rPr>
        <w:t>收入支出决算总体情况说明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_Toc16577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_Toc6906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rPr>
        <w:t>二、</w:t>
      </w:r>
      <w:r>
        <w:rPr>
          <w:rFonts w:hint="eastAsia" w:ascii="仿宋_GB2312" w:hAnsi="仿宋_GB2312" w:eastAsia="仿宋_GB2312" w:cs="仿宋_GB2312"/>
          <w:sz w:val="30"/>
          <w:szCs w:val="30"/>
          <w:highlight w:val="none"/>
        </w:rPr>
        <w:t>收入决算情况说明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_Toc6906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_Toc1729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rPr>
        <w:t>三、</w:t>
      </w:r>
      <w:r>
        <w:rPr>
          <w:rFonts w:hint="eastAsia" w:ascii="仿宋_GB2312" w:hAnsi="仿宋_GB2312" w:eastAsia="仿宋_GB2312" w:cs="仿宋_GB2312"/>
          <w:sz w:val="30"/>
          <w:szCs w:val="30"/>
          <w:highlight w:val="none"/>
        </w:rPr>
        <w:t>支出决算情况说明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_Toc1729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_Toc31942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四、财政拨款收入支出决算总体情况说明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_Toc31942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_Toc13469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五、一般公共预算财政拨款支出决算情况说明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_Toc13469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_Toc11669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六、一般公共预算财政拨款基本支出决算情况说明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_Toc11669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12</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_Toc22177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七、财政拨款“三公”经费支出决算情况说明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_Toc22177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13</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_Toc32594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八、政府性基金预算支出决算情况说明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_Toc32594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_Toc15029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rPr>
        <w:t>九、</w:t>
      </w:r>
      <w:r>
        <w:rPr>
          <w:rFonts w:hint="eastAsia" w:ascii="仿宋_GB2312" w:hAnsi="仿宋_GB2312" w:eastAsia="仿宋_GB2312" w:cs="仿宋_GB2312"/>
          <w:sz w:val="30"/>
          <w:szCs w:val="30"/>
          <w:highlight w:val="none"/>
        </w:rPr>
        <w:t>国有资本经营预算支出决算情况说明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_Toc15029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_Toc17755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rPr>
        <w:t>十、</w:t>
      </w:r>
      <w:r>
        <w:rPr>
          <w:rFonts w:hint="eastAsia" w:ascii="仿宋_GB2312" w:hAnsi="仿宋_GB2312" w:eastAsia="仿宋_GB2312" w:cs="仿宋_GB2312"/>
          <w:sz w:val="30"/>
          <w:szCs w:val="30"/>
          <w:highlight w:val="none"/>
        </w:rPr>
        <w:t>其他重要事项的情况说明</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_Toc17755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14</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spacing w:before="0"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_Toc5993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rPr>
        <w:t xml:space="preserve">第三部分 </w:t>
      </w:r>
      <w:r>
        <w:rPr>
          <w:rFonts w:hint="eastAsia" w:ascii="仿宋_GB2312" w:hAnsi="仿宋_GB2312" w:eastAsia="仿宋_GB2312" w:cs="仿宋_GB2312"/>
          <w:sz w:val="30"/>
          <w:szCs w:val="30"/>
          <w:highlight w:val="none"/>
        </w:rPr>
        <w:t>名词解释</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_Toc5993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spacing w:before="0"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_Toc4587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第四部分 附件</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_Toc4587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19</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3"/>
        <w:keepNext w:val="0"/>
        <w:keepLines w:val="0"/>
        <w:pageBreakBefore w:val="0"/>
        <w:widowControl w:val="0"/>
        <w:tabs>
          <w:tab w:val="right" w:leader="dot" w:pos="8306"/>
          <w:tab w:val="clear" w:pos="8296"/>
        </w:tabs>
        <w:kinsoku/>
        <w:wordWrap/>
        <w:overflowPunct/>
        <w:topLinePunct w:val="0"/>
        <w:autoSpaceDE/>
        <w:autoSpaceDN/>
        <w:bidi w:val="0"/>
        <w:spacing w:before="0"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_Toc15445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第五部分 附表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_Toc15445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_Toc27507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一、收</w:t>
      </w:r>
      <w:r>
        <w:rPr>
          <w:rFonts w:hint="eastAsia" w:ascii="仿宋_GB2312" w:hAnsi="仿宋_GB2312" w:eastAsia="仿宋_GB2312" w:cs="仿宋_GB2312"/>
          <w:bCs w:val="0"/>
          <w:sz w:val="30"/>
          <w:szCs w:val="30"/>
          <w:highlight w:val="none"/>
        </w:rPr>
        <w:t>入支出决算总表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_Toc27507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_Toc7799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sz w:val="30"/>
          <w:szCs w:val="30"/>
          <w:highlight w:val="none"/>
        </w:rPr>
        <w:t>二、收</w:t>
      </w:r>
      <w:r>
        <w:rPr>
          <w:rFonts w:hint="eastAsia" w:ascii="仿宋_GB2312" w:hAnsi="仿宋_GB2312" w:eastAsia="仿宋_GB2312" w:cs="仿宋_GB2312"/>
          <w:bCs w:val="0"/>
          <w:sz w:val="30"/>
          <w:szCs w:val="30"/>
          <w:highlight w:val="none"/>
        </w:rPr>
        <w:t>入决算表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_Toc7799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_Toc8711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三、</w:t>
      </w:r>
      <w:r>
        <w:rPr>
          <w:rFonts w:hint="eastAsia" w:ascii="仿宋_GB2312" w:hAnsi="仿宋_GB2312" w:eastAsia="仿宋_GB2312" w:cs="仿宋_GB2312"/>
          <w:sz w:val="30"/>
          <w:szCs w:val="30"/>
          <w:highlight w:val="none"/>
        </w:rPr>
        <w:t>支</w:t>
      </w:r>
      <w:r>
        <w:rPr>
          <w:rFonts w:hint="eastAsia" w:ascii="仿宋_GB2312" w:hAnsi="仿宋_GB2312" w:eastAsia="仿宋_GB2312" w:cs="仿宋_GB2312"/>
          <w:bCs w:val="0"/>
          <w:sz w:val="30"/>
          <w:szCs w:val="30"/>
          <w:highlight w:val="none"/>
        </w:rPr>
        <w:t>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_Toc8711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_Toc26735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四、</w:t>
      </w:r>
      <w:r>
        <w:rPr>
          <w:rFonts w:hint="eastAsia" w:ascii="仿宋_GB2312" w:hAnsi="仿宋_GB2312" w:eastAsia="仿宋_GB2312" w:cs="仿宋_GB2312"/>
          <w:sz w:val="30"/>
          <w:szCs w:val="30"/>
          <w:highlight w:val="none"/>
        </w:rPr>
        <w:t>财</w:t>
      </w:r>
      <w:r>
        <w:rPr>
          <w:rFonts w:hint="eastAsia" w:ascii="仿宋_GB2312" w:hAnsi="仿宋_GB2312" w:eastAsia="仿宋_GB2312" w:cs="仿宋_GB2312"/>
          <w:bCs w:val="0"/>
          <w:sz w:val="30"/>
          <w:szCs w:val="30"/>
          <w:highlight w:val="none"/>
        </w:rPr>
        <w:t>政拨款收入支出决算总表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_Toc26735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_Toc27933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五、</w:t>
      </w:r>
      <w:r>
        <w:rPr>
          <w:rFonts w:hint="eastAsia" w:ascii="仿宋_GB2312" w:hAnsi="仿宋_GB2312" w:eastAsia="仿宋_GB2312" w:cs="仿宋_GB2312"/>
          <w:sz w:val="30"/>
          <w:szCs w:val="30"/>
          <w:highlight w:val="none"/>
        </w:rPr>
        <w:t>财</w:t>
      </w:r>
      <w:r>
        <w:rPr>
          <w:rFonts w:hint="eastAsia" w:ascii="仿宋_GB2312" w:hAnsi="仿宋_GB2312" w:eastAsia="仿宋_GB2312" w:cs="仿宋_GB2312"/>
          <w:bCs w:val="0"/>
          <w:sz w:val="30"/>
          <w:szCs w:val="30"/>
          <w:highlight w:val="none"/>
        </w:rPr>
        <w:t>政拨款支出决算明细表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_Toc27933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_Toc13780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六、</w:t>
      </w:r>
      <w:r>
        <w:rPr>
          <w:rFonts w:hint="eastAsia" w:ascii="仿宋_GB2312" w:hAnsi="仿宋_GB2312" w:eastAsia="仿宋_GB2312" w:cs="仿宋_GB2312"/>
          <w:sz w:val="30"/>
          <w:szCs w:val="30"/>
          <w:highlight w:val="none"/>
        </w:rPr>
        <w:t>一</w:t>
      </w:r>
      <w:r>
        <w:rPr>
          <w:rFonts w:hint="eastAsia" w:ascii="仿宋_GB2312" w:hAnsi="仿宋_GB2312" w:eastAsia="仿宋_GB2312" w:cs="仿宋_GB2312"/>
          <w:bCs w:val="0"/>
          <w:sz w:val="30"/>
          <w:szCs w:val="30"/>
          <w:highlight w:val="none"/>
        </w:rPr>
        <w:t>般公共预算财政拨款支出决算表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_Toc13780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_Toc31770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七、</w:t>
      </w:r>
      <w:r>
        <w:rPr>
          <w:rFonts w:hint="eastAsia" w:ascii="仿宋_GB2312" w:hAnsi="仿宋_GB2312" w:eastAsia="仿宋_GB2312" w:cs="仿宋_GB2312"/>
          <w:sz w:val="30"/>
          <w:szCs w:val="30"/>
          <w:highlight w:val="none"/>
        </w:rPr>
        <w:t>一</w:t>
      </w:r>
      <w:r>
        <w:rPr>
          <w:rFonts w:hint="eastAsia" w:ascii="仿宋_GB2312" w:hAnsi="仿宋_GB2312" w:eastAsia="仿宋_GB2312" w:cs="仿宋_GB2312"/>
          <w:bCs w:val="0"/>
          <w:sz w:val="30"/>
          <w:szCs w:val="30"/>
          <w:highlight w:val="none"/>
        </w:rPr>
        <w:t>般公共预算财政拨款支出决算明细表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_Toc31770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_Toc6645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八、</w:t>
      </w:r>
      <w:r>
        <w:rPr>
          <w:rFonts w:hint="eastAsia" w:ascii="仿宋_GB2312" w:hAnsi="仿宋_GB2312" w:eastAsia="仿宋_GB2312" w:cs="仿宋_GB2312"/>
          <w:sz w:val="30"/>
          <w:szCs w:val="30"/>
          <w:highlight w:val="none"/>
        </w:rPr>
        <w:t>一</w:t>
      </w:r>
      <w:r>
        <w:rPr>
          <w:rFonts w:hint="eastAsia" w:ascii="仿宋_GB2312" w:hAnsi="仿宋_GB2312" w:eastAsia="仿宋_GB2312" w:cs="仿宋_GB2312"/>
          <w:bCs w:val="0"/>
          <w:sz w:val="30"/>
          <w:szCs w:val="30"/>
          <w:highlight w:val="none"/>
        </w:rPr>
        <w:t>般公共预算财政拨款基本支出决算表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_Toc6645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_Toc14477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九、</w:t>
      </w:r>
      <w:r>
        <w:rPr>
          <w:rFonts w:hint="eastAsia" w:ascii="仿宋_GB2312" w:hAnsi="仿宋_GB2312" w:eastAsia="仿宋_GB2312" w:cs="仿宋_GB2312"/>
          <w:sz w:val="30"/>
          <w:szCs w:val="30"/>
          <w:highlight w:val="none"/>
        </w:rPr>
        <w:t>一</w:t>
      </w:r>
      <w:r>
        <w:rPr>
          <w:rFonts w:hint="eastAsia" w:ascii="仿宋_GB2312" w:hAnsi="仿宋_GB2312" w:eastAsia="仿宋_GB2312" w:cs="仿宋_GB2312"/>
          <w:bCs w:val="0"/>
          <w:sz w:val="30"/>
          <w:szCs w:val="30"/>
          <w:highlight w:val="none"/>
        </w:rPr>
        <w:t>般公共预算财政拨款项目支出决算表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_Toc14477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_Toc21946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十、</w:t>
      </w:r>
      <w:r>
        <w:rPr>
          <w:rFonts w:hint="eastAsia" w:ascii="仿宋_GB2312" w:hAnsi="仿宋_GB2312" w:eastAsia="仿宋_GB2312" w:cs="仿宋_GB2312"/>
          <w:sz w:val="30"/>
          <w:szCs w:val="30"/>
          <w:highlight w:val="none"/>
        </w:rPr>
        <w:t>政</w:t>
      </w:r>
      <w:r>
        <w:rPr>
          <w:rFonts w:hint="eastAsia" w:ascii="仿宋_GB2312" w:hAnsi="仿宋_GB2312" w:eastAsia="仿宋_GB2312" w:cs="仿宋_GB2312"/>
          <w:bCs w:val="0"/>
          <w:sz w:val="30"/>
          <w:szCs w:val="30"/>
          <w:highlight w:val="none"/>
        </w:rPr>
        <w:t>府性基金预算财政拨款收入支出决算表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_Toc21946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_Toc12041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十一、</w:t>
      </w:r>
      <w:r>
        <w:rPr>
          <w:rFonts w:hint="eastAsia" w:ascii="仿宋_GB2312" w:hAnsi="仿宋_GB2312" w:eastAsia="仿宋_GB2312" w:cs="仿宋_GB2312"/>
          <w:sz w:val="30"/>
          <w:szCs w:val="30"/>
          <w:highlight w:val="none"/>
        </w:rPr>
        <w:t>国</w:t>
      </w:r>
      <w:r>
        <w:rPr>
          <w:rFonts w:hint="eastAsia" w:ascii="仿宋_GB2312" w:hAnsi="仿宋_GB2312" w:eastAsia="仿宋_GB2312" w:cs="仿宋_GB2312"/>
          <w:bCs w:val="0"/>
          <w:sz w:val="30"/>
          <w:szCs w:val="30"/>
          <w:highlight w:val="none"/>
        </w:rPr>
        <w:t>有资本经营预算</w:t>
      </w:r>
      <w:r>
        <w:rPr>
          <w:rFonts w:hint="eastAsia" w:ascii="仿宋_GB2312" w:hAnsi="仿宋_GB2312" w:eastAsia="仿宋_GB2312" w:cs="仿宋_GB2312"/>
          <w:bCs w:val="0"/>
          <w:sz w:val="30"/>
          <w:szCs w:val="30"/>
          <w:highlight w:val="none"/>
          <w:lang w:eastAsia="zh-CN"/>
        </w:rPr>
        <w:t>财政拨款收入</w:t>
      </w:r>
      <w:r>
        <w:rPr>
          <w:rFonts w:hint="eastAsia" w:ascii="仿宋_GB2312" w:hAnsi="仿宋_GB2312" w:eastAsia="仿宋_GB2312" w:cs="仿宋_GB2312"/>
          <w:bCs w:val="0"/>
          <w:sz w:val="30"/>
          <w:szCs w:val="30"/>
          <w:highlight w:val="none"/>
        </w:rPr>
        <w:t>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_Toc12041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_Toc32135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十二、</w:t>
      </w:r>
      <w:r>
        <w:rPr>
          <w:rFonts w:hint="eastAsia" w:ascii="仿宋_GB2312" w:hAnsi="仿宋_GB2312" w:eastAsia="仿宋_GB2312" w:cs="仿宋_GB2312"/>
          <w:bCs w:val="0"/>
          <w:sz w:val="30"/>
          <w:szCs w:val="30"/>
          <w:highlight w:val="none"/>
          <w:lang w:eastAsia="zh-CN"/>
        </w:rPr>
        <w:t>国有资本经营预算财政拨款支出决算表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_Toc32135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4"/>
        <w:keepNext w:val="0"/>
        <w:keepLines w:val="0"/>
        <w:pageBreakBefore w:val="0"/>
        <w:widowControl w:val="0"/>
        <w:tabs>
          <w:tab w:val="right" w:leader="dot" w:pos="8306"/>
          <w:tab w:val="clear" w:pos="8296"/>
        </w:tabs>
        <w:kinsoku/>
        <w:wordWrap/>
        <w:overflowPunct/>
        <w:topLinePunct w:val="0"/>
        <w:autoSpaceDE/>
        <w:autoSpaceDN/>
        <w:bidi w:val="0"/>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sz w:val="30"/>
          <w:szCs w:val="30"/>
          <w:highlight w:val="none"/>
        </w:rPr>
        <w:fldChar w:fldCharType="begin"/>
      </w:r>
      <w:r>
        <w:rPr>
          <w:rFonts w:hint="eastAsia" w:ascii="仿宋_GB2312" w:hAnsi="仿宋_GB2312" w:eastAsia="仿宋_GB2312" w:cs="仿宋_GB2312"/>
          <w:sz w:val="30"/>
          <w:szCs w:val="30"/>
          <w:highlight w:val="none"/>
        </w:rPr>
        <w:instrText xml:space="preserve"> HYPERLINK \l _Toc31737 </w:instrText>
      </w:r>
      <w:r>
        <w:rPr>
          <w:rFonts w:hint="eastAsia" w:ascii="仿宋_GB2312" w:hAnsi="仿宋_GB2312" w:eastAsia="仿宋_GB2312" w:cs="仿宋_GB2312"/>
          <w:sz w:val="30"/>
          <w:szCs w:val="30"/>
          <w:highlight w:val="none"/>
        </w:rPr>
        <w:fldChar w:fldCharType="separate"/>
      </w:r>
      <w:r>
        <w:rPr>
          <w:rFonts w:hint="eastAsia" w:ascii="仿宋_GB2312" w:hAnsi="仿宋_GB2312" w:eastAsia="仿宋_GB2312" w:cs="仿宋_GB2312"/>
          <w:bCs w:val="0"/>
          <w:sz w:val="30"/>
          <w:szCs w:val="30"/>
          <w:highlight w:val="none"/>
        </w:rPr>
        <w:t>十三、</w:t>
      </w:r>
      <w:r>
        <w:rPr>
          <w:rFonts w:hint="eastAsia" w:ascii="仿宋_GB2312" w:hAnsi="仿宋_GB2312" w:eastAsia="仿宋_GB2312" w:cs="仿宋_GB2312"/>
          <w:bCs w:val="0"/>
          <w:sz w:val="30"/>
          <w:szCs w:val="30"/>
          <w:highlight w:val="none"/>
          <w:lang w:eastAsia="zh-CN"/>
        </w:rPr>
        <w:t>财政拨款“三公”经费支出决算表</w:t>
      </w:r>
      <w:r>
        <w:rPr>
          <w:rFonts w:hint="eastAsia" w:ascii="仿宋_GB2312" w:hAnsi="仿宋_GB2312" w:eastAsia="仿宋_GB2312" w:cs="仿宋_GB2312"/>
          <w:sz w:val="30"/>
          <w:szCs w:val="30"/>
        </w:rPr>
        <w:tab/>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PAGEREF _Toc31737 \h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55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color w:val="auto"/>
          <w:sz w:val="30"/>
          <w:szCs w:val="30"/>
          <w:highlight w:val="none"/>
        </w:rPr>
        <w:fldChar w:fldCharType="end"/>
      </w:r>
    </w:p>
    <w:p>
      <w:pPr>
        <w:pStyle w:val="13"/>
        <w:keepNext w:val="0"/>
        <w:keepLines w:val="0"/>
        <w:pageBreakBefore w:val="0"/>
        <w:widowControl w:val="0"/>
        <w:kinsoku/>
        <w:wordWrap/>
        <w:overflowPunct/>
        <w:topLinePunct w:val="0"/>
        <w:autoSpaceDE/>
        <w:autoSpaceDN/>
        <w:bidi w:val="0"/>
        <w:adjustRightInd w:val="0"/>
        <w:snapToGrid w:val="0"/>
        <w:spacing w:before="0" w:line="576"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0"/>
          <w:szCs w:val="30"/>
          <w:highlight w:val="none"/>
        </w:rPr>
        <w:fldChar w:fldCharType="end"/>
      </w:r>
    </w:p>
    <w:p>
      <w:pPr>
        <w:pStyle w:val="13"/>
        <w:adjustRightInd w:val="0"/>
        <w:snapToGrid w:val="0"/>
        <w:spacing w:before="0" w:line="440" w:lineRule="exact"/>
        <w:jc w:val="left"/>
        <w:rPr>
          <w:rFonts w:hint="eastAsia"/>
          <w:color w:val="auto"/>
          <w:sz w:val="24"/>
          <w:highlight w:val="none"/>
        </w:rPr>
      </w:pPr>
    </w:p>
    <w:p>
      <w:pPr>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5"/>
        <w:pageBreakBefore w:val="0"/>
        <w:kinsoku/>
        <w:wordWrap/>
        <w:overflowPunct/>
        <w:topLinePunct w:val="0"/>
        <w:bidi w:val="0"/>
        <w:snapToGrid/>
        <w:spacing w:before="0" w:after="0" w:line="576" w:lineRule="exact"/>
        <w:jc w:val="center"/>
        <w:textAlignment w:val="auto"/>
        <w:rPr>
          <w:rStyle w:val="29"/>
          <w:rFonts w:ascii="黑体" w:hAnsi="黑体" w:eastAsia="黑体"/>
          <w:b/>
          <w:bCs w:val="0"/>
          <w:color w:val="auto"/>
          <w:highlight w:val="none"/>
        </w:rPr>
      </w:pPr>
      <w:bookmarkStart w:id="14" w:name="_Toc4175"/>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部门</w:t>
      </w:r>
      <w:r>
        <w:rPr>
          <w:rStyle w:val="29"/>
          <w:rFonts w:hint="eastAsia" w:ascii="黑体" w:hAnsi="黑体" w:eastAsia="黑体"/>
          <w:b w:val="0"/>
          <w:bCs w:val="0"/>
          <w:color w:val="auto"/>
          <w:highlight w:val="none"/>
        </w:rPr>
        <w:t>概况</w:t>
      </w:r>
      <w:bookmarkEnd w:id="12"/>
      <w:bookmarkEnd w:id="13"/>
      <w:bookmarkEnd w:id="14"/>
    </w:p>
    <w:p>
      <w:pPr>
        <w:pageBreakBefore w:val="0"/>
        <w:widowControl/>
        <w:kinsoku/>
        <w:wordWrap/>
        <w:overflowPunct/>
        <w:topLinePunct w:val="0"/>
        <w:bidi w:val="0"/>
        <w:snapToGrid/>
        <w:spacing w:line="576" w:lineRule="exact"/>
        <w:jc w:val="left"/>
        <w:textAlignment w:val="auto"/>
        <w:rPr>
          <w:rFonts w:ascii="黑体" w:eastAsia="黑体"/>
          <w:color w:val="auto"/>
          <w:sz w:val="32"/>
          <w:szCs w:val="32"/>
          <w:highlight w:val="none"/>
        </w:rPr>
      </w:pPr>
    </w:p>
    <w:p>
      <w:pPr>
        <w:pStyle w:val="6"/>
        <w:pageBreakBefore w:val="0"/>
        <w:numPr>
          <w:ilvl w:val="0"/>
          <w:numId w:val="0"/>
        </w:numPr>
        <w:kinsoku/>
        <w:wordWrap/>
        <w:overflowPunct/>
        <w:topLinePunct w:val="0"/>
        <w:bidi w:val="0"/>
        <w:snapToGrid/>
        <w:spacing w:before="0" w:after="0" w:line="576" w:lineRule="exact"/>
        <w:ind w:firstLine="640" w:firstLineChars="200"/>
        <w:textAlignment w:val="auto"/>
        <w:rPr>
          <w:rStyle w:val="30"/>
          <w:rFonts w:hint="eastAsia" w:ascii="黑体" w:hAnsi="黑体" w:eastAsia="黑体"/>
          <w:b w:val="0"/>
          <w:bCs w:val="0"/>
          <w:color w:val="auto"/>
          <w:highlight w:val="none"/>
          <w:lang w:eastAsia="zh-CN"/>
        </w:rPr>
      </w:pPr>
      <w:bookmarkStart w:id="15" w:name="_Toc14828"/>
      <w:bookmarkStart w:id="16" w:name="_Toc15396600"/>
      <w:bookmarkStart w:id="17" w:name="_Toc15377197"/>
      <w:r>
        <w:rPr>
          <w:rStyle w:val="30"/>
          <w:rFonts w:hint="eastAsia" w:ascii="黑体" w:hAnsi="黑体" w:eastAsia="黑体"/>
          <w:b w:val="0"/>
          <w:bCs w:val="0"/>
          <w:color w:val="auto"/>
          <w:highlight w:val="none"/>
          <w:lang w:val="en-US" w:eastAsia="zh-CN"/>
        </w:rPr>
        <w:t>一、部门</w:t>
      </w:r>
      <w:r>
        <w:rPr>
          <w:rStyle w:val="30"/>
          <w:rFonts w:hint="eastAsia" w:ascii="黑体" w:hAnsi="黑体" w:eastAsia="黑体"/>
          <w:b w:val="0"/>
          <w:bCs w:val="0"/>
          <w:color w:val="auto"/>
          <w:highlight w:val="none"/>
          <w:lang w:eastAsia="zh-CN"/>
        </w:rPr>
        <w:t>职责</w:t>
      </w:r>
      <w:bookmarkEnd w:id="15"/>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贯彻实施国家有关工业经济、信息化、无线电管理、科学技术方针、政策和法律、法规。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2</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组织实施工业强区战略，加强信息化和工业化融合、工业化与城镇化联动，推进全区工业结构调整。参与制订国民经济和社会发展规划，牵头拟定工业、信息化、科学技术发展规划，提出相关行业的优先领域和发展重点，制订行业年度发展计划和产业政策、行业技术规范与行业标准并组织实施，指导行业质量管理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3</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建立全区工业经济运行预警机制，监测、分析经济运行态势和质量，协调解决新型工业化进程中的重大问题；负责电力、成品油、天然气等重要物资综合调控、紧急调度和交通运输协调工作，负责区级医药储备的监督管理，承办年度工业经济目标责任考核。</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4</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全区企业技术改造推进工作，组织制订并实施全区企业技术改造投资规划和政策，制订并发布全区企业技术改造投资项目引导目录。提出工业和信息化固定资产投资规模的意见，按照规定权限审批、核准、备案规划内全区企业技术改造项目，组织企业技术改造项目申报国家、省、市有关专项计划并组织实施。</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5</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负责全区工业和信息化领域的节能降耗、清洁生产和资源节约与综合利用工作，协调推进工业化与生态环境协调发展中的重大问题。</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6</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推进企业信用制度建设，负责中小企业信用担保和融资体系建设并实施行业监管，制订工业发展资金等财政专项资金使用计划，负责企业技术改造、技术创新、生产运行等涉及财政、信贷、税收、保险等方面问题的协调，指导工业企业直接融资工作，负责企业上市培育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7</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对国家重大工业经济政策实施情况进行督查，指导企业建立现代企业制度、改组改造、兼并重组，负责全区企业治乱减负工作，指导企业经营管理人员、．专业技术人员培训，负责全区大企业大集团和龙头骨干企业的培育工作，负责全区中小企业发展的指导推进工作，组织拟订促进中小企业发展的政策措施，负责推进中小企业服务体系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8</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对全区工业各行业实施行业管理，制订相关政策措施并组织实施，拟订新材料、节能环保、航空航天、生物医药等战略性新兴产业发展规划、年度计划、政策措施并组织实施。拟订加快农产品加工业发展的政策措施，参与推进农业产业化龙头企业建设，参与推进农业现代化和新农村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9</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统筹推进全区信息化工作，制订相关政策并组织实施，指导电子政务、企业信息化、电子商务和物联网发展，推动跨行业、跨部门面向社会服务网络的互联互通和信息资源共享。</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10</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负责全区信息基础设施建设的规划、协调和管理，组织制订通信管线规划并承担相应的管理工作，协调电信市场涉及社会公共利益的重大事项。</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11</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组织协调全区信息安全保障体系建设，指导和监督政府部门、重点行业的重要信息系统与信息网络的安全保障工作，指导信息安全防范工作，参与处理网络与信息安全重大事件。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12</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统一配置和管理全区无线电频谱资源，依法监督管理无线电台(站)，负责无线电电磁环境保护工作；负责无线电监测、检测和干扰查处，协调军地间和县际间无线电管理相关事宜，维护空中电波秩序，依法组织实施无线电管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13</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会同有关部门提出工业和信息化领域对外开放和利用外资的政策建议，参与区域经济合作和承接产业转移工作。指导工业和信息化企业开展对外交流与合作、国际化经营、境外投资及兼并重组。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ascii="Times New Roman" w:hAnsi="Times New Roman" w:eastAsia="仿宋_GB2312"/>
          <w:color w:val="auto"/>
          <w:sz w:val="32"/>
          <w:szCs w:val="32"/>
        </w:rPr>
      </w:pPr>
      <w:r>
        <w:rPr>
          <w:rFonts w:hint="eastAsia" w:ascii="Times New Roman" w:hAnsi="Times New Roman" w:eastAsia="仿宋_GB2312"/>
          <w:color w:val="auto"/>
          <w:sz w:val="32"/>
          <w:szCs w:val="32"/>
          <w:lang w:val="en-US" w:eastAsia="zh-CN"/>
        </w:rPr>
        <w:t>14</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负责组织拟订并实施科技支撑计划、重点基础研究计划、软科学研究计划和统筹协调基础研究、前沿技术研究、重大社会公益性技术研究及关键技术、共性技术研究。</w:t>
      </w:r>
    </w:p>
    <w:p>
      <w:pPr>
        <w:pageBreakBefore w:val="0"/>
        <w:kinsoku/>
        <w:wordWrap/>
        <w:overflowPunct/>
        <w:topLinePunct w:val="0"/>
        <w:bidi w:val="0"/>
        <w:snapToGrid/>
        <w:spacing w:line="576" w:lineRule="exact"/>
        <w:ind w:firstLine="640" w:firstLineChars="200"/>
        <w:textAlignment w:val="auto"/>
        <w:rPr>
          <w:rFonts w:hint="eastAsia" w:eastAsia="仿宋_GB2312"/>
          <w:lang w:eastAsia="zh-CN"/>
        </w:rPr>
      </w:pPr>
      <w:r>
        <w:rPr>
          <w:rFonts w:hint="eastAsia" w:ascii="Times New Roman" w:hAnsi="Times New Roman" w:eastAsia="仿宋_GB2312"/>
          <w:color w:val="auto"/>
          <w:sz w:val="32"/>
          <w:szCs w:val="32"/>
          <w:lang w:val="en-US" w:eastAsia="zh-CN"/>
        </w:rPr>
        <w:t>15</w:t>
      </w:r>
      <w:r>
        <w:rPr>
          <w:rFonts w:hint="eastAsia" w:ascii="仿宋" w:hAnsi="仿宋" w:eastAsia="仿宋" w:cs="Times New Roman"/>
          <w:kern w:val="2"/>
          <w:sz w:val="32"/>
          <w:szCs w:val="24"/>
          <w:lang w:val="en-US" w:eastAsia="zh-CN" w:bidi="ar-SA"/>
        </w:rPr>
        <w:t>.</w:t>
      </w:r>
      <w:r>
        <w:rPr>
          <w:rFonts w:ascii="Times New Roman" w:hAnsi="Times New Roman" w:eastAsia="仿宋_GB2312"/>
          <w:color w:val="auto"/>
          <w:sz w:val="32"/>
          <w:szCs w:val="32"/>
        </w:rPr>
        <w:t>牵头组织经济社会发展重要领域的重大关键性技术攻关；会同有关部门组织科技重大专项实施中的方案论证、综合平衡、评估验收和拟订相关配套政策，对科技重大专项实施中的重大调整提出建议</w:t>
      </w:r>
      <w:r>
        <w:rPr>
          <w:rFonts w:hint="eastAsia" w:ascii="Times New Roman" w:hAnsi="Times New Roman" w:eastAsia="仿宋_GB2312"/>
          <w:color w:val="auto"/>
          <w:sz w:val="32"/>
          <w:szCs w:val="32"/>
          <w:lang w:eastAsia="zh-CN"/>
        </w:rPr>
        <w:t>。</w:t>
      </w:r>
    </w:p>
    <w:p>
      <w:pPr>
        <w:pStyle w:val="6"/>
        <w:pageBreakBefore w:val="0"/>
        <w:numPr>
          <w:ilvl w:val="0"/>
          <w:numId w:val="0"/>
        </w:numPr>
        <w:kinsoku/>
        <w:wordWrap/>
        <w:overflowPunct/>
        <w:topLinePunct w:val="0"/>
        <w:bidi w:val="0"/>
        <w:snapToGrid/>
        <w:spacing w:before="0" w:after="0" w:line="576" w:lineRule="exact"/>
        <w:ind w:firstLine="640" w:firstLineChars="200"/>
        <w:textAlignment w:val="auto"/>
        <w:rPr>
          <w:rFonts w:hint="eastAsia" w:ascii="黑体" w:hAnsi="黑体" w:eastAsia="黑体"/>
          <w:b w:val="0"/>
          <w:color w:val="auto"/>
          <w:highlight w:val="none"/>
          <w:lang w:val="en-US" w:eastAsia="zh-CN"/>
        </w:rPr>
      </w:pPr>
      <w:bookmarkStart w:id="18" w:name="_Toc8914"/>
      <w:r>
        <w:rPr>
          <w:rFonts w:hint="eastAsia" w:ascii="黑体" w:hAnsi="黑体" w:eastAsia="黑体"/>
          <w:b w:val="0"/>
          <w:color w:val="auto"/>
          <w:highlight w:val="none"/>
          <w:lang w:val="en-US" w:eastAsia="zh-CN"/>
        </w:rPr>
        <w:t>二、机构设置</w:t>
      </w:r>
      <w:bookmarkEnd w:id="18"/>
    </w:p>
    <w:p>
      <w:pPr>
        <w:pStyle w:val="2"/>
        <w:pageBreakBefore w:val="0"/>
        <w:numPr>
          <w:ilvl w:val="0"/>
          <w:numId w:val="0"/>
        </w:numPr>
        <w:kinsoku/>
        <w:wordWrap/>
        <w:overflowPunct/>
        <w:topLinePunct w:val="0"/>
        <w:bidi w:val="0"/>
        <w:snapToGrid/>
        <w:spacing w:beforeLines="0" w:line="576" w:lineRule="exact"/>
        <w:ind w:firstLine="640" w:firstLineChars="200"/>
        <w:textAlignment w:val="auto"/>
        <w:rPr>
          <w:rFonts w:hint="default" w:hAnsi="Times New Roman" w:cs="Times New Roman"/>
          <w:color w:val="0000FF"/>
          <w:lang w:val="en-US" w:eastAsia="zh-CN"/>
        </w:rPr>
      </w:pPr>
      <w:r>
        <w:rPr>
          <w:rFonts w:hint="eastAsia" w:ascii="仿宋" w:hAnsi="仿宋" w:eastAsia="仿宋" w:cs="Times New Roman"/>
          <w:color w:val="auto"/>
          <w:sz w:val="32"/>
          <w:szCs w:val="32"/>
          <w:highlight w:val="none"/>
          <w:lang w:val="en-US" w:eastAsia="zh-CN"/>
        </w:rPr>
        <w:t>广元市昭化区经济信息化和科学技术</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bookmarkEnd w:id="16"/>
    <w:bookmarkEnd w:id="17"/>
    <w:p>
      <w:pPr>
        <w:pageBreakBefore w:val="0"/>
        <w:widowControl/>
        <w:kinsoku/>
        <w:wordWrap/>
        <w:overflowPunct/>
        <w:topLinePunct w:val="0"/>
        <w:bidi w:val="0"/>
        <w:snapToGrid/>
        <w:spacing w:line="576" w:lineRule="exact"/>
        <w:jc w:val="left"/>
        <w:textAlignment w:val="auto"/>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5"/>
        <w:pageBreakBefore w:val="0"/>
        <w:kinsoku/>
        <w:wordWrap/>
        <w:overflowPunct/>
        <w:topLinePunct w:val="0"/>
        <w:bidi w:val="0"/>
        <w:snapToGrid/>
        <w:spacing w:before="0" w:after="0" w:line="576" w:lineRule="exact"/>
        <w:ind w:right="440"/>
        <w:jc w:val="center"/>
        <w:textAlignment w:val="auto"/>
        <w:rPr>
          <w:rStyle w:val="29"/>
          <w:rFonts w:ascii="黑体" w:hAnsi="黑体" w:eastAsia="黑体"/>
          <w:b w:val="0"/>
          <w:bCs/>
          <w:color w:val="auto"/>
          <w:highlight w:val="none"/>
        </w:rPr>
      </w:pPr>
      <w:bookmarkStart w:id="19" w:name="_Toc15377204"/>
      <w:bookmarkStart w:id="20" w:name="_Toc22683"/>
      <w:bookmarkStart w:id="21"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lang w:eastAsia="zh-CN"/>
        </w:rPr>
        <w:t>部门</w:t>
      </w:r>
      <w:r>
        <w:rPr>
          <w:rStyle w:val="29"/>
          <w:rFonts w:hint="eastAsia" w:ascii="黑体" w:hAnsi="黑体" w:eastAsia="黑体"/>
          <w:b w:val="0"/>
          <w:bCs/>
          <w:color w:val="auto"/>
          <w:highlight w:val="none"/>
        </w:rPr>
        <w:t>决算情况说明</w:t>
      </w:r>
      <w:bookmarkEnd w:id="19"/>
      <w:bookmarkEnd w:id="20"/>
      <w:bookmarkEnd w:id="21"/>
    </w:p>
    <w:p>
      <w:pPr>
        <w:pageBreakBefore w:val="0"/>
        <w:kinsoku/>
        <w:wordWrap/>
        <w:overflowPunct/>
        <w:topLinePunct w:val="0"/>
        <w:bidi w:val="0"/>
        <w:snapToGrid/>
        <w:spacing w:line="576" w:lineRule="exact"/>
        <w:textAlignment w:val="auto"/>
        <w:rPr>
          <w:color w:val="auto"/>
          <w:highlight w:val="none"/>
        </w:rPr>
      </w:pPr>
    </w:p>
    <w:p>
      <w:pPr>
        <w:pStyle w:val="28"/>
        <w:pageBreakBefore w:val="0"/>
        <w:numPr>
          <w:ilvl w:val="0"/>
          <w:numId w:val="1"/>
        </w:numPr>
        <w:kinsoku/>
        <w:wordWrap/>
        <w:overflowPunct/>
        <w:topLinePunct w:val="0"/>
        <w:bidi w:val="0"/>
        <w:snapToGrid/>
        <w:spacing w:line="576" w:lineRule="exact"/>
        <w:ind w:firstLineChars="0"/>
        <w:textAlignment w:val="auto"/>
        <w:outlineLvl w:val="1"/>
        <w:rPr>
          <w:rStyle w:val="30"/>
          <w:rFonts w:ascii="黑体" w:hAnsi="黑体" w:eastAsia="黑体"/>
          <w:b w:val="0"/>
          <w:color w:val="auto"/>
          <w:highlight w:val="none"/>
        </w:rPr>
      </w:pPr>
      <w:bookmarkStart w:id="22" w:name="_Toc15377205"/>
      <w:bookmarkStart w:id="23" w:name="_Toc15396603"/>
      <w:bookmarkStart w:id="24" w:name="_Toc16577"/>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22"/>
      <w:bookmarkEnd w:id="23"/>
      <w:bookmarkEnd w:id="24"/>
    </w:p>
    <w:p>
      <w:pPr>
        <w:pageBreakBefore w:val="0"/>
        <w:kinsoku/>
        <w:wordWrap/>
        <w:overflowPunct/>
        <w:topLinePunct w:val="0"/>
        <w:bidi w:val="0"/>
        <w:snapToGrid/>
        <w:spacing w:line="576" w:lineRule="exact"/>
        <w:ind w:firstLine="640" w:firstLineChars="200"/>
        <w:textAlignment w:val="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000000"/>
          <w:sz w:val="32"/>
          <w:szCs w:val="32"/>
          <w:lang w:val="en-US" w:eastAsia="zh-CN"/>
        </w:rPr>
        <w:t>3826.59</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000000"/>
          <w:sz w:val="32"/>
          <w:szCs w:val="32"/>
          <w:lang w:val="en-US" w:eastAsia="zh-CN"/>
        </w:rPr>
        <w:t>733.47</w:t>
      </w:r>
      <w:r>
        <w:rPr>
          <w:rFonts w:hint="eastAsia" w:ascii="仿宋" w:hAnsi="仿宋" w:eastAsia="仿宋"/>
          <w:color w:val="auto"/>
          <w:sz w:val="32"/>
          <w:szCs w:val="32"/>
          <w:highlight w:val="none"/>
        </w:rPr>
        <w:t>万元，下降</w:t>
      </w:r>
      <w:r>
        <w:rPr>
          <w:rFonts w:hint="eastAsia" w:ascii="仿宋" w:hAnsi="仿宋" w:eastAsia="仿宋"/>
          <w:color w:val="000000"/>
          <w:sz w:val="32"/>
          <w:szCs w:val="32"/>
          <w:lang w:val="en-US" w:eastAsia="zh-CN"/>
        </w:rPr>
        <w:t>16.08</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lang w:eastAsia="zh-CN"/>
        </w:rPr>
        <w:t>政府性基金项目配套基础设施建设资金减少</w:t>
      </w:r>
      <w:r>
        <w:rPr>
          <w:rFonts w:hint="eastAsia" w:ascii="仿宋" w:hAnsi="仿宋" w:eastAsia="仿宋"/>
          <w:color w:val="auto"/>
          <w:sz w:val="32"/>
          <w:szCs w:val="32"/>
          <w:highlight w:val="none"/>
          <w:lang w:eastAsia="zh-CN"/>
        </w:rPr>
        <w:t>。</w:t>
      </w:r>
    </w:p>
    <w:p>
      <w:pPr>
        <w:pStyle w:val="2"/>
        <w:jc w:val="center"/>
        <w:rPr>
          <w:rFonts w:ascii="仿宋_GB2312" w:eastAsia="仿宋_GB2312"/>
          <w:color w:val="auto"/>
          <w:sz w:val="32"/>
          <w:szCs w:val="32"/>
          <w:highlight w:val="none"/>
        </w:rPr>
      </w:pPr>
      <w:r>
        <w:drawing>
          <wp:anchor distT="0" distB="0" distL="114300" distR="114300" simplePos="0" relativeHeight="251661312" behindDoc="0" locked="0" layoutInCell="1" allowOverlap="1">
            <wp:simplePos x="0" y="0"/>
            <wp:positionH relativeFrom="column">
              <wp:posOffset>1159510</wp:posOffset>
            </wp:positionH>
            <wp:positionV relativeFrom="paragraph">
              <wp:posOffset>110490</wp:posOffset>
            </wp:positionV>
            <wp:extent cx="2964815" cy="1568450"/>
            <wp:effectExtent l="4445" t="4445" r="21590" b="8255"/>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8"/>
        <w:pageBreakBefore w:val="0"/>
        <w:numPr>
          <w:ilvl w:val="0"/>
          <w:numId w:val="1"/>
        </w:numPr>
        <w:kinsoku/>
        <w:wordWrap/>
        <w:overflowPunct/>
        <w:topLinePunct w:val="0"/>
        <w:bidi w:val="0"/>
        <w:snapToGrid/>
        <w:spacing w:line="576" w:lineRule="exact"/>
        <w:ind w:firstLineChars="0"/>
        <w:textAlignment w:val="auto"/>
        <w:outlineLvl w:val="1"/>
        <w:rPr>
          <w:rStyle w:val="30"/>
          <w:rFonts w:ascii="黑体" w:hAnsi="黑体" w:eastAsia="黑体"/>
          <w:b w:val="0"/>
          <w:color w:val="auto"/>
          <w:highlight w:val="none"/>
        </w:rPr>
      </w:pPr>
      <w:bookmarkStart w:id="25" w:name="_Toc15396604"/>
      <w:bookmarkStart w:id="26" w:name="_Toc15377206"/>
      <w:bookmarkStart w:id="27" w:name="_Toc6906"/>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000000"/>
          <w:sz w:val="32"/>
          <w:szCs w:val="32"/>
          <w:lang w:val="en-US" w:eastAsia="zh-CN"/>
        </w:rPr>
        <w:t>3826.59</w:t>
      </w:r>
      <w:r>
        <w:rPr>
          <w:rFonts w:hint="eastAsia" w:ascii="仿宋" w:hAnsi="仿宋" w:eastAsia="仿宋"/>
          <w:color w:val="auto"/>
          <w:sz w:val="32"/>
          <w:szCs w:val="32"/>
          <w:highlight w:val="none"/>
        </w:rPr>
        <w:t>万元，其中：</w:t>
      </w:r>
      <w:r>
        <w:rPr>
          <w:rFonts w:hint="eastAsia" w:ascii="仿宋" w:hAnsi="仿宋" w:eastAsia="仿宋"/>
          <w:color w:val="000000"/>
          <w:sz w:val="32"/>
          <w:szCs w:val="32"/>
        </w:rPr>
        <w:t>一般公共预算财政拨款收入</w:t>
      </w:r>
      <w:r>
        <w:rPr>
          <w:rFonts w:hint="eastAsia" w:ascii="仿宋" w:hAnsi="仿宋" w:eastAsia="仿宋"/>
          <w:color w:val="000000"/>
          <w:sz w:val="32"/>
          <w:szCs w:val="32"/>
          <w:lang w:val="en-US" w:eastAsia="zh-CN"/>
        </w:rPr>
        <w:t>1246.88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32.58</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2579.71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67.42</w:t>
      </w:r>
      <w:r>
        <w:rPr>
          <w:rFonts w:ascii="仿宋" w:hAnsi="仿宋" w:eastAsia="仿宋"/>
          <w:color w:val="000000"/>
          <w:sz w:val="32"/>
          <w:szCs w:val="32"/>
        </w:rPr>
        <w:t>%</w:t>
      </w:r>
      <w:r>
        <w:rPr>
          <w:rFonts w:hint="eastAsia" w:ascii="仿宋" w:hAnsi="仿宋" w:eastAsia="仿宋"/>
          <w:color w:val="auto"/>
          <w:sz w:val="32"/>
          <w:szCs w:val="32"/>
          <w:highlight w:val="none"/>
        </w:rPr>
        <w:t>。</w:t>
      </w:r>
    </w:p>
    <w:p>
      <w:pPr>
        <w:pStyle w:val="2"/>
        <w:jc w:val="center"/>
        <w:rPr>
          <w:rFonts w:ascii="仿宋_GB2312" w:eastAsia="仿宋_GB2312"/>
          <w:color w:val="auto"/>
          <w:sz w:val="32"/>
          <w:szCs w:val="32"/>
          <w:highlight w:val="none"/>
        </w:rPr>
      </w:pPr>
      <w:r>
        <w:drawing>
          <wp:anchor distT="0" distB="0" distL="114300" distR="114300" simplePos="0" relativeHeight="251659264" behindDoc="0" locked="0" layoutInCell="1" allowOverlap="1">
            <wp:simplePos x="0" y="0"/>
            <wp:positionH relativeFrom="column">
              <wp:posOffset>559435</wp:posOffset>
            </wp:positionH>
            <wp:positionV relativeFrom="paragraph">
              <wp:posOffset>62865</wp:posOffset>
            </wp:positionV>
            <wp:extent cx="3888105" cy="1580515"/>
            <wp:effectExtent l="4445" t="4445" r="12700" b="15240"/>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图2：收入决算结构图</w:t>
      </w:r>
    </w:p>
    <w:p>
      <w:pPr>
        <w:pStyle w:val="28"/>
        <w:pageBreakBefore w:val="0"/>
        <w:numPr>
          <w:ilvl w:val="0"/>
          <w:numId w:val="1"/>
        </w:numPr>
        <w:kinsoku/>
        <w:wordWrap/>
        <w:overflowPunct/>
        <w:topLinePunct w:val="0"/>
        <w:bidi w:val="0"/>
        <w:snapToGrid/>
        <w:spacing w:line="576" w:lineRule="exact"/>
        <w:ind w:firstLineChars="0"/>
        <w:textAlignment w:val="auto"/>
        <w:outlineLvl w:val="1"/>
        <w:rPr>
          <w:rStyle w:val="30"/>
          <w:rFonts w:ascii="黑体" w:hAnsi="黑体" w:eastAsia="黑体"/>
          <w:b w:val="0"/>
          <w:color w:val="auto"/>
          <w:highlight w:val="none"/>
        </w:rPr>
      </w:pPr>
      <w:bookmarkStart w:id="28" w:name="_Toc1729"/>
      <w:bookmarkStart w:id="29" w:name="_Toc15377207"/>
      <w:bookmarkStart w:id="30" w:name="_Toc15396605"/>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b/>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000000"/>
          <w:sz w:val="32"/>
          <w:szCs w:val="32"/>
          <w:lang w:val="en-US" w:eastAsia="zh-CN"/>
        </w:rPr>
        <w:t>3826.59</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572.51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14.96</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3254.08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85.04</w:t>
      </w:r>
      <w:r>
        <w:rPr>
          <w:rFonts w:ascii="仿宋" w:hAnsi="仿宋" w:eastAsia="仿宋"/>
          <w:color w:val="000000"/>
          <w:sz w:val="32"/>
          <w:szCs w:val="32"/>
        </w:rPr>
        <w:t>%</w:t>
      </w:r>
      <w:r>
        <w:rPr>
          <w:rFonts w:hint="eastAsia" w:ascii="仿宋" w:hAnsi="仿宋" w:eastAsia="仿宋"/>
          <w:color w:val="auto"/>
          <w:sz w:val="32"/>
          <w:szCs w:val="32"/>
          <w:highlight w:val="none"/>
          <w:lang w:eastAsia="zh-CN"/>
        </w:rPr>
        <w:t>。</w:t>
      </w:r>
    </w:p>
    <w:p>
      <w:pPr>
        <w:pageBreakBefore w:val="0"/>
        <w:kinsoku/>
        <w:wordWrap/>
        <w:overflowPunct/>
        <w:topLinePunct w:val="0"/>
        <w:bidi w:val="0"/>
        <w:snapToGrid/>
        <w:spacing w:line="576" w:lineRule="exact"/>
        <w:ind w:firstLine="2734" w:firstLineChars="1302"/>
        <w:jc w:val="both"/>
        <w:textAlignment w:val="auto"/>
        <w:rPr>
          <w:rFonts w:ascii="仿宋_GB2312" w:eastAsia="仿宋_GB2312"/>
          <w:color w:val="auto"/>
          <w:sz w:val="32"/>
          <w:szCs w:val="32"/>
          <w:highlight w:val="none"/>
        </w:rPr>
      </w:pPr>
      <w:r>
        <w:drawing>
          <wp:anchor distT="0" distB="0" distL="114300" distR="114300" simplePos="0" relativeHeight="251660288" behindDoc="0" locked="0" layoutInCell="1" allowOverlap="1">
            <wp:simplePos x="0" y="0"/>
            <wp:positionH relativeFrom="column">
              <wp:posOffset>951865</wp:posOffset>
            </wp:positionH>
            <wp:positionV relativeFrom="paragraph">
              <wp:posOffset>138430</wp:posOffset>
            </wp:positionV>
            <wp:extent cx="3354705" cy="1510665"/>
            <wp:effectExtent l="4445" t="4445" r="12700" b="8890"/>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w:t>
      </w:r>
    </w:p>
    <w:p>
      <w:pPr>
        <w:pageBreakBefore w:val="0"/>
        <w:kinsoku/>
        <w:wordWrap/>
        <w:overflowPunct/>
        <w:topLinePunct w:val="0"/>
        <w:bidi w:val="0"/>
        <w:snapToGrid/>
        <w:spacing w:line="576" w:lineRule="exact"/>
        <w:ind w:firstLine="640" w:firstLineChars="200"/>
        <w:textAlignment w:val="auto"/>
        <w:outlineLvl w:val="1"/>
        <w:rPr>
          <w:rStyle w:val="30"/>
          <w:rFonts w:ascii="黑体" w:hAnsi="黑体" w:eastAsia="黑体"/>
          <w:b w:val="0"/>
          <w:color w:val="auto"/>
          <w:highlight w:val="none"/>
        </w:rPr>
      </w:pPr>
      <w:bookmarkStart w:id="31" w:name="_Toc15377208"/>
      <w:bookmarkStart w:id="32" w:name="_Toc31942"/>
      <w:bookmarkStart w:id="33" w:name="_Toc15396606"/>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31"/>
      <w:bookmarkEnd w:id="32"/>
      <w:bookmarkEnd w:id="33"/>
    </w:p>
    <w:p>
      <w:pPr>
        <w:pageBreakBefore w:val="0"/>
        <w:kinsoku/>
        <w:wordWrap/>
        <w:overflowPunct/>
        <w:topLinePunct w:val="0"/>
        <w:bidi w:val="0"/>
        <w:snapToGrid/>
        <w:spacing w:line="576" w:lineRule="exact"/>
        <w:ind w:firstLine="640"/>
        <w:textAlignment w:val="auto"/>
        <w:rPr>
          <w:rFonts w:hint="eastAsia" w:ascii="仿宋" w:hAnsi="仿宋" w:eastAsia="仿宋"/>
          <w:color w:val="000000"/>
          <w:sz w:val="32"/>
          <w:szCs w:val="32"/>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000000"/>
          <w:sz w:val="32"/>
          <w:szCs w:val="32"/>
          <w:lang w:val="en-US" w:eastAsia="zh-CN"/>
        </w:rPr>
        <w:t>3826.59</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000000"/>
          <w:sz w:val="32"/>
          <w:szCs w:val="32"/>
          <w:lang w:val="en-US" w:eastAsia="zh-CN"/>
        </w:rPr>
        <w:t>733.47万元</w:t>
      </w:r>
      <w:r>
        <w:rPr>
          <w:rFonts w:hint="eastAsia" w:ascii="仿宋" w:hAnsi="仿宋" w:eastAsia="仿宋"/>
          <w:color w:val="000000"/>
          <w:sz w:val="32"/>
          <w:szCs w:val="32"/>
        </w:rPr>
        <w:t>，</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16.08</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政府性基金项目配套基础设施建设资金减少</w:t>
      </w:r>
      <w:r>
        <w:rPr>
          <w:rFonts w:hint="eastAsia" w:ascii="仿宋" w:hAnsi="仿宋" w:eastAsia="仿宋"/>
          <w:color w:val="000000"/>
          <w:sz w:val="32"/>
          <w:szCs w:val="32"/>
          <w:lang w:val="en-US" w:eastAsia="zh-CN"/>
        </w:rPr>
        <w:t>。</w:t>
      </w:r>
    </w:p>
    <w:p>
      <w:pPr>
        <w:pStyle w:val="2"/>
        <w:jc w:val="center"/>
        <w:rPr>
          <w:rFonts w:ascii="仿宋" w:hAnsi="仿宋" w:eastAsia="仿宋"/>
          <w:b/>
          <w:color w:val="auto"/>
          <w:sz w:val="32"/>
          <w:szCs w:val="32"/>
          <w:highlight w:val="none"/>
        </w:rPr>
      </w:pPr>
      <w:r>
        <w:drawing>
          <wp:anchor distT="0" distB="0" distL="114300" distR="114300" simplePos="0" relativeHeight="251662336" behindDoc="0" locked="0" layoutInCell="1" allowOverlap="1">
            <wp:simplePos x="0" y="0"/>
            <wp:positionH relativeFrom="column">
              <wp:posOffset>1040130</wp:posOffset>
            </wp:positionH>
            <wp:positionV relativeFrom="paragraph">
              <wp:posOffset>59690</wp:posOffset>
            </wp:positionV>
            <wp:extent cx="2964815" cy="1568450"/>
            <wp:effectExtent l="4445" t="4445" r="21590" b="8255"/>
            <wp:wrapTopAndBottom/>
            <wp:docPr id="11"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w:t>
      </w:r>
    </w:p>
    <w:p>
      <w:pPr>
        <w:pageBreakBefore w:val="0"/>
        <w:kinsoku/>
        <w:wordWrap/>
        <w:overflowPunct/>
        <w:topLinePunct w:val="0"/>
        <w:bidi w:val="0"/>
        <w:snapToGrid/>
        <w:spacing w:line="576" w:lineRule="exact"/>
        <w:ind w:firstLine="640" w:firstLineChars="200"/>
        <w:textAlignment w:val="auto"/>
        <w:outlineLvl w:val="1"/>
        <w:rPr>
          <w:rStyle w:val="30"/>
          <w:rFonts w:ascii="黑体" w:hAnsi="黑体" w:eastAsia="黑体"/>
          <w:b w:val="0"/>
          <w:color w:val="auto"/>
          <w:highlight w:val="none"/>
        </w:rPr>
      </w:pPr>
      <w:bookmarkStart w:id="34" w:name="_Toc15377209"/>
      <w:bookmarkStart w:id="35" w:name="_Toc15396607"/>
      <w:bookmarkStart w:id="36" w:name="_Toc1346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ascii="仿宋" w:hAnsi="仿宋" w:eastAsia="仿宋"/>
          <w:b/>
          <w:color w:val="auto"/>
          <w:sz w:val="32"/>
          <w:szCs w:val="32"/>
          <w:highlight w:val="none"/>
        </w:rPr>
      </w:pPr>
      <w:bookmarkStart w:id="37" w:name="_Toc15377210"/>
      <w:r>
        <w:rPr>
          <w:rFonts w:hint="eastAsia" w:ascii="仿宋" w:hAnsi="仿宋" w:eastAsia="仿宋"/>
          <w:b/>
          <w:color w:val="auto"/>
          <w:sz w:val="32"/>
          <w:szCs w:val="32"/>
          <w:highlight w:val="none"/>
        </w:rPr>
        <w:t>（一）一般公共预算财政拨款支出决算总体情况</w:t>
      </w:r>
      <w:bookmarkEnd w:id="37"/>
    </w:p>
    <w:p>
      <w:pPr>
        <w:pageBreakBefore w:val="0"/>
        <w:kinsoku/>
        <w:wordWrap/>
        <w:overflowPunct/>
        <w:topLinePunct w:val="0"/>
        <w:bidi w:val="0"/>
        <w:snapToGrid/>
        <w:spacing w:line="576"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000000"/>
          <w:sz w:val="32"/>
          <w:szCs w:val="32"/>
          <w:lang w:val="en-US" w:eastAsia="zh-CN"/>
        </w:rPr>
        <w:t>1246.88</w:t>
      </w:r>
      <w:r>
        <w:rPr>
          <w:rFonts w:hint="eastAsia" w:ascii="仿宋" w:hAnsi="仿宋" w:eastAsia="仿宋"/>
          <w:color w:val="auto"/>
          <w:sz w:val="32"/>
          <w:szCs w:val="32"/>
          <w:highlight w:val="none"/>
        </w:rPr>
        <w:t>万元，占本年支出合计的</w:t>
      </w:r>
      <w:r>
        <w:rPr>
          <w:rFonts w:hint="eastAsia" w:ascii="仿宋" w:hAnsi="仿宋" w:eastAsia="仿宋"/>
          <w:color w:val="000000"/>
          <w:sz w:val="32"/>
          <w:szCs w:val="32"/>
          <w:lang w:val="en-US" w:eastAsia="zh-CN"/>
        </w:rPr>
        <w:t>32.58</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357.43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40.19</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2021年结转467.24万元</w:t>
      </w:r>
      <w:r>
        <w:rPr>
          <w:rFonts w:hint="eastAsia" w:ascii="仿宋" w:hAnsi="仿宋" w:eastAsia="仿宋"/>
          <w:color w:val="000000"/>
          <w:sz w:val="32"/>
          <w:szCs w:val="32"/>
          <w:lang w:eastAsia="zh-CN"/>
        </w:rPr>
        <w:t>。</w:t>
      </w:r>
    </w:p>
    <w:p>
      <w:pPr>
        <w:pageBreakBefore w:val="0"/>
        <w:kinsoku/>
        <w:wordWrap/>
        <w:overflowPunct/>
        <w:topLinePunct w:val="0"/>
        <w:bidi w:val="0"/>
        <w:snapToGrid/>
        <w:spacing w:line="576" w:lineRule="exact"/>
        <w:jc w:val="center"/>
        <w:textAlignment w:val="auto"/>
        <w:rPr>
          <w:rFonts w:ascii="仿宋" w:hAnsi="仿宋" w:eastAsia="仿宋"/>
          <w:color w:val="auto"/>
          <w:sz w:val="32"/>
          <w:szCs w:val="32"/>
          <w:highlight w:val="none"/>
        </w:rPr>
      </w:pPr>
      <w:r>
        <w:drawing>
          <wp:anchor distT="0" distB="0" distL="114300" distR="114300" simplePos="0" relativeHeight="251663360" behindDoc="0" locked="0" layoutInCell="1" allowOverlap="1">
            <wp:simplePos x="0" y="0"/>
            <wp:positionH relativeFrom="column">
              <wp:posOffset>1375410</wp:posOffset>
            </wp:positionH>
            <wp:positionV relativeFrom="paragraph">
              <wp:posOffset>150495</wp:posOffset>
            </wp:positionV>
            <wp:extent cx="3382010" cy="1769110"/>
            <wp:effectExtent l="4445" t="4445" r="23495" b="17145"/>
            <wp:wrapTopAndBottom/>
            <wp:docPr id="12"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auto"/>
          <w:sz w:val="32"/>
          <w:szCs w:val="32"/>
          <w:highlight w:val="none"/>
        </w:rPr>
        <w:t>图5：一般公共预算财政拨款支出决算变动情况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ascii="仿宋" w:hAnsi="仿宋" w:eastAsia="仿宋"/>
          <w:b/>
          <w:color w:val="auto"/>
          <w:sz w:val="32"/>
          <w:szCs w:val="32"/>
          <w:highlight w:val="none"/>
        </w:rPr>
      </w:pPr>
      <w:bookmarkStart w:id="38" w:name="_Toc15377211"/>
      <w:r>
        <w:rPr>
          <w:rFonts w:hint="eastAsia" w:ascii="仿宋" w:hAnsi="仿宋" w:eastAsia="仿宋"/>
          <w:b/>
          <w:color w:val="auto"/>
          <w:sz w:val="32"/>
          <w:szCs w:val="32"/>
          <w:highlight w:val="none"/>
        </w:rPr>
        <w:t>（二）一般公共预算财政拨款支出决算结构情况</w:t>
      </w:r>
      <w:bookmarkEnd w:id="38"/>
    </w:p>
    <w:p>
      <w:pPr>
        <w:pageBreakBefore w:val="0"/>
        <w:kinsoku/>
        <w:wordWrap/>
        <w:overflowPunct/>
        <w:topLinePunct w:val="0"/>
        <w:bidi w:val="0"/>
        <w:snapToGrid/>
        <w:spacing w:line="576" w:lineRule="exact"/>
        <w:ind w:firstLine="640"/>
        <w:textAlignment w:val="auto"/>
        <w:rPr>
          <w:rFonts w:hint="eastAsia"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000000"/>
          <w:sz w:val="32"/>
          <w:szCs w:val="32"/>
          <w:lang w:val="en-US" w:eastAsia="zh-CN"/>
        </w:rPr>
        <w:t>1246.88</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468.64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37.59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科学技术（类）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176.74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14.17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64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5.13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b/>
          <w:bCs/>
          <w:color w:val="000000"/>
          <w:sz w:val="32"/>
          <w:szCs w:val="32"/>
          <w:lang w:eastAsia="zh-CN"/>
        </w:rPr>
        <w:t>（类）</w:t>
      </w:r>
      <w:r>
        <w:rPr>
          <w:rFonts w:hint="eastAsia" w:ascii="仿宋" w:hAnsi="仿宋" w:eastAsia="仿宋"/>
          <w:color w:val="000000"/>
          <w:sz w:val="32"/>
          <w:szCs w:val="32"/>
          <w:lang w:val="en-US" w:eastAsia="zh-CN"/>
        </w:rPr>
        <w:t>14.46</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b/>
          <w:bCs/>
          <w:color w:val="000000"/>
          <w:sz w:val="32"/>
          <w:szCs w:val="32"/>
          <w:lang w:val="en-US" w:eastAsia="zh-CN"/>
        </w:rPr>
        <w:t>(类）</w:t>
      </w:r>
      <w:r>
        <w:rPr>
          <w:rFonts w:hint="eastAsia" w:ascii="仿宋" w:hAnsi="仿宋" w:eastAsia="仿宋"/>
          <w:sz w:val="32"/>
        </w:rPr>
        <w:t>支出</w:t>
      </w:r>
      <w:r>
        <w:rPr>
          <w:rFonts w:hint="eastAsia" w:ascii="仿宋" w:hAnsi="仿宋" w:eastAsia="仿宋"/>
          <w:sz w:val="32"/>
          <w:lang w:val="en-US" w:eastAsia="zh-CN"/>
        </w:rPr>
        <w:t>115.02</w:t>
      </w:r>
      <w:r>
        <w:rPr>
          <w:rFonts w:hint="eastAsia" w:ascii="仿宋" w:hAnsi="仿宋" w:eastAsia="仿宋"/>
          <w:sz w:val="32"/>
        </w:rPr>
        <w:t>万元，占</w:t>
      </w:r>
      <w:r>
        <w:rPr>
          <w:rFonts w:hint="eastAsia" w:ascii="仿宋" w:hAnsi="仿宋" w:eastAsia="仿宋"/>
          <w:sz w:val="32"/>
          <w:lang w:val="en-US" w:eastAsia="zh-CN"/>
        </w:rPr>
        <w:t>9.02</w:t>
      </w:r>
      <w:r>
        <w:rPr>
          <w:rFonts w:hint="eastAsia" w:ascii="仿宋" w:hAnsi="仿宋" w:eastAsia="仿宋"/>
          <w:sz w:val="32"/>
        </w:rPr>
        <w:t>%；</w:t>
      </w:r>
      <w:r>
        <w:rPr>
          <w:rFonts w:hint="eastAsia" w:ascii="仿宋" w:hAnsi="仿宋" w:eastAsia="仿宋"/>
          <w:b/>
          <w:bCs/>
          <w:color w:val="000000"/>
          <w:sz w:val="32"/>
          <w:szCs w:val="32"/>
        </w:rPr>
        <w:t>资源勘探信息等支出（类）</w:t>
      </w:r>
      <w:r>
        <w:rPr>
          <w:rFonts w:hint="eastAsia" w:ascii="仿宋" w:hAnsi="仿宋" w:eastAsia="仿宋"/>
          <w:sz w:val="32"/>
        </w:rPr>
        <w:t>支出</w:t>
      </w:r>
      <w:r>
        <w:rPr>
          <w:rFonts w:hint="eastAsia" w:ascii="仿宋" w:hAnsi="仿宋" w:eastAsia="仿宋"/>
          <w:sz w:val="32"/>
          <w:lang w:val="en-US" w:eastAsia="zh-CN"/>
        </w:rPr>
        <w:t>382.6</w:t>
      </w:r>
      <w:r>
        <w:rPr>
          <w:rFonts w:hint="eastAsia" w:ascii="仿宋" w:hAnsi="仿宋" w:eastAsia="仿宋"/>
          <w:sz w:val="32"/>
        </w:rPr>
        <w:t>万元，占</w:t>
      </w:r>
      <w:r>
        <w:rPr>
          <w:rFonts w:hint="eastAsia" w:ascii="仿宋" w:hAnsi="仿宋" w:eastAsia="仿宋"/>
          <w:sz w:val="32"/>
          <w:lang w:val="en-US" w:eastAsia="zh-CN"/>
        </w:rPr>
        <w:t>30.68</w:t>
      </w:r>
      <w:r>
        <w:rPr>
          <w:rFonts w:hint="eastAsia" w:ascii="仿宋" w:hAnsi="仿宋" w:eastAsia="仿宋"/>
          <w:sz w:val="32"/>
        </w:rPr>
        <w:t>%；</w:t>
      </w:r>
      <w:r>
        <w:rPr>
          <w:rFonts w:hint="eastAsia" w:ascii="仿宋" w:hAnsi="仿宋" w:eastAsia="仿宋"/>
          <w:b/>
          <w:bCs/>
          <w:color w:val="000000"/>
          <w:sz w:val="32"/>
          <w:szCs w:val="32"/>
        </w:rPr>
        <w:t>住房保障支出</w:t>
      </w:r>
      <w:r>
        <w:rPr>
          <w:rFonts w:hint="eastAsia" w:ascii="仿宋" w:hAnsi="仿宋" w:eastAsia="仿宋"/>
          <w:color w:val="000000"/>
          <w:sz w:val="32"/>
          <w:szCs w:val="32"/>
          <w:lang w:val="en-US" w:eastAsia="zh-CN"/>
        </w:rPr>
        <w:t>25.41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2.04</w:t>
      </w:r>
      <w:r>
        <w:rPr>
          <w:rFonts w:ascii="仿宋" w:hAnsi="仿宋" w:eastAsia="仿宋"/>
          <w:color w:val="000000"/>
          <w:sz w:val="32"/>
          <w:szCs w:val="32"/>
        </w:rPr>
        <w:t>%</w:t>
      </w:r>
      <w:r>
        <w:rPr>
          <w:rFonts w:hint="eastAsia" w:ascii="仿宋" w:hAnsi="仿宋" w:eastAsia="仿宋"/>
          <w:color w:val="000000"/>
          <w:sz w:val="32"/>
          <w:szCs w:val="32"/>
        </w:rPr>
        <w:t>。</w:t>
      </w:r>
    </w:p>
    <w:p>
      <w:pPr>
        <w:pageBreakBefore w:val="0"/>
        <w:kinsoku/>
        <w:wordWrap/>
        <w:overflowPunct/>
        <w:topLinePunct w:val="0"/>
        <w:bidi w:val="0"/>
        <w:snapToGrid/>
        <w:spacing w:line="576" w:lineRule="exact"/>
        <w:ind w:firstLine="640"/>
        <w:jc w:val="center"/>
        <w:textAlignment w:val="auto"/>
        <w:rPr>
          <w:rFonts w:ascii="仿宋" w:hAns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222885</wp:posOffset>
            </wp:positionH>
            <wp:positionV relativeFrom="paragraph">
              <wp:posOffset>139700</wp:posOffset>
            </wp:positionV>
            <wp:extent cx="5119370" cy="2383155"/>
            <wp:effectExtent l="4445" t="4445" r="19685" b="12700"/>
            <wp:wrapTopAndBottom/>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图6：一般公共预算财政拨款支出决算结构</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ascii="仿宋" w:hAnsi="仿宋" w:eastAsia="仿宋"/>
          <w:b/>
          <w:color w:val="auto"/>
          <w:sz w:val="32"/>
          <w:szCs w:val="32"/>
          <w:highlight w:val="none"/>
        </w:rPr>
      </w:pPr>
      <w:bookmarkStart w:id="39" w:name="_Toc15377212"/>
      <w:r>
        <w:rPr>
          <w:rFonts w:hint="eastAsia" w:ascii="仿宋" w:hAnsi="仿宋" w:eastAsia="仿宋"/>
          <w:b/>
          <w:color w:val="auto"/>
          <w:sz w:val="32"/>
          <w:szCs w:val="32"/>
          <w:highlight w:val="none"/>
        </w:rPr>
        <w:t>（三）一般公共预算财政拨款支出决算具体情况</w:t>
      </w:r>
      <w:bookmarkEnd w:id="39"/>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ascii="仿宋" w:hAnsi="仿宋" w:eastAsia="仿宋"/>
          <w:color w:val="auto"/>
          <w:sz w:val="32"/>
          <w:szCs w:val="32"/>
          <w:highlight w:val="none"/>
        </w:rPr>
      </w:pPr>
      <w:bookmarkStart w:id="40" w:name="_Toc15378460"/>
      <w:bookmarkStart w:id="41" w:name="_Toc15377213"/>
      <w:bookmarkStart w:id="42"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000000"/>
          <w:sz w:val="32"/>
          <w:szCs w:val="32"/>
          <w:lang w:val="en-US" w:eastAsia="zh-CN"/>
        </w:rPr>
        <w:t>1246.88</w:t>
      </w:r>
      <w:r>
        <w:rPr>
          <w:rFonts w:hint="eastAsia" w:ascii="仿宋" w:hAnsi="仿宋" w:eastAsia="仿宋"/>
          <w:b/>
          <w:color w:val="000000"/>
          <w:sz w:val="32"/>
          <w:szCs w:val="32"/>
        </w:rPr>
        <w:t>万元，</w:t>
      </w:r>
      <w:r>
        <w:rPr>
          <w:rStyle w:val="19"/>
          <w:rFonts w:hint="eastAsia" w:ascii="仿宋" w:hAnsi="仿宋" w:eastAsia="仿宋"/>
          <w:bCs/>
          <w:color w:val="000000"/>
          <w:sz w:val="32"/>
          <w:szCs w:val="32"/>
        </w:rPr>
        <w:t>完成预算</w:t>
      </w:r>
      <w:r>
        <w:rPr>
          <w:rFonts w:hint="eastAsia" w:ascii="仿宋" w:hAnsi="仿宋" w:eastAsia="仿宋"/>
          <w:b/>
          <w:color w:val="000000"/>
          <w:sz w:val="32"/>
          <w:szCs w:val="32"/>
          <w:lang w:val="en-US" w:eastAsia="zh-CN"/>
        </w:rPr>
        <w:t>100</w:t>
      </w:r>
      <w:r>
        <w:rPr>
          <w:rFonts w:hint="eastAsia" w:ascii="仿宋" w:hAnsi="仿宋" w:eastAsia="仿宋"/>
          <w:b/>
          <w:color w:val="000000"/>
          <w:sz w:val="32"/>
          <w:szCs w:val="32"/>
        </w:rPr>
        <w:t>%。</w:t>
      </w:r>
      <w:r>
        <w:rPr>
          <w:rStyle w:val="19"/>
          <w:rFonts w:hint="eastAsia" w:ascii="仿宋" w:hAnsi="仿宋" w:eastAsia="仿宋"/>
          <w:bCs/>
          <w:color w:val="auto"/>
          <w:sz w:val="32"/>
          <w:szCs w:val="32"/>
          <w:highlight w:val="none"/>
        </w:rPr>
        <w:t>其中：</w:t>
      </w:r>
      <w:bookmarkEnd w:id="40"/>
      <w:bookmarkEnd w:id="41"/>
      <w:bookmarkEnd w:id="42"/>
    </w:p>
    <w:p>
      <w:pPr>
        <w:pageBreakBefore w:val="0"/>
        <w:kinsoku/>
        <w:wordWrap/>
        <w:overflowPunct/>
        <w:topLinePunct w:val="0"/>
        <w:bidi w:val="0"/>
        <w:snapToGrid/>
        <w:spacing w:line="576" w:lineRule="exact"/>
        <w:ind w:firstLine="643" w:firstLineChars="200"/>
        <w:textAlignment w:val="auto"/>
        <w:rPr>
          <w:rStyle w:val="19"/>
          <w:rFonts w:hint="eastAsia" w:ascii="仿宋" w:hAnsi="仿宋" w:eastAsia="仿宋"/>
          <w:b w:val="0"/>
          <w:bCs/>
          <w:color w:val="000000"/>
          <w:sz w:val="32"/>
          <w:szCs w:val="32"/>
        </w:rPr>
      </w:pPr>
      <w:r>
        <w:rPr>
          <w:rStyle w:val="19"/>
          <w:rFonts w:hint="eastAsia" w:ascii="仿宋" w:hAnsi="仿宋" w:eastAsia="仿宋"/>
          <w:bCs/>
          <w:color w:val="000000"/>
          <w:sz w:val="32"/>
          <w:szCs w:val="32"/>
          <w:lang w:val="en-US" w:eastAsia="zh-CN"/>
        </w:rPr>
        <w:t>1.</w:t>
      </w:r>
      <w:r>
        <w:rPr>
          <w:rStyle w:val="19"/>
          <w:rFonts w:hint="eastAsia" w:ascii="仿宋" w:hAnsi="仿宋" w:eastAsia="仿宋"/>
          <w:bCs/>
          <w:color w:val="000000"/>
          <w:sz w:val="32"/>
          <w:szCs w:val="32"/>
        </w:rPr>
        <w:t>一般公共服务（类）商贸事务（款）行政运行（项）</w:t>
      </w:r>
      <w:r>
        <w:rPr>
          <w:rStyle w:val="19"/>
          <w:rFonts w:ascii="仿宋" w:hAnsi="仿宋" w:eastAsia="仿宋"/>
          <w:bCs/>
          <w:color w:val="000000"/>
          <w:sz w:val="32"/>
          <w:szCs w:val="32"/>
        </w:rPr>
        <w:t>:</w:t>
      </w:r>
      <w:r>
        <w:rPr>
          <w:rStyle w:val="19"/>
          <w:rFonts w:ascii="仿宋" w:hAnsi="仿宋" w:eastAsia="仿宋"/>
          <w:b w:val="0"/>
          <w:bCs/>
          <w:color w:val="000000"/>
          <w:sz w:val="32"/>
          <w:szCs w:val="32"/>
        </w:rPr>
        <w:t xml:space="preserve"> </w:t>
      </w:r>
      <w:r>
        <w:rPr>
          <w:rStyle w:val="19"/>
          <w:rFonts w:hint="eastAsia" w:ascii="仿宋" w:hAnsi="仿宋" w:eastAsia="仿宋"/>
          <w:b w:val="0"/>
          <w:bCs/>
          <w:color w:val="000000"/>
          <w:sz w:val="32"/>
          <w:szCs w:val="32"/>
        </w:rPr>
        <w:t>支出决算为</w:t>
      </w:r>
      <w:r>
        <w:rPr>
          <w:rFonts w:hint="eastAsia" w:ascii="仿宋" w:hAnsi="仿宋" w:eastAsia="仿宋"/>
          <w:color w:val="000000"/>
          <w:sz w:val="32"/>
          <w:szCs w:val="32"/>
          <w:lang w:val="en-US" w:eastAsia="zh-CN"/>
        </w:rPr>
        <w:t>468.64</w:t>
      </w:r>
      <w:r>
        <w:rPr>
          <w:rStyle w:val="19"/>
          <w:rFonts w:hint="eastAsia" w:ascii="仿宋" w:hAnsi="仿宋" w:eastAsia="仿宋"/>
          <w:b w:val="0"/>
          <w:bCs/>
          <w:color w:val="000000"/>
          <w:sz w:val="32"/>
          <w:szCs w:val="32"/>
        </w:rPr>
        <w:t>万元</w:t>
      </w:r>
      <w:r>
        <w:rPr>
          <w:rFonts w:hint="eastAsia" w:ascii="仿宋" w:hAnsi="仿宋" w:eastAsia="仿宋" w:cs="Times New Roman"/>
          <w:b w:val="0"/>
          <w:bCs w:val="0"/>
          <w:spacing w:val="0"/>
          <w:kern w:val="2"/>
          <w:sz w:val="32"/>
          <w:szCs w:val="24"/>
          <w:lang w:val="en-US" w:eastAsia="zh-CN" w:bidi="ar-SA"/>
        </w:rPr>
        <w:t>，完成预算100%，决算数等于预算数。</w:t>
      </w:r>
    </w:p>
    <w:p>
      <w:pPr>
        <w:pageBreakBefore w:val="0"/>
        <w:kinsoku/>
        <w:wordWrap/>
        <w:overflowPunct/>
        <w:topLinePunct w:val="0"/>
        <w:bidi w:val="0"/>
        <w:snapToGrid/>
        <w:spacing w:line="576" w:lineRule="exact"/>
        <w:ind w:firstLine="643" w:firstLineChars="200"/>
        <w:textAlignment w:val="auto"/>
        <w:rPr>
          <w:rStyle w:val="19"/>
          <w:rFonts w:hint="eastAsia" w:ascii="仿宋" w:hAnsi="仿宋" w:eastAsia="仿宋"/>
          <w:b w:val="0"/>
          <w:bCs/>
          <w:color w:val="000000"/>
          <w:sz w:val="32"/>
          <w:szCs w:val="32"/>
        </w:rPr>
      </w:pPr>
      <w:r>
        <w:rPr>
          <w:rStyle w:val="19"/>
          <w:rFonts w:hint="eastAsia" w:ascii="仿宋" w:hAnsi="仿宋" w:eastAsia="仿宋"/>
          <w:bCs/>
          <w:color w:val="000000"/>
          <w:sz w:val="32"/>
          <w:szCs w:val="32"/>
          <w:lang w:val="en-US" w:eastAsia="zh-CN"/>
        </w:rPr>
        <w:t>2.</w:t>
      </w:r>
      <w:r>
        <w:rPr>
          <w:rFonts w:hint="eastAsia" w:ascii="仿宋" w:hAnsi="仿宋" w:eastAsia="仿宋"/>
          <w:b/>
          <w:spacing w:val="-3"/>
          <w:sz w:val="32"/>
        </w:rPr>
        <w:t>科学技术</w:t>
      </w:r>
      <w:r>
        <w:rPr>
          <w:rFonts w:hint="eastAsia" w:ascii="仿宋" w:hAnsi="仿宋" w:eastAsia="仿宋"/>
          <w:b/>
          <w:sz w:val="32"/>
        </w:rPr>
        <w:t>（类</w:t>
      </w:r>
      <w:r>
        <w:rPr>
          <w:rFonts w:hint="eastAsia" w:ascii="仿宋" w:hAnsi="仿宋" w:eastAsia="仿宋"/>
          <w:b/>
          <w:spacing w:val="-7"/>
          <w:sz w:val="32"/>
        </w:rPr>
        <w:t>）</w:t>
      </w:r>
      <w:r>
        <w:rPr>
          <w:rFonts w:hint="eastAsia" w:ascii="仿宋" w:hAnsi="仿宋" w:eastAsia="仿宋"/>
          <w:b/>
          <w:spacing w:val="-2"/>
          <w:sz w:val="32"/>
        </w:rPr>
        <w:t>技术研究与开发</w:t>
      </w:r>
      <w:r>
        <w:rPr>
          <w:rFonts w:hint="eastAsia" w:ascii="仿宋" w:hAnsi="仿宋" w:eastAsia="仿宋"/>
          <w:b/>
          <w:sz w:val="32"/>
        </w:rPr>
        <w:t>（款</w:t>
      </w:r>
      <w:r>
        <w:rPr>
          <w:rFonts w:hint="eastAsia" w:ascii="仿宋" w:hAnsi="仿宋" w:eastAsia="仿宋"/>
          <w:b/>
          <w:spacing w:val="-10"/>
          <w:sz w:val="32"/>
        </w:rPr>
        <w:t>）</w:t>
      </w:r>
      <w:r>
        <w:rPr>
          <w:rFonts w:hint="eastAsia" w:ascii="仿宋" w:hAnsi="仿宋" w:eastAsia="仿宋"/>
          <w:b/>
          <w:sz w:val="32"/>
        </w:rPr>
        <w:t>科技成果转化</w:t>
      </w:r>
      <w:r>
        <w:rPr>
          <w:rFonts w:hint="eastAsia" w:ascii="仿宋" w:hAnsi="仿宋" w:eastAsia="仿宋"/>
          <w:b/>
          <w:spacing w:val="5"/>
          <w:sz w:val="32"/>
        </w:rPr>
        <w:t>与扩散（项</w:t>
      </w:r>
      <w:r>
        <w:rPr>
          <w:rFonts w:hint="eastAsia" w:ascii="仿宋" w:hAnsi="仿宋" w:eastAsia="仿宋"/>
          <w:b/>
          <w:spacing w:val="2"/>
          <w:sz w:val="32"/>
        </w:rPr>
        <w:t>）</w:t>
      </w:r>
      <w:r>
        <w:rPr>
          <w:rFonts w:hint="eastAsia" w:ascii="仿宋" w:hAnsi="仿宋" w:eastAsia="仿宋"/>
          <w:b/>
          <w:sz w:val="32"/>
        </w:rPr>
        <w:t>:</w:t>
      </w:r>
      <w:r>
        <w:rPr>
          <w:rFonts w:hint="eastAsia" w:ascii="仿宋" w:hAnsi="仿宋" w:eastAsia="仿宋" w:cs="Times New Roman"/>
          <w:kern w:val="0"/>
          <w:sz w:val="32"/>
          <w:szCs w:val="20"/>
          <w:lang w:val="en-US" w:eastAsia="zh-CN" w:bidi="ar-SA"/>
        </w:rPr>
        <w:t>支出决算为116.74万元，</w:t>
      </w:r>
      <w:r>
        <w:rPr>
          <w:rFonts w:hint="eastAsia" w:ascii="仿宋" w:hAnsi="仿宋" w:eastAsia="仿宋" w:cs="Times New Roman"/>
          <w:b w:val="0"/>
          <w:bCs w:val="0"/>
          <w:spacing w:val="0"/>
          <w:kern w:val="2"/>
          <w:sz w:val="32"/>
          <w:szCs w:val="24"/>
          <w:lang w:val="en-US" w:eastAsia="zh-CN" w:bidi="ar-SA"/>
        </w:rPr>
        <w:t>完成预算100%，决算数等于预算数。</w:t>
      </w:r>
    </w:p>
    <w:p>
      <w:pPr>
        <w:pageBreakBefore w:val="0"/>
        <w:kinsoku/>
        <w:wordWrap/>
        <w:overflowPunct/>
        <w:topLinePunct w:val="0"/>
        <w:bidi w:val="0"/>
        <w:snapToGrid/>
        <w:spacing w:line="576" w:lineRule="exact"/>
        <w:ind w:firstLine="643" w:firstLineChars="200"/>
        <w:textAlignment w:val="auto"/>
      </w:pPr>
      <w:r>
        <w:rPr>
          <w:rStyle w:val="19"/>
          <w:rFonts w:hint="eastAsia" w:ascii="仿宋" w:hAnsi="仿宋" w:eastAsia="仿宋"/>
          <w:bCs/>
          <w:color w:val="000000"/>
          <w:sz w:val="32"/>
          <w:szCs w:val="32"/>
          <w:lang w:val="en-US" w:eastAsia="zh-CN"/>
        </w:rPr>
        <w:t>3.</w:t>
      </w:r>
      <w:r>
        <w:rPr>
          <w:rFonts w:hint="eastAsia" w:ascii="仿宋" w:hAnsi="仿宋" w:eastAsia="仿宋"/>
          <w:b/>
          <w:spacing w:val="-3"/>
          <w:sz w:val="32"/>
        </w:rPr>
        <w:t>科学技术</w:t>
      </w:r>
      <w:r>
        <w:rPr>
          <w:rFonts w:hint="eastAsia" w:ascii="仿宋" w:hAnsi="仿宋" w:eastAsia="仿宋"/>
          <w:b/>
          <w:sz w:val="32"/>
        </w:rPr>
        <w:t>（类</w:t>
      </w:r>
      <w:r>
        <w:rPr>
          <w:rFonts w:hint="eastAsia" w:ascii="仿宋" w:hAnsi="仿宋" w:eastAsia="仿宋"/>
          <w:b/>
          <w:spacing w:val="-7"/>
          <w:sz w:val="32"/>
        </w:rPr>
        <w:t>）</w:t>
      </w:r>
      <w:r>
        <w:rPr>
          <w:rFonts w:hint="eastAsia" w:ascii="仿宋" w:hAnsi="仿宋" w:eastAsia="仿宋"/>
          <w:b/>
          <w:spacing w:val="-2"/>
          <w:sz w:val="32"/>
        </w:rPr>
        <w:t>技术研究与开发</w:t>
      </w:r>
      <w:r>
        <w:rPr>
          <w:rFonts w:hint="eastAsia" w:ascii="仿宋" w:hAnsi="仿宋" w:eastAsia="仿宋"/>
          <w:b/>
          <w:sz w:val="32"/>
        </w:rPr>
        <w:t>（款</w:t>
      </w:r>
      <w:r>
        <w:rPr>
          <w:rFonts w:hint="eastAsia" w:ascii="仿宋" w:hAnsi="仿宋" w:eastAsia="仿宋"/>
          <w:b/>
          <w:spacing w:val="-10"/>
          <w:sz w:val="32"/>
        </w:rPr>
        <w:t>）</w:t>
      </w:r>
      <w:r>
        <w:rPr>
          <w:rFonts w:hint="eastAsia" w:ascii="仿宋" w:hAnsi="仿宋" w:eastAsia="仿宋"/>
          <w:b/>
          <w:sz w:val="32"/>
        </w:rPr>
        <w:t>其他技术研究与开发支出</w:t>
      </w:r>
      <w:r>
        <w:rPr>
          <w:rFonts w:hint="eastAsia" w:ascii="仿宋" w:hAnsi="仿宋" w:eastAsia="仿宋"/>
          <w:b/>
          <w:spacing w:val="5"/>
          <w:sz w:val="32"/>
        </w:rPr>
        <w:t>（项</w:t>
      </w:r>
      <w:r>
        <w:rPr>
          <w:rFonts w:hint="eastAsia" w:ascii="仿宋" w:hAnsi="仿宋" w:eastAsia="仿宋"/>
          <w:b/>
          <w:spacing w:val="2"/>
          <w:sz w:val="32"/>
        </w:rPr>
        <w:t>）</w:t>
      </w:r>
      <w:r>
        <w:rPr>
          <w:rFonts w:hint="eastAsia" w:ascii="仿宋" w:hAnsi="仿宋" w:eastAsia="仿宋"/>
          <w:b/>
          <w:sz w:val="32"/>
        </w:rPr>
        <w:t>:</w:t>
      </w:r>
      <w:r>
        <w:rPr>
          <w:rFonts w:hint="eastAsia" w:ascii="仿宋" w:hAnsi="仿宋" w:eastAsia="仿宋" w:cs="Times New Roman"/>
          <w:kern w:val="0"/>
          <w:sz w:val="32"/>
          <w:szCs w:val="20"/>
          <w:lang w:val="en-US" w:eastAsia="zh-CN" w:bidi="ar-SA"/>
        </w:rPr>
        <w:t>支出决算为60万元，</w:t>
      </w:r>
      <w:r>
        <w:rPr>
          <w:rFonts w:hint="eastAsia" w:ascii="仿宋" w:hAnsi="仿宋" w:eastAsia="仿宋" w:cs="Times New Roman"/>
          <w:b w:val="0"/>
          <w:bCs w:val="0"/>
          <w:spacing w:val="0"/>
          <w:kern w:val="2"/>
          <w:sz w:val="32"/>
          <w:szCs w:val="24"/>
          <w:lang w:val="en-US" w:eastAsia="zh-CN" w:bidi="ar-SA"/>
        </w:rPr>
        <w:t>完成预算100%，决算数等于预算数。</w:t>
      </w:r>
    </w:p>
    <w:p>
      <w:pPr>
        <w:pStyle w:val="2"/>
        <w:pageBreakBefore w:val="0"/>
        <w:kinsoku/>
        <w:wordWrap/>
        <w:overflowPunct/>
        <w:topLinePunct w:val="0"/>
        <w:bidi w:val="0"/>
        <w:snapToGrid/>
        <w:spacing w:beforeLines="0" w:line="576" w:lineRule="exact"/>
        <w:ind w:firstLine="631" w:firstLineChars="200"/>
        <w:textAlignment w:val="auto"/>
        <w:rPr>
          <w:rFonts w:hint="eastAsia" w:ascii="仿宋" w:hAnsi="仿宋" w:eastAsia="仿宋"/>
          <w:sz w:val="32"/>
          <w:lang w:val="en-US" w:eastAsia="zh-CN"/>
        </w:rPr>
      </w:pPr>
      <w:r>
        <w:rPr>
          <w:rFonts w:hint="eastAsia" w:ascii="仿宋" w:hAnsi="仿宋" w:eastAsia="仿宋" w:cs="Times New Roman"/>
          <w:b/>
          <w:spacing w:val="-3"/>
          <w:kern w:val="2"/>
          <w:sz w:val="32"/>
          <w:szCs w:val="24"/>
          <w:lang w:val="en-US" w:eastAsia="zh-CN" w:bidi="ar-SA"/>
        </w:rPr>
        <w:t>4.社会保障和就业（类）其他社会保障和就业支出（款）行政单位离退休（项）:</w:t>
      </w:r>
      <w:r>
        <w:rPr>
          <w:rFonts w:hint="eastAsia" w:ascii="仿宋" w:hAnsi="仿宋" w:eastAsia="仿宋"/>
          <w:sz w:val="32"/>
          <w:lang w:val="en-US" w:eastAsia="zh-CN"/>
        </w:rPr>
        <w:t>支出决算为32万元，完成预算100%，决算数等于预算数。</w:t>
      </w:r>
    </w:p>
    <w:p>
      <w:pPr>
        <w:pageBreakBefore w:val="0"/>
        <w:kinsoku/>
        <w:wordWrap/>
        <w:overflowPunct/>
        <w:topLinePunct w:val="0"/>
        <w:bidi w:val="0"/>
        <w:snapToGrid/>
        <w:spacing w:line="576" w:lineRule="exact"/>
        <w:ind w:firstLine="631" w:firstLineChars="200"/>
        <w:textAlignment w:val="auto"/>
        <w:rPr>
          <w:rFonts w:hint="eastAsia"/>
        </w:rPr>
      </w:pPr>
      <w:r>
        <w:rPr>
          <w:rFonts w:hint="eastAsia" w:ascii="仿宋" w:hAnsi="仿宋" w:eastAsia="仿宋" w:cs="Times New Roman"/>
          <w:b/>
          <w:spacing w:val="-3"/>
          <w:kern w:val="2"/>
          <w:sz w:val="32"/>
          <w:szCs w:val="24"/>
          <w:lang w:val="en-US" w:eastAsia="zh-CN" w:bidi="ar-SA"/>
        </w:rPr>
        <w:t>5.社会保障和就业（类）行政事业单位养老支出（款）机关事业单位基本养老保险缴费支出（项）:</w:t>
      </w:r>
      <w:r>
        <w:rPr>
          <w:rFonts w:hint="eastAsia" w:ascii="仿宋" w:hAnsi="仿宋" w:eastAsia="仿宋"/>
          <w:sz w:val="32"/>
          <w:lang w:val="en-US" w:eastAsia="zh-CN"/>
        </w:rPr>
        <w:t>支出决算为32万元，完成预算100%，决算数等于预算数。</w:t>
      </w:r>
    </w:p>
    <w:p>
      <w:pPr>
        <w:pageBreakBefore w:val="0"/>
        <w:kinsoku/>
        <w:wordWrap/>
        <w:overflowPunct/>
        <w:topLinePunct w:val="0"/>
        <w:bidi w:val="0"/>
        <w:snapToGrid/>
        <w:spacing w:line="576" w:lineRule="exact"/>
        <w:ind w:firstLine="631" w:firstLineChars="200"/>
        <w:textAlignment w:val="auto"/>
        <w:rPr>
          <w:rFonts w:hint="eastAsia" w:ascii="仿宋" w:hAnsi="仿宋" w:eastAsia="仿宋"/>
          <w:spacing w:val="0"/>
          <w:sz w:val="32"/>
        </w:rPr>
      </w:pPr>
      <w:r>
        <w:rPr>
          <w:rFonts w:hint="eastAsia" w:ascii="仿宋" w:hAnsi="仿宋" w:eastAsia="仿宋" w:cs="Times New Roman"/>
          <w:b/>
          <w:spacing w:val="-3"/>
          <w:kern w:val="2"/>
          <w:sz w:val="32"/>
          <w:szCs w:val="24"/>
          <w:lang w:val="en-US" w:eastAsia="zh-CN" w:bidi="ar-SA"/>
        </w:rPr>
        <w:t>6.卫生健康（类）行政事业单位医疗（款）行政单位医疗（项）:</w:t>
      </w:r>
      <w:r>
        <w:rPr>
          <w:rFonts w:hint="eastAsia" w:ascii="仿宋" w:hAnsi="仿宋" w:eastAsia="仿宋"/>
          <w:spacing w:val="0"/>
          <w:sz w:val="32"/>
        </w:rPr>
        <w:t>支出决算为</w:t>
      </w:r>
      <w:r>
        <w:rPr>
          <w:rFonts w:hint="eastAsia" w:ascii="仿宋" w:hAnsi="仿宋" w:eastAsia="仿宋"/>
          <w:spacing w:val="0"/>
          <w:sz w:val="32"/>
          <w:lang w:val="en-US" w:eastAsia="zh-CN"/>
        </w:rPr>
        <w:t>14.46</w:t>
      </w:r>
      <w:r>
        <w:rPr>
          <w:rFonts w:hint="eastAsia" w:ascii="仿宋" w:hAnsi="仿宋" w:eastAsia="仿宋"/>
          <w:spacing w:val="0"/>
          <w:sz w:val="32"/>
        </w:rPr>
        <w:t>万元，完成预算100%，决算数等于预算数。</w:t>
      </w:r>
    </w:p>
    <w:p>
      <w:pPr>
        <w:pageBreakBefore w:val="0"/>
        <w:kinsoku/>
        <w:wordWrap/>
        <w:overflowPunct/>
        <w:topLinePunct w:val="0"/>
        <w:bidi w:val="0"/>
        <w:snapToGrid/>
        <w:spacing w:line="576" w:lineRule="exact"/>
        <w:ind w:firstLine="631" w:firstLineChars="200"/>
        <w:textAlignment w:val="auto"/>
        <w:rPr>
          <w:rFonts w:hint="eastAsia" w:ascii="仿宋" w:hAnsi="仿宋" w:eastAsia="仿宋" w:cs="Times New Roman"/>
          <w:b w:val="0"/>
          <w:bCs/>
          <w:spacing w:val="-3"/>
          <w:kern w:val="2"/>
          <w:sz w:val="32"/>
          <w:szCs w:val="24"/>
          <w:lang w:val="en-US" w:eastAsia="zh-CN" w:bidi="ar-SA"/>
        </w:rPr>
      </w:pPr>
      <w:r>
        <w:rPr>
          <w:rFonts w:hint="eastAsia" w:ascii="仿宋" w:hAnsi="仿宋" w:eastAsia="仿宋" w:cs="Times New Roman"/>
          <w:b/>
          <w:spacing w:val="-3"/>
          <w:kern w:val="2"/>
          <w:sz w:val="32"/>
          <w:szCs w:val="24"/>
          <w:lang w:val="en-US" w:eastAsia="zh-CN" w:bidi="ar-SA"/>
        </w:rPr>
        <w:t>7.农林水支出（类）其他农林水支出（款）其他农林水支出（项）</w:t>
      </w:r>
      <w:r>
        <w:rPr>
          <w:rFonts w:hint="eastAsia" w:ascii="仿宋" w:hAnsi="仿宋" w:eastAsia="仿宋" w:cs="Times New Roman"/>
          <w:b w:val="0"/>
          <w:bCs/>
          <w:spacing w:val="-3"/>
          <w:kern w:val="2"/>
          <w:sz w:val="32"/>
          <w:szCs w:val="24"/>
          <w:lang w:val="en-US" w:eastAsia="zh-CN" w:bidi="ar-SA"/>
        </w:rPr>
        <w:t>：</w:t>
      </w:r>
      <w:r>
        <w:rPr>
          <w:rFonts w:hint="eastAsia" w:ascii="仿宋" w:hAnsi="仿宋" w:eastAsia="仿宋"/>
          <w:spacing w:val="0"/>
          <w:sz w:val="32"/>
        </w:rPr>
        <w:t>支出决算为</w:t>
      </w:r>
      <w:r>
        <w:rPr>
          <w:rFonts w:hint="eastAsia" w:ascii="仿宋" w:hAnsi="仿宋" w:eastAsia="仿宋"/>
          <w:spacing w:val="0"/>
          <w:sz w:val="32"/>
          <w:lang w:val="en-US" w:eastAsia="zh-CN"/>
        </w:rPr>
        <w:t>115.02</w:t>
      </w:r>
      <w:r>
        <w:rPr>
          <w:rFonts w:hint="eastAsia" w:ascii="仿宋" w:hAnsi="仿宋" w:eastAsia="仿宋"/>
          <w:spacing w:val="0"/>
          <w:sz w:val="32"/>
        </w:rPr>
        <w:t>万元，完成预算100%，决算数等于预算数。</w:t>
      </w:r>
    </w:p>
    <w:p>
      <w:pPr>
        <w:pageBreakBefore w:val="0"/>
        <w:kinsoku/>
        <w:wordWrap/>
        <w:overflowPunct/>
        <w:topLinePunct w:val="0"/>
        <w:bidi w:val="0"/>
        <w:snapToGrid/>
        <w:spacing w:line="576" w:lineRule="exact"/>
        <w:ind w:firstLine="631" w:firstLineChars="200"/>
        <w:textAlignment w:val="auto"/>
        <w:rPr>
          <w:rFonts w:hint="eastAsia" w:ascii="仿宋" w:hAnsi="仿宋" w:eastAsia="仿宋" w:cs="Times New Roman"/>
          <w:spacing w:val="0"/>
          <w:kern w:val="2"/>
          <w:sz w:val="32"/>
          <w:szCs w:val="24"/>
          <w:lang w:val="en-US" w:eastAsia="zh-CN" w:bidi="ar-SA"/>
        </w:rPr>
      </w:pPr>
      <w:r>
        <w:rPr>
          <w:rFonts w:hint="eastAsia" w:ascii="仿宋" w:hAnsi="仿宋" w:eastAsia="仿宋" w:cs="Times New Roman"/>
          <w:b/>
          <w:spacing w:val="-3"/>
          <w:kern w:val="2"/>
          <w:sz w:val="32"/>
          <w:szCs w:val="24"/>
          <w:lang w:val="en-US" w:eastAsia="zh-CN" w:bidi="ar-SA"/>
        </w:rPr>
        <w:t>9.资源勘探信息等支出（类）制造业（款）其他制造业支出（项）:</w:t>
      </w:r>
      <w:r>
        <w:rPr>
          <w:rFonts w:hint="eastAsia" w:ascii="仿宋" w:hAnsi="仿宋" w:eastAsia="仿宋" w:cs="Times New Roman"/>
          <w:spacing w:val="0"/>
          <w:kern w:val="2"/>
          <w:sz w:val="32"/>
          <w:szCs w:val="24"/>
          <w:lang w:val="en-US" w:eastAsia="zh-CN" w:bidi="ar-SA"/>
        </w:rPr>
        <w:t>支出决算为140.6万元</w:t>
      </w:r>
      <w:r>
        <w:rPr>
          <w:rFonts w:hint="eastAsia" w:ascii="仿宋" w:hAnsi="仿宋" w:eastAsia="仿宋"/>
          <w:spacing w:val="0"/>
          <w:sz w:val="32"/>
        </w:rPr>
        <w:t>，完成预算100%，决算数等于预算数。</w:t>
      </w:r>
    </w:p>
    <w:p>
      <w:pPr>
        <w:pageBreakBefore w:val="0"/>
        <w:kinsoku/>
        <w:wordWrap/>
        <w:overflowPunct/>
        <w:topLinePunct w:val="0"/>
        <w:bidi w:val="0"/>
        <w:snapToGrid/>
        <w:spacing w:line="576" w:lineRule="exact"/>
        <w:ind w:firstLine="631" w:firstLineChars="200"/>
        <w:textAlignment w:val="auto"/>
        <w:rPr>
          <w:rFonts w:hint="eastAsia" w:ascii="仿宋" w:hAnsi="仿宋" w:eastAsia="仿宋" w:cs="Times New Roman"/>
          <w:spacing w:val="0"/>
          <w:kern w:val="2"/>
          <w:sz w:val="32"/>
          <w:szCs w:val="24"/>
          <w:lang w:val="en-US" w:eastAsia="zh-CN" w:bidi="ar-SA"/>
        </w:rPr>
      </w:pPr>
      <w:r>
        <w:rPr>
          <w:rFonts w:hint="eastAsia" w:ascii="仿宋" w:hAnsi="仿宋" w:eastAsia="仿宋" w:cs="Times New Roman"/>
          <w:b/>
          <w:spacing w:val="-3"/>
          <w:kern w:val="2"/>
          <w:sz w:val="32"/>
          <w:szCs w:val="24"/>
          <w:lang w:val="en-US" w:eastAsia="zh-CN" w:bidi="ar-SA"/>
        </w:rPr>
        <w:t>10.资源勘探信息等支出（类）支持中小企业发展和管理支出（款）中小企业发展专项（项）:</w:t>
      </w:r>
      <w:r>
        <w:rPr>
          <w:rFonts w:hint="eastAsia" w:ascii="仿宋" w:hAnsi="仿宋" w:eastAsia="仿宋" w:cs="Times New Roman"/>
          <w:spacing w:val="0"/>
          <w:kern w:val="2"/>
          <w:sz w:val="32"/>
          <w:szCs w:val="24"/>
          <w:lang w:val="en-US" w:eastAsia="zh-CN" w:bidi="ar-SA"/>
        </w:rPr>
        <w:t>支出决算为217万元，</w:t>
      </w:r>
      <w:r>
        <w:rPr>
          <w:rFonts w:hint="eastAsia" w:ascii="仿宋" w:hAnsi="仿宋" w:eastAsia="仿宋"/>
          <w:spacing w:val="0"/>
          <w:sz w:val="32"/>
        </w:rPr>
        <w:t>完成预算100%，决算数等于预算数。</w:t>
      </w:r>
    </w:p>
    <w:p>
      <w:pPr>
        <w:pageBreakBefore w:val="0"/>
        <w:kinsoku/>
        <w:wordWrap/>
        <w:overflowPunct/>
        <w:topLinePunct w:val="0"/>
        <w:bidi w:val="0"/>
        <w:snapToGrid/>
        <w:spacing w:line="576" w:lineRule="exact"/>
        <w:ind w:firstLine="631" w:firstLineChars="200"/>
        <w:textAlignment w:val="auto"/>
        <w:rPr>
          <w:rFonts w:hint="eastAsia"/>
          <w:lang w:val="en-US" w:eastAsia="zh-CN"/>
        </w:rPr>
      </w:pPr>
      <w:r>
        <w:rPr>
          <w:rFonts w:hint="eastAsia" w:ascii="仿宋" w:hAnsi="仿宋" w:eastAsia="仿宋" w:cs="Times New Roman"/>
          <w:b/>
          <w:spacing w:val="-3"/>
          <w:kern w:val="2"/>
          <w:sz w:val="32"/>
          <w:szCs w:val="24"/>
          <w:lang w:val="en-US" w:eastAsia="zh-CN" w:bidi="ar-SA"/>
        </w:rPr>
        <w:t>11.资源勘探信息等支出（类）支持中小企业发展和管理支出（款）其他支持中小企业发展和管理支出（项）:</w:t>
      </w:r>
      <w:r>
        <w:rPr>
          <w:rFonts w:hint="eastAsia" w:ascii="仿宋" w:hAnsi="仿宋" w:eastAsia="仿宋" w:cs="Times New Roman"/>
          <w:spacing w:val="0"/>
          <w:kern w:val="2"/>
          <w:sz w:val="32"/>
          <w:szCs w:val="24"/>
          <w:lang w:val="en-US" w:eastAsia="zh-CN" w:bidi="ar-SA"/>
        </w:rPr>
        <w:t>支出决算为25万元，</w:t>
      </w:r>
      <w:r>
        <w:rPr>
          <w:rFonts w:hint="eastAsia" w:ascii="仿宋" w:hAnsi="仿宋" w:eastAsia="仿宋"/>
          <w:spacing w:val="0"/>
          <w:sz w:val="32"/>
        </w:rPr>
        <w:t>完成预算100%，决算数等于预算数。</w:t>
      </w:r>
    </w:p>
    <w:p>
      <w:pPr>
        <w:keepNext/>
        <w:keepLines/>
        <w:pageBreakBefore w:val="0"/>
        <w:widowControl w:val="0"/>
        <w:kinsoku/>
        <w:wordWrap/>
        <w:overflowPunct/>
        <w:topLinePunct w:val="0"/>
        <w:autoSpaceDE/>
        <w:autoSpaceDN/>
        <w:bidi w:val="0"/>
        <w:adjustRightInd/>
        <w:snapToGrid/>
        <w:spacing w:line="576" w:lineRule="exact"/>
        <w:ind w:left="0" w:leftChars="0" w:right="0" w:rightChars="0" w:firstLine="631" w:firstLineChars="200"/>
        <w:jc w:val="both"/>
        <w:textAlignment w:val="auto"/>
        <w:outlineLvl w:val="9"/>
        <w:rPr>
          <w:rFonts w:ascii="仿宋" w:hAnsi="仿宋" w:eastAsia="仿宋"/>
          <w:b/>
          <w:color w:val="auto"/>
          <w:sz w:val="32"/>
          <w:szCs w:val="32"/>
          <w:highlight w:val="none"/>
        </w:rPr>
      </w:pPr>
      <w:r>
        <w:rPr>
          <w:rFonts w:hint="eastAsia" w:ascii="仿宋" w:hAnsi="仿宋" w:eastAsia="仿宋" w:cs="Times New Roman"/>
          <w:b/>
          <w:spacing w:val="-3"/>
          <w:kern w:val="2"/>
          <w:sz w:val="32"/>
          <w:szCs w:val="24"/>
          <w:lang w:val="en-US" w:eastAsia="zh-CN" w:bidi="ar-SA"/>
        </w:rPr>
        <w:t>12.</w:t>
      </w:r>
      <w:r>
        <w:rPr>
          <w:rFonts w:hint="eastAsia" w:ascii="仿宋" w:hAnsi="仿宋" w:eastAsia="仿宋" w:cs="Times New Roman"/>
          <w:b/>
          <w:bCs w:val="0"/>
          <w:spacing w:val="-3"/>
          <w:kern w:val="2"/>
          <w:sz w:val="32"/>
          <w:szCs w:val="24"/>
          <w:lang w:val="en-US" w:eastAsia="zh-CN" w:bidi="ar-SA"/>
        </w:rPr>
        <w:t>住房保障支出（类）住房改革支出（款）住房公积金（项）:</w:t>
      </w:r>
      <w:r>
        <w:rPr>
          <w:rFonts w:hint="eastAsia" w:ascii="仿宋" w:hAnsi="仿宋" w:eastAsia="仿宋" w:cs="Times New Roman"/>
          <w:b w:val="0"/>
          <w:bCs w:val="0"/>
          <w:spacing w:val="0"/>
          <w:kern w:val="2"/>
          <w:sz w:val="32"/>
          <w:szCs w:val="24"/>
          <w:lang w:val="en-US" w:eastAsia="zh-CN" w:bidi="ar-SA"/>
        </w:rPr>
        <w:t>支出决算为25.41万元，完成预算100%，决算数等于预算数。</w:t>
      </w:r>
    </w:p>
    <w:p>
      <w:pPr>
        <w:pageBreakBefore w:val="0"/>
        <w:tabs>
          <w:tab w:val="right" w:pos="8306"/>
        </w:tabs>
        <w:kinsoku/>
        <w:wordWrap/>
        <w:overflowPunct/>
        <w:topLinePunct w:val="0"/>
        <w:bidi w:val="0"/>
        <w:snapToGrid/>
        <w:spacing w:line="576" w:lineRule="exact"/>
        <w:ind w:firstLine="640"/>
        <w:textAlignment w:val="auto"/>
        <w:outlineLvl w:val="1"/>
        <w:rPr>
          <w:rStyle w:val="30"/>
          <w:color w:val="auto"/>
          <w:highlight w:val="none"/>
        </w:rPr>
      </w:pPr>
      <w:bookmarkStart w:id="43" w:name="_Toc15377214"/>
      <w:bookmarkStart w:id="44" w:name="_Toc15396608"/>
      <w:bookmarkStart w:id="45" w:name="_Toc11669"/>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43"/>
      <w:bookmarkEnd w:id="44"/>
      <w:bookmarkEnd w:id="45"/>
      <w:r>
        <w:rPr>
          <w:rStyle w:val="30"/>
          <w:rFonts w:ascii="黑体" w:hAnsi="黑体" w:eastAsia="黑体"/>
          <w:b w:val="0"/>
          <w:color w:val="auto"/>
          <w:highlight w:val="none"/>
        </w:rPr>
        <w:tab/>
      </w:r>
    </w:p>
    <w:p>
      <w:pPr>
        <w:pageBreakBefore w:val="0"/>
        <w:kinsoku/>
        <w:wordWrap/>
        <w:overflowPunct/>
        <w:topLinePunct w:val="0"/>
        <w:bidi w:val="0"/>
        <w:snapToGrid/>
        <w:spacing w:line="576" w:lineRule="exact"/>
        <w:ind w:firstLine="645"/>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000000"/>
          <w:sz w:val="32"/>
          <w:szCs w:val="32"/>
          <w:lang w:val="en-US" w:eastAsia="zh-CN"/>
        </w:rPr>
        <w:t>572.51</w:t>
      </w:r>
      <w:r>
        <w:rPr>
          <w:rFonts w:hint="eastAsia" w:ascii="仿宋" w:hAnsi="仿宋" w:eastAsia="仿宋"/>
          <w:color w:val="auto"/>
          <w:sz w:val="32"/>
          <w:szCs w:val="32"/>
          <w:highlight w:val="none"/>
        </w:rPr>
        <w:t>万元，其中：</w:t>
      </w:r>
    </w:p>
    <w:p>
      <w:pPr>
        <w:pageBreakBefore w:val="0"/>
        <w:kinsoku/>
        <w:wordWrap/>
        <w:overflowPunct/>
        <w:topLinePunct w:val="0"/>
        <w:bidi w:val="0"/>
        <w:snapToGrid/>
        <w:spacing w:line="576" w:lineRule="exact"/>
        <w:ind w:firstLine="645"/>
        <w:textAlignment w:val="auto"/>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317.42</w:t>
      </w:r>
      <w:r>
        <w:rPr>
          <w:rFonts w:hint="eastAsia" w:ascii="仿宋" w:hAnsi="仿宋" w:eastAsia="仿宋"/>
          <w:color w:val="000000"/>
          <w:sz w:val="32"/>
          <w:szCs w:val="32"/>
        </w:rPr>
        <w:t>万元，主要包括：基本工资、津贴补贴、绩效工资、机关</w:t>
      </w:r>
      <w:r>
        <w:rPr>
          <w:rFonts w:hint="eastAsia" w:ascii="仿宋" w:hAnsi="仿宋" w:eastAsia="仿宋"/>
          <w:color w:val="000000"/>
          <w:sz w:val="32"/>
          <w:szCs w:val="32"/>
          <w:lang w:eastAsia="zh-CN"/>
        </w:rPr>
        <w:t>事业单位</w:t>
      </w:r>
      <w:r>
        <w:rPr>
          <w:rFonts w:hint="eastAsia" w:ascii="仿宋" w:hAnsi="仿宋" w:eastAsia="仿宋"/>
          <w:color w:val="000000"/>
          <w:sz w:val="32"/>
          <w:szCs w:val="32"/>
        </w:rPr>
        <w:t>基本养老保险缴费、职业年金缴费、其他社会保障缴费、其他工资福利支出、生活补助、奖励金、住房公积金、其他对个人和家庭的补助支出等。</w:t>
      </w:r>
    </w:p>
    <w:p>
      <w:pPr>
        <w:pageBreakBefore w:val="0"/>
        <w:kinsoku/>
        <w:wordWrap/>
        <w:overflowPunct/>
        <w:topLinePunct w:val="0"/>
        <w:bidi w:val="0"/>
        <w:snapToGrid/>
        <w:spacing w:line="576" w:lineRule="exact"/>
        <w:ind w:firstLine="645"/>
        <w:textAlignment w:val="auto"/>
        <w:rPr>
          <w:rFonts w:ascii="仿宋" w:hAnsi="仿宋" w:eastAsia="仿宋"/>
          <w:b/>
          <w:color w:val="auto"/>
          <w:sz w:val="32"/>
          <w:szCs w:val="32"/>
          <w:highlight w:val="none"/>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255.09</w:t>
      </w:r>
      <w:r>
        <w:rPr>
          <w:rFonts w:hint="eastAsia" w:ascii="仿宋" w:hAnsi="仿宋" w:eastAsia="仿宋"/>
          <w:color w:val="000000"/>
          <w:sz w:val="32"/>
          <w:szCs w:val="32"/>
        </w:rPr>
        <w:t>万元，主要包括：办公费、印刷费、咨询费、水费、电费、邮电费、物业管理费、差旅费</w:t>
      </w:r>
      <w:r>
        <w:rPr>
          <w:rFonts w:hint="eastAsia" w:ascii="仿宋" w:hAnsi="仿宋" w:eastAsia="仿宋"/>
          <w:color w:val="0000FF"/>
          <w:sz w:val="32"/>
          <w:szCs w:val="32"/>
        </w:rPr>
        <w:t>、</w:t>
      </w:r>
      <w:r>
        <w:rPr>
          <w:rFonts w:hint="eastAsia" w:ascii="仿宋" w:hAnsi="仿宋" w:eastAsia="仿宋"/>
          <w:color w:val="000000"/>
          <w:sz w:val="32"/>
          <w:szCs w:val="32"/>
        </w:rPr>
        <w:t>维修（护）费、租赁费、会议费、培训费、公务接待费、劳务费、工会经费、其他交通费、其他商品和服务支出、办公设备购置等。</w:t>
      </w:r>
    </w:p>
    <w:p>
      <w:pPr>
        <w:pageBreakBefore w:val="0"/>
        <w:kinsoku/>
        <w:wordWrap/>
        <w:overflowPunct/>
        <w:topLinePunct w:val="0"/>
        <w:bidi w:val="0"/>
        <w:snapToGrid/>
        <w:spacing w:line="576" w:lineRule="exact"/>
        <w:ind w:firstLine="640"/>
        <w:textAlignment w:val="auto"/>
        <w:outlineLvl w:val="1"/>
        <w:rPr>
          <w:rStyle w:val="30"/>
          <w:rFonts w:ascii="黑体" w:hAnsi="黑体" w:eastAsia="黑体"/>
          <w:b w:val="0"/>
          <w:color w:val="auto"/>
          <w:highlight w:val="none"/>
        </w:rPr>
      </w:pPr>
      <w:bookmarkStart w:id="46" w:name="_Toc15396609"/>
      <w:bookmarkStart w:id="47" w:name="_Toc22177"/>
      <w:bookmarkStart w:id="48" w:name="_Toc15377215"/>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46"/>
      <w:bookmarkEnd w:id="47"/>
      <w:bookmarkEnd w:id="48"/>
    </w:p>
    <w:p>
      <w:pPr>
        <w:keepNext w:val="0"/>
        <w:keepLines w:val="0"/>
        <w:pageBreakBefore w:val="0"/>
        <w:widowControl w:val="0"/>
        <w:kinsoku/>
        <w:wordWrap/>
        <w:overflowPunct/>
        <w:topLinePunct w:val="0"/>
        <w:autoSpaceDE/>
        <w:autoSpaceDN/>
        <w:bidi w:val="0"/>
        <w:adjustRightInd/>
        <w:snapToGrid/>
        <w:spacing w:line="576" w:lineRule="exact"/>
        <w:ind w:firstLine="641"/>
        <w:textAlignment w:val="auto"/>
        <w:outlineLvl w:val="9"/>
        <w:rPr>
          <w:rFonts w:ascii="仿宋" w:hAnsi="仿宋" w:eastAsia="仿宋"/>
          <w:b/>
          <w:color w:val="auto"/>
          <w:sz w:val="32"/>
          <w:szCs w:val="32"/>
          <w:highlight w:val="none"/>
        </w:rPr>
      </w:pPr>
      <w:bookmarkStart w:id="49" w:name="_Toc15377216"/>
      <w:r>
        <w:rPr>
          <w:rFonts w:hint="eastAsia" w:ascii="仿宋" w:hAnsi="仿宋" w:eastAsia="仿宋"/>
          <w:b/>
          <w:color w:val="auto"/>
          <w:sz w:val="32"/>
          <w:szCs w:val="32"/>
          <w:highlight w:val="none"/>
        </w:rPr>
        <w:t>（一）“三公”经费财政拨款支出决算总体情况说明</w:t>
      </w:r>
      <w:bookmarkEnd w:id="49"/>
    </w:p>
    <w:p>
      <w:pPr>
        <w:pageBreakBefore w:val="0"/>
        <w:kinsoku/>
        <w:wordWrap/>
        <w:overflowPunct/>
        <w:topLinePunct w:val="0"/>
        <w:bidi w:val="0"/>
        <w:snapToGrid/>
        <w:spacing w:line="576" w:lineRule="exact"/>
        <w:ind w:firstLine="64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000000"/>
          <w:sz w:val="32"/>
          <w:szCs w:val="32"/>
          <w:lang w:val="en-US" w:eastAsia="zh-CN"/>
        </w:rPr>
        <w:t>10.24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80</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减少1.79万元，下降14.88%。</w:t>
      </w:r>
      <w:r>
        <w:rPr>
          <w:rFonts w:hint="eastAsia" w:ascii="仿宋" w:hAnsi="仿宋" w:eastAsia="仿宋"/>
          <w:color w:val="000000"/>
          <w:sz w:val="32"/>
          <w:szCs w:val="32"/>
        </w:rPr>
        <w:t>决算数小于预算数的主要原因是</w:t>
      </w:r>
      <w:r>
        <w:rPr>
          <w:rFonts w:hint="eastAsia" w:ascii="仿宋" w:hAnsi="仿宋" w:eastAsia="仿宋"/>
          <w:spacing w:val="0"/>
          <w:sz w:val="32"/>
        </w:rPr>
        <w:t>响应</w:t>
      </w:r>
      <w:r>
        <w:rPr>
          <w:rFonts w:hint="eastAsia" w:ascii="仿宋" w:hAnsi="仿宋" w:eastAsia="仿宋"/>
          <w:spacing w:val="0"/>
          <w:sz w:val="32"/>
          <w:lang w:eastAsia="zh-CN"/>
        </w:rPr>
        <w:t>中央八项规定和政策号召</w:t>
      </w:r>
      <w:r>
        <w:rPr>
          <w:rFonts w:hint="eastAsia" w:ascii="仿宋" w:hAnsi="仿宋" w:eastAsia="仿宋"/>
          <w:spacing w:val="0"/>
          <w:sz w:val="32"/>
        </w:rPr>
        <w:t>，厉行节约</w:t>
      </w:r>
      <w:r>
        <w:rPr>
          <w:rFonts w:hint="eastAsia" w:ascii="仿宋" w:hAnsi="仿宋" w:eastAsia="仿宋"/>
          <w:spacing w:val="0"/>
          <w:sz w:val="32"/>
          <w:lang w:eastAsia="zh-CN"/>
        </w:rPr>
        <w:t>，全面压缩接待费支出</w:t>
      </w:r>
      <w:r>
        <w:rPr>
          <w:rFonts w:hint="eastAsia" w:ascii="仿宋" w:hAnsi="仿宋" w:eastAsia="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6" w:lineRule="exact"/>
        <w:ind w:firstLine="641"/>
        <w:textAlignment w:val="auto"/>
        <w:outlineLvl w:val="9"/>
        <w:rPr>
          <w:rFonts w:ascii="仿宋" w:hAnsi="仿宋" w:eastAsia="仿宋"/>
          <w:b/>
          <w:color w:val="auto"/>
          <w:sz w:val="32"/>
          <w:szCs w:val="32"/>
          <w:highlight w:val="none"/>
        </w:rPr>
      </w:pPr>
      <w:bookmarkStart w:id="50" w:name="_Toc15377217"/>
      <w:r>
        <w:rPr>
          <w:rFonts w:hint="eastAsia" w:ascii="仿宋" w:hAnsi="仿宋" w:eastAsia="仿宋"/>
          <w:b/>
          <w:color w:val="auto"/>
          <w:sz w:val="32"/>
          <w:szCs w:val="32"/>
          <w:highlight w:val="none"/>
        </w:rPr>
        <w:t>（二）“三公”经费财政拨款支出决算具体情况说明</w:t>
      </w:r>
      <w:bookmarkEnd w:id="50"/>
    </w:p>
    <w:p>
      <w:pPr>
        <w:pageBreakBefore w:val="0"/>
        <w:kinsoku/>
        <w:wordWrap/>
        <w:overflowPunct/>
        <w:topLinePunct w:val="0"/>
        <w:bidi w:val="0"/>
        <w:snapToGrid/>
        <w:spacing w:line="576" w:lineRule="exact"/>
        <w:ind w:firstLine="64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10.24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rPr>
          <w:rFonts w:ascii="仿宋" w:hAnsi="仿宋" w:eastAsia="仿宋"/>
          <w:color w:val="auto"/>
          <w:sz w:val="32"/>
          <w:szCs w:val="32"/>
          <w:highlight w:val="none"/>
        </w:rPr>
      </w:pPr>
      <w:r>
        <w:drawing>
          <wp:anchor distT="0" distB="0" distL="114300" distR="114300" simplePos="0" relativeHeight="251665408" behindDoc="0" locked="0" layoutInCell="1" allowOverlap="1">
            <wp:simplePos x="0" y="0"/>
            <wp:positionH relativeFrom="column">
              <wp:posOffset>328930</wp:posOffset>
            </wp:positionH>
            <wp:positionV relativeFrom="paragraph">
              <wp:posOffset>92075</wp:posOffset>
            </wp:positionV>
            <wp:extent cx="4744085" cy="1645920"/>
            <wp:effectExtent l="4445" t="5080" r="13970" b="6350"/>
            <wp:wrapTopAndBottom/>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图7：“三公”经费财政拨款支出结构</w:t>
      </w:r>
    </w:p>
    <w:p>
      <w:pPr>
        <w:pageBreakBefore w:val="0"/>
        <w:kinsoku/>
        <w:wordWrap/>
        <w:overflowPunct/>
        <w:topLinePunct w:val="0"/>
        <w:bidi w:val="0"/>
        <w:snapToGrid/>
        <w:spacing w:line="576" w:lineRule="exact"/>
        <w:ind w:firstLine="64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sz w:val="32"/>
          <w:szCs w:val="32"/>
          <w:highlight w:val="none"/>
          <w:lang w:val="en-US" w:eastAsia="zh-CN"/>
        </w:rPr>
        <w:t>因公出国经费支出0万元，年初未安排预算，与上年数无变化</w:t>
      </w:r>
      <w:r>
        <w:rPr>
          <w:rFonts w:hint="eastAsia" w:ascii="仿宋_GB2312" w:eastAsia="仿宋_GB2312"/>
          <w:color w:val="auto"/>
          <w:sz w:val="32"/>
          <w:szCs w:val="32"/>
          <w:highlight w:val="none"/>
        </w:rPr>
        <w:t>。</w:t>
      </w:r>
    </w:p>
    <w:p>
      <w:pPr>
        <w:pageBreakBefore w:val="0"/>
        <w:kinsoku/>
        <w:wordWrap/>
        <w:overflowPunct/>
        <w:topLinePunct w:val="0"/>
        <w:bidi w:val="0"/>
        <w:snapToGrid/>
        <w:spacing w:line="576" w:lineRule="exact"/>
        <w:ind w:firstLine="64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sz w:val="32"/>
          <w:szCs w:val="32"/>
          <w:highlight w:val="none"/>
          <w:lang w:val="en-US" w:eastAsia="zh-CN"/>
        </w:rPr>
        <w:t>因公出国经费支出0万元，年初未安排预算，与上年数无变化</w:t>
      </w:r>
      <w:r>
        <w:rPr>
          <w:rFonts w:hint="eastAsia" w:ascii="仿宋_GB2312" w:eastAsia="仿宋_GB2312"/>
          <w:color w:val="auto"/>
          <w:sz w:val="32"/>
          <w:szCs w:val="32"/>
          <w:highlight w:val="none"/>
        </w:rPr>
        <w:t>。</w:t>
      </w:r>
    </w:p>
    <w:p>
      <w:pPr>
        <w:pageBreakBefore w:val="0"/>
        <w:kinsoku/>
        <w:wordWrap/>
        <w:overflowPunct/>
        <w:topLinePunct w:val="0"/>
        <w:bidi w:val="0"/>
        <w:snapToGrid/>
        <w:spacing w:line="576" w:lineRule="exact"/>
        <w:ind w:firstLine="640" w:firstLineChars="200"/>
        <w:textAlignment w:val="auto"/>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overflowPunct/>
        <w:topLinePunct w:val="0"/>
        <w:bidi w:val="0"/>
        <w:snapToGrid/>
        <w:spacing w:line="576" w:lineRule="exact"/>
        <w:ind w:firstLine="640"/>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10.24</w:t>
      </w:r>
      <w:r>
        <w:rPr>
          <w:rFonts w:hint="eastAsia" w:ascii="仿宋_GB2312" w:eastAsia="仿宋_GB2312"/>
          <w:color w:val="auto"/>
          <w:sz w:val="32"/>
          <w:szCs w:val="32"/>
          <w:highlight w:val="none"/>
        </w:rPr>
        <w:t>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80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1.79</w:t>
      </w:r>
      <w:r>
        <w:rPr>
          <w:rFonts w:hint="eastAsia" w:ascii="仿宋_GB2312" w:eastAsia="仿宋_GB2312"/>
          <w:color w:val="auto"/>
          <w:sz w:val="32"/>
          <w:szCs w:val="32"/>
          <w:highlight w:val="none"/>
        </w:rPr>
        <w:t>万元，下降</w:t>
      </w:r>
      <w:r>
        <w:rPr>
          <w:rFonts w:hint="eastAsia" w:ascii="仿宋" w:hAnsi="仿宋" w:eastAsia="仿宋"/>
          <w:color w:val="auto"/>
          <w:sz w:val="32"/>
          <w:szCs w:val="32"/>
          <w:highlight w:val="none"/>
          <w:lang w:val="en-US" w:eastAsia="zh-CN"/>
        </w:rPr>
        <w:t>14.88</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w:t>
      </w:r>
      <w:r>
        <w:rPr>
          <w:rFonts w:hint="eastAsia" w:ascii="仿宋" w:hAnsi="仿宋" w:eastAsia="仿宋"/>
          <w:color w:val="000000"/>
          <w:sz w:val="32"/>
          <w:szCs w:val="32"/>
        </w:rPr>
        <w:t>是</w:t>
      </w:r>
      <w:r>
        <w:rPr>
          <w:rFonts w:hint="eastAsia" w:ascii="仿宋" w:hAnsi="仿宋" w:eastAsia="仿宋"/>
          <w:spacing w:val="0"/>
          <w:sz w:val="32"/>
        </w:rPr>
        <w:t>响应</w:t>
      </w:r>
      <w:r>
        <w:rPr>
          <w:rFonts w:hint="eastAsia" w:ascii="仿宋" w:hAnsi="仿宋" w:eastAsia="仿宋"/>
          <w:spacing w:val="0"/>
          <w:sz w:val="32"/>
          <w:lang w:eastAsia="zh-CN"/>
        </w:rPr>
        <w:t>中央八项规定和政策号召</w:t>
      </w:r>
      <w:r>
        <w:rPr>
          <w:rFonts w:hint="eastAsia" w:ascii="仿宋" w:hAnsi="仿宋" w:eastAsia="仿宋"/>
          <w:spacing w:val="0"/>
          <w:sz w:val="32"/>
        </w:rPr>
        <w:t>，厉行节约</w:t>
      </w:r>
      <w:r>
        <w:rPr>
          <w:rFonts w:hint="eastAsia" w:ascii="仿宋" w:hAnsi="仿宋" w:eastAsia="仿宋"/>
          <w:spacing w:val="0"/>
          <w:sz w:val="32"/>
          <w:lang w:eastAsia="zh-CN"/>
        </w:rPr>
        <w:t>，全面压缩接待费支出。</w:t>
      </w:r>
      <w:r>
        <w:rPr>
          <w:rFonts w:hint="eastAsia" w:ascii="仿宋_GB2312" w:eastAsia="仿宋_GB2312"/>
          <w:color w:val="auto"/>
          <w:sz w:val="32"/>
          <w:szCs w:val="32"/>
          <w:highlight w:val="none"/>
        </w:rPr>
        <w:t>其中：</w:t>
      </w:r>
    </w:p>
    <w:p>
      <w:pPr>
        <w:pageBreakBefore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10.24</w:t>
      </w:r>
      <w:r>
        <w:rPr>
          <w:rFonts w:hint="eastAsia" w:ascii="仿宋_GB2312" w:eastAsia="仿宋_GB2312"/>
          <w:color w:val="auto"/>
          <w:sz w:val="32"/>
          <w:szCs w:val="32"/>
          <w:highlight w:val="none"/>
        </w:rPr>
        <w:t>万元，主要用于主要用于招商引资、执行公务、开展业务活动开支的交通费、住宿费、用餐费等。国内公务接待203批次，1849人次（不包括陪同人员），共计支出</w:t>
      </w:r>
      <w:r>
        <w:rPr>
          <w:rFonts w:hint="eastAsia" w:ascii="仿宋_GB2312" w:eastAsia="仿宋_GB2312"/>
          <w:color w:val="auto"/>
          <w:sz w:val="32"/>
          <w:szCs w:val="32"/>
          <w:highlight w:val="none"/>
          <w:lang w:val="en-US" w:eastAsia="zh-CN"/>
        </w:rPr>
        <w:t>10.24</w:t>
      </w:r>
      <w:r>
        <w:rPr>
          <w:rFonts w:hint="eastAsia" w:ascii="仿宋_GB2312" w:eastAsia="仿宋_GB2312"/>
          <w:color w:val="auto"/>
          <w:sz w:val="32"/>
          <w:szCs w:val="32"/>
          <w:highlight w:val="none"/>
        </w:rPr>
        <w:t>万元，具体内容包括：招商引资接待7.55万元，执行公务、开展业务活动接待2.69万元。</w:t>
      </w:r>
    </w:p>
    <w:p>
      <w:pPr>
        <w:pageBreakBefore w:val="0"/>
        <w:kinsoku/>
        <w:wordWrap/>
        <w:overflowPunct/>
        <w:topLinePunct w:val="0"/>
        <w:bidi w:val="0"/>
        <w:snapToGrid/>
        <w:spacing w:line="576" w:lineRule="exact"/>
        <w:ind w:firstLine="643" w:firstLineChars="200"/>
        <w:textAlignment w:val="auto"/>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Start w:id="51" w:name="_Toc15396610"/>
      <w:bookmarkStart w:id="52" w:name="_Toc15377218"/>
    </w:p>
    <w:p>
      <w:pPr>
        <w:pageBreakBefore w:val="0"/>
        <w:kinsoku/>
        <w:wordWrap/>
        <w:overflowPunct/>
        <w:topLinePunct w:val="0"/>
        <w:bidi w:val="0"/>
        <w:snapToGrid/>
        <w:spacing w:line="576" w:lineRule="exact"/>
        <w:ind w:firstLine="640"/>
        <w:textAlignment w:val="auto"/>
        <w:outlineLvl w:val="1"/>
        <w:rPr>
          <w:rStyle w:val="30"/>
          <w:rFonts w:ascii="黑体" w:hAnsi="黑体" w:eastAsia="黑体"/>
          <w:color w:val="auto"/>
          <w:highlight w:val="none"/>
        </w:rPr>
      </w:pPr>
      <w:bookmarkStart w:id="53" w:name="_Toc32594"/>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51"/>
      <w:bookmarkEnd w:id="52"/>
      <w:bookmarkEnd w:id="53"/>
    </w:p>
    <w:p>
      <w:pPr>
        <w:pageBreakBefore w:val="0"/>
        <w:kinsoku/>
        <w:wordWrap/>
        <w:overflowPunct/>
        <w:topLinePunct w:val="0"/>
        <w:bidi w:val="0"/>
        <w:snapToGrid/>
        <w:spacing w:line="576" w:lineRule="exact"/>
        <w:ind w:firstLine="64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拨款支出2579.71万元。</w:t>
      </w:r>
    </w:p>
    <w:p>
      <w:pPr>
        <w:pageBreakBefore w:val="0"/>
        <w:numPr>
          <w:ilvl w:val="0"/>
          <w:numId w:val="2"/>
        </w:numPr>
        <w:kinsoku/>
        <w:wordWrap/>
        <w:overflowPunct/>
        <w:topLinePunct w:val="0"/>
        <w:bidi w:val="0"/>
        <w:snapToGrid/>
        <w:spacing w:line="576" w:lineRule="exact"/>
        <w:ind w:firstLine="640"/>
        <w:textAlignment w:val="auto"/>
        <w:outlineLvl w:val="1"/>
        <w:rPr>
          <w:rStyle w:val="30"/>
          <w:rFonts w:ascii="黑体" w:hAnsi="黑体" w:eastAsia="黑体"/>
          <w:b w:val="0"/>
          <w:color w:val="auto"/>
          <w:highlight w:val="none"/>
        </w:rPr>
      </w:pPr>
      <w:bookmarkStart w:id="54" w:name="_Toc15377219"/>
      <w:bookmarkStart w:id="55" w:name="_Toc15396611"/>
      <w:bookmarkStart w:id="56" w:name="_Toc15029"/>
      <w:r>
        <w:rPr>
          <w:rStyle w:val="30"/>
          <w:rFonts w:hint="eastAsia" w:ascii="黑体" w:hAnsi="黑体" w:eastAsia="黑体"/>
          <w:b w:val="0"/>
          <w:color w:val="auto"/>
          <w:highlight w:val="none"/>
        </w:rPr>
        <w:t>国有资本经营预算支出决算情况说明</w:t>
      </w:r>
      <w:bookmarkEnd w:id="54"/>
      <w:bookmarkEnd w:id="55"/>
      <w:bookmarkEnd w:id="56"/>
    </w:p>
    <w:p>
      <w:pPr>
        <w:pageBreakBefore w:val="0"/>
        <w:kinsoku/>
        <w:wordWrap/>
        <w:overflowPunct/>
        <w:topLinePunct w:val="0"/>
        <w:bidi w:val="0"/>
        <w:snapToGrid/>
        <w:spacing w:line="576" w:lineRule="exact"/>
        <w:ind w:firstLine="640"/>
        <w:textAlignment w:val="auto"/>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pageBreakBefore w:val="0"/>
        <w:numPr>
          <w:ilvl w:val="0"/>
          <w:numId w:val="2"/>
        </w:numPr>
        <w:kinsoku/>
        <w:wordWrap/>
        <w:overflowPunct/>
        <w:topLinePunct w:val="0"/>
        <w:bidi w:val="0"/>
        <w:snapToGrid/>
        <w:spacing w:line="576" w:lineRule="exact"/>
        <w:ind w:firstLine="640"/>
        <w:textAlignment w:val="auto"/>
        <w:outlineLvl w:val="1"/>
        <w:rPr>
          <w:rStyle w:val="30"/>
          <w:rFonts w:hint="eastAsia" w:ascii="黑体" w:hAnsi="黑体" w:eastAsia="黑体"/>
          <w:b w:val="0"/>
          <w:color w:val="auto"/>
          <w:highlight w:val="none"/>
        </w:rPr>
      </w:pPr>
      <w:bookmarkStart w:id="57" w:name="_Toc17755"/>
      <w:bookmarkStart w:id="58" w:name="_Toc15396612"/>
      <w:bookmarkStart w:id="59" w:name="_Toc15377221"/>
      <w:r>
        <w:rPr>
          <w:rStyle w:val="30"/>
          <w:rFonts w:hint="eastAsia" w:ascii="黑体" w:hAnsi="黑体" w:eastAsia="黑体"/>
          <w:b w:val="0"/>
          <w:color w:val="auto"/>
          <w:highlight w:val="none"/>
        </w:rPr>
        <w:t>其他重要事项的情况说明</w:t>
      </w:r>
      <w:bookmarkEnd w:id="57"/>
      <w:bookmarkEnd w:id="58"/>
      <w:bookmarkEnd w:id="59"/>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ascii="仿宋" w:hAnsi="仿宋" w:eastAsia="仿宋"/>
          <w:color w:val="auto"/>
          <w:sz w:val="32"/>
          <w:szCs w:val="32"/>
          <w:highlight w:val="none"/>
        </w:rPr>
      </w:pPr>
      <w:bookmarkStart w:id="60" w:name="_Toc15377222"/>
      <w:r>
        <w:rPr>
          <w:rFonts w:hint="eastAsia" w:ascii="仿宋" w:hAnsi="仿宋" w:eastAsia="仿宋"/>
          <w:b/>
          <w:color w:val="auto"/>
          <w:sz w:val="32"/>
          <w:szCs w:val="32"/>
          <w:highlight w:val="none"/>
        </w:rPr>
        <w:t>（一）机关运行经费支出情况</w:t>
      </w:r>
      <w:bookmarkEnd w:id="60"/>
    </w:p>
    <w:p>
      <w:pPr>
        <w:pageBreakBefore w:val="0"/>
        <w:kinsoku/>
        <w:wordWrap/>
        <w:overflowPunct/>
        <w:topLinePunct w:val="0"/>
        <w:bidi w:val="0"/>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年，机关运行经费支出</w:t>
      </w:r>
      <w:r>
        <w:rPr>
          <w:rFonts w:hint="eastAsia" w:ascii="仿宋_GB2312" w:eastAsia="仿宋_GB2312"/>
          <w:color w:val="000000"/>
          <w:sz w:val="32"/>
          <w:szCs w:val="32"/>
          <w:lang w:val="en-US" w:eastAsia="zh-CN"/>
        </w:rPr>
        <w:t>255.09</w:t>
      </w:r>
      <w:r>
        <w:rPr>
          <w:rFonts w:hint="eastAsia" w:ascii="仿宋_GB2312" w:eastAsia="仿宋_GB2312"/>
          <w:color w:val="000000"/>
          <w:sz w:val="32"/>
          <w:szCs w:val="32"/>
        </w:rPr>
        <w:t>万元，比</w:t>
      </w:r>
      <w:r>
        <w:rPr>
          <w:rFonts w:hint="eastAsia" w:ascii="仿宋_GB2312" w:eastAsia="仿宋_GB2312"/>
          <w:color w:val="000000"/>
          <w:sz w:val="32"/>
          <w:szCs w:val="32"/>
          <w:lang w:eastAsia="zh-CN"/>
        </w:rPr>
        <w:t>2021年增加</w:t>
      </w:r>
      <w:r>
        <w:rPr>
          <w:rFonts w:hint="eastAsia" w:ascii="仿宋_GB2312" w:eastAsia="仿宋_GB2312"/>
          <w:color w:val="000000"/>
          <w:sz w:val="32"/>
          <w:szCs w:val="32"/>
          <w:lang w:val="en-US" w:eastAsia="zh-CN"/>
        </w:rPr>
        <w:t>166.57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34.7</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2022年度招商形势向好，</w:t>
      </w:r>
      <w:r>
        <w:rPr>
          <w:rFonts w:hint="eastAsia" w:ascii="仿宋_GB2312" w:eastAsia="仿宋_GB2312"/>
          <w:color w:val="000000"/>
          <w:sz w:val="32"/>
          <w:szCs w:val="32"/>
          <w:lang w:eastAsia="zh-CN"/>
        </w:rPr>
        <w:t>开展投资促进工作差旅费增加</w:t>
      </w:r>
      <w:r>
        <w:rPr>
          <w:rFonts w:hint="eastAsia" w:ascii="仿宋" w:hAnsi="仿宋" w:eastAsia="仿宋"/>
          <w:spacing w:val="0"/>
          <w:sz w:val="32"/>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9"/>
        <w:rPr>
          <w:rFonts w:ascii="仿宋" w:hAnsi="仿宋" w:eastAsia="仿宋"/>
          <w:b/>
          <w:color w:val="auto"/>
          <w:sz w:val="32"/>
          <w:szCs w:val="32"/>
          <w:highlight w:val="none"/>
        </w:rPr>
      </w:pPr>
      <w:bookmarkStart w:id="61" w:name="_Toc15377223"/>
      <w:r>
        <w:rPr>
          <w:rFonts w:hint="eastAsia" w:ascii="仿宋" w:hAnsi="仿宋" w:eastAsia="仿宋"/>
          <w:b/>
          <w:color w:val="auto"/>
          <w:sz w:val="32"/>
          <w:szCs w:val="32"/>
          <w:highlight w:val="none"/>
        </w:rPr>
        <w:t>（二）政府采购支出情况</w:t>
      </w:r>
      <w:bookmarkEnd w:id="61"/>
    </w:p>
    <w:p>
      <w:pPr>
        <w:pageBreakBefore w:val="0"/>
        <w:kinsoku/>
        <w:wordWrap/>
        <w:overflowPunct/>
        <w:topLinePunct w:val="0"/>
        <w:bidi w:val="0"/>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年，政府采购支出总额74.5万元，其中：政府采购货物支出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74.5</w:t>
      </w:r>
      <w:r>
        <w:rPr>
          <w:rFonts w:hint="eastAsia" w:ascii="仿宋_GB2312" w:eastAsia="仿宋_GB2312"/>
          <w:color w:val="auto"/>
          <w:sz w:val="32"/>
          <w:szCs w:val="32"/>
          <w:highlight w:val="none"/>
        </w:rPr>
        <w:t>万元。</w:t>
      </w:r>
      <w:r>
        <w:rPr>
          <w:rFonts w:hint="eastAsia" w:ascii="仿宋_GB2312" w:eastAsia="仿宋_GB2312" w:cs="仿宋_GB2312"/>
          <w:sz w:val="32"/>
          <w:szCs w:val="32"/>
          <w:lang w:eastAsia="zh-CN" w:bidi="ar-SA"/>
        </w:rPr>
        <w:t>主要通过公开购买第三方国家级、省级中小企业公共服务平台专业服务的方式，</w:t>
      </w:r>
      <w:r>
        <w:rPr>
          <w:rFonts w:hint="eastAsia" w:ascii="仿宋_GB2312" w:eastAsia="仿宋_GB2312" w:cs="仿宋_GB2312"/>
          <w:sz w:val="32"/>
          <w:szCs w:val="32"/>
          <w:lang w:val="en-US" w:eastAsia="zh-CN" w:bidi="ar-SA"/>
        </w:rPr>
        <w:t>对</w:t>
      </w:r>
      <w:r>
        <w:rPr>
          <w:rFonts w:hint="eastAsia" w:ascii="仿宋_GB2312" w:eastAsia="仿宋_GB2312" w:cs="仿宋_GB2312"/>
          <w:sz w:val="32"/>
          <w:szCs w:val="32"/>
          <w:lang w:eastAsia="zh-CN" w:bidi="ar-SA"/>
        </w:rPr>
        <w:t>全区3个重点工业园区和12个镇内中小企业提供技术、培训、培训、人才、市场拓展、投融资、法律服务。</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74.5</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74.5</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9"/>
        <w:rPr>
          <w:rFonts w:ascii="仿宋" w:hAnsi="仿宋" w:eastAsia="仿宋"/>
          <w:b/>
          <w:color w:val="auto"/>
          <w:sz w:val="32"/>
          <w:szCs w:val="32"/>
          <w:highlight w:val="none"/>
        </w:rPr>
      </w:pPr>
      <w:bookmarkStart w:id="62" w:name="_Toc15377224"/>
      <w:r>
        <w:rPr>
          <w:rFonts w:hint="eastAsia" w:ascii="仿宋" w:hAnsi="仿宋" w:eastAsia="仿宋"/>
          <w:b/>
          <w:color w:val="auto"/>
          <w:sz w:val="32"/>
          <w:szCs w:val="32"/>
          <w:highlight w:val="none"/>
        </w:rPr>
        <w:t>（三）国有资产占有使用情况</w:t>
      </w:r>
      <w:bookmarkEnd w:id="62"/>
    </w:p>
    <w:p>
      <w:pPr>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我单位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eastAsia="zh-CN"/>
        </w:rPr>
        <w:t>0</w:t>
      </w:r>
      <w:r>
        <w:rPr>
          <w:rFonts w:hint="eastAsia" w:ascii="仿宋_GB2312" w:eastAsia="仿宋_GB2312"/>
          <w:color w:val="auto"/>
          <w:sz w:val="32"/>
          <w:szCs w:val="32"/>
          <w:highlight w:val="none"/>
        </w:rPr>
        <w:t>辆</w:t>
      </w:r>
      <w:bookmarkStart w:id="97" w:name="_GoBack"/>
      <w:bookmarkEnd w:id="97"/>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keepNext w:val="0"/>
        <w:keepLines w:val="0"/>
        <w:pageBreakBefore w:val="0"/>
        <w:widowControl w:val="0"/>
        <w:kinsoku/>
        <w:wordWrap/>
        <w:overflowPunct/>
        <w:topLinePunct w:val="0"/>
        <w:autoSpaceDE w:val="0"/>
        <w:autoSpaceDN w:val="0"/>
        <w:bidi w:val="0"/>
        <w:adjustRightInd w:val="0"/>
        <w:snapToGrid/>
        <w:spacing w:line="576" w:lineRule="exact"/>
        <w:ind w:firstLine="643" w:firstLineChars="200"/>
        <w:jc w:val="left"/>
        <w:textAlignment w:val="auto"/>
        <w:outlineLvl w:val="9"/>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ageBreakBefore w:val="0"/>
        <w:kinsoku/>
        <w:wordWrap/>
        <w:overflowPunct/>
        <w:topLinePunct w:val="0"/>
        <w:bidi w:val="0"/>
        <w:snapToGrid/>
        <w:spacing w:afterAutospacing="0" w:line="576"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根据预算绩效管理要求，本部门在2022年度预算编制阶段，组织对美好世家实木烘干中心项目征收补偿安置资金等4个项目开展了预算事前绩效评估；对部门整体和所有项目支出编制了绩效目标，预算执行中，按照财政要求全面开展了绩效运行监控；组织对2022年度一般公共预算支出、政府性基金预算支出等全覆盖开展了绩效自评，形成了广元市昭化区经济信息化和科学技术局2022年度部门整体绩效自评报告、美好世家实木烘干中心项目征收补偿安置资金等10个专项预算项目绩效自评报告，其中，部门整体绩效自评得分为</w:t>
      </w:r>
      <w:r>
        <w:rPr>
          <w:rFonts w:hint="default" w:ascii="仿宋_GB2312" w:hAnsi="仿宋_GB2312" w:eastAsia="仿宋_GB2312" w:cs="仿宋_GB2312"/>
          <w:color w:val="auto"/>
          <w:kern w:val="0"/>
          <w:sz w:val="32"/>
          <w:szCs w:val="32"/>
          <w:highlight w:val="none"/>
          <w:lang w:val="en-US" w:eastAsia="zh-CN" w:bidi="ar-SA"/>
        </w:rPr>
        <w:t>94.45</w:t>
      </w:r>
      <w:r>
        <w:rPr>
          <w:rFonts w:hint="eastAsia" w:ascii="仿宋_GB2312" w:hAnsi="仿宋_GB2312" w:eastAsia="仿宋_GB2312" w:cs="仿宋_GB2312"/>
          <w:color w:val="auto"/>
          <w:kern w:val="0"/>
          <w:sz w:val="32"/>
          <w:szCs w:val="32"/>
          <w:highlight w:val="none"/>
          <w:lang w:val="en-US" w:eastAsia="zh-CN" w:bidi="ar-SA"/>
        </w:rPr>
        <w:t>分；10个专项预算项目绩效自评得分为96.77分。《2022年广元市昭化区经济信息化和科学技术局部门整体绩效自评报告（表）》和《项目支出绩效自评报告（表）》详见附件。</w:t>
      </w:r>
    </w:p>
    <w:p>
      <w:pPr>
        <w:pStyle w:val="2"/>
      </w:pPr>
    </w:p>
    <w:p>
      <w:pPr>
        <w:pageBreakBefore w:val="0"/>
        <w:widowControl/>
        <w:kinsoku/>
        <w:wordWrap/>
        <w:overflowPunct/>
        <w:topLinePunct w:val="0"/>
        <w:bidi w:val="0"/>
        <w:snapToGrid/>
        <w:spacing w:line="576" w:lineRule="exact"/>
        <w:jc w:val="left"/>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pageBreakBefore w:val="0"/>
        <w:numPr>
          <w:ilvl w:val="0"/>
          <w:numId w:val="3"/>
        </w:numPr>
        <w:kinsoku/>
        <w:wordWrap/>
        <w:overflowPunct/>
        <w:topLinePunct w:val="0"/>
        <w:bidi w:val="0"/>
        <w:snapToGrid/>
        <w:spacing w:line="576" w:lineRule="exact"/>
        <w:ind w:firstLine="660" w:firstLineChars="150"/>
        <w:jc w:val="center"/>
        <w:textAlignment w:val="auto"/>
        <w:outlineLvl w:val="0"/>
        <w:rPr>
          <w:rStyle w:val="29"/>
          <w:rFonts w:ascii="黑体" w:hAnsi="黑体" w:eastAsia="黑体"/>
          <w:b w:val="0"/>
          <w:color w:val="auto"/>
          <w:highlight w:val="none"/>
        </w:rPr>
      </w:pPr>
      <w:bookmarkStart w:id="63" w:name="_Toc15377225"/>
      <w:bookmarkStart w:id="64" w:name="_Toc15396613"/>
      <w:bookmarkStart w:id="65" w:name="_Toc5993"/>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63"/>
      <w:bookmarkEnd w:id="64"/>
      <w:bookmarkEnd w:id="65"/>
    </w:p>
    <w:p>
      <w:pPr>
        <w:pageBreakBefore w:val="0"/>
        <w:kinsoku/>
        <w:wordWrap/>
        <w:overflowPunct/>
        <w:topLinePunct w:val="0"/>
        <w:bidi w:val="0"/>
        <w:snapToGrid/>
        <w:spacing w:line="576" w:lineRule="exact"/>
        <w:jc w:val="left"/>
        <w:textAlignment w:val="auto"/>
        <w:rPr>
          <w:rFonts w:ascii="宋体"/>
          <w:b/>
          <w:color w:val="auto"/>
          <w:sz w:val="44"/>
          <w:szCs w:val="44"/>
          <w:highlight w:val="none"/>
        </w:rPr>
      </w:pPr>
    </w:p>
    <w:p>
      <w:pPr>
        <w:pStyle w:val="27"/>
        <w:pageBreakBefore w:val="0"/>
        <w:kinsoku/>
        <w:wordWrap/>
        <w:overflowPunct/>
        <w:topLinePunct w:val="0"/>
        <w:bidi w:val="0"/>
        <w:snapToGrid/>
        <w:spacing w:line="576" w:lineRule="exact"/>
        <w:ind w:right="0" w:rightChars="0" w:firstLine="640" w:firstLineChars="200"/>
        <w:textAlignment w:val="auto"/>
        <w:rPr>
          <w:rFonts w:ascii="仿宋_GB2312" w:eastAsia="仿宋_GB2312"/>
          <w:sz w:val="32"/>
          <w:szCs w:val="32"/>
        </w:rPr>
      </w:pPr>
      <w:bookmarkStart w:id="66" w:name="_Toc15377226"/>
      <w:r>
        <w:rPr>
          <w:rFonts w:ascii="仿宋_GB2312" w:eastAsia="仿宋_GB2312"/>
          <w:sz w:val="32"/>
          <w:szCs w:val="32"/>
        </w:rPr>
        <w:t>1.</w:t>
      </w:r>
      <w:r>
        <w:rPr>
          <w:rFonts w:hint="eastAsia" w:ascii="仿宋_GB2312" w:eastAsia="仿宋_GB2312"/>
          <w:sz w:val="32"/>
          <w:szCs w:val="32"/>
        </w:rPr>
        <w:t>财政拨款收入：指</w:t>
      </w:r>
      <w:r>
        <w:rPr>
          <w:rFonts w:hint="eastAsia" w:ascii="仿宋_GB2312" w:eastAsia="仿宋_GB2312"/>
          <w:sz w:val="32"/>
          <w:szCs w:val="32"/>
          <w:lang w:val="en-US" w:eastAsia="zh-CN"/>
        </w:rPr>
        <w:t>单位</w:t>
      </w:r>
      <w:r>
        <w:rPr>
          <w:rFonts w:hint="eastAsia" w:ascii="仿宋_GB2312" w:eastAsia="仿宋_GB2312"/>
          <w:sz w:val="32"/>
          <w:szCs w:val="32"/>
        </w:rPr>
        <w:t>从同级财政部门取得的财政预算资金。</w:t>
      </w:r>
    </w:p>
    <w:p>
      <w:pPr>
        <w:pStyle w:val="27"/>
        <w:pageBreakBefore w:val="0"/>
        <w:kinsoku/>
        <w:wordWrap/>
        <w:overflowPunct/>
        <w:topLinePunct w:val="0"/>
        <w:bidi w:val="0"/>
        <w:snapToGrid/>
        <w:spacing w:line="576"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7"/>
        <w:pageBreakBefore w:val="0"/>
        <w:kinsoku/>
        <w:wordWrap/>
        <w:overflowPunct/>
        <w:topLinePunct w:val="0"/>
        <w:bidi w:val="0"/>
        <w:snapToGrid/>
        <w:spacing w:line="576"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、年末结转和结余：指</w:t>
      </w:r>
      <w:r>
        <w:rPr>
          <w:rFonts w:hint="eastAsia" w:ascii="仿宋_GB2312" w:eastAsia="仿宋_GB2312"/>
          <w:sz w:val="32"/>
          <w:szCs w:val="32"/>
          <w:lang w:val="en-US" w:eastAsia="zh-CN"/>
        </w:rPr>
        <w:t>单位</w:t>
      </w:r>
      <w:r>
        <w:rPr>
          <w:rFonts w:hint="eastAsia" w:ascii="仿宋_GB2312" w:eastAsia="仿宋_GB2312"/>
          <w:sz w:val="32"/>
          <w:szCs w:val="32"/>
        </w:rPr>
        <w:t>按有关规定结转到下年或以后年度继续使用的资金。</w:t>
      </w:r>
    </w:p>
    <w:p>
      <w:pPr>
        <w:pStyle w:val="1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5"/>
        <w:jc w:val="left"/>
        <w:textAlignment w:val="auto"/>
        <w:outlineLvl w:val="9"/>
        <w:rPr>
          <w:rFonts w:hint="eastAsia" w:ascii="仿宋_GB2312" w:hAnsi="微软雅黑" w:eastAsia="仿宋_GB2312" w:cs="仿宋_GB2312"/>
          <w:color w:val="auto"/>
          <w:sz w:val="31"/>
          <w:szCs w:val="31"/>
          <w:lang w:eastAsia="zh-CN"/>
        </w:rPr>
      </w:pPr>
      <w:r>
        <w:rPr>
          <w:rFonts w:hint="eastAsia" w:ascii="仿宋_GB2312" w:eastAsia="仿宋_GB2312"/>
          <w:color w:val="000000"/>
          <w:sz w:val="32"/>
          <w:szCs w:val="32"/>
          <w:lang w:val="en-US" w:eastAsia="zh-CN"/>
        </w:rPr>
        <w:t>4</w:t>
      </w:r>
      <w:r>
        <w:rPr>
          <w:rFonts w:ascii="仿宋_GB2312" w:eastAsia="仿宋_GB2312"/>
          <w:color w:val="000000"/>
          <w:sz w:val="32"/>
          <w:szCs w:val="32"/>
        </w:rPr>
        <w:t>.</w:t>
      </w:r>
      <w:r>
        <w:rPr>
          <w:rFonts w:hint="default" w:ascii="仿宋_GB2312" w:hAnsi="微软雅黑" w:eastAsia="仿宋_GB2312" w:cs="仿宋_GB2312"/>
          <w:color w:val="auto"/>
          <w:sz w:val="31"/>
          <w:szCs w:val="31"/>
        </w:rPr>
        <w:t>一般公共服务（类）</w:t>
      </w:r>
      <w:r>
        <w:rPr>
          <w:rFonts w:hint="eastAsia" w:ascii="仿宋_GB2312" w:hAnsi="微软雅黑" w:eastAsia="仿宋_GB2312" w:cs="仿宋_GB2312"/>
          <w:color w:val="auto"/>
          <w:sz w:val="31"/>
          <w:szCs w:val="31"/>
          <w:lang w:eastAsia="zh-CN"/>
        </w:rPr>
        <w:t>商务</w:t>
      </w:r>
      <w:r>
        <w:rPr>
          <w:rFonts w:hint="default" w:ascii="仿宋_GB2312" w:hAnsi="微软雅黑" w:eastAsia="仿宋_GB2312" w:cs="仿宋_GB2312"/>
          <w:color w:val="auto"/>
          <w:sz w:val="31"/>
          <w:szCs w:val="31"/>
        </w:rPr>
        <w:t>事务（款）行政运行（项）</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指</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机关正常运转的基本支出，包括基本工资、津贴补贴等人员经费以及办公费、印刷费、水电费等日常公用经费,保障部门正常运转。</w:t>
      </w:r>
    </w:p>
    <w:p>
      <w:pPr>
        <w:pStyle w:val="1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rightChars="0" w:firstLine="645"/>
        <w:jc w:val="left"/>
        <w:textAlignment w:val="auto"/>
        <w:outlineLvl w:val="9"/>
        <w:rPr>
          <w:rFonts w:ascii="仿宋_GB2312" w:eastAsia="仿宋_GB2312"/>
          <w:color w:val="000000"/>
          <w:sz w:val="32"/>
          <w:szCs w:val="32"/>
        </w:rPr>
      </w:pPr>
      <w:r>
        <w:rPr>
          <w:rFonts w:hint="eastAsia" w:ascii="仿宋_GB2312" w:hAnsi="微软雅黑" w:eastAsia="仿宋_GB2312" w:cs="仿宋_GB2312"/>
          <w:color w:val="auto"/>
          <w:sz w:val="31"/>
          <w:szCs w:val="31"/>
          <w:lang w:val="en-US" w:eastAsia="zh-CN"/>
        </w:rPr>
        <w:t>5</w:t>
      </w:r>
      <w:r>
        <w:rPr>
          <w:rFonts w:hint="default" w:ascii="仿宋_GB2312" w:hAnsi="微软雅黑" w:eastAsia="仿宋_GB2312" w:cs="仿宋_GB2312"/>
          <w:color w:val="auto"/>
          <w:sz w:val="31"/>
          <w:szCs w:val="31"/>
        </w:rPr>
        <w:t>.一般公共服务（类）</w:t>
      </w:r>
      <w:r>
        <w:rPr>
          <w:rFonts w:hint="eastAsia" w:ascii="仿宋_GB2312" w:hAnsi="微软雅黑" w:eastAsia="仿宋_GB2312" w:cs="仿宋_GB2312"/>
          <w:color w:val="auto"/>
          <w:sz w:val="31"/>
          <w:szCs w:val="31"/>
          <w:lang w:eastAsia="zh-CN"/>
        </w:rPr>
        <w:t>商务</w:t>
      </w:r>
      <w:r>
        <w:rPr>
          <w:rFonts w:hint="default" w:ascii="仿宋_GB2312" w:hAnsi="微软雅黑" w:eastAsia="仿宋_GB2312" w:cs="仿宋_GB2312"/>
          <w:color w:val="auto"/>
          <w:sz w:val="31"/>
          <w:szCs w:val="31"/>
        </w:rPr>
        <w:t>事务（款）一般行政管理事务（项）</w:t>
      </w:r>
      <w:r>
        <w:rPr>
          <w:rFonts w:hint="eastAsia" w:ascii="仿宋_GB2312" w:hAnsi="微软雅黑" w:eastAsia="仿宋_GB2312" w:cs="仿宋_GB2312"/>
          <w:color w:val="auto"/>
          <w:sz w:val="31"/>
          <w:szCs w:val="31"/>
          <w:lang w:val="en-US" w:eastAsia="zh-CN"/>
        </w:rPr>
        <w:t>指</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机关</w:t>
      </w:r>
      <w:r>
        <w:rPr>
          <w:rFonts w:hint="eastAsia" w:ascii="仿宋_GB2312" w:hAnsi="微软雅黑" w:eastAsia="仿宋_GB2312" w:cs="仿宋_GB2312"/>
          <w:color w:val="auto"/>
          <w:sz w:val="31"/>
          <w:szCs w:val="31"/>
          <w:lang w:eastAsia="zh-CN"/>
        </w:rPr>
        <w:t>的事业人员的基本工资、绩效工资。</w:t>
      </w:r>
    </w:p>
    <w:p>
      <w:pPr>
        <w:pageBreakBefore w:val="0"/>
        <w:kinsoku/>
        <w:wordWrap/>
        <w:overflowPunct/>
        <w:topLinePunct w:val="0"/>
        <w:bidi w:val="0"/>
        <w:snapToGrid/>
        <w:spacing w:line="576" w:lineRule="exact"/>
        <w:ind w:right="0" w:rightChars="0" w:firstLine="640"/>
        <w:textAlignment w:val="auto"/>
        <w:rPr>
          <w:rFonts w:hint="eastAsia"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6</w:t>
      </w:r>
      <w:r>
        <w:rPr>
          <w:rFonts w:hint="default" w:ascii="仿宋_GB2312" w:hAnsi="微软雅黑" w:eastAsia="仿宋_GB2312" w:cs="仿宋_GB2312"/>
          <w:color w:val="auto"/>
          <w:sz w:val="31"/>
          <w:szCs w:val="31"/>
        </w:rPr>
        <w:t>.社会保障和就业（类）行政</w:t>
      </w:r>
      <w:r>
        <w:rPr>
          <w:rFonts w:hint="eastAsia" w:ascii="仿宋_GB2312" w:hAnsi="微软雅黑" w:eastAsia="仿宋_GB2312" w:cs="仿宋_GB2312"/>
          <w:color w:val="auto"/>
          <w:sz w:val="31"/>
          <w:szCs w:val="31"/>
          <w:lang w:eastAsia="zh-CN"/>
        </w:rPr>
        <w:t>事业单位</w:t>
      </w:r>
      <w:r>
        <w:rPr>
          <w:rFonts w:hint="default" w:ascii="仿宋_GB2312" w:hAnsi="微软雅黑" w:eastAsia="仿宋_GB2312" w:cs="仿宋_GB2312"/>
          <w:color w:val="auto"/>
          <w:sz w:val="31"/>
          <w:szCs w:val="31"/>
        </w:rPr>
        <w:t>养老支出</w:t>
      </w:r>
      <w:r>
        <w:rPr>
          <w:rFonts w:hint="eastAsia" w:ascii="仿宋_GB2312" w:hAnsi="微软雅黑" w:eastAsia="仿宋_GB2312" w:cs="仿宋_GB2312"/>
          <w:color w:val="auto"/>
          <w:sz w:val="31"/>
          <w:szCs w:val="31"/>
          <w:lang w:eastAsia="zh-CN"/>
        </w:rPr>
        <w:t>（款）机关事业单位基本</w:t>
      </w:r>
      <w:r>
        <w:rPr>
          <w:rFonts w:hint="default" w:ascii="仿宋_GB2312" w:hAnsi="微软雅黑" w:eastAsia="仿宋_GB2312" w:cs="仿宋_GB2312"/>
          <w:color w:val="auto"/>
          <w:sz w:val="31"/>
          <w:szCs w:val="31"/>
        </w:rPr>
        <w:t>养老</w:t>
      </w:r>
      <w:r>
        <w:rPr>
          <w:rFonts w:hint="eastAsia" w:ascii="仿宋_GB2312" w:hAnsi="微软雅黑" w:eastAsia="仿宋_GB2312" w:cs="仿宋_GB2312"/>
          <w:color w:val="auto"/>
          <w:sz w:val="31"/>
          <w:szCs w:val="31"/>
          <w:lang w:eastAsia="zh-CN"/>
        </w:rPr>
        <w:t>保险缴费</w:t>
      </w:r>
      <w:r>
        <w:rPr>
          <w:rFonts w:hint="default" w:ascii="仿宋_GB2312" w:hAnsi="微软雅黑" w:eastAsia="仿宋_GB2312" w:cs="仿宋_GB2312"/>
          <w:color w:val="auto"/>
          <w:sz w:val="31"/>
          <w:szCs w:val="31"/>
        </w:rPr>
        <w:t>支出（项）</w:t>
      </w:r>
      <w:r>
        <w:rPr>
          <w:rFonts w:hint="eastAsia" w:ascii="仿宋_GB2312" w:hAnsi="微软雅黑" w:eastAsia="仿宋_GB2312" w:cs="仿宋_GB2312"/>
          <w:color w:val="auto"/>
          <w:sz w:val="31"/>
          <w:szCs w:val="31"/>
          <w:lang w:val="en-US" w:eastAsia="zh-CN"/>
        </w:rPr>
        <w:t>指</w:t>
      </w:r>
      <w:r>
        <w:rPr>
          <w:rFonts w:hint="default" w:ascii="仿宋_GB2312" w:hAnsi="微软雅黑" w:eastAsia="仿宋_GB2312" w:cs="仿宋_GB2312"/>
          <w:color w:val="auto"/>
          <w:sz w:val="31"/>
          <w:szCs w:val="31"/>
        </w:rPr>
        <w:t>机关</w:t>
      </w:r>
      <w:r>
        <w:rPr>
          <w:rFonts w:hint="eastAsia" w:ascii="仿宋_GB2312" w:hAnsi="微软雅黑" w:eastAsia="仿宋_GB2312" w:cs="仿宋_GB2312"/>
          <w:color w:val="auto"/>
          <w:sz w:val="31"/>
          <w:szCs w:val="31"/>
          <w:lang w:eastAsia="zh-CN"/>
        </w:rPr>
        <w:t>部门缴纳的基本养老保险</w:t>
      </w:r>
      <w:r>
        <w:rPr>
          <w:rFonts w:hint="default" w:ascii="仿宋_GB2312" w:hAnsi="微软雅黑" w:eastAsia="仿宋_GB2312" w:cs="仿宋_GB2312"/>
          <w:color w:val="auto"/>
          <w:sz w:val="31"/>
          <w:szCs w:val="31"/>
        </w:rPr>
        <w:t>。</w:t>
      </w:r>
    </w:p>
    <w:p>
      <w:pPr>
        <w:pageBreakBefore w:val="0"/>
        <w:kinsoku/>
        <w:wordWrap/>
        <w:overflowPunct/>
        <w:topLinePunct w:val="0"/>
        <w:bidi w:val="0"/>
        <w:snapToGrid/>
        <w:spacing w:line="576" w:lineRule="exact"/>
        <w:ind w:right="0" w:rightChars="0" w:firstLine="640"/>
        <w:textAlignment w:val="auto"/>
        <w:rPr>
          <w:rFonts w:hint="eastAsia"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7</w:t>
      </w:r>
      <w:r>
        <w:rPr>
          <w:rFonts w:hint="default" w:ascii="仿宋_GB2312" w:hAnsi="微软雅黑" w:eastAsia="仿宋_GB2312" w:cs="仿宋_GB2312"/>
          <w:color w:val="auto"/>
          <w:sz w:val="31"/>
          <w:szCs w:val="31"/>
        </w:rPr>
        <w:t>.社会保障和就业（类）</w:t>
      </w:r>
      <w:r>
        <w:rPr>
          <w:rFonts w:hint="eastAsia" w:ascii="仿宋_GB2312" w:hAnsi="微软雅黑" w:eastAsia="仿宋_GB2312" w:cs="仿宋_GB2312"/>
          <w:color w:val="auto"/>
          <w:sz w:val="31"/>
          <w:szCs w:val="31"/>
          <w:lang w:eastAsia="zh-CN"/>
        </w:rPr>
        <w:t>其他社会保障和就业支出</w:t>
      </w:r>
      <w:r>
        <w:rPr>
          <w:rFonts w:hint="default" w:ascii="仿宋_GB2312" w:hAnsi="微软雅黑" w:eastAsia="仿宋_GB2312" w:cs="仿宋_GB2312"/>
          <w:color w:val="auto"/>
          <w:sz w:val="31"/>
          <w:szCs w:val="31"/>
        </w:rPr>
        <w:t>（款）</w:t>
      </w:r>
      <w:r>
        <w:rPr>
          <w:rFonts w:hint="eastAsia" w:ascii="仿宋_GB2312" w:hAnsi="微软雅黑" w:eastAsia="仿宋_GB2312" w:cs="仿宋_GB2312"/>
          <w:color w:val="auto"/>
          <w:sz w:val="31"/>
          <w:szCs w:val="31"/>
          <w:lang w:eastAsia="zh-CN"/>
        </w:rPr>
        <w:t>其他社会保障和就业支出</w:t>
      </w:r>
      <w:r>
        <w:rPr>
          <w:rFonts w:hint="default" w:ascii="仿宋_GB2312" w:hAnsi="微软雅黑" w:eastAsia="仿宋_GB2312" w:cs="仿宋_GB2312"/>
          <w:color w:val="auto"/>
          <w:sz w:val="31"/>
          <w:szCs w:val="31"/>
        </w:rPr>
        <w:t>（项）</w:t>
      </w:r>
      <w:r>
        <w:rPr>
          <w:rFonts w:hint="eastAsia" w:ascii="仿宋_GB2312" w:hAnsi="微软雅黑" w:eastAsia="仿宋_GB2312" w:cs="仿宋_GB2312"/>
          <w:color w:val="auto"/>
          <w:sz w:val="31"/>
          <w:szCs w:val="31"/>
          <w:lang w:val="en-US" w:eastAsia="zh-CN"/>
        </w:rPr>
        <w:t>指</w:t>
      </w:r>
      <w:r>
        <w:rPr>
          <w:rFonts w:hint="eastAsia" w:ascii="仿宋_GB2312" w:hAnsi="微软雅黑" w:eastAsia="仿宋_GB2312" w:cs="仿宋_GB2312"/>
          <w:color w:val="auto"/>
          <w:sz w:val="31"/>
          <w:szCs w:val="31"/>
          <w:lang w:eastAsia="zh-CN"/>
        </w:rPr>
        <w:t>机关事业单位缴纳的工伤保险、失业保险。</w:t>
      </w:r>
    </w:p>
    <w:p>
      <w:pPr>
        <w:pageBreakBefore w:val="0"/>
        <w:kinsoku/>
        <w:wordWrap/>
        <w:overflowPunct/>
        <w:topLinePunct w:val="0"/>
        <w:bidi w:val="0"/>
        <w:snapToGrid/>
        <w:spacing w:line="576" w:lineRule="exact"/>
        <w:ind w:right="0" w:rightChars="0" w:firstLine="640"/>
        <w:textAlignment w:val="auto"/>
        <w:rPr>
          <w:rFonts w:hint="eastAsia" w:ascii="仿宋_GB2312" w:hAnsi="微软雅黑" w:eastAsia="仿宋_GB2312" w:cs="仿宋_GB2312"/>
          <w:color w:val="auto"/>
          <w:sz w:val="31"/>
          <w:szCs w:val="31"/>
          <w:lang w:eastAsia="zh-CN"/>
        </w:rPr>
      </w:pPr>
      <w:r>
        <w:rPr>
          <w:rFonts w:hint="eastAsia" w:ascii="仿宋_GB2312" w:hAnsi="微软雅黑" w:eastAsia="仿宋_GB2312" w:cs="仿宋_GB2312"/>
          <w:color w:val="auto"/>
          <w:sz w:val="31"/>
          <w:szCs w:val="31"/>
          <w:lang w:val="en-US" w:eastAsia="zh-CN"/>
        </w:rPr>
        <w:t>8</w:t>
      </w:r>
      <w:r>
        <w:rPr>
          <w:rFonts w:hint="default" w:ascii="仿宋_GB2312" w:hAnsi="微软雅黑" w:eastAsia="仿宋_GB2312" w:cs="仿宋_GB2312"/>
          <w:color w:val="auto"/>
          <w:sz w:val="31"/>
          <w:szCs w:val="31"/>
        </w:rPr>
        <w:t>.卫生健康支出（类）行政</w:t>
      </w:r>
      <w:r>
        <w:rPr>
          <w:rFonts w:hint="eastAsia" w:ascii="仿宋_GB2312" w:hAnsi="微软雅黑" w:eastAsia="仿宋_GB2312" w:cs="仿宋_GB2312"/>
          <w:color w:val="auto"/>
          <w:sz w:val="31"/>
          <w:szCs w:val="31"/>
          <w:lang w:eastAsia="zh-CN"/>
        </w:rPr>
        <w:t>事业单位</w:t>
      </w:r>
      <w:r>
        <w:rPr>
          <w:rFonts w:hint="default" w:ascii="仿宋_GB2312" w:hAnsi="微软雅黑" w:eastAsia="仿宋_GB2312" w:cs="仿宋_GB2312"/>
          <w:color w:val="auto"/>
          <w:sz w:val="31"/>
          <w:szCs w:val="31"/>
        </w:rPr>
        <w:t>医疗（款）</w:t>
      </w:r>
      <w:r>
        <w:rPr>
          <w:rFonts w:hint="eastAsia" w:ascii="仿宋_GB2312" w:hAnsi="微软雅黑" w:eastAsia="仿宋_GB2312" w:cs="仿宋_GB2312"/>
          <w:color w:val="auto"/>
          <w:sz w:val="31"/>
          <w:szCs w:val="31"/>
          <w:lang w:eastAsia="zh-CN"/>
        </w:rPr>
        <w:t>行政单位</w:t>
      </w:r>
      <w:r>
        <w:rPr>
          <w:rFonts w:hint="default" w:ascii="仿宋_GB2312" w:hAnsi="微软雅黑" w:eastAsia="仿宋_GB2312" w:cs="仿宋_GB2312"/>
          <w:color w:val="auto"/>
          <w:sz w:val="31"/>
          <w:szCs w:val="31"/>
        </w:rPr>
        <w:t>医疗（项</w:t>
      </w:r>
      <w:r>
        <w:rPr>
          <w:rFonts w:hint="eastAsia" w:ascii="仿宋_GB2312" w:hAnsi="微软雅黑" w:eastAsia="仿宋_GB2312" w:cs="仿宋_GB2312"/>
          <w:color w:val="auto"/>
          <w:sz w:val="31"/>
          <w:szCs w:val="31"/>
          <w:lang w:eastAsia="zh-CN"/>
        </w:rPr>
        <w:t>）</w:t>
      </w:r>
      <w:r>
        <w:rPr>
          <w:rFonts w:hint="eastAsia" w:ascii="仿宋_GB2312" w:hAnsi="微软雅黑" w:eastAsia="仿宋_GB2312" w:cs="仿宋_GB2312"/>
          <w:color w:val="auto"/>
          <w:sz w:val="31"/>
          <w:szCs w:val="31"/>
          <w:lang w:val="en-US" w:eastAsia="zh-CN"/>
        </w:rPr>
        <w:t>指财政部门安排的行政单位（包括实行公务员管理事业单位）</w:t>
      </w:r>
      <w:r>
        <w:rPr>
          <w:rFonts w:hint="default" w:ascii="仿宋_GB2312" w:hAnsi="微软雅黑" w:eastAsia="仿宋_GB2312" w:cs="仿宋_GB2312"/>
          <w:color w:val="auto"/>
          <w:sz w:val="31"/>
          <w:szCs w:val="31"/>
        </w:rPr>
        <w:t>基本医疗保险</w:t>
      </w:r>
      <w:r>
        <w:rPr>
          <w:rFonts w:hint="eastAsia" w:ascii="仿宋_GB2312" w:hAnsi="微软雅黑" w:eastAsia="仿宋_GB2312" w:cs="仿宋_GB2312"/>
          <w:color w:val="auto"/>
          <w:sz w:val="31"/>
          <w:szCs w:val="31"/>
          <w:lang w:val="en-US" w:eastAsia="zh-CN"/>
        </w:rPr>
        <w:t>缴费经费</w:t>
      </w:r>
      <w:r>
        <w:rPr>
          <w:rFonts w:hint="default" w:ascii="仿宋_GB2312" w:hAnsi="微软雅黑" w:eastAsia="仿宋_GB2312" w:cs="仿宋_GB2312"/>
          <w:color w:val="auto"/>
          <w:sz w:val="31"/>
          <w:szCs w:val="31"/>
        </w:rPr>
        <w:t>。</w:t>
      </w:r>
    </w:p>
    <w:p>
      <w:pPr>
        <w:pageBreakBefore w:val="0"/>
        <w:kinsoku/>
        <w:wordWrap/>
        <w:overflowPunct/>
        <w:topLinePunct w:val="0"/>
        <w:bidi w:val="0"/>
        <w:snapToGrid/>
        <w:spacing w:line="576" w:lineRule="exact"/>
        <w:ind w:right="0" w:rightChars="0" w:firstLine="620" w:firstLineChars="200"/>
        <w:textAlignment w:val="auto"/>
        <w:rPr>
          <w:rFonts w:hint="default" w:ascii="仿宋_GB2312" w:hAnsi="微软雅黑" w:eastAsia="仿宋_GB2312" w:cs="仿宋_GB2312"/>
          <w:color w:val="auto"/>
          <w:sz w:val="31"/>
          <w:szCs w:val="31"/>
        </w:rPr>
      </w:pPr>
      <w:r>
        <w:rPr>
          <w:rFonts w:hint="eastAsia" w:ascii="仿宋_GB2312" w:hAnsi="微软雅黑" w:eastAsia="仿宋_GB2312" w:cs="仿宋_GB2312"/>
          <w:color w:val="auto"/>
          <w:sz w:val="31"/>
          <w:szCs w:val="31"/>
          <w:lang w:val="en-US" w:eastAsia="zh-CN"/>
        </w:rPr>
        <w:t>10</w:t>
      </w:r>
      <w:r>
        <w:rPr>
          <w:rFonts w:hint="default" w:ascii="仿宋_GB2312" w:hAnsi="微软雅黑" w:eastAsia="仿宋_GB2312" w:cs="仿宋_GB2312"/>
          <w:color w:val="auto"/>
          <w:sz w:val="31"/>
          <w:szCs w:val="31"/>
        </w:rPr>
        <w:t>.住房保障（类）住房改革支出（款）住房公积金（项）</w:t>
      </w:r>
      <w:r>
        <w:rPr>
          <w:rFonts w:hint="eastAsia" w:ascii="仿宋_GB2312" w:hAnsi="微软雅黑" w:eastAsia="仿宋_GB2312" w:cs="仿宋_GB2312"/>
          <w:color w:val="auto"/>
          <w:sz w:val="31"/>
          <w:szCs w:val="31"/>
          <w:lang w:val="en-US" w:eastAsia="zh-CN"/>
        </w:rPr>
        <w:t>指行政事业单位</w:t>
      </w:r>
      <w:r>
        <w:rPr>
          <w:rFonts w:hint="default" w:ascii="仿宋_GB2312" w:hAnsi="微软雅黑" w:eastAsia="仿宋_GB2312" w:cs="仿宋_GB2312"/>
          <w:color w:val="auto"/>
          <w:sz w:val="31"/>
          <w:szCs w:val="31"/>
        </w:rPr>
        <w:t>按人力资源和社会保障</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、财政</w:t>
      </w:r>
      <w:r>
        <w:rPr>
          <w:rFonts w:hint="eastAsia" w:ascii="仿宋_GB2312" w:hAnsi="微软雅黑" w:eastAsia="仿宋_GB2312" w:cs="仿宋_GB2312"/>
          <w:color w:val="auto"/>
          <w:sz w:val="31"/>
          <w:szCs w:val="31"/>
          <w:lang w:eastAsia="zh-CN"/>
        </w:rPr>
        <w:t>局</w:t>
      </w:r>
      <w:r>
        <w:rPr>
          <w:rFonts w:hint="default" w:ascii="仿宋_GB2312" w:hAnsi="微软雅黑" w:eastAsia="仿宋_GB2312" w:cs="仿宋_GB2312"/>
          <w:color w:val="auto"/>
          <w:sz w:val="31"/>
          <w:szCs w:val="31"/>
        </w:rPr>
        <w:t>规定的基本工资和津贴补贴以及规定比例为职工缴纳的住房公积金支出。</w:t>
      </w:r>
    </w:p>
    <w:p>
      <w:pPr>
        <w:pStyle w:val="3"/>
        <w:pageBreakBefore w:val="0"/>
        <w:kinsoku/>
        <w:wordWrap/>
        <w:overflowPunct/>
        <w:topLinePunct w:val="0"/>
        <w:bidi w:val="0"/>
        <w:snapToGrid/>
        <w:spacing w:after="0" w:line="576" w:lineRule="exact"/>
        <w:ind w:left="0" w:leftChars="0" w:right="0" w:rightChars="0" w:firstLine="620" w:firstLineChars="200"/>
        <w:textAlignment w:val="auto"/>
        <w:rPr>
          <w:rFonts w:hint="eastAsia" w:ascii="仿宋_GB2312" w:hAnsi="微软雅黑" w:eastAsia="仿宋_GB2312" w:cs="仿宋_GB2312"/>
          <w:color w:val="auto"/>
          <w:kern w:val="2"/>
          <w:sz w:val="31"/>
          <w:szCs w:val="31"/>
          <w:lang w:val="en-US" w:eastAsia="zh-CN" w:bidi="ar-SA"/>
        </w:rPr>
      </w:pPr>
      <w:r>
        <w:rPr>
          <w:rFonts w:hint="eastAsia" w:ascii="仿宋_GB2312" w:hAnsi="微软雅黑" w:eastAsia="仿宋_GB2312" w:cs="仿宋_GB2312"/>
          <w:color w:val="auto"/>
          <w:kern w:val="2"/>
          <w:sz w:val="31"/>
          <w:szCs w:val="31"/>
          <w:lang w:val="en-US" w:eastAsia="zh-CN" w:bidi="ar-SA"/>
        </w:rPr>
        <w:t>11.科学技术（类）技术研究与开发（款）科技成果转化与扩散（项）指促进科技成果转化为现实生产力的应用、推广和引导性支出。</w:t>
      </w:r>
    </w:p>
    <w:p>
      <w:pPr>
        <w:pStyle w:val="2"/>
        <w:pageBreakBefore w:val="0"/>
        <w:kinsoku/>
        <w:wordWrap/>
        <w:overflowPunct/>
        <w:topLinePunct w:val="0"/>
        <w:bidi w:val="0"/>
        <w:snapToGrid/>
        <w:spacing w:beforeLines="0" w:line="576" w:lineRule="exact"/>
        <w:ind w:right="0" w:rightChars="0" w:firstLine="620" w:firstLineChars="200"/>
        <w:textAlignment w:val="auto"/>
        <w:rPr>
          <w:rFonts w:hint="default"/>
          <w:b w:val="0"/>
          <w:bCs w:val="0"/>
          <w:lang w:val="en-US" w:eastAsia="zh-CN"/>
        </w:rPr>
      </w:pPr>
      <w:r>
        <w:rPr>
          <w:rFonts w:hint="eastAsia" w:ascii="仿宋_GB2312" w:hAnsi="微软雅黑" w:eastAsia="仿宋_GB2312" w:cs="仿宋_GB2312"/>
          <w:b w:val="0"/>
          <w:bCs w:val="0"/>
          <w:color w:val="auto"/>
          <w:kern w:val="2"/>
          <w:sz w:val="31"/>
          <w:szCs w:val="31"/>
          <w:lang w:val="en-US" w:eastAsia="zh-CN" w:bidi="ar-SA"/>
        </w:rPr>
        <w:t>1</w:t>
      </w:r>
      <w:r>
        <w:rPr>
          <w:rFonts w:hint="eastAsia" w:hAnsi="微软雅黑" w:cs="仿宋_GB2312"/>
          <w:b w:val="0"/>
          <w:bCs w:val="0"/>
          <w:color w:val="auto"/>
          <w:kern w:val="2"/>
          <w:sz w:val="31"/>
          <w:szCs w:val="31"/>
          <w:lang w:val="en-US" w:eastAsia="zh-CN" w:bidi="ar-SA"/>
        </w:rPr>
        <w:t>2</w:t>
      </w:r>
      <w:r>
        <w:rPr>
          <w:rFonts w:hint="eastAsia" w:ascii="仿宋_GB2312" w:hAnsi="微软雅黑" w:eastAsia="仿宋_GB2312" w:cs="仿宋_GB2312"/>
          <w:b w:val="0"/>
          <w:bCs w:val="0"/>
          <w:color w:val="auto"/>
          <w:kern w:val="2"/>
          <w:sz w:val="31"/>
          <w:szCs w:val="31"/>
          <w:lang w:val="en-US" w:eastAsia="zh-CN" w:bidi="ar-SA"/>
        </w:rPr>
        <w:t>.</w:t>
      </w:r>
      <w:r>
        <w:rPr>
          <w:rFonts w:hint="eastAsia" w:ascii="仿宋" w:hAnsi="仿宋" w:eastAsia="仿宋" w:cs="Times New Roman"/>
          <w:b w:val="0"/>
          <w:bCs w:val="0"/>
          <w:spacing w:val="-3"/>
          <w:kern w:val="2"/>
          <w:sz w:val="32"/>
          <w:szCs w:val="24"/>
          <w:lang w:val="en-US" w:eastAsia="zh-CN" w:bidi="ar-SA"/>
        </w:rPr>
        <w:t>农林水支出（类）其他农林水支出（款）其他农林水支出（项）指除化解债务支出以外其他用于农林水方面的支出。</w:t>
      </w:r>
    </w:p>
    <w:p>
      <w:pPr>
        <w:pStyle w:val="2"/>
        <w:pageBreakBefore w:val="0"/>
        <w:kinsoku/>
        <w:wordWrap/>
        <w:overflowPunct/>
        <w:topLinePunct w:val="0"/>
        <w:bidi w:val="0"/>
        <w:snapToGrid/>
        <w:spacing w:beforeLines="0" w:line="576" w:lineRule="exact"/>
        <w:ind w:right="0" w:rightChars="0" w:firstLine="620" w:firstLineChars="200"/>
        <w:textAlignment w:val="auto"/>
        <w:rPr>
          <w:rFonts w:hint="eastAsia" w:ascii="仿宋_GB2312" w:hAnsi="微软雅黑" w:eastAsia="仿宋_GB2312" w:cs="仿宋_GB2312"/>
          <w:color w:val="auto"/>
          <w:kern w:val="2"/>
          <w:sz w:val="31"/>
          <w:szCs w:val="31"/>
          <w:lang w:val="en-US" w:eastAsia="zh-CN" w:bidi="ar-SA"/>
        </w:rPr>
      </w:pPr>
      <w:r>
        <w:rPr>
          <w:rFonts w:hint="eastAsia" w:ascii="仿宋_GB2312" w:hAnsi="微软雅黑" w:eastAsia="仿宋_GB2312" w:cs="仿宋_GB2312"/>
          <w:color w:val="auto"/>
          <w:kern w:val="2"/>
          <w:sz w:val="31"/>
          <w:szCs w:val="31"/>
          <w:lang w:val="en-US" w:eastAsia="zh-CN" w:bidi="ar-SA"/>
        </w:rPr>
        <w:t>1</w:t>
      </w:r>
      <w:r>
        <w:rPr>
          <w:rFonts w:hint="eastAsia" w:hAnsi="微软雅黑" w:cs="仿宋_GB2312"/>
          <w:color w:val="auto"/>
          <w:kern w:val="2"/>
          <w:sz w:val="31"/>
          <w:szCs w:val="31"/>
          <w:lang w:val="en-US" w:eastAsia="zh-CN" w:bidi="ar-SA"/>
        </w:rPr>
        <w:t>3</w:t>
      </w:r>
      <w:r>
        <w:rPr>
          <w:rFonts w:hint="eastAsia" w:ascii="仿宋_GB2312" w:hAnsi="微软雅黑" w:eastAsia="仿宋_GB2312" w:cs="仿宋_GB2312"/>
          <w:color w:val="auto"/>
          <w:kern w:val="2"/>
          <w:sz w:val="31"/>
          <w:szCs w:val="31"/>
          <w:lang w:val="en-US" w:eastAsia="zh-CN" w:bidi="ar-SA"/>
        </w:rPr>
        <w:t>.资源勘探信息等支出（类）制造业（款）其他制造业支出（项）指</w:t>
      </w:r>
      <w:r>
        <w:rPr>
          <w:rFonts w:hint="eastAsia" w:hAnsi="微软雅黑" w:cs="仿宋_GB2312"/>
          <w:color w:val="auto"/>
          <w:kern w:val="2"/>
          <w:sz w:val="31"/>
          <w:szCs w:val="31"/>
          <w:lang w:val="en-US" w:eastAsia="zh-CN" w:bidi="ar-SA"/>
        </w:rPr>
        <w:t>行政单位对制造业企业的政策性补贴支出。</w:t>
      </w:r>
    </w:p>
    <w:p>
      <w:pPr>
        <w:pStyle w:val="2"/>
        <w:pageBreakBefore w:val="0"/>
        <w:kinsoku/>
        <w:wordWrap/>
        <w:overflowPunct/>
        <w:topLinePunct w:val="0"/>
        <w:bidi w:val="0"/>
        <w:snapToGrid/>
        <w:spacing w:beforeLines="0" w:line="576" w:lineRule="exact"/>
        <w:ind w:firstLine="620" w:firstLineChars="200"/>
        <w:textAlignment w:val="auto"/>
        <w:rPr>
          <w:rFonts w:hint="eastAsia" w:ascii="仿宋" w:hAnsi="仿宋" w:eastAsia="仿宋" w:cs="Times New Roman"/>
          <w:b w:val="0"/>
          <w:bCs w:val="0"/>
          <w:spacing w:val="-3"/>
          <w:kern w:val="2"/>
          <w:sz w:val="32"/>
          <w:szCs w:val="24"/>
          <w:lang w:val="en-US" w:eastAsia="zh-CN" w:bidi="ar-SA"/>
        </w:rPr>
      </w:pPr>
      <w:r>
        <w:rPr>
          <w:rFonts w:hint="eastAsia" w:ascii="仿宋_GB2312" w:hAnsi="微软雅黑" w:eastAsia="仿宋_GB2312" w:cs="仿宋_GB2312"/>
          <w:b w:val="0"/>
          <w:bCs w:val="0"/>
          <w:color w:val="auto"/>
          <w:kern w:val="2"/>
          <w:sz w:val="31"/>
          <w:szCs w:val="31"/>
          <w:lang w:val="en-US" w:eastAsia="zh-CN" w:bidi="ar-SA"/>
        </w:rPr>
        <w:t>1</w:t>
      </w:r>
      <w:r>
        <w:rPr>
          <w:rFonts w:hint="eastAsia" w:hAnsi="微软雅黑" w:cs="仿宋_GB2312"/>
          <w:b w:val="0"/>
          <w:bCs w:val="0"/>
          <w:color w:val="auto"/>
          <w:kern w:val="2"/>
          <w:sz w:val="31"/>
          <w:szCs w:val="31"/>
          <w:lang w:val="en-US" w:eastAsia="zh-CN" w:bidi="ar-SA"/>
        </w:rPr>
        <w:t>4</w:t>
      </w:r>
      <w:r>
        <w:rPr>
          <w:rFonts w:hint="eastAsia" w:ascii="仿宋_GB2312" w:hAnsi="微软雅黑" w:eastAsia="仿宋_GB2312" w:cs="仿宋_GB2312"/>
          <w:b w:val="0"/>
          <w:bCs w:val="0"/>
          <w:color w:val="auto"/>
          <w:kern w:val="2"/>
          <w:sz w:val="31"/>
          <w:szCs w:val="31"/>
          <w:lang w:val="en-US" w:eastAsia="zh-CN" w:bidi="ar-SA"/>
        </w:rPr>
        <w:t>.</w:t>
      </w:r>
      <w:r>
        <w:rPr>
          <w:rFonts w:hint="eastAsia" w:ascii="仿宋" w:hAnsi="仿宋" w:eastAsia="仿宋" w:cs="Times New Roman"/>
          <w:b w:val="0"/>
          <w:bCs w:val="0"/>
          <w:spacing w:val="-3"/>
          <w:kern w:val="2"/>
          <w:sz w:val="32"/>
          <w:szCs w:val="24"/>
          <w:lang w:val="en-US" w:eastAsia="zh-CN" w:bidi="ar-SA"/>
        </w:rPr>
        <w:t>资源勘探信息等支出（类）支持中小企业发展和管理支出（款）中小企业发展专项（项）指用于支出中小企业公共服务体系和融资服务体系建设等方面的支出。</w:t>
      </w:r>
    </w:p>
    <w:p>
      <w:pPr>
        <w:pStyle w:val="2"/>
        <w:pageBreakBefore w:val="0"/>
        <w:kinsoku/>
        <w:wordWrap/>
        <w:overflowPunct/>
        <w:topLinePunct w:val="0"/>
        <w:bidi w:val="0"/>
        <w:snapToGrid/>
        <w:spacing w:beforeLines="0" w:line="576" w:lineRule="exact"/>
        <w:ind w:firstLine="628" w:firstLineChars="200"/>
        <w:textAlignment w:val="auto"/>
        <w:rPr>
          <w:rFonts w:hint="default" w:ascii="仿宋_GB2312" w:hAnsi="微软雅黑" w:eastAsia="仿宋_GB2312" w:cs="仿宋_GB2312"/>
          <w:b w:val="0"/>
          <w:bCs w:val="0"/>
          <w:color w:val="auto"/>
          <w:kern w:val="2"/>
          <w:sz w:val="31"/>
          <w:szCs w:val="31"/>
          <w:lang w:val="en-US" w:eastAsia="zh-CN" w:bidi="ar-SA"/>
        </w:rPr>
      </w:pPr>
      <w:r>
        <w:rPr>
          <w:rFonts w:hint="eastAsia" w:ascii="仿宋" w:hAnsi="仿宋" w:eastAsia="仿宋" w:cs="Times New Roman"/>
          <w:b w:val="0"/>
          <w:bCs w:val="0"/>
          <w:spacing w:val="-3"/>
          <w:kern w:val="2"/>
          <w:sz w:val="32"/>
          <w:szCs w:val="24"/>
          <w:lang w:val="en-US" w:eastAsia="zh-CN" w:bidi="ar-SA"/>
        </w:rPr>
        <w:t>15.资源勘探信息等支出（类）支持中小企业发展和管理支出（款）其他支持中小企业发展和管理支出（项）指其他用于支持中小企业发展和管理方面的支出。</w:t>
      </w:r>
    </w:p>
    <w:p>
      <w:pPr>
        <w:pageBreakBefore w:val="0"/>
        <w:kinsoku/>
        <w:wordWrap/>
        <w:overflowPunct/>
        <w:topLinePunct w:val="0"/>
        <w:bidi w:val="0"/>
        <w:snapToGrid/>
        <w:spacing w:line="576" w:lineRule="exact"/>
        <w:ind w:right="0" w:righ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16</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pageBreakBefore w:val="0"/>
        <w:kinsoku/>
        <w:wordWrap/>
        <w:overflowPunct/>
        <w:topLinePunct w:val="0"/>
        <w:bidi w:val="0"/>
        <w:snapToGrid/>
        <w:spacing w:line="576" w:lineRule="exact"/>
        <w:ind w:right="0" w:righ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val="en-US" w:eastAsia="zh-CN"/>
        </w:rPr>
        <w:t>17</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ageBreakBefore w:val="0"/>
        <w:kinsoku/>
        <w:wordWrap/>
        <w:overflowPunct/>
        <w:topLinePunct w:val="0"/>
        <w:bidi w:val="0"/>
        <w:snapToGrid/>
        <w:spacing w:line="576"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w:t>
      </w:r>
      <w:r>
        <w:rPr>
          <w:rFonts w:hint="eastAsia" w:ascii="仿宋_GB2312" w:eastAsia="仿宋_GB2312"/>
          <w:sz w:val="32"/>
          <w:szCs w:val="32"/>
          <w:lang w:val="en-US" w:eastAsia="zh-CN"/>
        </w:rPr>
        <w:t>单位</w:t>
      </w:r>
      <w:r>
        <w:rPr>
          <w:rFonts w:hint="eastAsia" w:ascii="仿宋_GB2312" w:eastAsia="仿宋_GB2312"/>
          <w:sz w:val="32"/>
          <w:szCs w:val="32"/>
        </w:rPr>
        <w:t>公务出国（境）的国际旅费、国外城市间交通费、住宿费、伙食费、培训费、公杂费等支出；公务用车购置及运行费反映</w:t>
      </w:r>
      <w:r>
        <w:rPr>
          <w:rFonts w:hint="eastAsia" w:ascii="仿宋_GB2312" w:eastAsia="仿宋_GB2312"/>
          <w:sz w:val="32"/>
          <w:szCs w:val="32"/>
          <w:lang w:val="en-US" w:eastAsia="zh-CN"/>
        </w:rPr>
        <w:t>单位</w:t>
      </w:r>
      <w:r>
        <w:rPr>
          <w:rFonts w:hint="eastAsia" w:ascii="仿宋_GB2312" w:eastAsia="仿宋_GB2312"/>
          <w:sz w:val="32"/>
          <w:szCs w:val="32"/>
        </w:rPr>
        <w:t>公务用车车辆购置支出（含车辆购置税）及租用费、燃料费、维修费、过路过桥费、保险费等支出；公务接待费反映</w:t>
      </w:r>
      <w:r>
        <w:rPr>
          <w:rFonts w:hint="eastAsia" w:ascii="仿宋_GB2312" w:eastAsia="仿宋_GB2312"/>
          <w:sz w:val="32"/>
          <w:szCs w:val="32"/>
          <w:lang w:val="en-US" w:eastAsia="zh-CN"/>
        </w:rPr>
        <w:t>单位</w:t>
      </w:r>
      <w:r>
        <w:rPr>
          <w:rFonts w:hint="eastAsia" w:ascii="仿宋_GB2312" w:eastAsia="仿宋_GB2312"/>
          <w:sz w:val="32"/>
          <w:szCs w:val="32"/>
        </w:rPr>
        <w:t>按规定开支的各类公务接待（含外宾接待）支出。</w:t>
      </w:r>
    </w:p>
    <w:p>
      <w:pPr>
        <w:pStyle w:val="27"/>
        <w:pageBreakBefore w:val="0"/>
        <w:kinsoku/>
        <w:wordWrap/>
        <w:overflowPunct/>
        <w:topLinePunct w:val="0"/>
        <w:bidi w:val="0"/>
        <w:snapToGrid/>
        <w:spacing w:line="576" w:lineRule="exact"/>
        <w:ind w:right="0" w:rightChars="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19</w:t>
      </w:r>
      <w:r>
        <w:rPr>
          <w:rFonts w:ascii="仿宋_GB2312" w:eastAsia="仿宋_GB2312"/>
          <w:sz w:val="32"/>
          <w:szCs w:val="32"/>
        </w:rPr>
        <w:t>.</w:t>
      </w:r>
      <w:r>
        <w:rPr>
          <w:rFonts w:hint="eastAsia" w:ascii="仿宋_GB2312" w:eastAsia="仿宋_GB2312"/>
          <w:sz w:val="32"/>
          <w:szCs w:val="32"/>
        </w:rPr>
        <w:t>机关运行经费：为保障</w:t>
      </w:r>
      <w:r>
        <w:rPr>
          <w:rFonts w:hint="eastAsia" w:ascii="仿宋_GB2312" w:eastAsia="仿宋_GB2312"/>
          <w:sz w:val="32"/>
          <w:szCs w:val="32"/>
          <w:lang w:eastAsia="zh-CN"/>
        </w:rPr>
        <w:t>行政单位</w:t>
      </w:r>
      <w:r>
        <w:rPr>
          <w:rFonts w:hint="eastAsia" w:ascii="仿宋_GB2312" w:eastAsia="仿宋_GB2312"/>
          <w:sz w:val="32"/>
          <w:szCs w:val="32"/>
        </w:rPr>
        <w:t>（含参照公务员法管理的</w:t>
      </w:r>
      <w:r>
        <w:rPr>
          <w:rFonts w:hint="eastAsia" w:ascii="仿宋_GB2312" w:eastAsia="仿宋_GB2312"/>
          <w:sz w:val="32"/>
          <w:szCs w:val="32"/>
          <w:lang w:eastAsia="zh-CN"/>
        </w:rPr>
        <w:t>事业单位</w:t>
      </w:r>
      <w:r>
        <w:rPr>
          <w:rFonts w:hint="eastAsia"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仿宋_GB2312" w:hAnsi="仿宋_GB2312" w:eastAsia="仿宋_GB2312" w:cs="仿宋_GB2312"/>
          <w:color w:val="auto"/>
          <w:sz w:val="32"/>
          <w:szCs w:val="32"/>
          <w:highlight w:val="none"/>
        </w:rPr>
      </w:pPr>
      <w:r>
        <w:rPr>
          <w:rFonts w:ascii="宋体"/>
          <w:b/>
          <w:color w:val="auto"/>
          <w:sz w:val="44"/>
          <w:szCs w:val="44"/>
          <w:highlight w:val="none"/>
        </w:rPr>
        <w:br w:type="page"/>
      </w:r>
      <w:bookmarkStart w:id="67" w:name="_Toc4587"/>
      <w:bookmarkStart w:id="68" w:name="_Toc15396614"/>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67"/>
      <w:bookmarkEnd w:id="68"/>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color w:val="auto"/>
          <w:kern w:val="0"/>
          <w:sz w:val="32"/>
          <w:szCs w:val="32"/>
          <w:highlight w:val="none"/>
          <w:lang w:val="en-US" w:eastAsia="zh-CN" w:bidi="ar-SA"/>
        </w:rPr>
      </w:pPr>
      <w:bookmarkStart w:id="69" w:name="_Toc15396618"/>
      <w:r>
        <w:rPr>
          <w:rFonts w:hint="eastAsia" w:ascii="仿宋_GB2312" w:hAnsi="仿宋_GB2312" w:eastAsia="仿宋_GB2312" w:cs="仿宋_GB2312"/>
          <w:color w:val="auto"/>
          <w:kern w:val="0"/>
          <w:sz w:val="32"/>
          <w:szCs w:val="32"/>
          <w:highlight w:val="none"/>
          <w:lang w:val="en-US" w:eastAsia="zh-CN" w:bidi="ar-SA"/>
        </w:rPr>
        <w:t>附件1.</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color w:val="auto"/>
          <w:kern w:val="0"/>
          <w:sz w:val="44"/>
          <w:szCs w:val="44"/>
          <w:highlight w:val="none"/>
          <w:lang w:val="en-US" w:eastAsia="zh-CN" w:bidi="ar-SA"/>
        </w:rPr>
      </w:pPr>
      <w:r>
        <w:rPr>
          <w:rFonts w:hint="eastAsia" w:ascii="方正小标宋简体" w:hAnsi="方正小标宋简体" w:eastAsia="方正小标宋简体" w:cs="方正小标宋简体"/>
          <w:color w:val="auto"/>
          <w:kern w:val="0"/>
          <w:sz w:val="44"/>
          <w:szCs w:val="44"/>
          <w:highlight w:val="none"/>
          <w:lang w:val="en-US" w:eastAsia="zh-CN" w:bidi="ar-SA"/>
        </w:rPr>
        <w:t>广元市昭化区经济信息化和科学技术局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9"/>
        <w:rPr>
          <w:rFonts w:hint="eastAsia" w:ascii="方正小标宋简体" w:hAnsi="方正小标宋简体" w:eastAsia="方正小标宋简体" w:cs="方正小标宋简体"/>
          <w:color w:val="auto"/>
          <w:kern w:val="0"/>
          <w:sz w:val="44"/>
          <w:szCs w:val="44"/>
          <w:highlight w:val="none"/>
          <w:lang w:val="en-US" w:eastAsia="zh-CN" w:bidi="ar-SA"/>
        </w:rPr>
      </w:pPr>
      <w:r>
        <w:rPr>
          <w:rFonts w:hint="eastAsia" w:ascii="方正小标宋简体" w:hAnsi="方正小标宋简体" w:eastAsia="方正小标宋简体" w:cs="方正小标宋简体"/>
          <w:color w:val="auto"/>
          <w:kern w:val="0"/>
          <w:sz w:val="44"/>
          <w:szCs w:val="44"/>
          <w:highlight w:val="none"/>
          <w:lang w:val="en-US" w:eastAsia="zh-CN" w:bidi="ar-SA"/>
        </w:rPr>
        <w:t>2022年部门整体支出绩效自评报告</w:t>
      </w:r>
    </w:p>
    <w:p>
      <w:pPr>
        <w:keepNext w:val="0"/>
        <w:keepLines w:val="0"/>
        <w:pageBreakBefore w:val="0"/>
        <w:kinsoku/>
        <w:wordWrap/>
        <w:overflowPunct/>
        <w:topLinePunct w:val="0"/>
        <w:autoSpaceDE/>
        <w:autoSpaceDN/>
        <w:bidi w:val="0"/>
        <w:spacing w:line="576" w:lineRule="exact"/>
        <w:jc w:val="center"/>
        <w:textAlignment w:val="auto"/>
        <w:outlineLvl w:val="0"/>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为认真贯彻落实《广元市昭化区财政局关于开展2023年部门、政策和项目支出绩效评价工作的通知》（昭财发〔2023〕12号）文件精神，扎实推进财政绩效评价工作的深入开展，我单位认真进行了自查，现将我单位2022年度财政收支、预算项目的预算管理和绩效管理情况报告如下：</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outlineLvl w:val="9"/>
        <w:rPr>
          <w:rFonts w:hint="eastAsia" w:ascii="黑体" w:hAnsi="黑体" w:eastAsia="黑体" w:cs="黑体"/>
          <w:color w:val="FF0000"/>
          <w:kern w:val="0"/>
          <w:sz w:val="32"/>
          <w:szCs w:val="32"/>
          <w:highlight w:val="none"/>
          <w:lang w:val="en-US" w:eastAsia="zh-CN" w:bidi="ar-SA"/>
        </w:rPr>
      </w:pPr>
      <w:r>
        <w:rPr>
          <w:rFonts w:hint="eastAsia" w:ascii="黑体" w:hAnsi="黑体" w:eastAsia="黑体" w:cs="黑体"/>
          <w:color w:val="auto"/>
          <w:kern w:val="0"/>
          <w:sz w:val="32"/>
          <w:szCs w:val="32"/>
          <w:highlight w:val="none"/>
          <w:lang w:val="en-US" w:eastAsia="zh-CN" w:bidi="ar-SA"/>
        </w:rPr>
        <w:t>一、部门概况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3" w:firstLineChars="200"/>
        <w:jc w:val="left"/>
        <w:textAlignment w:val="auto"/>
        <w:outlineLvl w:val="9"/>
        <w:rPr>
          <w:rFonts w:hint="eastAsia" w:ascii="楷体_GB2312" w:hAnsi="楷体_GB2312" w:eastAsia="楷体_GB2312" w:cs="楷体_GB2312"/>
          <w:b/>
          <w:bCs/>
          <w:color w:val="auto"/>
          <w:kern w:val="0"/>
          <w:sz w:val="32"/>
          <w:szCs w:val="32"/>
          <w:highlight w:val="none"/>
          <w:lang w:val="en-US" w:eastAsia="zh-CN" w:bidi="ar-SA"/>
        </w:rPr>
      </w:pPr>
      <w:r>
        <w:rPr>
          <w:rFonts w:hint="eastAsia" w:ascii="楷体_GB2312" w:hAnsi="楷体_GB2312" w:eastAsia="楷体_GB2312" w:cs="楷体_GB2312"/>
          <w:b/>
          <w:bCs/>
          <w:color w:val="auto"/>
          <w:kern w:val="0"/>
          <w:sz w:val="32"/>
          <w:szCs w:val="32"/>
          <w:highlight w:val="none"/>
          <w:lang w:val="en-US" w:eastAsia="zh-CN" w:bidi="ar-SA"/>
        </w:rPr>
        <w:t>（一）机构组成</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广元市昭化区经济信息化和科学技术局有下属事业单位1个，区中小企业创新创业服务中心，代管区政府直属事业单位1个，区绿色家居产业推进中心。内设办公室7个：办公室、计划财务股、工业运行股、项目投资股、能源电力股、信息化股、科技股。</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outlineLvl w:val="9"/>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w:t>
      </w:r>
      <w:r>
        <w:rPr>
          <w:rFonts w:hint="default" w:ascii="Times New Roman" w:hAnsi="Times New Roman" w:eastAsia="楷体_GB2312" w:cs="Times New Roman"/>
          <w:b/>
          <w:bCs w:val="0"/>
          <w:sz w:val="32"/>
          <w:szCs w:val="32"/>
          <w:lang w:val="en-US" w:eastAsia="zh-CN"/>
        </w:rPr>
        <w:t>二</w:t>
      </w:r>
      <w:r>
        <w:rPr>
          <w:rFonts w:hint="default" w:ascii="Times New Roman" w:hAnsi="Times New Roman" w:eastAsia="楷体_GB2312" w:cs="Times New Roman"/>
          <w:b/>
          <w:bCs w:val="0"/>
          <w:sz w:val="32"/>
          <w:szCs w:val="32"/>
        </w:rPr>
        <w:t>）机构职能</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贯彻实施国家有关工业经济、信息化、无线电管理、科学技术方针、政策和法律、法规。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组织实施工业强区战略，加强信息化和工业化融合、工业化与城镇化联动，推进全区工业结构调整。参与制订国民经济和社会发展规划，牵头拟定工业、信息化、科学技术发展规划，提出相关行业的优先领域和发展重点，制订行业年度发展计划和产业政策、行业技术规范与行业标准并组织实施，指导行业质量管理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建立全区工业经济运行预警机制，监测、分析经济运行态势和质量，协调解决新型工业化进程中的重大问题；负责电力、成品油、天然气等重要物资综合调控、紧急调度和交通运输协调工作，负责区级医药储备的监督管理，承办年度工业经济目标责任考核。</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负责全区企业技术改造推进工作，组织制订并实施全区企业技术改造投资规划和政策，制订并发布全区企业技术改造投资项目引导目录。提出工业和信息化固定资产投资规模的意见，按照规定权限审批、核准、备案规划内全区企业技术改造项目，组织企业技术改造项目申报国家、省、市有关专项计划并组织实施。</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负责全区工业和信息化领域的节能降耗、清洁生产和资源节约与综合利用工作，协调推进工业化与生态环境协调发展中的重大问题。</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负责推进企业信用制度建设，负责中小企业信用担保和融资体系建设并实施行业监管，制订工业发展资金等财政专项资金使用计划，负责企业技术改造、技术创新、生产运行等涉及财政、信贷、税收、保险等方面问题的协调，指导工业企业直接融资工作，负责企业上市培育工作。</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对国家重大工业经济政策实施情况进行督查，指导企业建立现代企业制度、改组改造、兼并重组，负责全区企业治乱减负工作，指导企业经营管理人员、．专业技术人员培训，负责全区大企业大集团和龙头骨干企业的培育工作，负责全区中小企业发展的指导推进工作，组织拟订促进中小企业发展的政策措施，负责推进中小企业服务体系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负责对全区工业各行业实施行业管理，制订相关政策措施并组织实施，拟订新材料、节能环保、航空航天、生物医药等战略性新兴产业发展规划、年度计划、政策措施并组织实施。拟订加快农产品加工业发展的政策措施，参与推进农业产业化龙头企业建设，参与推进农业现代化和新农村建设。</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统筹推进全区信息化工作，制订相关政策并组织实施，指导电子政务、企业信息化、电子商务和物联网发展，推动跨行业、跨部门面向社会服务网络的互联互通和信息资源共享。</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（10</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负责全区信息基础设施建设的规划、协调和管理，组织制订通信管线规划并承担相应的管理工作，协调电信市场涉及社会公共利益的重大事项。</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组织协调全区信息安全保障体系建设，指导和监督政府部门、重点行业的重要信息系统与信息网络的安全保障工作，指导信息安全防范工作，参与处理网络与信息安全重大事件。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统一配置和管理全区无线电频谱资源，依法监督管理无线电台</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站</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rPr>
        <w:t>，负责无线电电磁环境保护工作；负责无线电监测、检测和干扰查处，协调军地间和县际间无线电管理相关事宜，维护空中电波秩序，依法组织实施无线电管制。</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（13</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会同有关部门提出工业和信息化领域对外开放和利用外资的政策建议，参与区域经济合作和承接产业转移工作。指导工业和信息化企业开展对外交流与合作、国际化经营、境外投资及兼并重组。</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（14</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sz w:val="32"/>
          <w:szCs w:val="32"/>
        </w:rPr>
        <w:t>负责组织拟订并实施科技支撑计划、重点基础研究计划、软科学研究计划和统筹协调基础研究、前沿技术研究、重大社会公益性技术研究及关键技术、共性技术研究。</w:t>
      </w:r>
    </w:p>
    <w:p>
      <w:pPr>
        <w:pStyle w:val="2"/>
        <w:keepNext w:val="0"/>
        <w:keepLines w:val="0"/>
        <w:pageBreakBefore w:val="0"/>
        <w:widowControl w:val="0"/>
        <w:kinsoku/>
        <w:wordWrap/>
        <w:overflowPunct/>
        <w:topLinePunct w:val="0"/>
        <w:autoSpaceDE/>
        <w:autoSpaceDN/>
        <w:bidi w:val="0"/>
        <w:adjustRightInd w:val="0"/>
        <w:snapToGrid w:val="0"/>
        <w:spacing w:beforeLines="0" w:line="576" w:lineRule="exact"/>
        <w:ind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牵头组织经济社会发展重要领域的重大关键性技术攻关；会同有关部门组织科技重大专项实施中的方案论证、综合平衡、评估验收和拟订相关配套政策，对科技重大专项实施中的重大调整提出建议。</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outlineLvl w:val="9"/>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rPr>
        <w:t>（</w:t>
      </w:r>
      <w:r>
        <w:rPr>
          <w:rFonts w:hint="default" w:ascii="Times New Roman" w:hAnsi="Times New Roman" w:eastAsia="楷体_GB2312" w:cs="Times New Roman"/>
          <w:b/>
          <w:bCs w:val="0"/>
          <w:sz w:val="32"/>
          <w:szCs w:val="32"/>
          <w:lang w:val="en-US" w:eastAsia="zh-CN"/>
        </w:rPr>
        <w:t>三</w:t>
      </w:r>
      <w:r>
        <w:rPr>
          <w:rFonts w:hint="default" w:ascii="Times New Roman" w:hAnsi="Times New Roman" w:eastAsia="楷体_GB2312" w:cs="Times New Roman"/>
          <w:b/>
          <w:bCs w:val="0"/>
          <w:sz w:val="32"/>
          <w:szCs w:val="32"/>
        </w:rPr>
        <w:t>）人员概况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广元市昭化区经济信息化和科学技术局</w:t>
      </w:r>
      <w:r>
        <w:rPr>
          <w:rFonts w:hint="default" w:ascii="Times New Roman" w:hAnsi="Times New Roman" w:eastAsia="仿宋_GB2312" w:cs="Times New Roman"/>
          <w:sz w:val="32"/>
          <w:szCs w:val="32"/>
          <w:lang w:val="en-US" w:eastAsia="zh-CN"/>
        </w:rPr>
        <w:t>共有干部49人，在编</w:t>
      </w:r>
      <w:r>
        <w:rPr>
          <w:rFonts w:hint="default" w:ascii="Times New Roman" w:hAnsi="Times New Roman" w:eastAsia="仿宋_GB2312" w:cs="Times New Roman"/>
          <w:sz w:val="32"/>
          <w:szCs w:val="32"/>
        </w:rPr>
        <w:t>干部</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人，其中：公务员</w:t>
      </w:r>
      <w:r>
        <w:rPr>
          <w:rFonts w:hint="default" w:ascii="Times New Roman" w:hAnsi="Times New Roman" w:eastAsia="仿宋_GB2312" w:cs="Times New Roman"/>
          <w:sz w:val="32"/>
          <w:szCs w:val="32"/>
          <w:lang w:val="en-US" w:eastAsia="zh-CN"/>
        </w:rPr>
        <w:t>11</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事业干部</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机关工勤1人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临聘人员11人</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退休人员</w:t>
      </w:r>
      <w:r>
        <w:rPr>
          <w:rFonts w:hint="default"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rPr>
        <w:t>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二、预算</w:t>
      </w:r>
      <w:r>
        <w:rPr>
          <w:rFonts w:hint="eastAsia" w:eastAsia="黑体" w:cs="Times New Roman"/>
          <w:sz w:val="32"/>
          <w:szCs w:val="32"/>
          <w:lang w:eastAsia="zh-CN"/>
        </w:rPr>
        <w:t>部门</w:t>
      </w:r>
      <w:r>
        <w:rPr>
          <w:rFonts w:hint="default" w:ascii="Times New Roman" w:hAnsi="Times New Roman" w:eastAsia="黑体" w:cs="Times New Roman"/>
          <w:sz w:val="32"/>
          <w:szCs w:val="32"/>
        </w:rPr>
        <w:t>财政</w:t>
      </w:r>
      <w:r>
        <w:rPr>
          <w:rFonts w:hint="default" w:ascii="Times New Roman" w:hAnsi="Times New Roman" w:eastAsia="黑体" w:cs="Times New Roman"/>
          <w:sz w:val="32"/>
          <w:szCs w:val="32"/>
          <w:lang w:val="en-US" w:eastAsia="zh-CN"/>
        </w:rPr>
        <w:t>收支</w:t>
      </w:r>
      <w:r>
        <w:rPr>
          <w:rFonts w:hint="default" w:ascii="Times New Roman" w:hAnsi="Times New Roman" w:eastAsia="黑体" w:cs="Times New Roman"/>
          <w:sz w:val="32"/>
          <w:szCs w:val="32"/>
        </w:rPr>
        <w:t>情况</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outlineLvl w:val="9"/>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lang w:eastAsia="zh-CN"/>
        </w:rPr>
        <w:t>（</w:t>
      </w:r>
      <w:r>
        <w:rPr>
          <w:rFonts w:hint="default" w:ascii="Times New Roman" w:hAnsi="Times New Roman" w:eastAsia="楷体_GB2312" w:cs="Times New Roman"/>
          <w:b/>
          <w:bCs w:val="0"/>
          <w:sz w:val="32"/>
          <w:szCs w:val="32"/>
        </w:rPr>
        <w:t>一</w:t>
      </w:r>
      <w:r>
        <w:rPr>
          <w:rFonts w:hint="default" w:ascii="Times New Roman" w:hAnsi="Times New Roman" w:eastAsia="楷体_GB2312" w:cs="Times New Roman"/>
          <w:b/>
          <w:bCs w:val="0"/>
          <w:sz w:val="32"/>
          <w:szCs w:val="32"/>
          <w:lang w:eastAsia="zh-CN"/>
        </w:rPr>
        <w:t>）</w:t>
      </w:r>
      <w:r>
        <w:rPr>
          <w:rFonts w:hint="eastAsia" w:eastAsia="楷体_GB2312" w:cs="Times New Roman"/>
          <w:b/>
          <w:bCs w:val="0"/>
          <w:sz w:val="32"/>
          <w:szCs w:val="32"/>
          <w:lang w:eastAsia="zh-CN"/>
        </w:rPr>
        <w:t>部门</w:t>
      </w:r>
      <w:r>
        <w:rPr>
          <w:rFonts w:hint="default" w:ascii="Times New Roman" w:hAnsi="Times New Roman" w:eastAsia="楷体_GB2312" w:cs="Times New Roman"/>
          <w:b/>
          <w:bCs w:val="0"/>
          <w:sz w:val="32"/>
          <w:szCs w:val="32"/>
        </w:rPr>
        <w:t>财政资金收入情况</w:t>
      </w:r>
    </w:p>
    <w:p>
      <w:pPr>
        <w:pStyle w:val="1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2022年度预算财政拨款收入</w:t>
      </w:r>
      <w:r>
        <w:rPr>
          <w:rFonts w:hint="default" w:ascii="Times New Roman" w:hAnsi="Times New Roman" w:eastAsia="仿宋_GB2312" w:cs="Times New Roman"/>
          <w:color w:val="000000"/>
          <w:sz w:val="32"/>
          <w:szCs w:val="32"/>
        </w:rPr>
        <w:t>合计</w:t>
      </w:r>
      <w:r>
        <w:rPr>
          <w:rFonts w:hint="default" w:ascii="Times New Roman" w:hAnsi="Times New Roman" w:eastAsia="仿宋_GB2312" w:cs="Times New Roman"/>
          <w:color w:val="000000"/>
          <w:sz w:val="32"/>
          <w:szCs w:val="32"/>
          <w:lang w:val="en-US" w:eastAsia="zh-CN"/>
        </w:rPr>
        <w:t>3826.59</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b/>
          <w:bCs/>
          <w:color w:val="000000"/>
          <w:sz w:val="32"/>
          <w:szCs w:val="32"/>
          <w:lang w:val="en-US" w:eastAsia="zh-CN"/>
        </w:rPr>
        <w:t>一是</w:t>
      </w:r>
      <w:r>
        <w:rPr>
          <w:rFonts w:hint="default" w:ascii="Times New Roman" w:hAnsi="Times New Roman" w:eastAsia="仿宋_GB2312" w:cs="Times New Roman"/>
          <w:color w:val="000000"/>
          <w:sz w:val="32"/>
          <w:szCs w:val="32"/>
        </w:rPr>
        <w:t>一般公共预算财政拨款收入</w:t>
      </w:r>
      <w:r>
        <w:rPr>
          <w:rFonts w:hint="default" w:ascii="Times New Roman" w:hAnsi="Times New Roman" w:eastAsia="仿宋_GB2312" w:cs="Times New Roman"/>
          <w:color w:val="000000"/>
          <w:sz w:val="32"/>
          <w:szCs w:val="32"/>
          <w:lang w:val="en-US" w:eastAsia="zh-CN"/>
        </w:rPr>
        <w:t>1246.88</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其中</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rPr>
        <w:t>一般公共服务支出</w:t>
      </w:r>
      <w:r>
        <w:rPr>
          <w:rFonts w:hint="default" w:ascii="Times New Roman" w:hAnsi="Times New Roman" w:eastAsia="仿宋_GB2312" w:cs="Times New Roman"/>
          <w:b w:val="0"/>
          <w:bCs w:val="0"/>
          <w:color w:val="000000"/>
          <w:sz w:val="32"/>
          <w:szCs w:val="32"/>
          <w:lang w:val="en-US" w:eastAsia="zh-CN"/>
        </w:rPr>
        <w:t>468.64</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科学技术支出</w:t>
      </w:r>
      <w:r>
        <w:rPr>
          <w:rFonts w:hint="default" w:ascii="Times New Roman" w:hAnsi="Times New Roman" w:eastAsia="仿宋_GB2312" w:cs="Times New Roman"/>
          <w:b w:val="0"/>
          <w:bCs w:val="0"/>
          <w:color w:val="000000"/>
          <w:sz w:val="32"/>
          <w:szCs w:val="32"/>
          <w:lang w:val="en-US" w:eastAsia="zh-CN"/>
        </w:rPr>
        <w:t>176.74</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社会保障和就业支出</w:t>
      </w:r>
      <w:r>
        <w:rPr>
          <w:rFonts w:hint="default" w:ascii="Times New Roman" w:hAnsi="Times New Roman" w:eastAsia="仿宋_GB2312" w:cs="Times New Roman"/>
          <w:b w:val="0"/>
          <w:bCs w:val="0"/>
          <w:color w:val="000000"/>
          <w:sz w:val="32"/>
          <w:szCs w:val="32"/>
          <w:lang w:val="en-US" w:eastAsia="zh-CN"/>
        </w:rPr>
        <w:t>64</w:t>
      </w:r>
      <w:r>
        <w:rPr>
          <w:rFonts w:hint="default" w:ascii="Times New Roman" w:hAnsi="Times New Roman" w:eastAsia="仿宋_GB2312" w:cs="Times New Roman"/>
          <w:b w:val="0"/>
          <w:bCs w:val="0"/>
          <w:color w:val="000000"/>
          <w:sz w:val="32"/>
          <w:szCs w:val="32"/>
        </w:rPr>
        <w:t>万元，卫生健康支出</w:t>
      </w:r>
      <w:r>
        <w:rPr>
          <w:rFonts w:hint="default" w:ascii="Times New Roman" w:hAnsi="Times New Roman" w:eastAsia="仿宋_GB2312" w:cs="Times New Roman"/>
          <w:b w:val="0"/>
          <w:bCs w:val="0"/>
          <w:color w:val="000000"/>
          <w:sz w:val="32"/>
          <w:szCs w:val="32"/>
          <w:lang w:val="en-US" w:eastAsia="zh-CN"/>
        </w:rPr>
        <w:t>14.46</w:t>
      </w:r>
      <w:r>
        <w:rPr>
          <w:rFonts w:hint="default" w:ascii="Times New Roman" w:hAnsi="Times New Roman" w:eastAsia="仿宋_GB2312" w:cs="Times New Roman"/>
          <w:b w:val="0"/>
          <w:bCs w:val="0"/>
          <w:color w:val="000000"/>
          <w:sz w:val="32"/>
          <w:szCs w:val="32"/>
        </w:rPr>
        <w:t>万元，农林水支出</w:t>
      </w:r>
      <w:r>
        <w:rPr>
          <w:rFonts w:hint="default" w:ascii="Times New Roman" w:hAnsi="Times New Roman" w:eastAsia="仿宋_GB2312" w:cs="Times New Roman"/>
          <w:b w:val="0"/>
          <w:bCs w:val="0"/>
          <w:sz w:val="32"/>
          <w:szCs w:val="32"/>
        </w:rPr>
        <w:t>支出</w:t>
      </w:r>
      <w:r>
        <w:rPr>
          <w:rFonts w:hint="default" w:ascii="Times New Roman" w:hAnsi="Times New Roman" w:eastAsia="仿宋_GB2312" w:cs="Times New Roman"/>
          <w:b w:val="0"/>
          <w:bCs w:val="0"/>
          <w:sz w:val="32"/>
          <w:szCs w:val="32"/>
          <w:lang w:val="en-US" w:eastAsia="zh-CN"/>
        </w:rPr>
        <w:t>115.02</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color w:val="000000"/>
          <w:sz w:val="32"/>
          <w:szCs w:val="32"/>
        </w:rPr>
        <w:t>资源勘探信息等支出</w:t>
      </w:r>
      <w:r>
        <w:rPr>
          <w:rFonts w:hint="default" w:ascii="Times New Roman" w:hAnsi="Times New Roman" w:eastAsia="仿宋_GB2312" w:cs="Times New Roman"/>
          <w:b w:val="0"/>
          <w:bCs w:val="0"/>
          <w:sz w:val="32"/>
          <w:szCs w:val="32"/>
        </w:rPr>
        <w:t>支出</w:t>
      </w:r>
      <w:r>
        <w:rPr>
          <w:rFonts w:hint="default" w:ascii="Times New Roman" w:hAnsi="Times New Roman" w:eastAsia="仿宋_GB2312" w:cs="Times New Roman"/>
          <w:b w:val="0"/>
          <w:bCs w:val="0"/>
          <w:sz w:val="32"/>
          <w:szCs w:val="32"/>
          <w:lang w:val="en-US" w:eastAsia="zh-CN"/>
        </w:rPr>
        <w:t>382.6</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color w:val="000000"/>
          <w:sz w:val="32"/>
          <w:szCs w:val="32"/>
        </w:rPr>
        <w:t>住房保障支出</w:t>
      </w:r>
      <w:r>
        <w:rPr>
          <w:rFonts w:hint="default" w:ascii="Times New Roman" w:hAnsi="Times New Roman" w:eastAsia="仿宋_GB2312" w:cs="Times New Roman"/>
          <w:b w:val="0"/>
          <w:bCs w:val="0"/>
          <w:color w:val="000000"/>
          <w:sz w:val="32"/>
          <w:szCs w:val="32"/>
          <w:lang w:val="en-US" w:eastAsia="zh-CN"/>
        </w:rPr>
        <w:t>25.41</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b/>
          <w:bCs/>
          <w:color w:val="000000"/>
          <w:sz w:val="32"/>
          <w:szCs w:val="32"/>
          <w:lang w:val="en-US" w:eastAsia="zh-CN"/>
        </w:rPr>
        <w:t>二是</w:t>
      </w:r>
      <w:r>
        <w:rPr>
          <w:rFonts w:hint="default" w:ascii="Times New Roman" w:hAnsi="Times New Roman" w:eastAsia="仿宋_GB2312" w:cs="Times New Roman"/>
          <w:color w:val="000000"/>
          <w:sz w:val="32"/>
          <w:szCs w:val="32"/>
        </w:rPr>
        <w:t>政府性基金预算财政拨款收入</w:t>
      </w:r>
      <w:r>
        <w:rPr>
          <w:rFonts w:hint="default" w:ascii="Times New Roman" w:hAnsi="Times New Roman" w:eastAsia="仿宋_GB2312" w:cs="Times New Roman"/>
          <w:color w:val="000000"/>
          <w:sz w:val="32"/>
          <w:szCs w:val="32"/>
          <w:lang w:val="en-US" w:eastAsia="zh-CN"/>
        </w:rPr>
        <w:t>2579.71</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sz w:val="32"/>
          <w:szCs w:val="32"/>
          <w:lang w:val="en-US" w:eastAsia="zh-CN"/>
        </w:rPr>
        <w:t>2022年度决算财政拨款收入</w:t>
      </w:r>
      <w:r>
        <w:rPr>
          <w:rFonts w:hint="default" w:ascii="Times New Roman" w:hAnsi="Times New Roman" w:eastAsia="仿宋_GB2312" w:cs="Times New Roman"/>
          <w:color w:val="000000"/>
          <w:sz w:val="32"/>
          <w:szCs w:val="32"/>
        </w:rPr>
        <w:t>合计</w:t>
      </w:r>
      <w:r>
        <w:rPr>
          <w:rFonts w:hint="default" w:ascii="Times New Roman" w:hAnsi="Times New Roman" w:eastAsia="仿宋_GB2312" w:cs="Times New Roman"/>
          <w:color w:val="000000"/>
          <w:sz w:val="32"/>
          <w:szCs w:val="32"/>
          <w:lang w:val="en-US" w:eastAsia="zh-CN"/>
        </w:rPr>
        <w:t>3826.59</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b/>
          <w:bCs/>
          <w:color w:val="000000"/>
          <w:sz w:val="32"/>
          <w:szCs w:val="32"/>
          <w:lang w:val="en-US" w:eastAsia="zh-CN"/>
        </w:rPr>
        <w:t>一是</w:t>
      </w:r>
      <w:r>
        <w:rPr>
          <w:rFonts w:hint="default" w:ascii="Times New Roman" w:hAnsi="Times New Roman" w:eastAsia="仿宋_GB2312" w:cs="Times New Roman"/>
          <w:color w:val="000000"/>
          <w:sz w:val="32"/>
          <w:szCs w:val="32"/>
        </w:rPr>
        <w:t>一般公共预算财政拨款收入</w:t>
      </w:r>
      <w:r>
        <w:rPr>
          <w:rFonts w:hint="default" w:ascii="Times New Roman" w:hAnsi="Times New Roman" w:eastAsia="仿宋_GB2312" w:cs="Times New Roman"/>
          <w:color w:val="000000"/>
          <w:sz w:val="32"/>
          <w:szCs w:val="32"/>
          <w:lang w:val="en-US" w:eastAsia="zh-CN"/>
        </w:rPr>
        <w:t>1246.88</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val="en-US" w:eastAsia="zh-CN"/>
        </w:rPr>
        <w:t>其中</w:t>
      </w:r>
      <w:r>
        <w:rPr>
          <w:rFonts w:hint="default" w:ascii="Times New Roman" w:hAnsi="Times New Roman" w:eastAsia="仿宋_GB2312" w:cs="Times New Roman"/>
          <w:b w:val="0"/>
          <w:bCs w:val="0"/>
          <w:color w:val="000000"/>
          <w:sz w:val="32"/>
          <w:szCs w:val="32"/>
          <w:lang w:val="en-US" w:eastAsia="zh-CN"/>
        </w:rPr>
        <w:t>，</w:t>
      </w:r>
      <w:r>
        <w:rPr>
          <w:rFonts w:hint="default" w:ascii="Times New Roman" w:hAnsi="Times New Roman" w:eastAsia="仿宋_GB2312" w:cs="Times New Roman"/>
          <w:b w:val="0"/>
          <w:bCs w:val="0"/>
          <w:color w:val="000000"/>
          <w:sz w:val="32"/>
          <w:szCs w:val="32"/>
        </w:rPr>
        <w:t>一般公共服务支出</w:t>
      </w:r>
      <w:r>
        <w:rPr>
          <w:rFonts w:hint="default" w:ascii="Times New Roman" w:hAnsi="Times New Roman" w:eastAsia="仿宋_GB2312" w:cs="Times New Roman"/>
          <w:b w:val="0"/>
          <w:bCs w:val="0"/>
          <w:color w:val="000000"/>
          <w:sz w:val="32"/>
          <w:szCs w:val="32"/>
          <w:lang w:val="en-US" w:eastAsia="zh-CN"/>
        </w:rPr>
        <w:t>468.64</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科学技术支出</w:t>
      </w:r>
      <w:r>
        <w:rPr>
          <w:rFonts w:hint="default" w:ascii="Times New Roman" w:hAnsi="Times New Roman" w:eastAsia="仿宋_GB2312" w:cs="Times New Roman"/>
          <w:b w:val="0"/>
          <w:bCs w:val="0"/>
          <w:color w:val="000000"/>
          <w:sz w:val="32"/>
          <w:szCs w:val="32"/>
          <w:lang w:val="en-US" w:eastAsia="zh-CN"/>
        </w:rPr>
        <w:t>176.74</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color w:val="000000"/>
          <w:sz w:val="32"/>
          <w:szCs w:val="32"/>
          <w:lang w:eastAsia="zh-CN"/>
        </w:rPr>
        <w:t>，</w:t>
      </w:r>
      <w:r>
        <w:rPr>
          <w:rFonts w:hint="default" w:ascii="Times New Roman" w:hAnsi="Times New Roman" w:eastAsia="仿宋_GB2312" w:cs="Times New Roman"/>
          <w:b w:val="0"/>
          <w:bCs w:val="0"/>
          <w:color w:val="000000"/>
          <w:sz w:val="32"/>
          <w:szCs w:val="32"/>
        </w:rPr>
        <w:t>社会保障和就业支出</w:t>
      </w:r>
      <w:r>
        <w:rPr>
          <w:rFonts w:hint="default" w:ascii="Times New Roman" w:hAnsi="Times New Roman" w:eastAsia="仿宋_GB2312" w:cs="Times New Roman"/>
          <w:b w:val="0"/>
          <w:bCs w:val="0"/>
          <w:color w:val="000000"/>
          <w:sz w:val="32"/>
          <w:szCs w:val="32"/>
          <w:lang w:val="en-US" w:eastAsia="zh-CN"/>
        </w:rPr>
        <w:t>64</w:t>
      </w:r>
      <w:r>
        <w:rPr>
          <w:rFonts w:hint="default" w:ascii="Times New Roman" w:hAnsi="Times New Roman" w:eastAsia="仿宋_GB2312" w:cs="Times New Roman"/>
          <w:b w:val="0"/>
          <w:bCs w:val="0"/>
          <w:color w:val="000000"/>
          <w:sz w:val="32"/>
          <w:szCs w:val="32"/>
        </w:rPr>
        <w:t>万元，卫生健康支出</w:t>
      </w:r>
      <w:r>
        <w:rPr>
          <w:rFonts w:hint="default" w:ascii="Times New Roman" w:hAnsi="Times New Roman" w:eastAsia="仿宋_GB2312" w:cs="Times New Roman"/>
          <w:b w:val="0"/>
          <w:bCs w:val="0"/>
          <w:color w:val="000000"/>
          <w:sz w:val="32"/>
          <w:szCs w:val="32"/>
          <w:lang w:val="en-US" w:eastAsia="zh-CN"/>
        </w:rPr>
        <w:t>14.46</w:t>
      </w:r>
      <w:r>
        <w:rPr>
          <w:rFonts w:hint="default" w:ascii="Times New Roman" w:hAnsi="Times New Roman" w:eastAsia="仿宋_GB2312" w:cs="Times New Roman"/>
          <w:b w:val="0"/>
          <w:bCs w:val="0"/>
          <w:color w:val="000000"/>
          <w:sz w:val="32"/>
          <w:szCs w:val="32"/>
        </w:rPr>
        <w:t>万元，农林水支出</w:t>
      </w:r>
      <w:r>
        <w:rPr>
          <w:rFonts w:hint="default" w:ascii="Times New Roman" w:hAnsi="Times New Roman" w:eastAsia="仿宋_GB2312" w:cs="Times New Roman"/>
          <w:b w:val="0"/>
          <w:bCs w:val="0"/>
          <w:sz w:val="32"/>
          <w:szCs w:val="32"/>
        </w:rPr>
        <w:t>支出</w:t>
      </w:r>
      <w:r>
        <w:rPr>
          <w:rFonts w:hint="default" w:ascii="Times New Roman" w:hAnsi="Times New Roman" w:eastAsia="仿宋_GB2312" w:cs="Times New Roman"/>
          <w:b w:val="0"/>
          <w:bCs w:val="0"/>
          <w:sz w:val="32"/>
          <w:szCs w:val="32"/>
          <w:lang w:val="en-US" w:eastAsia="zh-CN"/>
        </w:rPr>
        <w:t>115.02</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color w:val="000000"/>
          <w:sz w:val="32"/>
          <w:szCs w:val="32"/>
        </w:rPr>
        <w:t>资源勘探信息等支出</w:t>
      </w:r>
      <w:r>
        <w:rPr>
          <w:rFonts w:hint="default" w:ascii="Times New Roman" w:hAnsi="Times New Roman" w:eastAsia="仿宋_GB2312" w:cs="Times New Roman"/>
          <w:b w:val="0"/>
          <w:bCs w:val="0"/>
          <w:sz w:val="32"/>
          <w:szCs w:val="32"/>
        </w:rPr>
        <w:t>支出</w:t>
      </w:r>
      <w:r>
        <w:rPr>
          <w:rFonts w:hint="default" w:ascii="Times New Roman" w:hAnsi="Times New Roman" w:eastAsia="仿宋_GB2312" w:cs="Times New Roman"/>
          <w:b w:val="0"/>
          <w:bCs w:val="0"/>
          <w:sz w:val="32"/>
          <w:szCs w:val="32"/>
          <w:lang w:val="en-US" w:eastAsia="zh-CN"/>
        </w:rPr>
        <w:t>382.6</w:t>
      </w:r>
      <w:r>
        <w:rPr>
          <w:rFonts w:hint="default" w:ascii="Times New Roman" w:hAnsi="Times New Roman" w:eastAsia="仿宋_GB2312" w:cs="Times New Roman"/>
          <w:b w:val="0"/>
          <w:bCs w:val="0"/>
          <w:sz w:val="32"/>
          <w:szCs w:val="32"/>
        </w:rPr>
        <w:t>万元，</w:t>
      </w:r>
      <w:r>
        <w:rPr>
          <w:rFonts w:hint="default" w:ascii="Times New Roman" w:hAnsi="Times New Roman" w:eastAsia="仿宋_GB2312" w:cs="Times New Roman"/>
          <w:b w:val="0"/>
          <w:bCs w:val="0"/>
          <w:color w:val="000000"/>
          <w:sz w:val="32"/>
          <w:szCs w:val="32"/>
        </w:rPr>
        <w:t>住房保障支出</w:t>
      </w:r>
      <w:r>
        <w:rPr>
          <w:rFonts w:hint="default" w:ascii="Times New Roman" w:hAnsi="Times New Roman" w:eastAsia="仿宋_GB2312" w:cs="Times New Roman"/>
          <w:b w:val="0"/>
          <w:bCs w:val="0"/>
          <w:color w:val="000000"/>
          <w:sz w:val="32"/>
          <w:szCs w:val="32"/>
          <w:lang w:val="en-US" w:eastAsia="zh-CN"/>
        </w:rPr>
        <w:t>25.41</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b/>
          <w:bCs/>
          <w:color w:val="000000"/>
          <w:sz w:val="32"/>
          <w:szCs w:val="32"/>
          <w:lang w:val="en-US" w:eastAsia="zh-CN"/>
        </w:rPr>
        <w:t>二是</w:t>
      </w:r>
      <w:r>
        <w:rPr>
          <w:rFonts w:hint="default" w:ascii="Times New Roman" w:hAnsi="Times New Roman" w:eastAsia="仿宋_GB2312" w:cs="Times New Roman"/>
          <w:color w:val="000000"/>
          <w:sz w:val="32"/>
          <w:szCs w:val="32"/>
        </w:rPr>
        <w:t>政府性基金预算财政拨款收入</w:t>
      </w:r>
      <w:r>
        <w:rPr>
          <w:rFonts w:hint="default" w:ascii="Times New Roman" w:hAnsi="Times New Roman" w:eastAsia="仿宋_GB2312" w:cs="Times New Roman"/>
          <w:color w:val="000000"/>
          <w:sz w:val="32"/>
          <w:szCs w:val="32"/>
          <w:lang w:val="en-US" w:eastAsia="zh-CN"/>
        </w:rPr>
        <w:t>2579.71</w:t>
      </w:r>
      <w:r>
        <w:rPr>
          <w:rFonts w:hint="default" w:ascii="Times New Roman" w:hAnsi="Times New Roman" w:eastAsia="仿宋_GB2312" w:cs="Times New Roman"/>
          <w:color w:val="000000"/>
          <w:sz w:val="32"/>
          <w:szCs w:val="32"/>
        </w:rPr>
        <w:t>万元</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pacing w:line="576" w:lineRule="exact"/>
        <w:ind w:firstLine="643" w:firstLineChars="200"/>
        <w:textAlignment w:val="auto"/>
        <w:outlineLvl w:val="9"/>
        <w:rPr>
          <w:rFonts w:hint="default" w:ascii="Times New Roman" w:hAnsi="Times New Roman" w:eastAsia="楷体_GB2312" w:cs="Times New Roman"/>
          <w:b/>
          <w:bCs w:val="0"/>
          <w:sz w:val="32"/>
          <w:szCs w:val="32"/>
        </w:rPr>
      </w:pPr>
      <w:r>
        <w:rPr>
          <w:rFonts w:hint="default" w:ascii="Times New Roman" w:hAnsi="Times New Roman" w:eastAsia="楷体_GB2312" w:cs="Times New Roman"/>
          <w:b/>
          <w:bCs w:val="0"/>
          <w:sz w:val="32"/>
          <w:szCs w:val="32"/>
          <w:lang w:eastAsia="zh-CN"/>
        </w:rPr>
        <w:t>（</w:t>
      </w:r>
      <w:r>
        <w:rPr>
          <w:rFonts w:hint="default" w:ascii="Times New Roman" w:hAnsi="Times New Roman" w:eastAsia="楷体_GB2312" w:cs="Times New Roman"/>
          <w:b/>
          <w:bCs w:val="0"/>
          <w:sz w:val="32"/>
          <w:szCs w:val="32"/>
        </w:rPr>
        <w:t>二</w:t>
      </w:r>
      <w:r>
        <w:rPr>
          <w:rFonts w:hint="default" w:ascii="Times New Roman" w:hAnsi="Times New Roman" w:eastAsia="楷体_GB2312" w:cs="Times New Roman"/>
          <w:b/>
          <w:bCs w:val="0"/>
          <w:sz w:val="32"/>
          <w:szCs w:val="32"/>
          <w:lang w:eastAsia="zh-CN"/>
        </w:rPr>
        <w:t>）</w:t>
      </w:r>
      <w:r>
        <w:rPr>
          <w:rFonts w:hint="eastAsia" w:eastAsia="楷体_GB2312" w:cs="Times New Roman"/>
          <w:b/>
          <w:bCs w:val="0"/>
          <w:sz w:val="32"/>
          <w:szCs w:val="32"/>
          <w:lang w:eastAsia="zh-CN"/>
        </w:rPr>
        <w:t>部门</w:t>
      </w:r>
      <w:r>
        <w:rPr>
          <w:rFonts w:hint="default" w:ascii="Times New Roman" w:hAnsi="Times New Roman" w:eastAsia="楷体_GB2312" w:cs="Times New Roman"/>
          <w:b/>
          <w:bCs w:val="0"/>
          <w:sz w:val="32"/>
          <w:szCs w:val="32"/>
        </w:rPr>
        <w:t>财政支出情况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val="en-US" w:eastAsia="zh-CN"/>
        </w:rPr>
        <w:t>2022年度预算财政拨款支出合计</w:t>
      </w:r>
      <w:r>
        <w:rPr>
          <w:rFonts w:hint="default" w:ascii="Times New Roman" w:hAnsi="Times New Roman" w:eastAsia="仿宋_GB2312" w:cs="Times New Roman"/>
          <w:color w:val="000000"/>
          <w:sz w:val="32"/>
          <w:szCs w:val="32"/>
          <w:lang w:val="en-US" w:eastAsia="zh-CN"/>
        </w:rPr>
        <w:t>3826.59</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572.51</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14.96</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3254.08</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85.04</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w:t>
      </w:r>
    </w:p>
    <w:p>
      <w:pPr>
        <w:pStyle w:val="15"/>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76" w:lineRule="exact"/>
        <w:ind w:left="0" w:leftChars="0" w:righ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bCs/>
          <w:kern w:val="2"/>
          <w:sz w:val="32"/>
          <w:szCs w:val="32"/>
          <w:lang w:val="en-US" w:eastAsia="zh-CN" w:bidi="ar-SA"/>
        </w:rPr>
        <w:t>2022年度决算财政拨款</w:t>
      </w:r>
      <w:r>
        <w:rPr>
          <w:rFonts w:hint="default" w:ascii="Times New Roman" w:hAnsi="Times New Roman" w:eastAsia="仿宋_GB2312" w:cs="Times New Roman"/>
          <w:color w:val="auto"/>
          <w:sz w:val="32"/>
          <w:szCs w:val="32"/>
          <w:highlight w:val="none"/>
        </w:rPr>
        <w:t>支出合计</w:t>
      </w:r>
      <w:r>
        <w:rPr>
          <w:rFonts w:hint="default" w:ascii="Times New Roman" w:hAnsi="Times New Roman" w:eastAsia="仿宋_GB2312" w:cs="Times New Roman"/>
          <w:color w:val="000000"/>
          <w:sz w:val="32"/>
          <w:szCs w:val="32"/>
          <w:lang w:val="en-US" w:eastAsia="zh-CN"/>
        </w:rPr>
        <w:t>3826.59</w:t>
      </w:r>
      <w:r>
        <w:rPr>
          <w:rFonts w:hint="default" w:ascii="Times New Roman" w:hAnsi="Times New Roman" w:eastAsia="仿宋_GB2312" w:cs="Times New Roman"/>
          <w:color w:val="000000"/>
          <w:sz w:val="32"/>
          <w:szCs w:val="32"/>
        </w:rPr>
        <w:t>万元，其中：基本支出</w:t>
      </w:r>
      <w:r>
        <w:rPr>
          <w:rFonts w:hint="default" w:ascii="Times New Roman" w:hAnsi="Times New Roman" w:eastAsia="仿宋_GB2312" w:cs="Times New Roman"/>
          <w:color w:val="000000"/>
          <w:sz w:val="32"/>
          <w:szCs w:val="32"/>
          <w:lang w:val="en-US" w:eastAsia="zh-CN"/>
        </w:rPr>
        <w:t>572.51</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14.96</w:t>
      </w:r>
      <w:r>
        <w:rPr>
          <w:rFonts w:hint="default" w:ascii="Times New Roman" w:hAnsi="Times New Roman" w:eastAsia="仿宋_GB2312" w:cs="Times New Roman"/>
          <w:color w:val="000000"/>
          <w:sz w:val="32"/>
          <w:szCs w:val="32"/>
        </w:rPr>
        <w:t>%；项目支出</w:t>
      </w:r>
      <w:r>
        <w:rPr>
          <w:rFonts w:hint="default" w:ascii="Times New Roman" w:hAnsi="Times New Roman" w:eastAsia="仿宋_GB2312" w:cs="Times New Roman"/>
          <w:color w:val="000000"/>
          <w:sz w:val="32"/>
          <w:szCs w:val="32"/>
          <w:lang w:val="en-US" w:eastAsia="zh-CN"/>
        </w:rPr>
        <w:t>3254.08</w:t>
      </w:r>
      <w:r>
        <w:rPr>
          <w:rFonts w:hint="default" w:ascii="Times New Roman" w:hAnsi="Times New Roman" w:eastAsia="仿宋_GB2312" w:cs="Times New Roman"/>
          <w:color w:val="000000"/>
          <w:sz w:val="32"/>
          <w:szCs w:val="32"/>
        </w:rPr>
        <w:t>万元，占</w:t>
      </w:r>
      <w:r>
        <w:rPr>
          <w:rFonts w:hint="default" w:ascii="Times New Roman" w:hAnsi="Times New Roman" w:eastAsia="仿宋_GB2312" w:cs="Times New Roman"/>
          <w:color w:val="000000"/>
          <w:sz w:val="32"/>
          <w:szCs w:val="32"/>
          <w:lang w:val="en-US" w:eastAsia="zh-CN"/>
        </w:rPr>
        <w:t>85.04</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三、部门整体预算绩效管理情况</w:t>
      </w:r>
    </w:p>
    <w:p>
      <w:pPr>
        <w:pStyle w:val="2"/>
        <w:keepNext w:val="0"/>
        <w:keepLines w:val="0"/>
        <w:pageBreakBefore w:val="0"/>
        <w:kinsoku/>
        <w:wordWrap/>
        <w:overflowPunct/>
        <w:topLinePunct w:val="0"/>
        <w:autoSpaceDE/>
        <w:autoSpaceDN/>
        <w:bidi w:val="0"/>
        <w:spacing w:beforeLines="0" w:line="576"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一</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部门预算项目绩效管理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cs="Times New Roman"/>
          <w:b/>
          <w:bCs/>
          <w:sz w:val="32"/>
          <w:szCs w:val="32"/>
          <w:lang w:val="en-US" w:eastAsia="zh-CN"/>
        </w:rPr>
        <w:t>1.</w:t>
      </w:r>
      <w:r>
        <w:rPr>
          <w:rFonts w:hint="default" w:ascii="Times New Roman" w:hAnsi="Times New Roman" w:eastAsia="仿宋_GB2312" w:cs="Times New Roman"/>
          <w:b/>
          <w:bCs/>
          <w:sz w:val="32"/>
          <w:szCs w:val="32"/>
          <w:lang w:val="en-US" w:eastAsia="zh-CN"/>
        </w:rPr>
        <w:t>目标管理方面。</w:t>
      </w:r>
    </w:p>
    <w:p>
      <w:pPr>
        <w:keepNext w:val="0"/>
        <w:keepLines w:val="0"/>
        <w:pageBreakBefore w:val="0"/>
        <w:widowControl w:val="0"/>
        <w:kinsoku/>
        <w:wordWrap/>
        <w:overflowPunct/>
        <w:topLinePunct w:val="0"/>
        <w:autoSpaceDE/>
        <w:autoSpaceDN/>
        <w:bidi w:val="0"/>
        <w:adjustRightInd/>
        <w:spacing w:line="576" w:lineRule="exact"/>
        <w:ind w:firstLine="640" w:firstLineChars="200"/>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（1）目标制定。我局在年初编制部门预算时，严格按照2022年度重点工作任务及计划，制定了合理可行的部门整体绩效目标，结合我局工作职能，如</w:t>
      </w:r>
      <w:r>
        <w:rPr>
          <w:rFonts w:hint="default" w:ascii="Times New Roman" w:hAnsi="Times New Roman" w:eastAsia="仿宋_GB2312" w:cs="Times New Roman"/>
          <w:b w:val="0"/>
          <w:bCs w:val="0"/>
          <w:sz w:val="32"/>
          <w:szCs w:val="32"/>
          <w:lang w:eastAsia="zh-CN"/>
        </w:rPr>
        <w:t>招商引资、中小企业发展、科技推广与产业发展、</w:t>
      </w:r>
      <w:r>
        <w:rPr>
          <w:rFonts w:hint="default" w:ascii="Times New Roman" w:hAnsi="Times New Roman" w:eastAsia="仿宋_GB2312" w:cs="Times New Roman"/>
          <w:b w:val="0"/>
          <w:bCs w:val="0"/>
          <w:sz w:val="32"/>
          <w:szCs w:val="32"/>
        </w:rPr>
        <w:t>“昭化造”产品展示展销</w:t>
      </w:r>
      <w:r>
        <w:rPr>
          <w:rFonts w:hint="default" w:ascii="Times New Roman" w:hAnsi="Times New Roman" w:eastAsia="仿宋_GB2312" w:cs="Times New Roman"/>
          <w:b w:val="0"/>
          <w:bCs w:val="0"/>
          <w:sz w:val="32"/>
          <w:szCs w:val="32"/>
          <w:lang w:val="en-US" w:eastAsia="zh-CN"/>
        </w:rPr>
        <w:t>等，</w:t>
      </w:r>
      <w:r>
        <w:rPr>
          <w:rFonts w:hint="default" w:ascii="Times New Roman" w:hAnsi="Times New Roman" w:eastAsia="仿宋_GB2312" w:cs="Times New Roman"/>
          <w:b w:val="0"/>
          <w:bCs w:val="0"/>
          <w:i w:val="0"/>
          <w:caps w:val="0"/>
          <w:color w:val="000000"/>
          <w:spacing w:val="8"/>
          <w:sz w:val="32"/>
          <w:szCs w:val="32"/>
          <w:shd w:val="clear" w:color="auto" w:fill="FFFFFF"/>
          <w:lang w:val="en-US" w:eastAsia="zh-CN"/>
        </w:rPr>
        <w:t>明确了一级指标，二级指标，三级指标，细化量化了指标评价内容。</w:t>
      </w:r>
      <w:r>
        <w:rPr>
          <w:rFonts w:hint="default" w:ascii="Times New Roman" w:hAnsi="Times New Roman" w:eastAsia="仿宋_GB2312" w:cs="Times New Roman"/>
          <w:b w:val="0"/>
          <w:bCs w:val="0"/>
          <w:sz w:val="32"/>
          <w:szCs w:val="32"/>
          <w:lang w:val="en-US" w:eastAsia="zh-CN"/>
        </w:rPr>
        <w:t>绩效目标编制要素完整，绩效目标工作纳入</w:t>
      </w:r>
      <w:r>
        <w:rPr>
          <w:rFonts w:hint="eastAsia" w:eastAsia="仿宋_GB2312" w:cs="Times New Roman"/>
          <w:b w:val="0"/>
          <w:bCs w:val="0"/>
          <w:sz w:val="32"/>
          <w:szCs w:val="32"/>
          <w:lang w:val="en-US" w:eastAsia="zh-CN"/>
        </w:rPr>
        <w:t>部门</w:t>
      </w:r>
      <w:r>
        <w:rPr>
          <w:rFonts w:hint="default" w:ascii="Times New Roman" w:hAnsi="Times New Roman" w:eastAsia="仿宋_GB2312" w:cs="Times New Roman"/>
          <w:b w:val="0"/>
          <w:bCs w:val="0"/>
          <w:sz w:val="32"/>
          <w:szCs w:val="32"/>
          <w:lang w:val="en-US" w:eastAsia="zh-CN"/>
        </w:rPr>
        <w:t>党组会集体决策范围。在后续追加制定各类项目绩效目标时，也严格按照项目批复的建设内容进行细化量化，并结合项目申报时的预期效益合理编制可实现可持续的一二三级指标，争取项目资金能够发挥出最优效益。</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（2）目标实现。2022年，我局各项绩效目标整体实现情况良好。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sz w:val="32"/>
          <w:szCs w:val="32"/>
          <w:lang w:val="en-US" w:eastAsia="zh-CN"/>
        </w:rPr>
        <w:t>一是人员类资金，全年支出</w:t>
      </w:r>
      <w:r>
        <w:rPr>
          <w:rFonts w:hint="default" w:ascii="Times New Roman" w:hAnsi="Times New Roman" w:eastAsia="仿宋_GB2312" w:cs="Times New Roman"/>
          <w:b w:val="0"/>
          <w:bCs w:val="0"/>
          <w:color w:val="000000"/>
          <w:sz w:val="32"/>
          <w:szCs w:val="32"/>
          <w:lang w:val="en-US" w:eastAsia="zh-CN"/>
        </w:rPr>
        <w:t>317.42</w:t>
      </w:r>
      <w:r>
        <w:rPr>
          <w:rFonts w:hint="default" w:ascii="Times New Roman" w:hAnsi="Times New Roman" w:eastAsia="仿宋_GB2312" w:cs="Times New Roman"/>
          <w:b w:val="0"/>
          <w:bCs w:val="0"/>
          <w:color w:val="000000"/>
          <w:sz w:val="32"/>
          <w:szCs w:val="32"/>
        </w:rPr>
        <w:t>万元</w:t>
      </w:r>
      <w:r>
        <w:rPr>
          <w:rFonts w:hint="default" w:ascii="Times New Roman" w:hAnsi="Times New Roman" w:eastAsia="仿宋_GB2312" w:cs="Times New Roman"/>
          <w:b w:val="0"/>
          <w:bCs w:val="0"/>
          <w:sz w:val="32"/>
          <w:szCs w:val="32"/>
          <w:lang w:val="en-US" w:eastAsia="zh-CN"/>
        </w:rPr>
        <w:t>，主要用于发放在职人员20人工资，缴纳五险一金，发放退休人员16人目标奖和机关运转，均按照年初预算执行并完成，保障了工作有序开展</w:t>
      </w:r>
      <w:r>
        <w:rPr>
          <w:rFonts w:hint="default" w:ascii="Times New Roman" w:hAnsi="Times New Roman" w:eastAsia="仿宋_GB2312" w:cs="Times New Roman"/>
          <w:b w:val="0"/>
          <w:bCs w:val="0"/>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二是</w:t>
      </w:r>
      <w:r>
        <w:rPr>
          <w:rFonts w:hint="default" w:ascii="Times New Roman" w:hAnsi="Times New Roman" w:eastAsia="仿宋_GB2312" w:cs="Times New Roman"/>
          <w:b w:val="0"/>
          <w:bCs w:val="0"/>
          <w:color w:val="auto"/>
          <w:sz w:val="32"/>
          <w:szCs w:val="32"/>
        </w:rPr>
        <w:t>运转类</w:t>
      </w:r>
      <w:r>
        <w:rPr>
          <w:rFonts w:hint="default" w:ascii="Times New Roman" w:hAnsi="Times New Roman" w:eastAsia="仿宋_GB2312" w:cs="Times New Roman"/>
          <w:b w:val="0"/>
          <w:bCs w:val="0"/>
          <w:color w:val="auto"/>
          <w:sz w:val="32"/>
          <w:szCs w:val="32"/>
          <w:lang w:val="en-US" w:eastAsia="zh-CN"/>
        </w:rPr>
        <w:t>经费，全年支出105万元，</w:t>
      </w:r>
      <w:r>
        <w:rPr>
          <w:rFonts w:hint="default" w:ascii="Times New Roman" w:hAnsi="Times New Roman" w:eastAsia="仿宋_GB2312" w:cs="Times New Roman"/>
          <w:b w:val="0"/>
          <w:bCs w:val="0"/>
          <w:sz w:val="32"/>
          <w:szCs w:val="32"/>
          <w:lang w:val="en-US" w:eastAsia="zh-CN"/>
        </w:rPr>
        <w:t>保障了</w:t>
      </w:r>
      <w:r>
        <w:rPr>
          <w:rFonts w:hint="eastAsia" w:eastAsia="仿宋_GB2312" w:cs="Times New Roman"/>
          <w:b w:val="0"/>
          <w:bCs w:val="0"/>
          <w:sz w:val="32"/>
          <w:szCs w:val="32"/>
          <w:lang w:val="en-US" w:eastAsia="zh-CN"/>
        </w:rPr>
        <w:t>部门</w:t>
      </w:r>
      <w:r>
        <w:rPr>
          <w:rFonts w:hint="default" w:ascii="Times New Roman" w:hAnsi="Times New Roman" w:eastAsia="仿宋_GB2312" w:cs="Times New Roman"/>
          <w:b w:val="0"/>
          <w:bCs w:val="0"/>
          <w:sz w:val="32"/>
          <w:szCs w:val="32"/>
          <w:lang w:val="en-US" w:eastAsia="zh-CN"/>
        </w:rPr>
        <w:t>日常运转。</w:t>
      </w:r>
      <w:r>
        <w:rPr>
          <w:rFonts w:hint="default" w:ascii="Times New Roman" w:hAnsi="Times New Roman" w:eastAsia="仿宋_GB2312" w:cs="Times New Roman"/>
          <w:b w:val="0"/>
          <w:bCs w:val="0"/>
          <w:color w:val="auto"/>
          <w:sz w:val="32"/>
          <w:szCs w:val="32"/>
          <w:lang w:val="en-US" w:eastAsia="zh-CN"/>
        </w:rPr>
        <w:t>按年初编制的绩效目标对</w:t>
      </w:r>
      <w:r>
        <w:rPr>
          <w:rFonts w:hint="default" w:ascii="Times New Roman" w:hAnsi="Times New Roman" w:eastAsia="仿宋_GB2312" w:cs="Times New Roman"/>
          <w:b w:val="0"/>
          <w:bCs w:val="0"/>
          <w:sz w:val="32"/>
          <w:szCs w:val="32"/>
          <w:lang w:val="en-US" w:eastAsia="zh-CN"/>
        </w:rPr>
        <w:t>临聘人员11人</w:t>
      </w:r>
      <w:r>
        <w:rPr>
          <w:rFonts w:hint="default" w:ascii="Times New Roman" w:hAnsi="Times New Roman" w:eastAsia="仿宋_GB2312" w:cs="Times New Roman"/>
          <w:b w:val="0"/>
          <w:bCs w:val="0"/>
          <w:color w:val="auto"/>
          <w:sz w:val="32"/>
          <w:szCs w:val="32"/>
          <w:lang w:val="en-US" w:eastAsia="zh-CN"/>
        </w:rPr>
        <w:t>发放</w:t>
      </w:r>
      <w:r>
        <w:rPr>
          <w:rFonts w:hint="default" w:ascii="Times New Roman" w:hAnsi="Times New Roman" w:eastAsia="仿宋_GB2312" w:cs="Times New Roman"/>
          <w:b w:val="0"/>
          <w:bCs w:val="0"/>
          <w:sz w:val="32"/>
          <w:szCs w:val="32"/>
          <w:lang w:val="en-US" w:eastAsia="zh-CN"/>
        </w:rPr>
        <w:t>工资、缴纳保险；主要领导外出招商12次；开展产业技术培训12次；推广新技术1个；完成新进规工业企业7家；对企业安全检查和安全隐患排查12次等6个数量指标均完成，且偏离度小于10%。但年初预计参加省内外展会5次，因疫情原因未参展，但将昭化造产品在区政府一楼大厅“一星期一轮换”进行展示展销。</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三是特定目标类项目经费，年初预算的2022年争取资金工作经费、招商引资工作经费、统计规范化建设、电力保障合计70万元，年内支出8.09万元，预算执行率低。数量指标争取资金338.71万元，保电次数126场次、聘请第三方机构完善规上工业企业财务资料企业数量63家、引进年产2000万平方米家居地板项目、家居水晶饰品生产项目共8个“制造业”招商项目等数量指标全部完成。</w:t>
      </w:r>
    </w:p>
    <w:p>
      <w:pPr>
        <w:pStyle w:val="2"/>
        <w:keepNext w:val="0"/>
        <w:keepLines w:val="0"/>
        <w:pageBreakBefore w:val="0"/>
        <w:kinsoku/>
        <w:wordWrap/>
        <w:overflowPunct/>
        <w:topLinePunct w:val="0"/>
        <w:autoSpaceDE/>
        <w:autoSpaceDN/>
        <w:bidi w:val="0"/>
        <w:spacing w:beforeLines="0" w:line="576"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2.动态调整方面。</w:t>
      </w:r>
    </w:p>
    <w:p>
      <w:pPr>
        <w:keepNext w:val="0"/>
        <w:keepLines w:val="0"/>
        <w:pageBreakBefore w:val="0"/>
        <w:kinsoku/>
        <w:wordWrap/>
        <w:overflowPunct/>
        <w:topLinePunct w:val="0"/>
        <w:autoSpaceDE/>
        <w:autoSpaceDN/>
        <w:bidi w:val="0"/>
        <w:spacing w:line="576" w:lineRule="exact"/>
        <w:ind w:firstLine="640" w:firstLineChars="200"/>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（1）支出控制。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通过预算数与决算数对比，公用经费相关科目偏差度如下：</w:t>
      </w:r>
    </w:p>
    <w:tbl>
      <w:tblPr>
        <w:tblStyle w:val="17"/>
        <w:tblW w:w="87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10"/>
        <w:gridCol w:w="1903"/>
        <w:gridCol w:w="1903"/>
        <w:gridCol w:w="1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jc w:val="center"/>
        </w:trPr>
        <w:tc>
          <w:tcPr>
            <w:tcW w:w="3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科  目</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预算数</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决算数</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_GB2312" w:hAnsi="仿宋_GB2312" w:eastAsia="仿宋_GB2312" w:cs="仿宋_GB2312"/>
                <w:b w:val="0"/>
                <w:bCs w:val="0"/>
                <w:i w:val="0"/>
                <w:iCs w:val="0"/>
                <w:color w:val="000000"/>
                <w:sz w:val="21"/>
                <w:szCs w:val="21"/>
                <w:u w:val="none"/>
              </w:rPr>
            </w:pPr>
            <w:r>
              <w:rPr>
                <w:rFonts w:hint="eastAsia" w:ascii="仿宋_GB2312" w:hAnsi="仿宋_GB2312" w:eastAsia="仿宋_GB2312" w:cs="仿宋_GB2312"/>
                <w:b w:val="0"/>
                <w:bCs w:val="0"/>
                <w:i w:val="0"/>
                <w:iCs w:val="0"/>
                <w:color w:val="000000"/>
                <w:kern w:val="0"/>
                <w:sz w:val="21"/>
                <w:szCs w:val="21"/>
                <w:u w:val="none"/>
                <w:lang w:val="en-US" w:eastAsia="zh-CN" w:bidi="ar"/>
              </w:rPr>
              <w:t>偏差度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办公费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41</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41.51</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印刷费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15.11</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咨询费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1.57</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水  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0.3</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color w:val="000000"/>
                <w:kern w:val="0"/>
                <w:sz w:val="21"/>
                <w:szCs w:val="21"/>
                <w:u w:val="none"/>
                <w:lang w:val="en-US" w:eastAsia="zh-CN" w:bidi="ar"/>
              </w:rPr>
              <w:t>0.3</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电  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2.8</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2.82</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邮电费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14.37</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物业管理费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1.54</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差旅费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40.5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40.51</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维修（护）费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1.97</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租赁费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16.3</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16.3</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会议费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1.8</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1.81</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培训费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1.03</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公务接待费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10.24</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10.24</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专用材料费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1.52</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1.52</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劳务费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41</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51.95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21.67%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工会经费</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其他交通费用</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28</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27.93</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3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其他商品和服务支出</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20</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19.55</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jc w:val="center"/>
        </w:trPr>
        <w:tc>
          <w:tcPr>
            <w:tcW w:w="30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合   计</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251.96</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color w:val="000000"/>
                <w:kern w:val="0"/>
                <w:sz w:val="21"/>
                <w:szCs w:val="21"/>
                <w:u w:val="none"/>
                <w:lang w:val="en-US" w:eastAsia="zh-CN" w:bidi="ar"/>
              </w:rPr>
              <w:t>252.53</w:t>
            </w:r>
          </w:p>
        </w:tc>
        <w:tc>
          <w:tcPr>
            <w:tcW w:w="19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color w:val="000000"/>
                <w:kern w:val="0"/>
                <w:sz w:val="21"/>
                <w:szCs w:val="21"/>
                <w:u w:val="none"/>
                <w:lang w:val="en-US" w:eastAsia="zh-CN" w:bidi="ar"/>
              </w:rPr>
              <w:t>4.58%</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按照权重不同综合计算，预决算偏差度为：</w:t>
      </w:r>
      <w:r>
        <w:rPr>
          <w:rFonts w:hint="default" w:ascii="Times New Roman" w:hAnsi="Times New Roman" w:cs="Times New Roman"/>
          <w:color w:val="000000"/>
          <w:sz w:val="32"/>
          <w:szCs w:val="32"/>
          <w:shd w:val="clear" w:color="auto" w:fill="FFFFFF"/>
          <w:lang w:val="en-US" w:eastAsia="zh-CN"/>
        </w:rPr>
        <w:t>4.58</w:t>
      </w:r>
      <w:r>
        <w:rPr>
          <w:rFonts w:hint="default" w:ascii="Times New Roman" w:hAnsi="Times New Roman" w:eastAsia="仿宋_GB2312" w:cs="Times New Roman"/>
          <w:color w:val="000000"/>
          <w:sz w:val="32"/>
          <w:szCs w:val="32"/>
          <w:shd w:val="clear" w:color="auto" w:fill="FFFFFF"/>
          <w:lang w:val="en-US" w:eastAsia="zh-CN"/>
        </w:rPr>
        <w:t>%，预决算偏差程度低。</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及时处置。</w:t>
      </w:r>
      <w:r>
        <w:rPr>
          <w:rFonts w:hint="default" w:ascii="Times New Roman" w:hAnsi="Times New Roman" w:cs="Times New Roman"/>
          <w:sz w:val="32"/>
          <w:szCs w:val="32"/>
          <w:lang w:eastAsia="zh-CN"/>
        </w:rPr>
        <w:t>按照《广元市昭化区预算绩效事中运行监控管理暂行办法》（昭府办函〔2022〕37号）的要求，按时完成预算绩效运行监控，将绩效监控结果应用到预算调整</w:t>
      </w:r>
      <w:r>
        <w:rPr>
          <w:rFonts w:hint="default" w:ascii="Times New Roman" w:hAnsi="Times New Roman" w:eastAsia="仿宋_GB2312" w:cs="Times New Roman"/>
          <w:kern w:val="2"/>
          <w:sz w:val="32"/>
          <w:szCs w:val="32"/>
          <w:lang w:val="en-US" w:eastAsia="zh-CN" w:bidi="ar-SA"/>
        </w:rPr>
        <w:t>，绩效监控发现预算的劳务派遣经费和统计规范化建设经费不足，通过将绩效运行监控的结果报至区政府，同意增加了劳务派遣经费</w:t>
      </w:r>
      <w:r>
        <w:rPr>
          <w:rFonts w:hint="default" w:ascii="Times New Roman" w:hAnsi="Times New Roman" w:cs="Times New Roman"/>
          <w:kern w:val="2"/>
          <w:sz w:val="32"/>
          <w:szCs w:val="32"/>
          <w:lang w:val="en-US" w:eastAsia="zh-CN" w:bidi="ar-SA"/>
        </w:rPr>
        <w:t>19万元、统计规范化建设经费59万元</w:t>
      </w:r>
      <w:r>
        <w:rPr>
          <w:rFonts w:hint="default" w:ascii="Times New Roman" w:hAnsi="Times New Roman" w:eastAsia="仿宋_GB2312" w:cs="Times New Roman"/>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执行进度</w:t>
      </w:r>
      <w:r>
        <w:rPr>
          <w:rFonts w:hint="default" w:ascii="Times New Roman" w:hAnsi="Times New Roman" w:cs="Times New Roman"/>
          <w:kern w:val="2"/>
          <w:sz w:val="32"/>
          <w:szCs w:val="32"/>
          <w:lang w:val="en-US" w:eastAsia="zh-CN" w:bidi="ar-SA"/>
        </w:rPr>
        <w:t>。2022年一体化平台预算下达指标总额</w:t>
      </w:r>
      <w:r>
        <w:rPr>
          <w:rFonts w:hint="default" w:ascii="Times New Roman" w:hAnsi="Times New Roman" w:eastAsia="仿宋" w:cs="Times New Roman"/>
          <w:color w:val="000000"/>
          <w:sz w:val="32"/>
          <w:szCs w:val="32"/>
          <w:lang w:val="en-US" w:eastAsia="zh-CN"/>
        </w:rPr>
        <w:t>3826.59万元，</w:t>
      </w:r>
      <w:r>
        <w:rPr>
          <w:rFonts w:hint="default" w:ascii="Times New Roman" w:hAnsi="Times New Roman" w:cs="Times New Roman"/>
          <w:kern w:val="2"/>
          <w:sz w:val="32"/>
          <w:szCs w:val="32"/>
          <w:lang w:val="en-US" w:eastAsia="zh-CN" w:bidi="ar-SA"/>
        </w:rPr>
        <w:t>6月实际支出进度为42.51%，9月实际支出进度为78.44%，11月实际支出进度为84.14%，严格</w:t>
      </w:r>
      <w:r>
        <w:rPr>
          <w:rFonts w:hint="default" w:ascii="Times New Roman" w:hAnsi="Times New Roman" w:cs="Times New Roman"/>
          <w:sz w:val="32"/>
          <w:szCs w:val="32"/>
          <w:lang w:eastAsia="zh-CN"/>
        </w:rPr>
        <w:t>按进度40%、67.5%、82.5%的标准执行。</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3.完成效率</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（1）预算完成。2022年部门预算项目12月特定运转类项目余61.81万元未支付，预算执行进度为87.64%。</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（2）资金结余（低效无效率）。2022年预算项目年末无结转。2022年部门预算项目共11个，到12月特定运转类项目招商引资工作经费、部门争取资金工作经费、电力保障和统计规范化建设4个项目资金结余率大于0.1%。</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（3）违规记录</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2022年度</w:t>
      </w:r>
      <w:r>
        <w:rPr>
          <w:rFonts w:hint="eastAsia" w:eastAsia="仿宋_GB2312" w:cs="Times New Roman"/>
          <w:kern w:val="0"/>
          <w:sz w:val="32"/>
          <w:szCs w:val="32"/>
          <w:lang w:val="en-US" w:eastAsia="zh-CN" w:bidi="ar-SA"/>
        </w:rPr>
        <w:t>我单位</w:t>
      </w:r>
      <w:r>
        <w:rPr>
          <w:rFonts w:hint="default" w:ascii="Times New Roman" w:hAnsi="Times New Roman" w:eastAsia="仿宋_GB2312" w:cs="Times New Roman"/>
          <w:kern w:val="0"/>
          <w:sz w:val="32"/>
          <w:szCs w:val="32"/>
          <w:lang w:val="en-US" w:eastAsia="zh-CN" w:bidi="ar-SA"/>
        </w:rPr>
        <w:t>未收到审计监督、财政检查反映</w:t>
      </w:r>
      <w:r>
        <w:rPr>
          <w:rFonts w:hint="eastAsia" w:eastAsia="仿宋_GB2312" w:cs="Times New Roman"/>
          <w:kern w:val="0"/>
          <w:sz w:val="32"/>
          <w:szCs w:val="32"/>
          <w:lang w:val="en-US" w:eastAsia="zh-CN" w:bidi="ar-SA"/>
        </w:rPr>
        <w:t>部门</w:t>
      </w:r>
      <w:r>
        <w:rPr>
          <w:rFonts w:hint="default" w:ascii="Times New Roman" w:hAnsi="Times New Roman" w:eastAsia="仿宋_GB2312" w:cs="Times New Roman"/>
          <w:kern w:val="0"/>
          <w:sz w:val="32"/>
          <w:szCs w:val="32"/>
          <w:lang w:val="en-US" w:eastAsia="zh-CN" w:bidi="ar-SA"/>
        </w:rPr>
        <w:t>上一年度部门预算管理不合规的情况，未发现部门预算管理方面违纪违规问题。</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二</w:t>
      </w:r>
      <w:r>
        <w:rPr>
          <w:rFonts w:hint="default"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rPr>
        <w:t>结果应用公开情况</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一是将绩效结果运用在</w:t>
      </w:r>
      <w:r>
        <w:rPr>
          <w:rFonts w:hint="eastAsia" w:eastAsia="仿宋_GB2312" w:cs="Times New Roman"/>
          <w:kern w:val="0"/>
          <w:sz w:val="32"/>
          <w:szCs w:val="32"/>
          <w:lang w:val="en-US" w:eastAsia="zh-CN" w:bidi="ar-SA"/>
        </w:rPr>
        <w:t>部门</w:t>
      </w:r>
      <w:r>
        <w:rPr>
          <w:rFonts w:hint="default" w:ascii="Times New Roman" w:hAnsi="Times New Roman" w:eastAsia="仿宋_GB2312" w:cs="Times New Roman"/>
          <w:kern w:val="0"/>
          <w:sz w:val="32"/>
          <w:szCs w:val="32"/>
          <w:lang w:val="en-US" w:eastAsia="zh-CN" w:bidi="ar-SA"/>
        </w:rPr>
        <w:t>内部。我局2022年3月重新修订《机关财务管理制度》、制定了《项目绩效管理制度及考核办法》，根据预算项目对相应股室（工业运行股、项目投资股、科技股）提交的项目绩效资料质量进行比较，纳入全局对股室的考核。</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二是绩效自评公开。按照财政部门的管理要求，</w:t>
      </w:r>
      <w:r>
        <w:rPr>
          <w:rFonts w:hint="eastAsia" w:eastAsia="仿宋_GB2312" w:cs="Times New Roman"/>
          <w:kern w:val="0"/>
          <w:sz w:val="32"/>
          <w:szCs w:val="32"/>
          <w:lang w:val="en-US" w:eastAsia="zh-CN" w:bidi="ar-SA"/>
        </w:rPr>
        <w:t>我单位</w:t>
      </w:r>
      <w:r>
        <w:rPr>
          <w:rFonts w:hint="default" w:ascii="Times New Roman" w:hAnsi="Times New Roman" w:eastAsia="仿宋_GB2312" w:cs="Times New Roman"/>
          <w:kern w:val="0"/>
          <w:sz w:val="32"/>
          <w:szCs w:val="32"/>
          <w:lang w:val="en-US" w:eastAsia="zh-CN" w:bidi="ar-SA"/>
        </w:rPr>
        <w:t>将部门整体绩效自评情况和自行组织的评价情况在昭化区人民政府官网随同</w:t>
      </w:r>
      <w:r>
        <w:rPr>
          <w:rFonts w:hint="eastAsia" w:eastAsia="仿宋_GB2312" w:cs="Times New Roman"/>
          <w:kern w:val="0"/>
          <w:sz w:val="32"/>
          <w:szCs w:val="32"/>
          <w:lang w:val="en-US" w:eastAsia="zh-CN" w:bidi="ar-SA"/>
        </w:rPr>
        <w:t>部门</w:t>
      </w:r>
      <w:r>
        <w:rPr>
          <w:rFonts w:hint="default" w:ascii="Times New Roman" w:hAnsi="Times New Roman" w:eastAsia="仿宋_GB2312" w:cs="Times New Roman"/>
          <w:kern w:val="0"/>
          <w:sz w:val="32"/>
          <w:szCs w:val="32"/>
          <w:lang w:val="en-US" w:eastAsia="zh-CN" w:bidi="ar-SA"/>
        </w:rPr>
        <w:t>决算向社会进行公开。</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三是及时整改绩效反馈问题，对全面开展的事前绩效评估、事中绩效监控、时候绩效评价反馈的问题及时进行整改，并形成整改报告报送区财政局绩效管理股。</w:t>
      </w:r>
    </w:p>
    <w:p>
      <w:pPr>
        <w:keepNext w:val="0"/>
        <w:keepLines w:val="0"/>
        <w:pageBreakBefore w:val="0"/>
        <w:widowControl w:val="0"/>
        <w:shd w:val="clea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四是及时反馈结果运用。在2022年重点绩效评价中，区财政局对</w:t>
      </w:r>
      <w:r>
        <w:rPr>
          <w:rFonts w:hint="eastAsia" w:eastAsia="仿宋_GB2312" w:cs="Times New Roman"/>
          <w:kern w:val="0"/>
          <w:sz w:val="32"/>
          <w:szCs w:val="32"/>
          <w:lang w:val="en-US" w:eastAsia="zh-CN" w:bidi="ar-SA"/>
        </w:rPr>
        <w:t>我单位</w:t>
      </w:r>
      <w:r>
        <w:rPr>
          <w:rFonts w:hint="default" w:ascii="Times New Roman" w:hAnsi="Times New Roman" w:eastAsia="仿宋_GB2312" w:cs="Times New Roman"/>
          <w:kern w:val="0"/>
          <w:sz w:val="32"/>
          <w:szCs w:val="32"/>
          <w:lang w:val="en-US" w:eastAsia="zh-CN" w:bidi="ar-SA"/>
        </w:rPr>
        <w:t>广元建工工业化建筑有限公司项目配套基础设施建设补助资金进行抽查复评，</w:t>
      </w:r>
      <w:r>
        <w:rPr>
          <w:rFonts w:hint="eastAsia" w:eastAsia="仿宋_GB2312" w:cs="Times New Roman"/>
          <w:kern w:val="0"/>
          <w:sz w:val="32"/>
          <w:szCs w:val="32"/>
          <w:lang w:val="en-US" w:eastAsia="zh-CN" w:bidi="ar-SA"/>
        </w:rPr>
        <w:t>我单位</w:t>
      </w:r>
      <w:r>
        <w:rPr>
          <w:rFonts w:hint="default" w:ascii="Times New Roman" w:hAnsi="Times New Roman" w:eastAsia="仿宋_GB2312" w:cs="Times New Roman"/>
          <w:kern w:val="0"/>
          <w:sz w:val="32"/>
          <w:szCs w:val="32"/>
          <w:lang w:val="en-US" w:eastAsia="zh-CN" w:bidi="ar-SA"/>
        </w:rPr>
        <w:t>就存在的问题进行整改落实，并向区财政局报送了《关于2022年绩效自评重点抽查问题的整改报告》。</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firstLine="643" w:firstLineChars="200"/>
        <w:textAlignment w:val="auto"/>
        <w:rPr>
          <w:rFonts w:hint="default" w:ascii="Times New Roman" w:hAnsi="Times New Roman" w:eastAsia="楷体_GB2312" w:cs="Times New Roman"/>
          <w:b/>
          <w:bCs/>
          <w:sz w:val="32"/>
          <w:szCs w:val="32"/>
          <w:lang w:eastAsia="zh-CN"/>
        </w:rPr>
      </w:pPr>
      <w:r>
        <w:rPr>
          <w:rFonts w:hint="default" w:ascii="Times New Roman" w:hAnsi="Times New Roman" w:eastAsia="楷体_GB2312" w:cs="Times New Roman"/>
          <w:b/>
          <w:bCs/>
          <w:sz w:val="32"/>
          <w:szCs w:val="32"/>
          <w:lang w:eastAsia="zh-CN"/>
        </w:rPr>
        <w:t>（三）自评质量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 w:val="32"/>
          <w:szCs w:val="32"/>
          <w:lang w:eastAsia="zh-CN"/>
        </w:rPr>
      </w:pPr>
      <w:r>
        <w:rPr>
          <w:rFonts w:hint="eastAsia" w:eastAsia="仿宋_GB2312" w:cs="Times New Roman"/>
          <w:kern w:val="0"/>
          <w:sz w:val="32"/>
          <w:szCs w:val="32"/>
          <w:lang w:val="en-US" w:eastAsia="zh-CN" w:bidi="ar-SA"/>
        </w:rPr>
        <w:t>我单位</w:t>
      </w:r>
      <w:r>
        <w:rPr>
          <w:rFonts w:hint="default" w:ascii="Times New Roman" w:hAnsi="Times New Roman" w:eastAsia="仿宋_GB2312" w:cs="Times New Roman"/>
          <w:kern w:val="0"/>
          <w:sz w:val="32"/>
          <w:szCs w:val="32"/>
          <w:lang w:val="en-US" w:eastAsia="zh-CN" w:bidi="ar-SA"/>
        </w:rPr>
        <w:t>自评得分94.45分，在目标实现、预算完成、资金结余率、专项预算项目绩效管理等方面有不同程度扣分，自评结果较为真实准确的反映了</w:t>
      </w:r>
      <w:r>
        <w:rPr>
          <w:rFonts w:hint="eastAsia" w:eastAsia="仿宋_GB2312" w:cs="Times New Roman"/>
          <w:kern w:val="0"/>
          <w:sz w:val="32"/>
          <w:szCs w:val="32"/>
          <w:lang w:val="en-US" w:eastAsia="zh-CN" w:bidi="ar-SA"/>
        </w:rPr>
        <w:t>我单位</w:t>
      </w:r>
      <w:r>
        <w:rPr>
          <w:rFonts w:hint="default" w:ascii="Times New Roman" w:hAnsi="Times New Roman" w:eastAsia="仿宋_GB2312" w:cs="Times New Roman"/>
          <w:kern w:val="0"/>
          <w:sz w:val="32"/>
          <w:szCs w:val="32"/>
          <w:lang w:val="en-US" w:eastAsia="zh-CN" w:bidi="ar-SA"/>
        </w:rPr>
        <w:t>2022年部门整体支出绩效情况，自评工作总体质量较好。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cs="Times New Roman"/>
          <w:sz w:val="32"/>
          <w:szCs w:val="32"/>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、评价结论及建议</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w:t>
      </w:r>
      <w:r>
        <w:rPr>
          <w:rFonts w:hint="default" w:ascii="Times New Roman" w:hAnsi="Times New Roman" w:eastAsia="楷体_GB2312" w:cs="Times New Roman"/>
          <w:b/>
          <w:sz w:val="32"/>
          <w:szCs w:val="32"/>
          <w:lang w:eastAsia="zh-CN"/>
        </w:rPr>
        <w:t>自评</w:t>
      </w:r>
      <w:r>
        <w:rPr>
          <w:rFonts w:hint="default" w:ascii="Times New Roman" w:hAnsi="Times New Roman" w:eastAsia="楷体_GB2312" w:cs="Times New Roman"/>
          <w:b/>
          <w:sz w:val="32"/>
          <w:szCs w:val="32"/>
        </w:rPr>
        <w:t xml:space="preserve">结论 </w:t>
      </w:r>
    </w:p>
    <w:p>
      <w:pPr>
        <w:pStyle w:val="2"/>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sz w:val="32"/>
          <w:szCs w:val="32"/>
          <w:lang w:val="en-US" w:eastAsia="zh-CN"/>
        </w:rPr>
        <w:t>2022年我局高度重视预算绩效工作，严格按照年初制定的绩效目标开展工作，取得不错成果，招商引资成果、新进</w:t>
      </w:r>
      <w:r>
        <w:rPr>
          <w:rFonts w:hint="default" w:ascii="Times New Roman" w:hAnsi="Times New Roman" w:cs="Times New Roman"/>
          <w:color w:val="000000" w:themeColor="text1"/>
          <w:sz w:val="32"/>
          <w:szCs w:val="32"/>
          <w:lang w:val="en-US" w:eastAsia="zh-CN"/>
          <w14:textFill>
            <w14:solidFill>
              <w14:schemeClr w14:val="tx1"/>
            </w14:solidFill>
          </w14:textFill>
        </w:rPr>
        <w:t>规企业数量、部门争取资金等指标都超额完成，</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自评得分为  94.45分。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（二）存在问题</w:t>
      </w:r>
    </w:p>
    <w:p>
      <w:pPr>
        <w:pStyle w:val="8"/>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因特殊情况部分绩效未完成，一是因疫情原因昭化造企业未到省内外参加展销会，二是因财政资金紧张，需财政审核后支付的特定运转类项目资金支付进度缓慢，年度内预算执行率低。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（三）改进建议</w:t>
      </w:r>
    </w:p>
    <w:p>
      <w:pPr>
        <w:pStyle w:val="16"/>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default" w:ascii="Times New Roman" w:hAnsi="Times New Roman" w:cs="Times New Roman"/>
          <w:kern w:val="0"/>
          <w:sz w:val="32"/>
          <w:szCs w:val="32"/>
          <w:lang w:val="en-US" w:eastAsia="zh-CN" w:bidi="ar-SA"/>
        </w:rPr>
      </w:pPr>
      <w:r>
        <w:rPr>
          <w:rFonts w:hint="default" w:ascii="Times New Roman" w:hAnsi="Times New Roman" w:cs="Times New Roman"/>
          <w:kern w:val="0"/>
          <w:sz w:val="32"/>
          <w:szCs w:val="32"/>
          <w:lang w:val="en-US" w:eastAsia="zh-CN" w:bidi="ar-SA"/>
        </w:rPr>
        <w:t>一是继续提高对预算绩效工作的认识。深刻认识预算绩效工作是检验财政资金使用效益、把握资金使用方向的重要方式。二是继续严格按照绩效目标实施项目。对年初既定绩效目标，不讲客观原因，不找任何借口，想尽一切办法奋力完成。</w:t>
      </w:r>
    </w:p>
    <w:p>
      <w:pPr>
        <w:pStyle w:val="16"/>
        <w:keepNext w:val="0"/>
        <w:keepLines w:val="0"/>
        <w:pageBreakBefore w:val="0"/>
        <w:widowControl w:val="0"/>
        <w:kinsoku/>
        <w:wordWrap/>
        <w:overflowPunct/>
        <w:topLinePunct w:val="0"/>
        <w:autoSpaceDE/>
        <w:autoSpaceDN/>
        <w:bidi w:val="0"/>
        <w:adjustRightInd/>
        <w:snapToGrid/>
        <w:spacing w:beforeLines="0" w:line="576" w:lineRule="exact"/>
        <w:ind w:firstLine="640" w:firstLineChars="200"/>
        <w:textAlignment w:val="auto"/>
        <w:rPr>
          <w:rFonts w:hint="default" w:ascii="Times New Roman" w:hAnsi="Times New Roman" w:cs="Times New Roman"/>
          <w:kern w:val="0"/>
          <w:sz w:val="32"/>
          <w:szCs w:val="32"/>
          <w:lang w:val="en-US" w:eastAsia="zh-CN" w:bidi="ar-SA"/>
        </w:rPr>
      </w:pPr>
      <w:r>
        <w:rPr>
          <w:rFonts w:hint="eastAsia" w:ascii="Times New Roman" w:cs="Times New Roman"/>
          <w:kern w:val="0"/>
          <w:sz w:val="32"/>
          <w:szCs w:val="32"/>
          <w:lang w:val="en-US" w:eastAsia="zh-CN" w:bidi="ar-SA"/>
        </w:rPr>
        <w:t>附</w:t>
      </w:r>
      <w:r>
        <w:rPr>
          <w:rFonts w:hint="eastAsia" w:ascii="Times New Roman" w:hAnsi="Times New Roman" w:cs="Times New Roman"/>
          <w:kern w:val="0"/>
          <w:sz w:val="32"/>
          <w:szCs w:val="32"/>
          <w:lang w:val="en-US" w:eastAsia="zh-CN" w:bidi="ar-SA"/>
        </w:rPr>
        <w:t>件：</w:t>
      </w:r>
      <w:r>
        <w:rPr>
          <w:rFonts w:hint="default" w:ascii="Times New Roman" w:hAnsi="Times New Roman" w:eastAsia="仿宋_GB2312" w:cs="Times New Roman"/>
          <w:b w:val="0"/>
          <w:bCs w:val="0"/>
          <w:color w:val="000000" w:themeColor="text1"/>
          <w:kern w:val="0"/>
          <w:sz w:val="32"/>
          <w:szCs w:val="32"/>
          <w:highlight w:val="none"/>
          <w:u w:val="none"/>
          <w:shd w:val="clear" w:color="auto" w:fill="FFFFFF"/>
          <w:lang w:val="en-US" w:eastAsia="zh-CN" w:bidi="ar-SA"/>
          <w14:textFill>
            <w14:solidFill>
              <w14:schemeClr w14:val="tx1"/>
            </w14:solidFill>
          </w14:textFill>
        </w:rPr>
        <w:t>广元市昭化区</w:t>
      </w:r>
      <w:r>
        <w:rPr>
          <w:rFonts w:hint="eastAsia" w:ascii="Times New Roman" w:hAnsi="Times New Roman" w:eastAsia="仿宋_GB2312" w:cs="Times New Roman"/>
          <w:b w:val="0"/>
          <w:bCs w:val="0"/>
          <w:color w:val="000000" w:themeColor="text1"/>
          <w:kern w:val="0"/>
          <w:sz w:val="32"/>
          <w:szCs w:val="32"/>
          <w:highlight w:val="none"/>
          <w:u w:val="none"/>
          <w:shd w:val="clear" w:color="auto" w:fill="FFFFFF"/>
          <w:lang w:val="en-US" w:eastAsia="zh-CN" w:bidi="ar-SA"/>
          <w14:textFill>
            <w14:solidFill>
              <w14:schemeClr w14:val="tx1"/>
            </w14:solidFill>
          </w14:textFill>
        </w:rPr>
        <w:t>部门</w:t>
      </w:r>
      <w:r>
        <w:rPr>
          <w:rFonts w:hint="eastAsia" w:ascii="Times New Roman" w:hAnsi="Times New Roman" w:cs="Times New Roman"/>
          <w:kern w:val="0"/>
          <w:sz w:val="32"/>
          <w:szCs w:val="32"/>
          <w:lang w:val="en-US" w:eastAsia="zh-CN" w:bidi="ar-SA"/>
        </w:rPr>
        <w:t>整体支出绩效目标自评表</w:t>
      </w:r>
    </w:p>
    <w:p>
      <w:pPr>
        <w:pStyle w:val="16"/>
        <w:ind w:firstLine="640" w:firstLineChars="200"/>
        <w:rPr>
          <w:rFonts w:hint="default" w:ascii="Times New Roman" w:hAnsi="Times New Roman" w:cs="Times New Roman"/>
          <w:kern w:val="0"/>
          <w:sz w:val="32"/>
          <w:szCs w:val="32"/>
          <w:lang w:val="en-US" w:eastAsia="zh-CN" w:bidi="ar-SA"/>
        </w:rPr>
      </w:pPr>
    </w:p>
    <w:p>
      <w:pPr>
        <w:pStyle w:val="16"/>
        <w:ind w:firstLine="640" w:firstLineChars="200"/>
        <w:rPr>
          <w:rFonts w:hint="default" w:ascii="Times New Roman" w:hAnsi="Times New Roman" w:cs="Times New Roman"/>
          <w:kern w:val="0"/>
          <w:sz w:val="32"/>
          <w:szCs w:val="32"/>
          <w:lang w:val="en-US" w:eastAsia="zh-CN" w:bidi="ar-SA"/>
        </w:rPr>
      </w:pPr>
    </w:p>
    <w:p>
      <w:pPr>
        <w:pStyle w:val="16"/>
        <w:ind w:firstLine="640" w:firstLineChars="200"/>
        <w:rPr>
          <w:rFonts w:hint="default" w:ascii="Times New Roman" w:hAnsi="Times New Roman" w:cs="Times New Roman"/>
          <w:kern w:val="0"/>
          <w:sz w:val="32"/>
          <w:szCs w:val="32"/>
          <w:lang w:val="en-US" w:eastAsia="zh-CN" w:bidi="ar-SA"/>
        </w:rPr>
      </w:pPr>
    </w:p>
    <w:p>
      <w:pPr>
        <w:rPr>
          <w:rFonts w:hint="eastAsia" w:ascii="方正小标宋简体" w:hAnsi="方正小标宋简体" w:eastAsia="方正小标宋简体" w:cs="方正小标宋简体"/>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br w:type="page"/>
      </w:r>
    </w:p>
    <w:p>
      <w:pPr>
        <w:pStyle w:val="16"/>
        <w:ind w:left="0" w:leftChars="0" w:firstLine="0" w:firstLineChars="0"/>
        <w:jc w:val="center"/>
        <w:rPr>
          <w:rFonts w:hint="eastAsia" w:ascii="方正小标宋简体" w:hAnsi="方正小标宋简体" w:eastAsia="方正小标宋简体" w:cs="方正小标宋简体"/>
          <w:kern w:val="0"/>
          <w:sz w:val="32"/>
          <w:szCs w:val="32"/>
          <w:lang w:val="en-US" w:eastAsia="zh-CN" w:bidi="ar-SA"/>
        </w:rPr>
      </w:pPr>
      <w:r>
        <w:rPr>
          <w:rFonts w:hint="eastAsia" w:ascii="方正小标宋简体" w:hAnsi="方正小标宋简体" w:eastAsia="方正小标宋简体" w:cs="方正小标宋简体"/>
          <w:kern w:val="0"/>
          <w:sz w:val="32"/>
          <w:szCs w:val="32"/>
          <w:lang w:val="en-US" w:eastAsia="zh-CN" w:bidi="ar-SA"/>
        </w:rPr>
        <w:t>广元市昭化区部门整体支出绩效目标自评表</w:t>
      </w:r>
    </w:p>
    <w:p>
      <w:pPr>
        <w:pStyle w:val="16"/>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bidi="ar-SA"/>
        </w:rPr>
        <w:t>（2022年度）</w:t>
      </w:r>
    </w:p>
    <w:p>
      <w:pPr>
        <w:pStyle w:val="16"/>
        <w:ind w:left="0" w:leftChars="0" w:firstLine="0" w:firstLineChars="0"/>
        <w:rPr>
          <w:rFonts w:hint="eastAsia" w:ascii="Times New Roman" w:hAnsi="Times New Roman" w:cs="Times New Roman"/>
          <w:kern w:val="0"/>
          <w:sz w:val="32"/>
          <w:szCs w:val="32"/>
          <w:lang w:val="en-US" w:eastAsia="zh-CN" w:bidi="ar-SA"/>
        </w:rPr>
      </w:pPr>
      <w:r>
        <w:rPr>
          <w:rFonts w:hint="eastAsia" w:ascii="Times New Roman" w:hAnsi="Times New Roman" w:cs="Times New Roman"/>
          <w:kern w:val="0"/>
          <w:sz w:val="32"/>
          <w:szCs w:val="32"/>
          <w:lang w:val="en-US" w:eastAsia="zh-CN" w:bidi="ar-SA"/>
        </w:rPr>
        <w:object>
          <v:shape id="_x0000_i1025" o:spt="75" type="#_x0000_t75" style="height:614.1pt;width:414.8pt;" o:ole="t" filled="f" o:preferrelative="t" stroked="f" coordsize="21600,21600">
            <v:path/>
            <v:fill on="f" focussize="0,0"/>
            <v:stroke on="f"/>
            <v:imagedata r:id="rId14" o:title=""/>
            <o:lock v:ext="edit" aspectratio="f"/>
            <w10:wrap type="none"/>
            <w10:anchorlock/>
          </v:shape>
          <o:OLEObject Type="Embed" ProgID="Excel.Sheet.12" ShapeID="_x0000_i1025" DrawAspect="Content" ObjectID="_1468075725" r:id="rId13">
            <o:LockedField>false</o:LockedField>
          </o:OLEObject>
        </w:objec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outlineLvl w:val="9"/>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附件2.</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pPr>
      <w:r>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t>广元市昭化区经济信息化和科学技术局</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color w:val="000000" w:themeColor="text1"/>
          <w:sz w:val="36"/>
          <w:szCs w:val="36"/>
          <w14:textFill>
            <w14:solidFill>
              <w14:schemeClr w14:val="tx1"/>
            </w14:solidFill>
          </w14:textFill>
        </w:rPr>
      </w:pPr>
      <w:r>
        <w:rPr>
          <w:rFonts w:hint="eastAsia" w:ascii="Times New Roman" w:hAnsi="Times New Roman" w:eastAsia="方正小标宋简体" w:cs="Times New Roman"/>
          <w:bCs/>
          <w:color w:val="000000"/>
          <w:kern w:val="0"/>
          <w:sz w:val="36"/>
          <w:szCs w:val="36"/>
          <w:highlight w:val="none"/>
          <w:lang w:val="en-US" w:eastAsia="zh-CN" w:bidi="ar-SA"/>
        </w:rPr>
        <w:t>关于</w:t>
      </w:r>
      <w:r>
        <w:rPr>
          <w:rFonts w:hint="default" w:ascii="Times New Roman" w:hAnsi="Times New Roman" w:eastAsia="方正小标宋简体" w:cs="Times New Roman"/>
          <w:color w:val="000000" w:themeColor="text1"/>
          <w:sz w:val="36"/>
          <w:szCs w:val="36"/>
          <w:lang w:val="en-US" w:eastAsia="zh-CN"/>
          <w14:textFill>
            <w14:solidFill>
              <w14:schemeClr w14:val="tx1"/>
            </w14:solidFill>
          </w14:textFill>
        </w:rPr>
        <w:t>2022年度美好世家实木烘干中心项目征收补偿安置资金</w:t>
      </w:r>
      <w:r>
        <w:rPr>
          <w:rFonts w:hint="default" w:ascii="Times New Roman" w:hAnsi="Times New Roman" w:eastAsia="方正小标宋简体" w:cs="Times New Roman"/>
          <w:color w:val="000000" w:themeColor="text1"/>
          <w:sz w:val="36"/>
          <w:szCs w:val="36"/>
          <w14:textFill>
            <w14:solidFill>
              <w14:schemeClr w14:val="tx1"/>
            </w14:solidFill>
          </w14:textFill>
        </w:rPr>
        <w:t>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Fonts w:hint="default" w:ascii="Times New Roman" w:hAnsi="Times New Roman" w:eastAsia="仿宋_GB2312" w:cs="Times New Roman"/>
          <w:i w:val="0"/>
          <w:iCs w:val="0"/>
          <w:caps w:val="0"/>
          <w:color w:val="000000" w:themeColor="text1"/>
          <w:spacing w:val="0"/>
          <w:sz w:val="32"/>
          <w:szCs w:val="32"/>
          <w:shd w:val="clear" w:color="auto" w:fill="FFFFFF"/>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根据《广元市昭化区财政局关于开展2023年部门、政策和项目支出绩效评价工作的通知》（昭财发〔2023〕12号）文件精神，我单位认真对部门项目进行自查，现将我单位</w:t>
      </w:r>
      <w:r>
        <w:rPr>
          <w:rFonts w:hint="eastAsia" w:ascii="仿宋_GB2312" w:hAnsi="仿宋_GB2312" w:cs="仿宋_GB2312"/>
          <w:i w:val="0"/>
          <w:iCs w:val="0"/>
          <w:caps w:val="0"/>
          <w:color w:val="000000"/>
          <w:spacing w:val="0"/>
          <w:sz w:val="32"/>
          <w:szCs w:val="32"/>
          <w:shd w:val="clear" w:color="auto" w:fill="FFFFFF"/>
          <w:lang w:val="en-US" w:eastAsia="zh-CN"/>
        </w:rPr>
        <w:t>2022年度</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美好世家实木烘干中心项目征收补偿安置资金管理情况报告如下：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sz w:val="32"/>
          <w:szCs w:val="32"/>
          <w:lang w:val="zh-CN"/>
        </w:rPr>
      </w:pPr>
      <w:r>
        <w:rPr>
          <w:rFonts w:hint="eastAsia" w:eastAsia="楷体_GB2312" w:cs="Times New Roman"/>
          <w:b/>
          <w:sz w:val="32"/>
          <w:szCs w:val="32"/>
          <w:lang w:val="en-US" w:eastAsia="zh-CN"/>
        </w:rPr>
        <w:t>（一）</w:t>
      </w:r>
      <w:r>
        <w:rPr>
          <w:rFonts w:hint="default" w:ascii="Times New Roman" w:hAnsi="Times New Roman" w:eastAsia="楷体_GB2312" w:cs="Times New Roman"/>
          <w:b/>
          <w:sz w:val="32"/>
          <w:szCs w:val="32"/>
          <w:lang w:val="zh-CN"/>
        </w:rPr>
        <w:t>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美好世家实木烘干中心项目是我局牵头组织相关部门落实土地勘测、地上附着物调查、土地征收等项目前期工作，根据《关于拨付美好世家烘干中心项目征收补偿安置资金的函》（昭征收中心〔2022〕20号）请求我局拨付征收安置补偿资金152.99万元，因我局财力有限，根据《关于解决美好世家烘干中心项目征收补偿安置资金的函》（昭经信科〔2022〕89号）请求区政府解决资金，经常务副区长、区长签字同意解决资金152.99万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zh-CN" w:eastAsia="zh-CN"/>
        </w:rPr>
      </w:pPr>
      <w:r>
        <w:rPr>
          <w:rFonts w:hint="default" w:ascii="Times New Roman" w:hAnsi="Times New Roman" w:eastAsia="楷体_GB2312" w:cs="Times New Roman"/>
          <w:b/>
          <w:sz w:val="32"/>
          <w:szCs w:val="32"/>
          <w:lang w:val="zh-CN"/>
        </w:rPr>
        <w:t>（二）项目绩效目标。</w:t>
      </w:r>
      <w:r>
        <w:rPr>
          <w:rFonts w:hint="default" w:ascii="仿宋_GB2312" w:hAnsi="仿宋_GB2312" w:eastAsia="仿宋_GB2312" w:cs="仿宋_GB2312"/>
          <w:i w:val="0"/>
          <w:iCs w:val="0"/>
          <w:caps w:val="0"/>
          <w:color w:val="000000"/>
          <w:spacing w:val="0"/>
          <w:sz w:val="32"/>
          <w:szCs w:val="32"/>
          <w:shd w:val="clear" w:color="auto" w:fill="FFFFFF"/>
          <w:lang w:val="zh-CN" w:eastAsia="zh-CN"/>
        </w:rPr>
        <w:t>项目</w:t>
      </w:r>
      <w:r>
        <w:rPr>
          <w:rFonts w:hint="eastAsia" w:ascii="仿宋_GB2312" w:hAnsi="仿宋_GB2312" w:eastAsia="仿宋_GB2312" w:cs="仿宋_GB2312"/>
          <w:i w:val="0"/>
          <w:iCs w:val="0"/>
          <w:caps w:val="0"/>
          <w:color w:val="000000"/>
          <w:spacing w:val="0"/>
          <w:sz w:val="32"/>
          <w:szCs w:val="32"/>
          <w:shd w:val="clear" w:color="auto" w:fill="FFFFFF"/>
          <w:lang w:val="en-US" w:eastAsia="zh-CN"/>
        </w:rPr>
        <w:t>绩效数量指标为美好世家（四川）家居有限公司实木烘干中心项目位于元坝镇分水岭村八社，红线规划用地共23.83亩（勘测定界23.8311亩，为农用地），征收补偿安置资金152.99万元，主要用于土地征收补偿124.16万元、地上附着物补偿23.83万元、其他费用（含测绘、评估、工作经费）5.00万元。质量指标为各项任务完成率100%，效益指标为实木烘干中心项目达产后年可实现销售收入约2亿元，利税约2000万元。该项目还未开工建设。</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zh-CN" w:eastAsia="zh-CN"/>
        </w:rPr>
      </w:pPr>
      <w:r>
        <w:rPr>
          <w:rFonts w:hint="default" w:ascii="Times New Roman" w:hAnsi="Times New Roman" w:eastAsia="楷体_GB2312" w:cs="Times New Roman"/>
          <w:b/>
          <w:sz w:val="32"/>
          <w:szCs w:val="32"/>
          <w:lang w:val="zh-CN"/>
        </w:rPr>
        <w:t>（三）项目资金申报相符性。</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该资金支付给广元市昭化区土地房屋征收中心，用于实木烘干中心项目土地征收安置补偿，</w:t>
      </w:r>
      <w:r>
        <w:rPr>
          <w:rFonts w:hint="default" w:ascii="仿宋_GB2312" w:hAnsi="仿宋_GB2312" w:eastAsia="仿宋_GB2312" w:cs="仿宋_GB2312"/>
          <w:i w:val="0"/>
          <w:iCs w:val="0"/>
          <w:caps w:val="0"/>
          <w:color w:val="000000"/>
          <w:spacing w:val="0"/>
          <w:sz w:val="32"/>
          <w:szCs w:val="32"/>
          <w:shd w:val="clear" w:color="auto" w:fill="FFFFFF"/>
          <w:lang w:val="zh-CN" w:eastAsia="zh-CN"/>
        </w:rPr>
        <w:t>申报内容与</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实际建设内容</w:t>
      </w:r>
      <w:r>
        <w:rPr>
          <w:rFonts w:hint="default" w:ascii="仿宋_GB2312" w:hAnsi="仿宋_GB2312" w:eastAsia="仿宋_GB2312" w:cs="仿宋_GB2312"/>
          <w:i w:val="0"/>
          <w:iCs w:val="0"/>
          <w:caps w:val="0"/>
          <w:color w:val="000000"/>
          <w:spacing w:val="0"/>
          <w:sz w:val="32"/>
          <w:szCs w:val="32"/>
          <w:shd w:val="clear" w:color="auto" w:fill="FFFFFF"/>
          <w:lang w:val="zh-CN" w:eastAsia="zh-CN"/>
        </w:rPr>
        <w:t>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(四)自评步骤及方法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该项目首先采用广元市昭化区土地房屋征收中心自评，主管部门根据委托实施单位自评情况、现场核查核实情况后按照因素分析法进行部门自评。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w:t>
      </w:r>
      <w:r>
        <w:rPr>
          <w:rFonts w:hint="eastAsia" w:eastAsia="黑体" w:cs="Times New Roman"/>
          <w:sz w:val="32"/>
          <w:szCs w:val="32"/>
          <w:lang w:eastAsia="zh-CN"/>
        </w:rPr>
        <w:t>合同</w:t>
      </w:r>
      <w:r>
        <w:rPr>
          <w:rFonts w:hint="default" w:ascii="Times New Roman" w:hAnsi="Times New Roman" w:eastAsia="黑体" w:cs="Times New Roman"/>
          <w:sz w:val="32"/>
          <w:szCs w:val="32"/>
        </w:rPr>
        <w:t>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zh-CN" w:eastAsia="zh-CN"/>
        </w:rPr>
      </w:pPr>
      <w:r>
        <w:rPr>
          <w:rFonts w:hint="default" w:ascii="仿宋_GB2312" w:hAnsi="仿宋_GB2312" w:eastAsia="仿宋_GB2312" w:cs="仿宋_GB2312"/>
          <w:i w:val="0"/>
          <w:iCs w:val="0"/>
          <w:caps w:val="0"/>
          <w:color w:val="000000"/>
          <w:spacing w:val="0"/>
          <w:sz w:val="32"/>
          <w:szCs w:val="32"/>
          <w:shd w:val="clear" w:color="auto" w:fill="FFFFFF"/>
          <w:lang w:val="zh-CN" w:eastAsia="zh-CN"/>
        </w:rPr>
        <w:t>1</w:t>
      </w:r>
      <w:r>
        <w:rPr>
          <w:rFonts w:hint="default" w:ascii="仿宋_GB2312" w:hAnsi="仿宋_GB2312" w:eastAsia="仿宋_GB2312" w:cs="仿宋_GB2312"/>
          <w:i w:val="0"/>
          <w:iCs w:val="0"/>
          <w:caps w:val="0"/>
          <w:color w:val="000000"/>
          <w:spacing w:val="0"/>
          <w:sz w:val="32"/>
          <w:szCs w:val="32"/>
          <w:shd w:val="clear" w:color="auto" w:fill="FFFFFF"/>
          <w:lang w:val="en-US" w:eastAsia="zh-CN"/>
        </w:rPr>
        <w:t>.</w:t>
      </w:r>
      <w:r>
        <w:rPr>
          <w:rFonts w:hint="default" w:ascii="仿宋_GB2312" w:hAnsi="仿宋_GB2312" w:eastAsia="仿宋_GB2312" w:cs="仿宋_GB2312"/>
          <w:i w:val="0"/>
          <w:iCs w:val="0"/>
          <w:caps w:val="0"/>
          <w:color w:val="000000"/>
          <w:spacing w:val="0"/>
          <w:sz w:val="32"/>
          <w:szCs w:val="32"/>
          <w:shd w:val="clear" w:color="auto" w:fill="FFFFFF"/>
          <w:lang w:val="zh-CN" w:eastAsia="zh-CN"/>
        </w:rPr>
        <w:t>资金计划及到位。</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default" w:ascii="仿宋_GB2312" w:hAnsi="仿宋_GB2312" w:eastAsia="仿宋_GB2312" w:cs="仿宋_GB2312"/>
          <w:i w:val="0"/>
          <w:iCs w:val="0"/>
          <w:caps w:val="0"/>
          <w:color w:val="000000"/>
          <w:spacing w:val="0"/>
          <w:sz w:val="32"/>
          <w:szCs w:val="32"/>
          <w:shd w:val="clear" w:color="auto" w:fill="FFFFFF"/>
          <w:lang w:val="zh-CN" w:eastAsia="zh-CN"/>
        </w:rPr>
        <w:t>该项目资金</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于2022年9月到位区</w:t>
      </w:r>
      <w:r>
        <w:rPr>
          <w:rFonts w:hint="default" w:ascii="仿宋_GB2312" w:hAnsi="仿宋_GB2312" w:eastAsia="仿宋_GB2312" w:cs="仿宋_GB2312"/>
          <w:i w:val="0"/>
          <w:iCs w:val="0"/>
          <w:caps w:val="0"/>
          <w:color w:val="000000"/>
          <w:spacing w:val="0"/>
          <w:sz w:val="32"/>
          <w:szCs w:val="32"/>
          <w:shd w:val="clear" w:color="auto" w:fill="FFFFFF"/>
          <w:lang w:val="zh-CN" w:eastAsia="zh-CN"/>
        </w:rPr>
        <w:t>政府性基金预算</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152.99</w:t>
      </w:r>
      <w:r>
        <w:rPr>
          <w:rFonts w:hint="default" w:ascii="仿宋_GB2312" w:hAnsi="仿宋_GB2312" w:eastAsia="仿宋_GB2312" w:cs="仿宋_GB2312"/>
          <w:i w:val="0"/>
          <w:iCs w:val="0"/>
          <w:caps w:val="0"/>
          <w:color w:val="000000"/>
          <w:spacing w:val="0"/>
          <w:sz w:val="32"/>
          <w:szCs w:val="32"/>
          <w:shd w:val="clear" w:color="auto" w:fill="FFFFFF"/>
          <w:lang w:val="zh-CN" w:eastAsia="zh-CN"/>
        </w:rPr>
        <w:t>万元</w:t>
      </w:r>
      <w:r>
        <w:rPr>
          <w:rFonts w:hint="eastAsia" w:ascii="仿宋_GB2312" w:hAnsi="仿宋_GB2312" w:eastAsia="仿宋_GB2312" w:cs="仿宋_GB2312"/>
          <w:i w:val="0"/>
          <w:iCs w:val="0"/>
          <w:caps w:val="0"/>
          <w:color w:val="000000"/>
          <w:spacing w:val="0"/>
          <w:sz w:val="32"/>
          <w:szCs w:val="32"/>
          <w:shd w:val="clear" w:color="auto" w:fill="FFFFFF"/>
          <w:lang w:val="zh-CN"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到位率100%。</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default" w:ascii="仿宋_GB2312" w:hAnsi="仿宋_GB2312" w:eastAsia="仿宋_GB2312" w:cs="仿宋_GB2312"/>
          <w:i w:val="0"/>
          <w:iCs w:val="0"/>
          <w:caps w:val="0"/>
          <w:color w:val="000000"/>
          <w:spacing w:val="0"/>
          <w:sz w:val="32"/>
          <w:szCs w:val="32"/>
          <w:shd w:val="clear" w:color="auto" w:fill="FFFFFF"/>
          <w:lang w:val="zh-CN" w:eastAsia="zh-CN"/>
        </w:rPr>
        <w:t>2.资金使用。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该资金截止目前向广元市昭化区土地房屋征收中心支付152.99</w:t>
      </w:r>
      <w:r>
        <w:rPr>
          <w:rFonts w:hint="default" w:ascii="仿宋_GB2312" w:hAnsi="仿宋_GB2312" w:eastAsia="仿宋_GB2312" w:cs="仿宋_GB2312"/>
          <w:i w:val="0"/>
          <w:iCs w:val="0"/>
          <w:caps w:val="0"/>
          <w:color w:val="000000"/>
          <w:spacing w:val="0"/>
          <w:sz w:val="32"/>
          <w:szCs w:val="32"/>
          <w:shd w:val="clear" w:color="auto" w:fill="FFFFFF"/>
          <w:lang w:val="zh-CN" w:eastAsia="zh-CN"/>
        </w:rPr>
        <w:t>万元</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万元。广元市昭化区土地房屋征收中心按照《关于拨付美好世家烘干中心项目征收补偿安置资金的函》（昭征收中心〔2022〕20号）用于土地征收补偿、地上附着物补偿、其他费用（含测绘、评估、工作经费），资金使用安全规范有效，资金支付合规合法，与预算相符。</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广元市昭化区土地房屋征收中心作为一级预算单位，财务管理制度健全，有相应财务管理制度，按照协议约定使用资金，执行财务管理制度，财务处理及时、会计核算规范。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（三）项目组织</w:t>
      </w:r>
      <w:r>
        <w:rPr>
          <w:rFonts w:hint="eastAsia" w:eastAsia="楷体_GB2312" w:cs="Times New Roman"/>
          <w:b/>
          <w:sz w:val="32"/>
          <w:szCs w:val="32"/>
          <w:lang w:val="en-US" w:eastAsia="zh-CN"/>
        </w:rPr>
        <w:t>实施</w:t>
      </w:r>
      <w:r>
        <w:rPr>
          <w:rFonts w:hint="default" w:ascii="Times New Roman" w:hAnsi="Times New Roman" w:eastAsia="楷体_GB2312" w:cs="Times New Roman"/>
          <w:b/>
          <w:sz w:val="32"/>
          <w:szCs w:val="32"/>
          <w:lang w:val="zh-CN"/>
        </w:rPr>
        <w:t>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广元市昭化区土地房屋征收中心收到资金后即开始征收土地，支付了土地征收补偿、地上附着物补偿、其他费用（含测绘、评估、工作经费）。</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eastAsia="黑体" w:cs="Times New Roman"/>
          <w:sz w:val="32"/>
          <w:szCs w:val="32"/>
        </w:rPr>
        <w:t>三、项目绩效情况</w:t>
      </w:r>
      <w:r>
        <w:rPr>
          <w:rFonts w:hint="default" w:ascii="Times New Roman" w:hAnsi="Times New Roman" w:cs="Times New Roman"/>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本项目位于元坝镇分水岭村五社和普子村五社，红线规划用地勘测定界23.8311亩，其中，农用地23.8311亩，涉及农户共16户，已完成全部土地征收和补偿安置资金发放。</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color w:val="0070C0"/>
          <w:sz w:val="32"/>
          <w:szCs w:val="32"/>
          <w:lang w:val="zh-CN"/>
        </w:rPr>
      </w:pPr>
      <w:r>
        <w:rPr>
          <w:rFonts w:hint="default" w:ascii="Times New Roman" w:hAnsi="Times New Roman" w:eastAsia="楷体_GB2312" w:cs="Times New Roman"/>
          <w:b/>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美好世家实木烘干中心项目还未开始建设，暂无效益产生，征收补偿对象满意度为100%。</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四、评价结论及问题建议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该项目征收补偿安置实施及时，农户满意。因美好世家实木烘干中心项目还未开始建设，未产生实质效益，故效益指标分值调整到其他内容，项目自评得分为97分。</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sz w:val="32"/>
          <w:szCs w:val="32"/>
          <w:lang w:val="zh-CN"/>
        </w:rPr>
      </w:pPr>
      <w:r>
        <w:rPr>
          <w:rFonts w:hint="default" w:ascii="Times New Roman" w:hAnsi="Times New Roman" w:eastAsia="楷体_GB2312" w:cs="Times New Roman"/>
          <w:b/>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征收工作完成后，美好世家实木烘干中心项目还未开始建设，暂无效益产生。</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（三）相关措施建议。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建议美好世家公司及早开工建设，争取早竣工早投产。</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附件：广元市昭化区财政项目支出绩效自评表</w:t>
      </w:r>
    </w:p>
    <w:p>
      <w:pPr>
        <w:keepNext w:val="0"/>
        <w:keepLines w:val="0"/>
        <w:pageBreakBefore w:val="0"/>
        <w:widowControl w:val="0"/>
        <w:kinsoku/>
        <w:overflowPunct/>
        <w:topLinePunct w:val="0"/>
        <w:autoSpaceDE/>
        <w:autoSpaceDN/>
        <w:bidi w:val="0"/>
        <w:spacing w:line="576" w:lineRule="exact"/>
        <w:ind w:firstLine="420" w:firstLineChars="200"/>
        <w:textAlignment w:val="auto"/>
        <w:rPr>
          <w:rFonts w:hint="default" w:ascii="Times New Roman" w:hAnsi="Times New Roman" w:cs="Times New Roman"/>
          <w:b w:val="0"/>
          <w:bCs/>
          <w:color w:val="000000" w:themeColor="text1"/>
          <w:lang w:val="en-US" w:eastAsia="zh-CN"/>
          <w14:textFill>
            <w14:solidFill>
              <w14:schemeClr w14:val="tx1"/>
            </w14:solidFill>
          </w14:textFill>
        </w:rPr>
      </w:pPr>
    </w:p>
    <w:p>
      <w:pPr>
        <w:rPr>
          <w:rFonts w:hint="default" w:ascii="Times New Roman" w:hAnsi="Times New Roman" w:eastAsia="黑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color w:val="000000" w:themeColor="text1"/>
          <w:sz w:val="36"/>
          <w:szCs w:val="36"/>
          <w:lang w:val="zh-CN"/>
          <w14:textFill>
            <w14:solidFill>
              <w14:schemeClr w14:val="tx1"/>
            </w14:solidFill>
          </w14:textFill>
        </w:rPr>
      </w:pPr>
      <w:r>
        <w:rPr>
          <w:rFonts w:hint="default" w:ascii="Times New Roman" w:hAnsi="Times New Roman" w:eastAsia="方正小标宋简体" w:cs="Times New Roman"/>
          <w:color w:val="000000" w:themeColor="text1"/>
          <w:sz w:val="36"/>
          <w:szCs w:val="36"/>
          <w:lang w:val="zh-CN"/>
          <w14:textFill>
            <w14:solidFill>
              <w14:schemeClr w14:val="tx1"/>
            </w14:solidFill>
          </w14:textFill>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lang w:val="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2022年度）</w:t>
      </w: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color w:val="000000" w:themeColor="text1"/>
          <w:sz w:val="10"/>
          <w:szCs w:val="10"/>
          <w:lang w:val="en-US" w:eastAsia="zh-CN"/>
          <w14:textFill>
            <w14:solidFill>
              <w14:schemeClr w14:val="tx1"/>
            </w14:solidFill>
          </w14:textFill>
        </w:rPr>
      </w:pPr>
    </w:p>
    <w:tbl>
      <w:tblPr>
        <w:tblStyle w:val="17"/>
        <w:tblW w:w="9099" w:type="dxa"/>
        <w:tblInd w:w="-444" w:type="dxa"/>
        <w:shd w:val="clear" w:color="auto" w:fill="auto"/>
        <w:tblLayout w:type="fixed"/>
        <w:tblCellMar>
          <w:top w:w="0" w:type="dxa"/>
          <w:left w:w="0" w:type="dxa"/>
          <w:bottom w:w="0" w:type="dxa"/>
          <w:right w:w="0" w:type="dxa"/>
        </w:tblCellMar>
      </w:tblPr>
      <w:tblGrid>
        <w:gridCol w:w="861"/>
        <w:gridCol w:w="518"/>
        <w:gridCol w:w="984"/>
        <w:gridCol w:w="349"/>
        <w:gridCol w:w="1295"/>
        <w:gridCol w:w="1391"/>
        <w:gridCol w:w="3"/>
        <w:gridCol w:w="929"/>
        <w:gridCol w:w="942"/>
        <w:gridCol w:w="1827"/>
      </w:tblGrid>
      <w:tr>
        <w:tblPrEx>
          <w:shd w:val="clear" w:color="auto" w:fill="auto"/>
          <w:tblCellMar>
            <w:top w:w="0" w:type="dxa"/>
            <w:left w:w="0" w:type="dxa"/>
            <w:bottom w:w="0" w:type="dxa"/>
            <w:right w:w="0" w:type="dxa"/>
          </w:tblCellMar>
        </w:tblPrEx>
        <w:trPr>
          <w:trHeight w:val="584" w:hRule="exact"/>
        </w:trPr>
        <w:tc>
          <w:tcPr>
            <w:tcW w:w="86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项目（政策）名称</w:t>
            </w:r>
          </w:p>
        </w:tc>
        <w:tc>
          <w:tcPr>
            <w:tcW w:w="8238" w:type="dxa"/>
            <w:gridSpan w:val="9"/>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eastAsia="zh-CN"/>
              </w:rPr>
              <w:t>2022年度美好世家实木烘干中心项目征收补偿安置资金</w:t>
            </w:r>
          </w:p>
        </w:tc>
      </w:tr>
      <w:tr>
        <w:tblPrEx>
          <w:shd w:val="clear" w:color="auto" w:fill="auto"/>
          <w:tblCellMar>
            <w:top w:w="0" w:type="dxa"/>
            <w:left w:w="0" w:type="dxa"/>
            <w:bottom w:w="0" w:type="dxa"/>
            <w:right w:w="0" w:type="dxa"/>
          </w:tblCellMar>
        </w:tblPrEx>
        <w:trPr>
          <w:trHeight w:val="383"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主管部门</w:t>
            </w:r>
          </w:p>
        </w:tc>
        <w:tc>
          <w:tcPr>
            <w:tcW w:w="4540" w:type="dxa"/>
            <w:gridSpan w:val="6"/>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广元市昭化区经济信息化和科学技术局</w:t>
            </w:r>
          </w:p>
        </w:tc>
        <w:tc>
          <w:tcPr>
            <w:tcW w:w="929"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实施单位</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广元市昭化区土地房屋征收中心</w:t>
            </w:r>
          </w:p>
        </w:tc>
      </w:tr>
      <w:tr>
        <w:tblPrEx>
          <w:shd w:val="clear" w:color="auto" w:fill="auto"/>
          <w:tblCellMar>
            <w:top w:w="0" w:type="dxa"/>
            <w:left w:w="0" w:type="dxa"/>
            <w:bottom w:w="0" w:type="dxa"/>
            <w:right w:w="0" w:type="dxa"/>
          </w:tblCellMar>
        </w:tblPrEx>
        <w:trPr>
          <w:trHeight w:val="383" w:hRule="atLeast"/>
        </w:trPr>
        <w:tc>
          <w:tcPr>
            <w:tcW w:w="861" w:type="dxa"/>
            <w:vMerge w:val="restart"/>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项目（政策）资金（万元）</w:t>
            </w: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年初预算</w:t>
            </w: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全年预算数</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全年执行数</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执行率</w:t>
            </w: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年度资金总额</w:t>
            </w:r>
          </w:p>
        </w:tc>
        <w:tc>
          <w:tcPr>
            <w:tcW w:w="129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rPr>
            </w:pPr>
            <w:r>
              <w:rPr>
                <w:rFonts w:hint="eastAsia" w:ascii="宋体" w:hAnsi="宋体" w:eastAsia="宋体" w:cs="宋体"/>
                <w:i w:val="0"/>
                <w:color w:val="000000"/>
                <w:sz w:val="15"/>
                <w:szCs w:val="15"/>
                <w:u w:val="none"/>
                <w:lang w:val="en-US" w:eastAsia="zh-CN"/>
              </w:rPr>
              <w:t>152.99</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152.99</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100%</w:t>
            </w: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（一）财政拨款小计</w:t>
            </w:r>
          </w:p>
        </w:tc>
        <w:tc>
          <w:tcPr>
            <w:tcW w:w="1295"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152.99</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152.99</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100%</w:t>
            </w: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1.一般公共预算</w:t>
            </w:r>
          </w:p>
        </w:tc>
        <w:tc>
          <w:tcPr>
            <w:tcW w:w="1295"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2.政府性基金</w:t>
            </w:r>
          </w:p>
        </w:tc>
        <w:tc>
          <w:tcPr>
            <w:tcW w:w="1295"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152.99</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152.99</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100%</w:t>
            </w: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3.国有资本经营预算</w:t>
            </w:r>
          </w:p>
        </w:tc>
        <w:tc>
          <w:tcPr>
            <w:tcW w:w="1295"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4.社保基金</w:t>
            </w:r>
          </w:p>
        </w:tc>
        <w:tc>
          <w:tcPr>
            <w:tcW w:w="1295"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1"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（二）其他资金</w:t>
            </w:r>
          </w:p>
        </w:tc>
        <w:tc>
          <w:tcPr>
            <w:tcW w:w="1295"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rPr>
                <w:rFonts w:hint="eastAsia" w:ascii="宋体" w:hAnsi="宋体" w:eastAsia="宋体" w:cs="宋体"/>
                <w:i w:val="0"/>
                <w:color w:val="000000"/>
                <w:sz w:val="15"/>
                <w:szCs w:val="15"/>
                <w:u w:val="none"/>
              </w:rPr>
            </w:pPr>
          </w:p>
        </w:tc>
        <w:tc>
          <w:tcPr>
            <w:tcW w:w="139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383" w:hRule="atLeast"/>
        </w:trPr>
        <w:tc>
          <w:tcPr>
            <w:tcW w:w="861"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年度总体目标</w:t>
            </w:r>
          </w:p>
        </w:tc>
        <w:tc>
          <w:tcPr>
            <w:tcW w:w="5469" w:type="dxa"/>
            <w:gridSpan w:val="7"/>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预期目标</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实际完成情况</w:t>
            </w:r>
          </w:p>
        </w:tc>
      </w:tr>
      <w:tr>
        <w:tblPrEx>
          <w:shd w:val="clear" w:color="auto" w:fill="auto"/>
          <w:tblCellMar>
            <w:top w:w="0" w:type="dxa"/>
            <w:left w:w="0" w:type="dxa"/>
            <w:bottom w:w="0" w:type="dxa"/>
            <w:right w:w="0" w:type="dxa"/>
          </w:tblCellMar>
        </w:tblPrEx>
        <w:trPr>
          <w:trHeight w:val="968"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469" w:type="dxa"/>
            <w:gridSpan w:val="7"/>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红线规划用地共23.83亩，</w:t>
            </w:r>
            <w:r>
              <w:rPr>
                <w:rFonts w:hint="eastAsia" w:ascii="宋体" w:hAnsi="宋体" w:eastAsia="宋体" w:cs="宋体"/>
                <w:i w:val="0"/>
                <w:color w:val="000000"/>
                <w:sz w:val="15"/>
                <w:szCs w:val="15"/>
                <w:u w:val="none"/>
                <w:lang w:val="en-US" w:eastAsia="zh-CN"/>
              </w:rPr>
              <w:t>涉及农户16户，</w:t>
            </w:r>
            <w:r>
              <w:rPr>
                <w:rFonts w:hint="eastAsia" w:ascii="宋体" w:hAnsi="宋体" w:eastAsia="宋体" w:cs="宋体"/>
                <w:i w:val="0"/>
                <w:color w:val="000000"/>
                <w:sz w:val="15"/>
                <w:szCs w:val="15"/>
                <w:u w:val="none"/>
                <w:lang w:eastAsia="zh-CN"/>
              </w:rPr>
              <w:t>土地征收补偿124.16万元、地上附着物补偿23.83万元、其他费用（含测绘、评估、工作经费）5.00万元</w:t>
            </w:r>
          </w:p>
        </w:tc>
        <w:tc>
          <w:tcPr>
            <w:tcW w:w="2769"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eastAsia="zh-CN"/>
              </w:rPr>
              <w:t>红线规划用地共23.83亩，</w:t>
            </w:r>
            <w:r>
              <w:rPr>
                <w:rFonts w:hint="eastAsia" w:ascii="宋体" w:hAnsi="宋体" w:eastAsia="宋体" w:cs="宋体"/>
                <w:i w:val="0"/>
                <w:color w:val="000000"/>
                <w:sz w:val="15"/>
                <w:szCs w:val="15"/>
                <w:u w:val="none"/>
                <w:lang w:val="en-US" w:eastAsia="zh-CN"/>
              </w:rPr>
              <w:t>涉及农户16户，</w:t>
            </w:r>
            <w:r>
              <w:rPr>
                <w:rFonts w:hint="eastAsia" w:ascii="宋体" w:hAnsi="宋体" w:eastAsia="宋体" w:cs="宋体"/>
                <w:i w:val="0"/>
                <w:color w:val="000000"/>
                <w:sz w:val="15"/>
                <w:szCs w:val="15"/>
                <w:u w:val="none"/>
                <w:lang w:eastAsia="zh-CN"/>
              </w:rPr>
              <w:t>土地征收补偿124.16万元、地上附着物补偿23.83万元、其他费用（含测绘、评估、工作经费）5.00万元</w:t>
            </w:r>
          </w:p>
        </w:tc>
      </w:tr>
      <w:tr>
        <w:tblPrEx>
          <w:shd w:val="clear" w:color="auto" w:fill="auto"/>
          <w:tblCellMar>
            <w:top w:w="0" w:type="dxa"/>
            <w:left w:w="0" w:type="dxa"/>
            <w:bottom w:w="0" w:type="dxa"/>
            <w:right w:w="0" w:type="dxa"/>
          </w:tblCellMar>
        </w:tblPrEx>
        <w:trPr>
          <w:trHeight w:val="512" w:hRule="atLeast"/>
        </w:trPr>
        <w:tc>
          <w:tcPr>
            <w:tcW w:w="86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绩效指标</w:t>
            </w: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二级指标</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三级指标</w:t>
            </w:r>
          </w:p>
        </w:tc>
        <w:tc>
          <w:tcPr>
            <w:tcW w:w="932" w:type="dxa"/>
            <w:gridSpan w:val="2"/>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年度指标值</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实际完成值</w:t>
            </w:r>
          </w:p>
        </w:tc>
        <w:tc>
          <w:tcPr>
            <w:tcW w:w="1827" w:type="dxa"/>
            <w:tcBorders>
              <w:top w:val="nil"/>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偏差原因分析及改进措施</w:t>
            </w:r>
          </w:p>
        </w:tc>
      </w:tr>
      <w:tr>
        <w:tblPrEx>
          <w:shd w:val="clear" w:color="auto" w:fill="auto"/>
          <w:tblCellMar>
            <w:top w:w="0" w:type="dxa"/>
            <w:left w:w="0" w:type="dxa"/>
            <w:bottom w:w="0" w:type="dxa"/>
            <w:right w:w="0" w:type="dxa"/>
          </w:tblCellMar>
        </w:tblPrEx>
        <w:trPr>
          <w:trHeight w:val="480"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数量指标</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红线规划用地</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15"/>
                <w:szCs w:val="15"/>
                <w:u w:val="none"/>
                <w:lang w:val="en-US"/>
              </w:rPr>
            </w:pPr>
            <w:r>
              <w:rPr>
                <w:rFonts w:hint="eastAsia" w:ascii="宋体" w:hAnsi="宋体" w:eastAsia="宋体" w:cs="宋体"/>
                <w:i w:val="0"/>
                <w:color w:val="000000"/>
                <w:kern w:val="0"/>
                <w:sz w:val="15"/>
                <w:szCs w:val="15"/>
                <w:u w:val="none"/>
                <w:lang w:val="en-US" w:eastAsia="zh-CN" w:bidi="ar"/>
              </w:rPr>
              <w:t>23.8311亩</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23.8311亩</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03"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征收补助农户</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16户</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16户</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质量指标</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pacing w:val="-6"/>
                <w:kern w:val="0"/>
                <w:sz w:val="15"/>
                <w:szCs w:val="15"/>
                <w:u w:val="none"/>
                <w:lang w:val="en-US" w:eastAsia="zh-CN" w:bidi="ar"/>
              </w:rPr>
              <w:t>征收完成率</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95%</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100%</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lang w:val="en-US" w:eastAsia="zh-CN"/>
              </w:rPr>
            </w:pPr>
          </w:p>
        </w:tc>
      </w:tr>
      <w:tr>
        <w:tblPrEx>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时效指标</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sz w:val="15"/>
                <w:szCs w:val="15"/>
                <w:u w:val="none"/>
                <w:lang w:val="en-US"/>
              </w:rPr>
            </w:pPr>
            <w:r>
              <w:rPr>
                <w:rFonts w:hint="eastAsia" w:ascii="宋体" w:hAnsi="宋体" w:eastAsia="宋体" w:cs="宋体"/>
                <w:i w:val="0"/>
                <w:color w:val="000000"/>
                <w:kern w:val="0"/>
                <w:sz w:val="15"/>
                <w:szCs w:val="15"/>
                <w:u w:val="none"/>
                <w:lang w:val="en-US" w:eastAsia="zh-CN" w:bidi="ar"/>
              </w:rPr>
              <w:t>征收及时率</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4" w:type="dxa"/>
            <w:vMerge w:val="restart"/>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成本指标</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土地征收补偿</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152.99万元</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152.99万元</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地上附着物补偿</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23.83万元</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23.83万元</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383"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其他费用</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rPr>
              <w:t>5</w:t>
            </w:r>
            <w:r>
              <w:rPr>
                <w:rFonts w:hint="eastAsia" w:ascii="宋体" w:hAnsi="宋体" w:eastAsia="宋体" w:cs="宋体"/>
                <w:i w:val="0"/>
                <w:color w:val="000000"/>
                <w:sz w:val="15"/>
                <w:szCs w:val="15"/>
                <w:u w:val="none"/>
                <w:lang w:val="en-US" w:eastAsia="zh-CN"/>
              </w:rPr>
              <w:t>万元</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5</w:t>
            </w:r>
            <w:r>
              <w:rPr>
                <w:rFonts w:hint="eastAsia" w:ascii="宋体" w:hAnsi="宋体" w:eastAsia="宋体" w:cs="宋体"/>
                <w:i w:val="0"/>
                <w:color w:val="000000"/>
                <w:sz w:val="15"/>
                <w:szCs w:val="15"/>
                <w:u w:val="none"/>
                <w:lang w:val="en-US" w:eastAsia="zh-CN"/>
              </w:rPr>
              <w:t>万元</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584"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效益指标</w:t>
            </w:r>
          </w:p>
        </w:tc>
        <w:tc>
          <w:tcPr>
            <w:tcW w:w="984" w:type="dxa"/>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利税</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2000万元</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0</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烘干中心项目还未建设</w:t>
            </w:r>
          </w:p>
        </w:tc>
      </w:tr>
      <w:tr>
        <w:tblPrEx>
          <w:shd w:val="clear" w:color="auto" w:fill="auto"/>
          <w:tblCellMar>
            <w:top w:w="0" w:type="dxa"/>
            <w:left w:w="0" w:type="dxa"/>
            <w:bottom w:w="0" w:type="dxa"/>
            <w:right w:w="0" w:type="dxa"/>
          </w:tblCellMar>
        </w:tblPrEx>
        <w:trPr>
          <w:trHeight w:val="585" w:hRule="atLeast"/>
        </w:trPr>
        <w:tc>
          <w:tcPr>
            <w:tcW w:w="86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18" w:type="dxa"/>
            <w:tcBorders>
              <w:top w:val="nil"/>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合同对象满</w:t>
            </w:r>
          </w:p>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意度指标</w:t>
            </w:r>
          </w:p>
        </w:tc>
        <w:tc>
          <w:tcPr>
            <w:tcW w:w="3035"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征收对象满意度</w:t>
            </w:r>
          </w:p>
        </w:tc>
        <w:tc>
          <w:tcPr>
            <w:tcW w:w="932"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90%</w:t>
            </w:r>
          </w:p>
        </w:tc>
        <w:tc>
          <w:tcPr>
            <w:tcW w:w="94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100%</w:t>
            </w:r>
          </w:p>
        </w:tc>
        <w:tc>
          <w:tcPr>
            <w:tcW w:w="182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lang w:val="en-US" w:eastAsia="zh-CN"/>
              </w:rPr>
            </w:pPr>
          </w:p>
        </w:tc>
      </w:tr>
    </w:tbl>
    <w:p>
      <w:pPr>
        <w:pStyle w:val="2"/>
        <w:rPr>
          <w:rFonts w:hint="eastAsia"/>
          <w:lang w:val="en-US" w:eastAsia="zh-CN"/>
        </w:rPr>
      </w:pPr>
    </w:p>
    <w:p>
      <w:pPr>
        <w:pStyle w:val="2"/>
        <w:rPr>
          <w:rFonts w:hint="eastAsia"/>
          <w:lang w:val="en-US" w:eastAsia="zh-CN"/>
        </w:rPr>
      </w:pPr>
    </w:p>
    <w:p>
      <w:pPr>
        <w:rPr>
          <w:rFonts w:hint="eastAsia" w:ascii="仿宋_GB2312" w:hAnsi="仿宋_GB2312" w:eastAsia="仿宋_GB2312" w:cs="仿宋_GB2312"/>
          <w:bCs/>
          <w:color w:val="000000"/>
          <w:kern w:val="0"/>
          <w:sz w:val="32"/>
          <w:szCs w:val="32"/>
          <w:highlight w:val="none"/>
          <w:lang w:val="en-US" w:eastAsia="zh-CN" w:bidi="ar-SA"/>
        </w:rPr>
      </w:pPr>
      <w:r>
        <w:rPr>
          <w:rFonts w:hint="eastAsia" w:ascii="仿宋_GB2312" w:hAnsi="仿宋_GB2312" w:eastAsia="仿宋_GB2312" w:cs="仿宋_GB2312"/>
          <w:bCs/>
          <w:color w:val="000000"/>
          <w:kern w:val="0"/>
          <w:sz w:val="32"/>
          <w:szCs w:val="32"/>
          <w:highlight w:val="none"/>
          <w:lang w:val="en-US" w:eastAsia="zh-CN" w:bidi="ar-SA"/>
        </w:rPr>
        <w:br w:type="page"/>
      </w:r>
    </w:p>
    <w:p>
      <w:pPr>
        <w:keepNext w:val="0"/>
        <w:keepLines w:val="0"/>
        <w:pageBreakBefore w:val="0"/>
        <w:widowControl w:val="0"/>
        <w:suppressAutoHyphens/>
        <w:kinsoku/>
        <w:wordWrap/>
        <w:overflowPunct/>
        <w:topLinePunct/>
        <w:autoSpaceDE w:val="0"/>
        <w:autoSpaceDN/>
        <w:bidi w:val="0"/>
        <w:adjustRightInd/>
        <w:snapToGrid/>
        <w:spacing w:line="576" w:lineRule="exact"/>
        <w:jc w:val="both"/>
        <w:textAlignment w:val="auto"/>
        <w:rPr>
          <w:rFonts w:hint="eastAsia" w:ascii="仿宋_GB2312" w:hAnsi="仿宋_GB2312" w:eastAsia="仿宋_GB2312" w:cs="仿宋_GB2312"/>
          <w:bCs/>
          <w:color w:val="000000"/>
          <w:kern w:val="0"/>
          <w:sz w:val="32"/>
          <w:szCs w:val="32"/>
          <w:highlight w:val="none"/>
          <w:lang w:val="en-US" w:eastAsia="zh-CN" w:bidi="ar-SA"/>
        </w:rPr>
      </w:pPr>
      <w:r>
        <w:rPr>
          <w:rFonts w:hint="eastAsia" w:ascii="仿宋_GB2312" w:hAnsi="仿宋_GB2312" w:eastAsia="仿宋_GB2312" w:cs="仿宋_GB2312"/>
          <w:bCs/>
          <w:color w:val="000000"/>
          <w:kern w:val="0"/>
          <w:sz w:val="32"/>
          <w:szCs w:val="32"/>
          <w:highlight w:val="none"/>
          <w:lang w:val="en-US" w:eastAsia="zh-CN" w:bidi="ar-SA"/>
        </w:rPr>
        <w:t>附件3：</w:t>
      </w:r>
    </w:p>
    <w:p>
      <w:pPr>
        <w:keepNext w:val="0"/>
        <w:keepLines w:val="0"/>
        <w:pageBreakBefore w:val="0"/>
        <w:widowControl w:val="0"/>
        <w:suppressAutoHyphens/>
        <w:kinsoku/>
        <w:wordWrap/>
        <w:overflowPunct/>
        <w:topLinePunct/>
        <w:autoSpaceDE w:val="0"/>
        <w:autoSpaceDN/>
        <w:bidi w:val="0"/>
        <w:adjustRightInd/>
        <w:snapToGrid/>
        <w:spacing w:line="576" w:lineRule="exact"/>
        <w:jc w:val="center"/>
        <w:textAlignment w:val="auto"/>
        <w:rPr>
          <w:rFonts w:hint="eastAsia" w:ascii="Times New Roman" w:hAnsi="Times New Roman" w:eastAsia="方正小标宋简体" w:cs="Times New Roman"/>
          <w:bCs/>
          <w:color w:val="000000"/>
          <w:kern w:val="0"/>
          <w:sz w:val="36"/>
          <w:szCs w:val="36"/>
          <w:highlight w:val="none"/>
          <w:lang w:val="en-US" w:eastAsia="zh-CN" w:bidi="ar-SA"/>
        </w:rPr>
      </w:pPr>
      <w:r>
        <w:rPr>
          <w:rFonts w:hint="eastAsia" w:ascii="Times New Roman" w:hAnsi="Times New Roman" w:eastAsia="方正小标宋简体" w:cs="Times New Roman"/>
          <w:bCs/>
          <w:color w:val="000000"/>
          <w:kern w:val="0"/>
          <w:sz w:val="36"/>
          <w:szCs w:val="36"/>
          <w:highlight w:val="none"/>
          <w:lang w:val="en-US" w:eastAsia="zh-CN" w:bidi="ar-SA"/>
        </w:rPr>
        <w:t>广元市昭化区经济信息化和科学技术局</w:t>
      </w:r>
    </w:p>
    <w:p>
      <w:pPr>
        <w:keepNext w:val="0"/>
        <w:keepLines w:val="0"/>
        <w:pageBreakBefore w:val="0"/>
        <w:widowControl w:val="0"/>
        <w:suppressAutoHyphens/>
        <w:kinsoku/>
        <w:wordWrap/>
        <w:overflowPunct/>
        <w:topLinePunct/>
        <w:autoSpaceDE w:val="0"/>
        <w:autoSpaceDN/>
        <w:bidi w:val="0"/>
        <w:adjustRightInd/>
        <w:snapToGrid/>
        <w:spacing w:line="576" w:lineRule="exact"/>
        <w:jc w:val="center"/>
        <w:textAlignment w:val="auto"/>
        <w:rPr>
          <w:rFonts w:hint="eastAsia" w:ascii="Times New Roman" w:hAnsi="Times New Roman" w:eastAsia="方正小标宋简体" w:cs="Times New Roman"/>
          <w:bCs/>
          <w:color w:val="000000"/>
          <w:sz w:val="36"/>
          <w:szCs w:val="36"/>
          <w:highlight w:val="none"/>
          <w:lang w:val="en-US" w:eastAsia="zh-CN"/>
        </w:rPr>
      </w:pPr>
      <w:r>
        <w:rPr>
          <w:rFonts w:hint="eastAsia" w:ascii="Times New Roman" w:hAnsi="Times New Roman" w:eastAsia="方正小标宋简体" w:cs="Times New Roman"/>
          <w:bCs/>
          <w:color w:val="000000"/>
          <w:kern w:val="0"/>
          <w:sz w:val="36"/>
          <w:szCs w:val="36"/>
          <w:highlight w:val="none"/>
          <w:lang w:val="en-US" w:eastAsia="zh-CN" w:bidi="ar-SA"/>
        </w:rPr>
        <w:t>关于2022年度</w:t>
      </w:r>
      <w:r>
        <w:rPr>
          <w:rFonts w:hint="eastAsia" w:ascii="Times New Roman" w:hAnsi="Times New Roman" w:eastAsia="方正小标宋简体" w:cs="Times New Roman"/>
          <w:bCs/>
          <w:color w:val="000000"/>
          <w:sz w:val="36"/>
          <w:szCs w:val="36"/>
          <w:highlight w:val="none"/>
          <w:lang w:val="en-US" w:eastAsia="zh-CN"/>
        </w:rPr>
        <w:t>第一批省级中小企业发展专项资金绩效自评报告</w:t>
      </w:r>
    </w:p>
    <w:p>
      <w:pPr>
        <w:keepNext w:val="0"/>
        <w:keepLines w:val="0"/>
        <w:pageBreakBefore w:val="0"/>
        <w:widowControl w:val="0"/>
        <w:suppressAutoHyphens/>
        <w:kinsoku/>
        <w:wordWrap/>
        <w:overflowPunct/>
        <w:topLinePunct w:val="0"/>
        <w:autoSpaceDE/>
        <w:autoSpaceDN/>
        <w:bidi w:val="0"/>
        <w:adjustRightInd/>
        <w:snapToGrid/>
        <w:spacing w:line="576" w:lineRule="exact"/>
        <w:textAlignment w:val="auto"/>
        <w:rPr>
          <w:rFonts w:ascii="Times New Roman" w:hAnsi="Times New Roman" w:eastAsia="方正黑体_GBK"/>
          <w:color w:val="000000"/>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根据《广元市昭化区财政局关于开展2023年部门、政策和项目支出绩效评价工作的通知》（昭财发〔2023〕12号）文件精神，</w:t>
      </w:r>
      <w:r>
        <w:rPr>
          <w:rFonts w:hint="eastAsia" w:eastAsia="仿宋_GB2312" w:cs="Times New Roman"/>
          <w:i w:val="0"/>
          <w:iCs w:val="0"/>
          <w:caps w:val="0"/>
          <w:color w:val="000000"/>
          <w:spacing w:val="0"/>
          <w:sz w:val="32"/>
          <w:szCs w:val="32"/>
          <w:shd w:val="clear" w:color="auto" w:fill="FFFFFF"/>
          <w:lang w:val="en-US" w:eastAsia="zh-CN"/>
        </w:rPr>
        <w:t>我单位</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认真对部门项目进行自查，现将</w:t>
      </w:r>
      <w:r>
        <w:rPr>
          <w:rFonts w:hint="eastAsia" w:eastAsia="仿宋_GB2312" w:cs="Times New Roman"/>
          <w:i w:val="0"/>
          <w:iCs w:val="0"/>
          <w:caps w:val="0"/>
          <w:color w:val="000000"/>
          <w:spacing w:val="0"/>
          <w:sz w:val="32"/>
          <w:szCs w:val="32"/>
          <w:shd w:val="clear" w:color="auto" w:fill="FFFFFF"/>
          <w:lang w:val="en-US" w:eastAsia="zh-CN"/>
        </w:rPr>
        <w:t>我单位</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2022年度第一批省级中小企业发展专项资金绩效管理情况报告如下：</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黑体" w:hAnsi="宋体" w:eastAsia="黑体" w:cs="Times New Roman"/>
          <w:color w:val="000000"/>
          <w:sz w:val="32"/>
          <w:szCs w:val="32"/>
          <w:highlight w:val="none"/>
          <w:u w:val="none"/>
          <w:lang w:val="zh-CN"/>
        </w:rPr>
      </w:pPr>
      <w:r>
        <w:rPr>
          <w:rFonts w:hint="eastAsia" w:ascii="黑体" w:hAnsi="宋体" w:eastAsia="黑体" w:cs="Times New Roman"/>
          <w:color w:val="000000"/>
          <w:sz w:val="32"/>
          <w:szCs w:val="32"/>
          <w:highlight w:val="none"/>
          <w:u w:val="none"/>
        </w:rPr>
        <w:t>一、</w:t>
      </w:r>
      <w:r>
        <w:rPr>
          <w:rFonts w:hint="eastAsia" w:ascii="黑体" w:hAnsi="宋体" w:eastAsia="黑体" w:cs="Times New Roman"/>
          <w:color w:val="000000"/>
          <w:sz w:val="32"/>
          <w:szCs w:val="32"/>
          <w:highlight w:val="none"/>
          <w:u w:val="none"/>
          <w:lang w:val="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jc w:val="both"/>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按照职责分工，我局承担工业发展资金项目的分级监管责任，具体职责包括:开展定期检查，开展项目初审，开展监督指导，组织或协助开展项目竣工验收，对项目建设中发现的重大问题，及时向上级部门报告，建立项目监管台账，配合上级有关部门开展项目抽查、督查，做好联系工作，指导项目部门开展项目绩效评价等相关工作。</w:t>
      </w:r>
    </w:p>
    <w:p>
      <w:pPr>
        <w:pStyle w:val="3"/>
        <w:keepNext w:val="0"/>
        <w:keepLines w:val="0"/>
        <w:pageBreakBefore w:val="0"/>
        <w:widowControl w:val="0"/>
        <w:kinsoku/>
        <w:wordWrap/>
        <w:overflowPunct/>
        <w:topLinePunct w:val="0"/>
        <w:autoSpaceDE/>
        <w:autoSpaceDN/>
        <w:bidi w:val="0"/>
        <w:spacing w:after="0" w:line="576" w:lineRule="exact"/>
        <w:ind w:left="0" w:leftChars="0" w:firstLine="643" w:firstLineChars="200"/>
        <w:textAlignment w:val="auto"/>
        <w:rPr>
          <w:rFonts w:hint="default" w:ascii="Times New Roman" w:hAnsi="Times New Roman" w:eastAsia="楷体_GB2312" w:cs="Times New Roman"/>
          <w:b/>
          <w:sz w:val="32"/>
          <w:szCs w:val="32"/>
          <w:lang w:val="zh-CN"/>
        </w:rPr>
      </w:pPr>
      <w:r>
        <w:rPr>
          <w:rFonts w:hint="eastAsia" w:eastAsia="楷体_GB2312" w:cs="Times New Roman"/>
          <w:b/>
          <w:sz w:val="32"/>
          <w:szCs w:val="32"/>
          <w:lang w:val="en-US" w:eastAsia="zh-CN"/>
        </w:rPr>
        <w:t>（一）</w:t>
      </w:r>
      <w:r>
        <w:rPr>
          <w:rFonts w:hint="default" w:ascii="Times New Roman" w:hAnsi="Times New Roman" w:eastAsia="楷体_GB2312" w:cs="Times New Roman"/>
          <w:b/>
          <w:sz w:val="32"/>
          <w:szCs w:val="32"/>
          <w:lang w:val="zh-CN"/>
        </w:rPr>
        <w:t>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highlight w:val="none"/>
          <w:u w:val="none"/>
          <w:shd w:val="clear" w:color="auto" w:fill="FFFFFF"/>
          <w:lang w:val="zh-CN"/>
        </w:rPr>
      </w:pP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资金申报依据：</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zh-CN" w:eastAsia="zh-CN" w:bidi="ar-SA"/>
        </w:rPr>
        <w:t>根据广元市经济和信息化局《关于做好2022年四川省中小企业发展专项资金申报（第一批）工作的通知》，我局</w:t>
      </w:r>
      <w:r>
        <w:rPr>
          <w:rFonts w:hint="eastAsia" w:ascii="仿宋_GB2312" w:hAnsi="仿宋_GB2312" w:eastAsia="仿宋_GB2312" w:cs="仿宋_GB2312"/>
          <w:i w:val="0"/>
          <w:iCs w:val="0"/>
          <w:caps w:val="0"/>
          <w:color w:val="auto"/>
          <w:spacing w:val="0"/>
          <w:kern w:val="2"/>
          <w:sz w:val="32"/>
          <w:szCs w:val="32"/>
          <w:shd w:val="clear" w:color="auto" w:fill="FFFFFF"/>
          <w:lang w:val="zh-CN" w:eastAsia="zh-CN" w:bidi="ar-SA"/>
        </w:rPr>
        <w:t>严格对照</w:t>
      </w: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t>广元市2022年中小企业发展专项资金项目申报指南，</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zh-CN" w:eastAsia="zh-CN" w:bidi="ar-SA"/>
        </w:rPr>
        <w:t>前期通过政府门户网站等载体积极广泛宣传，组织辖区</w:t>
      </w:r>
      <w:r>
        <w:rPr>
          <w:rFonts w:hint="eastAsia" w:ascii="仿宋_GB2312" w:hAnsi="仿宋_GB2312" w:eastAsia="仿宋_GB2312" w:cs="仿宋_GB2312"/>
          <w:i w:val="0"/>
          <w:iCs w:val="0"/>
          <w:caps w:val="0"/>
          <w:color w:val="auto"/>
          <w:spacing w:val="0"/>
          <w:kern w:val="2"/>
          <w:sz w:val="32"/>
          <w:szCs w:val="32"/>
          <w:shd w:val="clear" w:color="auto" w:fill="FFFFFF"/>
          <w:lang w:val="zh-CN" w:eastAsia="zh-CN" w:bidi="ar-SA"/>
        </w:rPr>
        <w:t>中小企业</w:t>
      </w: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t>自愿</w:t>
      </w:r>
      <w:r>
        <w:rPr>
          <w:rFonts w:hint="eastAsia" w:ascii="仿宋_GB2312" w:hAnsi="仿宋_GB2312" w:eastAsia="仿宋_GB2312" w:cs="仿宋_GB2312"/>
          <w:i w:val="0"/>
          <w:iCs w:val="0"/>
          <w:caps w:val="0"/>
          <w:color w:val="auto"/>
          <w:spacing w:val="0"/>
          <w:kern w:val="2"/>
          <w:sz w:val="32"/>
          <w:szCs w:val="32"/>
          <w:shd w:val="clear" w:color="auto" w:fill="FFFFFF"/>
          <w:lang w:val="zh-CN" w:eastAsia="zh-CN" w:bidi="ar-SA"/>
        </w:rPr>
        <w:t>申报</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，再根据企业申报情况开展现场核查，经局党组会议研究同意后县区推荐、市局复核，公示等程序，中粮油脂（广元）有限公司、广元杰诺印务有限公司</w:t>
      </w:r>
      <w:r>
        <w:rPr>
          <w:rFonts w:hint="eastAsia" w:ascii="仿宋_GB2312" w:hAnsi="Times New Roman" w:eastAsia="仿宋_GB2312" w:cs="Times New Roman"/>
          <w:color w:val="auto"/>
          <w:sz w:val="32"/>
          <w:szCs w:val="32"/>
        </w:rPr>
        <w:t>符合</w:t>
      </w:r>
      <w:r>
        <w:rPr>
          <w:rFonts w:hint="eastAsia" w:ascii="仿宋_GB2312"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022年四川省中小企业发展专项资金</w:t>
      </w:r>
      <w:r>
        <w:rPr>
          <w:rFonts w:hint="eastAsia" w:ascii="仿宋_GB2312" w:eastAsia="仿宋_GB2312" w:cs="Times New Roman"/>
          <w:color w:val="auto"/>
          <w:sz w:val="32"/>
          <w:szCs w:val="32"/>
          <w:lang w:eastAsia="zh-CN"/>
        </w:rPr>
        <w:t>提升中小企业发展能力</w:t>
      </w:r>
      <w:r>
        <w:rPr>
          <w:rFonts w:hint="eastAsia" w:ascii="仿宋_GB2312" w:eastAsia="仿宋_GB2312" w:cs="Times New Roman"/>
          <w:color w:val="auto"/>
          <w:sz w:val="32"/>
          <w:szCs w:val="32"/>
          <w:lang w:val="en-US" w:eastAsia="zh-CN"/>
        </w:rPr>
        <w:t>项目</w:t>
      </w:r>
      <w:r>
        <w:rPr>
          <w:rFonts w:hint="eastAsia" w:ascii="仿宋_GB2312" w:hAnsi="Times New Roman" w:eastAsia="仿宋_GB2312" w:cs="Times New Roman"/>
          <w:color w:val="auto"/>
          <w:sz w:val="32"/>
          <w:szCs w:val="32"/>
        </w:rPr>
        <w:t>申报条件</w:t>
      </w:r>
      <w:r>
        <w:rPr>
          <w:rFonts w:hint="eastAsia" w:ascii="仿宋_GB2312" w:hAnsi="Times New Roman" w:eastAsia="仿宋_GB2312" w:cs="Times New Roman"/>
          <w:color w:val="auto"/>
          <w:sz w:val="32"/>
          <w:szCs w:val="32"/>
          <w:lang w:eastAsia="zh-CN"/>
        </w:rPr>
        <w:t>。</w:t>
      </w:r>
    </w:p>
    <w:p>
      <w:pPr>
        <w:pStyle w:val="3"/>
        <w:keepNext w:val="0"/>
        <w:keepLines w:val="0"/>
        <w:pageBreakBefore w:val="0"/>
        <w:widowControl w:val="0"/>
        <w:kinsoku/>
        <w:wordWrap/>
        <w:overflowPunct/>
        <w:topLinePunct w:val="0"/>
        <w:autoSpaceDE/>
        <w:autoSpaceDN/>
        <w:bidi w:val="0"/>
        <w:spacing w:after="0" w:line="576" w:lineRule="exact"/>
        <w:ind w:left="0" w:leftChars="0" w:firstLine="640" w:firstLineChars="200"/>
        <w:textAlignment w:val="auto"/>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批复情况：</w:t>
      </w:r>
      <w:r>
        <w:rPr>
          <w:rFonts w:hint="eastAsia" w:ascii="仿宋_GB2312" w:hAnsi="仿宋_GB2312" w:eastAsia="仿宋_GB2312" w:cs="仿宋_GB2312"/>
          <w:color w:val="auto"/>
          <w:kern w:val="0"/>
          <w:sz w:val="32"/>
          <w:szCs w:val="32"/>
          <w:lang w:val="en-US" w:eastAsia="zh-CN" w:bidi="ar"/>
        </w:rPr>
        <w:t>根据广元市财政局、广元市经济和信息化局《关于下达2022年第一批省级中小企业发展专项资金的通知》（广财建〔2022〕95号）下达昭化区中小企业发展资金67万元，其中</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中纺粮油（广元）有限公司3万吨粮油仓储及万吨优质菜籽深加工项目</w:t>
      </w:r>
      <w:r>
        <w:rPr>
          <w:rFonts w:hint="eastAsia" w:ascii="仿宋_GB2312" w:hAnsi="仿宋_GB2312" w:eastAsia="仿宋_GB2312" w:cs="仿宋_GB2312"/>
          <w:color w:val="auto"/>
          <w:kern w:val="0"/>
          <w:sz w:val="32"/>
          <w:szCs w:val="32"/>
          <w:lang w:val="en-US" w:eastAsia="zh-CN" w:bidi="ar"/>
        </w:rPr>
        <w:t>41万元，</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广元杰诺印务有限公司食品家居及扶贫农产品配套包装厂扩建</w:t>
      </w:r>
      <w:r>
        <w:rPr>
          <w:rFonts w:hint="eastAsia" w:ascii="仿宋_GB2312" w:hAnsi="仿宋_GB2312" w:eastAsia="仿宋_GB2312" w:cs="仿宋_GB2312"/>
          <w:color w:val="auto"/>
          <w:kern w:val="0"/>
          <w:sz w:val="32"/>
          <w:szCs w:val="32"/>
          <w:lang w:val="en-US" w:eastAsia="zh-CN" w:bidi="ar"/>
        </w:rPr>
        <w:t>26万元。</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both"/>
        <w:textAlignment w:val="auto"/>
        <w:rPr>
          <w:rFonts w:ascii="楷体_GB2312" w:hAnsi="宋体" w:eastAsia="楷体_GB2312"/>
          <w:b/>
          <w:color w:val="000000"/>
          <w:sz w:val="32"/>
          <w:szCs w:val="32"/>
          <w:highlight w:val="none"/>
          <w:u w:val="none"/>
          <w:lang w:val="zh-CN"/>
        </w:rPr>
      </w:pPr>
      <w:r>
        <w:rPr>
          <w:rFonts w:hint="eastAsia" w:ascii="楷体_GB2312" w:hAnsi="宋体" w:eastAsia="楷体_GB2312"/>
          <w:b/>
          <w:color w:val="000000"/>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highlight w:val="none"/>
          <w:u w:val="none"/>
          <w:shd w:val="clear" w:color="auto" w:fill="FFFFFF"/>
          <w:lang w:val="zh-CN"/>
        </w:rPr>
      </w:pPr>
      <w:r>
        <w:rPr>
          <w:rFonts w:hint="eastAsia" w:ascii="仿宋_GB2312" w:hAnsi="仿宋_GB2312" w:eastAsia="仿宋_GB2312" w:cs="仿宋_GB2312"/>
          <w:color w:val="000000"/>
          <w:kern w:val="0"/>
          <w:sz w:val="32"/>
          <w:szCs w:val="32"/>
          <w:highlight w:val="none"/>
          <w:u w:val="none"/>
          <w:shd w:val="clear" w:color="auto" w:fill="FFFFFF"/>
          <w:lang w:val="zh-CN"/>
        </w:rPr>
        <w:t>1．项目主要内容。</w:t>
      </w:r>
    </w:p>
    <w:p>
      <w:pPr>
        <w:pStyle w:val="2"/>
        <w:keepNext w:val="0"/>
        <w:keepLines w:val="0"/>
        <w:pageBreakBefore w:val="0"/>
        <w:kinsoku/>
        <w:wordWrap/>
        <w:overflowPunct/>
        <w:autoSpaceDN/>
        <w:bidi w:val="0"/>
        <w:spacing w:beforeLines="0" w:after="0" w:line="576" w:lineRule="exact"/>
        <w:ind w:firstLine="643" w:firstLineChars="200"/>
        <w:textAlignment w:val="auto"/>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pPr>
      <w:r>
        <w:rPr>
          <w:rFonts w:hint="eastAsia" w:ascii="仿宋_GB2312" w:hAnsi="仿宋_GB2312" w:eastAsia="仿宋_GB2312" w:cs="仿宋_GB2312"/>
          <w:b/>
          <w:bCs/>
          <w:color w:val="000000"/>
          <w:kern w:val="0"/>
          <w:sz w:val="32"/>
          <w:szCs w:val="32"/>
          <w:highlight w:val="none"/>
          <w:u w:val="none"/>
          <w:shd w:val="clear" w:color="auto" w:fill="FFFFFF"/>
          <w:lang w:val="zh-CN"/>
        </w:rPr>
        <w:t>一是</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中纺粮油</w:t>
      </w:r>
      <w:r>
        <w:rPr>
          <w:rFonts w:hint="eastAsia" w:ascii="仿宋_GB2312" w:hAnsi="仿宋_GB2312" w:eastAsia="仿宋_GB2312" w:cs="仿宋_GB2312"/>
          <w:i w:val="0"/>
          <w:iCs w:val="0"/>
          <w:caps w:val="0"/>
          <w:color w:val="000000"/>
          <w:spacing w:val="0"/>
          <w:kern w:val="2"/>
          <w:sz w:val="32"/>
          <w:szCs w:val="32"/>
          <w:shd w:val="clear" w:color="auto" w:fill="FFFFFF"/>
          <w:lang w:val="en-US" w:eastAsia="zh-CN" w:bidi="ar-SA"/>
        </w:rPr>
        <w:t>（广元）有限公司3万吨粮油仓储及万吨优质菜籽深加工项目：建设生产20</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00平方米，购置1.2万吨仓储设施，扩建0.8万吨储油罐，新建年产3万吨浓香菜籽油加工生产线、配套输送设备、自控设备等配套附属设施。</w:t>
      </w:r>
      <w:r>
        <w:rPr>
          <w:rFonts w:hint="eastAsia" w:ascii="仿宋_GB2312" w:hAnsi="仿宋_GB2312" w:eastAsia="仿宋_GB2312" w:cs="仿宋_GB2312"/>
          <w:b/>
          <w:bCs/>
          <w:i w:val="0"/>
          <w:iCs w:val="0"/>
          <w:caps w:val="0"/>
          <w:color w:val="000000"/>
          <w:spacing w:val="0"/>
          <w:kern w:val="2"/>
          <w:sz w:val="32"/>
          <w:szCs w:val="32"/>
          <w:highlight w:val="none"/>
          <w:shd w:val="clear" w:color="auto" w:fill="FFFFFF"/>
          <w:lang w:val="en-US" w:eastAsia="zh-CN" w:bidi="ar-SA"/>
        </w:rPr>
        <w:t>二是</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广元杰诺印务有限公司食品家居及扶贫农产品配套包装厂扩建项目：主要建设食品家居及扶贫产品包装生产厂房9000平方米，普箱生产线2条、彩箱生产线1条及配套设施，办公楼、倒班房500平方米。</w:t>
      </w:r>
    </w:p>
    <w:p>
      <w:pPr>
        <w:pStyle w:val="2"/>
        <w:keepNext w:val="0"/>
        <w:keepLines w:val="0"/>
        <w:pageBreakBefore w:val="0"/>
        <w:kinsoku/>
        <w:wordWrap/>
        <w:overflowPunct/>
        <w:autoSpaceDN/>
        <w:bidi w:val="0"/>
        <w:spacing w:beforeLines="0" w:after="0" w:line="576" w:lineRule="exact"/>
        <w:ind w:firstLine="640" w:firstLineChars="200"/>
        <w:textAlignment w:val="auto"/>
        <w:rPr>
          <w:rFonts w:hint="eastAsia" w:ascii="仿宋_GB2312" w:hAnsi="仿宋_GB2312" w:eastAsia="仿宋_GB2312" w:cs="仿宋_GB2312"/>
          <w:color w:val="000000"/>
          <w:kern w:val="0"/>
          <w:sz w:val="32"/>
          <w:szCs w:val="32"/>
          <w:highlight w:val="none"/>
          <w:u w:val="none"/>
          <w:shd w:val="clear" w:color="auto" w:fill="FFFFFF"/>
          <w:lang w:val="zh-CN"/>
        </w:rPr>
      </w:pP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2.</w:t>
      </w:r>
      <w:r>
        <w:rPr>
          <w:rFonts w:hint="eastAsia" w:ascii="仿宋_GB2312" w:hAnsi="仿宋_GB2312" w:eastAsia="仿宋_GB2312" w:cs="仿宋_GB2312"/>
          <w:color w:val="000000"/>
          <w:kern w:val="0"/>
          <w:sz w:val="32"/>
          <w:szCs w:val="32"/>
          <w:highlight w:val="none"/>
          <w:u w:val="none"/>
          <w:shd w:val="clear" w:color="auto" w:fill="FFFFFF"/>
          <w:lang w:val="zh-CN"/>
        </w:rPr>
        <w:t>项目应实现的具体绩效目标</w:t>
      </w:r>
    </w:p>
    <w:p>
      <w:pPr>
        <w:keepNext w:val="0"/>
        <w:keepLines w:val="0"/>
        <w:pageBreakBefore w:val="0"/>
        <w:widowControl/>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000000"/>
          <w:kern w:val="0"/>
          <w:sz w:val="32"/>
          <w:szCs w:val="32"/>
          <w:highlight w:val="none"/>
          <w:u w:val="none"/>
          <w:shd w:val="clear" w:color="auto" w:fill="FFFFFF"/>
          <w:lang w:val="en-US" w:eastAsia="zh-CN"/>
        </w:rPr>
      </w:pPr>
      <w:r>
        <w:rPr>
          <w:rFonts w:hint="eastAsia" w:ascii="仿宋_GB2312" w:hAnsi="仿宋_GB2312" w:eastAsia="仿宋_GB2312" w:cs="仿宋_GB2312"/>
          <w:b/>
          <w:bCs/>
          <w:i w:val="0"/>
          <w:iCs w:val="0"/>
          <w:caps w:val="0"/>
          <w:color w:val="000000"/>
          <w:spacing w:val="0"/>
          <w:kern w:val="2"/>
          <w:sz w:val="32"/>
          <w:szCs w:val="32"/>
          <w:highlight w:val="none"/>
          <w:shd w:val="clear" w:color="auto" w:fill="FFFFFF"/>
          <w:lang w:val="en-US" w:eastAsia="zh-CN" w:bidi="ar-SA"/>
        </w:rPr>
        <w:t>一是</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3万吨粮油</w:t>
      </w:r>
      <w:r>
        <w:rPr>
          <w:rFonts w:hint="eastAsia" w:ascii="仿宋_GB2312" w:hAnsi="仿宋_GB2312" w:eastAsia="仿宋_GB2312" w:cs="仿宋_GB2312"/>
          <w:i w:val="0"/>
          <w:iCs w:val="0"/>
          <w:caps w:val="0"/>
          <w:color w:val="000000"/>
          <w:spacing w:val="0"/>
          <w:sz w:val="32"/>
          <w:szCs w:val="32"/>
          <w:shd w:val="clear" w:color="auto" w:fill="FFFFFF"/>
          <w:lang w:val="en-US" w:eastAsia="zh-CN"/>
        </w:rPr>
        <w:t>仓储及万吨优质菜籽深加工项目项目绩效目标：新增产能6000吨，带动投资6100万元，新增销售收入4000万元，新增税收2万元，新增就业10人以上。</w:t>
      </w:r>
      <w:r>
        <w:rPr>
          <w:rFonts w:hint="eastAsia" w:ascii="仿宋_GB2312" w:hAnsi="仿宋_GB2312" w:eastAsia="仿宋_GB2312" w:cs="仿宋_GB2312"/>
          <w:b/>
          <w:bCs/>
          <w:i w:val="0"/>
          <w:iCs w:val="0"/>
          <w:caps w:val="0"/>
          <w:color w:val="000000"/>
          <w:spacing w:val="0"/>
          <w:sz w:val="32"/>
          <w:szCs w:val="32"/>
          <w:shd w:val="clear" w:color="auto" w:fill="FFFFFF"/>
          <w:lang w:val="en-US" w:eastAsia="zh-CN"/>
        </w:rPr>
        <w:t>二是</w:t>
      </w:r>
      <w:r>
        <w:rPr>
          <w:rFonts w:hint="eastAsia" w:ascii="仿宋_GB2312" w:hAnsi="仿宋_GB2312" w:eastAsia="仿宋_GB2312" w:cs="仿宋_GB2312"/>
          <w:i w:val="0"/>
          <w:iCs w:val="0"/>
          <w:caps w:val="0"/>
          <w:color w:val="000000"/>
          <w:spacing w:val="0"/>
          <w:sz w:val="32"/>
          <w:szCs w:val="32"/>
          <w:shd w:val="clear" w:color="auto" w:fill="FFFFFF"/>
          <w:lang w:val="en-US" w:eastAsia="zh-CN"/>
        </w:rPr>
        <w:t>食品家居及扶贫农产品配套包装厂扩建项目</w:t>
      </w:r>
      <w:r>
        <w:rPr>
          <w:rFonts w:hint="eastAsia" w:ascii="仿宋_GB2312" w:hAnsi="仿宋_GB2312" w:eastAsia="仿宋_GB2312" w:cs="仿宋_GB2312"/>
          <w:i w:val="0"/>
          <w:iCs w:val="0"/>
          <w:caps w:val="0"/>
          <w:color w:val="000000"/>
          <w:spacing w:val="0"/>
          <w:sz w:val="32"/>
          <w:szCs w:val="32"/>
          <w:shd w:val="clear" w:color="auto" w:fill="FFFFFF"/>
          <w:lang w:val="zh-CN" w:eastAsia="zh-CN"/>
        </w:rPr>
        <w:t>绩效目标：新增产能3200吨，获得融资200万</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元，新增销售收入2550万元，新增税收50万元，新增就业50人。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（三）项目资金申报相符性。</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highlight w:val="none"/>
          <w:u w:val="none"/>
          <w:shd w:val="clear" w:color="auto" w:fill="FFFFFF"/>
          <w:lang w:val="zh-CN"/>
        </w:rPr>
      </w:pPr>
      <w:r>
        <w:rPr>
          <w:rFonts w:hint="eastAsia" w:ascii="仿宋_GB2312" w:hAnsi="仿宋_GB2312" w:eastAsia="仿宋_GB2312" w:cs="仿宋_GB2312"/>
          <w:color w:val="000000"/>
          <w:kern w:val="0"/>
          <w:sz w:val="32"/>
          <w:szCs w:val="32"/>
          <w:highlight w:val="none"/>
          <w:u w:val="none"/>
          <w:shd w:val="clear" w:color="auto" w:fill="FFFFFF"/>
          <w:lang w:val="zh-CN"/>
        </w:rPr>
        <w:t>项目申报和项目实际相符，申报目标合理可行。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(四)自评步骤及方法</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000000"/>
          <w:kern w:val="0"/>
          <w:sz w:val="32"/>
          <w:szCs w:val="32"/>
          <w:highlight w:val="none"/>
          <w:u w:val="none"/>
          <w:shd w:val="clear" w:color="auto" w:fill="FFFFFF"/>
          <w:lang w:val="en-US" w:eastAsia="zh-CN"/>
        </w:rPr>
      </w:pPr>
      <w:r>
        <w:rPr>
          <w:rFonts w:hint="eastAsia" w:ascii="仿宋_GB2312" w:hAnsi="仿宋_GB2312" w:eastAsia="仿宋_GB2312" w:cs="仿宋_GB2312"/>
          <w:color w:val="000000"/>
          <w:kern w:val="0"/>
          <w:sz w:val="32"/>
          <w:szCs w:val="32"/>
          <w:highlight w:val="none"/>
          <w:u w:val="none"/>
          <w:shd w:val="clear" w:color="auto" w:fill="FFFFFF"/>
          <w:lang w:val="en-US" w:eastAsia="zh-CN"/>
        </w:rPr>
        <w:t>该项目首先采用项目实施单位自评，主管部门根据实施单位自评情况、现场核查核实情况后采用因素评价法进行部门自评。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（一）资金计划、到位及使用情况</w:t>
      </w:r>
    </w:p>
    <w:p>
      <w:pPr>
        <w:keepNext w:val="0"/>
        <w:keepLines w:val="0"/>
        <w:pageBreakBefore w:val="0"/>
        <w:widowControl/>
        <w:numPr>
          <w:ilvl w:val="0"/>
          <w:numId w:val="0"/>
        </w:numPr>
        <w:suppressLineNumbers w:val="0"/>
        <w:kinsoku/>
        <w:wordWrap/>
        <w:overflowPunct/>
        <w:topLinePunct w:val="0"/>
        <w:autoSpaceDE/>
        <w:autoSpaceDN/>
        <w:bidi w:val="0"/>
        <w:adjustRightInd/>
        <w:spacing w:line="576" w:lineRule="exact"/>
        <w:ind w:firstLine="640" w:firstLineChars="200"/>
        <w:jc w:val="left"/>
        <w:textAlignment w:val="auto"/>
        <w:rPr>
          <w:rFonts w:hint="eastAsia" w:ascii="仿宋_GB2312" w:hAnsi="仿宋_GB2312" w:eastAsia="仿宋_GB2312" w:cs="仿宋_GB2312"/>
          <w:color w:val="auto"/>
          <w:kern w:val="0"/>
          <w:sz w:val="32"/>
          <w:szCs w:val="32"/>
          <w:lang w:val="zh-CN" w:eastAsia="zh-CN" w:bidi="ar"/>
        </w:rPr>
      </w:pPr>
      <w:r>
        <w:rPr>
          <w:rFonts w:hint="default" w:ascii="仿宋_GB2312" w:hAnsi="仿宋_GB2312" w:eastAsia="仿宋_GB2312" w:cs="仿宋_GB2312"/>
          <w:color w:val="auto"/>
          <w:kern w:val="0"/>
          <w:sz w:val="32"/>
          <w:szCs w:val="32"/>
          <w:lang w:val="zh-CN" w:eastAsia="zh-CN" w:bidi="ar"/>
        </w:rPr>
        <w:t>1</w:t>
      </w:r>
      <w:r>
        <w:rPr>
          <w:rFonts w:hint="default" w:ascii="仿宋_GB2312" w:hAnsi="仿宋_GB2312" w:eastAsia="仿宋_GB2312" w:cs="仿宋_GB2312"/>
          <w:color w:val="auto"/>
          <w:kern w:val="0"/>
          <w:sz w:val="32"/>
          <w:szCs w:val="32"/>
          <w:lang w:val="en-US" w:eastAsia="zh-CN" w:bidi="ar"/>
        </w:rPr>
        <w:t>.</w:t>
      </w:r>
      <w:r>
        <w:rPr>
          <w:rFonts w:hint="default" w:ascii="仿宋_GB2312" w:hAnsi="仿宋_GB2312" w:eastAsia="仿宋_GB2312" w:cs="仿宋_GB2312"/>
          <w:color w:val="auto"/>
          <w:kern w:val="0"/>
          <w:sz w:val="32"/>
          <w:szCs w:val="32"/>
          <w:lang w:val="zh-CN" w:eastAsia="zh-CN" w:bidi="ar"/>
        </w:rPr>
        <w:t>资金计划及到位。</w:t>
      </w:r>
    </w:p>
    <w:p>
      <w:pPr>
        <w:keepNext w:val="0"/>
        <w:keepLines w:val="0"/>
        <w:pageBreakBefore w:val="0"/>
        <w:widowControl/>
        <w:numPr>
          <w:ilvl w:val="0"/>
          <w:numId w:val="0"/>
        </w:numPr>
        <w:suppressLineNumbers w:val="0"/>
        <w:kinsoku/>
        <w:wordWrap/>
        <w:overflowPunct/>
        <w:topLinePunct w:val="0"/>
        <w:autoSpaceDE/>
        <w:autoSpaceDN/>
        <w:bidi w:val="0"/>
        <w:adjustRightIn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根据广元市财政局、广元市经济和信息化局《关于下达2022年第一批省级中小企业发展专项资金的通知》（广财建〔2022〕95号）下达昭化区中小企业发展资金共计67万元，文件明确专项资金分配明细为</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中纺粮油（广元）有限公司3万吨粮油仓储及万吨优质菜籽深加工项目</w:t>
      </w:r>
      <w:r>
        <w:rPr>
          <w:rFonts w:hint="eastAsia" w:ascii="仿宋_GB2312" w:hAnsi="仿宋_GB2312" w:eastAsia="仿宋_GB2312" w:cs="仿宋_GB2312"/>
          <w:color w:val="auto"/>
          <w:kern w:val="0"/>
          <w:sz w:val="32"/>
          <w:szCs w:val="32"/>
          <w:lang w:val="en-US" w:eastAsia="zh-CN" w:bidi="ar"/>
        </w:rPr>
        <w:t>41万元，</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广元杰诺印务有限公司食品家居及扶贫农产品配套包装厂扩建</w:t>
      </w:r>
      <w:r>
        <w:rPr>
          <w:rFonts w:hint="eastAsia" w:ascii="仿宋_GB2312" w:hAnsi="仿宋_GB2312" w:eastAsia="仿宋_GB2312" w:cs="仿宋_GB2312"/>
          <w:color w:val="auto"/>
          <w:kern w:val="0"/>
          <w:sz w:val="32"/>
          <w:szCs w:val="32"/>
          <w:lang w:val="en-US" w:eastAsia="zh-CN" w:bidi="ar"/>
        </w:rPr>
        <w:t>26万元。</w:t>
      </w:r>
    </w:p>
    <w:p>
      <w:pPr>
        <w:keepNext w:val="0"/>
        <w:keepLines w:val="0"/>
        <w:pageBreakBefore w:val="0"/>
        <w:widowControl/>
        <w:numPr>
          <w:ilvl w:val="0"/>
          <w:numId w:val="0"/>
        </w:numPr>
        <w:suppressLineNumbers w:val="0"/>
        <w:kinsoku/>
        <w:wordWrap/>
        <w:overflowPunct/>
        <w:topLinePunct w:val="0"/>
        <w:autoSpaceDE/>
        <w:autoSpaceDN/>
        <w:bidi w:val="0"/>
        <w:adjustRightIn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color w:val="auto"/>
          <w:kern w:val="0"/>
          <w:sz w:val="32"/>
          <w:szCs w:val="32"/>
          <w:lang w:val="zh-CN" w:eastAsia="zh-CN" w:bidi="ar"/>
        </w:rPr>
        <w:t>2.资金使用。</w:t>
      </w:r>
      <w:r>
        <w:rPr>
          <w:rFonts w:hint="eastAsia" w:ascii="Times New Roman" w:hAnsi="Times New Roman" w:cs="Times New Roman"/>
          <w:sz w:val="32"/>
          <w:szCs w:val="32"/>
          <w:lang w:val="en-US" w:eastAsia="zh-CN"/>
        </w:rPr>
        <w:t>该</w:t>
      </w:r>
      <w:r>
        <w:rPr>
          <w:rFonts w:hint="eastAsia" w:ascii="仿宋_GB2312" w:hAnsi="仿宋_GB2312" w:eastAsia="仿宋_GB2312" w:cs="仿宋_GB2312"/>
          <w:color w:val="auto"/>
          <w:kern w:val="0"/>
          <w:sz w:val="32"/>
          <w:szCs w:val="32"/>
          <w:lang w:val="en-US" w:eastAsia="zh-CN" w:bidi="ar"/>
        </w:rPr>
        <w:t>项目均为事后补助项目，2023年1月补助资金已全额拨付，拨付率为100%，资金效益良好。</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ascii="楷体_GB2312" w:hAnsi="宋体" w:eastAsia="楷体_GB2312"/>
          <w:b/>
          <w:color w:val="000000"/>
          <w:sz w:val="32"/>
          <w:szCs w:val="32"/>
          <w:highlight w:val="none"/>
          <w:u w:val="none"/>
          <w:lang w:val="zh-CN"/>
        </w:rPr>
      </w:pPr>
      <w:r>
        <w:rPr>
          <w:rFonts w:hint="eastAsia" w:ascii="楷体_GB2312" w:hAnsi="宋体" w:eastAsia="楷体_GB2312"/>
          <w:b/>
          <w:color w:val="000000"/>
          <w:sz w:val="32"/>
          <w:szCs w:val="32"/>
          <w:highlight w:val="none"/>
          <w:u w:val="none"/>
          <w:lang w:val="zh-CN"/>
        </w:rPr>
        <w:t>（</w:t>
      </w:r>
      <w:r>
        <w:rPr>
          <w:rFonts w:hint="eastAsia" w:ascii="楷体_GB2312" w:hAnsi="宋体" w:eastAsia="楷体_GB2312"/>
          <w:b/>
          <w:color w:val="000000"/>
          <w:sz w:val="32"/>
          <w:szCs w:val="32"/>
          <w:highlight w:val="none"/>
          <w:u w:val="none"/>
          <w:lang w:val="en-US" w:eastAsia="zh-CN"/>
        </w:rPr>
        <w:t>二</w:t>
      </w:r>
      <w:r>
        <w:rPr>
          <w:rFonts w:hint="eastAsia" w:ascii="楷体_GB2312" w:hAnsi="宋体" w:eastAsia="楷体_GB2312"/>
          <w:b/>
          <w:color w:val="000000"/>
          <w:sz w:val="32"/>
          <w:szCs w:val="32"/>
          <w:highlight w:val="none"/>
          <w:u w:val="none"/>
          <w:lang w:val="zh-CN"/>
        </w:rPr>
        <w:t>）项目财务管理情况。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t>项目</w:t>
      </w:r>
      <w:r>
        <w:rPr>
          <w:rFonts w:hint="eastAsia" w:eastAsia="仿宋_GB2312" w:cs="Times New Roman"/>
          <w:b w:val="0"/>
          <w:bCs w:val="0"/>
          <w:color w:val="auto"/>
          <w:kern w:val="0"/>
          <w:sz w:val="32"/>
          <w:szCs w:val="32"/>
          <w:highlight w:val="none"/>
          <w:u w:val="none"/>
          <w:shd w:val="clear" w:color="auto" w:fill="FFFFFF"/>
          <w:lang w:val="en-US" w:eastAsia="zh-CN" w:bidi="ar-SA"/>
        </w:rPr>
        <w:t>实施单位</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t>财务管理制度、机构设置健全，会计核算及账务处理严格按照国家会计制度及准则执行；严格执行企业项目资金管理办法、财务账务处理及时，会计核算规范</w:t>
      </w:r>
      <w:r>
        <w:rPr>
          <w:rFonts w:hint="eastAsia" w:ascii="Times New Roman" w:hAnsi="Times New Roman" w:eastAsia="仿宋_GB2312" w:cs="Times New Roman"/>
          <w:b w:val="0"/>
          <w:bCs w:val="0"/>
          <w:color w:val="auto"/>
          <w:kern w:val="0"/>
          <w:sz w:val="32"/>
          <w:szCs w:val="32"/>
          <w:highlight w:val="none"/>
          <w:u w:val="none"/>
          <w:shd w:val="clear" w:color="auto" w:fill="FFFFFF"/>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val="0"/>
        <w:spacing w:line="530" w:lineRule="exact"/>
        <w:ind w:left="0" w:leftChars="0" w:firstLine="640" w:firstLineChars="200"/>
        <w:textAlignment w:val="auto"/>
        <w:rPr>
          <w:rFonts w:hint="eastAsia" w:ascii="黑体" w:hAnsi="宋体" w:eastAsia="黑体"/>
          <w:color w:val="000000"/>
          <w:sz w:val="32"/>
          <w:szCs w:val="32"/>
          <w:highlight w:val="none"/>
          <w:u w:val="none"/>
        </w:rPr>
      </w:pPr>
      <w:r>
        <w:rPr>
          <w:rFonts w:hint="eastAsia" w:ascii="黑体" w:hAnsi="宋体" w:eastAsia="黑体"/>
          <w:color w:val="000000"/>
          <w:sz w:val="32"/>
          <w:szCs w:val="32"/>
          <w:highlight w:val="none"/>
          <w:u w:val="none"/>
        </w:rPr>
        <w:t>（三）项目组织实施情况</w:t>
      </w:r>
    </w:p>
    <w:p>
      <w:pPr>
        <w:keepNext w:val="0"/>
        <w:keepLines w:val="0"/>
        <w:pageBreakBefore w:val="0"/>
        <w:widowControl w:val="0"/>
        <w:kinsoku/>
        <w:wordWrap/>
        <w:overflowPunct/>
        <w:topLinePunct w:val="0"/>
        <w:autoSpaceDE/>
        <w:autoSpaceDN/>
        <w:bidi w:val="0"/>
        <w:adjustRightInd/>
        <w:snapToGrid/>
        <w:spacing w:line="530" w:lineRule="exact"/>
        <w:ind w:left="0" w:leftChars="0" w:firstLine="640" w:firstLineChars="200"/>
        <w:jc w:val="both"/>
        <w:textAlignment w:val="auto"/>
        <w:rPr>
          <w:rFonts w:hint="default" w:ascii="Times New Roman" w:hAnsi="Times New Roman" w:eastAsia="仿宋_GB2312" w:cs="Times New Roman"/>
          <w:b w:val="0"/>
          <w:bCs w:val="0"/>
          <w:color w:val="FF0000"/>
          <w:kern w:val="0"/>
          <w:sz w:val="32"/>
          <w:szCs w:val="32"/>
          <w:highlight w:val="none"/>
          <w:u w:val="none"/>
          <w:shd w:val="clear" w:color="auto" w:fill="FFFFFF"/>
          <w:lang w:val="en-US" w:eastAsia="zh-CN" w:bidi="ar-SA"/>
        </w:rPr>
      </w:pPr>
      <w:r>
        <w:rPr>
          <w:rFonts w:hint="eastAsia" w:ascii="Times New Roman" w:hAnsi="Times New Roman" w:eastAsia="仿宋_GB2312" w:cs="Times New Roman"/>
          <w:b w:val="0"/>
          <w:bCs w:val="0"/>
          <w:color w:val="auto"/>
          <w:kern w:val="0"/>
          <w:sz w:val="32"/>
          <w:szCs w:val="32"/>
          <w:highlight w:val="none"/>
          <w:u w:val="none"/>
          <w:shd w:val="clear" w:color="auto" w:fill="FFFFFF"/>
          <w:lang w:val="en-US" w:eastAsia="zh-CN" w:bidi="ar-SA"/>
        </w:rPr>
        <w:t>项目由企业自主实施，专项资金为事后资金补助，项目实施过程中严格执行了公司相关制度和管理规定。</w:t>
      </w:r>
    </w:p>
    <w:p>
      <w:pPr>
        <w:keepNext w:val="0"/>
        <w:keepLines w:val="0"/>
        <w:pageBreakBefore w:val="0"/>
        <w:kinsoku/>
        <w:wordWrap/>
        <w:overflowPunct/>
        <w:topLinePunct w:val="0"/>
        <w:autoSpaceDE/>
        <w:autoSpaceDN/>
        <w:bidi w:val="0"/>
        <w:adjustRightInd w:val="0"/>
        <w:snapToGrid w:val="0"/>
        <w:spacing w:line="530" w:lineRule="exact"/>
        <w:ind w:firstLine="720"/>
        <w:textAlignment w:val="auto"/>
        <w:rPr>
          <w:rFonts w:ascii="仿宋_GB2312" w:hAnsi="宋体"/>
          <w:color w:val="000000"/>
          <w:sz w:val="32"/>
          <w:szCs w:val="32"/>
          <w:highlight w:val="none"/>
          <w:u w:val="none"/>
          <w:lang w:val="zh-CN"/>
        </w:rPr>
      </w:pPr>
      <w:r>
        <w:rPr>
          <w:rFonts w:hint="eastAsia" w:ascii="黑体" w:hAnsi="宋体" w:eastAsia="黑体"/>
          <w:color w:val="000000"/>
          <w:sz w:val="32"/>
          <w:szCs w:val="32"/>
          <w:highlight w:val="none"/>
          <w:u w:val="none"/>
          <w:lang w:val="en-US" w:eastAsia="zh-CN"/>
        </w:rPr>
        <w:t>三</w:t>
      </w:r>
      <w:r>
        <w:rPr>
          <w:rFonts w:hint="eastAsia" w:ascii="黑体" w:hAnsi="宋体" w:eastAsia="黑体"/>
          <w:color w:val="000000"/>
          <w:sz w:val="32"/>
          <w:szCs w:val="32"/>
          <w:highlight w:val="none"/>
          <w:u w:val="none"/>
        </w:rPr>
        <w:t>、项目绩效情况</w:t>
      </w:r>
      <w:r>
        <w:rPr>
          <w:rFonts w:hint="eastAsia" w:ascii="仿宋_GB2312" w:hAnsi="宋体"/>
          <w:color w:val="000000"/>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30" w:lineRule="exact"/>
        <w:ind w:left="0" w:leftChars="0"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（一）项目完成情况</w:t>
      </w:r>
    </w:p>
    <w:p>
      <w:pPr>
        <w:keepNext w:val="0"/>
        <w:keepLines w:val="0"/>
        <w:pageBreakBefore w:val="0"/>
        <w:widowControl/>
        <w:kinsoku/>
        <w:wordWrap/>
        <w:overflowPunct/>
        <w:topLinePunct w:val="0"/>
        <w:autoSpaceDE/>
        <w:autoSpaceDN/>
        <w:bidi w:val="0"/>
        <w:adjustRightInd/>
        <w:snapToGrid/>
        <w:spacing w:line="530" w:lineRule="exact"/>
        <w:ind w:firstLine="640" w:firstLineChars="200"/>
        <w:textAlignment w:val="auto"/>
        <w:rPr>
          <w:rFonts w:hint="eastAsia" w:ascii="仿宋_GB2312" w:eastAsia="仿宋_GB2312" w:cs="Times New Roman"/>
          <w:sz w:val="32"/>
          <w:szCs w:val="32"/>
          <w:lang w:val="en-US" w:eastAsia="zh-CN"/>
        </w:rPr>
      </w:pP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中纺粮油（广元）有限公司3万吨粮油仓储及万吨优质菜籽深加工项目和广元杰诺印务有限公司食品家居及扶贫农产品配套包装厂扩建项目</w:t>
      </w:r>
      <w:r>
        <w:rPr>
          <w:rFonts w:hint="eastAsia" w:ascii="仿宋_GB2312" w:eastAsia="仿宋_GB2312" w:cs="Times New Roman"/>
          <w:sz w:val="32"/>
          <w:szCs w:val="32"/>
          <w:lang w:val="zh-CN" w:eastAsia="zh-CN"/>
        </w:rPr>
        <w:t>均属于事后补助项目，项目申报时均已实施完毕。</w:t>
      </w:r>
    </w:p>
    <w:p>
      <w:pPr>
        <w:keepNext w:val="0"/>
        <w:keepLines w:val="0"/>
        <w:pageBreakBefore w:val="0"/>
        <w:kinsoku/>
        <w:wordWrap/>
        <w:overflowPunct/>
        <w:topLinePunct w:val="0"/>
        <w:autoSpaceDE/>
        <w:autoSpaceDN/>
        <w:bidi w:val="0"/>
        <w:adjustRightInd w:val="0"/>
        <w:snapToGrid w:val="0"/>
        <w:spacing w:line="530" w:lineRule="exact"/>
        <w:ind w:left="0" w:leftChars="0"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（二）项目效益情况</w:t>
      </w:r>
    </w:p>
    <w:p>
      <w:pPr>
        <w:keepNext w:val="0"/>
        <w:keepLines w:val="0"/>
        <w:pageBreakBefore w:val="0"/>
        <w:kinsoku/>
        <w:wordWrap/>
        <w:overflowPunct/>
        <w:topLinePunct w:val="0"/>
        <w:autoSpaceDE/>
        <w:autoSpaceDN/>
        <w:bidi w:val="0"/>
        <w:adjustRightInd w:val="0"/>
        <w:snapToGrid w:val="0"/>
        <w:spacing w:line="530" w:lineRule="exact"/>
        <w:ind w:firstLine="720"/>
        <w:textAlignment w:val="auto"/>
        <w:rPr>
          <w:rFonts w:hint="eastAsia" w:ascii="黑体" w:hAnsi="黑体" w:eastAsia="黑体" w:cs="黑体"/>
          <w:i w:val="0"/>
          <w:iCs w:val="0"/>
          <w:caps w:val="0"/>
          <w:color w:val="000000"/>
          <w:spacing w:val="0"/>
          <w:kern w:val="2"/>
          <w:sz w:val="32"/>
          <w:szCs w:val="32"/>
          <w:highlight w:val="none"/>
          <w:shd w:val="clear" w:color="auto" w:fill="FFFFFF"/>
          <w:lang w:val="en-US" w:eastAsia="zh-CN" w:bidi="ar-SA"/>
        </w:rPr>
      </w:pPr>
      <w:r>
        <w:rPr>
          <w:rFonts w:hint="eastAsia" w:ascii="仿宋_GB2312" w:hAnsi="仿宋_GB2312" w:eastAsia="仿宋_GB2312" w:cs="仿宋_GB2312"/>
          <w:b/>
          <w:bCs/>
          <w:color w:val="000000"/>
          <w:kern w:val="0"/>
          <w:sz w:val="32"/>
          <w:szCs w:val="32"/>
          <w:highlight w:val="none"/>
          <w:u w:val="none"/>
          <w:shd w:val="clear" w:color="auto" w:fill="FFFFFF"/>
          <w:lang w:val="zh-CN"/>
        </w:rPr>
        <w:t>一是</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中纺粮油（广元）有限公司3万吨粮油仓储及万吨优质菜籽深加工项目新增产能6175吨，带动投资6100万元，实现销售收入4254万元，新增利润15.75万元，新增税收2.55万元，带动就业人数10人</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b/>
          <w:bCs/>
          <w:i w:val="0"/>
          <w:iCs w:val="0"/>
          <w:caps w:val="0"/>
          <w:color w:val="000000"/>
          <w:spacing w:val="0"/>
          <w:kern w:val="2"/>
          <w:sz w:val="32"/>
          <w:szCs w:val="32"/>
          <w:highlight w:val="none"/>
          <w:shd w:val="clear" w:color="auto" w:fill="FFFFFF"/>
          <w:lang w:val="en-US" w:eastAsia="zh-CN" w:bidi="ar-SA"/>
        </w:rPr>
        <w:t>二是</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广元杰诺印务有限公司食品家居及扶贫农产品配套包装厂扩建项目新增产能3200吨，获得融资200万元，实现销售收入2500万元，新增利润365万元，新增税收50万元，带动就业人数50人。</w:t>
      </w:r>
    </w:p>
    <w:p>
      <w:pPr>
        <w:keepNext w:val="0"/>
        <w:keepLines w:val="0"/>
        <w:pageBreakBefore w:val="0"/>
        <w:kinsoku/>
        <w:wordWrap/>
        <w:overflowPunct/>
        <w:topLinePunct w:val="0"/>
        <w:autoSpaceDE/>
        <w:autoSpaceDN/>
        <w:bidi w:val="0"/>
        <w:adjustRightInd w:val="0"/>
        <w:snapToGrid w:val="0"/>
        <w:spacing w:line="530" w:lineRule="exact"/>
        <w:ind w:firstLine="720"/>
        <w:textAlignment w:val="auto"/>
        <w:rPr>
          <w:rFonts w:hint="eastAsia" w:ascii="黑体" w:hAnsi="黑体" w:eastAsia="黑体" w:cs="黑体"/>
          <w:i w:val="0"/>
          <w:iCs w:val="0"/>
          <w:caps w:val="0"/>
          <w:color w:val="000000"/>
          <w:spacing w:val="0"/>
          <w:kern w:val="2"/>
          <w:sz w:val="32"/>
          <w:szCs w:val="32"/>
          <w:highlight w:val="none"/>
          <w:shd w:val="clear" w:color="auto" w:fill="FFFFFF"/>
          <w:lang w:val="en-US" w:eastAsia="zh-CN" w:bidi="ar-SA"/>
        </w:rPr>
      </w:pPr>
      <w:r>
        <w:rPr>
          <w:rFonts w:hint="eastAsia" w:ascii="黑体" w:hAnsi="黑体" w:eastAsia="黑体" w:cs="黑体"/>
          <w:i w:val="0"/>
          <w:iCs w:val="0"/>
          <w:caps w:val="0"/>
          <w:color w:val="000000"/>
          <w:spacing w:val="0"/>
          <w:kern w:val="2"/>
          <w:sz w:val="32"/>
          <w:szCs w:val="32"/>
          <w:highlight w:val="none"/>
          <w:shd w:val="clear" w:color="auto" w:fill="FFFFFF"/>
          <w:lang w:val="en-US" w:eastAsia="zh-CN" w:bidi="ar-SA"/>
        </w:rPr>
        <w:t>四、评价结论及问题建议</w:t>
      </w:r>
    </w:p>
    <w:p>
      <w:pPr>
        <w:keepNext w:val="0"/>
        <w:keepLines w:val="0"/>
        <w:pageBreakBefore w:val="0"/>
        <w:kinsoku/>
        <w:wordWrap/>
        <w:overflowPunct/>
        <w:topLinePunct w:val="0"/>
        <w:autoSpaceDE/>
        <w:autoSpaceDN/>
        <w:bidi w:val="0"/>
        <w:adjustRightInd w:val="0"/>
        <w:snapToGrid w:val="0"/>
        <w:spacing w:line="530" w:lineRule="exact"/>
        <w:ind w:left="0" w:leftChars="0" w:firstLine="643" w:firstLineChars="200"/>
        <w:textAlignment w:val="auto"/>
        <w:rPr>
          <w:rFonts w:hint="default" w:ascii="Times New Roman" w:hAnsi="Times New Roman" w:eastAsia="楷体_GB2312" w:cs="Times New Roman"/>
          <w:b/>
          <w:bCs/>
          <w:color w:val="auto"/>
          <w:sz w:val="32"/>
          <w:szCs w:val="32"/>
          <w:highlight w:val="none"/>
          <w:u w:val="none"/>
          <w:lang w:val="zh-CN"/>
        </w:rPr>
      </w:pPr>
      <w:r>
        <w:rPr>
          <w:rFonts w:hint="default" w:ascii="Times New Roman" w:hAnsi="Times New Roman" w:eastAsia="楷体_GB2312" w:cs="Times New Roman"/>
          <w:b/>
          <w:bCs/>
          <w:color w:val="auto"/>
          <w:sz w:val="32"/>
          <w:szCs w:val="32"/>
          <w:highlight w:val="none"/>
          <w:u w:val="none"/>
          <w:lang w:val="zh-CN"/>
        </w:rPr>
        <w:t>（一）评价结论。</w:t>
      </w:r>
    </w:p>
    <w:p>
      <w:pPr>
        <w:pStyle w:val="3"/>
        <w:keepNext w:val="0"/>
        <w:keepLines w:val="0"/>
        <w:pageBreakBefore w:val="0"/>
        <w:kinsoku/>
        <w:wordWrap/>
        <w:overflowPunct/>
        <w:topLinePunct w:val="0"/>
        <w:autoSpaceDE/>
        <w:autoSpaceDN/>
        <w:bidi w:val="0"/>
        <w:spacing w:after="0" w:line="530" w:lineRule="exact"/>
        <w:ind w:left="0" w:leftChars="0" w:firstLine="640" w:firstLineChars="200"/>
        <w:textAlignment w:val="auto"/>
        <w:rPr>
          <w:rFonts w:hint="eastAsia" w:eastAsia="仿宋_GB2312" w:cs="Times New Roman"/>
          <w:b w:val="0"/>
          <w:bCs w:val="0"/>
          <w:color w:val="auto"/>
          <w:kern w:val="0"/>
          <w:sz w:val="32"/>
          <w:szCs w:val="32"/>
          <w:highlight w:val="none"/>
          <w:u w:val="none"/>
          <w:shd w:val="clear" w:color="auto" w:fill="FFFFFF"/>
          <w:lang w:val="en-US" w:eastAsia="zh-CN" w:bidi="ar-SA"/>
        </w:rPr>
      </w:pPr>
      <w:r>
        <w:rPr>
          <w:rFonts w:hint="eastAsia" w:eastAsia="仿宋_GB2312" w:cs="Times New Roman"/>
          <w:b w:val="0"/>
          <w:bCs w:val="0"/>
          <w:color w:val="auto"/>
          <w:kern w:val="0"/>
          <w:sz w:val="32"/>
          <w:szCs w:val="32"/>
          <w:highlight w:val="none"/>
          <w:u w:val="none"/>
          <w:shd w:val="clear" w:color="auto" w:fill="FFFFFF"/>
          <w:lang w:val="en-US" w:eastAsia="zh-CN" w:bidi="ar-SA"/>
        </w:rPr>
        <w:t>该项目为事后补助项目，各项绩效目标任务完成较好，自评得分为96分。</w:t>
      </w:r>
    </w:p>
    <w:p>
      <w:pPr>
        <w:keepNext w:val="0"/>
        <w:keepLines w:val="0"/>
        <w:pageBreakBefore w:val="0"/>
        <w:kinsoku/>
        <w:wordWrap/>
        <w:overflowPunct/>
        <w:topLinePunct w:val="0"/>
        <w:autoSpaceDE/>
        <w:autoSpaceDN/>
        <w:bidi w:val="0"/>
        <w:adjustRightInd w:val="0"/>
        <w:snapToGrid w:val="0"/>
        <w:spacing w:line="530" w:lineRule="exact"/>
        <w:ind w:left="0" w:leftChars="0"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zh-CN"/>
        </w:rPr>
        <w:t>（</w:t>
      </w:r>
      <w:r>
        <w:rPr>
          <w:rFonts w:hint="eastAsia"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lang w:val="zh-CN"/>
        </w:rPr>
        <w:t>）相关措施建议。</w:t>
      </w:r>
    </w:p>
    <w:p>
      <w:pPr>
        <w:pStyle w:val="3"/>
        <w:keepNext w:val="0"/>
        <w:keepLines w:val="0"/>
        <w:pageBreakBefore w:val="0"/>
        <w:kinsoku/>
        <w:wordWrap/>
        <w:overflowPunct/>
        <w:topLinePunct w:val="0"/>
        <w:autoSpaceDE/>
        <w:autoSpaceDN/>
        <w:bidi w:val="0"/>
        <w:spacing w:after="0" w:line="530" w:lineRule="exact"/>
        <w:ind w:left="0" w:leftChars="0" w:firstLine="640" w:firstLineChars="200"/>
        <w:textAlignment w:val="auto"/>
        <w:rPr>
          <w:rFonts w:hint="eastAsia" w:ascii="Times New Roman" w:hAnsi="Times New Roman" w:eastAsia="仿宋_GB2312" w:cs="Times New Roman"/>
          <w:b w:val="0"/>
          <w:bCs w:val="0"/>
          <w:color w:val="auto"/>
          <w:kern w:val="0"/>
          <w:sz w:val="32"/>
          <w:szCs w:val="32"/>
          <w:highlight w:val="none"/>
          <w:u w:val="none"/>
          <w:shd w:val="clear" w:color="auto" w:fill="FFFFFF"/>
          <w:lang w:val="zh-CN" w:eastAsia="zh-CN" w:bidi="ar-SA"/>
        </w:rPr>
      </w:pPr>
      <w:r>
        <w:rPr>
          <w:rFonts w:hint="eastAsia" w:ascii="Times New Roman" w:hAnsi="Times New Roman" w:eastAsia="仿宋_GB2312" w:cs="Times New Roman"/>
          <w:b w:val="0"/>
          <w:bCs w:val="0"/>
          <w:color w:val="auto"/>
          <w:kern w:val="0"/>
          <w:sz w:val="32"/>
          <w:szCs w:val="32"/>
          <w:highlight w:val="none"/>
          <w:u w:val="none"/>
          <w:shd w:val="clear" w:color="auto" w:fill="FFFFFF"/>
          <w:lang w:val="zh-CN" w:eastAsia="zh-CN" w:bidi="ar-SA"/>
        </w:rPr>
        <w:t>希望加大对经济发展落后及偏远地区的中小企业支持力度，阶梯式的进行财政专项资金补助。</w:t>
      </w:r>
    </w:p>
    <w:p>
      <w:pPr>
        <w:keepNext w:val="0"/>
        <w:keepLines w:val="0"/>
        <w:pageBreakBefore w:val="0"/>
        <w:kinsoku/>
        <w:overflowPunct/>
        <w:topLinePunct w:val="0"/>
        <w:autoSpaceDE/>
        <w:autoSpaceDN/>
        <w:bidi w:val="0"/>
        <w:spacing w:line="530" w:lineRule="exact"/>
        <w:textAlignment w:val="auto"/>
        <w:rPr>
          <w:rFonts w:hint="eastAsia" w:ascii="Times New Roman" w:hAnsi="Times New Roman" w:eastAsia="仿宋_GB2312" w:cs="Times New Roman"/>
          <w:b w:val="0"/>
          <w:bCs w:val="0"/>
          <w:color w:val="auto"/>
          <w:kern w:val="0"/>
          <w:sz w:val="32"/>
          <w:szCs w:val="32"/>
          <w:highlight w:val="none"/>
          <w:u w:val="none"/>
          <w:shd w:val="clear" w:color="auto" w:fill="FFFFFF"/>
          <w:lang w:val="zh-CN" w:eastAsia="zh-CN" w:bidi="ar-SA"/>
        </w:rPr>
      </w:pPr>
    </w:p>
    <w:p>
      <w:pPr>
        <w:keepNext w:val="0"/>
        <w:keepLines w:val="0"/>
        <w:pageBreakBefore w:val="0"/>
        <w:widowControl w:val="0"/>
        <w:suppressAutoHyphens/>
        <w:kinsoku/>
        <w:wordWrap w:val="0"/>
        <w:overflowPunct/>
        <w:topLinePunct w:val="0"/>
        <w:autoSpaceDE/>
        <w:autoSpaceDN/>
        <w:bidi w:val="0"/>
        <w:adjustRightInd/>
        <w:snapToGrid/>
        <w:spacing w:line="530" w:lineRule="exact"/>
        <w:ind w:firstLine="640" w:firstLineChars="200"/>
        <w:jc w:val="right"/>
        <w:textAlignment w:val="auto"/>
        <w:rPr>
          <w:rFonts w:hint="default" w:ascii="Times New Roman" w:hAnsi="Times New Roman" w:eastAsia="仿宋_GB2312" w:cs="Times New Roman"/>
          <w:b w:val="0"/>
          <w:bCs w:val="0"/>
          <w:color w:val="000000"/>
          <w:kern w:val="0"/>
          <w:sz w:val="32"/>
          <w:szCs w:val="32"/>
          <w:highlight w:val="none"/>
          <w:u w:val="none"/>
          <w:shd w:val="clear" w:color="auto" w:fill="FFFFFF"/>
          <w:lang w:val="en-US" w:eastAsia="zh-CN" w:bidi="ar-SA"/>
        </w:rPr>
      </w:pPr>
      <w:r>
        <w:rPr>
          <w:rFonts w:hint="eastAsia" w:ascii="Times New Roman" w:hAnsi="Times New Roman" w:eastAsia="仿宋_GB2312" w:cs="Times New Roman"/>
          <w:b w:val="0"/>
          <w:bCs w:val="0"/>
          <w:color w:val="auto"/>
          <w:kern w:val="0"/>
          <w:sz w:val="32"/>
          <w:szCs w:val="32"/>
          <w:highlight w:val="none"/>
          <w:u w:val="none"/>
          <w:shd w:val="clear" w:color="auto" w:fill="FFFFFF"/>
          <w:lang w:val="en-US" w:eastAsia="zh-CN" w:bidi="ar-SA"/>
        </w:rPr>
        <w:t>附件：广元市昭化区财政项目支出绩效自评表</w:t>
      </w:r>
      <w:r>
        <w:rPr>
          <w:rFonts w:hint="default" w:ascii="Times New Roman" w:hAnsi="Times New Roman" w:eastAsia="仿宋_GB2312" w:cs="Times New Roman"/>
          <w:b w:val="0"/>
          <w:bCs w:val="0"/>
          <w:color w:val="000000"/>
          <w:kern w:val="0"/>
          <w:sz w:val="32"/>
          <w:szCs w:val="32"/>
          <w:highlight w:val="none"/>
          <w:u w:val="none"/>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default" w:ascii="Times New Roman" w:hAnsi="Times New Roman" w:eastAsia="仿宋_GB2312" w:cs="Times New Roman"/>
          <w:b w:val="0"/>
          <w:bCs w:val="0"/>
          <w:color w:val="000000"/>
          <w:kern w:val="0"/>
          <w:sz w:val="32"/>
          <w:szCs w:val="32"/>
          <w:highlight w:val="none"/>
          <w:u w:val="none"/>
          <w:shd w:val="clear" w:color="auto" w:fill="FFFFFF"/>
          <w:lang w:val="en-US" w:eastAsia="zh-CN" w:bidi="ar-SA"/>
        </w:rPr>
      </w:pPr>
      <w:r>
        <w:rPr>
          <w:rFonts w:hint="default" w:ascii="Times New Roman" w:hAnsi="Times New Roman" w:eastAsia="仿宋_GB2312" w:cs="Times New Roman"/>
          <w:b w:val="0"/>
          <w:bCs w:val="0"/>
          <w:color w:val="000000"/>
          <w:kern w:val="0"/>
          <w:sz w:val="32"/>
          <w:szCs w:val="32"/>
          <w:highlight w:val="none"/>
          <w:u w:val="none"/>
          <w:shd w:val="clear" w:color="auto" w:fill="FFFFFF"/>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sz w:val="32"/>
          <w:szCs w:val="40"/>
          <w:lang w:val="zh-CN"/>
        </w:rPr>
      </w:pPr>
      <w:r>
        <w:rPr>
          <w:rFonts w:hint="eastAsia" w:ascii="方正小标宋简体" w:hAnsi="方正小标宋简体" w:eastAsia="方正小标宋简体" w:cs="方正小标宋简体"/>
          <w:sz w:val="32"/>
          <w:szCs w:val="40"/>
          <w:lang w:val="zh-CN"/>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1"/>
          <w:szCs w:val="21"/>
          <w:lang w:val="en-US" w:eastAsia="zh-CN"/>
        </w:rPr>
      </w:pPr>
      <w:r>
        <w:rPr>
          <w:rFonts w:hint="eastAsia" w:cs="Times New Roman"/>
          <w:sz w:val="21"/>
          <w:szCs w:val="21"/>
          <w:lang w:val="zh-CN"/>
        </w:rPr>
        <w:t>（</w:t>
      </w:r>
      <w:r>
        <w:rPr>
          <w:rFonts w:hint="eastAsia" w:cs="Times New Roman"/>
          <w:sz w:val="21"/>
          <w:szCs w:val="21"/>
          <w:lang w:val="en-US" w:eastAsia="zh-CN"/>
        </w:rPr>
        <w:t>2022年度）</w:t>
      </w:r>
    </w:p>
    <w:tbl>
      <w:tblPr>
        <w:tblStyle w:val="17"/>
        <w:tblW w:w="9123" w:type="dxa"/>
        <w:tblInd w:w="-444" w:type="dxa"/>
        <w:tblLayout w:type="fixed"/>
        <w:tblCellMar>
          <w:top w:w="0" w:type="dxa"/>
          <w:left w:w="0" w:type="dxa"/>
          <w:bottom w:w="0" w:type="dxa"/>
          <w:right w:w="0" w:type="dxa"/>
        </w:tblCellMar>
      </w:tblPr>
      <w:tblGrid>
        <w:gridCol w:w="864"/>
        <w:gridCol w:w="520"/>
        <w:gridCol w:w="987"/>
        <w:gridCol w:w="349"/>
        <w:gridCol w:w="1299"/>
        <w:gridCol w:w="1360"/>
        <w:gridCol w:w="35"/>
        <w:gridCol w:w="2"/>
        <w:gridCol w:w="932"/>
        <w:gridCol w:w="945"/>
        <w:gridCol w:w="1830"/>
      </w:tblGrid>
      <w:tr>
        <w:tblPrEx>
          <w:tblCellMar>
            <w:top w:w="0" w:type="dxa"/>
            <w:left w:w="0" w:type="dxa"/>
            <w:bottom w:w="0" w:type="dxa"/>
            <w:right w:w="0" w:type="dxa"/>
          </w:tblCellMar>
        </w:tblPrEx>
        <w:trPr>
          <w:trHeight w:val="417" w:hRule="exact"/>
        </w:trPr>
        <w:tc>
          <w:tcPr>
            <w:tcW w:w="864"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项目（政策）名称</w:t>
            </w:r>
          </w:p>
        </w:tc>
        <w:tc>
          <w:tcPr>
            <w:tcW w:w="8259" w:type="dxa"/>
            <w:gridSpan w:val="10"/>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eastAsia="zh-CN"/>
              </w:rPr>
              <w:t>2022年度第</w:t>
            </w:r>
            <w:r>
              <w:rPr>
                <w:rFonts w:hint="eastAsia" w:ascii="宋体" w:hAnsi="宋体" w:cs="宋体"/>
                <w:i w:val="0"/>
                <w:color w:val="000000"/>
                <w:sz w:val="15"/>
                <w:szCs w:val="15"/>
                <w:u w:val="none"/>
                <w:lang w:val="en-US" w:eastAsia="zh-CN"/>
              </w:rPr>
              <w:t>一</w:t>
            </w:r>
            <w:r>
              <w:rPr>
                <w:rFonts w:hint="eastAsia" w:ascii="宋体" w:hAnsi="宋体" w:eastAsia="宋体" w:cs="宋体"/>
                <w:i w:val="0"/>
                <w:color w:val="000000"/>
                <w:sz w:val="15"/>
                <w:szCs w:val="15"/>
                <w:u w:val="none"/>
                <w:lang w:eastAsia="zh-CN"/>
              </w:rPr>
              <w:t>批省级中小企业发展专项资金</w:t>
            </w:r>
          </w:p>
        </w:tc>
      </w:tr>
      <w:tr>
        <w:tblPrEx>
          <w:tblCellMar>
            <w:top w:w="0" w:type="dxa"/>
            <w:left w:w="0" w:type="dxa"/>
            <w:bottom w:w="0" w:type="dxa"/>
            <w:right w:w="0" w:type="dxa"/>
          </w:tblCellMar>
        </w:tblPrEx>
        <w:trPr>
          <w:trHeight w:val="454" w:hRule="atLeast"/>
        </w:trPr>
        <w:tc>
          <w:tcPr>
            <w:tcW w:w="864"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主管部门</w:t>
            </w:r>
          </w:p>
        </w:tc>
        <w:tc>
          <w:tcPr>
            <w:tcW w:w="4552" w:type="dxa"/>
            <w:gridSpan w:val="7"/>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广元市昭化区经济信息化和科学技术局</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实施单位</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中纺粮油（广元）有限公司</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广元杰诺印务有限公司</w:t>
            </w:r>
          </w:p>
        </w:tc>
      </w:tr>
      <w:tr>
        <w:tblPrEx>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项目（政策）资金（万元）</w:t>
            </w: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年初预算</w:t>
            </w: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全年预算数</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全年执行数</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执行率</w:t>
            </w:r>
          </w:p>
        </w:tc>
      </w:tr>
      <w:tr>
        <w:tblPrEx>
          <w:tblCellMar>
            <w:top w:w="0" w:type="dxa"/>
            <w:left w:w="0" w:type="dxa"/>
            <w:bottom w:w="0" w:type="dxa"/>
            <w:right w:w="0" w:type="dxa"/>
          </w:tblCellMar>
        </w:tblPrEx>
        <w:trPr>
          <w:trHeight w:val="179"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年度资金总额</w:t>
            </w:r>
          </w:p>
        </w:tc>
        <w:tc>
          <w:tcPr>
            <w:tcW w:w="129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rPr>
            </w:pPr>
            <w:r>
              <w:rPr>
                <w:rFonts w:hint="eastAsia" w:ascii="宋体" w:hAnsi="宋体" w:cs="宋体"/>
                <w:i w:val="0"/>
                <w:color w:val="000000"/>
                <w:sz w:val="15"/>
                <w:szCs w:val="15"/>
                <w:u w:val="none"/>
                <w:lang w:val="en-US" w:eastAsia="zh-CN"/>
              </w:rPr>
              <w:t>67</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67</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100%</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（一）财政拨款小计</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5"/>
                <w:szCs w:val="15"/>
                <w:u w:val="none"/>
              </w:rPr>
            </w:pPr>
            <w:r>
              <w:rPr>
                <w:rFonts w:hint="eastAsia" w:ascii="宋体" w:hAnsi="宋体" w:cs="宋体"/>
                <w:i w:val="0"/>
                <w:color w:val="000000"/>
                <w:sz w:val="15"/>
                <w:szCs w:val="15"/>
                <w:u w:val="none"/>
                <w:lang w:val="en-US" w:eastAsia="zh-CN"/>
              </w:rPr>
              <w:t>67</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5"/>
                <w:szCs w:val="15"/>
                <w:u w:val="none"/>
              </w:rPr>
            </w:pPr>
            <w:r>
              <w:rPr>
                <w:rFonts w:hint="eastAsia" w:ascii="宋体" w:hAnsi="宋体" w:cs="宋体"/>
                <w:i w:val="0"/>
                <w:color w:val="000000"/>
                <w:sz w:val="15"/>
                <w:szCs w:val="15"/>
                <w:u w:val="none"/>
                <w:lang w:val="en-US" w:eastAsia="zh-CN"/>
              </w:rPr>
              <w:t>67</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15"/>
                <w:szCs w:val="15"/>
                <w:u w:val="none"/>
              </w:rPr>
            </w:pPr>
            <w:r>
              <w:rPr>
                <w:rFonts w:hint="eastAsia" w:ascii="宋体" w:hAnsi="宋体" w:cs="宋体"/>
                <w:i w:val="0"/>
                <w:color w:val="000000"/>
                <w:sz w:val="15"/>
                <w:szCs w:val="15"/>
                <w:u w:val="none"/>
                <w:lang w:val="en-US" w:eastAsia="zh-CN"/>
              </w:rPr>
              <w:t>100%</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1.一般公共预算</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67</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67</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100%</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2.政府性基金</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3.国有资本经营预算</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4.社保基金</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（二）其他资金</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rPr>
                <w:rFonts w:hint="eastAsia" w:ascii="宋体" w:hAnsi="宋体" w:eastAsia="宋体" w:cs="宋体"/>
                <w:i w:val="0"/>
                <w:color w:val="000000"/>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年度总体目标</w:t>
            </w:r>
          </w:p>
        </w:tc>
        <w:tc>
          <w:tcPr>
            <w:tcW w:w="5484" w:type="dxa"/>
            <w:gridSpan w:val="8"/>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预期目标</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实际完成情况</w:t>
            </w:r>
          </w:p>
        </w:tc>
      </w:tr>
      <w:tr>
        <w:tblPrEx>
          <w:tblCellMar>
            <w:top w:w="0" w:type="dxa"/>
            <w:left w:w="0" w:type="dxa"/>
            <w:bottom w:w="0" w:type="dxa"/>
            <w:right w:w="0" w:type="dxa"/>
          </w:tblCellMar>
        </w:tblPrEx>
        <w:trPr>
          <w:trHeight w:val="1858" w:hRule="atLeast"/>
        </w:trPr>
        <w:tc>
          <w:tcPr>
            <w:tcW w:w="864"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484" w:type="dxa"/>
            <w:gridSpan w:val="8"/>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是中粮油脂（广元）有限公司3万吨粮油仓储及万吨优质菜籽深加工项目项目新增产能6000吨，二是广元杰诺印务有限公司食品家居及扶贫农产品配套包装厂扩建项目新增产能3200吨，获得融资200万元，共新增销售收入6550万元，新增税收52万元，新增就业60人。</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是中粮油脂（广元）有限公司3万吨粮油仓储及万吨优质菜籽深加工项目项目新增产能6175吨，二是广元杰诺印务有限公司食品家居及扶贫农产品配套包装厂扩建项目新增产能3200吨，获得融资200万元，共新增销售收入6753万元，新增税收52.5万元，新增就业60人。</w:t>
            </w:r>
          </w:p>
        </w:tc>
      </w:tr>
      <w:tr>
        <w:tblPrEx>
          <w:tblCellMar>
            <w:top w:w="0" w:type="dxa"/>
            <w:left w:w="0" w:type="dxa"/>
            <w:bottom w:w="0" w:type="dxa"/>
            <w:right w:w="0" w:type="dxa"/>
          </w:tblCellMar>
        </w:tblPrEx>
        <w:trPr>
          <w:trHeight w:val="431" w:hRule="atLeast"/>
        </w:trPr>
        <w:tc>
          <w:tcPr>
            <w:tcW w:w="864" w:type="dxa"/>
            <w:vMerge w:val="restart"/>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绩效指标</w:t>
            </w:r>
          </w:p>
        </w:tc>
        <w:tc>
          <w:tcPr>
            <w:tcW w:w="52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二级指标</w:t>
            </w: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三级指标</w:t>
            </w:r>
          </w:p>
        </w:tc>
        <w:tc>
          <w:tcPr>
            <w:tcW w:w="969" w:type="dxa"/>
            <w:gridSpan w:val="3"/>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年度指标值</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实际完成值</w:t>
            </w:r>
          </w:p>
        </w:tc>
        <w:tc>
          <w:tcPr>
            <w:tcW w:w="1830" w:type="dxa"/>
            <w:tcBorders>
              <w:top w:val="nil"/>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偏差原因分析及改进措施</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数量指标</w:t>
            </w: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中粮油脂（广元）有限公司新增产能</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6000吨</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6175吨</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广元杰诺印务有限公司新增产能</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3200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3200</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广元杰诺印务有限公司获得融资</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200</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8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质量指标</w:t>
            </w: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生产良品率</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99.5%</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99.8%</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出库良品率</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时效指标</w:t>
            </w: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cs="宋体"/>
                <w:i w:val="0"/>
                <w:color w:val="000000"/>
                <w:kern w:val="0"/>
                <w:sz w:val="15"/>
                <w:szCs w:val="15"/>
                <w:u w:val="none"/>
                <w:lang w:val="en-US" w:eastAsia="zh-CN" w:bidi="ar"/>
              </w:rPr>
              <w:t>资金</w:t>
            </w:r>
            <w:r>
              <w:rPr>
                <w:rFonts w:hint="eastAsia" w:ascii="宋体" w:hAnsi="宋体" w:eastAsia="宋体" w:cs="宋体"/>
                <w:i w:val="0"/>
                <w:color w:val="000000"/>
                <w:kern w:val="0"/>
                <w:sz w:val="15"/>
                <w:szCs w:val="15"/>
                <w:u w:val="none"/>
                <w:lang w:val="en-US" w:eastAsia="zh-CN" w:bidi="ar"/>
              </w:rPr>
              <w:t>拨付及时率</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0.2</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2023年2月拨付</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restart"/>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成本指标</w:t>
            </w: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中粮油脂（广元）有限公司事后补助额度</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41万元</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41万元</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广元杰诺印务有限公司事后补助额度</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26万元</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26万元</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效益指标</w:t>
            </w:r>
          </w:p>
        </w:tc>
        <w:tc>
          <w:tcPr>
            <w:tcW w:w="987" w:type="dxa"/>
            <w:vMerge w:val="restart"/>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带动投资（万元）</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6100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6100</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新增销售收入（万元）</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6550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6753</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新增税收（万元）</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52</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52.55</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3008"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新增就业人数（人）</w:t>
            </w:r>
          </w:p>
        </w:tc>
        <w:tc>
          <w:tcPr>
            <w:tcW w:w="969"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60</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bl>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pStyle w:val="2"/>
        <w:ind w:left="0" w:leftChars="0" w:firstLine="640" w:firstLineChars="200"/>
        <w:jc w:val="left"/>
        <w:rPr>
          <w:rFonts w:hint="eastAsia" w:ascii="仿宋_GB2312" w:hAnsi="Calibri" w:eastAsia="仿宋_GB2312" w:cs="仿宋"/>
          <w:color w:val="auto"/>
          <w:kern w:val="0"/>
          <w:sz w:val="32"/>
          <w:szCs w:val="32"/>
          <w:highlight w:val="none"/>
          <w:lang w:val="en-US" w:eastAsia="zh-CN" w:bidi="ar-SA"/>
        </w:rPr>
      </w:pPr>
    </w:p>
    <w:p>
      <w:pPr>
        <w:rPr>
          <w:rFonts w:hint="eastAsia" w:ascii="仿宋_GB2312" w:hAnsi="仿宋_GB2312" w:eastAsia="仿宋_GB2312" w:cs="仿宋_GB2312"/>
          <w:bCs/>
          <w:color w:val="000000"/>
          <w:kern w:val="0"/>
          <w:sz w:val="32"/>
          <w:szCs w:val="32"/>
          <w:highlight w:val="none"/>
          <w:lang w:val="en-US" w:eastAsia="zh-CN" w:bidi="ar-SA"/>
        </w:rPr>
      </w:pPr>
      <w:r>
        <w:rPr>
          <w:rFonts w:hint="eastAsia" w:ascii="仿宋_GB2312" w:hAnsi="仿宋_GB2312" w:eastAsia="仿宋_GB2312" w:cs="仿宋_GB2312"/>
          <w:bCs/>
          <w:color w:val="000000"/>
          <w:kern w:val="0"/>
          <w:sz w:val="32"/>
          <w:szCs w:val="32"/>
          <w:highlight w:val="none"/>
          <w:lang w:val="en-US" w:eastAsia="zh-CN" w:bidi="ar-SA"/>
        </w:rPr>
        <w:br w:type="page"/>
      </w:r>
    </w:p>
    <w:p>
      <w:pPr>
        <w:keepNext w:val="0"/>
        <w:keepLines w:val="0"/>
        <w:pageBreakBefore w:val="0"/>
        <w:widowControl w:val="0"/>
        <w:suppressAutoHyphens/>
        <w:kinsoku/>
        <w:wordWrap/>
        <w:overflowPunct w:val="0"/>
        <w:topLinePunct/>
        <w:autoSpaceDE w:val="0"/>
        <w:autoSpaceDN/>
        <w:bidi w:val="0"/>
        <w:adjustRightInd/>
        <w:snapToGrid/>
        <w:spacing w:line="600" w:lineRule="exact"/>
        <w:ind w:left="0" w:leftChars="0" w:firstLine="0" w:firstLineChars="0"/>
        <w:jc w:val="both"/>
        <w:textAlignment w:val="auto"/>
        <w:rPr>
          <w:rFonts w:hint="eastAsia" w:ascii="仿宋_GB2312" w:hAnsi="仿宋_GB2312" w:eastAsia="仿宋_GB2312" w:cs="仿宋_GB2312"/>
          <w:bCs/>
          <w:color w:val="000000"/>
          <w:kern w:val="0"/>
          <w:sz w:val="32"/>
          <w:szCs w:val="32"/>
          <w:highlight w:val="none"/>
          <w:lang w:val="en-US" w:eastAsia="zh-CN" w:bidi="ar-SA"/>
        </w:rPr>
      </w:pPr>
      <w:r>
        <w:rPr>
          <w:rFonts w:hint="eastAsia" w:ascii="仿宋_GB2312" w:hAnsi="仿宋_GB2312" w:eastAsia="仿宋_GB2312" w:cs="仿宋_GB2312"/>
          <w:bCs/>
          <w:color w:val="000000"/>
          <w:kern w:val="0"/>
          <w:sz w:val="32"/>
          <w:szCs w:val="32"/>
          <w:highlight w:val="none"/>
          <w:lang w:val="en-US" w:eastAsia="zh-CN" w:bidi="ar-SA"/>
        </w:rPr>
        <w:t>附件4：</w:t>
      </w:r>
    </w:p>
    <w:p>
      <w:pPr>
        <w:keepNext w:val="0"/>
        <w:keepLines w:val="0"/>
        <w:pageBreakBefore w:val="0"/>
        <w:widowControl w:val="0"/>
        <w:suppressAutoHyphens/>
        <w:kinsoku/>
        <w:wordWrap/>
        <w:overflowPunct w:val="0"/>
        <w:topLinePunct/>
        <w:autoSpaceDE w:val="0"/>
        <w:autoSpaceDN/>
        <w:bidi w:val="0"/>
        <w:adjustRightInd/>
        <w:snapToGrid/>
        <w:spacing w:line="576" w:lineRule="exact"/>
        <w:ind w:left="0" w:leftChars="0" w:firstLine="0" w:firstLineChars="0"/>
        <w:jc w:val="center"/>
        <w:textAlignment w:val="auto"/>
        <w:rPr>
          <w:rFonts w:hint="default" w:ascii="Times New Roman" w:hAnsi="Times New Roman" w:eastAsia="方正小标宋简体" w:cs="Times New Roman"/>
          <w:bCs/>
          <w:color w:val="000000"/>
          <w:kern w:val="0"/>
          <w:sz w:val="36"/>
          <w:szCs w:val="36"/>
          <w:highlight w:val="none"/>
          <w:lang w:val="en-US" w:eastAsia="zh-CN" w:bidi="ar-SA"/>
        </w:rPr>
      </w:pPr>
      <w:r>
        <w:rPr>
          <w:rFonts w:hint="default" w:ascii="Times New Roman" w:hAnsi="Times New Roman" w:eastAsia="方正小标宋简体" w:cs="Times New Roman"/>
          <w:bCs/>
          <w:color w:val="000000"/>
          <w:kern w:val="0"/>
          <w:sz w:val="36"/>
          <w:szCs w:val="36"/>
          <w:highlight w:val="none"/>
          <w:lang w:val="en-US" w:eastAsia="zh-CN" w:bidi="ar-SA"/>
        </w:rPr>
        <w:t>广元市昭化区经济信息化和科学技术局</w:t>
      </w:r>
    </w:p>
    <w:p>
      <w:pPr>
        <w:keepNext w:val="0"/>
        <w:keepLines w:val="0"/>
        <w:pageBreakBefore w:val="0"/>
        <w:widowControl w:val="0"/>
        <w:suppressAutoHyphens/>
        <w:kinsoku/>
        <w:wordWrap/>
        <w:overflowPunct w:val="0"/>
        <w:topLinePunct/>
        <w:autoSpaceDE w:val="0"/>
        <w:autoSpaceDN/>
        <w:bidi w:val="0"/>
        <w:adjustRightInd/>
        <w:snapToGrid/>
        <w:spacing w:line="576" w:lineRule="exact"/>
        <w:ind w:left="0" w:leftChars="0" w:firstLine="0" w:firstLineChars="0"/>
        <w:jc w:val="center"/>
        <w:textAlignment w:val="auto"/>
        <w:rPr>
          <w:rFonts w:hint="default" w:ascii="Times New Roman" w:hAnsi="Times New Roman" w:eastAsia="方正小标宋简体" w:cs="Times New Roman"/>
          <w:bCs/>
          <w:color w:val="000000"/>
          <w:sz w:val="36"/>
          <w:szCs w:val="36"/>
          <w:highlight w:val="none"/>
          <w:lang w:val="en-US" w:eastAsia="zh-CN"/>
        </w:rPr>
      </w:pPr>
      <w:r>
        <w:rPr>
          <w:rFonts w:hint="default" w:ascii="Times New Roman" w:hAnsi="Times New Roman" w:eastAsia="方正小标宋简体" w:cs="Times New Roman"/>
          <w:bCs/>
          <w:color w:val="000000"/>
          <w:kern w:val="0"/>
          <w:sz w:val="36"/>
          <w:szCs w:val="36"/>
          <w:highlight w:val="none"/>
          <w:lang w:val="en-US" w:eastAsia="zh-CN" w:bidi="ar-SA"/>
        </w:rPr>
        <w:t>关于</w:t>
      </w:r>
      <w:r>
        <w:rPr>
          <w:rFonts w:hint="default" w:ascii="Times New Roman" w:hAnsi="Times New Roman" w:eastAsia="方正小标宋简体" w:cs="Times New Roman"/>
          <w:bCs/>
          <w:color w:val="000000"/>
          <w:sz w:val="36"/>
          <w:szCs w:val="36"/>
          <w:highlight w:val="none"/>
          <w:lang w:val="en-US" w:eastAsia="zh-CN"/>
        </w:rPr>
        <w:t>预下达</w:t>
      </w:r>
      <w:r>
        <w:rPr>
          <w:rFonts w:hint="default" w:ascii="Times New Roman" w:hAnsi="Times New Roman" w:eastAsia="方正小标宋简体" w:cs="Times New Roman"/>
          <w:bCs/>
          <w:color w:val="000000"/>
          <w:kern w:val="0"/>
          <w:sz w:val="36"/>
          <w:szCs w:val="36"/>
          <w:highlight w:val="none"/>
          <w:lang w:val="en-US" w:eastAsia="zh-CN" w:bidi="ar-SA"/>
        </w:rPr>
        <w:t>2022年度</w:t>
      </w:r>
      <w:r>
        <w:rPr>
          <w:rFonts w:hint="eastAsia" w:ascii="Times New Roman" w:hAnsi="Times New Roman" w:eastAsia="方正小标宋简体" w:cs="Times New Roman"/>
          <w:bCs/>
          <w:color w:val="000000"/>
          <w:sz w:val="36"/>
          <w:szCs w:val="36"/>
          <w:highlight w:val="none"/>
          <w:lang w:val="en-US" w:eastAsia="zh-CN"/>
        </w:rPr>
        <w:t>“</w:t>
      </w:r>
      <w:r>
        <w:rPr>
          <w:rFonts w:hint="default" w:ascii="Times New Roman" w:hAnsi="Times New Roman" w:eastAsia="方正小标宋简体" w:cs="Times New Roman"/>
          <w:bCs/>
          <w:color w:val="000000"/>
          <w:sz w:val="36"/>
          <w:szCs w:val="36"/>
          <w:highlight w:val="none"/>
          <w:lang w:val="en-US" w:eastAsia="zh-CN"/>
        </w:rPr>
        <w:t>转企升规</w:t>
      </w:r>
      <w:r>
        <w:rPr>
          <w:rFonts w:hint="eastAsia" w:ascii="Times New Roman" w:hAnsi="Times New Roman" w:eastAsia="方正小标宋简体" w:cs="Times New Roman"/>
          <w:bCs/>
          <w:color w:val="000000"/>
          <w:sz w:val="36"/>
          <w:szCs w:val="36"/>
          <w:highlight w:val="none"/>
          <w:lang w:val="en-US" w:eastAsia="zh-CN"/>
        </w:rPr>
        <w:t>”</w:t>
      </w:r>
      <w:r>
        <w:rPr>
          <w:rFonts w:hint="default" w:ascii="Times New Roman" w:hAnsi="Times New Roman" w:eastAsia="方正小标宋简体" w:cs="Times New Roman"/>
          <w:bCs/>
          <w:color w:val="000000"/>
          <w:sz w:val="36"/>
          <w:szCs w:val="36"/>
          <w:highlight w:val="none"/>
          <w:lang w:val="en-US" w:eastAsia="zh-CN"/>
        </w:rPr>
        <w:t>财政激励资金绩效的自评报告</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firstLine="0" w:firstLineChars="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根据《广元市昭化区财政局关于开展2023年部门、政策和项目支出绩效评价工作的通知》（昭财发〔2023〕12号）文件精神，</w:t>
      </w:r>
      <w:r>
        <w:rPr>
          <w:rFonts w:hint="eastAsia" w:eastAsia="仿宋_GB2312" w:cs="Times New Roman"/>
          <w:i w:val="0"/>
          <w:iCs w:val="0"/>
          <w:caps w:val="0"/>
          <w:color w:val="000000"/>
          <w:spacing w:val="0"/>
          <w:sz w:val="32"/>
          <w:szCs w:val="32"/>
          <w:shd w:val="clear" w:color="auto" w:fill="FFFFFF"/>
          <w:lang w:val="en-US" w:eastAsia="zh-CN"/>
        </w:rPr>
        <w:t>我单位</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认真对部门项目进行自查，现将</w:t>
      </w:r>
      <w:r>
        <w:rPr>
          <w:rFonts w:hint="eastAsia" w:eastAsia="仿宋_GB2312" w:cs="Times New Roman"/>
          <w:i w:val="0"/>
          <w:iCs w:val="0"/>
          <w:caps w:val="0"/>
          <w:color w:val="000000"/>
          <w:spacing w:val="0"/>
          <w:sz w:val="32"/>
          <w:szCs w:val="32"/>
          <w:shd w:val="clear" w:color="auto" w:fill="FFFFFF"/>
          <w:lang w:val="en-US" w:eastAsia="zh-CN"/>
        </w:rPr>
        <w:t>我单位</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预下达2022年度“转企升规”财政激励资金绩效管理情况报告如下：</w:t>
      </w:r>
    </w:p>
    <w:p>
      <w:pPr>
        <w:keepNext w:val="0"/>
        <w:keepLines w:val="0"/>
        <w:pageBreakBefore w:val="0"/>
        <w:kinsoku/>
        <w:wordWrap/>
        <w:overflowPunct w:val="0"/>
        <w:topLinePunct w:val="0"/>
        <w:autoSpaceDE/>
        <w:autoSpaceDN/>
        <w:bidi w:val="0"/>
        <w:adjustRightInd w:val="0"/>
        <w:snapToGrid w:val="0"/>
        <w:spacing w:line="576" w:lineRule="exact"/>
        <w:ind w:firstLine="640" w:firstLineChars="200"/>
        <w:jc w:val="both"/>
        <w:textAlignment w:val="auto"/>
        <w:rPr>
          <w:rFonts w:hint="default" w:ascii="Times New Roman" w:hAnsi="Times New Roman" w:eastAsia="黑体" w:cs="Times New Roman"/>
          <w:color w:val="000000"/>
          <w:sz w:val="32"/>
          <w:szCs w:val="32"/>
          <w:highlight w:val="none"/>
          <w:u w:val="none"/>
          <w:lang w:val="zh-CN"/>
        </w:rPr>
      </w:pPr>
      <w:r>
        <w:rPr>
          <w:rFonts w:hint="default" w:ascii="Times New Roman" w:hAnsi="Times New Roman" w:eastAsia="黑体" w:cs="Times New Roman"/>
          <w:color w:val="000000"/>
          <w:sz w:val="32"/>
          <w:szCs w:val="32"/>
          <w:highlight w:val="none"/>
          <w:u w:val="none"/>
        </w:rPr>
        <w:t>一、</w:t>
      </w:r>
      <w:r>
        <w:rPr>
          <w:rFonts w:hint="default" w:ascii="Times New Roman" w:hAnsi="Times New Roman" w:eastAsia="黑体" w:cs="Times New Roman"/>
          <w:color w:val="000000"/>
          <w:sz w:val="32"/>
          <w:szCs w:val="32"/>
          <w:highlight w:val="none"/>
          <w:u w:val="none"/>
          <w:lang w:val="zh-CN"/>
        </w:rPr>
        <w:t>项目概况</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color="auto" w:fill="FFFFFF"/>
          <w:lang w:val="en-US" w:eastAsia="zh-CN"/>
        </w:rPr>
      </w:pP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按照职责分工，我局承担工业发展资金项目的分级监管责任，具体职责包括</w:t>
      </w:r>
      <w:r>
        <w:rPr>
          <w:rFonts w:hint="eastAsia" w:ascii="Times New Roman" w:hAnsi="Times New Roman" w:eastAsia="仿宋_GB2312" w:cs="Times New Roman"/>
          <w:i w:val="0"/>
          <w:iCs w:val="0"/>
          <w:caps w:val="0"/>
          <w:color w:val="000000"/>
          <w:spacing w:val="0"/>
          <w:sz w:val="32"/>
          <w:szCs w:val="32"/>
          <w:shd w:val="clear" w:color="auto" w:fill="FFFFFF"/>
          <w:lang w:val="en-US" w:eastAsia="zh-CN"/>
        </w:rPr>
        <w:t>：</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开展定期检查，开展项目初审，开展监督指导，组织或协助开展项目竣工验收，对项目建设中发现的重大问题，及时向上级部门报告，建立项目监管台账，配合上级有关部门开展项目抽查、督查，做好联系工作，指导项目</w:t>
      </w:r>
      <w:r>
        <w:rPr>
          <w:rFonts w:hint="eastAsia" w:eastAsia="仿宋_GB2312" w:cs="Times New Roman"/>
          <w:i w:val="0"/>
          <w:iCs w:val="0"/>
          <w:caps w:val="0"/>
          <w:color w:val="000000"/>
          <w:spacing w:val="0"/>
          <w:sz w:val="32"/>
          <w:szCs w:val="32"/>
          <w:shd w:val="clear" w:color="auto" w:fill="FFFFFF"/>
          <w:lang w:val="en-US" w:eastAsia="zh-CN"/>
        </w:rPr>
        <w:t>单位</w:t>
      </w:r>
      <w:r>
        <w:rPr>
          <w:rFonts w:hint="default" w:ascii="Times New Roman" w:hAnsi="Times New Roman" w:eastAsia="仿宋_GB2312" w:cs="Times New Roman"/>
          <w:i w:val="0"/>
          <w:iCs w:val="0"/>
          <w:caps w:val="0"/>
          <w:color w:val="000000"/>
          <w:spacing w:val="0"/>
          <w:sz w:val="32"/>
          <w:szCs w:val="32"/>
          <w:shd w:val="clear" w:color="auto" w:fill="FFFFFF"/>
          <w:lang w:val="en-US" w:eastAsia="zh-CN"/>
        </w:rPr>
        <w:t>开展项目绩效评价等相关工作。</w:t>
      </w:r>
    </w:p>
    <w:p>
      <w:pPr>
        <w:pStyle w:val="3"/>
        <w:keepNext w:val="0"/>
        <w:keepLines w:val="0"/>
        <w:pageBreakBefore w:val="0"/>
        <w:widowControl w:val="0"/>
        <w:kinsoku/>
        <w:wordWrap/>
        <w:overflowPunct w:val="0"/>
        <w:topLinePunct w:val="0"/>
        <w:autoSpaceDE/>
        <w:autoSpaceDN/>
        <w:bidi w:val="0"/>
        <w:spacing w:after="0" w:line="576" w:lineRule="exact"/>
        <w:ind w:left="0" w:leftChars="0" w:firstLine="643" w:firstLineChars="200"/>
        <w:jc w:val="both"/>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en-US" w:eastAsia="zh-CN"/>
        </w:rPr>
        <w:t>（一）</w:t>
      </w:r>
      <w:r>
        <w:rPr>
          <w:rFonts w:hint="default" w:ascii="Times New Roman" w:hAnsi="Times New Roman" w:eastAsia="楷体_GB2312" w:cs="Times New Roman"/>
          <w:b/>
          <w:sz w:val="32"/>
          <w:szCs w:val="32"/>
          <w:lang w:val="zh-CN"/>
        </w:rPr>
        <w:t>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pP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该资金不须申报，由省经济和信息化厅根据省统计局提供的2021年昭化区</w:t>
      </w:r>
      <w:r>
        <w:rPr>
          <w:rFonts w:hint="eastAsia" w:ascii="仿宋_GB2312" w:hAnsi="仿宋_GB2312" w:eastAsia="仿宋_GB2312" w:cs="仿宋_GB2312"/>
          <w:color w:val="auto"/>
          <w:kern w:val="0"/>
          <w:sz w:val="32"/>
          <w:szCs w:val="32"/>
          <w:lang w:val="en-US" w:eastAsia="zh-CN" w:bidi="ar"/>
        </w:rPr>
        <w:t>“小升规</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”工业企业个数预计2022年</w:t>
      </w:r>
      <w:r>
        <w:rPr>
          <w:rFonts w:hint="eastAsia" w:ascii="仿宋_GB2312" w:hAnsi="仿宋_GB2312" w:eastAsia="仿宋_GB2312" w:cs="仿宋_GB2312"/>
          <w:color w:val="auto"/>
          <w:kern w:val="0"/>
          <w:sz w:val="32"/>
          <w:szCs w:val="32"/>
          <w:lang w:val="en-US" w:eastAsia="zh-CN" w:bidi="ar"/>
        </w:rPr>
        <w:t>“小升规”</w:t>
      </w:r>
      <w:r>
        <w:rPr>
          <w:rFonts w:hint="eastAsia" w:ascii="仿宋_GB2312" w:hAnsi="仿宋_GB2312" w:eastAsia="仿宋_GB2312" w:cs="仿宋_GB2312"/>
          <w:i w:val="0"/>
          <w:iCs w:val="0"/>
          <w:caps w:val="0"/>
          <w:color w:val="000000"/>
          <w:spacing w:val="0"/>
          <w:kern w:val="2"/>
          <w:sz w:val="32"/>
          <w:szCs w:val="32"/>
          <w:highlight w:val="none"/>
          <w:shd w:val="clear" w:color="auto" w:fill="FFFFFF"/>
          <w:lang w:val="en-US" w:eastAsia="zh-CN" w:bidi="ar-SA"/>
        </w:rPr>
        <w:t>工业企业个数，按照企业1.5万元/个，预下达“转企升规”财政激励资金，</w:t>
      </w:r>
      <w:r>
        <w:rPr>
          <w:rFonts w:hint="eastAsia" w:ascii="仿宋_GB2312" w:hAnsi="仿宋_GB2312" w:eastAsia="仿宋_GB2312" w:cs="仿宋_GB2312"/>
          <w:color w:val="auto"/>
          <w:kern w:val="0"/>
          <w:sz w:val="32"/>
          <w:szCs w:val="32"/>
          <w:lang w:val="en-US" w:eastAsia="zh-CN" w:bidi="ar"/>
        </w:rPr>
        <w:t>根据广元市财政局《关于2022年度“转企升规”财政激励资金绩效的通知》（广财建〔2022〕99号），预计2022年新“小升规”工业企业7个，下达昭化区“转企升规”财政激励资金10.5万元。</w:t>
      </w:r>
    </w:p>
    <w:p>
      <w:pPr>
        <w:keepNext w:val="0"/>
        <w:keepLines w:val="0"/>
        <w:pageBreakBefore w:val="0"/>
        <w:kinsoku/>
        <w:wordWrap/>
        <w:overflowPunct/>
        <w:topLinePunct w:val="0"/>
        <w:autoSpaceDE/>
        <w:autoSpaceDN/>
        <w:bidi w:val="0"/>
        <w:adjustRightInd w:val="0"/>
        <w:snapToGrid w:val="0"/>
        <w:spacing w:line="576" w:lineRule="exact"/>
        <w:ind w:firstLine="643" w:firstLineChars="200"/>
        <w:jc w:val="both"/>
        <w:textAlignment w:val="auto"/>
        <w:rPr>
          <w:rFonts w:hint="eastAsia" w:ascii="楷体_GB2312" w:hAnsi="宋体" w:eastAsia="楷体_GB2312"/>
          <w:b/>
          <w:color w:val="000000"/>
          <w:sz w:val="32"/>
          <w:szCs w:val="32"/>
          <w:highlight w:val="none"/>
          <w:u w:val="none"/>
          <w:lang w:val="zh-CN"/>
        </w:rPr>
      </w:pPr>
      <w:r>
        <w:rPr>
          <w:rFonts w:hint="eastAsia" w:ascii="楷体_GB2312" w:hAnsi="宋体" w:eastAsia="楷体_GB2312"/>
          <w:b/>
          <w:color w:val="000000"/>
          <w:sz w:val="32"/>
          <w:szCs w:val="32"/>
          <w:highlight w:val="none"/>
          <w:u w:val="none"/>
          <w:lang w:val="zh-CN"/>
        </w:rPr>
        <w:t>（二）项目绩效目标。</w:t>
      </w:r>
    </w:p>
    <w:p>
      <w:pPr>
        <w:pStyle w:val="2"/>
        <w:keepNext w:val="0"/>
        <w:keepLines w:val="0"/>
        <w:pageBreakBefore w:val="0"/>
        <w:kinsoku/>
        <w:wordWrap/>
        <w:overflowPunct/>
        <w:topLinePunct w:val="0"/>
        <w:autoSpaceDE/>
        <w:autoSpaceDN/>
        <w:bidi w:val="0"/>
        <w:spacing w:beforeLines="0" w:after="0" w:line="576" w:lineRule="exact"/>
        <w:ind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预计</w:t>
      </w:r>
      <w:r>
        <w:rPr>
          <w:rFonts w:hint="eastAsia" w:ascii="仿宋_GB2312" w:hAnsi="仿宋_GB2312" w:eastAsia="仿宋_GB2312" w:cs="仿宋_GB2312"/>
          <w:color w:val="auto"/>
          <w:kern w:val="0"/>
          <w:sz w:val="32"/>
          <w:szCs w:val="32"/>
          <w:lang w:val="zh-CN" w:eastAsia="zh-CN" w:bidi="ar"/>
        </w:rPr>
        <w:t>2022年</w:t>
      </w:r>
      <w:r>
        <w:rPr>
          <w:rFonts w:hint="eastAsia" w:ascii="仿宋_GB2312" w:hAnsi="仿宋_GB2312" w:eastAsia="仿宋_GB2312" w:cs="仿宋_GB2312"/>
          <w:color w:val="auto"/>
          <w:kern w:val="0"/>
          <w:sz w:val="32"/>
          <w:szCs w:val="32"/>
          <w:lang w:val="en-US" w:eastAsia="zh-CN" w:bidi="ar"/>
        </w:rPr>
        <w:t>我区</w:t>
      </w:r>
      <w:r>
        <w:rPr>
          <w:rFonts w:hint="eastAsia" w:ascii="仿宋_GB2312" w:hAnsi="仿宋_GB2312" w:eastAsia="仿宋_GB2312" w:cs="仿宋_GB2312"/>
          <w:color w:val="auto"/>
          <w:kern w:val="0"/>
          <w:sz w:val="32"/>
          <w:szCs w:val="32"/>
          <w:lang w:val="zh-CN" w:eastAsia="zh-CN" w:bidi="ar"/>
        </w:rPr>
        <w:t>“</w:t>
      </w:r>
      <w:r>
        <w:rPr>
          <w:rFonts w:hint="eastAsia" w:ascii="仿宋_GB2312" w:hAnsi="仿宋_GB2312" w:eastAsia="仿宋_GB2312" w:cs="仿宋_GB2312"/>
          <w:color w:val="auto"/>
          <w:kern w:val="0"/>
          <w:sz w:val="32"/>
          <w:szCs w:val="32"/>
          <w:lang w:val="en-US" w:eastAsia="zh-CN" w:bidi="ar"/>
        </w:rPr>
        <w:t>小升规”</w:t>
      </w:r>
      <w:r>
        <w:rPr>
          <w:rFonts w:hint="eastAsia" w:ascii="仿宋_GB2312" w:hAnsi="仿宋_GB2312" w:eastAsia="仿宋_GB2312" w:cs="仿宋_GB2312"/>
          <w:color w:val="auto"/>
          <w:kern w:val="0"/>
          <w:sz w:val="32"/>
          <w:szCs w:val="32"/>
          <w:lang w:val="zh-CN" w:eastAsia="zh-CN" w:bidi="ar"/>
        </w:rPr>
        <w:t>工业工业</w:t>
      </w:r>
      <w:r>
        <w:rPr>
          <w:rFonts w:hint="eastAsia" w:ascii="仿宋_GB2312" w:hAnsi="仿宋_GB2312" w:eastAsia="仿宋_GB2312" w:cs="仿宋_GB2312"/>
          <w:color w:val="auto"/>
          <w:kern w:val="0"/>
          <w:sz w:val="32"/>
          <w:szCs w:val="32"/>
          <w:lang w:val="en-US" w:eastAsia="zh-CN" w:bidi="ar"/>
        </w:rPr>
        <w:t>以上</w:t>
      </w:r>
      <w:r>
        <w:rPr>
          <w:rFonts w:hint="eastAsia" w:ascii="仿宋_GB2312" w:hAnsi="仿宋_GB2312" w:eastAsia="仿宋_GB2312" w:cs="仿宋_GB2312"/>
          <w:color w:val="auto"/>
          <w:kern w:val="0"/>
          <w:sz w:val="32"/>
          <w:szCs w:val="32"/>
          <w:lang w:val="zh-CN" w:eastAsia="zh-CN" w:bidi="ar"/>
        </w:rPr>
        <w:t>7</w:t>
      </w:r>
      <w:r>
        <w:rPr>
          <w:rFonts w:hint="eastAsia" w:ascii="仿宋_GB2312" w:hAnsi="仿宋_GB2312" w:eastAsia="仿宋_GB2312" w:cs="仿宋_GB2312"/>
          <w:color w:val="auto"/>
          <w:kern w:val="0"/>
          <w:sz w:val="32"/>
          <w:szCs w:val="32"/>
          <w:lang w:val="en-US" w:eastAsia="zh-CN" w:bidi="ar"/>
        </w:rPr>
        <w:t>个，</w:t>
      </w:r>
      <w:r>
        <w:rPr>
          <w:rFonts w:hint="eastAsia" w:ascii="仿宋_GB2312" w:hAnsi="仿宋_GB2312" w:eastAsia="仿宋_GB2312" w:cs="仿宋_GB2312"/>
          <w:color w:val="auto"/>
          <w:kern w:val="0"/>
          <w:sz w:val="32"/>
          <w:szCs w:val="32"/>
          <w:lang w:val="zh-CN" w:eastAsia="zh-CN" w:bidi="ar"/>
        </w:rPr>
        <w:t>每</w:t>
      </w:r>
      <w:r>
        <w:rPr>
          <w:rFonts w:hint="eastAsia" w:ascii="仿宋_GB2312" w:hAnsi="仿宋_GB2312" w:eastAsia="仿宋_GB2312" w:cs="仿宋_GB2312"/>
          <w:color w:val="auto"/>
          <w:kern w:val="0"/>
          <w:sz w:val="32"/>
          <w:szCs w:val="32"/>
          <w:lang w:val="en-US" w:eastAsia="zh-CN" w:bidi="ar"/>
        </w:rPr>
        <w:t>个</w:t>
      </w:r>
      <w:r>
        <w:rPr>
          <w:rFonts w:hint="eastAsia" w:ascii="仿宋_GB2312" w:hAnsi="仿宋_GB2312" w:eastAsia="仿宋_GB2312" w:cs="仿宋_GB2312"/>
          <w:color w:val="auto"/>
          <w:kern w:val="0"/>
          <w:sz w:val="32"/>
          <w:szCs w:val="32"/>
          <w:lang w:val="zh-CN" w:eastAsia="zh-CN" w:bidi="ar"/>
        </w:rPr>
        <w:t>补助1.5万元，</w:t>
      </w:r>
      <w:r>
        <w:rPr>
          <w:rFonts w:hint="eastAsia" w:ascii="仿宋_GB2312" w:hAnsi="仿宋_GB2312" w:eastAsia="仿宋_GB2312" w:cs="仿宋_GB2312"/>
          <w:color w:val="auto"/>
          <w:kern w:val="0"/>
          <w:sz w:val="32"/>
          <w:szCs w:val="32"/>
          <w:lang w:val="en-US" w:eastAsia="zh-CN" w:bidi="ar"/>
        </w:rPr>
        <w:t>补助资金10.5万元。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（三）项目资金申报相符性。</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000000"/>
          <w:kern w:val="0"/>
          <w:sz w:val="32"/>
          <w:szCs w:val="32"/>
          <w:highlight w:val="none"/>
          <w:u w:val="none"/>
          <w:shd w:val="clear" w:color="auto" w:fill="FFFFFF"/>
          <w:lang w:val="zh-CN"/>
        </w:rPr>
      </w:pPr>
      <w:r>
        <w:rPr>
          <w:rFonts w:hint="eastAsia" w:ascii="仿宋_GB2312" w:hAnsi="仿宋_GB2312" w:eastAsia="仿宋_GB2312" w:cs="仿宋_GB2312"/>
          <w:color w:val="000000"/>
          <w:kern w:val="0"/>
          <w:sz w:val="32"/>
          <w:szCs w:val="32"/>
          <w:highlight w:val="none"/>
          <w:u w:val="none"/>
          <w:shd w:val="clear" w:color="auto" w:fill="FFFFFF"/>
          <w:lang w:val="en-US" w:eastAsia="zh-CN"/>
        </w:rPr>
        <w:t>该</w:t>
      </w:r>
      <w:r>
        <w:rPr>
          <w:rFonts w:hint="eastAsia" w:ascii="仿宋_GB2312" w:hAnsi="仿宋_GB2312" w:eastAsia="仿宋_GB2312" w:cs="仿宋_GB2312"/>
          <w:color w:val="000000"/>
          <w:kern w:val="0"/>
          <w:sz w:val="32"/>
          <w:szCs w:val="32"/>
          <w:highlight w:val="none"/>
          <w:u w:val="none"/>
          <w:shd w:val="clear" w:color="auto" w:fill="FFFFFF"/>
          <w:lang w:val="zh-CN"/>
        </w:rPr>
        <w:t>项目</w:t>
      </w:r>
      <w:r>
        <w:rPr>
          <w:rFonts w:hint="eastAsia" w:ascii="仿宋_GB2312" w:hAnsi="仿宋_GB2312" w:eastAsia="仿宋_GB2312" w:cs="仿宋_GB2312"/>
          <w:color w:val="000000"/>
          <w:kern w:val="0"/>
          <w:sz w:val="32"/>
          <w:szCs w:val="32"/>
          <w:highlight w:val="none"/>
          <w:u w:val="none"/>
          <w:shd w:val="clear" w:color="auto" w:fill="FFFFFF"/>
          <w:lang w:val="en-US" w:eastAsia="zh-CN"/>
        </w:rPr>
        <w:t>不须申报</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(四)自评步骤及方法</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000000"/>
          <w:kern w:val="0"/>
          <w:sz w:val="32"/>
          <w:szCs w:val="32"/>
          <w:highlight w:val="none"/>
          <w:u w:val="none"/>
          <w:shd w:val="clear" w:color="auto" w:fill="FFFFFF"/>
          <w:lang w:val="en-US" w:eastAsia="zh-CN"/>
        </w:rPr>
      </w:pPr>
      <w:r>
        <w:rPr>
          <w:rFonts w:hint="eastAsia" w:ascii="仿宋_GB2312" w:hAnsi="仿宋_GB2312" w:eastAsia="仿宋_GB2312" w:cs="仿宋_GB2312"/>
          <w:color w:val="000000"/>
          <w:kern w:val="0"/>
          <w:sz w:val="32"/>
          <w:szCs w:val="32"/>
          <w:highlight w:val="none"/>
          <w:u w:val="none"/>
          <w:shd w:val="clear" w:color="auto" w:fill="FFFFFF"/>
          <w:lang w:val="en-US" w:eastAsia="zh-CN"/>
        </w:rPr>
        <w:t>该项目通过统计部门评定后的2022年</w:t>
      </w:r>
      <w:r>
        <w:rPr>
          <w:rFonts w:hint="eastAsia" w:ascii="仿宋_GB2312" w:hAnsi="仿宋_GB2312" w:eastAsia="仿宋_GB2312" w:cs="仿宋_GB2312"/>
          <w:color w:val="auto"/>
          <w:kern w:val="0"/>
          <w:sz w:val="32"/>
          <w:szCs w:val="32"/>
          <w:lang w:val="en-US" w:eastAsia="zh-CN" w:bidi="ar"/>
        </w:rPr>
        <w:t>“小升规”</w:t>
      </w:r>
      <w:r>
        <w:rPr>
          <w:rFonts w:hint="eastAsia" w:ascii="仿宋_GB2312" w:hAnsi="仿宋_GB2312" w:eastAsia="仿宋_GB2312" w:cs="仿宋_GB2312"/>
          <w:color w:val="000000"/>
          <w:kern w:val="0"/>
          <w:sz w:val="32"/>
          <w:szCs w:val="32"/>
          <w:highlight w:val="none"/>
          <w:u w:val="none"/>
          <w:shd w:val="clear" w:color="auto" w:fill="FFFFFF"/>
          <w:lang w:val="en-US" w:eastAsia="zh-CN"/>
        </w:rPr>
        <w:t>工业企业个数，采用因素评价法进行部门自评。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（一）资金计划、到位及使用情况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仿宋_GB2312" w:hAnsi="仿宋_GB2312" w:eastAsia="仿宋_GB2312" w:cs="仿宋_GB2312"/>
          <w:color w:val="000000"/>
          <w:sz w:val="32"/>
          <w:szCs w:val="32"/>
          <w:highlight w:val="none"/>
          <w:u w:val="none"/>
          <w:lang w:val="zh-CN"/>
        </w:rPr>
      </w:pPr>
      <w:r>
        <w:rPr>
          <w:rFonts w:hint="eastAsia" w:ascii="仿宋_GB2312" w:hAnsi="仿宋_GB2312" w:eastAsia="仿宋_GB2312" w:cs="仿宋_GB2312"/>
          <w:sz w:val="32"/>
          <w:szCs w:val="32"/>
          <w:lang w:val="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CN"/>
        </w:rPr>
        <w:t>资金计划及到位。</w:t>
      </w:r>
    </w:p>
    <w:p>
      <w:pPr>
        <w:keepNext w:val="0"/>
        <w:keepLines w:val="0"/>
        <w:pageBreakBefore w:val="0"/>
        <w:widowControl/>
        <w:numPr>
          <w:ilvl w:val="0"/>
          <w:numId w:val="0"/>
        </w:numPr>
        <w:suppressLineNumbers w:val="0"/>
        <w:kinsoku/>
        <w:wordWrap/>
        <w:overflowPunct/>
        <w:topLinePunct w:val="0"/>
        <w:autoSpaceDE/>
        <w:autoSpaceDN/>
        <w:bidi w:val="0"/>
        <w:adjustRightIn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根据广元市财政局《关于2022年度“转企升规”财政激励资金绩效的通知》（广财建〔2022〕99号）预下达昭化区10.5万元，文件明确根据“小升规”实际完成数量据实结算。</w:t>
      </w:r>
    </w:p>
    <w:p>
      <w:pPr>
        <w:keepNext w:val="0"/>
        <w:keepLines w:val="0"/>
        <w:pageBreakBefore w:val="0"/>
        <w:widowControl/>
        <w:numPr>
          <w:ilvl w:val="0"/>
          <w:numId w:val="0"/>
        </w:numPr>
        <w:suppressLineNumbers w:val="0"/>
        <w:kinsoku/>
        <w:wordWrap/>
        <w:overflowPunct/>
        <w:topLinePunct w:val="0"/>
        <w:autoSpaceDE/>
        <w:autoSpaceDN/>
        <w:bidi w:val="0"/>
        <w:adjustRightInd/>
        <w:spacing w:line="576"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default" w:ascii="仿宋_GB2312" w:hAnsi="仿宋_GB2312" w:eastAsia="仿宋_GB2312" w:cs="仿宋_GB2312"/>
          <w:sz w:val="32"/>
          <w:szCs w:val="32"/>
          <w:lang w:val="zh-CN"/>
        </w:rPr>
        <w:t>2.资金使用。</w:t>
      </w:r>
      <w:r>
        <w:rPr>
          <w:rFonts w:hint="eastAsia" w:ascii="Times New Roman" w:hAnsi="Times New Roman" w:cs="Times New Roman"/>
          <w:sz w:val="32"/>
          <w:szCs w:val="32"/>
          <w:lang w:val="en-US" w:eastAsia="zh-CN"/>
        </w:rPr>
        <w:t>该</w:t>
      </w:r>
      <w:r>
        <w:rPr>
          <w:rFonts w:hint="eastAsia" w:ascii="仿宋_GB2312" w:hAnsi="仿宋_GB2312" w:eastAsia="仿宋_GB2312" w:cs="仿宋_GB2312"/>
          <w:color w:val="auto"/>
          <w:kern w:val="0"/>
          <w:sz w:val="32"/>
          <w:szCs w:val="32"/>
          <w:lang w:val="en-US" w:eastAsia="zh-CN" w:bidi="ar"/>
        </w:rPr>
        <w:t>项目为事后补助项目，根据2023年1月核定我区2022年度“小升规”工业企业7个，共补助10.5万元，2023年2月补助资金已全额拨付，拨付率为100%，资金效益良好。</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rPr>
          <w:rFonts w:ascii="楷体_GB2312" w:hAnsi="宋体" w:eastAsia="楷体_GB2312"/>
          <w:b/>
          <w:color w:val="000000"/>
          <w:sz w:val="32"/>
          <w:szCs w:val="32"/>
          <w:highlight w:val="none"/>
          <w:u w:val="none"/>
          <w:lang w:val="zh-CN"/>
        </w:rPr>
      </w:pPr>
      <w:r>
        <w:rPr>
          <w:rFonts w:hint="eastAsia" w:ascii="楷体_GB2312" w:hAnsi="宋体" w:eastAsia="楷体_GB2312"/>
          <w:b/>
          <w:color w:val="000000"/>
          <w:sz w:val="32"/>
          <w:szCs w:val="32"/>
          <w:highlight w:val="none"/>
          <w:u w:val="none"/>
          <w:lang w:val="zh-CN"/>
        </w:rPr>
        <w:t>（</w:t>
      </w:r>
      <w:r>
        <w:rPr>
          <w:rFonts w:hint="eastAsia" w:ascii="楷体_GB2312" w:hAnsi="宋体" w:eastAsia="楷体_GB2312"/>
          <w:b/>
          <w:color w:val="000000"/>
          <w:sz w:val="32"/>
          <w:szCs w:val="32"/>
          <w:highlight w:val="none"/>
          <w:u w:val="none"/>
          <w:lang w:val="en-US" w:eastAsia="zh-CN"/>
        </w:rPr>
        <w:t>二</w:t>
      </w:r>
      <w:r>
        <w:rPr>
          <w:rFonts w:hint="eastAsia" w:ascii="楷体_GB2312" w:hAnsi="宋体" w:eastAsia="楷体_GB2312"/>
          <w:b/>
          <w:color w:val="000000"/>
          <w:sz w:val="32"/>
          <w:szCs w:val="32"/>
          <w:highlight w:val="none"/>
          <w:u w:val="none"/>
          <w:lang w:val="zh-CN"/>
        </w:rPr>
        <w:t>）项目财务管理情况。</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t>项目</w:t>
      </w:r>
      <w:r>
        <w:rPr>
          <w:rFonts w:hint="eastAsia" w:eastAsia="仿宋_GB2312" w:cs="Times New Roman"/>
          <w:b w:val="0"/>
          <w:bCs w:val="0"/>
          <w:color w:val="auto"/>
          <w:kern w:val="0"/>
          <w:sz w:val="32"/>
          <w:szCs w:val="32"/>
          <w:highlight w:val="none"/>
          <w:u w:val="none"/>
          <w:shd w:val="clear" w:color="auto" w:fill="FFFFFF"/>
          <w:lang w:val="en-US" w:eastAsia="zh-CN" w:bidi="ar-SA"/>
        </w:rPr>
        <w:t>实施单位</w:t>
      </w: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t>财务管理制度、机构设置健全，会计核算及账务处理严格按照国家会计制度及准则执行；严格执行企业项目资金管理办法、财务账务处理及时，会计核算规范</w:t>
      </w:r>
      <w:r>
        <w:rPr>
          <w:rFonts w:hint="eastAsia" w:ascii="Times New Roman" w:hAnsi="Times New Roman" w:eastAsia="仿宋_GB2312" w:cs="Times New Roman"/>
          <w:b w:val="0"/>
          <w:bCs w:val="0"/>
          <w:color w:val="auto"/>
          <w:kern w:val="0"/>
          <w:sz w:val="32"/>
          <w:szCs w:val="32"/>
          <w:highlight w:val="none"/>
          <w:u w:val="none"/>
          <w:shd w:val="clear" w:color="auto" w:fill="FFFFFF"/>
          <w:lang w:val="en-US" w:eastAsia="zh-CN" w:bidi="ar-SA"/>
        </w:rPr>
        <w:t>。</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left="0" w:leftChars="0" w:firstLine="640" w:firstLineChars="200"/>
        <w:textAlignment w:val="auto"/>
        <w:rPr>
          <w:rFonts w:hint="eastAsia" w:ascii="黑体" w:hAnsi="宋体" w:eastAsia="黑体"/>
          <w:color w:val="000000"/>
          <w:sz w:val="32"/>
          <w:szCs w:val="32"/>
          <w:highlight w:val="none"/>
          <w:u w:val="none"/>
        </w:rPr>
      </w:pPr>
      <w:r>
        <w:rPr>
          <w:rFonts w:hint="eastAsia" w:ascii="黑体" w:hAnsi="宋体" w:eastAsia="黑体"/>
          <w:color w:val="000000"/>
          <w:sz w:val="32"/>
          <w:szCs w:val="32"/>
          <w:highlight w:val="none"/>
          <w:u w:val="none"/>
        </w:rPr>
        <w:t>（三）项目组织实施情况</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Times New Roman" w:hAnsi="Times New Roman" w:eastAsia="仿宋_GB2312" w:cs="Times New Roman"/>
          <w:b w:val="0"/>
          <w:bCs w:val="0"/>
          <w:color w:val="FF0000"/>
          <w:kern w:val="0"/>
          <w:sz w:val="32"/>
          <w:szCs w:val="32"/>
          <w:highlight w:val="none"/>
          <w:u w:val="none"/>
          <w:shd w:val="clear" w:color="auto" w:fill="FFFFFF"/>
          <w:lang w:val="en-US" w:eastAsia="zh-CN" w:bidi="ar-SA"/>
        </w:rPr>
      </w:pPr>
      <w:r>
        <w:rPr>
          <w:rFonts w:hint="eastAsia" w:ascii="Times New Roman" w:hAnsi="Times New Roman" w:eastAsia="仿宋_GB2312" w:cs="Times New Roman"/>
          <w:b w:val="0"/>
          <w:bCs w:val="0"/>
          <w:color w:val="auto"/>
          <w:kern w:val="0"/>
          <w:sz w:val="32"/>
          <w:szCs w:val="32"/>
          <w:highlight w:val="none"/>
          <w:u w:val="none"/>
          <w:shd w:val="clear" w:color="auto" w:fill="FFFFFF"/>
          <w:lang w:val="en-US" w:eastAsia="zh-CN" w:bidi="ar-SA"/>
        </w:rPr>
        <w:t>该资金为事后补助的财政激励资金，无项目组织实施过程。</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ascii="仿宋_GB2312" w:hAnsi="宋体"/>
          <w:color w:val="000000"/>
          <w:sz w:val="32"/>
          <w:szCs w:val="32"/>
          <w:highlight w:val="none"/>
          <w:u w:val="none"/>
          <w:lang w:val="zh-CN"/>
        </w:rPr>
      </w:pPr>
      <w:r>
        <w:rPr>
          <w:rFonts w:hint="eastAsia" w:ascii="黑体" w:hAnsi="宋体" w:eastAsia="黑体"/>
          <w:color w:val="000000"/>
          <w:sz w:val="32"/>
          <w:szCs w:val="32"/>
          <w:highlight w:val="none"/>
          <w:u w:val="none"/>
          <w:lang w:val="en-US" w:eastAsia="zh-CN"/>
        </w:rPr>
        <w:t>三</w:t>
      </w:r>
      <w:r>
        <w:rPr>
          <w:rFonts w:hint="eastAsia" w:ascii="黑体" w:hAnsi="宋体" w:eastAsia="黑体"/>
          <w:color w:val="000000"/>
          <w:sz w:val="32"/>
          <w:szCs w:val="32"/>
          <w:highlight w:val="none"/>
          <w:u w:val="none"/>
        </w:rPr>
        <w:t>、项目绩效情况</w:t>
      </w:r>
      <w:r>
        <w:rPr>
          <w:rFonts w:hint="eastAsia" w:ascii="仿宋_GB2312" w:hAnsi="宋体"/>
          <w:color w:val="000000"/>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（一）项目完成情况</w:t>
      </w:r>
    </w:p>
    <w:p>
      <w:pPr>
        <w:keepNext w:val="0"/>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default" w:ascii="仿宋_GB2312" w:eastAsia="仿宋_GB2312" w:cs="Times New Roman"/>
          <w:sz w:val="32"/>
          <w:szCs w:val="32"/>
          <w:lang w:val="en-US" w:eastAsia="zh-CN"/>
        </w:rPr>
      </w:pPr>
      <w:r>
        <w:rPr>
          <w:rFonts w:hint="eastAsia" w:ascii="仿宋_GB2312" w:hAnsi="仿宋_GB2312" w:eastAsia="仿宋_GB2312" w:cs="仿宋_GB2312"/>
          <w:color w:val="auto"/>
          <w:kern w:val="0"/>
          <w:sz w:val="32"/>
          <w:szCs w:val="32"/>
          <w:lang w:val="en-US" w:eastAsia="zh-CN" w:bidi="ar"/>
        </w:rPr>
        <w:t>统计局2023年1月核定我区2022年度“小升规”工业企业7个，补助资金额度为10.5万元。</w:t>
      </w:r>
    </w:p>
    <w:p>
      <w:pPr>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（二）项目效益情况</w:t>
      </w:r>
    </w:p>
    <w:p>
      <w:pPr>
        <w:pStyle w:val="3"/>
        <w:keepNext w:val="0"/>
        <w:keepLines w:val="0"/>
        <w:pageBreakBefore w:val="0"/>
        <w:kinsoku/>
        <w:wordWrap/>
        <w:overflowPunct/>
        <w:topLinePunct w:val="0"/>
        <w:autoSpaceDE/>
        <w:autoSpaceDN/>
        <w:bidi w:val="0"/>
        <w:spacing w:after="0" w:line="576" w:lineRule="exact"/>
        <w:ind w:left="0" w:leftChars="0"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实际</w:t>
      </w:r>
      <w:r>
        <w:rPr>
          <w:rFonts w:hint="default" w:ascii="仿宋_GB2312" w:hAnsi="仿宋_GB2312" w:eastAsia="仿宋_GB2312" w:cs="仿宋_GB2312"/>
          <w:color w:val="auto"/>
          <w:kern w:val="0"/>
          <w:sz w:val="32"/>
          <w:szCs w:val="32"/>
          <w:lang w:val="en-US" w:eastAsia="zh-CN" w:bidi="ar"/>
        </w:rPr>
        <w:t>完成工业企业“小升规”数</w:t>
      </w:r>
      <w:r>
        <w:rPr>
          <w:rFonts w:hint="eastAsia" w:ascii="仿宋_GB2312" w:hAnsi="仿宋_GB2312" w:eastAsia="仿宋_GB2312" w:cs="仿宋_GB2312"/>
          <w:color w:val="auto"/>
          <w:kern w:val="0"/>
          <w:sz w:val="32"/>
          <w:szCs w:val="32"/>
          <w:lang w:val="en-US" w:eastAsia="zh-CN" w:bidi="ar"/>
        </w:rPr>
        <w:t>7家，“小升规”任务实际完成率100%，规上</w:t>
      </w:r>
      <w:r>
        <w:rPr>
          <w:rFonts w:hint="default" w:ascii="仿宋_GB2312" w:hAnsi="仿宋_GB2312" w:eastAsia="仿宋_GB2312" w:cs="仿宋_GB2312"/>
          <w:color w:val="auto"/>
          <w:kern w:val="0"/>
          <w:sz w:val="32"/>
          <w:szCs w:val="32"/>
          <w:lang w:val="en-US" w:eastAsia="zh-CN" w:bidi="ar"/>
        </w:rPr>
        <w:t>工业企业</w:t>
      </w:r>
      <w:r>
        <w:rPr>
          <w:rFonts w:hint="eastAsia" w:ascii="仿宋_GB2312" w:hAnsi="仿宋_GB2312" w:eastAsia="仿宋_GB2312" w:cs="仿宋_GB2312"/>
          <w:color w:val="auto"/>
          <w:kern w:val="0"/>
          <w:sz w:val="32"/>
          <w:szCs w:val="32"/>
          <w:lang w:val="en-US" w:eastAsia="zh-CN" w:bidi="ar"/>
        </w:rPr>
        <w:t>增加7家，补助企业满意度100%。</w:t>
      </w:r>
    </w:p>
    <w:p>
      <w:pPr>
        <w:keepNext w:val="0"/>
        <w:keepLines w:val="0"/>
        <w:pageBreakBefore w:val="0"/>
        <w:kinsoku/>
        <w:wordWrap/>
        <w:overflowPunct/>
        <w:topLinePunct w:val="0"/>
        <w:autoSpaceDE/>
        <w:autoSpaceDN/>
        <w:bidi w:val="0"/>
        <w:adjustRightInd w:val="0"/>
        <w:snapToGrid w:val="0"/>
        <w:spacing w:line="576" w:lineRule="exact"/>
        <w:ind w:firstLine="720"/>
        <w:textAlignment w:val="auto"/>
        <w:rPr>
          <w:rFonts w:hint="eastAsia" w:ascii="黑体" w:hAnsi="黑体" w:eastAsia="黑体" w:cs="黑体"/>
          <w:i w:val="0"/>
          <w:iCs w:val="0"/>
          <w:caps w:val="0"/>
          <w:color w:val="000000"/>
          <w:spacing w:val="0"/>
          <w:kern w:val="2"/>
          <w:sz w:val="32"/>
          <w:szCs w:val="32"/>
          <w:highlight w:val="none"/>
          <w:shd w:val="clear" w:color="auto" w:fill="FFFFFF"/>
          <w:lang w:val="en-US" w:eastAsia="zh-CN" w:bidi="ar-SA"/>
        </w:rPr>
      </w:pPr>
      <w:r>
        <w:rPr>
          <w:rFonts w:hint="eastAsia" w:ascii="黑体" w:hAnsi="黑体" w:eastAsia="黑体" w:cs="黑体"/>
          <w:i w:val="0"/>
          <w:iCs w:val="0"/>
          <w:caps w:val="0"/>
          <w:color w:val="000000"/>
          <w:spacing w:val="0"/>
          <w:kern w:val="2"/>
          <w:sz w:val="32"/>
          <w:szCs w:val="32"/>
          <w:highlight w:val="none"/>
          <w:shd w:val="clear" w:color="auto" w:fill="FFFFFF"/>
          <w:lang w:val="en-US" w:eastAsia="zh-CN" w:bidi="ar-SA"/>
        </w:rPr>
        <w:t>四、评价结论及问题建议</w:t>
      </w:r>
    </w:p>
    <w:p>
      <w:pPr>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楷体_GB2312" w:cs="Times New Roman"/>
          <w:b w:val="0"/>
          <w:bCs w:val="0"/>
          <w:color w:val="auto"/>
          <w:sz w:val="32"/>
          <w:szCs w:val="32"/>
          <w:highlight w:val="none"/>
          <w:u w:val="none"/>
          <w:lang w:val="zh-CN"/>
        </w:rPr>
      </w:pPr>
      <w:r>
        <w:rPr>
          <w:rFonts w:hint="default" w:ascii="Times New Roman" w:hAnsi="Times New Roman" w:eastAsia="楷体_GB2312" w:cs="Times New Roman"/>
          <w:b w:val="0"/>
          <w:bCs w:val="0"/>
          <w:color w:val="auto"/>
          <w:sz w:val="32"/>
          <w:szCs w:val="32"/>
          <w:highlight w:val="none"/>
          <w:u w:val="none"/>
          <w:lang w:val="zh-CN"/>
        </w:rPr>
        <w:t>（一）评价结论。</w:t>
      </w:r>
    </w:p>
    <w:p>
      <w:pPr>
        <w:pStyle w:val="3"/>
        <w:keepNext w:val="0"/>
        <w:keepLines w:val="0"/>
        <w:pageBreakBefore w:val="0"/>
        <w:kinsoku/>
        <w:wordWrap/>
        <w:overflowPunct/>
        <w:topLinePunct w:val="0"/>
        <w:autoSpaceDE/>
        <w:autoSpaceDN/>
        <w:bidi w:val="0"/>
        <w:spacing w:after="0" w:line="576" w:lineRule="exact"/>
        <w:ind w:left="0" w:leftChars="0" w:firstLine="640" w:firstLineChars="200"/>
        <w:textAlignment w:val="auto"/>
        <w:rPr>
          <w:rFonts w:hint="eastAsia" w:eastAsia="仿宋_GB2312" w:cs="Times New Roman"/>
          <w:b w:val="0"/>
          <w:bCs w:val="0"/>
          <w:color w:val="auto"/>
          <w:kern w:val="0"/>
          <w:sz w:val="32"/>
          <w:szCs w:val="32"/>
          <w:highlight w:val="none"/>
          <w:u w:val="none"/>
          <w:shd w:val="clear" w:color="auto" w:fill="FFFFFF"/>
          <w:lang w:val="en-US" w:eastAsia="zh-CN" w:bidi="ar-SA"/>
        </w:rPr>
      </w:pPr>
      <w:r>
        <w:rPr>
          <w:rFonts w:hint="eastAsia" w:eastAsia="仿宋_GB2312" w:cs="Times New Roman"/>
          <w:b w:val="0"/>
          <w:bCs w:val="0"/>
          <w:color w:val="auto"/>
          <w:kern w:val="0"/>
          <w:sz w:val="32"/>
          <w:szCs w:val="32"/>
          <w:highlight w:val="none"/>
          <w:u w:val="none"/>
          <w:shd w:val="clear" w:color="auto" w:fill="FFFFFF"/>
          <w:lang w:val="en-US" w:eastAsia="zh-CN" w:bidi="ar-SA"/>
        </w:rPr>
        <w:t>该项目为预下达资金，各项绩效目标任务完成较好，自评得分为97分。</w:t>
      </w:r>
    </w:p>
    <w:p>
      <w:pPr>
        <w:keepNext w:val="0"/>
        <w:keepLines w:val="0"/>
        <w:pageBreakBefore w:val="0"/>
        <w:kinsoku/>
        <w:wordWrap/>
        <w:overflowPunct/>
        <w:topLinePunct w:val="0"/>
        <w:autoSpaceDE/>
        <w:autoSpaceDN/>
        <w:bidi w:val="0"/>
        <w:adjustRightInd w:val="0"/>
        <w:snapToGrid w:val="0"/>
        <w:spacing w:line="576" w:lineRule="exact"/>
        <w:ind w:left="0" w:leftChars="0" w:firstLine="640" w:firstLineChars="200"/>
        <w:textAlignment w:val="auto"/>
        <w:rPr>
          <w:rFonts w:hint="default" w:ascii="Times New Roman" w:hAnsi="Times New Roman" w:eastAsia="楷体_GB2312" w:cs="Times New Roman"/>
          <w:b w:val="0"/>
          <w:bCs w:val="0"/>
          <w:color w:val="auto"/>
          <w:sz w:val="32"/>
          <w:szCs w:val="32"/>
          <w:highlight w:val="none"/>
          <w:u w:val="none"/>
          <w:lang w:val="en-US" w:eastAsia="zh-CN"/>
        </w:rPr>
      </w:pPr>
      <w:r>
        <w:rPr>
          <w:rFonts w:hint="default" w:ascii="Times New Roman" w:hAnsi="Times New Roman" w:eastAsia="楷体_GB2312" w:cs="Times New Roman"/>
          <w:b w:val="0"/>
          <w:bCs w:val="0"/>
          <w:color w:val="auto"/>
          <w:sz w:val="32"/>
          <w:szCs w:val="32"/>
          <w:highlight w:val="none"/>
          <w:u w:val="none"/>
          <w:lang w:val="zh-CN"/>
        </w:rPr>
        <w:t>（</w:t>
      </w:r>
      <w:r>
        <w:rPr>
          <w:rFonts w:hint="eastAsia" w:ascii="Times New Roman" w:hAnsi="Times New Roman" w:eastAsia="楷体_GB2312" w:cs="Times New Roman"/>
          <w:b w:val="0"/>
          <w:bCs w:val="0"/>
          <w:color w:val="auto"/>
          <w:sz w:val="32"/>
          <w:szCs w:val="32"/>
          <w:highlight w:val="none"/>
          <w:u w:val="none"/>
          <w:lang w:val="en-US" w:eastAsia="zh-CN"/>
        </w:rPr>
        <w:t>二</w:t>
      </w:r>
      <w:r>
        <w:rPr>
          <w:rFonts w:hint="default" w:ascii="Times New Roman" w:hAnsi="Times New Roman" w:eastAsia="楷体_GB2312" w:cs="Times New Roman"/>
          <w:b w:val="0"/>
          <w:bCs w:val="0"/>
          <w:color w:val="auto"/>
          <w:sz w:val="32"/>
          <w:szCs w:val="32"/>
          <w:highlight w:val="none"/>
          <w:u w:val="none"/>
          <w:lang w:val="zh-CN"/>
        </w:rPr>
        <w:t>）相关措施建议。</w:t>
      </w:r>
    </w:p>
    <w:p>
      <w:pPr>
        <w:pStyle w:val="3"/>
        <w:keepNext w:val="0"/>
        <w:keepLines w:val="0"/>
        <w:pageBreakBefore w:val="0"/>
        <w:kinsoku/>
        <w:wordWrap/>
        <w:overflowPunct/>
        <w:topLinePunct w:val="0"/>
        <w:autoSpaceDE/>
        <w:autoSpaceDN/>
        <w:bidi w:val="0"/>
        <w:spacing w:after="0" w:line="576" w:lineRule="exact"/>
        <w:ind w:left="0" w:leftChars="0" w:firstLine="640" w:firstLineChars="200"/>
        <w:textAlignment w:val="auto"/>
        <w:rPr>
          <w:rFonts w:hint="eastAsia" w:ascii="Times New Roman" w:hAnsi="Times New Roman" w:eastAsia="仿宋_GB2312" w:cs="Times New Roman"/>
          <w:b w:val="0"/>
          <w:bCs w:val="0"/>
          <w:color w:val="auto"/>
          <w:kern w:val="0"/>
          <w:sz w:val="32"/>
          <w:szCs w:val="32"/>
          <w:highlight w:val="none"/>
          <w:u w:val="none"/>
          <w:shd w:val="clear" w:color="auto" w:fill="FFFFFF"/>
          <w:lang w:val="zh-CN" w:eastAsia="zh-CN" w:bidi="ar-SA"/>
        </w:rPr>
      </w:pPr>
      <w:r>
        <w:rPr>
          <w:rFonts w:hint="default" w:ascii="仿宋_GB2312" w:hAnsi="仿宋_GB2312" w:eastAsia="仿宋_GB2312" w:cs="仿宋_GB2312"/>
          <w:color w:val="auto"/>
          <w:kern w:val="0"/>
          <w:sz w:val="32"/>
          <w:szCs w:val="32"/>
          <w:lang w:val="en-US" w:eastAsia="zh-CN" w:bidi="ar"/>
        </w:rPr>
        <w:t>工业企业</w:t>
      </w:r>
      <w:r>
        <w:rPr>
          <w:rFonts w:hint="eastAsia" w:ascii="仿宋_GB2312" w:hAnsi="仿宋_GB2312" w:eastAsia="仿宋_GB2312" w:cs="仿宋_GB2312"/>
          <w:color w:val="auto"/>
          <w:kern w:val="0"/>
          <w:sz w:val="32"/>
          <w:szCs w:val="32"/>
          <w:lang w:val="en-US" w:eastAsia="zh-CN" w:bidi="ar"/>
        </w:rPr>
        <w:t>运行成本高，</w:t>
      </w:r>
      <w:r>
        <w:rPr>
          <w:rFonts w:hint="eastAsia" w:eastAsia="仿宋_GB2312" w:cs="Times New Roman"/>
          <w:b w:val="0"/>
          <w:bCs w:val="0"/>
          <w:color w:val="auto"/>
          <w:kern w:val="0"/>
          <w:sz w:val="32"/>
          <w:szCs w:val="32"/>
          <w:highlight w:val="none"/>
          <w:u w:val="none"/>
          <w:shd w:val="clear" w:color="auto" w:fill="FFFFFF"/>
          <w:lang w:val="en-US" w:eastAsia="zh-CN" w:bidi="ar-SA"/>
        </w:rPr>
        <w:t>1.5万元财政激励资金金额较小，不能产生实质上的激励作用，建议提高激励额度</w:t>
      </w:r>
      <w:r>
        <w:rPr>
          <w:rFonts w:hint="eastAsia" w:ascii="Times New Roman" w:hAnsi="Times New Roman" w:eastAsia="仿宋_GB2312" w:cs="Times New Roman"/>
          <w:b w:val="0"/>
          <w:bCs w:val="0"/>
          <w:color w:val="auto"/>
          <w:kern w:val="0"/>
          <w:sz w:val="32"/>
          <w:szCs w:val="32"/>
          <w:highlight w:val="none"/>
          <w:u w:val="none"/>
          <w:shd w:val="clear" w:color="auto" w:fill="FFFFFF"/>
          <w:lang w:val="zh-CN" w:eastAsia="zh-CN" w:bidi="ar-SA"/>
        </w:rPr>
        <w:t>。</w:t>
      </w:r>
    </w:p>
    <w:p>
      <w:pPr>
        <w:keepNext w:val="0"/>
        <w:keepLines w:val="0"/>
        <w:pageBreakBefore w:val="0"/>
        <w:kinsoku/>
        <w:wordWrap/>
        <w:overflowPunct/>
        <w:topLinePunct w:val="0"/>
        <w:autoSpaceDE/>
        <w:autoSpaceDN/>
        <w:bidi w:val="0"/>
        <w:spacing w:line="576" w:lineRule="exact"/>
        <w:textAlignment w:val="auto"/>
        <w:rPr>
          <w:rFonts w:hint="eastAsia" w:ascii="Times New Roman" w:hAnsi="Times New Roman" w:eastAsia="仿宋_GB2312" w:cs="Times New Roman"/>
          <w:b w:val="0"/>
          <w:bCs w:val="0"/>
          <w:color w:val="auto"/>
          <w:kern w:val="0"/>
          <w:sz w:val="32"/>
          <w:szCs w:val="32"/>
          <w:highlight w:val="none"/>
          <w:u w:val="none"/>
          <w:shd w:val="clear" w:color="auto" w:fill="FFFFFF"/>
          <w:lang w:val="zh-CN" w:eastAsia="zh-CN" w:bidi="ar-SA"/>
        </w:rPr>
      </w:pPr>
    </w:p>
    <w:p>
      <w:pPr>
        <w:pStyle w:val="2"/>
        <w:keepNext w:val="0"/>
        <w:keepLines w:val="0"/>
        <w:pageBreakBefore w:val="0"/>
        <w:widowControl w:val="0"/>
        <w:kinsoku/>
        <w:wordWrap/>
        <w:overflowPunct/>
        <w:topLinePunct w:val="0"/>
        <w:autoSpaceDE/>
        <w:autoSpaceDN/>
        <w:bidi w:val="0"/>
        <w:adjustRightInd/>
        <w:snapToGrid/>
        <w:spacing w:beforeLines="0" w:after="0" w:line="576" w:lineRule="exact"/>
        <w:ind w:firstLine="640" w:firstLineChars="200"/>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pPr>
      <w:r>
        <w:rPr>
          <w:rFonts w:hint="eastAsia" w:ascii="Times New Roman" w:hAnsi="Times New Roman" w:eastAsia="仿宋_GB2312" w:cs="Times New Roman"/>
          <w:b w:val="0"/>
          <w:bCs w:val="0"/>
          <w:color w:val="auto"/>
          <w:kern w:val="0"/>
          <w:sz w:val="32"/>
          <w:szCs w:val="32"/>
          <w:highlight w:val="none"/>
          <w:u w:val="none"/>
          <w:shd w:val="clear" w:color="auto" w:fill="FFFFFF"/>
          <w:lang w:val="en-US" w:eastAsia="zh-CN" w:bidi="ar-SA"/>
        </w:rPr>
        <w:t>附件：广元市昭化区财政项目支出绩效自评表</w:t>
      </w:r>
    </w:p>
    <w:p>
      <w:pPr>
        <w:keepNext w:val="0"/>
        <w:keepLines w:val="0"/>
        <w:pageBreakBefore w:val="0"/>
        <w:kinsoku/>
        <w:overflowPunct w:val="0"/>
        <w:autoSpaceDN/>
        <w:bidi w:val="0"/>
        <w:spacing w:line="576" w:lineRule="exact"/>
        <w:ind w:firstLine="640" w:firstLineChars="200"/>
        <w:jc w:val="both"/>
        <w:textAlignment w:val="auto"/>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pP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0" w:firstLineChars="0"/>
        <w:jc w:val="left"/>
        <w:textAlignment w:val="auto"/>
        <w:rPr>
          <w:rFonts w:hint="eastAsia" w:ascii="仿宋_GB2312" w:hAnsi="仿宋_GB2312" w:eastAsia="仿宋_GB2312" w:cs="仿宋_GB2312"/>
          <w:b w:val="0"/>
          <w:bCs w:val="0"/>
          <w:color w:val="auto"/>
          <w:kern w:val="0"/>
          <w:sz w:val="28"/>
          <w:szCs w:val="28"/>
          <w:highlight w:val="none"/>
          <w:u w:val="none"/>
          <w:shd w:val="clear" w:color="auto" w:fill="FFFFFF"/>
          <w:lang w:val="en-US" w:eastAsia="zh-CN" w:bidi="ar-SA"/>
        </w:rPr>
      </w:pPr>
      <w:r>
        <w:rPr>
          <w:rFonts w:hint="default" w:ascii="Times New Roman" w:hAnsi="Times New Roman" w:eastAsia="仿宋_GB2312" w:cs="Times New Roman"/>
          <w:b w:val="0"/>
          <w:bCs w:val="0"/>
          <w:color w:val="auto"/>
          <w:kern w:val="0"/>
          <w:sz w:val="32"/>
          <w:szCs w:val="32"/>
          <w:highlight w:val="none"/>
          <w:u w:val="none"/>
          <w:shd w:val="clear" w:color="auto" w:fill="FFFFFF"/>
          <w:lang w:val="en-US" w:eastAsia="zh-CN" w:bidi="ar-SA"/>
        </w:rPr>
        <w:br w:type="page"/>
      </w:r>
    </w:p>
    <w:p>
      <w:pPr>
        <w:keepNext w:val="0"/>
        <w:keepLines w:val="0"/>
        <w:pageBreakBefore w:val="0"/>
        <w:widowControl w:val="0"/>
        <w:kinsoku/>
        <w:wordWrap/>
        <w:overflowPunct w:val="0"/>
        <w:topLinePunct w:val="0"/>
        <w:autoSpaceDE/>
        <w:autoSpaceDN/>
        <w:bidi w:val="0"/>
        <w:adjustRightInd/>
        <w:snapToGrid/>
        <w:spacing w:line="576" w:lineRule="exact"/>
        <w:ind w:left="0" w:leftChars="0" w:firstLine="0" w:firstLineChars="0"/>
        <w:jc w:val="center"/>
        <w:textAlignment w:val="auto"/>
        <w:rPr>
          <w:rFonts w:hint="eastAsia" w:ascii="方正小标宋简体" w:hAnsi="方正小标宋简体" w:eastAsia="方正小标宋简体" w:cs="方正小标宋简体"/>
          <w:sz w:val="36"/>
          <w:szCs w:val="44"/>
          <w:lang w:val="zh-CN"/>
        </w:rPr>
      </w:pPr>
      <w:r>
        <w:rPr>
          <w:rFonts w:hint="eastAsia" w:ascii="方正小标宋简体" w:hAnsi="方正小标宋简体" w:eastAsia="方正小标宋简体" w:cs="方正小标宋简体"/>
          <w:sz w:val="36"/>
          <w:szCs w:val="44"/>
          <w:lang w:val="zh-CN"/>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1"/>
          <w:szCs w:val="21"/>
          <w:lang w:val="en-US" w:eastAsia="zh-CN"/>
        </w:rPr>
      </w:pPr>
      <w:r>
        <w:rPr>
          <w:rFonts w:hint="default" w:ascii="Times New Roman" w:hAnsi="Times New Roman" w:cs="Times New Roman"/>
          <w:sz w:val="21"/>
          <w:szCs w:val="21"/>
          <w:lang w:val="zh-CN"/>
        </w:rPr>
        <w:t>（</w:t>
      </w:r>
      <w:r>
        <w:rPr>
          <w:rFonts w:hint="default" w:ascii="Times New Roman" w:hAnsi="Times New Roman" w:cs="Times New Roman"/>
          <w:sz w:val="21"/>
          <w:szCs w:val="21"/>
          <w:lang w:val="en-US" w:eastAsia="zh-CN"/>
        </w:rPr>
        <w:t>2022年度）</w:t>
      </w:r>
    </w:p>
    <w:tbl>
      <w:tblPr>
        <w:tblStyle w:val="17"/>
        <w:tblW w:w="9123" w:type="dxa"/>
        <w:tblInd w:w="-444" w:type="dxa"/>
        <w:tblLayout w:type="fixed"/>
        <w:tblCellMar>
          <w:top w:w="0" w:type="dxa"/>
          <w:left w:w="0" w:type="dxa"/>
          <w:bottom w:w="0" w:type="dxa"/>
          <w:right w:w="0" w:type="dxa"/>
        </w:tblCellMar>
      </w:tblPr>
      <w:tblGrid>
        <w:gridCol w:w="864"/>
        <w:gridCol w:w="520"/>
        <w:gridCol w:w="987"/>
        <w:gridCol w:w="349"/>
        <w:gridCol w:w="1299"/>
        <w:gridCol w:w="1395"/>
        <w:gridCol w:w="2"/>
        <w:gridCol w:w="932"/>
        <w:gridCol w:w="945"/>
        <w:gridCol w:w="1830"/>
      </w:tblGrid>
      <w:tr>
        <w:tblPrEx>
          <w:tblCellMar>
            <w:top w:w="0" w:type="dxa"/>
            <w:left w:w="0" w:type="dxa"/>
            <w:bottom w:w="0" w:type="dxa"/>
            <w:right w:w="0" w:type="dxa"/>
          </w:tblCellMar>
        </w:tblPrEx>
        <w:trPr>
          <w:trHeight w:val="539" w:hRule="exact"/>
        </w:trPr>
        <w:tc>
          <w:tcPr>
            <w:tcW w:w="864"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项目（政策）名称</w:t>
            </w:r>
          </w:p>
        </w:tc>
        <w:tc>
          <w:tcPr>
            <w:tcW w:w="8259" w:type="dxa"/>
            <w:gridSpan w:val="9"/>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eastAsia="zh-CN"/>
              </w:rPr>
              <w:t>预下达2022年度“转企升规”财政激励资金</w:t>
            </w:r>
          </w:p>
        </w:tc>
      </w:tr>
      <w:tr>
        <w:tblPrEx>
          <w:tblCellMar>
            <w:top w:w="0" w:type="dxa"/>
            <w:left w:w="0" w:type="dxa"/>
            <w:bottom w:w="0" w:type="dxa"/>
            <w:right w:w="0" w:type="dxa"/>
          </w:tblCellMar>
        </w:tblPrEx>
        <w:trPr>
          <w:trHeight w:val="240" w:hRule="atLeast"/>
        </w:trPr>
        <w:tc>
          <w:tcPr>
            <w:tcW w:w="864"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主管部门</w:t>
            </w:r>
          </w:p>
        </w:tc>
        <w:tc>
          <w:tcPr>
            <w:tcW w:w="4552" w:type="dxa"/>
            <w:gridSpan w:val="6"/>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广元市昭化区经济信息化和科学技术局</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实施单位</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kern w:val="0"/>
                <w:sz w:val="15"/>
                <w:szCs w:val="15"/>
                <w:u w:val="none"/>
                <w:lang w:val="en-US" w:eastAsia="zh-CN" w:bidi="ar"/>
              </w:rPr>
              <w:t>广元市昭化区经济信息化和科学技术局</w:t>
            </w:r>
          </w:p>
        </w:tc>
      </w:tr>
      <w:tr>
        <w:tblPrEx>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项目（政策）资金（万元）</w:t>
            </w: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29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年初预算</w:t>
            </w: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全年预算数</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全年执行数</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执行率</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年度资金总额</w:t>
            </w:r>
          </w:p>
        </w:tc>
        <w:tc>
          <w:tcPr>
            <w:tcW w:w="1299"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rPr>
            </w:pPr>
            <w:r>
              <w:rPr>
                <w:rFonts w:hint="eastAsia" w:ascii="宋体" w:hAnsi="宋体" w:cs="宋体"/>
                <w:i w:val="0"/>
                <w:color w:val="000000"/>
                <w:sz w:val="15"/>
                <w:szCs w:val="15"/>
                <w:u w:val="none"/>
                <w:lang w:val="en-US" w:eastAsia="zh-CN"/>
              </w:rPr>
              <w:t>10.5</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10.5</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100</w:t>
            </w:r>
            <w:r>
              <w:rPr>
                <w:rFonts w:hint="eastAsia" w:ascii="宋体" w:hAnsi="宋体" w:eastAsia="宋体" w:cs="宋体"/>
                <w:i w:val="0"/>
                <w:color w:val="000000"/>
                <w:sz w:val="15"/>
                <w:szCs w:val="15"/>
                <w:u w:val="none"/>
                <w:lang w:val="en-US" w:eastAsia="zh-CN"/>
              </w:rPr>
              <w:t>%</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（一）财政拨款小计</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10.5</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10.5</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100</w:t>
            </w:r>
            <w:r>
              <w:rPr>
                <w:rFonts w:hint="eastAsia" w:ascii="宋体" w:hAnsi="宋体" w:eastAsia="宋体" w:cs="宋体"/>
                <w:i w:val="0"/>
                <w:color w:val="000000"/>
                <w:sz w:val="15"/>
                <w:szCs w:val="15"/>
                <w:u w:val="none"/>
                <w:lang w:val="en-US" w:eastAsia="zh-CN"/>
              </w:rPr>
              <w:t>%</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1.一般公共预算</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10.5</w:t>
            </w: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10.5</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sz w:val="15"/>
                <w:szCs w:val="15"/>
                <w:u w:val="none"/>
                <w:lang w:val="en-US" w:eastAsia="zh-CN"/>
              </w:rPr>
              <w:t>100</w:t>
            </w:r>
            <w:r>
              <w:rPr>
                <w:rFonts w:hint="eastAsia" w:ascii="宋体" w:hAnsi="宋体" w:eastAsia="宋体" w:cs="宋体"/>
                <w:i w:val="0"/>
                <w:color w:val="000000"/>
                <w:sz w:val="15"/>
                <w:szCs w:val="15"/>
                <w:u w:val="none"/>
                <w:lang w:val="en-US" w:eastAsia="zh-CN"/>
              </w:rPr>
              <w:t>%</w:t>
            </w: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2.政府性基金</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3.国有资本经营预算</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4.社保基金</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（二）其他资金</w:t>
            </w:r>
          </w:p>
        </w:tc>
        <w:tc>
          <w:tcPr>
            <w:tcW w:w="1299" w:type="dxa"/>
            <w:tcBorders>
              <w:top w:val="single" w:color="000000" w:sz="4" w:space="0"/>
              <w:left w:val="nil"/>
              <w:bottom w:val="single" w:color="000000" w:sz="4" w:space="0"/>
              <w:right w:val="single" w:color="000000" w:sz="4" w:space="0"/>
            </w:tcBorders>
            <w:noWrap w:val="0"/>
            <w:tcMar>
              <w:top w:w="11" w:type="dxa"/>
              <w:left w:w="11" w:type="dxa"/>
              <w:right w:w="11" w:type="dxa"/>
            </w:tcMar>
            <w:vAlign w:val="center"/>
          </w:tcPr>
          <w:p>
            <w:pPr>
              <w:rPr>
                <w:rFonts w:hint="eastAsia" w:ascii="宋体" w:hAnsi="宋体" w:eastAsia="宋体" w:cs="宋体"/>
                <w:i w:val="0"/>
                <w:color w:val="000000"/>
                <w:sz w:val="15"/>
                <w:szCs w:val="15"/>
                <w:u w:val="none"/>
              </w:rPr>
            </w:pPr>
          </w:p>
        </w:tc>
        <w:tc>
          <w:tcPr>
            <w:tcW w:w="139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年度总体目标</w:t>
            </w:r>
          </w:p>
        </w:tc>
        <w:tc>
          <w:tcPr>
            <w:tcW w:w="5484" w:type="dxa"/>
            <w:gridSpan w:val="7"/>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预期目标</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实际完成情况</w:t>
            </w:r>
          </w:p>
        </w:tc>
      </w:tr>
      <w:tr>
        <w:tblPrEx>
          <w:tblCellMar>
            <w:top w:w="0" w:type="dxa"/>
            <w:left w:w="0" w:type="dxa"/>
            <w:bottom w:w="0" w:type="dxa"/>
            <w:right w:w="0" w:type="dxa"/>
          </w:tblCellMar>
        </w:tblPrEx>
        <w:trPr>
          <w:trHeight w:val="778" w:hRule="atLeast"/>
        </w:trPr>
        <w:tc>
          <w:tcPr>
            <w:tcW w:w="864"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484" w:type="dxa"/>
            <w:gridSpan w:val="7"/>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rPr>
              <w:t>预计2022年我区“小升规”工业</w:t>
            </w:r>
            <w:r>
              <w:rPr>
                <w:rFonts w:hint="eastAsia" w:ascii="宋体" w:hAnsi="宋体" w:cs="宋体"/>
                <w:i w:val="0"/>
                <w:color w:val="000000"/>
                <w:sz w:val="15"/>
                <w:szCs w:val="15"/>
                <w:u w:val="none"/>
                <w:lang w:val="en-US" w:eastAsia="zh-CN"/>
              </w:rPr>
              <w:t>企</w:t>
            </w:r>
            <w:r>
              <w:rPr>
                <w:rFonts w:hint="eastAsia" w:ascii="宋体" w:hAnsi="宋体" w:eastAsia="宋体" w:cs="宋体"/>
                <w:i w:val="0"/>
                <w:color w:val="000000"/>
                <w:sz w:val="15"/>
                <w:szCs w:val="15"/>
                <w:u w:val="none"/>
              </w:rPr>
              <w:t>业以上7个，每个补助1.5万元，补助资金10.5万元。</w:t>
            </w:r>
          </w:p>
        </w:tc>
        <w:tc>
          <w:tcPr>
            <w:tcW w:w="2775" w:type="dxa"/>
            <w:gridSpan w:val="2"/>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2022年我区“小升规”工业</w:t>
            </w:r>
            <w:r>
              <w:rPr>
                <w:rFonts w:hint="eastAsia" w:ascii="宋体" w:hAnsi="宋体" w:cs="宋体"/>
                <w:i w:val="0"/>
                <w:color w:val="000000"/>
                <w:sz w:val="15"/>
                <w:szCs w:val="15"/>
                <w:u w:val="none"/>
                <w:lang w:val="en-US" w:eastAsia="zh-CN"/>
              </w:rPr>
              <w:t>企</w:t>
            </w:r>
            <w:r>
              <w:rPr>
                <w:rFonts w:hint="eastAsia" w:ascii="宋体" w:hAnsi="宋体" w:eastAsia="宋体" w:cs="宋体"/>
                <w:i w:val="0"/>
                <w:color w:val="000000"/>
                <w:sz w:val="15"/>
                <w:szCs w:val="15"/>
                <w:u w:val="none"/>
              </w:rPr>
              <w:t>业以上7个，每个补助1.5万元，</w:t>
            </w:r>
            <w:r>
              <w:rPr>
                <w:rFonts w:hint="eastAsia" w:ascii="宋体" w:hAnsi="宋体" w:cs="宋体"/>
                <w:i w:val="0"/>
                <w:color w:val="000000"/>
                <w:sz w:val="15"/>
                <w:szCs w:val="15"/>
                <w:u w:val="none"/>
                <w:lang w:val="en-US" w:eastAsia="zh-CN"/>
              </w:rPr>
              <w:t>2023年2月</w:t>
            </w:r>
            <w:r>
              <w:rPr>
                <w:rFonts w:hint="eastAsia" w:ascii="宋体" w:hAnsi="宋体" w:eastAsia="宋体" w:cs="宋体"/>
                <w:i w:val="0"/>
                <w:color w:val="000000"/>
                <w:sz w:val="15"/>
                <w:szCs w:val="15"/>
                <w:u w:val="none"/>
              </w:rPr>
              <w:t>补助资金10.5万元。</w:t>
            </w:r>
          </w:p>
        </w:tc>
      </w:tr>
      <w:tr>
        <w:tblPrEx>
          <w:tblCellMar>
            <w:top w:w="0" w:type="dxa"/>
            <w:left w:w="0" w:type="dxa"/>
            <w:bottom w:w="0" w:type="dxa"/>
            <w:right w:w="0" w:type="dxa"/>
          </w:tblCellMar>
        </w:tblPrEx>
        <w:trPr>
          <w:trHeight w:val="431" w:hRule="atLeast"/>
        </w:trPr>
        <w:tc>
          <w:tcPr>
            <w:tcW w:w="864" w:type="dxa"/>
            <w:vMerge w:val="restart"/>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绩效指标</w:t>
            </w:r>
          </w:p>
        </w:tc>
        <w:tc>
          <w:tcPr>
            <w:tcW w:w="52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二级指标</w:t>
            </w:r>
          </w:p>
        </w:tc>
        <w:tc>
          <w:tcPr>
            <w:tcW w:w="304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三级指标</w:t>
            </w:r>
          </w:p>
        </w:tc>
        <w:tc>
          <w:tcPr>
            <w:tcW w:w="932" w:type="dxa"/>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年度指标值</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实际完成值</w:t>
            </w:r>
          </w:p>
        </w:tc>
        <w:tc>
          <w:tcPr>
            <w:tcW w:w="1830" w:type="dxa"/>
            <w:tcBorders>
              <w:top w:val="nil"/>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偏差原因分析及改进措施</w:t>
            </w:r>
          </w:p>
        </w:tc>
      </w:tr>
      <w:tr>
        <w:tblPrEx>
          <w:tblCellMar>
            <w:top w:w="0" w:type="dxa"/>
            <w:left w:w="0" w:type="dxa"/>
            <w:bottom w:w="0" w:type="dxa"/>
            <w:right w:w="0" w:type="dxa"/>
          </w:tblCellMar>
        </w:tblPrEx>
        <w:trPr>
          <w:trHeight w:val="435"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restart"/>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数量指标</w:t>
            </w:r>
          </w:p>
        </w:tc>
        <w:tc>
          <w:tcPr>
            <w:tcW w:w="304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rPr>
              <w:t>预计2022年我区“小升规”工业</w:t>
            </w:r>
            <w:r>
              <w:rPr>
                <w:rFonts w:hint="eastAsia" w:ascii="宋体" w:hAnsi="宋体" w:cs="宋体"/>
                <w:i w:val="0"/>
                <w:color w:val="000000"/>
                <w:sz w:val="15"/>
                <w:szCs w:val="15"/>
                <w:u w:val="none"/>
                <w:lang w:val="en-US" w:eastAsia="zh-CN"/>
              </w:rPr>
              <w:t>企</w:t>
            </w:r>
            <w:r>
              <w:rPr>
                <w:rFonts w:hint="eastAsia" w:ascii="宋体" w:hAnsi="宋体" w:eastAsia="宋体" w:cs="宋体"/>
                <w:i w:val="0"/>
                <w:color w:val="000000"/>
                <w:sz w:val="15"/>
                <w:szCs w:val="15"/>
                <w:u w:val="none"/>
              </w:rPr>
              <w:t>业</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15"/>
                <w:szCs w:val="15"/>
                <w:u w:val="none"/>
                <w:lang w:val="en-US"/>
              </w:rPr>
            </w:pPr>
            <w:r>
              <w:rPr>
                <w:rFonts w:hint="eastAsia" w:ascii="宋体" w:hAnsi="宋体" w:cs="宋体"/>
                <w:i w:val="0"/>
                <w:color w:val="000000"/>
                <w:kern w:val="0"/>
                <w:sz w:val="15"/>
                <w:szCs w:val="15"/>
                <w:u w:val="none"/>
                <w:lang w:val="en-US" w:eastAsia="zh-CN" w:bidi="ar"/>
              </w:rPr>
              <w:t>7个</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rPr>
            </w:pPr>
            <w:r>
              <w:rPr>
                <w:rFonts w:hint="eastAsia" w:ascii="宋体" w:hAnsi="宋体" w:cs="宋体"/>
                <w:i w:val="0"/>
                <w:color w:val="000000"/>
                <w:kern w:val="0"/>
                <w:sz w:val="15"/>
                <w:szCs w:val="15"/>
                <w:u w:val="none"/>
                <w:lang w:val="en-US" w:eastAsia="zh-CN" w:bidi="ar"/>
              </w:rPr>
              <w:t>7个</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tblCellMar>
            <w:top w:w="0" w:type="dxa"/>
            <w:left w:w="0" w:type="dxa"/>
            <w:bottom w:w="0" w:type="dxa"/>
            <w:right w:w="0" w:type="dxa"/>
          </w:tblCellMar>
        </w:tblPrEx>
        <w:trPr>
          <w:trHeight w:val="435"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质量指标</w:t>
            </w:r>
          </w:p>
        </w:tc>
        <w:tc>
          <w:tcPr>
            <w:tcW w:w="304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进规率</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100%</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424"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时效指标</w:t>
            </w:r>
          </w:p>
        </w:tc>
        <w:tc>
          <w:tcPr>
            <w:tcW w:w="304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资金拨付及时率</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0.2</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2023年2月拨付</w:t>
            </w:r>
          </w:p>
        </w:tc>
      </w:tr>
      <w:tr>
        <w:tblPrEx>
          <w:tblCellMar>
            <w:top w:w="0" w:type="dxa"/>
            <w:left w:w="0" w:type="dxa"/>
            <w:bottom w:w="0" w:type="dxa"/>
            <w:right w:w="0" w:type="dxa"/>
          </w:tblCellMar>
        </w:tblPrEx>
        <w:trPr>
          <w:trHeight w:val="422"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nil"/>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成本指标</w:t>
            </w:r>
          </w:p>
        </w:tc>
        <w:tc>
          <w:tcPr>
            <w:tcW w:w="304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补助资金</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10.5万元</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10.5万元</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304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规模以上工业企业增加个数</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7个</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7个</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tcBorders>
              <w:top w:val="nil"/>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实施对象满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意度指标</w:t>
            </w:r>
          </w:p>
        </w:tc>
        <w:tc>
          <w:tcPr>
            <w:tcW w:w="3045" w:type="dxa"/>
            <w:gridSpan w:val="4"/>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补助企业满意度</w:t>
            </w:r>
          </w:p>
        </w:tc>
        <w:tc>
          <w:tcPr>
            <w:tcW w:w="932"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cs="宋体"/>
                <w:i w:val="0"/>
                <w:color w:val="000000"/>
                <w:sz w:val="15"/>
                <w:szCs w:val="15"/>
                <w:u w:val="none"/>
                <w:lang w:val="en-US" w:eastAsia="zh-CN"/>
              </w:rPr>
              <w:t>10</w:t>
            </w:r>
            <w:r>
              <w:rPr>
                <w:rFonts w:hint="eastAsia" w:ascii="宋体" w:hAnsi="宋体" w:eastAsia="宋体" w:cs="宋体"/>
                <w:i w:val="0"/>
                <w:color w:val="000000"/>
                <w:sz w:val="15"/>
                <w:szCs w:val="15"/>
                <w:u w:val="none"/>
                <w:lang w:val="en-US" w:eastAsia="zh-CN"/>
              </w:rPr>
              <w:t>0%</w:t>
            </w:r>
          </w:p>
        </w:tc>
        <w:tc>
          <w:tcPr>
            <w:tcW w:w="945"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100%</w:t>
            </w:r>
          </w:p>
        </w:tc>
        <w:tc>
          <w:tcPr>
            <w:tcW w:w="1830" w:type="dxa"/>
            <w:tcBorders>
              <w:top w:val="single" w:color="000000" w:sz="4" w:space="0"/>
              <w:left w:val="single" w:color="000000" w:sz="4" w:space="0"/>
              <w:bottom w:val="single" w:color="000000" w:sz="4" w:space="0"/>
              <w:right w:val="single" w:color="000000" w:sz="4" w:space="0"/>
            </w:tcBorders>
            <w:noWrap w:val="0"/>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bl>
    <w:p>
      <w:pPr>
        <w:pStyle w:val="2"/>
        <w:rPr>
          <w:rFonts w:hint="eastAsia" w:ascii="仿宋_GB2312" w:hAnsi="Calibri" w:eastAsia="仿宋_GB2312" w:cs="仿宋"/>
          <w:color w:val="auto"/>
          <w:kern w:val="0"/>
          <w:sz w:val="32"/>
          <w:szCs w:val="32"/>
          <w:highlight w:val="none"/>
          <w:lang w:val="en-US" w:eastAsia="zh-CN" w:bidi="ar-SA"/>
        </w:rPr>
      </w:pPr>
    </w:p>
    <w:p>
      <w:pP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val="0"/>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广元市昭化区</w:t>
      </w:r>
      <w:r>
        <w:rPr>
          <w:rFonts w:hint="eastAsia" w:eastAsia="方正小标宋简体" w:cs="Times New Roman"/>
          <w:sz w:val="36"/>
          <w:szCs w:val="36"/>
          <w:lang w:val="en-US" w:eastAsia="zh-CN"/>
        </w:rPr>
        <w:t>经济信息化和科学技术局</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lang w:val="en-US" w:eastAsia="zh-CN"/>
        </w:rPr>
        <w:t>关于</w:t>
      </w:r>
      <w:r>
        <w:rPr>
          <w:rFonts w:hint="eastAsia" w:eastAsia="方正小标宋简体"/>
          <w:sz w:val="36"/>
          <w:szCs w:val="36"/>
        </w:rPr>
        <w:t>年产2000万平方米家居地板</w:t>
      </w:r>
      <w:r>
        <w:rPr>
          <w:rFonts w:hint="eastAsia" w:eastAsia="方正小标宋简体" w:cs="Times New Roman"/>
          <w:sz w:val="36"/>
          <w:szCs w:val="36"/>
          <w:lang w:val="en-US" w:eastAsia="zh-CN"/>
        </w:rPr>
        <w:t>项目配套</w:t>
      </w:r>
      <w:r>
        <w:rPr>
          <w:rFonts w:hint="default" w:ascii="Times New Roman" w:hAnsi="Times New Roman" w:eastAsia="方正小标宋简体" w:cs="Times New Roman"/>
          <w:sz w:val="36"/>
          <w:szCs w:val="36"/>
          <w:lang w:val="en-US" w:eastAsia="zh-CN"/>
        </w:rPr>
        <w:t>基础设施建设补助资金</w:t>
      </w:r>
      <w:r>
        <w:rPr>
          <w:rFonts w:hint="default" w:ascii="Times New Roman" w:hAnsi="Times New Roman" w:eastAsia="方正小标宋简体" w:cs="Times New Roman"/>
          <w:sz w:val="36"/>
          <w:szCs w:val="36"/>
        </w:rPr>
        <w:t>支出绩效自评报告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Fonts w:hint="default" w:ascii="Times New Roman" w:hAnsi="Times New Roman" w:cs="Times New Roman"/>
          <w:b w:val="0"/>
          <w:bCs/>
          <w:sz w:val="32"/>
          <w:szCs w:val="32"/>
          <w:lang w:val="en-US" w:eastAsia="zh-CN"/>
        </w:rPr>
      </w:pPr>
      <w:r>
        <w:rPr>
          <w:rFonts w:hint="default" w:ascii="Times New Roman" w:hAnsi="Times New Roman" w:eastAsia="宋体" w:cs="Times New Roman"/>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default" w:ascii="仿宋" w:hAnsi="仿宋" w:eastAsia="仿宋" w:cs="仿宋"/>
          <w:sz w:val="32"/>
          <w:szCs w:val="32"/>
          <w:lang w:val="en-US" w:eastAsia="zh-CN"/>
        </w:rPr>
        <w:t>《广元市昭化区财政局关于开展2023年部门、政策和项目支出绩效评价工作的通知》（</w:t>
      </w:r>
      <w:r>
        <w:rPr>
          <w:rFonts w:hint="eastAsia" w:ascii="仿宋" w:hAnsi="仿宋" w:eastAsia="仿宋" w:cs="仿宋"/>
          <w:sz w:val="32"/>
          <w:szCs w:val="32"/>
          <w:lang w:val="en-US" w:eastAsia="zh-CN"/>
        </w:rPr>
        <w:t>昭财发</w:t>
      </w:r>
      <w:r>
        <w:rPr>
          <w:rFonts w:hint="default" w:ascii="仿宋" w:hAnsi="仿宋" w:eastAsia="仿宋" w:cs="仿宋"/>
          <w:sz w:val="32"/>
          <w:szCs w:val="32"/>
          <w:lang w:val="en-US" w:eastAsia="zh-CN"/>
        </w:rPr>
        <w:t>〔20</w:t>
      </w:r>
      <w:r>
        <w:rPr>
          <w:rFonts w:hint="eastAsia" w:ascii="仿宋" w:hAnsi="仿宋" w:eastAsia="仿宋" w:cs="仿宋"/>
          <w:sz w:val="32"/>
          <w:szCs w:val="32"/>
          <w:lang w:val="en-US" w:eastAsia="zh-CN"/>
        </w:rPr>
        <w:t>23</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12</w:t>
      </w:r>
      <w:r>
        <w:rPr>
          <w:rFonts w:hint="default" w:ascii="仿宋" w:hAnsi="仿宋" w:eastAsia="仿宋" w:cs="仿宋"/>
          <w:sz w:val="32"/>
          <w:szCs w:val="32"/>
          <w:lang w:val="en-US" w:eastAsia="zh-CN"/>
        </w:rPr>
        <w:t>号）文件精神，</w:t>
      </w:r>
      <w:r>
        <w:rPr>
          <w:rFonts w:hint="eastAsia" w:ascii="仿宋" w:hAnsi="仿宋" w:eastAsia="仿宋" w:cs="仿宋"/>
          <w:sz w:val="32"/>
          <w:szCs w:val="32"/>
          <w:lang w:val="en-US" w:eastAsia="zh-CN"/>
        </w:rPr>
        <w:t>我单位</w:t>
      </w:r>
      <w:r>
        <w:rPr>
          <w:rFonts w:hint="default" w:ascii="仿宋" w:hAnsi="仿宋" w:eastAsia="仿宋" w:cs="仿宋"/>
          <w:sz w:val="32"/>
          <w:szCs w:val="32"/>
          <w:lang w:val="en-US" w:eastAsia="zh-CN"/>
        </w:rPr>
        <w:t>认真</w:t>
      </w:r>
      <w:r>
        <w:rPr>
          <w:rFonts w:hint="eastAsia" w:ascii="仿宋" w:hAnsi="仿宋" w:eastAsia="仿宋" w:cs="仿宋"/>
          <w:sz w:val="32"/>
          <w:szCs w:val="32"/>
          <w:lang w:val="en-US" w:eastAsia="zh-CN"/>
        </w:rPr>
        <w:t>对部门项目</w:t>
      </w:r>
      <w:r>
        <w:rPr>
          <w:rFonts w:hint="default" w:ascii="仿宋" w:hAnsi="仿宋" w:eastAsia="仿宋" w:cs="仿宋"/>
          <w:sz w:val="32"/>
          <w:szCs w:val="32"/>
          <w:lang w:val="en-US" w:eastAsia="zh-CN"/>
        </w:rPr>
        <w:t>进行自查，现将</w:t>
      </w:r>
      <w:r>
        <w:rPr>
          <w:rFonts w:hint="eastAsia" w:ascii="仿宋" w:hAnsi="仿宋" w:eastAsia="仿宋" w:cs="仿宋"/>
          <w:sz w:val="32"/>
          <w:szCs w:val="32"/>
          <w:lang w:val="en-US" w:eastAsia="zh-CN"/>
        </w:rPr>
        <w:t>我单位2022</w:t>
      </w:r>
      <w:r>
        <w:rPr>
          <w:rFonts w:hint="default" w:ascii="仿宋" w:hAnsi="仿宋" w:eastAsia="仿宋" w:cs="仿宋"/>
          <w:sz w:val="32"/>
          <w:szCs w:val="32"/>
          <w:lang w:val="en-US" w:eastAsia="zh-CN"/>
        </w:rPr>
        <w:t>年度</w:t>
      </w:r>
      <w:r>
        <w:rPr>
          <w:rFonts w:hint="eastAsia" w:ascii="仿宋" w:hAnsi="仿宋" w:eastAsia="仿宋" w:cs="仿宋"/>
          <w:sz w:val="32"/>
          <w:szCs w:val="32"/>
          <w:lang w:val="en-US" w:eastAsia="zh-CN"/>
        </w:rPr>
        <w:t>项目</w:t>
      </w:r>
      <w:r>
        <w:rPr>
          <w:rFonts w:hint="default" w:ascii="仿宋" w:hAnsi="仿宋" w:eastAsia="仿宋" w:cs="仿宋"/>
          <w:sz w:val="32"/>
          <w:szCs w:val="32"/>
          <w:lang w:val="en-US" w:eastAsia="zh-CN"/>
        </w:rPr>
        <w:t>泽瑞堂新材料科技（广元）有限公司年产2000万平方米家居地板</w:t>
      </w:r>
      <w:r>
        <w:rPr>
          <w:rFonts w:hint="eastAsia" w:ascii="仿宋" w:hAnsi="仿宋" w:eastAsia="仿宋" w:cs="仿宋"/>
          <w:sz w:val="32"/>
          <w:szCs w:val="32"/>
          <w:lang w:val="en-US" w:eastAsia="zh-CN"/>
        </w:rPr>
        <w:t>项目配套</w:t>
      </w:r>
      <w:r>
        <w:rPr>
          <w:rFonts w:hint="default" w:ascii="仿宋" w:hAnsi="仿宋" w:eastAsia="仿宋" w:cs="仿宋"/>
          <w:sz w:val="32"/>
          <w:szCs w:val="32"/>
          <w:lang w:val="en-US" w:eastAsia="zh-CN"/>
        </w:rPr>
        <w:t>基础设施建设补助绩效管理情况报告如下：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lang w:val="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sz w:val="32"/>
          <w:szCs w:val="32"/>
          <w:lang w:val="zh-CN"/>
        </w:rPr>
      </w:pPr>
      <w:r>
        <w:rPr>
          <w:rFonts w:hint="eastAsia" w:eastAsia="楷体_GB2312" w:cs="Times New Roman"/>
          <w:b/>
          <w:sz w:val="32"/>
          <w:szCs w:val="32"/>
          <w:lang w:val="en-US" w:eastAsia="zh-CN"/>
        </w:rPr>
        <w:t>（一）</w:t>
      </w:r>
      <w:r>
        <w:rPr>
          <w:rFonts w:hint="default" w:ascii="Times New Roman" w:hAnsi="Times New Roman" w:eastAsia="楷体_GB2312" w:cs="Times New Roman"/>
          <w:b/>
          <w:sz w:val="32"/>
          <w:szCs w:val="32"/>
          <w:lang w:val="zh-CN"/>
        </w:rPr>
        <w:t>项目资金申报及批复情况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泽瑞堂新材料科技（广元）有限公司年产2000万平方米家居地板项目配套基础设施建设补助资金是2022年4月昭化区人民政府与江西吉拉迪诺建材科技股份有限公司签订《年产2000万平方米家居地板项目投资协议》《年产2000万平方米家居地板项目补充协议》，按照《关于解决泽瑞堂新材料科技（广元）有限公司年产2000万平方米家居地板项目配套基础设施建设补助资金的请示》（昭经信科〔2022〕192号）文件，申请解决资金1297.27万元，区政府领导签批同意解决资金1297.27万元，该项目资金</w:t>
      </w:r>
      <w:r>
        <w:rPr>
          <w:rFonts w:hint="default" w:ascii="仿宋" w:hAnsi="仿宋" w:eastAsia="仿宋" w:cs="仿宋"/>
          <w:sz w:val="32"/>
          <w:szCs w:val="32"/>
          <w:lang w:val="zh-CN" w:eastAsia="zh-CN"/>
        </w:rPr>
        <w:t>符合资金管理办法</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eastAsia" w:eastAsia="楷体_GB2312" w:cs="Times New Roman"/>
          <w:b/>
          <w:sz w:val="32"/>
          <w:szCs w:val="32"/>
          <w:lang w:val="zh-CN"/>
        </w:rPr>
        <w:t>（二）</w:t>
      </w:r>
      <w:r>
        <w:rPr>
          <w:rFonts w:hint="default" w:ascii="Times New Roman" w:hAnsi="Times New Roman" w:eastAsia="楷体_GB2312" w:cs="Times New Roman"/>
          <w:b/>
          <w:sz w:val="32"/>
          <w:szCs w:val="32"/>
          <w:lang w:val="zh-CN"/>
        </w:rPr>
        <w:t>项目绩效目标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仿宋" w:hAnsi="仿宋" w:eastAsia="仿宋" w:cs="仿宋"/>
          <w:sz w:val="32"/>
          <w:szCs w:val="32"/>
          <w:lang w:val="en-US" w:eastAsia="zh-CN"/>
        </w:rPr>
        <w:t>计划建设家居地板生产厂房5万平方米，生产线4条及配套设施，建设办公楼、倒班房1万平方米以内，建设工期为3年整，竣工后全部通过验收，验收合格率达到100%，财政补助1297.27万元全部用于项目配套基础设施建设，家居地板生产厂建成投产后预计年产值达50000万元以上，年缴纳税收5万元/亩以上，能提供稳定就业岗位150个以上</w:t>
      </w:r>
      <w:r>
        <w:rPr>
          <w:rFonts w:hint="default" w:ascii="仿宋" w:hAnsi="仿宋" w:eastAsia="仿宋" w:cs="仿宋"/>
          <w:sz w:val="32"/>
          <w:szCs w:val="32"/>
          <w:lang w:val="zh-CN" w:eastAsia="zh-CN"/>
        </w:rPr>
        <w:t>。</w:t>
      </w:r>
      <w:r>
        <w:rPr>
          <w:rFonts w:hint="eastAsia" w:ascii="仿宋" w:hAnsi="仿宋" w:eastAsia="仿宋" w:cs="仿宋"/>
          <w:sz w:val="32"/>
          <w:szCs w:val="32"/>
          <w:lang w:val="en-US" w:eastAsia="zh-CN"/>
        </w:rPr>
        <w:t>2022年度计划完成1-2号厂房12000平方米，锅炉房建设300平方米和2条生产线建设。</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321" w:firstLineChars="100"/>
        <w:textAlignment w:val="auto"/>
        <w:rPr>
          <w:rFonts w:hint="default" w:ascii="Times New Roman" w:hAnsi="Times New Roman" w:eastAsia="楷体_GB2312" w:cs="Times New Roman"/>
          <w:b/>
          <w:sz w:val="32"/>
          <w:szCs w:val="32"/>
          <w:lang w:val="zh-CN"/>
        </w:rPr>
      </w:pPr>
      <w:r>
        <w:rPr>
          <w:rFonts w:hint="eastAsia" w:eastAsia="楷体_GB2312" w:cs="Times New Roman"/>
          <w:b/>
          <w:sz w:val="32"/>
          <w:szCs w:val="32"/>
          <w:lang w:val="zh-CN"/>
        </w:rPr>
        <w:t>（三）</w:t>
      </w:r>
      <w:r>
        <w:rPr>
          <w:rFonts w:hint="default" w:ascii="Times New Roman" w:hAnsi="Times New Roman" w:eastAsia="楷体_GB2312" w:cs="Times New Roman"/>
          <w:b/>
          <w:sz w:val="32"/>
          <w:szCs w:val="32"/>
          <w:lang w:val="zh-CN"/>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en-US" w:eastAsia="zh-CN"/>
        </w:rPr>
        <w:t>该资金用于补助泽瑞堂新材料科技（广元）有限公司</w:t>
      </w:r>
      <w:r>
        <w:rPr>
          <w:rFonts w:hint="default" w:ascii="仿宋" w:hAnsi="仿宋" w:eastAsia="仿宋" w:cs="仿宋"/>
          <w:sz w:val="32"/>
          <w:szCs w:val="32"/>
          <w:lang w:val="en-US" w:eastAsia="zh-CN"/>
        </w:rPr>
        <w:t>年产2000万平方米家居地板</w:t>
      </w:r>
      <w:r>
        <w:rPr>
          <w:rFonts w:hint="eastAsia" w:ascii="仿宋" w:hAnsi="仿宋" w:eastAsia="仿宋" w:cs="仿宋"/>
          <w:sz w:val="32"/>
          <w:szCs w:val="32"/>
          <w:lang w:val="en-US" w:eastAsia="zh-CN"/>
        </w:rPr>
        <w:t>项目配套基础设施建设，</w:t>
      </w:r>
      <w:r>
        <w:rPr>
          <w:rFonts w:hint="default" w:ascii="仿宋" w:hAnsi="仿宋" w:eastAsia="仿宋" w:cs="仿宋"/>
          <w:sz w:val="32"/>
          <w:szCs w:val="32"/>
          <w:lang w:val="zh-CN" w:eastAsia="zh-CN"/>
        </w:rPr>
        <w:t>申报内容与</w:t>
      </w:r>
      <w:r>
        <w:rPr>
          <w:rFonts w:hint="eastAsia" w:ascii="仿宋" w:hAnsi="仿宋" w:eastAsia="仿宋" w:cs="仿宋"/>
          <w:sz w:val="32"/>
          <w:szCs w:val="32"/>
          <w:lang w:val="en-US" w:eastAsia="zh-CN"/>
        </w:rPr>
        <w:t>实际建设内容</w:t>
      </w:r>
      <w:r>
        <w:rPr>
          <w:rFonts w:hint="default" w:ascii="仿宋" w:hAnsi="仿宋" w:eastAsia="仿宋" w:cs="仿宋"/>
          <w:sz w:val="32"/>
          <w:szCs w:val="32"/>
          <w:lang w:val="zh-CN" w:eastAsia="zh-CN"/>
        </w:rPr>
        <w:t>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(四)自评步骤及方法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该项目首先采用项目实施单位自评，主管部门根据实施单位自评情况、通过现场踏勘、与项目相关人员座谈核实情况后采用因素评价法进行部门自评。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1</w:t>
      </w:r>
      <w:r>
        <w:rPr>
          <w:rFonts w:hint="default" w:ascii="仿宋" w:hAnsi="仿宋" w:eastAsia="仿宋" w:cs="仿宋"/>
          <w:sz w:val="32"/>
          <w:szCs w:val="32"/>
          <w:lang w:val="en-US" w:eastAsia="zh-CN"/>
        </w:rPr>
        <w:t>.</w:t>
      </w:r>
      <w:r>
        <w:rPr>
          <w:rFonts w:hint="default" w:ascii="仿宋" w:hAnsi="仿宋" w:eastAsia="仿宋" w:cs="仿宋"/>
          <w:sz w:val="32"/>
          <w:szCs w:val="32"/>
          <w:lang w:val="zh-CN" w:eastAsia="zh-CN"/>
        </w:rPr>
        <w:t>资金计划及到位。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zh-CN" w:eastAsia="zh-CN"/>
        </w:rPr>
        <w:t>该项目资金</w:t>
      </w:r>
      <w:r>
        <w:rPr>
          <w:rFonts w:hint="eastAsia" w:ascii="仿宋" w:hAnsi="仿宋" w:eastAsia="仿宋" w:cs="仿宋"/>
          <w:sz w:val="32"/>
          <w:szCs w:val="32"/>
          <w:lang w:val="en-US" w:eastAsia="zh-CN"/>
        </w:rPr>
        <w:t>于2022年9月到位区</w:t>
      </w:r>
      <w:r>
        <w:rPr>
          <w:rFonts w:hint="default" w:ascii="仿宋" w:hAnsi="仿宋" w:eastAsia="仿宋" w:cs="仿宋"/>
          <w:sz w:val="32"/>
          <w:szCs w:val="32"/>
          <w:lang w:val="zh-CN" w:eastAsia="zh-CN"/>
        </w:rPr>
        <w:t>政府性基金预算</w:t>
      </w:r>
      <w:r>
        <w:rPr>
          <w:rFonts w:hint="eastAsia" w:ascii="仿宋" w:hAnsi="仿宋" w:eastAsia="仿宋" w:cs="仿宋"/>
          <w:sz w:val="32"/>
          <w:szCs w:val="32"/>
          <w:lang w:val="en-US" w:eastAsia="zh-CN"/>
        </w:rPr>
        <w:t>1297.27</w:t>
      </w:r>
      <w:r>
        <w:rPr>
          <w:rFonts w:hint="default" w:ascii="仿宋" w:hAnsi="仿宋" w:eastAsia="仿宋" w:cs="仿宋"/>
          <w:sz w:val="32"/>
          <w:szCs w:val="32"/>
          <w:lang w:val="zh-CN" w:eastAsia="zh-CN"/>
        </w:rPr>
        <w:t>万元</w:t>
      </w:r>
      <w:r>
        <w:rPr>
          <w:rFonts w:hint="eastAsia" w:ascii="仿宋" w:hAnsi="仿宋" w:eastAsia="仿宋" w:cs="仿宋"/>
          <w:sz w:val="32"/>
          <w:szCs w:val="32"/>
          <w:lang w:val="zh-CN" w:eastAsia="zh-CN"/>
        </w:rPr>
        <w:t>，</w:t>
      </w:r>
      <w:r>
        <w:rPr>
          <w:rFonts w:hint="eastAsia" w:ascii="仿宋" w:hAnsi="仿宋" w:eastAsia="仿宋" w:cs="仿宋"/>
          <w:sz w:val="32"/>
          <w:szCs w:val="32"/>
          <w:lang w:val="en-US" w:eastAsia="zh-CN"/>
        </w:rPr>
        <w:t>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zh-CN" w:eastAsia="zh-CN"/>
        </w:rPr>
      </w:pPr>
      <w:r>
        <w:rPr>
          <w:rFonts w:hint="default" w:ascii="仿宋" w:hAnsi="仿宋" w:eastAsia="仿宋" w:cs="仿宋"/>
          <w:sz w:val="32"/>
          <w:szCs w:val="32"/>
          <w:lang w:val="zh-CN" w:eastAsia="zh-CN"/>
        </w:rPr>
        <w:t>2.资金使用。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资金截止目前向泽瑞堂新材料科技（广元）有限公司支付1297.27万元。按照招商引资协议要求，泽瑞堂新材料科技（广元）有限公司收到资金后均用于项目配套基础设施建设，资金使用安全规范有效，资金支付合规合法，与预算相符。</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我局按财务管理制度和专项资金管理办法将专项资金拨付至项目公司，泽瑞堂新材料科技（广元）有限公司作为2022年新成立的公司，目前正在施工建设阶段，2023年3月前聘请代理记账公司进行财务核算，财务管理制度还不健全，3月底招聘专业会计一名，正在逐步完善财务管理制度，按照协议约定使用资金，财务处理及时。</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泽瑞堂新材料科技（广元）有限公司为该项目业主单位，目前设总经理一名，副总经理一名，项目经理一名，厂房等基础设施建设外包给第三方公司施工，由项目经理直接负责项目施工监管。我局作为主管部门，服务企业前期手续办理，并定期前往项目现场查看施工进度，监督施工质量，目前该项目正常建设中。</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sz w:val="32"/>
          <w:szCs w:val="32"/>
          <w:lang w:val="zh-CN"/>
        </w:rPr>
      </w:pPr>
      <w:r>
        <w:rPr>
          <w:rFonts w:hint="default" w:ascii="Times New Roman" w:hAnsi="Times New Roman" w:eastAsia="黑体" w:cs="Times New Roman"/>
          <w:sz w:val="32"/>
          <w:szCs w:val="32"/>
        </w:rPr>
        <w:t>三、项目绩效情况</w:t>
      </w:r>
      <w:r>
        <w:rPr>
          <w:rFonts w:hint="default" w:ascii="Times New Roman" w:hAnsi="Times New Roman" w:cs="Times New Roman"/>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项目2022年完成1-2号厂房建设12000平方米，购买生产线2条，完成锅炉房建设300余平方米。1-2号厂房预计2023年5月上旬试生产，该项目按建设进度施工，还未对厂房和生产线进行验收。二期建设3-4号厂房、7号库房、8-9号倒班房、10号办公房现已完成厂房基础圈梁建设。该项目2022年底投资2150万元，补助的资金全部用于项目建设。</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color w:val="0070C0"/>
          <w:sz w:val="32"/>
          <w:szCs w:val="32"/>
          <w:lang w:val="zh-CN"/>
        </w:rPr>
      </w:pPr>
      <w:r>
        <w:rPr>
          <w:rFonts w:hint="default" w:ascii="Times New Roman" w:hAnsi="Times New Roman" w:eastAsia="楷体_GB2312" w:cs="Times New Roman"/>
          <w:b/>
          <w:sz w:val="32"/>
          <w:szCs w:val="32"/>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en-US" w:eastAsia="zh-CN"/>
        </w:rPr>
        <w:t>该项目实施期限为3年，除1、2号厂房外其他还在建设中，预计2025年5月全面竣工</w:t>
      </w:r>
      <w:r>
        <w:rPr>
          <w:rFonts w:hint="default" w:ascii="仿宋" w:hAnsi="仿宋" w:eastAsia="仿宋" w:cs="仿宋"/>
          <w:sz w:val="32"/>
          <w:szCs w:val="32"/>
          <w:lang w:val="zh-CN" w:eastAsia="zh-CN"/>
        </w:rPr>
        <w:t>，</w:t>
      </w:r>
      <w:r>
        <w:rPr>
          <w:rFonts w:hint="eastAsia" w:ascii="仿宋" w:hAnsi="仿宋" w:eastAsia="仿宋" w:cs="仿宋"/>
          <w:sz w:val="32"/>
          <w:szCs w:val="32"/>
          <w:lang w:val="zh-CN" w:eastAsia="zh-CN"/>
        </w:rPr>
        <w:t>还未生产，</w:t>
      </w:r>
      <w:r>
        <w:rPr>
          <w:rFonts w:hint="eastAsia" w:ascii="仿宋" w:hAnsi="仿宋" w:eastAsia="仿宋" w:cs="仿宋"/>
          <w:sz w:val="32"/>
          <w:szCs w:val="32"/>
          <w:lang w:val="en-US" w:eastAsia="zh-CN"/>
        </w:rPr>
        <w:t>未缴纳税收</w:t>
      </w:r>
      <w:r>
        <w:rPr>
          <w:rFonts w:hint="default" w:ascii="仿宋" w:hAnsi="仿宋" w:eastAsia="仿宋" w:cs="仿宋"/>
          <w:sz w:val="32"/>
          <w:szCs w:val="32"/>
          <w:lang w:val="zh-CN" w:eastAsia="zh-CN"/>
        </w:rPr>
        <w:t>，</w:t>
      </w:r>
      <w:r>
        <w:rPr>
          <w:rFonts w:hint="eastAsia" w:ascii="仿宋" w:hAnsi="仿宋" w:eastAsia="仿宋" w:cs="仿宋"/>
          <w:sz w:val="32"/>
          <w:szCs w:val="32"/>
          <w:lang w:val="en-US" w:eastAsia="zh-CN"/>
        </w:rPr>
        <w:t>未提供稳定就业</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四、评价结论及问题建议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color w:val="0070C0"/>
          <w:sz w:val="32"/>
          <w:szCs w:val="32"/>
          <w:lang w:val="zh-CN"/>
        </w:rPr>
      </w:pPr>
      <w:r>
        <w:rPr>
          <w:rFonts w:hint="default" w:ascii="Times New Roman" w:hAnsi="Times New Roman" w:eastAsia="楷体_GB2312" w:cs="Times New Roman"/>
          <w:b/>
          <w:sz w:val="32"/>
          <w:szCs w:val="32"/>
          <w:lang w:val="zh-CN"/>
        </w:rPr>
        <w:t>（一）评价结论。</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该项目为区绿色家居产业重点发展项目，曾被设为广元市第四批次重大项目集中开工主会场，项目关注度高，建设进度快，项目方案规划合理、科学，符合国家相关规范要求；项目建设过程中，按时完成项目建设任务，施工过程严格控制环境保护。自评得分为97.5分。</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（二）存在的问题。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default" w:ascii="仿宋" w:hAnsi="仿宋" w:eastAsia="仿宋" w:cs="仿宋"/>
          <w:sz w:val="32"/>
          <w:szCs w:val="32"/>
          <w:lang w:val="zh-CN" w:eastAsia="zh-CN"/>
        </w:rPr>
      </w:pPr>
      <w:r>
        <w:rPr>
          <w:rFonts w:hint="eastAsia" w:ascii="仿宋" w:hAnsi="仿宋" w:eastAsia="仿宋" w:cs="仿宋"/>
          <w:sz w:val="32"/>
          <w:szCs w:val="32"/>
          <w:lang w:val="en-US" w:eastAsia="zh-CN"/>
        </w:rPr>
        <w:t>一是效益指标还未体现。项目正在建设过程中，未竣工投产，未产生经济效益和社会效益。二是财务管理制度还需健全，前期代理记账公司经手的账务需继续完善，会计核算不太规范。</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sz w:val="32"/>
          <w:szCs w:val="32"/>
          <w:lang w:val="zh-CN"/>
        </w:rPr>
      </w:pPr>
      <w:r>
        <w:rPr>
          <w:rFonts w:hint="default" w:ascii="Times New Roman" w:hAnsi="Times New Roman" w:eastAsia="楷体_GB2312" w:cs="Times New Roman"/>
          <w:b/>
          <w:sz w:val="32"/>
          <w:szCs w:val="32"/>
          <w:lang w:val="zh-CN"/>
        </w:rPr>
        <w:t>（三）相关措施建议。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一是在“拼经济、比发展、创一流”的经济发展大比武中，抢抓机遇，加快建设进度，争取早日竣工投产，早日实现收益。二是专业会计尽快完善财务管理制度，规范会计核算资料。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附件：广元市昭化区财政项目支出绩效自评表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小标宋简体" w:hAnsi="方正小标宋简体" w:eastAsia="方正小标宋简体" w:cs="方正小标宋简体"/>
          <w:sz w:val="32"/>
          <w:szCs w:val="32"/>
          <w:lang w:val="zh-CN"/>
        </w:rPr>
      </w:pPr>
      <w:r>
        <w:rPr>
          <w:rFonts w:hint="eastAsia" w:ascii="方正小标宋简体" w:hAnsi="方正小标宋简体" w:eastAsia="方正小标宋简体" w:cs="方正小标宋简体"/>
          <w:sz w:val="32"/>
          <w:szCs w:val="32"/>
          <w:lang w:val="zh-CN"/>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sz w:val="21"/>
          <w:szCs w:val="21"/>
          <w:lang w:val="en-US" w:eastAsia="zh-CN"/>
        </w:rPr>
      </w:pPr>
      <w:r>
        <w:rPr>
          <w:rFonts w:hint="eastAsia" w:cs="Times New Roman"/>
          <w:sz w:val="21"/>
          <w:szCs w:val="21"/>
          <w:lang w:val="zh-CN"/>
        </w:rPr>
        <w:t>（</w:t>
      </w:r>
      <w:r>
        <w:rPr>
          <w:rFonts w:hint="eastAsia" w:cs="Times New Roman"/>
          <w:sz w:val="21"/>
          <w:szCs w:val="21"/>
          <w:lang w:val="en-US" w:eastAsia="zh-CN"/>
        </w:rPr>
        <w:t>2022年度）</w:t>
      </w:r>
    </w:p>
    <w:tbl>
      <w:tblPr>
        <w:tblStyle w:val="17"/>
        <w:tblW w:w="9123" w:type="dxa"/>
        <w:tblInd w:w="-444" w:type="dxa"/>
        <w:shd w:val="clear" w:color="auto" w:fill="auto"/>
        <w:tblLayout w:type="fixed"/>
        <w:tblCellMar>
          <w:top w:w="0" w:type="dxa"/>
          <w:left w:w="0" w:type="dxa"/>
          <w:bottom w:w="0" w:type="dxa"/>
          <w:right w:w="0" w:type="dxa"/>
        </w:tblCellMar>
      </w:tblPr>
      <w:tblGrid>
        <w:gridCol w:w="864"/>
        <w:gridCol w:w="520"/>
        <w:gridCol w:w="987"/>
        <w:gridCol w:w="349"/>
        <w:gridCol w:w="1299"/>
        <w:gridCol w:w="1311"/>
        <w:gridCol w:w="1018"/>
        <w:gridCol w:w="945"/>
        <w:gridCol w:w="1830"/>
      </w:tblGrid>
      <w:tr>
        <w:tblPrEx>
          <w:shd w:val="clear" w:color="auto" w:fill="auto"/>
          <w:tblCellMar>
            <w:top w:w="0" w:type="dxa"/>
            <w:left w:w="0" w:type="dxa"/>
            <w:bottom w:w="0" w:type="dxa"/>
            <w:right w:w="0" w:type="dxa"/>
          </w:tblCellMar>
        </w:tblPrEx>
        <w:trPr>
          <w:trHeight w:val="539" w:hRule="exac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项目（政策）名称</w:t>
            </w:r>
          </w:p>
        </w:tc>
        <w:tc>
          <w:tcPr>
            <w:tcW w:w="8259" w:type="dxa"/>
            <w:gridSpan w:val="8"/>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eastAsia="zh-CN"/>
              </w:rPr>
              <w:t>泽瑞堂新材料科技（广元）有限公司</w:t>
            </w:r>
            <w:r>
              <w:rPr>
                <w:rFonts w:hint="eastAsia" w:ascii="宋体" w:hAnsi="宋体" w:eastAsia="宋体" w:cs="宋体"/>
                <w:i w:val="0"/>
                <w:color w:val="000000"/>
                <w:sz w:val="15"/>
                <w:szCs w:val="15"/>
                <w:u w:val="none"/>
              </w:rPr>
              <w:t>项目配套基础设施建设补助资金</w:t>
            </w:r>
          </w:p>
        </w:tc>
      </w:tr>
      <w:tr>
        <w:tblPrEx>
          <w:shd w:val="clear" w:color="auto" w:fill="auto"/>
          <w:tblCellMar>
            <w:top w:w="0" w:type="dxa"/>
            <w:left w:w="0" w:type="dxa"/>
            <w:bottom w:w="0" w:type="dxa"/>
            <w:right w:w="0" w:type="dxa"/>
          </w:tblCellMar>
        </w:tblPrEx>
        <w:trPr>
          <w:trHeight w:val="24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主管部门</w:t>
            </w:r>
          </w:p>
        </w:tc>
        <w:tc>
          <w:tcPr>
            <w:tcW w:w="4466" w:type="dxa"/>
            <w:gridSpan w:val="5"/>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广元市昭化区经济信息化和科学技术局</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cs="宋体"/>
                <w:i w:val="0"/>
                <w:color w:val="000000"/>
                <w:kern w:val="0"/>
                <w:sz w:val="15"/>
                <w:szCs w:val="15"/>
                <w:u w:val="none"/>
                <w:lang w:val="en-US" w:eastAsia="zh-CN" w:bidi="ar"/>
              </w:rPr>
              <w:t>实施单位</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泽瑞堂新材料科技（广元）有限公司</w:t>
            </w:r>
          </w:p>
        </w:tc>
      </w:tr>
      <w:tr>
        <w:tblPrEx>
          <w:shd w:val="clear" w:color="auto" w:fill="auto"/>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项目（政策）资金（万元）</w:t>
            </w: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年初预算</w:t>
            </w: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全年预算数</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全年执行数</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执行率</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年度资金总额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1297.27</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1171.66</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90.32%</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（一）财政拨款小计</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yellow"/>
                <w:u w:val="none"/>
              </w:rPr>
            </w:pPr>
            <w:r>
              <w:rPr>
                <w:rFonts w:hint="eastAsia" w:ascii="宋体" w:hAnsi="宋体" w:eastAsia="宋体" w:cs="宋体"/>
                <w:i w:val="0"/>
                <w:color w:val="000000"/>
                <w:sz w:val="15"/>
                <w:szCs w:val="15"/>
                <w:u w:val="none"/>
                <w:lang w:val="en-US" w:eastAsia="zh-CN"/>
              </w:rPr>
              <w:t>1297.27</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highlight w:val="none"/>
                <w:u w:val="none"/>
                <w:lang w:val="en-US" w:eastAsia="zh-CN"/>
              </w:rPr>
              <w:t>1171.66</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90.32%</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1.一般公共预算</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highlight w:val="yellow"/>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2.政府性基金</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1297.27</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1171.66</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90.32%</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3.国有资本经营预算</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4.社保基金</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jc w:val="left"/>
              <w:rPr>
                <w:rFonts w:hint="eastAsia" w:ascii="宋体" w:hAnsi="宋体" w:eastAsia="宋体" w:cs="宋体"/>
                <w:i w:val="0"/>
                <w:color w:val="000000"/>
                <w:sz w:val="15"/>
                <w:szCs w:val="15"/>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（二）其他资金</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rPr>
                <w:rFonts w:hint="eastAsia" w:ascii="宋体" w:hAnsi="宋体" w:eastAsia="宋体" w:cs="宋体"/>
                <w:i w:val="0"/>
                <w:color w:val="000000"/>
                <w:sz w:val="15"/>
                <w:szCs w:val="15"/>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年度总体目标</w:t>
            </w:r>
          </w:p>
        </w:tc>
        <w:tc>
          <w:tcPr>
            <w:tcW w:w="5484" w:type="dxa"/>
            <w:gridSpan w:val="6"/>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预期目标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实际完成情况</w:t>
            </w:r>
          </w:p>
        </w:tc>
      </w:tr>
      <w:tr>
        <w:tblPrEx>
          <w:shd w:val="clear" w:color="auto" w:fill="auto"/>
          <w:tblCellMar>
            <w:top w:w="0" w:type="dxa"/>
            <w:left w:w="0" w:type="dxa"/>
            <w:bottom w:w="0" w:type="dxa"/>
            <w:right w:w="0" w:type="dxa"/>
          </w:tblCellMar>
        </w:tblPrEx>
        <w:trPr>
          <w:trHeight w:val="578"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rPr>
            </w:pPr>
          </w:p>
        </w:tc>
        <w:tc>
          <w:tcPr>
            <w:tcW w:w="5484" w:type="dxa"/>
            <w:gridSpan w:val="6"/>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val="en-US" w:eastAsia="zh-CN"/>
              </w:rPr>
              <w:t>完成</w:t>
            </w:r>
            <w:r>
              <w:rPr>
                <w:rFonts w:hint="eastAsia" w:ascii="宋体" w:hAnsi="宋体" w:eastAsia="宋体" w:cs="宋体"/>
                <w:i w:val="0"/>
                <w:color w:val="000000"/>
                <w:sz w:val="15"/>
                <w:szCs w:val="15"/>
                <w:u w:val="none"/>
              </w:rPr>
              <w:t>一期建设1-2号厂房</w:t>
            </w:r>
            <w:r>
              <w:rPr>
                <w:rFonts w:hint="eastAsia" w:ascii="宋体" w:hAnsi="宋体" w:eastAsia="宋体" w:cs="宋体"/>
                <w:i w:val="0"/>
                <w:color w:val="000000"/>
                <w:sz w:val="15"/>
                <w:szCs w:val="15"/>
                <w:u w:val="none"/>
                <w:lang w:val="en-US" w:eastAsia="zh-CN"/>
              </w:rPr>
              <w:t>约</w:t>
            </w:r>
            <w:r>
              <w:rPr>
                <w:rFonts w:hint="eastAsia" w:ascii="宋体" w:hAnsi="宋体" w:eastAsia="宋体" w:cs="宋体"/>
                <w:i w:val="0"/>
                <w:color w:val="000000"/>
                <w:sz w:val="15"/>
                <w:szCs w:val="15"/>
                <w:u w:val="none"/>
              </w:rPr>
              <w:t>12000平方米，</w:t>
            </w:r>
            <w:r>
              <w:rPr>
                <w:rFonts w:hint="eastAsia" w:ascii="宋体" w:hAnsi="宋体" w:eastAsia="宋体" w:cs="宋体"/>
                <w:i w:val="0"/>
                <w:color w:val="000000"/>
                <w:sz w:val="15"/>
                <w:szCs w:val="15"/>
                <w:u w:val="none"/>
                <w:lang w:val="en-US" w:eastAsia="zh-CN"/>
              </w:rPr>
              <w:t>家居地板生产线2条，</w:t>
            </w:r>
            <w:r>
              <w:rPr>
                <w:rFonts w:hint="eastAsia" w:ascii="宋体" w:hAnsi="宋体" w:eastAsia="宋体" w:cs="宋体"/>
                <w:i w:val="0"/>
                <w:color w:val="000000"/>
                <w:kern w:val="0"/>
                <w:sz w:val="18"/>
                <w:szCs w:val="18"/>
                <w:highlight w:val="none"/>
                <w:u w:val="none"/>
                <w:lang w:val="en-US" w:eastAsia="zh-CN" w:bidi="ar"/>
              </w:rPr>
              <w:t>建设锅炉房面积300平方米，</w:t>
            </w:r>
            <w:r>
              <w:rPr>
                <w:rFonts w:hint="eastAsia" w:ascii="宋体" w:hAnsi="宋体" w:eastAsia="宋体" w:cs="宋体"/>
                <w:i w:val="0"/>
                <w:color w:val="000000"/>
                <w:sz w:val="15"/>
                <w:szCs w:val="15"/>
                <w:u w:val="none"/>
              </w:rPr>
              <w:t>预计2023年5月上旬试生产。</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完成</w:t>
            </w:r>
            <w:r>
              <w:rPr>
                <w:rFonts w:hint="eastAsia" w:ascii="宋体" w:hAnsi="宋体" w:eastAsia="宋体" w:cs="宋体"/>
                <w:i w:val="0"/>
                <w:color w:val="000000"/>
                <w:sz w:val="15"/>
                <w:szCs w:val="15"/>
                <w:u w:val="none"/>
              </w:rPr>
              <w:t>一期建设1-2号厂房</w:t>
            </w:r>
            <w:r>
              <w:rPr>
                <w:rFonts w:hint="eastAsia" w:ascii="宋体" w:hAnsi="宋体" w:eastAsia="宋体" w:cs="宋体"/>
                <w:i w:val="0"/>
                <w:color w:val="000000"/>
                <w:sz w:val="15"/>
                <w:szCs w:val="15"/>
                <w:u w:val="none"/>
                <w:lang w:val="en-US" w:eastAsia="zh-CN"/>
              </w:rPr>
              <w:t>约</w:t>
            </w:r>
            <w:r>
              <w:rPr>
                <w:rFonts w:hint="eastAsia" w:ascii="宋体" w:hAnsi="宋体" w:eastAsia="宋体" w:cs="宋体"/>
                <w:i w:val="0"/>
                <w:color w:val="000000"/>
                <w:sz w:val="15"/>
                <w:szCs w:val="15"/>
                <w:u w:val="none"/>
              </w:rPr>
              <w:t>12000平方米，</w:t>
            </w:r>
            <w:r>
              <w:rPr>
                <w:rFonts w:hint="eastAsia" w:ascii="宋体" w:hAnsi="宋体" w:eastAsia="宋体" w:cs="宋体"/>
                <w:i w:val="0"/>
                <w:color w:val="000000"/>
                <w:sz w:val="15"/>
                <w:szCs w:val="15"/>
                <w:u w:val="none"/>
                <w:lang w:val="en-US" w:eastAsia="zh-CN"/>
              </w:rPr>
              <w:t>家居地板生产线2条，</w:t>
            </w:r>
            <w:r>
              <w:rPr>
                <w:rFonts w:hint="eastAsia" w:ascii="宋体" w:hAnsi="宋体" w:eastAsia="宋体" w:cs="宋体"/>
                <w:i w:val="0"/>
                <w:color w:val="000000"/>
                <w:kern w:val="0"/>
                <w:sz w:val="18"/>
                <w:szCs w:val="18"/>
                <w:highlight w:val="none"/>
                <w:u w:val="none"/>
                <w:lang w:val="en-US" w:eastAsia="zh-CN" w:bidi="ar"/>
              </w:rPr>
              <w:t>建设锅炉房面积300平方米</w:t>
            </w:r>
            <w:r>
              <w:rPr>
                <w:rFonts w:hint="eastAsia" w:ascii="宋体" w:hAnsi="宋体" w:eastAsia="宋体" w:cs="宋体"/>
                <w:i w:val="0"/>
                <w:color w:val="000000"/>
                <w:sz w:val="15"/>
                <w:szCs w:val="15"/>
                <w:u w:val="none"/>
              </w:rPr>
              <w:t>。</w:t>
            </w:r>
          </w:p>
        </w:tc>
      </w:tr>
      <w:tr>
        <w:tblPrEx>
          <w:shd w:val="clear" w:color="auto" w:fill="auto"/>
          <w:tblCellMar>
            <w:top w:w="0" w:type="dxa"/>
            <w:left w:w="0" w:type="dxa"/>
            <w:bottom w:w="0" w:type="dxa"/>
            <w:right w:w="0" w:type="dxa"/>
          </w:tblCellMar>
        </w:tblPrEx>
        <w:trPr>
          <w:trHeight w:val="431"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绩效指标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二级指标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三级指标</w:t>
            </w:r>
          </w:p>
        </w:tc>
        <w:tc>
          <w:tcPr>
            <w:tcW w:w="1018" w:type="dxa"/>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年度指标值</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实际完成值</w:t>
            </w:r>
          </w:p>
        </w:tc>
        <w:tc>
          <w:tcPr>
            <w:tcW w:w="1830" w:type="dxa"/>
            <w:tcBorders>
              <w:top w:val="nil"/>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偏差原因分析及改进措施</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数量指标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建设家居地板生产厂房面积</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15"/>
                <w:szCs w:val="15"/>
                <w:highlight w:val="none"/>
                <w:u w:val="none"/>
                <w:lang w:val="en-US"/>
              </w:rPr>
            </w:pPr>
            <w:r>
              <w:rPr>
                <w:rFonts w:hint="eastAsia" w:ascii="宋体" w:hAnsi="宋体" w:eastAsia="宋体" w:cs="宋体"/>
                <w:i w:val="0"/>
                <w:color w:val="000000"/>
                <w:kern w:val="0"/>
                <w:sz w:val="15"/>
                <w:szCs w:val="15"/>
                <w:highlight w:val="none"/>
                <w:u w:val="none"/>
                <w:lang w:val="en-US" w:eastAsia="zh-CN" w:bidi="ar"/>
              </w:rPr>
              <w:t>12000平方米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12000平方米</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yellow"/>
                <w:u w:val="none"/>
              </w:rPr>
            </w:pPr>
          </w:p>
        </w:tc>
      </w:tr>
      <w:tr>
        <w:tblPrEx>
          <w:shd w:val="clear" w:color="auto" w:fill="auto"/>
          <w:tblCellMar>
            <w:top w:w="0" w:type="dxa"/>
            <w:left w:w="0" w:type="dxa"/>
            <w:bottom w:w="0" w:type="dxa"/>
            <w:right w:w="0" w:type="dxa"/>
          </w:tblCellMar>
        </w:tblPrEx>
        <w:trPr>
          <w:trHeight w:val="279"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sz w:val="15"/>
                <w:szCs w:val="15"/>
                <w:highlight w:val="none"/>
                <w:u w:val="none"/>
                <w:lang w:val="en-US"/>
              </w:rPr>
            </w:pPr>
            <w:r>
              <w:rPr>
                <w:rFonts w:hint="eastAsia" w:ascii="宋体" w:hAnsi="宋体" w:eastAsia="宋体" w:cs="宋体"/>
                <w:i w:val="0"/>
                <w:color w:val="000000"/>
                <w:kern w:val="0"/>
                <w:sz w:val="15"/>
                <w:szCs w:val="15"/>
                <w:highlight w:val="none"/>
                <w:u w:val="none"/>
                <w:lang w:val="en-US" w:eastAsia="zh-CN" w:bidi="ar"/>
              </w:rPr>
              <w:t>建设锅炉房面积</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sz w:val="15"/>
                <w:szCs w:val="15"/>
                <w:highlight w:val="none"/>
                <w:u w:val="none"/>
                <w:lang w:val="en-US"/>
              </w:rPr>
            </w:pPr>
            <w:r>
              <w:rPr>
                <w:rFonts w:hint="eastAsia" w:ascii="宋体" w:hAnsi="宋体" w:eastAsia="宋体" w:cs="宋体"/>
                <w:i w:val="0"/>
                <w:color w:val="000000"/>
                <w:kern w:val="0"/>
                <w:sz w:val="15"/>
                <w:szCs w:val="15"/>
                <w:highlight w:val="none"/>
                <w:u w:val="none"/>
                <w:lang w:val="en-US" w:eastAsia="zh-CN" w:bidi="ar"/>
              </w:rPr>
              <w:t>300平方米</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kern w:val="0"/>
                <w:sz w:val="15"/>
                <w:szCs w:val="15"/>
                <w:highlight w:val="none"/>
                <w:u w:val="none"/>
                <w:lang w:val="en-US" w:eastAsia="zh-CN" w:bidi="ar"/>
              </w:rPr>
              <w:t>300平方米</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lang w:val="en-US" w:eastAsia="zh-CN"/>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家居地板生产线条数</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kern w:val="0"/>
                <w:sz w:val="15"/>
                <w:szCs w:val="15"/>
                <w:highlight w:val="none"/>
                <w:u w:val="none"/>
                <w:lang w:val="en-US" w:eastAsia="zh-CN" w:bidi="ar"/>
              </w:rPr>
              <w:t>2</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rPr>
            </w:pPr>
          </w:p>
        </w:tc>
      </w:tr>
      <w:tr>
        <w:tblPrEx>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质量指标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auto"/>
                <w:spacing w:val="-6"/>
                <w:kern w:val="0"/>
                <w:sz w:val="15"/>
                <w:szCs w:val="15"/>
                <w:highlight w:val="none"/>
                <w:u w:val="none"/>
                <w:lang w:val="en-US" w:eastAsia="zh-CN" w:bidi="ar"/>
              </w:rPr>
              <w:t>生产厂房和配套建筑验收合格率</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auto"/>
                <w:sz w:val="15"/>
                <w:szCs w:val="15"/>
                <w:highlight w:val="none"/>
                <w:u w:val="none"/>
                <w:lang w:val="en-US" w:eastAsia="zh-CN"/>
              </w:rPr>
              <w:t>90%</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0</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auto"/>
                <w:sz w:val="15"/>
                <w:szCs w:val="15"/>
                <w:highlight w:val="none"/>
                <w:u w:val="none"/>
                <w:lang w:val="en-US" w:eastAsia="zh-CN"/>
              </w:rPr>
              <w:t>建设还未完成，暂未验收</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时效指标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sz w:val="15"/>
                <w:szCs w:val="15"/>
                <w:highlight w:val="none"/>
                <w:u w:val="none"/>
                <w:lang w:val="en-US"/>
              </w:rPr>
            </w:pPr>
            <w:r>
              <w:rPr>
                <w:rFonts w:hint="eastAsia" w:ascii="宋体" w:hAnsi="宋体" w:eastAsia="宋体" w:cs="宋体"/>
                <w:i w:val="0"/>
                <w:color w:val="000000"/>
                <w:kern w:val="0"/>
                <w:sz w:val="15"/>
                <w:szCs w:val="15"/>
                <w:highlight w:val="none"/>
                <w:u w:val="none"/>
                <w:lang w:val="en-US" w:eastAsia="zh-CN" w:bidi="ar"/>
              </w:rPr>
              <w:t>项目建设时间</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36月</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auto"/>
                <w:sz w:val="15"/>
                <w:szCs w:val="15"/>
                <w:highlight w:val="none"/>
                <w:u w:val="none"/>
                <w:lang w:eastAsia="zh-CN"/>
              </w:rPr>
              <w:t>已建设</w:t>
            </w:r>
            <w:r>
              <w:rPr>
                <w:rFonts w:hint="eastAsia" w:ascii="宋体" w:hAnsi="宋体" w:eastAsia="宋体" w:cs="宋体"/>
                <w:i w:val="0"/>
                <w:color w:val="auto"/>
                <w:sz w:val="15"/>
                <w:szCs w:val="15"/>
                <w:highlight w:val="none"/>
                <w:u w:val="none"/>
                <w:lang w:val="en-US" w:eastAsia="zh-CN"/>
              </w:rPr>
              <w:t>9个月</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987" w:type="dxa"/>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成本指标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sz w:val="15"/>
                <w:szCs w:val="15"/>
                <w:highlight w:val="none"/>
                <w:u w:val="none"/>
                <w:lang w:val="en-US"/>
              </w:rPr>
            </w:pPr>
            <w:r>
              <w:rPr>
                <w:rFonts w:hint="eastAsia" w:ascii="宋体" w:hAnsi="宋体" w:eastAsia="宋体" w:cs="宋体"/>
                <w:i w:val="0"/>
                <w:color w:val="000000"/>
                <w:kern w:val="0"/>
                <w:sz w:val="15"/>
                <w:szCs w:val="15"/>
                <w:highlight w:val="none"/>
                <w:u w:val="none"/>
                <w:lang w:val="en-US" w:eastAsia="zh-CN" w:bidi="ar"/>
              </w:rPr>
              <w:t>项目配套基础设施建设补助金额</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1297.27</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1171.66</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1-2号厂房建设完成后拨付</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restart"/>
            <w:tcBorders>
              <w:top w:val="single" w:color="000000" w:sz="4" w:space="0"/>
              <w:left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效益指标</w:t>
            </w:r>
          </w:p>
        </w:tc>
        <w:tc>
          <w:tcPr>
            <w:tcW w:w="987" w:type="dxa"/>
            <w:vMerge w:val="restart"/>
            <w:tcBorders>
              <w:top w:val="single" w:color="000000" w:sz="4" w:space="0"/>
              <w:left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经济效益指标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投产后预计年产值达</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kern w:val="0"/>
                <w:sz w:val="15"/>
                <w:szCs w:val="15"/>
                <w:highlight w:val="none"/>
                <w:u w:val="none"/>
                <w:lang w:val="en-US" w:eastAsia="zh-CN" w:bidi="ar"/>
              </w:rPr>
              <w:t>50000万元</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0</w:t>
            </w:r>
          </w:p>
        </w:tc>
        <w:tc>
          <w:tcPr>
            <w:tcW w:w="1830" w:type="dxa"/>
            <w:vMerge w:val="restart"/>
            <w:tcBorders>
              <w:top w:val="single" w:color="000000" w:sz="4" w:space="0"/>
              <w:left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项目未建设完成，未产生效益</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left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87" w:type="dxa"/>
            <w:vMerge w:val="continue"/>
            <w:tcBorders>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投产后预计年缴纳税收</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5万元/亩以上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0</w:t>
            </w:r>
          </w:p>
        </w:tc>
        <w:tc>
          <w:tcPr>
            <w:tcW w:w="1830" w:type="dxa"/>
            <w:vMerge w:val="continue"/>
            <w:tcBorders>
              <w:left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lang w:val="en-US" w:eastAsia="zh-CN"/>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vMerge w:val="continue"/>
            <w:tcBorders>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p>
        </w:tc>
        <w:tc>
          <w:tcPr>
            <w:tcW w:w="987" w:type="dxa"/>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社会效益指标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投产后预计提供稳定就业岗位</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kern w:val="0"/>
                <w:sz w:val="15"/>
                <w:szCs w:val="15"/>
                <w:highlight w:val="none"/>
                <w:u w:val="none"/>
                <w:lang w:val="en-US" w:eastAsia="zh-CN" w:bidi="ar"/>
              </w:rPr>
            </w:pPr>
            <w:r>
              <w:rPr>
                <w:rFonts w:hint="eastAsia" w:ascii="宋体" w:hAnsi="宋体" w:eastAsia="宋体" w:cs="宋体"/>
                <w:i w:val="0"/>
                <w:color w:val="000000"/>
                <w:kern w:val="0"/>
                <w:sz w:val="15"/>
                <w:szCs w:val="15"/>
                <w:highlight w:val="none"/>
                <w:u w:val="none"/>
                <w:lang w:val="en-US" w:eastAsia="zh-CN" w:bidi="ar"/>
              </w:rPr>
              <w:t>150个以上</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0</w:t>
            </w:r>
          </w:p>
        </w:tc>
        <w:tc>
          <w:tcPr>
            <w:tcW w:w="1830" w:type="dxa"/>
            <w:vMerge w:val="continue"/>
            <w:tcBorders>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lang w:val="en-US" w:eastAsia="zh-CN"/>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jc w:val="center"/>
              <w:rPr>
                <w:rFonts w:hint="eastAsia" w:ascii="宋体" w:hAnsi="宋体" w:eastAsia="宋体" w:cs="宋体"/>
                <w:i w:val="0"/>
                <w:color w:val="000000"/>
                <w:sz w:val="15"/>
                <w:szCs w:val="15"/>
                <w:u w:val="none"/>
              </w:rPr>
            </w:pPr>
          </w:p>
        </w:tc>
        <w:tc>
          <w:tcPr>
            <w:tcW w:w="520" w:type="dxa"/>
            <w:tcBorders>
              <w:top w:val="nil"/>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服务对象满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意度指标</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default" w:ascii="宋体" w:hAnsi="宋体" w:eastAsia="宋体" w:cs="宋体"/>
                <w:i w:val="0"/>
                <w:color w:val="000000"/>
                <w:sz w:val="15"/>
                <w:szCs w:val="15"/>
                <w:highlight w:val="none"/>
                <w:u w:val="none"/>
                <w:lang w:val="en-US"/>
              </w:rPr>
            </w:pPr>
            <w:r>
              <w:rPr>
                <w:rFonts w:hint="eastAsia" w:ascii="宋体" w:hAnsi="宋体" w:eastAsia="宋体" w:cs="宋体"/>
                <w:i w:val="0"/>
                <w:color w:val="000000"/>
                <w:kern w:val="0"/>
                <w:sz w:val="15"/>
                <w:szCs w:val="15"/>
                <w:highlight w:val="none"/>
                <w:u w:val="none"/>
                <w:lang w:val="en-US" w:eastAsia="zh-CN" w:bidi="ar"/>
              </w:rPr>
              <w:t>补助企业满意度</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000000"/>
                <w:sz w:val="15"/>
                <w:szCs w:val="15"/>
                <w:highlight w:val="none"/>
                <w:u w:val="none"/>
                <w:lang w:val="en-US" w:eastAsia="zh-CN"/>
              </w:rPr>
            </w:pPr>
            <w:r>
              <w:rPr>
                <w:rFonts w:hint="eastAsia" w:ascii="宋体" w:hAnsi="宋体" w:eastAsia="宋体" w:cs="宋体"/>
                <w:i w:val="0"/>
                <w:color w:val="000000"/>
                <w:sz w:val="15"/>
                <w:szCs w:val="15"/>
                <w:highlight w:val="none"/>
                <w:u w:val="none"/>
                <w:lang w:val="en-US" w:eastAsia="zh-CN"/>
              </w:rPr>
              <w:t>95%</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rPr>
            </w:pPr>
            <w:r>
              <w:rPr>
                <w:rFonts w:hint="eastAsia" w:ascii="宋体" w:hAnsi="宋体" w:eastAsia="宋体" w:cs="宋体"/>
                <w:i w:val="0"/>
                <w:color w:val="000000"/>
                <w:sz w:val="15"/>
                <w:szCs w:val="15"/>
                <w:highlight w:val="none"/>
                <w:u w:val="none"/>
                <w:lang w:val="en-US" w:eastAsia="zh-CN"/>
              </w:rPr>
              <w:t>95%</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000000"/>
                <w:sz w:val="15"/>
                <w:szCs w:val="15"/>
                <w:highlight w:val="none"/>
                <w:u w:val="none"/>
              </w:rPr>
            </w:pPr>
          </w:p>
        </w:tc>
      </w:tr>
    </w:tbl>
    <w:p>
      <w:pPr>
        <w:pStyle w:val="3"/>
        <w:rPr>
          <w:rFonts w:hint="eastAsia"/>
          <w:lang w:val="en-US" w:eastAsia="zh-CN"/>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hAnsi="Calibri" w:cs="仿宋"/>
          <w:color w:val="auto"/>
          <w:kern w:val="0"/>
          <w:sz w:val="32"/>
          <w:szCs w:val="32"/>
          <w:highlight w:val="none"/>
          <w:lang w:val="en-US" w:eastAsia="zh-CN" w:bidi="ar-SA"/>
        </w:rPr>
      </w:pPr>
      <w:r>
        <w:rPr>
          <w:rFonts w:hint="eastAsia" w:hAnsi="Calibri" w:cs="仿宋"/>
          <w:color w:val="auto"/>
          <w:kern w:val="0"/>
          <w:sz w:val="32"/>
          <w:szCs w:val="32"/>
          <w:highlight w:val="none"/>
          <w:lang w:val="en-US" w:eastAsia="zh-CN" w:bidi="ar-SA"/>
        </w:rPr>
        <w:br w:type="page"/>
      </w:r>
    </w:p>
    <w:p>
      <w:pPr>
        <w:pStyle w:val="2"/>
        <w:rPr>
          <w:rFonts w:hint="default" w:ascii="Times New Roman" w:hAnsi="Times New Roman" w:eastAsia="方正小标宋简体" w:cs="Times New Roman"/>
          <w:color w:val="auto"/>
          <w:sz w:val="44"/>
          <w:szCs w:val="44"/>
          <w:lang w:val="en-US" w:eastAsia="zh-CN"/>
        </w:rPr>
      </w:pPr>
      <w:r>
        <w:rPr>
          <w:rFonts w:hint="eastAsia" w:hAnsi="Calibri" w:cs="仿宋"/>
          <w:color w:val="auto"/>
          <w:kern w:val="0"/>
          <w:sz w:val="32"/>
          <w:szCs w:val="32"/>
          <w:highlight w:val="none"/>
          <w:lang w:val="en-US" w:eastAsia="zh-CN" w:bidi="ar-SA"/>
        </w:rPr>
        <w:t>附件6：</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color w:val="auto"/>
          <w:sz w:val="36"/>
          <w:szCs w:val="36"/>
          <w:lang w:val="en-US" w:eastAsia="zh-CN"/>
        </w:rPr>
      </w:pPr>
      <w:r>
        <w:rPr>
          <w:rFonts w:hint="default" w:ascii="Times New Roman" w:hAnsi="Times New Roman" w:eastAsia="方正小标宋简体" w:cs="Times New Roman"/>
          <w:color w:val="auto"/>
          <w:sz w:val="36"/>
          <w:szCs w:val="36"/>
          <w:lang w:val="en-US" w:eastAsia="zh-CN"/>
        </w:rPr>
        <w:t>广元市昭化区</w:t>
      </w:r>
      <w:r>
        <w:rPr>
          <w:rFonts w:hint="eastAsia" w:eastAsia="方正小标宋简体" w:cs="Times New Roman"/>
          <w:color w:val="auto"/>
          <w:sz w:val="36"/>
          <w:szCs w:val="36"/>
          <w:lang w:val="en-US" w:eastAsia="zh-CN"/>
        </w:rPr>
        <w:t>经济信息化和科学技术局</w:t>
      </w:r>
    </w:p>
    <w:p>
      <w:pPr>
        <w:keepNext w:val="0"/>
        <w:keepLines w:val="0"/>
        <w:pageBreakBefore w:val="0"/>
        <w:widowControl w:val="0"/>
        <w:kinsoku/>
        <w:wordWrap/>
        <w:overflowPunct/>
        <w:topLinePunct w:val="0"/>
        <w:autoSpaceDE/>
        <w:autoSpaceDN/>
        <w:bidi w:val="0"/>
        <w:adjustRightInd/>
        <w:snapToGrid w:val="0"/>
        <w:spacing w:line="576" w:lineRule="exact"/>
        <w:jc w:val="center"/>
        <w:textAlignment w:val="auto"/>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lang w:val="en-US" w:eastAsia="zh-CN"/>
        </w:rPr>
        <w:t>关于</w:t>
      </w:r>
      <w:r>
        <w:rPr>
          <w:rFonts w:hint="eastAsia" w:eastAsia="方正小标宋简体" w:cs="Times New Roman"/>
          <w:color w:val="auto"/>
          <w:sz w:val="36"/>
          <w:szCs w:val="36"/>
          <w:lang w:val="en-US" w:eastAsia="zh-CN"/>
        </w:rPr>
        <w:t>2022年度四川中发新材料有限公司</w:t>
      </w:r>
      <w:r>
        <w:rPr>
          <w:rFonts w:hint="default" w:ascii="Times New Roman" w:hAnsi="Times New Roman" w:eastAsia="方正小标宋简体" w:cs="Times New Roman"/>
          <w:color w:val="auto"/>
          <w:sz w:val="36"/>
          <w:szCs w:val="36"/>
          <w:lang w:val="en-US" w:eastAsia="zh-CN"/>
        </w:rPr>
        <w:t>项目配套基础设施建设补助资金</w:t>
      </w:r>
      <w:r>
        <w:rPr>
          <w:rFonts w:hint="default" w:ascii="Times New Roman" w:hAnsi="Times New Roman" w:eastAsia="方正小标宋简体" w:cs="Times New Roman"/>
          <w:color w:val="auto"/>
          <w:sz w:val="36"/>
          <w:szCs w:val="36"/>
        </w:rPr>
        <w:t>支出绩效自评报告</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76" w:lineRule="exact"/>
        <w:ind w:left="0" w:leftChars="0" w:right="0" w:rightChars="0" w:firstLine="0" w:firstLineChars="0"/>
        <w:jc w:val="center"/>
        <w:textAlignment w:val="auto"/>
        <w:outlineLvl w:val="9"/>
        <w:rPr>
          <w:rFonts w:hint="default" w:ascii="Times New Roman" w:hAnsi="Times New Roman" w:eastAsia="宋体"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sz w:val="32"/>
          <w:szCs w:val="32"/>
          <w:lang w:val="en-US" w:eastAsia="zh-CN"/>
        </w:rPr>
        <w:t>根据《广元市昭化区财政局关于开展2023年部门、政策和项目支出绩效评价工作的通知》（昭财发〔2023〕12号）文件精神，我单位认真对部门项目进行自查，现将我单位2022年度项目四川中发新材料有限公司项目配套基础设施建设补助绩效管理情况报告如下：</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color w:val="auto"/>
          <w:sz w:val="32"/>
          <w:szCs w:val="32"/>
          <w:lang w:val="zh-CN"/>
        </w:rPr>
      </w:pPr>
      <w:r>
        <w:rPr>
          <w:rFonts w:hint="default" w:ascii="Times New Roman" w:hAnsi="Times New Roman" w:eastAsia="黑体" w:cs="Times New Roman"/>
          <w:color w:val="auto"/>
          <w:sz w:val="32"/>
          <w:szCs w:val="32"/>
        </w:rPr>
        <w:t>一、</w:t>
      </w:r>
      <w:r>
        <w:rPr>
          <w:rFonts w:hint="default" w:ascii="Times New Roman" w:hAnsi="Times New Roman" w:eastAsia="黑体" w:cs="Times New Roman"/>
          <w:color w:val="auto"/>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en-US" w:eastAsia="zh-CN"/>
        </w:rPr>
        <w:t>四川中发新材料有限公司是招商引资</w:t>
      </w:r>
      <w:r>
        <w:rPr>
          <w:rFonts w:hint="default" w:ascii="仿宋_GB2312" w:hAnsi="仿宋_GB2312" w:eastAsia="仿宋_GB2312" w:cs="仿宋_GB2312"/>
          <w:b w:val="0"/>
          <w:bCs/>
          <w:sz w:val="32"/>
          <w:szCs w:val="32"/>
          <w:lang w:val="zh-CN" w:eastAsia="zh-CN"/>
        </w:rPr>
        <w:t>企业</w:t>
      </w:r>
      <w:r>
        <w:rPr>
          <w:rFonts w:hint="eastAsia" w:ascii="仿宋_GB2312" w:hAnsi="仿宋_GB2312" w:eastAsia="仿宋_GB2312" w:cs="仿宋_GB2312"/>
          <w:b w:val="0"/>
          <w:bCs/>
          <w:sz w:val="32"/>
          <w:szCs w:val="32"/>
          <w:lang w:val="zh-CN" w:eastAsia="zh-CN"/>
        </w:rPr>
        <w:t>山东蓝邦铝业有限公司</w:t>
      </w:r>
      <w:r>
        <w:rPr>
          <w:rFonts w:hint="default" w:ascii="仿宋_GB2312" w:hAnsi="仿宋_GB2312" w:eastAsia="仿宋_GB2312" w:cs="仿宋_GB2312"/>
          <w:b w:val="0"/>
          <w:bCs/>
          <w:sz w:val="32"/>
          <w:szCs w:val="32"/>
          <w:lang w:val="zh-CN" w:eastAsia="zh-CN"/>
        </w:rPr>
        <w:t>在昭化区中国西部（广元）绿色家居产业城投资</w:t>
      </w:r>
      <w:r>
        <w:rPr>
          <w:rFonts w:hint="eastAsia" w:ascii="仿宋_GB2312" w:hAnsi="仿宋_GB2312" w:eastAsia="仿宋_GB2312" w:cs="仿宋_GB2312"/>
          <w:b w:val="0"/>
          <w:bCs/>
          <w:sz w:val="32"/>
          <w:szCs w:val="32"/>
          <w:lang w:val="en-US" w:eastAsia="zh-CN"/>
        </w:rPr>
        <w:t>注册公司，</w:t>
      </w:r>
      <w:r>
        <w:rPr>
          <w:rFonts w:hint="default" w:ascii="仿宋_GB2312" w:hAnsi="仿宋_GB2312" w:eastAsia="仿宋_GB2312" w:cs="仿宋_GB2312"/>
          <w:b w:val="0"/>
          <w:bCs/>
          <w:sz w:val="32"/>
          <w:szCs w:val="32"/>
          <w:lang w:val="zh-CN" w:eastAsia="zh-CN"/>
        </w:rPr>
        <w:t>项目于2021年10月开工建设，建设期限2年，项目总投资1</w:t>
      </w:r>
      <w:r>
        <w:rPr>
          <w:rFonts w:hint="eastAsia" w:ascii="仿宋_GB2312" w:hAnsi="仿宋_GB2312" w:eastAsia="仿宋_GB2312" w:cs="仿宋_GB2312"/>
          <w:b w:val="0"/>
          <w:bCs/>
          <w:sz w:val="32"/>
          <w:szCs w:val="32"/>
          <w:lang w:val="en-US" w:eastAsia="zh-CN"/>
        </w:rPr>
        <w:t>5</w:t>
      </w:r>
      <w:r>
        <w:rPr>
          <w:rFonts w:hint="default" w:ascii="仿宋_GB2312" w:hAnsi="仿宋_GB2312" w:eastAsia="仿宋_GB2312" w:cs="仿宋_GB2312"/>
          <w:b w:val="0"/>
          <w:bCs/>
          <w:sz w:val="32"/>
          <w:szCs w:val="32"/>
          <w:lang w:val="zh-CN" w:eastAsia="zh-CN"/>
        </w:rPr>
        <w:t>000万元</w:t>
      </w:r>
      <w:r>
        <w:rPr>
          <w:rFonts w:hint="eastAsia"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sz w:val="32"/>
          <w:szCs w:val="32"/>
          <w:lang w:val="en-US" w:eastAsia="zh-CN"/>
        </w:rPr>
        <w:t>计划建造铝型材生产厂房面积23000平方米和铝型材生产线8条。</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color w:val="auto"/>
          <w:sz w:val="32"/>
          <w:szCs w:val="32"/>
          <w:lang w:val="zh-CN"/>
        </w:rPr>
      </w:pPr>
      <w:r>
        <w:rPr>
          <w:rFonts w:hint="eastAsia" w:eastAsia="楷体_GB2312" w:cs="Times New Roman"/>
          <w:b/>
          <w:color w:val="auto"/>
          <w:sz w:val="32"/>
          <w:szCs w:val="32"/>
          <w:lang w:val="en-US" w:eastAsia="zh-CN"/>
        </w:rPr>
        <w:t>（一）</w:t>
      </w:r>
      <w:r>
        <w:rPr>
          <w:rFonts w:hint="default" w:ascii="Times New Roman" w:hAnsi="Times New Roman" w:eastAsia="楷体_GB2312" w:cs="Times New Roman"/>
          <w:b/>
          <w:color w:val="auto"/>
          <w:sz w:val="32"/>
          <w:szCs w:val="32"/>
          <w:lang w:val="zh-CN"/>
        </w:rPr>
        <w:t>项目资金申报及批复情况。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四川中发新材料有限公司项目配套基础设施建设补助资金是我局根据</w:t>
      </w:r>
      <w:r>
        <w:rPr>
          <w:rFonts w:hint="default" w:ascii="仿宋_GB2312" w:hAnsi="仿宋_GB2312" w:eastAsia="仿宋_GB2312" w:cs="仿宋_GB2312"/>
          <w:b w:val="0"/>
          <w:bCs/>
          <w:sz w:val="32"/>
          <w:szCs w:val="32"/>
          <w:lang w:val="zh-CN" w:eastAsia="zh-CN"/>
        </w:rPr>
        <w:t>2020年12月6日昭化区人民政府与</w:t>
      </w:r>
      <w:r>
        <w:rPr>
          <w:rFonts w:hint="eastAsia" w:ascii="仿宋_GB2312" w:hAnsi="仿宋_GB2312" w:eastAsia="仿宋_GB2312" w:cs="仿宋_GB2312"/>
          <w:b w:val="0"/>
          <w:bCs/>
          <w:sz w:val="32"/>
          <w:szCs w:val="32"/>
          <w:lang w:val="zh-CN" w:eastAsia="zh-CN"/>
        </w:rPr>
        <w:t>山东蓝邦铝业有限公司</w:t>
      </w:r>
      <w:r>
        <w:rPr>
          <w:rFonts w:hint="default" w:ascii="仿宋_GB2312" w:hAnsi="仿宋_GB2312" w:eastAsia="仿宋_GB2312" w:cs="仿宋_GB2312"/>
          <w:b w:val="0"/>
          <w:bCs/>
          <w:sz w:val="32"/>
          <w:szCs w:val="32"/>
          <w:lang w:val="zh-CN" w:eastAsia="zh-CN"/>
        </w:rPr>
        <w:t>签订《铝型材加工和铝家居制造项目投资协议》《铝型材加工和铝家居制造项目补充协议》</w:t>
      </w:r>
      <w:r>
        <w:rPr>
          <w:rFonts w:hint="eastAsia" w:ascii="仿宋_GB2312" w:hAnsi="仿宋_GB2312" w:eastAsia="仿宋_GB2312" w:cs="仿宋_GB2312"/>
          <w:b w:val="0"/>
          <w:bCs/>
          <w:sz w:val="32"/>
          <w:szCs w:val="32"/>
          <w:lang w:val="en-US" w:eastAsia="zh-CN"/>
        </w:rPr>
        <w:t>约定，起草《关于解决四川中发新材料有限公司项目配套基础设施建设补助资金的请示》（昭经信科〔2022〕17号）文件，申请解决项目资金612.98万元，区政府领导签批同意解决项目资金612.98万元，该项目资金</w:t>
      </w:r>
      <w:r>
        <w:rPr>
          <w:rFonts w:hint="default" w:ascii="仿宋_GB2312" w:hAnsi="仿宋_GB2312" w:eastAsia="仿宋_GB2312" w:cs="仿宋_GB2312"/>
          <w:b w:val="0"/>
          <w:bCs/>
          <w:sz w:val="32"/>
          <w:szCs w:val="32"/>
          <w:lang w:val="zh-CN" w:eastAsia="zh-CN"/>
        </w:rPr>
        <w:t>符合资金管理办法</w:t>
      </w:r>
      <w:r>
        <w:rPr>
          <w:rFonts w:hint="eastAsia" w:ascii="仿宋_GB2312" w:hAnsi="仿宋_GB2312" w:eastAsia="仿宋_GB2312" w:cs="仿宋_GB2312"/>
          <w:b w:val="0"/>
          <w:bCs/>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color w:val="auto"/>
          <w:sz w:val="32"/>
          <w:szCs w:val="32"/>
          <w:lang w:val="zh-CN"/>
        </w:rPr>
      </w:pPr>
      <w:r>
        <w:rPr>
          <w:rFonts w:hint="default" w:ascii="Times New Roman" w:hAnsi="Times New Roman" w:eastAsia="楷体_GB2312" w:cs="Times New Roman"/>
          <w:b/>
          <w:color w:val="auto"/>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计划建设铝型材生产厂房面积23000平方米，配套建筑含仓库、电房、污水站等建设面积7000平方米，建设铝型材生产线8条</w:t>
      </w:r>
      <w:r>
        <w:rPr>
          <w:rFonts w:hint="default"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sz w:val="32"/>
          <w:szCs w:val="32"/>
          <w:lang w:val="en-US" w:eastAsia="zh-CN"/>
        </w:rPr>
        <w:t>建设工期为2年整，竣工后全部通过验收，验收合格率达到100%，财政补助612.98万元全部用于项目配套基础设施建设，预计铝型材生产厂投产后年生产铝型材3万吨，年产值达50000万元，年亩均税收不低于3万元/亩，能提供稳定就业岗位200个以上</w:t>
      </w:r>
      <w:r>
        <w:rPr>
          <w:rFonts w:hint="default"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sz w:val="32"/>
          <w:szCs w:val="32"/>
          <w:lang w:val="en-US" w:eastAsia="zh-CN"/>
        </w:rPr>
        <w:t>2022年度目标为建设铝型材生产厂房23000平方米，配套厂房两间，完成仓库等配套建设1590平方米。</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仿宋_GB2312" w:hAnsi="仿宋_GB2312" w:eastAsia="仿宋_GB2312" w:cs="仿宋_GB2312"/>
          <w:b w:val="0"/>
          <w:bCs/>
          <w:sz w:val="32"/>
          <w:szCs w:val="32"/>
          <w:lang w:val="zh-CN" w:eastAsia="zh-CN"/>
        </w:rPr>
      </w:pPr>
      <w:r>
        <w:rPr>
          <w:rFonts w:hint="default" w:ascii="Times New Roman" w:hAnsi="Times New Roman" w:eastAsia="楷体_GB2312" w:cs="Times New Roman"/>
          <w:b/>
          <w:color w:val="auto"/>
          <w:sz w:val="32"/>
          <w:szCs w:val="32"/>
          <w:lang w:val="zh-CN"/>
        </w:rPr>
        <w:t>（三）项目资金申报相符性。</w:t>
      </w:r>
      <w:r>
        <w:rPr>
          <w:rFonts w:hint="eastAsia" w:ascii="仿宋_GB2312" w:hAnsi="仿宋_GB2312" w:eastAsia="仿宋_GB2312" w:cs="仿宋_GB2312"/>
          <w:b w:val="0"/>
          <w:bCs/>
          <w:sz w:val="32"/>
          <w:szCs w:val="32"/>
          <w:lang w:val="en-US" w:eastAsia="zh-CN"/>
        </w:rPr>
        <w:t>该资金用于补助四川中发新材料有限公司项目配套基础设施建设，</w:t>
      </w:r>
      <w:r>
        <w:rPr>
          <w:rFonts w:hint="default" w:ascii="仿宋_GB2312" w:hAnsi="仿宋_GB2312" w:eastAsia="仿宋_GB2312" w:cs="仿宋_GB2312"/>
          <w:b w:val="0"/>
          <w:bCs/>
          <w:sz w:val="32"/>
          <w:szCs w:val="32"/>
          <w:lang w:val="zh-CN" w:eastAsia="zh-CN"/>
        </w:rPr>
        <w:t>申报内容与</w:t>
      </w:r>
      <w:r>
        <w:rPr>
          <w:rFonts w:hint="eastAsia" w:ascii="仿宋_GB2312" w:hAnsi="仿宋_GB2312" w:eastAsia="仿宋_GB2312" w:cs="仿宋_GB2312"/>
          <w:b w:val="0"/>
          <w:bCs/>
          <w:sz w:val="32"/>
          <w:szCs w:val="32"/>
          <w:lang w:val="en-US" w:eastAsia="zh-CN"/>
        </w:rPr>
        <w:t>实际建设内容</w:t>
      </w:r>
      <w:r>
        <w:rPr>
          <w:rFonts w:hint="default" w:ascii="仿宋_GB2312" w:hAnsi="仿宋_GB2312" w:eastAsia="仿宋_GB2312" w:cs="仿宋_GB2312"/>
          <w:b w:val="0"/>
          <w:bCs/>
          <w:sz w:val="32"/>
          <w:szCs w:val="32"/>
          <w:lang w:val="zh-CN" w:eastAsia="zh-CN"/>
        </w:rPr>
        <w:t>相符、申报目标合理可行。</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color w:val="auto"/>
          <w:sz w:val="32"/>
          <w:szCs w:val="32"/>
          <w:lang w:val="zh-CN"/>
        </w:rPr>
      </w:pPr>
      <w:r>
        <w:rPr>
          <w:rFonts w:hint="default" w:ascii="Times New Roman" w:hAnsi="Times New Roman" w:eastAsia="楷体_GB2312" w:cs="Times New Roman"/>
          <w:b/>
          <w:color w:val="auto"/>
          <w:sz w:val="32"/>
          <w:szCs w:val="32"/>
          <w:lang w:val="zh-CN"/>
        </w:rPr>
        <w:t>(四)自评步骤及方法</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该项目首先采用项目实施单位自评，主管部门根据实施单位自评情况、现场核查核实情况后采用因素评价法进行部门自评。</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二、项目实施及管理情况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color w:val="auto"/>
          <w:sz w:val="32"/>
          <w:szCs w:val="32"/>
          <w:lang w:val="zh-CN"/>
        </w:rPr>
      </w:pPr>
      <w:r>
        <w:rPr>
          <w:rFonts w:hint="default" w:ascii="Times New Roman" w:hAnsi="Times New Roman" w:eastAsia="楷体_GB2312" w:cs="Times New Roman"/>
          <w:b/>
          <w:color w:val="auto"/>
          <w:sz w:val="32"/>
          <w:szCs w:val="32"/>
          <w:lang w:val="zh-CN"/>
        </w:rPr>
        <w:t>（一）资金计划、到位及使用情况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zh-CN" w:eastAsia="zh-CN"/>
        </w:rPr>
      </w:pPr>
      <w:r>
        <w:rPr>
          <w:rFonts w:hint="default" w:ascii="仿宋_GB2312" w:hAnsi="仿宋_GB2312" w:eastAsia="仿宋_GB2312" w:cs="仿宋_GB2312"/>
          <w:b w:val="0"/>
          <w:bCs/>
          <w:sz w:val="32"/>
          <w:szCs w:val="32"/>
          <w:lang w:val="zh-CN" w:eastAsia="zh-CN"/>
        </w:rPr>
        <w:t>1</w:t>
      </w:r>
      <w:r>
        <w:rPr>
          <w:rFonts w:hint="default" w:ascii="仿宋_GB2312" w:hAnsi="仿宋_GB2312" w:eastAsia="仿宋_GB2312" w:cs="仿宋_GB2312"/>
          <w:b w:val="0"/>
          <w:bCs/>
          <w:sz w:val="32"/>
          <w:szCs w:val="32"/>
          <w:lang w:val="en-US" w:eastAsia="zh-CN"/>
        </w:rPr>
        <w:t>.</w:t>
      </w:r>
      <w:r>
        <w:rPr>
          <w:rFonts w:hint="default" w:ascii="仿宋_GB2312" w:hAnsi="仿宋_GB2312" w:eastAsia="仿宋_GB2312" w:cs="仿宋_GB2312"/>
          <w:b w:val="0"/>
          <w:bCs/>
          <w:sz w:val="32"/>
          <w:szCs w:val="32"/>
          <w:lang w:val="zh-CN" w:eastAsia="zh-CN"/>
        </w:rPr>
        <w:t>资金计划及到位。</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default" w:ascii="仿宋_GB2312" w:hAnsi="仿宋_GB2312" w:eastAsia="仿宋_GB2312" w:cs="仿宋_GB2312"/>
          <w:b w:val="0"/>
          <w:bCs/>
          <w:sz w:val="32"/>
          <w:szCs w:val="32"/>
          <w:lang w:val="zh-CN" w:eastAsia="zh-CN"/>
        </w:rPr>
        <w:t>该项目资金</w:t>
      </w:r>
      <w:r>
        <w:rPr>
          <w:rFonts w:hint="eastAsia" w:ascii="仿宋_GB2312" w:hAnsi="仿宋_GB2312" w:eastAsia="仿宋_GB2312" w:cs="仿宋_GB2312"/>
          <w:b w:val="0"/>
          <w:bCs/>
          <w:sz w:val="32"/>
          <w:szCs w:val="32"/>
          <w:lang w:val="en-US" w:eastAsia="zh-CN"/>
        </w:rPr>
        <w:t>于2022年4月到位区</w:t>
      </w:r>
      <w:r>
        <w:rPr>
          <w:rFonts w:hint="default" w:ascii="仿宋_GB2312" w:hAnsi="仿宋_GB2312" w:eastAsia="仿宋_GB2312" w:cs="仿宋_GB2312"/>
          <w:b w:val="0"/>
          <w:bCs/>
          <w:sz w:val="32"/>
          <w:szCs w:val="32"/>
          <w:lang w:val="zh-CN" w:eastAsia="zh-CN"/>
        </w:rPr>
        <w:t>政府性基金预算</w:t>
      </w:r>
      <w:r>
        <w:rPr>
          <w:rFonts w:hint="eastAsia" w:ascii="仿宋_GB2312" w:hAnsi="仿宋_GB2312" w:eastAsia="仿宋_GB2312" w:cs="仿宋_GB2312"/>
          <w:b w:val="0"/>
          <w:bCs/>
          <w:sz w:val="32"/>
          <w:szCs w:val="32"/>
          <w:lang w:val="en-US" w:eastAsia="zh-CN"/>
        </w:rPr>
        <w:t>612.98</w:t>
      </w:r>
      <w:r>
        <w:rPr>
          <w:rFonts w:hint="default" w:ascii="仿宋_GB2312" w:hAnsi="仿宋_GB2312" w:eastAsia="仿宋_GB2312" w:cs="仿宋_GB2312"/>
          <w:b w:val="0"/>
          <w:bCs/>
          <w:sz w:val="32"/>
          <w:szCs w:val="32"/>
          <w:lang w:val="zh-CN" w:eastAsia="zh-CN"/>
        </w:rPr>
        <w:t>万元</w:t>
      </w:r>
      <w:r>
        <w:rPr>
          <w:rFonts w:hint="eastAsia"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sz w:val="32"/>
          <w:szCs w:val="32"/>
          <w:lang w:val="en-US" w:eastAsia="zh-CN"/>
        </w:rPr>
        <w:t>到位及时，到位率100%。</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zh-CN" w:eastAsia="zh-CN"/>
        </w:rPr>
      </w:pPr>
      <w:r>
        <w:rPr>
          <w:rFonts w:hint="default" w:ascii="仿宋_GB2312" w:hAnsi="仿宋_GB2312" w:eastAsia="仿宋_GB2312" w:cs="仿宋_GB2312"/>
          <w:b w:val="0"/>
          <w:bCs/>
          <w:sz w:val="32"/>
          <w:szCs w:val="32"/>
          <w:lang w:val="zh-CN" w:eastAsia="zh-CN"/>
        </w:rPr>
        <w:t>2.资金使用。</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该资金截止目前向四川中发新材料有限公司支付545.89万元，剩余资金待项目完工投产后拨付。按照招商引资协议要求，四川中发新材料有限公司收到资金后均用于项目配套基础设施建设，资金支付范围、支付标准、支付进度、支付依据等合规合法，资金使用安全规范有效，资金支付合规合法，与预算相符。</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color w:val="auto"/>
          <w:sz w:val="32"/>
          <w:szCs w:val="32"/>
          <w:lang w:val="zh-CN"/>
        </w:rPr>
      </w:pPr>
      <w:r>
        <w:rPr>
          <w:rFonts w:hint="default" w:ascii="Times New Roman" w:hAnsi="Times New Roman" w:eastAsia="楷体_GB2312" w:cs="Times New Roman"/>
          <w:b/>
          <w:color w:val="auto"/>
          <w:sz w:val="32"/>
          <w:szCs w:val="32"/>
          <w:lang w:val="zh-CN"/>
        </w:rPr>
        <w:t>（二）项目财务管理情况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我局按财务管理制度和专项资金管理办法将专项资金拨付至项目公司，四川中发新材料有限公司作为新成立的公司，目前正在施工建设阶段，财务管理制度还未完善健全，聘请代理记账公司进行财务核算，按照协议约定使用资金，财务处理及时。</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color w:val="auto"/>
          <w:sz w:val="32"/>
          <w:szCs w:val="32"/>
          <w:lang w:val="zh-CN"/>
        </w:rPr>
      </w:pPr>
      <w:r>
        <w:rPr>
          <w:rFonts w:hint="default" w:ascii="Times New Roman" w:hAnsi="Times New Roman" w:eastAsia="楷体_GB2312" w:cs="Times New Roman"/>
          <w:b/>
          <w:color w:val="auto"/>
          <w:sz w:val="32"/>
          <w:szCs w:val="32"/>
          <w:lang w:val="zh-CN"/>
        </w:rPr>
        <w:t>（三）项目组织实施情况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川中发新材料有限公司为该项目业主单位，目前设总经理一名，副总经理一名，项目经理一名，厂房等基础设施建设外包给第三方公司施工，由副总经理直接负责项目施工监管。我局作为主管部门，服务企业前期手续办理，并定期前往项目现场查看施工进度，监督施工质量，目前该项目正常建设中。</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cs="Times New Roman"/>
          <w:color w:val="auto"/>
          <w:sz w:val="32"/>
          <w:szCs w:val="32"/>
          <w:lang w:val="zh-CN"/>
        </w:rPr>
      </w:pPr>
      <w:r>
        <w:rPr>
          <w:rFonts w:hint="default" w:ascii="Times New Roman" w:hAnsi="Times New Roman" w:eastAsia="黑体" w:cs="Times New Roman"/>
          <w:color w:val="auto"/>
          <w:sz w:val="32"/>
          <w:szCs w:val="32"/>
        </w:rPr>
        <w:t>三、项目绩效情况</w:t>
      </w:r>
      <w:r>
        <w:rPr>
          <w:rFonts w:hint="default" w:ascii="Times New Roman" w:hAnsi="Times New Roman" w:cs="Times New Roman"/>
          <w:color w:val="auto"/>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color w:val="auto"/>
          <w:sz w:val="32"/>
          <w:szCs w:val="32"/>
          <w:lang w:val="zh-CN"/>
        </w:rPr>
      </w:pPr>
      <w:r>
        <w:rPr>
          <w:rFonts w:hint="default" w:ascii="Times New Roman" w:hAnsi="Times New Roman" w:eastAsia="楷体_GB2312" w:cs="Times New Roman"/>
          <w:b/>
          <w:color w:val="auto"/>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该项目正在施工中，目前已完成铝型材生产厂房面积31367.4平方米，仓库、污水处理站、变电站等生产配套用房建设1590平方米。因2022年高温限电、新冠肺炎疫情疫情多次封锁道路，建筑材料不能运输，办公楼和宿舍楼等配套用房还未建设。由于项目未完成暂未验收。项目建设大致按照施工进度进行，项目截止2022年底已投入约2800万元，补助资金545.89万元全部用于项目建设。</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color w:val="auto"/>
          <w:sz w:val="32"/>
          <w:szCs w:val="32"/>
          <w:lang w:val="zh-CN"/>
        </w:rPr>
      </w:pPr>
      <w:r>
        <w:rPr>
          <w:rFonts w:hint="default" w:ascii="Times New Roman" w:hAnsi="Times New Roman" w:eastAsia="楷体_GB2312" w:cs="Times New Roman"/>
          <w:b/>
          <w:color w:val="auto"/>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en-US" w:eastAsia="zh-CN"/>
        </w:rPr>
        <w:t>该项目实施期限为2年，还在建设中，预计2023.10月竣工，2023.12月进行试生产</w:t>
      </w:r>
      <w:r>
        <w:rPr>
          <w:rFonts w:hint="default"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sz w:val="32"/>
          <w:szCs w:val="32"/>
          <w:lang w:val="en-US" w:eastAsia="zh-CN"/>
        </w:rPr>
        <w:t>未缴纳税收</w:t>
      </w:r>
      <w:r>
        <w:rPr>
          <w:rFonts w:hint="default" w:ascii="仿宋_GB2312" w:hAnsi="仿宋_GB2312" w:eastAsia="仿宋_GB2312" w:cs="仿宋_GB2312"/>
          <w:b w:val="0"/>
          <w:bCs/>
          <w:sz w:val="32"/>
          <w:szCs w:val="32"/>
          <w:lang w:val="zh-CN" w:eastAsia="zh-CN"/>
        </w:rPr>
        <w:t>，</w:t>
      </w:r>
      <w:r>
        <w:rPr>
          <w:rFonts w:hint="eastAsia" w:ascii="仿宋_GB2312" w:hAnsi="仿宋_GB2312" w:eastAsia="仿宋_GB2312" w:cs="仿宋_GB2312"/>
          <w:b w:val="0"/>
          <w:bCs/>
          <w:sz w:val="32"/>
          <w:szCs w:val="32"/>
          <w:lang w:val="en-US" w:eastAsia="zh-CN"/>
        </w:rPr>
        <w:t>目前施工为建筑公司负责，年初招聘10余工人到山东学习技术，正式生产后再大量招聘人员</w:t>
      </w:r>
      <w:r>
        <w:rPr>
          <w:rFonts w:hint="eastAsia" w:ascii="仿宋_GB2312" w:hAnsi="仿宋_GB2312" w:eastAsia="仿宋_GB2312" w:cs="仿宋_GB2312"/>
          <w:b w:val="0"/>
          <w:bCs/>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四、评价结论及问题建议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eastAsia="楷体_GB2312" w:cs="Times New Roman"/>
          <w:b/>
          <w:color w:val="auto"/>
          <w:sz w:val="32"/>
          <w:szCs w:val="32"/>
          <w:lang w:val="zh-CN"/>
        </w:rPr>
      </w:pPr>
      <w:r>
        <w:rPr>
          <w:rFonts w:hint="default" w:ascii="Times New Roman" w:hAnsi="Times New Roman" w:eastAsia="楷体_GB2312" w:cs="Times New Roman"/>
          <w:b/>
          <w:color w:val="auto"/>
          <w:sz w:val="32"/>
          <w:szCs w:val="32"/>
          <w:lang w:val="zh-CN"/>
        </w:rPr>
        <w:t>（一）评价结论。</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en-US" w:eastAsia="zh-CN"/>
        </w:rPr>
      </w:pPr>
      <w:r>
        <w:rPr>
          <w:rFonts w:hint="eastAsia" w:ascii="仿宋_GB2312" w:hAnsi="Times New Roman" w:eastAsia="仿宋_GB2312" w:cs="Times New Roman"/>
          <w:color w:val="auto"/>
          <w:sz w:val="32"/>
          <w:szCs w:val="32"/>
          <w:lang w:val="en-US" w:eastAsia="zh-CN"/>
        </w:rPr>
        <w:t>铝制品加工制造</w:t>
      </w:r>
      <w:r>
        <w:rPr>
          <w:rFonts w:hint="eastAsia" w:ascii="仿宋_GB2312" w:eastAsia="仿宋_GB2312"/>
          <w:color w:val="auto"/>
          <w:sz w:val="32"/>
          <w:szCs w:val="32"/>
        </w:rPr>
        <w:t>项目方案规划合理、科学，符合国家相</w:t>
      </w:r>
      <w:r>
        <w:rPr>
          <w:rFonts w:hint="eastAsia" w:ascii="仿宋_GB2312" w:hAnsi="仿宋_GB2312" w:eastAsia="仿宋_GB2312" w:cs="仿宋_GB2312"/>
          <w:b w:val="0"/>
          <w:bCs/>
          <w:sz w:val="32"/>
          <w:szCs w:val="32"/>
          <w:lang w:val="en-US" w:eastAsia="zh-CN"/>
        </w:rPr>
        <w:t>关规范要求；项目建设过程中，按时完成项目建设任务，施工过程严格控制环境保护。该项目还在实施中暂时未产生效益，评分分值调到通用指标、共性指标和个性指标中，</w:t>
      </w:r>
      <w:r>
        <w:rPr>
          <w:rFonts w:hint="default" w:ascii="仿宋_GB2312" w:hAnsi="仿宋_GB2312" w:eastAsia="仿宋_GB2312" w:cs="仿宋_GB2312"/>
          <w:b w:val="0"/>
          <w:bCs/>
          <w:sz w:val="32"/>
          <w:szCs w:val="32"/>
          <w:lang w:val="en-US" w:eastAsia="zh-CN"/>
        </w:rPr>
        <w:t>自评得分</w:t>
      </w:r>
      <w:r>
        <w:rPr>
          <w:rFonts w:hint="eastAsia" w:ascii="仿宋_GB2312" w:hAnsi="仿宋_GB2312" w:eastAsia="仿宋_GB2312" w:cs="仿宋_GB2312"/>
          <w:b w:val="0"/>
          <w:bCs/>
          <w:sz w:val="32"/>
          <w:szCs w:val="32"/>
          <w:lang w:val="en-US" w:eastAsia="zh-CN"/>
        </w:rPr>
        <w:t>96.36</w:t>
      </w:r>
      <w:r>
        <w:rPr>
          <w:rFonts w:hint="default" w:ascii="仿宋_GB2312" w:hAnsi="仿宋_GB2312" w:eastAsia="仿宋_GB2312" w:cs="仿宋_GB2312"/>
          <w:b w:val="0"/>
          <w:bCs/>
          <w:sz w:val="32"/>
          <w:szCs w:val="32"/>
          <w:lang w:val="en-US" w:eastAsia="zh-CN"/>
        </w:rPr>
        <w:t>分</w:t>
      </w:r>
      <w:r>
        <w:rPr>
          <w:rFonts w:hint="eastAsia" w:ascii="仿宋_GB2312" w:hAnsi="仿宋_GB2312" w:eastAsia="仿宋_GB2312" w:cs="仿宋_GB2312"/>
          <w:b w:val="0"/>
          <w:bCs/>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color w:val="auto"/>
          <w:sz w:val="32"/>
          <w:szCs w:val="32"/>
          <w:lang w:val="zh-CN"/>
        </w:rPr>
      </w:pPr>
      <w:r>
        <w:rPr>
          <w:rFonts w:hint="default" w:ascii="Times New Roman" w:hAnsi="Times New Roman" w:eastAsia="楷体_GB2312" w:cs="Times New Roman"/>
          <w:b/>
          <w:color w:val="auto"/>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default" w:ascii="仿宋_GB2312" w:hAnsi="仿宋_GB2312" w:eastAsia="仿宋_GB2312" w:cs="仿宋_GB2312"/>
          <w:b w:val="0"/>
          <w:bCs/>
          <w:sz w:val="32"/>
          <w:szCs w:val="32"/>
          <w:lang w:val="zh-CN" w:eastAsia="zh-CN"/>
        </w:rPr>
      </w:pPr>
      <w:r>
        <w:rPr>
          <w:rFonts w:hint="eastAsia" w:ascii="仿宋_GB2312" w:hAnsi="仿宋_GB2312" w:eastAsia="仿宋_GB2312" w:cs="仿宋_GB2312"/>
          <w:b w:val="0"/>
          <w:bCs/>
          <w:sz w:val="32"/>
          <w:szCs w:val="32"/>
          <w:lang w:val="en-US" w:eastAsia="zh-CN"/>
        </w:rPr>
        <w:t>一是因去年高温限电和疫情影响，材料运输及施工进度相对滞后，影响项目完工时间。二是项目在建设过程中，效益指标还未体现。三是因项目还未建设完成，未聘请专业会计，财务管理制度还不健全。</w:t>
      </w:r>
    </w:p>
    <w:p>
      <w:pPr>
        <w:keepNext w:val="0"/>
        <w:keepLines w:val="0"/>
        <w:pageBreakBefore w:val="0"/>
        <w:widowControl w:val="0"/>
        <w:kinsoku/>
        <w:wordWrap/>
        <w:overflowPunct/>
        <w:topLinePunct w:val="0"/>
        <w:autoSpaceDE/>
        <w:autoSpaceDN/>
        <w:bidi w:val="0"/>
        <w:adjustRightInd w:val="0"/>
        <w:snapToGrid w:val="0"/>
        <w:spacing w:line="576" w:lineRule="exact"/>
        <w:ind w:firstLine="643" w:firstLineChars="200"/>
        <w:textAlignment w:val="auto"/>
        <w:rPr>
          <w:rFonts w:hint="default" w:ascii="Times New Roman" w:hAnsi="Times New Roman" w:cs="Times New Roman"/>
          <w:color w:val="auto"/>
          <w:sz w:val="32"/>
          <w:szCs w:val="32"/>
          <w:lang w:val="zh-CN"/>
        </w:rPr>
      </w:pPr>
      <w:r>
        <w:rPr>
          <w:rFonts w:hint="default" w:ascii="Times New Roman" w:hAnsi="Times New Roman" w:eastAsia="楷体_GB2312" w:cs="Times New Roman"/>
          <w:b/>
          <w:color w:val="auto"/>
          <w:sz w:val="32"/>
          <w:szCs w:val="32"/>
          <w:lang w:val="zh-CN"/>
        </w:rPr>
        <w:t>（三）相关措施建议。</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一是在“拼经济、比发展、创一流”的经济发展大比武中，抢抓机遇，加快建设进度，争取早日竣工投产，早日实现收益。二是尽快聘请专业会计，完善会计核算资料。</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附件：广元市昭化区财政项目支出绩效自评表</w:t>
      </w:r>
    </w:p>
    <w:p>
      <w:pPr>
        <w:keepNext w:val="0"/>
        <w:keepLines w:val="0"/>
        <w:pageBreakBefore w:val="0"/>
        <w:widowControl w:val="0"/>
        <w:kinsoku/>
        <w:overflowPunct/>
        <w:topLinePunct w:val="0"/>
        <w:autoSpaceDE/>
        <w:autoSpaceDN/>
        <w:bidi w:val="0"/>
        <w:spacing w:line="576"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ind w:firstLine="420" w:firstLineChars="200"/>
        <w:textAlignment w:val="auto"/>
        <w:rPr>
          <w:rFonts w:hint="eastAsia" w:ascii="方正小标宋简体" w:hAnsi="方正小标宋简体" w:eastAsia="方正小标宋简体" w:cs="方正小标宋简体"/>
          <w:color w:val="auto"/>
          <w:lang w:val="zh-CN"/>
        </w:rPr>
      </w:pPr>
      <w:r>
        <w:rPr>
          <w:rFonts w:hint="default" w:ascii="Times New Roman" w:hAnsi="Times New Roman" w:cs="Times New Roman"/>
          <w:color w:val="auto"/>
          <w:lang w:val="zh-CN"/>
        </w:rPr>
        <w:br w:type="page"/>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auto"/>
          <w:sz w:val="32"/>
          <w:szCs w:val="32"/>
          <w:lang w:val="zh-CN"/>
        </w:rPr>
      </w:pPr>
      <w:r>
        <w:rPr>
          <w:rFonts w:hint="eastAsia" w:ascii="方正小标宋简体" w:hAnsi="方正小标宋简体" w:eastAsia="方正小标宋简体" w:cs="方正小标宋简体"/>
          <w:color w:val="auto"/>
          <w:sz w:val="32"/>
          <w:szCs w:val="32"/>
          <w:lang w:val="zh-CN"/>
        </w:rPr>
        <w:t>广元市昭化区财政项目支出绩效自评表</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仿宋_GB2312" w:cs="Times New Roman"/>
          <w:color w:val="auto"/>
          <w:sz w:val="21"/>
          <w:szCs w:val="21"/>
          <w:lang w:val="en-US" w:eastAsia="zh-CN"/>
        </w:rPr>
      </w:pPr>
      <w:r>
        <w:rPr>
          <w:rFonts w:hint="eastAsia" w:cs="Times New Roman"/>
          <w:color w:val="auto"/>
          <w:sz w:val="21"/>
          <w:szCs w:val="21"/>
          <w:lang w:val="zh-CN"/>
        </w:rPr>
        <w:t>（</w:t>
      </w:r>
      <w:r>
        <w:rPr>
          <w:rFonts w:hint="eastAsia" w:cs="Times New Roman"/>
          <w:color w:val="auto"/>
          <w:sz w:val="21"/>
          <w:szCs w:val="21"/>
          <w:lang w:val="en-US" w:eastAsia="zh-CN"/>
        </w:rPr>
        <w:t>2022年度）</w:t>
      </w:r>
    </w:p>
    <w:tbl>
      <w:tblPr>
        <w:tblStyle w:val="17"/>
        <w:tblW w:w="9123" w:type="dxa"/>
        <w:tblInd w:w="-444" w:type="dxa"/>
        <w:shd w:val="clear" w:color="auto" w:fill="auto"/>
        <w:tblLayout w:type="fixed"/>
        <w:tblCellMar>
          <w:top w:w="0" w:type="dxa"/>
          <w:left w:w="0" w:type="dxa"/>
          <w:bottom w:w="0" w:type="dxa"/>
          <w:right w:w="0" w:type="dxa"/>
        </w:tblCellMar>
      </w:tblPr>
      <w:tblGrid>
        <w:gridCol w:w="864"/>
        <w:gridCol w:w="520"/>
        <w:gridCol w:w="987"/>
        <w:gridCol w:w="349"/>
        <w:gridCol w:w="1299"/>
        <w:gridCol w:w="1360"/>
        <w:gridCol w:w="35"/>
        <w:gridCol w:w="2"/>
        <w:gridCol w:w="932"/>
        <w:gridCol w:w="1032"/>
        <w:gridCol w:w="1743"/>
      </w:tblGrid>
      <w:tr>
        <w:tblPrEx>
          <w:shd w:val="clear" w:color="auto" w:fill="auto"/>
          <w:tblCellMar>
            <w:top w:w="0" w:type="dxa"/>
            <w:left w:w="0" w:type="dxa"/>
            <w:bottom w:w="0" w:type="dxa"/>
            <w:right w:w="0" w:type="dxa"/>
          </w:tblCellMar>
        </w:tblPrEx>
        <w:trPr>
          <w:trHeight w:val="539" w:hRule="exac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项目（政策）名称</w:t>
            </w:r>
          </w:p>
        </w:tc>
        <w:tc>
          <w:tcPr>
            <w:tcW w:w="8259" w:type="dxa"/>
            <w:gridSpan w:val="10"/>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rPr>
              <w:t>四川中发新材料有限公司项目配套基础设施建设补助资金</w:t>
            </w:r>
          </w:p>
        </w:tc>
      </w:tr>
      <w:tr>
        <w:tblPrEx>
          <w:shd w:val="clear" w:color="auto" w:fill="auto"/>
          <w:tblCellMar>
            <w:top w:w="0" w:type="dxa"/>
            <w:left w:w="0" w:type="dxa"/>
            <w:bottom w:w="0" w:type="dxa"/>
            <w:right w:w="0" w:type="dxa"/>
          </w:tblCellMar>
        </w:tblPrEx>
        <w:trPr>
          <w:trHeight w:val="240" w:hRule="atLeast"/>
        </w:trPr>
        <w:tc>
          <w:tcPr>
            <w:tcW w:w="864"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主管部门</w:t>
            </w:r>
          </w:p>
        </w:tc>
        <w:tc>
          <w:tcPr>
            <w:tcW w:w="4552" w:type="dxa"/>
            <w:gridSpan w:val="7"/>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广元市昭化区经济信息化和科学技术局</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cs="宋体"/>
                <w:i w:val="0"/>
                <w:color w:val="auto"/>
                <w:kern w:val="0"/>
                <w:sz w:val="15"/>
                <w:szCs w:val="15"/>
                <w:u w:val="none"/>
                <w:lang w:val="en-US" w:eastAsia="zh-CN" w:bidi="ar"/>
              </w:rPr>
              <w:t>实施单位</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rPr>
              <w:t>四川中发新材料有限公司</w:t>
            </w:r>
          </w:p>
        </w:tc>
      </w:tr>
      <w:tr>
        <w:tblPrEx>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项目（政策）资金（万元）</w:t>
            </w: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年初预算</w:t>
            </w: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全年预算数</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全年执行数</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执行率</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年度资金总额</w:t>
            </w:r>
          </w:p>
        </w:tc>
        <w:tc>
          <w:tcPr>
            <w:tcW w:w="1299"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lang w:val="en-US" w:eastAsia="zh-CN"/>
              </w:rPr>
              <w:t>612.98</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545.89</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89.06%</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（一）财政拨款小计</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lang w:eastAsia="zh-CN"/>
              </w:rPr>
            </w:pPr>
            <w:r>
              <w:rPr>
                <w:rFonts w:hint="eastAsia" w:ascii="宋体" w:hAnsi="宋体" w:eastAsia="宋体" w:cs="宋体"/>
                <w:i w:val="0"/>
                <w:color w:val="auto"/>
                <w:sz w:val="15"/>
                <w:szCs w:val="15"/>
                <w:u w:val="none"/>
                <w:lang w:val="en-US" w:eastAsia="zh-CN"/>
              </w:rPr>
              <w:t>612.98</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lang w:val="en-US" w:eastAsia="zh-CN"/>
              </w:rPr>
              <w:t>545.89</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lang w:val="en-US" w:eastAsia="zh-CN"/>
              </w:rPr>
              <w:t>89.06%</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   1.一般公共预算</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   2.政府性基金</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lang w:val="en-US" w:eastAsia="zh-CN"/>
              </w:rPr>
              <w:t>612.98</w:t>
            </w: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lang w:val="en-US" w:eastAsia="zh-CN"/>
              </w:rPr>
              <w:t>545.89</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lang w:val="en-US" w:eastAsia="zh-CN"/>
              </w:rPr>
              <w:t>89.06%</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  3.国有资本经营预算</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 xml:space="preserve">  4.社保基金</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i w:val="0"/>
                <w:color w:val="auto"/>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1856"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（二）其他资金</w:t>
            </w:r>
          </w:p>
        </w:tc>
        <w:tc>
          <w:tcPr>
            <w:tcW w:w="1299" w:type="dxa"/>
            <w:tcBorders>
              <w:top w:val="single" w:color="000000" w:sz="4" w:space="0"/>
              <w:left w:val="nil"/>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rPr>
                <w:rFonts w:hint="eastAsia" w:ascii="宋体" w:hAnsi="宋体" w:eastAsia="宋体" w:cs="宋体"/>
                <w:i w:val="0"/>
                <w:color w:val="auto"/>
                <w:sz w:val="15"/>
                <w:szCs w:val="15"/>
                <w:u w:val="none"/>
              </w:rPr>
            </w:pPr>
          </w:p>
        </w:tc>
        <w:tc>
          <w:tcPr>
            <w:tcW w:w="139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34"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年度总体目标</w:t>
            </w:r>
          </w:p>
        </w:tc>
        <w:tc>
          <w:tcPr>
            <w:tcW w:w="5484" w:type="dxa"/>
            <w:gridSpan w:val="8"/>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预期目标</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实际完成情况</w:t>
            </w:r>
          </w:p>
        </w:tc>
      </w:tr>
      <w:tr>
        <w:tblPrEx>
          <w:shd w:val="clear" w:color="auto" w:fill="auto"/>
          <w:tblCellMar>
            <w:top w:w="0" w:type="dxa"/>
            <w:left w:w="0" w:type="dxa"/>
            <w:bottom w:w="0" w:type="dxa"/>
            <w:right w:w="0" w:type="dxa"/>
          </w:tblCellMar>
        </w:tblPrEx>
        <w:trPr>
          <w:trHeight w:val="1101"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484" w:type="dxa"/>
            <w:gridSpan w:val="8"/>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lang w:eastAsia="zh-CN"/>
              </w:rPr>
            </w:pPr>
            <w:r>
              <w:rPr>
                <w:rFonts w:hint="eastAsia" w:ascii="宋体" w:hAnsi="宋体" w:eastAsia="宋体" w:cs="宋体"/>
                <w:i w:val="0"/>
                <w:color w:val="auto"/>
                <w:sz w:val="15"/>
                <w:szCs w:val="15"/>
                <w:u w:val="none"/>
              </w:rPr>
              <w:t>建设铝型材生产厂房23000平方米，配套厂房两间，</w:t>
            </w:r>
            <w:r>
              <w:rPr>
                <w:rFonts w:hint="eastAsia" w:ascii="宋体" w:hAnsi="宋体" w:eastAsia="宋体" w:cs="宋体"/>
                <w:i w:val="0"/>
                <w:color w:val="auto"/>
                <w:sz w:val="15"/>
                <w:szCs w:val="15"/>
                <w:u w:val="none"/>
                <w:lang w:val="en-US" w:eastAsia="zh-CN"/>
              </w:rPr>
              <w:t>配套</w:t>
            </w:r>
            <w:r>
              <w:rPr>
                <w:rFonts w:hint="eastAsia" w:ascii="宋体" w:hAnsi="宋体" w:eastAsia="宋体" w:cs="宋体"/>
                <w:i w:val="0"/>
                <w:color w:val="auto"/>
                <w:sz w:val="15"/>
                <w:szCs w:val="15"/>
                <w:u w:val="none"/>
              </w:rPr>
              <w:t>污水处理站，变电站1590</w:t>
            </w:r>
            <w:r>
              <w:rPr>
                <w:rFonts w:hint="eastAsia" w:ascii="宋体" w:hAnsi="宋体" w:eastAsia="宋体" w:cs="宋体"/>
                <w:i w:val="0"/>
                <w:color w:val="auto"/>
                <w:sz w:val="15"/>
                <w:szCs w:val="15"/>
                <w:u w:val="none"/>
                <w:lang w:val="en-US" w:eastAsia="zh-CN"/>
              </w:rPr>
              <w:t>平方米</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rPr>
              <w:t>建设铝型材生产厂房31367.4平方米，配套厂房两间，</w:t>
            </w:r>
            <w:r>
              <w:rPr>
                <w:rFonts w:hint="eastAsia" w:ascii="宋体" w:hAnsi="宋体" w:eastAsia="宋体" w:cs="宋体"/>
                <w:i w:val="0"/>
                <w:color w:val="auto"/>
                <w:sz w:val="15"/>
                <w:szCs w:val="15"/>
                <w:u w:val="none"/>
                <w:lang w:val="en-US" w:eastAsia="zh-CN"/>
              </w:rPr>
              <w:t>建成</w:t>
            </w:r>
            <w:r>
              <w:rPr>
                <w:rFonts w:hint="eastAsia" w:ascii="宋体" w:hAnsi="宋体" w:eastAsia="宋体" w:cs="宋体"/>
                <w:i w:val="0"/>
                <w:color w:val="auto"/>
                <w:sz w:val="15"/>
                <w:szCs w:val="15"/>
                <w:u w:val="none"/>
              </w:rPr>
              <w:t>污水处理站，变电站1590</w:t>
            </w:r>
            <w:r>
              <w:rPr>
                <w:rFonts w:hint="eastAsia" w:ascii="宋体" w:hAnsi="宋体" w:eastAsia="宋体" w:cs="宋体"/>
                <w:i w:val="0"/>
                <w:color w:val="auto"/>
                <w:sz w:val="15"/>
                <w:szCs w:val="15"/>
                <w:u w:val="none"/>
                <w:lang w:val="en-US" w:eastAsia="zh-CN"/>
              </w:rPr>
              <w:t>平方米</w:t>
            </w:r>
          </w:p>
        </w:tc>
      </w:tr>
      <w:tr>
        <w:tblPrEx>
          <w:shd w:val="clear" w:color="auto" w:fill="auto"/>
          <w:tblCellMar>
            <w:top w:w="0" w:type="dxa"/>
            <w:left w:w="0" w:type="dxa"/>
            <w:bottom w:w="0" w:type="dxa"/>
            <w:right w:w="0" w:type="dxa"/>
          </w:tblCellMar>
        </w:tblPrEx>
        <w:trPr>
          <w:trHeight w:val="431" w:hRule="atLeast"/>
        </w:trPr>
        <w:tc>
          <w:tcPr>
            <w:tcW w:w="8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绩效指标</w:t>
            </w:r>
          </w:p>
        </w:tc>
        <w:tc>
          <w:tcPr>
            <w:tcW w:w="520"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二级指标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三级指标</w:t>
            </w:r>
          </w:p>
        </w:tc>
        <w:tc>
          <w:tcPr>
            <w:tcW w:w="969" w:type="dxa"/>
            <w:gridSpan w:val="3"/>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年度指标值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实际完成值</w:t>
            </w:r>
          </w:p>
        </w:tc>
        <w:tc>
          <w:tcPr>
            <w:tcW w:w="1743" w:type="dxa"/>
            <w:tcBorders>
              <w:top w:val="nil"/>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偏差原因分析及改进措施</w:t>
            </w:r>
          </w:p>
        </w:tc>
      </w:tr>
      <w:tr>
        <w:tblPrEx>
          <w:shd w:val="clear" w:color="auto" w:fill="auto"/>
          <w:tblCellMar>
            <w:top w:w="0" w:type="dxa"/>
            <w:left w:w="0" w:type="dxa"/>
            <w:bottom w:w="0" w:type="dxa"/>
            <w:right w:w="0" w:type="dxa"/>
          </w:tblCellMar>
        </w:tblPrEx>
        <w:trPr>
          <w:trHeight w:val="43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产出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指标</w:t>
            </w:r>
          </w:p>
        </w:tc>
        <w:tc>
          <w:tcPr>
            <w:tcW w:w="987"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数量指标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建设铝型材生产厂房面积</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23000平方米</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rPr>
              <w:t>31367.4平方米</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373"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配套仓库，电房，污水站等设施面积</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rPr>
              <w:t>1590平方米</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rPr>
              <w:t>1590平方米</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质量指标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spacing w:val="-6"/>
                <w:kern w:val="0"/>
                <w:sz w:val="15"/>
                <w:szCs w:val="15"/>
                <w:u w:val="none"/>
                <w:lang w:val="en-US" w:eastAsia="zh-CN" w:bidi="ar"/>
              </w:rPr>
              <w:t>生产厂房和配套建筑验收合格率</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r>
              <w:rPr>
                <w:rFonts w:hint="eastAsia" w:ascii="宋体" w:hAnsi="宋体" w:eastAsia="宋体" w:cs="宋体"/>
                <w:i w:val="0"/>
                <w:color w:val="auto"/>
                <w:sz w:val="15"/>
                <w:szCs w:val="15"/>
                <w:u w:val="none"/>
                <w:lang w:val="en-US" w:eastAsia="zh-CN"/>
              </w:rPr>
              <w:t>建设还未完成，暂未验收</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43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时效指标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highlight w:val="none"/>
                <w:u w:val="none"/>
                <w:lang w:val="en-US" w:eastAsia="zh-CN" w:bidi="ar"/>
              </w:rPr>
              <w:t>项目建设时间</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24月</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建设还未完成</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eastAsia="zh-CN"/>
              </w:rPr>
              <w:t>已建设</w:t>
            </w:r>
            <w:r>
              <w:rPr>
                <w:rFonts w:hint="eastAsia" w:ascii="宋体" w:hAnsi="宋体" w:eastAsia="宋体" w:cs="宋体"/>
                <w:i w:val="0"/>
                <w:color w:val="auto"/>
                <w:sz w:val="15"/>
                <w:szCs w:val="15"/>
                <w:u w:val="none"/>
                <w:lang w:val="en-US" w:eastAsia="zh-CN"/>
              </w:rPr>
              <w:t>10个月</w:t>
            </w:r>
          </w:p>
        </w:tc>
      </w:tr>
      <w:tr>
        <w:tblPrEx>
          <w:shd w:val="clear" w:color="auto" w:fill="auto"/>
          <w:tblCellMar>
            <w:top w:w="0" w:type="dxa"/>
            <w:left w:w="0" w:type="dxa"/>
            <w:bottom w:w="0" w:type="dxa"/>
            <w:right w:w="0" w:type="dxa"/>
          </w:tblCellMar>
        </w:tblPrEx>
        <w:trPr>
          <w:trHeight w:val="417"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87" w:type="dxa"/>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成本指标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kern w:val="0"/>
                <w:sz w:val="15"/>
                <w:szCs w:val="15"/>
                <w:u w:val="none"/>
                <w:lang w:val="en-US" w:eastAsia="zh-CN" w:bidi="ar"/>
              </w:rPr>
              <w:t>配套基础设施建设成本</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612.98万元</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rPr>
            </w:pPr>
            <w:r>
              <w:rPr>
                <w:rFonts w:hint="eastAsia" w:ascii="宋体" w:hAnsi="宋体" w:eastAsia="宋体" w:cs="宋体"/>
                <w:i w:val="0"/>
                <w:color w:val="auto"/>
                <w:sz w:val="15"/>
                <w:szCs w:val="15"/>
                <w:u w:val="none"/>
                <w:lang w:val="en-US" w:eastAsia="zh-CN"/>
              </w:rPr>
              <w:t>545.89万元</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项目完工后支付余下部分</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效益指标</w:t>
            </w:r>
          </w:p>
        </w:tc>
        <w:tc>
          <w:tcPr>
            <w:tcW w:w="987" w:type="dxa"/>
            <w:vMerge w:val="restart"/>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经济效益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000000"/>
                <w:kern w:val="0"/>
                <w:sz w:val="15"/>
                <w:szCs w:val="15"/>
                <w:highlight w:val="none"/>
                <w:u w:val="none"/>
                <w:lang w:val="en-US" w:eastAsia="zh-CN" w:bidi="ar"/>
              </w:rPr>
              <w:t>投产后预计年产值达</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000000"/>
                <w:kern w:val="0"/>
                <w:sz w:val="15"/>
                <w:szCs w:val="15"/>
                <w:highlight w:val="none"/>
                <w:u w:val="none"/>
                <w:lang w:val="en-US" w:eastAsia="zh-CN" w:bidi="ar"/>
              </w:rPr>
              <w:t>50000万元</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0</w:t>
            </w:r>
          </w:p>
        </w:tc>
        <w:tc>
          <w:tcPr>
            <w:tcW w:w="1743" w:type="dxa"/>
            <w:vMerge w:val="restart"/>
            <w:tcBorders>
              <w:top w:val="single" w:color="000000" w:sz="4" w:space="0"/>
              <w:left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项目未建设完成，未产生效益</w:t>
            </w: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87" w:type="dxa"/>
            <w:vMerge w:val="continue"/>
            <w:tcBorders>
              <w:top w:val="single" w:color="000000" w:sz="4" w:space="0"/>
              <w:left w:val="single" w:color="000000" w:sz="4" w:space="0"/>
              <w:bottom w:val="nil"/>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000000"/>
                <w:kern w:val="0"/>
                <w:sz w:val="15"/>
                <w:szCs w:val="15"/>
                <w:highlight w:val="none"/>
                <w:u w:val="none"/>
                <w:lang w:val="en-US" w:eastAsia="zh-CN" w:bidi="ar"/>
              </w:rPr>
              <w:t>投产后预计年缴纳税收</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000000"/>
                <w:kern w:val="0"/>
                <w:sz w:val="15"/>
                <w:szCs w:val="15"/>
                <w:highlight w:val="none"/>
                <w:u w:val="none"/>
                <w:lang w:val="en-US" w:eastAsia="zh-CN" w:bidi="ar"/>
              </w:rPr>
              <w:t>3万元/亩以上</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0</w:t>
            </w:r>
          </w:p>
        </w:tc>
        <w:tc>
          <w:tcPr>
            <w:tcW w:w="1743" w:type="dxa"/>
            <w:vMerge w:val="continue"/>
            <w:tcBorders>
              <w:left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社会效益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000000"/>
                <w:kern w:val="0"/>
                <w:sz w:val="15"/>
                <w:szCs w:val="15"/>
                <w:highlight w:val="none"/>
                <w:u w:val="none"/>
                <w:lang w:val="en-US" w:eastAsia="zh-CN" w:bidi="ar"/>
              </w:rPr>
              <w:t>投产后预计提供稳定就业岗位</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000000"/>
                <w:kern w:val="0"/>
                <w:sz w:val="15"/>
                <w:szCs w:val="15"/>
                <w:highlight w:val="none"/>
                <w:u w:val="none"/>
                <w:lang w:val="en-US" w:eastAsia="zh-CN" w:bidi="ar"/>
              </w:rPr>
              <w:t>200个以上</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auto"/>
                <w:sz w:val="15"/>
                <w:szCs w:val="15"/>
                <w:u w:val="none"/>
                <w:lang w:val="en-US" w:eastAsia="zh-CN"/>
              </w:rPr>
              <w:t>0</w:t>
            </w:r>
          </w:p>
        </w:tc>
        <w:tc>
          <w:tcPr>
            <w:tcW w:w="1743" w:type="dxa"/>
            <w:vMerge w:val="continue"/>
            <w:tcBorders>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r>
      <w:tr>
        <w:tblPrEx>
          <w:shd w:val="clear" w:color="auto" w:fill="auto"/>
          <w:tblCellMar>
            <w:top w:w="0" w:type="dxa"/>
            <w:left w:w="0" w:type="dxa"/>
            <w:bottom w:w="0" w:type="dxa"/>
            <w:right w:w="0" w:type="dxa"/>
          </w:tblCellMar>
        </w:tblPrEx>
        <w:trPr>
          <w:trHeight w:val="240" w:hRule="atLeast"/>
        </w:trPr>
        <w:tc>
          <w:tcPr>
            <w:tcW w:w="8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i w:val="0"/>
                <w:color w:val="auto"/>
                <w:sz w:val="15"/>
                <w:szCs w:val="15"/>
                <w:u w:val="none"/>
              </w:rPr>
            </w:pPr>
          </w:p>
        </w:tc>
        <w:tc>
          <w:tcPr>
            <w:tcW w:w="520" w:type="dxa"/>
            <w:tcBorders>
              <w:top w:val="nil"/>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指标</w:t>
            </w:r>
          </w:p>
        </w:tc>
        <w:tc>
          <w:tcPr>
            <w:tcW w:w="987"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kern w:val="0"/>
                <w:sz w:val="15"/>
                <w:szCs w:val="15"/>
                <w:u w:val="none"/>
                <w:lang w:val="en-US" w:eastAsia="zh-CN" w:bidi="ar"/>
              </w:rPr>
            </w:pPr>
            <w:r>
              <w:rPr>
                <w:rFonts w:hint="eastAsia" w:ascii="宋体" w:hAnsi="宋体" w:eastAsia="宋体" w:cs="宋体"/>
                <w:i w:val="0"/>
                <w:color w:val="auto"/>
                <w:kern w:val="0"/>
                <w:sz w:val="15"/>
                <w:szCs w:val="15"/>
                <w:u w:val="none"/>
                <w:lang w:val="en-US" w:eastAsia="zh-CN" w:bidi="ar"/>
              </w:rPr>
              <w:t>服务对象满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auto"/>
                <w:sz w:val="15"/>
                <w:szCs w:val="15"/>
                <w:u w:val="none"/>
              </w:rPr>
            </w:pPr>
            <w:r>
              <w:rPr>
                <w:rFonts w:hint="eastAsia" w:ascii="宋体" w:hAnsi="宋体" w:eastAsia="宋体" w:cs="宋体"/>
                <w:i w:val="0"/>
                <w:color w:val="auto"/>
                <w:kern w:val="0"/>
                <w:sz w:val="15"/>
                <w:szCs w:val="15"/>
                <w:u w:val="none"/>
                <w:lang w:val="en-US" w:eastAsia="zh-CN" w:bidi="ar"/>
              </w:rPr>
              <w:t>意度指标</w:t>
            </w:r>
          </w:p>
        </w:tc>
        <w:tc>
          <w:tcPr>
            <w:tcW w:w="3008"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widowControl/>
              <w:suppressLineNumbers w:val="0"/>
              <w:jc w:val="left"/>
              <w:textAlignment w:val="center"/>
              <w:rPr>
                <w:rFonts w:hint="eastAsia" w:ascii="宋体" w:hAnsi="宋体" w:eastAsia="宋体" w:cs="宋体"/>
                <w:i w:val="0"/>
                <w:color w:val="auto"/>
                <w:sz w:val="15"/>
                <w:szCs w:val="15"/>
                <w:u w:val="none"/>
              </w:rPr>
            </w:pPr>
            <w:r>
              <w:rPr>
                <w:rFonts w:hint="eastAsia" w:ascii="宋体" w:hAnsi="宋体" w:eastAsia="宋体" w:cs="宋体"/>
                <w:i w:val="0"/>
                <w:color w:val="000000"/>
                <w:kern w:val="0"/>
                <w:sz w:val="15"/>
                <w:szCs w:val="15"/>
                <w:highlight w:val="none"/>
                <w:u w:val="none"/>
                <w:lang w:val="en-US" w:eastAsia="zh-CN" w:bidi="ar"/>
              </w:rPr>
              <w:t>补助企业满意度</w:t>
            </w:r>
          </w:p>
        </w:tc>
        <w:tc>
          <w:tcPr>
            <w:tcW w:w="969" w:type="dxa"/>
            <w:gridSpan w:val="3"/>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default" w:ascii="宋体" w:hAnsi="宋体" w:eastAsia="宋体" w:cs="宋体"/>
                <w:i w:val="0"/>
                <w:color w:val="auto"/>
                <w:sz w:val="15"/>
                <w:szCs w:val="15"/>
                <w:u w:val="none"/>
                <w:lang w:val="en-US" w:eastAsia="zh-CN"/>
              </w:rPr>
            </w:pPr>
            <w:r>
              <w:rPr>
                <w:rFonts w:hint="eastAsia" w:ascii="宋体" w:hAnsi="宋体" w:eastAsia="宋体" w:cs="宋体"/>
                <w:i w:val="0"/>
                <w:color w:val="000000"/>
                <w:sz w:val="15"/>
                <w:szCs w:val="15"/>
                <w:highlight w:val="none"/>
                <w:u w:val="none"/>
                <w:lang w:val="en-US" w:eastAsia="zh-CN"/>
              </w:rPr>
              <w:t>95%</w:t>
            </w:r>
          </w:p>
        </w:tc>
        <w:tc>
          <w:tcPr>
            <w:tcW w:w="1032"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jc w:val="center"/>
              <w:rPr>
                <w:rFonts w:hint="eastAsia" w:ascii="宋体" w:hAnsi="宋体" w:eastAsia="宋体" w:cs="宋体"/>
                <w:i w:val="0"/>
                <w:color w:val="auto"/>
                <w:sz w:val="15"/>
                <w:szCs w:val="15"/>
                <w:u w:val="none"/>
              </w:rPr>
            </w:pPr>
            <w:r>
              <w:rPr>
                <w:rFonts w:hint="eastAsia" w:ascii="宋体" w:hAnsi="宋体" w:eastAsia="宋体" w:cs="宋体"/>
                <w:i w:val="0"/>
                <w:color w:val="000000"/>
                <w:sz w:val="15"/>
                <w:szCs w:val="15"/>
                <w:highlight w:val="none"/>
                <w:u w:val="none"/>
                <w:lang w:val="en-US" w:eastAsia="zh-CN"/>
              </w:rPr>
              <w:t>95%</w:t>
            </w:r>
          </w:p>
        </w:tc>
        <w:tc>
          <w:tcPr>
            <w:tcW w:w="1743" w:type="dxa"/>
            <w:tcBorders>
              <w:top w:val="single" w:color="000000" w:sz="4" w:space="0"/>
              <w:left w:val="single" w:color="000000" w:sz="4" w:space="0"/>
              <w:bottom w:val="single" w:color="000000" w:sz="4" w:space="0"/>
              <w:right w:val="single" w:color="000000" w:sz="4" w:space="0"/>
            </w:tcBorders>
            <w:shd w:val="clear" w:color="auto" w:fill="auto"/>
            <w:tcMar>
              <w:top w:w="11" w:type="dxa"/>
              <w:left w:w="11" w:type="dxa"/>
              <w:right w:w="11"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宋体" w:hAnsi="宋体" w:eastAsia="宋体" w:cs="宋体"/>
                <w:i w:val="0"/>
                <w:color w:val="auto"/>
                <w:sz w:val="15"/>
                <w:szCs w:val="15"/>
                <w:u w:val="none"/>
                <w:lang w:val="en-US" w:eastAsia="zh-CN"/>
              </w:rPr>
            </w:pPr>
          </w:p>
        </w:tc>
      </w:tr>
    </w:tbl>
    <w:p>
      <w:pPr>
        <w:keepNext w:val="0"/>
        <w:keepLines w:val="0"/>
        <w:pageBreakBefore w:val="0"/>
        <w:kinsoku/>
        <w:wordWrap/>
        <w:overflowPunct/>
        <w:topLinePunct w:val="0"/>
        <w:autoSpaceDE/>
        <w:autoSpaceDN/>
        <w:bidi w:val="0"/>
        <w:spacing w:line="576" w:lineRule="exact"/>
        <w:rPr>
          <w:color w:val="auto"/>
        </w:rPr>
      </w:pPr>
    </w:p>
    <w:p>
      <w:pPr>
        <w:pStyle w:val="3"/>
        <w:rPr>
          <w:rFonts w:hint="default"/>
          <w:lang w:val="en-US" w:eastAsia="zh-CN"/>
        </w:rPr>
      </w:pPr>
    </w:p>
    <w:p>
      <w:pPr>
        <w:pStyle w:val="2"/>
        <w:rPr>
          <w:rFonts w:hint="eastAsia" w:ascii="仿宋_GB2312" w:hAnsi="Calibri" w:eastAsia="仿宋_GB2312" w:cs="仿宋"/>
          <w:color w:val="auto"/>
          <w:kern w:val="0"/>
          <w:sz w:val="32"/>
          <w:szCs w:val="32"/>
          <w:highlight w:val="none"/>
          <w:lang w:val="en-US" w:eastAsia="zh-CN" w:bidi="ar-SA"/>
        </w:rPr>
      </w:pPr>
    </w:p>
    <w:p>
      <w:pPr>
        <w:rPr>
          <w:rFonts w:hint="eastAsia" w:ascii="黑体" w:hAnsi="黑体" w:eastAsia="黑体"/>
          <w:color w:val="auto"/>
          <w:sz w:val="44"/>
          <w:szCs w:val="44"/>
          <w:highlight w:val="none"/>
        </w:rPr>
      </w:pPr>
      <w:r>
        <w:rPr>
          <w:rFonts w:hint="eastAsia" w:ascii="黑体" w:hAnsi="黑体" w:eastAsia="黑体"/>
          <w:color w:val="auto"/>
          <w:sz w:val="44"/>
          <w:szCs w:val="44"/>
          <w:highlight w:val="none"/>
        </w:rPr>
        <w:br w:type="page"/>
      </w:r>
    </w:p>
    <w:p>
      <w:pPr>
        <w:spacing w:line="600" w:lineRule="exact"/>
        <w:jc w:val="center"/>
        <w:outlineLvl w:val="0"/>
        <w:rPr>
          <w:rFonts w:hint="eastAsia" w:ascii="仿宋" w:hAnsi="仿宋" w:eastAsia="仿宋"/>
          <w:b w:val="0"/>
          <w:color w:val="auto"/>
          <w:highlight w:val="none"/>
        </w:rPr>
      </w:pPr>
      <w:bookmarkStart w:id="70" w:name="_Toc15445"/>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66"/>
      <w:bookmarkEnd w:id="69"/>
      <w:bookmarkEnd w:id="70"/>
      <w:bookmarkStart w:id="71" w:name="_Toc15396619"/>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2" w:name="_Toc27507"/>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71"/>
      <w:bookmarkEnd w:id="72"/>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3" w:name="_Toc15396620"/>
      <w:bookmarkStart w:id="74" w:name="_Toc7799"/>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73"/>
      <w:bookmarkEnd w:id="74"/>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75" w:name="_Toc15396621"/>
      <w:bookmarkStart w:id="76" w:name="_Toc871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75"/>
      <w:bookmarkEnd w:id="76"/>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b w:val="0"/>
          <w:color w:val="auto"/>
          <w:highlight w:val="none"/>
        </w:rPr>
      </w:pPr>
      <w:bookmarkStart w:id="77" w:name="_Toc15396622"/>
      <w:bookmarkStart w:id="78" w:name="_Toc26735"/>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77"/>
      <w:bookmarkEnd w:id="78"/>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Style w:val="30"/>
          <w:rFonts w:ascii="仿宋" w:hAnsi="仿宋" w:eastAsia="仿宋"/>
          <w:b w:val="0"/>
          <w:bCs w:val="0"/>
          <w:color w:val="auto"/>
          <w:highlight w:val="none"/>
        </w:rPr>
      </w:pPr>
      <w:bookmarkStart w:id="79" w:name="_Toc27933"/>
      <w:bookmarkStart w:id="80"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79"/>
      <w:bookmarkEnd w:id="80"/>
      <w:bookmarkStart w:id="81" w:name="_Toc15396624"/>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82" w:name="_Toc13780"/>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81"/>
      <w:bookmarkEnd w:id="82"/>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83" w:name="_Toc15396625"/>
      <w:bookmarkStart w:id="84" w:name="_Toc31770"/>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83"/>
      <w:bookmarkEnd w:id="84"/>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85" w:name="_Toc15396626"/>
      <w:bookmarkStart w:id="86" w:name="_Toc6645"/>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85"/>
      <w:bookmarkEnd w:id="86"/>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87" w:name="_Toc15396627"/>
      <w:bookmarkStart w:id="88" w:name="_Toc1447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87"/>
      <w:bookmarkEnd w:id="88"/>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89" w:name="_Toc15396628"/>
      <w:bookmarkStart w:id="90" w:name="_Toc21946"/>
      <w:r>
        <w:rPr>
          <w:rStyle w:val="30"/>
          <w:rFonts w:hint="eastAsia" w:ascii="仿宋" w:hAnsi="仿宋" w:eastAsia="仿宋"/>
          <w:b w:val="0"/>
          <w:bCs w:val="0"/>
          <w:color w:val="auto"/>
          <w:highlight w:val="none"/>
        </w:rPr>
        <w:t>十、</w:t>
      </w:r>
      <w:bookmarkEnd w:id="89"/>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90"/>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91" w:name="_Toc15396629"/>
      <w:bookmarkStart w:id="92" w:name="_Toc12041"/>
      <w:r>
        <w:rPr>
          <w:rStyle w:val="30"/>
          <w:rFonts w:hint="eastAsia" w:ascii="仿宋" w:hAnsi="仿宋" w:eastAsia="仿宋"/>
          <w:b w:val="0"/>
          <w:bCs w:val="0"/>
          <w:color w:val="auto"/>
          <w:highlight w:val="none"/>
        </w:rPr>
        <w:t>十一、</w:t>
      </w:r>
      <w:bookmarkEnd w:id="91"/>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92"/>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ascii="仿宋" w:hAnsi="仿宋" w:eastAsia="仿宋"/>
          <w:color w:val="auto"/>
          <w:highlight w:val="none"/>
        </w:rPr>
      </w:pPr>
      <w:bookmarkStart w:id="93" w:name="_Toc15396630"/>
      <w:bookmarkStart w:id="94" w:name="_Toc32135"/>
      <w:r>
        <w:rPr>
          <w:rStyle w:val="30"/>
          <w:rFonts w:hint="eastAsia" w:ascii="仿宋" w:hAnsi="仿宋" w:eastAsia="仿宋"/>
          <w:b w:val="0"/>
          <w:bCs w:val="0"/>
          <w:color w:val="auto"/>
          <w:highlight w:val="none"/>
        </w:rPr>
        <w:t>十二、</w:t>
      </w:r>
      <w:bookmarkEnd w:id="93"/>
      <w:r>
        <w:rPr>
          <w:rStyle w:val="30"/>
          <w:rFonts w:hint="eastAsia" w:ascii="仿宋" w:hAnsi="仿宋" w:eastAsia="仿宋"/>
          <w:b w:val="0"/>
          <w:bCs w:val="0"/>
          <w:color w:val="auto"/>
          <w:highlight w:val="none"/>
          <w:lang w:eastAsia="zh-CN"/>
        </w:rPr>
        <w:t>国有资本经营预算财政拨款支出决算表</w:t>
      </w:r>
      <w:bookmarkEnd w:id="94"/>
    </w:p>
    <w:p>
      <w:pPr>
        <w:pStyle w:val="6"/>
        <w:keepNext/>
        <w:keepLines/>
        <w:pageBreakBefore w:val="0"/>
        <w:widowControl w:val="0"/>
        <w:kinsoku/>
        <w:wordWrap/>
        <w:overflowPunct/>
        <w:topLinePunct w:val="0"/>
        <w:autoSpaceDE/>
        <w:autoSpaceDN/>
        <w:bidi w:val="0"/>
        <w:adjustRightInd/>
        <w:snapToGrid/>
        <w:spacing w:before="0" w:after="0" w:line="576" w:lineRule="exact"/>
        <w:textAlignment w:val="auto"/>
        <w:rPr>
          <w:rFonts w:hint="eastAsia" w:eastAsia="仿宋"/>
          <w:color w:val="auto"/>
          <w:highlight w:val="none"/>
          <w:lang w:eastAsia="zh-CN"/>
        </w:rPr>
      </w:pPr>
      <w:bookmarkStart w:id="95" w:name="_Toc15396631"/>
      <w:bookmarkStart w:id="96" w:name="_Toc31737"/>
      <w:r>
        <w:rPr>
          <w:rStyle w:val="30"/>
          <w:rFonts w:hint="eastAsia" w:ascii="仿宋" w:hAnsi="仿宋" w:eastAsia="仿宋"/>
          <w:b w:val="0"/>
          <w:bCs w:val="0"/>
          <w:color w:val="auto"/>
          <w:highlight w:val="none"/>
        </w:rPr>
        <w:t>十三、</w:t>
      </w:r>
      <w:bookmarkEnd w:id="95"/>
      <w:r>
        <w:rPr>
          <w:rStyle w:val="30"/>
          <w:rFonts w:hint="eastAsia" w:ascii="仿宋" w:hAnsi="仿宋" w:eastAsia="仿宋"/>
          <w:b w:val="0"/>
          <w:bCs w:val="0"/>
          <w:color w:val="auto"/>
          <w:highlight w:val="none"/>
          <w:lang w:eastAsia="zh-CN"/>
        </w:rPr>
        <w:t>财政拨款“三公”经费支出决算表</w:t>
      </w:r>
      <w:bookmarkEnd w:id="9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仿宋">
    <w:altName w:val="仿宋"/>
    <w:panose1 w:val="00000000000000000000"/>
    <w:charset w:val="00"/>
    <w:family w:val="auto"/>
    <w:pitch w:val="default"/>
    <w:sig w:usb0="00000000" w:usb1="00000000" w:usb2="00000010" w:usb3="00000000" w:csb0="00040001" w:csb1="00000000"/>
  </w:font>
  <w:font w:name="方正小标宋简体">
    <w:altName w:val="Arial Unicode MS"/>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1"/>
          <w:jc w:val="center"/>
        </w:pPr>
        <w:r>
          <w:fldChar w:fldCharType="begin"/>
        </w:r>
        <w:r>
          <w:instrText xml:space="preserve">PAGE   \* MERGEFORMAT</w:instrText>
        </w:r>
        <w:r>
          <w:fldChar w:fldCharType="separate"/>
        </w:r>
        <w:r>
          <w:rPr>
            <w:lang w:val="zh-CN"/>
          </w:rPr>
          <w:t>8</w:t>
        </w:r>
        <w:r>
          <w:fldChar w:fldCharType="end"/>
        </w:r>
      </w:p>
    </w:sdtContent>
  </w:sdt>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YTg4NGNkZWJkODFjNzcyZDRjM2M4Y2UzNjI5Zm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D10180"/>
    <w:rsid w:val="053A62B5"/>
    <w:rsid w:val="06AF1C65"/>
    <w:rsid w:val="0A2032A3"/>
    <w:rsid w:val="0AD561E2"/>
    <w:rsid w:val="0B8A37D8"/>
    <w:rsid w:val="0BE655BB"/>
    <w:rsid w:val="10C055FF"/>
    <w:rsid w:val="118107EC"/>
    <w:rsid w:val="11DD6519"/>
    <w:rsid w:val="16BB723D"/>
    <w:rsid w:val="18015F3F"/>
    <w:rsid w:val="1BE8440E"/>
    <w:rsid w:val="1D155CEE"/>
    <w:rsid w:val="208E6107"/>
    <w:rsid w:val="20F57F95"/>
    <w:rsid w:val="240371BF"/>
    <w:rsid w:val="25711CC6"/>
    <w:rsid w:val="25C741E6"/>
    <w:rsid w:val="27842671"/>
    <w:rsid w:val="29FD04D3"/>
    <w:rsid w:val="2ABE7A3E"/>
    <w:rsid w:val="2CA234A8"/>
    <w:rsid w:val="2EFA178C"/>
    <w:rsid w:val="30B46D73"/>
    <w:rsid w:val="319F7F4E"/>
    <w:rsid w:val="35130D8B"/>
    <w:rsid w:val="383D272C"/>
    <w:rsid w:val="39AE70AB"/>
    <w:rsid w:val="3C0C0783"/>
    <w:rsid w:val="3F9F3A96"/>
    <w:rsid w:val="48BF60AB"/>
    <w:rsid w:val="493C27E9"/>
    <w:rsid w:val="496F39ED"/>
    <w:rsid w:val="49FF41D3"/>
    <w:rsid w:val="4BE068DB"/>
    <w:rsid w:val="4BF6002B"/>
    <w:rsid w:val="4ECE2238"/>
    <w:rsid w:val="51DB4B86"/>
    <w:rsid w:val="55333C3E"/>
    <w:rsid w:val="5A3612C1"/>
    <w:rsid w:val="5D9C21E8"/>
    <w:rsid w:val="5E263ABA"/>
    <w:rsid w:val="630765DC"/>
    <w:rsid w:val="64CA39A1"/>
    <w:rsid w:val="67850A94"/>
    <w:rsid w:val="68794EB5"/>
    <w:rsid w:val="69630ADE"/>
    <w:rsid w:val="6A040790"/>
    <w:rsid w:val="6C4A05C8"/>
    <w:rsid w:val="6D3B1A89"/>
    <w:rsid w:val="71BF4EC2"/>
    <w:rsid w:val="72734D90"/>
    <w:rsid w:val="7412278C"/>
    <w:rsid w:val="76960214"/>
    <w:rsid w:val="79E7B28D"/>
    <w:rsid w:val="7A5E3C19"/>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6"/>
    <w:qFormat/>
    <w:uiPriority w:val="99"/>
    <w:pPr>
      <w:spacing w:beforeLines="30"/>
    </w:pPr>
    <w:rPr>
      <w:rFonts w:ascii="仿宋_GB2312" w:eastAsia="仿宋_GB2312"/>
      <w:kern w:val="0"/>
      <w:sz w:val="30"/>
    </w:rPr>
  </w:style>
  <w:style w:type="paragraph" w:styleId="3">
    <w:name w:val="Body Text First Indent 2"/>
    <w:basedOn w:val="4"/>
    <w:next w:val="1"/>
    <w:unhideWhenUsed/>
    <w:qFormat/>
    <w:uiPriority w:val="99"/>
    <w:pPr>
      <w:ind w:firstLine="420" w:firstLineChars="200"/>
    </w:pPr>
    <w:rPr>
      <w:rFonts w:cs="Calibri"/>
      <w:szCs w:val="21"/>
    </w:rPr>
  </w:style>
  <w:style w:type="paragraph" w:styleId="4">
    <w:name w:val="Body Text Indent"/>
    <w:basedOn w:val="1"/>
    <w:next w:val="3"/>
    <w:unhideWhenUsed/>
    <w:qFormat/>
    <w:uiPriority w:val="99"/>
    <w:pPr>
      <w:spacing w:after="120"/>
      <w:ind w:left="420" w:leftChars="200"/>
    </w:pPr>
  </w:style>
  <w:style w:type="paragraph" w:styleId="8">
    <w:name w:val="annotation text"/>
    <w:basedOn w:val="1"/>
    <w:qFormat/>
    <w:uiPriority w:val="0"/>
    <w:pPr>
      <w:jc w:val="left"/>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unhideWhenUsed/>
    <w:qFormat/>
    <w:uiPriority w:val="99"/>
    <w:pPr>
      <w:adjustRightInd/>
      <w:snapToGrid/>
      <w:spacing w:before="100" w:beforeLines="0" w:beforeAutospacing="1" w:after="100" w:afterLines="0" w:afterAutospacing="1"/>
    </w:pPr>
    <w:rPr>
      <w:rFonts w:ascii="宋体" w:hAnsi="宋体" w:eastAsia="宋体" w:cs="宋体"/>
      <w:sz w:val="24"/>
      <w:szCs w:val="24"/>
    </w:rPr>
  </w:style>
  <w:style w:type="paragraph" w:styleId="16">
    <w:name w:val="Body Text First Indent"/>
    <w:basedOn w:val="2"/>
    <w:unhideWhenUsed/>
    <w:qFormat/>
    <w:uiPriority w:val="99"/>
    <w:pPr>
      <w:spacing w:after="0"/>
      <w:ind w:firstLine="420" w:firstLineChars="100"/>
    </w:pPr>
    <w:rPr>
      <w:rFonts w:eastAsia="文星仿宋"/>
      <w:kern w:val="0"/>
      <w:sz w:val="20"/>
      <w:szCs w:val="20"/>
    </w:r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Header Char"/>
    <w:basedOn w:val="18"/>
    <w:semiHidden/>
    <w:qFormat/>
    <w:uiPriority w:val="99"/>
    <w:rPr>
      <w:rFonts w:ascii="Times New Roman" w:hAnsi="Times New Roman"/>
      <w:sz w:val="18"/>
      <w:szCs w:val="18"/>
    </w:rPr>
  </w:style>
  <w:style w:type="character" w:customStyle="1" w:styleId="22">
    <w:name w:val="页眉 Char"/>
    <w:link w:val="12"/>
    <w:semiHidden/>
    <w:qFormat/>
    <w:locked/>
    <w:uiPriority w:val="99"/>
    <w:rPr>
      <w:sz w:val="18"/>
    </w:rPr>
  </w:style>
  <w:style w:type="character" w:customStyle="1" w:styleId="23">
    <w:name w:val="Footer Char"/>
    <w:basedOn w:val="18"/>
    <w:semiHidden/>
    <w:qFormat/>
    <w:uiPriority w:val="99"/>
    <w:rPr>
      <w:rFonts w:ascii="Times New Roman" w:hAnsi="Times New Roman"/>
      <w:sz w:val="18"/>
      <w:szCs w:val="18"/>
    </w:rPr>
  </w:style>
  <w:style w:type="character" w:customStyle="1" w:styleId="24">
    <w:name w:val="页脚 Char"/>
    <w:link w:val="11"/>
    <w:qFormat/>
    <w:locked/>
    <w:uiPriority w:val="99"/>
    <w:rPr>
      <w:sz w:val="18"/>
    </w:rPr>
  </w:style>
  <w:style w:type="character" w:customStyle="1" w:styleId="25">
    <w:name w:val="Body Text Char"/>
    <w:basedOn w:val="18"/>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8"/>
    <w:link w:val="5"/>
    <w:qFormat/>
    <w:uiPriority w:val="9"/>
    <w:rPr>
      <w:rFonts w:ascii="Times New Roman" w:hAnsi="Times New Roman"/>
      <w:b/>
      <w:bCs/>
      <w:kern w:val="44"/>
      <w:sz w:val="44"/>
      <w:szCs w:val="44"/>
    </w:rPr>
  </w:style>
  <w:style w:type="character" w:customStyle="1" w:styleId="30">
    <w:name w:val="标题 2 Char"/>
    <w:basedOn w:val="18"/>
    <w:link w:val="6"/>
    <w:qFormat/>
    <w:uiPriority w:val="9"/>
    <w:rPr>
      <w:rFonts w:asciiTheme="majorHAnsi" w:hAnsiTheme="majorHAnsi" w:eastAsiaTheme="majorEastAsia" w:cstheme="majorBidi"/>
      <w:b/>
      <w:bCs/>
      <w:kern w:val="2"/>
      <w:sz w:val="32"/>
      <w:szCs w:val="32"/>
    </w:rPr>
  </w:style>
  <w:style w:type="paragraph" w:customStyle="1" w:styleId="31">
    <w:name w:val="TOC 标题1"/>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8"/>
    <w:link w:val="10"/>
    <w:semiHidden/>
    <w:qFormat/>
    <w:uiPriority w:val="99"/>
    <w:rPr>
      <w:rFonts w:ascii="Times New Roman" w:hAnsi="Times New Roman"/>
      <w:kern w:val="2"/>
      <w:sz w:val="18"/>
      <w:szCs w:val="18"/>
    </w:rPr>
  </w:style>
  <w:style w:type="character" w:customStyle="1" w:styleId="33">
    <w:name w:val="标题 3 Char"/>
    <w:basedOn w:val="18"/>
    <w:link w:val="7"/>
    <w:qFormat/>
    <w:uiPriority w:val="9"/>
    <w:rPr>
      <w:rFonts w:ascii="Times New Roman" w:hAnsi="Times New Roman"/>
      <w:b/>
      <w:bCs/>
      <w:kern w:val="2"/>
      <w:sz w:val="32"/>
      <w:szCs w:val="32"/>
    </w:rPr>
  </w:style>
  <w:style w:type="paragraph" w:customStyle="1" w:styleId="34">
    <w:name w:val="TOC Heading"/>
    <w:basedOn w:val="5"/>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正文2"/>
    <w:basedOn w:val="1"/>
    <w:next w:val="1"/>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[工作簿1]Sheet1!$B$11:$B$12</c:f>
              <c:strCache>
                <c:ptCount val="2"/>
                <c:pt idx="0">
                  <c:v>2021年</c:v>
                </c:pt>
                <c:pt idx="1">
                  <c:v>2022年</c:v>
                </c:pt>
              </c:strCache>
            </c:strRef>
          </c:cat>
          <c:val>
            <c:numRef>
              <c:f>[工作簿1]Sheet1!$C$11:$C$12</c:f>
              <c:numCache>
                <c:formatCode>General</c:formatCode>
                <c:ptCount val="2"/>
                <c:pt idx="0">
                  <c:v>4560.06</c:v>
                </c:pt>
                <c:pt idx="1">
                  <c:v>3826.59</c:v>
                </c:pt>
              </c:numCache>
            </c:numRef>
          </c:val>
        </c:ser>
        <c:dLbls>
          <c:showLegendKey val="0"/>
          <c:showVal val="1"/>
          <c:showCatName val="0"/>
          <c:showSerName val="0"/>
          <c:showPercent val="0"/>
          <c:showBubbleSize val="0"/>
        </c:dLbls>
        <c:gapWidth val="150"/>
        <c:overlap val="100"/>
        <c:axId val="989900271"/>
        <c:axId val="987300534"/>
      </c:barChart>
      <c:catAx>
        <c:axId val="9899002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300534"/>
        <c:crosses val="autoZero"/>
        <c:auto val="1"/>
        <c:lblAlgn val="ctr"/>
        <c:lblOffset val="100"/>
        <c:noMultiLvlLbl val="0"/>
      </c:catAx>
      <c:valAx>
        <c:axId val="98730053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9002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[工作簿1]Sheet1!$B$14:$B$15</c:f>
              <c:strCache>
                <c:ptCount val="2"/>
                <c:pt idx="0">
                  <c:v>一般公共预算财政拨款收入</c:v>
                </c:pt>
                <c:pt idx="1">
                  <c:v>政府性基金预算财政拨款收入</c:v>
                </c:pt>
              </c:strCache>
            </c:strRef>
          </c:cat>
          <c:val>
            <c:numRef>
              <c:f>[工作簿1]Sheet1!$C$14:$C$15</c:f>
              <c:numCache>
                <c:formatCode>General</c:formatCode>
                <c:ptCount val="2"/>
                <c:pt idx="0">
                  <c:v>1246.88</c:v>
                </c:pt>
                <c:pt idx="1">
                  <c:v>2579.71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[工作簿1]Sheet1!$B$17:$B$18</c:f>
              <c:strCache>
                <c:ptCount val="2"/>
                <c:pt idx="0">
                  <c:v>基本支出</c:v>
                </c:pt>
                <c:pt idx="1">
                  <c:v>项目支出</c:v>
                </c:pt>
              </c:strCache>
            </c:strRef>
          </c:cat>
          <c:val>
            <c:numRef>
              <c:f>[工作簿1]Sheet1!$C$17:$C$18</c:f>
              <c:numCache>
                <c:formatCode>General</c:formatCode>
                <c:ptCount val="2"/>
                <c:pt idx="0">
                  <c:v>572.51</c:v>
                </c:pt>
                <c:pt idx="1">
                  <c:v>3254.08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[工作簿1]Sheet1!$B$11:$B$12</c:f>
              <c:strCache>
                <c:ptCount val="2"/>
                <c:pt idx="0">
                  <c:v>2021年</c:v>
                </c:pt>
                <c:pt idx="1">
                  <c:v>2022年</c:v>
                </c:pt>
              </c:strCache>
            </c:strRef>
          </c:cat>
          <c:val>
            <c:numRef>
              <c:f>[工作簿1]Sheet1!$C$11:$C$12</c:f>
              <c:numCache>
                <c:formatCode>General</c:formatCode>
                <c:ptCount val="2"/>
                <c:pt idx="0">
                  <c:v>4560.06</c:v>
                </c:pt>
                <c:pt idx="1">
                  <c:v>3826.59</c:v>
                </c:pt>
              </c:numCache>
            </c:numRef>
          </c:val>
        </c:ser>
        <c:dLbls>
          <c:showLegendKey val="0"/>
          <c:showVal val="1"/>
          <c:showCatName val="0"/>
          <c:showSerName val="0"/>
          <c:showPercent val="0"/>
          <c:showBubbleSize val="0"/>
        </c:dLbls>
        <c:gapWidth val="150"/>
        <c:overlap val="100"/>
        <c:axId val="989900271"/>
        <c:axId val="987300534"/>
      </c:barChart>
      <c:catAx>
        <c:axId val="9899002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7300534"/>
        <c:crosses val="autoZero"/>
        <c:auto val="1"/>
        <c:lblAlgn val="ctr"/>
        <c:lblOffset val="100"/>
        <c:noMultiLvlLbl val="0"/>
      </c:catAx>
      <c:valAx>
        <c:axId val="98730053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99002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[工作簿1]Sheet1!$B$20</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[工作簿1]Sheet1!$C$19:$D$19</c:f>
              <c:strCache>
                <c:ptCount val="2"/>
                <c:pt idx="0">
                  <c:v>2021年</c:v>
                </c:pt>
                <c:pt idx="1">
                  <c:v>2022年</c:v>
                </c:pt>
              </c:strCache>
            </c:strRef>
          </c:cat>
          <c:val>
            <c:numRef>
              <c:f>[工作簿1]Sheet1!$C$20:$D$20</c:f>
              <c:numCache>
                <c:formatCode>General</c:formatCode>
                <c:ptCount val="2"/>
                <c:pt idx="0">
                  <c:v>889.45</c:v>
                </c:pt>
                <c:pt idx="1">
                  <c:v>1246.88</c:v>
                </c:pt>
              </c:numCache>
            </c:numRef>
          </c:val>
        </c:ser>
        <c:ser>
          <c:idx val="1"/>
          <c:order val="1"/>
          <c:tx>
            <c:strRef>
              <c:f>[工作簿1]Sheet1!$B$21</c:f>
              <c:strCache>
                <c:ptCount val="1"/>
                <c:pt idx="0">
                  <c:v>本年支出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[工作簿1]Sheet1!$C$19:$D$19</c:f>
              <c:strCache>
                <c:ptCount val="2"/>
                <c:pt idx="0">
                  <c:v>2021年</c:v>
                </c:pt>
                <c:pt idx="1">
                  <c:v>2022年</c:v>
                </c:pt>
              </c:strCache>
            </c:strRef>
          </c:cat>
          <c:val>
            <c:numRef>
              <c:f>[工作簿1]Sheet1!$C$21:$D$21</c:f>
              <c:numCache>
                <c:formatCode>General</c:formatCode>
                <c:ptCount val="2"/>
                <c:pt idx="0">
                  <c:v>4560.06</c:v>
                </c:pt>
                <c:pt idx="1">
                  <c:v>3826.59</c:v>
                </c:pt>
              </c:numCache>
            </c:numRef>
          </c:val>
        </c:ser>
        <c:dLbls>
          <c:showLegendKey val="0"/>
          <c:showVal val="1"/>
          <c:showCatName val="0"/>
          <c:showSerName val="0"/>
          <c:showPercent val="0"/>
          <c:showBubbleSize val="0"/>
        </c:dLbls>
        <c:gapWidth val="219"/>
        <c:overlap val="-27"/>
        <c:axId val="932827654"/>
        <c:axId val="572552833"/>
      </c:barChart>
      <c:catAx>
        <c:axId val="93282765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72552833"/>
        <c:crosses val="autoZero"/>
        <c:auto val="1"/>
        <c:lblAlgn val="ctr"/>
        <c:lblOffset val="100"/>
        <c:noMultiLvlLbl val="0"/>
      </c:catAx>
      <c:valAx>
        <c:axId val="57255283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282765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4"/>
              <c:layout>
                <c:manualLayout>
                  <c:x val="0.00731808150357283"/>
                  <c:y val="-0.020377494086965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[工作簿1]Sheet1!$B$2:$B$8</c:f>
              <c:strCache>
                <c:ptCount val="7"/>
                <c:pt idx="0">
                  <c:v>一般公共服务（类）</c:v>
                </c:pt>
                <c:pt idx="1">
                  <c:v>科学技术（类）</c:v>
                </c:pt>
                <c:pt idx="2">
                  <c:v>社会保障和就业（类）</c:v>
                </c:pt>
                <c:pt idx="3">
                  <c:v>卫生健康支出（类）</c:v>
                </c:pt>
                <c:pt idx="4">
                  <c:v>农林水支出(类）</c:v>
                </c:pt>
                <c:pt idx="5">
                  <c:v>资源勘探信息等支出（类）</c:v>
                </c:pt>
                <c:pt idx="6">
                  <c:v>住房保障（类）</c:v>
                </c:pt>
              </c:strCache>
            </c:strRef>
          </c:cat>
          <c:val>
            <c:numRef>
              <c:f>[工作簿1]Sheet1!$C$2:$C$8</c:f>
              <c:numCache>
                <c:formatCode>General</c:formatCode>
                <c:ptCount val="7"/>
                <c:pt idx="0">
                  <c:v>468.64</c:v>
                </c:pt>
                <c:pt idx="1">
                  <c:v>176.74</c:v>
                </c:pt>
                <c:pt idx="2">
                  <c:v>64</c:v>
                </c:pt>
                <c:pt idx="3">
                  <c:v>14.46</c:v>
                </c:pt>
                <c:pt idx="4">
                  <c:v>115.02</c:v>
                </c:pt>
                <c:pt idx="5">
                  <c:v>382.6</c:v>
                </c:pt>
                <c:pt idx="6">
                  <c:v>25.41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[工作簿1]Sheet1!$B$25:$B$27</c:f>
              <c:strCache>
                <c:ptCount val="3"/>
                <c:pt idx="0">
                  <c:v>公务接待费</c:v>
                </c:pt>
                <c:pt idx="1">
                  <c:v>因公出国（境）费</c:v>
                </c:pt>
                <c:pt idx="2">
                  <c:v>公务用车购置及运行维护费</c:v>
                </c:pt>
              </c:strCache>
            </c:strRef>
          </c:cat>
          <c:val>
            <c:numRef>
              <c:f>[工作簿1]Sheet1!$C$25:$C$27</c:f>
              <c:numCache>
                <c:formatCode>General</c:formatCode>
                <c:ptCount val="3"/>
                <c:pt idx="0">
                  <c:v>10.24</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54</Pages>
  <Words>21674</Words>
  <Characters>23824</Characters>
  <Lines>61</Lines>
  <Paragraphs>17</Paragraphs>
  <TotalTime>42</TotalTime>
  <ScaleCrop>false</ScaleCrop>
  <LinksUpToDate>false</LinksUpToDate>
  <CharactersWithSpaces>23966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DELL</cp:lastModifiedBy>
  <cp:lastPrinted>2023-09-27T03:27:00Z</cp:lastPrinted>
  <dcterms:modified xsi:type="dcterms:W3CDTF">2023-09-28T11:17:00Z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3C6CC03AE05F49F3890391A6B4EAEC63_12</vt:lpwstr>
  </property>
</Properties>
</file>