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highlight w:val="none"/>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default" w:ascii="Times New Roman" w:hAnsi="Times New Roman" w:eastAsia="方正小标宋简体" w:cs="Times New Roman"/>
          <w:color w:val="000000"/>
          <w:spacing w:val="0"/>
          <w:sz w:val="44"/>
          <w:szCs w:val="44"/>
          <w:highlight w:val="none"/>
          <w:u w:val="none"/>
          <w:lang w:val="zh-CN" w:eastAsia="zh-CN" w:bidi="ar-SA"/>
        </w:rPr>
      </w:pPr>
      <w:r>
        <w:rPr>
          <w:rFonts w:hint="default" w:ascii="Times New Roman" w:hAnsi="Times New Roman" w:eastAsia="方正小标宋简体" w:cs="Times New Roman"/>
          <w:color w:val="000000"/>
          <w:spacing w:val="0"/>
          <w:sz w:val="44"/>
          <w:szCs w:val="44"/>
          <w:highlight w:val="none"/>
          <w:u w:val="none"/>
          <w:lang w:val="zh-CN" w:eastAsia="zh-CN" w:bidi="ar-SA"/>
        </w:rPr>
        <w:t>广元市昭化区制造业招商引资优惠政策</w:t>
      </w: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楷体_GB2312" w:hAnsi="楷体_GB2312" w:eastAsia="楷体_GB2312" w:cs="楷体_GB2312"/>
          <w:color w:val="000000"/>
          <w:spacing w:val="0"/>
          <w:sz w:val="32"/>
          <w:szCs w:val="32"/>
          <w:highlight w:val="none"/>
          <w:u w:val="none"/>
          <w:lang w:val="en-US" w:eastAsia="zh-CN" w:bidi="ar-SA"/>
        </w:rPr>
      </w:pPr>
      <w:r>
        <w:rPr>
          <w:rFonts w:hint="eastAsia" w:ascii="楷体_GB2312" w:hAnsi="楷体_GB2312" w:eastAsia="楷体_GB2312" w:cs="楷体_GB2312"/>
          <w:color w:val="000000"/>
          <w:spacing w:val="0"/>
          <w:sz w:val="32"/>
          <w:szCs w:val="32"/>
          <w:highlight w:val="none"/>
          <w:u w:val="none"/>
          <w:lang w:val="zh-CN" w:eastAsia="zh-CN" w:bidi="ar-SA"/>
        </w:rPr>
        <w:t>（</w:t>
      </w:r>
      <w:r>
        <w:rPr>
          <w:rFonts w:hint="eastAsia" w:ascii="楷体_GB2312" w:hAnsi="楷体_GB2312" w:eastAsia="楷体_GB2312" w:cs="楷体_GB2312"/>
          <w:color w:val="000000"/>
          <w:spacing w:val="0"/>
          <w:sz w:val="32"/>
          <w:szCs w:val="32"/>
          <w:highlight w:val="none"/>
          <w:u w:val="none"/>
          <w:lang w:val="en-US" w:eastAsia="zh-CN" w:bidi="ar-SA"/>
        </w:rPr>
        <w:t>征求意见稿）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u w:val="none"/>
        </w:rPr>
      </w:pPr>
      <w:bookmarkStart w:id="0" w:name="_GoBack"/>
      <w:bookmarkEnd w:id="0"/>
    </w:p>
    <w:p>
      <w:pPr>
        <w:keepNext w:val="0"/>
        <w:keepLines w:val="0"/>
        <w:pageBreakBefore w:val="0"/>
        <w:widowControl w:val="0"/>
        <w:suppressAutoHyphens/>
        <w:kinsoku/>
        <w:wordWrap/>
        <w:overflowPunct/>
        <w:topLinePunct w:val="0"/>
        <w:autoSpaceDE/>
        <w:autoSpaceDN/>
        <w:bidi w:val="0"/>
        <w:adjustRightInd/>
        <w:snapToGrid/>
        <w:spacing w:before="157" w:after="157" w:line="560" w:lineRule="exact"/>
        <w:ind w:left="0" w:firstLine="0"/>
        <w:jc w:val="center"/>
        <w:textAlignment w:val="auto"/>
        <w:rPr>
          <w:rFonts w:hint="default" w:ascii="Times New Roman" w:hAnsi="Times New Roman" w:eastAsia="黑体" w:cs="Times New Roman"/>
          <w:color w:val="000000"/>
          <w:sz w:val="32"/>
          <w:szCs w:val="32"/>
          <w:highlight w:val="none"/>
          <w:u w:val="none"/>
          <w:lang w:val="zh-CN" w:eastAsia="zh-CN" w:bidi="ar-SA"/>
        </w:rPr>
      </w:pPr>
      <w:r>
        <w:rPr>
          <w:rFonts w:hint="default" w:ascii="Times New Roman" w:hAnsi="Times New Roman" w:eastAsia="黑体" w:cs="Times New Roman"/>
          <w:color w:val="000000"/>
          <w:sz w:val="32"/>
          <w:szCs w:val="32"/>
          <w:highlight w:val="none"/>
          <w:u w:val="none"/>
          <w:lang w:val="zh-CN" w:eastAsia="zh-CN" w:bidi="ar-SA"/>
        </w:rPr>
        <w:t>第一章  总    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sz w:val="32"/>
          <w:szCs w:val="32"/>
          <w:highlight w:val="none"/>
          <w:u w:val="none"/>
          <w:lang w:val="zh-CN" w:eastAsia="zh-CN" w:bidi="ar-SA"/>
        </w:rPr>
      </w:pPr>
      <w:r>
        <w:rPr>
          <w:rFonts w:hint="default" w:ascii="Times New Roman" w:hAnsi="Times New Roman" w:eastAsia="楷体_GB2312" w:cs="Times New Roman"/>
          <w:bCs w:val="0"/>
          <w:color w:val="000000"/>
          <w:sz w:val="32"/>
          <w:szCs w:val="32"/>
          <w:highlight w:val="none"/>
          <w:u w:val="none"/>
          <w:lang w:val="zh-CN" w:eastAsia="zh-CN" w:bidi="ar-SA"/>
        </w:rPr>
        <w:t>第一条</w:t>
      </w:r>
      <w:r>
        <w:rPr>
          <w:rFonts w:hint="default" w:ascii="Times New Roman" w:hAnsi="Times New Roman" w:eastAsia="楷体_GB2312" w:cs="Times New Roman"/>
          <w:bCs w:val="0"/>
          <w:color w:val="000000"/>
          <w:sz w:val="32"/>
          <w:szCs w:val="32"/>
          <w:highlight w:val="none"/>
          <w:u w:val="none"/>
          <w:lang w:val="en-US" w:eastAsia="zh-CN" w:bidi="ar-SA"/>
        </w:rPr>
        <w:t xml:space="preserve"> </w:t>
      </w:r>
      <w:r>
        <w:rPr>
          <w:rFonts w:hint="default" w:ascii="Times New Roman" w:hAnsi="Times New Roman" w:eastAsia="仿宋_GB2312" w:cs="Times New Roman"/>
          <w:bCs/>
          <w:color w:val="000000"/>
          <w:sz w:val="32"/>
          <w:szCs w:val="32"/>
          <w:highlight w:val="none"/>
          <w:u w:val="none"/>
          <w:lang w:val="zh-CN" w:eastAsia="zh-CN" w:bidi="ar-SA"/>
        </w:rPr>
        <w:t xml:space="preserve"> </w:t>
      </w:r>
      <w:r>
        <w:rPr>
          <w:rFonts w:hint="default" w:ascii="Times New Roman" w:hAnsi="Times New Roman" w:eastAsia="仿宋_GB2312" w:cs="Times New Roman"/>
          <w:bCs/>
          <w:color w:val="000000"/>
          <w:sz w:val="32"/>
          <w:szCs w:val="32"/>
          <w:highlight w:val="none"/>
          <w:u w:val="none"/>
          <w:lang w:val="en-US" w:eastAsia="zh-CN" w:bidi="ar-SA"/>
        </w:rPr>
        <w:t>根据党的二十大精神、习近平总书记来川来广视察重要指示精神和新时代西部大开发等国家、省、市产业发展、投资促进相关政策，</w:t>
      </w:r>
      <w:r>
        <w:rPr>
          <w:rFonts w:hint="default" w:ascii="Times New Roman" w:hAnsi="Times New Roman" w:eastAsia="仿宋_GB2312" w:cs="Times New Roman"/>
          <w:bCs/>
          <w:color w:val="000000"/>
          <w:sz w:val="32"/>
          <w:szCs w:val="32"/>
          <w:highlight w:val="none"/>
          <w:u w:val="single"/>
          <w:lang w:val="en-US" w:eastAsia="zh-CN" w:bidi="ar-SA"/>
        </w:rPr>
        <w:t>为进一步推动制造业高质量发展，</w:t>
      </w:r>
      <w:r>
        <w:rPr>
          <w:rFonts w:hint="default" w:ascii="Times New Roman" w:hAnsi="Times New Roman" w:eastAsia="仿宋_GB2312" w:cs="Times New Roman"/>
          <w:bCs/>
          <w:color w:val="000000"/>
          <w:sz w:val="32"/>
          <w:szCs w:val="32"/>
          <w:highlight w:val="none"/>
          <w:u w:val="none"/>
          <w:lang w:val="en-US" w:eastAsia="zh-CN" w:bidi="ar-SA"/>
        </w:rPr>
        <w:t>结合我区实际，制定本政策</w:t>
      </w:r>
      <w:r>
        <w:rPr>
          <w:rFonts w:hint="default" w:ascii="Times New Roman" w:hAnsi="Times New Roman" w:eastAsia="仿宋_GB2312" w:cs="Times New Roman"/>
          <w:bCs/>
          <w:color w:val="000000"/>
          <w:sz w:val="32"/>
          <w:szCs w:val="32"/>
          <w:highlight w:val="none"/>
          <w:u w:val="none"/>
          <w:lang w:val="zh-CN" w:eastAsia="zh-CN" w:bidi="ar-SA"/>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sz w:val="32"/>
          <w:szCs w:val="32"/>
          <w:highlight w:val="none"/>
          <w:u w:val="none"/>
          <w:lang w:val="zh-CN" w:eastAsia="zh-CN" w:bidi="ar-SA"/>
        </w:rPr>
      </w:pPr>
      <w:r>
        <w:rPr>
          <w:rFonts w:hint="default" w:ascii="Times New Roman" w:hAnsi="Times New Roman" w:eastAsia="楷体_GB2312" w:cs="Times New Roman"/>
          <w:bCs w:val="0"/>
          <w:color w:val="000000"/>
          <w:sz w:val="32"/>
          <w:szCs w:val="32"/>
          <w:highlight w:val="none"/>
          <w:u w:val="none"/>
          <w:lang w:val="zh-CN" w:eastAsia="zh-CN" w:bidi="ar-SA"/>
        </w:rPr>
        <w:t>第二条</w:t>
      </w:r>
      <w:r>
        <w:rPr>
          <w:rFonts w:hint="default" w:ascii="Times New Roman" w:hAnsi="Times New Roman" w:eastAsia="仿宋_GB2312" w:cs="Times New Roman"/>
          <w:bCs/>
          <w:color w:val="000000"/>
          <w:sz w:val="32"/>
          <w:szCs w:val="32"/>
          <w:highlight w:val="none"/>
          <w:u w:val="none"/>
          <w:lang w:val="zh-CN" w:eastAsia="zh-CN" w:bidi="ar-SA"/>
        </w:rPr>
        <w:t xml:space="preserve">  本</w:t>
      </w:r>
      <w:r>
        <w:rPr>
          <w:rFonts w:hint="default" w:ascii="Times New Roman" w:hAnsi="Times New Roman" w:eastAsia="仿宋_GB2312" w:cs="Times New Roman"/>
          <w:bCs/>
          <w:color w:val="000000"/>
          <w:sz w:val="32"/>
          <w:szCs w:val="32"/>
          <w:highlight w:val="none"/>
          <w:u w:val="none"/>
          <w:lang w:val="en-US" w:eastAsia="zh-CN" w:bidi="ar-SA"/>
        </w:rPr>
        <w:t>政策</w:t>
      </w:r>
      <w:r>
        <w:rPr>
          <w:rFonts w:hint="default" w:ascii="Times New Roman" w:hAnsi="Times New Roman" w:eastAsia="仿宋_GB2312" w:cs="Times New Roman"/>
          <w:bCs/>
          <w:color w:val="000000"/>
          <w:sz w:val="32"/>
          <w:szCs w:val="32"/>
          <w:highlight w:val="none"/>
          <w:u w:val="none"/>
          <w:lang w:val="zh-CN" w:eastAsia="zh-CN" w:bidi="ar-SA"/>
        </w:rPr>
        <w:t>适用于以独资、合资，参股、控股，收购、兼并等多种方式来昭化投资，符合国、省、市战略规划布局，以及国家《产业结构调整指导目录》《鼓励外商投资产业目录》《西部地区鼓励类产业目录》的项目。</w:t>
      </w:r>
      <w:r>
        <w:rPr>
          <w:rFonts w:hint="default" w:ascii="Times New Roman" w:hAnsi="Times New Roman" w:eastAsia="仿宋_GB2312" w:cs="Times New Roman"/>
          <w:bCs/>
          <w:color w:val="000000"/>
          <w:sz w:val="32"/>
          <w:szCs w:val="32"/>
          <w:highlight w:val="none"/>
          <w:u w:val="single"/>
          <w:lang w:val="zh-CN" w:eastAsia="zh-CN" w:bidi="ar-SA"/>
        </w:rPr>
        <w:t>重点支持绿色家居、食品饮料、清洁能源、硅基新材料、建筑建材等</w:t>
      </w:r>
      <w:r>
        <w:rPr>
          <w:rFonts w:hint="eastAsia" w:ascii="Times New Roman" w:hAnsi="Times New Roman" w:eastAsia="仿宋_GB2312" w:cs="Times New Roman"/>
          <w:bCs/>
          <w:color w:val="000000"/>
          <w:sz w:val="32"/>
          <w:szCs w:val="32"/>
          <w:highlight w:val="none"/>
          <w:u w:val="single"/>
          <w:lang w:val="zh-CN" w:eastAsia="zh-CN" w:bidi="ar-SA"/>
        </w:rPr>
        <w:t>制造业</w:t>
      </w:r>
      <w:r>
        <w:rPr>
          <w:rFonts w:hint="default" w:ascii="Times New Roman" w:hAnsi="Times New Roman" w:eastAsia="仿宋_GB2312" w:cs="Times New Roman"/>
          <w:bCs/>
          <w:color w:val="000000"/>
          <w:sz w:val="32"/>
          <w:szCs w:val="32"/>
          <w:highlight w:val="none"/>
          <w:u w:val="none"/>
          <w:lang w:val="zh-CN" w:eastAsia="zh-CN" w:bidi="ar-SA"/>
        </w:rPr>
        <w:t>。</w:t>
      </w:r>
    </w:p>
    <w:p>
      <w:pPr>
        <w:keepNext w:val="0"/>
        <w:keepLines w:val="0"/>
        <w:pageBreakBefore w:val="0"/>
        <w:widowControl w:val="0"/>
        <w:suppressAutoHyphens/>
        <w:kinsoku/>
        <w:wordWrap/>
        <w:overflowPunct/>
        <w:topLinePunct w:val="0"/>
        <w:autoSpaceDE/>
        <w:autoSpaceDN/>
        <w:bidi w:val="0"/>
        <w:adjustRightInd/>
        <w:snapToGrid/>
        <w:spacing w:before="157" w:after="157" w:line="560" w:lineRule="exact"/>
        <w:ind w:left="0" w:firstLine="0"/>
        <w:jc w:val="center"/>
        <w:textAlignment w:val="auto"/>
        <w:rPr>
          <w:rFonts w:hint="default" w:ascii="Times New Roman" w:hAnsi="Times New Roman" w:eastAsia="黑体" w:cs="Times New Roman"/>
          <w:color w:val="000000"/>
          <w:sz w:val="32"/>
          <w:szCs w:val="32"/>
          <w:highlight w:val="none"/>
          <w:u w:val="none"/>
          <w:lang w:val="zh-CN" w:eastAsia="zh-CN" w:bidi="ar-SA"/>
        </w:rPr>
      </w:pPr>
      <w:r>
        <w:rPr>
          <w:rFonts w:hint="default" w:ascii="Times New Roman" w:hAnsi="Times New Roman" w:eastAsia="黑体" w:cs="Times New Roman"/>
          <w:color w:val="000000"/>
          <w:sz w:val="32"/>
          <w:szCs w:val="32"/>
          <w:highlight w:val="none"/>
          <w:u w:val="none"/>
          <w:lang w:val="zh-CN" w:eastAsia="zh-CN" w:bidi="ar-SA"/>
        </w:rPr>
        <w:t>第二章  优惠政策</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sz w:val="32"/>
          <w:szCs w:val="32"/>
          <w:highlight w:val="none"/>
          <w:u w:val="none"/>
          <w:lang w:val="zh-CN" w:eastAsia="zh-CN" w:bidi="ar-SA"/>
        </w:rPr>
      </w:pPr>
      <w:r>
        <w:rPr>
          <w:rFonts w:hint="default" w:ascii="Times New Roman" w:hAnsi="Times New Roman" w:eastAsia="楷体_GB2312" w:cs="Times New Roman"/>
          <w:color w:val="000000"/>
          <w:sz w:val="32"/>
          <w:szCs w:val="32"/>
          <w:highlight w:val="none"/>
          <w:u w:val="none"/>
          <w:lang w:val="en-US" w:eastAsia="zh-CN" w:bidi="ar-SA"/>
        </w:rPr>
        <w:t>第三条</w:t>
      </w:r>
      <w:r>
        <w:rPr>
          <w:rFonts w:hint="default" w:ascii="Times New Roman" w:hAnsi="Times New Roman" w:eastAsia="仿宋_GB2312" w:cs="Times New Roman"/>
          <w:bCs/>
          <w:color w:val="000000"/>
          <w:sz w:val="32"/>
          <w:szCs w:val="32"/>
          <w:highlight w:val="none"/>
          <w:u w:val="none"/>
          <w:lang w:val="zh-CN" w:eastAsia="zh-CN" w:bidi="ar-SA"/>
        </w:rPr>
        <w:t xml:space="preserve">  </w:t>
      </w:r>
      <w:r>
        <w:rPr>
          <w:rFonts w:hint="default" w:ascii="Times New Roman" w:hAnsi="Times New Roman" w:eastAsia="楷体_GB2312" w:cs="Times New Roman"/>
          <w:bCs w:val="0"/>
          <w:color w:val="000000"/>
          <w:sz w:val="32"/>
          <w:szCs w:val="32"/>
          <w:highlight w:val="none"/>
          <w:u w:val="none"/>
          <w:lang w:val="en-US" w:eastAsia="zh-CN" w:bidi="ar-SA"/>
        </w:rPr>
        <w:t>税收政策</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sz w:val="32"/>
          <w:szCs w:val="32"/>
          <w:highlight w:val="none"/>
          <w:u w:val="none"/>
          <w:lang w:val="zh-CN" w:eastAsia="zh-CN" w:bidi="ar-SA"/>
        </w:rPr>
      </w:pPr>
      <w:r>
        <w:rPr>
          <w:rFonts w:hint="default" w:ascii="Times New Roman" w:hAnsi="Times New Roman" w:eastAsia="仿宋_GB2312" w:cs="Times New Roman"/>
          <w:bCs/>
          <w:color w:val="000000"/>
          <w:sz w:val="32"/>
          <w:szCs w:val="32"/>
          <w:highlight w:val="none"/>
          <w:u w:val="none"/>
          <w:lang w:val="zh-CN" w:eastAsia="zh-CN" w:bidi="ar-SA"/>
        </w:rPr>
        <w:t>在权限范围内按国家规定执行增值税起征点政策。依法落实好西部大开发、高新技术企业、小型微利企业等企业所得税优惠政策；落实好进口企业免征关税、公益性捐赠、就业创业等其他各类税收优惠政策，使纳税人应享尽享。</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000000"/>
          <w:sz w:val="32"/>
          <w:szCs w:val="32"/>
          <w:highlight w:val="none"/>
          <w:u w:val="none"/>
          <w:lang w:val="en-US" w:eastAsia="zh-CN" w:bidi="ar-SA"/>
        </w:rPr>
      </w:pPr>
      <w:r>
        <w:rPr>
          <w:rFonts w:hint="default" w:ascii="Times New Roman" w:hAnsi="Times New Roman" w:eastAsia="楷体_GB2312" w:cs="Times New Roman"/>
          <w:color w:val="000000"/>
          <w:sz w:val="32"/>
          <w:szCs w:val="32"/>
          <w:highlight w:val="none"/>
          <w:u w:val="none"/>
          <w:lang w:val="en-US" w:eastAsia="zh-CN" w:bidi="ar-SA"/>
        </w:rPr>
        <w:t xml:space="preserve">第四条  </w:t>
      </w:r>
      <w:r>
        <w:rPr>
          <w:rFonts w:hint="default" w:ascii="Times New Roman" w:hAnsi="Times New Roman" w:eastAsia="楷体_GB2312" w:cs="Times New Roman"/>
          <w:bCs w:val="0"/>
          <w:color w:val="000000"/>
          <w:sz w:val="32"/>
          <w:szCs w:val="32"/>
          <w:highlight w:val="none"/>
          <w:u w:val="none"/>
          <w:lang w:val="en-US" w:eastAsia="zh-CN" w:bidi="ar-SA"/>
        </w:rPr>
        <w:t>涉企收费政策</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sz w:val="32"/>
          <w:szCs w:val="32"/>
          <w:highlight w:val="yellow"/>
          <w:u w:val="none"/>
          <w:lang w:val="en-US" w:eastAsia="zh-CN" w:bidi="ar-SA"/>
        </w:rPr>
      </w:pPr>
      <w:r>
        <w:rPr>
          <w:rFonts w:hint="default" w:ascii="Times New Roman" w:hAnsi="Times New Roman" w:eastAsia="仿宋_GB2312" w:cs="Times New Roman"/>
          <w:bCs/>
          <w:color w:val="000000"/>
          <w:sz w:val="32"/>
          <w:szCs w:val="32"/>
          <w:highlight w:val="none"/>
          <w:u w:val="none"/>
          <w:lang w:val="en-US" w:eastAsia="zh-CN" w:bidi="ar-SA"/>
        </w:rPr>
        <w:t>政府部门涉企收费实行清单管理，凡公布取消、停征、合并、降低标准收费的，严格按照时间节点执行；收费标准有上下限的，一律按下限标准收取。</w:t>
      </w:r>
      <w:r>
        <w:rPr>
          <w:rFonts w:hint="eastAsia" w:ascii="Times New Roman" w:hAnsi="Times New Roman" w:eastAsia="仿宋_GB2312" w:cs="Times New Roman"/>
          <w:bCs/>
          <w:color w:val="000000"/>
          <w:sz w:val="32"/>
          <w:szCs w:val="32"/>
          <w:highlight w:val="none"/>
          <w:u w:val="single"/>
          <w:lang w:val="en-US" w:eastAsia="zh-CN" w:bidi="ar-SA"/>
        </w:rPr>
        <w:t>国家、</w:t>
      </w:r>
      <w:r>
        <w:rPr>
          <w:rFonts w:hint="default" w:ascii="Times New Roman" w:hAnsi="Times New Roman" w:eastAsia="仿宋_GB2312" w:cs="Times New Roman"/>
          <w:bCs/>
          <w:color w:val="000000"/>
          <w:sz w:val="32"/>
          <w:szCs w:val="32"/>
          <w:highlight w:val="none"/>
          <w:u w:val="single"/>
          <w:lang w:val="en-US" w:eastAsia="zh-CN" w:bidi="ar-SA"/>
        </w:rPr>
        <w:t>省</w:t>
      </w:r>
      <w:r>
        <w:rPr>
          <w:rFonts w:hint="eastAsia" w:ascii="Times New Roman" w:hAnsi="Times New Roman" w:eastAsia="仿宋_GB2312" w:cs="Times New Roman"/>
          <w:bCs/>
          <w:color w:val="000000"/>
          <w:sz w:val="32"/>
          <w:szCs w:val="32"/>
          <w:highlight w:val="none"/>
          <w:u w:val="single"/>
          <w:lang w:val="en-US" w:eastAsia="zh-CN" w:bidi="ar-SA"/>
        </w:rPr>
        <w:t>、市</w:t>
      </w:r>
      <w:r>
        <w:rPr>
          <w:rFonts w:hint="default" w:ascii="Times New Roman" w:hAnsi="Times New Roman" w:eastAsia="仿宋_GB2312" w:cs="Times New Roman"/>
          <w:bCs/>
          <w:color w:val="000000"/>
          <w:sz w:val="32"/>
          <w:szCs w:val="32"/>
          <w:highlight w:val="none"/>
          <w:u w:val="single"/>
          <w:lang w:val="en-US" w:eastAsia="zh-CN" w:bidi="ar-SA"/>
        </w:rPr>
        <w:t>定涉企行政事业性收费，除人防易地建设费</w:t>
      </w:r>
      <w:r>
        <w:rPr>
          <w:rFonts w:hint="eastAsia" w:ascii="Times New Roman" w:hAnsi="Times New Roman" w:eastAsia="仿宋_GB2312" w:cs="Times New Roman"/>
          <w:bCs/>
          <w:color w:val="000000"/>
          <w:sz w:val="32"/>
          <w:szCs w:val="32"/>
          <w:highlight w:val="none"/>
          <w:u w:val="single"/>
          <w:lang w:val="en-US" w:eastAsia="zh-CN" w:bidi="ar-SA"/>
        </w:rPr>
        <w:t>实行清单之外“零收费”</w:t>
      </w:r>
      <w:r>
        <w:rPr>
          <w:rFonts w:hint="default" w:ascii="Times New Roman" w:hAnsi="Times New Roman" w:eastAsia="仿宋_GB2312" w:cs="Times New Roman"/>
          <w:bCs/>
          <w:color w:val="000000"/>
          <w:sz w:val="32"/>
          <w:szCs w:val="32"/>
          <w:highlight w:val="none"/>
          <w:u w:val="single"/>
          <w:lang w:val="en-US" w:eastAsia="zh-CN" w:bidi="ar-SA"/>
        </w:rPr>
        <w:t>，对新办工业企业、小微企业实行事权范围内</w:t>
      </w:r>
      <w:r>
        <w:rPr>
          <w:rFonts w:hint="eastAsia" w:ascii="Times New Roman" w:hAnsi="Times New Roman" w:eastAsia="仿宋_GB2312" w:cs="Times New Roman"/>
          <w:bCs/>
          <w:color w:val="000000"/>
          <w:sz w:val="32"/>
          <w:szCs w:val="32"/>
          <w:highlight w:val="none"/>
          <w:u w:val="single"/>
          <w:lang w:val="en-US" w:eastAsia="zh-CN" w:bidi="ar-SA"/>
        </w:rPr>
        <w:t>清单之外</w:t>
      </w:r>
      <w:r>
        <w:rPr>
          <w:rFonts w:hint="default" w:ascii="Times New Roman" w:hAnsi="Times New Roman" w:eastAsia="仿宋_GB2312" w:cs="Times New Roman"/>
          <w:bCs/>
          <w:color w:val="000000"/>
          <w:sz w:val="32"/>
          <w:szCs w:val="32"/>
          <w:highlight w:val="none"/>
          <w:u w:val="single"/>
          <w:lang w:val="en-US" w:eastAsia="zh-CN" w:bidi="ar-SA"/>
        </w:rPr>
        <w:t>“零收费”</w:t>
      </w:r>
      <w:r>
        <w:rPr>
          <w:rFonts w:hint="eastAsia" w:ascii="Times New Roman" w:hAnsi="Times New Roman" w:eastAsia="仿宋_GB2312" w:cs="Times New Roman"/>
          <w:bCs/>
          <w:color w:val="000000"/>
          <w:sz w:val="32"/>
          <w:szCs w:val="32"/>
          <w:highlight w:val="none"/>
          <w:u w:val="single"/>
          <w:lang w:val="en-US" w:eastAsia="zh-CN" w:bidi="ar-SA"/>
        </w:rPr>
        <w:t>政策</w:t>
      </w:r>
      <w:r>
        <w:rPr>
          <w:rFonts w:hint="default" w:ascii="Times New Roman" w:hAnsi="Times New Roman" w:eastAsia="仿宋_GB2312" w:cs="Times New Roman"/>
          <w:bCs/>
          <w:color w:val="000000"/>
          <w:sz w:val="32"/>
          <w:szCs w:val="32"/>
          <w:highlight w:val="none"/>
          <w:u w:val="single"/>
          <w:lang w:val="en-US" w:eastAsia="zh-CN" w:bidi="ar-SA"/>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Cs w:val="0"/>
          <w:color w:val="000000"/>
          <w:sz w:val="32"/>
          <w:szCs w:val="32"/>
          <w:highlight w:val="none"/>
          <w:u w:val="none"/>
          <w:lang w:val="en-US" w:eastAsia="zh-CN" w:bidi="ar-SA"/>
        </w:rPr>
      </w:pPr>
      <w:r>
        <w:rPr>
          <w:rFonts w:hint="default" w:ascii="Times New Roman" w:hAnsi="Times New Roman" w:eastAsia="楷体_GB2312" w:cs="Times New Roman"/>
          <w:color w:val="000000"/>
          <w:sz w:val="32"/>
          <w:szCs w:val="32"/>
          <w:highlight w:val="none"/>
          <w:u w:val="none"/>
          <w:lang w:val="en-US" w:eastAsia="zh-CN" w:bidi="ar-SA"/>
        </w:rPr>
        <w:t>第五条</w:t>
      </w:r>
      <w:r>
        <w:rPr>
          <w:rFonts w:hint="default" w:ascii="Times New Roman" w:hAnsi="Times New Roman" w:eastAsia="楷体_GB2312" w:cs="Times New Roman"/>
          <w:bCs w:val="0"/>
          <w:color w:val="000000"/>
          <w:sz w:val="32"/>
          <w:szCs w:val="32"/>
          <w:highlight w:val="none"/>
          <w:u w:val="none"/>
          <w:lang w:val="en-US" w:eastAsia="zh-CN" w:bidi="ar-SA"/>
        </w:rPr>
        <w:t xml:space="preserve">  财政奖补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sz w:val="32"/>
          <w:szCs w:val="32"/>
          <w:highlight w:val="none"/>
          <w:u w:val="none"/>
          <w:lang w:val="zh-CN" w:eastAsia="zh-CN" w:bidi="ar-SA"/>
        </w:rPr>
      </w:pPr>
      <w:r>
        <w:rPr>
          <w:rFonts w:hint="default" w:ascii="Times New Roman" w:hAnsi="Times New Roman" w:eastAsia="仿宋_GB2312" w:cs="Times New Roman"/>
          <w:bCs/>
          <w:color w:val="000000"/>
          <w:sz w:val="32"/>
          <w:szCs w:val="32"/>
          <w:highlight w:val="none"/>
          <w:u w:val="none"/>
          <w:lang w:val="zh-CN" w:eastAsia="zh-CN" w:bidi="ar-SA"/>
        </w:rPr>
        <w:t>（一）基础设施建设</w:t>
      </w:r>
      <w:r>
        <w:rPr>
          <w:rFonts w:hint="eastAsia" w:ascii="Times New Roman" w:hAnsi="Times New Roman" w:eastAsia="仿宋_GB2312" w:cs="Times New Roman"/>
          <w:bCs/>
          <w:color w:val="000000"/>
          <w:sz w:val="32"/>
          <w:szCs w:val="32"/>
          <w:highlight w:val="none"/>
          <w:u w:val="none"/>
          <w:lang w:val="zh-CN" w:eastAsia="zh-CN" w:bidi="ar-SA"/>
        </w:rPr>
        <w:t>补贴</w:t>
      </w:r>
      <w:r>
        <w:rPr>
          <w:rFonts w:hint="default" w:ascii="Times New Roman" w:hAnsi="Times New Roman" w:eastAsia="仿宋_GB2312" w:cs="Times New Roman"/>
          <w:bCs/>
          <w:color w:val="000000"/>
          <w:sz w:val="32"/>
          <w:szCs w:val="32"/>
          <w:highlight w:val="none"/>
          <w:u w:val="none"/>
          <w:lang w:val="zh-CN" w:eastAsia="zh-CN" w:bidi="ar-SA"/>
        </w:rPr>
        <w:t>。对</w:t>
      </w:r>
      <w:r>
        <w:rPr>
          <w:rFonts w:hint="default" w:ascii="Times New Roman" w:hAnsi="Times New Roman" w:eastAsia="仿宋_GB2312" w:cs="Times New Roman"/>
          <w:bCs/>
          <w:color w:val="000000"/>
          <w:sz w:val="32"/>
          <w:szCs w:val="32"/>
          <w:highlight w:val="none"/>
          <w:u w:val="single"/>
          <w:lang w:val="en-US" w:eastAsia="zh-CN" w:bidi="ar-SA"/>
        </w:rPr>
        <w:t>2025年12月31日之前</w:t>
      </w:r>
      <w:r>
        <w:rPr>
          <w:rFonts w:hint="default" w:ascii="Times New Roman" w:hAnsi="Times New Roman" w:eastAsia="仿宋_GB2312" w:cs="Times New Roman"/>
          <w:bCs/>
          <w:color w:val="000000"/>
          <w:sz w:val="32"/>
          <w:szCs w:val="32"/>
          <w:highlight w:val="none"/>
          <w:u w:val="none"/>
          <w:lang w:val="en-US" w:eastAsia="zh-CN" w:bidi="ar-SA"/>
        </w:rPr>
        <w:t>签约的自建项目，</w:t>
      </w:r>
      <w:r>
        <w:rPr>
          <w:rFonts w:hint="default" w:ascii="Times New Roman" w:hAnsi="Times New Roman" w:eastAsia="仿宋_GB2312" w:cs="Times New Roman"/>
          <w:bCs/>
          <w:color w:val="000000"/>
          <w:sz w:val="32"/>
          <w:szCs w:val="32"/>
          <w:highlight w:val="none"/>
          <w:u w:val="none"/>
          <w:lang w:val="zh-CN" w:eastAsia="zh-CN" w:bidi="ar-SA"/>
        </w:rPr>
        <w:t>给予</w:t>
      </w:r>
      <w:r>
        <w:rPr>
          <w:rFonts w:hint="default" w:ascii="Times New Roman" w:hAnsi="Times New Roman" w:eastAsia="仿宋_GB2312" w:cs="Times New Roman"/>
          <w:bCs/>
          <w:color w:val="000000"/>
          <w:sz w:val="32"/>
          <w:szCs w:val="32"/>
          <w:highlight w:val="none"/>
          <w:u w:val="none"/>
          <w:lang w:val="en-US" w:eastAsia="zh-CN" w:bidi="ar-SA"/>
        </w:rPr>
        <w:t>基础设施建设奖补。</w:t>
      </w:r>
      <w:r>
        <w:rPr>
          <w:rFonts w:hint="default" w:ascii="Times New Roman" w:hAnsi="Times New Roman" w:eastAsia="仿宋_GB2312" w:cs="Times New Roman"/>
          <w:bCs/>
          <w:color w:val="000000"/>
          <w:sz w:val="32"/>
          <w:szCs w:val="32"/>
          <w:highlight w:val="none"/>
          <w:u w:val="none"/>
          <w:lang w:val="zh-CN" w:eastAsia="zh-CN" w:bidi="ar-SA"/>
        </w:rPr>
        <w:t>奖励</w:t>
      </w:r>
      <w:r>
        <w:rPr>
          <w:rFonts w:hint="default" w:ascii="Times New Roman" w:hAnsi="Times New Roman" w:eastAsia="仿宋_GB2312" w:cs="Times New Roman"/>
          <w:bCs/>
          <w:color w:val="000000"/>
          <w:sz w:val="32"/>
          <w:szCs w:val="32"/>
          <w:highlight w:val="none"/>
          <w:u w:val="none"/>
          <w:lang w:val="en-US" w:eastAsia="zh-CN" w:bidi="ar-SA"/>
        </w:rPr>
        <w:t>方式为</w:t>
      </w:r>
      <w:r>
        <w:rPr>
          <w:rFonts w:hint="default" w:ascii="Times New Roman" w:hAnsi="Times New Roman" w:eastAsia="仿宋_GB2312" w:cs="Times New Roman"/>
          <w:bCs/>
          <w:color w:val="000000"/>
          <w:sz w:val="32"/>
          <w:szCs w:val="32"/>
          <w:highlight w:val="none"/>
          <w:u w:val="none"/>
          <w:lang w:val="zh-CN" w:eastAsia="zh-CN" w:bidi="ar-SA"/>
        </w:rPr>
        <w:t>项目进场开工，在20个工作日内奖励40%；主体工程完工后，在20个工作日内奖励60%</w:t>
      </w:r>
      <w:r>
        <w:rPr>
          <w:rFonts w:hint="eastAsia" w:ascii="Times New Roman" w:hAnsi="Times New Roman" w:eastAsia="仿宋_GB2312" w:cs="Times New Roman"/>
          <w:bCs/>
          <w:color w:val="000000"/>
          <w:sz w:val="32"/>
          <w:szCs w:val="32"/>
          <w:highlight w:val="none"/>
          <w:u w:val="none"/>
          <w:lang w:val="zh-CN" w:eastAsia="zh-CN" w:bidi="ar-SA"/>
        </w:rPr>
        <w:t>。</w:t>
      </w:r>
      <w:r>
        <w:rPr>
          <w:rFonts w:hint="default" w:ascii="Times New Roman" w:hAnsi="Times New Roman" w:eastAsia="仿宋_GB2312" w:cs="Times New Roman"/>
          <w:bCs/>
          <w:color w:val="000000"/>
          <w:sz w:val="32"/>
          <w:szCs w:val="32"/>
          <w:highlight w:val="none"/>
          <w:u w:val="none"/>
          <w:lang w:val="en-US" w:eastAsia="zh-CN" w:bidi="ar-SA"/>
        </w:rPr>
        <w:t>奖励标准根据投资强度另行约定</w:t>
      </w:r>
      <w:r>
        <w:rPr>
          <w:rFonts w:hint="default" w:ascii="Times New Roman" w:hAnsi="Times New Roman" w:eastAsia="仿宋_GB2312" w:cs="Times New Roman"/>
          <w:bCs/>
          <w:color w:val="000000"/>
          <w:sz w:val="32"/>
          <w:szCs w:val="32"/>
          <w:highlight w:val="none"/>
          <w:u w:val="none"/>
          <w:lang w:val="zh-CN" w:eastAsia="zh-CN" w:bidi="ar-SA"/>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sz w:val="32"/>
          <w:szCs w:val="32"/>
          <w:highlight w:val="none"/>
          <w:u w:val="none"/>
          <w:lang w:val="zh-CN" w:eastAsia="zh-CN" w:bidi="ar-SA"/>
        </w:rPr>
      </w:pPr>
      <w:r>
        <w:rPr>
          <w:rFonts w:hint="default" w:ascii="Times New Roman" w:hAnsi="Times New Roman" w:eastAsia="仿宋_GB2312" w:cs="Times New Roman"/>
          <w:bCs/>
          <w:color w:val="000000"/>
          <w:sz w:val="32"/>
          <w:szCs w:val="32"/>
          <w:highlight w:val="none"/>
          <w:u w:val="none"/>
          <w:lang w:val="zh-CN" w:eastAsia="zh-CN" w:bidi="ar-SA"/>
        </w:rPr>
        <w:t>（二）</w:t>
      </w:r>
      <w:r>
        <w:rPr>
          <w:rFonts w:hint="eastAsia" w:ascii="Times New Roman" w:hAnsi="Times New Roman" w:eastAsia="仿宋_GB2312" w:cs="Times New Roman"/>
          <w:bCs/>
          <w:color w:val="000000"/>
          <w:sz w:val="32"/>
          <w:szCs w:val="32"/>
          <w:highlight w:val="none"/>
          <w:u w:val="single"/>
          <w:lang w:val="zh-CN" w:eastAsia="zh-CN" w:bidi="ar-SA"/>
        </w:rPr>
        <w:t>固定资产投资</w:t>
      </w:r>
      <w:r>
        <w:rPr>
          <w:rFonts w:hint="default" w:ascii="Times New Roman" w:hAnsi="Times New Roman" w:eastAsia="仿宋_GB2312" w:cs="Times New Roman"/>
          <w:bCs/>
          <w:color w:val="000000"/>
          <w:sz w:val="32"/>
          <w:szCs w:val="32"/>
          <w:highlight w:val="none"/>
          <w:u w:val="single"/>
          <w:lang w:val="zh-CN" w:eastAsia="zh-CN" w:bidi="ar-SA"/>
        </w:rPr>
        <w:t>奖励</w:t>
      </w:r>
      <w:r>
        <w:rPr>
          <w:rFonts w:hint="default" w:ascii="Times New Roman" w:hAnsi="Times New Roman" w:eastAsia="仿宋_GB2312" w:cs="Times New Roman"/>
          <w:bCs/>
          <w:color w:val="000000"/>
          <w:sz w:val="32"/>
          <w:szCs w:val="32"/>
          <w:highlight w:val="none"/>
          <w:u w:val="none"/>
          <w:lang w:val="zh-CN" w:eastAsia="zh-CN" w:bidi="ar-SA"/>
        </w:rPr>
        <w:t>。对固定资产投资2000万元以上的项目，在约定期限内完成建设投资，</w:t>
      </w:r>
      <w:r>
        <w:rPr>
          <w:rFonts w:hint="default" w:ascii="Times New Roman" w:hAnsi="Times New Roman" w:eastAsia="仿宋_GB2312" w:cs="Times New Roman"/>
          <w:bCs/>
          <w:color w:val="000000"/>
          <w:sz w:val="32"/>
          <w:szCs w:val="32"/>
          <w:highlight w:val="none"/>
          <w:u w:val="single"/>
          <w:lang w:val="zh-CN" w:eastAsia="zh-CN" w:bidi="ar-SA"/>
        </w:rPr>
        <w:t>按以下比例给予财政奖励：第一年至第二年100%，第三年至第五年50%</w:t>
      </w:r>
      <w:r>
        <w:rPr>
          <w:rFonts w:hint="eastAsia" w:ascii="Times New Roman" w:hAnsi="Times New Roman" w:eastAsia="仿宋_GB2312" w:cs="Times New Roman"/>
          <w:bCs/>
          <w:color w:val="000000"/>
          <w:sz w:val="32"/>
          <w:szCs w:val="32"/>
          <w:highlight w:val="none"/>
          <w:u w:val="single"/>
          <w:lang w:val="zh-CN" w:eastAsia="zh-CN" w:bidi="ar-SA"/>
        </w:rPr>
        <w:t>，奖励标准根据其投产当年对地方经济贡献另行约定。</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sz w:val="32"/>
          <w:szCs w:val="32"/>
          <w:highlight w:val="none"/>
          <w:u w:val="single"/>
          <w:lang w:val="en-US" w:eastAsia="zh-CN" w:bidi="ar-SA"/>
        </w:rPr>
      </w:pPr>
      <w:r>
        <w:rPr>
          <w:rFonts w:hint="default" w:ascii="Times New Roman" w:hAnsi="Times New Roman" w:eastAsia="仿宋_GB2312" w:cs="Times New Roman"/>
          <w:bCs/>
          <w:color w:val="000000"/>
          <w:sz w:val="32"/>
          <w:szCs w:val="32"/>
          <w:highlight w:val="none"/>
          <w:u w:val="single"/>
          <w:lang w:val="zh-CN" w:eastAsia="zh-CN" w:bidi="ar-SA"/>
        </w:rPr>
        <w:t>（</w:t>
      </w:r>
      <w:r>
        <w:rPr>
          <w:rFonts w:hint="eastAsia" w:ascii="Times New Roman" w:hAnsi="Times New Roman" w:eastAsia="仿宋_GB2312" w:cs="Times New Roman"/>
          <w:bCs/>
          <w:color w:val="000000"/>
          <w:sz w:val="32"/>
          <w:szCs w:val="32"/>
          <w:highlight w:val="none"/>
          <w:u w:val="single"/>
          <w:lang w:val="zh-CN" w:eastAsia="zh-CN" w:bidi="ar-SA"/>
        </w:rPr>
        <w:t>三</w:t>
      </w:r>
      <w:r>
        <w:rPr>
          <w:rFonts w:hint="default" w:ascii="Times New Roman" w:hAnsi="Times New Roman" w:eastAsia="仿宋_GB2312" w:cs="Times New Roman"/>
          <w:bCs/>
          <w:color w:val="000000"/>
          <w:sz w:val="32"/>
          <w:szCs w:val="32"/>
          <w:highlight w:val="none"/>
          <w:u w:val="single"/>
          <w:lang w:val="zh-CN" w:eastAsia="zh-CN" w:bidi="ar-SA"/>
        </w:rPr>
        <w:t>）项目物流补贴。</w:t>
      </w:r>
      <w:r>
        <w:rPr>
          <w:rFonts w:hint="eastAsia" w:ascii="Times New Roman" w:hAnsi="Times New Roman" w:eastAsia="仿宋_GB2312" w:cs="Times New Roman"/>
          <w:bCs/>
          <w:color w:val="000000"/>
          <w:sz w:val="32"/>
          <w:szCs w:val="32"/>
          <w:highlight w:val="none"/>
          <w:u w:val="single"/>
          <w:lang w:val="zh-CN" w:eastAsia="zh-CN" w:bidi="ar-SA"/>
        </w:rPr>
        <w:t>对</w:t>
      </w:r>
      <w:r>
        <w:rPr>
          <w:rFonts w:hint="default" w:ascii="Times New Roman" w:hAnsi="Times New Roman" w:eastAsia="仿宋_GB2312" w:cs="Times New Roman"/>
          <w:bCs/>
          <w:color w:val="000000"/>
          <w:sz w:val="32"/>
          <w:szCs w:val="32"/>
          <w:highlight w:val="none"/>
          <w:u w:val="single"/>
          <w:lang w:val="zh-CN" w:eastAsia="zh-CN" w:bidi="ar-SA"/>
        </w:rPr>
        <w:t>招引的重点项目自投产年度</w:t>
      </w:r>
      <w:r>
        <w:rPr>
          <w:rFonts w:hint="eastAsia" w:ascii="Times New Roman" w:hAnsi="Times New Roman" w:eastAsia="仿宋_GB2312" w:cs="Times New Roman"/>
          <w:bCs/>
          <w:color w:val="000000"/>
          <w:sz w:val="32"/>
          <w:szCs w:val="32"/>
          <w:highlight w:val="none"/>
          <w:u w:val="single"/>
          <w:lang w:val="zh-CN" w:eastAsia="zh-CN" w:bidi="ar-SA"/>
        </w:rPr>
        <w:t>起产生的货物物流运输费用进行补贴，补贴标准根据其投产当年对地方经济贡献另行约定，连续补贴最长</w:t>
      </w:r>
      <w:r>
        <w:rPr>
          <w:rFonts w:hint="eastAsia" w:ascii="Times New Roman" w:hAnsi="Times New Roman" w:eastAsia="仿宋_GB2312" w:cs="Times New Roman"/>
          <w:bCs/>
          <w:color w:val="000000"/>
          <w:sz w:val="32"/>
          <w:szCs w:val="32"/>
          <w:highlight w:val="none"/>
          <w:u w:val="single"/>
          <w:lang w:val="en-US" w:eastAsia="zh-CN" w:bidi="ar-SA"/>
        </w:rPr>
        <w:t>3年。</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sz w:val="32"/>
          <w:szCs w:val="32"/>
          <w:highlight w:val="none"/>
          <w:u w:val="none"/>
          <w:lang w:val="zh-CN" w:eastAsia="zh-CN" w:bidi="ar-SA"/>
        </w:rPr>
      </w:pPr>
      <w:r>
        <w:rPr>
          <w:rFonts w:hint="default" w:ascii="Times New Roman" w:hAnsi="Times New Roman" w:eastAsia="仿宋_GB2312" w:cs="Times New Roman"/>
          <w:bCs/>
          <w:color w:val="000000"/>
          <w:sz w:val="32"/>
          <w:szCs w:val="32"/>
          <w:highlight w:val="none"/>
          <w:u w:val="none"/>
          <w:lang w:val="zh-CN" w:eastAsia="zh-CN" w:bidi="ar-SA"/>
        </w:rPr>
        <w:t>（</w:t>
      </w:r>
      <w:r>
        <w:rPr>
          <w:rFonts w:hint="eastAsia" w:ascii="Times New Roman" w:hAnsi="Times New Roman" w:eastAsia="仿宋_GB2312" w:cs="Times New Roman"/>
          <w:bCs/>
          <w:color w:val="000000"/>
          <w:sz w:val="32"/>
          <w:szCs w:val="32"/>
          <w:highlight w:val="none"/>
          <w:u w:val="none"/>
          <w:lang w:val="zh-CN" w:eastAsia="zh-CN" w:bidi="ar-SA"/>
        </w:rPr>
        <w:t>四</w:t>
      </w:r>
      <w:r>
        <w:rPr>
          <w:rFonts w:hint="default" w:ascii="Times New Roman" w:hAnsi="Times New Roman" w:eastAsia="仿宋_GB2312" w:cs="Times New Roman"/>
          <w:bCs/>
          <w:color w:val="000000"/>
          <w:sz w:val="32"/>
          <w:szCs w:val="32"/>
          <w:highlight w:val="none"/>
          <w:u w:val="none"/>
          <w:lang w:val="zh-CN" w:eastAsia="zh-CN" w:bidi="ar-SA"/>
        </w:rPr>
        <w:t>）设备购置</w:t>
      </w:r>
      <w:r>
        <w:rPr>
          <w:rFonts w:hint="eastAsia" w:ascii="Times New Roman" w:hAnsi="Times New Roman" w:eastAsia="仿宋_GB2312" w:cs="Times New Roman"/>
          <w:bCs/>
          <w:color w:val="000000"/>
          <w:sz w:val="32"/>
          <w:szCs w:val="32"/>
          <w:highlight w:val="none"/>
          <w:u w:val="none"/>
          <w:lang w:val="zh-CN" w:eastAsia="zh-CN" w:bidi="ar-SA"/>
        </w:rPr>
        <w:t>奖补</w:t>
      </w:r>
      <w:r>
        <w:rPr>
          <w:rFonts w:hint="default" w:ascii="Times New Roman" w:hAnsi="Times New Roman" w:eastAsia="仿宋_GB2312" w:cs="Times New Roman"/>
          <w:bCs/>
          <w:color w:val="000000"/>
          <w:sz w:val="32"/>
          <w:szCs w:val="32"/>
          <w:highlight w:val="none"/>
          <w:u w:val="none"/>
          <w:lang w:val="zh-CN" w:eastAsia="zh-CN" w:bidi="ar-SA"/>
        </w:rPr>
        <w:t>。购置智能化新设备在2000万元以上的企业，一次性给予不超过采购新设备金额5%的设备</w:t>
      </w:r>
      <w:r>
        <w:rPr>
          <w:rFonts w:hint="eastAsia" w:ascii="Times New Roman" w:hAnsi="Times New Roman" w:eastAsia="仿宋_GB2312" w:cs="Times New Roman"/>
          <w:bCs/>
          <w:color w:val="000000"/>
          <w:sz w:val="32"/>
          <w:szCs w:val="32"/>
          <w:highlight w:val="none"/>
          <w:u w:val="none"/>
          <w:lang w:val="zh-CN" w:eastAsia="zh-CN" w:bidi="ar-SA"/>
        </w:rPr>
        <w:t>奖补</w:t>
      </w:r>
      <w:r>
        <w:rPr>
          <w:rFonts w:hint="default" w:ascii="Times New Roman" w:hAnsi="Times New Roman" w:eastAsia="仿宋_GB2312" w:cs="Times New Roman"/>
          <w:bCs/>
          <w:color w:val="000000"/>
          <w:sz w:val="32"/>
          <w:szCs w:val="32"/>
          <w:highlight w:val="none"/>
          <w:u w:val="none"/>
          <w:lang w:val="zh-CN" w:eastAsia="zh-CN" w:bidi="ar-SA"/>
        </w:rPr>
        <w:t>，新设备</w:t>
      </w:r>
      <w:r>
        <w:rPr>
          <w:rFonts w:hint="eastAsia" w:ascii="Times New Roman" w:hAnsi="Times New Roman" w:eastAsia="仿宋_GB2312" w:cs="Times New Roman"/>
          <w:bCs/>
          <w:color w:val="000000"/>
          <w:sz w:val="32"/>
          <w:szCs w:val="32"/>
          <w:highlight w:val="none"/>
          <w:u w:val="none"/>
          <w:lang w:val="zh-CN" w:eastAsia="zh-CN" w:bidi="ar-SA"/>
        </w:rPr>
        <w:t>奖补</w:t>
      </w:r>
      <w:r>
        <w:rPr>
          <w:rFonts w:hint="default" w:ascii="Times New Roman" w:hAnsi="Times New Roman" w:eastAsia="仿宋_GB2312" w:cs="Times New Roman"/>
          <w:bCs/>
          <w:color w:val="000000"/>
          <w:sz w:val="32"/>
          <w:szCs w:val="32"/>
          <w:highlight w:val="none"/>
          <w:u w:val="none"/>
          <w:lang w:val="zh-CN" w:eastAsia="zh-CN" w:bidi="ar-SA"/>
        </w:rPr>
        <w:t>最高不超过500万元。</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sz w:val="32"/>
          <w:szCs w:val="32"/>
          <w:highlight w:val="none"/>
          <w:u w:val="none"/>
          <w:lang w:val="zh-CN" w:eastAsia="zh-CN" w:bidi="ar-SA"/>
        </w:rPr>
      </w:pPr>
      <w:r>
        <w:rPr>
          <w:rFonts w:hint="default" w:ascii="Times New Roman" w:hAnsi="Times New Roman" w:eastAsia="仿宋_GB2312" w:cs="Times New Roman"/>
          <w:bCs/>
          <w:color w:val="000000"/>
          <w:sz w:val="32"/>
          <w:szCs w:val="32"/>
          <w:highlight w:val="none"/>
          <w:u w:val="none"/>
          <w:lang w:val="zh-CN" w:eastAsia="zh-CN" w:bidi="ar-SA"/>
        </w:rPr>
        <w:t>（</w:t>
      </w:r>
      <w:r>
        <w:rPr>
          <w:rFonts w:hint="eastAsia" w:ascii="Times New Roman" w:hAnsi="Times New Roman" w:eastAsia="仿宋_GB2312" w:cs="Times New Roman"/>
          <w:bCs/>
          <w:color w:val="000000"/>
          <w:sz w:val="32"/>
          <w:szCs w:val="32"/>
          <w:highlight w:val="none"/>
          <w:u w:val="none"/>
          <w:lang w:val="zh-CN" w:eastAsia="zh-CN" w:bidi="ar-SA"/>
        </w:rPr>
        <w:t>五</w:t>
      </w:r>
      <w:r>
        <w:rPr>
          <w:rFonts w:hint="default" w:ascii="Times New Roman" w:hAnsi="Times New Roman" w:eastAsia="仿宋_GB2312" w:cs="Times New Roman"/>
          <w:bCs/>
          <w:color w:val="000000"/>
          <w:sz w:val="32"/>
          <w:szCs w:val="32"/>
          <w:highlight w:val="none"/>
          <w:u w:val="none"/>
          <w:lang w:val="zh-CN" w:eastAsia="zh-CN" w:bidi="ar-SA"/>
        </w:rPr>
        <w:t>）厂房建设补贴。对新建厂房第3层及以上的</w:t>
      </w:r>
      <w:r>
        <w:rPr>
          <w:rFonts w:hint="default" w:ascii="Times New Roman" w:hAnsi="Times New Roman" w:eastAsia="仿宋_GB2312" w:cs="Times New Roman"/>
          <w:bCs/>
          <w:color w:val="000000"/>
          <w:sz w:val="32"/>
          <w:szCs w:val="32"/>
          <w:highlight w:val="none"/>
          <w:u w:val="none"/>
          <w:lang w:val="en-US" w:eastAsia="zh-CN" w:bidi="ar-SA"/>
        </w:rPr>
        <w:t>部分</w:t>
      </w:r>
      <w:r>
        <w:rPr>
          <w:rFonts w:hint="default" w:ascii="Times New Roman" w:hAnsi="Times New Roman" w:eastAsia="仿宋_GB2312" w:cs="Times New Roman"/>
          <w:bCs/>
          <w:color w:val="000000"/>
          <w:sz w:val="32"/>
          <w:szCs w:val="32"/>
          <w:highlight w:val="none"/>
          <w:u w:val="none"/>
          <w:lang w:val="zh-CN" w:eastAsia="zh-CN" w:bidi="ar-SA"/>
        </w:rPr>
        <w:t>，按200元/平米的标准给予补助，补助方式为项目正式投产后给予一次性补助。</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sz w:val="32"/>
          <w:szCs w:val="32"/>
          <w:highlight w:val="none"/>
          <w:u w:val="single"/>
          <w:lang w:val="zh-CN" w:eastAsia="zh-CN" w:bidi="ar-SA"/>
        </w:rPr>
      </w:pPr>
      <w:r>
        <w:rPr>
          <w:rFonts w:hint="default" w:ascii="Times New Roman" w:hAnsi="Times New Roman" w:eastAsia="仿宋_GB2312" w:cs="Times New Roman"/>
          <w:bCs/>
          <w:color w:val="000000"/>
          <w:sz w:val="32"/>
          <w:szCs w:val="32"/>
          <w:highlight w:val="none"/>
          <w:u w:val="none"/>
          <w:lang w:val="zh-CN" w:eastAsia="zh-CN" w:bidi="ar-SA"/>
        </w:rPr>
        <w:t>（</w:t>
      </w:r>
      <w:r>
        <w:rPr>
          <w:rFonts w:hint="eastAsia" w:ascii="Times New Roman" w:hAnsi="Times New Roman" w:eastAsia="仿宋_GB2312" w:cs="Times New Roman"/>
          <w:bCs/>
          <w:color w:val="000000"/>
          <w:sz w:val="32"/>
          <w:szCs w:val="32"/>
          <w:highlight w:val="none"/>
          <w:u w:val="none"/>
          <w:lang w:val="zh-CN" w:eastAsia="zh-CN" w:bidi="ar-SA"/>
        </w:rPr>
        <w:t>六</w:t>
      </w:r>
      <w:r>
        <w:rPr>
          <w:rFonts w:hint="default" w:ascii="Times New Roman" w:hAnsi="Times New Roman" w:eastAsia="仿宋_GB2312" w:cs="Times New Roman"/>
          <w:bCs/>
          <w:color w:val="000000"/>
          <w:sz w:val="32"/>
          <w:szCs w:val="32"/>
          <w:highlight w:val="none"/>
          <w:u w:val="none"/>
          <w:lang w:val="zh-CN" w:eastAsia="zh-CN" w:bidi="ar-SA"/>
        </w:rPr>
        <w:t>）厂房租金补贴。</w:t>
      </w:r>
      <w:r>
        <w:rPr>
          <w:rFonts w:hint="default" w:ascii="Times New Roman" w:hAnsi="Times New Roman" w:eastAsia="仿宋_GB2312" w:cs="Times New Roman"/>
          <w:bCs/>
          <w:color w:val="000000"/>
          <w:sz w:val="32"/>
          <w:szCs w:val="32"/>
          <w:highlight w:val="none"/>
          <w:u w:val="single"/>
          <w:lang w:val="en-US" w:eastAsia="zh-CN" w:bidi="ar-SA"/>
        </w:rPr>
        <w:t>租赁中国西部（广元）绿色</w:t>
      </w:r>
      <w:r>
        <w:rPr>
          <w:rFonts w:hint="default" w:ascii="Times New Roman" w:hAnsi="Times New Roman" w:eastAsia="仿宋_GB2312" w:cs="Times New Roman"/>
          <w:bCs/>
          <w:color w:val="000000"/>
          <w:sz w:val="32"/>
          <w:szCs w:val="32"/>
          <w:highlight w:val="none"/>
          <w:u w:val="single"/>
          <w:lang w:val="zh-CN" w:eastAsia="zh-CN" w:bidi="ar-SA"/>
        </w:rPr>
        <w:t>家居产业城（以下简称家居产业城）、中国食品产业发展重点园区（以下简称</w:t>
      </w:r>
      <w:r>
        <w:rPr>
          <w:rFonts w:hint="default" w:ascii="Times New Roman" w:hAnsi="Times New Roman" w:eastAsia="仿宋_GB2312" w:cs="Times New Roman"/>
          <w:bCs/>
          <w:color w:val="000000"/>
          <w:sz w:val="32"/>
          <w:szCs w:val="32"/>
          <w:highlight w:val="none"/>
          <w:u w:val="single"/>
          <w:lang w:val="en-US" w:eastAsia="zh-CN" w:bidi="ar-SA"/>
        </w:rPr>
        <w:t>食品产业园</w:t>
      </w:r>
      <w:r>
        <w:rPr>
          <w:rFonts w:hint="default" w:ascii="Times New Roman" w:hAnsi="Times New Roman" w:eastAsia="仿宋_GB2312" w:cs="Times New Roman"/>
          <w:bCs/>
          <w:color w:val="000000"/>
          <w:sz w:val="32"/>
          <w:szCs w:val="32"/>
          <w:highlight w:val="none"/>
          <w:u w:val="single"/>
          <w:lang w:val="zh-CN" w:eastAsia="zh-CN" w:bidi="ar-SA"/>
        </w:rPr>
        <w:t>）标准化厂房的，达到投资协议约定的投资、产值、</w:t>
      </w:r>
      <w:r>
        <w:rPr>
          <w:rFonts w:hint="eastAsia" w:ascii="Times New Roman" w:hAnsi="Times New Roman" w:eastAsia="仿宋_GB2312" w:cs="Times New Roman"/>
          <w:bCs/>
          <w:color w:val="000000"/>
          <w:sz w:val="32"/>
          <w:szCs w:val="32"/>
          <w:highlight w:val="none"/>
          <w:u w:val="single"/>
          <w:lang w:val="zh-CN" w:eastAsia="zh-CN" w:bidi="ar-SA"/>
        </w:rPr>
        <w:t>经济</w:t>
      </w:r>
      <w:r>
        <w:rPr>
          <w:rFonts w:hint="default" w:ascii="Times New Roman" w:hAnsi="Times New Roman" w:eastAsia="仿宋_GB2312" w:cs="Times New Roman"/>
          <w:bCs/>
          <w:color w:val="000000"/>
          <w:sz w:val="32"/>
          <w:szCs w:val="32"/>
          <w:highlight w:val="none"/>
          <w:u w:val="single"/>
          <w:lang w:val="zh-CN" w:eastAsia="zh-CN" w:bidi="ar-SA"/>
        </w:rPr>
        <w:t>贡献，自租赁协议签订之日起前</w:t>
      </w:r>
      <w:r>
        <w:rPr>
          <w:rFonts w:hint="default" w:ascii="Times New Roman" w:hAnsi="Times New Roman" w:eastAsia="仿宋_GB2312" w:cs="Times New Roman"/>
          <w:bCs/>
          <w:color w:val="000000"/>
          <w:sz w:val="32"/>
          <w:szCs w:val="32"/>
          <w:highlight w:val="none"/>
          <w:u w:val="single"/>
          <w:lang w:val="en-US" w:eastAsia="zh-CN" w:bidi="ar-SA"/>
        </w:rPr>
        <w:t>24个月给予租金全额补助</w:t>
      </w:r>
      <w:r>
        <w:rPr>
          <w:rFonts w:hint="default" w:ascii="Times New Roman" w:hAnsi="Times New Roman" w:eastAsia="仿宋_GB2312" w:cs="Times New Roman"/>
          <w:bCs/>
          <w:color w:val="000000"/>
          <w:sz w:val="32"/>
          <w:szCs w:val="32"/>
          <w:highlight w:val="none"/>
          <w:u w:val="single"/>
          <w:lang w:val="zh-CN" w:eastAsia="zh-CN" w:bidi="ar-SA"/>
        </w:rPr>
        <w:t>。租金实行收支两条线，先缴后补（即投资企业按租赁协议约定缴纳，达到投资协议约定后申请补助）。</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sz w:val="32"/>
          <w:szCs w:val="32"/>
          <w:highlight w:val="none"/>
          <w:u w:val="none"/>
          <w:lang w:val="zh-CN" w:eastAsia="zh-CN" w:bidi="ar-SA"/>
        </w:rPr>
      </w:pPr>
      <w:r>
        <w:rPr>
          <w:rFonts w:hint="eastAsia" w:ascii="Times New Roman" w:hAnsi="Times New Roman" w:eastAsia="仿宋_GB2312" w:cs="Times New Roman"/>
          <w:bCs/>
          <w:color w:val="000000"/>
          <w:sz w:val="32"/>
          <w:szCs w:val="32"/>
          <w:highlight w:val="none"/>
          <w:u w:val="none"/>
          <w:lang w:val="zh-CN" w:eastAsia="zh-CN" w:bidi="ar-SA"/>
        </w:rPr>
        <w:t>（七</w:t>
      </w:r>
      <w:r>
        <w:rPr>
          <w:rFonts w:hint="default" w:ascii="Times New Roman" w:hAnsi="Times New Roman" w:eastAsia="仿宋_GB2312" w:cs="Times New Roman"/>
          <w:bCs/>
          <w:color w:val="000000"/>
          <w:sz w:val="32"/>
          <w:szCs w:val="32"/>
          <w:highlight w:val="none"/>
          <w:u w:val="none"/>
          <w:lang w:val="zh-CN" w:eastAsia="zh-CN" w:bidi="ar-SA"/>
        </w:rPr>
        <w:t>）贷款贴息补贴。对固定资产投资2000万元以上，或投产当年对地方经济贡献达到100万元以上的项目，在金融机构融资用于该项目建设的，可根据项目实际发生贷款额度，分别按当年中国人民银行LPR（贷款市场报价利率）第一年60%、第二年40%、第三年20%给予贷款贴息补贴，连续补贴最长3年（自贷款年度起计算），单个企业贴息总额累计不超过200万元，得到中央、省、市贴息的不再重复贴息。</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sz w:val="32"/>
          <w:szCs w:val="32"/>
          <w:highlight w:val="none"/>
          <w:u w:val="none"/>
          <w:lang w:val="zh-CN" w:eastAsia="zh-CN" w:bidi="ar-SA"/>
        </w:rPr>
      </w:pPr>
      <w:r>
        <w:rPr>
          <w:rFonts w:hint="default" w:ascii="Times New Roman" w:hAnsi="Times New Roman" w:eastAsia="仿宋_GB2312" w:cs="Times New Roman"/>
          <w:bCs/>
          <w:color w:val="000000"/>
          <w:sz w:val="32"/>
          <w:szCs w:val="32"/>
          <w:highlight w:val="none"/>
          <w:u w:val="none"/>
          <w:lang w:val="zh-CN" w:eastAsia="zh-CN" w:bidi="ar-SA"/>
        </w:rPr>
        <w:t>（八）科技创新奖励。对新认定、到期重新认定的国家高新技术企业分别给予10万元、5万元资金支持。对新认定的“独角兽”企业、新备案入库的“瞪羚”企业给予50万元、20万元资金支持。对新获批的国、省级重点实验室、技术创新中心、工程技术研究中心及新型研发机构分别给予200万元、100万元项目资金支持。对新获批的省级及以上科技企业孵化器、众创空间，新建的省级概念验证、中试熟化平台，新认定的省级技术转移示范机构等给予资金支持。</w:t>
      </w:r>
    </w:p>
    <w:p>
      <w:pPr>
        <w:keepNext w:val="0"/>
        <w:keepLines w:val="0"/>
        <w:pageBreakBefore w:val="0"/>
        <w:widowControl w:val="0"/>
        <w:suppressAutoHyphens/>
        <w:kinsoku/>
        <w:wordWrap/>
        <w:overflowPunct/>
        <w:topLinePunct w:val="0"/>
        <w:autoSpaceDE/>
        <w:autoSpaceDN/>
        <w:bidi w:val="0"/>
        <w:adjustRightInd/>
        <w:snapToGrid/>
        <w:spacing w:before="157" w:after="157" w:line="560" w:lineRule="exact"/>
        <w:ind w:left="0" w:firstLine="0"/>
        <w:jc w:val="center"/>
        <w:textAlignment w:val="auto"/>
        <w:rPr>
          <w:rFonts w:hint="default" w:ascii="Times New Roman" w:hAnsi="Times New Roman" w:eastAsia="黑体" w:cs="Times New Roman"/>
          <w:color w:val="000000"/>
          <w:sz w:val="32"/>
          <w:szCs w:val="32"/>
          <w:highlight w:val="none"/>
          <w:u w:val="none"/>
          <w:lang w:val="zh-CN" w:eastAsia="zh-CN" w:bidi="ar-SA"/>
        </w:rPr>
      </w:pPr>
      <w:r>
        <w:rPr>
          <w:rFonts w:hint="default" w:ascii="Times New Roman" w:hAnsi="Times New Roman" w:eastAsia="黑体" w:cs="Times New Roman"/>
          <w:color w:val="000000"/>
          <w:sz w:val="32"/>
          <w:szCs w:val="32"/>
          <w:highlight w:val="none"/>
          <w:u w:val="none"/>
          <w:lang w:val="zh-CN" w:eastAsia="zh-CN" w:bidi="ar-SA"/>
        </w:rPr>
        <w:t>第三章  要素支持</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Cs w:val="0"/>
          <w:color w:val="000000"/>
          <w:sz w:val="32"/>
          <w:szCs w:val="32"/>
          <w:highlight w:val="none"/>
          <w:u w:val="none"/>
          <w:lang w:val="zh-CN" w:eastAsia="zh-CN" w:bidi="ar-SA"/>
        </w:rPr>
      </w:pPr>
      <w:r>
        <w:rPr>
          <w:rFonts w:hint="default" w:ascii="Times New Roman" w:hAnsi="Times New Roman" w:eastAsia="楷体_GB2312" w:cs="Times New Roman"/>
          <w:bCs w:val="0"/>
          <w:color w:val="000000"/>
          <w:sz w:val="32"/>
          <w:szCs w:val="32"/>
          <w:highlight w:val="none"/>
          <w:u w:val="none"/>
          <w:lang w:val="zh-CN" w:eastAsia="zh-CN" w:bidi="ar-SA"/>
        </w:rPr>
        <w:t>第六条  人才支持</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sz w:val="32"/>
          <w:szCs w:val="32"/>
          <w:highlight w:val="none"/>
          <w:u w:val="none"/>
          <w:lang w:val="zh-CN" w:eastAsia="zh-CN" w:bidi="ar-SA"/>
        </w:rPr>
      </w:pPr>
      <w:r>
        <w:rPr>
          <w:rFonts w:hint="eastAsia" w:ascii="Times New Roman" w:hAnsi="Times New Roman" w:eastAsia="仿宋_GB2312" w:cs="Times New Roman"/>
          <w:bCs/>
          <w:color w:val="000000"/>
          <w:sz w:val="32"/>
          <w:szCs w:val="32"/>
          <w:highlight w:val="none"/>
          <w:u w:val="none"/>
          <w:lang w:val="zh-CN" w:eastAsia="zh-CN" w:bidi="ar-SA"/>
        </w:rPr>
        <w:t>（一）</w:t>
      </w:r>
      <w:r>
        <w:rPr>
          <w:rFonts w:hint="default" w:ascii="Times New Roman" w:hAnsi="Times New Roman" w:eastAsia="仿宋_GB2312" w:cs="Times New Roman"/>
          <w:bCs/>
          <w:color w:val="000000"/>
          <w:sz w:val="32"/>
          <w:szCs w:val="32"/>
          <w:highlight w:val="none"/>
          <w:u w:val="none"/>
          <w:lang w:val="zh-CN" w:eastAsia="zh-CN" w:bidi="ar-SA"/>
        </w:rPr>
        <w:t>企业高管奖励。新引进的重点项目，</w:t>
      </w:r>
      <w:r>
        <w:rPr>
          <w:rFonts w:hint="default" w:ascii="Times New Roman" w:hAnsi="Times New Roman" w:eastAsia="仿宋_GB2312" w:cs="Times New Roman"/>
          <w:bCs/>
          <w:color w:val="000000"/>
          <w:sz w:val="32"/>
          <w:szCs w:val="32"/>
          <w:highlight w:val="none"/>
          <w:u w:val="single"/>
          <w:lang w:val="zh-CN" w:eastAsia="zh-CN" w:bidi="ar-SA"/>
        </w:rPr>
        <w:t>投产</w:t>
      </w:r>
      <w:r>
        <w:rPr>
          <w:rFonts w:hint="default" w:ascii="Times New Roman" w:hAnsi="Times New Roman" w:eastAsia="仿宋_GB2312" w:cs="Times New Roman"/>
          <w:b w:val="0"/>
          <w:bCs/>
          <w:color w:val="000000"/>
          <w:sz w:val="32"/>
          <w:szCs w:val="32"/>
          <w:highlight w:val="none"/>
          <w:u w:val="single"/>
          <w:lang w:val="zh-CN" w:eastAsia="zh-CN" w:bidi="ar-SA"/>
        </w:rPr>
        <w:t>当年对地方经济贡献</w:t>
      </w:r>
      <w:r>
        <w:rPr>
          <w:rFonts w:hint="default" w:ascii="Times New Roman" w:hAnsi="Times New Roman" w:eastAsia="仿宋_GB2312" w:cs="Times New Roman"/>
          <w:bCs/>
          <w:color w:val="000000"/>
          <w:sz w:val="32"/>
          <w:szCs w:val="32"/>
          <w:highlight w:val="none"/>
          <w:u w:val="single"/>
          <w:lang w:val="zh-CN" w:eastAsia="zh-CN" w:bidi="ar-SA"/>
        </w:rPr>
        <w:t>达到</w:t>
      </w:r>
      <w:r>
        <w:rPr>
          <w:rFonts w:hint="default" w:ascii="Times New Roman" w:hAnsi="Times New Roman" w:eastAsia="仿宋_GB2312" w:cs="Times New Roman"/>
          <w:bCs/>
          <w:color w:val="000000"/>
          <w:sz w:val="32"/>
          <w:szCs w:val="32"/>
          <w:highlight w:val="none"/>
          <w:u w:val="single"/>
          <w:lang w:val="en-US" w:eastAsia="zh-CN" w:bidi="ar-SA"/>
        </w:rPr>
        <w:t>300</w:t>
      </w:r>
      <w:r>
        <w:rPr>
          <w:rFonts w:hint="default" w:ascii="Times New Roman" w:hAnsi="Times New Roman" w:eastAsia="仿宋_GB2312" w:cs="Times New Roman"/>
          <w:bCs/>
          <w:color w:val="000000"/>
          <w:sz w:val="32"/>
          <w:szCs w:val="32"/>
          <w:highlight w:val="none"/>
          <w:u w:val="single"/>
          <w:lang w:val="zh-CN" w:eastAsia="zh-CN" w:bidi="ar-SA"/>
        </w:rPr>
        <w:t>万元至</w:t>
      </w:r>
      <w:r>
        <w:rPr>
          <w:rFonts w:hint="default" w:ascii="Times New Roman" w:hAnsi="Times New Roman" w:eastAsia="仿宋_GB2312" w:cs="Times New Roman"/>
          <w:bCs/>
          <w:color w:val="000000"/>
          <w:sz w:val="32"/>
          <w:szCs w:val="32"/>
          <w:highlight w:val="none"/>
          <w:u w:val="single"/>
          <w:lang w:val="en-US" w:eastAsia="zh-CN" w:bidi="ar-SA"/>
        </w:rPr>
        <w:t>500</w:t>
      </w:r>
      <w:r>
        <w:rPr>
          <w:rFonts w:hint="default" w:ascii="Times New Roman" w:hAnsi="Times New Roman" w:eastAsia="仿宋_GB2312" w:cs="Times New Roman"/>
          <w:bCs/>
          <w:color w:val="000000"/>
          <w:sz w:val="32"/>
          <w:szCs w:val="32"/>
          <w:highlight w:val="none"/>
          <w:u w:val="single"/>
          <w:lang w:val="zh-CN" w:eastAsia="zh-CN" w:bidi="ar-SA"/>
        </w:rPr>
        <w:t>万元的，</w:t>
      </w:r>
      <w:r>
        <w:rPr>
          <w:rFonts w:hint="default" w:ascii="Times New Roman" w:hAnsi="Times New Roman" w:eastAsia="仿宋_GB2312" w:cs="Times New Roman"/>
          <w:bCs/>
          <w:color w:val="000000"/>
          <w:sz w:val="32"/>
          <w:szCs w:val="32"/>
          <w:highlight w:val="none"/>
          <w:u w:val="none"/>
          <w:lang w:val="zh-CN" w:eastAsia="zh-CN" w:bidi="ar-SA"/>
        </w:rPr>
        <w:t>对企业最高不超过2名高管进行奖励；</w:t>
      </w:r>
      <w:r>
        <w:rPr>
          <w:rFonts w:hint="default" w:ascii="Times New Roman" w:hAnsi="Times New Roman" w:eastAsia="仿宋_GB2312" w:cs="Times New Roman"/>
          <w:bCs/>
          <w:color w:val="000000"/>
          <w:sz w:val="32"/>
          <w:szCs w:val="32"/>
          <w:highlight w:val="none"/>
          <w:u w:val="single"/>
          <w:lang w:val="zh-CN" w:eastAsia="zh-CN" w:bidi="ar-SA"/>
        </w:rPr>
        <w:t>投产当年</w:t>
      </w:r>
      <w:r>
        <w:rPr>
          <w:rFonts w:hint="default" w:ascii="Times New Roman" w:hAnsi="Times New Roman" w:eastAsia="仿宋_GB2312" w:cs="Times New Roman"/>
          <w:b w:val="0"/>
          <w:bCs/>
          <w:color w:val="000000"/>
          <w:sz w:val="32"/>
          <w:szCs w:val="32"/>
          <w:highlight w:val="none"/>
          <w:u w:val="single"/>
          <w:lang w:val="zh-CN" w:eastAsia="zh-CN" w:bidi="ar-SA"/>
        </w:rPr>
        <w:t>对地方经济贡献</w:t>
      </w:r>
      <w:r>
        <w:rPr>
          <w:rFonts w:hint="default" w:ascii="Times New Roman" w:hAnsi="Times New Roman" w:eastAsia="仿宋_GB2312" w:cs="Times New Roman"/>
          <w:bCs/>
          <w:color w:val="000000"/>
          <w:sz w:val="32"/>
          <w:szCs w:val="32"/>
          <w:highlight w:val="none"/>
          <w:u w:val="single"/>
          <w:lang w:val="zh-CN" w:eastAsia="zh-CN" w:bidi="ar-SA"/>
        </w:rPr>
        <w:t>达到</w:t>
      </w:r>
      <w:r>
        <w:rPr>
          <w:rFonts w:hint="default" w:ascii="Times New Roman" w:hAnsi="Times New Roman" w:eastAsia="仿宋_GB2312" w:cs="Times New Roman"/>
          <w:bCs/>
          <w:color w:val="000000"/>
          <w:sz w:val="32"/>
          <w:szCs w:val="32"/>
          <w:highlight w:val="none"/>
          <w:u w:val="single"/>
          <w:lang w:val="en-US" w:eastAsia="zh-CN" w:bidi="ar-SA"/>
        </w:rPr>
        <w:t>500</w:t>
      </w:r>
      <w:r>
        <w:rPr>
          <w:rFonts w:hint="default" w:ascii="Times New Roman" w:hAnsi="Times New Roman" w:eastAsia="仿宋_GB2312" w:cs="Times New Roman"/>
          <w:bCs/>
          <w:color w:val="000000"/>
          <w:sz w:val="32"/>
          <w:szCs w:val="32"/>
          <w:highlight w:val="none"/>
          <w:u w:val="single"/>
          <w:lang w:val="zh-CN" w:eastAsia="zh-CN" w:bidi="ar-SA"/>
        </w:rPr>
        <w:t>万元至</w:t>
      </w:r>
      <w:r>
        <w:rPr>
          <w:rFonts w:hint="default" w:ascii="Times New Roman" w:hAnsi="Times New Roman" w:eastAsia="仿宋_GB2312" w:cs="Times New Roman"/>
          <w:bCs/>
          <w:color w:val="000000"/>
          <w:sz w:val="32"/>
          <w:szCs w:val="32"/>
          <w:highlight w:val="none"/>
          <w:u w:val="single"/>
          <w:lang w:val="en-US" w:eastAsia="zh-CN" w:bidi="ar-SA"/>
        </w:rPr>
        <w:t>1</w:t>
      </w:r>
      <w:r>
        <w:rPr>
          <w:rFonts w:hint="default" w:ascii="Times New Roman" w:hAnsi="Times New Roman" w:eastAsia="仿宋_GB2312" w:cs="Times New Roman"/>
          <w:bCs/>
          <w:color w:val="000000"/>
          <w:sz w:val="32"/>
          <w:szCs w:val="32"/>
          <w:highlight w:val="none"/>
          <w:u w:val="single"/>
          <w:lang w:val="zh-CN" w:eastAsia="zh-CN" w:bidi="ar-SA"/>
        </w:rPr>
        <w:t>000万元的，</w:t>
      </w:r>
      <w:r>
        <w:rPr>
          <w:rFonts w:hint="default" w:ascii="Times New Roman" w:hAnsi="Times New Roman" w:eastAsia="仿宋_GB2312" w:cs="Times New Roman"/>
          <w:bCs/>
          <w:color w:val="000000"/>
          <w:sz w:val="32"/>
          <w:szCs w:val="32"/>
          <w:highlight w:val="none"/>
          <w:u w:val="none"/>
          <w:lang w:val="zh-CN" w:eastAsia="zh-CN" w:bidi="ar-SA"/>
        </w:rPr>
        <w:t>对企业最高不超过3名高管进行奖励</w:t>
      </w:r>
      <w:r>
        <w:rPr>
          <w:rFonts w:hint="default" w:ascii="Times New Roman" w:hAnsi="Times New Roman" w:eastAsia="仿宋_GB2312" w:cs="Times New Roman"/>
          <w:bCs/>
          <w:color w:val="000000"/>
          <w:sz w:val="32"/>
          <w:szCs w:val="32"/>
          <w:highlight w:val="none"/>
          <w:u w:val="single"/>
          <w:lang w:val="zh-CN" w:eastAsia="zh-CN" w:bidi="ar-SA"/>
        </w:rPr>
        <w:t>；投产当年</w:t>
      </w:r>
      <w:r>
        <w:rPr>
          <w:rFonts w:hint="default" w:ascii="Times New Roman" w:hAnsi="Times New Roman" w:eastAsia="仿宋_GB2312" w:cs="Times New Roman"/>
          <w:b w:val="0"/>
          <w:bCs/>
          <w:color w:val="000000"/>
          <w:sz w:val="32"/>
          <w:szCs w:val="32"/>
          <w:highlight w:val="none"/>
          <w:u w:val="single"/>
          <w:lang w:val="zh-CN" w:eastAsia="zh-CN" w:bidi="ar-SA"/>
        </w:rPr>
        <w:t>对地方经济贡献</w:t>
      </w:r>
      <w:r>
        <w:rPr>
          <w:rFonts w:hint="default" w:ascii="Times New Roman" w:hAnsi="Times New Roman" w:eastAsia="仿宋_GB2312" w:cs="Times New Roman"/>
          <w:bCs/>
          <w:color w:val="000000"/>
          <w:sz w:val="32"/>
          <w:szCs w:val="32"/>
          <w:highlight w:val="none"/>
          <w:u w:val="single"/>
          <w:lang w:val="zh-CN" w:eastAsia="zh-CN" w:bidi="ar-SA"/>
        </w:rPr>
        <w:t>达到</w:t>
      </w:r>
      <w:r>
        <w:rPr>
          <w:rFonts w:hint="default" w:ascii="Times New Roman" w:hAnsi="Times New Roman" w:eastAsia="仿宋_GB2312" w:cs="Times New Roman"/>
          <w:bCs/>
          <w:color w:val="000000"/>
          <w:sz w:val="32"/>
          <w:szCs w:val="32"/>
          <w:highlight w:val="none"/>
          <w:u w:val="single"/>
          <w:lang w:val="en-US" w:eastAsia="zh-CN" w:bidi="ar-SA"/>
        </w:rPr>
        <w:t>1</w:t>
      </w:r>
      <w:r>
        <w:rPr>
          <w:rFonts w:hint="default" w:ascii="Times New Roman" w:hAnsi="Times New Roman" w:eastAsia="仿宋_GB2312" w:cs="Times New Roman"/>
          <w:bCs/>
          <w:color w:val="000000"/>
          <w:sz w:val="32"/>
          <w:szCs w:val="32"/>
          <w:highlight w:val="none"/>
          <w:u w:val="single"/>
          <w:lang w:val="zh-CN" w:eastAsia="zh-CN" w:bidi="ar-SA"/>
        </w:rPr>
        <w:t>000万元以上的，</w:t>
      </w:r>
      <w:r>
        <w:rPr>
          <w:rFonts w:hint="default" w:ascii="Times New Roman" w:hAnsi="Times New Roman" w:eastAsia="仿宋_GB2312" w:cs="Times New Roman"/>
          <w:bCs/>
          <w:color w:val="000000"/>
          <w:sz w:val="32"/>
          <w:szCs w:val="32"/>
          <w:highlight w:val="none"/>
          <w:u w:val="none"/>
          <w:lang w:val="zh-CN" w:eastAsia="zh-CN" w:bidi="ar-SA"/>
        </w:rPr>
        <w:t>对企业最高不超过5名高管进行奖励。具体奖励标准按照“一事一议”原则报区政府审定后实施。</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bCs w:val="0"/>
          <w:color w:val="000000"/>
          <w:sz w:val="32"/>
          <w:szCs w:val="32"/>
          <w:highlight w:val="none"/>
          <w:u w:val="none"/>
          <w:lang w:val="en-US" w:eastAsia="zh-CN" w:bidi="ar-SA"/>
        </w:rPr>
      </w:pPr>
      <w:r>
        <w:rPr>
          <w:rFonts w:hint="eastAsia" w:ascii="Times New Roman" w:hAnsi="Times New Roman" w:eastAsia="仿宋_GB2312" w:cs="Times New Roman"/>
          <w:bCs/>
          <w:color w:val="000000"/>
          <w:sz w:val="32"/>
          <w:szCs w:val="32"/>
          <w:highlight w:val="none"/>
          <w:u w:val="none"/>
          <w:lang w:val="zh-CN" w:eastAsia="zh-CN" w:bidi="ar-SA"/>
        </w:rPr>
        <w:t>（二）</w:t>
      </w:r>
      <w:r>
        <w:rPr>
          <w:rFonts w:hint="default" w:ascii="Times New Roman" w:hAnsi="Times New Roman" w:eastAsia="仿宋_GB2312" w:cs="Times New Roman"/>
          <w:bCs/>
          <w:color w:val="000000"/>
          <w:sz w:val="32"/>
          <w:szCs w:val="32"/>
          <w:highlight w:val="none"/>
          <w:u w:val="none"/>
          <w:lang w:val="zh-CN" w:eastAsia="zh-CN" w:bidi="ar-SA"/>
        </w:rPr>
        <w:t>其他人才奖励。支持重点产业企业引进全日制大学本科学历及以上人才、副高级职称及以上专业技术人才、技师及以上高技能人才，按人才类别连续5年给予每月最高</w:t>
      </w:r>
      <w:r>
        <w:rPr>
          <w:rFonts w:hint="default" w:ascii="Times New Roman" w:hAnsi="Times New Roman" w:eastAsia="仿宋_GB2312" w:cs="Times New Roman"/>
          <w:bCs/>
          <w:color w:val="000000"/>
          <w:sz w:val="32"/>
          <w:szCs w:val="32"/>
          <w:highlight w:val="none"/>
          <w:u w:val="none"/>
          <w:lang w:val="en-US" w:eastAsia="zh-CN" w:bidi="ar-SA"/>
        </w:rPr>
        <w:t>1000</w:t>
      </w:r>
      <w:r>
        <w:rPr>
          <w:rFonts w:hint="default" w:ascii="Times New Roman" w:hAnsi="Times New Roman" w:eastAsia="仿宋_GB2312" w:cs="Times New Roman"/>
          <w:bCs/>
          <w:color w:val="000000"/>
          <w:sz w:val="32"/>
          <w:szCs w:val="32"/>
          <w:highlight w:val="none"/>
          <w:u w:val="none"/>
          <w:lang w:val="zh-CN" w:eastAsia="zh-CN" w:bidi="ar-SA"/>
        </w:rPr>
        <w:t>元生活补助。鼓励企业通过项目合作、科技攻关、成果转化等方式柔性引进高层次人才担任“周末工程师”，根据合作成效及实绩贡献给予企业最高10万元工作资助。对重点产业企业高层次人才成绩显著的，按程序纳入“葭萌英才培育行动”重点培养，发放“葭萌英才卡”，按照相关政策予以支持。对企业新获批的院士（专家）工作站、博士后科研工作站（创新实践基地)、技能大师工作室给予最高</w:t>
      </w:r>
      <w:r>
        <w:rPr>
          <w:rFonts w:hint="default" w:ascii="Times New Roman" w:hAnsi="Times New Roman" w:eastAsia="仿宋_GB2312" w:cs="Times New Roman"/>
          <w:bCs/>
          <w:color w:val="000000"/>
          <w:sz w:val="32"/>
          <w:szCs w:val="32"/>
          <w:highlight w:val="none"/>
          <w:u w:val="none"/>
          <w:lang w:val="en-US" w:eastAsia="zh-CN" w:bidi="ar-SA"/>
        </w:rPr>
        <w:t>10</w:t>
      </w:r>
      <w:r>
        <w:rPr>
          <w:rFonts w:hint="default" w:ascii="Times New Roman" w:hAnsi="Times New Roman" w:eastAsia="仿宋_GB2312" w:cs="Times New Roman"/>
          <w:bCs/>
          <w:color w:val="000000"/>
          <w:sz w:val="32"/>
          <w:szCs w:val="32"/>
          <w:highlight w:val="none"/>
          <w:u w:val="none"/>
          <w:lang w:val="zh-CN" w:eastAsia="zh-CN" w:bidi="ar-SA"/>
        </w:rPr>
        <w:t>万元资金支持。为符合条件的企业优秀人才按照相关政策提供金融、住房、医疗、家庭等保障。</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Cs w:val="0"/>
          <w:color w:val="000000"/>
          <w:sz w:val="32"/>
          <w:szCs w:val="32"/>
          <w:highlight w:val="none"/>
          <w:u w:val="none"/>
          <w:lang w:val="zh-CN" w:eastAsia="zh-CN" w:bidi="ar-SA"/>
        </w:rPr>
      </w:pPr>
      <w:r>
        <w:rPr>
          <w:rFonts w:hint="default" w:ascii="Times New Roman" w:hAnsi="Times New Roman" w:eastAsia="楷体_GB2312" w:cs="Times New Roman"/>
          <w:bCs w:val="0"/>
          <w:color w:val="000000"/>
          <w:sz w:val="32"/>
          <w:szCs w:val="32"/>
          <w:highlight w:val="none"/>
          <w:u w:val="none"/>
          <w:lang w:val="zh-CN" w:eastAsia="zh-CN" w:bidi="ar-SA"/>
        </w:rPr>
        <w:t>第七条  金融支持</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sz w:val="32"/>
          <w:szCs w:val="32"/>
          <w:highlight w:val="none"/>
          <w:u w:val="none"/>
          <w:lang w:val="zh-CN" w:eastAsia="zh-CN" w:bidi="ar-SA"/>
        </w:rPr>
      </w:pPr>
      <w:r>
        <w:rPr>
          <w:rFonts w:hint="default" w:ascii="Times New Roman" w:hAnsi="Times New Roman" w:eastAsia="仿宋_GB2312" w:cs="Times New Roman"/>
          <w:bCs/>
          <w:color w:val="000000"/>
          <w:sz w:val="32"/>
          <w:szCs w:val="32"/>
          <w:highlight w:val="none"/>
          <w:u w:val="none"/>
          <w:lang w:val="zh-CN" w:eastAsia="zh-CN" w:bidi="ar-SA"/>
        </w:rPr>
        <w:t>（一）企业上市支持。设立财政支持企业上市专项资金用于企业上市奖励补助。区内企业在沪深交易所成功上市的，一次性给予300万元奖补；在北交所成功上市的，一次性给予200万元奖补；在沪深北交易所成功借壳上市的，一次性给予100万元奖补。区内企业在香港联合交易所成功上市的，一次性给予100万元奖补；在其他境外交易场所上市的，实行“一事一议”进行奖补。区内企业首次在全国中小企业股份转让系统（新三板）基础层挂牌的，一次性给予30万元奖补，从基础层转入创新层再给予20万奖补；挂牌直接进入创新层的一次性给予50万奖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sz w:val="32"/>
          <w:szCs w:val="32"/>
          <w:highlight w:val="none"/>
          <w:u w:val="none"/>
          <w:lang w:val="zh-CN" w:eastAsia="zh-CN" w:bidi="ar-SA"/>
        </w:rPr>
      </w:pPr>
      <w:r>
        <w:rPr>
          <w:rFonts w:hint="default" w:ascii="Times New Roman" w:hAnsi="Times New Roman" w:eastAsia="仿宋_GB2312" w:cs="Times New Roman"/>
          <w:bCs/>
          <w:color w:val="000000"/>
          <w:sz w:val="32"/>
          <w:szCs w:val="32"/>
          <w:highlight w:val="none"/>
          <w:u w:val="none"/>
          <w:lang w:val="zh-CN" w:eastAsia="zh-CN" w:bidi="ar-SA"/>
        </w:rPr>
        <w:t>（二）企业融资支持。加大银税贷、小微快贷运用，大力推广应收账款、知识产权、商标、股权等金融产品，创新平台多渠道深化银企对接，探索建立政府性融资担保机构奖补政策，支持融资担保机构持续降低小微企业融资担保费，年化担保费率低于1.5%（含1.5%）的，按照融资担保增量降费奖补政策给予保费补贴。</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Cs w:val="0"/>
          <w:color w:val="000000"/>
          <w:sz w:val="32"/>
          <w:szCs w:val="32"/>
          <w:highlight w:val="none"/>
          <w:u w:val="none"/>
          <w:lang w:val="zh-CN" w:eastAsia="zh-CN" w:bidi="ar-SA"/>
        </w:rPr>
      </w:pPr>
      <w:r>
        <w:rPr>
          <w:rFonts w:hint="default" w:ascii="Times New Roman" w:hAnsi="Times New Roman" w:eastAsia="楷体_GB2312" w:cs="Times New Roman"/>
          <w:color w:val="000000"/>
          <w:sz w:val="32"/>
          <w:szCs w:val="32"/>
          <w:highlight w:val="none"/>
          <w:u w:val="none"/>
          <w:lang w:val="zh-CN" w:eastAsia="zh-CN" w:bidi="ar-SA"/>
        </w:rPr>
        <w:t xml:space="preserve">第八条 </w:t>
      </w:r>
      <w:r>
        <w:rPr>
          <w:rFonts w:hint="default" w:ascii="Times New Roman" w:hAnsi="Times New Roman" w:eastAsia="楷体_GB2312" w:cs="Times New Roman"/>
          <w:bCs w:val="0"/>
          <w:color w:val="000000"/>
          <w:sz w:val="32"/>
          <w:szCs w:val="32"/>
          <w:highlight w:val="none"/>
          <w:u w:val="none"/>
          <w:lang w:val="zh-CN" w:eastAsia="zh-CN" w:bidi="ar-SA"/>
        </w:rPr>
        <w:t xml:space="preserve"> 土地支持</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sz w:val="32"/>
          <w:szCs w:val="32"/>
          <w:highlight w:val="none"/>
          <w:u w:val="none"/>
          <w:lang w:val="zh-CN" w:eastAsia="zh-CN" w:bidi="ar-SA"/>
        </w:rPr>
      </w:pPr>
      <w:r>
        <w:rPr>
          <w:rFonts w:hint="default" w:ascii="Times New Roman" w:hAnsi="Times New Roman" w:eastAsia="仿宋_GB2312" w:cs="Times New Roman"/>
          <w:bCs/>
          <w:color w:val="000000"/>
          <w:sz w:val="32"/>
          <w:szCs w:val="32"/>
          <w:highlight w:val="none"/>
          <w:u w:val="none"/>
          <w:lang w:val="zh-CN" w:eastAsia="zh-CN" w:bidi="ar-SA"/>
        </w:rPr>
        <w:t>（一）保障土地供应。对重大产业项目在符合国土空间规划的前提下，可优先安排新增建设用地规划指标和计划指标，并开通土地报征绿色通道，跟踪服务，提升用地保障效率。根据项目需求和实际，实行一次约定、规划预留、灵活供地。</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sz w:val="32"/>
          <w:szCs w:val="32"/>
          <w:highlight w:val="none"/>
          <w:u w:val="none"/>
          <w:lang w:val="zh-CN" w:eastAsia="zh-CN" w:bidi="ar-SA"/>
        </w:rPr>
      </w:pPr>
      <w:r>
        <w:rPr>
          <w:rFonts w:hint="default" w:ascii="Times New Roman" w:hAnsi="Times New Roman" w:eastAsia="仿宋_GB2312" w:cs="Times New Roman"/>
          <w:bCs/>
          <w:color w:val="000000"/>
          <w:sz w:val="32"/>
          <w:szCs w:val="32"/>
          <w:highlight w:val="none"/>
          <w:u w:val="none"/>
          <w:lang w:val="zh-CN" w:eastAsia="zh-CN" w:bidi="ar-SA"/>
        </w:rPr>
        <w:t>（二）推进工业园区“标准地”供应。项目进入工业园区可实行带建设工程设计方案供应，在不改变规划用地性质的前提下，产业用地类型可依法合理合规转换，推进混合产业用地供给。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sz w:val="32"/>
          <w:szCs w:val="32"/>
          <w:highlight w:val="none"/>
          <w:u w:val="none"/>
          <w:lang w:val="zh-CN" w:eastAsia="zh-CN" w:bidi="ar-SA"/>
        </w:rPr>
      </w:pPr>
      <w:r>
        <w:rPr>
          <w:rFonts w:hint="default" w:ascii="Times New Roman" w:hAnsi="Times New Roman" w:eastAsia="仿宋_GB2312" w:cs="Times New Roman"/>
          <w:bCs/>
          <w:color w:val="000000"/>
          <w:sz w:val="32"/>
          <w:szCs w:val="32"/>
          <w:highlight w:val="none"/>
          <w:u w:val="none"/>
          <w:lang w:val="zh-CN" w:eastAsia="zh-CN" w:bidi="ar-SA"/>
        </w:rPr>
        <w:t>（三）鼓励多层厂房建设。大力支持已取得土地使用权的企业，在不改变土地用途的前提下，为提高土地利用效率，改（扩）建多层厂房增加容积率的，不再补缴土地出让价款。</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sz w:val="32"/>
          <w:szCs w:val="32"/>
          <w:highlight w:val="none"/>
          <w:u w:val="none"/>
          <w:lang w:val="zh-CN" w:eastAsia="zh-CN" w:bidi="ar-SA"/>
        </w:rPr>
      </w:pPr>
      <w:r>
        <w:rPr>
          <w:rFonts w:hint="default" w:ascii="Times New Roman" w:hAnsi="Times New Roman" w:eastAsia="仿宋_GB2312" w:cs="Times New Roman"/>
          <w:bCs/>
          <w:color w:val="000000"/>
          <w:sz w:val="32"/>
          <w:szCs w:val="32"/>
          <w:highlight w:val="none"/>
          <w:u w:val="none"/>
          <w:lang w:val="zh-CN" w:eastAsia="zh-CN" w:bidi="ar-SA"/>
        </w:rPr>
        <w:t>（四）鼓励盘活存量建设用地。在符合规划、不改变用途的前提下，现有制造业企业调整用地结构增加服务型制造业务设施和经营场所，其建筑面积比例不超过原总建筑面积15%的，可继续按原用途使用土地。</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Cs w:val="0"/>
          <w:color w:val="000000"/>
          <w:sz w:val="32"/>
          <w:szCs w:val="32"/>
          <w:highlight w:val="none"/>
          <w:u w:val="none"/>
          <w:lang w:val="zh-CN" w:eastAsia="zh-CN" w:bidi="ar-SA"/>
        </w:rPr>
      </w:pPr>
      <w:r>
        <w:rPr>
          <w:rFonts w:hint="default" w:ascii="Times New Roman" w:hAnsi="Times New Roman" w:eastAsia="楷体_GB2312" w:cs="Times New Roman"/>
          <w:color w:val="000000"/>
          <w:sz w:val="32"/>
          <w:szCs w:val="32"/>
          <w:highlight w:val="none"/>
          <w:u w:val="none"/>
          <w:lang w:val="zh-CN" w:eastAsia="zh-CN" w:bidi="ar-SA"/>
        </w:rPr>
        <w:t xml:space="preserve">第九条 </w:t>
      </w:r>
      <w:r>
        <w:rPr>
          <w:rFonts w:hint="default" w:ascii="Times New Roman" w:hAnsi="Times New Roman" w:eastAsia="楷体_GB2312" w:cs="Times New Roman"/>
          <w:bCs w:val="0"/>
          <w:color w:val="000000"/>
          <w:sz w:val="32"/>
          <w:szCs w:val="32"/>
          <w:highlight w:val="none"/>
          <w:u w:val="none"/>
          <w:lang w:val="zh-CN" w:eastAsia="zh-CN" w:bidi="ar-SA"/>
        </w:rPr>
        <w:t xml:space="preserve"> 其他要素支持</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highlight w:val="none"/>
          <w:u w:val="none"/>
          <w:lang w:val="zh-CN" w:eastAsia="zh-CN"/>
        </w:rPr>
      </w:pPr>
      <w:r>
        <w:rPr>
          <w:rFonts w:hint="default" w:ascii="Times New Roman" w:hAnsi="Times New Roman" w:eastAsia="仿宋_GB2312" w:cs="Times New Roman"/>
          <w:bCs/>
          <w:color w:val="000000"/>
          <w:sz w:val="32"/>
          <w:szCs w:val="32"/>
          <w:highlight w:val="none"/>
          <w:u w:val="none"/>
          <w:lang w:val="zh-CN" w:eastAsia="zh-CN" w:bidi="ar-SA"/>
        </w:rPr>
        <w:t>园区内提供“七通一平”的工业用地，由政府统一规划并协调相关部门统一建设至项目用地红线处（“七通”为市政道路、雨水、污水、自来水、天然气、电力、电信，“一平”为场地平整）。制定“一企一策”用电方案，优化电力资源配置，帮助企业降低用电成本。</w:t>
      </w:r>
    </w:p>
    <w:p>
      <w:pPr>
        <w:keepNext w:val="0"/>
        <w:keepLines w:val="0"/>
        <w:pageBreakBefore w:val="0"/>
        <w:widowControl w:val="0"/>
        <w:suppressAutoHyphens/>
        <w:kinsoku/>
        <w:wordWrap/>
        <w:overflowPunct/>
        <w:topLinePunct w:val="0"/>
        <w:autoSpaceDE/>
        <w:autoSpaceDN/>
        <w:bidi w:val="0"/>
        <w:adjustRightInd/>
        <w:snapToGrid/>
        <w:spacing w:before="157" w:after="157" w:line="560" w:lineRule="exact"/>
        <w:ind w:firstLine="0" w:firstLineChars="0"/>
        <w:jc w:val="center"/>
        <w:textAlignment w:val="auto"/>
        <w:rPr>
          <w:rFonts w:hint="default" w:ascii="Times New Roman" w:hAnsi="Times New Roman" w:eastAsia="黑体" w:cs="Times New Roman"/>
          <w:bCs w:val="0"/>
          <w:color w:val="000000"/>
          <w:sz w:val="32"/>
          <w:szCs w:val="32"/>
          <w:highlight w:val="none"/>
          <w:u w:val="none"/>
          <w:lang w:val="zh-CN" w:eastAsia="zh-CN" w:bidi="ar-SA"/>
        </w:rPr>
      </w:pPr>
      <w:r>
        <w:rPr>
          <w:rFonts w:hint="default" w:ascii="Times New Roman" w:hAnsi="Times New Roman" w:eastAsia="黑体" w:cs="Times New Roman"/>
          <w:color w:val="000000"/>
          <w:sz w:val="32"/>
          <w:szCs w:val="32"/>
          <w:highlight w:val="none"/>
          <w:u w:val="none"/>
          <w:lang w:val="zh-CN" w:eastAsia="zh-CN" w:bidi="ar-SA"/>
        </w:rPr>
        <w:t>第四章</w:t>
      </w:r>
      <w:r>
        <w:rPr>
          <w:rFonts w:hint="default" w:ascii="Times New Roman" w:hAnsi="Times New Roman" w:eastAsia="黑体" w:cs="Times New Roman"/>
          <w:bCs w:val="0"/>
          <w:color w:val="000000"/>
          <w:sz w:val="32"/>
          <w:szCs w:val="32"/>
          <w:highlight w:val="none"/>
          <w:u w:val="none"/>
          <w:lang w:val="zh-CN" w:eastAsia="zh-CN" w:bidi="ar-SA"/>
        </w:rPr>
        <w:t xml:space="preserve">  服务保障</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Cs w:val="0"/>
          <w:color w:val="000000"/>
          <w:sz w:val="32"/>
          <w:szCs w:val="32"/>
          <w:highlight w:val="none"/>
          <w:u w:val="none"/>
          <w:lang w:val="zh-CN" w:eastAsia="zh-CN" w:bidi="ar-SA"/>
        </w:rPr>
      </w:pPr>
      <w:r>
        <w:rPr>
          <w:rFonts w:hint="default" w:ascii="Times New Roman" w:hAnsi="Times New Roman" w:eastAsia="楷体_GB2312" w:cs="Times New Roman"/>
          <w:bCs w:val="0"/>
          <w:color w:val="000000"/>
          <w:sz w:val="32"/>
          <w:szCs w:val="32"/>
          <w:highlight w:val="none"/>
          <w:u w:val="none"/>
          <w:lang w:val="zh-CN" w:eastAsia="zh-CN" w:bidi="ar-SA"/>
        </w:rPr>
        <w:t>第十条  组织保障</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sz w:val="32"/>
          <w:szCs w:val="32"/>
          <w:highlight w:val="none"/>
          <w:u w:val="none"/>
          <w:lang w:val="zh-CN" w:eastAsia="zh-CN" w:bidi="ar-SA"/>
        </w:rPr>
      </w:pPr>
      <w:r>
        <w:rPr>
          <w:rFonts w:hint="default" w:ascii="Times New Roman" w:hAnsi="Times New Roman" w:eastAsia="仿宋_GB2312" w:cs="Times New Roman"/>
          <w:bCs/>
          <w:color w:val="000000"/>
          <w:sz w:val="32"/>
          <w:szCs w:val="32"/>
          <w:highlight w:val="none"/>
          <w:u w:val="none"/>
          <w:lang w:val="zh-CN" w:eastAsia="zh-CN" w:bidi="ar-SA"/>
        </w:rPr>
        <w:t>对每个招商引资项目实行“四个一”服务推进机制（一名县级领导牵头、一个牵头部门主抓，一个责任人负责、一位具体工作人员经办），维护企业正常建设和生产经营秩序。</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Cs w:val="0"/>
          <w:color w:val="000000"/>
          <w:sz w:val="32"/>
          <w:szCs w:val="32"/>
          <w:highlight w:val="none"/>
          <w:u w:val="none"/>
          <w:lang w:val="zh-CN" w:eastAsia="zh-CN" w:bidi="ar-SA"/>
        </w:rPr>
      </w:pPr>
      <w:r>
        <w:rPr>
          <w:rFonts w:hint="default" w:ascii="Times New Roman" w:hAnsi="Times New Roman" w:eastAsia="楷体_GB2312" w:cs="Times New Roman"/>
          <w:bCs w:val="0"/>
          <w:color w:val="000000"/>
          <w:sz w:val="32"/>
          <w:szCs w:val="32"/>
          <w:highlight w:val="none"/>
          <w:u w:val="none"/>
          <w:lang w:val="zh-CN" w:eastAsia="zh-CN" w:bidi="ar-SA"/>
        </w:rPr>
        <w:t>第十一条  政务服务保障</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sz w:val="32"/>
          <w:szCs w:val="32"/>
          <w:highlight w:val="none"/>
          <w:u w:val="none"/>
          <w:lang w:val="zh-CN" w:eastAsia="zh-CN" w:bidi="ar-SA"/>
        </w:rPr>
      </w:pPr>
      <w:r>
        <w:rPr>
          <w:rFonts w:hint="default" w:ascii="Times New Roman" w:hAnsi="Times New Roman" w:eastAsia="仿宋_GB2312" w:cs="Times New Roman"/>
          <w:bCs/>
          <w:color w:val="000000"/>
          <w:sz w:val="32"/>
          <w:szCs w:val="32"/>
          <w:highlight w:val="none"/>
          <w:u w:val="none"/>
          <w:lang w:val="zh-CN" w:eastAsia="zh-CN" w:bidi="ar-SA"/>
        </w:rPr>
        <w:t>优化“企能办”服务平台，进一步压缩企业开办时间和成本，实行行政审批协办制度，对投资企业的用地、环保、工程等报建手续，实行全程跟踪协办服务。召开企业家恳谈会，开展营商环境“背靠背”直接评价，畅通营商环境投诉举报中心，倾力构建“亲”“清”政商关系。</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sz w:val="32"/>
          <w:szCs w:val="32"/>
          <w:highlight w:val="none"/>
          <w:u w:val="none"/>
          <w:lang w:val="en-US" w:eastAsia="zh-CN" w:bidi="ar-SA"/>
        </w:rPr>
      </w:pPr>
      <w:r>
        <w:rPr>
          <w:rFonts w:hint="default" w:ascii="Times New Roman" w:hAnsi="Times New Roman" w:eastAsia="楷体_GB2312" w:cs="Times New Roman"/>
          <w:bCs w:val="0"/>
          <w:color w:val="000000"/>
          <w:sz w:val="32"/>
          <w:szCs w:val="32"/>
          <w:highlight w:val="none"/>
          <w:u w:val="none"/>
          <w:lang w:val="zh-CN" w:eastAsia="zh-CN" w:bidi="ar-SA"/>
        </w:rPr>
        <w:t>第十二条  重点产业发展保障</w:t>
      </w:r>
      <w:r>
        <w:rPr>
          <w:rFonts w:hint="default" w:ascii="Times New Roman" w:hAnsi="Times New Roman" w:eastAsia="仿宋_GB2312" w:cs="Times New Roman"/>
          <w:bCs/>
          <w:color w:val="000000"/>
          <w:sz w:val="32"/>
          <w:szCs w:val="32"/>
          <w:highlight w:val="none"/>
          <w:u w:val="none"/>
          <w:lang w:val="en-US" w:eastAsia="zh-CN" w:bidi="ar-SA"/>
        </w:rPr>
        <w:t xml:space="preserve">  </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sz w:val="32"/>
          <w:szCs w:val="32"/>
          <w:highlight w:val="none"/>
          <w:u w:val="none"/>
          <w:lang w:val="zh-CN" w:eastAsia="zh-CN" w:bidi="ar-SA"/>
        </w:rPr>
      </w:pPr>
      <w:r>
        <w:rPr>
          <w:rFonts w:hint="default" w:ascii="Times New Roman" w:hAnsi="Times New Roman" w:eastAsia="仿宋_GB2312" w:cs="Times New Roman"/>
          <w:bCs/>
          <w:color w:val="000000"/>
          <w:sz w:val="32"/>
          <w:szCs w:val="32"/>
          <w:highlight w:val="none"/>
          <w:u w:val="none"/>
          <w:lang w:val="zh-CN" w:eastAsia="zh-CN" w:bidi="ar-SA"/>
        </w:rPr>
        <w:t>发挥好区级重点产业发展领导小组作用，负责重点产业发展要素保障综合协调，对重点产业项目建设选址、用地、环保、安评、节能、社会风险、水土保持、项目审批、施工许可、用水、用电用气、通讯、企业用工、项目融资等要素保障协调服务；负责各重点产业发展战略、规划及目标研究，组织编制各重点产业发展图谱，制定支持重点产业发展政策；负责各重点产业链重大项目谋划、招商引资、洽谈签约、落地建设、运营服务等；负责协调解决各重点产业发展要素保障和相关困难问题，为重点产业提供全生命周期、全产业链条、全方位服务保障。</w:t>
      </w:r>
    </w:p>
    <w:p>
      <w:pPr>
        <w:keepNext w:val="0"/>
        <w:keepLines w:val="0"/>
        <w:pageBreakBefore w:val="0"/>
        <w:widowControl w:val="0"/>
        <w:suppressAutoHyphens/>
        <w:kinsoku/>
        <w:wordWrap/>
        <w:overflowPunct/>
        <w:topLinePunct w:val="0"/>
        <w:autoSpaceDE/>
        <w:autoSpaceDN/>
        <w:bidi w:val="0"/>
        <w:adjustRightInd/>
        <w:snapToGrid/>
        <w:spacing w:before="157" w:after="157" w:line="560" w:lineRule="exact"/>
        <w:ind w:left="0" w:firstLine="0"/>
        <w:jc w:val="center"/>
        <w:textAlignment w:val="auto"/>
        <w:rPr>
          <w:rFonts w:hint="default" w:ascii="Times New Roman" w:hAnsi="Times New Roman" w:eastAsia="黑体" w:cs="Times New Roman"/>
          <w:color w:val="000000"/>
          <w:sz w:val="32"/>
          <w:szCs w:val="32"/>
          <w:highlight w:val="none"/>
          <w:u w:val="none"/>
          <w:lang w:val="en-US" w:eastAsia="zh-CN" w:bidi="ar-SA"/>
        </w:rPr>
      </w:pPr>
      <w:r>
        <w:rPr>
          <w:rFonts w:hint="default" w:ascii="Times New Roman" w:hAnsi="Times New Roman" w:eastAsia="黑体" w:cs="Times New Roman"/>
          <w:color w:val="000000"/>
          <w:sz w:val="32"/>
          <w:szCs w:val="32"/>
          <w:highlight w:val="none"/>
          <w:u w:val="none"/>
          <w:lang w:val="zh-CN" w:eastAsia="zh-CN" w:bidi="ar-SA"/>
        </w:rPr>
        <w:t>第五章</w:t>
      </w:r>
      <w:r>
        <w:rPr>
          <w:rFonts w:hint="default" w:ascii="Times New Roman" w:hAnsi="Times New Roman" w:eastAsia="黑体" w:cs="Times New Roman"/>
          <w:color w:val="000000"/>
          <w:sz w:val="32"/>
          <w:szCs w:val="32"/>
          <w:highlight w:val="none"/>
          <w:u w:val="none"/>
          <w:lang w:val="en-US" w:eastAsia="zh-CN" w:bidi="ar-SA"/>
        </w:rPr>
        <w:t xml:space="preserve"> 政策兑现</w:t>
      </w:r>
    </w:p>
    <w:p>
      <w:pPr>
        <w:keepNext w:val="0"/>
        <w:keepLines w:val="0"/>
        <w:pageBreakBefore w:val="0"/>
        <w:widowControl/>
        <w:suppressAutoHyphens/>
        <w:kinsoku/>
        <w:wordWrap/>
        <w:overflowPunct/>
        <w:topLinePunct w:val="0"/>
        <w:autoSpaceDE/>
        <w:autoSpaceDN/>
        <w:bidi w:val="0"/>
        <w:adjustRightInd/>
        <w:snapToGrid/>
        <w:spacing w:before="0" w:after="0" w:line="560" w:lineRule="exact"/>
        <w:ind w:left="0" w:firstLine="640" w:firstLineChars="200"/>
        <w:jc w:val="left"/>
        <w:textAlignment w:val="auto"/>
        <w:rPr>
          <w:rFonts w:hint="default" w:ascii="Times New Roman" w:hAnsi="Times New Roman" w:eastAsia="仿宋_GB2312" w:cs="Times New Roman"/>
          <w:color w:val="000000"/>
          <w:sz w:val="32"/>
          <w:szCs w:val="32"/>
          <w:highlight w:val="none"/>
          <w:u w:val="none"/>
          <w:lang w:val="zh-CN" w:eastAsia="zh-CN" w:bidi="ar-SA"/>
        </w:rPr>
      </w:pPr>
      <w:r>
        <w:rPr>
          <w:rFonts w:hint="default" w:ascii="Times New Roman" w:hAnsi="Times New Roman" w:eastAsia="楷体_GB2312" w:cs="Times New Roman"/>
          <w:color w:val="000000"/>
          <w:sz w:val="32"/>
          <w:szCs w:val="32"/>
          <w:highlight w:val="none"/>
          <w:u w:val="none"/>
          <w:lang w:val="zh-CN" w:eastAsia="zh-CN" w:bidi="ar-SA"/>
        </w:rPr>
        <w:t xml:space="preserve">第十三条 </w:t>
      </w:r>
      <w:r>
        <w:rPr>
          <w:rFonts w:hint="default" w:ascii="Times New Roman" w:hAnsi="Times New Roman" w:eastAsia="仿宋_GB2312" w:cs="Times New Roman"/>
          <w:color w:val="000000"/>
          <w:sz w:val="32"/>
          <w:szCs w:val="32"/>
          <w:highlight w:val="none"/>
          <w:u w:val="none"/>
          <w:lang w:val="en-US" w:eastAsia="zh-CN" w:bidi="ar-SA"/>
        </w:rPr>
        <w:t xml:space="preserve"> </w:t>
      </w:r>
      <w:r>
        <w:rPr>
          <w:rFonts w:hint="default" w:ascii="Times New Roman" w:hAnsi="Times New Roman" w:eastAsia="仿宋_GB2312" w:cs="Times New Roman"/>
          <w:color w:val="000000"/>
          <w:sz w:val="32"/>
          <w:szCs w:val="32"/>
          <w:highlight w:val="none"/>
          <w:u w:val="none"/>
          <w:lang w:val="zh-CN" w:eastAsia="zh-CN" w:bidi="ar-SA"/>
        </w:rPr>
        <w:t>严格投资项目合同制管理，与投资企业所签订的投资协议，要明确约定投资项目强度、内容、规模、进度和退出机制等，正式协议作为各类资源配置、优惠政策兑现的依据。政策兑现所依据的数据均须相关行业部门提供或认可，其中，</w:t>
      </w:r>
      <w:r>
        <w:rPr>
          <w:rFonts w:hint="default" w:ascii="Times New Roman" w:hAnsi="Times New Roman" w:eastAsia="仿宋_GB2312" w:cs="Times New Roman"/>
          <w:sz w:val="32"/>
          <w:szCs w:val="40"/>
          <w:highlight w:val="none"/>
          <w:u w:val="none"/>
          <w:lang w:eastAsia="zh-CN"/>
        </w:rPr>
        <w:t>企业提供的缴纳税金数据需经税务部门核实盖章</w:t>
      </w:r>
      <w:r>
        <w:rPr>
          <w:rFonts w:hint="default" w:ascii="Times New Roman" w:hAnsi="Times New Roman" w:eastAsia="仿宋_GB2312" w:cs="Times New Roman"/>
          <w:sz w:val="32"/>
          <w:szCs w:val="40"/>
          <w:highlight w:val="none"/>
          <w:u w:val="none"/>
        </w:rPr>
        <w:t>；固定资产投资额以财政、审计部门</w:t>
      </w:r>
      <w:r>
        <w:rPr>
          <w:rFonts w:hint="default" w:ascii="Times New Roman" w:hAnsi="Times New Roman" w:eastAsia="仿宋_GB2312" w:cs="Times New Roman"/>
          <w:sz w:val="32"/>
          <w:szCs w:val="40"/>
          <w:highlight w:val="none"/>
          <w:u w:val="none"/>
          <w:lang w:eastAsia="zh-CN"/>
        </w:rPr>
        <w:t>盖章认可或</w:t>
      </w:r>
      <w:r>
        <w:rPr>
          <w:rFonts w:hint="default" w:ascii="Times New Roman" w:hAnsi="Times New Roman" w:eastAsia="仿宋_GB2312" w:cs="Times New Roman"/>
          <w:sz w:val="32"/>
          <w:szCs w:val="40"/>
          <w:highlight w:val="none"/>
          <w:u w:val="none"/>
        </w:rPr>
        <w:t>第三方评估结论的数据为准；实际用地面积以自然资源部门盖章认可的数据为准。</w:t>
      </w:r>
    </w:p>
    <w:p>
      <w:pPr>
        <w:keepNext w:val="0"/>
        <w:keepLines w:val="0"/>
        <w:pageBreakBefore w:val="0"/>
        <w:widowControl w:val="0"/>
        <w:suppressAutoHyphens/>
        <w:kinsoku/>
        <w:wordWrap/>
        <w:overflowPunct/>
        <w:topLinePunct w:val="0"/>
        <w:autoSpaceDE/>
        <w:autoSpaceDN/>
        <w:bidi w:val="0"/>
        <w:adjustRightInd/>
        <w:snapToGrid/>
        <w:spacing w:before="0" w:after="0" w:line="560" w:lineRule="exact"/>
        <w:ind w:left="0" w:firstLine="640" w:firstLineChars="200"/>
        <w:jc w:val="both"/>
        <w:textAlignment w:val="auto"/>
        <w:rPr>
          <w:rFonts w:hint="default" w:ascii="Times New Roman" w:hAnsi="Times New Roman" w:eastAsia="黑体" w:cs="Times New Roman"/>
          <w:color w:val="000000"/>
          <w:sz w:val="32"/>
          <w:szCs w:val="32"/>
          <w:highlight w:val="none"/>
          <w:u w:val="none"/>
          <w:lang w:val="zh-CN" w:eastAsia="zh-CN" w:bidi="ar-SA"/>
        </w:rPr>
      </w:pPr>
      <w:r>
        <w:rPr>
          <w:rFonts w:hint="default" w:ascii="Times New Roman" w:hAnsi="Times New Roman" w:eastAsia="楷体_GB2312" w:cs="Times New Roman"/>
          <w:bCs w:val="0"/>
          <w:color w:val="000000"/>
          <w:sz w:val="32"/>
          <w:szCs w:val="32"/>
          <w:highlight w:val="none"/>
          <w:u w:val="none"/>
          <w:lang w:val="zh-CN" w:eastAsia="zh-CN" w:bidi="ar-SA"/>
        </w:rPr>
        <w:t>第十</w:t>
      </w:r>
      <w:r>
        <w:rPr>
          <w:rFonts w:hint="default" w:ascii="Times New Roman" w:hAnsi="Times New Roman" w:eastAsia="楷体_GB2312" w:cs="Times New Roman"/>
          <w:bCs w:val="0"/>
          <w:color w:val="000000"/>
          <w:sz w:val="32"/>
          <w:szCs w:val="32"/>
          <w:highlight w:val="none"/>
          <w:u w:val="none"/>
          <w:lang w:val="en-US" w:eastAsia="zh-CN" w:bidi="ar-SA"/>
        </w:rPr>
        <w:t>四</w:t>
      </w:r>
      <w:r>
        <w:rPr>
          <w:rFonts w:hint="default" w:ascii="Times New Roman" w:hAnsi="Times New Roman" w:eastAsia="楷体_GB2312" w:cs="Times New Roman"/>
          <w:bCs w:val="0"/>
          <w:color w:val="000000"/>
          <w:sz w:val="32"/>
          <w:szCs w:val="32"/>
          <w:highlight w:val="none"/>
          <w:u w:val="none"/>
          <w:lang w:val="zh-CN" w:eastAsia="zh-CN" w:bidi="ar-SA"/>
        </w:rPr>
        <w:t>条</w:t>
      </w:r>
      <w:r>
        <w:rPr>
          <w:rFonts w:hint="default" w:ascii="Times New Roman" w:hAnsi="Times New Roman" w:eastAsia="楷体_GB2312" w:cs="Times New Roman"/>
          <w:bCs w:val="0"/>
          <w:color w:val="000000"/>
          <w:sz w:val="32"/>
          <w:szCs w:val="32"/>
          <w:highlight w:val="none"/>
          <w:u w:val="none"/>
          <w:lang w:val="en-US" w:eastAsia="zh-CN" w:bidi="ar-SA"/>
        </w:rPr>
        <w:t xml:space="preserve">  </w:t>
      </w:r>
      <w:r>
        <w:rPr>
          <w:rFonts w:hint="default" w:ascii="Times New Roman" w:hAnsi="Times New Roman" w:eastAsia="仿宋_GB2312" w:cs="Times New Roman"/>
          <w:bCs/>
          <w:color w:val="000000"/>
          <w:sz w:val="32"/>
          <w:szCs w:val="32"/>
          <w:highlight w:val="none"/>
          <w:u w:val="none"/>
          <w:lang w:val="zh-CN" w:eastAsia="zh-CN" w:bidi="ar-SA"/>
        </w:rPr>
        <w:t>投资企业应享受的各项优惠政策，统一由“四个一”牵头部门负责，由企业向相应部门提交书面申请，</w:t>
      </w:r>
      <w:r>
        <w:rPr>
          <w:rFonts w:hint="default" w:ascii="Times New Roman" w:hAnsi="Times New Roman" w:eastAsia="仿宋_GB2312" w:cs="Times New Roman"/>
          <w:bCs/>
          <w:color w:val="000000"/>
          <w:sz w:val="32"/>
          <w:szCs w:val="32"/>
          <w:highlight w:val="none"/>
          <w:u w:val="none"/>
          <w:lang w:val="en-US" w:eastAsia="zh-CN" w:bidi="ar-SA"/>
        </w:rPr>
        <w:t>经</w:t>
      </w:r>
      <w:r>
        <w:rPr>
          <w:rFonts w:hint="default" w:ascii="Times New Roman" w:hAnsi="Times New Roman" w:eastAsia="仿宋_GB2312" w:cs="Times New Roman"/>
          <w:bCs/>
          <w:color w:val="000000"/>
          <w:sz w:val="32"/>
          <w:szCs w:val="32"/>
          <w:highlight w:val="none"/>
          <w:u w:val="none"/>
          <w:lang w:val="zh-CN" w:eastAsia="zh-CN" w:bidi="ar-SA"/>
        </w:rPr>
        <w:t>核实</w:t>
      </w:r>
      <w:r>
        <w:rPr>
          <w:rFonts w:hint="default" w:ascii="Times New Roman" w:hAnsi="Times New Roman" w:eastAsia="仿宋_GB2312" w:cs="Times New Roman"/>
          <w:bCs/>
          <w:color w:val="000000"/>
          <w:sz w:val="32"/>
          <w:szCs w:val="32"/>
          <w:highlight w:val="none"/>
          <w:u w:val="none"/>
          <w:lang w:val="en-US" w:eastAsia="zh-CN" w:bidi="ar-SA"/>
        </w:rPr>
        <w:t>后上</w:t>
      </w:r>
      <w:r>
        <w:rPr>
          <w:rFonts w:hint="default" w:ascii="Times New Roman" w:hAnsi="Times New Roman" w:eastAsia="仿宋_GB2312" w:cs="Times New Roman"/>
          <w:bCs/>
          <w:color w:val="000000"/>
          <w:sz w:val="32"/>
          <w:szCs w:val="32"/>
          <w:highlight w:val="none"/>
          <w:u w:val="none"/>
          <w:lang w:val="zh-CN" w:eastAsia="zh-CN" w:bidi="ar-SA"/>
        </w:rPr>
        <w:t>报区政府审核同意，</w:t>
      </w:r>
      <w:r>
        <w:rPr>
          <w:rFonts w:hint="default" w:ascii="Times New Roman" w:hAnsi="Times New Roman" w:eastAsia="仿宋_GB2312" w:cs="Times New Roman"/>
          <w:bCs/>
          <w:color w:val="000000"/>
          <w:sz w:val="32"/>
          <w:szCs w:val="32"/>
          <w:highlight w:val="none"/>
          <w:u w:val="none"/>
          <w:lang w:val="en-US" w:eastAsia="zh-CN" w:bidi="ar-SA"/>
        </w:rPr>
        <w:t>并</w:t>
      </w:r>
      <w:r>
        <w:rPr>
          <w:rFonts w:hint="default" w:ascii="Times New Roman" w:hAnsi="Times New Roman" w:eastAsia="仿宋_GB2312" w:cs="Times New Roman"/>
          <w:bCs/>
          <w:color w:val="000000"/>
          <w:sz w:val="32"/>
          <w:szCs w:val="32"/>
          <w:highlight w:val="none"/>
          <w:u w:val="none"/>
          <w:lang w:val="zh-CN" w:eastAsia="zh-CN" w:bidi="ar-SA"/>
        </w:rPr>
        <w:t>按程序进行兑现。</w:t>
      </w:r>
    </w:p>
    <w:p>
      <w:pPr>
        <w:keepNext w:val="0"/>
        <w:keepLines w:val="0"/>
        <w:pageBreakBefore w:val="0"/>
        <w:widowControl w:val="0"/>
        <w:suppressAutoHyphens/>
        <w:kinsoku/>
        <w:wordWrap/>
        <w:overflowPunct/>
        <w:topLinePunct w:val="0"/>
        <w:autoSpaceDE/>
        <w:autoSpaceDN/>
        <w:bidi w:val="0"/>
        <w:adjustRightInd/>
        <w:snapToGrid/>
        <w:spacing w:before="0" w:after="0" w:line="560" w:lineRule="exact"/>
        <w:ind w:left="0" w:firstLine="640" w:firstLineChars="200"/>
        <w:jc w:val="both"/>
        <w:textAlignment w:val="auto"/>
        <w:rPr>
          <w:rFonts w:hint="default" w:ascii="Times New Roman" w:hAnsi="Times New Roman" w:eastAsia="仿宋_GB2312" w:cs="Times New Roman"/>
          <w:color w:val="000000"/>
          <w:kern w:val="2"/>
          <w:sz w:val="32"/>
          <w:szCs w:val="32"/>
          <w:highlight w:val="none"/>
          <w:u w:val="none"/>
          <w:lang w:val="zh-CN" w:eastAsia="zh-CN" w:bidi="ar-SA"/>
        </w:rPr>
      </w:pPr>
      <w:r>
        <w:rPr>
          <w:rFonts w:hint="default" w:ascii="Times New Roman" w:hAnsi="Times New Roman" w:eastAsia="楷体_GB2312" w:cs="Times New Roman"/>
          <w:color w:val="000000"/>
          <w:kern w:val="2"/>
          <w:sz w:val="32"/>
          <w:szCs w:val="32"/>
          <w:highlight w:val="none"/>
          <w:u w:val="none"/>
          <w:lang w:val="zh-CN" w:eastAsia="zh-CN" w:bidi="ar-SA"/>
        </w:rPr>
        <w:t>第十五条</w:t>
      </w:r>
      <w:r>
        <w:rPr>
          <w:rFonts w:hint="default" w:ascii="Times New Roman" w:hAnsi="Times New Roman" w:eastAsia="仿宋_GB2312" w:cs="Times New Roman"/>
          <w:color w:val="000000"/>
          <w:kern w:val="2"/>
          <w:sz w:val="32"/>
          <w:szCs w:val="32"/>
          <w:highlight w:val="none"/>
          <w:u w:val="none"/>
          <w:lang w:val="en-US" w:eastAsia="zh-CN" w:bidi="ar-SA"/>
        </w:rPr>
        <w:t xml:space="preserve">  </w:t>
      </w:r>
      <w:r>
        <w:rPr>
          <w:rFonts w:hint="default" w:ascii="Times New Roman" w:hAnsi="Times New Roman" w:eastAsia="仿宋_GB2312" w:cs="Times New Roman"/>
          <w:color w:val="000000"/>
          <w:kern w:val="2"/>
          <w:sz w:val="32"/>
          <w:szCs w:val="32"/>
          <w:highlight w:val="none"/>
          <w:u w:val="none"/>
          <w:lang w:val="zh-CN" w:eastAsia="zh-CN" w:bidi="ar-SA"/>
        </w:rPr>
        <w:t>将优惠政策兑现情况纳入优化营商环境工作考核内容。</w:t>
      </w:r>
      <w:r>
        <w:rPr>
          <w:rFonts w:hint="default" w:ascii="Times New Roman" w:hAnsi="Times New Roman" w:eastAsia="仿宋_GB2312" w:cs="Times New Roman"/>
          <w:color w:val="000000"/>
          <w:kern w:val="2"/>
          <w:sz w:val="32"/>
          <w:szCs w:val="32"/>
          <w:highlight w:val="none"/>
          <w:u w:val="none"/>
          <w:lang w:val="en-US" w:eastAsia="zh-CN" w:bidi="ar-SA"/>
        </w:rPr>
        <w:t>区</w:t>
      </w:r>
      <w:r>
        <w:rPr>
          <w:rFonts w:hint="default" w:ascii="Times New Roman" w:hAnsi="Times New Roman" w:eastAsia="仿宋_GB2312" w:cs="Times New Roman"/>
          <w:color w:val="000000"/>
          <w:kern w:val="2"/>
          <w:sz w:val="32"/>
          <w:szCs w:val="32"/>
          <w:highlight w:val="none"/>
          <w:u w:val="none"/>
          <w:lang w:val="zh-CN" w:eastAsia="zh-CN" w:bidi="ar-SA"/>
        </w:rPr>
        <w:t>投资促进委员会办公室每半年对优惠政策兑现</w:t>
      </w:r>
      <w:r>
        <w:rPr>
          <w:rFonts w:hint="default" w:ascii="Times New Roman" w:hAnsi="Times New Roman" w:eastAsia="仿宋_GB2312" w:cs="Times New Roman"/>
          <w:color w:val="000000"/>
          <w:kern w:val="2"/>
          <w:sz w:val="32"/>
          <w:szCs w:val="32"/>
          <w:highlight w:val="none"/>
          <w:u w:val="none"/>
          <w:lang w:val="en-US" w:eastAsia="zh-CN" w:bidi="ar-SA"/>
        </w:rPr>
        <w:t>和企业履约</w:t>
      </w:r>
      <w:r>
        <w:rPr>
          <w:rFonts w:hint="default" w:ascii="Times New Roman" w:hAnsi="Times New Roman" w:eastAsia="仿宋_GB2312" w:cs="Times New Roman"/>
          <w:color w:val="000000"/>
          <w:kern w:val="2"/>
          <w:sz w:val="32"/>
          <w:szCs w:val="32"/>
          <w:highlight w:val="none"/>
          <w:u w:val="none"/>
          <w:lang w:val="zh-CN" w:eastAsia="zh-CN" w:bidi="ar-SA"/>
        </w:rPr>
        <w:t>情况进行</w:t>
      </w:r>
      <w:r>
        <w:rPr>
          <w:rFonts w:hint="default" w:ascii="Times New Roman" w:hAnsi="Times New Roman" w:eastAsia="仿宋_GB2312" w:cs="Times New Roman"/>
          <w:color w:val="000000"/>
          <w:kern w:val="2"/>
          <w:sz w:val="32"/>
          <w:szCs w:val="32"/>
          <w:highlight w:val="none"/>
          <w:u w:val="none"/>
          <w:lang w:val="en-US" w:eastAsia="zh-CN" w:bidi="ar-SA"/>
        </w:rPr>
        <w:t>核实</w:t>
      </w:r>
      <w:r>
        <w:rPr>
          <w:rFonts w:hint="default" w:ascii="Times New Roman" w:hAnsi="Times New Roman" w:eastAsia="仿宋_GB2312" w:cs="Times New Roman"/>
          <w:color w:val="000000"/>
          <w:kern w:val="2"/>
          <w:sz w:val="32"/>
          <w:szCs w:val="32"/>
          <w:highlight w:val="none"/>
          <w:u w:val="none"/>
          <w:lang w:val="zh-CN" w:eastAsia="zh-CN" w:bidi="ar-SA"/>
        </w:rPr>
        <w:t>，对未按合同约定</w:t>
      </w:r>
      <w:r>
        <w:rPr>
          <w:rFonts w:hint="default" w:ascii="Times New Roman" w:hAnsi="Times New Roman" w:eastAsia="仿宋_GB2312" w:cs="Times New Roman"/>
          <w:color w:val="000000"/>
          <w:kern w:val="2"/>
          <w:sz w:val="32"/>
          <w:szCs w:val="32"/>
          <w:highlight w:val="none"/>
          <w:u w:val="none"/>
          <w:lang w:val="en-US" w:eastAsia="zh-CN" w:bidi="ar-SA"/>
        </w:rPr>
        <w:t>履约</w:t>
      </w:r>
      <w:r>
        <w:rPr>
          <w:rFonts w:hint="default" w:ascii="Times New Roman" w:hAnsi="Times New Roman" w:eastAsia="仿宋_GB2312" w:cs="Times New Roman"/>
          <w:color w:val="000000"/>
          <w:kern w:val="2"/>
          <w:sz w:val="32"/>
          <w:szCs w:val="32"/>
          <w:highlight w:val="none"/>
          <w:u w:val="none"/>
          <w:lang w:val="zh-CN" w:eastAsia="zh-CN" w:bidi="ar-SA"/>
        </w:rPr>
        <w:t>的，限时督办，确保</w:t>
      </w:r>
      <w:r>
        <w:rPr>
          <w:rFonts w:hint="default" w:ascii="Times New Roman" w:hAnsi="Times New Roman" w:eastAsia="仿宋_GB2312" w:cs="Times New Roman"/>
          <w:color w:val="000000"/>
          <w:kern w:val="2"/>
          <w:sz w:val="32"/>
          <w:szCs w:val="32"/>
          <w:highlight w:val="none"/>
          <w:u w:val="none"/>
          <w:lang w:val="en-US" w:eastAsia="zh-CN" w:bidi="ar-SA"/>
        </w:rPr>
        <w:t>严格按照协议约定落到实处</w:t>
      </w:r>
      <w:r>
        <w:rPr>
          <w:rFonts w:hint="default" w:ascii="Times New Roman" w:hAnsi="Times New Roman" w:eastAsia="仿宋_GB2312" w:cs="Times New Roman"/>
          <w:color w:val="000000"/>
          <w:kern w:val="2"/>
          <w:sz w:val="32"/>
          <w:szCs w:val="32"/>
          <w:highlight w:val="none"/>
          <w:u w:val="none"/>
          <w:lang w:val="zh-CN" w:eastAsia="zh-CN" w:bidi="ar-SA"/>
        </w:rPr>
        <w:t>。</w:t>
      </w:r>
    </w:p>
    <w:p>
      <w:pPr>
        <w:keepNext w:val="0"/>
        <w:keepLines w:val="0"/>
        <w:pageBreakBefore w:val="0"/>
        <w:widowControl w:val="0"/>
        <w:suppressAutoHyphens/>
        <w:kinsoku/>
        <w:wordWrap/>
        <w:overflowPunct/>
        <w:topLinePunct w:val="0"/>
        <w:autoSpaceDE/>
        <w:autoSpaceDN/>
        <w:bidi w:val="0"/>
        <w:adjustRightInd/>
        <w:snapToGrid/>
        <w:spacing w:before="157" w:after="157" w:line="560" w:lineRule="exact"/>
        <w:ind w:left="0" w:firstLine="0"/>
        <w:jc w:val="center"/>
        <w:textAlignment w:val="auto"/>
        <w:rPr>
          <w:rFonts w:hint="default" w:ascii="Times New Roman" w:hAnsi="Times New Roman" w:eastAsia="黑体" w:cs="Times New Roman"/>
          <w:color w:val="000000"/>
          <w:sz w:val="32"/>
          <w:szCs w:val="32"/>
          <w:highlight w:val="none"/>
          <w:u w:val="none"/>
          <w:lang w:val="en-US" w:eastAsia="zh-CN" w:bidi="ar-SA"/>
        </w:rPr>
      </w:pPr>
      <w:r>
        <w:rPr>
          <w:rFonts w:hint="default" w:ascii="Times New Roman" w:hAnsi="Times New Roman" w:eastAsia="黑体" w:cs="Times New Roman"/>
          <w:color w:val="000000"/>
          <w:sz w:val="32"/>
          <w:szCs w:val="32"/>
          <w:highlight w:val="none"/>
          <w:u w:val="none"/>
          <w:lang w:val="zh-CN" w:eastAsia="zh-CN" w:bidi="ar-SA"/>
        </w:rPr>
        <w:t>第六章</w:t>
      </w:r>
      <w:r>
        <w:rPr>
          <w:rFonts w:hint="default" w:ascii="Times New Roman" w:hAnsi="Times New Roman" w:eastAsia="黑体" w:cs="Times New Roman"/>
          <w:color w:val="000000"/>
          <w:sz w:val="32"/>
          <w:szCs w:val="32"/>
          <w:highlight w:val="none"/>
          <w:u w:val="none"/>
          <w:lang w:val="en-US" w:eastAsia="zh-CN" w:bidi="ar-SA"/>
        </w:rPr>
        <w:t xml:space="preserve"> 附    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sz w:val="32"/>
          <w:szCs w:val="32"/>
          <w:highlight w:val="none"/>
          <w:u w:val="none"/>
          <w:lang w:val="en-US" w:eastAsia="zh-CN" w:bidi="ar-SA"/>
        </w:rPr>
      </w:pPr>
      <w:r>
        <w:rPr>
          <w:rFonts w:hint="default" w:ascii="Times New Roman" w:hAnsi="Times New Roman" w:eastAsia="楷体_GB2312" w:cs="Times New Roman"/>
          <w:color w:val="000000"/>
          <w:sz w:val="32"/>
          <w:szCs w:val="32"/>
          <w:highlight w:val="none"/>
          <w:u w:val="none"/>
          <w:lang w:val="en-US" w:eastAsia="zh-CN" w:bidi="ar-SA"/>
        </w:rPr>
        <w:t>第十六条</w:t>
      </w:r>
      <w:r>
        <w:rPr>
          <w:rFonts w:hint="default" w:ascii="Times New Roman" w:hAnsi="Times New Roman" w:eastAsia="仿宋_GB2312" w:cs="Times New Roman"/>
          <w:bCs/>
          <w:color w:val="000000"/>
          <w:sz w:val="32"/>
          <w:szCs w:val="32"/>
          <w:highlight w:val="none"/>
          <w:u w:val="none"/>
          <w:lang w:val="zh-CN" w:eastAsia="zh-CN" w:bidi="ar-SA"/>
        </w:rPr>
        <w:t xml:space="preserve">  入驻家居产业城、食品产业园</w:t>
      </w:r>
      <w:r>
        <w:rPr>
          <w:rFonts w:hint="eastAsia" w:ascii="Times New Roman" w:hAnsi="Times New Roman" w:eastAsia="仿宋_GB2312" w:cs="Times New Roman"/>
          <w:bCs/>
          <w:color w:val="000000"/>
          <w:sz w:val="32"/>
          <w:szCs w:val="32"/>
          <w:highlight w:val="none"/>
          <w:u w:val="none"/>
          <w:lang w:val="zh-CN" w:eastAsia="zh-CN" w:bidi="ar-SA"/>
        </w:rPr>
        <w:t>、元柳工业园</w:t>
      </w:r>
      <w:r>
        <w:rPr>
          <w:rFonts w:hint="default" w:ascii="Times New Roman" w:hAnsi="Times New Roman" w:eastAsia="仿宋_GB2312" w:cs="Times New Roman"/>
          <w:bCs/>
          <w:color w:val="000000"/>
          <w:sz w:val="32"/>
          <w:szCs w:val="32"/>
          <w:highlight w:val="none"/>
          <w:u w:val="none"/>
          <w:lang w:val="zh-CN" w:eastAsia="zh-CN" w:bidi="ar-SA"/>
        </w:rPr>
        <w:t>等园区的项目需符合园区产业规划，符合环境保护有关要求，独立供地的工业用地项目需符合《广元市昭化区工业用地“标准地”控制性指标指导意见》相关要求。</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sz w:val="32"/>
          <w:szCs w:val="32"/>
          <w:highlight w:val="none"/>
          <w:u w:val="none"/>
          <w:lang w:val="zh-CN" w:eastAsia="zh-CN" w:bidi="ar-SA"/>
        </w:rPr>
      </w:pPr>
      <w:r>
        <w:rPr>
          <w:rFonts w:hint="default" w:ascii="Times New Roman" w:hAnsi="Times New Roman" w:eastAsia="楷体_GB2312" w:cs="Times New Roman"/>
          <w:bCs w:val="0"/>
          <w:color w:val="000000"/>
          <w:sz w:val="32"/>
          <w:szCs w:val="32"/>
          <w:highlight w:val="none"/>
          <w:u w:val="none"/>
          <w:lang w:val="en-US" w:eastAsia="zh-CN" w:bidi="ar-SA"/>
        </w:rPr>
        <w:t xml:space="preserve">第十七条  </w:t>
      </w:r>
      <w:r>
        <w:rPr>
          <w:rFonts w:hint="default" w:ascii="Times New Roman" w:hAnsi="Times New Roman" w:eastAsia="仿宋_GB2312" w:cs="Times New Roman"/>
          <w:bCs/>
          <w:color w:val="000000"/>
          <w:sz w:val="32"/>
          <w:szCs w:val="32"/>
          <w:highlight w:val="none"/>
          <w:u w:val="none"/>
          <w:lang w:val="zh-CN" w:eastAsia="zh-CN" w:bidi="ar-SA"/>
        </w:rPr>
        <w:t>企业具体享受政策以投资协议约定为准。国家、省、市另有政策规定的，从其规定，如遇国家、省、市重大政策调整的，从其规定。本政策与国家、省、市其他奖励及优惠政策重叠的，按照从高但不重复享受原则执行。</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sz w:val="32"/>
          <w:szCs w:val="32"/>
          <w:highlight w:val="none"/>
          <w:u w:val="none"/>
          <w:lang w:val="zh-CN" w:eastAsia="zh-CN" w:bidi="ar-SA"/>
        </w:rPr>
      </w:pPr>
      <w:r>
        <w:rPr>
          <w:rFonts w:hint="default" w:ascii="Times New Roman" w:hAnsi="Times New Roman" w:eastAsia="楷体_GB2312" w:cs="Times New Roman"/>
          <w:color w:val="000000"/>
          <w:sz w:val="32"/>
          <w:szCs w:val="32"/>
          <w:highlight w:val="none"/>
          <w:u w:val="none"/>
          <w:lang w:val="en-US" w:eastAsia="zh-CN" w:bidi="ar-SA"/>
        </w:rPr>
        <w:t>第十八条</w:t>
      </w:r>
      <w:r>
        <w:rPr>
          <w:rFonts w:hint="default" w:ascii="Times New Roman" w:hAnsi="Times New Roman" w:eastAsia="仿宋_GB2312" w:cs="Times New Roman"/>
          <w:bCs/>
          <w:color w:val="000000"/>
          <w:sz w:val="32"/>
          <w:szCs w:val="32"/>
          <w:highlight w:val="none"/>
          <w:u w:val="none"/>
          <w:lang w:val="zh-CN" w:eastAsia="zh-CN" w:bidi="ar-SA"/>
        </w:rPr>
        <w:t xml:space="preserve">  对新引进的世界500强、中国500强、民企500强、央企、上市公司、具有品牌影响力的企业和重、特大产业项目，实行“一事一议”、“一企一策”。</w:t>
      </w:r>
    </w:p>
    <w:p>
      <w:pPr>
        <w:keepNext w:val="0"/>
        <w:keepLines w:val="0"/>
        <w:pageBreakBefore w:val="0"/>
        <w:widowControl w:val="0"/>
        <w:suppressAutoHyphens/>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Cs/>
          <w:color w:val="000000"/>
          <w:sz w:val="32"/>
          <w:szCs w:val="32"/>
          <w:u w:val="single"/>
          <w:lang w:val="zh-CN" w:eastAsia="zh-CN" w:bidi="ar-SA"/>
        </w:rPr>
      </w:pPr>
      <w:r>
        <w:rPr>
          <w:rFonts w:hint="default" w:ascii="Times New Roman" w:hAnsi="Times New Roman" w:eastAsia="楷体_GB2312" w:cs="Times New Roman"/>
          <w:color w:val="000000"/>
          <w:sz w:val="32"/>
          <w:szCs w:val="32"/>
          <w:highlight w:val="none"/>
          <w:u w:val="none"/>
          <w:lang w:val="en-US" w:eastAsia="zh-CN" w:bidi="ar-SA"/>
        </w:rPr>
        <w:t>第十九条</w:t>
      </w:r>
      <w:r>
        <w:rPr>
          <w:rFonts w:hint="default" w:ascii="Times New Roman" w:hAnsi="Times New Roman" w:eastAsia="楷体_GB2312" w:cs="Times New Roman"/>
          <w:bCs w:val="0"/>
          <w:color w:val="000000"/>
          <w:sz w:val="32"/>
          <w:szCs w:val="32"/>
          <w:highlight w:val="none"/>
          <w:u w:val="none"/>
          <w:lang w:val="en-US" w:eastAsia="zh-CN" w:bidi="ar-SA"/>
        </w:rPr>
        <w:t xml:space="preserve"> </w:t>
      </w:r>
      <w:r>
        <w:rPr>
          <w:rFonts w:hint="default" w:ascii="Times New Roman" w:hAnsi="Times New Roman" w:eastAsia="仿宋_GB2312" w:cs="Times New Roman"/>
          <w:bCs/>
          <w:color w:val="000000"/>
          <w:sz w:val="32"/>
          <w:szCs w:val="32"/>
          <w:highlight w:val="none"/>
          <w:u w:val="none"/>
          <w:lang w:val="zh-CN" w:eastAsia="zh-CN" w:bidi="ar-SA"/>
        </w:rPr>
        <w:t xml:space="preserve"> 本政策自发布之日起施行，</w:t>
      </w:r>
      <w:r>
        <w:rPr>
          <w:rFonts w:hint="default" w:ascii="Times New Roman" w:hAnsi="Times New Roman" w:eastAsia="仿宋_GB2312" w:cs="Times New Roman"/>
          <w:bCs/>
          <w:color w:val="000000"/>
          <w:sz w:val="32"/>
          <w:szCs w:val="32"/>
          <w:highlight w:val="none"/>
          <w:u w:val="single"/>
          <w:lang w:val="zh-CN" w:eastAsia="zh-CN" w:bidi="ar-SA"/>
        </w:rPr>
        <w:t>有效期至202*年**月</w:t>
      </w:r>
      <w:r>
        <w:rPr>
          <w:rFonts w:hint="default" w:ascii="Times New Roman" w:hAnsi="Times New Roman" w:eastAsia="仿宋_GB2312" w:cs="Times New Roman"/>
          <w:bCs/>
          <w:color w:val="000000"/>
          <w:sz w:val="32"/>
          <w:szCs w:val="32"/>
          <w:highlight w:val="none"/>
          <w:u w:val="none"/>
          <w:lang w:val="zh-CN" w:eastAsia="zh-CN" w:bidi="ar-SA"/>
        </w:rPr>
        <w:t>，由区投资促进委员会办公室（区经济合作和外事中心）负责解释。</w:t>
      </w:r>
      <w:r>
        <w:rPr>
          <w:rFonts w:hint="default" w:ascii="Times New Roman" w:hAnsi="Times New Roman" w:eastAsia="仿宋_GB2312" w:cs="Times New Roman"/>
          <w:bCs/>
          <w:color w:val="000000"/>
          <w:sz w:val="32"/>
          <w:szCs w:val="32"/>
          <w:highlight w:val="none"/>
          <w:u w:val="single"/>
          <w:lang w:val="zh-CN" w:eastAsia="zh-CN" w:bidi="ar-SA"/>
        </w:rPr>
        <w:t>原有</w:t>
      </w:r>
      <w:r>
        <w:rPr>
          <w:rFonts w:hint="eastAsia" w:ascii="Times New Roman" w:hAnsi="Times New Roman" w:eastAsia="仿宋_GB2312" w:cs="Times New Roman"/>
          <w:bCs/>
          <w:color w:val="000000"/>
          <w:sz w:val="32"/>
          <w:szCs w:val="32"/>
          <w:highlight w:val="none"/>
          <w:u w:val="single"/>
          <w:lang w:val="zh-CN" w:eastAsia="zh-CN" w:bidi="ar-SA"/>
        </w:rPr>
        <w:t>昭化区</w:t>
      </w:r>
      <w:r>
        <w:rPr>
          <w:rFonts w:hint="default" w:ascii="Times New Roman" w:hAnsi="Times New Roman" w:eastAsia="仿宋_GB2312" w:cs="Times New Roman"/>
          <w:bCs/>
          <w:color w:val="000000"/>
          <w:sz w:val="32"/>
          <w:szCs w:val="32"/>
          <w:highlight w:val="none"/>
          <w:u w:val="single"/>
          <w:lang w:val="zh-CN" w:eastAsia="zh-CN" w:bidi="ar-SA"/>
        </w:rPr>
        <w:t>相关招商引资优惠政策同步</w:t>
      </w:r>
      <w:r>
        <w:rPr>
          <w:rFonts w:hint="default" w:ascii="Times New Roman" w:hAnsi="Times New Roman" w:eastAsia="仿宋_GB2312" w:cs="Times New Roman"/>
          <w:bCs/>
          <w:color w:val="000000"/>
          <w:sz w:val="32"/>
          <w:szCs w:val="32"/>
          <w:u w:val="single"/>
          <w:lang w:val="zh-CN" w:eastAsia="zh-CN" w:bidi="ar-SA"/>
        </w:rPr>
        <w:t>予以废止。</w:t>
      </w:r>
    </w:p>
    <w:p>
      <w:pPr>
        <w:pStyle w:val="13"/>
        <w:ind w:firstLine="640" w:firstLineChars="200"/>
        <w:jc w:val="both"/>
        <w:rPr>
          <w:rFonts w:hint="default" w:ascii="Times New Roman" w:hAnsi="Times New Roman" w:eastAsia="仿宋_GB2312" w:cs="Times New Roman"/>
          <w:bCs/>
          <w:color w:val="000000"/>
          <w:sz w:val="32"/>
          <w:szCs w:val="32"/>
          <w:u w:val="single"/>
          <w:lang w:val="zh-CN" w:eastAsia="zh-CN" w:bidi="ar-SA"/>
        </w:rPr>
      </w:pPr>
    </w:p>
    <w:p>
      <w:pPr>
        <w:pStyle w:val="13"/>
        <w:ind w:firstLine="640" w:firstLineChars="200"/>
        <w:jc w:val="both"/>
        <w:rPr>
          <w:rFonts w:hint="default" w:ascii="Times New Roman" w:hAnsi="Times New Roman" w:eastAsia="仿宋_GB2312" w:cs="Times New Roman"/>
          <w:bCs/>
          <w:color w:val="000000"/>
          <w:sz w:val="32"/>
          <w:szCs w:val="32"/>
          <w:u w:val="single"/>
          <w:lang w:val="en-US" w:eastAsia="zh-CN" w:bidi="ar-SA"/>
        </w:rPr>
      </w:pPr>
      <w:r>
        <w:rPr>
          <w:rFonts w:hint="default" w:ascii="Times New Roman" w:hAnsi="Times New Roman" w:eastAsia="仿宋_GB2312" w:cs="Times New Roman"/>
          <w:bCs/>
          <w:color w:val="000000"/>
          <w:sz w:val="32"/>
          <w:szCs w:val="32"/>
          <w:u w:val="single"/>
          <w:lang w:val="zh-CN" w:eastAsia="zh-CN" w:bidi="ar-SA"/>
        </w:rPr>
        <w:t>附件：</w:t>
      </w:r>
      <w:r>
        <w:rPr>
          <w:rFonts w:hint="default" w:ascii="Times New Roman" w:hAnsi="Times New Roman" w:eastAsia="仿宋_GB2312" w:cs="Times New Roman"/>
          <w:bCs/>
          <w:color w:val="000000"/>
          <w:sz w:val="32"/>
          <w:szCs w:val="32"/>
          <w:u w:val="single"/>
          <w:lang w:val="en-US" w:eastAsia="zh-CN" w:bidi="ar-SA"/>
        </w:rPr>
        <w:t>1.产业园区相关租赁和物业费用指导价格表</w:t>
      </w:r>
    </w:p>
    <w:p>
      <w:pPr>
        <w:rPr>
          <w:rFonts w:hint="default" w:ascii="Times New Roman" w:hAnsi="Times New Roman" w:cs="Times New Roman"/>
          <w:lang w:val="en-US" w:eastAsia="zh-CN"/>
        </w:rPr>
      </w:pPr>
      <w:r>
        <w:rPr>
          <w:rFonts w:hint="default" w:ascii="Times New Roman" w:hAnsi="Times New Roman" w:eastAsia="仿宋_GB2312" w:cs="Times New Roman"/>
          <w:bCs/>
          <w:color w:val="000000"/>
          <w:sz w:val="32"/>
          <w:szCs w:val="32"/>
          <w:u w:val="none"/>
          <w:lang w:val="en-US" w:eastAsia="zh-CN" w:bidi="ar-SA"/>
        </w:rPr>
        <w:t xml:space="preserve">          </w:t>
      </w:r>
      <w:r>
        <w:rPr>
          <w:rFonts w:hint="default" w:ascii="Times New Roman" w:hAnsi="Times New Roman" w:eastAsia="仿宋_GB2312" w:cs="Times New Roman"/>
          <w:bCs/>
          <w:color w:val="000000"/>
          <w:sz w:val="32"/>
          <w:szCs w:val="32"/>
          <w:u w:val="single"/>
          <w:lang w:val="en-US" w:eastAsia="zh-CN" w:bidi="ar-SA"/>
        </w:rPr>
        <w:t>2.相关生产要素价格表</w:t>
      </w:r>
    </w:p>
    <w:p>
      <w:pPr>
        <w:pStyle w:val="13"/>
        <w:ind w:firstLine="640" w:firstLineChars="200"/>
        <w:jc w:val="both"/>
        <w:rPr>
          <w:rFonts w:hint="default" w:ascii="Times New Roman" w:hAnsi="Times New Roman" w:eastAsia="仿宋_GB2312" w:cs="Times New Roman"/>
          <w:bCs/>
          <w:color w:val="000000"/>
          <w:sz w:val="32"/>
          <w:szCs w:val="32"/>
          <w:u w:val="single"/>
          <w:lang w:val="en-US" w:eastAsia="zh-CN" w:bidi="ar-SA"/>
        </w:rPr>
      </w:pPr>
    </w:p>
    <w:p>
      <w:pPr>
        <w:pStyle w:val="13"/>
        <w:ind w:firstLine="640" w:firstLineChars="200"/>
        <w:jc w:val="both"/>
        <w:rPr>
          <w:rFonts w:hint="default" w:ascii="Times New Roman" w:hAnsi="Times New Roman" w:eastAsia="仿宋_GB2312" w:cs="Times New Roman"/>
          <w:bCs/>
          <w:color w:val="000000"/>
          <w:sz w:val="32"/>
          <w:szCs w:val="32"/>
          <w:u w:val="single"/>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before="157" w:after="157" w:line="560" w:lineRule="exact"/>
        <w:ind w:left="0" w:firstLine="0"/>
        <w:jc w:val="left"/>
        <w:textAlignment w:val="auto"/>
        <w:rPr>
          <w:rFonts w:hint="default" w:ascii="Times New Roman" w:hAnsi="Times New Roman" w:eastAsia="黑体" w:cs="Times New Roman"/>
          <w:color w:val="000000"/>
          <w:sz w:val="32"/>
          <w:szCs w:val="32"/>
          <w:highlight w:val="none"/>
          <w:u w:val="none"/>
          <w:lang w:val="zh-CN" w:eastAsia="zh-CN" w:bidi="ar-SA"/>
        </w:rPr>
      </w:pPr>
    </w:p>
    <w:p>
      <w:pPr>
        <w:keepNext w:val="0"/>
        <w:keepLines w:val="0"/>
        <w:pageBreakBefore w:val="0"/>
        <w:widowControl w:val="0"/>
        <w:suppressAutoHyphens/>
        <w:kinsoku/>
        <w:wordWrap/>
        <w:overflowPunct/>
        <w:topLinePunct w:val="0"/>
        <w:autoSpaceDE/>
        <w:autoSpaceDN/>
        <w:bidi w:val="0"/>
        <w:adjustRightInd/>
        <w:snapToGrid/>
        <w:spacing w:before="157" w:after="157" w:line="560" w:lineRule="exact"/>
        <w:ind w:left="0" w:firstLine="0"/>
        <w:jc w:val="left"/>
        <w:textAlignment w:val="auto"/>
        <w:rPr>
          <w:rFonts w:hint="default" w:ascii="Times New Roman" w:hAnsi="Times New Roman" w:eastAsia="黑体" w:cs="Times New Roman"/>
          <w:color w:val="000000"/>
          <w:sz w:val="32"/>
          <w:szCs w:val="32"/>
          <w:highlight w:val="none"/>
          <w:u w:val="none"/>
          <w:lang w:val="zh-CN" w:eastAsia="zh-CN" w:bidi="ar-SA"/>
        </w:rPr>
      </w:pPr>
    </w:p>
    <w:p>
      <w:pPr>
        <w:keepNext w:val="0"/>
        <w:keepLines w:val="0"/>
        <w:pageBreakBefore w:val="0"/>
        <w:widowControl w:val="0"/>
        <w:suppressAutoHyphens/>
        <w:kinsoku/>
        <w:wordWrap/>
        <w:overflowPunct/>
        <w:topLinePunct w:val="0"/>
        <w:autoSpaceDE/>
        <w:autoSpaceDN/>
        <w:bidi w:val="0"/>
        <w:adjustRightInd/>
        <w:snapToGrid/>
        <w:spacing w:before="157" w:after="157" w:line="560" w:lineRule="exact"/>
        <w:ind w:left="0" w:firstLine="0"/>
        <w:jc w:val="left"/>
        <w:textAlignment w:val="auto"/>
        <w:rPr>
          <w:rFonts w:hint="default" w:ascii="Times New Roman" w:hAnsi="Times New Roman" w:eastAsia="黑体" w:cs="Times New Roman"/>
          <w:color w:val="000000"/>
          <w:sz w:val="32"/>
          <w:szCs w:val="32"/>
          <w:highlight w:val="none"/>
          <w:u w:val="none"/>
          <w:lang w:val="zh-CN" w:eastAsia="zh-CN" w:bidi="ar-SA"/>
        </w:rPr>
      </w:pPr>
    </w:p>
    <w:p>
      <w:pPr>
        <w:keepNext w:val="0"/>
        <w:keepLines w:val="0"/>
        <w:pageBreakBefore w:val="0"/>
        <w:widowControl w:val="0"/>
        <w:suppressAutoHyphens/>
        <w:kinsoku/>
        <w:wordWrap/>
        <w:overflowPunct/>
        <w:topLinePunct w:val="0"/>
        <w:autoSpaceDE/>
        <w:autoSpaceDN/>
        <w:bidi w:val="0"/>
        <w:adjustRightInd/>
        <w:snapToGrid/>
        <w:spacing w:before="157" w:after="157" w:line="560" w:lineRule="exact"/>
        <w:ind w:left="0" w:firstLine="0"/>
        <w:jc w:val="left"/>
        <w:textAlignment w:val="auto"/>
        <w:rPr>
          <w:rFonts w:hint="default" w:ascii="Times New Roman" w:hAnsi="Times New Roman" w:eastAsia="黑体" w:cs="Times New Roman"/>
          <w:color w:val="000000"/>
          <w:sz w:val="32"/>
          <w:szCs w:val="32"/>
          <w:highlight w:val="none"/>
          <w:u w:val="none"/>
          <w:lang w:val="zh-CN" w:eastAsia="zh-CN" w:bidi="ar-SA"/>
        </w:rPr>
      </w:pPr>
    </w:p>
    <w:p>
      <w:pPr>
        <w:keepNext w:val="0"/>
        <w:keepLines w:val="0"/>
        <w:pageBreakBefore w:val="0"/>
        <w:widowControl w:val="0"/>
        <w:suppressAutoHyphens/>
        <w:kinsoku/>
        <w:wordWrap/>
        <w:overflowPunct/>
        <w:topLinePunct w:val="0"/>
        <w:autoSpaceDE/>
        <w:autoSpaceDN/>
        <w:bidi w:val="0"/>
        <w:adjustRightInd/>
        <w:snapToGrid/>
        <w:spacing w:before="157" w:after="157" w:line="560" w:lineRule="exact"/>
        <w:ind w:left="0" w:firstLine="0"/>
        <w:jc w:val="left"/>
        <w:textAlignment w:val="auto"/>
        <w:rPr>
          <w:rFonts w:hint="default" w:ascii="Times New Roman" w:hAnsi="Times New Roman" w:eastAsia="黑体" w:cs="Times New Roman"/>
          <w:color w:val="000000"/>
          <w:sz w:val="32"/>
          <w:szCs w:val="32"/>
          <w:highlight w:val="none"/>
          <w:u w:val="none"/>
          <w:lang w:val="zh-CN" w:eastAsia="zh-CN" w:bidi="ar-SA"/>
        </w:rPr>
      </w:pPr>
    </w:p>
    <w:p>
      <w:pPr>
        <w:keepNext w:val="0"/>
        <w:keepLines w:val="0"/>
        <w:pageBreakBefore w:val="0"/>
        <w:widowControl w:val="0"/>
        <w:suppressAutoHyphens/>
        <w:kinsoku/>
        <w:wordWrap/>
        <w:overflowPunct/>
        <w:topLinePunct w:val="0"/>
        <w:autoSpaceDE/>
        <w:autoSpaceDN/>
        <w:bidi w:val="0"/>
        <w:adjustRightInd/>
        <w:snapToGrid/>
        <w:spacing w:before="157" w:after="157" w:line="560" w:lineRule="exact"/>
        <w:ind w:left="0" w:firstLine="0"/>
        <w:jc w:val="left"/>
        <w:textAlignment w:val="auto"/>
        <w:rPr>
          <w:rFonts w:hint="default" w:ascii="Times New Roman" w:hAnsi="Times New Roman" w:eastAsia="黑体" w:cs="Times New Roman"/>
          <w:color w:val="000000"/>
          <w:sz w:val="32"/>
          <w:szCs w:val="32"/>
          <w:highlight w:val="none"/>
          <w:u w:val="none"/>
          <w:lang w:val="zh-CN" w:eastAsia="zh-CN" w:bidi="ar-SA"/>
        </w:rPr>
      </w:pPr>
    </w:p>
    <w:p>
      <w:pPr>
        <w:keepNext w:val="0"/>
        <w:keepLines w:val="0"/>
        <w:pageBreakBefore w:val="0"/>
        <w:widowControl w:val="0"/>
        <w:suppressAutoHyphen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Cs/>
          <w:color w:val="000000"/>
          <w:sz w:val="32"/>
          <w:szCs w:val="32"/>
          <w:highlight w:val="none"/>
          <w:u w:val="none"/>
          <w:lang w:val="zh-CN" w:eastAsia="zh-CN" w:bidi="ar-SA"/>
        </w:rPr>
      </w:pPr>
    </w:p>
    <w:p>
      <w:pPr>
        <w:keepNext w:val="0"/>
        <w:keepLines w:val="0"/>
        <w:pageBreakBefore w:val="0"/>
        <w:widowControl w:val="0"/>
        <w:suppressAutoHyphen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Cs/>
          <w:color w:val="000000"/>
          <w:sz w:val="32"/>
          <w:szCs w:val="32"/>
          <w:highlight w:val="none"/>
          <w:u w:val="none"/>
          <w:lang w:val="zh-CN" w:eastAsia="zh-CN" w:bidi="ar-SA"/>
        </w:rPr>
      </w:pPr>
    </w:p>
    <w:p>
      <w:pPr>
        <w:keepNext w:val="0"/>
        <w:keepLines w:val="0"/>
        <w:pageBreakBefore w:val="0"/>
        <w:widowControl w:val="0"/>
        <w:suppressAutoHyphen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Cs/>
          <w:color w:val="000000"/>
          <w:sz w:val="32"/>
          <w:szCs w:val="32"/>
          <w:highlight w:val="none"/>
          <w:u w:val="none"/>
          <w:lang w:val="zh-CN" w:eastAsia="zh-CN" w:bidi="ar-SA"/>
        </w:rPr>
      </w:pPr>
    </w:p>
    <w:p>
      <w:pPr>
        <w:keepNext w:val="0"/>
        <w:keepLines w:val="0"/>
        <w:pageBreakBefore w:val="0"/>
        <w:widowControl w:val="0"/>
        <w:suppressAutoHyphen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Cs/>
          <w:color w:val="000000"/>
          <w:sz w:val="32"/>
          <w:szCs w:val="32"/>
          <w:highlight w:val="none"/>
          <w:u w:val="none"/>
          <w:lang w:val="zh-CN" w:eastAsia="zh-CN" w:bidi="ar-SA"/>
        </w:rPr>
      </w:pPr>
    </w:p>
    <w:p>
      <w:pPr>
        <w:keepNext w:val="0"/>
        <w:keepLines w:val="0"/>
        <w:pageBreakBefore w:val="0"/>
        <w:widowControl w:val="0"/>
        <w:suppressAutoHyphen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Cs/>
          <w:color w:val="000000"/>
          <w:sz w:val="32"/>
          <w:szCs w:val="32"/>
          <w:highlight w:val="none"/>
          <w:u w:val="none"/>
          <w:lang w:val="zh-CN" w:eastAsia="zh-CN" w:bidi="ar-SA"/>
        </w:rPr>
      </w:pPr>
    </w:p>
    <w:p>
      <w:pPr>
        <w:keepNext w:val="0"/>
        <w:keepLines w:val="0"/>
        <w:pageBreakBefore w:val="0"/>
        <w:widowControl w:val="0"/>
        <w:suppressAutoHyphen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Cs/>
          <w:color w:val="000000"/>
          <w:sz w:val="32"/>
          <w:szCs w:val="32"/>
          <w:highlight w:val="none"/>
          <w:u w:val="none"/>
          <w:lang w:val="zh-CN" w:eastAsia="zh-CN" w:bidi="ar-SA"/>
        </w:rPr>
      </w:pPr>
    </w:p>
    <w:p>
      <w:pPr>
        <w:keepNext w:val="0"/>
        <w:keepLines w:val="0"/>
        <w:pageBreakBefore w:val="0"/>
        <w:widowControl w:val="0"/>
        <w:suppressAutoHyphen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Cs/>
          <w:color w:val="000000"/>
          <w:sz w:val="32"/>
          <w:szCs w:val="32"/>
          <w:highlight w:val="none"/>
          <w:u w:val="none"/>
          <w:lang w:val="zh-CN" w:eastAsia="zh-CN" w:bidi="ar-SA"/>
        </w:rPr>
      </w:pPr>
    </w:p>
    <w:p>
      <w:pPr>
        <w:keepNext w:val="0"/>
        <w:keepLines w:val="0"/>
        <w:pageBreakBefore w:val="0"/>
        <w:widowControl w:val="0"/>
        <w:suppressAutoHyphen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Cs/>
          <w:color w:val="000000"/>
          <w:sz w:val="32"/>
          <w:szCs w:val="32"/>
          <w:highlight w:val="none"/>
          <w:u w:val="none"/>
          <w:lang w:val="zh-CN" w:eastAsia="zh-CN" w:bidi="ar-SA"/>
        </w:rPr>
      </w:pPr>
    </w:p>
    <w:p>
      <w:pPr>
        <w:keepNext w:val="0"/>
        <w:keepLines w:val="0"/>
        <w:pageBreakBefore w:val="0"/>
        <w:widowControl w:val="0"/>
        <w:suppressAutoHyphen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Cs/>
          <w:color w:val="000000"/>
          <w:sz w:val="32"/>
          <w:szCs w:val="32"/>
          <w:highlight w:val="none"/>
          <w:u w:val="none"/>
          <w:lang w:val="zh-CN" w:eastAsia="zh-CN" w:bidi="ar-SA"/>
        </w:rPr>
      </w:pPr>
    </w:p>
    <w:p>
      <w:pPr>
        <w:keepNext w:val="0"/>
        <w:keepLines w:val="0"/>
        <w:pageBreakBefore w:val="0"/>
        <w:widowControl w:val="0"/>
        <w:suppressAutoHyphen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Cs/>
          <w:color w:val="000000"/>
          <w:sz w:val="32"/>
          <w:szCs w:val="32"/>
          <w:highlight w:val="none"/>
          <w:u w:val="none"/>
          <w:lang w:val="en-US" w:eastAsia="zh-CN" w:bidi="ar-SA"/>
        </w:rPr>
      </w:pPr>
      <w:r>
        <w:rPr>
          <w:rFonts w:hint="default" w:ascii="Times New Roman" w:hAnsi="Times New Roman" w:eastAsia="仿宋_GB2312" w:cs="Times New Roman"/>
          <w:bCs/>
          <w:color w:val="000000"/>
          <w:sz w:val="32"/>
          <w:szCs w:val="32"/>
          <w:highlight w:val="none"/>
          <w:u w:val="none"/>
          <w:lang w:val="zh-CN" w:eastAsia="zh-CN" w:bidi="ar-SA"/>
        </w:rPr>
        <w:t>附件</w:t>
      </w:r>
      <w:r>
        <w:rPr>
          <w:rFonts w:hint="default" w:ascii="Times New Roman" w:hAnsi="Times New Roman" w:eastAsia="仿宋_GB2312" w:cs="Times New Roman"/>
          <w:bCs/>
          <w:color w:val="000000"/>
          <w:sz w:val="32"/>
          <w:szCs w:val="32"/>
          <w:highlight w:val="none"/>
          <w:u w:val="none"/>
          <w:lang w:val="en-US" w:eastAsia="zh-CN" w:bidi="ar-SA"/>
        </w:rPr>
        <w:t>1</w:t>
      </w:r>
    </w:p>
    <w:p>
      <w:pPr>
        <w:pStyle w:val="2"/>
        <w:ind w:left="0" w:leftChars="0" w:firstLine="0" w:firstLineChars="0"/>
        <w:jc w:val="center"/>
        <w:rPr>
          <w:rFonts w:hint="default" w:ascii="Times New Roman" w:hAnsi="Times New Roman" w:eastAsia="方正小标宋简体" w:cs="Times New Roman"/>
          <w:b w:val="0"/>
          <w:bCs w:val="0"/>
          <w:color w:val="000000" w:themeColor="text1"/>
          <w:spacing w:val="23"/>
          <w:kern w:val="2"/>
          <w:sz w:val="40"/>
          <w:szCs w:val="40"/>
          <w:lang w:val="en-US" w:eastAsia="zh-CN" w:bidi="ar-SA"/>
          <w14:textFill>
            <w14:solidFill>
              <w14:schemeClr w14:val="tx1"/>
            </w14:solidFill>
          </w14:textFill>
        </w:rPr>
      </w:pPr>
      <w:r>
        <w:rPr>
          <w:rFonts w:hint="default" w:ascii="Times New Roman" w:hAnsi="Times New Roman" w:eastAsia="方正小标宋简体" w:cs="Times New Roman"/>
          <w:b w:val="0"/>
          <w:bCs w:val="0"/>
          <w:color w:val="000000" w:themeColor="text1"/>
          <w:spacing w:val="23"/>
          <w:kern w:val="2"/>
          <w:sz w:val="40"/>
          <w:szCs w:val="40"/>
          <w:lang w:val="en-US" w:eastAsia="zh-CN" w:bidi="ar-SA"/>
          <w14:textFill>
            <w14:solidFill>
              <w14:schemeClr w14:val="tx1"/>
            </w14:solidFill>
          </w14:textFill>
        </w:rPr>
        <w:t>产业园区相关租赁和物业费用指导价格表</w:t>
      </w:r>
    </w:p>
    <w:p>
      <w:pPr>
        <w:pStyle w:val="2"/>
        <w:ind w:left="0" w:leftChars="0" w:firstLine="0" w:firstLineChars="0"/>
        <w:jc w:val="right"/>
        <w:rPr>
          <w:rFonts w:hint="default" w:ascii="Times New Roman" w:hAnsi="Times New Roman" w:cs="Times New Roman"/>
          <w:lang w:val="en-US" w:eastAsia="zh-CN"/>
        </w:rPr>
      </w:pPr>
      <w:r>
        <w:rPr>
          <w:rFonts w:hint="eastAsia" w:ascii="Times New Roman" w:hAnsi="Times New Roman" w:cs="Times New Roman"/>
          <w:b/>
          <w:bCs/>
          <w:i w:val="0"/>
          <w:iCs w:val="0"/>
          <w:color w:val="000000"/>
          <w:kern w:val="0"/>
          <w:sz w:val="24"/>
          <w:szCs w:val="24"/>
          <w:u w:val="none"/>
          <w:lang w:val="en-US" w:eastAsia="zh-CN" w:bidi="ar"/>
        </w:rPr>
        <w:t xml:space="preserve"> </w:t>
      </w:r>
      <w:r>
        <w:rPr>
          <w:rFonts w:hint="default" w:ascii="Times New Roman" w:hAnsi="Times New Roman" w:eastAsia="宋体" w:cs="Times New Roman"/>
          <w:b/>
          <w:bCs/>
          <w:i w:val="0"/>
          <w:iCs w:val="0"/>
          <w:color w:val="000000"/>
          <w:kern w:val="0"/>
          <w:sz w:val="24"/>
          <w:szCs w:val="24"/>
          <w:u w:val="none"/>
          <w:lang w:val="en-US" w:eastAsia="zh-CN" w:bidi="ar"/>
        </w:rPr>
        <w:t>单位：元/平方米/月</w:t>
      </w:r>
    </w:p>
    <w:tbl>
      <w:tblPr>
        <w:tblStyle w:val="9"/>
        <w:tblW w:w="97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17"/>
        <w:gridCol w:w="1221"/>
        <w:gridCol w:w="1118"/>
        <w:gridCol w:w="956"/>
        <w:gridCol w:w="956"/>
        <w:gridCol w:w="961"/>
        <w:gridCol w:w="1156"/>
        <w:gridCol w:w="1118"/>
        <w:gridCol w:w="1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720" w:type="dxa"/>
            <w:gridSpan w:val="9"/>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家居产业城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21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标准化厂房</w:t>
            </w:r>
          </w:p>
        </w:tc>
        <w:tc>
          <w:tcPr>
            <w:tcW w:w="0" w:type="auto"/>
            <w:tcBorders>
              <w:top w:val="single" w:color="000000" w:sz="4" w:space="0"/>
              <w:left w:val="single" w:color="000000" w:sz="4" w:space="0"/>
              <w:bottom w:val="single" w:color="000000" w:sz="4" w:space="0"/>
              <w:right w:val="single" w:color="000000" w:sz="4" w:space="0"/>
              <w:tl2br w:val="single" w:color="000000" w:sz="4" w:space="0"/>
            </w:tcBorders>
            <w:shd w:val="clear" w:color="auto" w:fill="auto"/>
            <w:noWrap/>
            <w:vAlign w:val="center"/>
          </w:tcPr>
          <w:p>
            <w:pPr>
              <w:jc w:val="center"/>
              <w:rPr>
                <w:rFonts w:hint="default" w:ascii="Times New Roman" w:hAnsi="Times New Roman" w:eastAsia="宋体" w:cs="Times New Roman"/>
                <w:b/>
                <w:bCs/>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第1层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第2层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第3层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第1、2层套租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第2、3层套租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第1、2、3层套租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21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未装修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21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已装修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办公用房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已装修</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未装修</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24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生活服务用房</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第1、5层</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第2-4层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24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原辅材料交易中心</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综合楼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已装修</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未装修</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交易用房</w:t>
            </w:r>
          </w:p>
        </w:tc>
        <w:tc>
          <w:tcPr>
            <w:tcW w:w="0" w:type="auto"/>
            <w:tcBorders>
              <w:top w:val="single" w:color="000000" w:sz="4" w:space="0"/>
              <w:left w:val="single" w:color="000000" w:sz="4" w:space="0"/>
              <w:bottom w:val="single" w:color="000000" w:sz="4" w:space="0"/>
              <w:right w:val="single" w:color="000000" w:sz="4" w:space="0"/>
              <w:tl2br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第1层</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第2层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已装修</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未装修</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仓储用房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已装修</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未装修</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共享喷涂中心</w:t>
            </w:r>
          </w:p>
        </w:tc>
        <w:tc>
          <w:tcPr>
            <w:tcW w:w="0" w:type="auto"/>
            <w:gridSpan w:val="2"/>
            <w:tcBorders>
              <w:top w:val="single" w:color="000000" w:sz="4" w:space="0"/>
              <w:left w:val="single" w:color="000000" w:sz="4" w:space="0"/>
              <w:bottom w:val="single" w:color="000000" w:sz="4" w:space="0"/>
              <w:right w:val="single" w:color="000000" w:sz="4" w:space="0"/>
              <w:tl2br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第1层</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第2层</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第1、2层套租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已装修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未装修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综合楼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已装修</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未装修</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食堂、商铺类房屋</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按市场价执行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972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b/>
                <w:bCs/>
                <w:i w:val="0"/>
                <w:iCs w:val="0"/>
                <w:color w:val="000000"/>
                <w:kern w:val="0"/>
                <w:sz w:val="24"/>
                <w:szCs w:val="24"/>
                <w:u w:val="none"/>
                <w:lang w:val="en-US" w:eastAsia="zh-CN" w:bidi="ar"/>
              </w:rPr>
              <w:t>物业费按以下标准执行：第一年指导价为0.9元/平方米/月，第二年开始每年在此价格基础上上涨0.1元，最高不超过1.5元/平方米/月。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72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b/>
                <w:bCs/>
                <w:i w:val="0"/>
                <w:iCs w:val="0"/>
                <w:color w:val="000000"/>
                <w:kern w:val="0"/>
                <w:sz w:val="24"/>
                <w:szCs w:val="24"/>
                <w:u w:val="none"/>
                <w:lang w:val="en-US" w:eastAsia="zh-CN" w:bidi="ar"/>
              </w:rPr>
              <w:t>食品产业园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1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标准化厂房</w:t>
            </w:r>
          </w:p>
        </w:tc>
        <w:tc>
          <w:tcPr>
            <w:tcW w:w="1080" w:type="dxa"/>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第1层</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第2层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21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kern w:val="0"/>
                <w:sz w:val="24"/>
                <w:szCs w:val="24"/>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第一年</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21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kern w:val="0"/>
                <w:sz w:val="24"/>
                <w:szCs w:val="24"/>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第二年</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21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kern w:val="0"/>
                <w:sz w:val="24"/>
                <w:szCs w:val="24"/>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第三年</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9720" w:type="dxa"/>
            <w:gridSpan w:val="9"/>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b/>
                <w:bCs/>
                <w:i w:val="0"/>
                <w:iCs w:val="0"/>
                <w:color w:val="000000"/>
                <w:kern w:val="0"/>
                <w:sz w:val="24"/>
                <w:szCs w:val="24"/>
                <w:u w:val="none"/>
                <w:lang w:val="en-US" w:eastAsia="zh-CN" w:bidi="ar"/>
              </w:rPr>
              <w:t>物业费按1元/平方米/月的价格执行。</w:t>
            </w:r>
          </w:p>
        </w:tc>
      </w:tr>
    </w:tbl>
    <w:p>
      <w:pPr>
        <w:pStyle w:val="2"/>
        <w:rPr>
          <w:rFonts w:hint="default" w:ascii="Times New Roman" w:hAnsi="Times New Roman" w:cs="Times New Roman"/>
          <w:lang w:val="en-US" w:eastAsia="zh-CN"/>
        </w:rPr>
        <w:sectPr>
          <w:footerReference r:id="rId3" w:type="default"/>
          <w:pgSz w:w="11906" w:h="16838"/>
          <w:pgMar w:top="2098" w:right="1474" w:bottom="1984" w:left="1587" w:header="851" w:footer="1587" w:gutter="0"/>
          <w:pgBorders>
            <w:top w:val="none" w:sz="0" w:space="0"/>
            <w:left w:val="none" w:sz="0" w:space="0"/>
            <w:bottom w:val="none" w:sz="0" w:space="0"/>
            <w:right w:val="none" w:sz="0" w:space="0"/>
          </w:pgBorders>
          <w:pgNumType w:fmt="decimal"/>
          <w:cols w:space="720" w:num="1"/>
          <w:rtlGutter w:val="0"/>
          <w:docGrid w:type="lines" w:linePitch="312" w:charSpace="0"/>
        </w:sectPr>
      </w:pPr>
    </w:p>
    <w:p>
      <w:pPr>
        <w:keepNext w:val="0"/>
        <w:keepLines w:val="0"/>
        <w:pageBreakBefore w:val="0"/>
        <w:widowControl w:val="0"/>
        <w:suppressAutoHyphens/>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Cs/>
          <w:color w:val="000000"/>
          <w:sz w:val="32"/>
          <w:szCs w:val="32"/>
          <w:highlight w:val="none"/>
          <w:u w:val="none"/>
          <w:lang w:val="en-US" w:eastAsia="zh-CN" w:bidi="ar-SA"/>
        </w:rPr>
      </w:pPr>
      <w:r>
        <w:rPr>
          <w:rFonts w:hint="default" w:ascii="Times New Roman" w:hAnsi="Times New Roman" w:eastAsia="黑体" w:cs="Times New Roman"/>
          <w:bCs/>
          <w:color w:val="000000"/>
          <w:sz w:val="32"/>
          <w:szCs w:val="32"/>
          <w:highlight w:val="none"/>
          <w:u w:val="none"/>
          <w:lang w:val="en-US" w:eastAsia="zh-CN" w:bidi="ar-SA"/>
        </w:rPr>
        <w:t>附件2</w:t>
      </w:r>
    </w:p>
    <w:p>
      <w:pPr>
        <w:jc w:val="center"/>
        <w:rPr>
          <w:rFonts w:hint="default" w:ascii="Times New Roman" w:hAnsi="Times New Roman" w:eastAsia="方正小标宋简体" w:cs="Times New Roman"/>
          <w:b w:val="0"/>
          <w:bCs w:val="0"/>
          <w:color w:val="000000" w:themeColor="text1"/>
          <w:spacing w:val="23"/>
          <w:sz w:val="40"/>
          <w:szCs w:val="40"/>
          <w14:textFill>
            <w14:solidFill>
              <w14:schemeClr w14:val="tx1"/>
            </w14:solidFill>
          </w14:textFill>
        </w:rPr>
      </w:pPr>
      <w:r>
        <w:rPr>
          <w:rFonts w:hint="default" w:ascii="Times New Roman" w:hAnsi="Times New Roman" w:eastAsia="方正小标宋简体" w:cs="Times New Roman"/>
          <w:b w:val="0"/>
          <w:bCs w:val="0"/>
          <w:color w:val="000000" w:themeColor="text1"/>
          <w:spacing w:val="23"/>
          <w:sz w:val="40"/>
          <w:szCs w:val="40"/>
          <w:lang w:eastAsia="zh-CN"/>
          <w14:textFill>
            <w14:solidFill>
              <w14:schemeClr w14:val="tx1"/>
            </w14:solidFill>
          </w14:textFill>
        </w:rPr>
        <w:t>工商业用电销售</w:t>
      </w:r>
      <w:r>
        <w:rPr>
          <w:rFonts w:hint="default" w:ascii="Times New Roman" w:hAnsi="Times New Roman" w:eastAsia="方正小标宋简体" w:cs="Times New Roman"/>
          <w:b w:val="0"/>
          <w:bCs w:val="0"/>
          <w:color w:val="000000" w:themeColor="text1"/>
          <w:spacing w:val="23"/>
          <w:sz w:val="40"/>
          <w:szCs w:val="40"/>
          <w14:textFill>
            <w14:solidFill>
              <w14:schemeClr w14:val="tx1"/>
            </w14:solidFill>
          </w14:textFill>
        </w:rPr>
        <w:t>价格表</w:t>
      </w:r>
    </w:p>
    <w:tbl>
      <w:tblPr>
        <w:tblStyle w:val="9"/>
        <w:tblW w:w="147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9"/>
        <w:gridCol w:w="590"/>
        <w:gridCol w:w="1056"/>
        <w:gridCol w:w="784"/>
        <w:gridCol w:w="954"/>
        <w:gridCol w:w="888"/>
        <w:gridCol w:w="968"/>
        <w:gridCol w:w="979"/>
        <w:gridCol w:w="915"/>
        <w:gridCol w:w="1155"/>
        <w:gridCol w:w="720"/>
        <w:gridCol w:w="825"/>
        <w:gridCol w:w="675"/>
        <w:gridCol w:w="777"/>
        <w:gridCol w:w="1344"/>
        <w:gridCol w:w="1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jc w:val="center"/>
        </w:trPr>
        <w:tc>
          <w:tcPr>
            <w:tcW w:w="1219" w:type="dxa"/>
            <w:gridSpan w:val="2"/>
            <w:vMerge w:val="restart"/>
            <w:tcBorders>
              <w:top w:val="single" w:color="000000" w:sz="8" w:space="0"/>
              <w:left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kern w:val="0"/>
                <w:sz w:val="21"/>
                <w:szCs w:val="21"/>
                <w:highlight w:val="none"/>
                <w:u w:val="none"/>
                <w:lang w:val="en-US" w:eastAsia="zh-CN" w:bidi="ar"/>
              </w:rPr>
              <w:t>用电分类</w:t>
            </w:r>
          </w:p>
        </w:tc>
        <w:tc>
          <w:tcPr>
            <w:tcW w:w="1056" w:type="dxa"/>
            <w:vMerge w:val="restart"/>
            <w:tcBorders>
              <w:top w:val="single" w:color="000000" w:sz="8" w:space="0"/>
              <w:left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kern w:val="0"/>
                <w:sz w:val="21"/>
                <w:szCs w:val="21"/>
                <w:highlight w:val="none"/>
                <w:u w:val="none"/>
                <w:lang w:val="en-US" w:eastAsia="zh-CN" w:bidi="ar"/>
              </w:rPr>
            </w:pPr>
            <w:r>
              <w:rPr>
                <w:rFonts w:hint="default" w:ascii="Times New Roman" w:hAnsi="Times New Roman" w:eastAsia="宋体" w:cs="Times New Roman"/>
                <w:b/>
                <w:bCs/>
                <w:i w:val="0"/>
                <w:iCs w:val="0"/>
                <w:color w:val="000000"/>
                <w:kern w:val="0"/>
                <w:sz w:val="21"/>
                <w:szCs w:val="21"/>
                <w:highlight w:val="none"/>
                <w:u w:val="none"/>
                <w:lang w:val="en-US" w:eastAsia="zh-CN" w:bidi="ar"/>
              </w:rPr>
              <w:t>电压</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kern w:val="0"/>
                <w:sz w:val="21"/>
                <w:szCs w:val="21"/>
                <w:highlight w:val="none"/>
                <w:u w:val="none"/>
                <w:lang w:val="en-US" w:eastAsia="zh-CN" w:bidi="ar"/>
              </w:rPr>
              <w:t>等级</w:t>
            </w:r>
          </w:p>
        </w:tc>
        <w:tc>
          <w:tcPr>
            <w:tcW w:w="784" w:type="dxa"/>
            <w:vMerge w:val="restart"/>
            <w:tcBorders>
              <w:top w:val="single" w:color="000000" w:sz="8" w:space="0"/>
              <w:left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kern w:val="0"/>
                <w:sz w:val="21"/>
                <w:szCs w:val="21"/>
                <w:highlight w:val="none"/>
                <w:u w:val="none"/>
                <w:lang w:val="en-US" w:eastAsia="zh-CN" w:bidi="ar"/>
              </w:rPr>
              <w:t>购电价格 (元/千瓦时)</w:t>
            </w:r>
          </w:p>
        </w:tc>
        <w:tc>
          <w:tcPr>
            <w:tcW w:w="954" w:type="dxa"/>
            <w:vMerge w:val="restart"/>
            <w:tcBorders>
              <w:top w:val="single" w:color="000000" w:sz="8" w:space="0"/>
              <w:left w:val="single" w:color="000000" w:sz="8" w:space="0"/>
              <w:right w:val="single" w:color="000000" w:sz="8" w:space="0"/>
            </w:tcBorders>
            <w:shd w:val="clear" w:color="auto" w:fill="auto"/>
            <w:vAlign w:val="center"/>
          </w:tcPr>
          <w:p>
            <w:pPr>
              <w:keepNext w:val="0"/>
              <w:keepLines w:val="0"/>
              <w:pageBreakBefore w:val="0"/>
              <w:widowControl/>
              <w:suppressLineNumbers w:val="0"/>
              <w:tabs>
                <w:tab w:val="left" w:pos="484"/>
              </w:tabs>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b/>
                <w:bCs/>
                <w:i w:val="0"/>
                <w:iCs w:val="0"/>
                <w:color w:val="000000"/>
                <w:kern w:val="0"/>
                <w:sz w:val="21"/>
                <w:szCs w:val="21"/>
                <w:highlight w:val="none"/>
                <w:u w:val="none"/>
                <w:lang w:val="en-US" w:eastAsia="zh-CN" w:bidi="ar"/>
              </w:rPr>
            </w:pPr>
            <w:r>
              <w:rPr>
                <w:rFonts w:hint="default" w:ascii="Times New Roman" w:hAnsi="Times New Roman" w:eastAsia="宋体" w:cs="Times New Roman"/>
                <w:b/>
                <w:bCs/>
                <w:i w:val="0"/>
                <w:iCs w:val="0"/>
                <w:color w:val="000000"/>
                <w:kern w:val="0"/>
                <w:sz w:val="21"/>
                <w:szCs w:val="21"/>
                <w:highlight w:val="none"/>
                <w:u w:val="none"/>
                <w:lang w:val="en-US" w:eastAsia="zh-CN" w:bidi="ar"/>
              </w:rPr>
              <w:t>上网环节线损费用（元/千瓦时）</w:t>
            </w:r>
          </w:p>
        </w:tc>
        <w:tc>
          <w:tcPr>
            <w:tcW w:w="2835"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kern w:val="0"/>
                <w:sz w:val="21"/>
                <w:szCs w:val="21"/>
                <w:highlight w:val="none"/>
                <w:u w:val="none"/>
                <w:lang w:val="en-US" w:eastAsia="zh-CN" w:bidi="ar"/>
              </w:rPr>
              <w:t>输配电价标准</w:t>
            </w:r>
          </w:p>
        </w:tc>
        <w:tc>
          <w:tcPr>
            <w:tcW w:w="915" w:type="dxa"/>
            <w:vMerge w:val="restart"/>
            <w:tcBorders>
              <w:top w:val="single" w:color="000000" w:sz="8" w:space="0"/>
              <w:left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sz w:val="21"/>
                <w:szCs w:val="21"/>
                <w:highlight w:val="none"/>
                <w:u w:val="none"/>
              </w:rPr>
              <w:t>系统运行费用(元/千瓦时)</w:t>
            </w:r>
          </w:p>
        </w:tc>
        <w:tc>
          <w:tcPr>
            <w:tcW w:w="1155" w:type="dxa"/>
            <w:vMerge w:val="restart"/>
            <w:tcBorders>
              <w:top w:val="single" w:color="000000" w:sz="8" w:space="0"/>
              <w:left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kern w:val="0"/>
                <w:sz w:val="21"/>
                <w:szCs w:val="21"/>
                <w:highlight w:val="none"/>
                <w:u w:val="none"/>
                <w:lang w:val="en-US" w:eastAsia="zh-CN" w:bidi="ar"/>
              </w:rPr>
              <w:t>政府性基金及附加标准(元/千瓦时)</w:t>
            </w:r>
          </w:p>
        </w:tc>
        <w:tc>
          <w:tcPr>
            <w:tcW w:w="5857"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kern w:val="0"/>
                <w:sz w:val="21"/>
                <w:szCs w:val="21"/>
                <w:highlight w:val="none"/>
                <w:u w:val="none"/>
                <w:lang w:val="en-US" w:eastAsia="zh-CN" w:bidi="ar"/>
              </w:rPr>
            </w:pPr>
            <w:r>
              <w:rPr>
                <w:rFonts w:hint="default" w:ascii="Times New Roman" w:hAnsi="Times New Roman" w:eastAsia="宋体" w:cs="Times New Roman"/>
                <w:b/>
                <w:bCs/>
                <w:i w:val="0"/>
                <w:iCs w:val="0"/>
                <w:color w:val="000000"/>
                <w:kern w:val="0"/>
                <w:sz w:val="21"/>
                <w:szCs w:val="21"/>
                <w:highlight w:val="none"/>
                <w:u w:val="none"/>
                <w:lang w:val="en-US" w:eastAsia="zh-CN" w:bidi="ar"/>
              </w:rPr>
              <w:t>用户用电价格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1219" w:type="dxa"/>
            <w:gridSpan w:val="2"/>
            <w:vMerge w:val="continue"/>
            <w:tcBorders>
              <w:left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highlight w:val="none"/>
                <w:u w:val="none"/>
              </w:rPr>
            </w:pPr>
          </w:p>
        </w:tc>
        <w:tc>
          <w:tcPr>
            <w:tcW w:w="1056" w:type="dxa"/>
            <w:vMerge w:val="continue"/>
            <w:tcBorders>
              <w:left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bCs/>
                <w:i w:val="0"/>
                <w:iCs w:val="0"/>
                <w:color w:val="000000"/>
                <w:sz w:val="21"/>
                <w:szCs w:val="21"/>
                <w:highlight w:val="none"/>
                <w:u w:val="none"/>
              </w:rPr>
            </w:pPr>
          </w:p>
        </w:tc>
        <w:tc>
          <w:tcPr>
            <w:tcW w:w="784" w:type="dxa"/>
            <w:vMerge w:val="continue"/>
            <w:tcBorders>
              <w:left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bCs/>
                <w:i w:val="0"/>
                <w:iCs w:val="0"/>
                <w:color w:val="000000"/>
                <w:sz w:val="21"/>
                <w:szCs w:val="21"/>
                <w:highlight w:val="none"/>
                <w:u w:val="none"/>
              </w:rPr>
            </w:pPr>
          </w:p>
        </w:tc>
        <w:tc>
          <w:tcPr>
            <w:tcW w:w="954" w:type="dxa"/>
            <w:vMerge w:val="continue"/>
            <w:tcBorders>
              <w:left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bCs/>
                <w:i w:val="0"/>
                <w:iCs w:val="0"/>
                <w:color w:val="000000"/>
                <w:sz w:val="21"/>
                <w:szCs w:val="21"/>
                <w:highlight w:val="none"/>
                <w:u w:val="none"/>
              </w:rPr>
            </w:pPr>
          </w:p>
        </w:tc>
        <w:tc>
          <w:tcPr>
            <w:tcW w:w="888" w:type="dxa"/>
            <w:vMerge w:val="restart"/>
            <w:tcBorders>
              <w:top w:val="nil"/>
              <w:left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kern w:val="0"/>
                <w:sz w:val="21"/>
                <w:szCs w:val="21"/>
                <w:highlight w:val="none"/>
                <w:u w:val="none"/>
                <w:lang w:val="en-US" w:eastAsia="zh-CN" w:bidi="ar"/>
              </w:rPr>
            </w:pPr>
            <w:r>
              <w:rPr>
                <w:rFonts w:hint="default" w:ascii="Times New Roman" w:hAnsi="Times New Roman" w:eastAsia="宋体" w:cs="Times New Roman"/>
                <w:b/>
                <w:bCs/>
                <w:i w:val="0"/>
                <w:iCs w:val="0"/>
                <w:color w:val="000000"/>
                <w:kern w:val="0"/>
                <w:sz w:val="21"/>
                <w:szCs w:val="21"/>
                <w:highlight w:val="none"/>
                <w:u w:val="none"/>
                <w:lang w:val="en-US" w:eastAsia="zh-CN" w:bidi="ar"/>
              </w:rPr>
              <w:t>电量</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kern w:val="0"/>
                <w:sz w:val="21"/>
                <w:szCs w:val="21"/>
                <w:highlight w:val="none"/>
                <w:u w:val="none"/>
                <w:lang w:val="en-US" w:eastAsia="zh-CN" w:bidi="ar"/>
              </w:rPr>
              <w:t>电价(元/千瓦时)</w:t>
            </w:r>
          </w:p>
        </w:tc>
        <w:tc>
          <w:tcPr>
            <w:tcW w:w="1947"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kern w:val="0"/>
                <w:sz w:val="21"/>
                <w:szCs w:val="21"/>
                <w:highlight w:val="none"/>
                <w:u w:val="none"/>
                <w:lang w:val="en-US" w:eastAsia="zh-CN" w:bidi="ar"/>
              </w:rPr>
              <w:t>容(需)量电价</w:t>
            </w:r>
          </w:p>
        </w:tc>
        <w:tc>
          <w:tcPr>
            <w:tcW w:w="915" w:type="dxa"/>
            <w:vMerge w:val="continue"/>
            <w:tcBorders>
              <w:left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kern w:val="0"/>
                <w:sz w:val="21"/>
                <w:szCs w:val="21"/>
                <w:highlight w:val="none"/>
                <w:u w:val="none"/>
                <w:lang w:val="en-US" w:eastAsia="zh-CN" w:bidi="ar"/>
              </w:rPr>
            </w:pPr>
          </w:p>
        </w:tc>
        <w:tc>
          <w:tcPr>
            <w:tcW w:w="1155" w:type="dxa"/>
            <w:vMerge w:val="continue"/>
            <w:tcBorders>
              <w:left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highlight w:val="none"/>
                <w:u w:val="none"/>
              </w:rPr>
            </w:pPr>
          </w:p>
        </w:tc>
        <w:tc>
          <w:tcPr>
            <w:tcW w:w="2997"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kern w:val="0"/>
                <w:sz w:val="21"/>
                <w:szCs w:val="21"/>
                <w:highlight w:val="none"/>
                <w:u w:val="none"/>
                <w:lang w:val="en-US" w:eastAsia="zh-CN" w:bidi="ar"/>
              </w:rPr>
            </w:pPr>
            <w:r>
              <w:rPr>
                <w:rFonts w:hint="default" w:ascii="Times New Roman" w:hAnsi="Times New Roman" w:eastAsia="宋体" w:cs="Times New Roman"/>
                <w:b/>
                <w:bCs/>
                <w:i w:val="0"/>
                <w:iCs w:val="0"/>
                <w:color w:val="000000"/>
                <w:kern w:val="0"/>
                <w:sz w:val="21"/>
                <w:szCs w:val="21"/>
                <w:highlight w:val="none"/>
                <w:u w:val="none"/>
                <w:lang w:val="en-US" w:eastAsia="zh-CN" w:bidi="ar"/>
              </w:rPr>
              <w:t>分时电度电价(元/千瓦时)</w:t>
            </w:r>
          </w:p>
        </w:tc>
        <w:tc>
          <w:tcPr>
            <w:tcW w:w="28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kern w:val="0"/>
                <w:sz w:val="21"/>
                <w:szCs w:val="21"/>
                <w:highlight w:val="none"/>
                <w:u w:val="none"/>
                <w:lang w:val="en-US" w:eastAsia="zh-CN" w:bidi="ar"/>
              </w:rPr>
            </w:pPr>
            <w:r>
              <w:rPr>
                <w:rFonts w:hint="default" w:ascii="Times New Roman" w:hAnsi="Times New Roman" w:eastAsia="宋体" w:cs="Times New Roman"/>
                <w:b/>
                <w:bCs/>
                <w:i w:val="0"/>
                <w:iCs w:val="0"/>
                <w:color w:val="000000"/>
                <w:kern w:val="0"/>
                <w:sz w:val="21"/>
                <w:szCs w:val="21"/>
                <w:highlight w:val="none"/>
                <w:u w:val="none"/>
                <w:lang w:val="en-US" w:eastAsia="zh-CN" w:bidi="ar"/>
              </w:rPr>
              <w:t>容(需)量电价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6" w:hRule="atLeast"/>
          <w:jc w:val="center"/>
        </w:trPr>
        <w:tc>
          <w:tcPr>
            <w:tcW w:w="1219" w:type="dxa"/>
            <w:gridSpan w:val="2"/>
            <w:vMerge w:val="continue"/>
            <w:tcBorders>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highlight w:val="none"/>
                <w:u w:val="none"/>
              </w:rPr>
            </w:pPr>
          </w:p>
        </w:tc>
        <w:tc>
          <w:tcPr>
            <w:tcW w:w="1056"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bCs/>
                <w:i w:val="0"/>
                <w:iCs w:val="0"/>
                <w:color w:val="000000"/>
                <w:sz w:val="21"/>
                <w:szCs w:val="21"/>
                <w:highlight w:val="none"/>
                <w:u w:val="none"/>
              </w:rPr>
            </w:pPr>
          </w:p>
        </w:tc>
        <w:tc>
          <w:tcPr>
            <w:tcW w:w="784"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bCs/>
                <w:i w:val="0"/>
                <w:iCs w:val="0"/>
                <w:color w:val="000000"/>
                <w:sz w:val="21"/>
                <w:szCs w:val="21"/>
                <w:highlight w:val="none"/>
                <w:u w:val="none"/>
              </w:rPr>
            </w:pPr>
          </w:p>
        </w:tc>
        <w:tc>
          <w:tcPr>
            <w:tcW w:w="954"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bCs/>
                <w:i w:val="0"/>
                <w:iCs w:val="0"/>
                <w:color w:val="000000"/>
                <w:sz w:val="21"/>
                <w:szCs w:val="21"/>
                <w:highlight w:val="none"/>
                <w:u w:val="none"/>
              </w:rPr>
            </w:pPr>
          </w:p>
        </w:tc>
        <w:tc>
          <w:tcPr>
            <w:tcW w:w="888"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bCs/>
                <w:i w:val="0"/>
                <w:iCs w:val="0"/>
                <w:color w:val="000000"/>
                <w:sz w:val="21"/>
                <w:szCs w:val="21"/>
                <w:highlight w:val="none"/>
                <w:u w:val="none"/>
              </w:rPr>
            </w:pPr>
          </w:p>
        </w:tc>
        <w:tc>
          <w:tcPr>
            <w:tcW w:w="9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spacing w:val="-20"/>
                <w:kern w:val="0"/>
                <w:sz w:val="21"/>
                <w:szCs w:val="21"/>
                <w:highlight w:val="none"/>
                <w:u w:val="none"/>
                <w:lang w:val="en-US" w:eastAsia="zh-CN" w:bidi="ar"/>
              </w:rPr>
              <w:t>需量电价（元/千瓦</w:t>
            </w:r>
            <w:r>
              <w:rPr>
                <w:rFonts w:hint="default" w:ascii="Times New Roman" w:hAnsi="Times New Roman" w:eastAsia="宋体" w:cs="Times New Roman"/>
                <w:b/>
                <w:bCs/>
                <w:i w:val="0"/>
                <w:iCs w:val="0"/>
                <w:color w:val="000000"/>
                <w:sz w:val="21"/>
                <w:szCs w:val="21"/>
                <w:highlight w:val="none"/>
                <w:u w:val="none"/>
              </w:rPr>
              <w:t>·</w:t>
            </w:r>
            <w:r>
              <w:rPr>
                <w:rFonts w:hint="default" w:ascii="Times New Roman" w:hAnsi="Times New Roman" w:eastAsia="宋体" w:cs="Times New Roman"/>
                <w:b/>
                <w:bCs/>
                <w:i w:val="0"/>
                <w:iCs w:val="0"/>
                <w:color w:val="000000"/>
                <w:kern w:val="0"/>
                <w:sz w:val="21"/>
                <w:szCs w:val="21"/>
                <w:highlight w:val="none"/>
                <w:u w:val="none"/>
                <w:lang w:val="en-US" w:eastAsia="zh-CN" w:bidi="ar"/>
              </w:rPr>
              <w:t>月）</w:t>
            </w:r>
          </w:p>
        </w:tc>
        <w:tc>
          <w:tcPr>
            <w:tcW w:w="97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sz w:val="21"/>
                <w:szCs w:val="21"/>
                <w:highlight w:val="none"/>
                <w:u w:val="none"/>
              </w:rPr>
              <w:t>容</w:t>
            </w:r>
            <w:r>
              <w:rPr>
                <w:rFonts w:hint="default" w:ascii="Times New Roman" w:hAnsi="Times New Roman" w:eastAsia="宋体" w:cs="Times New Roman"/>
                <w:b/>
                <w:bCs/>
                <w:i w:val="0"/>
                <w:iCs w:val="0"/>
                <w:color w:val="000000"/>
                <w:spacing w:val="-23"/>
                <w:sz w:val="21"/>
                <w:szCs w:val="21"/>
                <w:highlight w:val="none"/>
                <w:u w:val="none"/>
              </w:rPr>
              <w:t>量电价（元/千伏安·月）</w:t>
            </w:r>
          </w:p>
        </w:tc>
        <w:tc>
          <w:tcPr>
            <w:tcW w:w="915"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bCs/>
                <w:i w:val="0"/>
                <w:iCs w:val="0"/>
                <w:color w:val="000000"/>
                <w:sz w:val="21"/>
                <w:szCs w:val="21"/>
                <w:highlight w:val="none"/>
                <w:u w:val="none"/>
              </w:rPr>
            </w:pPr>
          </w:p>
        </w:tc>
        <w:tc>
          <w:tcPr>
            <w:tcW w:w="1155"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bCs/>
                <w:i w:val="0"/>
                <w:iCs w:val="0"/>
                <w:color w:val="000000"/>
                <w:sz w:val="21"/>
                <w:szCs w:val="21"/>
                <w:highlight w:val="none"/>
                <w:u w:val="none"/>
              </w:rPr>
            </w:pPr>
          </w:p>
        </w:tc>
        <w:tc>
          <w:tcPr>
            <w:tcW w:w="7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sz w:val="21"/>
                <w:szCs w:val="21"/>
                <w:highlight w:val="none"/>
                <w:u w:val="none"/>
              </w:rPr>
              <w:t>尖峰时段</w:t>
            </w: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sz w:val="21"/>
                <w:szCs w:val="21"/>
                <w:highlight w:val="none"/>
                <w:u w:val="none"/>
              </w:rPr>
              <w:t>高峰</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sz w:val="21"/>
                <w:szCs w:val="21"/>
                <w:highlight w:val="none"/>
                <w:u w:val="none"/>
              </w:rPr>
              <w:t>时段</w:t>
            </w:r>
          </w:p>
        </w:tc>
        <w:tc>
          <w:tcPr>
            <w:tcW w:w="6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sz w:val="21"/>
                <w:szCs w:val="21"/>
                <w:highlight w:val="none"/>
                <w:u w:val="none"/>
              </w:rPr>
              <w:t>平段</w:t>
            </w:r>
          </w:p>
        </w:tc>
        <w:tc>
          <w:tcPr>
            <w:tcW w:w="77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sz w:val="21"/>
                <w:szCs w:val="21"/>
                <w:highlight w:val="none"/>
                <w:u w:val="none"/>
              </w:rPr>
              <w:t>低谷</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highlight w:val="none"/>
                <w:u w:val="none"/>
                <w:lang w:val="en-US" w:eastAsia="zh-CN"/>
              </w:rPr>
            </w:pPr>
            <w:r>
              <w:rPr>
                <w:rFonts w:hint="default" w:ascii="Times New Roman" w:hAnsi="Times New Roman" w:eastAsia="宋体" w:cs="Times New Roman"/>
                <w:b/>
                <w:bCs/>
                <w:i w:val="0"/>
                <w:iCs w:val="0"/>
                <w:color w:val="000000"/>
                <w:sz w:val="21"/>
                <w:szCs w:val="21"/>
                <w:highlight w:val="none"/>
                <w:u w:val="none"/>
              </w:rPr>
              <w:t>时段</w:t>
            </w:r>
          </w:p>
        </w:tc>
        <w:tc>
          <w:tcPr>
            <w:tcW w:w="13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sz w:val="21"/>
                <w:szCs w:val="21"/>
                <w:highlight w:val="none"/>
                <w:u w:val="none"/>
              </w:rPr>
              <w:t>需量电价</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sz w:val="21"/>
                <w:szCs w:val="21"/>
                <w:highlight w:val="none"/>
                <w:u w:val="none"/>
              </w:rPr>
              <w:t>（元/千瓦·月）</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sz w:val="21"/>
                <w:szCs w:val="21"/>
                <w:highlight w:val="none"/>
                <w:u w:val="none"/>
              </w:rPr>
              <w:t>容量电价</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sz w:val="21"/>
                <w:szCs w:val="21"/>
                <w:highlight w:val="none"/>
                <w:u w:val="none"/>
              </w:rPr>
              <w:t>（元/千伏安·月）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jc w:val="center"/>
        </w:trPr>
        <w:tc>
          <w:tcPr>
            <w:tcW w:w="629" w:type="dxa"/>
            <w:vMerge w:val="restart"/>
            <w:tcBorders>
              <w:top w:val="nil"/>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工商业用电</w:t>
            </w:r>
          </w:p>
        </w:tc>
        <w:tc>
          <w:tcPr>
            <w:tcW w:w="590" w:type="dxa"/>
            <w:vMerge w:val="restart"/>
            <w:tcBorders>
              <w:top w:val="nil"/>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单一制</w:t>
            </w:r>
          </w:p>
        </w:tc>
        <w:tc>
          <w:tcPr>
            <w:tcW w:w="105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不满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1千伏</w:t>
            </w:r>
          </w:p>
        </w:tc>
        <w:tc>
          <w:tcPr>
            <w:tcW w:w="784" w:type="dxa"/>
            <w:vMerge w:val="restart"/>
            <w:tcBorders>
              <w:top w:val="nil"/>
              <w:left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购电价格随市场行情按月变动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954" w:type="dxa"/>
            <w:vMerge w:val="restart"/>
            <w:tcBorders>
              <w:top w:val="nil"/>
              <w:left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购电价格*5.79%/(1-5.79</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w:t>
            </w:r>
          </w:p>
        </w:tc>
        <w:tc>
          <w:tcPr>
            <w:tcW w:w="88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0.2560</w:t>
            </w:r>
          </w:p>
        </w:tc>
        <w:tc>
          <w:tcPr>
            <w:tcW w:w="9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97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915" w:type="dxa"/>
            <w:vMerge w:val="restart"/>
            <w:tcBorders>
              <w:top w:val="nil"/>
              <w:left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包含辅助服务费用、抽水蓄能容量电费、上网环节线损代理采购损益9项明细项目，每月根据实际情况计算</w:t>
            </w:r>
          </w:p>
        </w:tc>
        <w:tc>
          <w:tcPr>
            <w:tcW w:w="1155" w:type="dxa"/>
            <w:vMerge w:val="restart"/>
            <w:tcBorders>
              <w:top w:val="nil"/>
              <w:left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spacing w:val="-11"/>
                <w:kern w:val="0"/>
                <w:sz w:val="21"/>
                <w:szCs w:val="21"/>
                <w:u w:val="none"/>
                <w:lang w:val="en-US"/>
              </w:rPr>
              <w:t>0.04616875</w:t>
            </w:r>
          </w:p>
        </w:tc>
        <w:tc>
          <w:tcPr>
            <w:tcW w:w="2997" w:type="dxa"/>
            <w:gridSpan w:val="4"/>
            <w:vMerge w:val="restart"/>
            <w:tcBorders>
              <w:top w:val="nil"/>
              <w:left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购电价格、上网环节线损费用、输配电价参与分时浮动，高峰在平段电价上上浮60%，低谷在平段电价上下浮60%，尖峰在高峰电价上上浮20%</w:t>
            </w:r>
          </w:p>
        </w:tc>
        <w:tc>
          <w:tcPr>
            <w:tcW w:w="13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bCs/>
                <w:i w:val="0"/>
                <w:iCs w:val="0"/>
                <w:color w:val="000000"/>
                <w:kern w:val="2"/>
                <w:sz w:val="21"/>
                <w:szCs w:val="21"/>
                <w:u w:val="none"/>
                <w:lang w:val="en-US" w:eastAsia="zh-CN" w:bidi="ar-SA"/>
              </w:rPr>
            </w:pPr>
          </w:p>
        </w:tc>
        <w:tc>
          <w:tcPr>
            <w:tcW w:w="15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bCs/>
                <w:i w:val="0"/>
                <w:iCs w:val="0"/>
                <w:color w:val="00000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29"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590"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105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1-10千伏</w:t>
            </w:r>
          </w:p>
        </w:tc>
        <w:tc>
          <w:tcPr>
            <w:tcW w:w="784"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954"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88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0.2296</w:t>
            </w:r>
          </w:p>
        </w:tc>
        <w:tc>
          <w:tcPr>
            <w:tcW w:w="9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97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915" w:type="dxa"/>
            <w:vMerge w:val="continue"/>
            <w:tcBorders>
              <w:left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iCs w:val="0"/>
                <w:color w:val="000000"/>
                <w:sz w:val="21"/>
                <w:szCs w:val="21"/>
                <w:u w:val="none"/>
              </w:rPr>
            </w:pPr>
          </w:p>
        </w:tc>
        <w:tc>
          <w:tcPr>
            <w:tcW w:w="1155" w:type="dxa"/>
            <w:vMerge w:val="continue"/>
            <w:tcBorders>
              <w:left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iCs w:val="0"/>
                <w:color w:val="000000"/>
                <w:sz w:val="21"/>
                <w:szCs w:val="21"/>
                <w:u w:val="none"/>
              </w:rPr>
            </w:pPr>
          </w:p>
        </w:tc>
        <w:tc>
          <w:tcPr>
            <w:tcW w:w="2997" w:type="dxa"/>
            <w:gridSpan w:val="4"/>
            <w:vMerge w:val="continue"/>
            <w:tcBorders>
              <w:left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13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bCs/>
                <w:i w:val="0"/>
                <w:iCs w:val="0"/>
                <w:color w:val="000000"/>
                <w:kern w:val="2"/>
                <w:sz w:val="21"/>
                <w:szCs w:val="21"/>
                <w:u w:val="none"/>
                <w:lang w:val="en-US" w:eastAsia="zh-CN" w:bidi="ar-SA"/>
              </w:rPr>
            </w:pPr>
          </w:p>
        </w:tc>
        <w:tc>
          <w:tcPr>
            <w:tcW w:w="15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bCs/>
                <w:i w:val="0"/>
                <w:iCs w:val="0"/>
                <w:color w:val="00000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jc w:val="center"/>
        </w:trPr>
        <w:tc>
          <w:tcPr>
            <w:tcW w:w="629"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590"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105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35千伏及以上</w:t>
            </w:r>
          </w:p>
        </w:tc>
        <w:tc>
          <w:tcPr>
            <w:tcW w:w="784"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954"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88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0.1989</w:t>
            </w:r>
          </w:p>
        </w:tc>
        <w:tc>
          <w:tcPr>
            <w:tcW w:w="9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97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915" w:type="dxa"/>
            <w:vMerge w:val="continue"/>
            <w:tcBorders>
              <w:left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iCs w:val="0"/>
                <w:color w:val="000000"/>
                <w:sz w:val="21"/>
                <w:szCs w:val="21"/>
                <w:u w:val="none"/>
              </w:rPr>
            </w:pPr>
          </w:p>
        </w:tc>
        <w:tc>
          <w:tcPr>
            <w:tcW w:w="1155" w:type="dxa"/>
            <w:vMerge w:val="continue"/>
            <w:tcBorders>
              <w:left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iCs w:val="0"/>
                <w:color w:val="000000"/>
                <w:sz w:val="21"/>
                <w:szCs w:val="21"/>
                <w:u w:val="none"/>
              </w:rPr>
            </w:pPr>
          </w:p>
        </w:tc>
        <w:tc>
          <w:tcPr>
            <w:tcW w:w="2997" w:type="dxa"/>
            <w:gridSpan w:val="4"/>
            <w:vMerge w:val="continue"/>
            <w:tcBorders>
              <w:left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13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bCs/>
                <w:i w:val="0"/>
                <w:iCs w:val="0"/>
                <w:color w:val="000000"/>
                <w:kern w:val="2"/>
                <w:sz w:val="21"/>
                <w:szCs w:val="21"/>
                <w:u w:val="none"/>
                <w:lang w:val="en-US" w:eastAsia="zh-CN" w:bidi="ar-SA"/>
              </w:rPr>
            </w:pPr>
          </w:p>
        </w:tc>
        <w:tc>
          <w:tcPr>
            <w:tcW w:w="15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bCs/>
                <w:i w:val="0"/>
                <w:iCs w:val="0"/>
                <w:color w:val="00000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29"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590" w:type="dxa"/>
            <w:vMerge w:val="restart"/>
            <w:tcBorders>
              <w:top w:val="nil"/>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两部制</w:t>
            </w:r>
          </w:p>
        </w:tc>
        <w:tc>
          <w:tcPr>
            <w:tcW w:w="105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1-10千伏</w:t>
            </w:r>
          </w:p>
        </w:tc>
        <w:tc>
          <w:tcPr>
            <w:tcW w:w="784"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954"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88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0.1390</w:t>
            </w:r>
          </w:p>
        </w:tc>
        <w:tc>
          <w:tcPr>
            <w:tcW w:w="9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33</w:t>
            </w:r>
          </w:p>
        </w:tc>
        <w:tc>
          <w:tcPr>
            <w:tcW w:w="97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22</w:t>
            </w:r>
          </w:p>
        </w:tc>
        <w:tc>
          <w:tcPr>
            <w:tcW w:w="915" w:type="dxa"/>
            <w:vMerge w:val="continue"/>
            <w:tcBorders>
              <w:left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iCs w:val="0"/>
                <w:color w:val="000000"/>
                <w:sz w:val="21"/>
                <w:szCs w:val="21"/>
                <w:u w:val="none"/>
              </w:rPr>
            </w:pPr>
          </w:p>
        </w:tc>
        <w:tc>
          <w:tcPr>
            <w:tcW w:w="1155" w:type="dxa"/>
            <w:vMerge w:val="continue"/>
            <w:tcBorders>
              <w:left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iCs w:val="0"/>
                <w:color w:val="000000"/>
                <w:sz w:val="21"/>
                <w:szCs w:val="21"/>
                <w:u w:val="none"/>
              </w:rPr>
            </w:pPr>
          </w:p>
        </w:tc>
        <w:tc>
          <w:tcPr>
            <w:tcW w:w="2997" w:type="dxa"/>
            <w:gridSpan w:val="4"/>
            <w:vMerge w:val="continue"/>
            <w:tcBorders>
              <w:left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13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35</w:t>
            </w:r>
          </w:p>
        </w:tc>
        <w:tc>
          <w:tcPr>
            <w:tcW w:w="15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29"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590"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105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35千伏</w:t>
            </w:r>
          </w:p>
        </w:tc>
        <w:tc>
          <w:tcPr>
            <w:tcW w:w="784"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954"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88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0.1092</w:t>
            </w:r>
          </w:p>
        </w:tc>
        <w:tc>
          <w:tcPr>
            <w:tcW w:w="9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32</w:t>
            </w:r>
          </w:p>
        </w:tc>
        <w:tc>
          <w:tcPr>
            <w:tcW w:w="97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915" w:type="dxa"/>
            <w:vMerge w:val="continue"/>
            <w:tcBorders>
              <w:left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iCs w:val="0"/>
                <w:color w:val="000000"/>
                <w:sz w:val="21"/>
                <w:szCs w:val="21"/>
                <w:u w:val="none"/>
              </w:rPr>
            </w:pPr>
          </w:p>
        </w:tc>
        <w:tc>
          <w:tcPr>
            <w:tcW w:w="1155" w:type="dxa"/>
            <w:vMerge w:val="continue"/>
            <w:tcBorders>
              <w:left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iCs w:val="0"/>
                <w:color w:val="000000"/>
                <w:sz w:val="21"/>
                <w:szCs w:val="21"/>
                <w:u w:val="none"/>
              </w:rPr>
            </w:pPr>
          </w:p>
        </w:tc>
        <w:tc>
          <w:tcPr>
            <w:tcW w:w="2997" w:type="dxa"/>
            <w:gridSpan w:val="4"/>
            <w:vMerge w:val="continue"/>
            <w:tcBorders>
              <w:left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13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32</w:t>
            </w:r>
          </w:p>
        </w:tc>
        <w:tc>
          <w:tcPr>
            <w:tcW w:w="15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29"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590"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105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110千伏</w:t>
            </w:r>
          </w:p>
        </w:tc>
        <w:tc>
          <w:tcPr>
            <w:tcW w:w="784"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954"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88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0.0669</w:t>
            </w:r>
          </w:p>
        </w:tc>
        <w:tc>
          <w:tcPr>
            <w:tcW w:w="9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27</w:t>
            </w:r>
          </w:p>
        </w:tc>
        <w:tc>
          <w:tcPr>
            <w:tcW w:w="97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17</w:t>
            </w:r>
          </w:p>
        </w:tc>
        <w:tc>
          <w:tcPr>
            <w:tcW w:w="915" w:type="dxa"/>
            <w:vMerge w:val="continue"/>
            <w:tcBorders>
              <w:left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iCs w:val="0"/>
                <w:color w:val="000000"/>
                <w:sz w:val="21"/>
                <w:szCs w:val="21"/>
                <w:u w:val="none"/>
              </w:rPr>
            </w:pPr>
          </w:p>
        </w:tc>
        <w:tc>
          <w:tcPr>
            <w:tcW w:w="1155" w:type="dxa"/>
            <w:vMerge w:val="continue"/>
            <w:tcBorders>
              <w:left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iCs w:val="0"/>
                <w:color w:val="000000"/>
                <w:sz w:val="21"/>
                <w:szCs w:val="21"/>
                <w:u w:val="none"/>
              </w:rPr>
            </w:pPr>
          </w:p>
        </w:tc>
        <w:tc>
          <w:tcPr>
            <w:tcW w:w="2997" w:type="dxa"/>
            <w:gridSpan w:val="4"/>
            <w:vMerge w:val="continue"/>
            <w:tcBorders>
              <w:left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13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27</w:t>
            </w:r>
          </w:p>
        </w:tc>
        <w:tc>
          <w:tcPr>
            <w:tcW w:w="15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629"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590"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105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220千伏及以上</w:t>
            </w:r>
          </w:p>
        </w:tc>
        <w:tc>
          <w:tcPr>
            <w:tcW w:w="784"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954"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88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0.0478</w:t>
            </w:r>
          </w:p>
        </w:tc>
        <w:tc>
          <w:tcPr>
            <w:tcW w:w="9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97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915"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iCs w:val="0"/>
                <w:color w:val="000000"/>
                <w:sz w:val="21"/>
                <w:szCs w:val="21"/>
                <w:u w:val="none"/>
              </w:rPr>
            </w:pPr>
          </w:p>
        </w:tc>
        <w:tc>
          <w:tcPr>
            <w:tcW w:w="1155"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iCs w:val="0"/>
                <w:color w:val="000000"/>
                <w:sz w:val="21"/>
                <w:szCs w:val="21"/>
                <w:u w:val="none"/>
              </w:rPr>
            </w:pPr>
          </w:p>
        </w:tc>
        <w:tc>
          <w:tcPr>
            <w:tcW w:w="2997" w:type="dxa"/>
            <w:gridSpan w:val="4"/>
            <w:vMerge w:val="continue"/>
            <w:tcBorders>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13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15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15</w:t>
            </w:r>
          </w:p>
        </w:tc>
      </w:tr>
    </w:tbl>
    <w:p>
      <w:pPr>
        <w:keepNext w:val="0"/>
        <w:keepLines w:val="0"/>
        <w:pageBreakBefore w:val="0"/>
        <w:widowControl w:val="0"/>
        <w:suppressAutoHyphens/>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eastAsiaTheme="majorEastAsia"/>
          <w:snapToGrid w:val="0"/>
          <w:color w:val="000000" w:themeColor="text1"/>
          <w:spacing w:val="-2"/>
          <w:kern w:val="0"/>
          <w:sz w:val="18"/>
          <w:szCs w:val="18"/>
          <w:highlight w:val="yellow"/>
          <w:lang w:val="en-US" w:eastAsia="zh-CN" w:bidi="ar-SA"/>
          <w14:textFill>
            <w14:solidFill>
              <w14:schemeClr w14:val="tx1"/>
            </w14:solidFill>
          </w14:textFill>
        </w:rPr>
      </w:pPr>
      <w:r>
        <w:rPr>
          <w:rFonts w:hint="default" w:ascii="Times New Roman" w:hAnsi="Times New Roman" w:cs="Times New Roman" w:eastAsiaTheme="majorEastAsia"/>
          <w:snapToGrid w:val="0"/>
          <w:color w:val="000000" w:themeColor="text1"/>
          <w:spacing w:val="-2"/>
          <w:kern w:val="0"/>
          <w:sz w:val="18"/>
          <w:szCs w:val="18"/>
          <w:lang w:val="en-US" w:eastAsia="zh-CN" w:bidi="ar-SA"/>
          <w14:textFill>
            <w14:solidFill>
              <w14:schemeClr w14:val="tx1"/>
            </w14:solidFill>
          </w14:textFill>
        </w:rPr>
        <w:t>注：1.上表所列代理购电价格根据当月购电成本测算所得。</w:t>
      </w:r>
    </w:p>
    <w:p>
      <w:pPr>
        <w:keepNext w:val="0"/>
        <w:keepLines w:val="0"/>
        <w:pageBreakBefore w:val="0"/>
        <w:widowControl w:val="0"/>
        <w:suppressAutoHyphens/>
        <w:kinsoku/>
        <w:wordWrap/>
        <w:overflowPunct/>
        <w:topLinePunct w:val="0"/>
        <w:autoSpaceDE/>
        <w:autoSpaceDN/>
        <w:bidi w:val="0"/>
        <w:adjustRightInd/>
        <w:snapToGrid/>
        <w:spacing w:line="240" w:lineRule="exact"/>
        <w:ind w:firstLine="352" w:firstLineChars="200"/>
        <w:jc w:val="both"/>
        <w:textAlignment w:val="auto"/>
        <w:rPr>
          <w:rFonts w:hint="default" w:ascii="Times New Roman" w:hAnsi="Times New Roman" w:cs="Times New Roman" w:eastAsiaTheme="majorEastAsia"/>
          <w:snapToGrid w:val="0"/>
          <w:color w:val="000000" w:themeColor="text1"/>
          <w:spacing w:val="-2"/>
          <w:kern w:val="0"/>
          <w:sz w:val="18"/>
          <w:szCs w:val="18"/>
          <w:lang w:val="en-US" w:eastAsia="zh-CN" w:bidi="ar-SA"/>
          <w14:textFill>
            <w14:solidFill>
              <w14:schemeClr w14:val="tx1"/>
            </w14:solidFill>
          </w14:textFill>
        </w:rPr>
      </w:pPr>
      <w:r>
        <w:rPr>
          <w:rFonts w:hint="default" w:ascii="Times New Roman" w:hAnsi="Times New Roman" w:cs="Times New Roman" w:eastAsiaTheme="majorEastAsia"/>
          <w:snapToGrid w:val="0"/>
          <w:color w:val="000000" w:themeColor="text1"/>
          <w:spacing w:val="-2"/>
          <w:kern w:val="0"/>
          <w:sz w:val="18"/>
          <w:szCs w:val="18"/>
          <w:lang w:val="en-US" w:eastAsia="zh-CN" w:bidi="ar-SA"/>
          <w14:textFill>
            <w14:solidFill>
              <w14:schemeClr w14:val="tx1"/>
            </w14:solidFill>
          </w14:textFill>
        </w:rPr>
        <w:t>2.上表所列用电价格由代理购电价格、上网环节线损费用、输配电价、系统运行费用、政府性基金及附加组成。其中政府性基金及附加包含：农网还贷资金2分/千瓦时(其中：核工程铀扩散厂和堆化工厂生产用电按0.3分/千瓦时征收，用电价格在表列价格基础上降低1.7分/千瓦时；抗灾救灾用电免征农网还贷资金，用电价格在表列价格基础上降低2分/千瓦时)；重大水利工程建设基金0.196875分/千瓦时；大中型水库移民后期扶持资金0.62分/千瓦时；可再生能源电价附加1.8分/千瓦时。</w:t>
      </w:r>
    </w:p>
    <w:p>
      <w:pPr>
        <w:keepNext w:val="0"/>
        <w:keepLines w:val="0"/>
        <w:pageBreakBefore w:val="0"/>
        <w:widowControl w:val="0"/>
        <w:suppressAutoHyphens/>
        <w:kinsoku/>
        <w:wordWrap/>
        <w:overflowPunct/>
        <w:topLinePunct w:val="0"/>
        <w:autoSpaceDE/>
        <w:autoSpaceDN/>
        <w:bidi w:val="0"/>
        <w:adjustRightInd/>
        <w:snapToGrid/>
        <w:spacing w:line="240" w:lineRule="exact"/>
        <w:ind w:firstLine="352" w:firstLineChars="200"/>
        <w:jc w:val="both"/>
        <w:textAlignment w:val="auto"/>
        <w:rPr>
          <w:rFonts w:hint="default" w:ascii="Times New Roman" w:hAnsi="Times New Roman" w:cs="Times New Roman" w:eastAsiaTheme="majorEastAsia"/>
          <w:snapToGrid w:val="0"/>
          <w:color w:val="000000" w:themeColor="text1"/>
          <w:spacing w:val="-2"/>
          <w:kern w:val="0"/>
          <w:sz w:val="18"/>
          <w:szCs w:val="18"/>
          <w:lang w:val="en-US" w:eastAsia="zh-CN" w:bidi="ar-SA"/>
          <w14:textFill>
            <w14:solidFill>
              <w14:schemeClr w14:val="tx1"/>
            </w14:solidFill>
          </w14:textFill>
        </w:rPr>
      </w:pPr>
      <w:r>
        <w:rPr>
          <w:rFonts w:hint="default" w:ascii="Times New Roman" w:hAnsi="Times New Roman" w:cs="Times New Roman" w:eastAsiaTheme="majorEastAsia"/>
          <w:snapToGrid w:val="0"/>
          <w:color w:val="000000" w:themeColor="text1"/>
          <w:spacing w:val="-2"/>
          <w:kern w:val="0"/>
          <w:sz w:val="18"/>
          <w:szCs w:val="18"/>
          <w:lang w:val="en-US" w:eastAsia="zh-CN" w:bidi="ar-SA"/>
          <w14:textFill>
            <w14:solidFill>
              <w14:schemeClr w14:val="tx1"/>
            </w14:solidFill>
          </w14:textFill>
        </w:rPr>
        <w:t>3.符合我省分时电价政策执行范围的由电网企业代理购电的工商业用户和直接从电力市场购电的工商业用户，执行峰谷分时电价政策。分时电价时段划分：高峰时段10:00-12:00，15:00-21:00；平段7:00-10:00，12:00-15:00，21:00-23:00；低谷时段23:00-次日7:00。高峰时段电价在平段电价上上浮60%，低谷时段电价在平段电价上下浮60%。夏季（7月、8月）15:00-17:00、冬季（1月、12月）19:00-21:00，对执行分时电价的大工业用户实行尖峰电价政策，用电价格在高峰时段电价基础上上浮20%。</w:t>
      </w:r>
    </w:p>
    <w:p>
      <w:pPr>
        <w:keepNext w:val="0"/>
        <w:keepLines w:val="0"/>
        <w:pageBreakBefore w:val="0"/>
        <w:widowControl w:val="0"/>
        <w:suppressAutoHyphens/>
        <w:kinsoku/>
        <w:wordWrap/>
        <w:overflowPunct/>
        <w:topLinePunct w:val="0"/>
        <w:autoSpaceDE/>
        <w:autoSpaceDN/>
        <w:bidi w:val="0"/>
        <w:adjustRightInd/>
        <w:snapToGrid/>
        <w:spacing w:line="240" w:lineRule="exact"/>
        <w:ind w:firstLine="352" w:firstLineChars="200"/>
        <w:jc w:val="both"/>
        <w:textAlignment w:val="auto"/>
        <w:rPr>
          <w:rFonts w:hint="default" w:ascii="Times New Roman" w:hAnsi="Times New Roman" w:cs="Times New Roman" w:eastAsiaTheme="majorEastAsia"/>
          <w:snapToGrid w:val="0"/>
          <w:color w:val="000000" w:themeColor="text1"/>
          <w:spacing w:val="-2"/>
          <w:kern w:val="0"/>
          <w:sz w:val="18"/>
          <w:szCs w:val="18"/>
          <w:lang w:val="en-US" w:eastAsia="zh-CN" w:bidi="ar-SA"/>
          <w14:textFill>
            <w14:solidFill>
              <w14:schemeClr w14:val="tx1"/>
            </w14:solidFill>
          </w14:textFill>
        </w:rPr>
      </w:pPr>
      <w:r>
        <w:rPr>
          <w:rFonts w:hint="default" w:ascii="Times New Roman" w:hAnsi="Times New Roman" w:cs="Times New Roman" w:eastAsiaTheme="majorEastAsia"/>
          <w:snapToGrid w:val="0"/>
          <w:color w:val="000000" w:themeColor="text1"/>
          <w:spacing w:val="-2"/>
          <w:kern w:val="0"/>
          <w:sz w:val="18"/>
          <w:szCs w:val="18"/>
          <w:lang w:val="en-US" w:eastAsia="zh-CN" w:bidi="ar-SA"/>
          <w14:textFill>
            <w14:solidFill>
              <w14:schemeClr w14:val="tx1"/>
            </w14:solidFill>
          </w14:textFill>
        </w:rPr>
        <w:t>4.已直接参与市场交易改由电网企业代理购电的用户、拥有燃煤发电自备电厂由电网企业代理购电的用户、由电网企业代理购电的高耗能用户，用电价格由电网企业代理购电价格的1.5倍、上网环节线损费用、输配电价、系统运行费用、政府性基金及附加组成。</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ajorEastAsia"/>
          <w:snapToGrid w:val="0"/>
          <w:color w:val="000000" w:themeColor="text1"/>
          <w:spacing w:val="-2"/>
          <w:kern w:val="0"/>
          <w:sz w:val="18"/>
          <w:szCs w:val="18"/>
          <w:lang w:val="en-US" w:eastAsia="zh-CN" w:bidi="ar-SA"/>
          <w14:textFill>
            <w14:solidFill>
              <w14:schemeClr w14:val="tx1"/>
            </w14:solidFill>
          </w14:textFill>
        </w:rPr>
      </w:pPr>
    </w:p>
    <w:p>
      <w:pPr>
        <w:jc w:val="center"/>
        <w:rPr>
          <w:rFonts w:hint="default" w:ascii="Times New Roman" w:hAnsi="Times New Roman" w:eastAsia="方正小标宋简体" w:cs="Times New Roman"/>
          <w:b w:val="0"/>
          <w:bCs w:val="0"/>
          <w:color w:val="000000" w:themeColor="text1"/>
          <w:spacing w:val="23"/>
          <w:sz w:val="40"/>
          <w:szCs w:val="40"/>
          <w14:textFill>
            <w14:solidFill>
              <w14:schemeClr w14:val="tx1"/>
            </w14:solidFill>
          </w14:textFill>
        </w:rPr>
      </w:pPr>
      <w:r>
        <w:rPr>
          <w:rFonts w:hint="default" w:ascii="Times New Roman" w:hAnsi="Times New Roman" w:eastAsia="方正小标宋简体" w:cs="Times New Roman"/>
          <w:b w:val="0"/>
          <w:bCs w:val="0"/>
          <w:color w:val="000000" w:themeColor="text1"/>
          <w:spacing w:val="23"/>
          <w:sz w:val="40"/>
          <w:szCs w:val="40"/>
          <w14:textFill>
            <w14:solidFill>
              <w14:schemeClr w14:val="tx1"/>
            </w14:solidFill>
          </w14:textFill>
        </w:rPr>
        <w:t>工业用水价格表</w:t>
      </w:r>
    </w:p>
    <w:p>
      <w:pPr>
        <w:spacing w:line="240" w:lineRule="exact"/>
        <w:jc w:val="right"/>
        <w:rPr>
          <w:rFonts w:hint="default" w:ascii="Times New Roman" w:hAnsi="Times New Roman" w:cs="Times New Roman" w:eastAsiaTheme="majorEastAsia"/>
          <w:b/>
          <w:bCs/>
          <w:color w:val="000000" w:themeColor="text1"/>
          <w:spacing w:val="15"/>
          <w:sz w:val="24"/>
          <w:szCs w:val="24"/>
          <w14:textFill>
            <w14:solidFill>
              <w14:schemeClr w14:val="tx1"/>
            </w14:solidFill>
          </w14:textFill>
        </w:rPr>
      </w:pPr>
      <w:r>
        <w:rPr>
          <w:rFonts w:hint="default" w:ascii="Times New Roman" w:hAnsi="Times New Roman" w:cs="Times New Roman" w:eastAsiaTheme="majorEastAsia"/>
          <w:b/>
          <w:bCs/>
          <w:color w:val="000000" w:themeColor="text1"/>
          <w:spacing w:val="15"/>
          <w:sz w:val="24"/>
          <w:szCs w:val="24"/>
          <w14:textFill>
            <w14:solidFill>
              <w14:schemeClr w14:val="tx1"/>
            </w14:solidFill>
          </w14:textFill>
        </w:rPr>
        <w:t>单位：元/吨</w:t>
      </w:r>
    </w:p>
    <w:tbl>
      <w:tblPr>
        <w:tblStyle w:val="19"/>
        <w:tblW w:w="500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680"/>
        <w:gridCol w:w="105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90" w:type="pct"/>
            <w:shd w:val="clear" w:color="auto" w:fill="auto"/>
            <w:vAlign w:val="center"/>
          </w:tcPr>
          <w:p>
            <w:pPr>
              <w:pStyle w:val="18"/>
              <w:spacing w:line="240" w:lineRule="exact"/>
              <w:jc w:val="center"/>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b/>
                <w:bCs/>
                <w:color w:val="000000" w:themeColor="text1"/>
                <w:spacing w:val="-4"/>
                <w:sz w:val="24"/>
                <w:szCs w:val="24"/>
                <w14:textFill>
                  <w14:solidFill>
                    <w14:schemeClr w14:val="tx1"/>
                  </w14:solidFill>
                </w14:textFill>
              </w:rPr>
              <w:t>类</w:t>
            </w:r>
            <w:r>
              <w:rPr>
                <w:rFonts w:hint="default" w:ascii="Times New Roman" w:hAnsi="Times New Roman" w:cs="Times New Roman" w:eastAsiaTheme="majorEastAsia"/>
                <w:color w:val="000000" w:themeColor="text1"/>
                <w:spacing w:val="6"/>
                <w:sz w:val="24"/>
                <w:szCs w:val="24"/>
                <w14:textFill>
                  <w14:solidFill>
                    <w14:schemeClr w14:val="tx1"/>
                  </w14:solidFill>
                </w14:textFill>
              </w:rPr>
              <w:t xml:space="preserve"> </w:t>
            </w:r>
            <w:r>
              <w:rPr>
                <w:rFonts w:hint="default" w:ascii="Times New Roman" w:hAnsi="Times New Roman" w:cs="Times New Roman" w:eastAsiaTheme="majorEastAsia"/>
                <w:b/>
                <w:bCs/>
                <w:color w:val="000000" w:themeColor="text1"/>
                <w:spacing w:val="-4"/>
                <w:sz w:val="24"/>
                <w:szCs w:val="24"/>
                <w14:textFill>
                  <w14:solidFill>
                    <w14:schemeClr w14:val="tx1"/>
                  </w14:solidFill>
                </w14:textFill>
              </w:rPr>
              <w:t>别</w:t>
            </w:r>
          </w:p>
        </w:tc>
        <w:tc>
          <w:tcPr>
            <w:tcW w:w="3709" w:type="pct"/>
            <w:shd w:val="clear" w:color="auto" w:fill="auto"/>
            <w:vAlign w:val="center"/>
          </w:tcPr>
          <w:p>
            <w:pPr>
              <w:pStyle w:val="18"/>
              <w:spacing w:line="240" w:lineRule="exact"/>
              <w:jc w:val="center"/>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b/>
                <w:bCs/>
                <w:color w:val="000000" w:themeColor="text1"/>
                <w:spacing w:val="-5"/>
                <w:sz w:val="24"/>
                <w:szCs w:val="24"/>
                <w14:textFill>
                  <w14:solidFill>
                    <w14:schemeClr w14:val="tx1"/>
                  </w14:solidFill>
                </w14:textFill>
              </w:rPr>
              <w:t>价</w:t>
            </w:r>
            <w:r>
              <w:rPr>
                <w:rFonts w:hint="default" w:ascii="Times New Roman" w:hAnsi="Times New Roman" w:cs="Times New Roman" w:eastAsiaTheme="majorEastAsia"/>
                <w:color w:val="000000" w:themeColor="text1"/>
                <w:spacing w:val="5"/>
                <w:sz w:val="24"/>
                <w:szCs w:val="24"/>
                <w14:textFill>
                  <w14:solidFill>
                    <w14:schemeClr w14:val="tx1"/>
                  </w14:solidFill>
                </w14:textFill>
              </w:rPr>
              <w:t xml:space="preserve"> </w:t>
            </w:r>
            <w:r>
              <w:rPr>
                <w:rFonts w:hint="default" w:ascii="Times New Roman" w:hAnsi="Times New Roman" w:cs="Times New Roman" w:eastAsiaTheme="majorEastAsia"/>
                <w:b/>
                <w:bCs/>
                <w:color w:val="000000" w:themeColor="text1"/>
                <w:spacing w:val="-5"/>
                <w:sz w:val="24"/>
                <w:szCs w:val="24"/>
                <w14:textFill>
                  <w14:solidFill>
                    <w14:schemeClr w14:val="tx1"/>
                  </w14:solidFill>
                </w14:textFill>
              </w:rPr>
              <w:t>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90" w:type="pct"/>
            <w:vAlign w:val="center"/>
          </w:tcPr>
          <w:p>
            <w:pPr>
              <w:pStyle w:val="18"/>
              <w:spacing w:line="240" w:lineRule="exact"/>
              <w:jc w:val="center"/>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pacing w:val="-2"/>
                <w:sz w:val="24"/>
                <w:szCs w:val="24"/>
                <w14:textFill>
                  <w14:solidFill>
                    <w14:schemeClr w14:val="tx1"/>
                  </w14:solidFill>
                </w14:textFill>
              </w:rPr>
              <w:t>工业用水</w:t>
            </w:r>
          </w:p>
        </w:tc>
        <w:tc>
          <w:tcPr>
            <w:tcW w:w="3709" w:type="pct"/>
            <w:vAlign w:val="center"/>
          </w:tcPr>
          <w:p>
            <w:pPr>
              <w:pStyle w:val="18"/>
              <w:spacing w:line="240" w:lineRule="exact"/>
              <w:jc w:val="center"/>
              <w:rPr>
                <w:rFonts w:hint="default" w:ascii="Times New Roman" w:hAnsi="Times New Roman" w:cs="Times New Roman" w:eastAsiaTheme="majorEastAsia"/>
                <w:color w:val="000000" w:themeColor="text1"/>
                <w:sz w:val="24"/>
                <w:szCs w:val="24"/>
                <w:lang w:eastAsia="zh-CN"/>
                <w14:textFill>
                  <w14:solidFill>
                    <w14:schemeClr w14:val="tx1"/>
                  </w14:solidFill>
                </w14:textFill>
              </w:rPr>
            </w:pPr>
            <w:r>
              <w:rPr>
                <w:rFonts w:hint="default" w:ascii="Times New Roman" w:hAnsi="Times New Roman" w:cs="Times New Roman" w:eastAsiaTheme="majorEastAsia"/>
                <w:color w:val="000000" w:themeColor="text1"/>
                <w:spacing w:val="1"/>
                <w:sz w:val="24"/>
                <w:szCs w:val="24"/>
                <w:lang w:eastAsia="zh-CN"/>
                <w14:textFill>
                  <w14:solidFill>
                    <w14:schemeClr w14:val="tx1"/>
                  </w14:solidFill>
                </w14:textFill>
              </w:rPr>
              <w:t>3.39</w:t>
            </w:r>
            <w:r>
              <w:rPr>
                <w:rFonts w:hint="eastAsia" w:ascii="Times New Roman" w:hAnsi="Times New Roman" w:cs="Times New Roman" w:eastAsiaTheme="majorEastAsia"/>
                <w:color w:val="000000" w:themeColor="text1"/>
                <w:spacing w:val="1"/>
                <w:sz w:val="24"/>
                <w:szCs w:val="24"/>
                <w:lang w:eastAsia="zh-CN"/>
                <w14:textFill>
                  <w14:solidFill>
                    <w14:schemeClr w14:val="tx1"/>
                  </w14:solidFill>
                </w14:textFill>
              </w:rPr>
              <w:t>（</w:t>
            </w:r>
            <w:r>
              <w:rPr>
                <w:rFonts w:hint="default" w:ascii="Times New Roman" w:hAnsi="Times New Roman" w:cs="Times New Roman" w:eastAsiaTheme="majorEastAsia"/>
                <w:color w:val="000000" w:themeColor="text1"/>
                <w:spacing w:val="1"/>
                <w:sz w:val="24"/>
                <w:szCs w:val="24"/>
                <w:lang w:eastAsia="zh-CN"/>
                <w14:textFill>
                  <w14:solidFill>
                    <w14:schemeClr w14:val="tx1"/>
                  </w14:solidFill>
                </w14:textFill>
              </w:rPr>
              <w:t>水价2.1</w:t>
            </w:r>
            <w:r>
              <w:rPr>
                <w:rFonts w:hint="eastAsia" w:ascii="Times New Roman" w:hAnsi="Times New Roman" w:cs="Times New Roman" w:eastAsiaTheme="majorEastAsia"/>
                <w:color w:val="000000" w:themeColor="text1"/>
                <w:spacing w:val="1"/>
                <w:sz w:val="24"/>
                <w:szCs w:val="24"/>
                <w:lang w:eastAsia="zh-CN"/>
                <w14:textFill>
                  <w14:solidFill>
                    <w14:schemeClr w14:val="tx1"/>
                  </w14:solidFill>
                </w14:textFill>
              </w:rPr>
              <w:t>，</w:t>
            </w:r>
            <w:r>
              <w:rPr>
                <w:rFonts w:hint="default" w:ascii="Times New Roman" w:hAnsi="Times New Roman" w:cs="Times New Roman" w:eastAsiaTheme="majorEastAsia"/>
                <w:color w:val="000000" w:themeColor="text1"/>
                <w:spacing w:val="1"/>
                <w:sz w:val="24"/>
                <w:szCs w:val="24"/>
                <w:lang w:eastAsia="zh-CN"/>
                <w14:textFill>
                  <w14:solidFill>
                    <w14:schemeClr w14:val="tx1"/>
                  </w14:solidFill>
                </w14:textFill>
              </w:rPr>
              <w:t>水资源费0.09</w:t>
            </w:r>
            <w:r>
              <w:rPr>
                <w:rFonts w:hint="eastAsia" w:ascii="Times New Roman" w:hAnsi="Times New Roman" w:cs="Times New Roman" w:eastAsiaTheme="majorEastAsia"/>
                <w:color w:val="000000" w:themeColor="text1"/>
                <w:spacing w:val="1"/>
                <w:sz w:val="24"/>
                <w:szCs w:val="24"/>
                <w:lang w:eastAsia="zh-CN"/>
                <w14:textFill>
                  <w14:solidFill>
                    <w14:schemeClr w14:val="tx1"/>
                  </w14:solidFill>
                </w14:textFill>
              </w:rPr>
              <w:t>，</w:t>
            </w:r>
            <w:r>
              <w:rPr>
                <w:rFonts w:hint="default" w:ascii="Times New Roman" w:hAnsi="Times New Roman" w:cs="Times New Roman" w:eastAsiaTheme="majorEastAsia"/>
                <w:color w:val="000000" w:themeColor="text1"/>
                <w:spacing w:val="1"/>
                <w:sz w:val="24"/>
                <w:szCs w:val="24"/>
                <w:lang w:eastAsia="zh-CN"/>
                <w14:textFill>
                  <w14:solidFill>
                    <w14:schemeClr w14:val="tx1"/>
                  </w14:solidFill>
                </w14:textFill>
              </w:rPr>
              <w:t>污水处理费1.</w:t>
            </w:r>
            <w:r>
              <w:rPr>
                <w:rFonts w:hint="default" w:ascii="Times New Roman" w:hAnsi="Times New Roman" w:cs="Times New Roman" w:eastAsiaTheme="majorEastAsia"/>
                <w:color w:val="000000" w:themeColor="text1"/>
                <w:sz w:val="24"/>
                <w:szCs w:val="24"/>
                <w:lang w:eastAsia="zh-CN"/>
                <w14:textFill>
                  <w14:solidFill>
                    <w14:schemeClr w14:val="tx1"/>
                  </w14:solidFill>
                </w14:textFill>
              </w:rPr>
              <w:t>2</w:t>
            </w:r>
            <w:r>
              <w:rPr>
                <w:rFonts w:hint="eastAsia" w:ascii="Times New Roman" w:hAnsi="Times New Roman" w:cs="Times New Roman" w:eastAsiaTheme="majorEastAsia"/>
                <w:color w:val="000000" w:themeColor="text1"/>
                <w:spacing w:val="1"/>
                <w:sz w:val="24"/>
                <w:szCs w:val="24"/>
                <w:lang w:eastAsia="zh-CN"/>
                <w14:textFill>
                  <w14:solidFill>
                    <w14:schemeClr w14:val="tx1"/>
                  </w14:solidFill>
                </w14:textFill>
              </w:rPr>
              <w:t>）</w:t>
            </w:r>
          </w:p>
        </w:tc>
      </w:tr>
    </w:tbl>
    <w:p>
      <w:pPr>
        <w:spacing w:line="240" w:lineRule="exact"/>
        <w:rPr>
          <w:rFonts w:hint="default" w:ascii="Times New Roman" w:hAnsi="Times New Roman" w:cs="Times New Roman" w:eastAsiaTheme="majorEastAsia"/>
          <w:color w:val="000000" w:themeColor="text1"/>
          <w:sz w:val="24"/>
          <w:szCs w:val="24"/>
          <w14:textFill>
            <w14:solidFill>
              <w14:schemeClr w14:val="tx1"/>
            </w14:solidFill>
          </w14:textFill>
        </w:rPr>
      </w:pPr>
    </w:p>
    <w:p>
      <w:pPr>
        <w:widowControl/>
        <w:jc w:val="left"/>
        <w:rPr>
          <w:rFonts w:hint="default" w:ascii="Times New Roman" w:hAnsi="Times New Roman" w:eastAsia="楷体_GB2312" w:cs="Times New Roman"/>
          <w:b/>
          <w:bCs/>
          <w:color w:val="000000" w:themeColor="text1"/>
          <w:spacing w:val="15"/>
          <w14:textFill>
            <w14:solidFill>
              <w14:schemeClr w14:val="tx1"/>
            </w14:solidFill>
          </w14:textFill>
        </w:rPr>
      </w:pPr>
    </w:p>
    <w:p>
      <w:pPr>
        <w:jc w:val="center"/>
        <w:rPr>
          <w:rFonts w:hint="default" w:ascii="Times New Roman" w:hAnsi="Times New Roman" w:eastAsia="方正小标宋简体" w:cs="Times New Roman"/>
          <w:b w:val="0"/>
          <w:bCs w:val="0"/>
          <w:color w:val="000000" w:themeColor="text1"/>
          <w:spacing w:val="23"/>
          <w:sz w:val="40"/>
          <w:szCs w:val="40"/>
          <w14:textFill>
            <w14:solidFill>
              <w14:schemeClr w14:val="tx1"/>
            </w14:solidFill>
          </w14:textFill>
        </w:rPr>
      </w:pPr>
      <w:r>
        <w:rPr>
          <w:rFonts w:hint="default" w:ascii="Times New Roman" w:hAnsi="Times New Roman" w:eastAsia="方正小标宋简体" w:cs="Times New Roman"/>
          <w:b w:val="0"/>
          <w:bCs w:val="0"/>
          <w:color w:val="000000" w:themeColor="text1"/>
          <w:spacing w:val="23"/>
          <w:sz w:val="40"/>
          <w:szCs w:val="40"/>
          <w14:textFill>
            <w14:solidFill>
              <w14:schemeClr w14:val="tx1"/>
            </w14:solidFill>
          </w14:textFill>
        </w:rPr>
        <w:t>工业用气价格表</w:t>
      </w:r>
    </w:p>
    <w:p>
      <w:pPr>
        <w:spacing w:line="240" w:lineRule="exact"/>
        <w:jc w:val="right"/>
        <w:rPr>
          <w:rFonts w:hint="default" w:ascii="Times New Roman" w:hAnsi="Times New Roman" w:cs="Times New Roman" w:eastAsiaTheme="majorEastAsia"/>
          <w:b/>
          <w:bCs/>
          <w:color w:val="000000" w:themeColor="text1"/>
          <w:spacing w:val="15"/>
          <w:sz w:val="24"/>
          <w:szCs w:val="24"/>
          <w14:textFill>
            <w14:solidFill>
              <w14:schemeClr w14:val="tx1"/>
            </w14:solidFill>
          </w14:textFill>
        </w:rPr>
      </w:pPr>
      <w:r>
        <w:rPr>
          <w:rFonts w:hint="default" w:ascii="Times New Roman" w:hAnsi="Times New Roman" w:cs="Times New Roman" w:eastAsiaTheme="majorEastAsia"/>
          <w:b/>
          <w:bCs/>
          <w:color w:val="000000" w:themeColor="text1"/>
          <w:spacing w:val="15"/>
          <w:sz w:val="24"/>
          <w:szCs w:val="24"/>
          <w14:textFill>
            <w14:solidFill>
              <w14:schemeClr w14:val="tx1"/>
            </w14:solidFill>
          </w14:textFill>
        </w:rPr>
        <w:t>单位：元/立方</w:t>
      </w:r>
    </w:p>
    <w:tbl>
      <w:tblPr>
        <w:tblStyle w:val="19"/>
        <w:tblW w:w="500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143"/>
        <w:gridCol w:w="111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02" w:type="pct"/>
            <w:shd w:val="clear" w:color="auto" w:fill="auto"/>
            <w:vAlign w:val="center"/>
          </w:tcPr>
          <w:p>
            <w:pPr>
              <w:pStyle w:val="18"/>
              <w:spacing w:line="240" w:lineRule="exact"/>
              <w:ind w:left="426"/>
              <w:jc w:val="center"/>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b/>
                <w:bCs/>
                <w:color w:val="000000" w:themeColor="text1"/>
                <w:spacing w:val="-5"/>
                <w:sz w:val="24"/>
                <w:szCs w:val="24"/>
                <w14:textFill>
                  <w14:solidFill>
                    <w14:schemeClr w14:val="tx1"/>
                  </w14:solidFill>
                </w14:textFill>
              </w:rPr>
              <w:t>类</w:t>
            </w:r>
            <w:r>
              <w:rPr>
                <w:rFonts w:hint="default" w:ascii="Times New Roman" w:hAnsi="Times New Roman" w:cs="Times New Roman" w:eastAsiaTheme="majorEastAsia"/>
                <w:color w:val="000000" w:themeColor="text1"/>
                <w:spacing w:val="7"/>
                <w:sz w:val="24"/>
                <w:szCs w:val="24"/>
                <w14:textFill>
                  <w14:solidFill>
                    <w14:schemeClr w14:val="tx1"/>
                  </w14:solidFill>
                </w14:textFill>
              </w:rPr>
              <w:t xml:space="preserve"> </w:t>
            </w:r>
            <w:r>
              <w:rPr>
                <w:rFonts w:hint="default" w:ascii="Times New Roman" w:hAnsi="Times New Roman" w:cs="Times New Roman" w:eastAsiaTheme="majorEastAsia"/>
                <w:b/>
                <w:bCs/>
                <w:color w:val="000000" w:themeColor="text1"/>
                <w:spacing w:val="-5"/>
                <w:sz w:val="24"/>
                <w:szCs w:val="24"/>
                <w14:textFill>
                  <w14:solidFill>
                    <w14:schemeClr w14:val="tx1"/>
                  </w14:solidFill>
                </w14:textFill>
              </w:rPr>
              <w:t>别</w:t>
            </w:r>
          </w:p>
        </w:tc>
        <w:tc>
          <w:tcPr>
            <w:tcW w:w="3897" w:type="pct"/>
            <w:shd w:val="clear" w:color="auto" w:fill="auto"/>
            <w:vAlign w:val="center"/>
          </w:tcPr>
          <w:p>
            <w:pPr>
              <w:pStyle w:val="18"/>
              <w:spacing w:line="240" w:lineRule="exact"/>
              <w:ind w:left="1944"/>
              <w:jc w:val="center"/>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b/>
                <w:bCs/>
                <w:color w:val="000000" w:themeColor="text1"/>
                <w:spacing w:val="-5"/>
                <w:sz w:val="24"/>
                <w:szCs w:val="24"/>
                <w14:textFill>
                  <w14:solidFill>
                    <w14:schemeClr w14:val="tx1"/>
                  </w14:solidFill>
                </w14:textFill>
              </w:rPr>
              <w:t>价</w:t>
            </w:r>
            <w:r>
              <w:rPr>
                <w:rFonts w:hint="default" w:ascii="Times New Roman" w:hAnsi="Times New Roman" w:cs="Times New Roman" w:eastAsiaTheme="majorEastAsia"/>
                <w:color w:val="000000" w:themeColor="text1"/>
                <w:spacing w:val="2"/>
                <w:sz w:val="24"/>
                <w:szCs w:val="24"/>
                <w14:textFill>
                  <w14:solidFill>
                    <w14:schemeClr w14:val="tx1"/>
                  </w14:solidFill>
                </w14:textFill>
              </w:rPr>
              <w:t xml:space="preserve">  </w:t>
            </w:r>
            <w:r>
              <w:rPr>
                <w:rFonts w:hint="default" w:ascii="Times New Roman" w:hAnsi="Times New Roman" w:cs="Times New Roman" w:eastAsiaTheme="majorEastAsia"/>
                <w:b/>
                <w:bCs/>
                <w:color w:val="000000" w:themeColor="text1"/>
                <w:spacing w:val="-5"/>
                <w:sz w:val="24"/>
                <w:szCs w:val="24"/>
                <w14:textFill>
                  <w14:solidFill>
                    <w14:schemeClr w14:val="tx1"/>
                  </w14:solidFill>
                </w14:textFill>
              </w:rPr>
              <w:t>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02" w:type="pct"/>
            <w:vAlign w:val="center"/>
          </w:tcPr>
          <w:p>
            <w:pPr>
              <w:pStyle w:val="18"/>
              <w:spacing w:line="240" w:lineRule="exact"/>
              <w:ind w:left="324"/>
              <w:jc w:val="center"/>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pacing w:val="-2"/>
                <w:sz w:val="24"/>
                <w:szCs w:val="24"/>
                <w14:textFill>
                  <w14:solidFill>
                    <w14:schemeClr w14:val="tx1"/>
                  </w14:solidFill>
                </w14:textFill>
              </w:rPr>
              <w:t>工业用气</w:t>
            </w:r>
          </w:p>
        </w:tc>
        <w:tc>
          <w:tcPr>
            <w:tcW w:w="3897" w:type="pct"/>
            <w:vAlign w:val="center"/>
          </w:tcPr>
          <w:p>
            <w:pPr>
              <w:pStyle w:val="18"/>
              <w:spacing w:line="240" w:lineRule="exact"/>
              <w:ind w:left="2043"/>
              <w:jc w:val="center"/>
              <w:rPr>
                <w:rFonts w:hint="eastAsia" w:ascii="Times New Roman" w:hAnsi="Times New Roman" w:cs="Times New Roman" w:eastAsiaTheme="maj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ajorEastAsia"/>
                <w:color w:val="000000" w:themeColor="text1"/>
                <w:spacing w:val="-2"/>
                <w:position w:val="-2"/>
                <w:sz w:val="24"/>
                <w:szCs w:val="24"/>
                <w14:textFill>
                  <w14:solidFill>
                    <w14:schemeClr w14:val="tx1"/>
                  </w14:solidFill>
                </w14:textFill>
              </w:rPr>
              <w:t>3.4</w:t>
            </w:r>
            <w:r>
              <w:rPr>
                <w:rFonts w:hint="eastAsia" w:ascii="Times New Roman" w:hAnsi="Times New Roman" w:cs="Times New Roman" w:eastAsiaTheme="majorEastAsia"/>
                <w:color w:val="000000" w:themeColor="text1"/>
                <w:spacing w:val="-2"/>
                <w:position w:val="-2"/>
                <w:sz w:val="24"/>
                <w:szCs w:val="24"/>
                <w:lang w:val="en-US" w:eastAsia="zh-CN"/>
                <w14:textFill>
                  <w14:solidFill>
                    <w14:schemeClr w14:val="tx1"/>
                  </w14:solidFill>
                </w14:textFill>
              </w:rPr>
              <w:t>5</w:t>
            </w:r>
          </w:p>
        </w:tc>
      </w:tr>
    </w:tbl>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jc w:val="center"/>
        <w:rPr>
          <w:rFonts w:hint="eastAsia" w:ascii="Times New Roman" w:hAnsi="Times New Roman" w:eastAsia="方正小标宋简体" w:cs="Times New Roman"/>
          <w:b w:val="0"/>
          <w:bCs w:val="0"/>
          <w:color w:val="000000" w:themeColor="text1"/>
          <w:spacing w:val="23"/>
          <w:sz w:val="40"/>
          <w:szCs w:val="40"/>
          <w:highlight w:val="none"/>
          <w:lang w:eastAsia="zh-CN"/>
          <w14:textFill>
            <w14:solidFill>
              <w14:schemeClr w14:val="tx1"/>
            </w14:solidFill>
          </w14:textFill>
        </w:rPr>
      </w:pPr>
      <w:r>
        <w:rPr>
          <w:rFonts w:hint="default" w:ascii="Times New Roman" w:hAnsi="Times New Roman" w:eastAsia="方正小标宋简体" w:cs="Times New Roman"/>
          <w:b w:val="0"/>
          <w:bCs w:val="0"/>
          <w:color w:val="000000" w:themeColor="text1"/>
          <w:spacing w:val="23"/>
          <w:sz w:val="40"/>
          <w:szCs w:val="40"/>
          <w:highlight w:val="none"/>
          <w14:textFill>
            <w14:solidFill>
              <w14:schemeClr w14:val="tx1"/>
            </w14:solidFill>
          </w14:textFill>
        </w:rPr>
        <w:t>木材</w:t>
      </w:r>
      <w:r>
        <w:rPr>
          <w:rFonts w:hint="eastAsia" w:ascii="Times New Roman" w:hAnsi="Times New Roman" w:eastAsia="方正小标宋简体" w:cs="Times New Roman"/>
          <w:b w:val="0"/>
          <w:bCs w:val="0"/>
          <w:color w:val="000000" w:themeColor="text1"/>
          <w:spacing w:val="23"/>
          <w:sz w:val="40"/>
          <w:szCs w:val="40"/>
          <w:highlight w:val="none"/>
          <w:lang w:eastAsia="zh-CN"/>
          <w14:textFill>
            <w14:solidFill>
              <w14:schemeClr w14:val="tx1"/>
            </w14:solidFill>
          </w14:textFill>
        </w:rPr>
        <w:t>（</w:t>
      </w:r>
      <w:r>
        <w:rPr>
          <w:rFonts w:hint="default" w:ascii="Times New Roman" w:hAnsi="Times New Roman" w:eastAsia="方正小标宋简体" w:cs="Times New Roman"/>
          <w:b w:val="0"/>
          <w:bCs w:val="0"/>
          <w:color w:val="000000" w:themeColor="text1"/>
          <w:spacing w:val="23"/>
          <w:sz w:val="40"/>
          <w:szCs w:val="40"/>
          <w:highlight w:val="none"/>
          <w14:textFill>
            <w14:solidFill>
              <w14:schemeClr w14:val="tx1"/>
            </w14:solidFill>
          </w14:textFill>
        </w:rPr>
        <w:t>板材</w:t>
      </w:r>
      <w:r>
        <w:rPr>
          <w:rFonts w:hint="eastAsia" w:ascii="Times New Roman" w:hAnsi="Times New Roman" w:eastAsia="方正小标宋简体" w:cs="Times New Roman"/>
          <w:b w:val="0"/>
          <w:bCs w:val="0"/>
          <w:color w:val="000000" w:themeColor="text1"/>
          <w:spacing w:val="23"/>
          <w:sz w:val="40"/>
          <w:szCs w:val="40"/>
          <w:highlight w:val="none"/>
          <w:lang w:eastAsia="zh-CN"/>
          <w14:textFill>
            <w14:solidFill>
              <w14:schemeClr w14:val="tx1"/>
            </w14:solidFill>
          </w14:textFill>
        </w:rPr>
        <w:t>）</w:t>
      </w:r>
      <w:r>
        <w:rPr>
          <w:rFonts w:hint="default" w:ascii="Times New Roman" w:hAnsi="Times New Roman" w:eastAsia="方正小标宋简体" w:cs="Times New Roman"/>
          <w:b w:val="0"/>
          <w:bCs w:val="0"/>
          <w:color w:val="000000" w:themeColor="text1"/>
          <w:spacing w:val="23"/>
          <w:sz w:val="40"/>
          <w:szCs w:val="40"/>
          <w:highlight w:val="none"/>
          <w14:textFill>
            <w14:solidFill>
              <w14:schemeClr w14:val="tx1"/>
            </w14:solidFill>
          </w14:textFill>
        </w:rPr>
        <w:t>价格</w:t>
      </w:r>
      <w:r>
        <w:rPr>
          <w:rFonts w:hint="eastAsia" w:ascii="Times New Roman" w:hAnsi="Times New Roman" w:eastAsia="方正小标宋简体" w:cs="Times New Roman"/>
          <w:b w:val="0"/>
          <w:bCs w:val="0"/>
          <w:color w:val="000000" w:themeColor="text1"/>
          <w:spacing w:val="23"/>
          <w:sz w:val="40"/>
          <w:szCs w:val="40"/>
          <w:highlight w:val="none"/>
          <w:lang w:eastAsia="zh-CN"/>
          <w14:textFill>
            <w14:solidFill>
              <w14:schemeClr w14:val="tx1"/>
            </w14:solidFill>
          </w14:textFill>
        </w:rPr>
        <w:t>表</w:t>
      </w:r>
    </w:p>
    <w:tbl>
      <w:tblPr>
        <w:tblStyle w:val="1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662"/>
        <w:gridCol w:w="4431"/>
        <w:gridCol w:w="2597"/>
        <w:gridCol w:w="2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37" w:type="pct"/>
            <w:shd w:val="clear" w:color="auto" w:fill="auto"/>
            <w:vAlign w:val="center"/>
          </w:tcPr>
          <w:p>
            <w:pPr>
              <w:pStyle w:val="18"/>
              <w:spacing w:line="240" w:lineRule="exact"/>
              <w:ind w:left="287"/>
              <w:jc w:val="center"/>
              <w:rPr>
                <w:rFonts w:hint="default" w:ascii="Times New Roman" w:hAnsi="Times New Roman" w:cs="Times New Roman" w:eastAsiaTheme="majorEastAsia"/>
                <w:b/>
                <w:bCs/>
                <w:color w:val="000000" w:themeColor="text1"/>
                <w:spacing w:val="-3"/>
                <w:sz w:val="24"/>
                <w:szCs w:val="24"/>
                <w:highlight w:val="none"/>
                <w14:textFill>
                  <w14:solidFill>
                    <w14:schemeClr w14:val="tx1"/>
                  </w14:solidFill>
                </w14:textFill>
              </w:rPr>
            </w:pPr>
            <w:r>
              <w:rPr>
                <w:rFonts w:hint="default" w:ascii="Times New Roman" w:hAnsi="Times New Roman" w:cs="Times New Roman" w:eastAsiaTheme="majorEastAsia"/>
                <w:b/>
                <w:bCs/>
                <w:color w:val="000000" w:themeColor="text1"/>
                <w:spacing w:val="-3"/>
                <w:sz w:val="24"/>
                <w:szCs w:val="24"/>
                <w:highlight w:val="none"/>
                <w14:textFill>
                  <w14:solidFill>
                    <w14:schemeClr w14:val="tx1"/>
                  </w14:solidFill>
                </w14:textFill>
              </w:rPr>
              <w:t>类别</w:t>
            </w:r>
          </w:p>
        </w:tc>
        <w:tc>
          <w:tcPr>
            <w:tcW w:w="1556" w:type="pct"/>
            <w:shd w:val="clear" w:color="auto" w:fill="auto"/>
            <w:vAlign w:val="center"/>
          </w:tcPr>
          <w:p>
            <w:pPr>
              <w:pStyle w:val="18"/>
              <w:spacing w:line="240" w:lineRule="exact"/>
              <w:ind w:left="287"/>
              <w:jc w:val="center"/>
              <w:rPr>
                <w:rFonts w:hint="default" w:ascii="Times New Roman" w:hAnsi="Times New Roman" w:cs="Times New Roman" w:eastAsiaTheme="majorEastAsia"/>
                <w:b/>
                <w:bCs/>
                <w:color w:val="000000" w:themeColor="text1"/>
                <w:spacing w:val="-3"/>
                <w:sz w:val="24"/>
                <w:szCs w:val="24"/>
                <w:highlight w:val="none"/>
                <w14:textFill>
                  <w14:solidFill>
                    <w14:schemeClr w14:val="tx1"/>
                  </w14:solidFill>
                </w14:textFill>
              </w:rPr>
            </w:pPr>
            <w:r>
              <w:rPr>
                <w:rFonts w:hint="default" w:ascii="Times New Roman" w:hAnsi="Times New Roman" w:cs="Times New Roman" w:eastAsiaTheme="majorEastAsia"/>
                <w:b/>
                <w:bCs/>
                <w:color w:val="000000" w:themeColor="text1"/>
                <w:spacing w:val="-3"/>
                <w:sz w:val="24"/>
                <w:szCs w:val="24"/>
                <w:highlight w:val="none"/>
                <w14:textFill>
                  <w14:solidFill>
                    <w14:schemeClr w14:val="tx1"/>
                  </w14:solidFill>
                </w14:textFill>
              </w:rPr>
              <w:t>价格</w:t>
            </w:r>
          </w:p>
        </w:tc>
        <w:tc>
          <w:tcPr>
            <w:tcW w:w="912" w:type="pct"/>
            <w:shd w:val="clear" w:color="auto" w:fill="auto"/>
            <w:vAlign w:val="center"/>
          </w:tcPr>
          <w:p>
            <w:pPr>
              <w:pStyle w:val="18"/>
              <w:spacing w:line="240" w:lineRule="exact"/>
              <w:ind w:left="287"/>
              <w:jc w:val="center"/>
              <w:rPr>
                <w:rFonts w:hint="default" w:ascii="Times New Roman" w:hAnsi="Times New Roman" w:cs="Times New Roman" w:eastAsiaTheme="majorEastAsia"/>
                <w:b/>
                <w:bCs/>
                <w:color w:val="000000" w:themeColor="text1"/>
                <w:spacing w:val="-3"/>
                <w:sz w:val="24"/>
                <w:szCs w:val="24"/>
                <w:highlight w:val="none"/>
                <w14:textFill>
                  <w14:solidFill>
                    <w14:schemeClr w14:val="tx1"/>
                  </w14:solidFill>
                </w14:textFill>
              </w:rPr>
            </w:pPr>
            <w:r>
              <w:rPr>
                <w:rFonts w:hint="default" w:ascii="Times New Roman" w:hAnsi="Times New Roman" w:cs="Times New Roman" w:eastAsiaTheme="majorEastAsia"/>
                <w:b/>
                <w:bCs/>
                <w:color w:val="000000" w:themeColor="text1"/>
                <w:spacing w:val="-3"/>
                <w:sz w:val="24"/>
                <w:szCs w:val="24"/>
                <w:highlight w:val="none"/>
                <w14:textFill>
                  <w14:solidFill>
                    <w14:schemeClr w14:val="tx1"/>
                  </w14:solidFill>
                </w14:textFill>
              </w:rPr>
              <w:t>类别</w:t>
            </w:r>
          </w:p>
        </w:tc>
        <w:tc>
          <w:tcPr>
            <w:tcW w:w="896" w:type="pct"/>
            <w:shd w:val="clear" w:color="auto" w:fill="auto"/>
            <w:vAlign w:val="center"/>
          </w:tcPr>
          <w:p>
            <w:pPr>
              <w:pStyle w:val="18"/>
              <w:spacing w:line="240" w:lineRule="exact"/>
              <w:ind w:left="287"/>
              <w:jc w:val="center"/>
              <w:rPr>
                <w:rFonts w:hint="default" w:ascii="Times New Roman" w:hAnsi="Times New Roman" w:cs="Times New Roman" w:eastAsiaTheme="majorEastAsia"/>
                <w:b/>
                <w:bCs/>
                <w:color w:val="000000" w:themeColor="text1"/>
                <w:spacing w:val="-3"/>
                <w:sz w:val="24"/>
                <w:szCs w:val="24"/>
                <w:highlight w:val="none"/>
                <w14:textFill>
                  <w14:solidFill>
                    <w14:schemeClr w14:val="tx1"/>
                  </w14:solidFill>
                </w14:textFill>
              </w:rPr>
            </w:pPr>
            <w:r>
              <w:rPr>
                <w:rFonts w:hint="default" w:ascii="Times New Roman" w:hAnsi="Times New Roman" w:cs="Times New Roman" w:eastAsiaTheme="majorEastAsia"/>
                <w:b/>
                <w:bCs/>
                <w:color w:val="000000" w:themeColor="text1"/>
                <w:spacing w:val="-3"/>
                <w:sz w:val="24"/>
                <w:szCs w:val="24"/>
                <w:highlight w:val="none"/>
                <w14:textFill>
                  <w14:solidFill>
                    <w14:schemeClr w14:val="tx1"/>
                  </w14:solidFill>
                </w14:textFill>
              </w:rPr>
              <w:t>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37" w:type="pct"/>
            <w:vAlign w:val="center"/>
          </w:tcPr>
          <w:p>
            <w:pPr>
              <w:pStyle w:val="18"/>
              <w:spacing w:line="240" w:lineRule="exact"/>
              <w:ind w:left="135"/>
              <w:jc w:val="center"/>
              <w:rPr>
                <w:rFonts w:hint="default" w:ascii="Times New Roman" w:hAnsi="Times New Roman" w:cs="Times New Roman" w:eastAsiaTheme="majorEastAsia"/>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color w:val="000000" w:themeColor="text1"/>
                <w:spacing w:val="1"/>
                <w:sz w:val="24"/>
                <w:szCs w:val="24"/>
                <w:highlight w:val="none"/>
                <w14:textFill>
                  <w14:solidFill>
                    <w14:schemeClr w14:val="tx1"/>
                  </w14:solidFill>
                </w14:textFill>
              </w:rPr>
              <w:t>柏木(14公分-20公分)</w:t>
            </w:r>
          </w:p>
        </w:tc>
        <w:tc>
          <w:tcPr>
            <w:tcW w:w="1556" w:type="pct"/>
            <w:vAlign w:val="center"/>
          </w:tcPr>
          <w:p>
            <w:pPr>
              <w:pStyle w:val="18"/>
              <w:spacing w:line="240" w:lineRule="exact"/>
              <w:ind w:left="163"/>
              <w:jc w:val="center"/>
              <w:rPr>
                <w:rFonts w:hint="default" w:ascii="Times New Roman" w:hAnsi="Times New Roman" w:cs="Times New Roman" w:eastAsiaTheme="majorEastAsia"/>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color w:val="000000" w:themeColor="text1"/>
                <w:spacing w:val="-1"/>
                <w:sz w:val="24"/>
                <w:szCs w:val="24"/>
                <w:highlight w:val="none"/>
                <w14:textFill>
                  <w14:solidFill>
                    <w14:schemeClr w14:val="tx1"/>
                  </w14:solidFill>
                </w14:textFill>
              </w:rPr>
              <w:t>800-1100元/立方米</w:t>
            </w:r>
          </w:p>
        </w:tc>
        <w:tc>
          <w:tcPr>
            <w:tcW w:w="912" w:type="pct"/>
            <w:vAlign w:val="center"/>
          </w:tcPr>
          <w:p>
            <w:pPr>
              <w:pStyle w:val="18"/>
              <w:spacing w:line="240" w:lineRule="exact"/>
              <w:ind w:left="96"/>
              <w:jc w:val="center"/>
              <w:rPr>
                <w:rFonts w:hint="default" w:ascii="Times New Roman" w:hAnsi="Times New Roman" w:cs="Times New Roman" w:eastAsiaTheme="majorEastAsia"/>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color w:val="000000" w:themeColor="text1"/>
                <w:spacing w:val="-2"/>
                <w:sz w:val="24"/>
                <w:szCs w:val="24"/>
                <w:highlight w:val="none"/>
                <w14:textFill>
                  <w14:solidFill>
                    <w14:schemeClr w14:val="tx1"/>
                  </w14:solidFill>
                </w14:textFill>
              </w:rPr>
              <w:t>多层沙发板</w:t>
            </w:r>
          </w:p>
        </w:tc>
        <w:tc>
          <w:tcPr>
            <w:tcW w:w="896" w:type="pct"/>
            <w:vAlign w:val="center"/>
          </w:tcPr>
          <w:p>
            <w:pPr>
              <w:pStyle w:val="18"/>
              <w:spacing w:line="240" w:lineRule="exact"/>
              <w:ind w:left="178"/>
              <w:jc w:val="center"/>
              <w:rPr>
                <w:rFonts w:hint="default" w:ascii="Times New Roman" w:hAnsi="Times New Roman" w:cs="Times New Roman" w:eastAsiaTheme="majorEastAsia"/>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color w:val="000000" w:themeColor="text1"/>
                <w:spacing w:val="-1"/>
                <w:sz w:val="24"/>
                <w:szCs w:val="24"/>
                <w:highlight w:val="none"/>
                <w14:textFill>
                  <w14:solidFill>
                    <w14:schemeClr w14:val="tx1"/>
                  </w14:solidFill>
                </w14:textFill>
              </w:rPr>
              <w:t>80元/张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37" w:type="pct"/>
            <w:vAlign w:val="center"/>
          </w:tcPr>
          <w:p>
            <w:pPr>
              <w:pStyle w:val="18"/>
              <w:spacing w:line="240" w:lineRule="exact"/>
              <w:ind w:left="265"/>
              <w:jc w:val="center"/>
              <w:rPr>
                <w:rFonts w:hint="default" w:ascii="Times New Roman" w:hAnsi="Times New Roman" w:cs="Times New Roman" w:eastAsiaTheme="majorEastAsia"/>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color w:val="000000" w:themeColor="text1"/>
                <w:spacing w:val="-1"/>
                <w:sz w:val="24"/>
                <w:szCs w:val="24"/>
                <w:highlight w:val="none"/>
                <w14:textFill>
                  <w14:solidFill>
                    <w14:schemeClr w14:val="tx1"/>
                  </w14:solidFill>
                </w14:textFill>
              </w:rPr>
              <w:t>柏本(20公分以上</w:t>
            </w:r>
          </w:p>
        </w:tc>
        <w:tc>
          <w:tcPr>
            <w:tcW w:w="1556" w:type="pct"/>
            <w:vAlign w:val="center"/>
          </w:tcPr>
          <w:p>
            <w:pPr>
              <w:pStyle w:val="18"/>
              <w:spacing w:line="240" w:lineRule="exact"/>
              <w:ind w:left="133"/>
              <w:jc w:val="center"/>
              <w:rPr>
                <w:rFonts w:hint="default" w:ascii="Times New Roman" w:hAnsi="Times New Roman" w:cs="Times New Roman" w:eastAsiaTheme="majorEastAsia"/>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color w:val="000000" w:themeColor="text1"/>
                <w:sz w:val="24"/>
                <w:szCs w:val="24"/>
                <w:highlight w:val="none"/>
                <w14:textFill>
                  <w14:solidFill>
                    <w14:schemeClr w14:val="tx1"/>
                  </w14:solidFill>
                </w14:textFill>
              </w:rPr>
              <w:t>1200-2000元/立方米</w:t>
            </w:r>
          </w:p>
        </w:tc>
        <w:tc>
          <w:tcPr>
            <w:tcW w:w="912" w:type="pct"/>
            <w:vAlign w:val="center"/>
          </w:tcPr>
          <w:p>
            <w:pPr>
              <w:pStyle w:val="18"/>
              <w:spacing w:line="240" w:lineRule="exact"/>
              <w:ind w:left="226"/>
              <w:jc w:val="center"/>
              <w:rPr>
                <w:rFonts w:hint="default" w:ascii="Times New Roman" w:hAnsi="Times New Roman" w:cs="Times New Roman" w:eastAsiaTheme="majorEastAsia"/>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color w:val="000000" w:themeColor="text1"/>
                <w:spacing w:val="-3"/>
                <w:sz w:val="24"/>
                <w:szCs w:val="24"/>
                <w:highlight w:val="none"/>
                <w14:textFill>
                  <w14:solidFill>
                    <w14:schemeClr w14:val="tx1"/>
                  </w14:solidFill>
                </w14:textFill>
              </w:rPr>
              <w:t>防火板</w:t>
            </w:r>
          </w:p>
        </w:tc>
        <w:tc>
          <w:tcPr>
            <w:tcW w:w="896" w:type="pct"/>
            <w:vAlign w:val="center"/>
          </w:tcPr>
          <w:p>
            <w:pPr>
              <w:pStyle w:val="18"/>
              <w:spacing w:line="240" w:lineRule="exact"/>
              <w:ind w:left="148"/>
              <w:jc w:val="center"/>
              <w:rPr>
                <w:rFonts w:hint="default" w:ascii="Times New Roman" w:hAnsi="Times New Roman" w:cs="Times New Roman" w:eastAsiaTheme="majorEastAsia"/>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color w:val="000000" w:themeColor="text1"/>
                <w:sz w:val="24"/>
                <w:szCs w:val="24"/>
                <w:highlight w:val="none"/>
                <w14:textFill>
                  <w14:solidFill>
                    <w14:schemeClr w14:val="tx1"/>
                  </w14:solidFill>
                </w14:textFill>
              </w:rPr>
              <w:t>180元/张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37" w:type="pct"/>
            <w:vAlign w:val="center"/>
          </w:tcPr>
          <w:p>
            <w:pPr>
              <w:pStyle w:val="18"/>
              <w:spacing w:line="240" w:lineRule="exact"/>
              <w:ind w:left="135"/>
              <w:jc w:val="center"/>
              <w:rPr>
                <w:rFonts w:hint="default" w:ascii="Times New Roman" w:hAnsi="Times New Roman" w:cs="Times New Roman" w:eastAsiaTheme="majorEastAsia"/>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color w:val="000000" w:themeColor="text1"/>
                <w:spacing w:val="1"/>
                <w:sz w:val="24"/>
                <w:szCs w:val="24"/>
                <w:highlight w:val="none"/>
                <w14:textFill>
                  <w14:solidFill>
                    <w14:schemeClr w14:val="tx1"/>
                  </w14:solidFill>
                </w14:textFill>
              </w:rPr>
              <w:t>松木(14公分-20公分)</w:t>
            </w:r>
          </w:p>
        </w:tc>
        <w:tc>
          <w:tcPr>
            <w:tcW w:w="1556" w:type="pct"/>
            <w:vAlign w:val="center"/>
          </w:tcPr>
          <w:p>
            <w:pPr>
              <w:pStyle w:val="18"/>
              <w:spacing w:line="240" w:lineRule="exact"/>
              <w:ind w:left="193"/>
              <w:jc w:val="center"/>
              <w:rPr>
                <w:rFonts w:hint="default" w:ascii="Times New Roman" w:hAnsi="Times New Roman" w:cs="Times New Roman" w:eastAsiaTheme="majorEastAsia"/>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color w:val="000000" w:themeColor="text1"/>
                <w:spacing w:val="-1"/>
                <w:sz w:val="24"/>
                <w:szCs w:val="24"/>
                <w:highlight w:val="none"/>
                <w14:textFill>
                  <w14:solidFill>
                    <w14:schemeClr w14:val="tx1"/>
                  </w14:solidFill>
                </w14:textFill>
              </w:rPr>
              <w:t>500-600元/立方米</w:t>
            </w:r>
          </w:p>
        </w:tc>
        <w:tc>
          <w:tcPr>
            <w:tcW w:w="912" w:type="pct"/>
            <w:vAlign w:val="center"/>
          </w:tcPr>
          <w:p>
            <w:pPr>
              <w:pStyle w:val="18"/>
              <w:spacing w:line="240" w:lineRule="exact"/>
              <w:ind w:left="226"/>
              <w:jc w:val="center"/>
              <w:rPr>
                <w:rFonts w:hint="default" w:ascii="Times New Roman" w:hAnsi="Times New Roman" w:cs="Times New Roman" w:eastAsiaTheme="majorEastAsia"/>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color w:val="000000" w:themeColor="text1"/>
                <w:spacing w:val="-2"/>
                <w:sz w:val="24"/>
                <w:szCs w:val="24"/>
                <w:highlight w:val="none"/>
                <w14:textFill>
                  <w14:solidFill>
                    <w14:schemeClr w14:val="tx1"/>
                  </w14:solidFill>
                </w14:textFill>
              </w:rPr>
              <w:t>密度板</w:t>
            </w:r>
          </w:p>
        </w:tc>
        <w:tc>
          <w:tcPr>
            <w:tcW w:w="896" w:type="pct"/>
            <w:vAlign w:val="center"/>
          </w:tcPr>
          <w:p>
            <w:pPr>
              <w:pStyle w:val="18"/>
              <w:spacing w:line="240" w:lineRule="exact"/>
              <w:ind w:left="178"/>
              <w:jc w:val="center"/>
              <w:rPr>
                <w:rFonts w:hint="default" w:ascii="Times New Roman" w:hAnsi="Times New Roman" w:cs="Times New Roman" w:eastAsiaTheme="majorEastAsia"/>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color w:val="000000" w:themeColor="text1"/>
                <w:spacing w:val="-2"/>
                <w:sz w:val="24"/>
                <w:szCs w:val="24"/>
                <w:highlight w:val="none"/>
                <w14:textFill>
                  <w14:solidFill>
                    <w14:schemeClr w14:val="tx1"/>
                  </w14:solidFill>
                </w14:textFill>
              </w:rPr>
              <w:t>70元/张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37" w:type="pct"/>
            <w:vAlign w:val="center"/>
          </w:tcPr>
          <w:p>
            <w:pPr>
              <w:pStyle w:val="18"/>
              <w:spacing w:line="240" w:lineRule="exact"/>
              <w:ind w:left="235"/>
              <w:jc w:val="center"/>
              <w:rPr>
                <w:rFonts w:hint="default" w:ascii="Times New Roman" w:hAnsi="Times New Roman" w:cs="Times New Roman" w:eastAsiaTheme="majorEastAsia"/>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color w:val="000000" w:themeColor="text1"/>
                <w:spacing w:val="2"/>
                <w:sz w:val="24"/>
                <w:szCs w:val="24"/>
                <w:highlight w:val="none"/>
                <w14:textFill>
                  <w14:solidFill>
                    <w14:schemeClr w14:val="tx1"/>
                  </w14:solidFill>
                </w14:textFill>
              </w:rPr>
              <w:t>松木(20公分以上)</w:t>
            </w:r>
          </w:p>
        </w:tc>
        <w:tc>
          <w:tcPr>
            <w:tcW w:w="1556" w:type="pct"/>
            <w:vAlign w:val="center"/>
          </w:tcPr>
          <w:p>
            <w:pPr>
              <w:pStyle w:val="18"/>
              <w:spacing w:line="240" w:lineRule="exact"/>
              <w:ind w:left="193"/>
              <w:jc w:val="center"/>
              <w:rPr>
                <w:rFonts w:hint="default" w:ascii="Times New Roman" w:hAnsi="Times New Roman" w:cs="Times New Roman" w:eastAsiaTheme="majorEastAsia"/>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color w:val="000000" w:themeColor="text1"/>
                <w:spacing w:val="-1"/>
                <w:sz w:val="24"/>
                <w:szCs w:val="24"/>
                <w:highlight w:val="none"/>
                <w14:textFill>
                  <w14:solidFill>
                    <w14:schemeClr w14:val="tx1"/>
                  </w14:solidFill>
                </w14:textFill>
              </w:rPr>
              <w:t>600-800元/立方米</w:t>
            </w:r>
          </w:p>
        </w:tc>
        <w:tc>
          <w:tcPr>
            <w:tcW w:w="912" w:type="pct"/>
            <w:vAlign w:val="center"/>
          </w:tcPr>
          <w:p>
            <w:pPr>
              <w:pStyle w:val="18"/>
              <w:spacing w:line="240" w:lineRule="exact"/>
              <w:ind w:left="226"/>
              <w:jc w:val="center"/>
              <w:rPr>
                <w:rFonts w:hint="default" w:ascii="Times New Roman" w:hAnsi="Times New Roman" w:cs="Times New Roman" w:eastAsiaTheme="majorEastAsia"/>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color w:val="000000" w:themeColor="text1"/>
                <w:spacing w:val="-2"/>
                <w:sz w:val="24"/>
                <w:szCs w:val="24"/>
                <w:highlight w:val="none"/>
                <w14:textFill>
                  <w14:solidFill>
                    <w14:schemeClr w14:val="tx1"/>
                  </w14:solidFill>
                </w14:textFill>
              </w:rPr>
              <w:t>刨花板</w:t>
            </w:r>
          </w:p>
        </w:tc>
        <w:tc>
          <w:tcPr>
            <w:tcW w:w="896" w:type="pct"/>
            <w:vAlign w:val="center"/>
          </w:tcPr>
          <w:p>
            <w:pPr>
              <w:pStyle w:val="18"/>
              <w:spacing w:line="240" w:lineRule="exact"/>
              <w:ind w:left="178"/>
              <w:jc w:val="center"/>
              <w:rPr>
                <w:rFonts w:hint="default" w:ascii="Times New Roman" w:hAnsi="Times New Roman" w:cs="Times New Roman" w:eastAsiaTheme="majorEastAsia"/>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color w:val="000000" w:themeColor="text1"/>
                <w:spacing w:val="-1"/>
                <w:sz w:val="24"/>
                <w:szCs w:val="24"/>
                <w:highlight w:val="none"/>
                <w14:textFill>
                  <w14:solidFill>
                    <w14:schemeClr w14:val="tx1"/>
                  </w14:solidFill>
                </w14:textFill>
              </w:rPr>
              <w:t>90元/张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37" w:type="pct"/>
            <w:vAlign w:val="center"/>
          </w:tcPr>
          <w:p>
            <w:pPr>
              <w:pStyle w:val="18"/>
              <w:spacing w:line="240" w:lineRule="exact"/>
              <w:ind w:left="165"/>
              <w:jc w:val="center"/>
              <w:rPr>
                <w:rFonts w:hint="default" w:ascii="Times New Roman" w:hAnsi="Times New Roman" w:cs="Times New Roman" w:eastAsiaTheme="majorEastAsia"/>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color w:val="000000" w:themeColor="text1"/>
                <w:spacing w:val="2"/>
                <w:sz w:val="24"/>
                <w:szCs w:val="24"/>
                <w:highlight w:val="none"/>
                <w14:textFill>
                  <w14:solidFill>
                    <w14:schemeClr w14:val="tx1"/>
                  </w14:solidFill>
                </w14:textFill>
              </w:rPr>
              <w:t>杂木(青冈、白杨等)</w:t>
            </w:r>
          </w:p>
        </w:tc>
        <w:tc>
          <w:tcPr>
            <w:tcW w:w="1556" w:type="pct"/>
            <w:vAlign w:val="center"/>
          </w:tcPr>
          <w:p>
            <w:pPr>
              <w:pStyle w:val="18"/>
              <w:spacing w:line="240" w:lineRule="exact"/>
              <w:ind w:left="193"/>
              <w:jc w:val="center"/>
              <w:rPr>
                <w:rFonts w:hint="default" w:ascii="Times New Roman" w:hAnsi="Times New Roman" w:cs="Times New Roman" w:eastAsiaTheme="majorEastAsia"/>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color w:val="000000" w:themeColor="text1"/>
                <w:spacing w:val="-1"/>
                <w:sz w:val="24"/>
                <w:szCs w:val="24"/>
                <w:highlight w:val="none"/>
                <w14:textFill>
                  <w14:solidFill>
                    <w14:schemeClr w14:val="tx1"/>
                  </w14:solidFill>
                </w14:textFill>
              </w:rPr>
              <w:t>600-700元/立方米</w:t>
            </w:r>
          </w:p>
        </w:tc>
        <w:tc>
          <w:tcPr>
            <w:tcW w:w="912" w:type="pct"/>
            <w:vAlign w:val="center"/>
          </w:tcPr>
          <w:p>
            <w:pPr>
              <w:pStyle w:val="18"/>
              <w:spacing w:line="240" w:lineRule="exact"/>
              <w:ind w:left="226"/>
              <w:jc w:val="center"/>
              <w:rPr>
                <w:rFonts w:hint="default" w:ascii="Times New Roman" w:hAnsi="Times New Roman" w:cs="Times New Roman" w:eastAsiaTheme="majorEastAsia"/>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color w:val="000000" w:themeColor="text1"/>
                <w:spacing w:val="-2"/>
                <w:sz w:val="24"/>
                <w:szCs w:val="24"/>
                <w:highlight w:val="none"/>
                <w14:textFill>
                  <w14:solidFill>
                    <w14:schemeClr w14:val="tx1"/>
                  </w14:solidFill>
                </w14:textFill>
              </w:rPr>
              <w:t>刨花板</w:t>
            </w:r>
          </w:p>
        </w:tc>
        <w:tc>
          <w:tcPr>
            <w:tcW w:w="896" w:type="pct"/>
            <w:vAlign w:val="center"/>
          </w:tcPr>
          <w:p>
            <w:pPr>
              <w:pStyle w:val="18"/>
              <w:spacing w:line="240" w:lineRule="exact"/>
              <w:ind w:left="178"/>
              <w:jc w:val="center"/>
              <w:rPr>
                <w:rFonts w:hint="default" w:ascii="Times New Roman" w:hAnsi="Times New Roman" w:cs="Times New Roman" w:eastAsiaTheme="majorEastAsia"/>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color w:val="000000" w:themeColor="text1"/>
                <w:spacing w:val="-2"/>
                <w:sz w:val="24"/>
                <w:szCs w:val="24"/>
                <w:highlight w:val="none"/>
                <w14:textFill>
                  <w14:solidFill>
                    <w14:schemeClr w14:val="tx1"/>
                  </w14:solidFill>
                </w14:textFill>
              </w:rPr>
              <w:t>30元/张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37" w:type="pct"/>
            <w:vAlign w:val="center"/>
          </w:tcPr>
          <w:p>
            <w:pPr>
              <w:pStyle w:val="18"/>
              <w:spacing w:line="240" w:lineRule="exact"/>
              <w:ind w:left="425"/>
              <w:jc w:val="center"/>
              <w:rPr>
                <w:rFonts w:hint="default" w:ascii="Times New Roman" w:hAnsi="Times New Roman" w:cs="Times New Roman" w:eastAsiaTheme="majorEastAsia"/>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color w:val="000000" w:themeColor="text1"/>
                <w:spacing w:val="-2"/>
                <w:sz w:val="24"/>
                <w:szCs w:val="24"/>
                <w:highlight w:val="none"/>
                <w14:textFill>
                  <w14:solidFill>
                    <w14:schemeClr w14:val="tx1"/>
                  </w14:solidFill>
                </w14:textFill>
              </w:rPr>
              <w:t>多层家具板</w:t>
            </w:r>
          </w:p>
        </w:tc>
        <w:tc>
          <w:tcPr>
            <w:tcW w:w="1556" w:type="pct"/>
            <w:vAlign w:val="center"/>
          </w:tcPr>
          <w:p>
            <w:pPr>
              <w:pStyle w:val="18"/>
              <w:spacing w:line="240" w:lineRule="exact"/>
              <w:ind w:left="453"/>
              <w:jc w:val="center"/>
              <w:rPr>
                <w:rFonts w:hint="default" w:ascii="Times New Roman" w:hAnsi="Times New Roman" w:cs="Times New Roman" w:eastAsiaTheme="majorEastAsia"/>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color w:val="000000" w:themeColor="text1"/>
                <w:sz w:val="24"/>
                <w:szCs w:val="24"/>
                <w:highlight w:val="none"/>
                <w14:textFill>
                  <w14:solidFill>
                    <w14:schemeClr w14:val="tx1"/>
                  </w14:solidFill>
                </w14:textFill>
              </w:rPr>
              <w:t>120元/张</w:t>
            </w:r>
          </w:p>
        </w:tc>
        <w:tc>
          <w:tcPr>
            <w:tcW w:w="912" w:type="pct"/>
            <w:vAlign w:val="center"/>
          </w:tcPr>
          <w:p>
            <w:pPr>
              <w:pStyle w:val="18"/>
              <w:spacing w:line="240" w:lineRule="exact"/>
              <w:ind w:left="226"/>
              <w:jc w:val="center"/>
              <w:rPr>
                <w:rFonts w:hint="default" w:ascii="Times New Roman" w:hAnsi="Times New Roman" w:cs="Times New Roman" w:eastAsiaTheme="majorEastAsia"/>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color w:val="000000" w:themeColor="text1"/>
                <w:spacing w:val="-2"/>
                <w:sz w:val="24"/>
                <w:szCs w:val="24"/>
                <w:highlight w:val="none"/>
                <w14:textFill>
                  <w14:solidFill>
                    <w14:schemeClr w14:val="tx1"/>
                  </w14:solidFill>
                </w14:textFill>
              </w:rPr>
              <w:t>贴面板</w:t>
            </w:r>
          </w:p>
        </w:tc>
        <w:tc>
          <w:tcPr>
            <w:tcW w:w="896" w:type="pct"/>
            <w:vAlign w:val="center"/>
          </w:tcPr>
          <w:p>
            <w:pPr>
              <w:pStyle w:val="18"/>
              <w:spacing w:line="240" w:lineRule="exact"/>
              <w:ind w:left="148"/>
              <w:jc w:val="center"/>
              <w:rPr>
                <w:rFonts w:hint="default" w:ascii="Times New Roman" w:hAnsi="Times New Roman" w:cs="Times New Roman" w:eastAsiaTheme="majorEastAsia"/>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color w:val="000000" w:themeColor="text1"/>
                <w:sz w:val="24"/>
                <w:szCs w:val="24"/>
                <w:highlight w:val="none"/>
                <w14:textFill>
                  <w14:solidFill>
                    <w14:schemeClr w14:val="tx1"/>
                  </w14:solidFill>
                </w14:textFill>
              </w:rPr>
              <w:t>150元/张</w:t>
            </w:r>
          </w:p>
        </w:tc>
      </w:tr>
    </w:tbl>
    <w:p>
      <w:pPr>
        <w:rPr>
          <w:rFonts w:hint="default" w:ascii="Times New Roman" w:hAnsi="Times New Roman" w:cs="Times New Roman"/>
          <w:highlight w:val="yellow"/>
          <w:lang w:val="en-US" w:eastAsia="zh-CN"/>
        </w:rPr>
        <w:sectPr>
          <w:pgSz w:w="16838" w:h="11906" w:orient="landscape"/>
          <w:pgMar w:top="1531" w:right="1304" w:bottom="1417" w:left="1304" w:header="851" w:footer="1134" w:gutter="0"/>
          <w:pgBorders>
            <w:top w:val="none" w:sz="0" w:space="0"/>
            <w:left w:val="none" w:sz="0" w:space="0"/>
            <w:bottom w:val="none" w:sz="0" w:space="0"/>
            <w:right w:val="none" w:sz="0" w:space="0"/>
          </w:pgBorders>
          <w:pgNumType w:fmt="decimal"/>
          <w:cols w:space="0" w:num="1"/>
          <w:rtlGutter w:val="0"/>
          <w:docGrid w:type="lines" w:linePitch="312" w:charSpace="0"/>
        </w:sectPr>
      </w:pPr>
    </w:p>
    <w:p>
      <w:pPr>
        <w:jc w:val="center"/>
        <w:rPr>
          <w:rFonts w:hint="default" w:ascii="Times New Roman" w:hAnsi="Times New Roman" w:eastAsia="方正小标宋简体" w:cs="Times New Roman"/>
          <w:b w:val="0"/>
          <w:bCs w:val="0"/>
          <w:color w:val="000000" w:themeColor="text1"/>
          <w:spacing w:val="23"/>
          <w:sz w:val="40"/>
          <w:szCs w:val="40"/>
          <w:highlight w:val="none"/>
          <w:lang w:eastAsia="zh-CN"/>
          <w14:textFill>
            <w14:solidFill>
              <w14:schemeClr w14:val="tx1"/>
            </w14:solidFill>
          </w14:textFill>
        </w:rPr>
      </w:pPr>
      <w:r>
        <w:rPr>
          <w:rFonts w:hint="default" w:ascii="Times New Roman" w:hAnsi="Times New Roman" w:eastAsia="方正小标宋简体" w:cs="Times New Roman"/>
          <w:b w:val="0"/>
          <w:bCs w:val="0"/>
          <w:color w:val="000000" w:themeColor="text1"/>
          <w:spacing w:val="23"/>
          <w:sz w:val="40"/>
          <w:szCs w:val="40"/>
          <w:highlight w:val="none"/>
          <w14:textFill>
            <w14:solidFill>
              <w14:schemeClr w14:val="tx1"/>
            </w14:solidFill>
          </w14:textFill>
        </w:rPr>
        <w:t>物流成本</w:t>
      </w:r>
      <w:r>
        <w:rPr>
          <w:rFonts w:hint="default" w:ascii="Times New Roman" w:hAnsi="Times New Roman" w:eastAsia="方正小标宋简体" w:cs="Times New Roman"/>
          <w:b w:val="0"/>
          <w:bCs w:val="0"/>
          <w:color w:val="000000" w:themeColor="text1"/>
          <w:spacing w:val="23"/>
          <w:sz w:val="40"/>
          <w:szCs w:val="40"/>
          <w:highlight w:val="none"/>
          <w:lang w:eastAsia="zh-CN"/>
          <w14:textFill>
            <w14:solidFill>
              <w14:schemeClr w14:val="tx1"/>
            </w14:solidFill>
          </w14:textFill>
        </w:rPr>
        <w:t>表</w:t>
      </w:r>
    </w:p>
    <w:tbl>
      <w:tblPr>
        <w:tblStyle w:val="9"/>
        <w:tblW w:w="96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09"/>
        <w:gridCol w:w="1129"/>
        <w:gridCol w:w="1197"/>
        <w:gridCol w:w="1382"/>
        <w:gridCol w:w="1892"/>
        <w:gridCol w:w="2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680"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highlight w:val="none"/>
                <w:u w:val="none"/>
                <w:lang w:val="en-US" w:eastAsia="zh-CN" w:bidi="ar"/>
              </w:rPr>
            </w:pPr>
            <w:r>
              <w:rPr>
                <w:rFonts w:hint="default" w:ascii="Times New Roman" w:hAnsi="Times New Roman" w:eastAsia="宋体" w:cs="Times New Roman"/>
                <w:b/>
                <w:bCs/>
                <w:i w:val="0"/>
                <w:iCs w:val="0"/>
                <w:color w:val="000000"/>
                <w:kern w:val="0"/>
                <w:sz w:val="24"/>
                <w:szCs w:val="24"/>
                <w:highlight w:val="none"/>
                <w:u w:val="none"/>
                <w:lang w:val="en-US" w:eastAsia="zh-CN" w:bidi="ar"/>
              </w:rPr>
              <w:t>公路运输价格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jc w:val="center"/>
        </w:trPr>
        <w:tc>
          <w:tcPr>
            <w:tcW w:w="17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highlight w:val="none"/>
                <w:u w:val="none"/>
              </w:rPr>
            </w:pPr>
            <w:r>
              <w:rPr>
                <w:rFonts w:hint="default" w:ascii="Times New Roman" w:hAnsi="Times New Roman" w:eastAsia="宋体" w:cs="Times New Roman"/>
                <w:b/>
                <w:bCs/>
                <w:i w:val="0"/>
                <w:iCs w:val="0"/>
                <w:color w:val="000000"/>
                <w:kern w:val="0"/>
                <w:sz w:val="24"/>
                <w:szCs w:val="24"/>
                <w:highlight w:val="none"/>
                <w:u w:val="none"/>
                <w:lang w:val="en-US" w:eastAsia="zh-CN" w:bidi="ar"/>
              </w:rPr>
              <w:t>起</w:t>
            </w:r>
            <w:r>
              <w:rPr>
                <w:rFonts w:hint="default" w:ascii="Times New Roman" w:hAnsi="Times New Roman" w:eastAsia="宋体" w:cs="Times New Roman"/>
                <w:i w:val="0"/>
                <w:iCs w:val="0"/>
                <w:color w:val="000000"/>
                <w:kern w:val="0"/>
                <w:sz w:val="24"/>
                <w:szCs w:val="24"/>
                <w:highlight w:val="none"/>
                <w:u w:val="none"/>
                <w:lang w:val="en-US" w:eastAsia="zh-CN" w:bidi="ar"/>
              </w:rPr>
              <w:t xml:space="preserve"> </w:t>
            </w:r>
            <w:r>
              <w:rPr>
                <w:rFonts w:hint="default" w:ascii="Times New Roman" w:hAnsi="Times New Roman" w:eastAsia="宋体" w:cs="Times New Roman"/>
                <w:b/>
                <w:bCs/>
                <w:i w:val="0"/>
                <w:iCs w:val="0"/>
                <w:color w:val="000000"/>
                <w:kern w:val="0"/>
                <w:sz w:val="24"/>
                <w:szCs w:val="24"/>
                <w:highlight w:val="none"/>
                <w:u w:val="none"/>
                <w:lang w:val="en-US" w:eastAsia="zh-CN" w:bidi="ar"/>
              </w:rPr>
              <w:t>始</w:t>
            </w:r>
            <w:r>
              <w:rPr>
                <w:rFonts w:hint="default" w:ascii="Times New Roman" w:hAnsi="Times New Roman" w:eastAsia="宋体" w:cs="Times New Roman"/>
                <w:i w:val="0"/>
                <w:iCs w:val="0"/>
                <w:color w:val="000000"/>
                <w:kern w:val="0"/>
                <w:sz w:val="24"/>
                <w:szCs w:val="24"/>
                <w:highlight w:val="none"/>
                <w:u w:val="none"/>
                <w:lang w:val="en-US" w:eastAsia="zh-CN" w:bidi="ar"/>
              </w:rPr>
              <w:t xml:space="preserve"> </w:t>
            </w:r>
            <w:r>
              <w:rPr>
                <w:rFonts w:hint="default" w:ascii="Times New Roman" w:hAnsi="Times New Roman" w:eastAsia="宋体" w:cs="Times New Roman"/>
                <w:b/>
                <w:bCs/>
                <w:i w:val="0"/>
                <w:iCs w:val="0"/>
                <w:color w:val="000000"/>
                <w:kern w:val="0"/>
                <w:sz w:val="24"/>
                <w:szCs w:val="24"/>
                <w:highlight w:val="none"/>
                <w:u w:val="none"/>
                <w:lang w:val="en-US" w:eastAsia="zh-CN" w:bidi="ar"/>
              </w:rPr>
              <w:t>点</w:t>
            </w:r>
          </w:p>
        </w:tc>
        <w:tc>
          <w:tcPr>
            <w:tcW w:w="11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highlight w:val="none"/>
                <w:u w:val="none"/>
              </w:rPr>
            </w:pPr>
            <w:r>
              <w:rPr>
                <w:rFonts w:hint="default" w:ascii="Times New Roman" w:hAnsi="Times New Roman" w:eastAsia="宋体" w:cs="Times New Roman"/>
                <w:b/>
                <w:bCs/>
                <w:i w:val="0"/>
                <w:iCs w:val="0"/>
                <w:color w:val="000000"/>
                <w:kern w:val="0"/>
                <w:sz w:val="24"/>
                <w:szCs w:val="24"/>
                <w:highlight w:val="none"/>
                <w:u w:val="none"/>
                <w:lang w:val="en-US" w:eastAsia="zh-CN" w:bidi="ar"/>
              </w:rPr>
              <w:t>里</w:t>
            </w:r>
            <w:r>
              <w:rPr>
                <w:rFonts w:hint="default" w:ascii="Times New Roman" w:hAnsi="Times New Roman" w:eastAsia="宋体" w:cs="Times New Roman"/>
                <w:i w:val="0"/>
                <w:iCs w:val="0"/>
                <w:color w:val="000000"/>
                <w:kern w:val="0"/>
                <w:sz w:val="24"/>
                <w:szCs w:val="24"/>
                <w:highlight w:val="none"/>
                <w:u w:val="none"/>
                <w:lang w:val="en-US" w:eastAsia="zh-CN" w:bidi="ar"/>
              </w:rPr>
              <w:t xml:space="preserve"> </w:t>
            </w:r>
            <w:r>
              <w:rPr>
                <w:rFonts w:hint="default" w:ascii="Times New Roman" w:hAnsi="Times New Roman" w:eastAsia="宋体" w:cs="Times New Roman"/>
                <w:b/>
                <w:bCs/>
                <w:i w:val="0"/>
                <w:iCs w:val="0"/>
                <w:color w:val="000000"/>
                <w:kern w:val="0"/>
                <w:sz w:val="24"/>
                <w:szCs w:val="24"/>
                <w:highlight w:val="none"/>
                <w:u w:val="none"/>
                <w:lang w:val="en-US" w:eastAsia="zh-CN" w:bidi="ar"/>
              </w:rPr>
              <w:t>程</w:t>
            </w:r>
          </w:p>
        </w:tc>
        <w:tc>
          <w:tcPr>
            <w:tcW w:w="11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highlight w:val="none"/>
                <w:u w:val="none"/>
              </w:rPr>
            </w:pPr>
            <w:r>
              <w:rPr>
                <w:rFonts w:hint="default" w:ascii="Times New Roman" w:hAnsi="Times New Roman" w:eastAsia="宋体" w:cs="Times New Roman"/>
                <w:b/>
                <w:bCs/>
                <w:i w:val="0"/>
                <w:iCs w:val="0"/>
                <w:color w:val="000000"/>
                <w:kern w:val="0"/>
                <w:sz w:val="24"/>
                <w:szCs w:val="24"/>
                <w:highlight w:val="none"/>
                <w:u w:val="none"/>
                <w:lang w:val="en-US" w:eastAsia="zh-CN" w:bidi="ar"/>
              </w:rPr>
              <w:t>线</w:t>
            </w:r>
            <w:r>
              <w:rPr>
                <w:rFonts w:hint="default" w:ascii="Times New Roman" w:hAnsi="Times New Roman" w:eastAsia="宋体" w:cs="Times New Roman"/>
                <w:i w:val="0"/>
                <w:iCs w:val="0"/>
                <w:color w:val="000000"/>
                <w:kern w:val="0"/>
                <w:sz w:val="24"/>
                <w:szCs w:val="24"/>
                <w:highlight w:val="none"/>
                <w:u w:val="none"/>
                <w:lang w:val="en-US" w:eastAsia="zh-CN" w:bidi="ar"/>
              </w:rPr>
              <w:t xml:space="preserve"> </w:t>
            </w:r>
            <w:r>
              <w:rPr>
                <w:rFonts w:hint="default" w:ascii="Times New Roman" w:hAnsi="Times New Roman" w:eastAsia="宋体" w:cs="Times New Roman"/>
                <w:b/>
                <w:bCs/>
                <w:i w:val="0"/>
                <w:iCs w:val="0"/>
                <w:color w:val="000000"/>
                <w:kern w:val="0"/>
                <w:sz w:val="24"/>
                <w:szCs w:val="24"/>
                <w:highlight w:val="none"/>
                <w:u w:val="none"/>
                <w:lang w:val="en-US" w:eastAsia="zh-CN" w:bidi="ar"/>
              </w:rPr>
              <w:t>路</w:t>
            </w:r>
          </w:p>
        </w:tc>
        <w:tc>
          <w:tcPr>
            <w:tcW w:w="5645"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highlight w:val="none"/>
                <w:u w:val="none"/>
              </w:rPr>
            </w:pPr>
            <w:r>
              <w:rPr>
                <w:rFonts w:hint="default" w:ascii="Times New Roman" w:hAnsi="Times New Roman" w:eastAsia="宋体" w:cs="Times New Roman"/>
                <w:b/>
                <w:bCs/>
                <w:i w:val="0"/>
                <w:iCs w:val="0"/>
                <w:color w:val="000000"/>
                <w:kern w:val="0"/>
                <w:sz w:val="24"/>
                <w:szCs w:val="24"/>
                <w:highlight w:val="none"/>
                <w:u w:val="none"/>
                <w:lang w:val="en-US" w:eastAsia="zh-CN" w:bidi="ar"/>
              </w:rPr>
              <w:t>参考价格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17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昭化一成都</w:t>
            </w:r>
          </w:p>
        </w:tc>
        <w:tc>
          <w:tcPr>
            <w:tcW w:w="11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328公里</w:t>
            </w:r>
          </w:p>
        </w:tc>
        <w:tc>
          <w:tcPr>
            <w:tcW w:w="11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京昆高速公路</w:t>
            </w:r>
          </w:p>
        </w:tc>
        <w:tc>
          <w:tcPr>
            <w:tcW w:w="1382" w:type="dxa"/>
            <w:vMerge w:val="restart"/>
            <w:tcBorders>
              <w:top w:val="single" w:color="000000" w:sz="8" w:space="0"/>
              <w:left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kern w:val="0"/>
                <w:sz w:val="24"/>
                <w:szCs w:val="24"/>
                <w:highlight w:val="none"/>
                <w:u w:val="none"/>
                <w:lang w:val="en-US" w:eastAsia="zh-CN" w:bidi="ar"/>
              </w:rPr>
            </w:pPr>
            <w:r>
              <w:rPr>
                <w:rFonts w:hint="default" w:ascii="Times New Roman" w:hAnsi="Times New Roman" w:eastAsia="宋体" w:cs="Times New Roman"/>
                <w:b/>
                <w:bCs/>
                <w:i w:val="0"/>
                <w:iCs w:val="0"/>
                <w:color w:val="000000"/>
                <w:kern w:val="0"/>
                <w:sz w:val="24"/>
                <w:szCs w:val="24"/>
                <w:highlight w:val="none"/>
                <w:u w:val="none"/>
                <w:lang w:val="en-US" w:eastAsia="zh-CN" w:bidi="ar"/>
              </w:rPr>
              <w:t>大宗物</w:t>
            </w:r>
          </w:p>
          <w:p>
            <w:pPr>
              <w:jc w:val="center"/>
              <w:rPr>
                <w:rFonts w:hint="default" w:ascii="Times New Roman" w:hAnsi="Times New Roman" w:eastAsia="宋体" w:cs="Times New Roman"/>
                <w:b/>
                <w:bCs/>
                <w:i w:val="0"/>
                <w:iCs w:val="0"/>
                <w:color w:val="000000"/>
                <w:kern w:val="0"/>
                <w:sz w:val="24"/>
                <w:szCs w:val="24"/>
                <w:highlight w:val="none"/>
                <w:u w:val="none"/>
                <w:lang w:val="en-US" w:eastAsia="zh-CN" w:bidi="ar"/>
              </w:rPr>
            </w:pPr>
            <w:r>
              <w:rPr>
                <w:rFonts w:hint="default" w:ascii="Times New Roman" w:hAnsi="Times New Roman" w:eastAsia="宋体" w:cs="Times New Roman"/>
                <w:b/>
                <w:bCs/>
                <w:i w:val="0"/>
                <w:iCs w:val="0"/>
                <w:color w:val="000000"/>
                <w:kern w:val="0"/>
                <w:sz w:val="24"/>
                <w:szCs w:val="24"/>
                <w:highlight w:val="none"/>
                <w:u w:val="none"/>
                <w:lang w:val="en-US" w:eastAsia="zh-CN" w:bidi="ar"/>
              </w:rPr>
              <w:t>资运输</w:t>
            </w:r>
          </w:p>
          <w:p>
            <w:pPr>
              <w:jc w:val="both"/>
              <w:rPr>
                <w:rFonts w:hint="default" w:ascii="Times New Roman" w:hAnsi="Times New Roman" w:eastAsia="宋体" w:cs="Times New Roman"/>
                <w:i w:val="0"/>
                <w:iCs w:val="0"/>
                <w:color w:val="000000"/>
                <w:kern w:val="0"/>
                <w:sz w:val="22"/>
                <w:szCs w:val="22"/>
                <w:highlight w:val="none"/>
                <w:u w:val="none"/>
                <w:lang w:val="en-US" w:eastAsia="zh-CN" w:bidi="ar"/>
              </w:rPr>
            </w:pPr>
          </w:p>
          <w:p>
            <w:pPr>
              <w:jc w:val="center"/>
              <w:rPr>
                <w:rFonts w:hint="default" w:ascii="Times New Roman" w:hAnsi="Times New Roman" w:eastAsia="宋体" w:cs="Times New Roman"/>
                <w:i w:val="0"/>
                <w:iCs w:val="0"/>
                <w:color w:val="000000"/>
                <w:kern w:val="0"/>
                <w:sz w:val="22"/>
                <w:szCs w:val="22"/>
                <w:highlight w:val="none"/>
                <w:u w:val="none"/>
                <w:lang w:val="en-US" w:eastAsia="zh-CN" w:bidi="ar"/>
              </w:rPr>
            </w:pPr>
          </w:p>
          <w:p>
            <w:pPr>
              <w:jc w:val="both"/>
              <w:rPr>
                <w:rFonts w:hint="default" w:ascii="Times New Roman" w:hAnsi="Times New Roman" w:eastAsia="宋体" w:cs="Times New Roman"/>
                <w:i w:val="0"/>
                <w:iCs w:val="0"/>
                <w:color w:val="000000"/>
                <w:kern w:val="0"/>
                <w:sz w:val="22"/>
                <w:szCs w:val="22"/>
                <w:highlight w:val="none"/>
                <w:u w:val="none"/>
                <w:lang w:val="en-US" w:eastAsia="zh-CN" w:bidi="ar"/>
              </w:rPr>
            </w:pPr>
          </w:p>
          <w:p>
            <w:pPr>
              <w:jc w:val="center"/>
              <w:rPr>
                <w:rFonts w:hint="default" w:ascii="Times New Roman" w:hAnsi="Times New Roman" w:eastAsia="宋体" w:cs="Times New Roman"/>
                <w:b/>
                <w:bCs/>
                <w:i w:val="0"/>
                <w:iCs w:val="0"/>
                <w:color w:val="000000"/>
                <w:kern w:val="0"/>
                <w:sz w:val="24"/>
                <w:szCs w:val="24"/>
                <w:highlight w:val="none"/>
                <w:u w:val="none"/>
                <w:lang w:val="en-US" w:eastAsia="zh-CN" w:bidi="ar"/>
              </w:rPr>
            </w:pPr>
            <w:r>
              <w:rPr>
                <w:rFonts w:hint="default" w:ascii="Times New Roman" w:hAnsi="Times New Roman" w:eastAsia="宋体" w:cs="Times New Roman"/>
                <w:b/>
                <w:bCs/>
                <w:i w:val="0"/>
                <w:iCs w:val="0"/>
                <w:color w:val="000000"/>
                <w:kern w:val="0"/>
                <w:sz w:val="24"/>
                <w:szCs w:val="24"/>
                <w:highlight w:val="none"/>
                <w:u w:val="none"/>
                <w:lang w:val="en-US" w:eastAsia="zh-CN" w:bidi="ar"/>
              </w:rPr>
              <w:t>零担货</w:t>
            </w:r>
          </w:p>
          <w:p>
            <w:pPr>
              <w:jc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b/>
                <w:bCs/>
                <w:i w:val="0"/>
                <w:iCs w:val="0"/>
                <w:color w:val="000000"/>
                <w:kern w:val="0"/>
                <w:sz w:val="24"/>
                <w:szCs w:val="24"/>
                <w:highlight w:val="none"/>
                <w:u w:val="none"/>
                <w:lang w:val="en-US" w:eastAsia="zh-CN" w:bidi="ar"/>
              </w:rPr>
              <w:t>物运输</w:t>
            </w:r>
          </w:p>
        </w:tc>
        <w:tc>
          <w:tcPr>
            <w:tcW w:w="4263" w:type="dxa"/>
            <w:gridSpan w:val="2"/>
            <w:vMerge w:val="restart"/>
            <w:tcBorders>
              <w:top w:val="single" w:color="000000" w:sz="8" w:space="0"/>
              <w:left w:val="single" w:color="000000" w:sz="8" w:space="0"/>
              <w:right w:val="single" w:color="000000" w:sz="8" w:space="0"/>
            </w:tcBorders>
            <w:shd w:val="clear" w:color="auto" w:fill="auto"/>
            <w:vAlign w:val="center"/>
          </w:tcPr>
          <w:p>
            <w:pPr>
              <w:ind w:firstLine="240" w:firstLineChars="100"/>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平均0.8元/吨/公里</w:t>
            </w:r>
          </w:p>
          <w:p>
            <w:pPr>
              <w:rPr>
                <w:rFonts w:hint="default" w:ascii="Times New Roman" w:hAnsi="Times New Roman" w:eastAsia="宋体" w:cs="Times New Roman"/>
                <w:i w:val="0"/>
                <w:iCs w:val="0"/>
                <w:color w:val="000000"/>
                <w:kern w:val="0"/>
                <w:sz w:val="24"/>
                <w:szCs w:val="24"/>
                <w:highlight w:val="none"/>
                <w:u w:val="none"/>
                <w:lang w:val="en-US" w:eastAsia="zh-CN" w:bidi="ar"/>
              </w:rPr>
            </w:pPr>
          </w:p>
          <w:p>
            <w:pPr>
              <w:rPr>
                <w:rFonts w:hint="default" w:ascii="Times New Roman" w:hAnsi="Times New Roman" w:eastAsia="宋体" w:cs="Times New Roman"/>
                <w:i w:val="0"/>
                <w:iCs w:val="0"/>
                <w:color w:val="000000"/>
                <w:kern w:val="0"/>
                <w:sz w:val="24"/>
                <w:szCs w:val="24"/>
                <w:highlight w:val="none"/>
                <w:u w:val="none"/>
                <w:lang w:val="en-US" w:eastAsia="zh-CN" w:bidi="ar"/>
              </w:rPr>
            </w:pPr>
          </w:p>
          <w:p>
            <w:pPr>
              <w:rPr>
                <w:rFonts w:hint="default" w:ascii="Times New Roman" w:hAnsi="Times New Roman" w:eastAsia="宋体" w:cs="Times New Roman"/>
                <w:i w:val="0"/>
                <w:iCs w:val="0"/>
                <w:color w:val="000000"/>
                <w:kern w:val="0"/>
                <w:sz w:val="24"/>
                <w:szCs w:val="24"/>
                <w:highlight w:val="none"/>
                <w:u w:val="none"/>
                <w:lang w:val="en-US" w:eastAsia="zh-CN" w:bidi="ar"/>
              </w:rPr>
            </w:pPr>
          </w:p>
          <w:p>
            <w:pP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（轻货）200公里以内：60元/方</w:t>
            </w:r>
          </w:p>
          <w:p>
            <w:pP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（轻货）200公里以外：90-110元/方</w:t>
            </w:r>
          </w:p>
          <w:p>
            <w:pP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（重货）110-130元/吨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17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昭化一西安</w:t>
            </w:r>
          </w:p>
        </w:tc>
        <w:tc>
          <w:tcPr>
            <w:tcW w:w="11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462公里</w:t>
            </w:r>
          </w:p>
        </w:tc>
        <w:tc>
          <w:tcPr>
            <w:tcW w:w="11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京昆高速公路</w:t>
            </w:r>
          </w:p>
        </w:tc>
        <w:tc>
          <w:tcPr>
            <w:tcW w:w="1382" w:type="dxa"/>
            <w:vMerge w:val="continue"/>
            <w:tcBorders>
              <w:left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4263" w:type="dxa"/>
            <w:gridSpan w:val="2"/>
            <w:vMerge w:val="continue"/>
            <w:tcBorders>
              <w:left w:val="single" w:color="000000" w:sz="8" w:space="0"/>
              <w:right w:val="single" w:color="000000" w:sz="8" w:space="0"/>
            </w:tcBorders>
            <w:shd w:val="clear" w:color="auto" w:fill="auto"/>
            <w:vAlign w:val="center"/>
          </w:tcPr>
          <w:p>
            <w:pPr>
              <w:rPr>
                <w:rFonts w:hint="default" w:ascii="Times New Roman" w:hAnsi="Times New Roman" w:eastAsia="宋体" w:cs="Times New Roman"/>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jc w:val="center"/>
        </w:trPr>
        <w:tc>
          <w:tcPr>
            <w:tcW w:w="17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昭化一兰州</w:t>
            </w:r>
          </w:p>
        </w:tc>
        <w:tc>
          <w:tcPr>
            <w:tcW w:w="11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623公里</w:t>
            </w:r>
          </w:p>
        </w:tc>
        <w:tc>
          <w:tcPr>
            <w:tcW w:w="11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兰海高速公路</w:t>
            </w:r>
          </w:p>
        </w:tc>
        <w:tc>
          <w:tcPr>
            <w:tcW w:w="1382" w:type="dxa"/>
            <w:vMerge w:val="continue"/>
            <w:tcBorders>
              <w:left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4263" w:type="dxa"/>
            <w:gridSpan w:val="2"/>
            <w:vMerge w:val="continue"/>
            <w:tcBorders>
              <w:left w:val="single" w:color="000000" w:sz="8" w:space="0"/>
              <w:right w:val="single" w:color="000000" w:sz="8" w:space="0"/>
            </w:tcBorders>
            <w:shd w:val="clear" w:color="auto" w:fill="auto"/>
            <w:vAlign w:val="center"/>
          </w:tcPr>
          <w:p>
            <w:pPr>
              <w:rPr>
                <w:rFonts w:hint="default" w:ascii="Times New Roman" w:hAnsi="Times New Roman" w:eastAsia="宋体" w:cs="Times New Roman"/>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17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昭化一重庆</w:t>
            </w:r>
          </w:p>
        </w:tc>
        <w:tc>
          <w:tcPr>
            <w:tcW w:w="11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370公里</w:t>
            </w:r>
          </w:p>
        </w:tc>
        <w:tc>
          <w:tcPr>
            <w:tcW w:w="11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兰海高速公路</w:t>
            </w:r>
          </w:p>
        </w:tc>
        <w:tc>
          <w:tcPr>
            <w:tcW w:w="1382" w:type="dxa"/>
            <w:vMerge w:val="continue"/>
            <w:tcBorders>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4263" w:type="dxa"/>
            <w:gridSpan w:val="2"/>
            <w:vMerge w:val="continue"/>
            <w:tcBorders>
              <w:left w:val="single" w:color="000000" w:sz="8" w:space="0"/>
              <w:bottom w:val="single" w:color="000000" w:sz="8" w:space="0"/>
              <w:right w:val="single" w:color="000000" w:sz="8" w:space="0"/>
            </w:tcBorders>
            <w:shd w:val="clear" w:color="auto" w:fill="auto"/>
            <w:vAlign w:val="center"/>
          </w:tcPr>
          <w:p>
            <w:pPr>
              <w:rPr>
                <w:rFonts w:hint="default" w:ascii="Times New Roman" w:hAnsi="Times New Roman" w:eastAsia="宋体" w:cs="Times New Roman"/>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680"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highlight w:val="none"/>
                <w:u w:val="none"/>
              </w:rPr>
            </w:pPr>
            <w:r>
              <w:rPr>
                <w:rFonts w:hint="default" w:ascii="Times New Roman" w:hAnsi="Times New Roman" w:eastAsia="宋体" w:cs="Times New Roman"/>
                <w:b/>
                <w:bCs/>
                <w:i w:val="0"/>
                <w:iCs w:val="0"/>
                <w:color w:val="000000"/>
                <w:kern w:val="0"/>
                <w:sz w:val="24"/>
                <w:szCs w:val="24"/>
                <w:highlight w:val="none"/>
                <w:u w:val="none"/>
                <w:lang w:val="en-US" w:eastAsia="zh-CN" w:bidi="ar"/>
              </w:rPr>
              <w:t>水路运输价格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83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b/>
                <w:bCs/>
                <w:i w:val="0"/>
                <w:iCs w:val="0"/>
                <w:color w:val="000000"/>
                <w:kern w:val="0"/>
                <w:sz w:val="24"/>
                <w:szCs w:val="24"/>
                <w:highlight w:val="none"/>
                <w:u w:val="none"/>
                <w:lang w:val="en-US" w:eastAsia="zh-CN" w:bidi="ar"/>
              </w:rPr>
              <w:t>起点</w:t>
            </w:r>
          </w:p>
        </w:tc>
        <w:tc>
          <w:tcPr>
            <w:tcW w:w="2579"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b/>
                <w:bCs/>
                <w:i w:val="0"/>
                <w:iCs w:val="0"/>
                <w:color w:val="000000"/>
                <w:kern w:val="0"/>
                <w:sz w:val="24"/>
                <w:szCs w:val="24"/>
                <w:highlight w:val="none"/>
                <w:u w:val="none"/>
                <w:lang w:val="en-US" w:eastAsia="zh-CN" w:bidi="ar"/>
              </w:rPr>
              <w:t>终点</w:t>
            </w:r>
          </w:p>
        </w:tc>
        <w:tc>
          <w:tcPr>
            <w:tcW w:w="189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highlight w:val="none"/>
                <w:u w:val="none"/>
              </w:rPr>
            </w:pPr>
            <w:r>
              <w:rPr>
                <w:rFonts w:hint="default" w:ascii="Times New Roman" w:hAnsi="Times New Roman" w:eastAsia="宋体" w:cs="Times New Roman"/>
                <w:b/>
                <w:bCs/>
                <w:i w:val="0"/>
                <w:iCs w:val="0"/>
                <w:color w:val="000000"/>
                <w:kern w:val="0"/>
                <w:sz w:val="22"/>
                <w:szCs w:val="22"/>
                <w:highlight w:val="none"/>
                <w:u w:val="none"/>
                <w:lang w:val="en-US" w:eastAsia="zh-CN" w:bidi="ar"/>
              </w:rPr>
              <w:t>里程（公里）</w:t>
            </w:r>
          </w:p>
        </w:tc>
        <w:tc>
          <w:tcPr>
            <w:tcW w:w="237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highlight w:val="none"/>
                <w:u w:val="none"/>
              </w:rPr>
            </w:pPr>
            <w:r>
              <w:rPr>
                <w:rFonts w:hint="default" w:ascii="Times New Roman" w:hAnsi="Times New Roman" w:eastAsia="宋体" w:cs="Times New Roman"/>
                <w:b/>
                <w:bCs/>
                <w:i w:val="0"/>
                <w:iCs w:val="0"/>
                <w:color w:val="000000"/>
                <w:kern w:val="0"/>
                <w:sz w:val="22"/>
                <w:szCs w:val="22"/>
                <w:highlight w:val="none"/>
                <w:u w:val="none"/>
                <w:lang w:val="en-US" w:eastAsia="zh-CN" w:bidi="ar"/>
              </w:rPr>
              <w:t>运价（元/吨）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83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广元港</w:t>
            </w:r>
            <w:r>
              <w:rPr>
                <w:rFonts w:hint="eastAsia" w:ascii="Times New Roman" w:hAnsi="Times New Roman" w:cs="Times New Roman"/>
                <w:i w:val="0"/>
                <w:iCs w:val="0"/>
                <w:color w:val="000000"/>
                <w:kern w:val="0"/>
                <w:sz w:val="24"/>
                <w:szCs w:val="24"/>
                <w:highlight w:val="none"/>
                <w:u w:val="none"/>
                <w:lang w:val="en-US" w:eastAsia="zh-CN" w:bidi="ar"/>
              </w:rPr>
              <w:t>（</w:t>
            </w:r>
            <w:r>
              <w:rPr>
                <w:rFonts w:hint="default" w:ascii="Times New Roman" w:hAnsi="Times New Roman" w:eastAsia="宋体" w:cs="Times New Roman"/>
                <w:i w:val="0"/>
                <w:iCs w:val="0"/>
                <w:color w:val="000000"/>
                <w:kern w:val="0"/>
                <w:sz w:val="24"/>
                <w:szCs w:val="24"/>
                <w:highlight w:val="none"/>
                <w:u w:val="none"/>
                <w:lang w:val="en-US" w:eastAsia="zh-CN" w:bidi="ar"/>
              </w:rPr>
              <w:t>红岩港)</w:t>
            </w:r>
          </w:p>
        </w:tc>
        <w:tc>
          <w:tcPr>
            <w:tcW w:w="2579"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重庆港</w:t>
            </w:r>
          </w:p>
        </w:tc>
        <w:tc>
          <w:tcPr>
            <w:tcW w:w="189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68</w:t>
            </w:r>
            <w:r>
              <w:rPr>
                <w:rFonts w:hint="eastAsia" w:ascii="Times New Roman" w:hAnsi="Times New Roman" w:cs="Times New Roman"/>
                <w:i w:val="0"/>
                <w:iCs w:val="0"/>
                <w:color w:val="000000"/>
                <w:kern w:val="0"/>
                <w:sz w:val="24"/>
                <w:szCs w:val="24"/>
                <w:highlight w:val="none"/>
                <w:u w:val="none"/>
                <w:lang w:val="en-US" w:eastAsia="zh-CN" w:bidi="ar"/>
              </w:rPr>
              <w:t>0</w:t>
            </w:r>
          </w:p>
        </w:tc>
        <w:tc>
          <w:tcPr>
            <w:tcW w:w="237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eastAsia" w:ascii="Times New Roman" w:hAnsi="Times New Roman" w:cs="Times New Roman"/>
                <w:i w:val="0"/>
                <w:iCs w:val="0"/>
                <w:color w:val="000000"/>
                <w:kern w:val="0"/>
                <w:sz w:val="24"/>
                <w:szCs w:val="24"/>
                <w:highlight w:val="none"/>
                <w:u w:val="none"/>
                <w:lang w:val="en-US" w:eastAsia="zh-CN" w:bidi="ar"/>
              </w:rPr>
              <w:t>65-70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680"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b/>
                <w:bCs/>
                <w:i w:val="0"/>
                <w:iCs w:val="0"/>
                <w:color w:val="000000"/>
                <w:kern w:val="0"/>
                <w:sz w:val="24"/>
                <w:szCs w:val="24"/>
                <w:highlight w:val="none"/>
                <w:u w:val="none"/>
                <w:lang w:val="en-US" w:eastAsia="zh-CN" w:bidi="ar"/>
              </w:rPr>
              <w:t>铁路运输价格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170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highlight w:val="none"/>
                <w:u w:val="none"/>
                <w:lang w:val="en-US" w:eastAsia="zh-CN" w:bidi="ar"/>
              </w:rPr>
            </w:pPr>
            <w:r>
              <w:rPr>
                <w:rFonts w:hint="default" w:ascii="Times New Roman" w:hAnsi="Times New Roman" w:eastAsia="宋体" w:cs="Times New Roman"/>
                <w:b/>
                <w:bCs/>
                <w:i w:val="0"/>
                <w:iCs w:val="0"/>
                <w:color w:val="000000"/>
                <w:kern w:val="0"/>
                <w:sz w:val="24"/>
                <w:szCs w:val="24"/>
                <w:highlight w:val="none"/>
                <w:u w:val="none"/>
                <w:lang w:val="en-US" w:eastAsia="zh-CN" w:bidi="ar"/>
              </w:rPr>
              <w:t>起始点</w:t>
            </w:r>
          </w:p>
        </w:tc>
        <w:tc>
          <w:tcPr>
            <w:tcW w:w="112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highlight w:val="none"/>
                <w:u w:val="none"/>
                <w:lang w:val="en-US" w:eastAsia="zh-CN" w:bidi="ar"/>
              </w:rPr>
            </w:pPr>
            <w:r>
              <w:rPr>
                <w:rFonts w:hint="default" w:ascii="Times New Roman" w:hAnsi="Times New Roman" w:eastAsia="宋体" w:cs="Times New Roman"/>
                <w:b/>
                <w:bCs/>
                <w:i w:val="0"/>
                <w:iCs w:val="0"/>
                <w:color w:val="000000"/>
                <w:kern w:val="0"/>
                <w:sz w:val="24"/>
                <w:szCs w:val="24"/>
                <w:highlight w:val="none"/>
                <w:u w:val="none"/>
                <w:lang w:val="en-US" w:eastAsia="zh-CN" w:bidi="ar"/>
              </w:rPr>
              <w:t>发站</w:t>
            </w:r>
          </w:p>
        </w:tc>
        <w:tc>
          <w:tcPr>
            <w:tcW w:w="119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highlight w:val="none"/>
                <w:u w:val="none"/>
                <w:lang w:val="en-US" w:eastAsia="zh-CN" w:bidi="ar"/>
              </w:rPr>
            </w:pPr>
            <w:r>
              <w:rPr>
                <w:rFonts w:hint="default" w:ascii="Times New Roman" w:hAnsi="Times New Roman" w:eastAsia="宋体" w:cs="Times New Roman"/>
                <w:b/>
                <w:bCs/>
                <w:i w:val="0"/>
                <w:iCs w:val="0"/>
                <w:color w:val="000000"/>
                <w:kern w:val="0"/>
                <w:sz w:val="24"/>
                <w:szCs w:val="24"/>
                <w:highlight w:val="none"/>
                <w:u w:val="none"/>
                <w:lang w:val="en-US" w:eastAsia="zh-CN" w:bidi="ar"/>
              </w:rPr>
              <w:t>到站</w:t>
            </w:r>
          </w:p>
        </w:tc>
        <w:tc>
          <w:tcPr>
            <w:tcW w:w="138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highlight w:val="none"/>
                <w:u w:val="none"/>
                <w:lang w:val="en-US" w:eastAsia="zh-CN" w:bidi="ar"/>
              </w:rPr>
            </w:pPr>
            <w:r>
              <w:rPr>
                <w:rFonts w:hint="default" w:ascii="Times New Roman" w:hAnsi="Times New Roman" w:eastAsia="宋体" w:cs="Times New Roman"/>
                <w:b/>
                <w:bCs/>
                <w:i w:val="0"/>
                <w:iCs w:val="0"/>
                <w:color w:val="000000"/>
                <w:kern w:val="0"/>
                <w:sz w:val="24"/>
                <w:szCs w:val="24"/>
                <w:highlight w:val="none"/>
                <w:u w:val="none"/>
                <w:lang w:val="en-US" w:eastAsia="zh-CN" w:bidi="ar"/>
              </w:rPr>
              <w:t>里程（公里）</w:t>
            </w:r>
          </w:p>
        </w:tc>
        <w:tc>
          <w:tcPr>
            <w:tcW w:w="189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highlight w:val="none"/>
                <w:u w:val="none"/>
                <w:lang w:val="en-US" w:eastAsia="zh-CN" w:bidi="ar"/>
              </w:rPr>
            </w:pPr>
            <w:r>
              <w:rPr>
                <w:rFonts w:hint="default" w:ascii="Times New Roman" w:hAnsi="Times New Roman" w:eastAsia="宋体" w:cs="Times New Roman"/>
                <w:b/>
                <w:bCs/>
                <w:i w:val="0"/>
                <w:iCs w:val="0"/>
                <w:color w:val="000000"/>
                <w:kern w:val="0"/>
                <w:sz w:val="24"/>
                <w:szCs w:val="24"/>
                <w:highlight w:val="none"/>
                <w:u w:val="none"/>
                <w:lang w:val="en-US" w:eastAsia="zh-CN" w:bidi="ar"/>
              </w:rPr>
              <w:t>整车运价（元）</w:t>
            </w:r>
          </w:p>
        </w:tc>
        <w:tc>
          <w:tcPr>
            <w:tcW w:w="237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highlight w:val="none"/>
                <w:u w:val="none"/>
                <w:lang w:val="en-US" w:eastAsia="zh-CN" w:bidi="ar"/>
              </w:rPr>
            </w:pPr>
            <w:r>
              <w:rPr>
                <w:rFonts w:hint="default" w:ascii="Times New Roman" w:hAnsi="Times New Roman" w:eastAsia="宋体" w:cs="Times New Roman"/>
                <w:b/>
                <w:bCs/>
                <w:i w:val="0"/>
                <w:iCs w:val="0"/>
                <w:color w:val="000000"/>
                <w:kern w:val="0"/>
                <w:sz w:val="24"/>
                <w:szCs w:val="24"/>
                <w:highlight w:val="none"/>
                <w:u w:val="none"/>
                <w:lang w:val="en-US" w:eastAsia="zh-CN" w:bidi="ar"/>
              </w:rPr>
              <w:t>集装箱运价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jc w:val="center"/>
        </w:trPr>
        <w:tc>
          <w:tcPr>
            <w:tcW w:w="17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广元—北京</w:t>
            </w:r>
          </w:p>
        </w:tc>
        <w:tc>
          <w:tcPr>
            <w:tcW w:w="11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广元南</w:t>
            </w:r>
          </w:p>
        </w:tc>
        <w:tc>
          <w:tcPr>
            <w:tcW w:w="11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大红门</w:t>
            </w:r>
          </w:p>
        </w:tc>
        <w:tc>
          <w:tcPr>
            <w:tcW w:w="138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1667</w:t>
            </w:r>
          </w:p>
        </w:tc>
        <w:tc>
          <w:tcPr>
            <w:tcW w:w="189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1520</w:t>
            </w:r>
            <w:r>
              <w:rPr>
                <w:rFonts w:hint="eastAsia" w:ascii="Times New Roman" w:hAnsi="Times New Roman" w:cs="Times New Roman"/>
                <w:i w:val="0"/>
                <w:iCs w:val="0"/>
                <w:color w:val="000000"/>
                <w:kern w:val="0"/>
                <w:sz w:val="24"/>
                <w:szCs w:val="24"/>
                <w:highlight w:val="none"/>
                <w:u w:val="none"/>
                <w:lang w:val="en-US" w:eastAsia="zh-CN" w:bidi="ar"/>
              </w:rPr>
              <w:t>4</w:t>
            </w:r>
            <w:r>
              <w:rPr>
                <w:rFonts w:hint="default" w:ascii="Times New Roman" w:hAnsi="Times New Roman" w:eastAsia="宋体" w:cs="Times New Roman"/>
                <w:i w:val="0"/>
                <w:iCs w:val="0"/>
                <w:color w:val="000000"/>
                <w:kern w:val="0"/>
                <w:sz w:val="24"/>
                <w:szCs w:val="24"/>
                <w:highlight w:val="none"/>
                <w:u w:val="none"/>
                <w:lang w:val="en-US" w:eastAsia="zh-CN" w:bidi="ar"/>
              </w:rPr>
              <w:t>.</w:t>
            </w:r>
            <w:r>
              <w:rPr>
                <w:rFonts w:hint="eastAsia" w:ascii="Times New Roman" w:hAnsi="Times New Roman" w:cs="Times New Roman"/>
                <w:i w:val="0"/>
                <w:iCs w:val="0"/>
                <w:color w:val="000000"/>
                <w:kern w:val="0"/>
                <w:sz w:val="24"/>
                <w:szCs w:val="24"/>
                <w:highlight w:val="none"/>
                <w:u w:val="none"/>
                <w:lang w:val="en-US" w:eastAsia="zh-CN" w:bidi="ar"/>
              </w:rPr>
              <w:t>7</w:t>
            </w:r>
          </w:p>
        </w:tc>
        <w:tc>
          <w:tcPr>
            <w:tcW w:w="237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14</w:t>
            </w:r>
            <w:r>
              <w:rPr>
                <w:rFonts w:hint="eastAsia" w:ascii="Times New Roman" w:hAnsi="Times New Roman" w:cs="Times New Roman"/>
                <w:i w:val="0"/>
                <w:iCs w:val="0"/>
                <w:color w:val="000000"/>
                <w:kern w:val="0"/>
                <w:sz w:val="24"/>
                <w:szCs w:val="24"/>
                <w:highlight w:val="none"/>
                <w:u w:val="none"/>
                <w:lang w:val="en-US" w:eastAsia="zh-CN" w:bidi="ar"/>
              </w:rPr>
              <w:t>246.7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jc w:val="center"/>
        </w:trPr>
        <w:tc>
          <w:tcPr>
            <w:tcW w:w="17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广元一上海</w:t>
            </w:r>
          </w:p>
        </w:tc>
        <w:tc>
          <w:tcPr>
            <w:tcW w:w="11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广元南</w:t>
            </w:r>
          </w:p>
        </w:tc>
        <w:tc>
          <w:tcPr>
            <w:tcW w:w="11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闵行</w:t>
            </w:r>
          </w:p>
        </w:tc>
        <w:tc>
          <w:tcPr>
            <w:tcW w:w="138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1979</w:t>
            </w:r>
          </w:p>
        </w:tc>
        <w:tc>
          <w:tcPr>
            <w:tcW w:w="189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1777</w:t>
            </w:r>
            <w:r>
              <w:rPr>
                <w:rFonts w:hint="eastAsia" w:ascii="Times New Roman" w:hAnsi="Times New Roman" w:cs="Times New Roman"/>
                <w:i w:val="0"/>
                <w:iCs w:val="0"/>
                <w:color w:val="000000"/>
                <w:kern w:val="0"/>
                <w:sz w:val="24"/>
                <w:szCs w:val="24"/>
                <w:highlight w:val="none"/>
                <w:u w:val="none"/>
                <w:lang w:val="en-US" w:eastAsia="zh-CN" w:bidi="ar"/>
              </w:rPr>
              <w:t>6.7</w:t>
            </w:r>
          </w:p>
        </w:tc>
        <w:tc>
          <w:tcPr>
            <w:tcW w:w="237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165</w:t>
            </w:r>
            <w:r>
              <w:rPr>
                <w:rFonts w:hint="eastAsia" w:ascii="Times New Roman" w:hAnsi="Times New Roman" w:cs="Times New Roman"/>
                <w:i w:val="0"/>
                <w:iCs w:val="0"/>
                <w:color w:val="000000"/>
                <w:kern w:val="0"/>
                <w:sz w:val="24"/>
                <w:szCs w:val="24"/>
                <w:highlight w:val="none"/>
                <w:u w:val="none"/>
                <w:lang w:val="en-US" w:eastAsia="zh-CN" w:bidi="ar"/>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jc w:val="center"/>
        </w:trPr>
        <w:tc>
          <w:tcPr>
            <w:tcW w:w="17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广元一天津</w:t>
            </w:r>
          </w:p>
        </w:tc>
        <w:tc>
          <w:tcPr>
            <w:tcW w:w="11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广元南</w:t>
            </w:r>
          </w:p>
        </w:tc>
        <w:tc>
          <w:tcPr>
            <w:tcW w:w="11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塘沽</w:t>
            </w:r>
          </w:p>
        </w:tc>
        <w:tc>
          <w:tcPr>
            <w:tcW w:w="138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1812</w:t>
            </w:r>
          </w:p>
        </w:tc>
        <w:tc>
          <w:tcPr>
            <w:tcW w:w="189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164</w:t>
            </w:r>
            <w:r>
              <w:rPr>
                <w:rFonts w:hint="eastAsia" w:ascii="Times New Roman" w:hAnsi="Times New Roman" w:cs="Times New Roman"/>
                <w:i w:val="0"/>
                <w:iCs w:val="0"/>
                <w:color w:val="000000"/>
                <w:kern w:val="0"/>
                <w:sz w:val="24"/>
                <w:szCs w:val="24"/>
                <w:highlight w:val="none"/>
                <w:u w:val="none"/>
                <w:lang w:val="en-US" w:eastAsia="zh-CN" w:bidi="ar"/>
              </w:rPr>
              <w:t>28</w:t>
            </w:r>
          </w:p>
        </w:tc>
        <w:tc>
          <w:tcPr>
            <w:tcW w:w="237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1532</w:t>
            </w:r>
            <w:r>
              <w:rPr>
                <w:rFonts w:hint="eastAsia" w:ascii="Times New Roman" w:hAnsi="Times New Roman" w:cs="Times New Roman"/>
                <w:i w:val="0"/>
                <w:iCs w:val="0"/>
                <w:color w:val="000000"/>
                <w:kern w:val="0"/>
                <w:sz w:val="24"/>
                <w:szCs w:val="24"/>
                <w:highlight w:val="none"/>
                <w:u w:val="none"/>
                <w:lang w:val="en-US" w:eastAsia="zh-CN" w:bidi="ar"/>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17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广元一连云港</w:t>
            </w:r>
          </w:p>
        </w:tc>
        <w:tc>
          <w:tcPr>
            <w:tcW w:w="11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广元南</w:t>
            </w:r>
          </w:p>
        </w:tc>
        <w:tc>
          <w:tcPr>
            <w:tcW w:w="11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连云港港口</w:t>
            </w:r>
          </w:p>
        </w:tc>
        <w:tc>
          <w:tcPr>
            <w:tcW w:w="138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1634</w:t>
            </w:r>
          </w:p>
        </w:tc>
        <w:tc>
          <w:tcPr>
            <w:tcW w:w="189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14908.8</w:t>
            </w:r>
          </w:p>
        </w:tc>
        <w:tc>
          <w:tcPr>
            <w:tcW w:w="237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13549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jc w:val="center"/>
        </w:trPr>
        <w:tc>
          <w:tcPr>
            <w:tcW w:w="17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广元一西安</w:t>
            </w:r>
          </w:p>
        </w:tc>
        <w:tc>
          <w:tcPr>
            <w:tcW w:w="11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广元南</w:t>
            </w:r>
          </w:p>
        </w:tc>
        <w:tc>
          <w:tcPr>
            <w:tcW w:w="11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西安南</w:t>
            </w:r>
          </w:p>
        </w:tc>
        <w:tc>
          <w:tcPr>
            <w:tcW w:w="138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619</w:t>
            </w:r>
          </w:p>
        </w:tc>
        <w:tc>
          <w:tcPr>
            <w:tcW w:w="189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6344.7</w:t>
            </w:r>
          </w:p>
        </w:tc>
        <w:tc>
          <w:tcPr>
            <w:tcW w:w="237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6345.8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jc w:val="center"/>
        </w:trPr>
        <w:tc>
          <w:tcPr>
            <w:tcW w:w="17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广元一重庆</w:t>
            </w:r>
          </w:p>
        </w:tc>
        <w:tc>
          <w:tcPr>
            <w:tcW w:w="11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广元南</w:t>
            </w:r>
          </w:p>
        </w:tc>
        <w:tc>
          <w:tcPr>
            <w:tcW w:w="11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团结村</w:t>
            </w:r>
          </w:p>
        </w:tc>
        <w:tc>
          <w:tcPr>
            <w:tcW w:w="138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349</w:t>
            </w:r>
          </w:p>
        </w:tc>
        <w:tc>
          <w:tcPr>
            <w:tcW w:w="189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eastAsia" w:ascii="Times New Roman" w:hAnsi="Times New Roman" w:cs="Times New Roman"/>
                <w:i w:val="0"/>
                <w:iCs w:val="0"/>
                <w:color w:val="000000"/>
                <w:sz w:val="24"/>
                <w:szCs w:val="24"/>
                <w:highlight w:val="none"/>
                <w:u w:val="none"/>
                <w:lang w:val="en-US" w:eastAsia="zh-CN"/>
              </w:rPr>
              <w:t>4755.7</w:t>
            </w:r>
          </w:p>
        </w:tc>
        <w:tc>
          <w:tcPr>
            <w:tcW w:w="237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jc w:val="center"/>
        </w:trPr>
        <w:tc>
          <w:tcPr>
            <w:tcW w:w="17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广元一成都</w:t>
            </w:r>
          </w:p>
        </w:tc>
        <w:tc>
          <w:tcPr>
            <w:tcW w:w="11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广元南</w:t>
            </w:r>
          </w:p>
        </w:tc>
        <w:tc>
          <w:tcPr>
            <w:tcW w:w="11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城厢</w:t>
            </w:r>
          </w:p>
        </w:tc>
        <w:tc>
          <w:tcPr>
            <w:tcW w:w="138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3</w:t>
            </w:r>
            <w:r>
              <w:rPr>
                <w:rFonts w:hint="eastAsia" w:ascii="Times New Roman" w:hAnsi="Times New Roman" w:cs="Times New Roman"/>
                <w:i w:val="0"/>
                <w:iCs w:val="0"/>
                <w:color w:val="000000"/>
                <w:kern w:val="0"/>
                <w:sz w:val="24"/>
                <w:szCs w:val="24"/>
                <w:highlight w:val="none"/>
                <w:u w:val="none"/>
                <w:lang w:val="en-US" w:eastAsia="zh-CN" w:bidi="ar"/>
              </w:rPr>
              <w:t>17</w:t>
            </w:r>
          </w:p>
        </w:tc>
        <w:tc>
          <w:tcPr>
            <w:tcW w:w="189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39</w:t>
            </w:r>
            <w:r>
              <w:rPr>
                <w:rFonts w:hint="eastAsia" w:ascii="Times New Roman" w:hAnsi="Times New Roman" w:cs="Times New Roman"/>
                <w:i w:val="0"/>
                <w:iCs w:val="0"/>
                <w:color w:val="000000"/>
                <w:kern w:val="0"/>
                <w:sz w:val="24"/>
                <w:szCs w:val="24"/>
                <w:highlight w:val="none"/>
                <w:u w:val="none"/>
                <w:lang w:val="en-US" w:eastAsia="zh-CN" w:bidi="ar"/>
              </w:rPr>
              <w:t>79.5</w:t>
            </w:r>
          </w:p>
        </w:tc>
        <w:tc>
          <w:tcPr>
            <w:tcW w:w="237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4242</w:t>
            </w:r>
          </w:p>
        </w:tc>
      </w:tr>
    </w:tbl>
    <w:p>
      <w:pPr>
        <w:pStyle w:val="18"/>
        <w:keepNext w:val="0"/>
        <w:keepLines w:val="0"/>
        <w:pageBreakBefore w:val="0"/>
        <w:widowControl/>
        <w:kinsoku w:val="0"/>
        <w:wordWrap/>
        <w:overflowPunct/>
        <w:topLinePunct w:val="0"/>
        <w:autoSpaceDE w:val="0"/>
        <w:autoSpaceDN w:val="0"/>
        <w:bidi w:val="0"/>
        <w:adjustRightInd w:val="0"/>
        <w:snapToGrid w:val="0"/>
        <w:spacing w:line="280" w:lineRule="exact"/>
        <w:jc w:val="both"/>
        <w:textAlignment w:val="baseline"/>
        <w:rPr>
          <w:rFonts w:hint="default" w:ascii="Times New Roman" w:hAnsi="Times New Roman" w:cs="Times New Roman" w:eastAsiaTheme="majorEastAsia"/>
          <w:color w:val="000000" w:themeColor="text1"/>
          <w:spacing w:val="-2"/>
          <w:sz w:val="21"/>
          <w:szCs w:val="21"/>
          <w:highlight w:val="none"/>
          <w:lang w:eastAsia="zh-CN"/>
          <w14:textFill>
            <w14:solidFill>
              <w14:schemeClr w14:val="tx1"/>
            </w14:solidFill>
          </w14:textFill>
        </w:rPr>
      </w:pPr>
      <w:r>
        <w:rPr>
          <w:rFonts w:hint="default" w:ascii="Times New Roman" w:hAnsi="Times New Roman" w:cs="Times New Roman" w:eastAsiaTheme="majorEastAsia"/>
          <w:color w:val="000000" w:themeColor="text1"/>
          <w:spacing w:val="-2"/>
          <w:sz w:val="21"/>
          <w:szCs w:val="21"/>
          <w:highlight w:val="none"/>
          <w:lang w:eastAsia="zh-CN"/>
          <w14:textFill>
            <w14:solidFill>
              <w14:schemeClr w14:val="tx1"/>
            </w14:solidFill>
          </w14:textFill>
        </w:rPr>
        <w:t>备注：1.整车按60吨5号运价测算，不含发站和到站装卸费、保价费和门到门的短搬费</w:t>
      </w:r>
      <w:r>
        <w:rPr>
          <w:rFonts w:hint="eastAsia" w:ascii="Times New Roman" w:hAnsi="Times New Roman" w:cs="Times New Roman" w:eastAsiaTheme="majorEastAsia"/>
          <w:color w:val="000000" w:themeColor="text1"/>
          <w:spacing w:val="-2"/>
          <w:sz w:val="21"/>
          <w:szCs w:val="21"/>
          <w:highlight w:val="none"/>
          <w:lang w:eastAsia="zh-CN"/>
          <w14:textFill>
            <w14:solidFill>
              <w14:schemeClr w14:val="tx1"/>
            </w14:solidFill>
          </w14:textFill>
        </w:rPr>
        <w:t>。</w:t>
      </w:r>
    </w:p>
    <w:p>
      <w:pPr>
        <w:pStyle w:val="18"/>
        <w:keepNext w:val="0"/>
        <w:keepLines w:val="0"/>
        <w:pageBreakBefore w:val="0"/>
        <w:widowControl/>
        <w:numPr>
          <w:ilvl w:val="0"/>
          <w:numId w:val="1"/>
        </w:numPr>
        <w:kinsoku w:val="0"/>
        <w:wordWrap/>
        <w:overflowPunct/>
        <w:topLinePunct w:val="0"/>
        <w:autoSpaceDE w:val="0"/>
        <w:autoSpaceDN w:val="0"/>
        <w:bidi w:val="0"/>
        <w:adjustRightInd w:val="0"/>
        <w:snapToGrid w:val="0"/>
        <w:spacing w:line="280" w:lineRule="exact"/>
        <w:ind w:firstLine="618" w:firstLineChars="300"/>
        <w:jc w:val="both"/>
        <w:textAlignment w:val="baseline"/>
        <w:rPr>
          <w:rFonts w:hint="default" w:ascii="Times New Roman" w:hAnsi="Times New Roman" w:cs="Times New Roman" w:eastAsiaTheme="majorEastAsia"/>
          <w:color w:val="000000" w:themeColor="text1"/>
          <w:spacing w:val="-2"/>
          <w:sz w:val="21"/>
          <w:szCs w:val="21"/>
          <w:highlight w:val="none"/>
          <w:lang w:eastAsia="zh-CN"/>
          <w14:textFill>
            <w14:solidFill>
              <w14:schemeClr w14:val="tx1"/>
            </w14:solidFill>
          </w14:textFill>
        </w:rPr>
      </w:pPr>
      <w:r>
        <w:rPr>
          <w:rFonts w:hint="default" w:ascii="Times New Roman" w:hAnsi="Times New Roman" w:cs="Times New Roman" w:eastAsiaTheme="majorEastAsia"/>
          <w:color w:val="000000" w:themeColor="text1"/>
          <w:spacing w:val="-2"/>
          <w:sz w:val="21"/>
          <w:szCs w:val="21"/>
          <w:highlight w:val="none"/>
          <w:lang w:eastAsia="zh-CN"/>
          <w14:textFill>
            <w14:solidFill>
              <w14:schemeClr w14:val="tx1"/>
            </w14:solidFill>
          </w14:textFill>
        </w:rPr>
        <w:t>集装箱按20英尺箱通用箱2个(一组)计算，不含保价费和门到门的短搬费</w:t>
      </w:r>
      <w:r>
        <w:rPr>
          <w:rFonts w:hint="eastAsia" w:ascii="Times New Roman" w:hAnsi="Times New Roman" w:cs="Times New Roman" w:eastAsiaTheme="majorEastAsia"/>
          <w:color w:val="000000" w:themeColor="text1"/>
          <w:spacing w:val="-2"/>
          <w:sz w:val="21"/>
          <w:szCs w:val="21"/>
          <w:highlight w:val="none"/>
          <w:lang w:eastAsia="zh-CN"/>
          <w14:textFill>
            <w14:solidFill>
              <w14:schemeClr w14:val="tx1"/>
            </w14:solidFill>
          </w14:textFill>
        </w:rPr>
        <w:t>。</w:t>
      </w:r>
    </w:p>
    <w:p>
      <w:pPr>
        <w:pStyle w:val="18"/>
        <w:keepNext w:val="0"/>
        <w:keepLines w:val="0"/>
        <w:pageBreakBefore w:val="0"/>
        <w:widowControl/>
        <w:numPr>
          <w:ilvl w:val="0"/>
          <w:numId w:val="0"/>
        </w:numPr>
        <w:kinsoku w:val="0"/>
        <w:wordWrap/>
        <w:overflowPunct/>
        <w:topLinePunct w:val="0"/>
        <w:autoSpaceDE w:val="0"/>
        <w:autoSpaceDN w:val="0"/>
        <w:bidi w:val="0"/>
        <w:adjustRightInd w:val="0"/>
        <w:snapToGrid w:val="0"/>
        <w:spacing w:line="280" w:lineRule="exact"/>
        <w:ind w:firstLine="618" w:firstLineChars="300"/>
        <w:jc w:val="both"/>
        <w:textAlignment w:val="baseline"/>
        <w:rPr>
          <w:rFonts w:hint="default" w:ascii="Times New Roman" w:hAnsi="Times New Roman" w:cs="Times New Roman" w:eastAsiaTheme="majorEastAsia"/>
          <w:color w:val="000000" w:themeColor="text1"/>
          <w:spacing w:val="-2"/>
          <w:sz w:val="21"/>
          <w:szCs w:val="21"/>
          <w:highlight w:val="yellow"/>
          <w:lang w:eastAsia="zh-CN"/>
          <w14:textFill>
            <w14:solidFill>
              <w14:schemeClr w14:val="tx1"/>
            </w14:solidFill>
          </w14:textFill>
        </w:rPr>
      </w:pPr>
      <w:r>
        <w:rPr>
          <w:rFonts w:hint="default" w:ascii="Times New Roman" w:hAnsi="Times New Roman" w:cs="Times New Roman" w:eastAsiaTheme="majorEastAsia"/>
          <w:color w:val="000000" w:themeColor="text1"/>
          <w:spacing w:val="-2"/>
          <w:sz w:val="21"/>
          <w:szCs w:val="21"/>
          <w:highlight w:val="none"/>
          <w:lang w:eastAsia="zh-CN"/>
          <w14:textFill>
            <w14:solidFill>
              <w14:schemeClr w14:val="tx1"/>
            </w14:solidFill>
          </w14:textFill>
        </w:rPr>
        <w:t>3.货物品类运价号：5号运价的货物品类主要有洗精煤、饮食品、焦炭、钢铁及有色金属、水泥、玻璃制品、化工品、金属制品、纺织品、文教用品、医药品以及部分鲜活货物。</w:t>
      </w:r>
    </w:p>
    <w:p>
      <w:pPr>
        <w:keepNext w:val="0"/>
        <w:keepLines w:val="0"/>
        <w:pageBreakBefore w:val="0"/>
        <w:widowControl w:val="0"/>
        <w:suppressAutoHyphen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Cs/>
          <w:color w:val="000000"/>
          <w:sz w:val="32"/>
          <w:szCs w:val="32"/>
          <w:highlight w:val="yellow"/>
          <w:u w:val="none"/>
          <w:lang w:val="en-US" w:eastAsia="zh-CN" w:bidi="ar-SA"/>
        </w:rPr>
      </w:pPr>
    </w:p>
    <w:sectPr>
      <w:pgSz w:w="11906" w:h="16838"/>
      <w:pgMar w:top="2098" w:right="1474" w:bottom="1984" w:left="1587" w:header="851" w:footer="1587" w:gutter="0"/>
      <w:pgBorders>
        <w:top w:val="none" w:sz="0" w:space="0"/>
        <w:left w:val="none" w:sz="0" w:space="0"/>
        <w:bottom w:val="none" w:sz="0" w:space="0"/>
        <w:right w:val="none" w:sz="0" w:space="0"/>
      </w:pgBorders>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AA58AE1-BA50-4570-B90F-77D1429D0A6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855DAFC-380E-48E7-A29A-84AD01484147}"/>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embedRegular r:id="rId3" w:fontKey="{A6B47702-1E13-42A2-83DD-EDD5C102D562}"/>
  </w:font>
  <w:font w:name="仿宋_GB2312">
    <w:panose1 w:val="02010609030101010101"/>
    <w:charset w:val="86"/>
    <w:family w:val="auto"/>
    <w:pitch w:val="default"/>
    <w:sig w:usb0="00000001" w:usb1="080E0000" w:usb2="00000000" w:usb3="00000000" w:csb0="00040000" w:csb1="00000000"/>
    <w:embedRegular r:id="rId4" w:fontKey="{C2967786-2EE4-4457-BDCC-5820D2C5E871}"/>
  </w:font>
  <w:font w:name="楷体_GB2312">
    <w:panose1 w:val="02010609030101010101"/>
    <w:charset w:val="86"/>
    <w:family w:val="auto"/>
    <w:pitch w:val="default"/>
    <w:sig w:usb0="00000001" w:usb1="080E0000" w:usb2="00000000" w:usb3="00000000" w:csb0="00040000" w:csb1="00000000"/>
    <w:embedRegular r:id="rId5" w:fontKey="{C3C8C7F3-D628-457F-AC1C-383984ACD39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jc w:val="left"/>
      <w:rPr>
        <w:rFonts w:ascii="Calibri" w:hAnsi="Calibri" w:eastAsia="宋体" w:cs="Times New Roman"/>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EC8FDF"/>
    <w:multiLevelType w:val="singleLevel"/>
    <w:tmpl w:val="C3EC8FDF"/>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0Zjg2YjRlMTFlYzU5YzYzODU4YWRjOWE4M2M1MmMifQ=="/>
  </w:docVars>
  <w:rsids>
    <w:rsidRoot w:val="33751620"/>
    <w:rsid w:val="01A0487B"/>
    <w:rsid w:val="01D60B10"/>
    <w:rsid w:val="030E48E0"/>
    <w:rsid w:val="048A42E4"/>
    <w:rsid w:val="04ED7685"/>
    <w:rsid w:val="04F419D9"/>
    <w:rsid w:val="04FB74DF"/>
    <w:rsid w:val="05790131"/>
    <w:rsid w:val="05E355AA"/>
    <w:rsid w:val="0600615C"/>
    <w:rsid w:val="06205115"/>
    <w:rsid w:val="06986394"/>
    <w:rsid w:val="06A6306B"/>
    <w:rsid w:val="06E93094"/>
    <w:rsid w:val="0825549A"/>
    <w:rsid w:val="083100C6"/>
    <w:rsid w:val="08A13EF0"/>
    <w:rsid w:val="08E47D47"/>
    <w:rsid w:val="09237629"/>
    <w:rsid w:val="0B91045B"/>
    <w:rsid w:val="0C1977CA"/>
    <w:rsid w:val="0C8C0749"/>
    <w:rsid w:val="0C9475FE"/>
    <w:rsid w:val="0E2351F8"/>
    <w:rsid w:val="0E415563"/>
    <w:rsid w:val="0E4806A0"/>
    <w:rsid w:val="0E6A54A7"/>
    <w:rsid w:val="0EA63619"/>
    <w:rsid w:val="0F851480"/>
    <w:rsid w:val="0FB277A7"/>
    <w:rsid w:val="10901D27"/>
    <w:rsid w:val="12A12A75"/>
    <w:rsid w:val="137E763E"/>
    <w:rsid w:val="142E20E6"/>
    <w:rsid w:val="14305E5E"/>
    <w:rsid w:val="16597280"/>
    <w:rsid w:val="16AB5C70"/>
    <w:rsid w:val="1701702A"/>
    <w:rsid w:val="178224F8"/>
    <w:rsid w:val="18491BE4"/>
    <w:rsid w:val="19017DC9"/>
    <w:rsid w:val="190817A0"/>
    <w:rsid w:val="191E4E1F"/>
    <w:rsid w:val="19762565"/>
    <w:rsid w:val="19D454DE"/>
    <w:rsid w:val="1A420699"/>
    <w:rsid w:val="1A5328A6"/>
    <w:rsid w:val="1BDB3382"/>
    <w:rsid w:val="1E5507DD"/>
    <w:rsid w:val="1E9E60BA"/>
    <w:rsid w:val="1F536EA5"/>
    <w:rsid w:val="1F985DE2"/>
    <w:rsid w:val="21915BA2"/>
    <w:rsid w:val="23F94030"/>
    <w:rsid w:val="253D405D"/>
    <w:rsid w:val="27765E26"/>
    <w:rsid w:val="27E24418"/>
    <w:rsid w:val="27E63A0B"/>
    <w:rsid w:val="27EB05C2"/>
    <w:rsid w:val="27ED6457"/>
    <w:rsid w:val="283C1B49"/>
    <w:rsid w:val="285C18CC"/>
    <w:rsid w:val="28A5308F"/>
    <w:rsid w:val="28A95D87"/>
    <w:rsid w:val="291D3B0B"/>
    <w:rsid w:val="29C37F84"/>
    <w:rsid w:val="2A2E4796"/>
    <w:rsid w:val="2AA12549"/>
    <w:rsid w:val="2AB279D0"/>
    <w:rsid w:val="2AB32EED"/>
    <w:rsid w:val="2AB4113F"/>
    <w:rsid w:val="2C1859D7"/>
    <w:rsid w:val="2C761799"/>
    <w:rsid w:val="2D740850"/>
    <w:rsid w:val="2E6C1D31"/>
    <w:rsid w:val="2F193C67"/>
    <w:rsid w:val="30460ADF"/>
    <w:rsid w:val="31CF2D03"/>
    <w:rsid w:val="31D420C7"/>
    <w:rsid w:val="329E7F3C"/>
    <w:rsid w:val="334B3780"/>
    <w:rsid w:val="33751620"/>
    <w:rsid w:val="34DF14AF"/>
    <w:rsid w:val="34EB5A9A"/>
    <w:rsid w:val="34F8431E"/>
    <w:rsid w:val="34F85693"/>
    <w:rsid w:val="352769B2"/>
    <w:rsid w:val="35773495"/>
    <w:rsid w:val="36B709DA"/>
    <w:rsid w:val="370E607B"/>
    <w:rsid w:val="37D56B99"/>
    <w:rsid w:val="388C54AA"/>
    <w:rsid w:val="39A20CFD"/>
    <w:rsid w:val="3A2D1D07"/>
    <w:rsid w:val="3A2F3DC0"/>
    <w:rsid w:val="3A86670D"/>
    <w:rsid w:val="3B514788"/>
    <w:rsid w:val="3C4A2A2F"/>
    <w:rsid w:val="3C541619"/>
    <w:rsid w:val="3D610E5E"/>
    <w:rsid w:val="3D734E8A"/>
    <w:rsid w:val="3D85696B"/>
    <w:rsid w:val="3DC237F9"/>
    <w:rsid w:val="3E667B75"/>
    <w:rsid w:val="40E05CB1"/>
    <w:rsid w:val="410D1152"/>
    <w:rsid w:val="42055C36"/>
    <w:rsid w:val="438F3E90"/>
    <w:rsid w:val="43AB58A7"/>
    <w:rsid w:val="443609BF"/>
    <w:rsid w:val="44623562"/>
    <w:rsid w:val="44DE02F8"/>
    <w:rsid w:val="45B15BFD"/>
    <w:rsid w:val="461A0599"/>
    <w:rsid w:val="46696E2A"/>
    <w:rsid w:val="47754718"/>
    <w:rsid w:val="47835CCA"/>
    <w:rsid w:val="48877A3B"/>
    <w:rsid w:val="488D5B16"/>
    <w:rsid w:val="48B96EA9"/>
    <w:rsid w:val="490E5C22"/>
    <w:rsid w:val="495F4156"/>
    <w:rsid w:val="49B26D3A"/>
    <w:rsid w:val="4AC4160D"/>
    <w:rsid w:val="4B386613"/>
    <w:rsid w:val="4B582436"/>
    <w:rsid w:val="4C5B5BC3"/>
    <w:rsid w:val="4D891B60"/>
    <w:rsid w:val="4E0A1EFF"/>
    <w:rsid w:val="4FAA67B7"/>
    <w:rsid w:val="50191DB5"/>
    <w:rsid w:val="513444D8"/>
    <w:rsid w:val="51636361"/>
    <w:rsid w:val="53F817ED"/>
    <w:rsid w:val="540463E4"/>
    <w:rsid w:val="545509EE"/>
    <w:rsid w:val="55432F3C"/>
    <w:rsid w:val="55766E6E"/>
    <w:rsid w:val="55C03F98"/>
    <w:rsid w:val="56633896"/>
    <w:rsid w:val="56AE4E93"/>
    <w:rsid w:val="56B07357"/>
    <w:rsid w:val="58D740C7"/>
    <w:rsid w:val="58D87AB6"/>
    <w:rsid w:val="58E93DFA"/>
    <w:rsid w:val="59187FA2"/>
    <w:rsid w:val="593B4656"/>
    <w:rsid w:val="594554D5"/>
    <w:rsid w:val="59677014"/>
    <w:rsid w:val="59BA3E3C"/>
    <w:rsid w:val="5A3B6174"/>
    <w:rsid w:val="5B745BFD"/>
    <w:rsid w:val="5E453F35"/>
    <w:rsid w:val="5F946EA0"/>
    <w:rsid w:val="5FED4E33"/>
    <w:rsid w:val="60234C2A"/>
    <w:rsid w:val="60613D69"/>
    <w:rsid w:val="60F616E6"/>
    <w:rsid w:val="61F07FA8"/>
    <w:rsid w:val="641D7C93"/>
    <w:rsid w:val="6468651B"/>
    <w:rsid w:val="65812333"/>
    <w:rsid w:val="664B7EA3"/>
    <w:rsid w:val="66996E60"/>
    <w:rsid w:val="673C641E"/>
    <w:rsid w:val="679725B9"/>
    <w:rsid w:val="67BB0C58"/>
    <w:rsid w:val="67C21B9B"/>
    <w:rsid w:val="67DC6A1C"/>
    <w:rsid w:val="68821CC5"/>
    <w:rsid w:val="6A6D4CC9"/>
    <w:rsid w:val="6AD03397"/>
    <w:rsid w:val="6AEA4E0D"/>
    <w:rsid w:val="6C3118E9"/>
    <w:rsid w:val="6C3D028D"/>
    <w:rsid w:val="6D3D103F"/>
    <w:rsid w:val="6E111767"/>
    <w:rsid w:val="6E3022FE"/>
    <w:rsid w:val="6F516A80"/>
    <w:rsid w:val="6FB22D40"/>
    <w:rsid w:val="70E77AE2"/>
    <w:rsid w:val="7120731A"/>
    <w:rsid w:val="716A5681"/>
    <w:rsid w:val="72440D8F"/>
    <w:rsid w:val="726227FC"/>
    <w:rsid w:val="72B04695"/>
    <w:rsid w:val="72FC4EFD"/>
    <w:rsid w:val="7333057C"/>
    <w:rsid w:val="74602D6B"/>
    <w:rsid w:val="74A62F57"/>
    <w:rsid w:val="75BB6235"/>
    <w:rsid w:val="76114DF8"/>
    <w:rsid w:val="76322C84"/>
    <w:rsid w:val="76564426"/>
    <w:rsid w:val="773076C4"/>
    <w:rsid w:val="774C5829"/>
    <w:rsid w:val="787B21CF"/>
    <w:rsid w:val="78F817C4"/>
    <w:rsid w:val="7A3C5FA6"/>
    <w:rsid w:val="7AA81F42"/>
    <w:rsid w:val="7B1B3297"/>
    <w:rsid w:val="7C4A30B4"/>
    <w:rsid w:val="7C5F1431"/>
    <w:rsid w:val="7CAD0B17"/>
    <w:rsid w:val="7CC90BBB"/>
    <w:rsid w:val="7D986E0A"/>
    <w:rsid w:val="7DF74740"/>
    <w:rsid w:val="7EC32861"/>
    <w:rsid w:val="7EFA200B"/>
    <w:rsid w:val="7F101B8C"/>
    <w:rsid w:val="7F511C2E"/>
    <w:rsid w:val="7F9B3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autoRedefine/>
    <w:qFormat/>
    <w:uiPriority w:val="0"/>
    <w:pPr>
      <w:ind w:firstLine="420" w:firstLineChars="200"/>
    </w:pPr>
  </w:style>
  <w:style w:type="paragraph" w:styleId="3">
    <w:name w:val="annotation text"/>
    <w:basedOn w:val="1"/>
    <w:autoRedefine/>
    <w:qFormat/>
    <w:uiPriority w:val="0"/>
    <w:pPr>
      <w:jc w:val="left"/>
    </w:pPr>
  </w:style>
  <w:style w:type="paragraph" w:styleId="4">
    <w:name w:val="Body Text"/>
    <w:basedOn w:val="1"/>
    <w:next w:val="1"/>
    <w:autoRedefine/>
    <w:qFormat/>
    <w:uiPriority w:val="1"/>
    <w:pPr>
      <w:spacing w:before="2"/>
      <w:ind w:left="129"/>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able of figures"/>
    <w:basedOn w:val="1"/>
    <w:next w:val="1"/>
    <w:autoRedefine/>
    <w:unhideWhenUsed/>
    <w:qFormat/>
    <w:uiPriority w:val="99"/>
    <w:pPr>
      <w:spacing w:before="100" w:beforeAutospacing="1" w:after="100" w:afterAutospacing="1"/>
      <w:ind w:left="400" w:leftChars="200" w:hanging="200" w:hangingChars="200"/>
    </w:pPr>
    <w:rPr>
      <w:rFonts w:ascii="Times New Roman" w:hAnsi="Times New Roman"/>
    </w:rPr>
  </w:style>
  <w:style w:type="paragraph" w:styleId="8">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Default"/>
    <w:autoRedefine/>
    <w:qFormat/>
    <w:uiPriority w:val="99"/>
    <w:pPr>
      <w:widowControl w:val="0"/>
      <w:autoSpaceDE w:val="0"/>
      <w:autoSpaceDN w:val="0"/>
      <w:adjustRightInd w:val="0"/>
    </w:pPr>
    <w:rPr>
      <w:rFonts w:ascii="Calibri" w:hAnsi="Calibri" w:eastAsia="宋体" w:cs="Calibri"/>
      <w:color w:val="000000"/>
      <w:sz w:val="24"/>
      <w:szCs w:val="24"/>
      <w:lang w:val="en-US" w:eastAsia="zh-CN" w:bidi="ar-SA"/>
    </w:rPr>
  </w:style>
  <w:style w:type="paragraph" w:customStyle="1" w:styleId="13">
    <w:name w:val="章标题"/>
    <w:basedOn w:val="1"/>
    <w:next w:val="1"/>
    <w:autoRedefine/>
    <w:qFormat/>
    <w:uiPriority w:val="0"/>
    <w:pPr>
      <w:spacing w:before="158" w:after="153" w:line="323" w:lineRule="atLeast"/>
      <w:ind w:right="-120"/>
      <w:jc w:val="center"/>
      <w:textAlignment w:val="baseline"/>
    </w:pPr>
    <w:rPr>
      <w:rFonts w:ascii="Times New Roman" w:hAnsi="Times New Roman" w:eastAsia="宋体" w:cs="Times New Roman"/>
      <w:color w:val="FF0000"/>
      <w:sz w:val="18"/>
      <w:szCs w:val="24"/>
    </w:rPr>
  </w:style>
  <w:style w:type="character" w:customStyle="1" w:styleId="14">
    <w:name w:val="font21"/>
    <w:basedOn w:val="11"/>
    <w:autoRedefine/>
    <w:qFormat/>
    <w:uiPriority w:val="0"/>
    <w:rPr>
      <w:rFonts w:hint="eastAsia" w:ascii="黑体" w:hAnsi="宋体" w:eastAsia="黑体" w:cs="黑体"/>
      <w:color w:val="000000"/>
      <w:sz w:val="18"/>
      <w:szCs w:val="18"/>
      <w:u w:val="none"/>
    </w:rPr>
  </w:style>
  <w:style w:type="character" w:customStyle="1" w:styleId="15">
    <w:name w:val="font41"/>
    <w:basedOn w:val="11"/>
    <w:autoRedefine/>
    <w:qFormat/>
    <w:uiPriority w:val="0"/>
    <w:rPr>
      <w:rFonts w:hint="default" w:ascii="Times New Roman" w:hAnsi="Times New Roman" w:cs="Times New Roman"/>
      <w:color w:val="000000"/>
      <w:sz w:val="18"/>
      <w:szCs w:val="18"/>
      <w:u w:val="none"/>
    </w:rPr>
  </w:style>
  <w:style w:type="character" w:customStyle="1" w:styleId="16">
    <w:name w:val="font31"/>
    <w:basedOn w:val="11"/>
    <w:autoRedefine/>
    <w:qFormat/>
    <w:uiPriority w:val="0"/>
    <w:rPr>
      <w:rFonts w:hint="eastAsia" w:ascii="宋体" w:hAnsi="宋体" w:eastAsia="宋体" w:cs="宋体"/>
      <w:color w:val="000000"/>
      <w:sz w:val="18"/>
      <w:szCs w:val="18"/>
      <w:u w:val="none"/>
    </w:rPr>
  </w:style>
  <w:style w:type="character" w:customStyle="1" w:styleId="17">
    <w:name w:val="font11"/>
    <w:basedOn w:val="11"/>
    <w:autoRedefine/>
    <w:qFormat/>
    <w:uiPriority w:val="0"/>
    <w:rPr>
      <w:rFonts w:hint="eastAsia" w:ascii="仿宋" w:hAnsi="仿宋" w:eastAsia="仿宋" w:cs="仿宋"/>
      <w:color w:val="000000"/>
      <w:sz w:val="18"/>
      <w:szCs w:val="18"/>
      <w:u w:val="none"/>
    </w:rPr>
  </w:style>
  <w:style w:type="paragraph" w:customStyle="1" w:styleId="18">
    <w:name w:val="Table Text"/>
    <w:basedOn w:val="1"/>
    <w:autoRedefine/>
    <w:semiHidden/>
    <w:qFormat/>
    <w:uiPriority w:val="0"/>
    <w:pPr>
      <w:widowControl/>
      <w:kinsoku w:val="0"/>
      <w:autoSpaceDE w:val="0"/>
      <w:autoSpaceDN w:val="0"/>
      <w:adjustRightInd w:val="0"/>
      <w:snapToGrid w:val="0"/>
      <w:jc w:val="left"/>
      <w:textAlignment w:val="baseline"/>
    </w:pPr>
    <w:rPr>
      <w:rFonts w:ascii="宋体" w:hAnsi="宋体" w:eastAsia="宋体" w:cs="宋体"/>
      <w:snapToGrid w:val="0"/>
      <w:color w:val="000000"/>
      <w:kern w:val="0"/>
      <w:sz w:val="13"/>
      <w:szCs w:val="13"/>
      <w:lang w:eastAsia="en-US"/>
    </w:rPr>
  </w:style>
  <w:style w:type="table" w:customStyle="1" w:styleId="19">
    <w:name w:val="Table Normal"/>
    <w:autoRedefine/>
    <w:semiHidden/>
    <w:unhideWhenUsed/>
    <w:qFormat/>
    <w:uiPriority w:val="0"/>
    <w:rPr>
      <w:rFonts w:ascii="Arial" w:hAnsi="Arial" w:cs="Arial" w:eastAsiaTheme="minorEastAsia"/>
      <w:snapToGrid w:val="0"/>
      <w:color w:val="000000"/>
      <w:sz w:val="21"/>
      <w:szCs w:val="21"/>
      <w:lang w:eastAsia="en-US"/>
    </w:rPr>
    <w:tblPr>
      <w:tblCellMar>
        <w:top w:w="0" w:type="dxa"/>
        <w:left w:w="0" w:type="dxa"/>
        <w:bottom w:w="0" w:type="dxa"/>
        <w:right w:w="0" w:type="dxa"/>
      </w:tblCellMar>
    </w:tblPr>
  </w:style>
  <w:style w:type="character" w:customStyle="1" w:styleId="20">
    <w:name w:val="NormalCharacter"/>
    <w:autoRedefine/>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2023-12-13T07:19:00Z</dcterms:created>
  <dc:creator>Iju</dc:creator>
  <cp:lastModifiedBy>日久渐离心</cp:lastModifiedBy>
  <cp:lastPrinted>2024-01-29T08:56:00Z</cp:lastPrinted>
  <dcterms:modified xsi:type="dcterms:W3CDTF">2024-02-05T06:50:07Z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A0563EFD1476413F87DD88A9CE4A5E1F_13</vt:lpwstr>
  </property>
</Properties>
</file>