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atLeas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shd w:val="clear" w:color="auto" w:fill="FFFFFF"/>
          <w:lang w:bidi="ar"/>
          <w14:textFill>
            <w14:solidFill>
              <w14:schemeClr w14:val="tx1"/>
            </w14:solidFill>
          </w14:textFill>
        </w:rPr>
        <w:t>广元市</w:t>
      </w:r>
      <w:r>
        <w:rPr>
          <w:rFonts w:ascii="方正小标宋简体" w:hAnsi="方正小标宋简体" w:eastAsia="方正小标宋简体" w:cs="方正小标宋简体"/>
          <w:color w:val="000000" w:themeColor="text1"/>
          <w:kern w:val="0"/>
          <w:sz w:val="44"/>
          <w:szCs w:val="44"/>
          <w:shd w:val="clear" w:color="auto" w:fill="FFFFFF"/>
          <w:lang w:bidi="ar"/>
          <w14:textFill>
            <w14:solidFill>
              <w14:schemeClr w14:val="tx1"/>
            </w14:solidFill>
          </w14:textFill>
        </w:rPr>
        <w:t>昭化区红十字会</w:t>
      </w:r>
    </w:p>
    <w:p>
      <w:pPr>
        <w:widowControl/>
        <w:shd w:val="clear" w:color="auto" w:fill="FFFFFF"/>
        <w:spacing w:line="580" w:lineRule="atLeast"/>
        <w:jc w:val="center"/>
        <w:rPr>
          <w:rFonts w:ascii="方正小标宋简体" w:hAnsi="方正小标宋简体" w:eastAsia="方正小标宋简体" w:cs="方正小标宋简体"/>
          <w:color w:val="000000" w:themeColor="text1"/>
          <w:kern w:val="0"/>
          <w:sz w:val="44"/>
          <w:szCs w:val="44"/>
          <w:shd w:val="clear" w:color="auto" w:fill="FFFFFF"/>
          <w:lang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shd w:val="clear" w:color="auto" w:fill="FFFFFF"/>
          <w:lang w:bidi="ar"/>
          <w14:textFill>
            <w14:solidFill>
              <w14:schemeClr w14:val="tx1"/>
            </w14:solidFill>
          </w14:textFill>
        </w:rPr>
        <w:t>2024年部门预算编制说明</w:t>
      </w:r>
    </w:p>
    <w:p>
      <w:pPr>
        <w:widowControl/>
        <w:suppressAutoHyphens w:val="0"/>
        <w:jc w:val="left"/>
        <w:rPr>
          <w:rFonts w:ascii="黑体" w:hAnsi="黑体" w:eastAsia="黑体" w:cs="黑体"/>
          <w:color w:val="000000" w:themeColor="text1"/>
          <w:kern w:val="0"/>
          <w:sz w:val="32"/>
          <w:szCs w:val="32"/>
          <w:shd w:val="clear" w:color="auto" w:fill="FFFFFF"/>
          <w:lang w:bidi="ar"/>
          <w14:textFill>
            <w14:solidFill>
              <w14:schemeClr w14:val="tx1"/>
            </w14:solidFill>
          </w14:textFill>
        </w:rPr>
      </w:pPr>
      <w:r>
        <w:rPr>
          <w:rFonts w:ascii="黑体" w:hAnsi="黑体" w:eastAsia="黑体" w:cs="黑体"/>
          <w:color w:val="000000" w:themeColor="text1"/>
          <w:kern w:val="0"/>
          <w:sz w:val="32"/>
          <w:szCs w:val="32"/>
          <w:shd w:val="clear" w:color="auto" w:fill="FFFFFF"/>
          <w:lang w:bidi="ar"/>
          <w14:textFill>
            <w14:solidFill>
              <w14:schemeClr w14:val="tx1"/>
            </w14:solidFill>
          </w14:textFill>
        </w:rPr>
        <w:br w:type="page"/>
      </w:r>
    </w:p>
    <w:p>
      <w:pPr>
        <w:jc w:val="center"/>
        <w:rPr>
          <w:rFonts w:ascii="黑体" w:hAnsi="黑体" w:eastAsia="黑体" w:cs="黑体"/>
          <w:b/>
          <w:bCs/>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bidi="ar"/>
          <w14:textFill>
            <w14:solidFill>
              <w14:schemeClr w14:val="tx1"/>
            </w14:solidFill>
          </w14:textFill>
        </w:rPr>
        <w:t>目   录</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一、基本职能及主要工作..............................(</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3</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（一）单位职能简介..................................(</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3</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（二）单位2024年重点工作...........................(</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4</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二、部门预算单位构成................................(</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4</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三、收支预算情况说明................................(</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4</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（一）收入预算情况..................................(</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4</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（二）支出预算情况..................................(</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5</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四、财政拨款收支预算情况说明........................(</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5</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五、一般公共预算当年拨款情况说明....................(</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5</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（一）一般公共预算当年拨款规模变化情况..............(</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5</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（二）一般公共预算当年拨款结构情况..................(</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5</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（三）一般公共预算当年拨款具体使用情况..............(</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5</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六、一般公共预算基本支出情况说明....................(</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6</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七、“三公”经费财政拨款预算安排情况说明............(</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6</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八、政府性基金预算支出情况说明......................(</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8</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九、国有资本经营预算支出情况说明....................(</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8</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十、其他重要事项的情况说明........................(</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8</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十一、名词解释....................................(</w:t>
      </w: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8</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widowControl/>
        <w:suppressAutoHyphens w:val="0"/>
        <w:jc w:val="left"/>
        <w:rPr>
          <w:rFonts w:ascii="方正小标宋简体" w:hAnsi="方正小标宋简体" w:eastAsia="方正小标宋简体" w:cs="方正小标宋简体"/>
          <w:color w:val="000000" w:themeColor="text1"/>
          <w:kern w:val="0"/>
          <w:sz w:val="44"/>
          <w:szCs w:val="44"/>
          <w:shd w:val="clear" w:color="auto" w:fill="FFFFFF"/>
          <w:lang w:bidi="ar"/>
          <w14:textFill>
            <w14:solidFill>
              <w14:schemeClr w14:val="tx1"/>
            </w14:solidFill>
          </w14:textFill>
        </w:rPr>
      </w:pPr>
      <w:r>
        <w:rPr>
          <w:rFonts w:ascii="方正小标宋简体" w:hAnsi="方正小标宋简体" w:eastAsia="方正小标宋简体" w:cs="方正小标宋简体"/>
          <w:color w:val="000000" w:themeColor="text1"/>
          <w:kern w:val="0"/>
          <w:sz w:val="44"/>
          <w:szCs w:val="44"/>
          <w:shd w:val="clear" w:color="auto" w:fill="FFFFFF"/>
          <w:lang w:bidi="ar"/>
          <w14:textFill>
            <w14:solidFill>
              <w14:schemeClr w14:val="tx1"/>
            </w14:solidFill>
          </w14:textFill>
        </w:rPr>
        <w:br w:type="page"/>
      </w:r>
    </w:p>
    <w:p>
      <w:pPr>
        <w:widowControl/>
        <w:suppressAutoHyphens w:val="0"/>
        <w:jc w:val="left"/>
        <w:rPr>
          <w:rFonts w:ascii="方正小标宋简体" w:hAnsi="方正小标宋简体" w:eastAsia="方正小标宋简体" w:cs="方正小标宋简体"/>
          <w:color w:val="000000" w:themeColor="text1"/>
          <w:kern w:val="0"/>
          <w:sz w:val="44"/>
          <w:szCs w:val="44"/>
          <w:shd w:val="clear" w:color="auto" w:fill="FFFFFF"/>
          <w:lang w:bidi="ar"/>
          <w14:textFill>
            <w14:solidFill>
              <w14:schemeClr w14:val="tx1"/>
            </w14:solidFill>
          </w14:textFill>
        </w:rPr>
      </w:pPr>
      <w:r>
        <w:rPr>
          <w:rFonts w:hint="eastAsia" w:ascii="黑体" w:hAnsi="黑体" w:eastAsia="黑体" w:cs="黑体"/>
          <w:sz w:val="32"/>
          <w:szCs w:val="32"/>
        </w:rPr>
        <w:t>一、</w:t>
      </w:r>
      <w:bookmarkStart w:id="0" w:name="_GoBack"/>
      <w:bookmarkEnd w:id="0"/>
      <w:r>
        <w:rPr>
          <w:rFonts w:hint="eastAsia" w:ascii="黑体" w:hAnsi="黑体" w:eastAsia="黑体" w:cs="黑体"/>
          <w:sz w:val="32"/>
          <w:szCs w:val="32"/>
        </w:rPr>
        <w:t>基本职能及主要工作</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ascii="楷体_GB2312" w:hAnsi="楷体_GB2312" w:eastAsia="楷体_GB2312" w:cs="楷体_GB2312"/>
          <w:sz w:val="32"/>
          <w:szCs w:val="32"/>
        </w:rPr>
        <w:t>区红十字会</w:t>
      </w:r>
      <w:r>
        <w:rPr>
          <w:rFonts w:hint="eastAsia" w:ascii="楷体_GB2312" w:hAnsi="楷体_GB2312" w:eastAsia="楷体_GB2312" w:cs="楷体_GB2312"/>
          <w:sz w:val="32"/>
          <w:szCs w:val="32"/>
        </w:rPr>
        <w:t>职能简介</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1.传播国际红十字会运动和国际人道主义法，宣传、执行《</w:t>
      </w:r>
      <w:r>
        <w:rPr>
          <w:rFonts w:hint="eastAsia" w:ascii="Times New Roman" w:hAnsi="Times New Roman" w:eastAsia="仿宋_GB2312" w:cs="楷体_GB2312"/>
          <w:bCs/>
          <w:color w:val="333333"/>
          <w:sz w:val="32"/>
          <w:szCs w:val="32"/>
          <w:shd w:val="clear" w:color="auto" w:fill="FFFFFF"/>
          <w:lang w:eastAsia="zh-CN"/>
        </w:rPr>
        <w:t>中华人民共和国红十字会法</w:t>
      </w:r>
      <w:r>
        <w:rPr>
          <w:rFonts w:hint="eastAsia" w:ascii="Times New Roman" w:hAnsi="Times New Roman" w:eastAsia="仿宋_GB2312" w:cs="楷体_GB2312"/>
          <w:bCs/>
          <w:color w:val="333333"/>
          <w:sz w:val="32"/>
          <w:szCs w:val="32"/>
          <w:shd w:val="clear" w:color="auto" w:fill="FFFFFF"/>
        </w:rPr>
        <w:t>》和《四川省实施&lt;</w:t>
      </w:r>
      <w:r>
        <w:rPr>
          <w:rFonts w:hint="eastAsia" w:ascii="Times New Roman" w:hAnsi="Times New Roman" w:eastAsia="仿宋_GB2312" w:cs="楷体_GB2312"/>
          <w:bCs/>
          <w:color w:val="333333"/>
          <w:sz w:val="32"/>
          <w:szCs w:val="32"/>
          <w:shd w:val="clear" w:color="auto" w:fill="FFFFFF"/>
          <w:lang w:eastAsia="zh-CN"/>
        </w:rPr>
        <w:t>中华人民共和国红十字会法</w:t>
      </w:r>
      <w:r>
        <w:rPr>
          <w:rFonts w:hint="eastAsia" w:ascii="Times New Roman" w:hAnsi="Times New Roman" w:eastAsia="仿宋_GB2312" w:cs="楷体_GB2312"/>
          <w:bCs/>
          <w:color w:val="333333"/>
          <w:sz w:val="32"/>
          <w:szCs w:val="32"/>
          <w:shd w:val="clear" w:color="auto" w:fill="FFFFFF"/>
        </w:rPr>
        <w:t>&gt;办法》等法律、法规，遵循《中国红十字会章程》，依法建会、治会、兴会。</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2.开展备灾救灾工作，有效利用和发挥备灾救灾设施功能，在自然灾害和突发事件中，开展对受害者的救护和救助。</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3.开展人道领域的社会公益服务活动和卫生救护、防病常识的宣传普及，组织社会救助，进行初级卫生救护培训，组织群众参加现场救护，推动无偿献血和非血缘关系骨髓移植工作。</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4.组织对公民特别是青少年进行人道主义和社会主义精神文明教育活动。</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5.参与艾滋病防治、吸毒危害等宣传教育工作，提高公民自我防范的意识和能力。</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6.参与少数民族地区、贫困地区的医疗服务和扶贫工作。</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7.负责海峡两岸的查人转信及有关人员的遣返和见证事务。</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8.与境内外红十字会和组织进行友好往来，开展人道领域的合作与交流，争取援助。</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9.根据四川省红十字会的部署，参加国际和国内的人道主义救援工作。</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10.承办区政府交办的其他事项。</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（二）区红十字会2024年重点工作</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1.实施百万培训项目，严格执行“四统一”培训要求开展应急救护培训。</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2.积极开展“博爱一日捐”公益行动和社会扶贫日活动筹资。</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3.持续开展“博爱送万家”和人道救助活动。</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4.积极开展无偿献血工作。</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5.积极开展造血干细胞、人体器官、遗体志愿捐献等宣传、登记工作。</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6.制定完善应急预案，开展应急救援演练。</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7.严守纪律，夯实党风廉政建设。</w:t>
      </w:r>
    </w:p>
    <w:p>
      <w:pPr>
        <w:pStyle w:val="8"/>
        <w:widowControl/>
        <w:shd w:val="clear" w:color="auto" w:fill="FFFFFF"/>
        <w:spacing w:line="576" w:lineRule="exact"/>
        <w:ind w:firstLine="640" w:firstLineChars="200"/>
        <w:rPr>
          <w:rFonts w:ascii="Times New Roman" w:hAnsi="Times New Roman" w:eastAsia="仿宋_GB2312" w:cs="楷体_GB2312"/>
          <w:bCs/>
          <w:color w:val="333333"/>
          <w:sz w:val="32"/>
          <w:szCs w:val="32"/>
          <w:shd w:val="clear" w:color="auto" w:fill="FFFFFF"/>
        </w:rPr>
      </w:pPr>
      <w:r>
        <w:rPr>
          <w:rFonts w:hint="eastAsia" w:ascii="Times New Roman" w:hAnsi="Times New Roman" w:eastAsia="仿宋_GB2312" w:cs="楷体_GB2312"/>
          <w:bCs/>
          <w:color w:val="333333"/>
          <w:sz w:val="32"/>
          <w:szCs w:val="32"/>
          <w:shd w:val="clear" w:color="auto" w:fill="FFFFFF"/>
        </w:rPr>
        <w:t>8.切实做好乡村振兴工作。</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二、部门预算单位构成</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区</w:t>
      </w:r>
      <w:r>
        <w:rPr>
          <w:rFonts w:ascii="仿宋_GB2312" w:hAnsi="仿宋_GB2312" w:eastAsia="仿宋_GB2312" w:cs="仿宋_GB2312"/>
          <w:bCs/>
          <w:sz w:val="32"/>
          <w:szCs w:val="32"/>
        </w:rPr>
        <w:t>红十字会</w:t>
      </w:r>
      <w:r>
        <w:rPr>
          <w:rFonts w:hint="eastAsia" w:ascii="仿宋_GB2312" w:hAnsi="仿宋_GB2312" w:eastAsia="仿宋_GB2312" w:cs="仿宋_GB2312"/>
          <w:sz w:val="32"/>
          <w:szCs w:val="32"/>
        </w:rPr>
        <w:t>下属二级预算单位</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我单位无下属机构，设有内设机构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个（含</w:t>
      </w:r>
      <w:r>
        <w:rPr>
          <w:rFonts w:ascii="仿宋_GB2312" w:hAnsi="仿宋_GB2312" w:eastAsia="仿宋_GB2312" w:cs="仿宋_GB2312"/>
          <w:sz w:val="32"/>
          <w:szCs w:val="32"/>
        </w:rPr>
        <w:t>赈济部、</w:t>
      </w:r>
      <w:r>
        <w:rPr>
          <w:rFonts w:hint="eastAsia" w:ascii="仿宋_GB2312" w:hAnsi="仿宋_GB2312" w:eastAsia="仿宋_GB2312" w:cs="仿宋_GB2312"/>
          <w:sz w:val="32"/>
          <w:szCs w:val="32"/>
        </w:rPr>
        <w:t>事业</w:t>
      </w:r>
      <w:r>
        <w:rPr>
          <w:rFonts w:ascii="仿宋_GB2312" w:hAnsi="仿宋_GB2312" w:eastAsia="仿宋_GB2312" w:cs="仿宋_GB2312"/>
          <w:sz w:val="32"/>
          <w:szCs w:val="32"/>
        </w:rPr>
        <w:t>发展部</w:t>
      </w:r>
      <w:r>
        <w:rPr>
          <w:rFonts w:hint="eastAsia" w:ascii="仿宋_GB2312" w:hAnsi="仿宋_GB2312" w:eastAsia="仿宋_GB2312" w:cs="仿宋_GB2312"/>
          <w:sz w:val="32"/>
          <w:szCs w:val="32"/>
        </w:rPr>
        <w:t>）。</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三、收支预算情况说明</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按照综合预算的原则，区</w:t>
      </w:r>
      <w:r>
        <w:rPr>
          <w:rFonts w:ascii="仿宋_GB2312" w:hAnsi="仿宋_GB2312" w:eastAsia="仿宋_GB2312" w:cs="仿宋_GB2312"/>
          <w:sz w:val="32"/>
          <w:szCs w:val="32"/>
        </w:rPr>
        <w:t>红十字会</w:t>
      </w:r>
      <w:r>
        <w:rPr>
          <w:rFonts w:hint="eastAsia" w:ascii="仿宋_GB2312" w:hAnsi="仿宋_GB2312" w:eastAsia="仿宋_GB2312" w:cs="仿宋_GB2312"/>
          <w:sz w:val="32"/>
          <w:szCs w:val="32"/>
        </w:rPr>
        <w:t>所有收入和支出均纳入部门预算管理。收入包括：一般公共预算拨款收入；支出包括：社会保障和就业支出、卫生健康支出、住房保障支出。区红十字会2024年收支预算总数</w:t>
      </w:r>
      <w:r>
        <w:rPr>
          <w:rFonts w:ascii="仿宋_GB2312" w:hAnsi="仿宋_GB2312" w:eastAsia="仿宋_GB2312" w:cs="仿宋_GB2312"/>
          <w:sz w:val="32"/>
          <w:szCs w:val="32"/>
        </w:rPr>
        <w:t>106.53</w:t>
      </w:r>
      <w:r>
        <w:rPr>
          <w:rFonts w:hint="eastAsia" w:ascii="仿宋_GB2312" w:hAnsi="仿宋_GB2312" w:eastAsia="仿宋_GB2312" w:cs="仿宋_GB2312"/>
          <w:sz w:val="32"/>
          <w:szCs w:val="32"/>
        </w:rPr>
        <w:t>万元,比2023年收支预算总数增加</w:t>
      </w:r>
      <w:r>
        <w:rPr>
          <w:rFonts w:ascii="仿宋_GB2312" w:hAnsi="仿宋_GB2312" w:eastAsia="仿宋_GB2312" w:cs="仿宋_GB2312"/>
          <w:sz w:val="32"/>
          <w:szCs w:val="32"/>
        </w:rPr>
        <w:t>0.33</w:t>
      </w:r>
      <w:r>
        <w:rPr>
          <w:rFonts w:hint="eastAsia" w:ascii="仿宋_GB2312" w:hAnsi="仿宋_GB2312" w:eastAsia="仿宋_GB2312" w:cs="仿宋_GB2312"/>
          <w:sz w:val="32"/>
          <w:szCs w:val="32"/>
        </w:rPr>
        <w:t>万元，主要原因是人员晋升</w:t>
      </w:r>
      <w:r>
        <w:rPr>
          <w:rFonts w:ascii="仿宋_GB2312" w:hAnsi="仿宋_GB2312" w:eastAsia="仿宋_GB2312" w:cs="仿宋_GB2312"/>
          <w:sz w:val="32"/>
          <w:szCs w:val="32"/>
        </w:rPr>
        <w:t>工资保险支出增加。</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（一）收入预算情况</w:t>
      </w:r>
    </w:p>
    <w:p>
      <w:pPr>
        <w:spacing w:line="576"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区红十字会2024年收入预算</w:t>
      </w:r>
      <w:r>
        <w:rPr>
          <w:rFonts w:ascii="仿宋_GB2312" w:hAnsi="仿宋_GB2312" w:eastAsia="仿宋_GB2312" w:cs="仿宋_GB2312"/>
          <w:sz w:val="32"/>
          <w:szCs w:val="32"/>
        </w:rPr>
        <w:t>106.53</w:t>
      </w:r>
      <w:r>
        <w:rPr>
          <w:rFonts w:hint="eastAsia" w:ascii="仿宋_GB2312" w:hAnsi="仿宋_GB2312" w:eastAsia="仿宋_GB2312" w:cs="仿宋_GB2312"/>
          <w:sz w:val="32"/>
          <w:szCs w:val="32"/>
        </w:rPr>
        <w:t>万元，其中：一般公共预算拨款收入</w:t>
      </w:r>
      <w:r>
        <w:rPr>
          <w:rFonts w:ascii="仿宋_GB2312" w:hAnsi="仿宋_GB2312" w:eastAsia="仿宋_GB2312" w:cs="仿宋_GB2312"/>
          <w:sz w:val="32"/>
          <w:szCs w:val="32"/>
        </w:rPr>
        <w:t>106.53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（二）支出预算情况</w:t>
      </w:r>
    </w:p>
    <w:p>
      <w:pPr>
        <w:spacing w:line="576"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区红十字会2024年支出预算</w:t>
      </w:r>
      <w:r>
        <w:rPr>
          <w:rFonts w:ascii="仿宋_GB2312" w:hAnsi="仿宋_GB2312" w:eastAsia="仿宋_GB2312" w:cs="仿宋_GB2312"/>
          <w:sz w:val="32"/>
          <w:szCs w:val="32"/>
        </w:rPr>
        <w:t>106.53</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80.53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75.59</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24.41</w:t>
      </w:r>
      <w:r>
        <w:rPr>
          <w:rFonts w:hint="eastAsia" w:ascii="仿宋_GB2312" w:hAnsi="仿宋_GB2312" w:eastAsia="仿宋_GB2312" w:cs="仿宋_GB2312"/>
          <w:sz w:val="32"/>
          <w:szCs w:val="32"/>
        </w:rPr>
        <w:t>%。</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四、财政拨款收支预算情况说明</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区红十字会2024年财政拨款收支预算总数</w:t>
      </w:r>
      <w:r>
        <w:rPr>
          <w:rFonts w:ascii="仿宋_GB2312" w:hAnsi="仿宋_GB2312" w:eastAsia="仿宋_GB2312" w:cs="仿宋_GB2312"/>
          <w:sz w:val="32"/>
          <w:szCs w:val="32"/>
        </w:rPr>
        <w:t>106.53</w:t>
      </w:r>
      <w:r>
        <w:rPr>
          <w:rFonts w:hint="eastAsia" w:ascii="仿宋_GB2312" w:hAnsi="仿宋_GB2312" w:eastAsia="仿宋_GB2312" w:cs="仿宋_GB2312"/>
          <w:sz w:val="32"/>
          <w:szCs w:val="32"/>
        </w:rPr>
        <w:t>万元,比2023年财政拨款收支预算总数增加</w:t>
      </w:r>
      <w:r>
        <w:rPr>
          <w:rFonts w:ascii="仿宋_GB2312" w:hAnsi="仿宋_GB2312" w:eastAsia="仿宋_GB2312" w:cs="仿宋_GB2312"/>
          <w:sz w:val="32"/>
          <w:szCs w:val="32"/>
        </w:rPr>
        <w:t>0.33</w:t>
      </w:r>
      <w:r>
        <w:rPr>
          <w:rFonts w:hint="eastAsia" w:ascii="仿宋_GB2312" w:hAnsi="仿宋_GB2312" w:eastAsia="仿宋_GB2312" w:cs="仿宋_GB2312"/>
          <w:sz w:val="32"/>
          <w:szCs w:val="32"/>
        </w:rPr>
        <w:t>万元，主要原因是人员晋升</w:t>
      </w:r>
      <w:r>
        <w:rPr>
          <w:rFonts w:ascii="仿宋_GB2312" w:hAnsi="仿宋_GB2312" w:eastAsia="仿宋_GB2312" w:cs="仿宋_GB2312"/>
          <w:sz w:val="32"/>
          <w:szCs w:val="32"/>
        </w:rPr>
        <w:t>工资保险支出增加。</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收入包括：本年一般公共预算拨款收入</w:t>
      </w:r>
      <w:r>
        <w:rPr>
          <w:rFonts w:ascii="仿宋_GB2312" w:hAnsi="仿宋_GB2312" w:eastAsia="仿宋_GB2312" w:cs="仿宋_GB2312"/>
          <w:sz w:val="32"/>
          <w:szCs w:val="32"/>
        </w:rPr>
        <w:t>106</w:t>
      </w:r>
      <w:r>
        <w:rPr>
          <w:rFonts w:hint="eastAsia" w:ascii="仿宋_GB2312" w:hAnsi="仿宋_GB2312" w:eastAsia="仿宋_GB2312" w:cs="仿宋_GB2312"/>
          <w:sz w:val="32"/>
          <w:szCs w:val="32"/>
        </w:rPr>
        <w:t>.53万元；支出包括：社会保障和就业支出</w:t>
      </w:r>
      <w:r>
        <w:rPr>
          <w:rFonts w:ascii="仿宋_GB2312" w:hAnsi="仿宋_GB2312" w:eastAsia="仿宋_GB2312" w:cs="仿宋_GB2312"/>
          <w:sz w:val="32"/>
          <w:szCs w:val="32"/>
        </w:rPr>
        <w:t>97.41</w:t>
      </w:r>
      <w:r>
        <w:rPr>
          <w:rFonts w:hint="eastAsia" w:ascii="仿宋_GB2312" w:hAnsi="仿宋_GB2312" w:eastAsia="仿宋_GB2312" w:cs="仿宋_GB2312"/>
          <w:sz w:val="32"/>
          <w:szCs w:val="32"/>
        </w:rPr>
        <w:t>万元、卫生健康支出</w:t>
      </w:r>
      <w:r>
        <w:rPr>
          <w:rFonts w:ascii="仿宋_GB2312" w:hAnsi="仿宋_GB2312" w:eastAsia="仿宋_GB2312" w:cs="仿宋_GB2312"/>
          <w:sz w:val="32"/>
          <w:szCs w:val="32"/>
        </w:rPr>
        <w:t>2.85</w:t>
      </w:r>
      <w:r>
        <w:rPr>
          <w:rFonts w:hint="eastAsia" w:ascii="仿宋_GB2312" w:hAnsi="仿宋_GB2312" w:eastAsia="仿宋_GB2312" w:cs="仿宋_GB2312"/>
          <w:sz w:val="32"/>
          <w:szCs w:val="32"/>
        </w:rPr>
        <w:t>万元、住房保障支出</w:t>
      </w:r>
      <w:r>
        <w:rPr>
          <w:rFonts w:ascii="仿宋_GB2312" w:hAnsi="仿宋_GB2312" w:eastAsia="仿宋_GB2312" w:cs="仿宋_GB2312"/>
          <w:sz w:val="32"/>
          <w:szCs w:val="32"/>
        </w:rPr>
        <w:t>6.27</w:t>
      </w:r>
      <w:r>
        <w:rPr>
          <w:rFonts w:hint="eastAsia" w:ascii="仿宋_GB2312" w:hAnsi="仿宋_GB2312" w:eastAsia="仿宋_GB2312" w:cs="仿宋_GB2312"/>
          <w:sz w:val="32"/>
          <w:szCs w:val="32"/>
        </w:rPr>
        <w:t>万元。</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五、一般公共预算当年拨款情况说明</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（一）一般公共预算当年拨款规模变化情况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区红十字会2024年一般公共预算当年拨款</w:t>
      </w:r>
      <w:r>
        <w:rPr>
          <w:rFonts w:ascii="仿宋_GB2312" w:hAnsi="仿宋_GB2312" w:eastAsia="仿宋_GB2312" w:cs="仿宋_GB2312"/>
          <w:sz w:val="32"/>
          <w:szCs w:val="32"/>
        </w:rPr>
        <w:t>106.53</w:t>
      </w:r>
      <w:r>
        <w:rPr>
          <w:rFonts w:hint="eastAsia" w:ascii="仿宋_GB2312" w:hAnsi="仿宋_GB2312" w:eastAsia="仿宋_GB2312" w:cs="仿宋_GB2312"/>
          <w:sz w:val="32"/>
          <w:szCs w:val="32"/>
        </w:rPr>
        <w:t>万元，比2023年预算数增加0</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万元，主要原因是人员晋升</w:t>
      </w:r>
      <w:r>
        <w:rPr>
          <w:rFonts w:ascii="仿宋_GB2312" w:hAnsi="仿宋_GB2312" w:eastAsia="仿宋_GB2312" w:cs="仿宋_GB2312"/>
          <w:sz w:val="32"/>
          <w:szCs w:val="32"/>
        </w:rPr>
        <w:t>工资保险支出增加。</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w:t>
      </w:r>
      <w:r>
        <w:rPr>
          <w:rFonts w:ascii="仿宋_GB2312" w:hAnsi="仿宋_GB2312" w:eastAsia="仿宋_GB2312" w:cs="仿宋_GB2312"/>
          <w:sz w:val="32"/>
          <w:szCs w:val="32"/>
        </w:rPr>
        <w:t>97.41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91.44</w:t>
      </w:r>
      <w:r>
        <w:rPr>
          <w:rFonts w:hint="eastAsia" w:ascii="仿宋_GB2312" w:hAnsi="仿宋_GB2312" w:eastAsia="仿宋_GB2312" w:cs="仿宋_GB2312"/>
          <w:sz w:val="32"/>
          <w:szCs w:val="32"/>
        </w:rPr>
        <w:t>%；卫生健康支出</w:t>
      </w:r>
      <w:r>
        <w:rPr>
          <w:rFonts w:ascii="仿宋_GB2312" w:hAnsi="仿宋_GB2312" w:eastAsia="仿宋_GB2312" w:cs="仿宋_GB2312"/>
          <w:sz w:val="32"/>
          <w:szCs w:val="32"/>
        </w:rPr>
        <w:t>2.85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2.68</w:t>
      </w:r>
      <w:r>
        <w:rPr>
          <w:rFonts w:hint="eastAsia" w:ascii="仿宋_GB2312" w:hAnsi="仿宋_GB2312" w:eastAsia="仿宋_GB2312" w:cs="仿宋_GB2312"/>
          <w:sz w:val="32"/>
          <w:szCs w:val="32"/>
        </w:rPr>
        <w:t>%；住房保障支出</w:t>
      </w:r>
      <w:r>
        <w:rPr>
          <w:rFonts w:ascii="仿宋_GB2312" w:hAnsi="仿宋_GB2312" w:eastAsia="仿宋_GB2312" w:cs="仿宋_GB2312"/>
          <w:sz w:val="32"/>
          <w:szCs w:val="32"/>
        </w:rPr>
        <w:t>6.27</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5.89</w:t>
      </w:r>
      <w:r>
        <w:rPr>
          <w:rFonts w:hint="eastAsia" w:ascii="仿宋_GB2312" w:hAnsi="仿宋_GB2312" w:eastAsia="仿宋_GB2312" w:cs="仿宋_GB2312"/>
          <w:sz w:val="32"/>
          <w:szCs w:val="32"/>
        </w:rPr>
        <w:t>%。</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（三）一般公共预算当年拨款具体使用情况</w:t>
      </w:r>
    </w:p>
    <w:p>
      <w:pPr>
        <w:spacing w:line="576" w:lineRule="exact"/>
        <w:ind w:firstLine="640" w:firstLineChars="200"/>
        <w:rPr>
          <w:rFonts w:ascii="仿宋_GB2312" w:hAnsi="仿宋_GB2312" w:eastAsia="仿宋_GB2312" w:cs="仿宋_GB2312"/>
          <w:sz w:val="32"/>
          <w:szCs w:val="32"/>
        </w:rPr>
      </w:pPr>
    </w:p>
    <w:p>
      <w:pPr>
        <w:widowControl/>
        <w:shd w:val="clear" w:color="auto" w:fill="FFFFFF"/>
        <w:spacing w:line="576" w:lineRule="exact"/>
        <w:ind w:firstLine="640" w:firstLineChars="200"/>
        <w:rPr>
          <w:rFonts w:ascii="仿宋_GB2312" w:hAnsi="Times New Roman" w:eastAsia="仿宋_GB2312" w:cs="仿宋_GB2312"/>
          <w:color w:val="333333"/>
          <w:kern w:val="0"/>
          <w:sz w:val="32"/>
          <w:szCs w:val="32"/>
          <w:shd w:val="clear" w:color="auto" w:fill="FFFFFF"/>
          <w:lang w:bidi="ar"/>
        </w:rPr>
      </w:pPr>
      <w:r>
        <w:rPr>
          <w:rFonts w:hint="eastAsia" w:ascii="仿宋_GB2312" w:hAnsi="Times New Roman" w:eastAsia="仿宋_GB2312" w:cs="仿宋_GB2312"/>
          <w:color w:val="333333"/>
          <w:kern w:val="0"/>
          <w:sz w:val="32"/>
          <w:szCs w:val="32"/>
          <w:shd w:val="clear" w:color="auto" w:fill="FFFFFF"/>
          <w:lang w:bidi="ar"/>
        </w:rPr>
        <w:t>1.社会保障和就业（类）行政</w:t>
      </w:r>
      <w:r>
        <w:rPr>
          <w:rFonts w:ascii="仿宋_GB2312" w:hAnsi="Times New Roman" w:eastAsia="仿宋_GB2312" w:cs="仿宋_GB2312"/>
          <w:color w:val="333333"/>
          <w:kern w:val="0"/>
          <w:sz w:val="32"/>
          <w:szCs w:val="32"/>
          <w:shd w:val="clear" w:color="auto" w:fill="FFFFFF"/>
          <w:lang w:bidi="ar"/>
        </w:rPr>
        <w:t>支出</w:t>
      </w:r>
      <w:r>
        <w:rPr>
          <w:rFonts w:hint="eastAsia" w:ascii="仿宋_GB2312" w:hAnsi="Times New Roman" w:eastAsia="仿宋_GB2312" w:cs="仿宋_GB2312"/>
          <w:color w:val="333333"/>
          <w:kern w:val="0"/>
          <w:sz w:val="32"/>
          <w:szCs w:val="32"/>
          <w:shd w:val="clear" w:color="auto" w:fill="FFFFFF"/>
          <w:lang w:bidi="ar"/>
        </w:rPr>
        <w:t>（款） 行政运行（项）</w:t>
      </w:r>
      <w:r>
        <w:rPr>
          <w:rFonts w:ascii="仿宋_GB2312" w:hAnsi="Times New Roman" w:eastAsia="仿宋_GB2312" w:cs="仿宋_GB2312"/>
          <w:color w:val="333333"/>
          <w:kern w:val="0"/>
          <w:sz w:val="32"/>
          <w:szCs w:val="32"/>
          <w:shd w:val="clear" w:color="auto" w:fill="FFFFFF"/>
          <w:lang w:bidi="ar"/>
        </w:rPr>
        <w:t>2024</w:t>
      </w:r>
      <w:r>
        <w:rPr>
          <w:rFonts w:hint="eastAsia" w:ascii="仿宋_GB2312" w:hAnsi="Times New Roman" w:eastAsia="仿宋_GB2312" w:cs="仿宋_GB2312"/>
          <w:color w:val="333333"/>
          <w:kern w:val="0"/>
          <w:sz w:val="32"/>
          <w:szCs w:val="32"/>
          <w:shd w:val="clear" w:color="auto" w:fill="FFFFFF"/>
          <w:lang w:bidi="ar"/>
        </w:rPr>
        <w:t>年预算数为</w:t>
      </w:r>
      <w:r>
        <w:rPr>
          <w:rFonts w:ascii="Times New Roman" w:hAnsi="Times New Roman" w:eastAsia="仿宋_GB2312"/>
          <w:color w:val="333333"/>
          <w:kern w:val="0"/>
          <w:sz w:val="32"/>
          <w:szCs w:val="32"/>
          <w:shd w:val="clear" w:color="auto" w:fill="FFFFFF"/>
          <w:lang w:bidi="ar"/>
        </w:rPr>
        <w:t>62.94</w:t>
      </w:r>
      <w:r>
        <w:rPr>
          <w:rFonts w:hint="eastAsia" w:ascii="仿宋_GB2312" w:hAnsi="Times New Roman" w:eastAsia="仿宋_GB2312" w:cs="仿宋_GB2312"/>
          <w:color w:val="333333"/>
          <w:kern w:val="0"/>
          <w:sz w:val="32"/>
          <w:szCs w:val="32"/>
          <w:shd w:val="clear" w:color="auto" w:fill="FFFFFF"/>
          <w:lang w:bidi="ar"/>
        </w:rPr>
        <w:t>万元，主要用于：区红十字会机关正常运转的基本支出，包括基本工资、津贴补贴等人员经费以及办公费、印刷费、水电费等日常公用经费,保障部门正常运转。</w:t>
      </w:r>
    </w:p>
    <w:p>
      <w:pPr>
        <w:widowControl/>
        <w:shd w:val="clear" w:color="auto" w:fill="FFFFFF"/>
        <w:spacing w:line="576" w:lineRule="exact"/>
        <w:ind w:firstLine="640" w:firstLineChars="200"/>
        <w:rPr>
          <w:rFonts w:ascii="仿宋_GB2312" w:hAnsi="Times New Roman" w:eastAsia="仿宋_GB2312" w:cs="仿宋_GB2312"/>
          <w:color w:val="333333"/>
          <w:kern w:val="0"/>
          <w:sz w:val="32"/>
          <w:szCs w:val="32"/>
          <w:shd w:val="clear" w:color="auto" w:fill="FFFFFF"/>
          <w:lang w:bidi="ar"/>
        </w:rPr>
      </w:pPr>
      <w:r>
        <w:rPr>
          <w:rFonts w:ascii="仿宋_GB2312" w:hAnsi="Times New Roman" w:eastAsia="仿宋_GB2312" w:cs="仿宋_GB2312"/>
          <w:color w:val="333333"/>
          <w:kern w:val="0"/>
          <w:sz w:val="32"/>
          <w:szCs w:val="32"/>
          <w:shd w:val="clear" w:color="auto" w:fill="FFFFFF"/>
          <w:lang w:bidi="ar"/>
        </w:rPr>
        <w:t>2</w:t>
      </w:r>
      <w:r>
        <w:rPr>
          <w:rFonts w:hint="eastAsia" w:ascii="仿宋_GB2312" w:hAnsi="Times New Roman" w:eastAsia="仿宋_GB2312" w:cs="仿宋_GB2312"/>
          <w:color w:val="333333"/>
          <w:kern w:val="0"/>
          <w:sz w:val="32"/>
          <w:szCs w:val="32"/>
          <w:shd w:val="clear" w:color="auto" w:fill="FFFFFF"/>
          <w:lang w:bidi="ar"/>
        </w:rPr>
        <w:t>.社会保障和就业（类）事业支出（款） 事业运行（项）</w:t>
      </w:r>
      <w:r>
        <w:rPr>
          <w:rFonts w:ascii="仿宋_GB2312" w:hAnsi="Times New Roman" w:eastAsia="仿宋_GB2312" w:cs="仿宋_GB2312"/>
          <w:color w:val="333333"/>
          <w:kern w:val="0"/>
          <w:sz w:val="32"/>
          <w:szCs w:val="32"/>
          <w:shd w:val="clear" w:color="auto" w:fill="FFFFFF"/>
          <w:lang w:bidi="ar"/>
        </w:rPr>
        <w:t>2024</w:t>
      </w:r>
      <w:r>
        <w:rPr>
          <w:rFonts w:hint="eastAsia" w:ascii="仿宋_GB2312" w:hAnsi="Times New Roman" w:eastAsia="仿宋_GB2312" w:cs="仿宋_GB2312"/>
          <w:color w:val="333333"/>
          <w:kern w:val="0"/>
          <w:sz w:val="32"/>
          <w:szCs w:val="32"/>
          <w:shd w:val="clear" w:color="auto" w:fill="FFFFFF"/>
          <w:lang w:bidi="ar"/>
        </w:rPr>
        <w:t>年预算数为</w:t>
      </w:r>
      <w:r>
        <w:rPr>
          <w:rFonts w:ascii="Times New Roman" w:hAnsi="Times New Roman" w:eastAsia="仿宋_GB2312"/>
          <w:color w:val="333333"/>
          <w:kern w:val="0"/>
          <w:sz w:val="32"/>
          <w:szCs w:val="32"/>
          <w:shd w:val="clear" w:color="auto" w:fill="FFFFFF"/>
          <w:lang w:bidi="ar"/>
        </w:rPr>
        <w:t>26</w:t>
      </w:r>
      <w:r>
        <w:rPr>
          <w:rFonts w:hint="eastAsia" w:ascii="仿宋_GB2312" w:hAnsi="Times New Roman" w:eastAsia="仿宋_GB2312" w:cs="仿宋_GB2312"/>
          <w:color w:val="333333"/>
          <w:kern w:val="0"/>
          <w:sz w:val="32"/>
          <w:szCs w:val="32"/>
          <w:shd w:val="clear" w:color="auto" w:fill="FFFFFF"/>
          <w:lang w:bidi="ar"/>
        </w:rPr>
        <w:t>万元，主要用于：区红十字会开展“百万培训”、</w:t>
      </w:r>
      <w:r>
        <w:rPr>
          <w:rFonts w:ascii="仿宋_GB2312" w:hAnsi="Times New Roman" w:eastAsia="仿宋_GB2312" w:cs="仿宋_GB2312"/>
          <w:color w:val="333333"/>
          <w:kern w:val="0"/>
          <w:sz w:val="32"/>
          <w:szCs w:val="32"/>
          <w:shd w:val="clear" w:color="auto" w:fill="FFFFFF"/>
          <w:lang w:bidi="ar"/>
        </w:rPr>
        <w:t>“</w:t>
      </w:r>
      <w:r>
        <w:rPr>
          <w:rFonts w:hint="eastAsia" w:ascii="仿宋_GB2312" w:hAnsi="Times New Roman" w:eastAsia="仿宋_GB2312" w:cs="仿宋_GB2312"/>
          <w:color w:val="333333"/>
          <w:kern w:val="0"/>
          <w:sz w:val="32"/>
          <w:szCs w:val="32"/>
          <w:shd w:val="clear" w:color="auto" w:fill="FFFFFF"/>
          <w:lang w:bidi="ar"/>
        </w:rPr>
        <w:t>博爱一日捐</w:t>
      </w:r>
      <w:r>
        <w:rPr>
          <w:rFonts w:ascii="仿宋_GB2312" w:hAnsi="Times New Roman" w:eastAsia="仿宋_GB2312" w:cs="仿宋_GB2312"/>
          <w:color w:val="333333"/>
          <w:kern w:val="0"/>
          <w:sz w:val="32"/>
          <w:szCs w:val="32"/>
          <w:shd w:val="clear" w:color="auto" w:fill="FFFFFF"/>
          <w:lang w:bidi="ar"/>
        </w:rPr>
        <w:t>”</w:t>
      </w:r>
      <w:r>
        <w:rPr>
          <w:rFonts w:hint="eastAsia" w:ascii="仿宋_GB2312" w:hAnsi="Times New Roman" w:eastAsia="仿宋_GB2312" w:cs="仿宋_GB2312"/>
          <w:color w:val="333333"/>
          <w:kern w:val="0"/>
          <w:sz w:val="32"/>
          <w:szCs w:val="32"/>
          <w:shd w:val="clear" w:color="auto" w:fill="FFFFFF"/>
          <w:lang w:bidi="ar"/>
        </w:rPr>
        <w:t>、公益类</w:t>
      </w:r>
      <w:r>
        <w:rPr>
          <w:rFonts w:ascii="仿宋_GB2312" w:hAnsi="Times New Roman" w:eastAsia="仿宋_GB2312" w:cs="仿宋_GB2312"/>
          <w:color w:val="333333"/>
          <w:kern w:val="0"/>
          <w:sz w:val="32"/>
          <w:szCs w:val="32"/>
          <w:shd w:val="clear" w:color="auto" w:fill="FFFFFF"/>
          <w:lang w:bidi="ar"/>
        </w:rPr>
        <w:t>项目工作</w:t>
      </w:r>
      <w:r>
        <w:rPr>
          <w:rFonts w:hint="eastAsia" w:ascii="仿宋_GB2312" w:hAnsi="Times New Roman" w:eastAsia="仿宋_GB2312" w:cs="仿宋_GB2312"/>
          <w:color w:val="333333"/>
          <w:kern w:val="0"/>
          <w:sz w:val="32"/>
          <w:szCs w:val="32"/>
          <w:shd w:val="clear" w:color="auto" w:fill="FFFFFF"/>
          <w:lang w:bidi="ar"/>
        </w:rPr>
        <w:t>经费支出。</w:t>
      </w:r>
    </w:p>
    <w:p>
      <w:pPr>
        <w:widowControl/>
        <w:shd w:val="clear" w:color="auto" w:fill="FFFFFF"/>
        <w:spacing w:line="576" w:lineRule="exact"/>
        <w:ind w:firstLine="640" w:firstLineChars="200"/>
        <w:rPr>
          <w:rFonts w:ascii="仿宋_GB2312" w:hAnsi="Times New Roman" w:eastAsia="仿宋_GB2312" w:cs="仿宋_GB2312"/>
          <w:color w:val="333333"/>
          <w:kern w:val="0"/>
          <w:sz w:val="32"/>
          <w:szCs w:val="32"/>
          <w:shd w:val="clear" w:color="auto" w:fill="FFFFFF"/>
          <w:lang w:bidi="ar"/>
        </w:rPr>
      </w:pPr>
      <w:r>
        <w:rPr>
          <w:rFonts w:ascii="仿宋_GB2312" w:hAnsi="Times New Roman" w:eastAsia="仿宋_GB2312" w:cs="仿宋_GB2312"/>
          <w:color w:val="333333"/>
          <w:kern w:val="0"/>
          <w:sz w:val="32"/>
          <w:szCs w:val="32"/>
          <w:shd w:val="clear" w:color="auto" w:fill="FFFFFF"/>
          <w:lang w:bidi="ar"/>
        </w:rPr>
        <w:t>3</w:t>
      </w:r>
      <w:r>
        <w:rPr>
          <w:rFonts w:hint="eastAsia" w:ascii="仿宋_GB2312" w:hAnsi="Times New Roman" w:eastAsia="仿宋_GB2312" w:cs="仿宋_GB2312"/>
          <w:color w:val="333333"/>
          <w:kern w:val="0"/>
          <w:sz w:val="32"/>
          <w:szCs w:val="32"/>
          <w:shd w:val="clear" w:color="auto" w:fill="FFFFFF"/>
          <w:lang w:bidi="ar"/>
        </w:rPr>
        <w:t>.社会保障和就业（类）行政支出（款）  其他社会保障和就业支出（项）</w:t>
      </w:r>
      <w:r>
        <w:rPr>
          <w:rFonts w:ascii="仿宋_GB2312" w:hAnsi="Times New Roman" w:eastAsia="仿宋_GB2312" w:cs="仿宋_GB2312"/>
          <w:color w:val="333333"/>
          <w:kern w:val="0"/>
          <w:sz w:val="32"/>
          <w:szCs w:val="32"/>
          <w:shd w:val="clear" w:color="auto" w:fill="FFFFFF"/>
          <w:lang w:bidi="ar"/>
        </w:rPr>
        <w:t>2024</w:t>
      </w:r>
      <w:r>
        <w:rPr>
          <w:rFonts w:hint="eastAsia" w:ascii="仿宋_GB2312" w:hAnsi="Times New Roman" w:eastAsia="仿宋_GB2312" w:cs="仿宋_GB2312"/>
          <w:color w:val="333333"/>
          <w:kern w:val="0"/>
          <w:sz w:val="32"/>
          <w:szCs w:val="32"/>
          <w:shd w:val="clear" w:color="auto" w:fill="FFFFFF"/>
          <w:lang w:bidi="ar"/>
        </w:rPr>
        <w:t>年预算数为</w:t>
      </w:r>
      <w:r>
        <w:rPr>
          <w:rFonts w:ascii="Times New Roman" w:hAnsi="Times New Roman" w:eastAsia="仿宋_GB2312"/>
          <w:color w:val="333333"/>
          <w:kern w:val="0"/>
          <w:sz w:val="32"/>
          <w:szCs w:val="32"/>
          <w:shd w:val="clear" w:color="auto" w:fill="FFFFFF"/>
          <w:lang w:bidi="ar"/>
        </w:rPr>
        <w:t>0.11</w:t>
      </w:r>
      <w:r>
        <w:rPr>
          <w:rFonts w:hint="eastAsia" w:ascii="仿宋_GB2312" w:hAnsi="Times New Roman" w:eastAsia="仿宋_GB2312" w:cs="仿宋_GB2312"/>
          <w:color w:val="333333"/>
          <w:kern w:val="0"/>
          <w:sz w:val="32"/>
          <w:szCs w:val="32"/>
          <w:shd w:val="clear" w:color="auto" w:fill="FFFFFF"/>
          <w:lang w:bidi="ar"/>
        </w:rPr>
        <w:t>万元，主要用于：区红十字会机关工勤</w:t>
      </w:r>
      <w:r>
        <w:rPr>
          <w:rFonts w:ascii="仿宋_GB2312" w:hAnsi="Times New Roman" w:eastAsia="仿宋_GB2312" w:cs="仿宋_GB2312"/>
          <w:color w:val="333333"/>
          <w:kern w:val="0"/>
          <w:sz w:val="32"/>
          <w:szCs w:val="32"/>
          <w:shd w:val="clear" w:color="auto" w:fill="FFFFFF"/>
          <w:lang w:bidi="ar"/>
        </w:rPr>
        <w:t>人员工伤保险和失业保险支出</w:t>
      </w:r>
      <w:r>
        <w:rPr>
          <w:rFonts w:hint="eastAsia" w:ascii="仿宋_GB2312" w:hAnsi="Times New Roman" w:eastAsia="仿宋_GB2312" w:cs="仿宋_GB2312"/>
          <w:color w:val="333333"/>
          <w:kern w:val="0"/>
          <w:sz w:val="32"/>
          <w:szCs w:val="32"/>
          <w:shd w:val="clear" w:color="auto" w:fill="FFFFFF"/>
          <w:lang w:bidi="ar"/>
        </w:rPr>
        <w:t>。</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.社会保障和就业（类）行政事业单位养老支出（款）机关事业单位基本养老保险缴费支出（项）2024年预算数为</w:t>
      </w:r>
      <w:r>
        <w:rPr>
          <w:rFonts w:ascii="仿宋_GB2312" w:hAnsi="仿宋_GB2312" w:eastAsia="仿宋_GB2312" w:cs="仿宋_GB2312"/>
          <w:sz w:val="32"/>
          <w:szCs w:val="32"/>
        </w:rPr>
        <w:t>8.36</w:t>
      </w:r>
      <w:r>
        <w:rPr>
          <w:rFonts w:hint="eastAsia" w:ascii="仿宋_GB2312" w:hAnsi="仿宋_GB2312" w:eastAsia="仿宋_GB2312" w:cs="仿宋_GB2312"/>
          <w:sz w:val="32"/>
          <w:szCs w:val="32"/>
        </w:rPr>
        <w:t>万元，主要用于：实施养老保险制度由单位缴纳的基本养老保险支出。</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.卫生健康（类）行政事业单位医疗（款）行政单位医疗（项）2024年预算数为</w:t>
      </w:r>
      <w:r>
        <w:rPr>
          <w:rFonts w:ascii="仿宋_GB2312" w:hAnsi="仿宋_GB2312" w:eastAsia="仿宋_GB2312" w:cs="仿宋_GB2312"/>
          <w:sz w:val="32"/>
          <w:szCs w:val="32"/>
        </w:rPr>
        <w:t>2.85</w:t>
      </w:r>
      <w:r>
        <w:rPr>
          <w:rFonts w:hint="eastAsia" w:ascii="仿宋_GB2312" w:hAnsi="仿宋_GB2312" w:eastAsia="仿宋_GB2312" w:cs="仿宋_GB2312"/>
          <w:sz w:val="32"/>
          <w:szCs w:val="32"/>
        </w:rPr>
        <w:t>万元，主要用于：机关及参公管理事业单位按规定由单位缴纳的基本医疗保险支出。</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.住房保障（类）住房改革支出（款）住房公积金（项）2024年预算数为</w:t>
      </w:r>
      <w:r>
        <w:rPr>
          <w:rFonts w:ascii="仿宋_GB2312" w:hAnsi="仿宋_GB2312" w:eastAsia="仿宋_GB2312" w:cs="仿宋_GB2312"/>
          <w:sz w:val="32"/>
          <w:szCs w:val="32"/>
        </w:rPr>
        <w:t>6.27</w:t>
      </w:r>
      <w:r>
        <w:rPr>
          <w:rFonts w:hint="eastAsia" w:ascii="仿宋_GB2312" w:hAnsi="仿宋_GB2312" w:eastAsia="仿宋_GB2312" w:cs="仿宋_GB2312"/>
          <w:sz w:val="32"/>
          <w:szCs w:val="32"/>
        </w:rPr>
        <w:t>万元，主要用于：部门按规定为职工缴纳的住房公积金支出。</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六、一般公共预算基本支出情况说明</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区红十字会2024年一般公共预算基本支出</w:t>
      </w:r>
      <w:r>
        <w:rPr>
          <w:rFonts w:ascii="仿宋_GB2312" w:hAnsi="仿宋_GB2312" w:eastAsia="仿宋_GB2312" w:cs="仿宋_GB2312"/>
          <w:sz w:val="32"/>
          <w:szCs w:val="32"/>
        </w:rPr>
        <w:t>80.53</w:t>
      </w:r>
      <w:r>
        <w:rPr>
          <w:rFonts w:hint="eastAsia" w:ascii="仿宋_GB2312" w:hAnsi="仿宋_GB2312" w:eastAsia="仿宋_GB2312" w:cs="仿宋_GB2312"/>
          <w:sz w:val="32"/>
          <w:szCs w:val="32"/>
        </w:rPr>
        <w:t>万元，其中：</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ascii="仿宋_GB2312" w:hAnsi="仿宋_GB2312" w:eastAsia="仿宋_GB2312" w:cs="仿宋_GB2312"/>
          <w:sz w:val="32"/>
          <w:szCs w:val="32"/>
        </w:rPr>
        <w:t>69.81</w:t>
      </w:r>
      <w:r>
        <w:rPr>
          <w:rFonts w:hint="eastAsia" w:ascii="仿宋_GB2312" w:hAnsi="仿宋_GB2312" w:eastAsia="仿宋_GB2312" w:cs="仿宋_GB2312"/>
          <w:sz w:val="32"/>
          <w:szCs w:val="32"/>
        </w:rPr>
        <w:t>万元，主要包括：基本工资、津贴补贴、奖金、社会保险缴费、住房公积金等支出。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ascii="仿宋_GB2312" w:hAnsi="仿宋_GB2312" w:eastAsia="仿宋_GB2312" w:cs="仿宋_GB2312"/>
          <w:sz w:val="32"/>
          <w:szCs w:val="32"/>
        </w:rPr>
        <w:t>10.72</w:t>
      </w:r>
      <w:r>
        <w:rPr>
          <w:rFonts w:hint="eastAsia" w:ascii="仿宋_GB2312" w:hAnsi="仿宋_GB2312" w:eastAsia="仿宋_GB2312" w:cs="仿宋_GB2312"/>
          <w:sz w:val="32"/>
          <w:szCs w:val="32"/>
        </w:rPr>
        <w:t>万元，主要包括：办公费、印刷费、水费、电费、邮电费、差旅费、公务接待费、工会经费、其他交通费用等支出。</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七、“三公”经费财政拨款预算安排情况说明</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区红十字会2024年“三公”经费财政拨款预算数</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万元，其中：公务接待费</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万元，公务用车购置及运行维护费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万元，因公出国（境）经费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（一）公务接待费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公务接待费与2023年预算相比下降0.1万元，主要原因是例行节俭。</w:t>
      </w:r>
    </w:p>
    <w:p>
      <w:pPr>
        <w:spacing w:line="576"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2024年公务接待费计划用于执行接待考察调研、检查指导等公务活动开支的交通费、住宿费、用餐费等。</w:t>
      </w:r>
    </w:p>
    <w:p>
      <w:pPr>
        <w:numPr>
          <w:ilvl w:val="0"/>
          <w:numId w:val="1"/>
        </w:num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公务用车购置及运行维护费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公务用车购置及运行维护费与2023年预算相比持平。</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单位现有</w:t>
      </w:r>
      <w:r>
        <w:rPr>
          <w:rFonts w:ascii="仿宋_GB2312" w:hAnsi="仿宋_GB2312" w:eastAsia="仿宋_GB2312" w:cs="仿宋_GB2312"/>
          <w:sz w:val="32"/>
          <w:szCs w:val="32"/>
        </w:rPr>
        <w:t>公务用车</w:t>
      </w:r>
      <w:r>
        <w:rPr>
          <w:rFonts w:hint="eastAsia" w:ascii="仿宋_GB2312" w:hAnsi="仿宋_GB2312" w:eastAsia="仿宋_GB2312" w:cs="仿宋_GB2312"/>
          <w:sz w:val="32"/>
          <w:szCs w:val="32"/>
        </w:rPr>
        <w:t>0辆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2024年未安排公务用车购置费。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2024年未安排公务用车运行维护费。</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三）因公出国（境）经费</w:t>
      </w:r>
    </w:p>
    <w:p>
      <w:pPr>
        <w:spacing w:line="576"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因公出国（境）经费与202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年预算相比持平。</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八、政府性基金预算支出情况说明</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区红十字会2024年无政府性基金预算拨款安排的支出。</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九、国有资本经营预算支出情况说明</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区红十字会2024年无国有资本经营预算拨款安排的支出。</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十、其他重要事项的情况说明</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（一）机关运行经费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2024年，区红十字会无机关运行经费财政拨款预算。</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（二）政府采购情况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2024年，区红十字会安排政府采购预算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截至2023年底，区红十字会共有车辆</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辆。单位无价值200万元以上的大型设备。</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2024年部门预算安排车辆购置经费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万元。拟购置定向保障用车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车辆、执法执勤用车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辆。2024年部门预算未安排购置车辆及单位价值200万元以上大型设备。</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（四）绩效目标设置情况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2024年区红十字会开展绩效目标管理的项目</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个，涉及预算</w:t>
      </w:r>
      <w:r>
        <w:rPr>
          <w:rFonts w:ascii="仿宋_GB2312" w:hAnsi="仿宋_GB2312" w:eastAsia="仿宋_GB2312" w:cs="仿宋_GB2312"/>
          <w:sz w:val="32"/>
          <w:szCs w:val="32"/>
        </w:rPr>
        <w:t>106.53</w:t>
      </w:r>
      <w:r>
        <w:rPr>
          <w:rFonts w:hint="eastAsia" w:ascii="仿宋_GB2312" w:hAnsi="仿宋_GB2312" w:eastAsia="仿宋_GB2312" w:cs="仿宋_GB2312"/>
          <w:sz w:val="32"/>
          <w:szCs w:val="32"/>
        </w:rPr>
        <w:t>万元。其中：人员类项目</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个，涉及预算</w:t>
      </w:r>
      <w:r>
        <w:rPr>
          <w:rFonts w:ascii="仿宋_GB2312" w:hAnsi="仿宋_GB2312" w:eastAsia="仿宋_GB2312" w:cs="仿宋_GB2312"/>
          <w:sz w:val="32"/>
          <w:szCs w:val="32"/>
        </w:rPr>
        <w:t>69.81</w:t>
      </w:r>
      <w:r>
        <w:rPr>
          <w:rFonts w:hint="eastAsia" w:ascii="仿宋_GB2312" w:hAnsi="仿宋_GB2312" w:eastAsia="仿宋_GB2312" w:cs="仿宋_GB2312"/>
          <w:sz w:val="32"/>
          <w:szCs w:val="32"/>
        </w:rPr>
        <w:t>万元；运转类项目</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个，涉及预算</w:t>
      </w:r>
      <w:r>
        <w:rPr>
          <w:rFonts w:ascii="仿宋_GB2312" w:hAnsi="仿宋_GB2312" w:eastAsia="仿宋_GB2312" w:cs="仿宋_GB2312"/>
          <w:sz w:val="32"/>
          <w:szCs w:val="32"/>
        </w:rPr>
        <w:t>10.72</w:t>
      </w:r>
      <w:r>
        <w:rPr>
          <w:rFonts w:hint="eastAsia" w:ascii="仿宋_GB2312" w:hAnsi="仿宋_GB2312" w:eastAsia="仿宋_GB2312" w:cs="仿宋_GB2312"/>
          <w:sz w:val="32"/>
          <w:szCs w:val="32"/>
        </w:rPr>
        <w:t>万元；特定目标类项目</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个，涉及预算</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万元。因部分项目内容涉密，不予公开。</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十一、名词解释</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（一）财政拨款收入</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指区财政当年安排的财政预算收入。按现行管理制度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部门预算中反映的财政拨款包括一般公共预算拨款和政府性基金预算拨款。</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（二）其他收入：</w:t>
      </w:r>
      <w:r>
        <w:rPr>
          <w:rFonts w:hint="eastAsia" w:ascii="仿宋_GB2312" w:hAnsi="仿宋_GB2312" w:eastAsia="仿宋_GB2312" w:cs="仿宋_GB2312"/>
          <w:sz w:val="32"/>
          <w:szCs w:val="32"/>
        </w:rPr>
        <w:t>指除上述“一般公共预算拨款收入” “事业收入”等以外的收入。如银行存款利息收入、社会考试服务收入、校企合作收入、课时收入等。</w:t>
      </w:r>
      <w:r>
        <w:rPr>
          <w:rFonts w:hint="eastAsia" w:ascii="仿宋_GB2312" w:hAnsi="仿宋_GB2312" w:eastAsia="仿宋_GB2312" w:cs="仿宋_GB2312"/>
          <w:b/>
          <w:bCs/>
          <w:sz w:val="32"/>
          <w:szCs w:val="32"/>
        </w:rPr>
        <w:t>（根据实际情况说明）</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（三）社会保障和就业（类）行政事业单位养老支出（款）机关事业单位基本养老保险缴费支出（项）：</w:t>
      </w:r>
      <w:r>
        <w:rPr>
          <w:rFonts w:hint="eastAsia" w:ascii="仿宋_GB2312" w:hAnsi="仿宋_GB2312" w:eastAsia="仿宋_GB2312" w:cs="仿宋_GB2312"/>
          <w:sz w:val="32"/>
          <w:szCs w:val="32"/>
        </w:rPr>
        <w:t>指部门实施养老保险制度由单位缴纳的养老保险的支出。。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（四）卫生健康（类）行政事业单位医疗（款）行政单位医疗（项）：</w:t>
      </w:r>
      <w:r>
        <w:rPr>
          <w:rFonts w:hint="eastAsia" w:ascii="仿宋_GB2312" w:hAnsi="仿宋_GB2312" w:eastAsia="仿宋_GB2312" w:cs="仿宋_GB2312"/>
          <w:sz w:val="32"/>
          <w:szCs w:val="32"/>
        </w:rPr>
        <w:t>指机关及参公管理事业单位用于单位应缴纳基本医疗保险支出。</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（五）住房保障（类）住房改革支出（款）住房公积金（项）：</w:t>
      </w:r>
      <w:r>
        <w:rPr>
          <w:rFonts w:hint="eastAsia" w:ascii="仿宋_GB2312" w:hAnsi="仿宋_GB2312" w:eastAsia="仿宋_GB2312" w:cs="仿宋_GB2312"/>
          <w:sz w:val="32"/>
          <w:szCs w:val="32"/>
        </w:rPr>
        <w:t>指按照《住房公积金管理条例》的规定，由单位及其在职职工缴存的长期住房储金。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（六）基本支出：</w:t>
      </w:r>
      <w:r>
        <w:rPr>
          <w:rFonts w:hint="eastAsia" w:ascii="仿宋_GB2312" w:hAnsi="仿宋_GB2312" w:eastAsia="仿宋_GB2312" w:cs="仿宋_GB2312"/>
          <w:sz w:val="32"/>
          <w:szCs w:val="32"/>
        </w:rPr>
        <w:t>指为保证机构正常运转，完成日常工作任务而发生的人员支出和公用支出。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spacing w:line="576"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（八）“三公”经费：</w:t>
      </w:r>
      <w:r>
        <w:rPr>
          <w:rFonts w:hint="eastAsia" w:ascii="仿宋_GB2312" w:hAnsi="仿宋_GB2312" w:eastAsia="仿宋_GB2312" w:cs="仿宋_GB2312"/>
          <w:sz w:val="32"/>
          <w:szCs w:val="32"/>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（九）机关运行经费：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附件：1.部门预算公开表</w:t>
      </w:r>
    </w:p>
    <w:p>
      <w:pPr>
        <w:tabs>
          <w:tab w:val="left" w:pos="312"/>
        </w:tabs>
        <w:spacing w:line="576" w:lineRule="exact"/>
        <w:ind w:left="1600"/>
        <w:rPr>
          <w:rFonts w:ascii="仿宋_GB2312" w:hAnsi="仿宋_GB2312" w:eastAsia="仿宋_GB2312" w:cs="仿宋_GB2312"/>
          <w:sz w:val="32"/>
          <w:szCs w:val="32"/>
        </w:rPr>
      </w:pPr>
      <w:r>
        <w:rPr>
          <w:rFonts w:hint="eastAsia" w:ascii="仿宋_GB2312" w:hAnsi="仿宋_GB2312" w:eastAsia="仿宋_GB2312" w:cs="仿宋_GB2312"/>
          <w:sz w:val="32"/>
          <w:szCs w:val="32"/>
        </w:rPr>
        <w:t>2.项目支出绩效目标表</w:t>
      </w:r>
    </w:p>
    <w:p>
      <w:pPr>
        <w:tabs>
          <w:tab w:val="left" w:pos="312"/>
        </w:tabs>
        <w:spacing w:line="576" w:lineRule="exact"/>
        <w:ind w:left="16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部门整体支出绩效目标表</w:t>
      </w:r>
    </w:p>
    <w:p>
      <w:pPr>
        <w:spacing w:line="576" w:lineRule="exact"/>
        <w:ind w:firstLine="643" w:firstLineChars="200"/>
        <w:rPr>
          <w:rFonts w:ascii="仿宋_GB2312" w:hAnsi="仿宋_GB2312" w:eastAsia="仿宋_GB2312" w:cs="仿宋_GB2312"/>
          <w:b/>
          <w:bCs/>
          <w:sz w:val="32"/>
          <w:szCs w:val="32"/>
        </w:rPr>
      </w:pPr>
    </w:p>
    <w:sectPr>
      <w:footerReference r:id="rId3" w:type="default"/>
      <w:pgSz w:w="11906" w:h="16838"/>
      <w:pgMar w:top="2098" w:right="1474" w:bottom="1984" w:left="1587" w:header="720" w:footer="1559" w:gutter="0"/>
      <w:pgNumType w:start="1"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E215598-F93D-489C-8CDF-5DE6CD787F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0000000000000000000"/>
    <w:charset w:val="00"/>
    <w:family w:val="swiss"/>
    <w:pitch w:val="default"/>
    <w:sig w:usb0="00000000" w:usb1="00000000" w:usb2="00000000" w:usb3="00000000" w:csb0="6000009F" w:csb1="DFD70000"/>
  </w:font>
  <w:font w:name="Noto Sans CJK SC Regular">
    <w:altName w:val="宋体"/>
    <w:panose1 w:val="00000000000000000000"/>
    <w:charset w:val="86"/>
    <w:family w:val="auto"/>
    <w:pitch w:val="default"/>
    <w:sig w:usb0="00000000" w:usb1="00000000" w:usb2="00000016" w:usb3="00000000" w:csb0="602E0107" w:csb1="00000000"/>
  </w:font>
  <w:font w:name="方正小标宋简体">
    <w:panose1 w:val="02000000000000000000"/>
    <w:charset w:val="86"/>
    <w:family w:val="auto"/>
    <w:pitch w:val="default"/>
    <w:sig w:usb0="00000001" w:usb1="08000000" w:usb2="00000000" w:usb3="00000000" w:csb0="00040000" w:csb1="00000000"/>
    <w:embedRegular r:id="rId2" w:fontKey="{538C97CA-6EDD-4F9D-97D4-A0E01028AB85}"/>
  </w:font>
  <w:font w:name="仿宋_GB2312">
    <w:altName w:val="仿宋"/>
    <w:panose1 w:val="02010609030101010101"/>
    <w:charset w:val="86"/>
    <w:family w:val="modern"/>
    <w:pitch w:val="default"/>
    <w:sig w:usb0="00000000" w:usb1="00000000" w:usb2="00000010" w:usb3="00000000" w:csb0="00040000" w:csb1="00000000"/>
    <w:embedRegular r:id="rId3" w:fontKey="{83532BD7-9385-476E-8955-4B6F83EAFEC9}"/>
  </w:font>
  <w:font w:name="楷体_GB2312">
    <w:panose1 w:val="02010609030101010101"/>
    <w:charset w:val="86"/>
    <w:family w:val="modern"/>
    <w:pitch w:val="default"/>
    <w:sig w:usb0="00000001" w:usb1="080E0000" w:usb2="00000000" w:usb3="00000000" w:csb0="00040000" w:csb1="00000000"/>
    <w:embedRegular r:id="rId4" w:fontKey="{09CBA3EC-15A5-4408-80D6-A6903E41AF2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
  <w:drawingGridVerticalSpacing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8B408B"/>
    <w:rsid w:val="00001EC2"/>
    <w:rsid w:val="001D7BCF"/>
    <w:rsid w:val="0034648C"/>
    <w:rsid w:val="0052674E"/>
    <w:rsid w:val="005751AB"/>
    <w:rsid w:val="005814CB"/>
    <w:rsid w:val="005935B7"/>
    <w:rsid w:val="005E46AA"/>
    <w:rsid w:val="00884B46"/>
    <w:rsid w:val="008B408B"/>
    <w:rsid w:val="008D40B4"/>
    <w:rsid w:val="00935709"/>
    <w:rsid w:val="009C6490"/>
    <w:rsid w:val="00A10D51"/>
    <w:rsid w:val="00C515AE"/>
    <w:rsid w:val="00DE7EBD"/>
    <w:rsid w:val="00E33628"/>
    <w:rsid w:val="00E615BE"/>
    <w:rsid w:val="00FC35DC"/>
    <w:rsid w:val="012352D1"/>
    <w:rsid w:val="0FC33178"/>
    <w:rsid w:val="1F7BF06F"/>
    <w:rsid w:val="1FEE4B73"/>
    <w:rsid w:val="23CE9849"/>
    <w:rsid w:val="39F304DD"/>
    <w:rsid w:val="54244390"/>
    <w:rsid w:val="54662A63"/>
    <w:rsid w:val="58064E12"/>
    <w:rsid w:val="5BFEE015"/>
    <w:rsid w:val="63EDCF55"/>
    <w:rsid w:val="63FBFBCF"/>
    <w:rsid w:val="669360FD"/>
    <w:rsid w:val="68FF6A83"/>
    <w:rsid w:val="6FBBC9CF"/>
    <w:rsid w:val="72BDE561"/>
    <w:rsid w:val="78462278"/>
    <w:rsid w:val="7997EA6C"/>
    <w:rsid w:val="7AEAE675"/>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autoRedefine/>
    <w:qFormat/>
    <w:uiPriority w:val="0"/>
    <w:pPr>
      <w:suppressLineNumbers/>
      <w:spacing w:before="120" w:after="120"/>
    </w:pPr>
    <w:rPr>
      <w:i/>
      <w:iCs/>
      <w:sz w:val="24"/>
    </w:rPr>
  </w:style>
  <w:style w:type="paragraph" w:styleId="3">
    <w:name w:val="Body Text"/>
    <w:basedOn w:val="1"/>
    <w:autoRedefine/>
    <w:qFormat/>
    <w:uiPriority w:val="0"/>
    <w:pPr>
      <w:spacing w:after="140" w:line="276" w:lineRule="auto"/>
    </w:pPr>
  </w:style>
  <w:style w:type="paragraph" w:styleId="4">
    <w:name w:val="Balloon Text"/>
    <w:basedOn w:val="1"/>
    <w:link w:val="14"/>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w:basedOn w:val="3"/>
    <w:autoRedefine/>
    <w:qFormat/>
    <w:uiPriority w:val="0"/>
  </w:style>
  <w:style w:type="paragraph" w:styleId="8">
    <w:name w:val="Normal (Web)"/>
    <w:basedOn w:val="1"/>
    <w:autoRedefine/>
    <w:qFormat/>
    <w:uiPriority w:val="0"/>
    <w:rPr>
      <w:sz w:val="24"/>
    </w:rPr>
  </w:style>
  <w:style w:type="character" w:customStyle="1" w:styleId="11">
    <w:name w:val="默认段落字体1"/>
    <w:autoRedefine/>
    <w:qFormat/>
    <w:uiPriority w:val="0"/>
  </w:style>
  <w:style w:type="paragraph" w:customStyle="1" w:styleId="12">
    <w:name w:val="Heading"/>
    <w:basedOn w:val="1"/>
    <w:next w:val="3"/>
    <w:autoRedefine/>
    <w:qFormat/>
    <w:uiPriority w:val="0"/>
    <w:pPr>
      <w:keepNext/>
      <w:spacing w:before="240" w:after="120"/>
    </w:pPr>
    <w:rPr>
      <w:rFonts w:ascii="Liberation Sans" w:hAnsi="Liberation Sans" w:eastAsia="Noto Sans CJK SC Regular" w:cs="Noto Sans CJK SC Regular"/>
      <w:sz w:val="28"/>
      <w:szCs w:val="28"/>
    </w:rPr>
  </w:style>
  <w:style w:type="paragraph" w:customStyle="1" w:styleId="13">
    <w:name w:val="Index"/>
    <w:basedOn w:val="1"/>
    <w:autoRedefine/>
    <w:qFormat/>
    <w:uiPriority w:val="0"/>
    <w:pPr>
      <w:suppressLineNumbers/>
    </w:pPr>
  </w:style>
  <w:style w:type="character" w:customStyle="1" w:styleId="14">
    <w:name w:val="批注框文本 Char"/>
    <w:basedOn w:val="10"/>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661</Words>
  <Characters>3771</Characters>
  <Lines>31</Lines>
  <Paragraphs>8</Paragraphs>
  <TotalTime>353</TotalTime>
  <ScaleCrop>false</ScaleCrop>
  <LinksUpToDate>false</LinksUpToDate>
  <CharactersWithSpaces>4424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昭化融媒体</cp:lastModifiedBy>
  <cp:lastPrinted>2024-04-08T01:37:00Z</cp:lastPrinted>
  <dcterms:modified xsi:type="dcterms:W3CDTF">2024-04-10T03:08:46Z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96081F72B7444D3C8C1C7DDAED24732C_13</vt:lpwstr>
  </property>
</Properties>
</file>