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B361A">
      <w:pPr>
        <w:spacing w:line="600" w:lineRule="exact"/>
        <w:jc w:val="center"/>
        <w:outlineLvl w:val="0"/>
        <w:rPr>
          <w:rFonts w:hint="eastAsia" w:ascii="方正小标宋简体" w:hAnsi="宋体" w:eastAsia="方正小标宋简体"/>
          <w:color w:val="000000"/>
          <w:sz w:val="72"/>
          <w:szCs w:val="72"/>
        </w:rPr>
      </w:pPr>
      <w:bookmarkStart w:id="0" w:name="_Toc15306267"/>
    </w:p>
    <w:p w14:paraId="63C80E8B">
      <w:pPr>
        <w:spacing w:line="600" w:lineRule="exact"/>
        <w:jc w:val="center"/>
        <w:outlineLvl w:val="0"/>
        <w:rPr>
          <w:rFonts w:ascii="方正小标宋简体" w:hAnsi="宋体" w:eastAsia="方正小标宋简体"/>
          <w:color w:val="000000"/>
          <w:sz w:val="72"/>
          <w:szCs w:val="72"/>
        </w:rPr>
      </w:pPr>
    </w:p>
    <w:p w14:paraId="136E12DC">
      <w:pPr>
        <w:spacing w:line="600" w:lineRule="exact"/>
        <w:jc w:val="center"/>
        <w:outlineLvl w:val="0"/>
        <w:rPr>
          <w:rFonts w:ascii="方正小标宋简体" w:hAnsi="宋体" w:eastAsia="方正小标宋简体"/>
          <w:color w:val="000000"/>
          <w:sz w:val="72"/>
          <w:szCs w:val="72"/>
        </w:rPr>
      </w:pPr>
    </w:p>
    <w:p w14:paraId="02F7F7FE">
      <w:pPr>
        <w:spacing w:line="600" w:lineRule="exact"/>
        <w:jc w:val="center"/>
        <w:outlineLvl w:val="0"/>
        <w:rPr>
          <w:rFonts w:ascii="方正小标宋简体" w:hAnsi="宋体" w:eastAsia="方正小标宋简体"/>
          <w:color w:val="000000"/>
          <w:sz w:val="72"/>
          <w:szCs w:val="72"/>
        </w:rPr>
      </w:pPr>
    </w:p>
    <w:p w14:paraId="466CA6A0">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78441"/>
      <w:bookmarkStart w:id="3" w:name="_Toc15396597"/>
      <w:bookmarkStart w:id="4" w:name="_Toc15377193"/>
      <w:bookmarkStart w:id="5" w:name="_Toc15396475"/>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14:paraId="443892FF">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194"/>
      <w:bookmarkStart w:id="7" w:name="_Toc15396598"/>
      <w:bookmarkStart w:id="8" w:name="_Toc15396476"/>
      <w:bookmarkStart w:id="9" w:name="_Toc15378442"/>
      <w:bookmarkStart w:id="10" w:name="_Toc1537742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广元市昭化区磨滩镇人民政府部门决算</w:t>
      </w:r>
      <w:bookmarkEnd w:id="6"/>
      <w:bookmarkEnd w:id="7"/>
      <w:bookmarkEnd w:id="8"/>
      <w:bookmarkEnd w:id="9"/>
      <w:bookmarkEnd w:id="10"/>
      <w:bookmarkEnd w:id="11"/>
    </w:p>
    <w:p w14:paraId="73373E84">
      <w:pPr>
        <w:adjustRightInd w:val="0"/>
        <w:snapToGrid w:val="0"/>
        <w:spacing w:line="360" w:lineRule="auto"/>
        <w:jc w:val="center"/>
        <w:outlineLvl w:val="0"/>
        <w:rPr>
          <w:rFonts w:ascii="方正小标宋简体" w:hAnsi="宋体" w:eastAsia="方正小标宋简体"/>
          <w:color w:val="000000"/>
          <w:sz w:val="52"/>
          <w:szCs w:val="52"/>
        </w:rPr>
      </w:pPr>
    </w:p>
    <w:p w14:paraId="1FC95536">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14:paraId="4057B9B1">
      <w:pPr>
        <w:widowControl/>
        <w:jc w:val="center"/>
        <w:rPr>
          <w:rFonts w:ascii="黑体" w:hAnsi="黑体" w:eastAsia="黑体" w:cstheme="minorBidi"/>
          <w:sz w:val="28"/>
          <w:szCs w:val="28"/>
        </w:rPr>
      </w:pPr>
    </w:p>
    <w:p w14:paraId="2EDCB70F">
      <w:pPr>
        <w:pStyle w:val="10"/>
      </w:pPr>
      <w:r>
        <w:rPr>
          <w:rFonts w:hint="eastAsia"/>
        </w:rPr>
        <w:t>公开时间：2020年</w:t>
      </w:r>
      <w:r>
        <w:rPr>
          <w:rFonts w:hint="eastAsia"/>
          <w:lang w:val="en-US" w:eastAsia="zh-CN"/>
        </w:rPr>
        <w:t>10</w:t>
      </w:r>
      <w:r>
        <w:rPr>
          <w:rFonts w:hint="eastAsia"/>
        </w:rPr>
        <w:t>月</w:t>
      </w:r>
      <w:r>
        <w:rPr>
          <w:rFonts w:hint="eastAsia"/>
          <w:lang w:val="en-US" w:eastAsia="zh-CN"/>
        </w:rPr>
        <w:t>9</w:t>
      </w:r>
      <w:r>
        <w:rPr>
          <w:rFonts w:hint="eastAsia"/>
        </w:rPr>
        <w:t>日</w:t>
      </w:r>
    </w:p>
    <w:p w14:paraId="777C50F2"/>
    <w:p w14:paraId="12BBD0FC">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部门概况……………………………………………………………4</w:t>
      </w:r>
    </w:p>
    <w:p w14:paraId="70EC0790">
      <w:pPr>
        <w:pStyle w:val="11"/>
        <w:adjustRightInd w:val="0"/>
        <w:snapToGrid w:val="0"/>
        <w:spacing w:line="440" w:lineRule="exact"/>
        <w:jc w:val="left"/>
        <w:rPr>
          <w:rFonts w:ascii="仿宋" w:hAnsi="仿宋" w:eastAsia="仿宋"/>
          <w:sz w:val="24"/>
        </w:rPr>
      </w:pPr>
      <w:r>
        <w:rPr>
          <w:rFonts w:hint="eastAsia"/>
          <w:sz w:val="24"/>
        </w:rPr>
        <w:t>一、基本职能及主要工作………………………………………………5</w:t>
      </w:r>
    </w:p>
    <w:p w14:paraId="0D39FEF0">
      <w:pPr>
        <w:pStyle w:val="11"/>
        <w:adjustRightInd w:val="0"/>
        <w:snapToGrid w:val="0"/>
        <w:spacing w:line="440" w:lineRule="exact"/>
        <w:jc w:val="left"/>
        <w:rPr>
          <w:rFonts w:ascii="仿宋" w:hAnsi="仿宋" w:eastAsia="仿宋" w:cstheme="minorBidi"/>
          <w:sz w:val="24"/>
        </w:rPr>
      </w:pPr>
      <w:r>
        <w:rPr>
          <w:rFonts w:hint="eastAsia"/>
          <w:sz w:val="24"/>
        </w:rPr>
        <w:t>二、机构设置……………………………………………………………6</w:t>
      </w:r>
    </w:p>
    <w:p w14:paraId="146B4028">
      <w:pPr>
        <w:pStyle w:val="10"/>
        <w:adjustRightInd w:val="0"/>
        <w:snapToGrid w:val="0"/>
        <w:spacing w:before="0" w:line="440" w:lineRule="exact"/>
        <w:jc w:val="left"/>
        <w:rPr>
          <w:sz w:val="24"/>
          <w:szCs w:val="24"/>
        </w:rPr>
      </w:pPr>
      <w:r>
        <w:rPr>
          <w:rFonts w:hint="eastAsia"/>
          <w:sz w:val="24"/>
        </w:rPr>
        <w:t>第二部分</w:t>
      </w:r>
      <w:r>
        <w:rPr>
          <w:rFonts w:hint="eastAsia"/>
          <w:sz w:val="24"/>
          <w:lang w:val="en-US" w:eastAsia="zh-CN"/>
        </w:rPr>
        <w:t xml:space="preserve"> </w:t>
      </w:r>
      <w:bookmarkStart w:id="74" w:name="_GoBack"/>
      <w:bookmarkEnd w:id="74"/>
      <w:r>
        <w:rPr>
          <w:rFonts w:hint="eastAsia"/>
          <w:sz w:val="24"/>
        </w:rPr>
        <w:t>部门决算情况说明………………………………………7</w:t>
      </w:r>
    </w:p>
    <w:p w14:paraId="79A04507">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一、收入支出决算总体情况说明………………………………………7</w:t>
      </w:r>
    </w:p>
    <w:p w14:paraId="3AAC7A02">
      <w:pPr>
        <w:pStyle w:val="11"/>
        <w:adjustRightInd w:val="0"/>
        <w:snapToGrid w:val="0"/>
        <w:spacing w:line="440" w:lineRule="exact"/>
        <w:jc w:val="left"/>
        <w:rPr>
          <w:rFonts w:ascii="仿宋" w:hAnsi="仿宋" w:eastAsia="仿宋" w:cstheme="minorBidi"/>
          <w:sz w:val="24"/>
        </w:rPr>
      </w:pPr>
      <w:r>
        <w:rPr>
          <w:rFonts w:hint="eastAsia"/>
          <w:sz w:val="24"/>
        </w:rPr>
        <w:t>二、收入决算情况说明…………………………………………………7</w:t>
      </w:r>
    </w:p>
    <w:p w14:paraId="293FFADE">
      <w:pPr>
        <w:pStyle w:val="11"/>
        <w:adjustRightInd w:val="0"/>
        <w:snapToGrid w:val="0"/>
        <w:spacing w:line="440" w:lineRule="exact"/>
        <w:jc w:val="left"/>
        <w:rPr>
          <w:rFonts w:ascii="仿宋" w:hAnsi="仿宋" w:eastAsia="仿宋" w:cstheme="minorBidi"/>
          <w:sz w:val="24"/>
        </w:rPr>
      </w:pPr>
      <w:r>
        <w:rPr>
          <w:rFonts w:hint="eastAsia"/>
          <w:sz w:val="24"/>
        </w:rPr>
        <w:t>三、支出决算情况说明…………………………………………………7</w:t>
      </w:r>
    </w:p>
    <w:p w14:paraId="72FE07FB">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四、财政拨款收入支出决算总体情况说明……………………………7</w:t>
      </w:r>
    </w:p>
    <w:p w14:paraId="79676FA4">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五、一般公共预算财政拨款支出决算情况说明………………………8</w:t>
      </w:r>
    </w:p>
    <w:p w14:paraId="36991D3A">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六、一般公共预算财政拨款基本支出决算情况说明…………………10</w:t>
      </w:r>
    </w:p>
    <w:p w14:paraId="40590F80">
      <w:pPr>
        <w:pStyle w:val="11"/>
        <w:adjustRightInd w:val="0"/>
        <w:snapToGrid w:val="0"/>
        <w:spacing w:line="44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三公”经费财政拨款支出决算情况说明………………………11</w:t>
      </w:r>
    </w:p>
    <w:p w14:paraId="3AB40A60">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八、政府性基金预算支出决算情况说明……………………………12</w:t>
      </w:r>
    </w:p>
    <w:p w14:paraId="1B1CF44A">
      <w:pPr>
        <w:pStyle w:val="11"/>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国</w:t>
      </w:r>
      <w:r>
        <w:rPr>
          <w:rFonts w:hint="eastAsia"/>
          <w:sz w:val="24"/>
        </w:rPr>
        <w:t>有资本经营预算支出决算情况说明…………………………12</w:t>
      </w:r>
    </w:p>
    <w:p w14:paraId="431A844F">
      <w:pPr>
        <w:adjustRightInd w:val="0"/>
        <w:snapToGrid w:val="0"/>
        <w:spacing w:line="440" w:lineRule="exact"/>
        <w:ind w:firstLine="480" w:firstLineChars="200"/>
        <w:jc w:val="left"/>
        <w:rPr>
          <w:rFonts w:ascii="仿宋" w:hAnsi="仿宋" w:eastAsia="仿宋" w:cstheme="minorBidi"/>
          <w:sz w:val="24"/>
        </w:rPr>
      </w:pPr>
      <w:r>
        <w:rPr>
          <w:rStyle w:val="16"/>
          <w:rFonts w:hint="eastAsia" w:ascii="仿宋" w:hAnsi="仿宋" w:eastAsia="仿宋"/>
          <w:color w:val="000000" w:themeColor="text1"/>
          <w:sz w:val="24"/>
          <w:u w:val="none"/>
          <w14:textFill>
            <w14:solidFill>
              <w14:schemeClr w14:val="tx1"/>
            </w14:solidFill>
          </w14:textFill>
        </w:rPr>
        <w:t>十、</w:t>
      </w:r>
      <w:r>
        <w:rPr>
          <w:rFonts w:hint="eastAsia"/>
          <w:sz w:val="24"/>
        </w:rPr>
        <w:t>其他重要事项的情况说明</w:t>
      </w:r>
      <w:r>
        <w:rPr>
          <w:rFonts w:ascii="仿宋" w:hAnsi="仿宋" w:eastAsia="仿宋"/>
          <w:sz w:val="24"/>
        </w:rPr>
        <w:tab/>
      </w:r>
      <w:r>
        <w:rPr>
          <w:rFonts w:hint="eastAsia" w:ascii="仿宋" w:hAnsi="仿宋" w:eastAsia="仿宋"/>
          <w:sz w:val="24"/>
        </w:rPr>
        <w:t>………………………………………………12</w:t>
      </w:r>
    </w:p>
    <w:p w14:paraId="7AEB588D">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名词解释………………………………………………………………………17</w:t>
      </w:r>
    </w:p>
    <w:p w14:paraId="237FF778">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14:paraId="546BBC09">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1</w:t>
      </w:r>
      <w:r>
        <w:rPr>
          <w:rFonts w:hint="eastAsia"/>
          <w:sz w:val="24"/>
        </w:rPr>
        <w:t>…………………………………………………………………20</w:t>
      </w:r>
    </w:p>
    <w:p w14:paraId="7265F3A0">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2</w:t>
      </w:r>
      <w:r>
        <w:rPr>
          <w:rFonts w:hint="eastAsia"/>
          <w:sz w:val="24"/>
        </w:rPr>
        <w:t>…………………………………………………………………25</w:t>
      </w:r>
    </w:p>
    <w:p w14:paraId="1494D809">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14:paraId="31F77E4D">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收入支出决算总表………………………………………………30</w:t>
      </w:r>
    </w:p>
    <w:p w14:paraId="42DBC147">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表………………………………………………………30</w:t>
      </w:r>
    </w:p>
    <w:p w14:paraId="7B1959E0">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表………………………………………………………30</w:t>
      </w:r>
    </w:p>
    <w:p w14:paraId="0196B592">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四、</w:t>
      </w:r>
      <w:r>
        <w:rPr>
          <w:rFonts w:hint="eastAsia"/>
          <w:sz w:val="24"/>
        </w:rPr>
        <w:t>财政拨款收入支出决算总表……………………………………30</w:t>
      </w:r>
    </w:p>
    <w:p w14:paraId="560412B2">
      <w:pPr>
        <w:pStyle w:val="11"/>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五、财政拨款支出决算明细表………………………………………………30</w:t>
      </w:r>
    </w:p>
    <w:p w14:paraId="4D414FBA">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六、</w:t>
      </w:r>
      <w:r>
        <w:rPr>
          <w:rFonts w:hint="eastAsia"/>
          <w:sz w:val="24"/>
        </w:rPr>
        <w:t>一般公共预算财政拨款支出决算表……………………………30</w:t>
      </w:r>
    </w:p>
    <w:p w14:paraId="4008D865">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七、</w:t>
      </w:r>
      <w:r>
        <w:rPr>
          <w:rFonts w:hint="eastAsia"/>
          <w:sz w:val="24"/>
        </w:rPr>
        <w:t>一般公共预算财政拨款支出决算明细表………………………30</w:t>
      </w:r>
    </w:p>
    <w:p w14:paraId="33571EEA">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一般公共预算财政拨款基本支出决算表…………………………30</w:t>
      </w:r>
    </w:p>
    <w:p w14:paraId="7FDAC194">
      <w:pPr>
        <w:pStyle w:val="11"/>
        <w:adjustRightInd w:val="0"/>
        <w:snapToGrid w:val="0"/>
        <w:spacing w:line="440" w:lineRule="exact"/>
        <w:jc w:val="left"/>
        <w:rPr>
          <w:sz w:val="24"/>
        </w:rPr>
      </w:pPr>
      <w:r>
        <w:rPr>
          <w:rFonts w:hint="eastAsia" w:ascii="仿宋" w:hAnsi="仿宋" w:eastAsia="仿宋"/>
          <w:sz w:val="24"/>
        </w:rPr>
        <w:t>九、</w:t>
      </w:r>
      <w:r>
        <w:rPr>
          <w:rFonts w:hint="eastAsia"/>
          <w:sz w:val="24"/>
        </w:rPr>
        <w:t>一般公共预算财政拨款项目支出决算表…………………………30</w:t>
      </w:r>
    </w:p>
    <w:p w14:paraId="0DD13D75"/>
    <w:p w14:paraId="7200E796">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一般公共预算财政拨款“三公”经费支出决算表………………30</w:t>
      </w:r>
    </w:p>
    <w:p w14:paraId="1F8A0136">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政府性基金预算财政拨款收入支出决算表……………………30</w:t>
      </w:r>
    </w:p>
    <w:p w14:paraId="6A7C1D94">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政府性基金预算财政拨款“三公”经费支出决算表…………30</w:t>
      </w:r>
    </w:p>
    <w:p w14:paraId="7A754CC5">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十三、</w:t>
      </w:r>
      <w:r>
        <w:rPr>
          <w:rFonts w:hint="eastAsia"/>
          <w:sz w:val="24"/>
        </w:rPr>
        <w:t>国有资本经营预算支出决算表…………………………………30</w:t>
      </w:r>
    </w:p>
    <w:p w14:paraId="225C0676">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r>
        <w:rPr>
          <w:rFonts w:hint="eastAsia" w:ascii="仿宋" w:hAnsi="仿宋" w:eastAsia="仿宋"/>
          <w:b/>
          <w:sz w:val="24"/>
        </w:rPr>
        <w:t>〉</w:t>
      </w:r>
    </w:p>
    <w:p w14:paraId="5FB204D7">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14:paraId="30C589BE">
      <w:pPr>
        <w:widowControl/>
        <w:jc w:val="left"/>
        <w:rPr>
          <w:rFonts w:ascii="黑体" w:eastAsia="黑体"/>
          <w:color w:val="000000"/>
          <w:sz w:val="32"/>
          <w:szCs w:val="32"/>
        </w:rPr>
      </w:pPr>
    </w:p>
    <w:p w14:paraId="41165C5E">
      <w:pPr>
        <w:pStyle w:val="3"/>
        <w:rPr>
          <w:rStyle w:val="26"/>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14:paraId="1AFABA65">
      <w:pPr>
        <w:pStyle w:val="3"/>
        <w:rPr>
          <w:rFonts w:ascii="楷体" w:hAnsi="楷体" w:eastAsia="楷体" w:cs="楷体"/>
          <w:b w:val="0"/>
          <w:bCs w:val="0"/>
        </w:rPr>
      </w:pPr>
      <w:bookmarkStart w:id="16" w:name="_Toc15378445"/>
      <w:bookmarkStart w:id="17" w:name="_Toc15377198"/>
      <w:r>
        <w:rPr>
          <w:rFonts w:hint="eastAsia" w:ascii="仿宋" w:hAnsi="仿宋" w:eastAsia="仿宋"/>
          <w:color w:val="000000"/>
        </w:rPr>
        <w:t>（一）主要职能。</w:t>
      </w:r>
      <w:bookmarkEnd w:id="16"/>
      <w:bookmarkEnd w:id="17"/>
      <w:bookmarkStart w:id="18" w:name="_Toc15378446"/>
      <w:bookmarkStart w:id="19" w:name="_Toc15377199"/>
    </w:p>
    <w:p w14:paraId="0DD66C73">
      <w:pPr>
        <w:pStyle w:val="3"/>
        <w:rPr>
          <w:rFonts w:ascii="仿宋_GB2312" w:hAnsi="仿宋" w:eastAsia="仿宋_GB2312" w:cs="仿宋"/>
          <w:b w:val="0"/>
          <w:bCs w:val="0"/>
          <w:shd w:val="clear" w:color="auto" w:fill="FFFFFF"/>
        </w:rPr>
      </w:pPr>
      <w:r>
        <w:rPr>
          <w:rFonts w:hint="eastAsia" w:ascii="仿宋" w:hAnsi="仿宋" w:eastAsia="仿宋" w:cs="仿宋"/>
          <w:b w:val="0"/>
          <w:bCs w:val="0"/>
          <w:shd w:val="clear" w:color="auto" w:fill="FFFFFF"/>
        </w:rPr>
        <w:t xml:space="preserve">   </w:t>
      </w:r>
      <w:r>
        <w:rPr>
          <w:rFonts w:hint="eastAsia" w:ascii="仿宋_GB2312" w:hAnsi="仿宋" w:eastAsia="仿宋_GB2312" w:cs="仿宋"/>
          <w:b w:val="0"/>
          <w:bCs w:val="0"/>
          <w:shd w:val="clear" w:color="auto" w:fill="FFFFFF"/>
        </w:rPr>
        <w:t xml:space="preserve"> 贯彻执行国家有关财政管理等方面的法律、法规和规，拟定和执行我镇财政发展规划及其他有关政策。编制年度财政预算草案并组织执行，向人大报告财政决，管理和监督各项财政收支。管理各类政策性补贴等资金，建立惠农资金补助对象管理新机制，进一步完善财政补贴农民资金“一卡(折)通”发放机制。负责对各类专项资金的监管，提高财政资金使用效率。负责非税收入。提出加强财政管理的政策建议，负责财政、税收政策法规的宣传工作。执行会计集中核算，落实“乡财县管、村帐乡监”等管理制度，严格按照上级财政部门规定的工作程序开展工作，充分发挥财政资金效益。负责本镇国有资产监督管理工作。负责做好农村综合改革和社会主义新农村建设相关工作。承办镇党委、政府及上级财政部门交办的其他事项。</w:t>
      </w:r>
    </w:p>
    <w:p w14:paraId="45D226CE">
      <w:pPr>
        <w:pStyle w:val="3"/>
        <w:rPr>
          <w:rFonts w:ascii="仿宋" w:hAnsi="仿宋" w:eastAsia="仿宋"/>
          <w:color w:val="000000"/>
        </w:rPr>
      </w:pPr>
      <w:r>
        <w:rPr>
          <w:rFonts w:hint="eastAsia" w:ascii="仿宋" w:hAnsi="仿宋" w:eastAsia="仿宋"/>
          <w:color w:val="000000"/>
        </w:rPr>
        <w:t>（二）</w:t>
      </w:r>
      <w:r>
        <w:rPr>
          <w:rFonts w:ascii="仿宋" w:hAnsi="仿宋" w:eastAsia="仿宋"/>
          <w:color w:val="000000"/>
        </w:rPr>
        <w:t>201</w:t>
      </w:r>
      <w:r>
        <w:rPr>
          <w:rFonts w:hint="eastAsia" w:ascii="仿宋" w:hAnsi="仿宋" w:eastAsia="仿宋"/>
          <w:color w:val="000000"/>
        </w:rPr>
        <w:t>9年重点工作完成情况。</w:t>
      </w:r>
      <w:bookmarkEnd w:id="18"/>
      <w:bookmarkEnd w:id="19"/>
    </w:p>
    <w:p w14:paraId="0F109D3A">
      <w:pPr>
        <w:pStyle w:val="3"/>
        <w:rPr>
          <w:rFonts w:ascii="仿宋_GB2312" w:hAnsi="仿宋" w:eastAsia="仿宋_GB2312" w:cs="仿宋"/>
          <w:b w:val="0"/>
          <w:bCs w:val="0"/>
        </w:rPr>
      </w:pPr>
      <w:r>
        <w:rPr>
          <w:rFonts w:hint="eastAsia" w:ascii="仿宋" w:hAnsi="仿宋" w:eastAsia="仿宋" w:cs="仿宋"/>
          <w:b w:val="0"/>
          <w:bCs w:val="0"/>
        </w:rPr>
        <w:t xml:space="preserve">   </w:t>
      </w:r>
      <w:r>
        <w:rPr>
          <w:rFonts w:hint="eastAsia" w:ascii="仿宋_GB2312" w:hAnsi="仿宋" w:eastAsia="仿宋_GB2312" w:cs="仿宋"/>
          <w:b w:val="0"/>
          <w:bCs w:val="0"/>
        </w:rPr>
        <w:t xml:space="preserve"> 磨滩镇严格按照预算法规定的各项预算收支完成了当年的各项预算收支任务。</w:t>
      </w:r>
    </w:p>
    <w:p w14:paraId="4B780738">
      <w:pPr>
        <w:pStyle w:val="5"/>
        <w:adjustRightInd w:val="0"/>
        <w:snapToGrid w:val="0"/>
        <w:spacing w:before="93" w:line="600" w:lineRule="exact"/>
        <w:ind w:firstLine="672" w:firstLineChars="210"/>
        <w:outlineLvl w:val="2"/>
        <w:rPr>
          <w:rFonts w:ascii="仿宋" w:hAnsi="仿宋" w:eastAsia="仿宋"/>
          <w:bCs/>
          <w:color w:val="000000"/>
          <w:sz w:val="32"/>
          <w:szCs w:val="32"/>
        </w:rPr>
      </w:pPr>
    </w:p>
    <w:p w14:paraId="17D837E0">
      <w:pPr>
        <w:pStyle w:val="3"/>
        <w:rPr>
          <w:rStyle w:val="26"/>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0"/>
      <w:bookmarkEnd w:id="21"/>
    </w:p>
    <w:p w14:paraId="300DAAE1">
      <w:pPr>
        <w:pStyle w:val="12"/>
        <w:widowControl/>
        <w:shd w:val="clear" w:color="auto" w:fill="FFFFFF"/>
        <w:spacing w:before="0" w:beforeAutospacing="0" w:after="0" w:afterAutospacing="0" w:line="576" w:lineRule="exact"/>
        <w:ind w:firstLine="960" w:firstLineChars="300"/>
        <w:jc w:val="both"/>
        <w:rPr>
          <w:rFonts w:ascii="仿宋_GB2312" w:hAnsi="仿宋" w:eastAsia="仿宋_GB2312" w:cs="仿宋"/>
          <w:sz w:val="32"/>
          <w:szCs w:val="32"/>
        </w:rPr>
      </w:pPr>
      <w:r>
        <w:rPr>
          <w:rFonts w:hint="eastAsia" w:ascii="仿宋_GB2312" w:hAnsi="仿宋" w:eastAsia="仿宋_GB2312" w:cs="仿宋"/>
          <w:sz w:val="32"/>
          <w:szCs w:val="32"/>
        </w:rPr>
        <w:t>磨滩镇</w:t>
      </w:r>
      <w:r>
        <w:rPr>
          <w:rFonts w:hint="eastAsia" w:ascii="仿宋_GB2312" w:hAnsi="仿宋" w:eastAsia="仿宋_GB2312" w:cs="仿宋"/>
          <w:sz w:val="32"/>
          <w:szCs w:val="32"/>
          <w:shd w:val="clear" w:color="auto" w:fill="FFFFFF"/>
        </w:rPr>
        <w:t>人民政府属于一级预算单位，政府单位机构数1个，其中行政单位1个，参照公务员法管理的事业单位0个，其他事业单位0个。</w:t>
      </w:r>
    </w:p>
    <w:p w14:paraId="634A54FC">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14:paraId="7BCB8906">
      <w:pPr>
        <w:pStyle w:val="2"/>
        <w:ind w:right="880"/>
        <w:jc w:val="right"/>
        <w:rPr>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2019年度部门决算情况说明</w:t>
      </w:r>
      <w:bookmarkEnd w:id="22"/>
      <w:bookmarkEnd w:id="23"/>
    </w:p>
    <w:p w14:paraId="2598D2C1">
      <w:pPr>
        <w:pStyle w:val="24"/>
        <w:numPr>
          <w:ilvl w:val="0"/>
          <w:numId w:val="1"/>
        </w:numPr>
        <w:spacing w:line="600" w:lineRule="exact"/>
        <w:ind w:firstLineChars="0"/>
        <w:outlineLvl w:val="1"/>
        <w:rPr>
          <w:rStyle w:val="26"/>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14:paraId="14C8F526">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2019年度收、支总计836.85万元。与2018年相比，收、支总计各减少140.87万元，下降14.4%。主要变动原因是项目支出与上年同期相比减少。</w:t>
      </w:r>
    </w:p>
    <w:p w14:paraId="29CAB305">
      <w:pPr>
        <w:pStyle w:val="24"/>
        <w:numPr>
          <w:ilvl w:val="0"/>
          <w:numId w:val="1"/>
        </w:numPr>
        <w:spacing w:line="600" w:lineRule="exact"/>
        <w:ind w:firstLineChars="0"/>
        <w:outlineLvl w:val="1"/>
        <w:rPr>
          <w:rStyle w:val="26"/>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p>
    <w:p w14:paraId="6B36BD13">
      <w:pPr>
        <w:spacing w:line="600" w:lineRule="exact"/>
        <w:ind w:firstLine="640" w:firstLineChars="200"/>
        <w:outlineLvl w:val="1"/>
        <w:rPr>
          <w:rFonts w:ascii="仿宋_GB2312" w:hAnsi="仿宋" w:eastAsia="仿宋_GB2312"/>
          <w:color w:val="000000"/>
          <w:sz w:val="32"/>
          <w:szCs w:val="32"/>
        </w:rPr>
      </w:pPr>
      <w:r>
        <w:rPr>
          <w:rFonts w:hint="eastAsia" w:ascii="仿宋_GB2312" w:hAnsi="仿宋" w:eastAsia="仿宋_GB2312"/>
          <w:color w:val="000000"/>
          <w:sz w:val="32"/>
          <w:szCs w:val="32"/>
        </w:rPr>
        <w:t>2019年本年收入合计725.35万元，其中：一般公共预算财政拨款收入725.35万元，占100%；政府性基金预算财政拨款收入0万元，占0%；</w:t>
      </w:r>
      <w:r>
        <w:rPr>
          <w:rFonts w:hint="eastAsia" w:ascii="仿宋_GB2312" w:hAnsi="仿宋" w:eastAsia="仿宋_GB2312"/>
          <w:color w:val="000000" w:themeColor="text1"/>
          <w:sz w:val="32"/>
          <w:szCs w:val="32"/>
          <w14:textFill>
            <w14:solidFill>
              <w14:schemeClr w14:val="tx1"/>
            </w14:solidFill>
          </w14:textFill>
        </w:rPr>
        <w:t>上级补助收入725.35</w:t>
      </w:r>
      <w:r>
        <w:rPr>
          <w:rFonts w:hint="eastAsia" w:ascii="仿宋_GB2312" w:hAnsi="仿宋" w:eastAsia="仿宋_GB2312"/>
          <w:color w:val="000000"/>
          <w:sz w:val="32"/>
          <w:szCs w:val="32"/>
        </w:rPr>
        <w:t>万元，占100%；事业收入0万元，占0%；经营收入0万元，占0%；附属单位上缴收入0万元，占0%；其他收入0万元，占0%。</w:t>
      </w:r>
    </w:p>
    <w:p w14:paraId="05C5D34E">
      <w:pPr>
        <w:pStyle w:val="24"/>
        <w:numPr>
          <w:ilvl w:val="0"/>
          <w:numId w:val="1"/>
        </w:numPr>
        <w:spacing w:line="600" w:lineRule="exact"/>
        <w:ind w:firstLineChars="0"/>
        <w:outlineLvl w:val="1"/>
        <w:rPr>
          <w:rStyle w:val="26"/>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6"/>
          <w:rFonts w:hint="eastAsia" w:ascii="黑体" w:hAnsi="黑体" w:eastAsia="黑体"/>
          <w:b w:val="0"/>
        </w:rPr>
        <w:t>出决算情况说明</w:t>
      </w:r>
      <w:bookmarkEnd w:id="28"/>
      <w:bookmarkEnd w:id="29"/>
    </w:p>
    <w:p w14:paraId="184BF4A1">
      <w:pPr>
        <w:spacing w:line="600" w:lineRule="exact"/>
        <w:ind w:firstLine="640" w:firstLineChars="200"/>
        <w:outlineLvl w:val="1"/>
        <w:rPr>
          <w:rFonts w:ascii="仿宋_GB2312" w:hAnsi="仿宋" w:eastAsia="仿宋_GB2312"/>
          <w:color w:val="000000"/>
          <w:sz w:val="32"/>
          <w:szCs w:val="32"/>
        </w:rPr>
      </w:pPr>
      <w:r>
        <w:rPr>
          <w:rFonts w:hint="eastAsia" w:ascii="仿宋_GB2312" w:hAnsi="仿宋" w:eastAsia="仿宋_GB2312"/>
          <w:color w:val="000000"/>
          <w:sz w:val="32"/>
          <w:szCs w:val="32"/>
        </w:rPr>
        <w:t>2019年本年支出合计836.85万元，其中：基本支出559.46万元，占66.85%；项目支出277.39万元，占33.15%；上缴上级支出0万元，占0%；经营支出0万元，占0%；对附属单位补助支出0万元，占0%。</w:t>
      </w:r>
    </w:p>
    <w:p w14:paraId="4B12AFAD">
      <w:pPr>
        <w:spacing w:line="600" w:lineRule="exact"/>
        <w:ind w:firstLine="640" w:firstLineChars="200"/>
        <w:outlineLvl w:val="1"/>
        <w:rPr>
          <w:rStyle w:val="26"/>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0"/>
      <w:bookmarkEnd w:id="31"/>
    </w:p>
    <w:p w14:paraId="268ED729">
      <w:pPr>
        <w:spacing w:line="60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2019年财政拨款收、支总计</w:t>
      </w:r>
      <w:r>
        <w:rPr>
          <w:rFonts w:hint="eastAsia" w:ascii="仿宋_GB2312" w:hAnsi="仿宋" w:eastAsia="仿宋_GB2312"/>
          <w:color w:val="000000" w:themeColor="text1"/>
          <w:sz w:val="32"/>
          <w:szCs w:val="32"/>
          <w14:textFill>
            <w14:solidFill>
              <w14:schemeClr w14:val="tx1"/>
            </w14:solidFill>
          </w14:textFill>
        </w:rPr>
        <w:t>725.35</w:t>
      </w:r>
      <w:r>
        <w:rPr>
          <w:rFonts w:hint="eastAsia" w:ascii="仿宋_GB2312" w:hAnsi="仿宋" w:eastAsia="仿宋_GB2312"/>
          <w:color w:val="000000"/>
          <w:sz w:val="32"/>
          <w:szCs w:val="32"/>
        </w:rPr>
        <w:t>万元。与2018年相比，财政拨款收、支总计各增加减少111.28万元，下降13.3%。主要变动原因是项目支出与上年同期相比减少，</w:t>
      </w:r>
    </w:p>
    <w:p w14:paraId="3D5EFA4C">
      <w:pPr>
        <w:spacing w:line="600" w:lineRule="exact"/>
        <w:rPr>
          <w:rFonts w:ascii="仿宋_GB2312" w:hAnsi="仿宋" w:eastAsia="仿宋_GB2312"/>
          <w:b/>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人员变动等因素。</w:t>
      </w:r>
    </w:p>
    <w:p w14:paraId="5255A94F">
      <w:pPr>
        <w:spacing w:line="600" w:lineRule="exact"/>
        <w:ind w:firstLine="640" w:firstLineChars="200"/>
        <w:outlineLvl w:val="1"/>
        <w:rPr>
          <w:rStyle w:val="26"/>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14:paraId="62DA5CF2">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14:paraId="744404DF">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2019年一般公共预算财政拨款支出836.85万元，占本年支出合计的100%。与2018年相比，一般公共预算财政拨款增加/减少140.87万元，下降14.4%。主要变动原因是项目支出与上年同期相比减少。</w:t>
      </w:r>
    </w:p>
    <w:p w14:paraId="38BBD6FE">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14:paraId="27895BAD">
      <w:pPr>
        <w:spacing w:line="60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sz w:val="32"/>
          <w:szCs w:val="32"/>
        </w:rPr>
        <w:t>2019年一般公共预算财</w:t>
      </w:r>
      <w:r>
        <w:rPr>
          <w:rFonts w:hint="eastAsia" w:ascii="仿宋_GB2312" w:hAnsi="仿宋" w:eastAsia="仿宋_GB2312"/>
          <w:color w:val="000000" w:themeColor="text1"/>
          <w:sz w:val="32"/>
          <w:szCs w:val="32"/>
          <w14:textFill>
            <w14:solidFill>
              <w14:schemeClr w14:val="tx1"/>
            </w14:solidFill>
          </w14:textFill>
        </w:rPr>
        <w:t>政拨款支出836.85万元，主要用于以下方面:</w:t>
      </w:r>
      <w:r>
        <w:rPr>
          <w:rFonts w:hint="eastAsia" w:ascii="仿宋_GB2312" w:hAnsi="仿宋" w:eastAsia="仿宋_GB2312"/>
          <w:b/>
          <w:color w:val="000000" w:themeColor="text1"/>
          <w:sz w:val="32"/>
          <w:szCs w:val="32"/>
          <w14:textFill>
            <w14:solidFill>
              <w14:schemeClr w14:val="tx1"/>
            </w14:solidFill>
          </w14:textFill>
        </w:rPr>
        <w:t>一般公共服务（类）</w:t>
      </w:r>
      <w:r>
        <w:rPr>
          <w:rFonts w:hint="eastAsia" w:ascii="仿宋_GB2312" w:hAnsi="仿宋" w:eastAsia="仿宋_GB2312"/>
          <w:color w:val="000000" w:themeColor="text1"/>
          <w:sz w:val="32"/>
          <w:szCs w:val="32"/>
          <w14:textFill>
            <w14:solidFill>
              <w14:schemeClr w14:val="tx1"/>
            </w14:solidFill>
          </w14:textFill>
        </w:rPr>
        <w:t>支出181.34万元，占21.67%；</w:t>
      </w:r>
      <w:r>
        <w:rPr>
          <w:rFonts w:hint="eastAsia" w:ascii="仿宋_GB2312" w:hAnsi="仿宋" w:eastAsia="仿宋_GB2312"/>
          <w:b/>
          <w:color w:val="000000" w:themeColor="text1"/>
          <w:sz w:val="32"/>
          <w:szCs w:val="32"/>
          <w14:textFill>
            <w14:solidFill>
              <w14:schemeClr w14:val="tx1"/>
            </w14:solidFill>
          </w14:textFill>
        </w:rPr>
        <w:t>教育支出（类）</w:t>
      </w:r>
      <w:r>
        <w:rPr>
          <w:rFonts w:hint="eastAsia" w:ascii="仿宋_GB2312" w:hAnsi="仿宋" w:eastAsia="仿宋_GB2312"/>
          <w:color w:val="000000" w:themeColor="text1"/>
          <w:sz w:val="32"/>
          <w:szCs w:val="32"/>
          <w14:textFill>
            <w14:solidFill>
              <w14:schemeClr w14:val="tx1"/>
            </w14:solidFill>
          </w14:textFill>
        </w:rPr>
        <w:t>0万元，占0%；</w:t>
      </w:r>
      <w:r>
        <w:rPr>
          <w:rFonts w:hint="eastAsia" w:ascii="仿宋_GB2312" w:hAnsi="仿宋" w:eastAsia="仿宋_GB2312"/>
          <w:b/>
          <w:color w:val="000000" w:themeColor="text1"/>
          <w:sz w:val="32"/>
          <w:szCs w:val="32"/>
          <w14:textFill>
            <w14:solidFill>
              <w14:schemeClr w14:val="tx1"/>
            </w14:solidFill>
          </w14:textFill>
        </w:rPr>
        <w:t>科学技术（类）</w:t>
      </w:r>
      <w:r>
        <w:rPr>
          <w:rFonts w:hint="eastAsia" w:ascii="仿宋_GB2312" w:hAnsi="仿宋" w:eastAsia="仿宋_GB2312"/>
          <w:color w:val="000000" w:themeColor="text1"/>
          <w:sz w:val="32"/>
          <w:szCs w:val="32"/>
          <w14:textFill>
            <w14:solidFill>
              <w14:schemeClr w14:val="tx1"/>
            </w14:solidFill>
          </w14:textFill>
        </w:rPr>
        <w:t>支出0万元，占0%；公共安全支出16.9万元，占2.02%；</w:t>
      </w:r>
      <w:r>
        <w:rPr>
          <w:rFonts w:hint="eastAsia" w:ascii="仿宋_GB2312" w:hAnsi="仿宋" w:eastAsia="仿宋_GB2312"/>
          <w:b/>
          <w:bCs/>
          <w:color w:val="000000" w:themeColor="text1"/>
          <w:sz w:val="32"/>
          <w:szCs w:val="32"/>
          <w14:textFill>
            <w14:solidFill>
              <w14:schemeClr w14:val="tx1"/>
            </w14:solidFill>
          </w14:textFill>
        </w:rPr>
        <w:t>文化旅游体育与传媒（类）支出8.39万元，占1%</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b/>
          <w:color w:val="000000" w:themeColor="text1"/>
          <w:sz w:val="32"/>
          <w:szCs w:val="32"/>
          <w14:textFill>
            <w14:solidFill>
              <w14:schemeClr w14:val="tx1"/>
            </w14:solidFill>
          </w14:textFill>
        </w:rPr>
        <w:t>社会保障和就业（类）</w:t>
      </w:r>
      <w:r>
        <w:rPr>
          <w:rFonts w:hint="eastAsia" w:ascii="仿宋_GB2312" w:hAnsi="仿宋" w:eastAsia="仿宋_GB2312"/>
          <w:color w:val="000000" w:themeColor="text1"/>
          <w:sz w:val="32"/>
          <w:szCs w:val="32"/>
          <w14:textFill>
            <w14:solidFill>
              <w14:schemeClr w14:val="tx1"/>
            </w14:solidFill>
          </w14:textFill>
        </w:rPr>
        <w:t>支出42.19万元，占5.04%；</w:t>
      </w:r>
      <w:r>
        <w:rPr>
          <w:rFonts w:hint="eastAsia" w:ascii="仿宋_GB2312" w:hAnsi="仿宋" w:eastAsia="仿宋_GB2312"/>
          <w:b/>
          <w:bCs/>
          <w:color w:val="000000" w:themeColor="text1"/>
          <w:sz w:val="32"/>
          <w:szCs w:val="32"/>
          <w14:textFill>
            <w14:solidFill>
              <w14:schemeClr w14:val="tx1"/>
            </w14:solidFill>
          </w14:textFill>
        </w:rPr>
        <w:t>卫生健康支出</w:t>
      </w:r>
      <w:r>
        <w:rPr>
          <w:rFonts w:hint="eastAsia" w:ascii="仿宋_GB2312" w:hAnsi="仿宋" w:eastAsia="仿宋_GB2312"/>
          <w:color w:val="000000" w:themeColor="text1"/>
          <w:sz w:val="32"/>
          <w:szCs w:val="32"/>
          <w14:textFill>
            <w14:solidFill>
              <w14:schemeClr w14:val="tx1"/>
            </w14:solidFill>
          </w14:textFill>
        </w:rPr>
        <w:t>34.26万元，占4.09%；</w:t>
      </w:r>
      <w:r>
        <w:rPr>
          <w:rFonts w:hint="eastAsia" w:ascii="仿宋_GB2312" w:hAnsi="仿宋" w:eastAsia="仿宋_GB2312" w:cs="仿宋"/>
          <w:bCs/>
          <w:sz w:val="32"/>
          <w:szCs w:val="32"/>
          <w:shd w:val="clear" w:color="auto" w:fill="FFFFFF"/>
        </w:rPr>
        <w:t>农林水支出511.41万元，</w:t>
      </w:r>
      <w:r>
        <w:rPr>
          <w:rFonts w:hint="eastAsia" w:ascii="仿宋_GB2312" w:hAnsi="仿宋" w:eastAsia="仿宋_GB2312"/>
          <w:bCs/>
          <w:sz w:val="32"/>
          <w:szCs w:val="32"/>
        </w:rPr>
        <w:t>占61.11%；交通运输支出20万元，占2.39%</w:t>
      </w:r>
      <w:r>
        <w:rPr>
          <w:rFonts w:hint="eastAsia" w:ascii="仿宋_GB2312" w:hAnsi="仿宋" w:eastAsia="仿宋_GB2312"/>
          <w:color w:val="000000" w:themeColor="text1"/>
          <w:sz w:val="32"/>
          <w:szCs w:val="32"/>
          <w14:textFill>
            <w14:solidFill>
              <w14:schemeClr w14:val="tx1"/>
            </w14:solidFill>
          </w14:textFill>
        </w:rPr>
        <w:t>住房保障支出22.36万元，占2.67%。</w:t>
      </w:r>
    </w:p>
    <w:p w14:paraId="5C8FF4F4">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14:paraId="2DE4AA79">
      <w:pPr>
        <w:spacing w:line="600" w:lineRule="exact"/>
        <w:ind w:firstLine="643" w:firstLineChars="200"/>
        <w:outlineLvl w:val="2"/>
        <w:rPr>
          <w:rFonts w:ascii="仿宋_GB2312" w:hAnsi="仿宋" w:eastAsia="仿宋_GB2312"/>
          <w:color w:val="FF0000"/>
          <w:sz w:val="32"/>
          <w:szCs w:val="32"/>
        </w:rPr>
      </w:pPr>
      <w:bookmarkStart w:id="37" w:name="_Toc15377213"/>
      <w:bookmarkStart w:id="38" w:name="_Toc15378460"/>
      <w:bookmarkStart w:id="39" w:name="_Toc15377444"/>
      <w:r>
        <w:rPr>
          <w:rFonts w:hint="eastAsia" w:ascii="仿宋_GB2312" w:hAnsi="仿宋" w:eastAsia="仿宋_GB2312"/>
          <w:b/>
          <w:color w:val="000000" w:themeColor="text1"/>
          <w:sz w:val="32"/>
          <w:szCs w:val="32"/>
          <w14:textFill>
            <w14:solidFill>
              <w14:schemeClr w14:val="tx1"/>
            </w14:solidFill>
          </w14:textFill>
        </w:rPr>
        <w:t>2019年般公共预算支出决算数为836.85万元</w:t>
      </w:r>
      <w:r>
        <w:rPr>
          <w:rFonts w:hint="eastAsia" w:ascii="仿宋_GB2312" w:hAnsi="仿宋" w:eastAsia="仿宋_GB2312"/>
          <w:color w:val="000000" w:themeColor="text1"/>
          <w:sz w:val="32"/>
          <w:szCs w:val="32"/>
          <w14:textFill>
            <w14:solidFill>
              <w14:schemeClr w14:val="tx1"/>
            </w14:solidFill>
          </w14:textFill>
        </w:rPr>
        <w:t>，</w:t>
      </w:r>
      <w:r>
        <w:rPr>
          <w:rStyle w:val="15"/>
          <w:rFonts w:hint="eastAsia" w:ascii="仿宋_GB2312" w:hAnsi="仿宋" w:eastAsia="仿宋_GB2312"/>
          <w:bCs/>
          <w:color w:val="000000" w:themeColor="text1"/>
          <w:sz w:val="32"/>
          <w:szCs w:val="32"/>
          <w14:textFill>
            <w14:solidFill>
              <w14:schemeClr w14:val="tx1"/>
            </w14:solidFill>
          </w14:textFill>
        </w:rPr>
        <w:t>完成</w:t>
      </w:r>
      <w:r>
        <w:rPr>
          <w:rStyle w:val="15"/>
          <w:rFonts w:hint="eastAsia" w:ascii="仿宋_GB2312" w:hAnsi="仿宋" w:eastAsia="仿宋_GB2312"/>
          <w:bCs/>
          <w:color w:val="000000"/>
          <w:sz w:val="32"/>
          <w:szCs w:val="32"/>
        </w:rPr>
        <w:t>预算100%。其中：</w:t>
      </w:r>
      <w:bookmarkEnd w:id="37"/>
      <w:bookmarkEnd w:id="38"/>
      <w:bookmarkEnd w:id="39"/>
    </w:p>
    <w:p w14:paraId="0712E415">
      <w:pPr>
        <w:spacing w:line="600" w:lineRule="exact"/>
        <w:ind w:firstLine="643" w:firstLineChars="200"/>
        <w:rPr>
          <w:rStyle w:val="15"/>
          <w:rFonts w:ascii="仿宋_GB2312" w:hAnsi="仿宋" w:eastAsia="仿宋_GB2312"/>
          <w:bCs/>
          <w:color w:val="000000"/>
          <w:sz w:val="32"/>
          <w:szCs w:val="32"/>
        </w:rPr>
      </w:pPr>
      <w:r>
        <w:rPr>
          <w:rStyle w:val="15"/>
          <w:rFonts w:hint="eastAsia" w:ascii="仿宋_GB2312" w:hAnsi="仿宋" w:eastAsia="仿宋_GB2312"/>
          <w:bCs/>
          <w:color w:val="000000"/>
          <w:sz w:val="32"/>
          <w:szCs w:val="32"/>
        </w:rPr>
        <w:t>1.一般公共服务</w:t>
      </w:r>
    </w:p>
    <w:p w14:paraId="156DD96F">
      <w:pPr>
        <w:spacing w:line="600" w:lineRule="exact"/>
        <w:ind w:firstLine="643" w:firstLineChars="200"/>
        <w:rPr>
          <w:rStyle w:val="15"/>
          <w:rFonts w:ascii="仿宋_GB2312" w:hAnsi="仿宋" w:eastAsia="仿宋_GB2312"/>
          <w:b w:val="0"/>
          <w:bCs/>
          <w:color w:val="000000"/>
          <w:sz w:val="32"/>
          <w:szCs w:val="32"/>
        </w:rPr>
      </w:pPr>
      <w:r>
        <w:rPr>
          <w:rStyle w:val="15"/>
          <w:rFonts w:hint="eastAsia" w:ascii="仿宋_GB2312" w:hAnsi="仿宋" w:eastAsia="仿宋_GB2312"/>
          <w:bCs/>
          <w:color w:val="000000"/>
          <w:sz w:val="32"/>
          <w:szCs w:val="32"/>
        </w:rPr>
        <w:t>人大事务—行政运行:</w:t>
      </w:r>
      <w:r>
        <w:rPr>
          <w:rStyle w:val="15"/>
          <w:rFonts w:hint="eastAsia" w:ascii="仿宋_GB2312" w:hAnsi="仿宋" w:eastAsia="仿宋_GB2312"/>
          <w:b w:val="0"/>
          <w:bCs/>
          <w:color w:val="000000"/>
          <w:sz w:val="32"/>
          <w:szCs w:val="32"/>
        </w:rPr>
        <w:t xml:space="preserve"> 支出决算为14.62万元，完成预算93.12%、决算数小于预算数的主要原因是人员变动。</w:t>
      </w:r>
    </w:p>
    <w:p w14:paraId="641D213D">
      <w:pPr>
        <w:spacing w:line="600" w:lineRule="exact"/>
        <w:ind w:firstLine="640" w:firstLineChars="200"/>
        <w:rPr>
          <w:rStyle w:val="15"/>
          <w:rFonts w:ascii="仿宋_GB2312" w:hAnsi="仿宋" w:eastAsia="仿宋_GB2312"/>
          <w:b w:val="0"/>
          <w:bCs/>
          <w:color w:val="000000"/>
          <w:sz w:val="32"/>
          <w:szCs w:val="32"/>
        </w:rPr>
      </w:pPr>
    </w:p>
    <w:p w14:paraId="601661DA">
      <w:pPr>
        <w:spacing w:line="600" w:lineRule="exact"/>
        <w:ind w:firstLine="640" w:firstLineChars="200"/>
        <w:rPr>
          <w:rStyle w:val="15"/>
          <w:rFonts w:ascii="仿宋_GB2312" w:hAnsi="仿宋" w:eastAsia="仿宋_GB2312"/>
          <w:b w:val="0"/>
          <w:bCs/>
          <w:color w:val="000000"/>
          <w:sz w:val="32"/>
          <w:szCs w:val="32"/>
        </w:rPr>
      </w:pPr>
      <w:r>
        <w:rPr>
          <w:rStyle w:val="15"/>
          <w:rFonts w:hint="eastAsia" w:ascii="仿宋_GB2312" w:hAnsi="仿宋" w:eastAsia="仿宋_GB2312"/>
          <w:b w:val="0"/>
          <w:bCs/>
          <w:color w:val="000000"/>
          <w:sz w:val="32"/>
          <w:szCs w:val="32"/>
        </w:rPr>
        <w:t>政府办公厅及相关机构事务—行政运行：支出决算为135.73万元，完成预算159.49%、决算数大于预算数的主要原因是人员变动脱贫工作经费支出增加。</w:t>
      </w:r>
    </w:p>
    <w:p w14:paraId="2F91D90E">
      <w:pPr>
        <w:spacing w:line="600" w:lineRule="exact"/>
        <w:ind w:firstLine="640" w:firstLineChars="200"/>
        <w:rPr>
          <w:rStyle w:val="15"/>
          <w:rFonts w:ascii="仿宋_GB2312" w:hAnsi="仿宋" w:eastAsia="仿宋_GB2312"/>
          <w:b w:val="0"/>
          <w:bCs/>
          <w:color w:val="000000"/>
          <w:sz w:val="32"/>
          <w:szCs w:val="32"/>
        </w:rPr>
      </w:pPr>
      <w:r>
        <w:rPr>
          <w:rStyle w:val="15"/>
          <w:rFonts w:hint="eastAsia" w:ascii="仿宋_GB2312" w:hAnsi="仿宋" w:eastAsia="仿宋_GB2312"/>
          <w:b w:val="0"/>
          <w:bCs/>
          <w:color w:val="000000"/>
          <w:sz w:val="32"/>
          <w:szCs w:val="32"/>
        </w:rPr>
        <w:t>财政事务—行政运行：支出决算为11.02万元，完成预算100%。</w:t>
      </w:r>
    </w:p>
    <w:p w14:paraId="64248435">
      <w:pPr>
        <w:spacing w:line="600" w:lineRule="exact"/>
        <w:ind w:firstLine="640" w:firstLineChars="200"/>
        <w:rPr>
          <w:rStyle w:val="15"/>
          <w:rFonts w:ascii="仿宋_GB2312" w:hAnsi="仿宋" w:eastAsia="仿宋_GB2312"/>
          <w:b w:val="0"/>
          <w:bCs/>
          <w:color w:val="000000"/>
          <w:sz w:val="32"/>
          <w:szCs w:val="32"/>
        </w:rPr>
      </w:pPr>
      <w:r>
        <w:rPr>
          <w:rStyle w:val="15"/>
          <w:rFonts w:hint="eastAsia" w:ascii="仿宋_GB2312" w:hAnsi="仿宋" w:eastAsia="仿宋_GB2312"/>
          <w:b w:val="0"/>
          <w:bCs/>
          <w:color w:val="000000"/>
          <w:sz w:val="32"/>
          <w:szCs w:val="32"/>
        </w:rPr>
        <w:t>党委办公厅及相关机构事务—行政运行：支出决算为10.52万元，完成预算84.84%。决算数小于预算数的主要原因是人员变动。</w:t>
      </w:r>
    </w:p>
    <w:p w14:paraId="49F062B0">
      <w:pPr>
        <w:spacing w:line="600" w:lineRule="exact"/>
        <w:ind w:firstLine="643" w:firstLineChars="200"/>
        <w:rPr>
          <w:rStyle w:val="15"/>
          <w:rFonts w:ascii="仿宋_GB2312" w:hAnsi="仿宋" w:eastAsia="仿宋_GB2312"/>
          <w:b w:val="0"/>
          <w:bCs/>
          <w:color w:val="000000"/>
          <w:sz w:val="32"/>
          <w:szCs w:val="32"/>
        </w:rPr>
      </w:pPr>
      <w:r>
        <w:rPr>
          <w:rStyle w:val="15"/>
          <w:rFonts w:hint="eastAsia" w:ascii="仿宋_GB2312" w:hAnsi="仿宋" w:eastAsia="仿宋_GB2312"/>
          <w:bCs/>
          <w:sz w:val="32"/>
          <w:szCs w:val="32"/>
        </w:rPr>
        <w:t>2.</w:t>
      </w:r>
      <w:r>
        <w:rPr>
          <w:rFonts w:hint="eastAsia" w:ascii="仿宋_GB2312" w:hAnsi="仿宋" w:eastAsia="仿宋_GB2312"/>
          <w:bCs/>
          <w:sz w:val="32"/>
          <w:szCs w:val="32"/>
        </w:rPr>
        <w:t>公共安全</w:t>
      </w:r>
      <w:r>
        <w:rPr>
          <w:rStyle w:val="15"/>
          <w:rFonts w:hint="eastAsia" w:ascii="仿宋_GB2312" w:hAnsi="仿宋" w:eastAsia="仿宋_GB2312"/>
          <w:bCs/>
          <w:sz w:val="32"/>
          <w:szCs w:val="32"/>
        </w:rPr>
        <w:t>—其他公安支出：</w:t>
      </w:r>
      <w:r>
        <w:rPr>
          <w:rStyle w:val="15"/>
          <w:rFonts w:hint="eastAsia" w:ascii="仿宋_GB2312" w:hAnsi="仿宋" w:eastAsia="仿宋_GB2312"/>
          <w:b w:val="0"/>
          <w:bCs/>
          <w:color w:val="000000"/>
          <w:sz w:val="32"/>
          <w:szCs w:val="32"/>
        </w:rPr>
        <w:t>支出决算为8.5万元，完成预算100%。</w:t>
      </w:r>
    </w:p>
    <w:p w14:paraId="1BF641EA">
      <w:pPr>
        <w:spacing w:line="600" w:lineRule="exact"/>
        <w:ind w:firstLine="640" w:firstLineChars="200"/>
        <w:rPr>
          <w:rStyle w:val="15"/>
          <w:rFonts w:ascii="仿宋_GB2312" w:hAnsi="仿宋" w:eastAsia="仿宋_GB2312"/>
          <w:b w:val="0"/>
          <w:bCs/>
          <w:color w:val="000000"/>
          <w:sz w:val="32"/>
          <w:szCs w:val="32"/>
        </w:rPr>
      </w:pPr>
      <w:r>
        <w:rPr>
          <w:rFonts w:hint="eastAsia" w:ascii="仿宋_GB2312" w:hAnsi="仿宋" w:eastAsia="仿宋_GB2312"/>
          <w:bCs/>
          <w:sz w:val="32"/>
          <w:szCs w:val="32"/>
        </w:rPr>
        <w:t>公共安全</w:t>
      </w:r>
      <w:r>
        <w:rPr>
          <w:rStyle w:val="15"/>
          <w:rFonts w:hint="eastAsia" w:ascii="仿宋_GB2312" w:hAnsi="仿宋" w:eastAsia="仿宋_GB2312"/>
          <w:bCs/>
          <w:sz w:val="32"/>
          <w:szCs w:val="32"/>
        </w:rPr>
        <w:t>—其他国家安全支出：</w:t>
      </w:r>
      <w:r>
        <w:rPr>
          <w:rStyle w:val="15"/>
          <w:rFonts w:hint="eastAsia" w:ascii="仿宋_GB2312" w:hAnsi="仿宋" w:eastAsia="仿宋_GB2312"/>
          <w:b w:val="0"/>
          <w:bCs/>
          <w:color w:val="000000"/>
          <w:sz w:val="32"/>
          <w:szCs w:val="32"/>
        </w:rPr>
        <w:t>支出决算为8.4万元，完成预算100%。</w:t>
      </w:r>
    </w:p>
    <w:p w14:paraId="77904624">
      <w:pPr>
        <w:spacing w:line="600" w:lineRule="exact"/>
        <w:rPr>
          <w:rFonts w:ascii="仿宋_GB2312" w:hAnsi="仿宋" w:eastAsia="仿宋_GB2312"/>
          <w:b/>
          <w:color w:val="000000"/>
          <w:sz w:val="32"/>
          <w:szCs w:val="32"/>
        </w:rPr>
      </w:pPr>
      <w:r>
        <w:rPr>
          <w:rFonts w:hint="eastAsia" w:ascii="仿宋_GB2312" w:hAnsi="仿宋" w:eastAsia="仿宋_GB2312"/>
          <w:bCs/>
          <w:color w:val="000000"/>
          <w:sz w:val="32"/>
          <w:szCs w:val="32"/>
        </w:rPr>
        <w:t xml:space="preserve">    </w:t>
      </w:r>
      <w:r>
        <w:rPr>
          <w:rStyle w:val="15"/>
          <w:rFonts w:hint="eastAsia" w:ascii="仿宋_GB2312" w:hAnsi="仿宋" w:eastAsia="仿宋_GB2312"/>
          <w:bCs/>
          <w:color w:val="000000"/>
          <w:sz w:val="32"/>
          <w:szCs w:val="32"/>
        </w:rPr>
        <w:t>3.文化旅游体育与传媒—群众文化:</w:t>
      </w:r>
      <w:r>
        <w:rPr>
          <w:rStyle w:val="15"/>
          <w:rFonts w:hint="eastAsia" w:ascii="仿宋_GB2312" w:hAnsi="仿宋" w:eastAsia="仿宋_GB2312"/>
          <w:b w:val="0"/>
          <w:bCs/>
          <w:color w:val="000000"/>
          <w:sz w:val="32"/>
          <w:szCs w:val="32"/>
        </w:rPr>
        <w:t xml:space="preserve"> 支出决算为8.39万元，完成预算100%。</w:t>
      </w:r>
    </w:p>
    <w:p w14:paraId="5EC2CAE3">
      <w:pPr>
        <w:spacing w:line="600" w:lineRule="exact"/>
        <w:ind w:firstLine="643" w:firstLineChars="200"/>
        <w:rPr>
          <w:rStyle w:val="15"/>
          <w:rFonts w:ascii="仿宋_GB2312" w:hAnsi="仿宋" w:eastAsia="仿宋_GB2312"/>
          <w:b w:val="0"/>
          <w:bCs/>
          <w:color w:val="000000"/>
          <w:sz w:val="32"/>
          <w:szCs w:val="32"/>
        </w:rPr>
      </w:pPr>
      <w:r>
        <w:rPr>
          <w:rStyle w:val="15"/>
          <w:rFonts w:hint="eastAsia" w:ascii="仿宋_GB2312" w:hAnsi="仿宋" w:eastAsia="仿宋_GB2312"/>
          <w:bCs/>
          <w:color w:val="000000"/>
          <w:sz w:val="32"/>
          <w:szCs w:val="32"/>
        </w:rPr>
        <w:t>4.社会保障和就业—行政运行:</w:t>
      </w:r>
      <w:r>
        <w:rPr>
          <w:rStyle w:val="15"/>
          <w:rFonts w:hint="eastAsia" w:ascii="仿宋_GB2312" w:hAnsi="仿宋" w:eastAsia="仿宋_GB2312"/>
          <w:b w:val="0"/>
          <w:bCs/>
          <w:color w:val="000000"/>
          <w:sz w:val="32"/>
          <w:szCs w:val="32"/>
        </w:rPr>
        <w:t xml:space="preserve"> 支出决算为8.01万元，完成预算100%。</w:t>
      </w:r>
    </w:p>
    <w:p w14:paraId="71DE94B0">
      <w:pPr>
        <w:spacing w:line="600" w:lineRule="exact"/>
        <w:ind w:firstLine="643" w:firstLineChars="200"/>
        <w:rPr>
          <w:rFonts w:ascii="仿宋_GB2312" w:hAnsi="仿宋" w:eastAsia="仿宋_GB2312"/>
          <w:b/>
          <w:color w:val="000000"/>
          <w:sz w:val="32"/>
          <w:szCs w:val="32"/>
        </w:rPr>
      </w:pPr>
      <w:r>
        <w:rPr>
          <w:rStyle w:val="15"/>
          <w:rFonts w:hint="eastAsia" w:ascii="仿宋_GB2312" w:hAnsi="仿宋" w:eastAsia="仿宋_GB2312"/>
          <w:bCs/>
          <w:color w:val="000000"/>
          <w:sz w:val="32"/>
          <w:szCs w:val="32"/>
        </w:rPr>
        <w:t>社会保障和就业—机关事业单位基本养老保险缴费支出:</w:t>
      </w:r>
      <w:r>
        <w:rPr>
          <w:rStyle w:val="15"/>
          <w:rFonts w:hint="eastAsia" w:ascii="仿宋_GB2312" w:hAnsi="仿宋" w:eastAsia="仿宋_GB2312"/>
          <w:b w:val="0"/>
          <w:bCs/>
          <w:color w:val="000000"/>
          <w:sz w:val="32"/>
          <w:szCs w:val="32"/>
        </w:rPr>
        <w:t xml:space="preserve"> 支出决算为34.18万元，完成预算100%。</w:t>
      </w:r>
    </w:p>
    <w:p w14:paraId="00ECCFE5">
      <w:pPr>
        <w:spacing w:line="600" w:lineRule="exact"/>
        <w:ind w:firstLine="643" w:firstLineChars="200"/>
        <w:rPr>
          <w:rStyle w:val="15"/>
          <w:rFonts w:ascii="仿宋_GB2312" w:hAnsi="仿宋" w:eastAsia="仿宋_GB2312"/>
          <w:b w:val="0"/>
          <w:bCs/>
          <w:color w:val="000000"/>
          <w:sz w:val="32"/>
          <w:szCs w:val="32"/>
        </w:rPr>
      </w:pPr>
      <w:r>
        <w:rPr>
          <w:rStyle w:val="15"/>
          <w:rFonts w:hint="eastAsia" w:ascii="仿宋_GB2312" w:hAnsi="仿宋" w:eastAsia="仿宋_GB2312"/>
          <w:bCs/>
          <w:color w:val="000000"/>
          <w:sz w:val="32"/>
          <w:szCs w:val="32"/>
        </w:rPr>
        <w:t>6.</w:t>
      </w:r>
      <w:r>
        <w:rPr>
          <w:rFonts w:hint="eastAsia" w:ascii="仿宋_GB2312" w:hAnsi="仿宋" w:eastAsia="仿宋_GB2312"/>
          <w:b/>
          <w:bCs/>
          <w:color w:val="000000" w:themeColor="text1"/>
          <w:sz w:val="32"/>
          <w:szCs w:val="32"/>
          <w14:textFill>
            <w14:solidFill>
              <w14:schemeClr w14:val="tx1"/>
            </w14:solidFill>
          </w14:textFill>
        </w:rPr>
        <w:t>卫生健康</w:t>
      </w:r>
      <w:r>
        <w:rPr>
          <w:rStyle w:val="15"/>
          <w:rFonts w:hint="eastAsia" w:ascii="仿宋_GB2312" w:hAnsi="仿宋" w:eastAsia="仿宋_GB2312"/>
          <w:bCs/>
          <w:color w:val="000000"/>
          <w:sz w:val="32"/>
          <w:szCs w:val="32"/>
        </w:rPr>
        <w:t>—行政运行:</w:t>
      </w:r>
      <w:r>
        <w:rPr>
          <w:rStyle w:val="15"/>
          <w:rFonts w:hint="eastAsia" w:ascii="仿宋_GB2312" w:hAnsi="仿宋" w:eastAsia="仿宋_GB2312"/>
          <w:b w:val="0"/>
          <w:bCs/>
          <w:color w:val="000000"/>
          <w:sz w:val="32"/>
          <w:szCs w:val="32"/>
        </w:rPr>
        <w:t>支出决算为8.99万元，完成预算100%。</w:t>
      </w:r>
    </w:p>
    <w:p w14:paraId="458B820C">
      <w:pPr>
        <w:spacing w:line="600" w:lineRule="exact"/>
        <w:ind w:firstLine="643" w:firstLineChars="200"/>
        <w:rPr>
          <w:rFonts w:ascii="仿宋_GB2312" w:hAnsi="仿宋" w:eastAsia="仿宋_GB2312"/>
          <w:b/>
          <w:color w:val="000000"/>
          <w:sz w:val="32"/>
          <w:szCs w:val="32"/>
        </w:rPr>
      </w:pPr>
      <w:r>
        <w:rPr>
          <w:rFonts w:hint="eastAsia" w:ascii="仿宋_GB2312" w:hAnsi="仿宋" w:eastAsia="仿宋_GB2312"/>
          <w:b/>
          <w:bCs/>
          <w:color w:val="000000" w:themeColor="text1"/>
          <w:sz w:val="32"/>
          <w:szCs w:val="32"/>
          <w14:textFill>
            <w14:solidFill>
              <w14:schemeClr w14:val="tx1"/>
            </w14:solidFill>
          </w14:textFill>
        </w:rPr>
        <w:t>卫生健康</w:t>
      </w:r>
      <w:r>
        <w:rPr>
          <w:rStyle w:val="15"/>
          <w:rFonts w:hint="eastAsia" w:ascii="仿宋_GB2312" w:hAnsi="仿宋" w:eastAsia="仿宋_GB2312"/>
          <w:bCs/>
          <w:color w:val="000000"/>
          <w:sz w:val="32"/>
          <w:szCs w:val="32"/>
        </w:rPr>
        <w:t>—行政单位医疗:</w:t>
      </w:r>
      <w:r>
        <w:rPr>
          <w:rStyle w:val="15"/>
          <w:rFonts w:hint="eastAsia" w:ascii="仿宋_GB2312" w:hAnsi="仿宋" w:eastAsia="仿宋_GB2312"/>
          <w:b w:val="0"/>
          <w:bCs/>
          <w:color w:val="000000"/>
          <w:sz w:val="32"/>
          <w:szCs w:val="32"/>
        </w:rPr>
        <w:t>支出决算为25.27万元，完成预算100%。</w:t>
      </w:r>
    </w:p>
    <w:p w14:paraId="4595A099">
      <w:pPr>
        <w:spacing w:line="600" w:lineRule="exact"/>
        <w:ind w:firstLine="440" w:firstLineChars="200"/>
        <w:rPr>
          <w:rFonts w:ascii="仿宋_GB2312" w:hAnsi="仿宋" w:eastAsia="仿宋_GB2312"/>
          <w:b/>
          <w:color w:val="000000"/>
          <w:sz w:val="32"/>
          <w:szCs w:val="32"/>
        </w:rPr>
      </w:pPr>
      <w:r>
        <w:rPr>
          <w:rFonts w:hint="eastAsia" w:ascii="仿宋_GB2312" w:hAnsi="宋体" w:eastAsia="仿宋_GB2312" w:cs="Arial"/>
          <w:color w:val="000000"/>
          <w:kern w:val="0"/>
          <w:sz w:val="22"/>
          <w:szCs w:val="22"/>
        </w:rPr>
        <w:t xml:space="preserve">  </w:t>
      </w:r>
      <w:r>
        <w:rPr>
          <w:rStyle w:val="15"/>
          <w:rFonts w:hint="eastAsia" w:ascii="仿宋_GB2312" w:hAnsi="仿宋" w:eastAsia="仿宋_GB2312"/>
          <w:bCs/>
          <w:color w:val="000000"/>
          <w:sz w:val="32"/>
          <w:szCs w:val="32"/>
        </w:rPr>
        <w:t>7.农林水支出—农业—行政运行：</w:t>
      </w:r>
      <w:r>
        <w:rPr>
          <w:rStyle w:val="15"/>
          <w:rFonts w:hint="eastAsia" w:ascii="仿宋_GB2312" w:hAnsi="仿宋" w:eastAsia="仿宋_GB2312"/>
          <w:b w:val="0"/>
          <w:bCs/>
          <w:color w:val="000000"/>
          <w:sz w:val="32"/>
          <w:szCs w:val="32"/>
        </w:rPr>
        <w:t>支出决算为33.87万元，完成预算100%。</w:t>
      </w:r>
    </w:p>
    <w:p w14:paraId="3831D826">
      <w:pPr>
        <w:rPr>
          <w:rFonts w:ascii="仿宋_GB2312" w:hAnsi="宋体" w:eastAsia="仿宋_GB2312" w:cs="Arial"/>
          <w:color w:val="000000"/>
          <w:kern w:val="0"/>
          <w:sz w:val="22"/>
          <w:szCs w:val="22"/>
        </w:rPr>
      </w:pPr>
      <w:r>
        <w:rPr>
          <w:rStyle w:val="15"/>
          <w:rFonts w:hint="eastAsia" w:ascii="仿宋_GB2312" w:hAnsi="仿宋" w:eastAsia="仿宋_GB2312"/>
          <w:bCs/>
          <w:color w:val="000000"/>
          <w:sz w:val="32"/>
          <w:szCs w:val="32"/>
        </w:rPr>
        <w:t xml:space="preserve">     农林水支出—农业—事业运行：</w:t>
      </w:r>
      <w:r>
        <w:rPr>
          <w:rStyle w:val="15"/>
          <w:rFonts w:hint="eastAsia" w:ascii="仿宋_GB2312" w:hAnsi="仿宋" w:eastAsia="仿宋_GB2312"/>
          <w:b w:val="0"/>
          <w:bCs/>
          <w:color w:val="000000"/>
          <w:sz w:val="32"/>
          <w:szCs w:val="32"/>
        </w:rPr>
        <w:t>支出决算为25.74万元，完成预算100%。</w:t>
      </w:r>
    </w:p>
    <w:p w14:paraId="566404C7">
      <w:pPr>
        <w:spacing w:line="600" w:lineRule="exact"/>
        <w:ind w:firstLine="643" w:firstLineChars="200"/>
        <w:rPr>
          <w:rStyle w:val="15"/>
          <w:rFonts w:ascii="仿宋_GB2312" w:hAnsi="仿宋" w:eastAsia="仿宋_GB2312"/>
          <w:b w:val="0"/>
          <w:bCs/>
          <w:color w:val="000000"/>
          <w:sz w:val="32"/>
          <w:szCs w:val="32"/>
        </w:rPr>
      </w:pPr>
      <w:r>
        <w:rPr>
          <w:rStyle w:val="15"/>
          <w:rFonts w:hint="eastAsia" w:ascii="仿宋_GB2312" w:hAnsi="仿宋" w:eastAsia="仿宋_GB2312"/>
          <w:bCs/>
          <w:color w:val="000000"/>
          <w:sz w:val="32"/>
          <w:szCs w:val="32"/>
        </w:rPr>
        <w:t>农林水支出—农业—农业结构调整补助：</w:t>
      </w:r>
      <w:r>
        <w:rPr>
          <w:rStyle w:val="15"/>
          <w:rFonts w:hint="eastAsia" w:ascii="仿宋_GB2312" w:hAnsi="仿宋" w:eastAsia="仿宋_GB2312"/>
          <w:b w:val="0"/>
          <w:bCs/>
          <w:color w:val="000000"/>
          <w:sz w:val="32"/>
          <w:szCs w:val="32"/>
        </w:rPr>
        <w:t>支出决算为89.76万元，完成预算100%。</w:t>
      </w:r>
    </w:p>
    <w:p w14:paraId="3FDF8A3B">
      <w:pPr>
        <w:spacing w:line="600" w:lineRule="exact"/>
        <w:ind w:firstLine="643" w:firstLineChars="200"/>
        <w:rPr>
          <w:rFonts w:ascii="仿宋_GB2312" w:hAnsi="仿宋" w:eastAsia="仿宋_GB2312"/>
          <w:color w:val="000000"/>
          <w:sz w:val="32"/>
          <w:szCs w:val="32"/>
        </w:rPr>
      </w:pPr>
      <w:r>
        <w:rPr>
          <w:rStyle w:val="15"/>
          <w:rFonts w:hint="eastAsia" w:ascii="仿宋_GB2312" w:hAnsi="仿宋" w:eastAsia="仿宋_GB2312"/>
          <w:bCs/>
          <w:color w:val="000000"/>
          <w:sz w:val="32"/>
          <w:szCs w:val="32"/>
        </w:rPr>
        <w:t>农林水支出—农业—农村道路建设：</w:t>
      </w:r>
      <w:r>
        <w:rPr>
          <w:rStyle w:val="15"/>
          <w:rFonts w:hint="eastAsia" w:ascii="仿宋_GB2312" w:hAnsi="仿宋" w:eastAsia="仿宋_GB2312"/>
          <w:b w:val="0"/>
          <w:bCs/>
          <w:color w:val="000000"/>
          <w:sz w:val="32"/>
          <w:szCs w:val="32"/>
        </w:rPr>
        <w:t>支出决算为1.39万元，完成预算100%。</w:t>
      </w:r>
    </w:p>
    <w:p w14:paraId="6D41195C">
      <w:pPr>
        <w:spacing w:line="600" w:lineRule="exact"/>
        <w:ind w:firstLine="643" w:firstLineChars="200"/>
        <w:rPr>
          <w:rFonts w:ascii="仿宋_GB2312" w:hAnsi="仿宋" w:eastAsia="仿宋_GB2312"/>
          <w:color w:val="000000"/>
          <w:sz w:val="32"/>
          <w:szCs w:val="32"/>
        </w:rPr>
      </w:pPr>
      <w:r>
        <w:rPr>
          <w:rStyle w:val="15"/>
          <w:rFonts w:hint="eastAsia" w:ascii="仿宋_GB2312" w:hAnsi="仿宋" w:eastAsia="仿宋_GB2312"/>
          <w:bCs/>
          <w:color w:val="000000"/>
          <w:sz w:val="32"/>
          <w:szCs w:val="32"/>
        </w:rPr>
        <w:t>农林水支出—农业—对高校毕业到基层任职补助：</w:t>
      </w:r>
      <w:r>
        <w:rPr>
          <w:rStyle w:val="15"/>
          <w:rFonts w:hint="eastAsia" w:ascii="仿宋_GB2312" w:hAnsi="仿宋" w:eastAsia="仿宋_GB2312"/>
          <w:b w:val="0"/>
          <w:bCs/>
          <w:color w:val="000000"/>
          <w:sz w:val="32"/>
          <w:szCs w:val="32"/>
        </w:rPr>
        <w:t>支出决算为0.6万元，完成预算0.2%，决算数小于预算数的主要原因是人员变动减少。</w:t>
      </w:r>
    </w:p>
    <w:p w14:paraId="4B88941A">
      <w:pPr>
        <w:spacing w:line="600" w:lineRule="exact"/>
        <w:ind w:firstLine="643" w:firstLineChars="200"/>
        <w:rPr>
          <w:rStyle w:val="15"/>
          <w:rFonts w:ascii="仿宋_GB2312" w:hAnsi="仿宋" w:eastAsia="仿宋_GB2312"/>
          <w:b w:val="0"/>
          <w:bCs/>
          <w:color w:val="000000"/>
          <w:sz w:val="32"/>
          <w:szCs w:val="32"/>
        </w:rPr>
      </w:pPr>
      <w:r>
        <w:rPr>
          <w:rStyle w:val="15"/>
          <w:rFonts w:hint="eastAsia" w:ascii="仿宋_GB2312" w:hAnsi="仿宋" w:eastAsia="仿宋_GB2312"/>
          <w:bCs/>
          <w:color w:val="000000"/>
          <w:sz w:val="32"/>
          <w:szCs w:val="32"/>
        </w:rPr>
        <w:t>农林水支出—林业和草原—行政运行：</w:t>
      </w:r>
      <w:r>
        <w:rPr>
          <w:rStyle w:val="15"/>
          <w:rFonts w:hint="eastAsia" w:ascii="仿宋_GB2312" w:hAnsi="仿宋" w:eastAsia="仿宋_GB2312"/>
          <w:b w:val="0"/>
          <w:bCs/>
          <w:color w:val="000000"/>
          <w:sz w:val="32"/>
          <w:szCs w:val="32"/>
        </w:rPr>
        <w:t>支出决算为10.9万元，完成预算100%。</w:t>
      </w:r>
    </w:p>
    <w:p w14:paraId="526503B4">
      <w:pPr>
        <w:spacing w:line="600" w:lineRule="exact"/>
        <w:ind w:firstLine="643" w:firstLineChars="200"/>
        <w:rPr>
          <w:rFonts w:ascii="仿宋_GB2312" w:hAnsi="仿宋" w:eastAsia="仿宋_GB2312"/>
          <w:color w:val="000000"/>
          <w:sz w:val="32"/>
          <w:szCs w:val="32"/>
        </w:rPr>
      </w:pPr>
      <w:r>
        <w:rPr>
          <w:rStyle w:val="15"/>
          <w:rFonts w:hint="eastAsia" w:ascii="仿宋_GB2312" w:hAnsi="仿宋" w:eastAsia="仿宋_GB2312"/>
          <w:bCs/>
          <w:color w:val="000000"/>
          <w:sz w:val="32"/>
          <w:szCs w:val="32"/>
        </w:rPr>
        <w:t>农林水支出—扶贫—其他扶贫支出：</w:t>
      </w:r>
      <w:r>
        <w:rPr>
          <w:rStyle w:val="15"/>
          <w:rFonts w:hint="eastAsia" w:ascii="仿宋_GB2312" w:hAnsi="仿宋" w:eastAsia="仿宋_GB2312"/>
          <w:b w:val="0"/>
          <w:bCs/>
          <w:color w:val="000000"/>
          <w:sz w:val="32"/>
          <w:szCs w:val="32"/>
        </w:rPr>
        <w:t>支出决算为23.2万元，完成预算100%。</w:t>
      </w:r>
    </w:p>
    <w:p w14:paraId="54BD40F6">
      <w:pPr>
        <w:spacing w:line="600" w:lineRule="exact"/>
        <w:ind w:firstLine="643" w:firstLineChars="200"/>
        <w:rPr>
          <w:rFonts w:ascii="仿宋_GB2312" w:hAnsi="仿宋" w:eastAsia="仿宋_GB2312"/>
          <w:color w:val="000000"/>
          <w:sz w:val="32"/>
          <w:szCs w:val="32"/>
        </w:rPr>
      </w:pPr>
      <w:r>
        <w:rPr>
          <w:rStyle w:val="15"/>
          <w:rFonts w:hint="eastAsia" w:ascii="仿宋_GB2312" w:hAnsi="仿宋" w:eastAsia="仿宋_GB2312"/>
          <w:bCs/>
          <w:color w:val="000000"/>
          <w:sz w:val="32"/>
          <w:szCs w:val="32"/>
        </w:rPr>
        <w:t>农林水支出—农村综合改革—对村民委员会和党支部的补助：</w:t>
      </w:r>
      <w:r>
        <w:rPr>
          <w:rStyle w:val="15"/>
          <w:rFonts w:hint="eastAsia" w:ascii="仿宋_GB2312" w:hAnsi="仿宋" w:eastAsia="仿宋_GB2312"/>
          <w:b w:val="0"/>
          <w:bCs/>
          <w:color w:val="000000"/>
          <w:sz w:val="32"/>
          <w:szCs w:val="32"/>
        </w:rPr>
        <w:t>支出决算为326.17万元，完成预算100%。</w:t>
      </w:r>
    </w:p>
    <w:p w14:paraId="03BAB2F2">
      <w:pPr>
        <w:spacing w:line="600" w:lineRule="exact"/>
        <w:ind w:firstLine="643" w:firstLineChars="200"/>
        <w:rPr>
          <w:rFonts w:ascii="仿宋_GB2312" w:hAnsi="仿宋" w:eastAsia="仿宋_GB2312"/>
          <w:color w:val="000000"/>
          <w:sz w:val="32"/>
          <w:szCs w:val="32"/>
        </w:rPr>
      </w:pPr>
      <w:r>
        <w:rPr>
          <w:rStyle w:val="15"/>
          <w:rFonts w:hint="eastAsia" w:ascii="仿宋_GB2312" w:hAnsi="仿宋" w:eastAsia="仿宋_GB2312"/>
          <w:bCs/>
          <w:color w:val="000000"/>
          <w:sz w:val="32"/>
          <w:szCs w:val="32"/>
        </w:rPr>
        <w:t>8.交通运输支出—其他公路水路运输支出：</w:t>
      </w:r>
      <w:r>
        <w:rPr>
          <w:rStyle w:val="15"/>
          <w:rFonts w:hint="eastAsia" w:ascii="仿宋_GB2312" w:hAnsi="仿宋" w:eastAsia="仿宋_GB2312"/>
          <w:b w:val="0"/>
          <w:bCs/>
          <w:color w:val="000000"/>
          <w:sz w:val="32"/>
          <w:szCs w:val="32"/>
        </w:rPr>
        <w:t>支出决算为20万元，完成预算100%。</w:t>
      </w:r>
    </w:p>
    <w:p w14:paraId="0A5B2A96">
      <w:pPr>
        <w:spacing w:line="600" w:lineRule="exact"/>
        <w:ind w:firstLine="643" w:firstLineChars="200"/>
        <w:rPr>
          <w:rFonts w:ascii="仿宋_GB2312" w:hAnsi="仿宋" w:eastAsia="仿宋_GB2312"/>
          <w:color w:val="000000"/>
          <w:sz w:val="32"/>
          <w:szCs w:val="32"/>
        </w:rPr>
      </w:pPr>
      <w:r>
        <w:rPr>
          <w:rStyle w:val="15"/>
          <w:rFonts w:hint="eastAsia" w:ascii="仿宋_GB2312" w:hAnsi="仿宋" w:eastAsia="仿宋_GB2312"/>
          <w:bCs/>
          <w:color w:val="000000"/>
          <w:sz w:val="32"/>
          <w:szCs w:val="32"/>
        </w:rPr>
        <w:t>9.住房保障支出—住房公积金：</w:t>
      </w:r>
      <w:r>
        <w:rPr>
          <w:rStyle w:val="15"/>
          <w:rFonts w:hint="eastAsia" w:ascii="仿宋_GB2312" w:hAnsi="仿宋" w:eastAsia="仿宋_GB2312"/>
          <w:b w:val="0"/>
          <w:bCs/>
          <w:color w:val="000000"/>
          <w:sz w:val="32"/>
          <w:szCs w:val="32"/>
        </w:rPr>
        <w:t>支出决算为22.36万元，完成预算100%。</w:t>
      </w:r>
    </w:p>
    <w:p w14:paraId="4722CEB0">
      <w:pPr>
        <w:tabs>
          <w:tab w:val="right" w:pos="8306"/>
        </w:tabs>
        <w:spacing w:line="600" w:lineRule="exact"/>
        <w:ind w:firstLine="640"/>
        <w:outlineLvl w:val="1"/>
        <w:rPr>
          <w:rStyle w:val="26"/>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14:paraId="6CBC08AB">
      <w:pPr>
        <w:spacing w:line="600" w:lineRule="exact"/>
        <w:ind w:firstLine="645"/>
        <w:rPr>
          <w:rFonts w:ascii="仿宋_GB2312" w:hAnsi="仿宋" w:eastAsia="仿宋_GB2312"/>
          <w:color w:val="000000"/>
          <w:sz w:val="32"/>
          <w:szCs w:val="32"/>
        </w:rPr>
      </w:pPr>
      <w:r>
        <w:rPr>
          <w:rFonts w:hint="eastAsia" w:ascii="仿宋_GB2312" w:hAnsi="仿宋" w:eastAsia="仿宋_GB2312"/>
          <w:color w:val="000000"/>
          <w:sz w:val="32"/>
          <w:szCs w:val="32"/>
        </w:rPr>
        <w:t>2019年一般公共预算财政拨款基本支出586.48万元，其中：人员经费472.86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仿宋_GB2312" w:hAnsi="仿宋" w:eastAsia="仿宋_GB2312"/>
          <w:color w:val="000000"/>
          <w:sz w:val="32"/>
          <w:szCs w:val="32"/>
        </w:rPr>
        <w:br w:type="textWrapping"/>
      </w:r>
      <w:r>
        <w:rPr>
          <w:rFonts w:hint="eastAsia" w:ascii="仿宋_GB2312" w:hAnsi="仿宋" w:eastAsia="仿宋_GB2312"/>
          <w:color w:val="000000"/>
          <w:sz w:val="32"/>
          <w:szCs w:val="32"/>
        </w:rPr>
        <w:t>　　日常公用经费141.82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7FDFAEAB">
      <w:pPr>
        <w:spacing w:line="600" w:lineRule="exact"/>
        <w:ind w:firstLine="640"/>
        <w:outlineLvl w:val="1"/>
        <w:rPr>
          <w:rStyle w:val="26"/>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14:paraId="23F9346B">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14:paraId="5943D86B">
      <w:pPr>
        <w:spacing w:line="60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2019年“三公”经费财政拨款支出决算为5.1万元，完成预算85%，决算数小于预算数的主要原因是压缩公务接待。</w:t>
      </w:r>
    </w:p>
    <w:p w14:paraId="5FCC0245">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14:paraId="6FBA07E8">
      <w:pPr>
        <w:spacing w:line="60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2019年“三公”经费财政拨款支出决算中，因公出国（境）费支出决算0万元，占0%；公务用车购置及运行维护费支出决算0万元，占0%；公务接待费支出决算5.1万元，占85%。具体情况如下：</w:t>
      </w:r>
    </w:p>
    <w:p w14:paraId="208B3046">
      <w:pPr>
        <w:spacing w:line="600" w:lineRule="exact"/>
        <w:ind w:firstLine="640"/>
        <w:rPr>
          <w:rFonts w:ascii="仿宋_GB2312" w:eastAsia="仿宋_GB2312"/>
          <w:b/>
          <w:color w:val="000000"/>
          <w:sz w:val="32"/>
          <w:szCs w:val="32"/>
        </w:rPr>
      </w:pPr>
      <w:r>
        <w:rPr>
          <w:rFonts w:hint="eastAsia" w:ascii="仿宋_GB2312" w:eastAsia="仿宋_GB2312"/>
          <w:b/>
          <w:color w:val="000000"/>
          <w:sz w:val="32"/>
          <w:szCs w:val="32"/>
        </w:rPr>
        <w:t>1.因公出国（境）经费支出</w:t>
      </w:r>
      <w:r>
        <w:rPr>
          <w:rFonts w:hint="eastAsia" w:ascii="仿宋_GB2312" w:eastAsia="仿宋_GB2312"/>
          <w:color w:val="000000"/>
          <w:sz w:val="32"/>
          <w:szCs w:val="32"/>
        </w:rPr>
        <w:t>0万元，</w:t>
      </w:r>
      <w:r>
        <w:rPr>
          <w:rStyle w:val="15"/>
          <w:rFonts w:hint="eastAsia" w:ascii="仿宋_GB2312" w:hAnsi="仿宋" w:eastAsia="仿宋_GB2312"/>
          <w:b w:val="0"/>
          <w:bCs/>
          <w:color w:val="000000"/>
          <w:sz w:val="32"/>
          <w:szCs w:val="32"/>
        </w:rPr>
        <w:t>完成预算0%。</w:t>
      </w:r>
      <w:r>
        <w:rPr>
          <w:rFonts w:hint="eastAsia" w:ascii="仿宋_GB2312" w:eastAsia="仿宋_GB2312"/>
          <w:color w:val="000000"/>
          <w:sz w:val="32"/>
          <w:szCs w:val="32"/>
        </w:rPr>
        <w:t>全年安排因公出国（境）团组0次，出国（境）0人。因公出国（境）支出决算比2018年增加/减少0万元，增长/下降0%。主要原因是没出国（境）经费支出</w:t>
      </w:r>
      <w:r>
        <w:rPr>
          <w:rFonts w:hint="eastAsia" w:ascii="仿宋_GB2312" w:eastAsia="仿宋_GB2312"/>
          <w:b/>
          <w:color w:val="000000"/>
          <w:sz w:val="32"/>
          <w:szCs w:val="32"/>
        </w:rPr>
        <w:t>。</w:t>
      </w:r>
    </w:p>
    <w:p w14:paraId="157A854E">
      <w:pPr>
        <w:spacing w:line="600" w:lineRule="exact"/>
        <w:ind w:firstLine="640"/>
        <w:rPr>
          <w:rFonts w:ascii="仿宋_GB2312" w:eastAsia="仿宋_GB2312"/>
          <w:b/>
          <w:color w:val="000000"/>
          <w:sz w:val="32"/>
          <w:szCs w:val="32"/>
        </w:rPr>
      </w:pPr>
      <w:r>
        <w:rPr>
          <w:rFonts w:hint="eastAsia" w:ascii="仿宋_GB2312" w:eastAsia="仿宋_GB2312"/>
          <w:b/>
          <w:color w:val="000000"/>
          <w:sz w:val="32"/>
          <w:szCs w:val="32"/>
        </w:rPr>
        <w:t>2.公务用车购置及运行维护费支出</w:t>
      </w:r>
      <w:r>
        <w:rPr>
          <w:rFonts w:hint="eastAsia" w:ascii="仿宋_GB2312" w:eastAsia="仿宋_GB2312"/>
          <w:color w:val="000000"/>
          <w:sz w:val="32"/>
          <w:szCs w:val="32"/>
        </w:rPr>
        <w:t>0万元,</w:t>
      </w:r>
      <w:r>
        <w:rPr>
          <w:rStyle w:val="15"/>
          <w:rFonts w:hint="eastAsia" w:ascii="仿宋_GB2312" w:hAnsi="仿宋" w:eastAsia="仿宋_GB2312"/>
          <w:b w:val="0"/>
          <w:bCs/>
          <w:color w:val="000000"/>
          <w:sz w:val="32"/>
          <w:szCs w:val="32"/>
        </w:rPr>
        <w:t>完成预算0%。</w:t>
      </w:r>
      <w:r>
        <w:rPr>
          <w:rFonts w:hint="eastAsia" w:ascii="仿宋_GB2312" w:eastAsia="仿宋_GB2312"/>
          <w:color w:val="000000"/>
          <w:sz w:val="32"/>
          <w:szCs w:val="32"/>
        </w:rPr>
        <w:t>公务用车购置及运行维护费支出决算比2018年增加/减少0万元，增长/下降0%。主要原因是单位没有公务车。</w:t>
      </w:r>
    </w:p>
    <w:p w14:paraId="1AF50B08">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0万元。全年按规定更新购置公务用车0辆，金额0元。截至2019年12月底，单位共有公务用车0辆，其中：主要领导干部用车0辆、机要通信用车0辆、应急保障用车0辆、 执法执勤用车0辆。</w:t>
      </w:r>
    </w:p>
    <w:p w14:paraId="28DED7A0">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0万元。主要用于…（具体工作）等所需的公务用车燃料费、维修费、过路过桥费、保险费等支出。</w:t>
      </w:r>
    </w:p>
    <w:p w14:paraId="23AF4E3C">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3.公务接待费支出</w:t>
      </w:r>
      <w:r>
        <w:rPr>
          <w:rFonts w:hint="eastAsia" w:ascii="仿宋_GB2312" w:eastAsia="仿宋_GB2312"/>
          <w:color w:val="000000"/>
          <w:sz w:val="32"/>
          <w:szCs w:val="32"/>
        </w:rPr>
        <w:t>5.1万元，</w:t>
      </w:r>
      <w:r>
        <w:rPr>
          <w:rStyle w:val="15"/>
          <w:rFonts w:hint="eastAsia" w:ascii="仿宋_GB2312" w:hAnsi="仿宋" w:eastAsia="仿宋_GB2312"/>
          <w:b w:val="0"/>
          <w:bCs/>
          <w:color w:val="000000"/>
          <w:sz w:val="32"/>
          <w:szCs w:val="32"/>
        </w:rPr>
        <w:t>完成预算85%。</w:t>
      </w:r>
      <w:r>
        <w:rPr>
          <w:rFonts w:hint="eastAsia" w:ascii="仿宋_GB2312" w:eastAsia="仿宋_GB2312"/>
          <w:color w:val="000000"/>
          <w:sz w:val="32"/>
          <w:szCs w:val="32"/>
        </w:rPr>
        <w:t>公务接待费支出决算比2018年增加1.49万元，增长0.41%。主要原因是脱贫攻坚验收。</w:t>
      </w:r>
      <w:bookmarkStart w:id="46" w:name="_Toc15377218"/>
      <w:bookmarkStart w:id="47" w:name="_Toc15396610"/>
    </w:p>
    <w:p w14:paraId="2DFA607E">
      <w:pPr>
        <w:spacing w:line="600" w:lineRule="exact"/>
        <w:ind w:firstLine="640"/>
        <w:outlineLvl w:val="1"/>
        <w:rPr>
          <w:rStyle w:val="26"/>
          <w:rFonts w:ascii="黑体" w:hAnsi="黑体" w:eastAsia="黑体"/>
        </w:rPr>
      </w:pPr>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6"/>
      <w:bookmarkEnd w:id="47"/>
    </w:p>
    <w:p w14:paraId="3F2D8984">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9年政府性基金预算拨款支出0万元。</w:t>
      </w:r>
    </w:p>
    <w:p w14:paraId="2898AB7E">
      <w:pPr>
        <w:numPr>
          <w:ilvl w:val="0"/>
          <w:numId w:val="2"/>
        </w:numPr>
        <w:spacing w:line="600" w:lineRule="exact"/>
        <w:ind w:firstLine="640"/>
        <w:outlineLvl w:val="1"/>
        <w:rPr>
          <w:rStyle w:val="26"/>
          <w:rFonts w:ascii="黑体" w:hAnsi="黑体" w:eastAsia="黑体"/>
          <w:b w:val="0"/>
        </w:rPr>
      </w:pPr>
      <w:bookmarkStart w:id="48" w:name="_Toc15377219"/>
      <w:bookmarkStart w:id="49" w:name="_Toc15396611"/>
      <w:r>
        <w:rPr>
          <w:rStyle w:val="26"/>
          <w:rFonts w:hint="eastAsia" w:ascii="黑体" w:hAnsi="黑体" w:eastAsia="黑体"/>
          <w:b w:val="0"/>
        </w:rPr>
        <w:t>国有资本经营预算支出决算情况说明</w:t>
      </w:r>
      <w:bookmarkEnd w:id="48"/>
      <w:bookmarkEnd w:id="49"/>
    </w:p>
    <w:p w14:paraId="68AE2D1F">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9年国有资本经营预算拨款支出0万元。</w:t>
      </w:r>
    </w:p>
    <w:p w14:paraId="5E2DD95B">
      <w:pPr>
        <w:spacing w:line="600" w:lineRule="exact"/>
        <w:ind w:firstLine="800" w:firstLineChars="250"/>
        <w:outlineLvl w:val="1"/>
        <w:rPr>
          <w:rStyle w:val="26"/>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6"/>
          <w:rFonts w:hint="eastAsia" w:ascii="黑体" w:hAnsi="黑体" w:eastAsia="黑体"/>
        </w:rPr>
        <w:t>、</w:t>
      </w:r>
      <w:r>
        <w:rPr>
          <w:rStyle w:val="26"/>
          <w:rFonts w:hint="eastAsia" w:ascii="黑体" w:hAnsi="黑体" w:eastAsia="黑体"/>
          <w:b w:val="0"/>
        </w:rPr>
        <w:t>其他重要事项的情况说明</w:t>
      </w:r>
      <w:bookmarkEnd w:id="50"/>
      <w:bookmarkEnd w:id="51"/>
    </w:p>
    <w:p w14:paraId="58510F33">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14:paraId="6D27110B">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9年，磨滩镇机关运行经费支出102.32元，比</w:t>
      </w:r>
      <w:r>
        <w:rPr>
          <w:rFonts w:ascii="仿宋_GB2312" w:eastAsia="仿宋_GB2312"/>
          <w:color w:val="000000"/>
          <w:sz w:val="32"/>
          <w:szCs w:val="32"/>
        </w:rPr>
        <w:t>201</w:t>
      </w:r>
      <w:r>
        <w:rPr>
          <w:rFonts w:hint="eastAsia" w:ascii="仿宋_GB2312" w:eastAsia="仿宋_GB2312"/>
          <w:color w:val="000000"/>
          <w:sz w:val="32"/>
          <w:szCs w:val="32"/>
        </w:rPr>
        <w:t>8年减少12.42万元，下降9.7</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主要原因是人员压缩广告费支出。</w:t>
      </w:r>
    </w:p>
    <w:p w14:paraId="4DD55D72">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14:paraId="47D06267">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9年，磨滩镇政府采购支出总额0万元，其中：政府采购货物支出0万元、政府采购工程支出0万元、政府采购服务支出0万元。主要用于</w:t>
      </w:r>
      <w:r>
        <w:rPr>
          <w:rFonts w:ascii="仿宋_GB2312" w:eastAsia="仿宋_GB2312"/>
          <w:color w:val="000000"/>
          <w:sz w:val="32"/>
          <w:szCs w:val="32"/>
        </w:rPr>
        <w:t>…</w:t>
      </w:r>
      <w:r>
        <w:rPr>
          <w:rFonts w:hint="eastAsia" w:ascii="仿宋_GB2312" w:eastAsia="仿宋_GB2312"/>
          <w:color w:val="000000"/>
          <w:sz w:val="32"/>
          <w:szCs w:val="32"/>
        </w:rPr>
        <w:t>（具体工作）。授予中小企业合同金额0万元，占政府采购支出总额的0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，其中：授予小微企业合同金额0万元，占政府采购支出总额的0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w:t>
      </w:r>
    </w:p>
    <w:p w14:paraId="24D400EB">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14:paraId="05689921">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日，磨滩镇共有车辆0辆，其中：主要领导干部用车0辆、机要通信用车0辆、应急保障用车0辆、其他用车0辆……</w:t>
      </w:r>
      <w:r>
        <w:rPr>
          <w:rFonts w:hint="eastAsia" w:ascii="仿宋_GB2312" w:eastAsia="仿宋_GB2312"/>
          <w:color w:val="000000" w:themeColor="text1"/>
          <w:sz w:val="32"/>
          <w:szCs w:val="32"/>
          <w14:textFill>
            <w14:solidFill>
              <w14:schemeClr w14:val="tx1"/>
            </w14:solidFill>
          </w14:textFill>
        </w:rPr>
        <w:t>其他用车主要是用于……单价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万元以上通用设备0台（套），单价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万元以上专用设备0台（套）。</w:t>
      </w:r>
    </w:p>
    <w:p w14:paraId="5AB0AE2A">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14:paraId="31042BCC">
      <w:pPr>
        <w:spacing w:line="600" w:lineRule="exact"/>
        <w:ind w:left="640"/>
        <w:rPr>
          <w:rFonts w:ascii="华文仿宋" w:hAnsi="华文仿宋" w:eastAsia="华文仿宋" w:cs="华文仿宋"/>
          <w:sz w:val="32"/>
          <w:szCs w:val="32"/>
        </w:rPr>
      </w:pPr>
      <w:r>
        <w:rPr>
          <w:rFonts w:hint="eastAsia" w:ascii="华文仿宋" w:hAnsi="华文仿宋" w:eastAsia="华文仿宋" w:cs="华文仿宋"/>
          <w:b/>
          <w:bCs/>
          <w:sz w:val="32"/>
          <w:szCs w:val="32"/>
        </w:rPr>
        <w:t>（一）部门预算管理。</w:t>
      </w:r>
    </w:p>
    <w:p w14:paraId="27770B60">
      <w:pPr>
        <w:spacing w:line="600" w:lineRule="exact"/>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2019年磨滩镇财务支出基本符合国家财经法规和财务管理制度规定以及有关专项资金管理办法的规定，资金的拨付有完整的审批过程和手续，支出基本符合部门预算批复的用途，资金使用无截留、挤占、挪用、虚列支出等情况。根据区政府绩效考核文件精神，绩效目标在2019年基本完成，在保障机关运转、履行职能职责上整体情况良好。</w:t>
      </w:r>
    </w:p>
    <w:p w14:paraId="053C21E5">
      <w:pPr>
        <w:spacing w:line="600" w:lineRule="exact"/>
        <w:ind w:firstLine="641"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（二）专项预算管理。</w:t>
      </w:r>
    </w:p>
    <w:p w14:paraId="6F390A51">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包括专项预算项目程序严密、规划合理、结果符合、分配科学、分配及时、专项预算绩效目标完成、实施绩效、违规记录等情况。</w:t>
      </w:r>
    </w:p>
    <w:p w14:paraId="0BDCFA98">
      <w:pPr>
        <w:spacing w:line="600" w:lineRule="exact"/>
        <w:ind w:firstLine="641"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（三）结果应用情况。</w:t>
      </w:r>
    </w:p>
    <w:p w14:paraId="75A06CB8">
      <w:pPr>
        <w:spacing w:line="600" w:lineRule="exact"/>
        <w:ind w:firstLine="640" w:firstLineChars="200"/>
        <w:rPr>
          <w:rFonts w:eastAsia="仿宋_GB2312"/>
          <w:sz w:val="32"/>
          <w:szCs w:val="32"/>
        </w:rPr>
      </w:pPr>
      <w:r>
        <w:rPr>
          <w:rFonts w:eastAsia="仿宋_GB2312"/>
          <w:sz w:val="32"/>
          <w:szCs w:val="32"/>
        </w:rPr>
        <w:t>1.部门职责履行结果。我</w:t>
      </w:r>
      <w:r>
        <w:rPr>
          <w:rFonts w:hint="eastAsia" w:eastAsia="仿宋_GB2312"/>
          <w:sz w:val="32"/>
          <w:szCs w:val="32"/>
        </w:rPr>
        <w:t>镇</w:t>
      </w:r>
      <w:r>
        <w:rPr>
          <w:rFonts w:eastAsia="仿宋_GB2312"/>
          <w:sz w:val="32"/>
          <w:szCs w:val="32"/>
        </w:rPr>
        <w:t>大力加强财政收支管理，使部门整体支出管理情况得到了提升，保障了各项工作的有序高效运转，较好地履行了各项职能，并完成了上级交</w:t>
      </w:r>
      <w:r>
        <w:rPr>
          <w:rFonts w:hint="eastAsia" w:eastAsia="仿宋_GB2312"/>
          <w:sz w:val="32"/>
          <w:szCs w:val="32"/>
        </w:rPr>
        <w:t>镇</w:t>
      </w:r>
      <w:r>
        <w:rPr>
          <w:rFonts w:eastAsia="仿宋_GB2312"/>
          <w:sz w:val="32"/>
          <w:szCs w:val="32"/>
        </w:rPr>
        <w:t>的各项任务。</w:t>
      </w:r>
    </w:p>
    <w:p w14:paraId="3819B972">
      <w:pPr>
        <w:spacing w:line="600" w:lineRule="exact"/>
        <w:ind w:firstLine="640" w:firstLineChars="200"/>
        <w:rPr>
          <w:rFonts w:eastAsia="仿宋_GB2312"/>
          <w:sz w:val="32"/>
          <w:szCs w:val="32"/>
        </w:rPr>
      </w:pPr>
      <w:r>
        <w:rPr>
          <w:rFonts w:eastAsia="仿宋_GB2312"/>
          <w:sz w:val="32"/>
          <w:szCs w:val="32"/>
        </w:rPr>
        <w:t>2.重点项目绩效评价结果。201</w:t>
      </w:r>
      <w:r>
        <w:rPr>
          <w:rFonts w:hint="eastAsia" w:eastAsia="仿宋_GB2312"/>
          <w:sz w:val="32"/>
          <w:szCs w:val="32"/>
        </w:rPr>
        <w:t>9</w:t>
      </w:r>
      <w:r>
        <w:rPr>
          <w:rFonts w:eastAsia="仿宋_GB2312"/>
          <w:sz w:val="32"/>
          <w:szCs w:val="32"/>
        </w:rPr>
        <w:t>年，我</w:t>
      </w:r>
      <w:r>
        <w:rPr>
          <w:rFonts w:hint="eastAsia" w:eastAsia="仿宋_GB2312"/>
          <w:sz w:val="32"/>
          <w:szCs w:val="32"/>
        </w:rPr>
        <w:t>镇</w:t>
      </w:r>
      <w:r>
        <w:rPr>
          <w:rFonts w:eastAsia="仿宋_GB2312"/>
          <w:sz w:val="32"/>
          <w:szCs w:val="32"/>
        </w:rPr>
        <w:t>从本级预算安排项目中选择重点项目开展支出绩效评价工作，从评价结果看，被评价项目总体绩效目标明确，决策依据充分，资金分配科学合理，项目管理较规范，项目完成良好，基本达到了预期效果。</w:t>
      </w:r>
    </w:p>
    <w:p w14:paraId="1F3F8EB6">
      <w:pPr>
        <w:spacing w:line="600" w:lineRule="exact"/>
        <w:ind w:firstLine="640" w:firstLineChars="200"/>
        <w:rPr>
          <w:rFonts w:eastAsia="仿宋_GB2312"/>
          <w:sz w:val="32"/>
          <w:szCs w:val="32"/>
        </w:rPr>
      </w:pPr>
      <w:r>
        <w:rPr>
          <w:rFonts w:eastAsia="仿宋_GB2312"/>
          <w:sz w:val="32"/>
          <w:szCs w:val="32"/>
        </w:rPr>
        <w:t>3.服务对象满意度。积极认真</w:t>
      </w:r>
      <w:r>
        <w:rPr>
          <w:rFonts w:hint="eastAsia" w:eastAsia="仿宋_GB2312"/>
          <w:sz w:val="32"/>
          <w:szCs w:val="32"/>
        </w:rPr>
        <w:t>镇梳</w:t>
      </w:r>
      <w:r>
        <w:rPr>
          <w:rFonts w:eastAsia="仿宋_GB2312"/>
          <w:sz w:val="32"/>
          <w:szCs w:val="32"/>
        </w:rPr>
        <w:t>理人大代表建议、妥善处理群众来信来访、化解社会矛盾情况，加强政风行风建设、解决损害群众利益的情况，人民群众满意度较好。</w:t>
      </w:r>
    </w:p>
    <w:p w14:paraId="71B73103">
      <w:pPr>
        <w:spacing w:line="580" w:lineRule="exact"/>
        <w:ind w:firstLine="640" w:firstLineChars="200"/>
        <w:rPr>
          <w:rFonts w:ascii="仿宋_GB2312" w:hAnsi="仿宋_GB2312" w:eastAsia="仿宋_GB2312" w:cs="仿宋_GB2312"/>
          <w:sz w:val="32"/>
          <w:szCs w:val="32"/>
        </w:rPr>
      </w:pPr>
    </w:p>
    <w:p w14:paraId="01A461C6">
      <w:pPr>
        <w:spacing w:line="580" w:lineRule="exact"/>
        <w:ind w:firstLine="640" w:firstLineChars="200"/>
        <w:rPr>
          <w:rFonts w:ascii="仿宋_GB2312" w:hAnsi="仿宋_GB2312" w:eastAsia="仿宋_GB2312" w:cs="仿宋_GB2312"/>
          <w:sz w:val="32"/>
          <w:szCs w:val="32"/>
        </w:rPr>
      </w:pPr>
    </w:p>
    <w:p w14:paraId="03FD8670">
      <w:pPr>
        <w:spacing w:line="580" w:lineRule="exact"/>
        <w:ind w:firstLine="640" w:firstLineChars="200"/>
        <w:rPr>
          <w:rFonts w:ascii="仿宋_GB2312" w:hAnsi="仿宋_GB2312" w:eastAsia="仿宋_GB2312" w:cs="仿宋_GB2312"/>
          <w:sz w:val="32"/>
          <w:szCs w:val="32"/>
        </w:rPr>
      </w:pPr>
    </w:p>
    <w:p w14:paraId="7D0C2B55">
      <w:pPr>
        <w:spacing w:line="580" w:lineRule="exact"/>
        <w:ind w:firstLine="640" w:firstLineChars="200"/>
        <w:rPr>
          <w:rFonts w:ascii="仿宋_GB2312" w:hAnsi="仿宋_GB2312" w:eastAsia="仿宋_GB2312" w:cs="仿宋_GB2312"/>
          <w:sz w:val="32"/>
          <w:szCs w:val="32"/>
        </w:rPr>
      </w:pPr>
    </w:p>
    <w:p w14:paraId="1BA98A38">
      <w:pPr>
        <w:spacing w:line="580" w:lineRule="exact"/>
        <w:ind w:firstLine="640" w:firstLineChars="200"/>
        <w:rPr>
          <w:rFonts w:ascii="仿宋_GB2312" w:hAnsi="仿宋_GB2312" w:eastAsia="仿宋_GB2312" w:cs="仿宋_GB2312"/>
          <w:sz w:val="32"/>
          <w:szCs w:val="32"/>
        </w:rPr>
      </w:pPr>
    </w:p>
    <w:tbl>
      <w:tblPr>
        <w:tblStyle w:val="13"/>
        <w:tblW w:w="9620" w:type="dxa"/>
        <w:tblInd w:w="0" w:type="dxa"/>
        <w:tblLayout w:type="autofit"/>
        <w:tblCellMar>
          <w:top w:w="0" w:type="dxa"/>
          <w:left w:w="0" w:type="dxa"/>
          <w:bottom w:w="0" w:type="dxa"/>
          <w:right w:w="0" w:type="dxa"/>
        </w:tblCellMar>
      </w:tblPr>
      <w:tblGrid>
        <w:gridCol w:w="1080"/>
        <w:gridCol w:w="920"/>
        <w:gridCol w:w="1260"/>
        <w:gridCol w:w="1080"/>
        <w:gridCol w:w="1080"/>
        <w:gridCol w:w="1080"/>
        <w:gridCol w:w="1080"/>
        <w:gridCol w:w="2040"/>
      </w:tblGrid>
      <w:tr w14:paraId="56456B89">
        <w:tblPrEx>
          <w:tblCellMar>
            <w:top w:w="0" w:type="dxa"/>
            <w:left w:w="0" w:type="dxa"/>
            <w:bottom w:w="0" w:type="dxa"/>
            <w:right w:w="0" w:type="dxa"/>
          </w:tblCellMar>
        </w:tblPrEx>
        <w:trPr>
          <w:trHeight w:val="540" w:hRule="atLeast"/>
        </w:trPr>
        <w:tc>
          <w:tcPr>
            <w:tcW w:w="9620" w:type="dxa"/>
            <w:gridSpan w:val="8"/>
            <w:tcBorders>
              <w:top w:val="nil"/>
              <w:left w:val="nil"/>
              <w:bottom w:val="nil"/>
              <w:right w:val="nil"/>
            </w:tcBorders>
            <w:shd w:val="clear" w:color="auto" w:fill="auto"/>
            <w:tcMar>
              <w:top w:w="15" w:type="dxa"/>
              <w:left w:w="15" w:type="dxa"/>
              <w:right w:w="15" w:type="dxa"/>
            </w:tcMar>
            <w:vAlign w:val="center"/>
          </w:tcPr>
          <w:p w14:paraId="21248DD7">
            <w:pPr>
              <w:widowControl/>
              <w:jc w:val="center"/>
              <w:textAlignment w:val="center"/>
              <w:rPr>
                <w:rFonts w:ascii="方正小标宋简体" w:hAnsi="方正小标宋简体" w:eastAsia="方正小标宋简体" w:cs="方正小标宋简体"/>
                <w:color w:val="000000"/>
                <w:kern w:val="0"/>
                <w:sz w:val="40"/>
                <w:szCs w:val="40"/>
              </w:rPr>
            </w:pPr>
          </w:p>
          <w:p w14:paraId="6A54DBDC">
            <w:pPr>
              <w:widowControl/>
              <w:jc w:val="center"/>
              <w:textAlignment w:val="center"/>
              <w:rPr>
                <w:rFonts w:ascii="方正小标宋简体" w:hAnsi="方正小标宋简体" w:eastAsia="方正小标宋简体" w:cs="方正小标宋简体"/>
                <w:color w:val="000000"/>
                <w:kern w:val="0"/>
                <w:sz w:val="40"/>
                <w:szCs w:val="40"/>
              </w:rPr>
            </w:pPr>
          </w:p>
          <w:p w14:paraId="1DABEC4B">
            <w:pPr>
              <w:widowControl/>
              <w:jc w:val="center"/>
              <w:textAlignment w:val="center"/>
              <w:rPr>
                <w:rFonts w:ascii="方正小标宋简体" w:hAnsi="方正小标宋简体" w:eastAsia="方正小标宋简体" w:cs="方正小标宋简体"/>
                <w:color w:val="000000"/>
                <w:kern w:val="0"/>
                <w:sz w:val="40"/>
                <w:szCs w:val="40"/>
              </w:rPr>
            </w:pPr>
          </w:p>
          <w:p w14:paraId="61FF3EE4">
            <w:pPr>
              <w:widowControl/>
              <w:jc w:val="center"/>
              <w:textAlignment w:val="center"/>
              <w:rPr>
                <w:rFonts w:ascii="方正小标宋简体" w:hAnsi="方正小标宋简体" w:eastAsia="方正小标宋简体" w:cs="方正小标宋简体"/>
                <w:color w:val="000000"/>
                <w:kern w:val="0"/>
                <w:sz w:val="40"/>
                <w:szCs w:val="40"/>
              </w:rPr>
            </w:pPr>
          </w:p>
          <w:p w14:paraId="675E8430">
            <w:pPr>
              <w:widowControl/>
              <w:jc w:val="center"/>
              <w:textAlignment w:val="center"/>
              <w:rPr>
                <w:rFonts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color w:val="000000"/>
                <w:kern w:val="0"/>
                <w:sz w:val="40"/>
                <w:szCs w:val="40"/>
              </w:rPr>
              <w:t>项目支出绩效目标完成情况表</w:t>
            </w:r>
          </w:p>
        </w:tc>
      </w:tr>
      <w:tr w14:paraId="76B78AB2">
        <w:tblPrEx>
          <w:tblCellMar>
            <w:top w:w="0" w:type="dxa"/>
            <w:left w:w="0" w:type="dxa"/>
            <w:bottom w:w="0" w:type="dxa"/>
            <w:right w:w="0" w:type="dxa"/>
          </w:tblCellMar>
        </w:tblPrEx>
        <w:trPr>
          <w:trHeight w:val="285" w:hRule="atLeast"/>
        </w:trPr>
        <w:tc>
          <w:tcPr>
            <w:tcW w:w="9620" w:type="dxa"/>
            <w:gridSpan w:val="8"/>
            <w:tcBorders>
              <w:top w:val="nil"/>
              <w:left w:val="nil"/>
              <w:bottom w:val="nil"/>
              <w:right w:val="nil"/>
            </w:tcBorders>
            <w:shd w:val="clear" w:color="auto" w:fill="auto"/>
            <w:tcMar>
              <w:top w:w="15" w:type="dxa"/>
              <w:left w:w="15" w:type="dxa"/>
              <w:right w:w="15" w:type="dxa"/>
            </w:tcMar>
            <w:vAlign w:val="center"/>
          </w:tcPr>
          <w:p w14:paraId="781CD81C">
            <w:pPr>
              <w:widowControl/>
              <w:jc w:val="center"/>
              <w:textAlignment w:val="center"/>
              <w:rPr>
                <w:rFonts w:ascii="宋体" w:hAnsi="宋体" w:cs="宋体"/>
                <w:color w:val="000000"/>
                <w:sz w:val="24"/>
              </w:rPr>
            </w:pPr>
            <w:r>
              <w:rPr>
                <w:rFonts w:hint="eastAsia" w:ascii="宋体" w:hAnsi="宋体" w:cs="宋体"/>
                <w:color w:val="000000"/>
                <w:kern w:val="0"/>
                <w:sz w:val="24"/>
              </w:rPr>
              <w:t>（ 2019年度）</w:t>
            </w:r>
          </w:p>
        </w:tc>
      </w:tr>
      <w:tr w14:paraId="49560A05">
        <w:tblPrEx>
          <w:tblCellMar>
            <w:top w:w="0" w:type="dxa"/>
            <w:left w:w="0" w:type="dxa"/>
            <w:bottom w:w="0" w:type="dxa"/>
            <w:right w:w="0" w:type="dxa"/>
          </w:tblCellMar>
        </w:tblPrEx>
        <w:trPr>
          <w:trHeight w:val="285" w:hRule="atLeast"/>
        </w:trPr>
        <w:tc>
          <w:tcPr>
            <w:tcW w:w="2000" w:type="dxa"/>
            <w:gridSpan w:val="2"/>
            <w:tcBorders>
              <w:top w:val="nil"/>
              <w:left w:val="nil"/>
              <w:bottom w:val="nil"/>
              <w:right w:val="nil"/>
            </w:tcBorders>
            <w:shd w:val="clear" w:color="auto" w:fill="auto"/>
            <w:tcMar>
              <w:top w:w="15" w:type="dxa"/>
              <w:left w:w="15" w:type="dxa"/>
              <w:right w:w="15" w:type="dxa"/>
            </w:tcMar>
            <w:vAlign w:val="center"/>
          </w:tcPr>
          <w:p w14:paraId="7D4B8B4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填报单位（盖章）</w:t>
            </w:r>
          </w:p>
        </w:tc>
        <w:tc>
          <w:tcPr>
            <w:tcW w:w="3420" w:type="dxa"/>
            <w:gridSpan w:val="3"/>
            <w:tcBorders>
              <w:top w:val="nil"/>
              <w:left w:val="nil"/>
              <w:bottom w:val="nil"/>
              <w:right w:val="nil"/>
            </w:tcBorders>
            <w:shd w:val="clear" w:color="auto" w:fill="auto"/>
            <w:tcMar>
              <w:top w:w="15" w:type="dxa"/>
              <w:left w:w="15" w:type="dxa"/>
              <w:right w:w="15" w:type="dxa"/>
            </w:tcMar>
            <w:vAlign w:val="center"/>
          </w:tcPr>
          <w:p w14:paraId="01DA1AD2">
            <w:pPr>
              <w:widowControl/>
              <w:jc w:val="left"/>
              <w:textAlignment w:val="center"/>
              <w:rPr>
                <w:rFonts w:ascii="宋体" w:hAnsi="宋体" w:cs="宋体"/>
                <w:color w:val="000000"/>
                <w:sz w:val="24"/>
              </w:rPr>
            </w:pPr>
            <w:r>
              <w:rPr>
                <w:rFonts w:hint="eastAsia" w:ascii="宋体" w:hAnsi="宋体" w:cs="宋体"/>
                <w:color w:val="000000"/>
                <w:kern w:val="0"/>
                <w:sz w:val="24"/>
              </w:rPr>
              <w:t>磨滩镇人民政府</w:t>
            </w:r>
          </w:p>
        </w:tc>
        <w:tc>
          <w:tcPr>
            <w:tcW w:w="1080" w:type="dxa"/>
            <w:tcBorders>
              <w:top w:val="nil"/>
              <w:left w:val="nil"/>
              <w:bottom w:val="nil"/>
              <w:right w:val="nil"/>
            </w:tcBorders>
            <w:shd w:val="clear" w:color="auto" w:fill="auto"/>
            <w:tcMar>
              <w:top w:w="15" w:type="dxa"/>
              <w:left w:w="15" w:type="dxa"/>
              <w:right w:w="15" w:type="dxa"/>
            </w:tcMar>
            <w:vAlign w:val="center"/>
          </w:tcPr>
          <w:p w14:paraId="775A2A60">
            <w:pPr>
              <w:rPr>
                <w:rFonts w:ascii="宋体" w:hAnsi="宋体" w:cs="宋体"/>
                <w:color w:val="000000"/>
                <w:sz w:val="24"/>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E92734D">
            <w:pPr>
              <w:rPr>
                <w:rFonts w:ascii="宋体" w:hAnsi="宋体" w:cs="宋体"/>
                <w:color w:val="000000"/>
                <w:sz w:val="22"/>
                <w:szCs w:val="22"/>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CE498A9">
            <w:pPr>
              <w:rPr>
                <w:rFonts w:ascii="宋体" w:hAnsi="宋体" w:cs="宋体"/>
                <w:color w:val="000000"/>
                <w:sz w:val="24"/>
              </w:rPr>
            </w:pPr>
          </w:p>
        </w:tc>
      </w:tr>
      <w:tr w14:paraId="7D2D8407">
        <w:tblPrEx>
          <w:tblCellMar>
            <w:top w:w="0" w:type="dxa"/>
            <w:left w:w="0" w:type="dxa"/>
            <w:bottom w:w="0" w:type="dxa"/>
            <w:right w:w="0" w:type="dxa"/>
          </w:tblCellMar>
        </w:tblPrEx>
        <w:trPr>
          <w:trHeight w:val="285" w:hRule="atLeast"/>
        </w:trPr>
        <w:tc>
          <w:tcPr>
            <w:tcW w:w="2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99C3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项目名称</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0F31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烟叶产业发展经费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8C99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项目属性</w:t>
            </w:r>
          </w:p>
        </w:tc>
        <w:tc>
          <w:tcPr>
            <w:tcW w:w="42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F456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新增项目□           延续项目√</w:t>
            </w:r>
          </w:p>
        </w:tc>
      </w:tr>
      <w:tr w14:paraId="2AB90A18">
        <w:tblPrEx>
          <w:tblCellMar>
            <w:top w:w="0" w:type="dxa"/>
            <w:left w:w="0" w:type="dxa"/>
            <w:bottom w:w="0" w:type="dxa"/>
            <w:right w:w="0" w:type="dxa"/>
          </w:tblCellMar>
        </w:tblPrEx>
        <w:trPr>
          <w:trHeight w:val="540" w:hRule="atLeast"/>
        </w:trPr>
        <w:tc>
          <w:tcPr>
            <w:tcW w:w="2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D4EF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项目主管部门</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27461">
            <w:pPr>
              <w:widowControl/>
              <w:jc w:val="center"/>
              <w:textAlignment w:val="center"/>
              <w:rPr>
                <w:rFonts w:ascii="宋体" w:hAnsi="宋体" w:cs="宋体"/>
                <w:color w:val="000000"/>
                <w:sz w:val="22"/>
                <w:szCs w:val="22"/>
              </w:rPr>
            </w:pPr>
            <w:r>
              <w:rPr>
                <w:rFonts w:hint="eastAsia" w:ascii="宋体" w:hAnsi="宋体" w:cs="宋体"/>
                <w:color w:val="000000"/>
                <w:kern w:val="0"/>
                <w:sz w:val="24"/>
              </w:rPr>
              <w:t>磨滩镇人民政府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4006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项目实施单位</w:t>
            </w:r>
          </w:p>
        </w:tc>
        <w:tc>
          <w:tcPr>
            <w:tcW w:w="42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9B764">
            <w:pPr>
              <w:widowControl/>
              <w:textAlignment w:val="center"/>
              <w:rPr>
                <w:rFonts w:ascii="宋体" w:hAnsi="宋体" w:cs="宋体"/>
                <w:color w:val="000000"/>
                <w:sz w:val="22"/>
                <w:szCs w:val="22"/>
              </w:rPr>
            </w:pPr>
            <w:r>
              <w:rPr>
                <w:rFonts w:hint="eastAsia" w:ascii="宋体" w:hAnsi="宋体" w:cs="宋体"/>
                <w:color w:val="000000"/>
                <w:kern w:val="0"/>
                <w:sz w:val="22"/>
                <w:szCs w:val="22"/>
              </w:rPr>
              <w:t xml:space="preserve">  13个村</w:t>
            </w:r>
          </w:p>
        </w:tc>
      </w:tr>
      <w:tr w14:paraId="7FD1E741">
        <w:tblPrEx>
          <w:tblCellMar>
            <w:top w:w="0" w:type="dxa"/>
            <w:left w:w="0" w:type="dxa"/>
            <w:bottom w:w="0" w:type="dxa"/>
            <w:right w:w="0" w:type="dxa"/>
          </w:tblCellMar>
        </w:tblPrEx>
        <w:trPr>
          <w:trHeight w:val="285" w:hRule="atLeast"/>
        </w:trPr>
        <w:tc>
          <w:tcPr>
            <w:tcW w:w="2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A5A9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项目起止时间</w:t>
            </w:r>
          </w:p>
        </w:tc>
        <w:tc>
          <w:tcPr>
            <w:tcW w:w="762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5831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2019年1月1日至2019年12月31日</w:t>
            </w:r>
          </w:p>
        </w:tc>
      </w:tr>
      <w:tr w14:paraId="65FD4F2E">
        <w:tblPrEx>
          <w:tblCellMar>
            <w:top w:w="0" w:type="dxa"/>
            <w:left w:w="0" w:type="dxa"/>
            <w:bottom w:w="0" w:type="dxa"/>
            <w:right w:w="0" w:type="dxa"/>
          </w:tblCellMar>
        </w:tblPrEx>
        <w:trPr>
          <w:trHeight w:val="285" w:hRule="atLeast"/>
        </w:trPr>
        <w:tc>
          <w:tcPr>
            <w:tcW w:w="20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3646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项目资金申请</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（万元）</w:t>
            </w:r>
          </w:p>
        </w:tc>
        <w:tc>
          <w:tcPr>
            <w:tcW w:w="762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DDE2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资金总额：52.8万元</w:t>
            </w:r>
          </w:p>
        </w:tc>
      </w:tr>
      <w:tr w14:paraId="4F56ACA3">
        <w:tblPrEx>
          <w:tblCellMar>
            <w:top w:w="0" w:type="dxa"/>
            <w:left w:w="0" w:type="dxa"/>
            <w:bottom w:w="0" w:type="dxa"/>
            <w:right w:w="0" w:type="dxa"/>
          </w:tblCellMar>
        </w:tblPrEx>
        <w:trPr>
          <w:trHeight w:val="285" w:hRule="atLeast"/>
        </w:trPr>
        <w:tc>
          <w:tcPr>
            <w:tcW w:w="20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9C624">
            <w:pPr>
              <w:jc w:val="center"/>
              <w:rPr>
                <w:rFonts w:ascii="宋体" w:hAnsi="宋体" w:cs="宋体"/>
                <w:color w:val="000000"/>
                <w:sz w:val="22"/>
                <w:szCs w:val="22"/>
              </w:rPr>
            </w:pPr>
          </w:p>
        </w:tc>
        <w:tc>
          <w:tcPr>
            <w:tcW w:w="762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86A6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其中：财政拨款57.2万元</w:t>
            </w:r>
          </w:p>
        </w:tc>
      </w:tr>
      <w:tr w14:paraId="5DFAF8A8">
        <w:tblPrEx>
          <w:tblCellMar>
            <w:top w:w="0" w:type="dxa"/>
            <w:left w:w="0" w:type="dxa"/>
            <w:bottom w:w="0" w:type="dxa"/>
            <w:right w:w="0" w:type="dxa"/>
          </w:tblCellMar>
        </w:tblPrEx>
        <w:trPr>
          <w:trHeight w:val="285" w:hRule="atLeast"/>
        </w:trPr>
        <w:tc>
          <w:tcPr>
            <w:tcW w:w="20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E9E4A">
            <w:pPr>
              <w:jc w:val="center"/>
              <w:rPr>
                <w:rFonts w:ascii="宋体" w:hAnsi="宋体" w:cs="宋体"/>
                <w:color w:val="000000"/>
                <w:sz w:val="22"/>
                <w:szCs w:val="22"/>
              </w:rPr>
            </w:pPr>
          </w:p>
        </w:tc>
        <w:tc>
          <w:tcPr>
            <w:tcW w:w="762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8406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其他资金</w:t>
            </w:r>
          </w:p>
        </w:tc>
      </w:tr>
      <w:tr w14:paraId="7BC08615">
        <w:tblPrEx>
          <w:tblCellMar>
            <w:top w:w="0" w:type="dxa"/>
            <w:left w:w="0" w:type="dxa"/>
            <w:bottom w:w="0" w:type="dxa"/>
            <w:right w:w="0" w:type="dxa"/>
          </w:tblCellMar>
        </w:tblPrEx>
        <w:trPr>
          <w:trHeight w:val="285" w:hRule="atLeast"/>
        </w:trPr>
        <w:tc>
          <w:tcPr>
            <w:tcW w:w="2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E840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项目资金测算</w:t>
            </w:r>
          </w:p>
        </w:tc>
        <w:tc>
          <w:tcPr>
            <w:tcW w:w="762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5D92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实现部门综合绩效评价全覆盖</w:t>
            </w:r>
          </w:p>
        </w:tc>
      </w:tr>
      <w:tr w14:paraId="38E36518">
        <w:tblPrEx>
          <w:tblCellMar>
            <w:top w:w="0" w:type="dxa"/>
            <w:left w:w="0" w:type="dxa"/>
            <w:bottom w:w="0" w:type="dxa"/>
            <w:right w:w="0" w:type="dxa"/>
          </w:tblCellMar>
        </w:tblPrEx>
        <w:trPr>
          <w:trHeight w:val="760" w:hRule="atLeast"/>
        </w:trPr>
        <w:tc>
          <w:tcPr>
            <w:tcW w:w="2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5CE2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项目概况</w:t>
            </w:r>
          </w:p>
        </w:tc>
        <w:tc>
          <w:tcPr>
            <w:tcW w:w="762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1B4B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加强烟叶产业发展，提高烟农收入，全年开展烤烟技术集中培训5次，返还烟农发展经费22.88万元，新建烤房10间，维修烤房11间，烟地整理650亩。</w:t>
            </w:r>
          </w:p>
        </w:tc>
      </w:tr>
      <w:tr w14:paraId="2A5DDEC2">
        <w:tblPrEx>
          <w:tblCellMar>
            <w:top w:w="0" w:type="dxa"/>
            <w:left w:w="0" w:type="dxa"/>
            <w:bottom w:w="0" w:type="dxa"/>
            <w:right w:w="0" w:type="dxa"/>
          </w:tblCellMar>
        </w:tblPrEx>
        <w:trPr>
          <w:trHeight w:val="540" w:hRule="atLeast"/>
        </w:trPr>
        <w:tc>
          <w:tcPr>
            <w:tcW w:w="20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F0F7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项目立项情况</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BE70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项目立项的依据</w:t>
            </w:r>
          </w:p>
        </w:tc>
        <w:tc>
          <w:tcPr>
            <w:tcW w:w="63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BD850">
            <w:pPr>
              <w:widowControl/>
              <w:textAlignment w:val="center"/>
              <w:rPr>
                <w:rFonts w:ascii="宋体" w:hAnsi="宋体" w:cs="宋体"/>
                <w:color w:val="000000"/>
                <w:sz w:val="22"/>
                <w:szCs w:val="22"/>
              </w:rPr>
            </w:pPr>
            <w:r>
              <w:rPr>
                <w:rFonts w:hint="eastAsia" w:ascii="宋体" w:hAnsi="宋体" w:cs="宋体"/>
                <w:color w:val="000000"/>
                <w:kern w:val="0"/>
                <w:sz w:val="22"/>
                <w:szCs w:val="22"/>
              </w:rPr>
              <w:t>烤烟生产发展</w:t>
            </w:r>
          </w:p>
        </w:tc>
      </w:tr>
      <w:tr w14:paraId="6C7EDC71">
        <w:tblPrEx>
          <w:tblCellMar>
            <w:top w:w="0" w:type="dxa"/>
            <w:left w:w="0" w:type="dxa"/>
            <w:bottom w:w="0" w:type="dxa"/>
            <w:right w:w="0" w:type="dxa"/>
          </w:tblCellMar>
        </w:tblPrEx>
        <w:trPr>
          <w:trHeight w:val="540" w:hRule="atLeast"/>
        </w:trPr>
        <w:tc>
          <w:tcPr>
            <w:tcW w:w="20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1CBC7">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82C0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项目申报的可行性</w:t>
            </w:r>
          </w:p>
        </w:tc>
        <w:tc>
          <w:tcPr>
            <w:tcW w:w="63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BEBD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地方财政高度重视，按照“五个狠抓、五个提升”工作要求，提高政治站位，资金充足保障。</w:t>
            </w:r>
          </w:p>
        </w:tc>
      </w:tr>
      <w:tr w14:paraId="36C9C7A0">
        <w:tblPrEx>
          <w:tblCellMar>
            <w:top w:w="0" w:type="dxa"/>
            <w:left w:w="0" w:type="dxa"/>
            <w:bottom w:w="0" w:type="dxa"/>
            <w:right w:w="0" w:type="dxa"/>
          </w:tblCellMar>
        </w:tblPrEx>
        <w:trPr>
          <w:trHeight w:val="820" w:hRule="atLeast"/>
        </w:trPr>
        <w:tc>
          <w:tcPr>
            <w:tcW w:w="20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D57CA">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B7D6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项目申报的必要性</w:t>
            </w:r>
          </w:p>
        </w:tc>
        <w:tc>
          <w:tcPr>
            <w:tcW w:w="63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DE51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鼓励全镇农户发展烤烟产业，增加群众收入，提高农户发展产业的积极性，带动农户致富，且增加财政税收。</w:t>
            </w:r>
          </w:p>
        </w:tc>
      </w:tr>
      <w:tr w14:paraId="3D963AED">
        <w:tblPrEx>
          <w:tblCellMar>
            <w:top w:w="0" w:type="dxa"/>
            <w:left w:w="0" w:type="dxa"/>
            <w:bottom w:w="0" w:type="dxa"/>
            <w:right w:w="0" w:type="dxa"/>
          </w:tblCellMar>
        </w:tblPrEx>
        <w:trPr>
          <w:trHeight w:val="285" w:hRule="atLeast"/>
        </w:trPr>
        <w:tc>
          <w:tcPr>
            <w:tcW w:w="20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317E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项目实施进度计划</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F27D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项目实施内容</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F2C4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开始时间</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BCAE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完成时间</w:t>
            </w:r>
          </w:p>
        </w:tc>
      </w:tr>
      <w:tr w14:paraId="51C03AA7">
        <w:tblPrEx>
          <w:tblCellMar>
            <w:top w:w="0" w:type="dxa"/>
            <w:left w:w="0" w:type="dxa"/>
            <w:bottom w:w="0" w:type="dxa"/>
            <w:right w:w="0" w:type="dxa"/>
          </w:tblCellMar>
        </w:tblPrEx>
        <w:trPr>
          <w:trHeight w:val="285" w:hRule="atLeast"/>
        </w:trPr>
        <w:tc>
          <w:tcPr>
            <w:tcW w:w="20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8C3EA">
            <w:pPr>
              <w:jc w:val="center"/>
              <w:rPr>
                <w:rFonts w:ascii="宋体" w:hAnsi="宋体" w:cs="宋体"/>
                <w:color w:val="000000"/>
                <w:sz w:val="22"/>
                <w:szCs w:val="22"/>
              </w:rPr>
            </w:pP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E93B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烤烟技术培训</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70B3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2019年1月1日</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43A4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2019年12月31日</w:t>
            </w:r>
          </w:p>
        </w:tc>
      </w:tr>
      <w:tr w14:paraId="189CCCD4">
        <w:tblPrEx>
          <w:tblCellMar>
            <w:top w:w="0" w:type="dxa"/>
            <w:left w:w="0" w:type="dxa"/>
            <w:bottom w:w="0" w:type="dxa"/>
            <w:right w:w="0" w:type="dxa"/>
          </w:tblCellMar>
        </w:tblPrEx>
        <w:trPr>
          <w:trHeight w:val="285" w:hRule="atLeast"/>
        </w:trPr>
        <w:tc>
          <w:tcPr>
            <w:tcW w:w="20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ED5B6">
            <w:pPr>
              <w:jc w:val="center"/>
              <w:rPr>
                <w:rFonts w:ascii="宋体" w:hAnsi="宋体" w:cs="宋体"/>
                <w:color w:val="000000"/>
                <w:sz w:val="22"/>
                <w:szCs w:val="22"/>
              </w:rPr>
            </w:pP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EFCD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新建烤房</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0F82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2019年1月1日</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18DB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2019年12月31日</w:t>
            </w:r>
          </w:p>
        </w:tc>
      </w:tr>
      <w:tr w14:paraId="3DC0A896">
        <w:tblPrEx>
          <w:tblCellMar>
            <w:top w:w="0" w:type="dxa"/>
            <w:left w:w="0" w:type="dxa"/>
            <w:bottom w:w="0" w:type="dxa"/>
            <w:right w:w="0" w:type="dxa"/>
          </w:tblCellMar>
        </w:tblPrEx>
        <w:trPr>
          <w:trHeight w:val="285" w:hRule="atLeast"/>
        </w:trPr>
        <w:tc>
          <w:tcPr>
            <w:tcW w:w="20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8DF40">
            <w:pPr>
              <w:jc w:val="center"/>
              <w:rPr>
                <w:rFonts w:ascii="宋体" w:hAnsi="宋体" w:cs="宋体"/>
                <w:color w:val="000000"/>
                <w:sz w:val="22"/>
                <w:szCs w:val="22"/>
              </w:rPr>
            </w:pP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CD43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维修烤房</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9A0F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2019年1月1日</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52A9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2019年12月31日</w:t>
            </w:r>
          </w:p>
        </w:tc>
      </w:tr>
      <w:tr w14:paraId="44C705FC">
        <w:tblPrEx>
          <w:tblCellMar>
            <w:top w:w="0" w:type="dxa"/>
            <w:left w:w="0" w:type="dxa"/>
            <w:bottom w:w="0" w:type="dxa"/>
            <w:right w:w="0" w:type="dxa"/>
          </w:tblCellMar>
        </w:tblPrEx>
        <w:trPr>
          <w:trHeight w:val="285" w:hRule="atLeast"/>
        </w:trPr>
        <w:tc>
          <w:tcPr>
            <w:tcW w:w="20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1A31C">
            <w:pPr>
              <w:jc w:val="center"/>
              <w:rPr>
                <w:rFonts w:ascii="宋体" w:hAnsi="宋体" w:cs="宋体"/>
                <w:color w:val="000000"/>
                <w:sz w:val="22"/>
                <w:szCs w:val="22"/>
              </w:rPr>
            </w:pP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D60C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烟地整理</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448B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2019年1月1日</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1BAC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2019年12月31日</w:t>
            </w:r>
          </w:p>
        </w:tc>
      </w:tr>
      <w:tr w14:paraId="234A155B">
        <w:tblPrEx>
          <w:tblCellMar>
            <w:top w:w="0" w:type="dxa"/>
            <w:left w:w="0" w:type="dxa"/>
            <w:bottom w:w="0" w:type="dxa"/>
            <w:right w:w="0" w:type="dxa"/>
          </w:tblCellMar>
        </w:tblPrEx>
        <w:trPr>
          <w:trHeight w:val="285" w:hRule="atLeast"/>
        </w:trPr>
        <w:tc>
          <w:tcPr>
            <w:tcW w:w="20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6EAE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项目绩效目标</w:t>
            </w:r>
          </w:p>
        </w:tc>
        <w:tc>
          <w:tcPr>
            <w:tcW w:w="34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A5C4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中期目标</w:t>
            </w:r>
          </w:p>
        </w:tc>
        <w:tc>
          <w:tcPr>
            <w:tcW w:w="42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BFD4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终期目标</w:t>
            </w:r>
          </w:p>
        </w:tc>
      </w:tr>
      <w:tr w14:paraId="2A0772A3">
        <w:tblPrEx>
          <w:tblCellMar>
            <w:top w:w="0" w:type="dxa"/>
            <w:left w:w="0" w:type="dxa"/>
            <w:bottom w:w="0" w:type="dxa"/>
            <w:right w:w="0" w:type="dxa"/>
          </w:tblCellMar>
        </w:tblPrEx>
        <w:trPr>
          <w:trHeight w:val="1020" w:hRule="atLeast"/>
        </w:trPr>
        <w:tc>
          <w:tcPr>
            <w:tcW w:w="20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F3570">
            <w:pPr>
              <w:jc w:val="center"/>
              <w:rPr>
                <w:rFonts w:ascii="宋体" w:hAnsi="宋体" w:cs="宋体"/>
                <w:color w:val="000000"/>
                <w:sz w:val="22"/>
                <w:szCs w:val="22"/>
              </w:rPr>
            </w:pPr>
          </w:p>
        </w:tc>
        <w:tc>
          <w:tcPr>
            <w:tcW w:w="34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8B77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确保烤烟在5月份以前全部移栽，做好烤烟田管、烤房维修、新建等工作。</w:t>
            </w:r>
          </w:p>
        </w:tc>
        <w:tc>
          <w:tcPr>
            <w:tcW w:w="42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1711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2019年10月底前全面完成烤烟的收购工作，12月底前做好烟地整理及2020年种植户的确认等工作。</w:t>
            </w:r>
          </w:p>
        </w:tc>
      </w:tr>
      <w:tr w14:paraId="5AD91FDD">
        <w:tblPrEx>
          <w:tblCellMar>
            <w:top w:w="0" w:type="dxa"/>
            <w:left w:w="0" w:type="dxa"/>
            <w:bottom w:w="0" w:type="dxa"/>
            <w:right w:w="0" w:type="dxa"/>
          </w:tblCellMar>
        </w:tblPrEx>
        <w:trPr>
          <w:trHeight w:val="54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58B3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绩效指标</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0575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一级</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指标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14A2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二级指标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0A1C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三级指标（指标内容）</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EAF2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指标值（包含数字及文字描述）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59FF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备注</w:t>
            </w:r>
          </w:p>
        </w:tc>
      </w:tr>
      <w:tr w14:paraId="5CDE822C">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FBFFA">
            <w:pPr>
              <w:jc w:val="center"/>
              <w:rPr>
                <w:rFonts w:ascii="宋体" w:hAnsi="宋体" w:cs="宋体"/>
                <w:color w:val="000000"/>
                <w:sz w:val="22"/>
                <w:szCs w:val="22"/>
              </w:rPr>
            </w:pPr>
          </w:p>
        </w:tc>
        <w:tc>
          <w:tcPr>
            <w:tcW w:w="92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50D5FF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126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CABE50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数量指标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6D09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烤烟技术培训</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12E4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95C24">
            <w:pPr>
              <w:rPr>
                <w:rFonts w:ascii="宋体" w:hAnsi="宋体" w:cs="宋体"/>
                <w:color w:val="000000"/>
                <w:sz w:val="24"/>
              </w:rPr>
            </w:pPr>
          </w:p>
        </w:tc>
      </w:tr>
      <w:tr w14:paraId="21854CFC">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C0CF3">
            <w:pPr>
              <w:jc w:val="center"/>
              <w:rPr>
                <w:rFonts w:ascii="宋体" w:hAnsi="宋体" w:cs="宋体"/>
                <w:color w:val="000000"/>
                <w:sz w:val="22"/>
                <w:szCs w:val="22"/>
              </w:rPr>
            </w:pPr>
          </w:p>
        </w:tc>
        <w:tc>
          <w:tcPr>
            <w:tcW w:w="9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4E22D13">
            <w:pPr>
              <w:jc w:val="center"/>
              <w:rPr>
                <w:rFonts w:ascii="宋体" w:hAnsi="宋体" w:cs="宋体"/>
                <w:color w:val="000000"/>
                <w:sz w:val="22"/>
                <w:szCs w:val="22"/>
              </w:rPr>
            </w:pPr>
          </w:p>
        </w:tc>
        <w:tc>
          <w:tcPr>
            <w:tcW w:w="126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2141A11">
            <w:pPr>
              <w:jc w:val="center"/>
              <w:rPr>
                <w:rFonts w:ascii="宋体" w:hAnsi="宋体" w:cs="宋体"/>
                <w:color w:val="000000"/>
                <w:sz w:val="22"/>
                <w:szCs w:val="22"/>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440C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维修烤房</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6BE7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0AC0C">
            <w:pPr>
              <w:rPr>
                <w:rFonts w:ascii="宋体" w:hAnsi="宋体" w:cs="宋体"/>
                <w:color w:val="000000"/>
                <w:sz w:val="24"/>
              </w:rPr>
            </w:pPr>
          </w:p>
        </w:tc>
      </w:tr>
      <w:tr w14:paraId="467D7189">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CE2FE">
            <w:pPr>
              <w:jc w:val="center"/>
              <w:rPr>
                <w:rFonts w:ascii="宋体" w:hAnsi="宋体" w:cs="宋体"/>
                <w:color w:val="000000"/>
                <w:sz w:val="22"/>
                <w:szCs w:val="22"/>
              </w:rPr>
            </w:pPr>
          </w:p>
        </w:tc>
        <w:tc>
          <w:tcPr>
            <w:tcW w:w="9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5C8E508">
            <w:pPr>
              <w:jc w:val="center"/>
              <w:rPr>
                <w:rFonts w:ascii="宋体" w:hAnsi="宋体" w:cs="宋体"/>
                <w:color w:val="000000"/>
                <w:sz w:val="22"/>
                <w:szCs w:val="22"/>
              </w:rPr>
            </w:pPr>
          </w:p>
        </w:tc>
        <w:tc>
          <w:tcPr>
            <w:tcW w:w="126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0D45293">
            <w:pPr>
              <w:jc w:val="center"/>
              <w:rPr>
                <w:rFonts w:ascii="宋体" w:hAnsi="宋体" w:cs="宋体"/>
                <w:color w:val="000000"/>
                <w:sz w:val="22"/>
                <w:szCs w:val="22"/>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AE2C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新建烤房</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EBFB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EAFE1">
            <w:pPr>
              <w:rPr>
                <w:rFonts w:ascii="宋体" w:hAnsi="宋体" w:cs="宋体"/>
                <w:color w:val="000000"/>
                <w:sz w:val="24"/>
              </w:rPr>
            </w:pPr>
          </w:p>
        </w:tc>
      </w:tr>
      <w:tr w14:paraId="5A6DE324">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9CE1F">
            <w:pPr>
              <w:jc w:val="center"/>
              <w:rPr>
                <w:rFonts w:ascii="宋体" w:hAnsi="宋体" w:cs="宋体"/>
                <w:color w:val="000000"/>
                <w:sz w:val="22"/>
                <w:szCs w:val="22"/>
              </w:rPr>
            </w:pPr>
          </w:p>
        </w:tc>
        <w:tc>
          <w:tcPr>
            <w:tcW w:w="9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A0CADFF">
            <w:pPr>
              <w:jc w:val="center"/>
              <w:rPr>
                <w:rFonts w:ascii="宋体" w:hAnsi="宋体" w:cs="宋体"/>
                <w:color w:val="000000"/>
                <w:sz w:val="22"/>
                <w:szCs w:val="22"/>
              </w:rPr>
            </w:pP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4BE6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质量指标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C6D6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烤烟完成</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4517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04F55">
            <w:pPr>
              <w:rPr>
                <w:rFonts w:ascii="宋体" w:hAnsi="宋体" w:cs="宋体"/>
                <w:color w:val="000000"/>
                <w:sz w:val="24"/>
              </w:rPr>
            </w:pPr>
          </w:p>
        </w:tc>
      </w:tr>
      <w:tr w14:paraId="742CB871">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14B19">
            <w:pPr>
              <w:jc w:val="center"/>
              <w:rPr>
                <w:rFonts w:ascii="宋体" w:hAnsi="宋体" w:cs="宋体"/>
                <w:color w:val="000000"/>
                <w:sz w:val="22"/>
                <w:szCs w:val="22"/>
              </w:rPr>
            </w:pPr>
          </w:p>
        </w:tc>
        <w:tc>
          <w:tcPr>
            <w:tcW w:w="9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9ECD198">
            <w:pPr>
              <w:jc w:val="center"/>
              <w:rPr>
                <w:rFonts w:ascii="宋体" w:hAnsi="宋体" w:cs="宋体"/>
                <w:color w:val="000000"/>
                <w:sz w:val="22"/>
                <w:szCs w:val="22"/>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87C98">
            <w:pPr>
              <w:jc w:val="center"/>
              <w:rPr>
                <w:rFonts w:ascii="宋体" w:hAnsi="宋体" w:cs="宋体"/>
                <w:color w:val="000000"/>
                <w:sz w:val="22"/>
                <w:szCs w:val="22"/>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2B7B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烤烟质量完成率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091C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6B65D">
            <w:pPr>
              <w:rPr>
                <w:rFonts w:ascii="宋体" w:hAnsi="宋体" w:cs="宋体"/>
                <w:color w:val="000000"/>
                <w:sz w:val="24"/>
              </w:rPr>
            </w:pPr>
          </w:p>
        </w:tc>
      </w:tr>
      <w:tr w14:paraId="6B23879C">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70A91">
            <w:pPr>
              <w:jc w:val="center"/>
              <w:rPr>
                <w:rFonts w:ascii="宋体" w:hAnsi="宋体" w:cs="宋体"/>
                <w:color w:val="000000"/>
                <w:sz w:val="22"/>
                <w:szCs w:val="22"/>
              </w:rPr>
            </w:pPr>
          </w:p>
        </w:tc>
        <w:tc>
          <w:tcPr>
            <w:tcW w:w="9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B420284">
            <w:pPr>
              <w:jc w:val="center"/>
              <w:rPr>
                <w:rFonts w:ascii="宋体" w:hAnsi="宋体" w:cs="宋体"/>
                <w:color w:val="000000"/>
                <w:sz w:val="22"/>
                <w:szCs w:val="22"/>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21FE6">
            <w:pPr>
              <w:jc w:val="center"/>
              <w:rPr>
                <w:rFonts w:ascii="宋体" w:hAnsi="宋体" w:cs="宋体"/>
                <w:color w:val="000000"/>
                <w:sz w:val="22"/>
                <w:szCs w:val="22"/>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5FA4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绩效评价得分</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D1C8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D7A2B">
            <w:pPr>
              <w:rPr>
                <w:rFonts w:ascii="宋体" w:hAnsi="宋体" w:cs="宋体"/>
                <w:color w:val="000000"/>
                <w:sz w:val="24"/>
              </w:rPr>
            </w:pPr>
          </w:p>
        </w:tc>
      </w:tr>
      <w:tr w14:paraId="1C110B01">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2745E">
            <w:pPr>
              <w:jc w:val="center"/>
              <w:rPr>
                <w:rFonts w:ascii="宋体" w:hAnsi="宋体" w:cs="宋体"/>
                <w:color w:val="000000"/>
                <w:sz w:val="22"/>
                <w:szCs w:val="22"/>
              </w:rPr>
            </w:pPr>
          </w:p>
        </w:tc>
        <w:tc>
          <w:tcPr>
            <w:tcW w:w="9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8B267C2">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3739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时效指标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564A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完成及时率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85F1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BC30C">
            <w:pPr>
              <w:rPr>
                <w:rFonts w:ascii="宋体" w:hAnsi="宋体" w:cs="宋体"/>
                <w:color w:val="000000"/>
                <w:sz w:val="24"/>
              </w:rPr>
            </w:pPr>
          </w:p>
        </w:tc>
      </w:tr>
      <w:tr w14:paraId="2A0ADE67">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B47BD">
            <w:pPr>
              <w:jc w:val="center"/>
              <w:rPr>
                <w:rFonts w:ascii="宋体" w:hAnsi="宋体" w:cs="宋体"/>
                <w:color w:val="000000"/>
                <w:sz w:val="22"/>
                <w:szCs w:val="22"/>
              </w:rPr>
            </w:pPr>
          </w:p>
        </w:tc>
        <w:tc>
          <w:tcPr>
            <w:tcW w:w="9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D8B37E9">
            <w:pPr>
              <w:jc w:val="center"/>
              <w:rPr>
                <w:rFonts w:ascii="宋体" w:hAnsi="宋体" w:cs="宋体"/>
                <w:color w:val="000000"/>
                <w:sz w:val="22"/>
                <w:szCs w:val="22"/>
              </w:rPr>
            </w:pPr>
          </w:p>
        </w:tc>
        <w:tc>
          <w:tcPr>
            <w:tcW w:w="126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04A577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成本指标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9842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每个村烤房维护资金概算</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7B3D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949CA">
            <w:pPr>
              <w:rPr>
                <w:rFonts w:ascii="宋体" w:hAnsi="宋体" w:cs="宋体"/>
                <w:color w:val="000000"/>
                <w:sz w:val="24"/>
              </w:rPr>
            </w:pPr>
          </w:p>
        </w:tc>
      </w:tr>
      <w:tr w14:paraId="36DEF7F6">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A4ECC">
            <w:pPr>
              <w:jc w:val="center"/>
              <w:rPr>
                <w:rFonts w:ascii="宋体" w:hAnsi="宋体" w:cs="宋体"/>
                <w:color w:val="000000"/>
                <w:sz w:val="22"/>
                <w:szCs w:val="22"/>
              </w:rPr>
            </w:pPr>
          </w:p>
        </w:tc>
        <w:tc>
          <w:tcPr>
            <w:tcW w:w="9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2D841AA">
            <w:pPr>
              <w:jc w:val="center"/>
              <w:rPr>
                <w:rFonts w:ascii="宋体" w:hAnsi="宋体" w:cs="宋体"/>
                <w:color w:val="000000"/>
                <w:sz w:val="22"/>
                <w:szCs w:val="22"/>
              </w:rPr>
            </w:pPr>
          </w:p>
        </w:tc>
        <w:tc>
          <w:tcPr>
            <w:tcW w:w="126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E837FCE">
            <w:pPr>
              <w:jc w:val="center"/>
              <w:rPr>
                <w:rFonts w:ascii="宋体" w:hAnsi="宋体" w:cs="宋体"/>
                <w:color w:val="000000"/>
                <w:sz w:val="22"/>
                <w:szCs w:val="22"/>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E71E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每个村新建烤房资金概算</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712E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D722B">
            <w:pPr>
              <w:rPr>
                <w:rFonts w:ascii="宋体" w:hAnsi="宋体" w:cs="宋体"/>
                <w:color w:val="000000"/>
                <w:sz w:val="24"/>
              </w:rPr>
            </w:pPr>
          </w:p>
        </w:tc>
      </w:tr>
      <w:tr w14:paraId="2AF993EC">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5DEC6">
            <w:pPr>
              <w:jc w:val="center"/>
              <w:rPr>
                <w:rFonts w:ascii="宋体" w:hAnsi="宋体" w:cs="宋体"/>
                <w:color w:val="000000"/>
                <w:sz w:val="22"/>
                <w:szCs w:val="22"/>
              </w:rPr>
            </w:pPr>
          </w:p>
        </w:tc>
        <w:tc>
          <w:tcPr>
            <w:tcW w:w="92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ADC09A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126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523752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社会效益指标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C668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覆盖村小组数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45F81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73个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9E127">
            <w:pPr>
              <w:rPr>
                <w:rFonts w:ascii="宋体" w:hAnsi="宋体" w:cs="宋体"/>
                <w:color w:val="000000"/>
                <w:sz w:val="24"/>
              </w:rPr>
            </w:pPr>
          </w:p>
        </w:tc>
      </w:tr>
      <w:tr w14:paraId="07325797">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5EB69">
            <w:pPr>
              <w:jc w:val="center"/>
              <w:rPr>
                <w:rFonts w:ascii="宋体" w:hAnsi="宋体" w:cs="宋体"/>
                <w:color w:val="000000"/>
                <w:sz w:val="22"/>
                <w:szCs w:val="22"/>
              </w:rPr>
            </w:pPr>
          </w:p>
        </w:tc>
        <w:tc>
          <w:tcPr>
            <w:tcW w:w="9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94F33B8">
            <w:pPr>
              <w:jc w:val="center"/>
              <w:rPr>
                <w:rFonts w:ascii="宋体" w:hAnsi="宋体" w:cs="宋体"/>
                <w:color w:val="000000"/>
                <w:sz w:val="22"/>
                <w:szCs w:val="22"/>
              </w:rPr>
            </w:pPr>
          </w:p>
        </w:tc>
        <w:tc>
          <w:tcPr>
            <w:tcW w:w="126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A5F6E54">
            <w:pPr>
              <w:jc w:val="center"/>
              <w:rPr>
                <w:rFonts w:ascii="宋体" w:hAnsi="宋体" w:cs="宋体"/>
                <w:color w:val="000000"/>
                <w:sz w:val="22"/>
                <w:szCs w:val="22"/>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F0D1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覆盖党员数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722B2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126人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D5111">
            <w:pPr>
              <w:rPr>
                <w:rFonts w:ascii="宋体" w:hAnsi="宋体" w:cs="宋体"/>
                <w:color w:val="000000"/>
                <w:sz w:val="24"/>
              </w:rPr>
            </w:pPr>
          </w:p>
        </w:tc>
      </w:tr>
      <w:tr w14:paraId="720DB9C9">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24803">
            <w:pPr>
              <w:jc w:val="center"/>
              <w:rPr>
                <w:rFonts w:ascii="宋体" w:hAnsi="宋体" w:cs="宋体"/>
                <w:color w:val="000000"/>
                <w:sz w:val="22"/>
                <w:szCs w:val="22"/>
              </w:rPr>
            </w:pPr>
          </w:p>
        </w:tc>
        <w:tc>
          <w:tcPr>
            <w:tcW w:w="9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C6B2904">
            <w:pPr>
              <w:jc w:val="center"/>
              <w:rPr>
                <w:rFonts w:ascii="宋体" w:hAnsi="宋体" w:cs="宋体"/>
                <w:color w:val="000000"/>
                <w:sz w:val="22"/>
                <w:szCs w:val="22"/>
              </w:rPr>
            </w:pPr>
          </w:p>
        </w:tc>
        <w:tc>
          <w:tcPr>
            <w:tcW w:w="126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51B9DB3">
            <w:pPr>
              <w:jc w:val="center"/>
              <w:rPr>
                <w:rFonts w:ascii="宋体" w:hAnsi="宋体" w:cs="宋体"/>
                <w:color w:val="000000"/>
                <w:sz w:val="22"/>
                <w:szCs w:val="22"/>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AFED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覆盖村民数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94018E">
            <w:pPr>
              <w:widowControl/>
              <w:jc w:val="center"/>
              <w:textAlignment w:val="center"/>
              <w:rPr>
                <w:color w:val="0D0D0D"/>
                <w:sz w:val="20"/>
                <w:szCs w:val="20"/>
              </w:rPr>
            </w:pPr>
            <w:r>
              <w:rPr>
                <w:rFonts w:hint="eastAsia"/>
                <w:color w:val="0D0D0D"/>
                <w:kern w:val="0"/>
                <w:sz w:val="20"/>
                <w:szCs w:val="20"/>
              </w:rPr>
              <w:t>3510</w:t>
            </w:r>
            <w:r>
              <w:rPr>
                <w:rStyle w:val="31"/>
                <w:rFonts w:hint="default"/>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966FB">
            <w:pPr>
              <w:rPr>
                <w:rFonts w:ascii="宋体" w:hAnsi="宋体" w:cs="宋体"/>
                <w:color w:val="000000"/>
                <w:sz w:val="24"/>
              </w:rPr>
            </w:pPr>
          </w:p>
        </w:tc>
      </w:tr>
      <w:tr w14:paraId="48FFAF61">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CDB6A">
            <w:pPr>
              <w:jc w:val="center"/>
              <w:rPr>
                <w:rFonts w:ascii="宋体" w:hAnsi="宋体" w:cs="宋体"/>
                <w:color w:val="000000"/>
                <w:sz w:val="22"/>
                <w:szCs w:val="22"/>
              </w:rPr>
            </w:pPr>
          </w:p>
        </w:tc>
        <w:tc>
          <w:tcPr>
            <w:tcW w:w="9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76CFF21">
            <w:pPr>
              <w:jc w:val="center"/>
              <w:rPr>
                <w:rFonts w:ascii="宋体" w:hAnsi="宋体" w:cs="宋体"/>
                <w:color w:val="000000"/>
                <w:sz w:val="22"/>
                <w:szCs w:val="22"/>
              </w:rPr>
            </w:pPr>
          </w:p>
        </w:tc>
        <w:tc>
          <w:tcPr>
            <w:tcW w:w="126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CA1834D">
            <w:pPr>
              <w:jc w:val="center"/>
              <w:rPr>
                <w:rFonts w:ascii="宋体" w:hAnsi="宋体" w:cs="宋体"/>
                <w:color w:val="000000"/>
                <w:sz w:val="22"/>
                <w:szCs w:val="22"/>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25DC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覆盖建档立卡贫困人数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070DF4">
            <w:pPr>
              <w:widowControl/>
              <w:jc w:val="center"/>
              <w:textAlignment w:val="center"/>
              <w:rPr>
                <w:rFonts w:ascii="宋体" w:hAnsi="宋体" w:cs="宋体"/>
                <w:color w:val="0D0D0D"/>
                <w:sz w:val="20"/>
                <w:szCs w:val="20"/>
              </w:rPr>
            </w:pPr>
            <w:r>
              <w:rPr>
                <w:rFonts w:hint="eastAsia" w:ascii="宋体" w:hAnsi="宋体" w:cs="宋体"/>
                <w:color w:val="0D0D0D"/>
                <w:kern w:val="0"/>
                <w:sz w:val="20"/>
                <w:szCs w:val="20"/>
              </w:rPr>
              <w:t>≥22人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CE9BA">
            <w:pPr>
              <w:rPr>
                <w:rFonts w:ascii="宋体" w:hAnsi="宋体" w:cs="宋体"/>
                <w:color w:val="000000"/>
                <w:sz w:val="24"/>
              </w:rPr>
            </w:pPr>
          </w:p>
        </w:tc>
      </w:tr>
      <w:tr w14:paraId="6F12A15C">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2DB2F">
            <w:pPr>
              <w:jc w:val="center"/>
              <w:rPr>
                <w:rFonts w:ascii="宋体" w:hAnsi="宋体" w:cs="宋体"/>
                <w:color w:val="000000"/>
                <w:sz w:val="22"/>
                <w:szCs w:val="22"/>
              </w:rPr>
            </w:pPr>
          </w:p>
        </w:tc>
        <w:tc>
          <w:tcPr>
            <w:tcW w:w="9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1F41C73">
            <w:pPr>
              <w:jc w:val="center"/>
              <w:rPr>
                <w:rFonts w:ascii="宋体" w:hAnsi="宋体" w:cs="宋体"/>
                <w:color w:val="000000"/>
                <w:sz w:val="22"/>
                <w:szCs w:val="22"/>
              </w:rPr>
            </w:pPr>
          </w:p>
        </w:tc>
        <w:tc>
          <w:tcPr>
            <w:tcW w:w="126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C3B4D2F">
            <w:pPr>
              <w:jc w:val="center"/>
              <w:rPr>
                <w:rFonts w:ascii="宋体" w:hAnsi="宋体" w:cs="宋体"/>
                <w:color w:val="000000"/>
                <w:sz w:val="22"/>
                <w:szCs w:val="22"/>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72E1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党组织的战斗堡垒作用</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BE6C55">
            <w:pPr>
              <w:widowControl/>
              <w:jc w:val="center"/>
              <w:textAlignment w:val="center"/>
              <w:rPr>
                <w:rFonts w:ascii="宋体" w:hAnsi="宋体" w:cs="宋体"/>
                <w:color w:val="0D0D0D"/>
                <w:sz w:val="20"/>
                <w:szCs w:val="20"/>
              </w:rPr>
            </w:pPr>
            <w:r>
              <w:rPr>
                <w:rFonts w:hint="eastAsia" w:ascii="宋体" w:hAnsi="宋体" w:cs="宋体"/>
                <w:color w:val="0D0D0D"/>
                <w:kern w:val="0"/>
                <w:sz w:val="20"/>
                <w:szCs w:val="20"/>
              </w:rPr>
              <w:t>明显发挥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EB3D3">
            <w:pPr>
              <w:rPr>
                <w:rFonts w:ascii="宋体" w:hAnsi="宋体" w:cs="宋体"/>
                <w:color w:val="000000"/>
                <w:sz w:val="24"/>
              </w:rPr>
            </w:pPr>
          </w:p>
        </w:tc>
      </w:tr>
      <w:tr w14:paraId="6756BD98">
        <w:tblPrEx>
          <w:tblCellMar>
            <w:top w:w="0" w:type="dxa"/>
            <w:left w:w="0" w:type="dxa"/>
            <w:bottom w:w="0" w:type="dxa"/>
            <w:right w:w="0"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6CC51">
            <w:pPr>
              <w:jc w:val="center"/>
              <w:rPr>
                <w:rFonts w:ascii="宋体" w:hAnsi="宋体" w:cs="宋体"/>
                <w:color w:val="000000"/>
                <w:sz w:val="22"/>
                <w:szCs w:val="22"/>
              </w:rPr>
            </w:pPr>
          </w:p>
        </w:tc>
        <w:tc>
          <w:tcPr>
            <w:tcW w:w="9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B3EDE34">
            <w:pPr>
              <w:jc w:val="center"/>
              <w:rPr>
                <w:rFonts w:ascii="宋体" w:hAnsi="宋体" w:cs="宋体"/>
                <w:color w:val="000000"/>
                <w:sz w:val="22"/>
                <w:szCs w:val="22"/>
              </w:rPr>
            </w:pPr>
          </w:p>
        </w:tc>
        <w:tc>
          <w:tcPr>
            <w:tcW w:w="126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55615A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可持续影响指标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5878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项目使用年限</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FEAF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07641">
            <w:pPr>
              <w:rPr>
                <w:rFonts w:ascii="宋体" w:hAnsi="宋体" w:cs="宋体"/>
                <w:color w:val="000000"/>
                <w:sz w:val="24"/>
              </w:rPr>
            </w:pPr>
          </w:p>
        </w:tc>
      </w:tr>
      <w:tr w14:paraId="71E6830A">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9D4CD">
            <w:pPr>
              <w:jc w:val="center"/>
              <w:rPr>
                <w:rFonts w:ascii="宋体" w:hAnsi="宋体" w:cs="宋体"/>
                <w:color w:val="000000"/>
                <w:sz w:val="22"/>
                <w:szCs w:val="22"/>
              </w:rPr>
            </w:pPr>
          </w:p>
        </w:tc>
        <w:tc>
          <w:tcPr>
            <w:tcW w:w="92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27108D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服务对象满意度指标</w:t>
            </w:r>
          </w:p>
        </w:tc>
        <w:tc>
          <w:tcPr>
            <w:tcW w:w="126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506ACF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65E4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群众满意度</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4805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646EA">
            <w:pPr>
              <w:rPr>
                <w:rFonts w:ascii="宋体" w:hAnsi="宋体" w:cs="宋体"/>
                <w:color w:val="000000"/>
                <w:sz w:val="24"/>
              </w:rPr>
            </w:pPr>
          </w:p>
        </w:tc>
      </w:tr>
      <w:tr w14:paraId="5B0FDB69">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A7753">
            <w:pPr>
              <w:jc w:val="center"/>
              <w:rPr>
                <w:rFonts w:ascii="宋体" w:hAnsi="宋体" w:cs="宋体"/>
                <w:color w:val="000000"/>
                <w:sz w:val="22"/>
                <w:szCs w:val="22"/>
              </w:rPr>
            </w:pPr>
          </w:p>
        </w:tc>
        <w:tc>
          <w:tcPr>
            <w:tcW w:w="9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A1E95E5">
            <w:pPr>
              <w:jc w:val="center"/>
              <w:rPr>
                <w:rFonts w:ascii="宋体" w:hAnsi="宋体" w:cs="宋体"/>
                <w:color w:val="000000"/>
                <w:sz w:val="22"/>
                <w:szCs w:val="22"/>
              </w:rPr>
            </w:pPr>
          </w:p>
        </w:tc>
        <w:tc>
          <w:tcPr>
            <w:tcW w:w="126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58F6B7F">
            <w:pPr>
              <w:jc w:val="center"/>
              <w:rPr>
                <w:rFonts w:ascii="宋体" w:hAnsi="宋体" w:cs="宋体"/>
                <w:color w:val="000000"/>
                <w:sz w:val="22"/>
                <w:szCs w:val="22"/>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7074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党员满意度</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F6D5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603BE">
            <w:pPr>
              <w:rPr>
                <w:rFonts w:ascii="宋体" w:hAnsi="宋体" w:cs="宋体"/>
                <w:color w:val="000000"/>
                <w:sz w:val="24"/>
              </w:rPr>
            </w:pPr>
          </w:p>
        </w:tc>
      </w:tr>
      <w:tr w14:paraId="6DA6C68B">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428BE">
            <w:pPr>
              <w:jc w:val="center"/>
              <w:rPr>
                <w:rFonts w:ascii="宋体" w:hAnsi="宋体" w:cs="宋体"/>
                <w:color w:val="000000"/>
                <w:sz w:val="22"/>
                <w:szCs w:val="22"/>
              </w:rPr>
            </w:pPr>
          </w:p>
        </w:tc>
        <w:tc>
          <w:tcPr>
            <w:tcW w:w="9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44DDB48">
            <w:pPr>
              <w:jc w:val="center"/>
              <w:rPr>
                <w:rFonts w:ascii="宋体" w:hAnsi="宋体" w:cs="宋体"/>
                <w:color w:val="000000"/>
                <w:sz w:val="22"/>
                <w:szCs w:val="22"/>
              </w:rPr>
            </w:pPr>
          </w:p>
        </w:tc>
        <w:tc>
          <w:tcPr>
            <w:tcW w:w="126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08B6CB4">
            <w:pPr>
              <w:jc w:val="center"/>
              <w:rPr>
                <w:rFonts w:ascii="宋体" w:hAnsi="宋体" w:cs="宋体"/>
                <w:color w:val="000000"/>
                <w:sz w:val="22"/>
                <w:szCs w:val="22"/>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8720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受益贫困人口满意度</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AC1E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275C9">
            <w:pPr>
              <w:rPr>
                <w:rFonts w:ascii="宋体" w:hAnsi="宋体" w:cs="宋体"/>
                <w:color w:val="000000"/>
                <w:sz w:val="24"/>
              </w:rPr>
            </w:pPr>
          </w:p>
        </w:tc>
      </w:tr>
      <w:tr w14:paraId="58AB11D1">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B7DD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其他说明的问题</w:t>
            </w:r>
          </w:p>
        </w:tc>
        <w:tc>
          <w:tcPr>
            <w:tcW w:w="854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06760">
            <w:pPr>
              <w:jc w:val="center"/>
              <w:rPr>
                <w:rFonts w:ascii="宋体" w:hAnsi="宋体" w:cs="宋体"/>
                <w:color w:val="000000"/>
                <w:sz w:val="24"/>
              </w:rPr>
            </w:pPr>
          </w:p>
        </w:tc>
      </w:tr>
    </w:tbl>
    <w:p w14:paraId="75CF56BF">
      <w:pPr>
        <w:spacing w:line="580" w:lineRule="exact"/>
        <w:ind w:left="630"/>
        <w:rPr>
          <w:rFonts w:ascii="仿宋_GB2312" w:hAnsi="仿宋_GB2312" w:eastAsia="仿宋_GB2312" w:cs="仿宋_GB2312"/>
          <w:sz w:val="32"/>
          <w:szCs w:val="32"/>
        </w:rPr>
      </w:pPr>
    </w:p>
    <w:p w14:paraId="14A52471">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14:paraId="5A84A92E">
      <w:pPr>
        <w:spacing w:line="600" w:lineRule="exact"/>
        <w:rPr>
          <w:rFonts w:eastAsia="仿宋_GB2312"/>
          <w:sz w:val="32"/>
          <w:szCs w:val="32"/>
        </w:rPr>
      </w:pPr>
      <w:bookmarkStart w:id="55" w:name="_Toc15396613"/>
      <w:bookmarkStart w:id="56" w:name="_Toc15377225"/>
      <w:r>
        <w:rPr>
          <w:rFonts w:hint="eastAsia" w:eastAsia="仿宋_GB2312"/>
          <w:sz w:val="32"/>
          <w:szCs w:val="32"/>
        </w:rPr>
        <w:t xml:space="preserve">    </w:t>
      </w:r>
      <w:r>
        <w:rPr>
          <w:rFonts w:eastAsia="仿宋_GB2312"/>
          <w:sz w:val="32"/>
          <w:szCs w:val="32"/>
        </w:rPr>
        <w:t>部门职责履行结果。我</w:t>
      </w:r>
      <w:r>
        <w:rPr>
          <w:rFonts w:hint="eastAsia" w:eastAsia="仿宋_GB2312"/>
          <w:sz w:val="32"/>
          <w:szCs w:val="32"/>
        </w:rPr>
        <w:t>镇</w:t>
      </w:r>
      <w:r>
        <w:rPr>
          <w:rFonts w:eastAsia="仿宋_GB2312"/>
          <w:sz w:val="32"/>
          <w:szCs w:val="32"/>
        </w:rPr>
        <w:t>大力加强财政收支管理，使部门整体支出管理情况得到了提升，保障了各项工作的有序高效运转，较好地履行了各项职能，并完成了上级交</w:t>
      </w:r>
      <w:r>
        <w:rPr>
          <w:rFonts w:hint="eastAsia" w:eastAsia="仿宋_GB2312"/>
          <w:sz w:val="32"/>
          <w:szCs w:val="32"/>
        </w:rPr>
        <w:t>镇</w:t>
      </w:r>
      <w:r>
        <w:rPr>
          <w:rFonts w:eastAsia="仿宋_GB2312"/>
          <w:sz w:val="32"/>
          <w:szCs w:val="32"/>
        </w:rPr>
        <w:t>的各项任务。</w:t>
      </w:r>
      <w:r>
        <w:rPr>
          <w:rFonts w:hint="eastAsia" w:eastAsia="仿宋_GB2312"/>
          <w:sz w:val="32"/>
          <w:szCs w:val="32"/>
        </w:rPr>
        <w:t xml:space="preserve">    </w:t>
      </w:r>
    </w:p>
    <w:p w14:paraId="25B30230">
      <w:pPr>
        <w:spacing w:line="600" w:lineRule="exact"/>
        <w:rPr>
          <w:rFonts w:eastAsia="仿宋_GB2312"/>
          <w:sz w:val="32"/>
          <w:szCs w:val="32"/>
        </w:rPr>
      </w:pPr>
      <w:r>
        <w:rPr>
          <w:rFonts w:hint="eastAsia" w:eastAsia="仿宋_GB2312"/>
          <w:sz w:val="32"/>
          <w:szCs w:val="32"/>
        </w:rPr>
        <w:t xml:space="preserve">     </w:t>
      </w:r>
      <w:r>
        <w:rPr>
          <w:rFonts w:eastAsia="仿宋_GB2312"/>
          <w:sz w:val="32"/>
          <w:szCs w:val="32"/>
        </w:rPr>
        <w:t>重点项目绩效评价结果。201</w:t>
      </w:r>
      <w:r>
        <w:rPr>
          <w:rFonts w:hint="eastAsia" w:eastAsia="仿宋_GB2312"/>
          <w:sz w:val="32"/>
          <w:szCs w:val="32"/>
        </w:rPr>
        <w:t>9</w:t>
      </w:r>
      <w:r>
        <w:rPr>
          <w:rFonts w:eastAsia="仿宋_GB2312"/>
          <w:sz w:val="32"/>
          <w:szCs w:val="32"/>
        </w:rPr>
        <w:t>年，我</w:t>
      </w:r>
      <w:r>
        <w:rPr>
          <w:rFonts w:hint="eastAsia" w:eastAsia="仿宋_GB2312"/>
          <w:sz w:val="32"/>
          <w:szCs w:val="32"/>
        </w:rPr>
        <w:t>镇</w:t>
      </w:r>
      <w:r>
        <w:rPr>
          <w:rFonts w:eastAsia="仿宋_GB2312"/>
          <w:sz w:val="32"/>
          <w:szCs w:val="32"/>
        </w:rPr>
        <w:t>从本级预算安排项目中选择重点项目开展支出绩效评价工作，从评价结果看，被评价项目总体绩效目标明确，决策依据充分，资金分配科学合理，项目管理较规范，项目完成良好，基本达到了预期效果。</w:t>
      </w:r>
    </w:p>
    <w:p w14:paraId="664E6E04">
      <w:pPr>
        <w:spacing w:line="600" w:lineRule="exact"/>
        <w:ind w:firstLine="630"/>
        <w:rPr>
          <w:rFonts w:eastAsia="仿宋_GB2312"/>
          <w:sz w:val="32"/>
          <w:szCs w:val="32"/>
        </w:rPr>
      </w:pPr>
      <w:r>
        <w:rPr>
          <w:rFonts w:eastAsia="仿宋_GB2312"/>
          <w:sz w:val="32"/>
          <w:szCs w:val="32"/>
        </w:rPr>
        <w:t>服务对象满意度。积极认真</w:t>
      </w:r>
      <w:r>
        <w:rPr>
          <w:rFonts w:hint="eastAsia" w:eastAsia="仿宋_GB2312"/>
          <w:sz w:val="32"/>
          <w:szCs w:val="32"/>
        </w:rPr>
        <w:t>镇梳</w:t>
      </w:r>
      <w:r>
        <w:rPr>
          <w:rFonts w:eastAsia="仿宋_GB2312"/>
          <w:sz w:val="32"/>
          <w:szCs w:val="32"/>
        </w:rPr>
        <w:t>理人大代表建议、妥善处理群众来信来访、化解社会矛盾情况，加强政风行风建设、解决损害群众利益的情况，人民群众满意度较好。</w:t>
      </w:r>
    </w:p>
    <w:p w14:paraId="2FC27B58">
      <w:pPr>
        <w:spacing w:line="600" w:lineRule="exact"/>
        <w:ind w:firstLine="630"/>
        <w:rPr>
          <w:rFonts w:eastAsia="仿宋_GB2312"/>
          <w:sz w:val="32"/>
          <w:szCs w:val="32"/>
        </w:rPr>
      </w:pPr>
    </w:p>
    <w:p w14:paraId="2E72055B">
      <w:pPr>
        <w:numPr>
          <w:ilvl w:val="0"/>
          <w:numId w:val="3"/>
        </w:numPr>
        <w:spacing w:line="600" w:lineRule="exact"/>
        <w:ind w:firstLine="660" w:firstLineChars="150"/>
        <w:jc w:val="center"/>
        <w:outlineLvl w:val="0"/>
        <w:rPr>
          <w:rStyle w:val="25"/>
          <w:rFonts w:ascii="黑体" w:hAnsi="黑体" w:eastAsia="黑体"/>
          <w:b w:val="0"/>
        </w:rPr>
      </w:pPr>
      <w:r>
        <w:rPr>
          <w:rFonts w:hint="eastAsia" w:ascii="黑体" w:hAnsi="黑体" w:eastAsia="黑体"/>
          <w:color w:val="000000"/>
          <w:sz w:val="44"/>
          <w:szCs w:val="44"/>
        </w:rPr>
        <w:t>名</w:t>
      </w:r>
      <w:r>
        <w:rPr>
          <w:rStyle w:val="25"/>
          <w:rFonts w:hint="eastAsia" w:ascii="黑体" w:hAnsi="黑体" w:eastAsia="黑体"/>
          <w:b w:val="0"/>
        </w:rPr>
        <w:t>词解释</w:t>
      </w:r>
      <w:bookmarkEnd w:id="55"/>
      <w:bookmarkEnd w:id="56"/>
    </w:p>
    <w:p w14:paraId="2210E291">
      <w:pPr>
        <w:spacing w:line="600" w:lineRule="exact"/>
        <w:jc w:val="left"/>
        <w:rPr>
          <w:rFonts w:ascii="宋体"/>
          <w:b/>
          <w:color w:val="000000"/>
          <w:sz w:val="44"/>
          <w:szCs w:val="44"/>
        </w:rPr>
      </w:pPr>
    </w:p>
    <w:p w14:paraId="2364C053">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569F1750">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14:paraId="5E7B01F0">
      <w:pPr>
        <w:pStyle w:val="2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14:paraId="477B9ED9">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14:paraId="3CD0B1E4">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14:paraId="3FB42CD9">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14:paraId="66F10EAD">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14:paraId="71ED0EDE">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14:paraId="650CE123">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14:paraId="387FD273">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14:paraId="6AA4EEDA">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14:paraId="570BA250">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14:paraId="35AFEC3B">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14:paraId="1689A2D5">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14:paraId="66C46A1E">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14:paraId="3F6D356E">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14:paraId="6C9C3F88">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14:paraId="7D273FFA">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14:paraId="6D88DD39">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14:paraId="4F3DC404">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14:paraId="0A11D4DF">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14:paraId="41E9EC59">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14:paraId="0CEF94D0">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14:paraId="46B69833">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14:paraId="12FE00B0">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14:paraId="719B59B7">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14:paraId="2C232E77">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14:paraId="4E682885">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14:paraId="6F53FD90">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14:paraId="1B54F288">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9年政府收支分类科目》增减内容。）</w:t>
      </w:r>
    </w:p>
    <w:p w14:paraId="647ACF46">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14:paraId="437085CC">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14:paraId="5CE01BAB">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14:paraId="7B2FC0E2">
      <w:pPr>
        <w:pStyle w:val="23"/>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68BE74F7">
      <w:pPr>
        <w:pStyle w:val="23"/>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02C00AF">
      <w:pPr>
        <w:pStyle w:val="23"/>
        <w:spacing w:line="560" w:lineRule="exact"/>
        <w:ind w:firstLine="640" w:firstLineChars="200"/>
        <w:rPr>
          <w:rFonts w:ascii="仿宋_GB2312" w:eastAsia="仿宋_GB2312" w:cs="黑体"/>
          <w:sz w:val="32"/>
          <w:szCs w:val="32"/>
        </w:rPr>
      </w:pPr>
    </w:p>
    <w:p w14:paraId="5F474624">
      <w:pPr>
        <w:spacing w:line="600" w:lineRule="exact"/>
        <w:jc w:val="center"/>
        <w:outlineLvl w:val="0"/>
        <w:rPr>
          <w:rFonts w:ascii="黑体" w:hAnsi="黑体" w:eastAsia="黑体"/>
          <w:color w:val="000000"/>
          <w:sz w:val="44"/>
          <w:szCs w:val="44"/>
        </w:rPr>
      </w:pPr>
      <w:bookmarkStart w:id="57" w:name="_Toc15396614"/>
      <w:bookmarkStart w:id="58" w:name="_Toc15377226"/>
    </w:p>
    <w:p w14:paraId="268697A4">
      <w:pPr>
        <w:spacing w:line="600" w:lineRule="exact"/>
        <w:jc w:val="center"/>
        <w:outlineLvl w:val="0"/>
        <w:rPr>
          <w:rFonts w:ascii="黑体" w:hAnsi="黑体" w:eastAsia="黑体"/>
          <w:color w:val="000000"/>
          <w:sz w:val="44"/>
          <w:szCs w:val="44"/>
        </w:rPr>
      </w:pPr>
    </w:p>
    <w:p w14:paraId="38BBECA7">
      <w:pPr>
        <w:spacing w:line="600" w:lineRule="exact"/>
        <w:jc w:val="center"/>
        <w:outlineLvl w:val="0"/>
        <w:rPr>
          <w:rFonts w:ascii="黑体" w:hAnsi="黑体" w:eastAsia="黑体"/>
          <w:color w:val="000000"/>
          <w:sz w:val="44"/>
          <w:szCs w:val="44"/>
        </w:rPr>
      </w:pPr>
    </w:p>
    <w:p w14:paraId="4FD1091B">
      <w:pPr>
        <w:spacing w:line="600" w:lineRule="exact"/>
        <w:jc w:val="center"/>
        <w:outlineLvl w:val="0"/>
        <w:rPr>
          <w:rFonts w:ascii="黑体" w:hAnsi="黑体" w:eastAsia="黑体"/>
          <w:color w:val="000000"/>
          <w:sz w:val="44"/>
          <w:szCs w:val="44"/>
        </w:rPr>
      </w:pPr>
    </w:p>
    <w:p w14:paraId="162C0AF6">
      <w:pPr>
        <w:spacing w:line="600" w:lineRule="exact"/>
        <w:jc w:val="center"/>
        <w:outlineLvl w:val="0"/>
        <w:rPr>
          <w:rStyle w:val="25"/>
          <w:rFonts w:ascii="黑体" w:hAnsi="黑体" w:eastAsia="黑体"/>
          <w:b w:val="0"/>
        </w:rPr>
      </w:pPr>
      <w:r>
        <w:rPr>
          <w:rFonts w:hint="eastAsia" w:ascii="黑体" w:hAnsi="黑体" w:eastAsia="黑体"/>
          <w:color w:val="000000"/>
          <w:sz w:val="44"/>
          <w:szCs w:val="44"/>
        </w:rPr>
        <w:t>第</w:t>
      </w:r>
      <w:r>
        <w:rPr>
          <w:rStyle w:val="25"/>
          <w:rFonts w:hint="eastAsia" w:ascii="黑体" w:hAnsi="黑体" w:eastAsia="黑体"/>
          <w:b w:val="0"/>
        </w:rPr>
        <w:t>四部分 附件</w:t>
      </w:r>
      <w:bookmarkEnd w:id="57"/>
    </w:p>
    <w:p w14:paraId="0A2D3A31">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附件1</w:t>
      </w:r>
    </w:p>
    <w:p w14:paraId="3B9EA48C">
      <w:pPr>
        <w:spacing w:line="600" w:lineRule="exact"/>
        <w:jc w:val="center"/>
        <w:outlineLvl w:val="0"/>
        <w:rPr>
          <w:rFonts w:ascii="黑体" w:hAnsi="黑体" w:eastAsia="黑体" w:cs="方正小标宋简体"/>
          <w:sz w:val="36"/>
          <w:szCs w:val="36"/>
        </w:rPr>
      </w:pPr>
      <w:bookmarkStart w:id="59" w:name="_Toc15396616"/>
      <w:r>
        <w:rPr>
          <w:rFonts w:hint="eastAsia" w:ascii="黑体" w:hAnsi="黑体" w:eastAsia="黑体" w:cs="方正小标宋简体"/>
          <w:sz w:val="36"/>
          <w:szCs w:val="36"/>
        </w:rPr>
        <w:t>广元市昭化区磨滩镇人民政府</w:t>
      </w:r>
    </w:p>
    <w:p w14:paraId="53AE24B6">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2019年部门整体支出绩效评价报告</w:t>
      </w:r>
      <w:bookmarkEnd w:id="59"/>
    </w:p>
    <w:p w14:paraId="4F445F3B">
      <w:pPr>
        <w:spacing w:line="600" w:lineRule="exact"/>
        <w:ind w:firstLine="640" w:firstLineChars="200"/>
        <w:rPr>
          <w:rFonts w:ascii="黑体" w:hAnsi="黑体" w:eastAsia="黑体" w:cs="黑体"/>
          <w:sz w:val="32"/>
          <w:szCs w:val="32"/>
        </w:rPr>
      </w:pPr>
    </w:p>
    <w:p w14:paraId="332CF011">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14:paraId="568DC07C">
      <w:pPr>
        <w:spacing w:line="600" w:lineRule="exact"/>
        <w:ind w:firstLine="643" w:firstLineChars="200"/>
        <w:rPr>
          <w:rFonts w:ascii="仿宋" w:hAnsi="仿宋" w:eastAsia="仿宋" w:cs="仿宋_GB2312"/>
          <w:b/>
          <w:bCs/>
          <w:sz w:val="32"/>
          <w:szCs w:val="32"/>
        </w:rPr>
      </w:pPr>
      <w:r>
        <w:rPr>
          <w:rFonts w:ascii="仿宋" w:hAnsi="仿宋" w:eastAsia="仿宋" w:cs="仿宋_GB2312"/>
          <w:b/>
          <w:bCs/>
          <w:sz w:val="32"/>
          <w:szCs w:val="32"/>
        </w:rPr>
        <w:t>（一）机构组成。</w:t>
      </w:r>
    </w:p>
    <w:p w14:paraId="4E213BC0">
      <w:pPr>
        <w:spacing w:line="600" w:lineRule="exact"/>
        <w:ind w:firstLine="640" w:firstLineChars="200"/>
        <w:rPr>
          <w:rFonts w:ascii="仿宋" w:hAnsi="仿宋" w:eastAsia="仿宋" w:cs="仿宋"/>
          <w:sz w:val="32"/>
          <w:szCs w:val="32"/>
          <w:shd w:val="clear" w:color="auto" w:fill="FFFFFF"/>
        </w:rPr>
      </w:pPr>
      <w:r>
        <w:rPr>
          <w:rFonts w:hint="eastAsia" w:eastAsia="仿宋_GB2312"/>
          <w:sz w:val="32"/>
          <w:szCs w:val="32"/>
        </w:rPr>
        <w:t>磨滩镇</w:t>
      </w:r>
      <w:r>
        <w:rPr>
          <w:rFonts w:eastAsia="仿宋_GB2312"/>
          <w:sz w:val="32"/>
          <w:szCs w:val="32"/>
        </w:rPr>
        <w:t>201</w:t>
      </w:r>
      <w:r>
        <w:rPr>
          <w:rFonts w:hint="eastAsia" w:eastAsia="仿宋_GB2312"/>
          <w:sz w:val="32"/>
          <w:szCs w:val="32"/>
        </w:rPr>
        <w:t>9</w:t>
      </w:r>
      <w:r>
        <w:rPr>
          <w:rFonts w:eastAsia="仿宋_GB2312"/>
          <w:sz w:val="32"/>
          <w:szCs w:val="32"/>
        </w:rPr>
        <w:t>年末机构数为</w:t>
      </w:r>
      <w:r>
        <w:rPr>
          <w:rFonts w:hint="eastAsia" w:eastAsia="仿宋_GB2312"/>
          <w:sz w:val="32"/>
          <w:szCs w:val="32"/>
        </w:rPr>
        <w:t>4</w:t>
      </w:r>
      <w:r>
        <w:rPr>
          <w:rFonts w:eastAsia="仿宋_GB2312"/>
          <w:sz w:val="32"/>
          <w:szCs w:val="32"/>
        </w:rPr>
        <w:t>个，其中行政机关1个即</w:t>
      </w:r>
      <w:r>
        <w:rPr>
          <w:rFonts w:hint="eastAsia" w:eastAsia="仿宋_GB2312"/>
          <w:sz w:val="32"/>
          <w:szCs w:val="32"/>
        </w:rPr>
        <w:t>磨滩镇</w:t>
      </w:r>
      <w:r>
        <w:rPr>
          <w:rFonts w:eastAsia="仿宋_GB2312"/>
          <w:sz w:val="32"/>
          <w:szCs w:val="32"/>
        </w:rPr>
        <w:t>人民政府；事业机构3个，分别是党政</w:t>
      </w:r>
      <w:r>
        <w:rPr>
          <w:rFonts w:hint="eastAsia" w:eastAsia="仿宋_GB2312"/>
          <w:sz w:val="32"/>
          <w:szCs w:val="32"/>
        </w:rPr>
        <w:t>办</w:t>
      </w:r>
      <w:r>
        <w:rPr>
          <w:rFonts w:eastAsia="仿宋_GB2312"/>
          <w:sz w:val="32"/>
          <w:szCs w:val="32"/>
        </w:rPr>
        <w:t>公室、产业</w:t>
      </w:r>
      <w:r>
        <w:rPr>
          <w:rFonts w:hint="eastAsia" w:eastAsia="仿宋_GB2312"/>
          <w:sz w:val="32"/>
          <w:szCs w:val="32"/>
        </w:rPr>
        <w:t>发展中心</w:t>
      </w:r>
      <w:r>
        <w:rPr>
          <w:rFonts w:eastAsia="仿宋_GB2312"/>
          <w:sz w:val="32"/>
          <w:szCs w:val="32"/>
        </w:rPr>
        <w:t>、</w:t>
      </w:r>
      <w:r>
        <w:rPr>
          <w:rFonts w:hint="eastAsia" w:eastAsia="仿宋_GB2312"/>
          <w:sz w:val="32"/>
          <w:szCs w:val="32"/>
        </w:rPr>
        <w:t>综合治理</w:t>
      </w:r>
      <w:r>
        <w:rPr>
          <w:rFonts w:eastAsia="仿宋_GB2312"/>
          <w:sz w:val="32"/>
          <w:szCs w:val="32"/>
        </w:rPr>
        <w:t>中心</w:t>
      </w:r>
      <w:r>
        <w:rPr>
          <w:rFonts w:hint="eastAsia" w:eastAsia="仿宋_GB2312"/>
          <w:sz w:val="32"/>
          <w:szCs w:val="32"/>
        </w:rPr>
        <w:t>等</w:t>
      </w:r>
      <w:r>
        <w:rPr>
          <w:rFonts w:eastAsia="仿宋_GB2312"/>
          <w:sz w:val="32"/>
          <w:szCs w:val="32"/>
        </w:rPr>
        <w:t>。</w:t>
      </w:r>
    </w:p>
    <w:p w14:paraId="6DD18867">
      <w:pPr>
        <w:numPr>
          <w:ilvl w:val="0"/>
          <w:numId w:val="4"/>
        </w:numPr>
        <w:spacing w:line="600" w:lineRule="exact"/>
        <w:ind w:firstLine="643" w:firstLineChars="200"/>
        <w:rPr>
          <w:rFonts w:ascii="仿宋" w:hAnsi="仿宋" w:eastAsia="仿宋" w:cs="仿宋_GB2312"/>
          <w:b/>
          <w:bCs/>
          <w:sz w:val="32"/>
          <w:szCs w:val="32"/>
        </w:rPr>
      </w:pPr>
      <w:r>
        <w:rPr>
          <w:rFonts w:ascii="仿宋" w:hAnsi="仿宋" w:eastAsia="仿宋" w:cs="仿宋_GB2312"/>
          <w:b/>
          <w:bCs/>
          <w:sz w:val="32"/>
          <w:szCs w:val="32"/>
        </w:rPr>
        <w:t>机构职能。</w:t>
      </w:r>
    </w:p>
    <w:p w14:paraId="1B5282E9">
      <w:pPr>
        <w:spacing w:line="600" w:lineRule="exact"/>
        <w:ind w:firstLine="640" w:firstLineChars="200"/>
        <w:rPr>
          <w:rFonts w:eastAsia="仿宋_GB2312"/>
          <w:sz w:val="32"/>
          <w:szCs w:val="32"/>
        </w:rPr>
      </w:pPr>
      <w:r>
        <w:rPr>
          <w:rFonts w:eastAsia="仿宋_GB2312"/>
          <w:sz w:val="32"/>
          <w:szCs w:val="32"/>
        </w:rPr>
        <w:t>1.政府职能</w:t>
      </w:r>
    </w:p>
    <w:p w14:paraId="24A2D2CC">
      <w:pPr>
        <w:spacing w:line="600" w:lineRule="exact"/>
        <w:ind w:firstLine="640" w:firstLineChars="200"/>
        <w:rPr>
          <w:rFonts w:eastAsia="仿宋_GB2312"/>
          <w:sz w:val="32"/>
          <w:szCs w:val="32"/>
        </w:rPr>
      </w:pPr>
      <w:r>
        <w:rPr>
          <w:rFonts w:eastAsia="仿宋_GB2312"/>
          <w:sz w:val="32"/>
          <w:szCs w:val="32"/>
        </w:rPr>
        <w:t>落实国家政策，严格依法行政，发挥经济管理职能，加强政策引导，制定发展规划，服务市场主体和营造发展环境，搞好市场监管，大力促进社会事业发展，发展</w:t>
      </w:r>
      <w:r>
        <w:rPr>
          <w:rFonts w:hint="eastAsia" w:eastAsia="仿宋_GB2312"/>
          <w:sz w:val="32"/>
          <w:szCs w:val="32"/>
        </w:rPr>
        <w:t>镇</w:t>
      </w:r>
      <w:r>
        <w:rPr>
          <w:rFonts w:eastAsia="仿宋_GB2312"/>
          <w:sz w:val="32"/>
          <w:szCs w:val="32"/>
        </w:rPr>
        <w:t>村经济、文化和社会事业，提供公共服务，维护社会稳定，构建社会主义和谐社会。具体如下：①执行本级人民代表大会的决议和上级国家行政机关的决定和命令，发布决定和命令； ②执行本行政区域内的经济和社会发展计划、预算，管理本行政区域内的经济、教育、科学、文化、卫生、体育事业和财政、民政、公安、司法行政、计划生育等行政工作；③保护社会主义的全民所有的财产和劳动群众集体所有的财产，保护公民私人所有的合法财产，维护社会秩序，保障公民的人身权利、民主权利和其他权利；④保护各种经济组织的合法权益；⑤</w:t>
      </w:r>
      <w:r>
        <w:rPr>
          <w:rFonts w:hint="eastAsia" w:eastAsia="仿宋_GB2312"/>
          <w:sz w:val="32"/>
          <w:szCs w:val="32"/>
        </w:rPr>
        <w:t>办</w:t>
      </w:r>
      <w:r>
        <w:rPr>
          <w:rFonts w:eastAsia="仿宋_GB2312"/>
          <w:sz w:val="32"/>
          <w:szCs w:val="32"/>
        </w:rPr>
        <w:t>理上级人民政府交</w:t>
      </w:r>
      <w:r>
        <w:rPr>
          <w:rFonts w:hint="eastAsia" w:eastAsia="仿宋_GB2312"/>
          <w:sz w:val="32"/>
          <w:szCs w:val="32"/>
        </w:rPr>
        <w:t>办</w:t>
      </w:r>
      <w:r>
        <w:rPr>
          <w:rFonts w:eastAsia="仿宋_GB2312"/>
          <w:sz w:val="32"/>
          <w:szCs w:val="32"/>
        </w:rPr>
        <w:t>的其他事项。</w:t>
      </w:r>
    </w:p>
    <w:p w14:paraId="3E9B7BBB">
      <w:pPr>
        <w:spacing w:line="600" w:lineRule="exact"/>
        <w:ind w:firstLine="640" w:firstLineChars="200"/>
        <w:rPr>
          <w:rFonts w:eastAsia="仿宋_GB2312"/>
          <w:sz w:val="32"/>
          <w:szCs w:val="32"/>
        </w:rPr>
      </w:pPr>
      <w:r>
        <w:rPr>
          <w:rFonts w:eastAsia="仿宋_GB2312"/>
          <w:sz w:val="32"/>
          <w:szCs w:val="32"/>
        </w:rPr>
        <w:t>2.社会事务服务中心职能</w:t>
      </w:r>
    </w:p>
    <w:p w14:paraId="13FF6457">
      <w:pPr>
        <w:spacing w:line="600" w:lineRule="exact"/>
        <w:ind w:firstLine="640" w:firstLineChars="200"/>
        <w:rPr>
          <w:rFonts w:eastAsia="仿宋_GB2312"/>
          <w:sz w:val="32"/>
          <w:szCs w:val="32"/>
        </w:rPr>
      </w:pPr>
      <w:r>
        <w:rPr>
          <w:rFonts w:hint="eastAsia" w:eastAsia="仿宋_GB2312"/>
          <w:sz w:val="32"/>
          <w:szCs w:val="32"/>
        </w:rPr>
        <w:t>办</w:t>
      </w:r>
      <w:r>
        <w:rPr>
          <w:rFonts w:eastAsia="仿宋_GB2312"/>
          <w:sz w:val="32"/>
          <w:szCs w:val="32"/>
        </w:rPr>
        <w:t>理就业失业登记证、落实村干部养老金政策、开展城</w:t>
      </w:r>
      <w:r>
        <w:rPr>
          <w:rFonts w:hint="eastAsia" w:eastAsia="仿宋_GB2312"/>
          <w:sz w:val="32"/>
          <w:szCs w:val="32"/>
        </w:rPr>
        <w:t>镇</w:t>
      </w:r>
      <w:r>
        <w:rPr>
          <w:rFonts w:eastAsia="仿宋_GB2312"/>
          <w:sz w:val="32"/>
          <w:szCs w:val="32"/>
        </w:rPr>
        <w:t>居民社会养老保险工作、开展城镇居民养老保险；开展技能培训职业介绍和就业指导；大力开发农村劳动力资源；开展退休人员社会化管理等工作。</w:t>
      </w:r>
    </w:p>
    <w:p w14:paraId="79FDC9C7">
      <w:pPr>
        <w:spacing w:line="600" w:lineRule="exact"/>
        <w:ind w:firstLine="640" w:firstLineChars="200"/>
        <w:rPr>
          <w:rFonts w:eastAsia="仿宋_GB2312"/>
          <w:sz w:val="32"/>
          <w:szCs w:val="32"/>
        </w:rPr>
      </w:pPr>
      <w:r>
        <w:rPr>
          <w:rFonts w:eastAsia="仿宋_GB2312"/>
          <w:sz w:val="32"/>
          <w:szCs w:val="32"/>
        </w:rPr>
        <w:t>3.农村经济技术服务中心职能</w:t>
      </w:r>
    </w:p>
    <w:p w14:paraId="6CBD286A">
      <w:pPr>
        <w:pStyle w:val="24"/>
        <w:tabs>
          <w:tab w:val="left" w:pos="993"/>
        </w:tabs>
        <w:snapToGrid w:val="0"/>
        <w:spacing w:line="600" w:lineRule="exact"/>
        <w:ind w:firstLine="640"/>
        <w:rPr>
          <w:rFonts w:ascii="仿宋" w:hAnsi="仿宋" w:eastAsia="仿宋" w:cs="仿宋_GB2312"/>
          <w:sz w:val="32"/>
          <w:szCs w:val="32"/>
        </w:rPr>
      </w:pPr>
      <w:r>
        <w:rPr>
          <w:rFonts w:eastAsia="仿宋_GB2312"/>
          <w:sz w:val="32"/>
          <w:szCs w:val="32"/>
        </w:rPr>
        <w:t>主要从事农业技术服务，解决“三农”工作的难题，为广大农村农民群众排忧解难，宣传和落实好党在农村工作的惠农政策。</w:t>
      </w:r>
    </w:p>
    <w:p w14:paraId="6173E91C">
      <w:pPr>
        <w:numPr>
          <w:ilvl w:val="0"/>
          <w:numId w:val="4"/>
        </w:numPr>
        <w:spacing w:line="600" w:lineRule="exact"/>
        <w:ind w:firstLine="643" w:firstLineChars="200"/>
        <w:rPr>
          <w:rFonts w:ascii="仿宋" w:hAnsi="仿宋" w:eastAsia="仿宋" w:cs="仿宋_GB2312"/>
          <w:b/>
          <w:bCs/>
          <w:sz w:val="32"/>
          <w:szCs w:val="32"/>
        </w:rPr>
      </w:pPr>
      <w:r>
        <w:rPr>
          <w:rFonts w:ascii="仿宋" w:hAnsi="仿宋" w:eastAsia="仿宋" w:cs="仿宋_GB2312"/>
          <w:b/>
          <w:bCs/>
          <w:sz w:val="32"/>
          <w:szCs w:val="32"/>
        </w:rPr>
        <w:t>人员概况。</w:t>
      </w:r>
    </w:p>
    <w:p w14:paraId="31D888D2">
      <w:pPr>
        <w:snapToGrid w:val="0"/>
        <w:spacing w:line="600" w:lineRule="exact"/>
        <w:ind w:firstLine="640" w:firstLineChars="200"/>
        <w:rPr>
          <w:rFonts w:ascii="仿宋" w:hAnsi="仿宋" w:eastAsia="仿宋"/>
          <w:sz w:val="32"/>
          <w:szCs w:val="32"/>
        </w:rPr>
      </w:pPr>
      <w:r>
        <w:rPr>
          <w:rFonts w:hint="eastAsia" w:eastAsia="仿宋_GB2312"/>
          <w:sz w:val="32"/>
          <w:szCs w:val="32"/>
        </w:rPr>
        <w:t>磨滩镇共有编制</w:t>
      </w:r>
      <w:r>
        <w:rPr>
          <w:rFonts w:eastAsia="仿宋_GB2312"/>
          <w:sz w:val="32"/>
          <w:szCs w:val="32"/>
        </w:rPr>
        <w:t>2</w:t>
      </w:r>
      <w:r>
        <w:rPr>
          <w:rFonts w:hint="eastAsia" w:eastAsia="仿宋_GB2312"/>
          <w:sz w:val="32"/>
          <w:szCs w:val="32"/>
        </w:rPr>
        <w:t>7人，其中：行政编制12人，其他事业编制12人</w:t>
      </w:r>
      <w:r>
        <w:rPr>
          <w:rFonts w:eastAsia="仿宋_GB2312"/>
          <w:sz w:val="32"/>
          <w:szCs w:val="32"/>
        </w:rPr>
        <w:t>,</w:t>
      </w:r>
      <w:r>
        <w:rPr>
          <w:rFonts w:hint="eastAsia" w:eastAsia="仿宋_GB2312"/>
          <w:sz w:val="32"/>
          <w:szCs w:val="32"/>
        </w:rPr>
        <w:t>机关工勤编制3人。实有在职编制内人员28人，其中：行政人员12人，其他事业人员11人</w:t>
      </w:r>
      <w:r>
        <w:rPr>
          <w:rFonts w:eastAsia="仿宋_GB2312"/>
          <w:sz w:val="32"/>
          <w:szCs w:val="32"/>
        </w:rPr>
        <w:t>,</w:t>
      </w:r>
      <w:r>
        <w:rPr>
          <w:rFonts w:hint="eastAsia" w:eastAsia="仿宋_GB2312"/>
          <w:sz w:val="32"/>
          <w:szCs w:val="32"/>
        </w:rPr>
        <w:t>工勤人员5人。按财政供给率分，财政全额供给</w:t>
      </w:r>
      <w:r>
        <w:rPr>
          <w:rFonts w:eastAsia="仿宋_GB2312"/>
          <w:sz w:val="32"/>
          <w:szCs w:val="32"/>
        </w:rPr>
        <w:t>2</w:t>
      </w:r>
      <w:r>
        <w:rPr>
          <w:rFonts w:hint="eastAsia" w:eastAsia="仿宋_GB2312"/>
          <w:sz w:val="32"/>
          <w:szCs w:val="32"/>
        </w:rPr>
        <w:t>7人，差额</w:t>
      </w:r>
      <w:r>
        <w:rPr>
          <w:rFonts w:eastAsia="仿宋_GB2312"/>
          <w:sz w:val="32"/>
          <w:szCs w:val="32"/>
        </w:rPr>
        <w:t>0</w:t>
      </w:r>
      <w:r>
        <w:rPr>
          <w:rFonts w:hint="eastAsia" w:eastAsia="仿宋_GB2312"/>
          <w:sz w:val="32"/>
          <w:szCs w:val="32"/>
        </w:rPr>
        <w:t>人，自筹</w:t>
      </w:r>
      <w:r>
        <w:rPr>
          <w:rFonts w:eastAsia="仿宋_GB2312"/>
          <w:sz w:val="32"/>
          <w:szCs w:val="32"/>
        </w:rPr>
        <w:t>0</w:t>
      </w:r>
      <w:r>
        <w:rPr>
          <w:rFonts w:hint="eastAsia" w:eastAsia="仿宋_GB2312"/>
          <w:sz w:val="32"/>
          <w:szCs w:val="32"/>
        </w:rPr>
        <w:t>人。本单位退休17人，其中：行政人员9人，事业人员8人。其他人员共</w:t>
      </w:r>
      <w:r>
        <w:rPr>
          <w:rFonts w:eastAsia="仿宋_GB2312"/>
          <w:sz w:val="32"/>
          <w:szCs w:val="32"/>
        </w:rPr>
        <w:t>1</w:t>
      </w:r>
      <w:r>
        <w:rPr>
          <w:rFonts w:hint="eastAsia" w:eastAsia="仿宋_GB2312"/>
          <w:sz w:val="32"/>
          <w:szCs w:val="32"/>
        </w:rPr>
        <w:t>6人，其中：村官</w:t>
      </w:r>
      <w:r>
        <w:rPr>
          <w:rFonts w:eastAsia="仿宋_GB2312"/>
          <w:sz w:val="32"/>
          <w:szCs w:val="32"/>
        </w:rPr>
        <w:t>0</w:t>
      </w:r>
      <w:r>
        <w:rPr>
          <w:rFonts w:hint="eastAsia" w:eastAsia="仿宋_GB2312"/>
          <w:sz w:val="32"/>
          <w:szCs w:val="32"/>
        </w:rPr>
        <w:t>人，乡镇交管员1人，遗属人员</w:t>
      </w:r>
      <w:r>
        <w:rPr>
          <w:rFonts w:eastAsia="仿宋_GB2312"/>
          <w:sz w:val="32"/>
          <w:szCs w:val="32"/>
        </w:rPr>
        <w:t>1</w:t>
      </w:r>
      <w:r>
        <w:rPr>
          <w:rFonts w:hint="eastAsia" w:eastAsia="仿宋_GB2312"/>
          <w:sz w:val="32"/>
          <w:szCs w:val="32"/>
        </w:rPr>
        <w:t>1人，三支一扶3人，临时炊员</w:t>
      </w:r>
      <w:r>
        <w:rPr>
          <w:rFonts w:eastAsia="仿宋_GB2312"/>
          <w:sz w:val="32"/>
          <w:szCs w:val="32"/>
        </w:rPr>
        <w:t>1</w:t>
      </w:r>
      <w:r>
        <w:rPr>
          <w:rFonts w:hint="eastAsia" w:eastAsia="仿宋_GB2312"/>
          <w:sz w:val="32"/>
          <w:szCs w:val="32"/>
        </w:rPr>
        <w:t>名。</w:t>
      </w:r>
    </w:p>
    <w:p w14:paraId="2F97E690">
      <w:pPr>
        <w:spacing w:line="60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14:paraId="018E3EFD">
      <w:pPr>
        <w:spacing w:line="600" w:lineRule="exact"/>
        <w:ind w:firstLine="643" w:firstLineChars="200"/>
        <w:rPr>
          <w:rFonts w:ascii="仿宋" w:hAnsi="仿宋" w:eastAsia="仿宋" w:cs="仿宋_GB2312"/>
          <w:b/>
          <w:bCs/>
          <w:sz w:val="32"/>
          <w:szCs w:val="32"/>
        </w:rPr>
      </w:pPr>
      <w:r>
        <w:rPr>
          <w:rFonts w:ascii="仿宋" w:hAnsi="仿宋" w:eastAsia="仿宋" w:cs="仿宋_GB2312"/>
          <w:b/>
          <w:bCs/>
          <w:sz w:val="32"/>
          <w:szCs w:val="32"/>
        </w:rPr>
        <w:t>（一）部门财政资金收入情况。</w:t>
      </w:r>
    </w:p>
    <w:p w14:paraId="2465E4A7">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2019年我镇本年总收入725.35万元，其中：一般财政拨款收入为725.35万元，年初结转和结余收入为113.25万元。2019年年初预算财政拨款收入为780.17万元，年终调整预算追减为</w:t>
      </w:r>
      <w:r>
        <w:rPr>
          <w:rFonts w:hint="eastAsia" w:ascii="楷体_GB2312" w:hAnsi="楷体_GB2312" w:eastAsia="楷体_GB2312" w:cs="楷体_GB2312"/>
          <w:kern w:val="0"/>
          <w:sz w:val="32"/>
          <w:szCs w:val="32"/>
        </w:rPr>
        <w:t>54.82万</w:t>
      </w:r>
      <w:r>
        <w:rPr>
          <w:rFonts w:hint="eastAsia" w:ascii="楷体_GB2312" w:hAnsi="楷体_GB2312" w:eastAsia="楷体_GB2312" w:cs="楷体_GB2312"/>
          <w:sz w:val="32"/>
          <w:szCs w:val="32"/>
        </w:rPr>
        <w:t>元。</w:t>
      </w:r>
    </w:p>
    <w:p w14:paraId="644D1B57">
      <w:pPr>
        <w:numPr>
          <w:ilvl w:val="0"/>
          <w:numId w:val="5"/>
        </w:numPr>
        <w:spacing w:line="600" w:lineRule="exact"/>
        <w:ind w:firstLine="643" w:firstLineChars="200"/>
        <w:rPr>
          <w:rFonts w:ascii="仿宋" w:hAnsi="仿宋" w:eastAsia="仿宋" w:cs="仿宋_GB2312"/>
          <w:b/>
          <w:bCs/>
          <w:sz w:val="32"/>
          <w:szCs w:val="32"/>
        </w:rPr>
      </w:pPr>
      <w:r>
        <w:rPr>
          <w:rFonts w:ascii="仿宋" w:hAnsi="仿宋" w:eastAsia="仿宋" w:cs="仿宋_GB2312"/>
          <w:b/>
          <w:bCs/>
          <w:sz w:val="32"/>
          <w:szCs w:val="32"/>
        </w:rPr>
        <w:t>部门财政资金支出情况。</w:t>
      </w:r>
    </w:p>
    <w:p w14:paraId="421E1535">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全镇财政收入完成838.6万元，镇总财政支出838.6万元。其中按功能科目分：一般公共服务支出181.34万元,</w:t>
      </w:r>
    </w:p>
    <w:p w14:paraId="4F21DFFB">
      <w:pPr>
        <w:spacing w:line="60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公共安全支出16.89万元，文化旅游体育与传媒支出8.39万元，社会保障与就业42.19万元,卫生健康支出34.26万元，农林水事务支出513.16万元，交通运输支出20万元，住房保障支出22.36万元，年未基本支出结转0万元。</w:t>
      </w:r>
    </w:p>
    <w:p w14:paraId="3921139A">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按经济科目分：工资及福利支出296.22万元；商品和服务支出113.62万元，对个人和家庭的补助支出266.4万元；其他资本性支出162.36万元，年未基本支出结转0万元。</w:t>
      </w:r>
    </w:p>
    <w:p w14:paraId="15491827">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本年度预算支出数838.6万元，年终决算支出数838.6万元。</w:t>
      </w:r>
    </w:p>
    <w:p w14:paraId="6B9E7403">
      <w:pPr>
        <w:spacing w:line="600" w:lineRule="exact"/>
        <w:ind w:firstLine="640" w:firstLineChars="200"/>
        <w:rPr>
          <w:rFonts w:ascii="黑体" w:hAnsi="黑体" w:eastAsia="黑体" w:cs="黑体"/>
          <w:sz w:val="32"/>
          <w:szCs w:val="32"/>
        </w:rPr>
      </w:pPr>
      <w:r>
        <w:rPr>
          <w:rFonts w:ascii="黑体" w:hAnsi="黑体" w:eastAsia="黑体" w:cs="黑体"/>
          <w:sz w:val="32"/>
          <w:szCs w:val="32"/>
        </w:rPr>
        <w:t>部门整体预算绩效管理情况</w:t>
      </w:r>
    </w:p>
    <w:p w14:paraId="2E926FAE">
      <w:pPr>
        <w:spacing w:line="600" w:lineRule="exact"/>
        <w:ind w:left="640"/>
        <w:rPr>
          <w:rFonts w:ascii="华文仿宋" w:hAnsi="华文仿宋" w:eastAsia="华文仿宋" w:cs="华文仿宋"/>
          <w:sz w:val="32"/>
          <w:szCs w:val="32"/>
        </w:rPr>
      </w:pPr>
      <w:r>
        <w:rPr>
          <w:rFonts w:hint="eastAsia" w:ascii="华文仿宋" w:hAnsi="华文仿宋" w:eastAsia="华文仿宋" w:cs="华文仿宋"/>
          <w:b/>
          <w:bCs/>
          <w:sz w:val="32"/>
          <w:szCs w:val="32"/>
        </w:rPr>
        <w:t>（一）部门预算管理。</w:t>
      </w:r>
    </w:p>
    <w:p w14:paraId="6AF32E47">
      <w:pPr>
        <w:spacing w:line="600" w:lineRule="exact"/>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2019年磨滩镇财务支出基本符合国家财经法规和财务管理制度规定以及有关专项资金管理办法的规定，资金的拨付有完整的审批过程和手续，支出基本符合部门预算批复的用途，资金使用无截留、挤占、挪用、虚列支出等情况。根据区政府绩效考核文件精神，绩效目标在2019年基本完成，在保障机关运转、履行职能职责上整体情况良好。</w:t>
      </w:r>
    </w:p>
    <w:p w14:paraId="7AF98715">
      <w:pPr>
        <w:spacing w:line="600" w:lineRule="exact"/>
        <w:ind w:firstLine="641"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（二）专项预算管理。</w:t>
      </w:r>
    </w:p>
    <w:p w14:paraId="1FBF21EF">
      <w:pPr>
        <w:spacing w:line="600" w:lineRule="exact"/>
        <w:ind w:firstLine="640" w:firstLineChars="200"/>
        <w:rPr>
          <w:rFonts w:ascii="仿宋" w:hAnsi="仿宋" w:eastAsia="仿宋" w:cs="仿宋_GB2312"/>
          <w:sz w:val="32"/>
          <w:szCs w:val="32"/>
        </w:rPr>
      </w:pPr>
      <w:r>
        <w:rPr>
          <w:rFonts w:ascii="仿宋" w:hAnsi="仿宋" w:eastAsia="仿宋" w:cs="仿宋_GB2312"/>
          <w:sz w:val="32"/>
          <w:szCs w:val="32"/>
        </w:rPr>
        <w:t>包括专项预算项目程序严密、规划合理、结果符合、分配科学、分配及时、专项预算绩效目标完成、实施绩效、违规记录等情况。</w:t>
      </w:r>
    </w:p>
    <w:p w14:paraId="31390645">
      <w:pPr>
        <w:spacing w:line="600" w:lineRule="exact"/>
        <w:ind w:firstLine="641"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（三）结果应用情况。</w:t>
      </w:r>
    </w:p>
    <w:p w14:paraId="4D2648E1">
      <w:pPr>
        <w:spacing w:line="600" w:lineRule="exact"/>
        <w:ind w:firstLine="640" w:firstLineChars="200"/>
        <w:rPr>
          <w:rFonts w:eastAsia="仿宋_GB2312"/>
          <w:sz w:val="32"/>
          <w:szCs w:val="32"/>
        </w:rPr>
      </w:pPr>
      <w:r>
        <w:rPr>
          <w:rFonts w:eastAsia="仿宋_GB2312"/>
          <w:sz w:val="32"/>
          <w:szCs w:val="32"/>
        </w:rPr>
        <w:t>1.部门职责履行结果。我</w:t>
      </w:r>
      <w:r>
        <w:rPr>
          <w:rFonts w:hint="eastAsia" w:eastAsia="仿宋_GB2312"/>
          <w:sz w:val="32"/>
          <w:szCs w:val="32"/>
        </w:rPr>
        <w:t>镇</w:t>
      </w:r>
      <w:r>
        <w:rPr>
          <w:rFonts w:eastAsia="仿宋_GB2312"/>
          <w:sz w:val="32"/>
          <w:szCs w:val="32"/>
        </w:rPr>
        <w:t>大力加强财政收支管理，使部门整体支出管理情况得到了提升，保障了各项工作的有序高效运转，较好地履行了各项职能，并完成了上级交</w:t>
      </w:r>
      <w:r>
        <w:rPr>
          <w:rFonts w:hint="eastAsia" w:eastAsia="仿宋_GB2312"/>
          <w:sz w:val="32"/>
          <w:szCs w:val="32"/>
        </w:rPr>
        <w:t>镇</w:t>
      </w:r>
      <w:r>
        <w:rPr>
          <w:rFonts w:eastAsia="仿宋_GB2312"/>
          <w:sz w:val="32"/>
          <w:szCs w:val="32"/>
        </w:rPr>
        <w:t>的各项任务。</w:t>
      </w:r>
    </w:p>
    <w:p w14:paraId="0E0FA7BA">
      <w:pPr>
        <w:spacing w:line="600" w:lineRule="exact"/>
        <w:ind w:firstLine="640" w:firstLineChars="200"/>
        <w:rPr>
          <w:rFonts w:eastAsia="仿宋_GB2312"/>
          <w:sz w:val="32"/>
          <w:szCs w:val="32"/>
        </w:rPr>
      </w:pPr>
      <w:r>
        <w:rPr>
          <w:rFonts w:eastAsia="仿宋_GB2312"/>
          <w:sz w:val="32"/>
          <w:szCs w:val="32"/>
        </w:rPr>
        <w:t>2.重点项目绩效评价结果。201</w:t>
      </w:r>
      <w:r>
        <w:rPr>
          <w:rFonts w:hint="eastAsia" w:eastAsia="仿宋_GB2312"/>
          <w:sz w:val="32"/>
          <w:szCs w:val="32"/>
        </w:rPr>
        <w:t>9</w:t>
      </w:r>
      <w:r>
        <w:rPr>
          <w:rFonts w:eastAsia="仿宋_GB2312"/>
          <w:sz w:val="32"/>
          <w:szCs w:val="32"/>
        </w:rPr>
        <w:t>年，我</w:t>
      </w:r>
      <w:r>
        <w:rPr>
          <w:rFonts w:hint="eastAsia" w:eastAsia="仿宋_GB2312"/>
          <w:sz w:val="32"/>
          <w:szCs w:val="32"/>
        </w:rPr>
        <w:t>镇</w:t>
      </w:r>
      <w:r>
        <w:rPr>
          <w:rFonts w:eastAsia="仿宋_GB2312"/>
          <w:sz w:val="32"/>
          <w:szCs w:val="32"/>
        </w:rPr>
        <w:t>从本级预算安排项目中选择重点项目开展支出绩效评价工作，从评价结果看，被评价项目总体绩效目标明确，决策依据充分，资金分配科学合理，项目管理较规范，项目完成良好，基本达到了预期效果。</w:t>
      </w:r>
    </w:p>
    <w:p w14:paraId="622837CC">
      <w:pPr>
        <w:spacing w:line="600" w:lineRule="exact"/>
        <w:ind w:firstLine="640" w:firstLineChars="200"/>
        <w:rPr>
          <w:rFonts w:eastAsia="仿宋_GB2312"/>
          <w:sz w:val="32"/>
          <w:szCs w:val="32"/>
        </w:rPr>
      </w:pPr>
      <w:r>
        <w:rPr>
          <w:rFonts w:eastAsia="仿宋_GB2312"/>
          <w:sz w:val="32"/>
          <w:szCs w:val="32"/>
        </w:rPr>
        <w:t>3.服务对象满意度。积极认真</w:t>
      </w:r>
      <w:r>
        <w:rPr>
          <w:rFonts w:hint="eastAsia" w:eastAsia="仿宋_GB2312"/>
          <w:sz w:val="32"/>
          <w:szCs w:val="32"/>
        </w:rPr>
        <w:t>镇梳</w:t>
      </w:r>
      <w:r>
        <w:rPr>
          <w:rFonts w:eastAsia="仿宋_GB2312"/>
          <w:sz w:val="32"/>
          <w:szCs w:val="32"/>
        </w:rPr>
        <w:t>理人大代表建议、妥善处理群众来信来访、化解社会矛盾情况，加强政风行风建设、解决损害群众利益的情况，人民群众满意度较好。</w:t>
      </w:r>
    </w:p>
    <w:p w14:paraId="45575C10">
      <w:pPr>
        <w:spacing w:line="60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14:paraId="0EDE3A0A">
      <w:pPr>
        <w:spacing w:line="600" w:lineRule="exact"/>
        <w:ind w:firstLine="643" w:firstLineChars="200"/>
        <w:rPr>
          <w:rFonts w:ascii="仿宋" w:hAnsi="仿宋" w:eastAsia="仿宋" w:cs="仿宋_GB2312"/>
          <w:b/>
          <w:bCs/>
          <w:sz w:val="32"/>
          <w:szCs w:val="32"/>
        </w:rPr>
      </w:pPr>
      <w:r>
        <w:rPr>
          <w:rFonts w:ascii="仿宋" w:hAnsi="仿宋" w:eastAsia="仿宋" w:cs="仿宋_GB2312"/>
          <w:b/>
          <w:bCs/>
          <w:sz w:val="32"/>
          <w:szCs w:val="32"/>
        </w:rPr>
        <w:t>（一）评价结论。</w:t>
      </w:r>
    </w:p>
    <w:p w14:paraId="52DE9CBC">
      <w:pPr>
        <w:spacing w:line="600" w:lineRule="exact"/>
        <w:ind w:firstLine="640" w:firstLineChars="200"/>
        <w:rPr>
          <w:rFonts w:ascii="仿宋" w:hAnsi="仿宋" w:eastAsia="仿宋" w:cs="仿宋_GB2312"/>
          <w:sz w:val="32"/>
          <w:szCs w:val="32"/>
        </w:rPr>
      </w:pPr>
      <w:r>
        <w:rPr>
          <w:rFonts w:eastAsia="仿宋_GB2312"/>
          <w:sz w:val="32"/>
          <w:szCs w:val="32"/>
        </w:rPr>
        <w:t>201</w:t>
      </w:r>
      <w:r>
        <w:rPr>
          <w:rFonts w:hint="eastAsia" w:eastAsia="仿宋_GB2312"/>
          <w:sz w:val="32"/>
          <w:szCs w:val="32"/>
        </w:rPr>
        <w:t>9</w:t>
      </w:r>
      <w:r>
        <w:rPr>
          <w:rFonts w:eastAsia="仿宋_GB2312"/>
          <w:sz w:val="32"/>
          <w:szCs w:val="32"/>
        </w:rPr>
        <w:t>年，我</w:t>
      </w:r>
      <w:r>
        <w:rPr>
          <w:rFonts w:hint="eastAsia" w:eastAsia="仿宋_GB2312"/>
          <w:sz w:val="32"/>
          <w:szCs w:val="32"/>
        </w:rPr>
        <w:t>镇</w:t>
      </w:r>
      <w:r>
        <w:rPr>
          <w:rFonts w:eastAsia="仿宋_GB2312"/>
          <w:sz w:val="32"/>
          <w:szCs w:val="32"/>
        </w:rPr>
        <w:t>紧紧围绕党委、政府中心工作依法履职，全面完成了各项任务，保障了中央和省、市、县政府重大决策部署贯彻落实，促进了作风转变和自身建设，经费保障能力不断提高，经费投向科学合理，财务管理监督规范有效，经济社会效益功能明显，为维护地方经济安全发挥了积极作用。</w:t>
      </w:r>
    </w:p>
    <w:p w14:paraId="45D77E90">
      <w:pPr>
        <w:spacing w:line="60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（二）</w:t>
      </w:r>
      <w:r>
        <w:rPr>
          <w:rFonts w:ascii="仿宋" w:hAnsi="仿宋" w:eastAsia="仿宋" w:cs="仿宋_GB2312"/>
          <w:b/>
          <w:bCs/>
          <w:sz w:val="32"/>
          <w:szCs w:val="32"/>
        </w:rPr>
        <w:t>存在问题。</w:t>
      </w:r>
    </w:p>
    <w:p w14:paraId="0079C2A1">
      <w:pPr>
        <w:spacing w:line="600" w:lineRule="exact"/>
        <w:ind w:firstLine="640" w:firstLineChars="200"/>
        <w:rPr>
          <w:rFonts w:eastAsia="仿宋_GB2312"/>
          <w:sz w:val="32"/>
          <w:szCs w:val="32"/>
        </w:rPr>
      </w:pPr>
      <w:r>
        <w:rPr>
          <w:rFonts w:eastAsia="仿宋_GB2312"/>
          <w:sz w:val="32"/>
          <w:szCs w:val="32"/>
        </w:rPr>
        <w:t>1.面对复杂的经济环境，财政增收的压力进一步加大，财政收入结构性矛盾突出。</w:t>
      </w:r>
    </w:p>
    <w:p w14:paraId="490042D3">
      <w:pPr>
        <w:spacing w:line="600" w:lineRule="exact"/>
        <w:ind w:firstLine="640" w:firstLineChars="200"/>
        <w:rPr>
          <w:rFonts w:eastAsia="仿宋_GB2312"/>
          <w:sz w:val="32"/>
          <w:szCs w:val="32"/>
        </w:rPr>
      </w:pPr>
      <w:r>
        <w:rPr>
          <w:rFonts w:eastAsia="仿宋_GB2312"/>
          <w:sz w:val="32"/>
          <w:szCs w:val="32"/>
        </w:rPr>
        <w:t>2.财政科学化、精细化管理水平有待进一步提高等。</w:t>
      </w:r>
    </w:p>
    <w:p w14:paraId="76231646">
      <w:pPr>
        <w:spacing w:line="600" w:lineRule="exact"/>
        <w:ind w:firstLine="640" w:firstLineChars="200"/>
        <w:rPr>
          <w:rFonts w:eastAsia="仿宋_GB2312"/>
          <w:sz w:val="32"/>
          <w:szCs w:val="32"/>
        </w:rPr>
      </w:pPr>
      <w:r>
        <w:rPr>
          <w:rFonts w:eastAsia="仿宋_GB2312"/>
          <w:sz w:val="32"/>
          <w:szCs w:val="32"/>
        </w:rPr>
        <w:t>3.财政资源配置作用有待进一步加强。</w:t>
      </w:r>
    </w:p>
    <w:p w14:paraId="2E32F141">
      <w:pPr>
        <w:spacing w:line="600" w:lineRule="exact"/>
        <w:ind w:firstLine="643" w:firstLineChars="200"/>
        <w:rPr>
          <w:rFonts w:ascii="仿宋" w:hAnsi="仿宋" w:eastAsia="仿宋" w:cs="仿宋_GB2312"/>
          <w:sz w:val="32"/>
          <w:szCs w:val="32"/>
        </w:rPr>
      </w:pPr>
      <w:r>
        <w:rPr>
          <w:rFonts w:ascii="仿宋" w:hAnsi="仿宋" w:eastAsia="仿宋" w:cs="仿宋_GB2312"/>
          <w:b/>
          <w:bCs/>
          <w:sz w:val="32"/>
          <w:szCs w:val="32"/>
        </w:rPr>
        <w:t>（三）改进建议。</w:t>
      </w:r>
    </w:p>
    <w:p w14:paraId="3F9C2675">
      <w:pPr>
        <w:spacing w:line="600" w:lineRule="exact"/>
        <w:ind w:firstLine="640" w:firstLineChars="200"/>
        <w:rPr>
          <w:rFonts w:eastAsia="仿宋_GB2312"/>
          <w:sz w:val="32"/>
          <w:szCs w:val="32"/>
        </w:rPr>
      </w:pPr>
      <w:r>
        <w:rPr>
          <w:rFonts w:eastAsia="仿宋_GB2312"/>
          <w:sz w:val="32"/>
          <w:szCs w:val="32"/>
        </w:rPr>
        <w:t>1.抓好税收征管工作，坚持依法征税,做好企业服务工作，稳固主体税源；加强财政非税收入征缴，努力做到应收尽收，确保财政收入稳定增长。</w:t>
      </w:r>
    </w:p>
    <w:p w14:paraId="4696E93C">
      <w:pPr>
        <w:spacing w:line="600" w:lineRule="exact"/>
        <w:ind w:firstLine="640" w:firstLineChars="200"/>
        <w:rPr>
          <w:rFonts w:eastAsia="仿宋_GB2312"/>
          <w:sz w:val="32"/>
          <w:szCs w:val="32"/>
        </w:rPr>
      </w:pPr>
      <w:r>
        <w:rPr>
          <w:rFonts w:eastAsia="仿宋_GB2312"/>
          <w:sz w:val="32"/>
          <w:szCs w:val="32"/>
        </w:rPr>
        <w:t>2.不断完善部门预算编制工作，在规范制度、细化编制、严肃执行等方面下功夫，切实提高预算管理全过程的科学化和精细化水平。</w:t>
      </w:r>
    </w:p>
    <w:p w14:paraId="3C5BAC7C">
      <w:pPr>
        <w:spacing w:line="600" w:lineRule="exact"/>
        <w:ind w:firstLine="640" w:firstLineChars="200"/>
        <w:rPr>
          <w:rFonts w:eastAsia="仿宋_GB2312"/>
          <w:sz w:val="32"/>
          <w:szCs w:val="32"/>
        </w:rPr>
      </w:pPr>
      <w:r>
        <w:rPr>
          <w:rFonts w:eastAsia="仿宋_GB2312"/>
          <w:sz w:val="32"/>
          <w:szCs w:val="32"/>
        </w:rPr>
        <w:t>3.优化支出结构，统筹运用财力，合理调度财政资金，确保正常运转和社会稳定。加强财政监督，完善监督制约机制，特别是加强项目资金管理，做到专款专用，不断提高财政资金的使用效益。</w:t>
      </w:r>
    </w:p>
    <w:p w14:paraId="45870606">
      <w:pPr>
        <w:spacing w:line="580" w:lineRule="exact"/>
        <w:rPr>
          <w:rFonts w:ascii="黑体" w:hAnsi="黑体" w:eastAsia="黑体" w:cs="黑体"/>
          <w:sz w:val="32"/>
          <w:szCs w:val="32"/>
        </w:rPr>
      </w:pPr>
    </w:p>
    <w:p w14:paraId="62833D87">
      <w:pPr>
        <w:spacing w:line="580" w:lineRule="exact"/>
        <w:rPr>
          <w:rFonts w:ascii="黑体" w:hAnsi="黑体" w:eastAsia="黑体" w:cs="黑体"/>
          <w:sz w:val="32"/>
          <w:szCs w:val="32"/>
        </w:rPr>
      </w:pPr>
    </w:p>
    <w:p w14:paraId="6D6CDA31">
      <w:pPr>
        <w:spacing w:line="580" w:lineRule="exact"/>
        <w:rPr>
          <w:rFonts w:ascii="黑体" w:hAnsi="黑体" w:eastAsia="黑体" w:cs="黑体"/>
          <w:sz w:val="32"/>
          <w:szCs w:val="32"/>
        </w:rPr>
      </w:pPr>
    </w:p>
    <w:p w14:paraId="2D3C7D1A">
      <w:pPr>
        <w:spacing w:line="580" w:lineRule="exact"/>
        <w:rPr>
          <w:rFonts w:ascii="黑体" w:hAnsi="黑体" w:eastAsia="黑体" w:cs="黑体"/>
          <w:sz w:val="32"/>
          <w:szCs w:val="32"/>
        </w:rPr>
      </w:pPr>
    </w:p>
    <w:p w14:paraId="2CEEEE54">
      <w:pPr>
        <w:spacing w:line="580" w:lineRule="exact"/>
        <w:rPr>
          <w:rFonts w:ascii="黑体" w:hAnsi="黑体" w:eastAsia="黑体" w:cs="黑体"/>
          <w:sz w:val="32"/>
          <w:szCs w:val="32"/>
        </w:rPr>
      </w:pPr>
    </w:p>
    <w:p w14:paraId="54AE2BCF">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14:paraId="1361ECB1">
      <w:pPr>
        <w:spacing w:line="580" w:lineRule="exact"/>
        <w:ind w:firstLine="640" w:firstLineChars="200"/>
        <w:rPr>
          <w:rFonts w:ascii="仿宋_GB2312" w:hAnsi="仿宋_GB2312" w:eastAsia="仿宋_GB2312" w:cs="仿宋_GB2312"/>
          <w:sz w:val="32"/>
          <w:szCs w:val="32"/>
        </w:rPr>
      </w:pPr>
    </w:p>
    <w:p w14:paraId="68B9F680">
      <w:pPr>
        <w:spacing w:line="640" w:lineRule="exact"/>
        <w:jc w:val="center"/>
        <w:rPr>
          <w:rFonts w:ascii="方正小标宋简体" w:hAnsi="黑体" w:eastAsia="方正小标宋简体" w:cs="黑体"/>
          <w:bCs/>
          <w:sz w:val="36"/>
          <w:szCs w:val="36"/>
        </w:rPr>
      </w:pPr>
      <w:r>
        <w:rPr>
          <w:rFonts w:hint="eastAsia" w:ascii="方正小标宋简体" w:hAnsi="黑体" w:eastAsia="方正小标宋简体" w:cs="黑体"/>
          <w:bCs/>
          <w:sz w:val="36"/>
          <w:szCs w:val="36"/>
        </w:rPr>
        <w:t>广元市昭化区磨滩镇人民政府</w:t>
      </w:r>
    </w:p>
    <w:p w14:paraId="297CE653">
      <w:pPr>
        <w:spacing w:line="640" w:lineRule="exact"/>
        <w:jc w:val="center"/>
        <w:rPr>
          <w:rFonts w:ascii="方正小标宋简体" w:hAnsi="黑体" w:eastAsia="方正小标宋简体" w:cs="黑体"/>
          <w:bCs/>
          <w:sz w:val="36"/>
          <w:szCs w:val="36"/>
        </w:rPr>
      </w:pPr>
      <w:r>
        <w:rPr>
          <w:rFonts w:hint="eastAsia" w:ascii="方正小标宋简体" w:hAnsi="黑体" w:eastAsia="方正小标宋简体" w:cs="黑体"/>
          <w:bCs/>
          <w:sz w:val="36"/>
          <w:szCs w:val="36"/>
        </w:rPr>
        <w:t>关于磨滩镇2019年烟叶产业发展经费支出</w:t>
      </w:r>
    </w:p>
    <w:p w14:paraId="08F2FC19">
      <w:pPr>
        <w:spacing w:line="640" w:lineRule="exact"/>
        <w:jc w:val="center"/>
        <w:rPr>
          <w:rFonts w:ascii="方正小标宋简体" w:hAnsi="黑体" w:eastAsia="方正小标宋简体" w:cs="黑体"/>
          <w:bCs/>
          <w:sz w:val="36"/>
          <w:szCs w:val="36"/>
        </w:rPr>
      </w:pPr>
      <w:r>
        <w:rPr>
          <w:rFonts w:hint="eastAsia" w:ascii="方正小标宋简体" w:hAnsi="黑体" w:eastAsia="方正小标宋简体" w:cs="黑体"/>
          <w:bCs/>
          <w:sz w:val="36"/>
          <w:szCs w:val="36"/>
        </w:rPr>
        <w:t>绩效评价的报告</w:t>
      </w:r>
    </w:p>
    <w:p w14:paraId="6C81BB2A">
      <w:pPr>
        <w:spacing w:line="576" w:lineRule="exact"/>
        <w:jc w:val="left"/>
        <w:rPr>
          <w:rFonts w:ascii="仿宋_GB2312" w:hAnsi="楷体_GB2312" w:eastAsia="仿宋_GB2312" w:cs="楷体_GB2312"/>
          <w:sz w:val="32"/>
          <w:szCs w:val="32"/>
        </w:rPr>
      </w:pPr>
    </w:p>
    <w:p w14:paraId="565F237B">
      <w:pPr>
        <w:spacing w:line="576" w:lineRule="exact"/>
        <w:jc w:val="left"/>
        <w:rPr>
          <w:rFonts w:ascii="仿宋_GB2312" w:hAnsi="楷体_GB2312" w:eastAsia="仿宋_GB2312" w:cs="楷体_GB2312"/>
          <w:sz w:val="32"/>
          <w:szCs w:val="32"/>
        </w:rPr>
      </w:pPr>
      <w:r>
        <w:rPr>
          <w:rFonts w:hint="eastAsia" w:ascii="仿宋_GB2312" w:hAnsi="楷体_GB2312" w:eastAsia="仿宋_GB2312" w:cs="楷体_GB2312"/>
          <w:sz w:val="32"/>
          <w:szCs w:val="32"/>
        </w:rPr>
        <w:t>区财政局：</w:t>
      </w:r>
    </w:p>
    <w:p w14:paraId="66EA341C">
      <w:pPr>
        <w:spacing w:line="576" w:lineRule="exact"/>
        <w:jc w:val="left"/>
        <w:rPr>
          <w:rFonts w:ascii="Arial" w:hAnsi="Arial" w:cs="Arial"/>
          <w:color w:val="333333"/>
          <w:sz w:val="18"/>
          <w:szCs w:val="18"/>
        </w:rPr>
      </w:pPr>
      <w:r>
        <w:rPr>
          <w:rFonts w:hint="eastAsia" w:ascii="仿宋_GB2312" w:hAnsi="楷体_GB2312" w:eastAsia="仿宋_GB2312" w:cs="楷体_GB2312"/>
          <w:sz w:val="32"/>
          <w:szCs w:val="32"/>
        </w:rPr>
        <w:t>　　</w:t>
      </w:r>
      <w:r>
        <w:rPr>
          <w:rFonts w:hint="eastAsia" w:ascii="仿宋_GB2312" w:hAnsi="仿宋_GB2312" w:eastAsia="仿宋_GB2312" w:cs="仿宋_GB2312"/>
          <w:color w:val="333333"/>
          <w:sz w:val="32"/>
          <w:szCs w:val="32"/>
        </w:rPr>
        <w:t>我镇认真按照《广元市昭化区财政局关于开展2020年第二批财政绩效评价工作的通知》（昭财发〔2020〕45号）文件精神，切实规范烟叶专项资金管理，强化绩效理念，不断提高项目单位责任意识，有力实现了资金效益充分发挥，现将2019年度烟叶产业发展资金绩效自评报告如下。</w:t>
      </w:r>
    </w:p>
    <w:p w14:paraId="09AE65CD">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一、项目概况</w:t>
      </w:r>
    </w:p>
    <w:p w14:paraId="774D1AE5">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（一）项目资金申报及批复情况。</w:t>
      </w:r>
    </w:p>
    <w:p w14:paraId="0D049CE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该项目申报资金性质为一般公共预算，总申报金额为572000元，申报项目涉及全镇13村，申报受益人数423人。上级实际批复和拨付为572000元。</w:t>
      </w:r>
    </w:p>
    <w:p w14:paraId="04F8257B">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（二）项目绩效目标。</w:t>
      </w:r>
    </w:p>
    <w:p w14:paraId="703D2AF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项目年初申报绩效目标为全年开展烤烟技术集中培训3次，返还烟农发展经费22.88万元，新建烤房5间，维修烤房15间，烟地整理350亩。</w:t>
      </w:r>
    </w:p>
    <w:p w14:paraId="55A2CA15">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（三）项目资金申报相符性。</w:t>
      </w:r>
    </w:p>
    <w:p w14:paraId="37891CB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该项目申报内容与具体实施内容基本相符，申报目标合理可行。</w:t>
      </w:r>
    </w:p>
    <w:p w14:paraId="5D22423A">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二、项目实施及管理情况</w:t>
      </w:r>
    </w:p>
    <w:p w14:paraId="34F9DD9C">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（一）资金计划、到位及使用情况</w:t>
      </w:r>
    </w:p>
    <w:p w14:paraId="15F27EC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1、资金预算及时到位。该项目资金预算57200.00元，实际到位资金572000.00元。均通过镇、村、社验收后，由村申报、镇审核，报区财政部门审批直接拨付到施工单位。</w:t>
      </w:r>
    </w:p>
    <w:p w14:paraId="4835262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2、资金使用</w:t>
      </w:r>
      <w:r>
        <w:rPr>
          <w:rFonts w:hint="eastAsia" w:ascii="仿宋_GB2312" w:hAnsi="仿宋_GB2312" w:eastAsia="仿宋_GB2312" w:cs="仿宋_GB2312"/>
          <w:sz w:val="32"/>
          <w:szCs w:val="32"/>
        </w:rPr>
        <w:t>。该项目实际支出592000元。资金主要用于两方面:一是基础配套设施建设等支出323110元，主要用于磨滩村烤房3间和碧松村烤房3间新建，长青村4间维护建设、马安村烤房14间维护建设，佛岩村烤房4间的维护及建设、磨滩村烤房维</w:t>
      </w:r>
      <w:r>
        <w:rPr>
          <w:rFonts w:hint="eastAsia" w:ascii="宋体" w:hAnsi="宋体" w:cs="宋体"/>
          <w:sz w:val="32"/>
          <w:szCs w:val="32"/>
        </w:rPr>
        <w:t>修</w:t>
      </w:r>
      <w:r>
        <w:rPr>
          <w:rFonts w:hint="eastAsia" w:ascii="仿宋_GB2312" w:hAnsi="仿宋_GB2312" w:eastAsia="仿宋_GB2312" w:cs="仿宋_GB2312"/>
          <w:sz w:val="32"/>
          <w:szCs w:val="32"/>
        </w:rPr>
        <w:t>3间、照山村烤房维</w:t>
      </w:r>
      <w:r>
        <w:rPr>
          <w:rFonts w:hint="eastAsia" w:ascii="宋体" w:hAnsi="宋体" w:cs="宋体"/>
          <w:sz w:val="32"/>
          <w:szCs w:val="32"/>
        </w:rPr>
        <w:t>修</w:t>
      </w:r>
      <w:r>
        <w:rPr>
          <w:rFonts w:hint="eastAsia" w:ascii="仿宋_GB2312" w:hAnsi="仿宋_GB2312" w:eastAsia="仿宋_GB2312" w:cs="仿宋_GB2312"/>
          <w:sz w:val="32"/>
          <w:szCs w:val="32"/>
        </w:rPr>
        <w:t>2处。百胜等3村烟地翻耕520亩。二是支付给全镇2019年68户烤烟种植农户烟叶发展补助款268890元，均已通过一卡通直发给应受益烟农手中。</w:t>
      </w:r>
    </w:p>
    <w:p w14:paraId="016972D3">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（二）项目财务管理情况</w:t>
      </w:r>
    </w:p>
    <w:p w14:paraId="5862C5E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我镇严格按照区财政局要求，联村领导以及镇长签字后，上报区财政相关股室审核和领导审批后，直接打卡到施工单位（人）。按照项目资金管理办法和财务管理制度，按时记录收入和支出，会计核算规范正确。</w:t>
      </w:r>
    </w:p>
    <w:p w14:paraId="273A4335">
      <w:pPr>
        <w:numPr>
          <w:ilvl w:val="0"/>
          <w:numId w:val="6"/>
        </w:num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项目组织实施情况</w:t>
      </w:r>
    </w:p>
    <w:p w14:paraId="3DD304B0">
      <w:pPr>
        <w:pStyle w:val="12"/>
        <w:widowControl/>
        <w:spacing w:beforeAutospacing="0" w:afterAutospacing="0" w:line="33" w:lineRule="atLeast"/>
        <w:jc w:val="both"/>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财政批复烤烟生产发展资金预算项目，主要包括烤烟翻耕补贴、烟田土地整理项目配套、烟叶基础设施建设和烤房新建、维修及管护，逐步完善基础设施和调动各级各部门的种烟抓烟积极性，保证全镇烤烟面积、收购任务、税收任务的落实，实现烟农增收、财政增税，推进全镇烤烟产业持续稳定发展。为更为有效地巩固提升我镇烤烟生产传统项目，不断推进项目有序、有效开展，按照年初预算安排，认真论证项目实施的可行性和效益性，并在项目实施过程中认真完善项目建设中的相关手续办理和基础资料的收集整理、组织呈报等，加强与相关部门之间工作的及时沟通协调，确保项目顺利开展。在项目实施中，工作职责明确，许多情况都能跟踪跟进，有效地推进项目建设进度和保证项目质量。</w:t>
      </w:r>
      <w:r>
        <w:rPr>
          <w:rFonts w:hint="eastAsia" w:ascii="仿宋_GB2312" w:hAnsi="仿宋_GB2312" w:eastAsia="仿宋_GB2312" w:cs="仿宋_GB2312"/>
          <w:sz w:val="32"/>
          <w:szCs w:val="32"/>
        </w:rPr>
        <w:t>资金开支的范围、标准及支付进度完全按照预算要求进行，项目实施各村以镇批准方案实施，与服务队伍签订建设合同，组织项目实施，村民理财小组、质量监督小组等群众自治组织参与项目实施全过程监管。项目完成后，项目验收，镇村两级参与进行验收并进行公示，接受村民评议，公示无异议后报镇、区财政直接打卡支付给第三方。</w:t>
      </w:r>
    </w:p>
    <w:p w14:paraId="6193CB04">
      <w:pPr>
        <w:numPr>
          <w:ilvl w:val="0"/>
          <w:numId w:val="7"/>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项目绩效情况</w:t>
      </w:r>
    </w:p>
    <w:p w14:paraId="53543E5A">
      <w:pPr>
        <w:pStyle w:val="12"/>
        <w:widowControl/>
        <w:spacing w:beforeAutospacing="0" w:afterAutospacing="0" w:line="33" w:lineRule="atLeast"/>
        <w:jc w:val="both"/>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1、涉及面广、辐射其他行业。整个项目涉及13个村、1595亩64户烟农，在项目实施中，带动了全镇建筑、服务、制造、金融、运输、煤炭、电力、农资等多个行业，解决了农村剩余劳动力1.15万余人，给当地经济带来新气象，促进了我镇经济发展，烟农反映良好。</w:t>
      </w:r>
    </w:p>
    <w:p w14:paraId="41297E8F">
      <w:pPr>
        <w:pStyle w:val="12"/>
        <w:widowControl/>
        <w:spacing w:beforeAutospacing="0" w:afterAutospacing="0" w:line="33" w:lineRule="atLeast"/>
        <w:jc w:val="both"/>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2、提高效益、实现更多税收</w:t>
      </w:r>
      <w:r>
        <w:rPr>
          <w:rFonts w:hint="eastAsia" w:ascii="仿宋_GB2312" w:hAnsi="仿宋_GB2312" w:eastAsia="仿宋_GB2312" w:cs="仿宋_GB2312"/>
          <w:sz w:val="32"/>
          <w:szCs w:val="32"/>
        </w:rPr>
        <w:t>。</w:t>
      </w:r>
      <w:r>
        <w:rPr>
          <w:rFonts w:hint="eastAsia" w:ascii="仿宋_GB2312" w:hAnsi="仿宋_GB2312" w:eastAsia="仿宋_GB2312" w:cs="仿宋_GB2312"/>
          <w:color w:val="333333"/>
          <w:sz w:val="32"/>
          <w:szCs w:val="32"/>
          <w:shd w:val="clear" w:color="auto" w:fill="FFFFFF"/>
        </w:rPr>
        <w:t>项目直接取得了创烟叶税104.69万元、实现总产值470.02万元的直接效益、完成全年任务的91.51%；比去年相比稳中有升，真正实现了烟农增收、政府增税的目标。烟叶税成为我镇的重要财源之一，确保了我镇行政运行的正常运转。</w:t>
      </w:r>
    </w:p>
    <w:p w14:paraId="2E36871C">
      <w:pPr>
        <w:pStyle w:val="12"/>
        <w:widowControl/>
        <w:spacing w:beforeAutospacing="0" w:afterAutospacing="0" w:line="33" w:lineRule="atLeast"/>
        <w:ind w:firstLine="420"/>
        <w:jc w:val="both"/>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3、配套齐备、争取更多投入。今年当年烤房维护及建设以及配套设施的维护及建设均全部按时按质完工，大力夯实了我镇烟叶产业基础设施，为推进我镇现代烟草农业建设步伐再筑基础，更为我镇烟农不断增收、政府不断增税创造了更有利有力的生产环境和条件。</w:t>
      </w:r>
    </w:p>
    <w:p w14:paraId="390EC3F0">
      <w:pPr>
        <w:pStyle w:val="12"/>
        <w:widowControl/>
        <w:spacing w:beforeAutospacing="0" w:afterAutospacing="0" w:line="33" w:lineRule="atLeast"/>
        <w:ind w:firstLine="420"/>
        <w:jc w:val="both"/>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4、烟菜轮作、保护耕地环境。项目每年都要对大部分烟地实行烟菜轮作，平整翻耕土地，有效保护优化当地生态环境和耕地的循环利用，为烤烟产业和粮食产业的持续稳定健康发展打下良好的基础。</w:t>
      </w:r>
    </w:p>
    <w:p w14:paraId="66F3D938">
      <w:pPr>
        <w:pStyle w:val="12"/>
        <w:widowControl/>
        <w:spacing w:beforeAutospacing="0" w:afterAutospacing="0" w:line="33" w:lineRule="atLeast"/>
        <w:ind w:firstLine="420"/>
        <w:jc w:val="both"/>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5、提升质量、打响烟叶品牌。项目取得了收购烟叶3893担，上等烟比例达48.08%以上，中等烟比例达43.86%以上，在昭化区烤烟生产领域树立了良好的烤烟品牌。</w:t>
      </w:r>
    </w:p>
    <w:p w14:paraId="23A3E596">
      <w:pPr>
        <w:pStyle w:val="12"/>
        <w:widowControl/>
        <w:spacing w:beforeAutospacing="0" w:afterAutospacing="0" w:line="33" w:lineRule="atLeast"/>
        <w:jc w:val="both"/>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综合评价情况及评价结论：我镇较好地完成项目绩效目标：完成烤烟种植面积1595亩，收购烟叶3893担；实现烟叶税收104.69万元；烟叶质量等级合格率91.94%；烤烟总产值470.02万元，均价24.16元/公斤。烤烟生产的烟叶发展补助资金的投入为我镇财政增税、农民增收起到了显著成效，绩效评价自评为优秀。</w:t>
      </w:r>
    </w:p>
    <w:p w14:paraId="1D367C3C">
      <w:pPr>
        <w:pStyle w:val="12"/>
        <w:widowControl/>
        <w:spacing w:beforeAutospacing="0" w:afterAutospacing="0" w:line="33" w:lineRule="atLeast"/>
        <w:ind w:firstLine="420"/>
        <w:jc w:val="both"/>
        <w:rPr>
          <w:rFonts w:ascii="黑体" w:hAnsi="黑体" w:eastAsia="黑体" w:cs="黑体"/>
          <w:sz w:val="32"/>
          <w:szCs w:val="32"/>
        </w:rPr>
      </w:pPr>
      <w:r>
        <w:rPr>
          <w:rFonts w:hint="eastAsia" w:ascii="黑体" w:hAnsi="黑体" w:eastAsia="黑体" w:cs="黑体"/>
          <w:color w:val="333333"/>
          <w:sz w:val="32"/>
          <w:szCs w:val="32"/>
          <w:shd w:val="clear" w:color="auto" w:fill="FFFFFF"/>
        </w:rPr>
        <w:t>四、主要经验，存在问题和相关建议</w:t>
      </w:r>
    </w:p>
    <w:p w14:paraId="29DE8DD1">
      <w:pPr>
        <w:pStyle w:val="12"/>
        <w:widowControl/>
        <w:spacing w:beforeAutospacing="0" w:afterAutospacing="0" w:line="33" w:lineRule="atLeast"/>
        <w:jc w:val="both"/>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1、主要收获。项目建设紧抓以促进烤烟产业持续稳定发展和让烟农得实惠为出发点；以提升烟叶质量和市场竞争力为关键点；以完善基础设施为保障点；真正使财政资金实现令人民满意和取得最大绩效。</w:t>
      </w:r>
    </w:p>
    <w:p w14:paraId="18A9D9D5">
      <w:pPr>
        <w:pStyle w:val="12"/>
        <w:widowControl/>
        <w:spacing w:beforeAutospacing="0" w:afterAutospacing="0" w:line="33" w:lineRule="atLeast"/>
        <w:jc w:val="both"/>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2、存在问题。项目建设中存在土地流转难、后期管护资金难以跟上和烟叶基础设施管护难以落实到人；烤烟种植面的空间还有待不断扩充。</w:t>
      </w:r>
    </w:p>
    <w:p w14:paraId="4158F0AF">
      <w:pPr>
        <w:spacing w:line="560" w:lineRule="exact"/>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3、相关建议。</w:t>
      </w:r>
    </w:p>
    <w:p w14:paraId="5CD806D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加大对该产业项目的宣传力度、加大对该产业项目的发展投入，促进经济的快速提升，从而带动我镇农村各项事业持续、有效、快速发展。</w:t>
      </w:r>
    </w:p>
    <w:p w14:paraId="4E6644E8">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14:paraId="6BEC181C">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针对项目自评中发现的问题，提出下一步改进完善的意见及有关政策性建议。</w:t>
      </w:r>
    </w:p>
    <w:p w14:paraId="72FCBFF5">
      <w:pPr>
        <w:spacing w:line="580" w:lineRule="exact"/>
        <w:ind w:firstLine="640"/>
        <w:rPr>
          <w:rFonts w:ascii="仿宋_GB2312" w:hAnsi="仿宋_GB2312" w:eastAsia="仿宋_GB2312" w:cs="仿宋_GB2312"/>
          <w:sz w:val="32"/>
          <w:szCs w:val="32"/>
        </w:rPr>
      </w:pPr>
    </w:p>
    <w:p w14:paraId="1ED2966F">
      <w:pPr>
        <w:spacing w:line="580" w:lineRule="exact"/>
        <w:ind w:firstLine="640"/>
        <w:rPr>
          <w:rFonts w:ascii="仿宋_GB2312" w:hAnsi="仿宋_GB2312" w:eastAsia="仿宋_GB2312" w:cs="仿宋_GB2312"/>
          <w:sz w:val="32"/>
          <w:szCs w:val="32"/>
        </w:rPr>
      </w:pPr>
    </w:p>
    <w:p w14:paraId="542AC1BB">
      <w:pPr>
        <w:widowControl/>
        <w:jc w:val="left"/>
        <w:rPr>
          <w:rStyle w:val="25"/>
          <w:rFonts w:ascii="黑体" w:hAnsi="黑体" w:eastAsia="黑体"/>
          <w:b w:val="0"/>
        </w:rPr>
      </w:pPr>
    </w:p>
    <w:p w14:paraId="6C4F08E6">
      <w:pPr>
        <w:widowControl/>
        <w:jc w:val="left"/>
        <w:rPr>
          <w:rStyle w:val="25"/>
          <w:rFonts w:ascii="黑体" w:hAnsi="黑体" w:eastAsia="黑体"/>
          <w:b w:val="0"/>
        </w:rPr>
      </w:pPr>
      <w:r>
        <w:rPr>
          <w:rStyle w:val="25"/>
          <w:rFonts w:ascii="黑体" w:hAnsi="黑体" w:eastAsia="黑体"/>
          <w:b w:val="0"/>
        </w:rPr>
        <w:br w:type="page"/>
      </w:r>
    </w:p>
    <w:p w14:paraId="6E78561F">
      <w:pPr>
        <w:spacing w:line="600" w:lineRule="exact"/>
        <w:jc w:val="center"/>
        <w:outlineLvl w:val="0"/>
        <w:rPr>
          <w:rStyle w:val="25"/>
          <w:rFonts w:ascii="黑体" w:hAnsi="黑体" w:eastAsia="黑体"/>
          <w:b w:val="0"/>
        </w:rPr>
      </w:pPr>
    </w:p>
    <w:p w14:paraId="60323790">
      <w:pPr>
        <w:spacing w:line="600" w:lineRule="exact"/>
        <w:jc w:val="center"/>
        <w:outlineLvl w:val="0"/>
        <w:rPr>
          <w:rStyle w:val="25"/>
          <w:rFonts w:ascii="黑体" w:hAnsi="黑体" w:eastAsia="黑体"/>
          <w:b w:val="0"/>
        </w:rPr>
      </w:pPr>
      <w:bookmarkStart w:id="60" w:name="_Toc15396618"/>
      <w:r>
        <w:rPr>
          <w:rFonts w:hint="eastAsia" w:ascii="黑体" w:hAnsi="黑体" w:eastAsia="黑体"/>
          <w:color w:val="000000"/>
          <w:sz w:val="44"/>
          <w:szCs w:val="44"/>
        </w:rPr>
        <w:t>第</w:t>
      </w:r>
      <w:r>
        <w:rPr>
          <w:rStyle w:val="25"/>
          <w:rFonts w:hint="eastAsia" w:ascii="黑体" w:hAnsi="黑体" w:eastAsia="黑体"/>
          <w:b w:val="0"/>
        </w:rPr>
        <w:t>五部分 附表</w:t>
      </w:r>
      <w:bookmarkEnd w:id="58"/>
      <w:bookmarkEnd w:id="60"/>
    </w:p>
    <w:p w14:paraId="46CAD7ED">
      <w:pPr>
        <w:spacing w:line="600" w:lineRule="exact"/>
        <w:jc w:val="center"/>
        <w:outlineLvl w:val="0"/>
        <w:rPr>
          <w:rFonts w:ascii="仿宋" w:hAnsi="仿宋" w:eastAsia="仿宋"/>
          <w:b/>
          <w:color w:val="000000"/>
          <w:sz w:val="44"/>
          <w:szCs w:val="44"/>
        </w:rPr>
      </w:pPr>
    </w:p>
    <w:p w14:paraId="5C1136EA">
      <w:pPr>
        <w:pStyle w:val="3"/>
        <w:rPr>
          <w:rFonts w:ascii="仿宋" w:hAnsi="仿宋" w:eastAsia="仿宋"/>
          <w:color w:val="000000"/>
        </w:rPr>
      </w:pPr>
      <w:bookmarkStart w:id="61"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61"/>
    </w:p>
    <w:p w14:paraId="43419F9F">
      <w:pPr>
        <w:pStyle w:val="3"/>
        <w:rPr>
          <w:rFonts w:ascii="仿宋" w:hAnsi="仿宋" w:eastAsia="仿宋"/>
          <w:color w:val="000000"/>
        </w:rPr>
      </w:pPr>
      <w:bookmarkStart w:id="62" w:name="_Toc15396620"/>
      <w:r>
        <w:rPr>
          <w:rFonts w:hint="eastAsia" w:ascii="仿宋" w:hAnsi="仿宋" w:eastAsia="仿宋"/>
          <w:b w:val="0"/>
          <w:color w:val="000000"/>
        </w:rPr>
        <w:t>二、收</w:t>
      </w:r>
      <w:r>
        <w:rPr>
          <w:rStyle w:val="26"/>
          <w:rFonts w:hint="eastAsia" w:ascii="仿宋" w:hAnsi="仿宋" w:eastAsia="仿宋"/>
          <w:b w:val="0"/>
          <w:bCs w:val="0"/>
        </w:rPr>
        <w:t>入决算表</w:t>
      </w:r>
      <w:bookmarkEnd w:id="62"/>
    </w:p>
    <w:p w14:paraId="00BF11D8">
      <w:pPr>
        <w:pStyle w:val="3"/>
        <w:rPr>
          <w:rFonts w:ascii="仿宋" w:hAnsi="仿宋" w:eastAsia="仿宋"/>
          <w:color w:val="000000"/>
        </w:rPr>
      </w:pPr>
      <w:bookmarkStart w:id="63"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出决算表</w:t>
      </w:r>
      <w:bookmarkEnd w:id="63"/>
    </w:p>
    <w:p w14:paraId="373DFACB">
      <w:pPr>
        <w:pStyle w:val="3"/>
        <w:rPr>
          <w:rFonts w:ascii="仿宋" w:hAnsi="仿宋" w:eastAsia="仿宋"/>
          <w:b w:val="0"/>
          <w:color w:val="000000"/>
        </w:rPr>
      </w:pPr>
      <w:bookmarkStart w:id="64"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4"/>
    </w:p>
    <w:p w14:paraId="6677977C">
      <w:pPr>
        <w:pStyle w:val="3"/>
        <w:rPr>
          <w:rStyle w:val="26"/>
          <w:rFonts w:ascii="仿宋" w:hAnsi="仿宋" w:eastAsia="仿宋"/>
          <w:b w:val="0"/>
          <w:bCs w:val="0"/>
        </w:rPr>
      </w:pPr>
      <w:bookmarkStart w:id="65"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w:t>
      </w:r>
      <w:bookmarkEnd w:id="65"/>
      <w:bookmarkStart w:id="66" w:name="_Toc15396624"/>
    </w:p>
    <w:p w14:paraId="0FB503AE">
      <w:pPr>
        <w:pStyle w:val="3"/>
        <w:rPr>
          <w:rFonts w:ascii="仿宋" w:hAnsi="仿宋" w:eastAsia="仿宋"/>
          <w:color w:val="000000"/>
        </w:rPr>
      </w:pPr>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6"/>
    </w:p>
    <w:p w14:paraId="626FCD3E">
      <w:pPr>
        <w:pStyle w:val="3"/>
        <w:rPr>
          <w:rFonts w:ascii="仿宋" w:hAnsi="仿宋" w:eastAsia="仿宋"/>
          <w:color w:val="000000"/>
        </w:rPr>
      </w:pPr>
      <w:bookmarkStart w:id="67"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7"/>
    </w:p>
    <w:p w14:paraId="564BBBCC">
      <w:pPr>
        <w:pStyle w:val="3"/>
        <w:rPr>
          <w:rFonts w:ascii="仿宋" w:hAnsi="仿宋" w:eastAsia="仿宋"/>
          <w:color w:val="000000"/>
        </w:rPr>
      </w:pPr>
      <w:bookmarkStart w:id="68"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68"/>
    </w:p>
    <w:p w14:paraId="3EC752FF">
      <w:pPr>
        <w:pStyle w:val="3"/>
        <w:rPr>
          <w:rFonts w:ascii="仿宋" w:hAnsi="仿宋" w:eastAsia="仿宋"/>
          <w:color w:val="000000"/>
        </w:rPr>
      </w:pPr>
      <w:bookmarkStart w:id="69"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69"/>
    </w:p>
    <w:p w14:paraId="29DE2649">
      <w:pPr>
        <w:pStyle w:val="3"/>
        <w:rPr>
          <w:rFonts w:ascii="仿宋" w:hAnsi="仿宋" w:eastAsia="仿宋"/>
          <w:color w:val="000000"/>
        </w:rPr>
      </w:pPr>
      <w:bookmarkStart w:id="70"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70"/>
    </w:p>
    <w:p w14:paraId="79E9E572">
      <w:pPr>
        <w:pStyle w:val="3"/>
        <w:rPr>
          <w:rFonts w:ascii="仿宋" w:hAnsi="仿宋" w:eastAsia="仿宋"/>
          <w:color w:val="000000"/>
        </w:rPr>
      </w:pPr>
      <w:bookmarkStart w:id="71"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1"/>
    </w:p>
    <w:p w14:paraId="4647E199">
      <w:pPr>
        <w:pStyle w:val="3"/>
        <w:rPr>
          <w:rFonts w:ascii="仿宋" w:hAnsi="仿宋" w:eastAsia="仿宋"/>
          <w:color w:val="000000"/>
        </w:rPr>
      </w:pPr>
      <w:bookmarkStart w:id="72"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2"/>
    </w:p>
    <w:p w14:paraId="6513E11A">
      <w:pPr>
        <w:pStyle w:val="3"/>
        <w:rPr>
          <w:rFonts w:ascii="仿宋" w:hAnsi="仿宋" w:eastAsia="仿宋"/>
          <w:color w:val="000000" w:themeColor="text1"/>
          <w14:textFill>
            <w14:solidFill>
              <w14:schemeClr w14:val="tx1"/>
            </w14:solidFill>
          </w14:textFill>
        </w:rPr>
      </w:pPr>
      <w:bookmarkStart w:id="73"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3"/>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D8C1F5F-1D6F-47A5-AE60-8E0C14011DE5}"/>
  </w:font>
  <w:font w:name="黑体">
    <w:panose1 w:val="02010609060101010101"/>
    <w:charset w:val="86"/>
    <w:family w:val="auto"/>
    <w:pitch w:val="default"/>
    <w:sig w:usb0="800002BF" w:usb1="38CF7CFA" w:usb2="00000016" w:usb3="00000000" w:csb0="00040001" w:csb1="00000000"/>
    <w:embedRegular r:id="rId2" w:fontKey="{708B278F-5132-4914-A3AE-580C7306414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F53A7B6F-C010-4564-B83E-B92907225A14}"/>
  </w:font>
  <w:font w:name="Cambria">
    <w:panose1 w:val="02040503050406030204"/>
    <w:charset w:val="00"/>
    <w:family w:val="roman"/>
    <w:pitch w:val="default"/>
    <w:sig w:usb0="E00006FF" w:usb1="420024FF" w:usb2="02000000" w:usb3="00000000" w:csb0="2000019F" w:csb1="00000000"/>
    <w:embedRegular r:id="rId4" w:fontKey="{4D8D91B4-B49C-4021-BDF3-E41A1F465B01}"/>
  </w:font>
  <w:font w:name="仿宋_GB2312">
    <w:panose1 w:val="02010609030101010101"/>
    <w:charset w:val="86"/>
    <w:family w:val="modern"/>
    <w:pitch w:val="default"/>
    <w:sig w:usb0="00000001" w:usb1="080E0000" w:usb2="00000000" w:usb3="00000000" w:csb0="00040000" w:csb1="00000000"/>
    <w:embedRegular r:id="rId5" w:fontKey="{C2E45DEA-947E-4C8E-A769-096F8DBA20A6}"/>
  </w:font>
  <w:font w:name="仿宋">
    <w:panose1 w:val="02010609060101010101"/>
    <w:charset w:val="86"/>
    <w:family w:val="modern"/>
    <w:pitch w:val="default"/>
    <w:sig w:usb0="800002BF" w:usb1="38CF7CFA" w:usb2="00000016" w:usb3="00000000" w:csb0="00040001" w:csb1="00000000"/>
    <w:embedRegular r:id="rId6" w:fontKey="{28611E20-5B2D-40CC-BC01-516247BEC4CD}"/>
  </w:font>
  <w:font w:name="方正小标宋简体">
    <w:panose1 w:val="02000000000000000000"/>
    <w:charset w:val="86"/>
    <w:family w:val="auto"/>
    <w:pitch w:val="default"/>
    <w:sig w:usb0="00000001" w:usb1="08000000" w:usb2="00000000" w:usb3="00000000" w:csb0="00040000" w:csb1="00000000"/>
    <w:embedRegular r:id="rId7" w:fontKey="{2F43AFC0-7E17-4B6F-BA7A-C8153967FC08}"/>
  </w:font>
  <w:font w:name="楷体">
    <w:panose1 w:val="02010609060101010101"/>
    <w:charset w:val="86"/>
    <w:family w:val="auto"/>
    <w:pitch w:val="default"/>
    <w:sig w:usb0="800002BF" w:usb1="38CF7CFA" w:usb2="00000016" w:usb3="00000000" w:csb0="00040001" w:csb1="00000000"/>
    <w:embedRegular r:id="rId8" w:fontKey="{9DB1E6DE-6E8C-4888-BB6A-4060A1146E40}"/>
  </w:font>
  <w:font w:name="华文仿宋">
    <w:panose1 w:val="02010600040101010101"/>
    <w:charset w:val="86"/>
    <w:family w:val="auto"/>
    <w:pitch w:val="default"/>
    <w:sig w:usb0="00000287" w:usb1="080F0000" w:usb2="00000000" w:usb3="00000000" w:csb0="0004009F" w:csb1="DFD70000"/>
    <w:embedRegular r:id="rId9" w:fontKey="{282579DC-5274-421B-BCCB-8BA46438BC6F}"/>
  </w:font>
  <w:font w:name="楷体_GB2312">
    <w:panose1 w:val="02010609030101010101"/>
    <w:charset w:val="86"/>
    <w:family w:val="modern"/>
    <w:pitch w:val="default"/>
    <w:sig w:usb0="00000001" w:usb1="080E0000" w:usb2="00000000" w:usb3="00000000" w:csb0="00040000" w:csb1="00000000"/>
    <w:embedRegular r:id="rId10" w:fontKey="{615AD844-2E85-457F-82D1-C5869A5287C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4D1B724E">
        <w:pPr>
          <w:pStyle w:val="8"/>
          <w:jc w:val="center"/>
        </w:pPr>
        <w:r>
          <w:fldChar w:fldCharType="begin"/>
        </w:r>
        <w:r>
          <w:instrText xml:space="preserve">PAGE   \* MERGEFORMAT</w:instrText>
        </w:r>
        <w:r>
          <w:fldChar w:fldCharType="separate"/>
        </w:r>
        <w:r>
          <w:rPr>
            <w:lang w:val="zh-CN"/>
          </w:rPr>
          <w:t>2</w:t>
        </w:r>
        <w:r>
          <w:rPr>
            <w:lang w:val="zh-CN"/>
          </w:rPr>
          <w:fldChar w:fldCharType="end"/>
        </w:r>
      </w:p>
    </w:sdtContent>
  </w:sdt>
  <w:p w14:paraId="26595C0E">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CFC9C">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52A2731"/>
    <w:multiLevelType w:val="singleLevel"/>
    <w:tmpl w:val="E52A2731"/>
    <w:lvl w:ilvl="0" w:tentative="0">
      <w:start w:val="3"/>
      <w:numFmt w:val="chineseCounting"/>
      <w:suff w:val="nothing"/>
      <w:lvlText w:val="%1、"/>
      <w:lvlJc w:val="left"/>
      <w:rPr>
        <w:rFonts w:hint="eastAsia"/>
      </w:rPr>
    </w:lvl>
  </w:abstractNum>
  <w:abstractNum w:abstractNumId="3">
    <w:nsid w:val="1272550B"/>
    <w:multiLevelType w:val="multilevel"/>
    <w:tmpl w:val="1272550B"/>
    <w:lvl w:ilvl="0" w:tentative="0">
      <w:start w:val="1"/>
      <w:numFmt w:val="japaneseCounting"/>
      <w:lvlText w:val="%1、"/>
      <w:lvlJc w:val="left"/>
      <w:pPr>
        <w:ind w:left="1429" w:hanging="720"/>
      </w:pPr>
      <w:rPr>
        <w:rFonts w:hint="default"/>
        <w:b w:val="0"/>
        <w:lang w:val="en-US"/>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4">
    <w:nsid w:val="2916CC7C"/>
    <w:multiLevelType w:val="singleLevel"/>
    <w:tmpl w:val="2916CC7C"/>
    <w:lvl w:ilvl="0" w:tentative="0">
      <w:start w:val="3"/>
      <w:numFmt w:val="chineseCounting"/>
      <w:suff w:val="nothing"/>
      <w:lvlText w:val="（%1）"/>
      <w:lvlJc w:val="left"/>
      <w:rPr>
        <w:rFonts w:hint="eastAsia"/>
      </w:rPr>
    </w:lvl>
  </w:abstractNum>
  <w:abstractNum w:abstractNumId="5">
    <w:nsid w:val="2DF12A57"/>
    <w:multiLevelType w:val="singleLevel"/>
    <w:tmpl w:val="2DF12A57"/>
    <w:lvl w:ilvl="0" w:tentative="0">
      <w:start w:val="2"/>
      <w:numFmt w:val="chineseCounting"/>
      <w:suff w:val="nothing"/>
      <w:lvlText w:val="（%1）"/>
      <w:lvlJc w:val="left"/>
      <w:rPr>
        <w:rFonts w:hint="eastAsia"/>
      </w:rPr>
    </w:lvl>
  </w:abstractNum>
  <w:abstractNum w:abstractNumId="6">
    <w:nsid w:val="30A05596"/>
    <w:multiLevelType w:val="singleLevel"/>
    <w:tmpl w:val="30A05596"/>
    <w:lvl w:ilvl="0" w:tentative="0">
      <w:start w:val="2"/>
      <w:numFmt w:val="chineseCounting"/>
      <w:suff w:val="nothing"/>
      <w:lvlText w:val="（%1）"/>
      <w:lvlJc w:val="left"/>
      <w:rPr>
        <w:rFonts w:hint="eastAsia"/>
      </w:rPr>
    </w:lvl>
  </w:abstractNum>
  <w:num w:numId="1">
    <w:abstractNumId w:val="3"/>
  </w:num>
  <w:num w:numId="2">
    <w:abstractNumId w:val="0"/>
  </w:num>
  <w:num w:numId="3">
    <w:abstractNumId w:val="1"/>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07D2D"/>
    <w:rsid w:val="00016E44"/>
    <w:rsid w:val="00021069"/>
    <w:rsid w:val="000222C6"/>
    <w:rsid w:val="0002549F"/>
    <w:rsid w:val="000415B6"/>
    <w:rsid w:val="000468DB"/>
    <w:rsid w:val="0006487A"/>
    <w:rsid w:val="00065F8F"/>
    <w:rsid w:val="000672A1"/>
    <w:rsid w:val="00070A43"/>
    <w:rsid w:val="000768F2"/>
    <w:rsid w:val="0009184B"/>
    <w:rsid w:val="00094236"/>
    <w:rsid w:val="0009593C"/>
    <w:rsid w:val="00097322"/>
    <w:rsid w:val="000A6A92"/>
    <w:rsid w:val="000B047F"/>
    <w:rsid w:val="000B3E73"/>
    <w:rsid w:val="000B5923"/>
    <w:rsid w:val="000B5A48"/>
    <w:rsid w:val="000B6FF3"/>
    <w:rsid w:val="000C3467"/>
    <w:rsid w:val="000C3CA6"/>
    <w:rsid w:val="000D1267"/>
    <w:rsid w:val="000D1D50"/>
    <w:rsid w:val="000D5782"/>
    <w:rsid w:val="000E1E0E"/>
    <w:rsid w:val="000E6613"/>
    <w:rsid w:val="000E7119"/>
    <w:rsid w:val="000F2B30"/>
    <w:rsid w:val="000F72DA"/>
    <w:rsid w:val="00114E9B"/>
    <w:rsid w:val="001314D9"/>
    <w:rsid w:val="00142216"/>
    <w:rsid w:val="00144D6A"/>
    <w:rsid w:val="0014729F"/>
    <w:rsid w:val="00157BAB"/>
    <w:rsid w:val="001654D1"/>
    <w:rsid w:val="0017135F"/>
    <w:rsid w:val="00174518"/>
    <w:rsid w:val="0018106D"/>
    <w:rsid w:val="00183798"/>
    <w:rsid w:val="001877A7"/>
    <w:rsid w:val="00191536"/>
    <w:rsid w:val="00196687"/>
    <w:rsid w:val="001C0962"/>
    <w:rsid w:val="001C39D9"/>
    <w:rsid w:val="001C53F3"/>
    <w:rsid w:val="001D7531"/>
    <w:rsid w:val="001E737D"/>
    <w:rsid w:val="001F0592"/>
    <w:rsid w:val="001F23FB"/>
    <w:rsid w:val="001F7506"/>
    <w:rsid w:val="002006CD"/>
    <w:rsid w:val="00202B36"/>
    <w:rsid w:val="00204B7A"/>
    <w:rsid w:val="00204CDE"/>
    <w:rsid w:val="0021101A"/>
    <w:rsid w:val="00220536"/>
    <w:rsid w:val="002209D5"/>
    <w:rsid w:val="00233EB8"/>
    <w:rsid w:val="00235629"/>
    <w:rsid w:val="0024452F"/>
    <w:rsid w:val="00260C38"/>
    <w:rsid w:val="002616C0"/>
    <w:rsid w:val="00265372"/>
    <w:rsid w:val="002662AA"/>
    <w:rsid w:val="00280496"/>
    <w:rsid w:val="002916A8"/>
    <w:rsid w:val="0029278A"/>
    <w:rsid w:val="00294DC9"/>
    <w:rsid w:val="00295495"/>
    <w:rsid w:val="002A31DE"/>
    <w:rsid w:val="002B2613"/>
    <w:rsid w:val="002D19B0"/>
    <w:rsid w:val="002D6D05"/>
    <w:rsid w:val="002F1818"/>
    <w:rsid w:val="002F567B"/>
    <w:rsid w:val="003216A9"/>
    <w:rsid w:val="00324149"/>
    <w:rsid w:val="00335A74"/>
    <w:rsid w:val="00337A36"/>
    <w:rsid w:val="003649A0"/>
    <w:rsid w:val="0036561B"/>
    <w:rsid w:val="0037013F"/>
    <w:rsid w:val="00380C92"/>
    <w:rsid w:val="0038618D"/>
    <w:rsid w:val="003A484F"/>
    <w:rsid w:val="003A4883"/>
    <w:rsid w:val="003B0BE0"/>
    <w:rsid w:val="003B0C1B"/>
    <w:rsid w:val="003B688C"/>
    <w:rsid w:val="003C0291"/>
    <w:rsid w:val="003C086E"/>
    <w:rsid w:val="003C39AE"/>
    <w:rsid w:val="003C4C19"/>
    <w:rsid w:val="003C7B60"/>
    <w:rsid w:val="003D0C0F"/>
    <w:rsid w:val="003D1FB2"/>
    <w:rsid w:val="003D610B"/>
    <w:rsid w:val="003D66DA"/>
    <w:rsid w:val="003E1310"/>
    <w:rsid w:val="003E6F55"/>
    <w:rsid w:val="00406254"/>
    <w:rsid w:val="00416CD4"/>
    <w:rsid w:val="004223DE"/>
    <w:rsid w:val="00434489"/>
    <w:rsid w:val="00437085"/>
    <w:rsid w:val="00443880"/>
    <w:rsid w:val="004464F4"/>
    <w:rsid w:val="00471401"/>
    <w:rsid w:val="00473F31"/>
    <w:rsid w:val="0048263A"/>
    <w:rsid w:val="00484370"/>
    <w:rsid w:val="00487E5D"/>
    <w:rsid w:val="004A6595"/>
    <w:rsid w:val="004A711F"/>
    <w:rsid w:val="004B199D"/>
    <w:rsid w:val="004B4690"/>
    <w:rsid w:val="004E0A2D"/>
    <w:rsid w:val="004E206B"/>
    <w:rsid w:val="004E2E92"/>
    <w:rsid w:val="004E6DF7"/>
    <w:rsid w:val="004F0FBD"/>
    <w:rsid w:val="004F403E"/>
    <w:rsid w:val="00505A47"/>
    <w:rsid w:val="00512FDA"/>
    <w:rsid w:val="00520DA0"/>
    <w:rsid w:val="00561AF4"/>
    <w:rsid w:val="005664BB"/>
    <w:rsid w:val="00566FFA"/>
    <w:rsid w:val="00567C2D"/>
    <w:rsid w:val="0057481D"/>
    <w:rsid w:val="00575F0B"/>
    <w:rsid w:val="0058486E"/>
    <w:rsid w:val="00585B33"/>
    <w:rsid w:val="0059014D"/>
    <w:rsid w:val="00594CE2"/>
    <w:rsid w:val="005B0BC4"/>
    <w:rsid w:val="005B5C64"/>
    <w:rsid w:val="005C5B35"/>
    <w:rsid w:val="005C6BD0"/>
    <w:rsid w:val="005C6C4C"/>
    <w:rsid w:val="005D1C8B"/>
    <w:rsid w:val="005D468D"/>
    <w:rsid w:val="005D5CED"/>
    <w:rsid w:val="005F1A4C"/>
    <w:rsid w:val="00605688"/>
    <w:rsid w:val="006070AF"/>
    <w:rsid w:val="00607E6C"/>
    <w:rsid w:val="006101B1"/>
    <w:rsid w:val="00614E44"/>
    <w:rsid w:val="00616203"/>
    <w:rsid w:val="0062270A"/>
    <w:rsid w:val="00622830"/>
    <w:rsid w:val="00623DA0"/>
    <w:rsid w:val="00630AEF"/>
    <w:rsid w:val="006325F8"/>
    <w:rsid w:val="00633463"/>
    <w:rsid w:val="00634C9A"/>
    <w:rsid w:val="00641280"/>
    <w:rsid w:val="006420F7"/>
    <w:rsid w:val="006440E4"/>
    <w:rsid w:val="006452DF"/>
    <w:rsid w:val="0066343B"/>
    <w:rsid w:val="00664777"/>
    <w:rsid w:val="006748A4"/>
    <w:rsid w:val="00681A31"/>
    <w:rsid w:val="00683E73"/>
    <w:rsid w:val="006906A6"/>
    <w:rsid w:val="006A2965"/>
    <w:rsid w:val="006A3141"/>
    <w:rsid w:val="006A5E34"/>
    <w:rsid w:val="006B04F5"/>
    <w:rsid w:val="006B2422"/>
    <w:rsid w:val="006B2B9A"/>
    <w:rsid w:val="006C1937"/>
    <w:rsid w:val="006F020C"/>
    <w:rsid w:val="00705564"/>
    <w:rsid w:val="00705634"/>
    <w:rsid w:val="007127B7"/>
    <w:rsid w:val="00717602"/>
    <w:rsid w:val="0071798E"/>
    <w:rsid w:val="00721901"/>
    <w:rsid w:val="00727533"/>
    <w:rsid w:val="007416B6"/>
    <w:rsid w:val="00746F48"/>
    <w:rsid w:val="0075404D"/>
    <w:rsid w:val="0076182A"/>
    <w:rsid w:val="00766CC5"/>
    <w:rsid w:val="00767B7E"/>
    <w:rsid w:val="007770C3"/>
    <w:rsid w:val="00784D24"/>
    <w:rsid w:val="00785FBA"/>
    <w:rsid w:val="00786E4A"/>
    <w:rsid w:val="007875EB"/>
    <w:rsid w:val="0079426B"/>
    <w:rsid w:val="007A73F0"/>
    <w:rsid w:val="007C0BCA"/>
    <w:rsid w:val="007D1682"/>
    <w:rsid w:val="007D209F"/>
    <w:rsid w:val="007D312A"/>
    <w:rsid w:val="007D3F19"/>
    <w:rsid w:val="007E23B0"/>
    <w:rsid w:val="007F1991"/>
    <w:rsid w:val="007F2C2F"/>
    <w:rsid w:val="007F55FC"/>
    <w:rsid w:val="007F5665"/>
    <w:rsid w:val="007F61F2"/>
    <w:rsid w:val="00800112"/>
    <w:rsid w:val="00813348"/>
    <w:rsid w:val="008253BB"/>
    <w:rsid w:val="00833962"/>
    <w:rsid w:val="0083520D"/>
    <w:rsid w:val="00835C90"/>
    <w:rsid w:val="0083706E"/>
    <w:rsid w:val="008408F6"/>
    <w:rsid w:val="008423A5"/>
    <w:rsid w:val="00850625"/>
    <w:rsid w:val="00853718"/>
    <w:rsid w:val="00855221"/>
    <w:rsid w:val="00860645"/>
    <w:rsid w:val="00866EAE"/>
    <w:rsid w:val="00871F71"/>
    <w:rsid w:val="00872FD8"/>
    <w:rsid w:val="00885AF4"/>
    <w:rsid w:val="00891342"/>
    <w:rsid w:val="008939CD"/>
    <w:rsid w:val="008A787C"/>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0EEC"/>
    <w:rsid w:val="00946945"/>
    <w:rsid w:val="00951248"/>
    <w:rsid w:val="0095152F"/>
    <w:rsid w:val="00954C49"/>
    <w:rsid w:val="00955E37"/>
    <w:rsid w:val="00957BD6"/>
    <w:rsid w:val="0097092F"/>
    <w:rsid w:val="0097099F"/>
    <w:rsid w:val="00971997"/>
    <w:rsid w:val="00971FFC"/>
    <w:rsid w:val="0098660A"/>
    <w:rsid w:val="00986BD5"/>
    <w:rsid w:val="009931C3"/>
    <w:rsid w:val="009A4284"/>
    <w:rsid w:val="009B2C43"/>
    <w:rsid w:val="009B4EAE"/>
    <w:rsid w:val="009B7573"/>
    <w:rsid w:val="009C22F4"/>
    <w:rsid w:val="009C2E98"/>
    <w:rsid w:val="009C37FB"/>
    <w:rsid w:val="009D3447"/>
    <w:rsid w:val="009D4711"/>
    <w:rsid w:val="009F1185"/>
    <w:rsid w:val="009F18CD"/>
    <w:rsid w:val="009F2A13"/>
    <w:rsid w:val="009F5718"/>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1EC7"/>
    <w:rsid w:val="00A67AB5"/>
    <w:rsid w:val="00A733B2"/>
    <w:rsid w:val="00A741C2"/>
    <w:rsid w:val="00A91760"/>
    <w:rsid w:val="00A93B00"/>
    <w:rsid w:val="00A93C21"/>
    <w:rsid w:val="00AA7781"/>
    <w:rsid w:val="00AB64C9"/>
    <w:rsid w:val="00AC3C6A"/>
    <w:rsid w:val="00AD0F83"/>
    <w:rsid w:val="00AD5620"/>
    <w:rsid w:val="00AD656B"/>
    <w:rsid w:val="00AD7C1B"/>
    <w:rsid w:val="00AE16BA"/>
    <w:rsid w:val="00AE1EBE"/>
    <w:rsid w:val="00B03C9D"/>
    <w:rsid w:val="00B060AE"/>
    <w:rsid w:val="00B10517"/>
    <w:rsid w:val="00B12709"/>
    <w:rsid w:val="00B14E76"/>
    <w:rsid w:val="00B161B8"/>
    <w:rsid w:val="00B2048C"/>
    <w:rsid w:val="00B310B9"/>
    <w:rsid w:val="00B35F3F"/>
    <w:rsid w:val="00B36CBB"/>
    <w:rsid w:val="00B425E0"/>
    <w:rsid w:val="00B440AA"/>
    <w:rsid w:val="00B44B70"/>
    <w:rsid w:val="00B44BD1"/>
    <w:rsid w:val="00B45903"/>
    <w:rsid w:val="00B53C56"/>
    <w:rsid w:val="00B5662D"/>
    <w:rsid w:val="00B57DAF"/>
    <w:rsid w:val="00B77EA6"/>
    <w:rsid w:val="00B81598"/>
    <w:rsid w:val="00B841F1"/>
    <w:rsid w:val="00B944D6"/>
    <w:rsid w:val="00B9660E"/>
    <w:rsid w:val="00BB4AFF"/>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8013A"/>
    <w:rsid w:val="00C82469"/>
    <w:rsid w:val="00C91CBB"/>
    <w:rsid w:val="00CB4E70"/>
    <w:rsid w:val="00CB6502"/>
    <w:rsid w:val="00CC09B6"/>
    <w:rsid w:val="00CC666F"/>
    <w:rsid w:val="00CD1E3F"/>
    <w:rsid w:val="00CE44F6"/>
    <w:rsid w:val="00CE49DA"/>
    <w:rsid w:val="00CE7B61"/>
    <w:rsid w:val="00D00095"/>
    <w:rsid w:val="00D0179B"/>
    <w:rsid w:val="00D114F0"/>
    <w:rsid w:val="00D11584"/>
    <w:rsid w:val="00D20620"/>
    <w:rsid w:val="00D254F7"/>
    <w:rsid w:val="00D26091"/>
    <w:rsid w:val="00D2685C"/>
    <w:rsid w:val="00D34E7C"/>
    <w:rsid w:val="00D35489"/>
    <w:rsid w:val="00D36AFE"/>
    <w:rsid w:val="00D504D8"/>
    <w:rsid w:val="00D51276"/>
    <w:rsid w:val="00D57701"/>
    <w:rsid w:val="00D7035F"/>
    <w:rsid w:val="00DA634F"/>
    <w:rsid w:val="00DA65AC"/>
    <w:rsid w:val="00DB1913"/>
    <w:rsid w:val="00DC410D"/>
    <w:rsid w:val="00DC5A81"/>
    <w:rsid w:val="00DC68CA"/>
    <w:rsid w:val="00DC7CBA"/>
    <w:rsid w:val="00DD73B7"/>
    <w:rsid w:val="00DF28BC"/>
    <w:rsid w:val="00DF34B9"/>
    <w:rsid w:val="00DF3886"/>
    <w:rsid w:val="00E01053"/>
    <w:rsid w:val="00E07629"/>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A37B7"/>
    <w:rsid w:val="00ED1B63"/>
    <w:rsid w:val="00ED3C1F"/>
    <w:rsid w:val="00ED4085"/>
    <w:rsid w:val="00ED420E"/>
    <w:rsid w:val="00ED6FBE"/>
    <w:rsid w:val="00ED7687"/>
    <w:rsid w:val="00EE2F57"/>
    <w:rsid w:val="00EF4C34"/>
    <w:rsid w:val="00EF77C6"/>
    <w:rsid w:val="00F05438"/>
    <w:rsid w:val="00F1361C"/>
    <w:rsid w:val="00F156F0"/>
    <w:rsid w:val="00F160C7"/>
    <w:rsid w:val="00F2408F"/>
    <w:rsid w:val="00F240E9"/>
    <w:rsid w:val="00F33508"/>
    <w:rsid w:val="00F36D8F"/>
    <w:rsid w:val="00F417B1"/>
    <w:rsid w:val="00F420F4"/>
    <w:rsid w:val="00F45853"/>
    <w:rsid w:val="00F602DF"/>
    <w:rsid w:val="00F72029"/>
    <w:rsid w:val="00F754A1"/>
    <w:rsid w:val="00F81FD9"/>
    <w:rsid w:val="00F841AA"/>
    <w:rsid w:val="00F84A94"/>
    <w:rsid w:val="00F87E96"/>
    <w:rsid w:val="00FA23E8"/>
    <w:rsid w:val="00FD3CC1"/>
    <w:rsid w:val="00FF1E02"/>
    <w:rsid w:val="00FF30B4"/>
    <w:rsid w:val="00FF33C7"/>
    <w:rsid w:val="00FF698E"/>
    <w:rsid w:val="10C055FF"/>
    <w:rsid w:val="16252D27"/>
    <w:rsid w:val="16BB723D"/>
    <w:rsid w:val="240371BF"/>
    <w:rsid w:val="29FD04D3"/>
    <w:rsid w:val="319F7F4E"/>
    <w:rsid w:val="3C302130"/>
    <w:rsid w:val="4ECE2238"/>
    <w:rsid w:val="72734D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unhideWhenUsed/>
    <w:qFormat/>
    <w:uiPriority w:val="0"/>
    <w:pPr>
      <w:spacing w:before="100" w:beforeAutospacing="1" w:after="100" w:afterAutospacing="1"/>
      <w:jc w:val="left"/>
    </w:pPr>
    <w:rPr>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font9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30</Pages>
  <Words>4736</Words>
  <Characters>5240</Characters>
  <Lines>92</Lines>
  <Paragraphs>25</Paragraphs>
  <TotalTime>823</TotalTime>
  <ScaleCrop>false</ScaleCrop>
  <LinksUpToDate>false</LinksUpToDate>
  <CharactersWithSpaces>5276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昭化融媒体</cp:lastModifiedBy>
  <cp:lastPrinted>2020-10-16T07:13:00Z</cp:lastPrinted>
  <dcterms:modified xsi:type="dcterms:W3CDTF">2024-12-25T08:37:53Z</dcterms:modified>
  <dc:title>四川省***</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eyJoZGlkIjoiMGVhYTg4NGNkZWJkODFjNzcyZDRjM2M4Y2UzNjI5ZmUiLCJ1c2VySWQiOiI2MTE2MzEwMDYifQ==</vt:lpwstr>
  </property>
  <property fmtid="{D5CDD505-2E9C-101B-9397-08002B2CF9AE}" pid="4" name="ICV">
    <vt:lpwstr>1DC615D7F68240108B740D5026BEA36F_12</vt:lpwstr>
  </property>
</Properties>
</file>