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F10AD">
      <w:pPr>
        <w:spacing w:line="600" w:lineRule="exact"/>
        <w:jc w:val="center"/>
        <w:outlineLvl w:val="0"/>
        <w:rPr>
          <w:rFonts w:ascii="方正小标宋简体" w:hAnsi="宋体" w:eastAsia="方正小标宋简体"/>
          <w:color w:val="000000"/>
          <w:sz w:val="72"/>
          <w:szCs w:val="72"/>
        </w:rPr>
      </w:pPr>
      <w:bookmarkStart w:id="0" w:name="_Toc15306267"/>
    </w:p>
    <w:p w14:paraId="1B213FC9">
      <w:pPr>
        <w:spacing w:line="600" w:lineRule="exact"/>
        <w:jc w:val="center"/>
        <w:outlineLvl w:val="0"/>
        <w:rPr>
          <w:rFonts w:ascii="方正小标宋简体" w:hAnsi="宋体" w:eastAsia="方正小标宋简体"/>
          <w:color w:val="000000"/>
          <w:sz w:val="72"/>
          <w:szCs w:val="72"/>
        </w:rPr>
      </w:pPr>
    </w:p>
    <w:p w14:paraId="7CAB554C">
      <w:pPr>
        <w:spacing w:line="600" w:lineRule="exact"/>
        <w:jc w:val="center"/>
        <w:outlineLvl w:val="0"/>
        <w:rPr>
          <w:rFonts w:ascii="方正小标宋简体" w:hAnsi="宋体" w:eastAsia="方正小标宋简体"/>
          <w:color w:val="000000"/>
          <w:sz w:val="72"/>
          <w:szCs w:val="72"/>
        </w:rPr>
      </w:pPr>
    </w:p>
    <w:p w14:paraId="4D3D9B8A">
      <w:pPr>
        <w:spacing w:line="600" w:lineRule="exact"/>
        <w:jc w:val="center"/>
        <w:outlineLvl w:val="0"/>
        <w:rPr>
          <w:rFonts w:ascii="方正小标宋简体" w:hAnsi="宋体" w:eastAsia="方正小标宋简体"/>
          <w:color w:val="000000"/>
          <w:sz w:val="72"/>
          <w:szCs w:val="72"/>
        </w:rPr>
      </w:pPr>
    </w:p>
    <w:p w14:paraId="3F30860C">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475"/>
      <w:bookmarkStart w:id="3" w:name="_Toc15377425"/>
      <w:bookmarkStart w:id="4" w:name="_Toc15378441"/>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14:paraId="422EFAC7">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96476"/>
      <w:bookmarkStart w:id="8" w:name="_Toc15378442"/>
      <w:bookmarkStart w:id="9" w:name="_Toc15377194"/>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广元市昭化区应急管理局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4EB3495A">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14:paraId="65BAC1C3">
      <w:pPr>
        <w:widowControl/>
        <w:jc w:val="center"/>
        <w:rPr>
          <w:rFonts w:ascii="黑体" w:hAnsi="黑体" w:eastAsia="黑体" w:cstheme="minorBidi"/>
          <w:sz w:val="28"/>
          <w:szCs w:val="28"/>
        </w:rPr>
      </w:pPr>
    </w:p>
    <w:p w14:paraId="51A0491C">
      <w:pPr>
        <w:pStyle w:val="10"/>
      </w:pPr>
      <w:r>
        <w:rPr>
          <w:rFonts w:hint="eastAsia"/>
        </w:rPr>
        <w:t>公开时间：2020年</w:t>
      </w:r>
      <w:r>
        <w:rPr>
          <w:rFonts w:hint="eastAsia"/>
          <w:lang w:val="en-US" w:eastAsia="zh-CN"/>
        </w:rPr>
        <w:t>10月9</w:t>
      </w:r>
      <w:r>
        <w:rPr>
          <w:rFonts w:hint="eastAsia"/>
        </w:rPr>
        <w:t>日</w:t>
      </w:r>
    </w:p>
    <w:p w14:paraId="2A240A0A"/>
    <w:p w14:paraId="07637B7F">
      <w:pPr>
        <w:pStyle w:val="10"/>
        <w:adjustRightInd w:val="0"/>
        <w:snapToGrid w:val="0"/>
        <w:spacing w:before="0" w:line="440" w:lineRule="exact"/>
        <w:jc w:val="left"/>
        <w:rPr>
          <w:rFonts w:hint="eastAsia" w:ascii="仿宋" w:hAnsi="仿宋" w:eastAsia="仿宋" w:cs="仿宋"/>
          <w:b/>
          <w:bCs/>
          <w:sz w:val="24"/>
          <w:szCs w:val="24"/>
        </w:rPr>
      </w:pPr>
      <w:r>
        <w:rPr>
          <w:rFonts w:hint="eastAsia" w:ascii="仿宋" w:hAnsi="仿宋" w:eastAsia="仿宋" w:cs="仿宋"/>
          <w:b/>
          <w:bCs/>
          <w:sz w:val="24"/>
        </w:rPr>
        <w:t>第一部分 部门概况</w:t>
      </w:r>
    </w:p>
    <w:p w14:paraId="3DFD7207">
      <w:pPr>
        <w:pStyle w:val="11"/>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一、基本职能及主要工作</w:t>
      </w:r>
    </w:p>
    <w:p w14:paraId="5E4381D8">
      <w:pPr>
        <w:pStyle w:val="11"/>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二、机构设置</w:t>
      </w:r>
    </w:p>
    <w:p w14:paraId="45093862">
      <w:pPr>
        <w:pStyle w:val="10"/>
        <w:adjustRightInd w:val="0"/>
        <w:snapToGrid w:val="0"/>
        <w:spacing w:before="0" w:line="440" w:lineRule="exact"/>
        <w:jc w:val="left"/>
        <w:rPr>
          <w:rFonts w:hint="eastAsia" w:ascii="仿宋" w:hAnsi="仿宋" w:eastAsia="仿宋" w:cs="仿宋"/>
          <w:b/>
          <w:bCs/>
          <w:sz w:val="24"/>
          <w:szCs w:val="24"/>
        </w:rPr>
      </w:pPr>
      <w:r>
        <w:rPr>
          <w:rFonts w:hint="eastAsia" w:ascii="仿宋" w:hAnsi="仿宋" w:eastAsia="仿宋" w:cs="仿宋"/>
          <w:b/>
          <w:bCs/>
          <w:sz w:val="24"/>
        </w:rPr>
        <w:t>第二部分</w:t>
      </w:r>
      <w:r>
        <w:rPr>
          <w:rFonts w:hint="eastAsia" w:cs="仿宋"/>
          <w:b/>
          <w:bCs/>
          <w:sz w:val="24"/>
          <w:lang w:val="en-US" w:eastAsia="zh-CN"/>
        </w:rPr>
        <w:t xml:space="preserve"> </w:t>
      </w:r>
      <w:bookmarkStart w:id="68" w:name="_GoBack"/>
      <w:bookmarkEnd w:id="68"/>
      <w:r>
        <w:rPr>
          <w:rFonts w:hint="eastAsia" w:ascii="仿宋" w:hAnsi="仿宋" w:eastAsia="仿宋" w:cs="仿宋"/>
          <w:b/>
          <w:bCs/>
          <w:sz w:val="24"/>
        </w:rPr>
        <w:t>部门决算情况说明</w:t>
      </w:r>
    </w:p>
    <w:p w14:paraId="76D6ECBB">
      <w:pPr>
        <w:pStyle w:val="11"/>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一、收入支出决算总体情况说明</w:t>
      </w:r>
    </w:p>
    <w:p w14:paraId="69D7A1C8">
      <w:pPr>
        <w:pStyle w:val="11"/>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二、收入决算情况说明</w:t>
      </w:r>
    </w:p>
    <w:p w14:paraId="6F7EE30C">
      <w:pPr>
        <w:pStyle w:val="11"/>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三、支出决算情况说明</w:t>
      </w:r>
    </w:p>
    <w:p w14:paraId="3093C01F">
      <w:pPr>
        <w:pStyle w:val="11"/>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四、财政拨款收入支出决算总体情况说明</w:t>
      </w:r>
    </w:p>
    <w:p w14:paraId="33868AC5">
      <w:pPr>
        <w:pStyle w:val="11"/>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五、一般公共预算财政拨款支出决算情况说明</w:t>
      </w:r>
    </w:p>
    <w:p w14:paraId="1B881C05">
      <w:pPr>
        <w:pStyle w:val="11"/>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六、一般公共预算财政拨款基本支出决算情况说明</w:t>
      </w:r>
    </w:p>
    <w:p w14:paraId="4155DB48">
      <w:pPr>
        <w:pStyle w:val="11"/>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七、“三公”经费财政拨款支出决算情况说明</w:t>
      </w:r>
    </w:p>
    <w:p w14:paraId="4759FE1D">
      <w:pPr>
        <w:pStyle w:val="11"/>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八、政府性基金预算支出决算情况说明</w:t>
      </w:r>
    </w:p>
    <w:p w14:paraId="5FCCA43D">
      <w:pPr>
        <w:pStyle w:val="11"/>
        <w:adjustRightInd w:val="0"/>
        <w:snapToGrid w:val="0"/>
        <w:spacing w:line="440" w:lineRule="exact"/>
        <w:ind w:leftChars="0"/>
        <w:jc w:val="left"/>
        <w:rPr>
          <w:rFonts w:hint="eastAsia" w:ascii="仿宋" w:hAnsi="仿宋" w:eastAsia="仿宋" w:cs="仿宋"/>
          <w:sz w:val="24"/>
        </w:rPr>
      </w:pPr>
      <w:r>
        <w:rPr>
          <w:rFonts w:hint="eastAsia" w:ascii="仿宋" w:hAnsi="仿宋" w:eastAsia="仿宋" w:cs="仿宋"/>
          <w:sz w:val="24"/>
        </w:rPr>
        <w:t>九、 国有资本经营预算支出决算情况说明</w:t>
      </w:r>
    </w:p>
    <w:p w14:paraId="071A7D37">
      <w:pPr>
        <w:adjustRightInd w:val="0"/>
        <w:snapToGrid w:val="0"/>
        <w:spacing w:line="440" w:lineRule="exact"/>
        <w:ind w:firstLine="480" w:firstLineChars="200"/>
        <w:jc w:val="left"/>
        <w:rPr>
          <w:rFonts w:hint="eastAsia" w:ascii="仿宋" w:hAnsi="仿宋" w:eastAsia="仿宋" w:cs="仿宋"/>
          <w:sz w:val="24"/>
        </w:rPr>
      </w:pPr>
      <w:r>
        <w:rPr>
          <w:rStyle w:val="15"/>
          <w:rFonts w:hint="eastAsia" w:ascii="仿宋" w:hAnsi="仿宋" w:eastAsia="仿宋" w:cs="仿宋"/>
          <w:color w:val="000000" w:themeColor="text1"/>
          <w:sz w:val="24"/>
          <w:u w:val="none"/>
          <w14:textFill>
            <w14:solidFill>
              <w14:schemeClr w14:val="tx1"/>
            </w14:solidFill>
          </w14:textFill>
        </w:rPr>
        <w:t>十、</w:t>
      </w:r>
      <w:r>
        <w:rPr>
          <w:rFonts w:hint="eastAsia" w:ascii="仿宋" w:hAnsi="仿宋" w:eastAsia="仿宋" w:cs="仿宋"/>
          <w:sz w:val="24"/>
        </w:rPr>
        <w:t>其他重要事项的情况说明</w:t>
      </w:r>
      <w:r>
        <w:rPr>
          <w:rFonts w:hint="eastAsia" w:ascii="仿宋" w:hAnsi="仿宋" w:eastAsia="仿宋" w:cs="仿宋"/>
          <w:sz w:val="24"/>
        </w:rPr>
        <w:tab/>
      </w:r>
    </w:p>
    <w:p w14:paraId="3C41EDE6">
      <w:pPr>
        <w:pStyle w:val="10"/>
        <w:adjustRightInd w:val="0"/>
        <w:snapToGrid w:val="0"/>
        <w:spacing w:before="0" w:line="440" w:lineRule="exact"/>
        <w:jc w:val="left"/>
        <w:rPr>
          <w:rFonts w:hint="eastAsia" w:ascii="仿宋" w:hAnsi="仿宋" w:eastAsia="仿宋" w:cs="仿宋"/>
          <w:b/>
          <w:bCs/>
          <w:sz w:val="24"/>
          <w:szCs w:val="24"/>
        </w:rPr>
      </w:pPr>
      <w:r>
        <w:rPr>
          <w:rFonts w:hint="eastAsia" w:ascii="仿宋" w:hAnsi="仿宋" w:eastAsia="仿宋" w:cs="仿宋"/>
          <w:b/>
          <w:bCs/>
          <w:sz w:val="24"/>
        </w:rPr>
        <w:t>第三部分 名词解释</w:t>
      </w:r>
    </w:p>
    <w:p w14:paraId="27B36A54">
      <w:pPr>
        <w:pStyle w:val="10"/>
        <w:adjustRightInd w:val="0"/>
        <w:snapToGrid w:val="0"/>
        <w:spacing w:before="0" w:line="440" w:lineRule="exact"/>
        <w:jc w:val="left"/>
        <w:rPr>
          <w:rFonts w:hint="eastAsia" w:ascii="仿宋" w:hAnsi="仿宋" w:eastAsia="仿宋" w:cs="仿宋"/>
          <w:b/>
          <w:bCs/>
          <w:sz w:val="24"/>
          <w:szCs w:val="24"/>
        </w:rPr>
      </w:pPr>
      <w:r>
        <w:rPr>
          <w:rFonts w:hint="eastAsia" w:ascii="仿宋" w:hAnsi="仿宋" w:eastAsia="仿宋" w:cs="仿宋"/>
          <w:b/>
          <w:bCs/>
          <w:sz w:val="24"/>
        </w:rPr>
        <w:t>第四部分 附件</w:t>
      </w:r>
    </w:p>
    <w:p w14:paraId="443F965C">
      <w:pPr>
        <w:pStyle w:val="11"/>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附件1</w:t>
      </w:r>
    </w:p>
    <w:p w14:paraId="46C8E9F3">
      <w:pPr>
        <w:pStyle w:val="11"/>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附件2</w:t>
      </w:r>
    </w:p>
    <w:p w14:paraId="65C2288C">
      <w:pPr>
        <w:pStyle w:val="10"/>
        <w:adjustRightInd w:val="0"/>
        <w:snapToGrid w:val="0"/>
        <w:spacing w:before="0" w:line="440" w:lineRule="exact"/>
        <w:jc w:val="left"/>
        <w:rPr>
          <w:rFonts w:hint="eastAsia" w:ascii="仿宋" w:hAnsi="仿宋" w:eastAsia="仿宋" w:cs="仿宋"/>
          <w:b/>
          <w:bCs/>
          <w:sz w:val="24"/>
          <w:szCs w:val="24"/>
        </w:rPr>
      </w:pPr>
      <w:r>
        <w:rPr>
          <w:rFonts w:hint="eastAsia" w:ascii="仿宋" w:hAnsi="仿宋" w:eastAsia="仿宋" w:cs="仿宋"/>
          <w:b/>
          <w:bCs/>
          <w:sz w:val="24"/>
        </w:rPr>
        <w:t>第五部分 附表</w:t>
      </w:r>
    </w:p>
    <w:p w14:paraId="39568EFA">
      <w:pPr>
        <w:pStyle w:val="11"/>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一、收入支出决算总表</w:t>
      </w:r>
    </w:p>
    <w:p w14:paraId="0E654117">
      <w:pPr>
        <w:pStyle w:val="11"/>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二、收入决算表</w:t>
      </w:r>
    </w:p>
    <w:p w14:paraId="505D13E4">
      <w:pPr>
        <w:pStyle w:val="11"/>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三、支出决算表</w:t>
      </w:r>
    </w:p>
    <w:p w14:paraId="5F121C44">
      <w:pPr>
        <w:pStyle w:val="11"/>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四、财政拨款收入支出决算总表</w:t>
      </w:r>
    </w:p>
    <w:p w14:paraId="676C8634">
      <w:pPr>
        <w:pStyle w:val="11"/>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五、财政拨款支出决算明细表</w:t>
      </w:r>
    </w:p>
    <w:p w14:paraId="013050DC">
      <w:pPr>
        <w:pStyle w:val="11"/>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六、一般公共预算财政拨款支出决算表</w:t>
      </w:r>
    </w:p>
    <w:p w14:paraId="1DA1CC7D">
      <w:pPr>
        <w:pStyle w:val="11"/>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七、一般公共预算财政拨款支出决算明细表</w:t>
      </w:r>
    </w:p>
    <w:p w14:paraId="43F756CB">
      <w:pPr>
        <w:pStyle w:val="11"/>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八、一般公共预算财政拨款基本支出决算表</w:t>
      </w:r>
    </w:p>
    <w:p w14:paraId="4605C113">
      <w:pPr>
        <w:pStyle w:val="11"/>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九、一般公共预算财政拨款项目支出决算表</w:t>
      </w:r>
    </w:p>
    <w:p w14:paraId="6D4E9EB8">
      <w:pPr>
        <w:pStyle w:val="11"/>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十、一般公共预算财政拨款“三公”经费支出决算表</w:t>
      </w:r>
    </w:p>
    <w:p w14:paraId="5A50A531">
      <w:pPr>
        <w:pStyle w:val="11"/>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十一、政府性基金预算财政拨款收入支出决算表</w:t>
      </w:r>
    </w:p>
    <w:p w14:paraId="15089A67">
      <w:pPr>
        <w:pStyle w:val="11"/>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十二、政府性基金预算财政拨款“三公”经费支出决算表</w:t>
      </w:r>
    </w:p>
    <w:p w14:paraId="4583F7D3">
      <w:pPr>
        <w:pStyle w:val="11"/>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十三、国有资本经营预算支出决算表</w:t>
      </w:r>
    </w:p>
    <w:p w14:paraId="11BB4C08">
      <w:pPr>
        <w:widowControl/>
        <w:spacing w:line="440" w:lineRule="exact"/>
        <w:jc w:val="left"/>
        <w:rPr>
          <w:rFonts w:hint="eastAsia" w:ascii="仿宋" w:hAnsi="仿宋" w:eastAsia="仿宋" w:cs="仿宋"/>
          <w:bCs/>
          <w:kern w:val="44"/>
          <w:sz w:val="24"/>
        </w:rPr>
      </w:pPr>
      <w:bookmarkStart w:id="12" w:name="_Toc15377196"/>
      <w:bookmarkStart w:id="13" w:name="_Toc15396599"/>
      <w:r>
        <w:rPr>
          <w:rFonts w:hint="eastAsia" w:ascii="仿宋" w:hAnsi="仿宋" w:eastAsia="仿宋" w:cs="仿宋"/>
          <w:b/>
          <w:sz w:val="24"/>
        </w:rPr>
        <w:br w:type="page"/>
      </w:r>
    </w:p>
    <w:p w14:paraId="53663138">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14:paraId="2245BAC6">
      <w:pPr>
        <w:widowControl/>
        <w:jc w:val="left"/>
        <w:rPr>
          <w:rFonts w:ascii="黑体" w:eastAsia="黑体"/>
          <w:color w:val="000000"/>
          <w:sz w:val="32"/>
          <w:szCs w:val="32"/>
        </w:rPr>
      </w:pPr>
    </w:p>
    <w:p w14:paraId="4C7A5758">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14:paraId="75EACCF7">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8446"/>
      <w:bookmarkStart w:id="19" w:name="_Toc15377199"/>
    </w:p>
    <w:p w14:paraId="0749E6C7">
      <w:pPr>
        <w:pStyle w:val="30"/>
        <w:numPr>
          <w:ilvl w:val="0"/>
          <w:numId w:val="0"/>
        </w:numPr>
        <w:spacing w:line="576" w:lineRule="exact"/>
        <w:ind w:firstLine="640" w:firstLineChars="200"/>
        <w:rPr>
          <w:rFonts w:ascii="Times New Roman" w:hAnsi="Times New Roman" w:eastAsia="黑体"/>
          <w:sz w:val="32"/>
          <w:szCs w:val="32"/>
        </w:rPr>
      </w:pPr>
      <w:r>
        <w:rPr>
          <w:rFonts w:hint="eastAsia" w:ascii="Times New Roman" w:hAnsi="Times New Roman"/>
          <w:sz w:val="32"/>
          <w:szCs w:val="32"/>
          <w:lang w:val="en-US" w:eastAsia="zh-CN"/>
        </w:rPr>
        <w:t>1、</w:t>
      </w:r>
      <w:r>
        <w:rPr>
          <w:rFonts w:ascii="Times New Roman" w:hAnsi="Times New Roman"/>
          <w:sz w:val="32"/>
          <w:szCs w:val="32"/>
        </w:rPr>
        <w:t>负责应急管理工作，组织和指导各镇、区级各部门应对安全生产类、自然灾害类等突发事件和综合防灾减灾救灾工作。负责安全生产综合监督管理和工矿商贸、煤炭行业、危险化学品、烟花爆竹安全生产监督管理工作。</w:t>
      </w:r>
    </w:p>
    <w:p w14:paraId="66E57E8F">
      <w:pPr>
        <w:pStyle w:val="30"/>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2、</w:t>
      </w:r>
      <w:r>
        <w:rPr>
          <w:rFonts w:ascii="Times New Roman" w:hAnsi="Times New Roman"/>
          <w:sz w:val="32"/>
          <w:szCs w:val="32"/>
        </w:rPr>
        <w:t>拟订应急管理、安全生产等政策措施，组织编制应急体系建设、安全生产和综合防灾减灾规划。</w:t>
      </w:r>
    </w:p>
    <w:p w14:paraId="01381677">
      <w:pPr>
        <w:pStyle w:val="30"/>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3、</w:t>
      </w:r>
      <w:r>
        <w:rPr>
          <w:rFonts w:ascii="Times New Roman" w:hAnsi="Times New Roman"/>
          <w:sz w:val="32"/>
          <w:szCs w:val="32"/>
        </w:rPr>
        <w:t>负责组织、指导应急预案体系建设，建立完善事故灾难和自然灾害分级应对制度，牵头组织编制综合应急防灾减灾预案和安全生产类、自然灾害类专项预案，负责应急预案衔接工作，组织开展预案演练并落实，推动应急避难设施建设。</w:t>
      </w:r>
    </w:p>
    <w:p w14:paraId="4162CFA5">
      <w:pPr>
        <w:pStyle w:val="30"/>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4、</w:t>
      </w:r>
      <w:r>
        <w:rPr>
          <w:rFonts w:ascii="Times New Roman" w:hAnsi="Times New Roman"/>
          <w:sz w:val="32"/>
          <w:szCs w:val="32"/>
        </w:rPr>
        <w:t>牵头建立统一的应急管理信息系统，负责信息传输渠道的规划和布局，建立监测预警和灾情报告制度，健全自然灾害信息资源获取和共享机制，依法统一发布灾情。</w:t>
      </w:r>
    </w:p>
    <w:p w14:paraId="2BBF92FD">
      <w:pPr>
        <w:pStyle w:val="30"/>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5、</w:t>
      </w:r>
      <w:r>
        <w:rPr>
          <w:rFonts w:ascii="Times New Roman" w:hAnsi="Times New Roman"/>
          <w:sz w:val="32"/>
          <w:szCs w:val="32"/>
        </w:rPr>
        <w:t>负责组织、指导、协调安全生产类、自然灾害类等突发事件应急救援，承担全区应对灾害指挥部工作，综合研判突发事件发展态势并提出应对建议，负责组织灾害应急处置工作。</w:t>
      </w:r>
    </w:p>
    <w:p w14:paraId="6AFDD039">
      <w:pPr>
        <w:pStyle w:val="30"/>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6、</w:t>
      </w:r>
      <w:r>
        <w:rPr>
          <w:rFonts w:ascii="Times New Roman" w:hAnsi="Times New Roman"/>
          <w:sz w:val="32"/>
          <w:szCs w:val="32"/>
        </w:rPr>
        <w:t>统一协调指挥各类应急专业队伍，建立应急协调联动机制，推进指挥平台对接，提请衔接武警部队参与应急救援工作。</w:t>
      </w:r>
    </w:p>
    <w:p w14:paraId="24EB4C09">
      <w:pPr>
        <w:pStyle w:val="30"/>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7、</w:t>
      </w:r>
      <w:r>
        <w:rPr>
          <w:rFonts w:ascii="Times New Roman" w:hAnsi="Times New Roman"/>
          <w:sz w:val="32"/>
          <w:szCs w:val="32"/>
        </w:rPr>
        <w:t>按照国家、省、市相关政策和规定负责消防、森林火灾扑救、抗洪抢险、地震和地质灾害救援、生产安全事故救援等专业应急救援力量建设，依法依规统筹指导各乡镇（街道）、有关单位及社会应急救援力量和应急保障能力建设。</w:t>
      </w:r>
    </w:p>
    <w:p w14:paraId="1E4C1449">
      <w:pPr>
        <w:pStyle w:val="30"/>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8、</w:t>
      </w:r>
      <w:r>
        <w:rPr>
          <w:rFonts w:ascii="Times New Roman" w:hAnsi="Times New Roman"/>
          <w:sz w:val="32"/>
          <w:szCs w:val="32"/>
        </w:rPr>
        <w:t>按照国家相关政策和省、市、区相关规定负责消防工作，组织和指导消防监督、火灾预防、火灾扑救等工作。</w:t>
      </w:r>
    </w:p>
    <w:p w14:paraId="1EA2BA98">
      <w:pPr>
        <w:pStyle w:val="30"/>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9、</w:t>
      </w:r>
      <w:r>
        <w:rPr>
          <w:rFonts w:ascii="Times New Roman" w:hAnsi="Times New Roman"/>
          <w:sz w:val="32"/>
          <w:szCs w:val="32"/>
        </w:rPr>
        <w:t>负责自然灾害综合监测预警工作，承担自然灾害综合风险评估工作。指导协调森林火灾、水旱灾害、地质灾害等防治工作。</w:t>
      </w:r>
    </w:p>
    <w:p w14:paraId="0B94531E">
      <w:pPr>
        <w:pStyle w:val="30"/>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10、</w:t>
      </w:r>
      <w:r>
        <w:rPr>
          <w:rFonts w:ascii="Times New Roman" w:hAnsi="Times New Roman"/>
          <w:sz w:val="32"/>
          <w:szCs w:val="32"/>
        </w:rPr>
        <w:t>负责组织、协调灾害救助工作，组织和指导灾情核查、损失评估、救灾捐赠工作，管理、分配中央、省、市下拨及区级救灾款物并监督使用。</w:t>
      </w:r>
    </w:p>
    <w:p w14:paraId="0164E890">
      <w:pPr>
        <w:pStyle w:val="30"/>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11、</w:t>
      </w:r>
      <w:r>
        <w:rPr>
          <w:rFonts w:ascii="Times New Roman" w:hAnsi="Times New Roman"/>
          <w:sz w:val="32"/>
          <w:szCs w:val="32"/>
        </w:rPr>
        <w:t>依法承担区政府安全生产综合监督管理责任，指导协调、监督检查各镇和区级有关部门安全生产工作，组织开展安全生产巡查、考核工作。</w:t>
      </w:r>
    </w:p>
    <w:p w14:paraId="5B68F29B">
      <w:pPr>
        <w:pStyle w:val="30"/>
        <w:spacing w:line="576" w:lineRule="exact"/>
        <w:ind w:firstLine="640"/>
        <w:rPr>
          <w:rFonts w:ascii="Times New Roman" w:hAnsi="Times New Roman" w:eastAsia="黑体"/>
          <w:strike/>
          <w:sz w:val="32"/>
          <w:szCs w:val="32"/>
        </w:rPr>
      </w:pPr>
      <w:r>
        <w:rPr>
          <w:rFonts w:hint="eastAsia" w:ascii="Times New Roman" w:hAnsi="Times New Roman"/>
          <w:sz w:val="32"/>
          <w:szCs w:val="32"/>
          <w:lang w:val="en-US" w:eastAsia="zh-CN"/>
        </w:rPr>
        <w:t>、12</w:t>
      </w:r>
      <w:r>
        <w:rPr>
          <w:rFonts w:ascii="Times New Roman" w:hAnsi="Times New Roman"/>
          <w:sz w:val="32"/>
          <w:szCs w:val="32"/>
        </w:rPr>
        <w:t>按照分级、属地原则，依法监督检查工矿商贸生产经营单位贯彻执行安全生产法律法规情况及其安全生产条件和有关设备（特种设备除外）、材料、劳动防护用品的安全生产管理工作。协助省、市应急部门做好在昭央属、省属、市属重点工矿商贸企业安全生产监督管理工作。</w:t>
      </w:r>
    </w:p>
    <w:p w14:paraId="1C28501E">
      <w:pPr>
        <w:pStyle w:val="30"/>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13、</w:t>
      </w:r>
      <w:r>
        <w:rPr>
          <w:rFonts w:ascii="Times New Roman" w:hAnsi="Times New Roman"/>
          <w:sz w:val="32"/>
          <w:szCs w:val="32"/>
        </w:rPr>
        <w:t>承担煤矿、非煤矿山、危险化学品和烟花爆竹等生产经营单位安全生产准入及非药品类易制毒化学品备案管理责任。</w:t>
      </w:r>
    </w:p>
    <w:p w14:paraId="35A10226">
      <w:pPr>
        <w:pStyle w:val="30"/>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14、</w:t>
      </w:r>
      <w:r>
        <w:rPr>
          <w:rFonts w:ascii="Times New Roman" w:hAnsi="Times New Roman"/>
          <w:sz w:val="32"/>
          <w:szCs w:val="32"/>
        </w:rPr>
        <w:t>拟订煤炭产业发展计划并组织实施，按权限审核、上报煤炭建设项目并负责监督管理。负责煤炭生产协调和监督管理，煤炭行业结构调整和产业升级，煤矿瓦斯等级鉴定、瓦斯治理和利用。推进煤炭体制改革。</w:t>
      </w:r>
    </w:p>
    <w:p w14:paraId="2BDB6585">
      <w:pPr>
        <w:pStyle w:val="30"/>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15、</w:t>
      </w:r>
      <w:r>
        <w:rPr>
          <w:rFonts w:ascii="Times New Roman" w:hAnsi="Times New Roman"/>
          <w:sz w:val="32"/>
          <w:szCs w:val="32"/>
        </w:rPr>
        <w:t>承担煤矿安全生产监督管理责任，依法监督检查煤矿企业贯彻执行安全生产法律法规情况及其安全生产条件和有关设备（特种设备除外）、材料、劳动防护用品的安全生产管理工作。负责组织、指导煤矿企业安全专项整治、安全标准化、瓦斯和水害防治及相关安全科技发展工作。参与煤矿事故调查处理工作。</w:t>
      </w:r>
    </w:p>
    <w:p w14:paraId="4EBCDF17">
      <w:pPr>
        <w:pStyle w:val="30"/>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16、</w:t>
      </w:r>
      <w:r>
        <w:rPr>
          <w:rFonts w:ascii="Times New Roman" w:hAnsi="Times New Roman"/>
          <w:sz w:val="32"/>
          <w:szCs w:val="32"/>
        </w:rPr>
        <w:t>承担防震减灾工作职责。负责地震监测设施和观测环境保护工作，负责全区工程建设场地地震安全性评价的监督管理工作，承担全区重大工程的抗震设防监督工作。接受省地震局的</w:t>
      </w:r>
      <w:r>
        <w:rPr>
          <w:rFonts w:hint="eastAsia" w:ascii="Times New Roman" w:hAnsi="Times New Roman"/>
          <w:sz w:val="32"/>
          <w:szCs w:val="32"/>
        </w:rPr>
        <w:t>业务指导。</w:t>
      </w:r>
    </w:p>
    <w:p w14:paraId="6D763C4D">
      <w:pPr>
        <w:pStyle w:val="30"/>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17、</w:t>
      </w:r>
      <w:r>
        <w:rPr>
          <w:rFonts w:ascii="Times New Roman" w:hAnsi="Times New Roman"/>
          <w:sz w:val="32"/>
          <w:szCs w:val="32"/>
        </w:rPr>
        <w:t>依法组织、指导生产安全事故调查处理，监督事故查处和责任追究落实情况。组织开展自然灾害类突发事件的调查评估工作。</w:t>
      </w:r>
    </w:p>
    <w:p w14:paraId="65D84550">
      <w:pPr>
        <w:pStyle w:val="30"/>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18、</w:t>
      </w:r>
      <w:r>
        <w:rPr>
          <w:rFonts w:ascii="Times New Roman" w:hAnsi="Times New Roman"/>
          <w:sz w:val="32"/>
          <w:szCs w:val="32"/>
        </w:rPr>
        <w:t>开展应急管理和安全生产方面的交流与合作，组织参与安全生产类、自然灾害类等突发事件的跨区域救援工作。</w:t>
      </w:r>
    </w:p>
    <w:p w14:paraId="5FAE1A13">
      <w:pPr>
        <w:pStyle w:val="30"/>
        <w:spacing w:line="576" w:lineRule="exact"/>
        <w:ind w:firstLine="640"/>
        <w:rPr>
          <w:rFonts w:ascii="Times New Roman" w:hAnsi="Times New Roman"/>
          <w:sz w:val="32"/>
          <w:szCs w:val="32"/>
        </w:rPr>
      </w:pPr>
      <w:r>
        <w:rPr>
          <w:rFonts w:hint="eastAsia" w:ascii="Times New Roman" w:hAnsi="Times New Roman"/>
          <w:sz w:val="32"/>
          <w:szCs w:val="32"/>
          <w:lang w:val="en-US" w:eastAsia="zh-CN"/>
        </w:rPr>
        <w:t>19、</w:t>
      </w:r>
      <w:r>
        <w:rPr>
          <w:rFonts w:ascii="Times New Roman" w:hAnsi="Times New Roman"/>
          <w:sz w:val="32"/>
          <w:szCs w:val="32"/>
        </w:rPr>
        <w:t>制定应急物资储备和应急救援装备规划并组织实施，会同区</w:t>
      </w:r>
      <w:r>
        <w:rPr>
          <w:rFonts w:hint="eastAsia" w:ascii="Times New Roman" w:hAnsi="Times New Roman"/>
          <w:sz w:val="32"/>
          <w:szCs w:val="32"/>
        </w:rPr>
        <w:t>发展</w:t>
      </w:r>
      <w:r>
        <w:rPr>
          <w:rFonts w:ascii="Times New Roman" w:hAnsi="Times New Roman"/>
          <w:sz w:val="32"/>
          <w:szCs w:val="32"/>
        </w:rPr>
        <w:t>改革局等部门建立健全应急物资信息平台和调拨制度，实行统一调度。</w:t>
      </w:r>
    </w:p>
    <w:p w14:paraId="7DB68FA6">
      <w:pPr>
        <w:pStyle w:val="30"/>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20、</w:t>
      </w:r>
      <w:r>
        <w:rPr>
          <w:rFonts w:ascii="Times New Roman" w:hAnsi="Times New Roman"/>
          <w:sz w:val="32"/>
          <w:szCs w:val="32"/>
        </w:rPr>
        <w:t>负责应急管理、安全生产宣传教育和培训工作，组织和指导应急管理、安全生产、地震灾害防御的科学技术研究、推广应用和信息化建设工作。</w:t>
      </w:r>
    </w:p>
    <w:p w14:paraId="3EA50224">
      <w:pPr>
        <w:pStyle w:val="30"/>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21、</w:t>
      </w:r>
      <w:r>
        <w:rPr>
          <w:rFonts w:ascii="Times New Roman" w:hAnsi="Times New Roman"/>
          <w:sz w:val="32"/>
          <w:szCs w:val="32"/>
        </w:rPr>
        <w:t>负责职责范围内的职业健康、生态环境保护、审批服务便民化等工作。</w:t>
      </w:r>
    </w:p>
    <w:p w14:paraId="5E325BA9">
      <w:pPr>
        <w:pStyle w:val="30"/>
        <w:spacing w:line="576" w:lineRule="exact"/>
        <w:ind w:firstLine="640"/>
        <w:rPr>
          <w:rFonts w:ascii="Times New Roman" w:hAnsi="Times New Roman" w:eastAsia="黑体"/>
          <w:sz w:val="32"/>
          <w:szCs w:val="32"/>
        </w:rPr>
      </w:pPr>
      <w:r>
        <w:rPr>
          <w:rFonts w:hint="eastAsia" w:ascii="Times New Roman" w:hAnsi="Times New Roman"/>
          <w:sz w:val="32"/>
          <w:szCs w:val="32"/>
          <w:lang w:val="en-US" w:eastAsia="zh-CN"/>
        </w:rPr>
        <w:t>22、</w:t>
      </w:r>
      <w:r>
        <w:rPr>
          <w:rFonts w:ascii="Times New Roman" w:hAnsi="Times New Roman"/>
          <w:sz w:val="32"/>
          <w:szCs w:val="32"/>
        </w:rPr>
        <w:t>完成区委、区政府交办的其他任务。</w:t>
      </w:r>
    </w:p>
    <w:p w14:paraId="34F55510">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Times New Roman"/>
          <w:sz w:val="32"/>
          <w:szCs w:val="32"/>
          <w:lang w:val="en-US" w:eastAsia="zh-CN"/>
        </w:rPr>
        <w:t>23、</w:t>
      </w:r>
      <w:r>
        <w:rPr>
          <w:rFonts w:ascii="Times New Roman" w:hAnsi="Times New Roman"/>
          <w:sz w:val="32"/>
          <w:szCs w:val="32"/>
        </w:rPr>
        <w:t>职能转变。加强、优化、统筹应急能力建设，构建统一领导、权责一致、权威高效的应急能力体系，推动形成统一指挥、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全区应急管理水平和防灾减灾救灾能力，防范化解重大安全风险。二是坚持以人为本，把确保人民群众生命安全放在首位，确保受灾群众基本生活保障，加强应急预案演练，增强全民防灾减灾意识，提升公众知识普及和自救互救技能，切实减少人员伤亡和财产损失。三是树立安全发展理念，坚持生命至上、安全第一，完善安全生产责任制，坚决遏制重特大安全事故。</w:t>
      </w:r>
    </w:p>
    <w:p w14:paraId="7171F669">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14:paraId="5A0F7641">
      <w:pPr>
        <w:numPr>
          <w:ilvl w:val="0"/>
          <w:numId w:val="0"/>
        </w:numPr>
        <w:spacing w:line="576" w:lineRule="exact"/>
        <w:ind w:firstLine="640" w:firstLineChars="200"/>
        <w:rPr>
          <w:rFonts w:ascii="仿宋" w:hAnsi="仿宋" w:eastAsia="仿宋" w:cs="Times New Roman"/>
          <w:sz w:val="32"/>
          <w:szCs w:val="32"/>
        </w:rPr>
      </w:pPr>
      <w:r>
        <w:rPr>
          <w:rFonts w:hint="eastAsia" w:ascii="仿宋" w:hAnsi="仿宋" w:eastAsia="仿宋" w:cs="Times New Roman"/>
          <w:sz w:val="32"/>
          <w:szCs w:val="32"/>
          <w:lang w:val="en-US" w:eastAsia="zh-CN"/>
        </w:rPr>
        <w:t>2019</w:t>
      </w:r>
      <w:r>
        <w:rPr>
          <w:rFonts w:hint="eastAsia" w:ascii="仿宋" w:hAnsi="仿宋" w:eastAsia="仿宋" w:cs="Times New Roman"/>
          <w:sz w:val="32"/>
          <w:szCs w:val="32"/>
        </w:rPr>
        <w:t>年</w:t>
      </w:r>
      <w:r>
        <w:rPr>
          <w:rFonts w:ascii="仿宋" w:hAnsi="仿宋" w:eastAsia="仿宋" w:cs="Times New Roman"/>
          <w:sz w:val="32"/>
          <w:szCs w:val="32"/>
        </w:rPr>
        <w:t>，我</w:t>
      </w:r>
      <w:r>
        <w:rPr>
          <w:rFonts w:hint="eastAsia" w:ascii="仿宋" w:hAnsi="仿宋" w:eastAsia="仿宋" w:cs="Times New Roman"/>
          <w:sz w:val="32"/>
          <w:szCs w:val="32"/>
        </w:rPr>
        <w:t>区</w:t>
      </w:r>
      <w:r>
        <w:rPr>
          <w:rFonts w:ascii="仿宋" w:hAnsi="仿宋" w:eastAsia="仿宋" w:cs="Times New Roman"/>
          <w:sz w:val="32"/>
          <w:szCs w:val="32"/>
        </w:rPr>
        <w:t>共发生安全生产事故6起，死亡7人，</w:t>
      </w:r>
      <w:r>
        <w:rPr>
          <w:rFonts w:hint="eastAsia" w:ascii="仿宋" w:hAnsi="仿宋" w:eastAsia="仿宋" w:cs="Times New Roman"/>
          <w:sz w:val="32"/>
          <w:szCs w:val="32"/>
        </w:rPr>
        <w:t>未发生较大及以上生产安全事故和重大灾害事故，全区安全生产形势总体平稳。</w:t>
      </w:r>
    </w:p>
    <w:p w14:paraId="48F4ECD2">
      <w:pPr>
        <w:spacing w:line="576" w:lineRule="exact"/>
        <w:ind w:firstLine="640" w:firstLineChars="200"/>
        <w:rPr>
          <w:rFonts w:ascii="Times New Roman" w:hAnsi="Times New Roman" w:eastAsia="仿宋" w:cs="Times New Roman"/>
          <w:kern w:val="0"/>
          <w:sz w:val="32"/>
          <w:szCs w:val="32"/>
        </w:rPr>
      </w:pPr>
      <w:r>
        <w:rPr>
          <w:rFonts w:hint="eastAsia" w:ascii="楷体" w:hAnsi="楷体" w:eastAsia="楷体" w:cs="Times New Roman"/>
          <w:sz w:val="32"/>
          <w:szCs w:val="32"/>
        </w:rPr>
        <w:t>（一）</w:t>
      </w:r>
      <w:r>
        <w:rPr>
          <w:rFonts w:ascii="仿宋" w:hAnsi="仿宋" w:eastAsia="楷体" w:cs="Times New Roman"/>
          <w:sz w:val="32"/>
          <w:szCs w:val="32"/>
        </w:rPr>
        <w:t>责任体系全面落实。</w:t>
      </w:r>
      <w:r>
        <w:rPr>
          <w:rFonts w:ascii="Times New Roman" w:hAnsi="Times New Roman" w:eastAsia="仿宋" w:cs="Times New Roman"/>
          <w:kern w:val="0"/>
          <w:sz w:val="32"/>
          <w:szCs w:val="32"/>
        </w:rPr>
        <w:t>以机构改革为契机，在乡镇、部门“三定</w:t>
      </w:r>
      <w:r>
        <w:rPr>
          <w:rFonts w:hint="eastAsia" w:ascii="Times New Roman" w:hAnsi="Times New Roman" w:eastAsia="仿宋" w:cs="Times New Roman"/>
          <w:kern w:val="0"/>
          <w:sz w:val="32"/>
          <w:szCs w:val="32"/>
        </w:rPr>
        <w:t>方案</w:t>
      </w:r>
      <w:r>
        <w:rPr>
          <w:rFonts w:ascii="Times New Roman" w:hAnsi="Times New Roman" w:eastAsia="仿宋" w:cs="Times New Roman"/>
          <w:kern w:val="0"/>
          <w:sz w:val="32"/>
          <w:szCs w:val="32"/>
        </w:rPr>
        <w:t>”中对应急管理工作进一步明确，严格执行科级以上领导干部年度应急管理工作任务清单和责任清单制度。</w:t>
      </w:r>
      <w:r>
        <w:rPr>
          <w:rFonts w:hint="eastAsia" w:ascii="Times New Roman" w:hAnsi="Times New Roman" w:eastAsia="仿宋" w:cs="Times New Roman"/>
          <w:kern w:val="0"/>
          <w:sz w:val="32"/>
          <w:szCs w:val="32"/>
        </w:rPr>
        <w:t>压紧压实目标管理责任。事故责任单位在区安委会上作表态发言。组织</w:t>
      </w:r>
      <w:r>
        <w:rPr>
          <w:rFonts w:ascii="Times New Roman" w:hAnsi="Times New Roman" w:eastAsia="仿宋" w:cs="Times New Roman"/>
          <w:kern w:val="0"/>
          <w:sz w:val="32"/>
          <w:szCs w:val="32"/>
        </w:rPr>
        <w:t>重点工程建设项目安全负责人</w:t>
      </w:r>
      <w:r>
        <w:rPr>
          <w:rFonts w:hint="eastAsia" w:ascii="Times New Roman" w:hAnsi="Times New Roman" w:eastAsia="仿宋" w:cs="Times New Roman"/>
          <w:kern w:val="0"/>
          <w:sz w:val="32"/>
          <w:szCs w:val="32"/>
        </w:rPr>
        <w:t>进行</w:t>
      </w:r>
      <w:r>
        <w:rPr>
          <w:rFonts w:ascii="Times New Roman" w:hAnsi="Times New Roman" w:eastAsia="仿宋" w:cs="Times New Roman"/>
          <w:kern w:val="0"/>
          <w:sz w:val="32"/>
          <w:szCs w:val="32"/>
        </w:rPr>
        <w:t>安全警示约谈。</w:t>
      </w:r>
    </w:p>
    <w:p w14:paraId="346DCF7C">
      <w:pPr>
        <w:spacing w:line="576" w:lineRule="exact"/>
        <w:ind w:firstLine="640" w:firstLineChars="200"/>
        <w:rPr>
          <w:rFonts w:hint="eastAsia" w:ascii="仿宋" w:hAnsi="仿宋" w:eastAsia="仿宋" w:cs="Times New Roman"/>
          <w:sz w:val="32"/>
          <w:szCs w:val="32"/>
          <w:lang w:eastAsia="zh-CN"/>
        </w:rPr>
      </w:pPr>
      <w:r>
        <w:rPr>
          <w:rFonts w:hint="eastAsia" w:ascii="楷体" w:hAnsi="楷体" w:eastAsia="楷体" w:cs="Times New Roman"/>
          <w:sz w:val="32"/>
          <w:szCs w:val="32"/>
        </w:rPr>
        <w:t>（二）</w:t>
      </w:r>
      <w:r>
        <w:rPr>
          <w:rFonts w:hint="eastAsia" w:ascii="仿宋" w:hAnsi="仿宋" w:eastAsia="楷体" w:cs="Times New Roman"/>
          <w:sz w:val="32"/>
          <w:szCs w:val="32"/>
        </w:rPr>
        <w:t>监察执法持续</w:t>
      </w:r>
      <w:r>
        <w:rPr>
          <w:rFonts w:ascii="仿宋" w:hAnsi="仿宋" w:eastAsia="楷体" w:cs="Times New Roman"/>
          <w:sz w:val="32"/>
          <w:szCs w:val="32"/>
        </w:rPr>
        <w:t>强化。</w:t>
      </w:r>
      <w:r>
        <w:rPr>
          <w:rFonts w:ascii="仿宋" w:hAnsi="仿宋" w:eastAsia="仿宋" w:cs="Times New Roman"/>
          <w:sz w:val="32"/>
          <w:szCs w:val="32"/>
        </w:rPr>
        <w:t>不断充实</w:t>
      </w:r>
      <w:r>
        <w:rPr>
          <w:rFonts w:hint="eastAsia" w:ascii="仿宋" w:hAnsi="仿宋" w:eastAsia="仿宋" w:cs="Times New Roman"/>
          <w:sz w:val="32"/>
          <w:szCs w:val="32"/>
        </w:rPr>
        <w:t>执法</w:t>
      </w:r>
      <w:r>
        <w:rPr>
          <w:rFonts w:ascii="仿宋" w:hAnsi="仿宋" w:eastAsia="仿宋" w:cs="Times New Roman"/>
          <w:sz w:val="32"/>
          <w:szCs w:val="32"/>
        </w:rPr>
        <w:t>队伍</w:t>
      </w:r>
      <w:r>
        <w:rPr>
          <w:rFonts w:hint="eastAsia" w:ascii="仿宋" w:hAnsi="仿宋" w:eastAsia="仿宋" w:cs="Times New Roman"/>
          <w:sz w:val="32"/>
          <w:szCs w:val="32"/>
        </w:rPr>
        <w:t>。不断加强监管力度</w:t>
      </w:r>
      <w:r>
        <w:rPr>
          <w:rFonts w:ascii="仿宋" w:hAnsi="仿宋" w:eastAsia="仿宋" w:cs="Times New Roman"/>
          <w:sz w:val="32"/>
          <w:szCs w:val="32"/>
        </w:rPr>
        <w:t>。集中开展安全生产大检查</w:t>
      </w:r>
      <w:r>
        <w:rPr>
          <w:rFonts w:hint="eastAsia" w:ascii="仿宋" w:hAnsi="仿宋" w:eastAsia="仿宋" w:cs="Times New Roman"/>
          <w:sz w:val="32"/>
          <w:szCs w:val="32"/>
        </w:rPr>
        <w:t>和</w:t>
      </w:r>
      <w:r>
        <w:rPr>
          <w:rFonts w:ascii="仿宋" w:hAnsi="仿宋" w:eastAsia="仿宋" w:cs="Times New Roman"/>
          <w:sz w:val="32"/>
          <w:szCs w:val="32"/>
        </w:rPr>
        <w:t>重点行业专项整治，检查生产经营单位276家次，排查整改违法行为或事故隐患371个</w:t>
      </w:r>
      <w:r>
        <w:rPr>
          <w:rFonts w:hint="eastAsia" w:ascii="仿宋" w:hAnsi="仿宋" w:eastAsia="仿宋" w:cs="Times New Roman"/>
          <w:sz w:val="32"/>
          <w:szCs w:val="32"/>
        </w:rPr>
        <w:t>，</w:t>
      </w:r>
      <w:r>
        <w:rPr>
          <w:rFonts w:ascii="仿宋" w:hAnsi="仿宋" w:eastAsia="仿宋" w:cs="Times New Roman"/>
          <w:sz w:val="32"/>
          <w:szCs w:val="32"/>
        </w:rPr>
        <w:t>查处违法行为25次，处罚款51.38万元。</w:t>
      </w:r>
      <w:r>
        <w:rPr>
          <w:rFonts w:hint="eastAsia" w:ascii="仿宋" w:hAnsi="仿宋" w:eastAsia="仿宋" w:cs="Times New Roman"/>
          <w:sz w:val="32"/>
          <w:szCs w:val="32"/>
        </w:rPr>
        <w:t>从严处理风险</w:t>
      </w:r>
      <w:r>
        <w:rPr>
          <w:rFonts w:ascii="仿宋" w:hAnsi="仿宋" w:eastAsia="仿宋" w:cs="Times New Roman"/>
          <w:sz w:val="32"/>
          <w:szCs w:val="32"/>
        </w:rPr>
        <w:t>隐患。对危险化学品综合治理、双控体系建设和清单制管理推进不力的部门进行了通报</w:t>
      </w:r>
      <w:r>
        <w:rPr>
          <w:rFonts w:hint="eastAsia" w:ascii="仿宋" w:hAnsi="仿宋" w:eastAsia="仿宋" w:cs="Times New Roman"/>
          <w:sz w:val="32"/>
          <w:szCs w:val="32"/>
          <w:lang w:eastAsia="zh-CN"/>
        </w:rPr>
        <w:t>。</w:t>
      </w:r>
    </w:p>
    <w:p w14:paraId="21263298">
      <w:pPr>
        <w:spacing w:line="576" w:lineRule="exact"/>
        <w:ind w:firstLine="640" w:firstLineChars="200"/>
        <w:rPr>
          <w:rFonts w:ascii="Times New Roman" w:hAnsi="Times New Roman" w:eastAsia="仿宋" w:cs="Times New Roman"/>
          <w:kern w:val="0"/>
          <w:sz w:val="32"/>
          <w:szCs w:val="32"/>
        </w:rPr>
      </w:pPr>
      <w:r>
        <w:rPr>
          <w:rFonts w:ascii="Times New Roman" w:hAnsi="Times New Roman" w:eastAsia="楷体" w:cs="Times New Roman"/>
          <w:kern w:val="0"/>
          <w:sz w:val="32"/>
          <w:szCs w:val="32"/>
        </w:rPr>
        <w:t>（</w:t>
      </w:r>
      <w:r>
        <w:rPr>
          <w:rFonts w:hint="eastAsia" w:ascii="Times New Roman" w:hAnsi="Times New Roman" w:eastAsia="楷体" w:cs="Times New Roman"/>
          <w:kern w:val="0"/>
          <w:sz w:val="32"/>
          <w:szCs w:val="32"/>
        </w:rPr>
        <w:t>三</w:t>
      </w:r>
      <w:r>
        <w:rPr>
          <w:rFonts w:ascii="Times New Roman" w:hAnsi="Times New Roman" w:eastAsia="楷体" w:cs="Times New Roman"/>
          <w:kern w:val="0"/>
          <w:sz w:val="32"/>
          <w:szCs w:val="32"/>
        </w:rPr>
        <w:t>）基层基础不断夯实。</w:t>
      </w:r>
      <w:r>
        <w:rPr>
          <w:rFonts w:ascii="Times New Roman" w:hAnsi="Times New Roman" w:eastAsia="仿宋" w:cs="Times New Roman"/>
          <w:kern w:val="0"/>
          <w:sz w:val="32"/>
          <w:szCs w:val="32"/>
        </w:rPr>
        <w:t>安全社区建设持续推进。积极开展</w:t>
      </w:r>
      <w:r>
        <w:rPr>
          <w:rFonts w:hint="eastAsia" w:ascii="Times New Roman" w:hAnsi="Times New Roman" w:eastAsia="仿宋" w:cs="Times New Roman"/>
          <w:kern w:val="0"/>
          <w:sz w:val="32"/>
          <w:szCs w:val="32"/>
        </w:rPr>
        <w:t>虎跳</w:t>
      </w:r>
      <w:r>
        <w:rPr>
          <w:rFonts w:ascii="Times New Roman" w:hAnsi="Times New Roman" w:eastAsia="仿宋" w:cs="Times New Roman"/>
          <w:kern w:val="0"/>
          <w:sz w:val="32"/>
          <w:szCs w:val="32"/>
        </w:rPr>
        <w:t>镇省级安全社区及</w:t>
      </w:r>
      <w:r>
        <w:rPr>
          <w:rFonts w:hint="eastAsia" w:ascii="Times New Roman" w:hAnsi="Times New Roman" w:eastAsia="仿宋" w:cs="Times New Roman"/>
          <w:kern w:val="0"/>
          <w:sz w:val="32"/>
          <w:szCs w:val="32"/>
        </w:rPr>
        <w:t>红岩镇</w:t>
      </w:r>
      <w:r>
        <w:rPr>
          <w:rFonts w:ascii="Times New Roman" w:hAnsi="Times New Roman" w:eastAsia="仿宋" w:cs="Times New Roman"/>
          <w:kern w:val="0"/>
          <w:sz w:val="32"/>
          <w:szCs w:val="32"/>
        </w:rPr>
        <w:t>市级安全社区创建，</w:t>
      </w:r>
      <w:r>
        <w:rPr>
          <w:rFonts w:hint="eastAsia" w:ascii="Times New Roman" w:hAnsi="Times New Roman" w:eastAsia="仿宋" w:cs="Times New Roman"/>
          <w:kern w:val="0"/>
          <w:sz w:val="32"/>
          <w:szCs w:val="32"/>
        </w:rPr>
        <w:t>定期联合</w:t>
      </w:r>
      <w:r>
        <w:rPr>
          <w:rFonts w:ascii="Times New Roman" w:hAnsi="Times New Roman" w:eastAsia="仿宋" w:cs="Times New Roman"/>
          <w:kern w:val="0"/>
          <w:sz w:val="32"/>
          <w:szCs w:val="32"/>
        </w:rPr>
        <w:t>相关部门</w:t>
      </w:r>
      <w:r>
        <w:rPr>
          <w:rFonts w:hint="eastAsia" w:ascii="Times New Roman" w:hAnsi="Times New Roman" w:eastAsia="仿宋" w:cs="Times New Roman"/>
          <w:kern w:val="0"/>
          <w:sz w:val="32"/>
          <w:szCs w:val="32"/>
        </w:rPr>
        <w:t>进行</w:t>
      </w:r>
      <w:r>
        <w:rPr>
          <w:rFonts w:ascii="Times New Roman" w:hAnsi="Times New Roman" w:eastAsia="仿宋" w:cs="Times New Roman"/>
          <w:kern w:val="0"/>
          <w:sz w:val="32"/>
          <w:szCs w:val="32"/>
        </w:rPr>
        <w:t>督导指导。双重预防机制建设</w:t>
      </w:r>
      <w:r>
        <w:rPr>
          <w:rFonts w:hint="eastAsia" w:ascii="Times New Roman" w:hAnsi="Times New Roman" w:eastAsia="仿宋" w:cs="Times New Roman"/>
          <w:kern w:val="0"/>
          <w:sz w:val="32"/>
          <w:szCs w:val="32"/>
        </w:rPr>
        <w:t>有序落实</w:t>
      </w:r>
      <w:r>
        <w:rPr>
          <w:rFonts w:ascii="Times New Roman" w:hAnsi="Times New Roman" w:eastAsia="仿宋" w:cs="Times New Roman"/>
          <w:kern w:val="0"/>
          <w:sz w:val="32"/>
          <w:szCs w:val="32"/>
        </w:rPr>
        <w:t>。煤矿、非煤矿山、危险化学品、烟花爆竹</w:t>
      </w:r>
      <w:r>
        <w:rPr>
          <w:rFonts w:hint="eastAsia" w:ascii="Times New Roman" w:hAnsi="Times New Roman" w:eastAsia="仿宋" w:cs="Times New Roman"/>
          <w:kern w:val="0"/>
          <w:sz w:val="32"/>
          <w:szCs w:val="32"/>
        </w:rPr>
        <w:t>、学校</w:t>
      </w:r>
      <w:r>
        <w:rPr>
          <w:rFonts w:ascii="Times New Roman" w:hAnsi="Times New Roman" w:eastAsia="仿宋" w:cs="Times New Roman"/>
          <w:kern w:val="0"/>
          <w:sz w:val="32"/>
          <w:szCs w:val="32"/>
        </w:rPr>
        <w:t>等行业领域已完成双重预防机制建设。</w:t>
      </w:r>
      <w:r>
        <w:rPr>
          <w:rFonts w:hint="eastAsia" w:ascii="Times New Roman" w:hAnsi="Times New Roman" w:eastAsia="仿宋" w:cs="Times New Roman"/>
          <w:kern w:val="0"/>
          <w:sz w:val="32"/>
          <w:szCs w:val="32"/>
        </w:rPr>
        <w:t>技术</w:t>
      </w:r>
      <w:r>
        <w:rPr>
          <w:rFonts w:ascii="Times New Roman" w:hAnsi="Times New Roman" w:eastAsia="仿宋" w:cs="Times New Roman"/>
          <w:kern w:val="0"/>
          <w:sz w:val="32"/>
          <w:szCs w:val="32"/>
        </w:rPr>
        <w:t>保障不断强化。</w:t>
      </w:r>
      <w:r>
        <w:rPr>
          <w:rFonts w:hint="eastAsia" w:ascii="Times New Roman" w:hAnsi="Times New Roman" w:eastAsia="仿宋" w:cs="Times New Roman"/>
          <w:kern w:val="0"/>
          <w:sz w:val="32"/>
          <w:szCs w:val="32"/>
        </w:rPr>
        <w:t>通过政府购买服务</w:t>
      </w:r>
      <w:r>
        <w:rPr>
          <w:rFonts w:ascii="Times New Roman" w:hAnsi="Times New Roman" w:eastAsia="仿宋" w:cs="Times New Roman"/>
          <w:kern w:val="0"/>
          <w:sz w:val="32"/>
          <w:szCs w:val="32"/>
        </w:rPr>
        <w:t>的方式聘请专业机构参与</w:t>
      </w:r>
      <w:r>
        <w:rPr>
          <w:rFonts w:hint="eastAsia" w:ascii="Times New Roman" w:hAnsi="Times New Roman" w:eastAsia="仿宋" w:cs="Times New Roman"/>
          <w:kern w:val="0"/>
          <w:sz w:val="32"/>
          <w:szCs w:val="32"/>
        </w:rPr>
        <w:t>安全</w:t>
      </w:r>
      <w:r>
        <w:rPr>
          <w:rFonts w:ascii="Times New Roman" w:hAnsi="Times New Roman" w:eastAsia="仿宋" w:cs="Times New Roman"/>
          <w:kern w:val="0"/>
          <w:sz w:val="32"/>
          <w:szCs w:val="32"/>
        </w:rPr>
        <w:t>监管，</w:t>
      </w:r>
      <w:r>
        <w:rPr>
          <w:rFonts w:hint="eastAsia" w:ascii="Times New Roman" w:hAnsi="Times New Roman" w:eastAsia="仿宋" w:cs="Times New Roman"/>
          <w:kern w:val="0"/>
          <w:sz w:val="32"/>
          <w:szCs w:val="32"/>
        </w:rPr>
        <w:t>定期</w:t>
      </w:r>
      <w:r>
        <w:rPr>
          <w:rFonts w:ascii="Times New Roman" w:hAnsi="Times New Roman" w:eastAsia="仿宋" w:cs="Times New Roman"/>
          <w:kern w:val="0"/>
          <w:sz w:val="32"/>
          <w:szCs w:val="32"/>
        </w:rPr>
        <w:t>对</w:t>
      </w:r>
      <w:r>
        <w:rPr>
          <w:rFonts w:hint="eastAsia" w:ascii="Times New Roman" w:hAnsi="Times New Roman" w:eastAsia="仿宋" w:cs="Times New Roman"/>
          <w:kern w:val="0"/>
          <w:sz w:val="32"/>
          <w:szCs w:val="32"/>
        </w:rPr>
        <w:t>直管行业领域企业开展</w:t>
      </w:r>
      <w:r>
        <w:rPr>
          <w:rFonts w:ascii="Times New Roman" w:hAnsi="Times New Roman" w:eastAsia="仿宋" w:cs="Times New Roman"/>
          <w:kern w:val="0"/>
          <w:sz w:val="32"/>
          <w:szCs w:val="32"/>
        </w:rPr>
        <w:t>安全大检查，</w:t>
      </w:r>
      <w:r>
        <w:rPr>
          <w:rFonts w:ascii="Times New Roman" w:hAnsi="Times New Roman" w:eastAsia="仿宋_GB2312" w:cs="Times New Roman"/>
          <w:sz w:val="32"/>
          <w:szCs w:val="32"/>
        </w:rPr>
        <w:t>解决了</w:t>
      </w:r>
      <w:r>
        <w:rPr>
          <w:rFonts w:hint="eastAsia" w:ascii="Times New Roman" w:hAnsi="Times New Roman" w:eastAsia="仿宋_GB2312" w:cs="Times New Roman"/>
          <w:sz w:val="32"/>
          <w:szCs w:val="32"/>
        </w:rPr>
        <w:t>安全</w:t>
      </w:r>
      <w:r>
        <w:rPr>
          <w:rFonts w:ascii="Times New Roman" w:hAnsi="Times New Roman" w:eastAsia="仿宋_GB2312" w:cs="Times New Roman"/>
          <w:sz w:val="32"/>
          <w:szCs w:val="32"/>
        </w:rPr>
        <w:t>监管专业人才不足的问题</w:t>
      </w:r>
      <w:r>
        <w:rPr>
          <w:rFonts w:ascii="Times New Roman" w:hAnsi="Times New Roman" w:eastAsia="仿宋" w:cs="Times New Roman"/>
          <w:kern w:val="0"/>
          <w:sz w:val="32"/>
          <w:szCs w:val="32"/>
        </w:rPr>
        <w:t>。</w:t>
      </w:r>
    </w:p>
    <w:p w14:paraId="22CF4179">
      <w:pPr>
        <w:spacing w:line="576" w:lineRule="exact"/>
        <w:ind w:firstLine="640" w:firstLineChars="200"/>
        <w:rPr>
          <w:rFonts w:ascii="Times New Roman" w:hAnsi="Times New Roman" w:eastAsia="仿宋" w:cs="Times New Roman"/>
          <w:kern w:val="0"/>
          <w:sz w:val="32"/>
          <w:szCs w:val="32"/>
        </w:rPr>
      </w:pPr>
      <w:r>
        <w:rPr>
          <w:rFonts w:hint="eastAsia" w:ascii="楷体" w:hAnsi="楷体" w:eastAsia="楷体" w:cs="Times New Roman"/>
          <w:sz w:val="32"/>
          <w:szCs w:val="32"/>
        </w:rPr>
        <w:t>（四）</w:t>
      </w:r>
      <w:r>
        <w:rPr>
          <w:rFonts w:ascii="楷体" w:hAnsi="楷体" w:eastAsia="楷体" w:cs="Times New Roman"/>
          <w:sz w:val="32"/>
          <w:szCs w:val="32"/>
        </w:rPr>
        <w:t>宣传教育</w:t>
      </w:r>
      <w:r>
        <w:rPr>
          <w:rFonts w:hint="eastAsia" w:ascii="楷体" w:hAnsi="楷体" w:eastAsia="楷体" w:cs="Times New Roman"/>
          <w:sz w:val="32"/>
          <w:szCs w:val="32"/>
        </w:rPr>
        <w:t>切实加强。</w:t>
      </w:r>
      <w:r>
        <w:rPr>
          <w:rFonts w:ascii="Times New Roman" w:hAnsi="Times New Roman" w:eastAsia="仿宋" w:cs="Times New Roman"/>
          <w:kern w:val="0"/>
          <w:sz w:val="32"/>
          <w:szCs w:val="32"/>
        </w:rPr>
        <w:t>举行了2019年安全生产月启动仪式和安全生产咨询宣传日活动，发放各类安全宣传材料10000余份，提供企业安全生产、交通安全、家庭防火、安全用电等各类咨询100余件。</w:t>
      </w:r>
    </w:p>
    <w:p w14:paraId="7CACB617">
      <w:pPr>
        <w:spacing w:line="576" w:lineRule="exact"/>
        <w:ind w:firstLine="640" w:firstLineChars="200"/>
        <w:rPr>
          <w:rFonts w:ascii="Times New Roman" w:hAnsi="Times New Roman" w:eastAsia="仿宋" w:cs="Times New Roman"/>
          <w:kern w:val="0"/>
          <w:sz w:val="32"/>
          <w:szCs w:val="32"/>
        </w:rPr>
      </w:pPr>
      <w:r>
        <w:rPr>
          <w:rFonts w:hint="eastAsia" w:ascii="楷体" w:hAnsi="楷体" w:eastAsia="楷体" w:cs="方正楷体简体"/>
          <w:sz w:val="32"/>
          <w:szCs w:val="32"/>
        </w:rPr>
        <w:t>（</w:t>
      </w:r>
      <w:r>
        <w:rPr>
          <w:rFonts w:hint="eastAsia" w:ascii="楷体" w:hAnsi="楷体" w:eastAsia="楷体" w:cs="方正楷体简体"/>
          <w:sz w:val="32"/>
          <w:szCs w:val="32"/>
          <w:lang w:val="en-US" w:eastAsia="zh-CN"/>
        </w:rPr>
        <w:t>五</w:t>
      </w:r>
      <w:r>
        <w:rPr>
          <w:rFonts w:hint="eastAsia" w:ascii="楷体" w:hAnsi="楷体" w:eastAsia="楷体" w:cs="方正楷体简体"/>
          <w:sz w:val="32"/>
          <w:szCs w:val="32"/>
        </w:rPr>
        <w:t>）健全体制机制，完善分工协作责任体系</w:t>
      </w:r>
      <w:r>
        <w:rPr>
          <w:rFonts w:hint="eastAsia" w:ascii="Times New Roman" w:hAnsi="Times New Roman" w:eastAsia="仿宋" w:cs="Times New Roman"/>
          <w:kern w:val="0"/>
          <w:sz w:val="32"/>
          <w:szCs w:val="32"/>
        </w:rPr>
        <w:t>。一是调整完善了区应急委员会，组织</w:t>
      </w:r>
      <w:r>
        <w:rPr>
          <w:rFonts w:ascii="Times New Roman" w:hAnsi="Times New Roman" w:eastAsia="仿宋" w:cs="Times New Roman"/>
          <w:kern w:val="0"/>
          <w:sz w:val="32"/>
          <w:szCs w:val="32"/>
        </w:rPr>
        <w:t>召开第一次全体会议，</w:t>
      </w:r>
      <w:r>
        <w:rPr>
          <w:rFonts w:hint="eastAsia" w:ascii="Times New Roman" w:hAnsi="Times New Roman" w:eastAsia="仿宋" w:cs="Times New Roman"/>
          <w:kern w:val="0"/>
          <w:sz w:val="32"/>
          <w:szCs w:val="32"/>
        </w:rPr>
        <w:t>对</w:t>
      </w:r>
      <w:r>
        <w:rPr>
          <w:rFonts w:ascii="Times New Roman" w:hAnsi="Times New Roman" w:eastAsia="仿宋" w:cs="Times New Roman"/>
          <w:kern w:val="0"/>
          <w:sz w:val="32"/>
          <w:szCs w:val="32"/>
        </w:rPr>
        <w:t>重点工作进行安排部署，</w:t>
      </w:r>
      <w:r>
        <w:rPr>
          <w:rFonts w:hint="eastAsia" w:ascii="Times New Roman" w:hAnsi="Times New Roman" w:eastAsia="仿宋" w:cs="Times New Roman"/>
          <w:kern w:val="0"/>
          <w:sz w:val="32"/>
          <w:szCs w:val="32"/>
        </w:rPr>
        <w:t>明确17个专项指挥部具体职责，建立</w:t>
      </w:r>
      <w:r>
        <w:rPr>
          <w:rFonts w:ascii="Times New Roman" w:hAnsi="Times New Roman" w:eastAsia="仿宋" w:cs="Times New Roman"/>
          <w:kern w:val="0"/>
          <w:sz w:val="32"/>
          <w:szCs w:val="32"/>
        </w:rPr>
        <w:t>了统一指挥和分工协作机制。</w:t>
      </w:r>
      <w:r>
        <w:rPr>
          <w:rFonts w:hint="eastAsia" w:ascii="Times New Roman" w:hAnsi="Times New Roman" w:eastAsia="仿宋" w:cs="Times New Roman"/>
          <w:kern w:val="0"/>
          <w:sz w:val="32"/>
          <w:szCs w:val="32"/>
        </w:rPr>
        <w:t>二是各专项指挥部结合成员单位职能职责的变化情况，完善了工作规则、应急预案和运行机制，权责分明、有序运行，不折不扣抓好各项工作任务落地落实。三是坚持“分级负责、属地为主”原则，严格落实应急管理工作领导负责制和“一岗双责”制，“一把手”亲自抓、负总责，分管领导要具体抓、抓落实。</w:t>
      </w:r>
    </w:p>
    <w:p w14:paraId="74C7A1A4">
      <w:pPr>
        <w:spacing w:line="576" w:lineRule="exact"/>
        <w:ind w:firstLine="640" w:firstLineChars="200"/>
        <w:rPr>
          <w:rFonts w:hint="eastAsia" w:ascii="仿宋" w:hAnsi="仿宋" w:eastAsia="仿宋" w:cs="方正楷体简体"/>
          <w:sz w:val="32"/>
          <w:szCs w:val="32"/>
        </w:rPr>
      </w:pPr>
      <w:r>
        <w:rPr>
          <w:rFonts w:hint="eastAsia" w:ascii="楷体" w:hAnsi="楷体" w:eastAsia="楷体" w:cs="方正楷体简体"/>
          <w:sz w:val="32"/>
          <w:szCs w:val="32"/>
        </w:rPr>
        <w:t>（</w:t>
      </w:r>
      <w:r>
        <w:rPr>
          <w:rFonts w:hint="eastAsia" w:ascii="楷体" w:hAnsi="楷体" w:eastAsia="楷体" w:cs="方正楷体简体"/>
          <w:sz w:val="32"/>
          <w:szCs w:val="32"/>
          <w:lang w:val="en-US" w:eastAsia="zh-CN"/>
        </w:rPr>
        <w:t>六</w:t>
      </w:r>
      <w:r>
        <w:rPr>
          <w:rFonts w:hint="eastAsia" w:ascii="楷体" w:hAnsi="楷体" w:eastAsia="楷体" w:cs="方正楷体简体"/>
          <w:sz w:val="32"/>
          <w:szCs w:val="32"/>
        </w:rPr>
        <w:t>）做好摸排统计，强化自然灾害救助保障。</w:t>
      </w:r>
      <w:r>
        <w:rPr>
          <w:rFonts w:hint="eastAsia" w:ascii="仿宋" w:hAnsi="仿宋" w:eastAsia="仿宋" w:cs="方正楷体简体"/>
          <w:sz w:val="32"/>
          <w:szCs w:val="32"/>
        </w:rPr>
        <w:t>一是扎实做好灾情统计及报送工作。今年我区发生了洪涝、风灾等自然灾害，统计上报农作物受灾13.24万亩，成灾9.28万亩，绝收2.79万亩,直接经济损失达10475.34万元。二是摸清情况，确保受灾群众温暖过冬。据冬令调查统计和春荒缺粮预测，全区今冬明春因灾生活困难群众需政府救助人数为21869人（次），其中，需口粮救助人数为11463人，需衣被救助人数为5446，需取暖救助人数为3059人，需其它生活救助人数为1901人。。</w:t>
      </w:r>
    </w:p>
    <w:p w14:paraId="1664BFC9">
      <w:pPr>
        <w:spacing w:line="576" w:lineRule="exact"/>
        <w:ind w:firstLine="640" w:firstLineChars="200"/>
        <w:rPr>
          <w:rFonts w:ascii="Times New Roman" w:hAnsi="Times New Roman" w:eastAsia="仿宋" w:cs="Times New Roman"/>
          <w:kern w:val="0"/>
          <w:sz w:val="32"/>
          <w:szCs w:val="32"/>
        </w:rPr>
      </w:pPr>
      <w:r>
        <w:rPr>
          <w:rFonts w:hint="eastAsia" w:ascii="楷体" w:hAnsi="楷体" w:eastAsia="楷体" w:cs="方正楷体简体"/>
          <w:sz w:val="32"/>
          <w:szCs w:val="32"/>
        </w:rPr>
        <w:t>（</w:t>
      </w:r>
      <w:r>
        <w:rPr>
          <w:rFonts w:ascii="楷体" w:hAnsi="楷体" w:eastAsia="楷体" w:cs="方正楷体简体"/>
          <w:sz w:val="32"/>
          <w:szCs w:val="32"/>
        </w:rPr>
        <w:t>三）加强应急管理，</w:t>
      </w:r>
      <w:r>
        <w:rPr>
          <w:rFonts w:hint="eastAsia" w:ascii="楷体" w:hAnsi="楷体" w:eastAsia="楷体" w:cs="方正楷体简体"/>
          <w:sz w:val="32"/>
          <w:szCs w:val="32"/>
        </w:rPr>
        <w:t>确保突发事件处置高效。</w:t>
      </w:r>
      <w:r>
        <w:rPr>
          <w:rFonts w:ascii="Times New Roman" w:hAnsi="Times New Roman" w:eastAsia="仿宋" w:cs="Times New Roman"/>
          <w:kern w:val="0"/>
          <w:sz w:val="32"/>
          <w:szCs w:val="32"/>
        </w:rPr>
        <w:t>一是组建了以区消防</w:t>
      </w:r>
      <w:r>
        <w:rPr>
          <w:rFonts w:hint="eastAsia" w:ascii="Times New Roman" w:hAnsi="Times New Roman" w:eastAsia="仿宋" w:cs="Times New Roman"/>
          <w:kern w:val="0"/>
          <w:sz w:val="32"/>
          <w:szCs w:val="32"/>
        </w:rPr>
        <w:t>救援</w:t>
      </w:r>
      <w:r>
        <w:rPr>
          <w:rFonts w:ascii="Times New Roman" w:hAnsi="Times New Roman" w:eastAsia="仿宋" w:cs="Times New Roman"/>
          <w:kern w:val="0"/>
          <w:sz w:val="32"/>
          <w:szCs w:val="32"/>
        </w:rPr>
        <w:t>大队、区人武部民兵应急抢险队伍为主、各成员单位应急抢险队伍为辅的救援抢险队伍和“共产党员综合应急抢险突击队”，乡、村、重点企业分别建立了防汛减灾应急救援队伍。二是</w:t>
      </w:r>
      <w:r>
        <w:rPr>
          <w:rFonts w:hint="eastAsia" w:ascii="Times New Roman" w:hAnsi="Times New Roman" w:eastAsia="仿宋" w:cs="Times New Roman"/>
          <w:kern w:val="0"/>
          <w:sz w:val="32"/>
          <w:szCs w:val="32"/>
        </w:rPr>
        <w:t>健全完善</w:t>
      </w:r>
      <w:r>
        <w:rPr>
          <w:rFonts w:ascii="Times New Roman" w:hAnsi="Times New Roman" w:eastAsia="仿宋" w:cs="Times New Roman"/>
          <w:kern w:val="0"/>
          <w:sz w:val="32"/>
          <w:szCs w:val="32"/>
        </w:rPr>
        <w:t>各类应急预案</w:t>
      </w:r>
      <w:r>
        <w:rPr>
          <w:rFonts w:hint="eastAsia" w:ascii="Times New Roman" w:hAnsi="Times New Roman" w:eastAsia="仿宋" w:cs="Times New Roman"/>
          <w:kern w:val="0"/>
          <w:sz w:val="32"/>
          <w:szCs w:val="32"/>
        </w:rPr>
        <w:t>856个，</w:t>
      </w:r>
      <w:r>
        <w:rPr>
          <w:rFonts w:ascii="Times New Roman" w:hAnsi="Times New Roman" w:eastAsia="仿宋" w:cs="Times New Roman"/>
          <w:kern w:val="0"/>
          <w:sz w:val="32"/>
          <w:szCs w:val="32"/>
        </w:rPr>
        <w:t>组织开展了2019年防灾综合应急演练和燃气泄漏燃爆专项应急演练，各乡镇、成员单位分别开展了行业部门各项应急演练30余场次。三是完善“县乡村组点”群测群防体系，通过手机短信、微信、广播、电视、网络等多种途径畅通预警发布渠道，提高信息传递效率，打通灾害预警“最后一公里”，确保逐级传达到位。四是</w:t>
      </w:r>
      <w:r>
        <w:rPr>
          <w:rFonts w:hint="eastAsia" w:ascii="Times New Roman" w:hAnsi="Times New Roman" w:eastAsia="仿宋" w:cs="Times New Roman"/>
          <w:kern w:val="0"/>
          <w:sz w:val="32"/>
          <w:szCs w:val="32"/>
        </w:rPr>
        <w:t>健全了应急值守和信息报送机制。认真落实</w:t>
      </w:r>
      <w:r>
        <w:rPr>
          <w:rFonts w:ascii="Times New Roman" w:hAnsi="Times New Roman" w:eastAsia="仿宋" w:cs="Times New Roman"/>
          <w:kern w:val="0"/>
          <w:sz w:val="32"/>
          <w:szCs w:val="32"/>
        </w:rPr>
        <w:t>24小时“A+B班”的应急值班和领导带班制度，确保不漏岗、不脱岗，信息及时、准确报送。</w:t>
      </w:r>
    </w:p>
    <w:p w14:paraId="03AF2464">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14:paraId="35524806">
      <w:pPr>
        <w:spacing w:line="576"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2019年3月，我单位由原安监局、防震减灾局、应急办新组建昭化区应急管理局。其中：合并后人员转递情况如下：行政编制13（含机关工勤1人）参公公务员编制8人、全额事业编制12人，年末实有在编33人，其中公务员11人，行政事业编1人，机关工勤1人，参公8人，全额事业人员12人。</w:t>
      </w:r>
    </w:p>
    <w:p w14:paraId="5534220C">
      <w:pPr>
        <w:pStyle w:val="2"/>
        <w:ind w:right="440" w:firstLine="440" w:firstLineChars="100"/>
        <w:jc w:val="both"/>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14:paraId="0AEBE616">
      <w:pPr>
        <w:pStyle w:val="23"/>
        <w:numPr>
          <w:ilvl w:val="0"/>
          <w:numId w:val="0"/>
        </w:numPr>
        <w:spacing w:line="600" w:lineRule="exact"/>
        <w:ind w:firstLine="640" w:firstLineChars="20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lang w:eastAsia="zh-CN"/>
        </w:rPr>
        <w:t>一、</w:t>
      </w:r>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14:paraId="655741DE">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569.18</w:t>
      </w:r>
      <w:r>
        <w:rPr>
          <w:rFonts w:hint="eastAsia" w:ascii="仿宋" w:hAnsi="仿宋" w:eastAsia="仿宋"/>
          <w:color w:val="000000"/>
          <w:sz w:val="32"/>
          <w:szCs w:val="32"/>
        </w:rPr>
        <w:t>万元。主要变动原因</w:t>
      </w:r>
      <w:r>
        <w:rPr>
          <w:rFonts w:hint="eastAsia" w:ascii="仿宋" w:hAnsi="仿宋" w:eastAsia="仿宋"/>
          <w:color w:val="000000"/>
          <w:sz w:val="32"/>
          <w:szCs w:val="32"/>
          <w:lang w:eastAsia="zh-CN"/>
        </w:rPr>
        <w:t>一</w:t>
      </w:r>
      <w:r>
        <w:rPr>
          <w:rFonts w:hint="eastAsia" w:ascii="仿宋" w:hAnsi="仿宋" w:eastAsia="仿宋"/>
          <w:color w:val="000000"/>
          <w:sz w:val="32"/>
          <w:szCs w:val="32"/>
        </w:rPr>
        <w:t>是</w:t>
      </w:r>
      <w:r>
        <w:rPr>
          <w:rFonts w:hint="eastAsia" w:ascii="仿宋_GB2312" w:hAnsi="仿宋_GB2312" w:eastAsia="仿宋_GB2312"/>
          <w:sz w:val="32"/>
          <w:szCs w:val="32"/>
          <w:lang w:val="en-US" w:eastAsia="zh-CN"/>
        </w:rPr>
        <w:t>机构改革，三个单位合并报表；二是年终追加自然灾害临时生活救助。</w:t>
      </w:r>
    </w:p>
    <w:p w14:paraId="46290D5F">
      <w:pPr>
        <w:pStyle w:val="23"/>
        <w:numPr>
          <w:ilvl w:val="0"/>
          <w:numId w:val="0"/>
        </w:numPr>
        <w:spacing w:line="600" w:lineRule="exact"/>
        <w:ind w:firstLine="640" w:firstLineChars="20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14:paraId="127086F8">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569.18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566.8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99.58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lang w:eastAsia="zh-CN"/>
          <w14:textFill>
            <w14:solidFill>
              <w14:schemeClr w14:val="tx1"/>
            </w14:solidFill>
          </w14:textFill>
        </w:rPr>
        <w:t>政府性基金</w:t>
      </w:r>
      <w:r>
        <w:rPr>
          <w:rFonts w:hint="eastAsia" w:ascii="仿宋" w:hAnsi="仿宋" w:eastAsia="仿宋"/>
          <w:color w:val="000000" w:themeColor="text1"/>
          <w:sz w:val="32"/>
          <w:szCs w:val="32"/>
          <w:lang w:val="en-US" w:eastAsia="zh-CN"/>
          <w14:textFill>
            <w14:solidFill>
              <w14:schemeClr w14:val="tx1"/>
            </w14:solidFill>
          </w14:textFill>
        </w:rPr>
        <w:t>2.37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0.42</w:t>
      </w:r>
      <w:r>
        <w:rPr>
          <w:rFonts w:ascii="仿宋" w:hAnsi="仿宋" w:eastAsia="仿宋"/>
          <w:color w:val="000000"/>
          <w:sz w:val="32"/>
          <w:szCs w:val="32"/>
        </w:rPr>
        <w:t>%</w:t>
      </w:r>
      <w:r>
        <w:rPr>
          <w:rFonts w:hint="eastAsia" w:ascii="仿宋" w:hAnsi="仿宋" w:eastAsia="仿宋"/>
          <w:color w:val="000000"/>
          <w:sz w:val="32"/>
          <w:szCs w:val="32"/>
        </w:rPr>
        <w:t>；</w:t>
      </w:r>
    </w:p>
    <w:p w14:paraId="3DF1C25B">
      <w:pPr>
        <w:pStyle w:val="23"/>
        <w:numPr>
          <w:ilvl w:val="0"/>
          <w:numId w:val="0"/>
        </w:numPr>
        <w:spacing w:line="600" w:lineRule="exact"/>
        <w:ind w:left="640" w:left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14:paraId="4E951FA7">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406.5</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404.11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99.41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项目支出</w:t>
      </w:r>
      <w:r>
        <w:rPr>
          <w:rFonts w:hint="eastAsia" w:ascii="仿宋" w:hAnsi="仿宋" w:eastAsia="仿宋"/>
          <w:color w:val="000000"/>
          <w:sz w:val="32"/>
          <w:szCs w:val="32"/>
          <w:lang w:val="en-US" w:eastAsia="zh-CN"/>
        </w:rPr>
        <w:t>2.4万元，</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0.59</w:t>
      </w:r>
      <w:r>
        <w:rPr>
          <w:rFonts w:ascii="仿宋" w:hAnsi="仿宋" w:eastAsia="仿宋"/>
          <w:color w:val="000000"/>
          <w:sz w:val="32"/>
          <w:szCs w:val="32"/>
        </w:rPr>
        <w:t>%</w:t>
      </w:r>
      <w:r>
        <w:rPr>
          <w:rFonts w:hint="eastAsia" w:ascii="仿宋" w:hAnsi="仿宋" w:eastAsia="仿宋"/>
          <w:color w:val="000000"/>
          <w:sz w:val="32"/>
          <w:szCs w:val="32"/>
          <w:lang w:val="en-US" w:eastAsia="zh-CN"/>
        </w:rPr>
        <w:t>.</w:t>
      </w:r>
    </w:p>
    <w:p w14:paraId="516C1770">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14:paraId="04034879">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569.18</w:t>
      </w:r>
      <w:r>
        <w:rPr>
          <w:rFonts w:hint="eastAsia" w:ascii="仿宋" w:hAnsi="仿宋" w:eastAsia="仿宋"/>
          <w:color w:val="000000"/>
          <w:sz w:val="32"/>
          <w:szCs w:val="32"/>
        </w:rPr>
        <w:t>万元。主要变动原因</w:t>
      </w:r>
      <w:r>
        <w:rPr>
          <w:rFonts w:hint="eastAsia" w:ascii="仿宋" w:hAnsi="仿宋" w:eastAsia="仿宋"/>
          <w:color w:val="000000"/>
          <w:sz w:val="32"/>
          <w:szCs w:val="32"/>
          <w:lang w:eastAsia="zh-CN"/>
        </w:rPr>
        <w:t>一</w:t>
      </w:r>
      <w:r>
        <w:rPr>
          <w:rFonts w:hint="eastAsia" w:ascii="仿宋" w:hAnsi="仿宋" w:eastAsia="仿宋"/>
          <w:color w:val="000000"/>
          <w:sz w:val="32"/>
          <w:szCs w:val="32"/>
        </w:rPr>
        <w:t>是</w:t>
      </w:r>
      <w:r>
        <w:rPr>
          <w:rFonts w:hint="eastAsia" w:ascii="仿宋" w:hAnsi="仿宋" w:eastAsia="仿宋"/>
          <w:color w:val="000000"/>
          <w:sz w:val="32"/>
          <w:szCs w:val="32"/>
          <w:lang w:eastAsia="zh-CN"/>
        </w:rPr>
        <w:t>机构改革，三单位合并报表；二是自然灾害临时生活救助资金增加。</w:t>
      </w:r>
    </w:p>
    <w:p w14:paraId="64614B38">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14:paraId="08680B2E">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4814C619">
      <w:pPr>
        <w:spacing w:line="600" w:lineRule="exact"/>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404.11</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99.41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政府性基金拨款支出</w:t>
      </w:r>
      <w:r>
        <w:rPr>
          <w:rFonts w:hint="eastAsia" w:ascii="仿宋" w:hAnsi="仿宋" w:eastAsia="仿宋"/>
          <w:color w:val="000000"/>
          <w:sz w:val="32"/>
          <w:szCs w:val="32"/>
          <w:lang w:val="en-US" w:eastAsia="zh-CN"/>
        </w:rPr>
        <w:t>2.4万元，占0.59%。</w:t>
      </w:r>
    </w:p>
    <w:p w14:paraId="32358E53">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28E26E36">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0BE9226A">
      <w:pPr>
        <w:spacing w:line="600" w:lineRule="exact"/>
        <w:ind w:firstLine="640" w:firstLineChars="200"/>
        <w:outlineLvl w:val="2"/>
        <w:rPr>
          <w:rFonts w:ascii="仿宋" w:hAnsi="仿宋" w:eastAsia="仿宋"/>
          <w:b/>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404.11</w:t>
      </w:r>
      <w:r>
        <w:rPr>
          <w:rFonts w:hint="eastAsia" w:ascii="仿宋" w:hAnsi="仿宋" w:eastAsia="仿宋"/>
          <w:color w:val="000000" w:themeColor="text1"/>
          <w:sz w:val="32"/>
          <w:szCs w:val="32"/>
          <w14:textFill>
            <w14:solidFill>
              <w14:schemeClr w14:val="tx1"/>
            </w14:solidFill>
          </w14:textFill>
        </w:rPr>
        <w:t>万元，主要用于以下方面:一般公共服务（类）支出</w:t>
      </w:r>
      <w:r>
        <w:rPr>
          <w:rFonts w:hint="eastAsia" w:ascii="仿宋" w:hAnsi="仿宋" w:eastAsia="仿宋"/>
          <w:color w:val="000000" w:themeColor="text1"/>
          <w:sz w:val="32"/>
          <w:szCs w:val="32"/>
          <w:lang w:val="en-US" w:eastAsia="zh-CN"/>
          <w14:textFill>
            <w14:solidFill>
              <w14:schemeClr w14:val="tx1"/>
            </w14:solidFill>
          </w14:textFill>
        </w:rPr>
        <w:t>70.69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17.49</w:t>
      </w:r>
      <w:r>
        <w:rPr>
          <w:rFonts w:hint="eastAsia" w:ascii="仿宋" w:hAnsi="仿宋" w:eastAsia="仿宋"/>
          <w:color w:val="000000" w:themeColor="text1"/>
          <w:sz w:val="32"/>
          <w:szCs w:val="32"/>
          <w14:textFill>
            <w14:solidFill>
              <w14:schemeClr w14:val="tx1"/>
            </w14:solidFill>
          </w14:textFill>
        </w:rPr>
        <w:t>%；教育支出（类）**万元，占**%；科学技术（类）支出**万元，占**%；文化旅游体育与传媒（类）支出**万元，占**%；社会保障和就业（类）支出</w:t>
      </w:r>
      <w:r>
        <w:rPr>
          <w:rFonts w:hint="eastAsia" w:ascii="仿宋" w:hAnsi="仿宋" w:eastAsia="仿宋"/>
          <w:color w:val="000000" w:themeColor="text1"/>
          <w:sz w:val="32"/>
          <w:szCs w:val="32"/>
          <w:lang w:val="en-US" w:eastAsia="zh-CN"/>
          <w14:textFill>
            <w14:solidFill>
              <w14:schemeClr w14:val="tx1"/>
            </w14:solidFill>
          </w14:textFill>
        </w:rPr>
        <w:t>37.58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9.3</w:t>
      </w:r>
      <w:r>
        <w:rPr>
          <w:rFonts w:hint="eastAsia" w:ascii="仿宋" w:hAnsi="仿宋" w:eastAsia="仿宋"/>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14.86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3.68</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23.64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5.85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灾害防治与应急管理（类）支出</w:t>
      </w:r>
      <w:r>
        <w:rPr>
          <w:rFonts w:hint="eastAsia" w:ascii="仿宋" w:hAnsi="仿宋" w:eastAsia="仿宋"/>
          <w:color w:val="000000" w:themeColor="text1"/>
          <w:sz w:val="32"/>
          <w:szCs w:val="32"/>
          <w:lang w:val="en-US" w:eastAsia="zh-CN"/>
          <w14:textFill>
            <w14:solidFill>
              <w14:schemeClr w14:val="tx1"/>
            </w14:solidFill>
          </w14:textFill>
        </w:rPr>
        <w:t>257.34万元占63.68%。</w:t>
      </w:r>
      <w:bookmarkStart w:id="36" w:name="_Toc15377212"/>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b/>
          <w:color w:val="000000"/>
          <w:sz w:val="32"/>
          <w:szCs w:val="32"/>
        </w:rPr>
        <w:t>（三）一般公共预算财政拨款支出决算具体情况</w:t>
      </w:r>
      <w:bookmarkEnd w:id="36"/>
    </w:p>
    <w:p w14:paraId="5FE5FB43">
      <w:pPr>
        <w:spacing w:line="600" w:lineRule="exact"/>
        <w:ind w:firstLine="643" w:firstLineChars="200"/>
        <w:outlineLvl w:val="2"/>
        <w:rPr>
          <w:rFonts w:ascii="仿宋" w:hAnsi="仿宋" w:eastAsia="仿宋"/>
          <w:color w:val="FF0000"/>
          <w:sz w:val="32"/>
          <w:szCs w:val="32"/>
        </w:rPr>
      </w:pPr>
      <w:bookmarkStart w:id="37" w:name="_Toc15377444"/>
      <w:bookmarkStart w:id="38" w:name="_Toc15378460"/>
      <w:bookmarkStart w:id="39" w:name="_Toc15377213"/>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404.11</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71.3%</w:t>
      </w:r>
      <w:r>
        <w:rPr>
          <w:rStyle w:val="14"/>
          <w:rFonts w:hint="eastAsia" w:ascii="仿宋" w:hAnsi="仿宋" w:eastAsia="仿宋"/>
          <w:bCs/>
          <w:color w:val="000000"/>
          <w:sz w:val="32"/>
          <w:szCs w:val="32"/>
        </w:rPr>
        <w:t>。其中：</w:t>
      </w:r>
      <w:bookmarkEnd w:id="37"/>
      <w:bookmarkEnd w:id="38"/>
      <w:bookmarkEnd w:id="39"/>
    </w:p>
    <w:p w14:paraId="24391CD5">
      <w:pPr>
        <w:spacing w:line="600" w:lineRule="exact"/>
        <w:ind w:firstLine="643" w:firstLineChars="200"/>
        <w:rPr>
          <w:rFonts w:hint="eastAsia" w:ascii="仿宋" w:hAnsi="仿宋" w:eastAsia="仿宋"/>
          <w:b/>
          <w:color w:val="000000"/>
          <w:sz w:val="32"/>
          <w:szCs w:val="32"/>
          <w:lang w:eastAsia="zh-CN"/>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政府办公厅（室）相关机构事务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行政运行</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70.69</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14:paraId="724B72DB">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14:paraId="55E76515">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14:paraId="24C0AE3E">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文化旅游体育与传媒（类）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14:paraId="51534F0F">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行政事业单位离退休</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机关事业单位基本养老保险缴费支出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37.58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71972CAF">
      <w:pPr>
        <w:spacing w:line="600" w:lineRule="exact"/>
        <w:ind w:firstLine="643" w:firstLineChars="200"/>
        <w:rPr>
          <w:rStyle w:val="14"/>
          <w:rFonts w:hint="eastAsia" w:ascii="仿宋" w:hAnsi="仿宋" w:eastAsia="仿宋"/>
          <w:b w:val="0"/>
          <w:bCs/>
          <w:color w:val="000000"/>
          <w:sz w:val="32"/>
          <w:szCs w:val="32"/>
        </w:rPr>
      </w:pPr>
      <w:r>
        <w:rPr>
          <w:rStyle w:val="14"/>
          <w:rFonts w:ascii="仿宋" w:hAnsi="仿宋" w:eastAsia="仿宋"/>
          <w:bCs/>
          <w:color w:val="000000"/>
          <w:sz w:val="32"/>
          <w:szCs w:val="32"/>
        </w:rPr>
        <w:t>6.</w:t>
      </w:r>
      <w:r>
        <w:rPr>
          <w:rFonts w:hint="eastAsia" w:ascii="仿宋" w:hAnsi="仿宋" w:eastAsia="仿宋"/>
          <w:b/>
          <w:bCs/>
          <w:color w:val="000000" w:themeColor="text1"/>
          <w:sz w:val="32"/>
          <w:szCs w:val="32"/>
          <w14:textFill>
            <w14:solidFill>
              <w14:schemeClr w14:val="tx1"/>
            </w14:solidFill>
          </w14:textFill>
        </w:rPr>
        <w:t>卫生健康</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行政事业单位医疗</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行政单位医疗，事业单位医疗</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14.86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5A94D6AC">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7</w:t>
      </w:r>
      <w:r>
        <w:rPr>
          <w:rStyle w:val="14"/>
          <w:rFonts w:ascii="仿宋" w:hAnsi="仿宋" w:eastAsia="仿宋"/>
          <w:bCs/>
          <w:color w:val="000000"/>
          <w:sz w:val="32"/>
          <w:szCs w:val="32"/>
        </w:rPr>
        <w:t>.</w:t>
      </w:r>
      <w:r>
        <w:rPr>
          <w:rFonts w:hint="eastAsia" w:ascii="仿宋" w:hAnsi="仿宋" w:eastAsia="仿宋"/>
          <w:b/>
          <w:bCs/>
          <w:color w:val="000000" w:themeColor="text1"/>
          <w:sz w:val="32"/>
          <w:szCs w:val="32"/>
          <w:lang w:eastAsia="zh-CN"/>
          <w14:textFill>
            <w14:solidFill>
              <w14:schemeClr w14:val="tx1"/>
            </w14:solidFill>
          </w14:textFill>
        </w:rPr>
        <w:t>住房保障支出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住房改革支出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住房公积金</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23.64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3E0E7DE7">
      <w:pPr>
        <w:spacing w:line="600" w:lineRule="exact"/>
        <w:ind w:firstLine="643" w:firstLineChars="200"/>
        <w:rPr>
          <w:rFonts w:hint="eastAsia" w:ascii="仿宋" w:hAnsi="仿宋" w:eastAsia="仿宋"/>
          <w:b/>
          <w:color w:val="000000"/>
          <w:sz w:val="32"/>
          <w:szCs w:val="32"/>
          <w:lang w:eastAsia="zh-CN"/>
        </w:rPr>
      </w:pPr>
      <w:r>
        <w:rPr>
          <w:rStyle w:val="14"/>
          <w:rFonts w:hint="eastAsia" w:ascii="仿宋" w:hAnsi="仿宋" w:eastAsia="仿宋"/>
          <w:bCs/>
          <w:color w:val="000000"/>
          <w:sz w:val="32"/>
          <w:szCs w:val="32"/>
          <w:lang w:val="en-US" w:eastAsia="zh-CN"/>
        </w:rPr>
        <w:t>8</w:t>
      </w:r>
      <w:r>
        <w:rPr>
          <w:rStyle w:val="14"/>
          <w:rFonts w:ascii="仿宋" w:hAnsi="仿宋" w:eastAsia="仿宋"/>
          <w:bCs/>
          <w:color w:val="000000"/>
          <w:sz w:val="32"/>
          <w:szCs w:val="32"/>
        </w:rPr>
        <w:t>.</w:t>
      </w:r>
      <w:r>
        <w:rPr>
          <w:rFonts w:hint="eastAsia" w:ascii="仿宋" w:hAnsi="仿宋" w:eastAsia="仿宋"/>
          <w:b/>
          <w:bCs/>
          <w:color w:val="000000" w:themeColor="text1"/>
          <w:sz w:val="32"/>
          <w:szCs w:val="32"/>
          <w:lang w:eastAsia="zh-CN"/>
          <w14:textFill>
            <w14:solidFill>
              <w14:schemeClr w14:val="tx1"/>
            </w14:solidFill>
          </w14:textFill>
        </w:rPr>
        <w:t>灾害防治及应急管理支出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应急管理事务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安全监管</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217.21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57.2</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未完成支出的主要原因是自然灾害生活救助资金</w:t>
      </w:r>
      <w:r>
        <w:rPr>
          <w:rStyle w:val="14"/>
          <w:rFonts w:hint="eastAsia" w:ascii="仿宋" w:hAnsi="仿宋" w:eastAsia="仿宋"/>
          <w:b w:val="0"/>
          <w:bCs/>
          <w:color w:val="000000"/>
          <w:sz w:val="32"/>
          <w:szCs w:val="32"/>
          <w:lang w:val="en-US" w:eastAsia="zh-CN"/>
        </w:rPr>
        <w:t>160万元</w:t>
      </w:r>
      <w:r>
        <w:rPr>
          <w:rStyle w:val="14"/>
          <w:rFonts w:hint="eastAsia" w:ascii="仿宋" w:hAnsi="仿宋" w:eastAsia="仿宋"/>
          <w:b w:val="0"/>
          <w:bCs/>
          <w:color w:val="000000"/>
          <w:sz w:val="32"/>
          <w:szCs w:val="32"/>
          <w:lang w:eastAsia="zh-CN"/>
        </w:rPr>
        <w:t>是年终决算追加的到账。</w:t>
      </w:r>
    </w:p>
    <w:p w14:paraId="03AD2FA4">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9</w:t>
      </w:r>
      <w:r>
        <w:rPr>
          <w:rStyle w:val="14"/>
          <w:rFonts w:ascii="仿宋" w:hAnsi="仿宋" w:eastAsia="仿宋"/>
          <w:bCs/>
          <w:color w:val="000000"/>
          <w:sz w:val="32"/>
          <w:szCs w:val="32"/>
        </w:rPr>
        <w:t>.</w:t>
      </w:r>
      <w:r>
        <w:rPr>
          <w:rFonts w:hint="eastAsia" w:ascii="仿宋" w:hAnsi="仿宋" w:eastAsia="仿宋"/>
          <w:b/>
          <w:bCs/>
          <w:color w:val="000000" w:themeColor="text1"/>
          <w:sz w:val="32"/>
          <w:szCs w:val="32"/>
          <w:lang w:eastAsia="zh-CN"/>
          <w14:textFill>
            <w14:solidFill>
              <w14:schemeClr w14:val="tx1"/>
            </w14:solidFill>
          </w14:textFill>
        </w:rPr>
        <w:t>灾害防治及应急管理支出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地震事务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行政运行</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40.13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576A5325">
      <w:pPr>
        <w:tabs>
          <w:tab w:val="right" w:pos="8306"/>
        </w:tabs>
        <w:spacing w:line="600" w:lineRule="exact"/>
        <w:ind w:firstLine="640" w:firstLineChars="20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14:paraId="46B9E99B">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404.11</w:t>
      </w:r>
      <w:r>
        <w:rPr>
          <w:rFonts w:hint="eastAsia" w:ascii="仿宋" w:hAnsi="仿宋" w:eastAsia="仿宋"/>
          <w:color w:val="000000"/>
          <w:sz w:val="32"/>
          <w:szCs w:val="32"/>
        </w:rPr>
        <w:t>万元，其中：</w:t>
      </w:r>
    </w:p>
    <w:p w14:paraId="17FE5553">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358.91</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42.4</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6ED7A99A">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14:paraId="40F1FC2A">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44BD30C8">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12.63</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57.9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决算数小于预算数</w:t>
      </w:r>
      <w:r>
        <w:rPr>
          <w:rFonts w:hint="eastAsia" w:ascii="仿宋" w:hAnsi="仿宋" w:eastAsia="仿宋"/>
          <w:color w:val="000000"/>
          <w:sz w:val="32"/>
          <w:szCs w:val="32"/>
        </w:rPr>
        <w:t>的主要原因是</w:t>
      </w:r>
      <w:r>
        <w:rPr>
          <w:rFonts w:hint="eastAsia" w:ascii="仿宋" w:hAnsi="仿宋" w:eastAsia="仿宋"/>
          <w:color w:val="000000"/>
          <w:sz w:val="32"/>
          <w:szCs w:val="32"/>
          <w:lang w:val="en-US" w:eastAsia="zh-CN"/>
        </w:rPr>
        <w:t>严格执行中央八项规定，严格接待标准和规模，严格管理公务用车</w:t>
      </w:r>
      <w:r>
        <w:rPr>
          <w:rFonts w:hint="eastAsia" w:ascii="仿宋" w:hAnsi="仿宋" w:eastAsia="仿宋"/>
          <w:color w:val="000000"/>
          <w:sz w:val="32"/>
          <w:szCs w:val="32"/>
        </w:rPr>
        <w:t>。</w:t>
      </w:r>
    </w:p>
    <w:p w14:paraId="14A3C880">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5535BB75">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10.32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81.7</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2.31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18.3</w:t>
      </w:r>
      <w:r>
        <w:rPr>
          <w:rFonts w:ascii="仿宋" w:hAnsi="仿宋" w:eastAsia="仿宋"/>
          <w:color w:val="000000"/>
          <w:sz w:val="32"/>
          <w:szCs w:val="32"/>
        </w:rPr>
        <w:t>%</w:t>
      </w:r>
      <w:r>
        <w:rPr>
          <w:rFonts w:hint="eastAsia" w:ascii="仿宋" w:hAnsi="仿宋" w:eastAsia="仿宋"/>
          <w:color w:val="000000"/>
          <w:sz w:val="32"/>
          <w:szCs w:val="32"/>
        </w:rPr>
        <w:t>。具体情况如下：</w:t>
      </w:r>
    </w:p>
    <w:p w14:paraId="024154B4">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w:t>
      </w:r>
      <w:r>
        <w:rPr>
          <w:rFonts w:hint="eastAsia" w:ascii="仿宋_GB2312" w:eastAsia="仿宋_GB2312"/>
          <w:color w:val="000000"/>
          <w:sz w:val="32"/>
          <w:szCs w:val="32"/>
        </w:rPr>
        <w:t>次，出国（境）</w:t>
      </w:r>
      <w:r>
        <w:rPr>
          <w:rFonts w:ascii="仿宋_GB2312" w:eastAsia="仿宋_GB2312"/>
          <w:color w:val="000000"/>
          <w:sz w:val="32"/>
          <w:szCs w:val="32"/>
        </w:rPr>
        <w:t>**</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w:t>
      </w:r>
      <w:r>
        <w:rPr>
          <w:rFonts w:hint="eastAsia" w:ascii="仿宋_GB2312" w:eastAsia="仿宋_GB2312"/>
          <w:color w:val="000000"/>
          <w:sz w:val="32"/>
          <w:szCs w:val="32"/>
        </w:rPr>
        <w:t>。主要原因是…</w:t>
      </w:r>
    </w:p>
    <w:p w14:paraId="2CC1F21D">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w:t>
      </w:r>
    </w:p>
    <w:p w14:paraId="0B85B7DD">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10.32</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64.5</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1B604840">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辆，其中：应急保障用车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2辆。</w:t>
      </w:r>
    </w:p>
    <w:p w14:paraId="0B7BC03C">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10.32</w:t>
      </w:r>
      <w:r>
        <w:rPr>
          <w:rFonts w:hint="eastAsia" w:ascii="仿宋_GB2312" w:eastAsia="仿宋_GB2312"/>
          <w:color w:val="000000"/>
          <w:sz w:val="32"/>
          <w:szCs w:val="32"/>
        </w:rPr>
        <w:t>万元。主要用</w:t>
      </w:r>
      <w:r>
        <w:rPr>
          <w:rFonts w:hint="eastAsia" w:ascii="仿宋_GB2312" w:eastAsia="仿宋_GB2312"/>
          <w:color w:val="000000"/>
          <w:sz w:val="32"/>
          <w:szCs w:val="32"/>
          <w:lang w:eastAsia="zh-CN"/>
        </w:rPr>
        <w:t>安全生产执法及人工影响天气作业</w:t>
      </w:r>
      <w:r>
        <w:rPr>
          <w:rFonts w:hint="eastAsia" w:ascii="仿宋_GB2312" w:eastAsia="仿宋_GB2312"/>
          <w:color w:val="000000"/>
          <w:sz w:val="32"/>
          <w:szCs w:val="32"/>
        </w:rPr>
        <w:t>等所需的公务用车燃料费、维修费、过路过桥费、保险费等支出。</w:t>
      </w:r>
    </w:p>
    <w:p w14:paraId="0A9DAC00">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2.31</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39.8</w:t>
      </w:r>
      <w:r>
        <w:rPr>
          <w:rStyle w:val="14"/>
          <w:rFonts w:ascii="仿宋" w:hAnsi="仿宋" w:eastAsia="仿宋"/>
          <w:b w:val="0"/>
          <w:bCs/>
          <w:color w:val="000000"/>
          <w:sz w:val="32"/>
          <w:szCs w:val="32"/>
        </w:rPr>
        <w:t>%</w:t>
      </w:r>
      <w:r>
        <w:rPr>
          <w:rFonts w:hint="eastAsia" w:ascii="仿宋_GB2312" w:eastAsia="仿宋_GB2312"/>
          <w:color w:val="000000"/>
          <w:sz w:val="32"/>
          <w:szCs w:val="32"/>
        </w:rPr>
        <w:t>。主要原因是</w:t>
      </w:r>
      <w:r>
        <w:rPr>
          <w:rFonts w:hint="eastAsia" w:ascii="仿宋" w:hAnsi="仿宋" w:eastAsia="仿宋"/>
          <w:color w:val="000000"/>
          <w:sz w:val="32"/>
          <w:szCs w:val="32"/>
          <w:lang w:val="en-US" w:eastAsia="zh-CN"/>
        </w:rPr>
        <w:t>严格执行中央八项规定，严格接待标准和规模</w:t>
      </w:r>
      <w:r>
        <w:rPr>
          <w:rFonts w:hint="eastAsia" w:ascii="仿宋_GB2312" w:eastAsia="仿宋_GB2312"/>
          <w:color w:val="000000"/>
          <w:sz w:val="32"/>
          <w:szCs w:val="32"/>
          <w:lang w:eastAsia="zh-CN"/>
        </w:rPr>
        <w:t>。</w:t>
      </w:r>
    </w:p>
    <w:p w14:paraId="276F8912">
      <w:pPr>
        <w:spacing w:line="600" w:lineRule="exact"/>
        <w:ind w:firstLine="643" w:firstLineChars="200"/>
        <w:rPr>
          <w:rFonts w:hint="eastAsia"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2.31</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77</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650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2.31</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val="en-US" w:eastAsia="zh-CN"/>
        </w:rPr>
        <w:t>安全检查、巡查，脱贫攻坚等。</w:t>
      </w:r>
    </w:p>
    <w:p w14:paraId="32B9AD49">
      <w:pPr>
        <w:spacing w:line="600" w:lineRule="exact"/>
        <w:ind w:firstLine="640" w:firstLineChars="200"/>
        <w:outlineLvl w:val="1"/>
        <w:rPr>
          <w:rStyle w:val="25"/>
          <w:rFonts w:ascii="黑体" w:hAnsi="黑体" w:eastAsia="黑体"/>
        </w:rPr>
      </w:pPr>
      <w:bookmarkStart w:id="46" w:name="_Toc15377218"/>
      <w:bookmarkStart w:id="47"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14:paraId="2CEB16E9">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2.37</w:t>
      </w:r>
      <w:r>
        <w:rPr>
          <w:rFonts w:hint="eastAsia" w:ascii="仿宋_GB2312" w:eastAsia="仿宋_GB2312"/>
          <w:color w:val="000000"/>
          <w:sz w:val="32"/>
          <w:szCs w:val="32"/>
        </w:rPr>
        <w:t>万元。</w:t>
      </w:r>
    </w:p>
    <w:p w14:paraId="5B8E0D55">
      <w:pPr>
        <w:numPr>
          <w:ilvl w:val="0"/>
          <w:numId w:val="0"/>
        </w:numPr>
        <w:spacing w:line="600" w:lineRule="exact"/>
        <w:ind w:firstLine="640" w:firstLineChars="20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lang w:eastAsia="zh-CN"/>
        </w:rPr>
        <w:t>九、</w:t>
      </w:r>
      <w:r>
        <w:rPr>
          <w:rStyle w:val="25"/>
          <w:rFonts w:hint="eastAsia" w:ascii="黑体" w:hAnsi="黑体" w:eastAsia="黑体"/>
          <w:b w:val="0"/>
        </w:rPr>
        <w:t>国有资本经营预算支出决算情况说明</w:t>
      </w:r>
      <w:bookmarkEnd w:id="48"/>
      <w:bookmarkEnd w:id="49"/>
    </w:p>
    <w:p w14:paraId="11A58EF2">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040EBD9D">
      <w:pPr>
        <w:pStyle w:val="23"/>
        <w:numPr>
          <w:ilvl w:val="0"/>
          <w:numId w:val="1"/>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14:paraId="2F06FDD1">
      <w:pPr>
        <w:spacing w:line="580" w:lineRule="exact"/>
        <w:ind w:firstLine="643" w:firstLineChars="200"/>
        <w:rPr>
          <w:rFonts w:ascii="仿宋_GB2312" w:hAnsi="仿宋_GB2312" w:eastAsia="仿宋_GB2312" w:cs="仿宋_GB2312"/>
          <w:sz w:val="32"/>
          <w:szCs w:val="32"/>
        </w:rPr>
      </w:pPr>
      <w:r>
        <w:rPr>
          <w:rFonts w:hint="eastAsia" w:ascii="仿宋" w:hAnsi="仿宋" w:eastAsia="仿宋"/>
          <w:b/>
          <w:color w:val="000000"/>
          <w:sz w:val="32"/>
          <w:szCs w:val="32"/>
        </w:rPr>
        <w:t>（</w:t>
      </w:r>
      <w:r>
        <w:rPr>
          <w:rFonts w:hint="eastAsia" w:ascii="仿宋" w:hAnsi="仿宋" w:eastAsia="仿宋"/>
          <w:b/>
          <w:color w:val="000000"/>
          <w:sz w:val="32"/>
          <w:szCs w:val="32"/>
          <w:lang w:eastAsia="zh-CN"/>
        </w:rPr>
        <w:t>一</w:t>
      </w:r>
      <w:r>
        <w:rPr>
          <w:rFonts w:hint="eastAsia" w:ascii="仿宋" w:hAnsi="仿宋" w:eastAsia="仿宋"/>
          <w:b/>
          <w:color w:val="000000"/>
          <w:sz w:val="32"/>
          <w:szCs w:val="32"/>
        </w:rPr>
        <w:t>）预算绩效管理情况。</w:t>
      </w: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锋力煤矿机械化改造项目</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个项目开展了绩效目标完成情况梳理填报。</w:t>
      </w:r>
    </w:p>
    <w:p w14:paraId="2FF19FA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val="en-US" w:eastAsia="zh-CN"/>
        </w:rPr>
        <w:t>本单位2019年财务支出符合国家财经法规和财务管理制度规定以及有关项目资金管理办法，资金拨付有完整的审批过程和手续，支出严格按照预算批复，无截留、挤占、挪用、虚列支出等情况。根据区政府绩效考核文件精神，绩效目标在2019年完成，保证机关顺利运行，履行职能职责整体情况良好，综合评定为合格</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项目绩效评价，从评价情况来看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该项目在决策方面，决策依据充分，确保煤矿技术改造工作在我区顺利实施，取得良好的社会效益。</w:t>
      </w:r>
    </w:p>
    <w:p w14:paraId="7B3BDE38">
      <w:pPr>
        <w:numPr>
          <w:ilvl w:val="0"/>
          <w:numId w:val="2"/>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val="en-US" w:eastAsia="zh-CN"/>
        </w:rPr>
        <w:t>锋力煤矿机械化改造项目</w:t>
      </w:r>
      <w:r>
        <w:rPr>
          <w:rFonts w:hint="eastAsia" w:ascii="仿宋_GB2312" w:hAnsi="仿宋_GB2312" w:eastAsia="仿宋_GB2312" w:cs="仿宋_GB2312"/>
          <w:sz w:val="32"/>
          <w:szCs w:val="32"/>
        </w:rPr>
        <w:t>”绩效目标实际完成情况。</w:t>
      </w:r>
    </w:p>
    <w:p w14:paraId="287C07E8">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1、锋力煤矿机械化改造</w:t>
      </w:r>
      <w:r>
        <w:rPr>
          <w:rFonts w:hint="eastAsia" w:ascii="仿宋_GB2312" w:hAnsi="仿宋_GB2312" w:eastAsia="仿宋_GB2312" w:cs="仿宋_GB2312"/>
          <w:sz w:val="32"/>
          <w:szCs w:val="32"/>
        </w:rPr>
        <w:t>项目绩效目标完成情况综述。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2018年结转</w:t>
      </w:r>
      <w:r>
        <w:rPr>
          <w:rFonts w:hint="eastAsia" w:ascii="仿宋_GB2312" w:hAnsi="仿宋_GB2312" w:eastAsia="仿宋_GB2312" w:cs="仿宋_GB2312"/>
          <w:sz w:val="32"/>
          <w:szCs w:val="32"/>
        </w:rPr>
        <w:t>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万元，通过项目实施</w:t>
      </w:r>
      <w:r>
        <w:rPr>
          <w:rFonts w:hint="eastAsia" w:ascii="仿宋_GB2312" w:hAnsi="仿宋_GB2312" w:eastAsia="仿宋_GB2312" w:cs="仿宋_GB2312"/>
          <w:sz w:val="32"/>
          <w:szCs w:val="32"/>
          <w:lang w:val="en-US" w:eastAsia="zh-CN"/>
        </w:rPr>
        <w:t>，机械化改造后，实现井下机械化采煤，改善作业环境，矿井粉尘、噪音、固体废物等指标符合国家控制标准，单班作业人员减少，单班产量提升，机械化开采人工成本降低35%，产能扩大2.5倍，效率提升142%。综合成本下降28%。目前存在的主要问题：因该项目由企业自主实施，工程竣工验收，经请示市局相关业务科室，因技改政策尚不明确，要求暂不拨付。下一步改进措施：加强与市局对接，发挥好项目的经济效益。</w:t>
      </w:r>
    </w:p>
    <w:p w14:paraId="63E64A18">
      <w:pPr>
        <w:spacing w:line="580" w:lineRule="exact"/>
        <w:ind w:firstLine="640" w:firstLineChars="200"/>
        <w:rPr>
          <w:rFonts w:ascii="仿宋_GB2312" w:hAnsi="仿宋_GB2312" w:eastAsia="仿宋_GB2312" w:cs="仿宋_GB2312"/>
          <w:sz w:val="32"/>
          <w:szCs w:val="32"/>
        </w:rPr>
      </w:pPr>
    </w:p>
    <w:p w14:paraId="5EA5CA21">
      <w:pPr>
        <w:spacing w:line="580" w:lineRule="exact"/>
        <w:ind w:firstLine="640" w:firstLineChars="200"/>
        <w:rPr>
          <w:rFonts w:ascii="仿宋_GB2312" w:hAnsi="仿宋_GB2312" w:eastAsia="仿宋_GB2312" w:cs="仿宋_GB2312"/>
          <w:sz w:val="32"/>
          <w:szCs w:val="32"/>
        </w:rPr>
      </w:pPr>
    </w:p>
    <w:p w14:paraId="276B2230">
      <w:pPr>
        <w:spacing w:line="580" w:lineRule="exact"/>
        <w:ind w:firstLine="640" w:firstLineChars="200"/>
        <w:rPr>
          <w:rFonts w:ascii="仿宋_GB2312" w:hAnsi="仿宋_GB2312" w:eastAsia="仿宋_GB2312" w:cs="仿宋_GB2312"/>
          <w:sz w:val="32"/>
          <w:szCs w:val="32"/>
        </w:rPr>
      </w:pPr>
    </w:p>
    <w:p w14:paraId="43139000">
      <w:pPr>
        <w:spacing w:line="580" w:lineRule="exact"/>
        <w:ind w:firstLine="640" w:firstLineChars="200"/>
        <w:rPr>
          <w:rFonts w:ascii="仿宋_GB2312" w:hAnsi="仿宋_GB2312" w:eastAsia="仿宋_GB2312" w:cs="仿宋_GB2312"/>
          <w:sz w:val="32"/>
          <w:szCs w:val="32"/>
        </w:rPr>
      </w:pPr>
    </w:p>
    <w:p w14:paraId="0F7B690D">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0E72C0A7">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4940C882">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10FE4090">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23AEE">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F69D3">
            <w:pPr>
              <w:numPr>
                <w:ilvl w:val="0"/>
                <w:numId w:val="0"/>
              </w:numPr>
              <w:jc w:val="both"/>
              <w:rPr>
                <w:rFonts w:hint="eastAsia" w:ascii="宋体" w:hAnsi="宋体" w:eastAsia="宋体" w:cs="宋体"/>
                <w:color w:val="000000"/>
                <w:sz w:val="24"/>
                <w:lang w:eastAsia="zh-CN"/>
              </w:rPr>
            </w:pPr>
            <w:r>
              <w:rPr>
                <w:rFonts w:hint="eastAsia" w:ascii="仿宋_GB2312" w:hAnsi="仿宋_GB2312" w:eastAsia="仿宋_GB2312" w:cs="仿宋_GB2312"/>
                <w:sz w:val="32"/>
                <w:szCs w:val="32"/>
                <w:lang w:val="en-US" w:eastAsia="zh-CN"/>
              </w:rPr>
              <w:t>煤矿机械化改造项目</w:t>
            </w:r>
          </w:p>
        </w:tc>
      </w:tr>
      <w:tr w14:paraId="2C629ED9">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B53E3">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3B8B2C">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广元市昭化区应急管理局</w:t>
            </w:r>
          </w:p>
        </w:tc>
      </w:tr>
      <w:tr w14:paraId="398EB71D">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3663A">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A2DCD">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7E16B">
            <w:pPr>
              <w:widowControl/>
              <w:jc w:val="center"/>
              <w:textAlignment w:val="center"/>
              <w:rPr>
                <w:rFonts w:hint="default" w:ascii="宋体" w:hAnsi="宋体" w:eastAsia="宋体" w:cs="宋体"/>
                <w:color w:val="000000"/>
                <w:sz w:val="24"/>
                <w:lang w:val="en-US" w:eastAsia="zh-CN"/>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85F3A">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52A6BE">
            <w:pPr>
              <w:widowControl/>
              <w:jc w:val="center"/>
              <w:textAlignment w:val="center"/>
              <w:rPr>
                <w:rFonts w:ascii="宋体" w:hAnsi="宋体" w:cs="宋体"/>
                <w:color w:val="000000"/>
                <w:sz w:val="24"/>
              </w:rPr>
            </w:pPr>
          </w:p>
        </w:tc>
      </w:tr>
      <w:tr w14:paraId="7B995BAA">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93CD80">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56DB8">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3E2D2">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472D5B">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26F19">
            <w:pPr>
              <w:widowControl/>
              <w:jc w:val="center"/>
              <w:textAlignment w:val="center"/>
              <w:rPr>
                <w:rFonts w:ascii="宋体" w:hAnsi="宋体" w:cs="宋体"/>
                <w:color w:val="000000"/>
                <w:sz w:val="24"/>
              </w:rPr>
            </w:pPr>
          </w:p>
        </w:tc>
      </w:tr>
      <w:tr w14:paraId="6C2BE85E">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49F621">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AE39C">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450C1">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2018年结转100万元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C99C2">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93741">
            <w:pPr>
              <w:jc w:val="center"/>
              <w:rPr>
                <w:rFonts w:ascii="宋体" w:hAnsi="宋体" w:cs="宋体"/>
                <w:color w:val="000000"/>
                <w:sz w:val="24"/>
              </w:rPr>
            </w:pPr>
          </w:p>
        </w:tc>
      </w:tr>
      <w:tr w14:paraId="5D9AFD9C">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C9CB6">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43E12">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9E5FCC">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2FA1D020">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6016A3">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7B3566">
            <w:pPr>
              <w:widowControl/>
              <w:jc w:val="center"/>
              <w:textAlignment w:val="center"/>
              <w:rPr>
                <w:rFonts w:hint="eastAsia" w:ascii="仿宋" w:hAnsi="仿宋" w:eastAsia="仿宋" w:cs="仿宋"/>
                <w:color w:val="000000"/>
                <w:sz w:val="24"/>
              </w:rPr>
            </w:pPr>
            <w:r>
              <w:rPr>
                <w:rFonts w:hint="eastAsia" w:ascii="仿宋" w:hAnsi="仿宋" w:eastAsia="仿宋" w:cs="仿宋"/>
                <w:sz w:val="21"/>
                <w:szCs w:val="21"/>
                <w:lang w:val="en-US" w:eastAsia="zh-CN"/>
              </w:rPr>
              <w:t>煤炭产业机构调整，转型升级，不断提升煤矿机械化程度，解决煤矿规模小、工艺落后、技术装备条件差、安全保障能力低等问题</w:t>
            </w:r>
            <w:r>
              <w:rPr>
                <w:rFonts w:hint="eastAsia" w:ascii="仿宋" w:hAnsi="仿宋" w:eastAsia="仿宋" w:cs="仿宋"/>
                <w:sz w:val="32"/>
                <w:szCs w:val="32"/>
                <w:lang w:val="en-US" w:eastAsia="zh-CN"/>
              </w:rPr>
              <w:t>，</w:t>
            </w:r>
            <w:r>
              <w:rPr>
                <w:rFonts w:hint="eastAsia" w:ascii="仿宋" w:hAnsi="仿宋" w:eastAsia="仿宋" w:cs="仿宋"/>
                <w:sz w:val="21"/>
                <w:szCs w:val="21"/>
                <w:lang w:val="en-US" w:eastAsia="zh-CN"/>
              </w:rPr>
              <w:t>全面提高煤矿生产力水平，促进煤矿安全生产形势持续稳定好转。</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56DC43">
            <w:pPr>
              <w:widowControl/>
              <w:jc w:val="center"/>
              <w:textAlignment w:val="center"/>
              <w:rPr>
                <w:rFonts w:hint="eastAsia" w:ascii="仿宋" w:hAnsi="仿宋" w:eastAsia="仿宋" w:cs="仿宋"/>
                <w:color w:val="000000"/>
                <w:sz w:val="21"/>
                <w:szCs w:val="21"/>
              </w:rPr>
            </w:pPr>
            <w:r>
              <w:rPr>
                <w:rFonts w:hint="eastAsia" w:ascii="仿宋" w:hAnsi="仿宋" w:eastAsia="仿宋" w:cs="仿宋"/>
                <w:sz w:val="21"/>
                <w:szCs w:val="21"/>
                <w:lang w:val="en-US" w:eastAsia="zh-CN"/>
              </w:rPr>
              <w:t>通过机械化改造后，实现井下机械化采煤，改善作业环境，矿井粉尘、噪音、固体废物等指标符合国家控制标准，单班作业人员减少，单班产量提升，机械化开采人工成本降低35%，产能扩大2.5倍，效率提升142%。综合成本下降28%</w:t>
            </w:r>
            <w:r>
              <w:rPr>
                <w:rFonts w:hint="eastAsia" w:ascii="仿宋" w:hAnsi="仿宋" w:eastAsia="仿宋" w:cs="仿宋"/>
                <w:sz w:val="32"/>
                <w:szCs w:val="32"/>
                <w:lang w:val="en-US" w:eastAsia="zh-CN"/>
              </w:rPr>
              <w:t>。</w:t>
            </w:r>
          </w:p>
        </w:tc>
      </w:tr>
      <w:tr w14:paraId="65F47BE9">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71FE5B0">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556BAE">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165192">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2DDA60">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3DE70">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B5823">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27051CB3">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EA9B7F8">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763EF1">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A27105">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9B757D">
            <w:pPr>
              <w:spacing w:line="580" w:lineRule="exact"/>
              <w:ind w:firstLine="420" w:firstLineChars="200"/>
              <w:rPr>
                <w:rFonts w:ascii="宋体" w:hAnsi="宋体" w:cs="宋体"/>
                <w:color w:val="000000"/>
                <w:sz w:val="24"/>
              </w:rPr>
            </w:pPr>
            <w:r>
              <w:rPr>
                <w:rFonts w:hint="eastAsia" w:ascii="仿宋" w:hAnsi="仿宋" w:eastAsia="仿宋" w:cs="仿宋"/>
                <w:sz w:val="21"/>
                <w:szCs w:val="21"/>
                <w:lang w:val="en-US" w:eastAsia="zh-CN"/>
              </w:rPr>
              <w:t>购买采煤机1台、耙岩机，完善供电、监控、通讯、防尘等系统及配套设施设备等。建设工期为61天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9F9B09">
            <w:pPr>
              <w:widowControl/>
              <w:jc w:val="center"/>
              <w:textAlignment w:val="center"/>
              <w:rPr>
                <w:rFonts w:ascii="宋体" w:hAnsi="宋体" w:cs="宋体"/>
                <w:color w:val="000000"/>
                <w:sz w:val="24"/>
              </w:rPr>
            </w:pPr>
            <w:r>
              <w:rPr>
                <w:rFonts w:hint="eastAsia" w:ascii="仿宋" w:hAnsi="仿宋" w:eastAsia="仿宋" w:cs="仿宋"/>
                <w:sz w:val="21"/>
                <w:szCs w:val="21"/>
                <w:lang w:val="en-US" w:eastAsia="zh-CN"/>
              </w:rPr>
              <w:t>煤炭产业机构调整，转型升级，不断提升煤矿机械化程度，解决煤矿规模小、工艺落后、技术装备条件差、安全保障能力低等问题</w:t>
            </w:r>
            <w:r>
              <w:rPr>
                <w:rFonts w:hint="eastAsia" w:ascii="仿宋" w:hAnsi="仿宋" w:eastAsia="仿宋" w:cs="仿宋"/>
                <w:sz w:val="32"/>
                <w:szCs w:val="32"/>
                <w:lang w:val="en-US" w:eastAsia="zh-CN"/>
              </w:rPr>
              <w:t>，</w:t>
            </w:r>
            <w:r>
              <w:rPr>
                <w:rFonts w:hint="eastAsia" w:ascii="仿宋" w:hAnsi="仿宋" w:eastAsia="仿宋" w:cs="仿宋"/>
                <w:sz w:val="21"/>
                <w:szCs w:val="21"/>
                <w:lang w:val="en-US" w:eastAsia="zh-CN"/>
              </w:rPr>
              <w:t>全面提高煤矿生产力水平，促进煤矿安全生产形势持续稳定好转。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AA60F">
            <w:pPr>
              <w:widowControl/>
              <w:jc w:val="center"/>
              <w:textAlignment w:val="center"/>
              <w:rPr>
                <w:rFonts w:ascii="宋体" w:hAnsi="宋体" w:cs="宋体"/>
                <w:color w:val="000000"/>
                <w:sz w:val="24"/>
              </w:rPr>
            </w:pPr>
            <w:r>
              <w:rPr>
                <w:rFonts w:hint="eastAsia" w:ascii="仿宋" w:hAnsi="仿宋" w:eastAsia="仿宋" w:cs="仿宋"/>
                <w:sz w:val="21"/>
                <w:szCs w:val="21"/>
                <w:lang w:val="en-US" w:eastAsia="zh-CN"/>
              </w:rPr>
              <w:t>购买采煤机1台、耙岩机，完善供电、监控、通讯、防尘等系统及配套设施设备</w:t>
            </w:r>
          </w:p>
        </w:tc>
      </w:tr>
      <w:tr w14:paraId="7107C459">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281712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4370DC">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CC68F">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FE6ED">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B91B6">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6895BA">
            <w:pPr>
              <w:widowControl/>
              <w:jc w:val="center"/>
              <w:textAlignment w:val="center"/>
              <w:rPr>
                <w:rFonts w:ascii="宋体" w:hAnsi="宋体" w:cs="宋体"/>
                <w:color w:val="000000"/>
                <w:sz w:val="24"/>
              </w:rPr>
            </w:pPr>
            <w:r>
              <w:rPr>
                <w:rFonts w:hint="eastAsia" w:ascii="仿宋" w:hAnsi="仿宋" w:eastAsia="仿宋" w:cs="仿宋"/>
                <w:sz w:val="21"/>
                <w:szCs w:val="21"/>
                <w:lang w:val="en-US" w:eastAsia="zh-CN"/>
              </w:rPr>
              <w:t>通过机械化改造后，实现井下机械化采煤，改善作业环境，矿井粉尘、噪音、固体废物等指标符合国家控制标准，单班作业人员减少，单班产量提升，机械化开采人工成本降低35%，产能扩大2.5倍，效率提升142%。综合成本下降28%</w:t>
            </w:r>
            <w:r>
              <w:rPr>
                <w:rFonts w:hint="eastAsia" w:ascii="仿宋" w:hAnsi="仿宋" w:eastAsia="仿宋" w:cs="仿宋"/>
                <w:sz w:val="32"/>
                <w:szCs w:val="32"/>
                <w:lang w:val="en-US" w:eastAsia="zh-CN"/>
              </w:rPr>
              <w:t>。</w:t>
            </w:r>
          </w:p>
        </w:tc>
      </w:tr>
      <w:tr w14:paraId="5BB1C6FA">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7A7527A6">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B6C447">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609F1">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2C615F">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87FC0">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42A30">
            <w:pPr>
              <w:widowControl/>
              <w:jc w:val="center"/>
              <w:textAlignment w:val="center"/>
              <w:rPr>
                <w:rFonts w:ascii="宋体" w:hAnsi="宋体" w:cs="宋体"/>
                <w:color w:val="000000"/>
                <w:sz w:val="24"/>
              </w:rPr>
            </w:pPr>
          </w:p>
        </w:tc>
      </w:tr>
    </w:tbl>
    <w:p w14:paraId="45A91F87">
      <w:pPr>
        <w:spacing w:line="580" w:lineRule="exact"/>
        <w:ind w:left="630"/>
        <w:rPr>
          <w:rFonts w:ascii="仿宋_GB2312" w:hAnsi="仿宋_GB2312" w:eastAsia="仿宋_GB2312" w:cs="仿宋_GB2312"/>
          <w:sz w:val="32"/>
          <w:szCs w:val="32"/>
        </w:rPr>
      </w:pPr>
    </w:p>
    <w:p w14:paraId="7ED6FAE5">
      <w:pPr>
        <w:spacing w:line="580" w:lineRule="exact"/>
        <w:ind w:left="630"/>
        <w:rPr>
          <w:rFonts w:ascii="仿宋_GB2312" w:hAnsi="仿宋_GB2312" w:eastAsia="仿宋_GB2312" w:cs="仿宋_GB2312"/>
          <w:sz w:val="32"/>
          <w:szCs w:val="32"/>
        </w:rPr>
      </w:pPr>
    </w:p>
    <w:p w14:paraId="2180683D">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14:paraId="4A6A18A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广元市昭化区应急管理局</w:t>
      </w:r>
      <w:r>
        <w:rPr>
          <w:rFonts w:hint="eastAsia" w:ascii="仿宋_GB2312" w:hAnsi="仿宋_GB2312" w:eastAsia="仿宋_GB2312" w:cs="仿宋_GB2312"/>
          <w:sz w:val="32"/>
          <w:szCs w:val="32"/>
        </w:rPr>
        <w:t>2019年部门整体支出绩效评价报告》见附件（附件1）。</w:t>
      </w:r>
    </w:p>
    <w:p w14:paraId="19F1834C">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val="en-US" w:eastAsia="zh-CN"/>
        </w:rPr>
        <w:t>煤矿机械化改造项目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煤矿机械化改造</w:t>
      </w:r>
      <w:r>
        <w:rPr>
          <w:rFonts w:hint="eastAsia" w:ascii="仿宋_GB2312" w:hAnsi="仿宋_GB2312" w:eastAsia="仿宋_GB2312" w:cs="仿宋_GB2312"/>
          <w:sz w:val="32"/>
          <w:szCs w:val="32"/>
        </w:rPr>
        <w:t>项目2019年绩效评价报告》见附件（附件2）。</w:t>
      </w:r>
    </w:p>
    <w:p w14:paraId="0C5515EA">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3899B2A2">
      <w:pPr>
        <w:numPr>
          <w:ilvl w:val="0"/>
          <w:numId w:val="3"/>
        </w:numPr>
        <w:spacing w:line="600" w:lineRule="exact"/>
        <w:ind w:firstLine="660" w:firstLineChars="150"/>
        <w:jc w:val="center"/>
        <w:outlineLvl w:val="0"/>
        <w:rPr>
          <w:rStyle w:val="24"/>
          <w:rFonts w:ascii="黑体" w:hAnsi="黑体" w:eastAsia="黑体"/>
          <w:b w:val="0"/>
        </w:rPr>
      </w:pPr>
      <w:bookmarkStart w:id="50" w:name="_Toc15396613"/>
      <w:bookmarkStart w:id="51"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50"/>
      <w:bookmarkEnd w:id="51"/>
    </w:p>
    <w:p w14:paraId="5BA51157">
      <w:pPr>
        <w:spacing w:line="600" w:lineRule="exact"/>
        <w:jc w:val="left"/>
        <w:rPr>
          <w:rFonts w:ascii="宋体"/>
          <w:b/>
          <w:color w:val="000000"/>
          <w:sz w:val="44"/>
          <w:szCs w:val="44"/>
        </w:rPr>
      </w:pPr>
    </w:p>
    <w:p w14:paraId="5DBBA749">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7461012A">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14:paraId="67333CB2">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14:paraId="09911349">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14:paraId="5D915B08">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14:paraId="65544E68">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09ED720A">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2EE19961">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2AA08A3E">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14:paraId="65E2DCAC">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14:paraId="03ECBE0B">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14:paraId="28336F00">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14:paraId="619FF5EA">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14:paraId="76E1F860">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14:paraId="4FF8BB7F">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14:paraId="47553774">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14:paraId="1CCA3CDB">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14:paraId="58B7BBB4">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14:paraId="7EBF0B9C">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14:paraId="3FDF5E86">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14:paraId="328B32D4">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14:paraId="321F0937">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14:paraId="1FF5DBB1">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14:paraId="3323F0FD">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14:paraId="5A27A5AE">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14:paraId="3F8BED4F">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14:paraId="79B0DC29">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5331C1E7">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59DFDDB2">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29C9C070">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14:paraId="3A8C58D1">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14:paraId="5D04E0BD">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1EBDA456">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14:paraId="7E395703">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33B3538">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7D6DB46">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14:paraId="08B1571E">
      <w:pPr>
        <w:pStyle w:val="22"/>
        <w:spacing w:line="560" w:lineRule="exact"/>
        <w:ind w:firstLine="640" w:firstLineChars="200"/>
        <w:rPr>
          <w:rFonts w:ascii="仿宋_GB2312" w:eastAsia="仿宋_GB2312" w:cs="黑体"/>
          <w:sz w:val="32"/>
          <w:szCs w:val="32"/>
        </w:rPr>
      </w:pPr>
    </w:p>
    <w:p w14:paraId="22A82B1B">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14:paraId="1D167EEE">
      <w:pPr>
        <w:spacing w:line="600" w:lineRule="exact"/>
        <w:jc w:val="center"/>
        <w:outlineLvl w:val="0"/>
        <w:rPr>
          <w:rStyle w:val="24"/>
          <w:rFonts w:ascii="黑体" w:hAnsi="黑体" w:eastAsia="黑体"/>
          <w:b w:val="0"/>
        </w:rPr>
      </w:pPr>
      <w:bookmarkStart w:id="52" w:name="_Toc15377226"/>
      <w:r>
        <w:rPr>
          <w:rFonts w:ascii="宋体"/>
          <w:b/>
          <w:color w:val="000000"/>
          <w:sz w:val="44"/>
          <w:szCs w:val="44"/>
        </w:rPr>
        <w:br w:type="page"/>
      </w:r>
      <w:bookmarkStart w:id="53"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3"/>
    </w:p>
    <w:p w14:paraId="7973054C">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14:paraId="404BA7A2">
      <w:pPr>
        <w:spacing w:line="580" w:lineRule="exact"/>
        <w:jc w:val="center"/>
        <w:rPr>
          <w:rFonts w:ascii="方正小标宋简体" w:hAnsi="方正小标宋简体" w:eastAsia="方正小标宋简体" w:cs="方正小标宋简体"/>
          <w:sz w:val="44"/>
          <w:szCs w:val="44"/>
        </w:rPr>
      </w:pPr>
    </w:p>
    <w:p w14:paraId="06766B7A">
      <w:pPr>
        <w:spacing w:line="600" w:lineRule="exact"/>
        <w:jc w:val="center"/>
        <w:rPr>
          <w:rFonts w:hint="eastAsia"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广元市昭化区应急管理局</w:t>
      </w:r>
    </w:p>
    <w:p w14:paraId="2A6962F8">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14:paraId="7FDD10CE">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单位概况</w:t>
      </w:r>
    </w:p>
    <w:p w14:paraId="4B9594D8">
      <w:pPr>
        <w:spacing w:line="576"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2019年3月，我单位由原安监局、防震减灾局、应急办新组建昭化区应急管理局。其中：合并后人员转递情况如下：行政编制13（含机关工勤1人）参公公务员编制8人、全额事业编制12人，年末实有在编33人，其中公务员11人，行政事业编1人，机关工勤1人，参公8人，全额事业人员12人，退休2人。</w:t>
      </w:r>
    </w:p>
    <w:p w14:paraId="5C9E91E7">
      <w:pPr>
        <w:pStyle w:val="30"/>
        <w:spacing w:line="576" w:lineRule="exact"/>
        <w:ind w:firstLine="64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按照区编办划定我单位的职能职责：</w:t>
      </w:r>
    </w:p>
    <w:p w14:paraId="78F260EF">
      <w:pPr>
        <w:pStyle w:val="30"/>
        <w:spacing w:line="576" w:lineRule="exact"/>
        <w:ind w:firstLine="640"/>
        <w:rPr>
          <w:rFonts w:ascii="Times New Roman" w:hAnsi="Times New Roman" w:eastAsia="黑体"/>
          <w:sz w:val="32"/>
          <w:szCs w:val="32"/>
        </w:rPr>
      </w:pPr>
      <w:r>
        <w:rPr>
          <w:rFonts w:ascii="Times New Roman" w:hAnsi="Times New Roman"/>
          <w:sz w:val="32"/>
          <w:szCs w:val="32"/>
        </w:rPr>
        <w:t>（一）负责应急管理工作，组织和指导各乡镇（街道）、区级各部门应对安全生产类、自然灾害类等突发事件和综合防灾减灾救灾工作。负责安全生产综合监督管理和工矿商贸、煤炭行业、危险化学品、烟花爆竹安全生产监督管理工作。</w:t>
      </w:r>
    </w:p>
    <w:p w14:paraId="1D184CA2">
      <w:pPr>
        <w:pStyle w:val="30"/>
        <w:spacing w:line="576" w:lineRule="exact"/>
        <w:ind w:firstLine="640"/>
        <w:rPr>
          <w:rFonts w:ascii="Times New Roman" w:hAnsi="Times New Roman" w:eastAsia="黑体"/>
          <w:sz w:val="32"/>
          <w:szCs w:val="32"/>
        </w:rPr>
      </w:pPr>
      <w:r>
        <w:rPr>
          <w:rFonts w:ascii="Times New Roman" w:hAnsi="Times New Roman"/>
          <w:sz w:val="32"/>
          <w:szCs w:val="32"/>
        </w:rPr>
        <w:t>（二）拟订应急管理、安全生产等政策措施，组织编制应急体系建设、安全生产和综合防灾减灾规划。</w:t>
      </w:r>
    </w:p>
    <w:p w14:paraId="68007AD0">
      <w:pPr>
        <w:pStyle w:val="30"/>
        <w:spacing w:line="576" w:lineRule="exact"/>
        <w:ind w:firstLine="640"/>
        <w:rPr>
          <w:rFonts w:ascii="Times New Roman" w:hAnsi="Times New Roman" w:eastAsia="黑体"/>
          <w:sz w:val="32"/>
          <w:szCs w:val="32"/>
        </w:rPr>
      </w:pPr>
      <w:r>
        <w:rPr>
          <w:rFonts w:ascii="Times New Roman" w:hAnsi="Times New Roman"/>
          <w:sz w:val="32"/>
          <w:szCs w:val="32"/>
        </w:rPr>
        <w:t>（三）负责组织、指导应急预案体系建设，建立完善事故灾难和自然灾害分级应对制度，牵头组织编制综合应急防灾减灾预案和安全生产类、自然灾害类专项预案，负责应急预案衔接工作，组织开展预案演练并落实，推动应急避难设施建设。</w:t>
      </w:r>
    </w:p>
    <w:p w14:paraId="681B9549">
      <w:pPr>
        <w:pStyle w:val="30"/>
        <w:spacing w:line="576" w:lineRule="exact"/>
        <w:ind w:firstLine="640"/>
        <w:rPr>
          <w:rFonts w:ascii="Times New Roman" w:hAnsi="Times New Roman" w:eastAsia="黑体"/>
          <w:sz w:val="32"/>
          <w:szCs w:val="32"/>
        </w:rPr>
      </w:pPr>
      <w:r>
        <w:rPr>
          <w:rFonts w:ascii="Times New Roman" w:hAnsi="Times New Roman"/>
          <w:sz w:val="32"/>
          <w:szCs w:val="32"/>
        </w:rPr>
        <w:t>（四）牵头建立统一的应急管理信息系统，负责信息传输渠道的规划和布局，建立监测预警和灾情报告制度，健全自然灾害信息资源获取和共享机制，依法统一发布灾情。</w:t>
      </w:r>
    </w:p>
    <w:p w14:paraId="2B875F09">
      <w:pPr>
        <w:pStyle w:val="30"/>
        <w:spacing w:line="576" w:lineRule="exact"/>
        <w:ind w:firstLine="640"/>
        <w:rPr>
          <w:rFonts w:ascii="Times New Roman" w:hAnsi="Times New Roman" w:eastAsia="黑体"/>
          <w:sz w:val="32"/>
          <w:szCs w:val="32"/>
        </w:rPr>
      </w:pPr>
      <w:r>
        <w:rPr>
          <w:rFonts w:ascii="Times New Roman" w:hAnsi="Times New Roman"/>
          <w:sz w:val="32"/>
          <w:szCs w:val="32"/>
        </w:rPr>
        <w:t>（五）负责组织、指导、协调安全生产类、自然灾害类等突发事件应急救援，承担全区应对灾害指挥部工作，综合研判突发事件发展态势并提出应对建议，负责组织灾害应急处置工作。</w:t>
      </w:r>
    </w:p>
    <w:p w14:paraId="201ACE97">
      <w:pPr>
        <w:pStyle w:val="30"/>
        <w:spacing w:line="576" w:lineRule="exact"/>
        <w:ind w:firstLine="640"/>
        <w:rPr>
          <w:rFonts w:ascii="Times New Roman" w:hAnsi="Times New Roman" w:eastAsia="黑体"/>
          <w:sz w:val="32"/>
          <w:szCs w:val="32"/>
        </w:rPr>
      </w:pPr>
      <w:r>
        <w:rPr>
          <w:rFonts w:ascii="Times New Roman" w:hAnsi="Times New Roman"/>
          <w:sz w:val="32"/>
          <w:szCs w:val="32"/>
        </w:rPr>
        <w:t>（六）统一协调指挥各类应急专业队伍，建立应急协调联动机制，推进指挥平台对接，提请衔接武警部队参与应急救援工作。</w:t>
      </w:r>
    </w:p>
    <w:p w14:paraId="53621BB1">
      <w:pPr>
        <w:pStyle w:val="30"/>
        <w:spacing w:line="576" w:lineRule="exact"/>
        <w:ind w:firstLine="640"/>
        <w:rPr>
          <w:rFonts w:ascii="Times New Roman" w:hAnsi="Times New Roman" w:eastAsia="黑体"/>
          <w:sz w:val="32"/>
          <w:szCs w:val="32"/>
        </w:rPr>
      </w:pPr>
      <w:r>
        <w:rPr>
          <w:rFonts w:ascii="Times New Roman" w:hAnsi="Times New Roman"/>
          <w:sz w:val="32"/>
          <w:szCs w:val="32"/>
        </w:rPr>
        <w:t>（七）按照国家、省、市相关政策和规定负责消防、森林火灾扑救、抗洪抢险、地震和地质灾害救援、生产安全事故救援等专业应急救援力量建设，依法依规统筹指导各乡镇（街道）、有关单位及社会应急救援力量和应急保障能力建设。</w:t>
      </w:r>
    </w:p>
    <w:p w14:paraId="61476A72">
      <w:pPr>
        <w:pStyle w:val="30"/>
        <w:spacing w:line="576" w:lineRule="exact"/>
        <w:ind w:firstLine="640"/>
        <w:rPr>
          <w:rFonts w:ascii="Times New Roman" w:hAnsi="Times New Roman" w:eastAsia="黑体"/>
          <w:sz w:val="32"/>
          <w:szCs w:val="32"/>
        </w:rPr>
      </w:pPr>
      <w:r>
        <w:rPr>
          <w:rFonts w:ascii="Times New Roman" w:hAnsi="Times New Roman"/>
          <w:sz w:val="32"/>
          <w:szCs w:val="32"/>
        </w:rPr>
        <w:t>（八）按照国家相关政策和省、市、区相关规定负责消防工作，组织和指导消防监督、火灾预防、火灾扑救等工作。</w:t>
      </w:r>
    </w:p>
    <w:p w14:paraId="48790D82">
      <w:pPr>
        <w:pStyle w:val="30"/>
        <w:spacing w:line="576" w:lineRule="exact"/>
        <w:ind w:firstLine="640"/>
        <w:rPr>
          <w:rFonts w:ascii="Times New Roman" w:hAnsi="Times New Roman" w:eastAsia="黑体"/>
          <w:sz w:val="32"/>
          <w:szCs w:val="32"/>
        </w:rPr>
      </w:pPr>
      <w:r>
        <w:rPr>
          <w:rFonts w:ascii="Times New Roman" w:hAnsi="Times New Roman"/>
          <w:sz w:val="32"/>
          <w:szCs w:val="32"/>
        </w:rPr>
        <w:t>（九）负责自然灾害综合监测预警工作，承担自然灾害综合风险评估工作。指导协调森林火灾、水旱灾害、地质灾害等防治工作。</w:t>
      </w:r>
    </w:p>
    <w:p w14:paraId="0C2FAE2B">
      <w:pPr>
        <w:pStyle w:val="30"/>
        <w:spacing w:line="576" w:lineRule="exact"/>
        <w:ind w:firstLine="640"/>
        <w:rPr>
          <w:rFonts w:ascii="Times New Roman" w:hAnsi="Times New Roman" w:eastAsia="黑体"/>
          <w:sz w:val="32"/>
          <w:szCs w:val="32"/>
        </w:rPr>
      </w:pPr>
      <w:r>
        <w:rPr>
          <w:rFonts w:ascii="Times New Roman" w:hAnsi="Times New Roman"/>
          <w:sz w:val="32"/>
          <w:szCs w:val="32"/>
        </w:rPr>
        <w:t>（十）负责组织、协调灾害救助工作，组织和指导灾情核查、损失评估、救灾捐赠工作，管理、分配中央、省、市下拨及区级救灾款物并监督使用。</w:t>
      </w:r>
    </w:p>
    <w:p w14:paraId="1E3E954B">
      <w:pPr>
        <w:pStyle w:val="30"/>
        <w:spacing w:line="576" w:lineRule="exact"/>
        <w:ind w:firstLine="640"/>
        <w:rPr>
          <w:rFonts w:ascii="Times New Roman" w:hAnsi="Times New Roman" w:eastAsia="黑体"/>
          <w:sz w:val="32"/>
          <w:szCs w:val="32"/>
        </w:rPr>
      </w:pPr>
      <w:r>
        <w:rPr>
          <w:rFonts w:ascii="Times New Roman" w:hAnsi="Times New Roman"/>
          <w:sz w:val="32"/>
          <w:szCs w:val="32"/>
        </w:rPr>
        <w:t>（十一）依法承担区政府安全生产综合监督管理责任，指导协调、监督检查各乡镇（街道）和区级有关部门安全生产工作，组织开展安全生产巡查、考核工作。</w:t>
      </w:r>
    </w:p>
    <w:p w14:paraId="3A6AE3AA">
      <w:pPr>
        <w:pStyle w:val="30"/>
        <w:spacing w:line="576" w:lineRule="exact"/>
        <w:ind w:firstLine="640"/>
        <w:rPr>
          <w:rFonts w:ascii="Times New Roman" w:hAnsi="Times New Roman" w:eastAsia="黑体"/>
          <w:strike/>
          <w:sz w:val="32"/>
          <w:szCs w:val="32"/>
        </w:rPr>
      </w:pPr>
      <w:r>
        <w:rPr>
          <w:rFonts w:ascii="Times New Roman" w:hAnsi="Times New Roman"/>
          <w:sz w:val="32"/>
          <w:szCs w:val="32"/>
        </w:rPr>
        <w:t>（十二）按照分级、属地原则，依法监督检查工矿商贸生产经营单位贯彻执行安全生产法律法规情况及其安全生产条件和有关设备（特种设备除外）、材料、劳动防护用品的安全生产管理工作。协助省、市应急部门做好在昭央属、省属、市属重点工矿商贸企业安全生产监督管理工作。</w:t>
      </w:r>
    </w:p>
    <w:p w14:paraId="18CAAEA9">
      <w:pPr>
        <w:pStyle w:val="30"/>
        <w:spacing w:line="576" w:lineRule="exact"/>
        <w:ind w:firstLine="640"/>
        <w:rPr>
          <w:rFonts w:ascii="Times New Roman" w:hAnsi="Times New Roman" w:eastAsia="黑体"/>
          <w:sz w:val="32"/>
          <w:szCs w:val="32"/>
        </w:rPr>
      </w:pPr>
      <w:r>
        <w:rPr>
          <w:rFonts w:ascii="Times New Roman" w:hAnsi="Times New Roman"/>
          <w:sz w:val="32"/>
          <w:szCs w:val="32"/>
        </w:rPr>
        <w:t>（十三）承担煤矿、非煤矿山、危险化学品和烟花爆竹等生产经营单位安全生产准入及非药品类易制毒化学品备案管理责任。</w:t>
      </w:r>
    </w:p>
    <w:p w14:paraId="7C487AD1">
      <w:pPr>
        <w:pStyle w:val="30"/>
        <w:spacing w:line="576" w:lineRule="exact"/>
        <w:ind w:firstLine="640"/>
        <w:rPr>
          <w:rFonts w:ascii="Times New Roman" w:hAnsi="Times New Roman" w:eastAsia="黑体"/>
          <w:sz w:val="32"/>
          <w:szCs w:val="32"/>
        </w:rPr>
      </w:pPr>
      <w:r>
        <w:rPr>
          <w:rFonts w:ascii="Times New Roman" w:hAnsi="Times New Roman"/>
          <w:sz w:val="32"/>
          <w:szCs w:val="32"/>
        </w:rPr>
        <w:t>（十四）拟订煤炭产业发展计划并组织实施，按权限审核、上报煤炭建设项目并负责监督管理。负责煤炭生产协调和监督管理，煤炭行业结构调整和产业升级，煤矿瓦斯等级鉴定、瓦斯治理和利用。推进煤炭体制改革。</w:t>
      </w:r>
    </w:p>
    <w:p w14:paraId="3EE2407C">
      <w:pPr>
        <w:pStyle w:val="30"/>
        <w:spacing w:line="576" w:lineRule="exact"/>
        <w:ind w:firstLine="640"/>
        <w:rPr>
          <w:rFonts w:ascii="Times New Roman" w:hAnsi="Times New Roman" w:eastAsia="黑体"/>
          <w:sz w:val="32"/>
          <w:szCs w:val="32"/>
        </w:rPr>
      </w:pPr>
      <w:r>
        <w:rPr>
          <w:rFonts w:ascii="Times New Roman" w:hAnsi="Times New Roman"/>
          <w:sz w:val="32"/>
          <w:szCs w:val="32"/>
        </w:rPr>
        <w:t>（十五）承担煤矿安全生产监督管理责任，依法监督检查煤矿企业贯彻执行安全生产法律法规情况及其安全生产条件和有关设备（特种设备除外）、材料、劳动防护用品的安全生产管理工作。负责组织、指导煤矿企业安全专项整治、安全标准化、瓦斯和水害防治及相关安全科技发展工作。参与煤矿事故调查处理工作。</w:t>
      </w:r>
    </w:p>
    <w:p w14:paraId="6C10EA17">
      <w:pPr>
        <w:pStyle w:val="30"/>
        <w:spacing w:line="576" w:lineRule="exact"/>
        <w:ind w:firstLine="640"/>
        <w:rPr>
          <w:rFonts w:ascii="Times New Roman" w:hAnsi="Times New Roman" w:eastAsia="黑体"/>
          <w:sz w:val="32"/>
          <w:szCs w:val="32"/>
        </w:rPr>
      </w:pPr>
      <w:r>
        <w:rPr>
          <w:rFonts w:ascii="Times New Roman" w:hAnsi="Times New Roman"/>
          <w:sz w:val="32"/>
          <w:szCs w:val="32"/>
        </w:rPr>
        <w:t>（十六）承担防震减灾工作职责。负责地震监测设施和观测环境保护工作，负责全区工程建设场地地震安全性评价的监督管理工作，承担全区重大工程的抗震设防监督工作。接受省地震局的</w:t>
      </w:r>
      <w:r>
        <w:rPr>
          <w:rFonts w:hint="eastAsia" w:ascii="Times New Roman" w:hAnsi="Times New Roman"/>
          <w:sz w:val="32"/>
          <w:szCs w:val="32"/>
        </w:rPr>
        <w:t>业务指导。</w:t>
      </w:r>
    </w:p>
    <w:p w14:paraId="41071B9E">
      <w:pPr>
        <w:pStyle w:val="30"/>
        <w:spacing w:line="576" w:lineRule="exact"/>
        <w:ind w:firstLine="640"/>
        <w:rPr>
          <w:rFonts w:ascii="Times New Roman" w:hAnsi="Times New Roman" w:eastAsia="黑体"/>
          <w:sz w:val="32"/>
          <w:szCs w:val="32"/>
        </w:rPr>
      </w:pPr>
      <w:r>
        <w:rPr>
          <w:rFonts w:ascii="Times New Roman" w:hAnsi="Times New Roman"/>
          <w:sz w:val="32"/>
          <w:szCs w:val="32"/>
        </w:rPr>
        <w:t>（十七）依法组织、指导生产安全事故调查处理，监督事故查处和责任追究落实情况。组织开展自然灾害类突发事件的调查评估工作。</w:t>
      </w:r>
    </w:p>
    <w:p w14:paraId="0F0DBC5D">
      <w:pPr>
        <w:pStyle w:val="30"/>
        <w:spacing w:line="576" w:lineRule="exact"/>
        <w:ind w:firstLine="640"/>
        <w:rPr>
          <w:rFonts w:ascii="Times New Roman" w:hAnsi="Times New Roman" w:eastAsia="黑体"/>
          <w:sz w:val="32"/>
          <w:szCs w:val="32"/>
        </w:rPr>
      </w:pPr>
      <w:r>
        <w:rPr>
          <w:rFonts w:ascii="Times New Roman" w:hAnsi="Times New Roman"/>
          <w:sz w:val="32"/>
          <w:szCs w:val="32"/>
        </w:rPr>
        <w:t>（十八）开展应急管理和安全生产方面的交流与合作，组织参与安全生产类、自然灾害类等突发事件的跨区域救援工作。</w:t>
      </w:r>
    </w:p>
    <w:p w14:paraId="67025ECE">
      <w:pPr>
        <w:pStyle w:val="30"/>
        <w:spacing w:line="576" w:lineRule="exact"/>
        <w:ind w:firstLine="640"/>
        <w:rPr>
          <w:rFonts w:ascii="Times New Roman" w:hAnsi="Times New Roman"/>
          <w:sz w:val="32"/>
          <w:szCs w:val="32"/>
        </w:rPr>
      </w:pPr>
      <w:r>
        <w:rPr>
          <w:rFonts w:ascii="Times New Roman" w:hAnsi="Times New Roman"/>
          <w:sz w:val="32"/>
          <w:szCs w:val="32"/>
        </w:rPr>
        <w:t>（十九）制定应急物资储备和应急救援装备规划并组织实施，会同区</w:t>
      </w:r>
      <w:r>
        <w:rPr>
          <w:rFonts w:hint="eastAsia" w:ascii="Times New Roman" w:hAnsi="Times New Roman"/>
          <w:sz w:val="32"/>
          <w:szCs w:val="32"/>
        </w:rPr>
        <w:t>发展</w:t>
      </w:r>
      <w:r>
        <w:rPr>
          <w:rFonts w:ascii="Times New Roman" w:hAnsi="Times New Roman"/>
          <w:sz w:val="32"/>
          <w:szCs w:val="32"/>
        </w:rPr>
        <w:t>改革局等部门建立健全应急物资信息平台和调拨制度，实行统一调度。</w:t>
      </w:r>
    </w:p>
    <w:p w14:paraId="290CD2FA">
      <w:pPr>
        <w:pStyle w:val="30"/>
        <w:spacing w:line="576" w:lineRule="exact"/>
        <w:ind w:firstLine="640"/>
        <w:rPr>
          <w:rFonts w:ascii="Times New Roman" w:hAnsi="Times New Roman" w:eastAsia="黑体"/>
          <w:sz w:val="32"/>
          <w:szCs w:val="32"/>
        </w:rPr>
      </w:pPr>
      <w:r>
        <w:rPr>
          <w:rFonts w:ascii="Times New Roman" w:hAnsi="Times New Roman"/>
          <w:sz w:val="32"/>
          <w:szCs w:val="32"/>
        </w:rPr>
        <w:t>（二十）负责应急管理、安全生产宣传教育和培训工作，组织和指导应急管理、安全生产、地震灾害防御的科学技术研究、推广应用和信息化建设工作。</w:t>
      </w:r>
    </w:p>
    <w:p w14:paraId="013B9F13">
      <w:pPr>
        <w:pStyle w:val="30"/>
        <w:spacing w:line="576" w:lineRule="exact"/>
        <w:ind w:firstLine="640"/>
        <w:rPr>
          <w:rFonts w:ascii="Times New Roman" w:hAnsi="Times New Roman" w:eastAsia="黑体"/>
          <w:sz w:val="32"/>
          <w:szCs w:val="32"/>
        </w:rPr>
      </w:pPr>
      <w:r>
        <w:rPr>
          <w:rFonts w:ascii="Times New Roman" w:hAnsi="Times New Roman"/>
          <w:sz w:val="32"/>
          <w:szCs w:val="32"/>
        </w:rPr>
        <w:t>（二十一）负责职责范围内的职业健康、生态环境保护、审批服务便民化等工作。</w:t>
      </w:r>
    </w:p>
    <w:p w14:paraId="3362090C">
      <w:pPr>
        <w:pStyle w:val="30"/>
        <w:spacing w:line="576" w:lineRule="exact"/>
        <w:ind w:firstLine="640"/>
        <w:rPr>
          <w:rFonts w:ascii="Times New Roman" w:hAnsi="Times New Roman" w:eastAsia="黑体"/>
          <w:sz w:val="32"/>
          <w:szCs w:val="32"/>
        </w:rPr>
      </w:pPr>
      <w:r>
        <w:rPr>
          <w:rFonts w:ascii="Times New Roman" w:hAnsi="Times New Roman"/>
          <w:sz w:val="32"/>
          <w:szCs w:val="32"/>
        </w:rPr>
        <w:t>（二十二）完成区委、区政府交办的其他任务。</w:t>
      </w:r>
    </w:p>
    <w:p w14:paraId="4304B71D">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14:paraId="1B1AF4E4">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14:paraId="31E7CEEA">
      <w:pPr>
        <w:widowControl w:val="0"/>
        <w:spacing w:line="568" w:lineRule="atLeast"/>
        <w:ind w:firstLine="639" w:firstLineChars="0"/>
        <w:rPr>
          <w:rFonts w:hint="eastAsia" w:ascii="仿宋_GB2312" w:hAnsi="仿宋_GB2312" w:eastAsia="仿宋_GB2312"/>
          <w:sz w:val="32"/>
          <w:szCs w:val="32"/>
        </w:rPr>
      </w:pPr>
      <w:r>
        <w:rPr>
          <w:rFonts w:hint="eastAsia" w:ascii="仿宋_GB2312" w:hAnsi="仿宋_GB2312" w:eastAsia="仿宋_GB2312"/>
          <w:sz w:val="32"/>
          <w:szCs w:val="32"/>
        </w:rPr>
        <w:t>201</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年年初财政局下达我</w:t>
      </w:r>
      <w:r>
        <w:rPr>
          <w:rFonts w:hint="eastAsia" w:ascii="仿宋_GB2312" w:hAnsi="仿宋_GB2312" w:eastAsia="仿宋_GB2312"/>
          <w:sz w:val="32"/>
          <w:szCs w:val="32"/>
          <w:lang w:val="en-US" w:eastAsia="zh-CN"/>
        </w:rPr>
        <w:t>局（原安监局、防震减灾局、应急办）三个单位</w:t>
      </w:r>
      <w:r>
        <w:rPr>
          <w:rFonts w:hint="eastAsia" w:ascii="仿宋_GB2312" w:hAnsi="仿宋_GB2312" w:eastAsia="仿宋_GB2312"/>
          <w:sz w:val="32"/>
          <w:szCs w:val="32"/>
        </w:rPr>
        <w:t>预算指标为</w:t>
      </w:r>
      <w:r>
        <w:rPr>
          <w:rFonts w:hint="eastAsia" w:ascii="仿宋_GB2312" w:hAnsi="仿宋_GB2312" w:eastAsia="仿宋_GB2312"/>
          <w:sz w:val="32"/>
          <w:szCs w:val="32"/>
          <w:lang w:val="en-US" w:eastAsia="zh-CN"/>
        </w:rPr>
        <w:t>5140550.63</w:t>
      </w:r>
      <w:r>
        <w:rPr>
          <w:rFonts w:hint="eastAsia" w:ascii="仿宋_GB2312" w:hAnsi="仿宋_GB2312" w:eastAsia="仿宋_GB2312"/>
          <w:sz w:val="32"/>
          <w:szCs w:val="32"/>
        </w:rPr>
        <w:t>元，</w:t>
      </w:r>
      <w:r>
        <w:rPr>
          <w:rFonts w:hint="eastAsia" w:ascii="仿宋_GB2312" w:hAnsi="仿宋_GB2312" w:eastAsia="仿宋_GB2312"/>
          <w:sz w:val="32"/>
          <w:szCs w:val="32"/>
          <w:lang w:val="en-US" w:eastAsia="zh-CN"/>
        </w:rPr>
        <w:t>追加527530元</w:t>
      </w:r>
      <w:r>
        <w:rPr>
          <w:rFonts w:hint="eastAsia" w:ascii="仿宋_GB2312" w:hAnsi="仿宋_GB2312" w:eastAsia="仿宋_GB2312"/>
          <w:sz w:val="32"/>
          <w:szCs w:val="32"/>
        </w:rPr>
        <w:t>，201</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三个单位财政欠拨数合计-972727.42元</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总计财政拨款指标为</w:t>
      </w:r>
      <w:r>
        <w:rPr>
          <w:rFonts w:hint="eastAsia" w:ascii="仿宋_GB2312" w:hAnsi="仿宋_GB2312" w:eastAsia="仿宋_GB2312"/>
          <w:sz w:val="32"/>
          <w:szCs w:val="32"/>
          <w:lang w:val="en-US" w:eastAsia="zh-CN"/>
        </w:rPr>
        <w:t>5668080.63</w:t>
      </w:r>
      <w:r>
        <w:rPr>
          <w:rFonts w:hint="eastAsia" w:ascii="仿宋_GB2312" w:hAnsi="仿宋_GB2312" w:eastAsia="仿宋_GB2312"/>
          <w:sz w:val="32"/>
          <w:szCs w:val="32"/>
        </w:rPr>
        <w:t>元；</w:t>
      </w:r>
      <w:r>
        <w:rPr>
          <w:rFonts w:hint="eastAsia" w:ascii="仿宋_GB2312" w:hAnsi="仿宋_GB2312" w:eastAsia="仿宋_GB2312"/>
          <w:sz w:val="32"/>
          <w:szCs w:val="32"/>
          <w:lang w:eastAsia="zh-CN"/>
        </w:rPr>
        <w:t>政府性基金</w:t>
      </w:r>
      <w:r>
        <w:rPr>
          <w:rFonts w:hint="eastAsia" w:ascii="仿宋_GB2312" w:hAnsi="仿宋_GB2312" w:eastAsia="仿宋_GB2312"/>
          <w:sz w:val="32"/>
          <w:szCs w:val="32"/>
          <w:lang w:val="en-US" w:eastAsia="zh-CN"/>
        </w:rPr>
        <w:t>237100元，</w:t>
      </w:r>
      <w:r>
        <w:rPr>
          <w:rFonts w:hint="eastAsia" w:ascii="仿宋_GB2312" w:hAnsi="仿宋_GB2312" w:eastAsia="仿宋_GB2312"/>
          <w:sz w:val="32"/>
          <w:szCs w:val="32"/>
        </w:rPr>
        <w:t>201</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年财政已经拨款</w:t>
      </w:r>
      <w:r>
        <w:rPr>
          <w:rFonts w:hint="eastAsia" w:ascii="仿宋_GB2312" w:hAnsi="仿宋_GB2312" w:eastAsia="仿宋_GB2312"/>
          <w:sz w:val="32"/>
          <w:szCs w:val="32"/>
          <w:lang w:val="en-US" w:eastAsia="zh-CN"/>
        </w:rPr>
        <w:t>3068391.64</w:t>
      </w:r>
      <w:r>
        <w:rPr>
          <w:rFonts w:hint="eastAsia" w:ascii="仿宋_GB2312" w:hAnsi="仿宋_GB2312" w:eastAsia="仿宋_GB2312"/>
          <w:sz w:val="32"/>
          <w:szCs w:val="32"/>
        </w:rPr>
        <w:t>元，201</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年末累计欠</w:t>
      </w:r>
      <w:r>
        <w:rPr>
          <w:rFonts w:hint="eastAsia" w:ascii="仿宋_GB2312" w:hAnsi="仿宋_GB2312" w:eastAsia="仿宋_GB2312"/>
          <w:sz w:val="32"/>
          <w:szCs w:val="32"/>
          <w:lang w:val="en-US" w:eastAsia="zh-CN"/>
        </w:rPr>
        <w:t>1626961.57</w:t>
      </w:r>
      <w:r>
        <w:rPr>
          <w:rFonts w:hint="eastAsia" w:ascii="仿宋_GB2312" w:hAnsi="仿宋_GB2312" w:eastAsia="仿宋_GB2312"/>
          <w:sz w:val="32"/>
          <w:szCs w:val="32"/>
        </w:rPr>
        <w:t>元。</w:t>
      </w:r>
    </w:p>
    <w:p w14:paraId="3DB93056">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14:paraId="23066FD5">
      <w:pPr>
        <w:widowControl/>
        <w:numPr>
          <w:ilvl w:val="0"/>
          <w:numId w:val="4"/>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14:paraId="3BEFC3AC">
      <w:pPr>
        <w:widowControl/>
        <w:numPr>
          <w:ilvl w:val="0"/>
          <w:numId w:val="0"/>
        </w:numPr>
        <w:adjustRightInd w:val="0"/>
        <w:snapToGrid w:val="0"/>
        <w:spacing w:line="580" w:lineRule="exact"/>
        <w:ind w:firstLine="960" w:firstLineChars="300"/>
        <w:contextualSpacing/>
        <w:jc w:val="left"/>
        <w:rPr>
          <w:rFonts w:hint="default" w:ascii="仿宋_GB2312" w:hAnsi="宋体" w:eastAsia="仿宋_GB2312" w:cs="宋体"/>
          <w:color w:val="000000"/>
          <w:kern w:val="0"/>
          <w:sz w:val="32"/>
          <w:szCs w:val="32"/>
          <w:shd w:val="clear" w:color="auto" w:fill="FFFFFF"/>
          <w:lang w:val="en-US"/>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404.11</w:t>
      </w:r>
      <w:r>
        <w:rPr>
          <w:rFonts w:hint="eastAsia" w:ascii="仿宋" w:hAnsi="仿宋" w:eastAsia="仿宋"/>
          <w:color w:val="000000" w:themeColor="text1"/>
          <w:sz w:val="32"/>
          <w:szCs w:val="32"/>
          <w14:textFill>
            <w14:solidFill>
              <w14:schemeClr w14:val="tx1"/>
            </w14:solidFill>
          </w14:textFill>
        </w:rPr>
        <w:t>万元，主要用于以下方面:一般公共服务（类）支出</w:t>
      </w:r>
      <w:r>
        <w:rPr>
          <w:rFonts w:hint="eastAsia" w:ascii="仿宋" w:hAnsi="仿宋" w:eastAsia="仿宋"/>
          <w:color w:val="000000" w:themeColor="text1"/>
          <w:sz w:val="32"/>
          <w:szCs w:val="32"/>
          <w:lang w:val="en-US" w:eastAsia="zh-CN"/>
          <w14:textFill>
            <w14:solidFill>
              <w14:schemeClr w14:val="tx1"/>
            </w14:solidFill>
          </w14:textFill>
        </w:rPr>
        <w:t>70.69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17.49</w:t>
      </w:r>
      <w:r>
        <w:rPr>
          <w:rFonts w:hint="eastAsia" w:ascii="仿宋" w:hAnsi="仿宋" w:eastAsia="仿宋"/>
          <w:color w:val="000000" w:themeColor="text1"/>
          <w:sz w:val="32"/>
          <w:szCs w:val="32"/>
          <w14:textFill>
            <w14:solidFill>
              <w14:schemeClr w14:val="tx1"/>
            </w14:solidFill>
          </w14:textFill>
        </w:rPr>
        <w:t>%；社会保障和就业（类）支出</w:t>
      </w:r>
      <w:r>
        <w:rPr>
          <w:rFonts w:hint="eastAsia" w:ascii="仿宋" w:hAnsi="仿宋" w:eastAsia="仿宋"/>
          <w:color w:val="000000" w:themeColor="text1"/>
          <w:sz w:val="32"/>
          <w:szCs w:val="32"/>
          <w:lang w:val="en-US" w:eastAsia="zh-CN"/>
          <w14:textFill>
            <w14:solidFill>
              <w14:schemeClr w14:val="tx1"/>
            </w14:solidFill>
          </w14:textFill>
        </w:rPr>
        <w:t>37.58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9.3</w:t>
      </w:r>
      <w:r>
        <w:rPr>
          <w:rFonts w:hint="eastAsia" w:ascii="仿宋" w:hAnsi="仿宋" w:eastAsia="仿宋"/>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14.86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3.68</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23.64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5.85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灾害防治与应急管理（类）支出</w:t>
      </w:r>
      <w:r>
        <w:rPr>
          <w:rFonts w:hint="eastAsia" w:ascii="仿宋" w:hAnsi="仿宋" w:eastAsia="仿宋"/>
          <w:color w:val="000000" w:themeColor="text1"/>
          <w:sz w:val="32"/>
          <w:szCs w:val="32"/>
          <w:lang w:val="en-US" w:eastAsia="zh-CN"/>
          <w14:textFill>
            <w14:solidFill>
              <w14:schemeClr w14:val="tx1"/>
            </w14:solidFill>
          </w14:textFill>
        </w:rPr>
        <w:t>257.34万元占63.68%。 政府性基金项目支出城乡社区支出（类）2.4万元，占基金支出的100%。</w:t>
      </w:r>
    </w:p>
    <w:p w14:paraId="0E3FE466">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14:paraId="08EB17B6">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14:paraId="48907964">
      <w:pPr>
        <w:keepNext w:val="0"/>
        <w:keepLines w:val="0"/>
        <w:pageBreakBefore w:val="0"/>
        <w:widowControl w:val="0"/>
        <w:kinsoku/>
        <w:wordWrap/>
        <w:overflowPunct/>
        <w:topLinePunct w:val="0"/>
        <w:autoSpaceDE/>
        <w:autoSpaceDN/>
        <w:bidi w:val="0"/>
        <w:adjustRightInd/>
        <w:snapToGrid/>
        <w:spacing w:line="556" w:lineRule="exact"/>
        <w:ind w:left="0" w:firstLine="640" w:firstLineChars="200"/>
        <w:textAlignment w:val="auto"/>
        <w:rPr>
          <w:rFonts w:ascii="仿宋" w:hAnsi="仿宋" w:eastAsia="仿宋" w:cs="楷体_GB2312"/>
          <w:color w:val="000000"/>
          <w:sz w:val="32"/>
          <w:szCs w:val="32"/>
        </w:rPr>
      </w:pPr>
      <w:r>
        <w:rPr>
          <w:rFonts w:hint="eastAsia" w:ascii="仿宋" w:hAnsi="仿宋" w:eastAsia="仿宋" w:cs="楷体_GB2312"/>
          <w:color w:val="000000"/>
          <w:sz w:val="32"/>
          <w:szCs w:val="32"/>
        </w:rPr>
        <w:t>1</w:t>
      </w:r>
      <w:r>
        <w:rPr>
          <w:rFonts w:hint="eastAsia" w:ascii="仿宋" w:hAnsi="仿宋" w:eastAsia="仿宋" w:cs="楷体_GB2312"/>
          <w:color w:val="000000"/>
          <w:sz w:val="32"/>
          <w:szCs w:val="32"/>
          <w:lang w:eastAsia="zh-CN"/>
        </w:rPr>
        <w:t>、</w:t>
      </w:r>
      <w:r>
        <w:rPr>
          <w:rFonts w:hint="eastAsia" w:ascii="仿宋" w:hAnsi="仿宋" w:eastAsia="仿宋" w:cs="楷体_GB2312"/>
          <w:color w:val="000000"/>
          <w:sz w:val="32"/>
          <w:szCs w:val="32"/>
        </w:rPr>
        <w:t>部门预算编制情况。我局严格按照规定编制收入预算、支出预算（含基本支出、项目支出）、三公经费预算等。编制准确，正确使用功能科目和经济科目、准确编列资金性质和资金级次、按政府审定的方案规范编制项目支出，不漏报、错报，及时报送区财政局。201</w:t>
      </w:r>
      <w:r>
        <w:rPr>
          <w:rFonts w:hint="eastAsia" w:ascii="仿宋" w:hAnsi="仿宋" w:eastAsia="仿宋" w:cs="楷体_GB2312"/>
          <w:color w:val="000000"/>
          <w:sz w:val="32"/>
          <w:szCs w:val="32"/>
          <w:lang w:val="en-US" w:eastAsia="zh-CN"/>
        </w:rPr>
        <w:t>9</w:t>
      </w:r>
      <w:r>
        <w:rPr>
          <w:rFonts w:hint="eastAsia" w:ascii="仿宋" w:hAnsi="仿宋" w:eastAsia="仿宋" w:cs="楷体_GB2312"/>
          <w:color w:val="000000"/>
          <w:sz w:val="32"/>
          <w:szCs w:val="32"/>
        </w:rPr>
        <w:t>年，我局预算收入</w:t>
      </w:r>
      <w:r>
        <w:rPr>
          <w:rFonts w:hint="eastAsia" w:ascii="仿宋" w:hAnsi="仿宋" w:eastAsia="仿宋"/>
          <w:color w:val="000000"/>
          <w:sz w:val="32"/>
          <w:szCs w:val="32"/>
          <w:lang w:val="en-US" w:eastAsia="zh-CN"/>
        </w:rPr>
        <w:t>569.2</w:t>
      </w:r>
      <w:r>
        <w:rPr>
          <w:rFonts w:hint="eastAsia" w:ascii="仿宋" w:hAnsi="仿宋" w:eastAsia="仿宋" w:cs="楷体_GB2312"/>
          <w:color w:val="000000"/>
          <w:sz w:val="32"/>
          <w:szCs w:val="32"/>
        </w:rPr>
        <w:t>万元,其中：公共预算基本支出</w:t>
      </w:r>
      <w:r>
        <w:rPr>
          <w:rFonts w:hint="eastAsia" w:ascii="仿宋" w:hAnsi="仿宋" w:eastAsia="仿宋" w:cs="楷体_GB2312"/>
          <w:color w:val="000000"/>
          <w:sz w:val="32"/>
          <w:szCs w:val="32"/>
          <w:lang w:val="en-US" w:eastAsia="zh-CN"/>
        </w:rPr>
        <w:t>566.81</w:t>
      </w:r>
      <w:r>
        <w:rPr>
          <w:rFonts w:hint="eastAsia" w:ascii="仿宋" w:hAnsi="仿宋" w:eastAsia="仿宋" w:cs="楷体_GB2312"/>
          <w:color w:val="000000"/>
          <w:sz w:val="32"/>
          <w:szCs w:val="32"/>
        </w:rPr>
        <w:t>万元、</w:t>
      </w:r>
      <w:r>
        <w:rPr>
          <w:rFonts w:hint="eastAsia" w:ascii="仿宋" w:hAnsi="仿宋" w:eastAsia="仿宋" w:cs="楷体_GB2312"/>
          <w:color w:val="000000"/>
          <w:sz w:val="32"/>
          <w:szCs w:val="32"/>
          <w:lang w:eastAsia="zh-CN"/>
        </w:rPr>
        <w:t>政府性基金</w:t>
      </w:r>
      <w:r>
        <w:rPr>
          <w:rFonts w:hint="eastAsia" w:ascii="仿宋" w:hAnsi="仿宋" w:eastAsia="仿宋" w:cs="楷体_GB2312"/>
          <w:color w:val="000000"/>
          <w:sz w:val="32"/>
          <w:szCs w:val="32"/>
        </w:rPr>
        <w:t>支出</w:t>
      </w:r>
      <w:r>
        <w:rPr>
          <w:rFonts w:hint="eastAsia" w:ascii="仿宋" w:hAnsi="仿宋" w:eastAsia="仿宋" w:cs="楷体_GB2312"/>
          <w:color w:val="000000"/>
          <w:sz w:val="32"/>
          <w:szCs w:val="32"/>
          <w:lang w:val="en-US" w:eastAsia="zh-CN"/>
        </w:rPr>
        <w:t>2.37万</w:t>
      </w:r>
      <w:r>
        <w:rPr>
          <w:rFonts w:hint="eastAsia" w:ascii="仿宋" w:hAnsi="仿宋" w:eastAsia="仿宋" w:cs="楷体_GB2312"/>
          <w:color w:val="000000"/>
          <w:sz w:val="32"/>
          <w:szCs w:val="32"/>
        </w:rPr>
        <w:t>元。</w:t>
      </w:r>
      <w:r>
        <w:rPr>
          <w:rFonts w:ascii="仿宋" w:hAnsi="仿宋" w:eastAsia="仿宋" w:cs="楷体_GB2312"/>
          <w:color w:val="000000"/>
          <w:sz w:val="32"/>
          <w:szCs w:val="32"/>
        </w:rPr>
        <w:t xml:space="preserve"> </w:t>
      </w:r>
    </w:p>
    <w:p w14:paraId="0B591F5B">
      <w:pPr>
        <w:keepNext w:val="0"/>
        <w:keepLines w:val="0"/>
        <w:pageBreakBefore w:val="0"/>
        <w:widowControl w:val="0"/>
        <w:kinsoku/>
        <w:wordWrap/>
        <w:overflowPunct/>
        <w:topLinePunct w:val="0"/>
        <w:autoSpaceDE/>
        <w:autoSpaceDN/>
        <w:bidi w:val="0"/>
        <w:adjustRightInd/>
        <w:snapToGrid/>
        <w:spacing w:line="556" w:lineRule="exact"/>
        <w:ind w:left="0"/>
        <w:textAlignment w:val="auto"/>
        <w:rPr>
          <w:rFonts w:ascii="仿宋" w:hAnsi="仿宋" w:eastAsia="仿宋" w:cs="楷体_GB2312"/>
          <w:color w:val="000000"/>
          <w:sz w:val="32"/>
          <w:szCs w:val="32"/>
        </w:rPr>
      </w:pPr>
      <w:r>
        <w:rPr>
          <w:rFonts w:hint="eastAsia" w:ascii="仿宋" w:hAnsi="仿宋" w:eastAsia="仿宋" w:cs="楷体_GB2312"/>
          <w:color w:val="000000"/>
          <w:sz w:val="32"/>
          <w:szCs w:val="32"/>
        </w:rPr>
        <w:t xml:space="preserve"> </w:t>
      </w:r>
      <w:r>
        <w:rPr>
          <w:rFonts w:hint="eastAsia" w:ascii="仿宋" w:hAnsi="仿宋" w:eastAsia="仿宋" w:cs="楷体_GB2312"/>
          <w:color w:val="000000"/>
          <w:sz w:val="32"/>
          <w:szCs w:val="32"/>
          <w:lang w:val="en-US" w:eastAsia="zh-CN"/>
        </w:rPr>
        <w:t xml:space="preserve">  </w:t>
      </w:r>
      <w:r>
        <w:rPr>
          <w:rFonts w:hint="eastAsia" w:ascii="仿宋" w:hAnsi="仿宋" w:eastAsia="仿宋" w:cs="楷体_GB2312"/>
          <w:color w:val="000000"/>
          <w:sz w:val="32"/>
          <w:szCs w:val="32"/>
        </w:rPr>
        <w:t xml:space="preserve"> 2</w:t>
      </w:r>
      <w:r>
        <w:rPr>
          <w:rFonts w:hint="eastAsia" w:ascii="仿宋" w:hAnsi="仿宋" w:eastAsia="仿宋" w:cs="楷体_GB2312"/>
          <w:color w:val="000000"/>
          <w:sz w:val="32"/>
          <w:szCs w:val="32"/>
          <w:lang w:eastAsia="zh-CN"/>
        </w:rPr>
        <w:t>、</w:t>
      </w:r>
      <w:r>
        <w:rPr>
          <w:rFonts w:hint="eastAsia" w:ascii="仿宋" w:hAnsi="仿宋" w:eastAsia="仿宋" w:cs="楷体_GB2312"/>
          <w:color w:val="000000"/>
          <w:sz w:val="32"/>
          <w:szCs w:val="32"/>
        </w:rPr>
        <w:t>预算执行情况。一是规章制度建立健全，制度执行严格合规，会计核算符合相关规定。二是严格按照有关规定，加强对财政对财政各项资金的监督管理，确保资金及时、足额到位，专款专用，资金支付依据和开支标准合法合规，未出现截留和挤占挪作他用的现象。三是严格执行财政集中支付制度，按规定使用公务卡，严格控制现金支付方式。四是按时上交账户年检表。五是按规定对财政拨付的专项资金进行自检自查，做好资金的项目和资金使用效益工作，充分发挥各项资金的使用效益，财政各项专项工作按时高质量的完成。</w:t>
      </w:r>
    </w:p>
    <w:p w14:paraId="19EB3ACC">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14:paraId="2C32916A">
      <w:pPr>
        <w:spacing w:line="580" w:lineRule="exact"/>
        <w:ind w:firstLine="640" w:firstLineChars="200"/>
        <w:rPr>
          <w:rFonts w:hint="eastAsia" w:ascii="仿宋" w:hAnsi="仿宋" w:eastAsia="仿宋" w:cs="Times New Roman"/>
          <w:color w:val="000000"/>
          <w:sz w:val="32"/>
          <w:szCs w:val="32"/>
          <w:lang w:val="en-US" w:eastAsia="zh-CN"/>
        </w:rPr>
      </w:pPr>
      <w:r>
        <w:rPr>
          <w:rFonts w:hint="eastAsia" w:ascii="仿宋" w:hAnsi="仿宋" w:eastAsia="仿宋" w:cs="楷体_GB2312"/>
          <w:color w:val="000000"/>
          <w:sz w:val="32"/>
          <w:szCs w:val="32"/>
          <w:lang w:val="en-US" w:eastAsia="zh-CN"/>
        </w:rPr>
        <w:t>本年共结转自然灾害临时生活救助资金160</w:t>
      </w:r>
      <w:r>
        <w:rPr>
          <w:rFonts w:hint="eastAsia" w:ascii="仿宋" w:hAnsi="仿宋" w:eastAsia="仿宋" w:cs="楷体_GB2312"/>
          <w:color w:val="000000"/>
          <w:sz w:val="32"/>
          <w:szCs w:val="32"/>
        </w:rPr>
        <w:t>万元，</w:t>
      </w:r>
      <w:r>
        <w:rPr>
          <w:rFonts w:hint="eastAsia" w:ascii="仿宋" w:hAnsi="仿宋" w:eastAsia="仿宋" w:cs="Times New Roman"/>
          <w:color w:val="000000"/>
          <w:sz w:val="32"/>
          <w:szCs w:val="32"/>
        </w:rPr>
        <w:t>我</w:t>
      </w:r>
      <w:r>
        <w:rPr>
          <w:rFonts w:hint="eastAsia" w:ascii="仿宋" w:hAnsi="仿宋" w:eastAsia="仿宋" w:cs="Times New Roman"/>
          <w:color w:val="000000"/>
          <w:sz w:val="32"/>
          <w:szCs w:val="32"/>
          <w:lang w:eastAsia="zh-CN"/>
        </w:rPr>
        <w:t>单位</w:t>
      </w:r>
      <w:r>
        <w:rPr>
          <w:rFonts w:hint="eastAsia" w:ascii="仿宋" w:hAnsi="仿宋" w:eastAsia="仿宋" w:cs="Times New Roman"/>
          <w:color w:val="000000"/>
          <w:sz w:val="32"/>
          <w:szCs w:val="32"/>
        </w:rPr>
        <w:t>加强了对</w:t>
      </w:r>
      <w:r>
        <w:rPr>
          <w:rFonts w:hint="eastAsia" w:ascii="仿宋" w:hAnsi="仿宋" w:eastAsia="仿宋" w:cs="Times New Roman"/>
          <w:color w:val="000000"/>
          <w:sz w:val="32"/>
          <w:szCs w:val="32"/>
          <w:lang w:eastAsia="zh-CN"/>
        </w:rPr>
        <w:t>该笔专项</w:t>
      </w:r>
      <w:r>
        <w:rPr>
          <w:rFonts w:hint="eastAsia" w:ascii="仿宋" w:hAnsi="仿宋" w:eastAsia="仿宋" w:cs="Times New Roman"/>
          <w:color w:val="000000"/>
          <w:sz w:val="32"/>
          <w:szCs w:val="32"/>
        </w:rPr>
        <w:t>资金的使用和管理，</w:t>
      </w:r>
      <w:r>
        <w:rPr>
          <w:rFonts w:hint="eastAsia" w:ascii="仿宋" w:hAnsi="仿宋" w:eastAsia="仿宋" w:cs="Times New Roman"/>
          <w:color w:val="000000"/>
          <w:sz w:val="32"/>
          <w:szCs w:val="32"/>
          <w:lang w:eastAsia="zh-CN"/>
        </w:rPr>
        <w:t>决算后及时通过一折通平台兑付到老百姓手中，</w:t>
      </w:r>
      <w:r>
        <w:rPr>
          <w:rFonts w:hint="eastAsia" w:ascii="仿宋" w:hAnsi="仿宋" w:eastAsia="仿宋" w:cs="Times New Roman"/>
          <w:color w:val="000000"/>
          <w:sz w:val="32"/>
          <w:szCs w:val="32"/>
        </w:rPr>
        <w:t>做到了专款专用，</w:t>
      </w:r>
      <w:r>
        <w:rPr>
          <w:rFonts w:hint="eastAsia" w:ascii="仿宋" w:hAnsi="仿宋" w:eastAsia="仿宋" w:cs="Times New Roman"/>
          <w:color w:val="000000"/>
          <w:sz w:val="32"/>
          <w:szCs w:val="32"/>
          <w:lang w:eastAsia="zh-CN"/>
        </w:rPr>
        <w:t>保证让人民群众安全平稳越冬</w:t>
      </w:r>
      <w:r>
        <w:rPr>
          <w:rFonts w:hint="eastAsia" w:ascii="仿宋" w:hAnsi="仿宋" w:eastAsia="仿宋" w:cs="Times New Roman"/>
          <w:color w:val="000000"/>
          <w:sz w:val="32"/>
          <w:szCs w:val="32"/>
        </w:rPr>
        <w:t>，充分发挥资金的使用效益</w:t>
      </w:r>
      <w:r>
        <w:rPr>
          <w:rFonts w:hint="eastAsia" w:ascii="仿宋" w:hAnsi="仿宋" w:eastAsia="仿宋" w:cs="Times New Roman"/>
          <w:color w:val="000000"/>
          <w:sz w:val="32"/>
          <w:szCs w:val="32"/>
          <w:lang w:eastAsia="zh-CN"/>
        </w:rPr>
        <w:t>和社会效益</w:t>
      </w:r>
      <w:r>
        <w:rPr>
          <w:rFonts w:hint="eastAsia" w:ascii="仿宋" w:hAnsi="仿宋" w:eastAsia="仿宋" w:cs="Times New Roman"/>
          <w:color w:val="000000"/>
          <w:sz w:val="32"/>
          <w:szCs w:val="32"/>
          <w:lang w:val="en-US" w:eastAsia="zh-CN"/>
        </w:rPr>
        <w:t>。</w:t>
      </w:r>
    </w:p>
    <w:p w14:paraId="654DC12A">
      <w:pPr>
        <w:spacing w:line="580" w:lineRule="exact"/>
        <w:ind w:firstLine="640" w:firstLineChars="200"/>
        <w:rPr>
          <w:rFonts w:hint="eastAsia" w:ascii="黑体" w:hAnsi="黑体" w:eastAsia="黑体" w:cs="黑体"/>
          <w:sz w:val="32"/>
          <w:szCs w:val="32"/>
          <w:lang w:eastAsia="zh-CN"/>
        </w:rPr>
      </w:pPr>
      <w:r>
        <w:rPr>
          <w:rFonts w:ascii="黑体" w:hAnsi="黑体" w:eastAsia="黑体" w:cs="黑体"/>
          <w:sz w:val="32"/>
          <w:szCs w:val="32"/>
        </w:rPr>
        <w:t>四、评价结论及建议</w:t>
      </w:r>
    </w:p>
    <w:p w14:paraId="014ADFEC">
      <w:pPr>
        <w:keepNext w:val="0"/>
        <w:keepLines w:val="0"/>
        <w:pageBreakBefore w:val="0"/>
        <w:widowControl w:val="0"/>
        <w:kinsoku/>
        <w:wordWrap/>
        <w:overflowPunct/>
        <w:topLinePunct w:val="0"/>
        <w:autoSpaceDE/>
        <w:autoSpaceDN/>
        <w:bidi w:val="0"/>
        <w:adjustRightInd/>
        <w:snapToGrid/>
        <w:spacing w:afterAutospacing="0" w:line="580" w:lineRule="exact"/>
        <w:ind w:left="0" w:leftChars="0" w:firstLine="643" w:firstLineChars="20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sz w:val="32"/>
          <w:szCs w:val="32"/>
        </w:rPr>
        <w:t>（一）评价结论</w:t>
      </w:r>
      <w:r>
        <w:rPr>
          <w:rFonts w:hint="eastAsia" w:ascii="仿宋" w:hAnsi="仿宋" w:eastAsia="仿宋" w:cs="仿宋"/>
          <w:b/>
          <w:sz w:val="32"/>
          <w:szCs w:val="32"/>
          <w:lang w:eastAsia="zh-CN"/>
        </w:rPr>
        <w:t>：</w:t>
      </w:r>
      <w:r>
        <w:rPr>
          <w:rFonts w:hint="eastAsia" w:ascii="仿宋" w:hAnsi="仿宋" w:eastAsia="仿宋" w:cs="仿宋"/>
          <w:b w:val="0"/>
          <w:bCs/>
          <w:sz w:val="32"/>
          <w:szCs w:val="32"/>
          <w:lang w:eastAsia="zh-CN"/>
        </w:rPr>
        <w:t>本部门基本完成了</w:t>
      </w:r>
      <w:r>
        <w:rPr>
          <w:rFonts w:hint="eastAsia" w:ascii="仿宋" w:hAnsi="仿宋" w:eastAsia="仿宋" w:cs="仿宋"/>
          <w:b w:val="0"/>
          <w:bCs/>
          <w:sz w:val="32"/>
          <w:szCs w:val="32"/>
          <w:lang w:val="en-US" w:eastAsia="zh-CN"/>
        </w:rPr>
        <w:t>2019年目标管理任务；</w:t>
      </w:r>
    </w:p>
    <w:p w14:paraId="0E5DD5FA">
      <w:pPr>
        <w:keepNext w:val="0"/>
        <w:keepLines w:val="0"/>
        <w:pageBreakBefore w:val="0"/>
        <w:kinsoku/>
        <w:wordWrap/>
        <w:overflowPunct/>
        <w:topLinePunct w:val="0"/>
        <w:autoSpaceDE/>
        <w:autoSpaceDN/>
        <w:bidi w:val="0"/>
        <w:spacing w:afterAutospacing="0" w:line="580" w:lineRule="exact"/>
        <w:ind w:firstLine="321" w:firstLineChars="100"/>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rPr>
        <w:t>（二）存在问题</w:t>
      </w:r>
      <w:r>
        <w:rPr>
          <w:rFonts w:hint="eastAsia" w:ascii="仿宋" w:hAnsi="仿宋" w:eastAsia="仿宋" w:cs="仿宋"/>
          <w:b/>
          <w:sz w:val="32"/>
          <w:szCs w:val="32"/>
          <w:lang w:val="en-US" w:eastAsia="zh-CN"/>
        </w:rPr>
        <w:t>:</w:t>
      </w:r>
    </w:p>
    <w:p w14:paraId="40356107">
      <w:pPr>
        <w:keepNext w:val="0"/>
        <w:keepLines w:val="0"/>
        <w:pageBreakBefore w:val="0"/>
        <w:kinsoku/>
        <w:wordWrap/>
        <w:overflowPunct/>
        <w:topLinePunct w:val="0"/>
        <w:autoSpaceDE/>
        <w:autoSpaceDN/>
        <w:bidi w:val="0"/>
        <w:spacing w:afterAutospacing="0" w:line="580" w:lineRule="exact"/>
        <w:ind w:left="420" w:leftChars="200" w:firstLine="0" w:firstLineChars="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1、经济科目支出和收入不匹配；</w:t>
      </w:r>
    </w:p>
    <w:p w14:paraId="1BBA26A2">
      <w:pPr>
        <w:keepNext w:val="0"/>
        <w:keepLines w:val="0"/>
        <w:pageBreakBefore w:val="0"/>
        <w:kinsoku/>
        <w:wordWrap/>
        <w:overflowPunct/>
        <w:topLinePunct w:val="0"/>
        <w:autoSpaceDE/>
        <w:autoSpaceDN/>
        <w:bidi w:val="0"/>
        <w:spacing w:afterAutospacing="0" w:line="580" w:lineRule="exact"/>
        <w:ind w:left="420" w:leftChars="200" w:firstLine="0" w:firstLineChars="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2、公务卡使用不达标。</w:t>
      </w:r>
    </w:p>
    <w:p w14:paraId="0EF69836">
      <w:pPr>
        <w:keepNext w:val="0"/>
        <w:keepLines w:val="0"/>
        <w:pageBreakBefore w:val="0"/>
        <w:kinsoku/>
        <w:wordWrap/>
        <w:overflowPunct/>
        <w:topLinePunct w:val="0"/>
        <w:autoSpaceDE/>
        <w:autoSpaceDN/>
        <w:bidi w:val="0"/>
        <w:spacing w:afterAutospacing="0" w:line="580" w:lineRule="exact"/>
        <w:ind w:left="420" w:leftChars="200" w:firstLine="0" w:firstLineChars="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3、财务内部管理不完善。</w:t>
      </w:r>
    </w:p>
    <w:p w14:paraId="03C354A6">
      <w:pPr>
        <w:numPr>
          <w:ilvl w:val="0"/>
          <w:numId w:val="0"/>
        </w:numPr>
        <w:snapToGrid w:val="0"/>
        <w:spacing w:line="360" w:lineRule="auto"/>
        <w:ind w:leftChars="200"/>
        <w:rPr>
          <w:rFonts w:ascii="仿宋" w:hAnsi="仿宋" w:eastAsia="仿宋" w:cs="仿宋_GB2312"/>
          <w:b/>
          <w:bCs/>
          <w:sz w:val="32"/>
          <w:szCs w:val="32"/>
        </w:rPr>
      </w:pPr>
      <w:r>
        <w:rPr>
          <w:rFonts w:hint="eastAsia" w:ascii="仿宋" w:hAnsi="仿宋" w:eastAsia="仿宋" w:cs="仿宋_GB2312"/>
          <w:b/>
          <w:bCs/>
          <w:sz w:val="32"/>
          <w:szCs w:val="32"/>
          <w:lang w:eastAsia="zh-CN"/>
        </w:rPr>
        <w:t>（三）</w:t>
      </w:r>
      <w:r>
        <w:rPr>
          <w:rFonts w:ascii="仿宋" w:hAnsi="仿宋" w:eastAsia="仿宋" w:cs="仿宋_GB2312"/>
          <w:b/>
          <w:bCs/>
          <w:sz w:val="32"/>
          <w:szCs w:val="32"/>
        </w:rPr>
        <w:t>改进建议。</w:t>
      </w:r>
    </w:p>
    <w:p w14:paraId="0C09779E">
      <w:pPr>
        <w:keepNext w:val="0"/>
        <w:keepLines w:val="0"/>
        <w:pageBreakBefore w:val="0"/>
        <w:kinsoku/>
        <w:wordWrap/>
        <w:overflowPunct/>
        <w:topLinePunct w:val="0"/>
        <w:autoSpaceDE/>
        <w:autoSpaceDN/>
        <w:bidi w:val="0"/>
        <w:spacing w:afterAutospacing="0" w:line="580" w:lineRule="exact"/>
        <w:ind w:left="210" w:leftChars="100" w:firstLine="320" w:firstLineChars="10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1、加强预算收入和支付管理， 力争预算收入和支付的经济科目相匹配；</w:t>
      </w:r>
    </w:p>
    <w:p w14:paraId="4F948798">
      <w:pPr>
        <w:keepNext w:val="0"/>
        <w:keepLines w:val="0"/>
        <w:pageBreakBefore w:val="0"/>
        <w:kinsoku/>
        <w:wordWrap/>
        <w:overflowPunct/>
        <w:topLinePunct w:val="0"/>
        <w:autoSpaceDE/>
        <w:autoSpaceDN/>
        <w:bidi w:val="0"/>
        <w:spacing w:afterAutospacing="0" w:line="580" w:lineRule="exact"/>
        <w:ind w:left="210" w:leftChars="100" w:firstLine="320" w:firstLineChars="10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2、加强公务卡的使用，能够使用公务卡支付的尽量使用公务卡支付；</w:t>
      </w:r>
    </w:p>
    <w:p w14:paraId="1EA4D013">
      <w:pPr>
        <w:spacing w:line="580" w:lineRule="exact"/>
        <w:ind w:firstLine="640" w:firstLineChars="200"/>
        <w:rPr>
          <w:rFonts w:hint="eastAsia" w:ascii="仿宋" w:hAnsi="仿宋" w:eastAsia="仿宋" w:cs="仿宋"/>
          <w:sz w:val="32"/>
          <w:szCs w:val="32"/>
        </w:rPr>
      </w:pPr>
      <w:r>
        <w:rPr>
          <w:rFonts w:hint="eastAsia" w:ascii="仿宋" w:hAnsi="仿宋" w:eastAsia="仿宋" w:cs="仿宋"/>
          <w:b w:val="0"/>
          <w:bCs/>
          <w:sz w:val="32"/>
          <w:szCs w:val="32"/>
          <w:lang w:val="en-US" w:eastAsia="zh-CN"/>
        </w:rPr>
        <w:t>3、进一步完善单位财务管理制度，并做到严格执行。</w:t>
      </w:r>
    </w:p>
    <w:p w14:paraId="45798794">
      <w:pPr>
        <w:spacing w:line="580" w:lineRule="exact"/>
        <w:ind w:firstLine="640" w:firstLineChars="200"/>
        <w:rPr>
          <w:rFonts w:hint="eastAsia" w:ascii="仿宋" w:hAnsi="仿宋" w:eastAsia="仿宋" w:cs="仿宋"/>
          <w:sz w:val="32"/>
          <w:szCs w:val="32"/>
        </w:rPr>
      </w:pPr>
    </w:p>
    <w:p w14:paraId="3F5B986D">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14:paraId="79FD1F90">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14:paraId="0E56D883">
      <w:pPr>
        <w:ind w:firstLine="1320" w:firstLineChars="3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广元市昭化区应急管理局</w:t>
      </w:r>
    </w:p>
    <w:p w14:paraId="23422C36">
      <w:pPr>
        <w:ind w:firstLine="1320" w:firstLineChars="3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关于锋力煤矿机械化改造项目</w:t>
      </w:r>
    </w:p>
    <w:p w14:paraId="2D9355AE">
      <w:pPr>
        <w:ind w:firstLine="1320" w:firstLineChars="3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绩效</w:t>
      </w:r>
      <w:r>
        <w:rPr>
          <w:rFonts w:hint="eastAsia" w:ascii="方正小标宋简体" w:hAnsi="方正小标宋简体" w:eastAsia="方正小标宋简体" w:cs="方正小标宋简体"/>
          <w:sz w:val="44"/>
          <w:szCs w:val="44"/>
          <w:lang w:eastAsia="zh-CN"/>
        </w:rPr>
        <w:t>评价</w:t>
      </w:r>
      <w:r>
        <w:rPr>
          <w:rFonts w:hint="eastAsia" w:ascii="方正小标宋简体" w:hAnsi="方正小标宋简体" w:eastAsia="方正小标宋简体" w:cs="方正小标宋简体"/>
          <w:sz w:val="44"/>
          <w:szCs w:val="44"/>
        </w:rPr>
        <w:t>报</w:t>
      </w:r>
      <w:r>
        <w:rPr>
          <w:rFonts w:hint="eastAsia" w:ascii="方正小标宋简体" w:hAnsi="方正小标宋简体" w:eastAsia="方正小标宋简体" w:cs="方正小标宋简体"/>
          <w:sz w:val="44"/>
          <w:szCs w:val="44"/>
          <w:lang w:val="en-US" w:eastAsia="zh-CN"/>
        </w:rPr>
        <w:t>告</w:t>
      </w:r>
    </w:p>
    <w:p w14:paraId="5191B66D">
      <w:pPr>
        <w:keepNext w:val="0"/>
        <w:keepLines w:val="0"/>
        <w:pageBreakBefore w:val="0"/>
        <w:kinsoku/>
        <w:wordWrap/>
        <w:overflowPunct/>
        <w:topLinePunct w:val="0"/>
        <w:autoSpaceDE/>
        <w:autoSpaceDN/>
        <w:bidi w:val="0"/>
        <w:spacing w:afterAutospacing="0" w:line="580" w:lineRule="exact"/>
        <w:ind w:left="210" w:leftChars="100" w:firstLine="321" w:firstLineChars="1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 一、项目概况</w:t>
      </w:r>
    </w:p>
    <w:p w14:paraId="29F64E37">
      <w:pPr>
        <w:keepNext w:val="0"/>
        <w:keepLines w:val="0"/>
        <w:pageBreakBefore w:val="0"/>
        <w:kinsoku/>
        <w:wordWrap/>
        <w:overflowPunct/>
        <w:topLinePunct w:val="0"/>
        <w:autoSpaceDE/>
        <w:autoSpaceDN/>
        <w:bidi w:val="0"/>
        <w:spacing w:afterAutospacing="0" w:line="580" w:lineRule="exact"/>
        <w:ind w:left="210" w:leftChars="100" w:firstLine="320" w:firstLineChars="10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根据《四川省人民政府关于推进煤矿企业兼并重组的实施意见》（川府发〔2013〕15号）和《四川省人民政府办公厅关于进一步加强煤矿安全生产工作的实施意见》（川办发〔2015〕80号）文件精神，对小煤矿实施整合技改、兼并重组，淘汰落后产能，推进煤炭科技创新，支持对被兼并重组煤矿实施采掘机械化改造，大力促进煤炭工业产业结构调整，提升煤炭生产集约化程度和生产力水平，保障对国民经济发展的煤炭供应。为贯彻落实文件精神，改进煤矿生产工艺，提高机械化程度，提升生产水平，降低煤矿安全风险，增强矿井安全以及抗灾能力和企业发展，广元市锋力煤业有限公司依据四川省安全生产监督管理局《关于组织申报2016年四川省煤炭工业可持续发展财政专项资金项目的通知》（川安监函〔2015〕416号）文件要求，拟对井下放炮采煤作业工艺进行改造，升级为机械化采煤工艺，通过机械改造提升矿井安全生产能力，由9万吨/提升至15万吨/申并申请立项煤矿机械化改造，申报项目专项资金165万元（大写：壹佰陆拾伍万元）。</w:t>
      </w:r>
    </w:p>
    <w:p w14:paraId="1DDA3BFD">
      <w:pPr>
        <w:keepNext w:val="0"/>
        <w:keepLines w:val="0"/>
        <w:pageBreakBefore w:val="0"/>
        <w:kinsoku/>
        <w:wordWrap/>
        <w:overflowPunct/>
        <w:topLinePunct w:val="0"/>
        <w:autoSpaceDE/>
        <w:autoSpaceDN/>
        <w:bidi w:val="0"/>
        <w:spacing w:afterAutospacing="0" w:line="580" w:lineRule="exact"/>
        <w:ind w:left="210" w:leftChars="100" w:firstLine="320" w:firstLineChars="10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同时，广元市锋力煤业有限公司委托四川广信勘察设计院有限责任公司编制了《广元市锋力煤业有限公司光华煤矿机械化改造方案设计》，广元市安全生产监督管理局委托四川煤矿行业专家组对四川广信勘察设计院有限责任公司编制的《广元市锋力煤业有限公司光华煤矿机械化改造方案设计》开展评审工作，评审结论为同意通过《广元市锋力煤业有限公司光华煤矿机械化改造方案设计》审查，并以广元市安全生产监督管理《关于广元市锋力煤业有限公司光华煤矿机械化改造方案设计审查的复函》（广安监函〔2015〕173号）文件下达，批准同意专家组对四川广信勘察设计院有限责任公司编制的《广元市锋力煤业有限公司光华煤矿机械化改造方案设计》评审意见。</w:t>
      </w:r>
    </w:p>
    <w:p w14:paraId="38CB9D2F">
      <w:pPr>
        <w:keepNext w:val="0"/>
        <w:keepLines w:val="0"/>
        <w:pageBreakBefore w:val="0"/>
        <w:kinsoku/>
        <w:wordWrap/>
        <w:overflowPunct/>
        <w:topLinePunct w:val="0"/>
        <w:autoSpaceDE/>
        <w:autoSpaceDN/>
        <w:bidi w:val="0"/>
        <w:spacing w:afterAutospacing="0" w:line="580" w:lineRule="exact"/>
        <w:ind w:left="210" w:leftChars="100" w:firstLine="321" w:firstLineChars="1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二、项目绩效目标</w:t>
      </w:r>
    </w:p>
    <w:p w14:paraId="6CBA36D0">
      <w:pPr>
        <w:keepNext w:val="0"/>
        <w:keepLines w:val="0"/>
        <w:pageBreakBefore w:val="0"/>
        <w:kinsoku/>
        <w:wordWrap/>
        <w:overflowPunct/>
        <w:topLinePunct w:val="0"/>
        <w:autoSpaceDE/>
        <w:autoSpaceDN/>
        <w:bidi w:val="0"/>
        <w:spacing w:afterAutospacing="0" w:line="580" w:lineRule="exact"/>
        <w:ind w:left="210" w:leftChars="100" w:firstLine="640" w:firstLineChars="20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按照《广元市锋力煤业有限公司光华煤矿机械化改造方案设计》，该项目主要内容为：购买采煤机1台、耙岩机，完善供电、监控、通讯、防尘等系统及配套设施设备等。建设工期为61天。通过机械化改造后，实现井下机械化采煤，改善作业环境，矿井粉尘、噪音、固体废物等指标符合国家控制标准，单班作业人员减少，单班产量提升，机械化开采人工成本降低35%，产能扩大2.5倍，效率提升142%。综合成本下降28%。</w:t>
      </w:r>
    </w:p>
    <w:p w14:paraId="24AC8A5B">
      <w:pPr>
        <w:keepNext w:val="0"/>
        <w:keepLines w:val="0"/>
        <w:pageBreakBefore w:val="0"/>
        <w:kinsoku/>
        <w:wordWrap/>
        <w:overflowPunct/>
        <w:topLinePunct w:val="0"/>
        <w:autoSpaceDE/>
        <w:autoSpaceDN/>
        <w:bidi w:val="0"/>
        <w:spacing w:afterAutospacing="0" w:line="580" w:lineRule="exact"/>
        <w:ind w:left="210" w:leftChars="100" w:firstLine="640" w:firstLineChars="20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该项目于2016年开始实施至2018年验收，期间因国家化解煤炭行过剩产能政策，引导退出关闭9万吨/年及以下的小煤矿，广元市锋力煤业有限公司在2016年已完成机械化改造工作，经改造试运行，逐步完善，操作技术成熟，2017年正式投入生产运行，效果明显，当年就实现了企业扭亏为盈。2018年为实现煤炭行业脱困发展，省政府决定开展煤矿机械化改造三年攻坚行动，市政府为推进全市煤炭产业机构调整，转型升级，不断提升全市煤矿机械化程度，解决煤矿规模小、工艺落后、技术装备条件差、安全保障能力低等问题，全面提高煤矿生产力水平，促进煤矿安全生产形势持续稳定好转，制定了《全市煤矿机械化改造实施方案》，区政府按照此方案，制定了《广元市昭化区煤矿机械化改造方案》报市政批准实施。广元市锋力煤业有限公司纳入2018年机械化改造计划，完成年限2018年底。2018年7月广元市锋力煤业有限公司组织专家组对机械化改造工程进行了竣工验收，认定矿井机械化改造工程项目合格，8月经广元市安全生产监督管理局审核，同意广元市锋力煤业有限公司光华煤矿机械化改造工程验收合格结论，并以广元市安全生产监督管理局《光于广元市锋力煤业有限公司光华煤矿机械改造工程竣工验收的批复》（广安监函〔2018〕98号）文件批复区安全生产监督管理。该项目正式验收合格。</w:t>
      </w:r>
    </w:p>
    <w:p w14:paraId="06176E6E">
      <w:pPr>
        <w:keepNext w:val="0"/>
        <w:keepLines w:val="0"/>
        <w:pageBreakBefore w:val="0"/>
        <w:kinsoku/>
        <w:wordWrap/>
        <w:overflowPunct/>
        <w:topLinePunct w:val="0"/>
        <w:autoSpaceDE/>
        <w:autoSpaceDN/>
        <w:bidi w:val="0"/>
        <w:spacing w:afterAutospacing="0" w:line="580" w:lineRule="exact"/>
        <w:ind w:left="210" w:leftChars="10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三、项目资金</w:t>
      </w:r>
    </w:p>
    <w:p w14:paraId="536A3444">
      <w:pPr>
        <w:keepNext w:val="0"/>
        <w:keepLines w:val="0"/>
        <w:pageBreakBefore w:val="0"/>
        <w:kinsoku/>
        <w:wordWrap/>
        <w:overflowPunct/>
        <w:topLinePunct w:val="0"/>
        <w:autoSpaceDE/>
        <w:autoSpaceDN/>
        <w:bidi w:val="0"/>
        <w:spacing w:afterAutospacing="0" w:line="580" w:lineRule="exact"/>
        <w:ind w:left="210" w:leftChars="100" w:firstLine="640" w:firstLineChars="20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该项目申报符合省、市政策要求，实施内容与项目申报内容相符，申报目标合理可行。2018年12月，市财政下达区财政资金100万元，区财政预下达区安监局2018年四川煤炭工业可持续发展资金100万元。</w:t>
      </w:r>
    </w:p>
    <w:p w14:paraId="1B77354D">
      <w:pPr>
        <w:keepNext w:val="0"/>
        <w:keepLines w:val="0"/>
        <w:pageBreakBefore w:val="0"/>
        <w:kinsoku/>
        <w:wordWrap/>
        <w:overflowPunct/>
        <w:topLinePunct w:val="0"/>
        <w:autoSpaceDE/>
        <w:autoSpaceDN/>
        <w:bidi w:val="0"/>
        <w:spacing w:afterAutospacing="0" w:line="580" w:lineRule="exact"/>
        <w:ind w:left="210" w:leftChars="10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四、存在的问题。</w:t>
      </w:r>
    </w:p>
    <w:p w14:paraId="260C1616">
      <w:pPr>
        <w:keepNext w:val="0"/>
        <w:keepLines w:val="0"/>
        <w:pageBreakBefore w:val="0"/>
        <w:kinsoku/>
        <w:wordWrap/>
        <w:overflowPunct/>
        <w:topLinePunct w:val="0"/>
        <w:autoSpaceDE/>
        <w:autoSpaceDN/>
        <w:bidi w:val="0"/>
        <w:spacing w:afterAutospacing="0" w:line="580" w:lineRule="exact"/>
        <w:ind w:left="210" w:leftChars="100" w:firstLine="640" w:firstLineChars="200"/>
        <w:textAlignment w:val="auto"/>
        <w:outlineLvl w:val="9"/>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目前，因该项目由企业自主实施，工程竣工验收，经请示市局相关业务科室，因技改政策尚不明确，要求暂不拨付。</w:t>
      </w:r>
    </w:p>
    <w:p w14:paraId="479F3344">
      <w:pPr>
        <w:keepNext w:val="0"/>
        <w:keepLines w:val="0"/>
        <w:pageBreakBefore w:val="0"/>
        <w:kinsoku/>
        <w:wordWrap/>
        <w:overflowPunct/>
        <w:topLinePunct w:val="0"/>
        <w:autoSpaceDE/>
        <w:autoSpaceDN/>
        <w:bidi w:val="0"/>
        <w:spacing w:afterAutospacing="0" w:line="580" w:lineRule="exact"/>
        <w:ind w:left="210" w:leftChars="100"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五、绩效分析</w:t>
      </w:r>
    </w:p>
    <w:p w14:paraId="5170A495">
      <w:pPr>
        <w:keepNext w:val="0"/>
        <w:keepLines w:val="0"/>
        <w:pageBreakBefore w:val="0"/>
        <w:kinsoku/>
        <w:wordWrap/>
        <w:overflowPunct/>
        <w:topLinePunct w:val="0"/>
        <w:autoSpaceDE/>
        <w:autoSpaceDN/>
        <w:bidi w:val="0"/>
        <w:spacing w:afterAutospacing="0" w:line="580" w:lineRule="exact"/>
        <w:ind w:left="210" w:leftChars="100" w:firstLine="640" w:firstLineChars="20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1、项目已实施完成，资金支付未实现，资金效益不明显。</w:t>
      </w:r>
    </w:p>
    <w:p w14:paraId="55EFE90B">
      <w:pPr>
        <w:keepNext w:val="0"/>
        <w:keepLines w:val="0"/>
        <w:pageBreakBefore w:val="0"/>
        <w:kinsoku/>
        <w:wordWrap/>
        <w:overflowPunct/>
        <w:topLinePunct w:val="0"/>
        <w:autoSpaceDE/>
        <w:autoSpaceDN/>
        <w:bidi w:val="0"/>
        <w:spacing w:afterAutospacing="0" w:line="580" w:lineRule="exact"/>
        <w:ind w:left="210" w:leftChars="100" w:firstLine="640" w:firstLineChars="20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2、项目长期效益不明显。广元市锋力煤业有限公司虽已进行了机械化改造，也通过了相关部门组织的验收，但锋力煤矿属于国家计划关停的15万吨以下的煤矿，发挥长期效益不明显。</w:t>
      </w:r>
    </w:p>
    <w:p w14:paraId="4CB46F60">
      <w:pPr>
        <w:keepNext w:val="0"/>
        <w:keepLines w:val="0"/>
        <w:pageBreakBefore w:val="0"/>
        <w:kinsoku/>
        <w:wordWrap/>
        <w:overflowPunct/>
        <w:topLinePunct w:val="0"/>
        <w:autoSpaceDE/>
        <w:autoSpaceDN/>
        <w:bidi w:val="0"/>
        <w:spacing w:afterAutospacing="0" w:line="580" w:lineRule="exact"/>
        <w:ind w:left="210" w:leftChars="100" w:firstLine="320" w:firstLineChars="100"/>
        <w:textAlignment w:val="auto"/>
        <w:outlineLvl w:val="9"/>
        <w:rPr>
          <w:rFonts w:hint="eastAsia" w:ascii="仿宋" w:hAnsi="仿宋" w:eastAsia="仿宋" w:cs="仿宋"/>
          <w:b w:val="0"/>
          <w:bCs/>
          <w:sz w:val="32"/>
          <w:szCs w:val="32"/>
          <w:lang w:val="en-US" w:eastAsia="zh-CN"/>
        </w:rPr>
      </w:pPr>
    </w:p>
    <w:p w14:paraId="42ABAA45">
      <w:pPr>
        <w:keepNext w:val="0"/>
        <w:keepLines w:val="0"/>
        <w:pageBreakBefore w:val="0"/>
        <w:kinsoku/>
        <w:wordWrap/>
        <w:overflowPunct/>
        <w:topLinePunct w:val="0"/>
        <w:autoSpaceDE/>
        <w:autoSpaceDN/>
        <w:bidi w:val="0"/>
        <w:spacing w:afterAutospacing="0" w:line="580" w:lineRule="exact"/>
        <w:ind w:left="210" w:leftChars="100" w:firstLine="320" w:firstLineChars="100"/>
        <w:textAlignment w:val="auto"/>
        <w:outlineLvl w:val="9"/>
        <w:rPr>
          <w:rFonts w:hint="eastAsia" w:ascii="仿宋" w:hAnsi="仿宋" w:eastAsia="仿宋" w:cs="仿宋"/>
          <w:b w:val="0"/>
          <w:bCs/>
          <w:sz w:val="32"/>
          <w:szCs w:val="32"/>
          <w:lang w:val="en-US" w:eastAsia="zh-CN"/>
        </w:rPr>
      </w:pPr>
    </w:p>
    <w:p w14:paraId="7F11EFFE">
      <w:pPr>
        <w:spacing w:line="580" w:lineRule="exact"/>
        <w:ind w:firstLine="640" w:firstLineChars="200"/>
        <w:rPr>
          <w:rFonts w:ascii="仿宋_GB2312" w:hAnsi="仿宋_GB2312" w:eastAsia="仿宋_GB2312" w:cs="仿宋_GB2312"/>
          <w:sz w:val="32"/>
          <w:szCs w:val="32"/>
        </w:rPr>
      </w:pPr>
    </w:p>
    <w:p w14:paraId="3970DC4E">
      <w:pPr>
        <w:spacing w:line="600" w:lineRule="exact"/>
        <w:jc w:val="center"/>
        <w:rPr>
          <w:rFonts w:hint="eastAsia" w:ascii="方正小标宋简体" w:hAnsi="宋体" w:eastAsia="方正小标宋简体"/>
          <w:color w:val="000000"/>
          <w:kern w:val="0"/>
          <w:sz w:val="44"/>
          <w:szCs w:val="44"/>
        </w:rPr>
      </w:pPr>
    </w:p>
    <w:p w14:paraId="75BC4C2C">
      <w:pPr>
        <w:spacing w:line="580" w:lineRule="exact"/>
        <w:ind w:firstLine="640"/>
        <w:rPr>
          <w:rFonts w:ascii="仿宋_GB2312" w:hAnsi="仿宋_GB2312" w:eastAsia="仿宋_GB2312" w:cs="仿宋_GB2312"/>
          <w:sz w:val="32"/>
          <w:szCs w:val="32"/>
        </w:rPr>
      </w:pPr>
    </w:p>
    <w:p w14:paraId="482091D4">
      <w:pPr>
        <w:widowControl/>
        <w:jc w:val="left"/>
        <w:rPr>
          <w:rStyle w:val="24"/>
          <w:rFonts w:ascii="黑体" w:hAnsi="黑体" w:eastAsia="黑体"/>
          <w:b w:val="0"/>
        </w:rPr>
      </w:pPr>
    </w:p>
    <w:p w14:paraId="35310E1B">
      <w:pPr>
        <w:widowControl/>
        <w:jc w:val="left"/>
        <w:rPr>
          <w:rStyle w:val="24"/>
          <w:rFonts w:ascii="黑体" w:hAnsi="黑体" w:eastAsia="黑体"/>
          <w:b w:val="0"/>
        </w:rPr>
      </w:pPr>
      <w:r>
        <w:rPr>
          <w:rStyle w:val="24"/>
          <w:rFonts w:ascii="黑体" w:hAnsi="黑体" w:eastAsia="黑体"/>
          <w:b w:val="0"/>
        </w:rPr>
        <w:br w:type="page"/>
      </w:r>
    </w:p>
    <w:p w14:paraId="5DDDEB23">
      <w:pPr>
        <w:spacing w:line="600" w:lineRule="exact"/>
        <w:jc w:val="center"/>
        <w:outlineLvl w:val="0"/>
        <w:rPr>
          <w:rStyle w:val="24"/>
          <w:rFonts w:ascii="黑体" w:hAnsi="黑体" w:eastAsia="黑体"/>
          <w:b w:val="0"/>
        </w:rPr>
      </w:pPr>
    </w:p>
    <w:p w14:paraId="506E4AA6">
      <w:pPr>
        <w:spacing w:line="600" w:lineRule="exact"/>
        <w:jc w:val="center"/>
        <w:outlineLvl w:val="0"/>
        <w:rPr>
          <w:rStyle w:val="24"/>
          <w:rFonts w:ascii="黑体" w:hAnsi="黑体" w:eastAsia="黑体"/>
          <w:b w:val="0"/>
        </w:rPr>
      </w:pPr>
      <w:bookmarkStart w:id="54"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2"/>
      <w:bookmarkEnd w:id="54"/>
    </w:p>
    <w:p w14:paraId="3F545DF9">
      <w:pPr>
        <w:spacing w:line="600" w:lineRule="exact"/>
        <w:jc w:val="center"/>
        <w:outlineLvl w:val="0"/>
        <w:rPr>
          <w:rFonts w:ascii="仿宋" w:hAnsi="仿宋" w:eastAsia="仿宋"/>
          <w:b/>
          <w:color w:val="000000"/>
          <w:sz w:val="44"/>
          <w:szCs w:val="44"/>
        </w:rPr>
      </w:pPr>
    </w:p>
    <w:p w14:paraId="78ACD14F">
      <w:pPr>
        <w:pStyle w:val="3"/>
        <w:rPr>
          <w:rFonts w:ascii="仿宋" w:hAnsi="仿宋" w:eastAsia="仿宋"/>
          <w:color w:val="000000"/>
        </w:rPr>
      </w:pPr>
      <w:bookmarkStart w:id="55"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5"/>
    </w:p>
    <w:p w14:paraId="3B3C9666">
      <w:pPr>
        <w:pStyle w:val="3"/>
        <w:rPr>
          <w:rFonts w:ascii="仿宋" w:hAnsi="仿宋" w:eastAsia="仿宋"/>
          <w:color w:val="000000"/>
        </w:rPr>
      </w:pPr>
      <w:bookmarkStart w:id="56"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56"/>
    </w:p>
    <w:p w14:paraId="3E6B1335">
      <w:pPr>
        <w:pStyle w:val="3"/>
        <w:rPr>
          <w:rFonts w:ascii="仿宋" w:hAnsi="仿宋" w:eastAsia="仿宋"/>
          <w:color w:val="000000"/>
        </w:rPr>
      </w:pPr>
      <w:bookmarkStart w:id="57"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57"/>
    </w:p>
    <w:p w14:paraId="6C9D52CD">
      <w:pPr>
        <w:pStyle w:val="3"/>
        <w:rPr>
          <w:rFonts w:ascii="仿宋" w:hAnsi="仿宋" w:eastAsia="仿宋"/>
          <w:b w:val="0"/>
          <w:color w:val="000000"/>
        </w:rPr>
      </w:pPr>
      <w:bookmarkStart w:id="58"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58"/>
    </w:p>
    <w:p w14:paraId="4D705886">
      <w:pPr>
        <w:pStyle w:val="3"/>
        <w:rPr>
          <w:rStyle w:val="25"/>
          <w:rFonts w:ascii="仿宋" w:hAnsi="仿宋" w:eastAsia="仿宋"/>
          <w:b w:val="0"/>
          <w:bCs w:val="0"/>
        </w:rPr>
      </w:pPr>
      <w:bookmarkStart w:id="59"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59"/>
      <w:bookmarkStart w:id="60" w:name="_Toc15396624"/>
    </w:p>
    <w:p w14:paraId="565A55FB">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0"/>
    </w:p>
    <w:p w14:paraId="1B725F52">
      <w:pPr>
        <w:pStyle w:val="3"/>
        <w:rPr>
          <w:rFonts w:ascii="仿宋" w:hAnsi="仿宋" w:eastAsia="仿宋"/>
          <w:color w:val="000000"/>
        </w:rPr>
      </w:pPr>
      <w:bookmarkStart w:id="61"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1"/>
    </w:p>
    <w:p w14:paraId="079D6C12">
      <w:pPr>
        <w:pStyle w:val="3"/>
        <w:rPr>
          <w:rFonts w:ascii="仿宋" w:hAnsi="仿宋" w:eastAsia="仿宋"/>
          <w:color w:val="000000"/>
        </w:rPr>
      </w:pPr>
      <w:bookmarkStart w:id="62"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2"/>
    </w:p>
    <w:p w14:paraId="67B42D72">
      <w:pPr>
        <w:pStyle w:val="3"/>
        <w:rPr>
          <w:rFonts w:ascii="仿宋" w:hAnsi="仿宋" w:eastAsia="仿宋"/>
          <w:color w:val="000000"/>
        </w:rPr>
      </w:pPr>
      <w:bookmarkStart w:id="63"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3"/>
    </w:p>
    <w:p w14:paraId="7BCA276C">
      <w:pPr>
        <w:pStyle w:val="3"/>
        <w:rPr>
          <w:rFonts w:ascii="仿宋" w:hAnsi="仿宋" w:eastAsia="仿宋"/>
          <w:color w:val="000000"/>
        </w:rPr>
      </w:pPr>
      <w:bookmarkStart w:id="64"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4"/>
    </w:p>
    <w:p w14:paraId="5D328377">
      <w:pPr>
        <w:pStyle w:val="3"/>
        <w:rPr>
          <w:rFonts w:ascii="仿宋" w:hAnsi="仿宋" w:eastAsia="仿宋"/>
          <w:color w:val="000000"/>
        </w:rPr>
      </w:pPr>
      <w:bookmarkStart w:id="65"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5"/>
    </w:p>
    <w:p w14:paraId="62751425">
      <w:pPr>
        <w:pStyle w:val="3"/>
        <w:rPr>
          <w:rFonts w:ascii="仿宋" w:hAnsi="仿宋" w:eastAsia="仿宋"/>
          <w:color w:val="000000"/>
        </w:rPr>
      </w:pPr>
      <w:bookmarkStart w:id="66"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6"/>
    </w:p>
    <w:p w14:paraId="15D6151D">
      <w:pPr>
        <w:pStyle w:val="3"/>
        <w:rPr>
          <w:rFonts w:ascii="仿宋" w:hAnsi="仿宋" w:eastAsia="仿宋"/>
          <w:color w:val="000000" w:themeColor="text1"/>
          <w14:textFill>
            <w14:solidFill>
              <w14:schemeClr w14:val="tx1"/>
            </w14:solidFill>
          </w14:textFill>
        </w:rPr>
      </w:pPr>
      <w:bookmarkStart w:id="67"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67"/>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213239-6EFE-462F-BEF2-E7046F90F1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5F76894-42BB-47A1-A29C-69BA21F55819}"/>
  </w:font>
  <w:font w:name="Cambria">
    <w:panose1 w:val="02040503050406030204"/>
    <w:charset w:val="00"/>
    <w:family w:val="roman"/>
    <w:pitch w:val="default"/>
    <w:sig w:usb0="E00006FF" w:usb1="420024FF" w:usb2="02000000" w:usb3="00000000" w:csb0="2000019F" w:csb1="00000000"/>
    <w:embedRegular r:id="rId3" w:fontKey="{CACEC1FF-DA9C-4C6D-8810-0F5EA7529441}"/>
  </w:font>
  <w:font w:name="仿宋_GB2312">
    <w:altName w:val="仿宋"/>
    <w:panose1 w:val="02010609030101010101"/>
    <w:charset w:val="86"/>
    <w:family w:val="modern"/>
    <w:pitch w:val="default"/>
    <w:sig w:usb0="00000000" w:usb1="00000000" w:usb2="00000000" w:usb3="00000000" w:csb0="00040000" w:csb1="00000000"/>
    <w:embedRegular r:id="rId4" w:fontKey="{033375AC-2CAE-43BB-84AA-B0833D2C71F7}"/>
  </w:font>
  <w:font w:name="仿宋">
    <w:panose1 w:val="02010609060101010101"/>
    <w:charset w:val="86"/>
    <w:family w:val="modern"/>
    <w:pitch w:val="default"/>
    <w:sig w:usb0="800002BF" w:usb1="38CF7CFA" w:usb2="00000016" w:usb3="00000000" w:csb0="00040001" w:csb1="00000000"/>
    <w:embedRegular r:id="rId5" w:fontKey="{88C3CD5C-9FCD-4B13-90A0-AB15076B4CDB}"/>
  </w:font>
  <w:font w:name="方正小标宋简体">
    <w:panose1 w:val="02000000000000000000"/>
    <w:charset w:val="86"/>
    <w:family w:val="script"/>
    <w:pitch w:val="default"/>
    <w:sig w:usb0="00000001" w:usb1="08000000" w:usb2="00000000" w:usb3="00000000" w:csb0="00040000" w:csb1="00000000"/>
    <w:embedRegular r:id="rId6" w:fontKey="{5971CAA9-853D-43F3-BE6D-BB8F1CE1B640}"/>
  </w:font>
  <w:font w:name="楷体">
    <w:panose1 w:val="02010609060101010101"/>
    <w:charset w:val="86"/>
    <w:family w:val="auto"/>
    <w:pitch w:val="default"/>
    <w:sig w:usb0="800002BF" w:usb1="38CF7CFA" w:usb2="00000016" w:usb3="00000000" w:csb0="00040001" w:csb1="00000000"/>
    <w:embedRegular r:id="rId7" w:fontKey="{41A9BEF8-E064-4FB3-AD6A-6A56B83526CF}"/>
  </w:font>
  <w:font w:name="方正楷体简体">
    <w:altName w:val="楷体_GB2312"/>
    <w:panose1 w:val="02010601030101010101"/>
    <w:charset w:val="86"/>
    <w:family w:val="auto"/>
    <w:pitch w:val="default"/>
    <w:sig w:usb0="00000000" w:usb1="00000000" w:usb2="00000000" w:usb3="00000000" w:csb0="00040000" w:csb1="00000000"/>
    <w:embedRegular r:id="rId8" w:fontKey="{52865346-422D-48D6-9D3B-46298E499FB1}"/>
  </w:font>
  <w:font w:name="楷体_GB2312">
    <w:panose1 w:val="02010609030101010101"/>
    <w:charset w:val="86"/>
    <w:family w:val="modern"/>
    <w:pitch w:val="default"/>
    <w:sig w:usb0="00000001" w:usb1="080E0000" w:usb2="00000000" w:usb3="00000000" w:csb0="00040000" w:csb1="00000000"/>
    <w:embedRegular r:id="rId9" w:fontKey="{5C27825E-FE1E-4B61-AE33-9874E697C5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DDBF462">
        <w:pPr>
          <w:pStyle w:val="8"/>
          <w:jc w:val="center"/>
        </w:pPr>
        <w:r>
          <w:fldChar w:fldCharType="begin"/>
        </w:r>
        <w:r>
          <w:instrText xml:space="preserve">PAGE   \* MERGEFORMAT</w:instrText>
        </w:r>
        <w:r>
          <w:fldChar w:fldCharType="separate"/>
        </w:r>
        <w:r>
          <w:rPr>
            <w:lang w:val="zh-CN"/>
          </w:rPr>
          <w:t>24</w:t>
        </w:r>
        <w:r>
          <w:fldChar w:fldCharType="end"/>
        </w:r>
      </w:p>
    </w:sdtContent>
  </w:sdt>
  <w:p w14:paraId="7AF3E912">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69770">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2C4FF"/>
    <w:multiLevelType w:val="singleLevel"/>
    <w:tmpl w:val="C282C4FF"/>
    <w:lvl w:ilvl="0" w:tentative="0">
      <w:start w:val="2"/>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000000D"/>
    <w:multiLevelType w:val="multilevel"/>
    <w:tmpl w:val="0000000D"/>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
    <w:nsid w:val="7FD6DD83"/>
    <w:multiLevelType w:val="singleLevel"/>
    <w:tmpl w:val="7FD6DD83"/>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B6858FF"/>
    <w:rsid w:val="0C8278F6"/>
    <w:rsid w:val="0D3E50CF"/>
    <w:rsid w:val="0F9C6A67"/>
    <w:rsid w:val="10C055FF"/>
    <w:rsid w:val="15DC4638"/>
    <w:rsid w:val="16BB723D"/>
    <w:rsid w:val="17E63434"/>
    <w:rsid w:val="1ADF3210"/>
    <w:rsid w:val="1B9F33C1"/>
    <w:rsid w:val="1E5D7CB1"/>
    <w:rsid w:val="240371BF"/>
    <w:rsid w:val="25C047FA"/>
    <w:rsid w:val="26112000"/>
    <w:rsid w:val="29F97833"/>
    <w:rsid w:val="29FD04D3"/>
    <w:rsid w:val="2F9468D7"/>
    <w:rsid w:val="2FC343FC"/>
    <w:rsid w:val="319F7F4E"/>
    <w:rsid w:val="40070797"/>
    <w:rsid w:val="41833457"/>
    <w:rsid w:val="48194A63"/>
    <w:rsid w:val="4ECE2238"/>
    <w:rsid w:val="514D7679"/>
    <w:rsid w:val="5474701B"/>
    <w:rsid w:val="58216BBB"/>
    <w:rsid w:val="5C4F4190"/>
    <w:rsid w:val="61005736"/>
    <w:rsid w:val="66CA68F0"/>
    <w:rsid w:val="67816F42"/>
    <w:rsid w:val="6E94430D"/>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公文主体"/>
    <w:basedOn w:val="1"/>
    <w:qFormat/>
    <w:uiPriority w:val="0"/>
    <w:pPr>
      <w:ind w:firstLine="200"/>
    </w:pPr>
    <w:rPr>
      <w:rFonts w:ascii="仿宋_GB2312" w:hAnsi="仿宋_GB2312" w:eastAsia="仿宋_GB231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32</Pages>
  <Words>13447</Words>
  <Characters>14227</Characters>
  <Lines>7</Lines>
  <Paragraphs>17</Paragraphs>
  <TotalTime>5</TotalTime>
  <ScaleCrop>false</ScaleCrop>
  <LinksUpToDate>false</LinksUpToDate>
  <CharactersWithSpaces>14271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昭化融媒体</cp:lastModifiedBy>
  <cp:lastPrinted>2020-07-23T02:58:00Z</cp:lastPrinted>
  <dcterms:modified xsi:type="dcterms:W3CDTF">2024-12-26T01:03:20Z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187711042C864F09AA6AEFF17A4A69B9_12</vt:lpwstr>
  </property>
  <property fmtid="{D5CDD505-2E9C-101B-9397-08002B2CF9AE}" pid="4" name="KSOTemplateDocerSaveRecord">
    <vt:lpwstr>eyJoZGlkIjoiMGVhYTg4NGNkZWJkODFjNzcyZDRjM2M4Y2UzNjI5ZmUiLCJ1c2VySWQiOiI2MTE2MzEwMDYifQ==</vt:lpwstr>
  </property>
</Properties>
</file>