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96597"/>
      <w:bookmarkStart w:id="2" w:name="_Toc15377193"/>
      <w:bookmarkStart w:id="3" w:name="_Toc15377425"/>
      <w:bookmarkStart w:id="4" w:name="_Toc15378441"/>
      <w:bookmarkStart w:id="5" w:name="_Toc15396475"/>
      <w:r>
        <w:rPr>
          <w:rFonts w:ascii="黑体" w:hAnsi="黑体" w:eastAsia="黑体"/>
          <w:color w:val="000000"/>
          <w:sz w:val="52"/>
          <w:szCs w:val="52"/>
        </w:rPr>
        <w:t>201</w:t>
      </w:r>
      <w:r>
        <w:rPr>
          <w:rFonts w:hint="eastAsia" w:ascii="黑体" w:hAnsi="黑体" w:eastAsia="黑体"/>
          <w:color w:val="000000"/>
          <w:sz w:val="52"/>
          <w:szCs w:val="52"/>
        </w:rPr>
        <w:t>8</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194"/>
      <w:bookmarkStart w:id="7" w:name="_Toc15377426"/>
      <w:bookmarkStart w:id="8" w:name="_Toc15396598"/>
      <w:bookmarkStart w:id="9" w:name="_Toc15378442"/>
      <w:bookmarkStart w:id="10" w:name="_Toc15396476"/>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rPr>
        <w:t>广元市昭化区残疾人联合会部门决算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公开时间：2019年9月24日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7</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十、</w:t>
      </w:r>
      <w:r>
        <w:rPr>
          <w:rStyle w:val="16"/>
          <w:rFonts w:hint="eastAsia" w:ascii="仿宋" w:hAnsi="仿宋" w:eastAsia="仿宋"/>
          <w:sz w:val="28"/>
          <w:szCs w:val="28"/>
        </w:rPr>
        <w:t xml:space="preserve"> 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rPr>
          <w:rFonts w:hint="eastAsia"/>
        </w:rPr>
        <w:t>16</w:t>
      </w:r>
      <w:r>
        <w:rPr>
          <w:rFonts w:hint="eastAsia"/>
        </w:rP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rPr>
      </w:pPr>
    </w:p>
    <w:p>
      <w:pPr>
        <w:pStyle w:val="11"/>
        <w:ind w:left="0" w:leftChars="0" w:firstLine="0" w:firstLineChars="0"/>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rPr>
          <w:rFonts w:hint="eastAsia"/>
        </w:rPr>
        <w:t>26</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spacing w:line="600" w:lineRule="exact"/>
        <w:ind w:firstLine="640" w:firstLineChars="200"/>
        <w:rPr>
          <w:rFonts w:ascii="仿宋" w:hAnsi="仿宋" w:eastAsia="仿宋"/>
          <w:color w:val="000000"/>
          <w:sz w:val="32"/>
          <w:szCs w:val="32"/>
        </w:rPr>
      </w:pPr>
      <w:bookmarkStart w:id="16" w:name="_Toc15377198"/>
      <w:bookmarkStart w:id="17" w:name="_Toc15378445"/>
      <w:r>
        <w:rPr>
          <w:rFonts w:hint="eastAsia" w:ascii="仿宋" w:hAnsi="仿宋" w:eastAsia="仿宋"/>
          <w:color w:val="000000"/>
          <w:sz w:val="32"/>
          <w:szCs w:val="32"/>
        </w:rPr>
        <w:t>（一）主要职能。</w:t>
      </w:r>
      <w:bookmarkEnd w:id="16"/>
      <w:bookmarkEnd w:id="17"/>
      <w:r>
        <w:rPr>
          <w:rFonts w:hint="eastAsia" w:ascii="仿宋" w:hAnsi="仿宋" w:eastAsia="仿宋"/>
          <w:color w:val="000000"/>
          <w:sz w:val="32"/>
          <w:szCs w:val="32"/>
        </w:rPr>
        <w:t>一是贯彻落实《中华人民共和国残疾人保障法》，开展残疾人康复、教育、培训、劳动就业、扶贫、文化、体育、辅助器具供应、社会保障、残疾预防和无障碍设施协调等工作，创造良好环境和条件，扶助残疾人平等参与社会活动。二是参与研究和撰写全区助残规范性文件、发展规划、年度计划和对有关业务领域的工作进行指导和管理。听取残疾人意见，反映残疾人需求，维护残疾人合法权益，为残疾人提供服务。三是团结、教育遵守法律、履行义务，发扬乐观进取精神，自尊、自信、自强、自立。四是弘扬人道主义，宣传残疾人事业，沟通政府、社会、残疾人之间的联系，动员社会理解、尊重、关心、帮助残疾人。五是承担区政府残疾人工作委员会的日常工作。开展残疾人事业的交流与合作。六是对各类残疾人社会组织进行指导、监督和管理。七是推进政务信息公开，建立健全息公开工作制度，面向社会公开有关政务信息。八是承办区委、区政府及上级业务部门交办的其它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5"/>
        <w:adjustRightInd w:val="0"/>
        <w:snapToGrid w:val="0"/>
        <w:spacing w:before="93" w:line="600" w:lineRule="exact"/>
        <w:ind w:firstLine="672" w:firstLineChars="210"/>
        <w:rPr>
          <w:rFonts w:ascii="仿宋" w:hAnsi="仿宋" w:eastAsia="仿宋"/>
          <w:sz w:val="32"/>
          <w:szCs w:val="32"/>
        </w:rPr>
      </w:pPr>
      <w:bookmarkStart w:id="18" w:name="_Toc15377199"/>
      <w:bookmarkStart w:id="19" w:name="_Toc15378446"/>
    </w:p>
    <w:p>
      <w:pPr>
        <w:pStyle w:val="5"/>
        <w:adjustRightInd w:val="0"/>
        <w:snapToGrid w:val="0"/>
        <w:spacing w:before="93" w:line="600" w:lineRule="exact"/>
        <w:ind w:firstLine="672" w:firstLineChars="210"/>
        <w:rPr>
          <w:rFonts w:hint="eastAsia" w:ascii="仿宋" w:hAnsi="仿宋" w:eastAsia="仿宋"/>
          <w:sz w:val="32"/>
          <w:szCs w:val="32"/>
        </w:rPr>
      </w:pPr>
    </w:p>
    <w:p>
      <w:pPr>
        <w:pStyle w:val="5"/>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w:t>
      </w:r>
      <w:r>
        <w:rPr>
          <w:rFonts w:hint="eastAsia" w:ascii="仿宋" w:hAnsi="仿宋" w:eastAsia="仿宋"/>
          <w:sz w:val="32"/>
          <w:szCs w:val="32"/>
        </w:rPr>
        <w:t>8年重点工作完成情况。</w:t>
      </w:r>
      <w:bookmarkEnd w:id="18"/>
      <w:bookmarkEnd w:id="19"/>
      <w:bookmarkStart w:id="20" w:name="_Toc15377200"/>
      <w:bookmarkStart w:id="21" w:name="_Toc15396601"/>
      <w:r>
        <w:rPr>
          <w:rFonts w:hint="eastAsia" w:ascii="仿宋" w:hAnsi="仿宋" w:eastAsia="仿宋"/>
          <w:sz w:val="32"/>
          <w:szCs w:val="32"/>
        </w:rPr>
        <w:t>一、扶持农村残疾人发展生产。注重农村残疾人实用技术培训，分片区对453名农村残疾人进行五期种植、养殖等生产技能培训，整个培训活动组织有序、内容实用，注重理论与实践相结合，最大程度让参训人员学有所获。东西部扶贫协作培训农村贫困残疾人，11月29日-30日，龙泉市残联到我区对接扶贫协作事宜，签订了《合作协议》，在卫子镇举办了农村残疾人及其家属实用技术培训班，卫子镇及周边乡镇共160余名残疾人及其亲属参加培训，培训效果较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鼓励残疾人居家灵活就业（创业）。鼓励引导残疾人发扬自强、自立精神，居家灵活就业（创业）1838人，完成目标任务数的101.1%，按10%的比例兑现补贴资金21.25万元，其中产业发展大户、第一次创业的给予1000元补贴，其余给予500元补贴.</w:t>
      </w:r>
    </w:p>
    <w:p>
      <w:pPr>
        <w:pStyle w:val="5"/>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三、关注残疾人家庭生活。对建档立卡贫困户中的非低保户、非五保户依据年收入与国家贫困线的差额，按照1000元、1500元、2000元3个档次发放残疾人扶贫对象生活补贴524户、60.4万元。严把重度残疾人护理补贴审核关，区民政局发放护理补贴一级2891人次、58万元，二级9101人次、146万元。全面兑现三、四级精神、智力残疾人“阳光家园”补贴530人、31.15万元。对全区10名残疾人家庭子女和残疾人上大学给资助2.5万元。建立残疾人临时救助基金，发放困难慰问金1.9万元。为36名困难残疾人发放机动轮椅车燃油补贴13140元。</w:t>
      </w:r>
    </w:p>
    <w:p>
      <w:pPr>
        <w:spacing w:line="600" w:lineRule="exact"/>
        <w:ind w:firstLine="640" w:firstLineChars="200"/>
        <w:rPr>
          <w:rFonts w:ascii="仿宋" w:hAnsi="仿宋" w:eastAsia="仿宋"/>
          <w:color w:val="000000"/>
          <w:sz w:val="32"/>
          <w:szCs w:val="32"/>
        </w:rPr>
      </w:pPr>
      <w:r>
        <w:rPr>
          <w:rFonts w:hint="eastAsia" w:ascii="仿宋" w:hAnsi="仿宋" w:eastAsia="仿宋"/>
          <w:sz w:val="32"/>
          <w:szCs w:val="32"/>
        </w:rPr>
        <w:t>四、残疾人辅具适配实现全覆盖。通过入户调研评估，</w:t>
      </w:r>
      <w:r>
        <w:rPr>
          <w:rFonts w:hint="eastAsia" w:ascii="仿宋" w:hAnsi="仿宋" w:eastAsia="仿宋"/>
          <w:color w:val="000000"/>
          <w:sz w:val="32"/>
          <w:szCs w:val="32"/>
        </w:rPr>
        <w:t>为全区有辅具需求的残疾人量身定做辅具适配方案，通过政</w:t>
      </w:r>
      <w:r>
        <w:rPr>
          <w:rFonts w:hint="eastAsia" w:ascii="仿宋" w:hAnsi="仿宋" w:eastAsia="仿宋"/>
          <w:sz w:val="32"/>
          <w:szCs w:val="32"/>
        </w:rPr>
        <w:t>府采购价值115万元的基本型辅助器具3700余件，适配残疾人1651人次，以乡镇为单位逐户发放到有需求的残疾人</w:t>
      </w:r>
      <w:r>
        <w:rPr>
          <w:rFonts w:hint="eastAsia" w:ascii="仿宋" w:hAnsi="仿宋" w:eastAsia="仿宋"/>
          <w:color w:val="000000"/>
          <w:sz w:val="32"/>
          <w:szCs w:val="32"/>
        </w:rPr>
        <w:t>手中，并且现场教会使用常识，受到残疾人及其家庭的一致好评。兑现残疾人C5驾照培训补贴10人，每人500元。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实施儿童抢救性康复救助。为全区20名0-12岁的困难家庭脑瘫儿童提供6个月的机构康复训练，每人补助1.35万元。转介1名听障儿童到省八一康复中心接受免费人工耳蜗手术植入。为3名听力残疾儿童提供助听器适配和康复训练。为4名0-6岁儿童残疾提供机构康复训练半年。</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关注困难残疾人居家服务。结合脱贫攻坚住房功能配套，在张家乡、清水乡为25户困难残疾人家庭进行改厨、改厕、出行等无障碍改造，每户补助2500元-6000元。为50名困难家庭精神残疾人提供免费服药，为60名困难家庭白内障患者提供康复手术救助，为10名困难肢体残疾人提供免费假肢安装。打造市残疾人康复示范社区—太公社区，社会组织助残“双创”示范机构—金松种养殖专合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积极参加承办省残运会。组队参加了省第九届残运会暨第四届特奥会柔力球、盲人门球、特奥足球比赛，参训运动员39人，获得5金3银1铜佳绩（柔力球金牌4枚、银牌3枚、盲人门球金牌1枚、特奥足球铜牌1枚），超额完成市下目标任务。高质量承办了省残运会羽毛球和柔力球比赛，均取得圆满成功。</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全力推进脱贫攻坚工作。逗硬落实帮扶责任制，坚持“三同”活动常态化，挤出资金13万余元，着重为清水乡艺丰村、龙凤村贫困户解决住房功能配套完善及产业扶持等问题，112户贫困户全部达到了脱贫标准。</w:t>
      </w:r>
    </w:p>
    <w:p>
      <w:pPr>
        <w:pStyle w:val="5"/>
        <w:adjustRightInd w:val="0"/>
        <w:snapToGrid w:val="0"/>
        <w:spacing w:before="93" w:line="600" w:lineRule="exact"/>
        <w:ind w:firstLine="630" w:firstLineChars="210"/>
        <w:outlineLvl w:val="2"/>
        <w:rPr>
          <w:rStyle w:val="26"/>
          <w:b w:val="0"/>
          <w:bCs w:val="0"/>
        </w:rPr>
      </w:pPr>
      <w:r>
        <w:rPr>
          <w:rFonts w:hint="eastAsia" w:ascii="黑体" w:eastAsia="黑体"/>
          <w:color w:val="000000"/>
        </w:rPr>
        <w:t>二、</w:t>
      </w:r>
      <w:r>
        <w:rPr>
          <w:rFonts w:hint="eastAsia" w:ascii="黑体" w:hAnsi="黑体" w:eastAsia="黑体"/>
          <w:color w:val="000000"/>
        </w:rPr>
        <w:t>机</w:t>
      </w:r>
      <w:r>
        <w:rPr>
          <w:rStyle w:val="26"/>
          <w:rFonts w:hint="eastAsia" w:ascii="黑体" w:hAnsi="黑体" w:eastAsia="黑体"/>
          <w:b w:val="0"/>
          <w:bCs w:val="0"/>
        </w:rPr>
        <w:t>构设置</w:t>
      </w:r>
      <w:bookmarkEnd w:id="20"/>
      <w:bookmarkEnd w:id="21"/>
    </w:p>
    <w:p>
      <w:pPr>
        <w:spacing w:line="600" w:lineRule="exact"/>
        <w:ind w:firstLine="640" w:firstLineChars="200"/>
        <w:rPr>
          <w:rFonts w:ascii="仿宋" w:hAnsi="仿宋" w:eastAsia="仿宋"/>
          <w:color w:val="000000"/>
          <w:sz w:val="32"/>
          <w:szCs w:val="32"/>
        </w:rPr>
      </w:pPr>
      <w:bookmarkStart w:id="22" w:name="_Toc15377204"/>
      <w:bookmarkStart w:id="23" w:name="_Toc15396602"/>
      <w:r>
        <w:rPr>
          <w:rFonts w:hint="eastAsia" w:ascii="仿宋" w:hAnsi="仿宋" w:eastAsia="仿宋"/>
          <w:color w:val="000000"/>
          <w:sz w:val="32"/>
          <w:szCs w:val="32"/>
        </w:rPr>
        <w:t>区残联下属二级单位1个，其中行政单位0个，参照公务员法管理的事业单位0个，其他事业单位0个。</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纳入区出残联2018年度部门决算编制范围的二级预算单位0个。</w:t>
      </w:r>
    </w:p>
    <w:p>
      <w:pPr>
        <w:ind w:firstLine="420" w:firstLineChars="200"/>
        <w:rPr>
          <w:rFonts w:ascii="黑体" w:hAnsi="黑体" w:eastAsia="仿宋_GB2312"/>
          <w:color w:val="000000"/>
          <w:highlight w:val="red"/>
        </w:rPr>
      </w:pPr>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2018年度收、支总计605.92万元。与2017年相比，收、支总计各减少182.09万元，下降23</w:t>
      </w:r>
      <w:r>
        <w:rPr>
          <w:rFonts w:ascii="仿宋" w:hAnsi="仿宋" w:eastAsia="仿宋"/>
          <w:color w:val="000000"/>
          <w:sz w:val="32"/>
          <w:szCs w:val="32"/>
        </w:rPr>
        <w:t>%</w:t>
      </w:r>
      <w:r>
        <w:rPr>
          <w:rFonts w:hint="eastAsia" w:ascii="仿宋" w:hAnsi="仿宋" w:eastAsia="仿宋"/>
          <w:color w:val="000000"/>
          <w:sz w:val="32"/>
          <w:szCs w:val="32"/>
        </w:rPr>
        <w:t>。主要变动原因是不再发放重度残疾人护理补贴。</w:t>
      </w:r>
    </w:p>
    <w:p>
      <w:pPr>
        <w:spacing w:line="600" w:lineRule="exact"/>
        <w:ind w:firstLine="640" w:firstLineChars="200"/>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8年本年收入合计382.97万元，其中：一般公共预算财政拨款收入376.12万元，占98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；政府性基金预算财政拨款收入6.85万元，占2</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8年本年支出合计382.97万元，其中：基本支出115.49万元，占30</w:t>
      </w:r>
      <w:r>
        <w:rPr>
          <w:rFonts w:ascii="仿宋" w:hAnsi="仿宋" w:eastAsia="仿宋"/>
          <w:color w:val="000000"/>
          <w:sz w:val="32"/>
          <w:szCs w:val="32"/>
        </w:rPr>
        <w:t>%</w:t>
      </w:r>
      <w:r>
        <w:rPr>
          <w:rFonts w:hint="eastAsia" w:ascii="仿宋" w:hAnsi="仿宋" w:eastAsia="仿宋"/>
          <w:color w:val="000000"/>
          <w:sz w:val="32"/>
          <w:szCs w:val="32"/>
        </w:rPr>
        <w:t>；项目支出267.48万元，占70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Start w:id="30" w:name="_Toc15377208"/>
      <w:bookmarkStart w:id="31" w:name="_Toc15396606"/>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8年财政拨款收、支总计605.93万元。与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7年相比，财政拨款收、支总计减少182.1万元，下降32</w:t>
      </w:r>
      <w:r>
        <w:rPr>
          <w:rFonts w:ascii="仿宋" w:hAnsi="仿宋" w:eastAsia="仿宋"/>
          <w:color w:val="000000"/>
          <w:sz w:val="32"/>
          <w:szCs w:val="32"/>
        </w:rPr>
        <w:t>%</w:t>
      </w:r>
      <w:r>
        <w:rPr>
          <w:rFonts w:hint="eastAsia" w:ascii="仿宋" w:hAnsi="仿宋" w:eastAsia="仿宋"/>
          <w:color w:val="000000"/>
          <w:sz w:val="32"/>
          <w:szCs w:val="32"/>
        </w:rPr>
        <w:t>。主要变动原因是不在发放重度残疾人护理补贴。</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8年一般公共预算财政拨款支出362.7万元，占本年支出合计的60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7年相比，一般公共预算财政拨款减少202.36万元，下降36</w:t>
      </w:r>
      <w:r>
        <w:rPr>
          <w:rFonts w:ascii="仿宋" w:hAnsi="仿宋" w:eastAsia="仿宋"/>
          <w:color w:val="000000"/>
          <w:sz w:val="32"/>
          <w:szCs w:val="32"/>
        </w:rPr>
        <w:t>%</w:t>
      </w:r>
      <w:r>
        <w:rPr>
          <w:rFonts w:hint="eastAsia" w:ascii="仿宋" w:hAnsi="仿宋" w:eastAsia="仿宋"/>
          <w:color w:val="000000"/>
          <w:sz w:val="32"/>
          <w:szCs w:val="32"/>
        </w:rPr>
        <w:t>。主要变动原因是不在发放重度残疾人护理补贴。</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政拨款支出362.7万元，主要用于以下方面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支出314.53万元，占87</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；医疗卫生与计划生育支出4.98万元，占1</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；住房保障支出8.02万元，占2</w:t>
      </w:r>
      <w:r>
        <w:rPr>
          <w:rFonts w:ascii="仿宋" w:hAnsi="仿宋" w:eastAsia="仿宋"/>
          <w:color w:val="000000" w:themeColor="text1"/>
          <w:sz w:val="32"/>
          <w:szCs w:val="32"/>
        </w:rPr>
        <w:t>%</w:t>
      </w:r>
      <w:r>
        <w:rPr>
          <w:rFonts w:hint="eastAsia" w:ascii="仿宋" w:hAnsi="仿宋" w:eastAsia="仿宋"/>
          <w:color w:val="000000" w:themeColor="text1"/>
          <w:sz w:val="32"/>
          <w:szCs w:val="32"/>
        </w:rPr>
        <w:t>；文化体育与传媒支出35万元，占10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bookmarkStart w:id="36" w:name="_Toc15377212"/>
      <w:r>
        <w:rPr>
          <w:rFonts w:hint="eastAsia" w:ascii="仿宋" w:hAnsi="仿宋" w:eastAsia="仿宋"/>
          <w:color w:val="000000"/>
          <w:sz w:val="32"/>
          <w:szCs w:val="32"/>
        </w:rPr>
        <w:t>（三）一般公共预算财政拨款支出决算具体情况</w:t>
      </w:r>
      <w:bookmarkEnd w:id="36"/>
    </w:p>
    <w:p>
      <w:pPr>
        <w:spacing w:line="600" w:lineRule="exact"/>
        <w:ind w:firstLine="640" w:firstLineChars="200"/>
        <w:rPr>
          <w:rFonts w:ascii="仿宋" w:hAnsi="仿宋" w:eastAsia="仿宋"/>
          <w:color w:val="000000"/>
          <w:sz w:val="32"/>
          <w:szCs w:val="32"/>
        </w:rPr>
      </w:pPr>
      <w:bookmarkStart w:id="37" w:name="_Toc15377213"/>
      <w:bookmarkStart w:id="38" w:name="_Toc15378460"/>
      <w:bookmarkStart w:id="39" w:name="_Toc15377444"/>
      <w:r>
        <w:rPr>
          <w:rFonts w:hint="eastAsia" w:ascii="仿宋" w:hAnsi="仿宋" w:eastAsia="仿宋"/>
          <w:color w:val="000000"/>
          <w:sz w:val="32"/>
          <w:szCs w:val="32"/>
        </w:rPr>
        <w:t>2018年一般公共预算支出决算数为362.7万元，完成预算100</w:t>
      </w:r>
      <w:r>
        <w:rPr>
          <w:rFonts w:ascii="仿宋" w:hAnsi="仿宋" w:eastAsia="仿宋"/>
          <w:color w:val="000000"/>
          <w:sz w:val="32"/>
          <w:szCs w:val="32"/>
        </w:rPr>
        <w:t>%</w:t>
      </w:r>
      <w:r>
        <w:rPr>
          <w:rFonts w:hint="eastAsia" w:ascii="仿宋" w:hAnsi="仿宋" w:eastAsia="仿宋"/>
          <w:color w:val="000000"/>
          <w:sz w:val="32"/>
          <w:szCs w:val="32"/>
        </w:rPr>
        <w:t>。其中：</w:t>
      </w:r>
      <w:bookmarkEnd w:id="37"/>
      <w:bookmarkEnd w:id="38"/>
      <w:bookmarkEnd w:id="39"/>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社会保障和就业（类）行政事业单位离退休（款）  机关事业单位基本养老保险缴费支出（项）:2018年决算数为12.51万元，完成预算100%</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社会保障和就业（类）行政事业单位离退休（款）  机关事业单位职业年金缴费支出（项）:2018年决算数为0.12万元，完成预算100%</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 社会保障和就业（类）残疾人事业（款）行政运行（项）：2018年决算数为89.68万元，完成预算100%。</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4.文化体育与传媒支出（类）体育（款）其他体育支出（项）：2018年决算数为35万元，完成预算100%。</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 社会保障和就业（类）残疾人事业（款）残疾人就业和扶贫（项）：2018年决算数为80.02万元，完成预算100%。</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 社会保障和就业（类）残疾人事业（款）残疾人体育（项）：2018年决算数为67.9万元，完成预算100%。</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7社会保障和就业（类）残疾人事业（款）其他残疾人事业支出（项）：2018年决算数为64.3万元，完成预算100%。</w:t>
      </w:r>
    </w:p>
    <w:p>
      <w:pPr>
        <w:spacing w:line="600" w:lineRule="exact"/>
        <w:ind w:firstLine="422" w:firstLineChars="200"/>
        <w:rPr>
          <w:rFonts w:ascii="仿宋" w:hAnsi="仿宋" w:eastAsia="仿宋"/>
          <w:color w:val="000000"/>
          <w:sz w:val="32"/>
          <w:szCs w:val="32"/>
        </w:rPr>
      </w:pPr>
      <w:r>
        <w:rPr>
          <w:rFonts w:hint="eastAsia"/>
          <w:b/>
        </w:rPr>
        <w:t xml:space="preserve">  </w:t>
      </w:r>
      <w:r>
        <w:rPr>
          <w:rFonts w:hint="eastAsia" w:ascii="仿宋" w:hAnsi="仿宋" w:eastAsia="仿宋"/>
          <w:color w:val="000000"/>
          <w:sz w:val="32"/>
          <w:szCs w:val="32"/>
        </w:rPr>
        <w:t xml:space="preserve">  8.医疗卫生与计划生育（类）医疗保障（款）事业单位医疗（项）:2018年决算数为4.98万元，完成预算100%。</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9、住房保障（类）住房改革（款）住房公积金（项）：2018年决算数为8.20万元，完成预算100%。</w:t>
      </w:r>
    </w:p>
    <w:p>
      <w:pPr>
        <w:spacing w:line="600" w:lineRule="exact"/>
        <w:ind w:firstLine="640"/>
        <w:rPr>
          <w:rStyle w:val="26"/>
          <w:rFonts w:ascii="黑体" w:hAnsi="黑体" w:eastAsia="黑体"/>
          <w:bCs w:val="0"/>
        </w:rPr>
      </w:pPr>
      <w:bookmarkStart w:id="40" w:name="_Toc15377214"/>
      <w:bookmarkStart w:id="41" w:name="_Toc15396608"/>
      <w:r>
        <w:rPr>
          <w:rStyle w:val="26"/>
          <w:rFonts w:hint="eastAsia" w:ascii="黑体" w:hAnsi="黑体" w:eastAsia="黑体"/>
        </w:rPr>
        <w:t>六、一</w:t>
      </w:r>
      <w:r>
        <w:rPr>
          <w:rStyle w:val="26"/>
          <w:rFonts w:hint="eastAsia" w:ascii="黑体" w:hAnsi="黑体" w:eastAsia="黑体"/>
          <w:bCs w:val="0"/>
        </w:rPr>
        <w:t>般公共预算财政拨款基本支出决算情况说明</w:t>
      </w:r>
      <w:bookmarkEnd w:id="40"/>
      <w:bookmarkEnd w:id="41"/>
      <w:r>
        <w:rPr>
          <w:rStyle w:val="26"/>
          <w:rFonts w:ascii="黑体" w:hAnsi="黑体" w:eastAsia="黑体"/>
          <w:bCs w:val="0"/>
        </w:rPr>
        <w:tab/>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8年一般公共预算财政拨款基本支出115.48万元，其中：</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人员经费113.98万元，主要包括：基本工资、津贴补贴、奖金、绩效工资、机关事业单位基本养老保险缴费、职业年金缴费、职工基本医疗保险缴费、其他工资福利支出、住房公积金、生活补贴。</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公用经费1.5万元，主要包括：公务接待费支出等。</w:t>
      </w:r>
    </w:p>
    <w:p>
      <w:pPr>
        <w:spacing w:line="600" w:lineRule="exact"/>
        <w:ind w:firstLine="640"/>
        <w:rPr>
          <w:rStyle w:val="26"/>
          <w:rFonts w:ascii="黑体" w:hAnsi="黑体" w:eastAsia="黑体"/>
          <w:b w:val="0"/>
        </w:rPr>
      </w:pPr>
      <w:bookmarkStart w:id="42" w:name="_Toc15396609"/>
      <w:bookmarkStart w:id="43" w:name="_Toc15377215"/>
      <w:r>
        <w:rPr>
          <w:rStyle w:val="26"/>
          <w:rFonts w:hint="eastAsia" w:ascii="黑体" w:hAnsi="黑体" w:eastAsia="黑体"/>
        </w:rPr>
        <w:t>七、</w:t>
      </w:r>
      <w:r>
        <w:rPr>
          <w:rStyle w:val="26"/>
          <w:rFonts w:hint="eastAsia" w:ascii="黑体" w:hAnsi="黑体" w:eastAsia="黑体"/>
          <w:b w:val="0"/>
        </w:rPr>
        <w:t>“三公”</w:t>
      </w:r>
      <w:r>
        <w:rPr>
          <w:rStyle w:val="26"/>
          <w:rFonts w:hint="eastAsia" w:ascii="黑体" w:hAnsi="黑体" w:eastAsia="黑体"/>
          <w:bCs w:val="0"/>
        </w:rPr>
        <w:t>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8年“三公”经费财政拨款支出决算为1.5万元，完成预算100</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，决算数小于预算数的主要原因是严格控制经费。</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；公务接待费支出决算1.5万元，占100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3" w:firstLineChars="200"/>
        <w:rPr>
          <w:rFonts w:ascii="仿宋" w:hAnsi="仿宋" w:eastAsia="仿宋"/>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 w:hAnsi="仿宋" w:eastAsia="仿宋"/>
          <w:color w:val="000000"/>
          <w:sz w:val="32"/>
          <w:szCs w:val="32"/>
        </w:rPr>
        <w:t>0万元，完成预算0</w:t>
      </w:r>
      <w:r>
        <w:rPr>
          <w:rFonts w:ascii="仿宋" w:hAnsi="仿宋" w:eastAsia="仿宋"/>
          <w:color w:val="000000"/>
          <w:sz w:val="32"/>
          <w:szCs w:val="32"/>
        </w:rPr>
        <w:t>%</w:t>
      </w:r>
      <w:r>
        <w:rPr>
          <w:rFonts w:hint="eastAsia" w:ascii="仿宋" w:hAnsi="仿宋" w:eastAsia="仿宋"/>
          <w:color w:val="000000"/>
          <w:sz w:val="32"/>
          <w:szCs w:val="32"/>
        </w:rPr>
        <w:t>。全年安排因公出国（境）团组0次，出国（境）0人。因公出国（境）支出决算比</w:t>
      </w:r>
      <w:r>
        <w:rPr>
          <w:rFonts w:ascii="仿宋" w:hAnsi="仿宋" w:eastAsia="仿宋"/>
          <w:color w:val="000000"/>
          <w:sz w:val="32"/>
          <w:szCs w:val="32"/>
        </w:rPr>
        <w:t>201</w:t>
      </w:r>
      <w:r>
        <w:rPr>
          <w:rFonts w:hint="eastAsia" w:ascii="仿宋" w:hAnsi="仿宋" w:eastAsia="仿宋"/>
          <w:color w:val="000000"/>
          <w:sz w:val="32"/>
          <w:szCs w:val="32"/>
        </w:rPr>
        <w:t>7年增加0万元，增长0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 w:hAnsi="仿宋" w:eastAsia="仿宋"/>
          <w:color w:val="000000"/>
          <w:sz w:val="32"/>
          <w:szCs w:val="32"/>
        </w:rPr>
        <w:t>0万元,完成预算0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w:t>
      </w:r>
      <w:r>
        <w:rPr>
          <w:rFonts w:hint="eastAsia" w:ascii="仿宋" w:hAnsi="仿宋" w:eastAsia="仿宋"/>
          <w:color w:val="000000"/>
          <w:sz w:val="32"/>
          <w:szCs w:val="32"/>
        </w:rPr>
        <w:t>7年减少0万元，下降0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w:t>
      </w:r>
      <w:r>
        <w:rPr>
          <w:rFonts w:hint="eastAsia" w:ascii="仿宋_GB2312" w:eastAsia="仿宋_GB2312"/>
          <w:color w:val="000000"/>
          <w:sz w:val="32"/>
          <w:szCs w:val="32"/>
        </w:rPr>
        <w:t>：</w:t>
      </w:r>
      <w:r>
        <w:rPr>
          <w:rFonts w:hint="eastAsia" w:ascii="仿宋_GB2312" w:eastAsia="仿宋_GB2312"/>
          <w:b/>
          <w:color w:val="000000"/>
          <w:sz w:val="32"/>
          <w:szCs w:val="32"/>
        </w:rPr>
        <w:t>公务用车购置支出</w:t>
      </w:r>
      <w:r>
        <w:rPr>
          <w:rFonts w:hint="eastAsia" w:ascii="仿宋" w:hAnsi="仿宋" w:eastAsia="仿宋"/>
          <w:color w:val="000000"/>
          <w:sz w:val="32"/>
          <w:szCs w:val="32"/>
        </w:rPr>
        <w:t>0万元。全年按规定更新购置公务用车0辆，其中：轿车0辆、金额0万元，越野车0辆、金额0万元，载客汽车0辆、金额0万元。截至</w:t>
      </w:r>
      <w:r>
        <w:rPr>
          <w:rFonts w:ascii="仿宋" w:hAnsi="仿宋" w:eastAsia="仿宋"/>
          <w:color w:val="000000"/>
          <w:sz w:val="32"/>
          <w:szCs w:val="32"/>
        </w:rPr>
        <w:t>201</w:t>
      </w:r>
      <w:r>
        <w:rPr>
          <w:rFonts w:hint="eastAsia" w:ascii="仿宋" w:hAnsi="仿宋" w:eastAsia="仿宋"/>
          <w:color w:val="000000"/>
          <w:sz w:val="32"/>
          <w:szCs w:val="32"/>
        </w:rPr>
        <w:t>8年</w:t>
      </w:r>
      <w:r>
        <w:rPr>
          <w:rFonts w:ascii="仿宋" w:hAnsi="仿宋" w:eastAsia="仿宋"/>
          <w:color w:val="000000"/>
          <w:sz w:val="32"/>
          <w:szCs w:val="32"/>
        </w:rPr>
        <w:t>12</w:t>
      </w:r>
      <w:r>
        <w:rPr>
          <w:rFonts w:hint="eastAsia" w:ascii="仿宋" w:hAnsi="仿宋" w:eastAsia="仿宋"/>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 w:hAnsi="仿宋" w:eastAsia="仿宋"/>
          <w:color w:val="000000"/>
          <w:sz w:val="32"/>
          <w:szCs w:val="32"/>
        </w:rPr>
        <w:t>0万元。</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公务接待费支出1.5</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w:t>
      </w:r>
      <w:r>
        <w:rPr>
          <w:rFonts w:hint="eastAsia" w:ascii="仿宋" w:hAnsi="仿宋" w:eastAsia="仿宋"/>
          <w:color w:val="000000"/>
          <w:sz w:val="32"/>
          <w:szCs w:val="32"/>
        </w:rPr>
        <w:t>7年持平。主要原因是严格控制费用支出。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主要用于执行公务、开展业务活动开支的交通费、住宿费、用餐费等。国内公务接待91批次，1443人次（不包括陪同人员），共计支出1.5万元，具体内容包括：接待省、市残联检查等工作支出。其中：</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0万元，外事接待0批次，0人，共计支出0万元。</w:t>
      </w:r>
    </w:p>
    <w:p>
      <w:pPr>
        <w:spacing w:line="600" w:lineRule="exact"/>
        <w:ind w:firstLine="640"/>
        <w:outlineLvl w:val="1"/>
        <w:rPr>
          <w:rFonts w:ascii="仿宋" w:hAnsi="仿宋" w:eastAsia="仿宋"/>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1.5万元。主要用于</w:t>
      </w:r>
      <w:bookmarkStart w:id="46" w:name="_Toc15377218"/>
      <w:bookmarkStart w:id="47" w:name="_Toc15396610"/>
      <w:r>
        <w:rPr>
          <w:rFonts w:hint="eastAsia" w:ascii="仿宋" w:hAnsi="仿宋" w:eastAsia="仿宋"/>
          <w:color w:val="000000"/>
          <w:sz w:val="32"/>
          <w:szCs w:val="32"/>
        </w:rPr>
        <w:t>执行公务、开展业务活动开展的交通费、住宿费、用餐费等。</w:t>
      </w:r>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8年政府性基金预算拨款支出20.27万元。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8年国有资本经营预算拨款支出0万元。</w:t>
      </w:r>
    </w:p>
    <w:p>
      <w:pPr>
        <w:spacing w:line="600" w:lineRule="exact"/>
        <w:ind w:firstLine="640"/>
        <w:rPr>
          <w:rStyle w:val="26"/>
          <w:rFonts w:ascii="黑体" w:hAnsi="黑体" w:eastAsia="黑体"/>
          <w:b w:val="0"/>
        </w:rPr>
      </w:pPr>
      <w:r>
        <w:rPr>
          <w:rStyle w:val="26"/>
          <w:rFonts w:hint="eastAsia" w:ascii="黑体" w:hAnsi="黑体" w:eastAsia="黑体"/>
          <w:b w:val="0"/>
        </w:rPr>
        <w:t>十、预算绩效情况说明</w:t>
      </w:r>
    </w:p>
    <w:p>
      <w:pPr>
        <w:spacing w:line="600" w:lineRule="exact"/>
        <w:ind w:firstLine="640"/>
        <w:rPr>
          <w:rFonts w:ascii="仿宋" w:hAnsi="仿宋" w:eastAsia="仿宋" w:cs="楷体_GB2312"/>
          <w:b/>
          <w:bCs/>
          <w:sz w:val="32"/>
          <w:szCs w:val="32"/>
        </w:rPr>
      </w:pPr>
      <w:r>
        <w:rPr>
          <w:rFonts w:hint="eastAsia" w:ascii="仿宋" w:hAnsi="仿宋" w:eastAsia="仿宋" w:cs="楷体_GB2312"/>
          <w:b/>
          <w:bCs/>
          <w:sz w:val="32"/>
          <w:szCs w:val="32"/>
        </w:rPr>
        <w:t>（一）预算绩效管理工作开展情况。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根据预算绩效管理要求，区残联在年初预算编制阶段，组织对残疾人辅具适配全覆盖试点项目开展了预算事前绩效评估，对1个项目编制了绩效目标，预算执行过程中，选取1个项目开展绩效监控，年终执行完毕后，对1个项目开展了绩效目标完成情况梳理填报。</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本部门按要求对2018年部门整体支出开展绩效自评，从评价情况来看全年来，我会开展了项目绩效自评，并将自评结果得分在办公室予以公示，本部门还自行组织了1个项目绩效评价，从评价情况来看，存在的问题：主要是业务能力待进一步提升。下一步改进措施：多派人走出去学习取经，把好的经验带回来，提升效能，提升为残疾人服务的能力</w:t>
      </w:r>
    </w:p>
    <w:p>
      <w:pPr>
        <w:spacing w:line="600" w:lineRule="exact"/>
        <w:ind w:firstLine="640"/>
        <w:rPr>
          <w:rFonts w:hint="eastAsia" w:ascii="仿宋" w:hAnsi="仿宋" w:eastAsia="仿宋" w:cs="楷体_GB2312"/>
          <w:b/>
          <w:bCs/>
          <w:sz w:val="32"/>
          <w:szCs w:val="32"/>
          <w:lang w:eastAsia="zh-CN"/>
        </w:rPr>
      </w:pPr>
      <w:r>
        <w:rPr>
          <w:rFonts w:hint="eastAsia" w:ascii="仿宋" w:hAnsi="仿宋" w:eastAsia="仿宋" w:cs="楷体_GB2312"/>
          <w:b/>
          <w:bCs/>
          <w:sz w:val="32"/>
          <w:szCs w:val="32"/>
        </w:rPr>
        <w:t>（二）项目绩效目标完成情况。</w:t>
      </w:r>
    </w:p>
    <w:p>
      <w:pPr>
        <w:spacing w:line="600" w:lineRule="exact"/>
        <w:ind w:firstLine="640"/>
        <w:rPr>
          <w:rFonts w:ascii="仿宋" w:hAnsi="仿宋" w:eastAsia="仿宋"/>
          <w:color w:val="000000"/>
          <w:sz w:val="32"/>
          <w:szCs w:val="32"/>
        </w:rPr>
      </w:pP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本部门在2018年度部门决算中反映残疾人辅具适配全覆盖试点项目1个项目绩效目标实际完成情况。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残疾人辅具适配全覆盖试点项目绩效目标完成情况综述。项目全年预算数129.32万元，执行数为115万元，完成预算的89%。通过项目实施，保障了残疾人的需求和满意度，使众多的残疾人得到了实实在在的帮助，领取各种辅具对提高残疾人提供生活处理能力具有较大的帮助，满足了众多残疾人的现实需求。残疾人辅具适配全覆盖试点项目，发现的主要问题：项目进度大大晚于实施方案进。下一步改进措施：残联应总结本次工作晚于实施方案进度的原因，加快进度及时组织人员对项目实施单位的工作验收，以发现实施单位在项目实施过程中可能存在了问题并及时纠正，更好地为广大残疾人提供服务，提高项目实施的质量。同时应制定完整绩效评价指标，即要明确项目完成的数量指标，也要明确项目完成质量指标，项目完成后社会满意度指标，并开展受益人满意度的调查，并查找受益人不满意的原因，以进一步总结工作经验教训，更好地提高工作质量。</w:t>
      </w: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240" w:lineRule="auto"/>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jc w:val="center"/>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残疾人辅具适配全覆盖试点项目</w:t>
            </w:r>
          </w:p>
          <w:p>
            <w:pPr>
              <w:widowControl/>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广元市昭化区残疾人联合会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129.32万元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129.32万元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在1-3年内对辖区95%以上有辅具适配需求的肢体、视力、听力等残疾人进行辅具适配。</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在2018年完成了对辖区95%以上有辅具适配需求的肢体、视力、听力等残疾人进行辅具适配。</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适配辅助器具的残疾人人数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≥1600人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1605人</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配发辅具合格率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残疾人生产生活能力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有所提高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有所提高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残疾人的出行和社会氛围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有所改善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有所改善</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残疾人收益对象满意度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≥98%</w:t>
            </w:r>
          </w:p>
        </w:tc>
      </w:tr>
    </w:tbl>
    <w:p>
      <w:pPr>
        <w:rPr>
          <w:rFonts w:ascii="Calibri" w:hAnsi="Calibri"/>
        </w:rPr>
      </w:pPr>
    </w:p>
    <w:p>
      <w:pPr>
        <w:spacing w:line="580" w:lineRule="exact"/>
        <w:rPr>
          <w:rFonts w:ascii="仿宋_GB2312" w:hAnsi="仿宋_GB2312" w:eastAsia="仿宋_GB2312" w:cs="仿宋_GB2312"/>
          <w:sz w:val="32"/>
          <w:szCs w:val="32"/>
        </w:rPr>
      </w:pPr>
    </w:p>
    <w:p>
      <w:pPr>
        <w:spacing w:line="580" w:lineRule="exact"/>
        <w:ind w:firstLine="321" w:firstLineChars="100"/>
        <w:rPr>
          <w:rFonts w:ascii="仿宋" w:hAnsi="仿宋" w:eastAsia="仿宋" w:cs="仿宋_GB2312"/>
          <w:sz w:val="32"/>
          <w:szCs w:val="32"/>
        </w:rPr>
      </w:pPr>
      <w:r>
        <w:rPr>
          <w:rFonts w:hint="eastAsia" w:ascii="仿宋" w:hAnsi="仿宋" w:eastAsia="仿宋" w:cs="楷体_GB2312"/>
          <w:b/>
          <w:bCs/>
          <w:sz w:val="32"/>
          <w:szCs w:val="32"/>
        </w:rPr>
        <w:t>（三）部门开展绩效评价结果。</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本部门按要求对2018年部门整体支出绩效评价情况开展自评，《区部门2018年部门整体支出绩效评价报告》见附件。</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本部门自行组织对残疾人辅具适配全覆盖试点点项目开展了绩效评价，《残疾人辅具适配全覆盖试点项目2018年绩效评价报告》见附件。</w:t>
      </w:r>
    </w:p>
    <w:p>
      <w:pPr>
        <w:spacing w:line="600" w:lineRule="exact"/>
        <w:ind w:firstLine="800" w:firstLineChars="250"/>
        <w:outlineLvl w:val="1"/>
        <w:rPr>
          <w:rFonts w:hint="eastAsia" w:ascii="黑体" w:hAnsi="黑体" w:eastAsia="黑体"/>
          <w:color w:val="000000"/>
          <w:sz w:val="32"/>
          <w:szCs w:val="32"/>
        </w:rPr>
      </w:pPr>
      <w:bookmarkStart w:id="50" w:name="_Toc15377221"/>
      <w:bookmarkStart w:id="51" w:name="_Toc15396612"/>
    </w:p>
    <w:p>
      <w:pPr>
        <w:spacing w:line="600" w:lineRule="exact"/>
        <w:ind w:firstLine="800" w:firstLineChars="250"/>
        <w:outlineLvl w:val="1"/>
        <w:rPr>
          <w:rFonts w:hint="eastAsia" w:ascii="黑体" w:hAnsi="黑体" w:eastAsia="黑体"/>
          <w:color w:val="000000"/>
          <w:sz w:val="32"/>
          <w:szCs w:val="32"/>
        </w:rPr>
      </w:pPr>
    </w:p>
    <w:p>
      <w:pPr>
        <w:spacing w:line="600" w:lineRule="exact"/>
        <w:ind w:firstLine="800" w:firstLineChars="250"/>
        <w:outlineLvl w:val="1"/>
        <w:rPr>
          <w:rFonts w:hint="eastAsia" w:ascii="黑体" w:hAnsi="黑体" w:eastAsia="黑体"/>
          <w:color w:val="000000"/>
          <w:sz w:val="32"/>
          <w:szCs w:val="32"/>
        </w:rPr>
      </w:pPr>
    </w:p>
    <w:p>
      <w:pPr>
        <w:spacing w:line="600" w:lineRule="exact"/>
        <w:ind w:firstLine="800" w:firstLineChars="250"/>
        <w:outlineLvl w:val="1"/>
        <w:rPr>
          <w:rStyle w:val="26"/>
          <w:rFonts w:ascii="黑体" w:hAnsi="黑体" w:eastAsia="黑体"/>
        </w:rPr>
      </w:pPr>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8年，区残联机关运行经费支出1.49万元，比</w:t>
      </w:r>
      <w:r>
        <w:rPr>
          <w:rFonts w:ascii="仿宋" w:hAnsi="仿宋" w:eastAsia="仿宋"/>
          <w:color w:val="000000"/>
          <w:sz w:val="32"/>
          <w:szCs w:val="32"/>
        </w:rPr>
        <w:t>201</w:t>
      </w:r>
      <w:r>
        <w:rPr>
          <w:rFonts w:hint="eastAsia" w:ascii="仿宋" w:hAnsi="仿宋" w:eastAsia="仿宋"/>
          <w:color w:val="000000"/>
          <w:sz w:val="32"/>
          <w:szCs w:val="32"/>
        </w:rPr>
        <w:t>7年减少11.28万元，下降了88%，主要原因是往年办公费超支。</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2018年度，区残联政府采购支出总额0万元，其中：政府采购货物支出0万元、政府采购工程支出0万元、政府采购服务支出0万元。主要用于残疾人居家无障碍改造。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截至2018年12月31日，区残联共有车辆0辆，其中：部级领导干部用车0辆、一般公务用车0辆、一般执法执勤用车0辆、特种专业技术用车0辆、其他用车0辆；单价50万元以上通用设备0台（套），单价100万元以上专用设备0台（套）。</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br w:type="page"/>
      </w:r>
    </w:p>
    <w:p>
      <w:pPr>
        <w:numPr>
          <w:ilvl w:val="0"/>
          <w:numId w:val="3"/>
        </w:numPr>
        <w:spacing w:line="600" w:lineRule="exact"/>
        <w:ind w:firstLine="663"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财政拨款收入：指单位从同级财政部门取得的财政预算资金。</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事业收入：指事业单位开展专业业务活动及辅助活动取得的收入。</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经营收入：指事业单位在专业业务活动及其辅助活动之外开展非独立核算经营活动取得的收入。</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其他收入：指单位取得的除上述收入以外的各项收入。</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olor w:val="000000"/>
          <w:sz w:val="32"/>
          <w:szCs w:val="32"/>
        </w:rPr>
        <w:t xml:space="preserve"> </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年初结转和结余：指以前年度尚未完成、结转到本年按有关规定继续使用的资金。</w:t>
      </w:r>
      <w:r>
        <w:rPr>
          <w:rFonts w:ascii="仿宋" w:hAnsi="仿宋" w:eastAsia="仿宋"/>
          <w:color w:val="000000"/>
          <w:sz w:val="32"/>
          <w:szCs w:val="32"/>
        </w:rPr>
        <w:t xml:space="preserve"> </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结余分配：指事业单位按照事业单位会计制度的规定从非财政补助结余中分配的事业基金和职工福利基金等。</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、年末结转和结余：指单位按有关规定结转到下年或以后年度继续使用的资金。</w:t>
      </w:r>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rPr>
        <w:t>9.社会保障和就业（类）行政事业单位离退休（款）  关事业单位基本养老保险缴费支出（项）:是指反映用于行政事业单位离退休方面的支出。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 xml:space="preserve">    10.残疾人事业（类）行政运行（款）：是反映行政单位基本支出 。</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11、残疾人事业（类）残疾人就业和扶贫（款）：反映残疾人联合会用于残疾人就业和扶贫等方面的支出；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12、残疾人事业（类）残疾人体育（款）：反映残疾人联合会用于残疾人体育方面的支出；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13、残疾人事业（类）其他残疾人事业支出（款）：反映其他残疾人事业方面的支出；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14.医疗卫生与计划生育（类）医疗保障（款）事业单位医疗（项）:是指财政部门集中安排的事业单基本医疗保险缴费经费，未参加医疗保险的事业单位的公费医疗经费，按国家规定享受离休人员待遇人员的医疗经费。</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15、住房保障（类）住房改革（款）住房公积金（项）：是指行政事业单位按人力资源和社会保障部、财政部规定的基本工资和津贴以及规定比例为职工缴纳的住房公积金。</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16、其他支出（类）彩票公益金及对应专款债务收入安排的支出（款）用于残疾人事业彩票公益金支出（项）：是指用于残疾人事业的彩票公益金支出。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17、文化体育与传媒支出（类）体育（款） 其他体育支出（项）：反映其他文化体育与传媒方面的支出。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18</w:t>
      </w:r>
      <w:r>
        <w:rPr>
          <w:rFonts w:ascii="仿宋" w:hAnsi="仿宋" w:eastAsia="仿宋"/>
          <w:color w:val="000000"/>
          <w:sz w:val="32"/>
          <w:szCs w:val="32"/>
        </w:rPr>
        <w:t>.</w:t>
      </w:r>
      <w:r>
        <w:rPr>
          <w:rFonts w:hint="eastAsia" w:ascii="仿宋" w:hAnsi="仿宋" w:eastAsia="仿宋"/>
          <w:color w:val="000000"/>
          <w:sz w:val="32"/>
          <w:szCs w:val="32"/>
        </w:rPr>
        <w:t>基本支出：指为保障机构正常运转、完成日常工作任务而发生的人员支出和公用支出。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19</w:t>
      </w:r>
      <w:r>
        <w:rPr>
          <w:rFonts w:ascii="仿宋" w:hAnsi="仿宋" w:eastAsia="仿宋"/>
          <w:color w:val="000000"/>
          <w:sz w:val="32"/>
          <w:szCs w:val="32"/>
        </w:rPr>
        <w:t>.</w:t>
      </w:r>
      <w:r>
        <w:rPr>
          <w:rFonts w:hint="eastAsia" w:ascii="仿宋" w:hAnsi="仿宋" w:eastAsia="仿宋"/>
          <w:color w:val="000000"/>
          <w:sz w:val="32"/>
          <w:szCs w:val="32"/>
        </w:rPr>
        <w:t>项目支出：指在基本支出之外为完成特定行政任务和事业发展目标所发生的支出。</w:t>
      </w:r>
      <w:r>
        <w:rPr>
          <w:rFonts w:ascii="仿宋" w:hAnsi="仿宋" w:eastAsia="仿宋"/>
          <w:color w:val="000000"/>
          <w:sz w:val="32"/>
          <w:szCs w:val="32"/>
        </w:rPr>
        <w:t xml:space="preserve"> </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20、经营支出：指事业单位在专业业务活动及其辅助活动之外开展非独立核算经营活动发生的支出。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jc w:val="center"/>
        <w:rPr>
          <w:rStyle w:val="25"/>
          <w:rFonts w:ascii="黑体" w:hAnsi="黑体" w:eastAsia="黑体"/>
          <w:b w:val="0"/>
          <w:highlight w:val="yellow"/>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黑体"/>
          <w:sz w:val="32"/>
          <w:szCs w:val="32"/>
        </w:rPr>
      </w:pPr>
      <w:bookmarkStart w:id="60" w:name="_Toc15396616"/>
      <w:r>
        <w:rPr>
          <w:rFonts w:hint="eastAsia" w:ascii="黑体" w:hAnsi="黑体" w:eastAsia="黑体" w:cs="方正小标宋简体"/>
          <w:sz w:val="36"/>
          <w:szCs w:val="36"/>
        </w:rPr>
        <w:t>区残联部门2018年部门整体支出绩效评价报告</w:t>
      </w:r>
      <w:bookmarkEnd w:id="60"/>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一、部门（单位）概况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（一）机构组成。昭化区残联是全额拨款独立核算的一级参照公务员管理事业单位，执行事业单位会计制度。区残联下属事业单位1个，即昭化区残疾人康复中心。</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二）机构职能。一是贯彻落实《中华人民共和国残疾人保障法》，开展残疾人康复、教育、培训、劳动就业、扶贫、文化、体育、辅助器具供应、社会保障、残疾预防和无障碍设施协调等工作，创造良好环境和条件，扶助残疾人平等参与社会活动。二是参与研究和撰写全区助残规范性文件、发展规划、年度计划和对有关业务领域的工作进行指导和管理。听取残疾人意见，反映残疾人需求，维护残疾人合法权益，为残疾人提供服务。三是团结、教育遵守法律、履行义务，发扬乐观进取精神，自尊、自信、自强、自立。四是弘扬人道主义，宣传残疾人事业，沟通政府、社会、残疾人之间的联系，动员社会理解、尊重、关心、帮助残疾人。五是承担区政府残疾人工作委员会的日常工作。开展残疾人事业的交流与合作。六是对各类残疾人社会组织进行指导、监督和管理。七是推进政务信息公开，建立健全息公开工作制度，面向社会公开有关政务信息。八是承办区委、区政府及上级业务部门交办的其它事项。</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三）人员概况。区残联共有编制9名，其中：行政编制7人，其他事业编制人2人。2018年预算实有在职编制内人员9人，其中：行政人员7人，其他事业人员2人。按财政供给率分，9人均为财政供给。区残联单位退休2人，行政人员2人。区残联单位其他人员三支一扶人员1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二、部门财政资金收支情况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（一）部门财政资金收入情况。2018年本年收入合计382.97万元，其中：一般公共预算财政拨款收入376.12万元，占98%；政府性基金预算财政拨款收入6.85万元，占2%。</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（二）部门财政资金支出情况。2018年本年支出合计382.97万元，其中：基本支出115.48万元，占30%；项目支出267.49万元，占70%。</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三、部门整体预算绩效管理情况（根据适用指标体系进行调整）</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（一）部门预算管理。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单位的各项收入做到应收尽收，所以收入均纳入收入科目，各项收入无需挂往来现象。单位的预算支出未发现无预算、超预算支出所以的财政资金支出均履行了严格审批手续，未发现挤占、挪用、转移财政资金行为。无擅自扩大开支范围的提高开支标准，单位的津补贴、奖金和福利均按照国家或地方的规定发放，项目支出均按照批准的项目和用途以及项目实施方案执行，无自行改变项目的内容，扩大支出的现象。无自行调整项目支出预算问题，所以项目支出合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（二）专项预算管理。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预算支出未发现无预算、超预算支出，未发现虚列支出和预算科目间相互挤占问题，所有财政资金支出均履行了严格审批手续，未发现挤占、挪用、转移财政资金行为。基本支出严格执行国家有关政策及规定，无擅自扩大开支范围的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未发现利用财政或自由资金对外借、贷款问题。</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（三）结果应用情况。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2018年残联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基本完成，在保障机关运转、履行职能职责上整体情况良好。</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通过对残联2018年部门财务管理三级指标的分析考评，残联2017年部门财务管理绩效评价得分为81.5分，综合评价结果为良级。</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四、评价结论及建议</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一）评价结论。2018年绩效目标全面完成，取得了一定的经济、社会效益。单位财务制度健全，管理规范，得到有效执行。三公经费严格按照预算编制执行，其他公用经费控制率100%以下。通过加强绩效预算，使财政资金得到有效使用，行政效率得到提高，促进了各项工作顺利开展。我部正逐步完善接待管理、会议管理、财务管理等制度，使节能降耗工作逐步走上制度化、规范化的管理轨道。上半年整体支出绩效评价：优</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在区委、区政府的正确领导下，通过努力，全部上下全体干部切实转变作风，办事更积极，态度更热情，使广大群众和服务对象满意，满意率达95%以上。我会严格执行财政财纪有关法律法规。严格执行中央八项规定要求，压缩开支，进一步规范会计核算行为，加强预算管理和执行力度，确保资金安全、有效运行，积极服务本单位发展。</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（二）存在问题：有时固定资产报废未及时申报、清理、账实上有所误差。</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（三）改进建议。1.进一步完善、明</w:t>
      </w:r>
      <w:bookmarkStart w:id="76" w:name="_GoBack"/>
      <w:bookmarkEnd w:id="76"/>
      <w:r>
        <w:rPr>
          <w:rFonts w:hint="eastAsia" w:ascii="仿宋" w:hAnsi="仿宋" w:eastAsia="仿宋"/>
          <w:color w:val="000000"/>
          <w:sz w:val="32"/>
          <w:szCs w:val="32"/>
        </w:rPr>
        <w:t>确和细化各项财务管理制度，并严格按制度执行。</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2对往来账目进行全面清理，对老旧固定资产进行报废，履行相关手续。</w:t>
      </w:r>
    </w:p>
    <w:p>
      <w:pPr>
        <w:spacing w:line="600" w:lineRule="exact"/>
        <w:ind w:firstLine="640"/>
        <w:rPr>
          <w:rFonts w:ascii="仿宋" w:hAnsi="仿宋" w:eastAsia="仿宋"/>
          <w:color w:val="000000"/>
          <w:sz w:val="32"/>
          <w:szCs w:val="32"/>
        </w:rPr>
      </w:pPr>
    </w:p>
    <w:p>
      <w:pPr>
        <w:spacing w:line="580" w:lineRule="exact"/>
        <w:ind w:firstLine="640" w:firstLineChars="200"/>
        <w:rPr>
          <w:rFonts w:ascii="宋体" w:hAnsi="宋体" w:cs="宋体"/>
          <w:sz w:val="32"/>
          <w:szCs w:val="32"/>
        </w:rPr>
      </w:pPr>
    </w:p>
    <w:p>
      <w:pPr>
        <w:widowControl/>
        <w:jc w:val="left"/>
        <w:rPr>
          <w:rStyle w:val="25"/>
          <w:rFonts w:ascii="宋体" w:hAnsi="宋体" w:cs="宋体"/>
          <w:b w:val="0"/>
          <w:bCs w:val="0"/>
          <w:kern w:val="2"/>
          <w:sz w:val="32"/>
          <w:szCs w:val="32"/>
        </w:rPr>
      </w:pPr>
      <w:r>
        <w:rPr>
          <w:rFonts w:hint="eastAsia" w:ascii="宋体" w:hAnsi="宋体" w:cs="宋体"/>
          <w:sz w:val="32"/>
          <w:szCs w:val="32"/>
        </w:rPr>
        <w:br w:type="page"/>
      </w:r>
      <w:bookmarkStart w:id="61" w:name="_Toc15396617"/>
      <w:r>
        <w:rPr>
          <w:rStyle w:val="25"/>
          <w:rFonts w:hint="eastAsia" w:ascii="宋体" w:hAnsi="宋体" w:cs="宋体"/>
          <w:b w:val="0"/>
          <w:bCs w:val="0"/>
          <w:sz w:val="32"/>
          <w:szCs w:val="32"/>
        </w:rPr>
        <w:t>附件2</w:t>
      </w:r>
      <w:bookmarkEnd w:id="61"/>
    </w:p>
    <w:p>
      <w:pPr>
        <w:spacing w:line="580" w:lineRule="exact"/>
        <w:jc w:val="center"/>
        <w:rPr>
          <w:rFonts w:ascii="宋体" w:hAnsi="宋体" w:cs="宋体"/>
          <w:sz w:val="44"/>
          <w:szCs w:val="44"/>
        </w:rPr>
      </w:pPr>
      <w:r>
        <w:rPr>
          <w:rFonts w:hint="eastAsia" w:ascii="宋体" w:hAnsi="宋体" w:cs="宋体"/>
          <w:sz w:val="44"/>
          <w:szCs w:val="44"/>
        </w:rPr>
        <w:t>2018年残疾人辅具适配全覆盖试点项目</w:t>
      </w:r>
    </w:p>
    <w:p>
      <w:pPr>
        <w:spacing w:line="580" w:lineRule="exact"/>
        <w:jc w:val="center"/>
        <w:rPr>
          <w:rFonts w:ascii="宋体" w:hAnsi="宋体" w:cs="宋体"/>
          <w:sz w:val="44"/>
          <w:szCs w:val="44"/>
        </w:rPr>
      </w:pPr>
      <w:r>
        <w:rPr>
          <w:rFonts w:hint="eastAsia" w:ascii="宋体" w:hAnsi="宋体" w:cs="宋体"/>
          <w:sz w:val="44"/>
          <w:szCs w:val="44"/>
        </w:rPr>
        <w:t>项目支出绩效评价报告</w:t>
      </w:r>
    </w:p>
    <w:p>
      <w:pPr>
        <w:spacing w:line="580" w:lineRule="exact"/>
        <w:ind w:firstLine="640" w:firstLineChars="200"/>
        <w:rPr>
          <w:rFonts w:ascii="宋体" w:hAnsi="宋体" w:cs="宋体"/>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一、评价工作开展及项目情况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根据四川省残疾人联合会川残函[2015]111号《关于确定四川省第二批残疾人辅具适配全覆盖试点县的通知》，区残联印发《关于印发〈广元市昭化区残疾人辅具适配全覆盖试点县区工作方案〉》。2017年，区财政局下达残疾人辅具适配全覆盖试点项目资129.32万元，用于昭化区在1－3年内对辖区95%以上有辅具需求的肢体、视力、听力等残疾人进行辅具适配和分部家居无障碍设施改造。2018年3月6日，区残联通过公开招标确定四川淅琳医疗器械有限公司具体实施残疾人辅具的采购和发放工作，2018年11月，四川淅琳医疗器械有限公司完成了全区29个乡镇残疾人辅具的发放工作。</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二、评价结论及绩效分析</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（一）评价结论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2018年残联残疾人辅具适配全覆盖试点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通过对残疾人辅具适配全覆盖试点项目三级指标的分析考评，该项目的绩效评价得分为85.2分(具体指标分值见附件)，综合评价结果为良级。</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（二）绩效分析</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1、项目决策</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残联成立了领导小组，印发《关于印发〈广元市昭化区残疾人辅具适配全覆盖试点县区工作方案〉》，明确项目实施进度，各部门的责任。2018年3月6日，残联通过公开招标确定四川淅琳医疗器械有限公司具体实施残疾人辅具的采购和发放工作，并对四川淅琳医疗器械有限公司的采购和发放工作进行督导。2018年11月，四川淅琳医疗器械有限公司完成了全区29个乡镇残疾人辅具的发放工作</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2、项目管理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（1）项目资金到位情况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 xml:space="preserve">2017年昭化区财政局预算指标残疾人辅具适配全覆盖试点项目资金129.32万元，残联2017年已收到该项目资金129.32万元，资金到位率100%。 </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（2）项目资金使用情况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截止2017年12月31日，已将残疾人辅具适配全覆盖试点项目资金10万元支付到项目实施人。剩余119.32万元，因项目尚未验收，未支付。</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（3）项目资金管理情况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残联制定了财务管理办法，对项目管理、资金使用提出明确规定，专项资金的支付范围、支付标准基本合规合法，支付依据基本充分。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3、项目绩效</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建议残联应总结本次工作晚于实施方案进度的原因，加快进度及时组织人员对项目实施单位的工作验收，以发现实施单位在项目实施过程中可能存在了问题并及时纠正，更好地为广大残疾人提供服务，提高项目实施的质量</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三、存在主要问题：残联应制定完整绩效评价指标，即要明确项目完成的数量指标，也要明确项目完成质量指标，项目完成后社会满意度指标，并开展受益人满意度的调查，并查找受益人不满意的原因，以进一步总结工作经验教训，更好地提高工作质量。</w:t>
      </w:r>
    </w:p>
    <w:p>
      <w:pPr>
        <w:spacing w:line="600" w:lineRule="exact"/>
        <w:ind w:firstLine="640"/>
        <w:rPr>
          <w:rFonts w:ascii="仿宋" w:hAnsi="仿宋" w:eastAsia="仿宋"/>
          <w:color w:val="000000"/>
        </w:rPr>
      </w:pPr>
      <w:r>
        <w:rPr>
          <w:rFonts w:hint="eastAsia" w:ascii="仿宋" w:hAnsi="仿宋" w:eastAsia="仿宋"/>
          <w:color w:val="000000"/>
          <w:sz w:val="32"/>
          <w:szCs w:val="32"/>
        </w:rPr>
        <w:t>四、相关措施建议：建议残联应总结本次项目实施方案进度慢的原因，加快进度及时组织人员对项目实施单位的工作验收，以发现实施单位在项目实施过程中可能存在了问题并及时纠正，更好地为广大残疾人提供服务，提高项目实施的质量。</w:t>
      </w:r>
    </w:p>
    <w:p>
      <w:pPr>
        <w:spacing w:line="600" w:lineRule="exact"/>
        <w:jc w:val="center"/>
        <w:outlineLvl w:val="0"/>
        <w:rPr>
          <w:rFonts w:ascii="黑体" w:hAnsi="黑体" w:eastAsia="黑体"/>
          <w:color w:val="000000"/>
          <w:sz w:val="44"/>
          <w:szCs w:val="44"/>
        </w:rPr>
      </w:pPr>
      <w:bookmarkStart w:id="62"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28BD"/>
    <w:rsid w:val="004A711F"/>
    <w:rsid w:val="004B199D"/>
    <w:rsid w:val="004B4690"/>
    <w:rsid w:val="004E0A2D"/>
    <w:rsid w:val="004E206B"/>
    <w:rsid w:val="004E6DF7"/>
    <w:rsid w:val="004F0FBD"/>
    <w:rsid w:val="00505A47"/>
    <w:rsid w:val="00512FDA"/>
    <w:rsid w:val="00520DA0"/>
    <w:rsid w:val="00565706"/>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4690F"/>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7E1"/>
    <w:rsid w:val="00885AF4"/>
    <w:rsid w:val="008939CD"/>
    <w:rsid w:val="00893A49"/>
    <w:rsid w:val="008B768C"/>
    <w:rsid w:val="008C4DB1"/>
    <w:rsid w:val="008C4EAF"/>
    <w:rsid w:val="008C5176"/>
    <w:rsid w:val="008C7FD0"/>
    <w:rsid w:val="008E1DE7"/>
    <w:rsid w:val="008E414C"/>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8679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8100D"/>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6464E"/>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5A4E25"/>
    <w:rsid w:val="039744F2"/>
    <w:rsid w:val="03E94F1D"/>
    <w:rsid w:val="07E46426"/>
    <w:rsid w:val="08254296"/>
    <w:rsid w:val="0A9D0A28"/>
    <w:rsid w:val="0F1F2185"/>
    <w:rsid w:val="10C055FF"/>
    <w:rsid w:val="166B61D4"/>
    <w:rsid w:val="16BB723D"/>
    <w:rsid w:val="19E57C20"/>
    <w:rsid w:val="1AAE2B72"/>
    <w:rsid w:val="1BB32AFC"/>
    <w:rsid w:val="1EA34AA5"/>
    <w:rsid w:val="240371BF"/>
    <w:rsid w:val="278B7583"/>
    <w:rsid w:val="287B600E"/>
    <w:rsid w:val="28F45415"/>
    <w:rsid w:val="29FD04D3"/>
    <w:rsid w:val="2ABE3D6C"/>
    <w:rsid w:val="2C1E392F"/>
    <w:rsid w:val="2E7D3D5D"/>
    <w:rsid w:val="2EE44560"/>
    <w:rsid w:val="2FA656FF"/>
    <w:rsid w:val="319F7F4E"/>
    <w:rsid w:val="393A16D9"/>
    <w:rsid w:val="3B181C9A"/>
    <w:rsid w:val="3F0070A1"/>
    <w:rsid w:val="3F124F57"/>
    <w:rsid w:val="451A5FD6"/>
    <w:rsid w:val="45286F23"/>
    <w:rsid w:val="46633742"/>
    <w:rsid w:val="477A4364"/>
    <w:rsid w:val="499F0991"/>
    <w:rsid w:val="4A703902"/>
    <w:rsid w:val="50547A17"/>
    <w:rsid w:val="50BA002B"/>
    <w:rsid w:val="533838EF"/>
    <w:rsid w:val="55C61F60"/>
    <w:rsid w:val="58E905D2"/>
    <w:rsid w:val="59655FB9"/>
    <w:rsid w:val="5D0170AB"/>
    <w:rsid w:val="5D33070C"/>
    <w:rsid w:val="5FCA632C"/>
    <w:rsid w:val="62602153"/>
    <w:rsid w:val="64206676"/>
    <w:rsid w:val="68312934"/>
    <w:rsid w:val="71304DE3"/>
    <w:rsid w:val="71A462D2"/>
    <w:rsid w:val="74DE774B"/>
    <w:rsid w:val="755139A0"/>
    <w:rsid w:val="7AF71518"/>
    <w:rsid w:val="7BF56C6A"/>
    <w:rsid w:val="7ED2116D"/>
    <w:rsid w:val="7EF731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CAB1B-742E-404B-B150-E247324C922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1986</Words>
  <Characters>11321</Characters>
  <Lines>94</Lines>
  <Paragraphs>26</Paragraphs>
  <TotalTime>4</TotalTime>
  <ScaleCrop>false</ScaleCrop>
  <LinksUpToDate>false</LinksUpToDate>
  <CharactersWithSpaces>13281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DELL</cp:lastModifiedBy>
  <cp:lastPrinted>2019-08-01T00:48:00Z</cp:lastPrinted>
  <dcterms:modified xsi:type="dcterms:W3CDTF">2022-01-10T09:18:04Z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941C8907EB6F4151A1CEE3492EF8F77A</vt:lpwstr>
  </property>
</Properties>
</file>