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297E4">
      <w:pPr>
        <w:spacing w:line="600" w:lineRule="exact"/>
        <w:jc w:val="center"/>
        <w:outlineLvl w:val="0"/>
        <w:rPr>
          <w:rFonts w:ascii="方正小标宋简体" w:hAnsi="宋体" w:eastAsia="方正小标宋简体"/>
          <w:color w:val="000000"/>
          <w:sz w:val="72"/>
          <w:szCs w:val="72"/>
        </w:rPr>
      </w:pPr>
      <w:bookmarkStart w:id="0" w:name="_Toc15306267"/>
    </w:p>
    <w:p w14:paraId="439099E4">
      <w:pPr>
        <w:spacing w:line="600" w:lineRule="exact"/>
        <w:jc w:val="center"/>
        <w:outlineLvl w:val="0"/>
        <w:rPr>
          <w:rFonts w:ascii="方正小标宋简体" w:hAnsi="宋体" w:eastAsia="方正小标宋简体"/>
          <w:color w:val="000000"/>
          <w:sz w:val="72"/>
          <w:szCs w:val="72"/>
        </w:rPr>
      </w:pPr>
    </w:p>
    <w:p w14:paraId="0FB30A9E">
      <w:pPr>
        <w:spacing w:line="600" w:lineRule="exact"/>
        <w:jc w:val="center"/>
        <w:outlineLvl w:val="0"/>
        <w:rPr>
          <w:rFonts w:ascii="方正小标宋简体" w:hAnsi="宋体" w:eastAsia="方正小标宋简体"/>
          <w:color w:val="000000"/>
          <w:sz w:val="72"/>
          <w:szCs w:val="72"/>
        </w:rPr>
      </w:pPr>
    </w:p>
    <w:p w14:paraId="25F4233A">
      <w:pPr>
        <w:spacing w:line="600" w:lineRule="exact"/>
        <w:jc w:val="center"/>
        <w:outlineLvl w:val="0"/>
        <w:rPr>
          <w:rFonts w:ascii="方正小标宋简体" w:hAnsi="宋体" w:eastAsia="方正小标宋简体"/>
          <w:color w:val="000000"/>
          <w:sz w:val="72"/>
          <w:szCs w:val="72"/>
        </w:rPr>
      </w:pPr>
    </w:p>
    <w:p w14:paraId="0479D3E6">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outlineLvl w:val="0"/>
        <w:rPr>
          <w:rFonts w:ascii="黑体" w:hAnsi="黑体" w:eastAsia="黑体"/>
          <w:color w:val="000000"/>
          <w:sz w:val="72"/>
          <w:szCs w:val="72"/>
        </w:rPr>
      </w:pPr>
      <w:bookmarkStart w:id="1" w:name="_Toc15377193"/>
      <w:bookmarkStart w:id="2" w:name="_Toc15377425"/>
      <w:bookmarkStart w:id="3" w:name="_Toc15396597"/>
      <w:bookmarkStart w:id="4" w:name="_Toc15396475"/>
      <w:bookmarkStart w:id="5" w:name="_Toc15378441"/>
    </w:p>
    <w:p w14:paraId="7D7F2E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方正小标宋简体" w:hAnsi="宋体" w:eastAsia="方正小标宋简体"/>
          <w:color w:val="000000"/>
          <w:sz w:val="72"/>
          <w:szCs w:val="72"/>
        </w:rPr>
      </w:pPr>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14:paraId="2DBBA0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黑体" w:hAnsi="黑体" w:eastAsia="黑体" w:cs="Times New Roman"/>
          <w:color w:val="000000"/>
          <w:sz w:val="72"/>
          <w:szCs w:val="72"/>
          <w:lang w:val="en-US" w:eastAsia="zh-CN"/>
        </w:rPr>
      </w:pPr>
      <w:bookmarkStart w:id="6" w:name="_Toc15396598"/>
      <w:bookmarkStart w:id="7" w:name="_Toc15396476"/>
      <w:bookmarkStart w:id="8" w:name="_Toc15377426"/>
      <w:bookmarkStart w:id="9" w:name="_Toc15377194"/>
      <w:bookmarkStart w:id="10" w:name="_Toc15306268"/>
      <w:bookmarkStart w:id="11" w:name="_Toc15378442"/>
      <w:r>
        <w:rPr>
          <w:rFonts w:hint="eastAsia" w:ascii="黑体" w:hAnsi="黑体" w:eastAsia="黑体" w:cs="Times New Roman"/>
          <w:color w:val="000000"/>
          <w:sz w:val="72"/>
          <w:szCs w:val="72"/>
          <w:lang w:val="en-US" w:eastAsia="zh-CN"/>
        </w:rPr>
        <w:t>中国共产主义青年团四川省广元市昭化区委员会</w:t>
      </w:r>
    </w:p>
    <w:p w14:paraId="47741F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697ABE66">
      <w:pPr>
        <w:widowControl/>
        <w:jc w:val="both"/>
        <w:rPr>
          <w:rFonts w:ascii="黑体" w:hAnsi="黑体" w:eastAsia="黑体" w:cstheme="minorBidi"/>
          <w:sz w:val="28"/>
          <w:szCs w:val="28"/>
        </w:rPr>
      </w:pPr>
      <w:r>
        <w:rPr>
          <w:rFonts w:ascii="方正小标宋简体" w:hAnsi="宋体" w:eastAsia="方正小标宋简体"/>
          <w:color w:val="000000"/>
          <w:sz w:val="36"/>
          <w:szCs w:val="36"/>
        </w:rPr>
        <w:br w:type="page"/>
      </w:r>
    </w:p>
    <w:p w14:paraId="3474734F"/>
    <w:p w14:paraId="2AEDBF5B">
      <w:pPr>
        <w:pageBreakBefore w:val="0"/>
        <w:widowControl/>
        <w:kinsoku/>
        <w:wordWrap/>
        <w:overflowPunct/>
        <w:topLinePunct w:val="0"/>
        <w:bidi w:val="0"/>
        <w:spacing w:line="576" w:lineRule="exact"/>
        <w:jc w:val="center"/>
        <w:rPr>
          <w:rFonts w:ascii="黑体" w:hAnsi="黑体" w:eastAsia="黑体"/>
          <w:color w:val="000000"/>
          <w:sz w:val="48"/>
          <w:szCs w:val="48"/>
        </w:rPr>
      </w:pPr>
      <w:bookmarkStart w:id="12" w:name="_Toc15377196"/>
      <w:bookmarkStart w:id="13" w:name="_Toc15396599"/>
      <w:r>
        <w:rPr>
          <w:rFonts w:hint="eastAsia" w:ascii="黑体" w:hAnsi="黑体" w:eastAsia="黑体"/>
          <w:color w:val="000000"/>
          <w:sz w:val="48"/>
          <w:szCs w:val="48"/>
        </w:rPr>
        <w:t>目录</w:t>
      </w:r>
    </w:p>
    <w:p w14:paraId="43CE800C">
      <w:pPr>
        <w:pageBreakBefore w:val="0"/>
        <w:widowControl/>
        <w:kinsoku/>
        <w:wordWrap/>
        <w:overflowPunct/>
        <w:topLinePunct w:val="0"/>
        <w:autoSpaceDE/>
        <w:autoSpaceDN/>
        <w:bidi w:val="0"/>
        <w:adjustRightInd/>
        <w:snapToGrid/>
        <w:spacing w:line="576" w:lineRule="exact"/>
        <w:jc w:val="center"/>
        <w:textAlignment w:val="auto"/>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5462598E">
      <w:pPr>
        <w:pStyle w:val="11"/>
        <w:pageBreakBefore w:val="0"/>
        <w:kinsoku/>
        <w:wordWrap/>
        <w:overflowPunct/>
        <w:topLinePunct w:val="0"/>
        <w:autoSpaceDE/>
        <w:autoSpaceDN/>
        <w:bidi w:val="0"/>
        <w:adjustRightInd/>
        <w:snapToGrid/>
        <w:spacing w:before="0" w:line="576" w:lineRule="exact"/>
        <w:jc w:val="both"/>
        <w:textAlignment w:val="auto"/>
      </w:pPr>
    </w:p>
    <w:p w14:paraId="1A901A8E">
      <w:pPr>
        <w:pStyle w:val="11"/>
        <w:pageBreakBefore w:val="0"/>
        <w:kinsoku/>
        <w:wordWrap/>
        <w:overflowPunct/>
        <w:topLinePunct w:val="0"/>
        <w:autoSpaceDE/>
        <w:autoSpaceDN/>
        <w:bidi w:val="0"/>
        <w:adjustRightInd/>
        <w:snapToGrid/>
        <w:spacing w:before="0" w:line="576" w:lineRule="exact"/>
        <w:textAlignment w:val="auto"/>
        <w:rPr>
          <w:rFonts w:cstheme="minorBidi"/>
        </w:rPr>
      </w:pPr>
      <w:r>
        <w:fldChar w:fldCharType="begin"/>
      </w:r>
      <w:r>
        <w:instrText xml:space="preserve"> HYPERLINK \l "_Toc15396599" </w:instrText>
      </w:r>
      <w:r>
        <w:fldChar w:fldCharType="separate"/>
      </w:r>
      <w:r>
        <w:rPr>
          <w:rStyle w:val="23"/>
          <w:rFonts w:hint="eastAsia"/>
        </w:rPr>
        <w:t>第一部分</w:t>
      </w:r>
      <w:r>
        <w:rPr>
          <w:rStyle w:val="23"/>
        </w:rPr>
        <w:t xml:space="preserve"> </w:t>
      </w:r>
      <w:r>
        <w:rPr>
          <w:rStyle w:val="23"/>
          <w:rFonts w:hint="eastAsia"/>
        </w:rPr>
        <w:t>部门概况</w:t>
      </w:r>
      <w:r>
        <w:tab/>
      </w:r>
      <w:r>
        <w:rPr>
          <w:rFonts w:hint="eastAsia"/>
        </w:rPr>
        <w:t>4</w:t>
      </w:r>
      <w:r>
        <w:rPr>
          <w:rFonts w:hint="eastAsia"/>
        </w:rPr>
        <w:fldChar w:fldCharType="end"/>
      </w:r>
    </w:p>
    <w:p w14:paraId="1B3EDAF1">
      <w:pPr>
        <w:pStyle w:val="12"/>
        <w:pageBreakBefore w:val="0"/>
        <w:kinsoku/>
        <w:wordWrap/>
        <w:overflowPunct/>
        <w:topLinePunct w:val="0"/>
        <w:autoSpaceDE/>
        <w:autoSpaceDN/>
        <w:bidi w:val="0"/>
        <w:adjustRightInd/>
        <w:snapToGrid/>
        <w:spacing w:line="576" w:lineRule="exact"/>
        <w:textAlignment w:val="auto"/>
        <w:rPr>
          <w:rFonts w:ascii="仿宋" w:hAnsi="仿宋" w:eastAsia="仿宋" w:cstheme="minorBidi"/>
          <w:sz w:val="28"/>
          <w:szCs w:val="28"/>
        </w:rPr>
      </w:pPr>
      <w:r>
        <w:fldChar w:fldCharType="begin"/>
      </w:r>
      <w:r>
        <w:instrText xml:space="preserve"> HYPERLINK \l "_Toc15396600" </w:instrText>
      </w:r>
      <w:r>
        <w:fldChar w:fldCharType="separate"/>
      </w:r>
      <w:r>
        <w:rPr>
          <w:rStyle w:val="23"/>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lang w:val="en-US" w:eastAsia="zh-CN"/>
        </w:rPr>
        <w:t>5</w:t>
      </w:r>
      <w:r>
        <w:rPr>
          <w:rFonts w:hint="eastAsia" w:ascii="仿宋" w:hAnsi="仿宋" w:eastAsia="仿宋"/>
          <w:sz w:val="28"/>
          <w:szCs w:val="28"/>
        </w:rPr>
        <w:fldChar w:fldCharType="end"/>
      </w:r>
    </w:p>
    <w:p w14:paraId="29F13613">
      <w:pPr>
        <w:pStyle w:val="12"/>
        <w:pageBreakBefore w:val="0"/>
        <w:kinsoku/>
        <w:wordWrap/>
        <w:overflowPunct/>
        <w:topLinePunct w:val="0"/>
        <w:autoSpaceDE/>
        <w:autoSpaceDN/>
        <w:bidi w:val="0"/>
        <w:adjustRightInd/>
        <w:snapToGrid/>
        <w:spacing w:line="576" w:lineRule="exact"/>
        <w:textAlignment w:val="auto"/>
        <w:rPr>
          <w:rFonts w:hint="eastAsia" w:ascii="仿宋" w:hAnsi="仿宋" w:eastAsia="仿宋" w:cstheme="minorBidi"/>
          <w:sz w:val="28"/>
          <w:szCs w:val="28"/>
          <w:lang w:val="en-US" w:eastAsia="zh-CN"/>
        </w:rPr>
      </w:pPr>
      <w:r>
        <w:fldChar w:fldCharType="begin"/>
      </w:r>
      <w:r>
        <w:instrText xml:space="preserve"> HYPERLINK \l "_Toc15396601" </w:instrText>
      </w:r>
      <w:r>
        <w:fldChar w:fldCharType="separate"/>
      </w:r>
      <w:r>
        <w:rPr>
          <w:rStyle w:val="23"/>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14:paraId="1A164981">
      <w:pPr>
        <w:pStyle w:val="11"/>
        <w:pageBreakBefore w:val="0"/>
        <w:kinsoku/>
        <w:wordWrap/>
        <w:overflowPunct/>
        <w:topLinePunct w:val="0"/>
        <w:autoSpaceDE/>
        <w:autoSpaceDN/>
        <w:bidi w:val="0"/>
        <w:adjustRightInd/>
        <w:snapToGrid/>
        <w:spacing w:before="0" w:line="576" w:lineRule="exact"/>
        <w:textAlignment w:val="auto"/>
        <w:rPr>
          <w:rFonts w:hint="eastAsia" w:eastAsia="仿宋"/>
          <w:lang w:val="en-US" w:eastAsia="zh-CN"/>
        </w:rPr>
      </w:pPr>
      <w:r>
        <w:fldChar w:fldCharType="begin"/>
      </w:r>
      <w:r>
        <w:instrText xml:space="preserve"> HYPERLINK \l "_Toc15396602" </w:instrText>
      </w:r>
      <w:r>
        <w:fldChar w:fldCharType="separate"/>
      </w:r>
      <w:r>
        <w:rPr>
          <w:rStyle w:val="23"/>
          <w:rFonts w:hint="eastAsia"/>
        </w:rPr>
        <w:t>第二部分</w:t>
      </w:r>
      <w:r>
        <w:rPr>
          <w:rStyle w:val="23"/>
        </w:rPr>
        <w:t xml:space="preserve"> 2018</w:t>
      </w:r>
      <w:r>
        <w:rPr>
          <w:rStyle w:val="23"/>
          <w:rFonts w:hint="eastAsia"/>
        </w:rPr>
        <w:t>年度部门决算情况说明</w:t>
      </w:r>
      <w:r>
        <w:tab/>
      </w:r>
      <w:r>
        <w:rPr>
          <w:rFonts w:hint="eastAsia"/>
          <w:lang w:val="en-US" w:eastAsia="zh-CN"/>
        </w:rPr>
        <w:t>1</w:t>
      </w:r>
      <w:r>
        <w:fldChar w:fldCharType="end"/>
      </w:r>
      <w:r>
        <w:rPr>
          <w:rFonts w:hint="eastAsia"/>
          <w:lang w:val="en-US" w:eastAsia="zh-CN"/>
        </w:rPr>
        <w:t>1</w:t>
      </w:r>
    </w:p>
    <w:p w14:paraId="73F3E038">
      <w:pPr>
        <w:pStyle w:val="12"/>
        <w:pageBreakBefore w:val="0"/>
        <w:kinsoku/>
        <w:wordWrap/>
        <w:overflowPunct/>
        <w:topLinePunct w:val="0"/>
        <w:autoSpaceDE/>
        <w:autoSpaceDN/>
        <w:bidi w:val="0"/>
        <w:adjustRightInd/>
        <w:snapToGrid/>
        <w:spacing w:line="576" w:lineRule="exact"/>
        <w:textAlignment w:val="auto"/>
        <w:rPr>
          <w:rFonts w:hint="eastAsia" w:ascii="仿宋" w:hAnsi="仿宋" w:eastAsia="仿宋" w:cstheme="minorBidi"/>
          <w:sz w:val="28"/>
          <w:szCs w:val="28"/>
          <w:lang w:val="en-US" w:eastAsia="zh-CN"/>
        </w:rPr>
      </w:pPr>
      <w:r>
        <w:fldChar w:fldCharType="begin"/>
      </w:r>
      <w:r>
        <w:instrText xml:space="preserve"> HYPERLINK \l "_Toc15396603" </w:instrText>
      </w:r>
      <w:r>
        <w:fldChar w:fldCharType="separate"/>
      </w:r>
      <w:r>
        <w:rPr>
          <w:rStyle w:val="23"/>
          <w:rFonts w:hint="eastAsia" w:ascii="仿宋" w:hAnsi="仿宋" w:eastAsia="仿宋" w:cstheme="majorBidi"/>
          <w:bCs/>
          <w:sz w:val="28"/>
          <w:szCs w:val="28"/>
        </w:rPr>
        <w:t>一、</w:t>
      </w:r>
      <w:r>
        <w:rPr>
          <w:rStyle w:val="23"/>
          <w:rFonts w:hint="eastAsia" w:ascii="仿宋" w:hAnsi="仿宋" w:eastAsia="仿宋"/>
          <w:sz w:val="28"/>
          <w:szCs w:val="28"/>
        </w:rPr>
        <w:t>收</w:t>
      </w:r>
      <w:r>
        <w:rPr>
          <w:rStyle w:val="23"/>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14:paraId="3FEF2936">
      <w:pPr>
        <w:pStyle w:val="12"/>
        <w:pageBreakBefore w:val="0"/>
        <w:kinsoku/>
        <w:wordWrap/>
        <w:overflowPunct/>
        <w:topLinePunct w:val="0"/>
        <w:autoSpaceDE/>
        <w:autoSpaceDN/>
        <w:bidi w:val="0"/>
        <w:adjustRightInd/>
        <w:snapToGrid/>
        <w:spacing w:line="576" w:lineRule="exact"/>
        <w:textAlignment w:val="auto"/>
        <w:rPr>
          <w:rFonts w:hint="eastAsia" w:ascii="仿宋" w:hAnsi="仿宋" w:eastAsia="仿宋" w:cstheme="minorBidi"/>
          <w:sz w:val="28"/>
          <w:szCs w:val="28"/>
          <w:lang w:val="en-US" w:eastAsia="zh-CN"/>
        </w:rPr>
      </w:pPr>
      <w:r>
        <w:fldChar w:fldCharType="begin"/>
      </w:r>
      <w:r>
        <w:instrText xml:space="preserve"> HYPERLINK \l "_Toc15396604" </w:instrText>
      </w:r>
      <w:r>
        <w:fldChar w:fldCharType="separate"/>
      </w:r>
      <w:r>
        <w:rPr>
          <w:rStyle w:val="23"/>
          <w:rFonts w:hint="eastAsia" w:ascii="仿宋" w:hAnsi="仿宋" w:eastAsia="仿宋" w:cstheme="majorBidi"/>
          <w:bCs/>
          <w:sz w:val="28"/>
          <w:szCs w:val="28"/>
        </w:rPr>
        <w:t>二、</w:t>
      </w:r>
      <w:r>
        <w:rPr>
          <w:rStyle w:val="23"/>
          <w:rFonts w:hint="eastAsia" w:ascii="仿宋" w:hAnsi="仿宋" w:eastAsia="仿宋"/>
          <w:sz w:val="28"/>
          <w:szCs w:val="28"/>
        </w:rPr>
        <w:t>收</w:t>
      </w:r>
      <w:r>
        <w:rPr>
          <w:rStyle w:val="23"/>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14:paraId="00E5F74B">
      <w:pPr>
        <w:pStyle w:val="12"/>
        <w:pageBreakBefore w:val="0"/>
        <w:kinsoku/>
        <w:wordWrap/>
        <w:overflowPunct/>
        <w:topLinePunct w:val="0"/>
        <w:autoSpaceDE/>
        <w:autoSpaceDN/>
        <w:bidi w:val="0"/>
        <w:adjustRightInd/>
        <w:snapToGrid/>
        <w:spacing w:line="576" w:lineRule="exact"/>
        <w:textAlignment w:val="auto"/>
        <w:rPr>
          <w:rFonts w:hint="eastAsia" w:ascii="仿宋" w:hAnsi="仿宋" w:eastAsia="仿宋" w:cstheme="minorBidi"/>
          <w:sz w:val="28"/>
          <w:szCs w:val="28"/>
          <w:lang w:val="en-US" w:eastAsia="zh-CN"/>
        </w:rPr>
      </w:pPr>
      <w:r>
        <w:fldChar w:fldCharType="begin"/>
      </w:r>
      <w:r>
        <w:instrText xml:space="preserve"> HYPERLINK \l "_Toc15396605" </w:instrText>
      </w:r>
      <w:r>
        <w:fldChar w:fldCharType="separate"/>
      </w:r>
      <w:r>
        <w:rPr>
          <w:rStyle w:val="23"/>
          <w:rFonts w:hint="eastAsia" w:ascii="仿宋" w:hAnsi="仿宋" w:eastAsia="仿宋" w:cstheme="majorBidi"/>
          <w:bCs/>
          <w:sz w:val="28"/>
          <w:szCs w:val="28"/>
        </w:rPr>
        <w:t>三、</w:t>
      </w:r>
      <w:r>
        <w:rPr>
          <w:rStyle w:val="23"/>
          <w:rFonts w:hint="eastAsia" w:ascii="仿宋" w:hAnsi="仿宋" w:eastAsia="仿宋"/>
          <w:sz w:val="28"/>
          <w:szCs w:val="28"/>
        </w:rPr>
        <w:t>支</w:t>
      </w:r>
      <w:r>
        <w:rPr>
          <w:rStyle w:val="23"/>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14:paraId="1D25CBC1">
      <w:pPr>
        <w:pStyle w:val="12"/>
        <w:pageBreakBefore w:val="0"/>
        <w:kinsoku/>
        <w:wordWrap/>
        <w:overflowPunct/>
        <w:topLinePunct w:val="0"/>
        <w:autoSpaceDE/>
        <w:autoSpaceDN/>
        <w:bidi w:val="0"/>
        <w:adjustRightInd/>
        <w:snapToGrid/>
        <w:spacing w:line="576" w:lineRule="exact"/>
        <w:textAlignment w:val="auto"/>
        <w:rPr>
          <w:rFonts w:hint="eastAsia" w:ascii="仿宋" w:hAnsi="仿宋" w:eastAsia="仿宋" w:cstheme="minorBidi"/>
          <w:sz w:val="28"/>
          <w:szCs w:val="28"/>
          <w:lang w:val="en-US" w:eastAsia="zh-CN"/>
        </w:rPr>
      </w:pPr>
      <w:r>
        <w:fldChar w:fldCharType="begin"/>
      </w:r>
      <w:r>
        <w:instrText xml:space="preserve"> HYPERLINK \l "_Toc15396606" </w:instrText>
      </w:r>
      <w:r>
        <w:fldChar w:fldCharType="separate"/>
      </w:r>
      <w:r>
        <w:rPr>
          <w:rStyle w:val="23"/>
          <w:rFonts w:hint="eastAsia" w:ascii="仿宋" w:hAnsi="仿宋" w:eastAsia="仿宋"/>
          <w:sz w:val="28"/>
          <w:szCs w:val="28"/>
        </w:rPr>
        <w:t>四、财</w:t>
      </w:r>
      <w:r>
        <w:rPr>
          <w:rStyle w:val="23"/>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14:paraId="750993B6">
      <w:pPr>
        <w:pStyle w:val="12"/>
        <w:pageBreakBefore w:val="0"/>
        <w:kinsoku/>
        <w:wordWrap/>
        <w:overflowPunct/>
        <w:topLinePunct w:val="0"/>
        <w:autoSpaceDE/>
        <w:autoSpaceDN/>
        <w:bidi w:val="0"/>
        <w:adjustRightInd/>
        <w:snapToGrid/>
        <w:spacing w:line="576" w:lineRule="exact"/>
        <w:textAlignment w:val="auto"/>
        <w:rPr>
          <w:rFonts w:hint="eastAsia" w:ascii="仿宋" w:hAnsi="仿宋" w:eastAsia="仿宋" w:cstheme="minorBidi"/>
          <w:sz w:val="28"/>
          <w:szCs w:val="28"/>
          <w:lang w:val="en-US" w:eastAsia="zh-CN"/>
        </w:rPr>
      </w:pPr>
      <w:r>
        <w:fldChar w:fldCharType="begin"/>
      </w:r>
      <w:r>
        <w:instrText xml:space="preserve"> HYPERLINK \l "_Toc15396607" </w:instrText>
      </w:r>
      <w:r>
        <w:fldChar w:fldCharType="separate"/>
      </w:r>
      <w:r>
        <w:rPr>
          <w:rStyle w:val="23"/>
          <w:rFonts w:hint="eastAsia" w:ascii="仿宋" w:hAnsi="仿宋" w:eastAsia="仿宋"/>
          <w:sz w:val="28"/>
          <w:szCs w:val="28"/>
        </w:rPr>
        <w:t>五、一</w:t>
      </w:r>
      <w:r>
        <w:rPr>
          <w:rStyle w:val="23"/>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14:paraId="0A34EEEB">
      <w:pPr>
        <w:pStyle w:val="12"/>
        <w:pageBreakBefore w:val="0"/>
        <w:kinsoku/>
        <w:wordWrap/>
        <w:overflowPunct/>
        <w:topLinePunct w:val="0"/>
        <w:autoSpaceDE/>
        <w:autoSpaceDN/>
        <w:bidi w:val="0"/>
        <w:adjustRightInd/>
        <w:snapToGrid/>
        <w:spacing w:line="576" w:lineRule="exact"/>
        <w:textAlignment w:val="auto"/>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23"/>
          <w:rFonts w:hint="eastAsia" w:ascii="仿宋" w:hAnsi="仿宋" w:eastAsia="仿宋"/>
          <w:sz w:val="28"/>
          <w:szCs w:val="28"/>
        </w:rPr>
        <w:t>六、一</w:t>
      </w:r>
      <w:r>
        <w:rPr>
          <w:rStyle w:val="23"/>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14:paraId="5A787AB0">
      <w:pPr>
        <w:pStyle w:val="12"/>
        <w:pageBreakBefore w:val="0"/>
        <w:kinsoku/>
        <w:wordWrap/>
        <w:overflowPunct/>
        <w:topLinePunct w:val="0"/>
        <w:autoSpaceDE/>
        <w:autoSpaceDN/>
        <w:bidi w:val="0"/>
        <w:adjustRightInd/>
        <w:snapToGrid/>
        <w:spacing w:line="576" w:lineRule="exact"/>
        <w:textAlignment w:val="auto"/>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23"/>
          <w:rFonts w:hint="eastAsia" w:ascii="仿宋" w:hAnsi="仿宋" w:eastAsia="仿宋"/>
          <w:sz w:val="28"/>
          <w:szCs w:val="28"/>
        </w:rPr>
        <w:t>七、</w:t>
      </w:r>
      <w:r>
        <w:rPr>
          <w:rStyle w:val="23"/>
          <w:rFonts w:ascii="仿宋" w:hAnsi="仿宋" w:eastAsia="仿宋"/>
          <w:sz w:val="28"/>
          <w:szCs w:val="28"/>
        </w:rPr>
        <w:t>“</w:t>
      </w:r>
      <w:r>
        <w:rPr>
          <w:rStyle w:val="23"/>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14:paraId="5E0A8814">
      <w:pPr>
        <w:pStyle w:val="12"/>
        <w:pageBreakBefore w:val="0"/>
        <w:kinsoku/>
        <w:wordWrap/>
        <w:overflowPunct/>
        <w:topLinePunct w:val="0"/>
        <w:autoSpaceDE/>
        <w:autoSpaceDN/>
        <w:bidi w:val="0"/>
        <w:adjustRightInd/>
        <w:snapToGrid/>
        <w:spacing w:line="576" w:lineRule="exact"/>
        <w:textAlignment w:val="auto"/>
        <w:rPr>
          <w:rFonts w:ascii="仿宋" w:hAnsi="仿宋" w:eastAsia="仿宋" w:cstheme="minorBidi"/>
          <w:sz w:val="28"/>
          <w:szCs w:val="28"/>
        </w:rPr>
      </w:pPr>
      <w:r>
        <w:fldChar w:fldCharType="begin"/>
      </w:r>
      <w:r>
        <w:instrText xml:space="preserve"> HYPERLINK \l "_Toc15396610" </w:instrText>
      </w:r>
      <w:r>
        <w:fldChar w:fldCharType="separate"/>
      </w:r>
      <w:r>
        <w:rPr>
          <w:rStyle w:val="23"/>
          <w:rFonts w:hint="eastAsia" w:ascii="仿宋" w:hAnsi="仿宋" w:eastAsia="仿宋"/>
          <w:sz w:val="28"/>
          <w:szCs w:val="28"/>
        </w:rPr>
        <w:t>八、</w:t>
      </w:r>
      <w:r>
        <w:rPr>
          <w:rStyle w:val="23"/>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14:paraId="56FEBE48">
      <w:pPr>
        <w:pStyle w:val="12"/>
        <w:pageBreakBefore w:val="0"/>
        <w:kinsoku/>
        <w:wordWrap/>
        <w:overflowPunct/>
        <w:topLinePunct w:val="0"/>
        <w:autoSpaceDE/>
        <w:autoSpaceDN/>
        <w:bidi w:val="0"/>
        <w:adjustRightInd/>
        <w:snapToGrid/>
        <w:spacing w:line="576" w:lineRule="exact"/>
        <w:textAlignment w:val="auto"/>
        <w:rPr>
          <w:rFonts w:ascii="仿宋" w:hAnsi="仿宋" w:eastAsia="仿宋" w:cstheme="minorBidi"/>
          <w:sz w:val="28"/>
          <w:szCs w:val="28"/>
        </w:rPr>
      </w:pPr>
      <w:r>
        <w:fldChar w:fldCharType="begin"/>
      </w:r>
      <w:r>
        <w:instrText xml:space="preserve"> HYPERLINK \l "_Toc15396611" </w:instrText>
      </w:r>
      <w:r>
        <w:fldChar w:fldCharType="separate"/>
      </w:r>
      <w:r>
        <w:rPr>
          <w:rStyle w:val="23"/>
          <w:rFonts w:hint="eastAsia" w:ascii="仿宋" w:hAnsi="仿宋" w:eastAsia="仿宋" w:cstheme="majorBidi"/>
          <w:bCs/>
          <w:sz w:val="28"/>
          <w:szCs w:val="28"/>
        </w:rPr>
        <w:t>九、</w:t>
      </w:r>
      <w:r>
        <w:rPr>
          <w:rStyle w:val="23"/>
          <w:rFonts w:hint="eastAsia" w:ascii="仿宋" w:hAnsi="仿宋" w:eastAsia="仿宋"/>
          <w:sz w:val="28"/>
          <w:szCs w:val="28"/>
        </w:rPr>
        <w:t xml:space="preserve"> 国</w:t>
      </w:r>
      <w:r>
        <w:rPr>
          <w:rStyle w:val="23"/>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5</w:t>
      </w:r>
      <w:r>
        <w:rPr>
          <w:rFonts w:ascii="仿宋" w:hAnsi="仿宋" w:eastAsia="仿宋"/>
          <w:sz w:val="28"/>
          <w:szCs w:val="28"/>
        </w:rPr>
        <w:fldChar w:fldCharType="end"/>
      </w:r>
      <w:r>
        <w:rPr>
          <w:rFonts w:ascii="仿宋" w:hAnsi="仿宋" w:eastAsia="仿宋"/>
          <w:sz w:val="28"/>
          <w:szCs w:val="28"/>
        </w:rPr>
        <w:fldChar w:fldCharType="end"/>
      </w:r>
    </w:p>
    <w:p w14:paraId="1E820C95">
      <w:pPr>
        <w:pStyle w:val="12"/>
        <w:pageBreakBefore w:val="0"/>
        <w:kinsoku/>
        <w:wordWrap/>
        <w:overflowPunct/>
        <w:topLinePunct w:val="0"/>
        <w:autoSpaceDE/>
        <w:autoSpaceDN/>
        <w:bidi w:val="0"/>
        <w:adjustRightInd/>
        <w:snapToGrid/>
        <w:spacing w:line="576" w:lineRule="exact"/>
        <w:textAlignment w:val="auto"/>
        <w:rPr>
          <w:rFonts w:ascii="仿宋" w:hAnsi="仿宋" w:eastAsia="仿宋" w:cstheme="minorBidi"/>
          <w:sz w:val="28"/>
          <w:szCs w:val="28"/>
        </w:rPr>
      </w:pPr>
      <w:r>
        <w:fldChar w:fldCharType="begin"/>
      </w:r>
      <w:r>
        <w:instrText xml:space="preserve"> HYPERLINK \l "_Toc15396612" </w:instrText>
      </w:r>
      <w:r>
        <w:fldChar w:fldCharType="separate"/>
      </w:r>
      <w:r>
        <w:rPr>
          <w:rStyle w:val="23"/>
          <w:rFonts w:hint="eastAsia" w:ascii="仿宋" w:hAnsi="仿宋" w:eastAsia="仿宋"/>
          <w:sz w:val="28"/>
          <w:szCs w:val="28"/>
        </w:rPr>
        <w:t>十</w:t>
      </w:r>
      <w:r>
        <w:rPr>
          <w:rStyle w:val="23"/>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5</w:t>
      </w:r>
      <w:r>
        <w:rPr>
          <w:rFonts w:ascii="仿宋" w:hAnsi="仿宋" w:eastAsia="仿宋"/>
          <w:sz w:val="28"/>
          <w:szCs w:val="28"/>
        </w:rPr>
        <w:fldChar w:fldCharType="end"/>
      </w:r>
      <w:r>
        <w:rPr>
          <w:rFonts w:ascii="仿宋" w:hAnsi="仿宋" w:eastAsia="仿宋"/>
          <w:sz w:val="28"/>
          <w:szCs w:val="28"/>
        </w:rPr>
        <w:fldChar w:fldCharType="end"/>
      </w:r>
    </w:p>
    <w:p w14:paraId="134ED0E6">
      <w:pPr>
        <w:pStyle w:val="11"/>
        <w:pageBreakBefore w:val="0"/>
        <w:kinsoku/>
        <w:wordWrap/>
        <w:overflowPunct/>
        <w:topLinePunct w:val="0"/>
        <w:autoSpaceDE/>
        <w:autoSpaceDN/>
        <w:bidi w:val="0"/>
        <w:adjustRightInd/>
        <w:snapToGrid/>
        <w:spacing w:before="0" w:line="576" w:lineRule="exact"/>
        <w:textAlignment w:val="auto"/>
        <w:rPr>
          <w:rFonts w:cstheme="minorBidi"/>
        </w:rPr>
      </w:pPr>
      <w:r>
        <w:fldChar w:fldCharType="begin"/>
      </w:r>
      <w:r>
        <w:instrText xml:space="preserve"> HYPERLINK \l "_Toc15396613" </w:instrText>
      </w:r>
      <w:r>
        <w:fldChar w:fldCharType="separate"/>
      </w:r>
      <w:r>
        <w:rPr>
          <w:rStyle w:val="23"/>
          <w:rFonts w:hint="eastAsia"/>
          <w:bCs/>
          <w:kern w:val="44"/>
        </w:rPr>
        <w:t>第三部分</w:t>
      </w:r>
      <w:r>
        <w:rPr>
          <w:rStyle w:val="23"/>
          <w:rFonts w:hint="eastAsia"/>
        </w:rPr>
        <w:t xml:space="preserve"> 名</w:t>
      </w:r>
      <w:r>
        <w:rPr>
          <w:rStyle w:val="23"/>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14:paraId="456B86DD">
      <w:pPr>
        <w:pStyle w:val="11"/>
        <w:pageBreakBefore w:val="0"/>
        <w:kinsoku/>
        <w:wordWrap/>
        <w:overflowPunct/>
        <w:topLinePunct w:val="0"/>
        <w:autoSpaceDE/>
        <w:autoSpaceDN/>
        <w:bidi w:val="0"/>
        <w:adjustRightInd/>
        <w:snapToGrid/>
        <w:spacing w:before="0" w:line="576" w:lineRule="exact"/>
        <w:textAlignment w:val="auto"/>
        <w:rPr>
          <w:rFonts w:cstheme="minorBidi"/>
        </w:rPr>
      </w:pPr>
      <w:r>
        <w:fldChar w:fldCharType="begin"/>
      </w:r>
      <w:r>
        <w:instrText xml:space="preserve"> HYPERLINK \l "_Toc15396614" </w:instrText>
      </w:r>
      <w:r>
        <w:fldChar w:fldCharType="separate"/>
      </w:r>
      <w:r>
        <w:rPr>
          <w:rStyle w:val="23"/>
          <w:rFonts w:hint="eastAsia"/>
        </w:rPr>
        <w:t>第</w:t>
      </w:r>
      <w:r>
        <w:rPr>
          <w:rStyle w:val="23"/>
          <w:rFonts w:hint="eastAsia"/>
          <w:bCs/>
          <w:kern w:val="44"/>
        </w:rPr>
        <w:t>四部分</w:t>
      </w:r>
      <w:r>
        <w:rPr>
          <w:rStyle w:val="23"/>
          <w:bCs/>
          <w:kern w:val="44"/>
        </w:rPr>
        <w:t xml:space="preserve"> </w:t>
      </w:r>
      <w:r>
        <w:rPr>
          <w:rStyle w:val="23"/>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14:paraId="052AA3DE">
      <w:pPr>
        <w:pStyle w:val="12"/>
        <w:pageBreakBefore w:val="0"/>
        <w:kinsoku/>
        <w:wordWrap/>
        <w:overflowPunct/>
        <w:topLinePunct w:val="0"/>
        <w:autoSpaceDE/>
        <w:autoSpaceDN/>
        <w:bidi w:val="0"/>
        <w:adjustRightInd/>
        <w:snapToGrid/>
        <w:spacing w:line="576" w:lineRule="exact"/>
        <w:textAlignment w:val="auto"/>
        <w:rPr>
          <w:rFonts w:ascii="仿宋" w:hAnsi="仿宋" w:eastAsia="仿宋" w:cstheme="minorBidi"/>
          <w:sz w:val="28"/>
          <w:szCs w:val="28"/>
        </w:rPr>
      </w:pPr>
      <w:r>
        <w:fldChar w:fldCharType="begin"/>
      </w:r>
      <w:r>
        <w:instrText xml:space="preserve"> HYPERLINK \l "_Toc15396615" </w:instrText>
      </w:r>
      <w:r>
        <w:fldChar w:fldCharType="separate"/>
      </w:r>
      <w:r>
        <w:rPr>
          <w:rStyle w:val="23"/>
          <w:rFonts w:hint="eastAsia" w:ascii="仿宋" w:hAnsi="仿宋" w:eastAsia="仿宋"/>
          <w:kern w:val="44"/>
          <w:sz w:val="28"/>
          <w:szCs w:val="28"/>
        </w:rPr>
        <w:t>附件</w:t>
      </w:r>
      <w:r>
        <w:rPr>
          <w:rStyle w:val="23"/>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14:paraId="05378B9D">
      <w:pPr>
        <w:pStyle w:val="12"/>
        <w:pageBreakBefore w:val="0"/>
        <w:kinsoku/>
        <w:wordWrap/>
        <w:overflowPunct/>
        <w:topLinePunct w:val="0"/>
        <w:autoSpaceDE/>
        <w:autoSpaceDN/>
        <w:bidi w:val="0"/>
        <w:adjustRightInd/>
        <w:snapToGrid/>
        <w:spacing w:line="576" w:lineRule="exact"/>
        <w:textAlignment w:val="auto"/>
        <w:rPr>
          <w:rFonts w:ascii="仿宋" w:hAnsi="仿宋" w:eastAsia="仿宋" w:cstheme="minorBidi"/>
          <w:sz w:val="28"/>
          <w:szCs w:val="28"/>
        </w:rPr>
      </w:pPr>
      <w:r>
        <w:fldChar w:fldCharType="begin"/>
      </w:r>
      <w:r>
        <w:instrText xml:space="preserve"> HYPERLINK \l "_Toc15396617" </w:instrText>
      </w:r>
      <w:r>
        <w:fldChar w:fldCharType="separate"/>
      </w:r>
      <w:r>
        <w:rPr>
          <w:rStyle w:val="23"/>
          <w:rFonts w:hint="eastAsia" w:ascii="仿宋" w:hAnsi="仿宋" w:eastAsia="仿宋"/>
          <w:kern w:val="44"/>
          <w:sz w:val="28"/>
          <w:szCs w:val="28"/>
        </w:rPr>
        <w:t>附件</w:t>
      </w:r>
      <w:r>
        <w:rPr>
          <w:rStyle w:val="23"/>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14:paraId="3D4A4A64">
      <w:pPr>
        <w:pStyle w:val="11"/>
        <w:pageBreakBefore w:val="0"/>
        <w:kinsoku/>
        <w:wordWrap/>
        <w:overflowPunct/>
        <w:topLinePunct w:val="0"/>
        <w:autoSpaceDE/>
        <w:autoSpaceDN/>
        <w:bidi w:val="0"/>
        <w:adjustRightInd/>
        <w:snapToGrid/>
        <w:spacing w:before="0" w:line="576" w:lineRule="exact"/>
        <w:textAlignment w:val="auto"/>
        <w:rPr>
          <w:rFonts w:hint="eastAsia" w:eastAsia="仿宋" w:cstheme="minorBidi"/>
          <w:lang w:val="en-US" w:eastAsia="zh-CN"/>
        </w:rPr>
      </w:pPr>
      <w:r>
        <w:fldChar w:fldCharType="begin"/>
      </w:r>
      <w:r>
        <w:instrText xml:space="preserve"> HYPERLINK \l "_Toc15396618" </w:instrText>
      </w:r>
      <w:r>
        <w:fldChar w:fldCharType="separate"/>
      </w:r>
      <w:r>
        <w:rPr>
          <w:rStyle w:val="23"/>
          <w:rFonts w:hint="eastAsia"/>
        </w:rPr>
        <w:t>第</w:t>
      </w:r>
      <w:r>
        <w:rPr>
          <w:rStyle w:val="23"/>
          <w:rFonts w:hint="eastAsia"/>
          <w:bCs/>
          <w:kern w:val="44"/>
        </w:rPr>
        <w:t>五部分</w:t>
      </w:r>
      <w:r>
        <w:rPr>
          <w:rStyle w:val="23"/>
          <w:bCs/>
          <w:kern w:val="44"/>
        </w:rPr>
        <w:t xml:space="preserve"> </w:t>
      </w:r>
      <w:r>
        <w:rPr>
          <w:rStyle w:val="23"/>
          <w:rFonts w:hint="eastAsia"/>
          <w:bCs/>
          <w:kern w:val="44"/>
        </w:rPr>
        <w:t>附表</w:t>
      </w:r>
      <w:r>
        <w:tab/>
      </w:r>
      <w:r>
        <w:rPr>
          <w:rFonts w:hint="eastAsia"/>
          <w:lang w:val="en-US" w:eastAsia="zh-CN"/>
        </w:rPr>
        <w:t>2</w:t>
      </w:r>
      <w:r>
        <w:fldChar w:fldCharType="end"/>
      </w:r>
      <w:r>
        <w:rPr>
          <w:rFonts w:hint="eastAsia"/>
          <w:lang w:val="en-US" w:eastAsia="zh-CN"/>
        </w:rPr>
        <w:t>7</w:t>
      </w:r>
    </w:p>
    <w:p w14:paraId="51D90B30">
      <w:pPr>
        <w:pStyle w:val="12"/>
        <w:pageBreakBefore w:val="0"/>
        <w:kinsoku/>
        <w:wordWrap/>
        <w:overflowPunct/>
        <w:topLinePunct w:val="0"/>
        <w:autoSpaceDE/>
        <w:autoSpaceDN/>
        <w:bidi w:val="0"/>
        <w:adjustRightInd/>
        <w:snapToGrid/>
        <w:spacing w:line="576" w:lineRule="exact"/>
        <w:textAlignment w:val="auto"/>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23"/>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7</w:t>
      </w:r>
      <w:r>
        <w:rPr>
          <w:rFonts w:ascii="仿宋" w:hAnsi="仿宋" w:eastAsia="仿宋"/>
          <w:sz w:val="28"/>
          <w:szCs w:val="28"/>
        </w:rPr>
        <w:fldChar w:fldCharType="end"/>
      </w:r>
      <w:r>
        <w:rPr>
          <w:rFonts w:ascii="仿宋" w:hAnsi="仿宋" w:eastAsia="仿宋"/>
          <w:sz w:val="28"/>
          <w:szCs w:val="28"/>
        </w:rPr>
        <w:fldChar w:fldCharType="end"/>
      </w:r>
    </w:p>
    <w:p w14:paraId="1E3C683A">
      <w:pPr>
        <w:pStyle w:val="12"/>
        <w:pageBreakBefore w:val="0"/>
        <w:kinsoku/>
        <w:wordWrap/>
        <w:overflowPunct/>
        <w:topLinePunct w:val="0"/>
        <w:autoSpaceDE/>
        <w:autoSpaceDN/>
        <w:bidi w:val="0"/>
        <w:adjustRightInd/>
        <w:snapToGrid/>
        <w:spacing w:line="576" w:lineRule="exact"/>
        <w:textAlignment w:val="auto"/>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23"/>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7</w:t>
      </w:r>
      <w:r>
        <w:rPr>
          <w:rFonts w:ascii="仿宋" w:hAnsi="仿宋" w:eastAsia="仿宋"/>
          <w:sz w:val="28"/>
          <w:szCs w:val="28"/>
        </w:rPr>
        <w:fldChar w:fldCharType="end"/>
      </w:r>
      <w:r>
        <w:rPr>
          <w:rFonts w:ascii="仿宋" w:hAnsi="仿宋" w:eastAsia="仿宋"/>
          <w:sz w:val="28"/>
          <w:szCs w:val="28"/>
        </w:rPr>
        <w:fldChar w:fldCharType="end"/>
      </w:r>
    </w:p>
    <w:p w14:paraId="3A8281B8">
      <w:pPr>
        <w:pStyle w:val="12"/>
        <w:pageBreakBefore w:val="0"/>
        <w:kinsoku/>
        <w:wordWrap/>
        <w:overflowPunct/>
        <w:topLinePunct w:val="0"/>
        <w:autoSpaceDE/>
        <w:autoSpaceDN/>
        <w:bidi w:val="0"/>
        <w:adjustRightInd/>
        <w:snapToGrid/>
        <w:spacing w:line="576" w:lineRule="exact"/>
        <w:textAlignment w:val="auto"/>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23"/>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7</w:t>
      </w:r>
      <w:r>
        <w:rPr>
          <w:rFonts w:ascii="仿宋" w:hAnsi="仿宋" w:eastAsia="仿宋"/>
          <w:sz w:val="28"/>
          <w:szCs w:val="28"/>
        </w:rPr>
        <w:fldChar w:fldCharType="end"/>
      </w:r>
      <w:r>
        <w:rPr>
          <w:rFonts w:ascii="仿宋" w:hAnsi="仿宋" w:eastAsia="仿宋"/>
          <w:sz w:val="28"/>
          <w:szCs w:val="28"/>
        </w:rPr>
        <w:fldChar w:fldCharType="end"/>
      </w:r>
    </w:p>
    <w:p w14:paraId="37EF9040">
      <w:pPr>
        <w:pStyle w:val="12"/>
        <w:pageBreakBefore w:val="0"/>
        <w:kinsoku/>
        <w:wordWrap/>
        <w:overflowPunct/>
        <w:topLinePunct w:val="0"/>
        <w:autoSpaceDE/>
        <w:autoSpaceDN/>
        <w:bidi w:val="0"/>
        <w:adjustRightInd/>
        <w:snapToGrid/>
        <w:spacing w:line="576" w:lineRule="exact"/>
        <w:textAlignment w:val="auto"/>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23"/>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7</w:t>
      </w:r>
      <w:r>
        <w:rPr>
          <w:rFonts w:ascii="仿宋" w:hAnsi="仿宋" w:eastAsia="仿宋"/>
          <w:sz w:val="28"/>
          <w:szCs w:val="28"/>
        </w:rPr>
        <w:fldChar w:fldCharType="end"/>
      </w:r>
      <w:r>
        <w:rPr>
          <w:rFonts w:ascii="仿宋" w:hAnsi="仿宋" w:eastAsia="仿宋"/>
          <w:sz w:val="28"/>
          <w:szCs w:val="28"/>
        </w:rPr>
        <w:fldChar w:fldCharType="end"/>
      </w:r>
    </w:p>
    <w:p w14:paraId="3BA98040">
      <w:pPr>
        <w:pStyle w:val="12"/>
        <w:pageBreakBefore w:val="0"/>
        <w:kinsoku/>
        <w:wordWrap/>
        <w:overflowPunct/>
        <w:topLinePunct w:val="0"/>
        <w:autoSpaceDE/>
        <w:autoSpaceDN/>
        <w:bidi w:val="0"/>
        <w:adjustRightInd/>
        <w:snapToGrid/>
        <w:spacing w:line="576" w:lineRule="exact"/>
        <w:textAlignment w:val="auto"/>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7</w:t>
      </w:r>
      <w:r>
        <w:rPr>
          <w:rFonts w:ascii="仿宋" w:hAnsi="仿宋" w:eastAsia="仿宋"/>
          <w:sz w:val="28"/>
          <w:szCs w:val="28"/>
        </w:rPr>
        <w:fldChar w:fldCharType="end"/>
      </w:r>
      <w:r>
        <w:rPr>
          <w:rFonts w:ascii="仿宋" w:hAnsi="仿宋" w:eastAsia="仿宋"/>
          <w:sz w:val="28"/>
          <w:szCs w:val="28"/>
        </w:rPr>
        <w:fldChar w:fldCharType="end"/>
      </w:r>
    </w:p>
    <w:p w14:paraId="540ED9A5">
      <w:pPr>
        <w:pStyle w:val="12"/>
        <w:pageBreakBefore w:val="0"/>
        <w:kinsoku/>
        <w:wordWrap/>
        <w:overflowPunct/>
        <w:topLinePunct w:val="0"/>
        <w:autoSpaceDE/>
        <w:autoSpaceDN/>
        <w:bidi w:val="0"/>
        <w:adjustRightInd/>
        <w:snapToGrid/>
        <w:spacing w:line="576" w:lineRule="exact"/>
        <w:textAlignment w:val="auto"/>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23"/>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7</w:t>
      </w:r>
      <w:r>
        <w:rPr>
          <w:rFonts w:ascii="仿宋" w:hAnsi="仿宋" w:eastAsia="仿宋"/>
          <w:sz w:val="28"/>
          <w:szCs w:val="28"/>
        </w:rPr>
        <w:fldChar w:fldCharType="end"/>
      </w:r>
      <w:r>
        <w:rPr>
          <w:rFonts w:ascii="仿宋" w:hAnsi="仿宋" w:eastAsia="仿宋"/>
          <w:sz w:val="28"/>
          <w:szCs w:val="28"/>
        </w:rPr>
        <w:fldChar w:fldCharType="end"/>
      </w:r>
    </w:p>
    <w:p w14:paraId="02FB1214">
      <w:pPr>
        <w:pStyle w:val="12"/>
        <w:pageBreakBefore w:val="0"/>
        <w:kinsoku/>
        <w:wordWrap/>
        <w:overflowPunct/>
        <w:topLinePunct w:val="0"/>
        <w:autoSpaceDE/>
        <w:autoSpaceDN/>
        <w:bidi w:val="0"/>
        <w:adjustRightInd/>
        <w:snapToGrid/>
        <w:spacing w:line="576" w:lineRule="exact"/>
        <w:textAlignment w:val="auto"/>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23"/>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7</w:t>
      </w:r>
      <w:r>
        <w:rPr>
          <w:rFonts w:ascii="仿宋" w:hAnsi="仿宋" w:eastAsia="仿宋"/>
          <w:sz w:val="28"/>
          <w:szCs w:val="28"/>
        </w:rPr>
        <w:fldChar w:fldCharType="end"/>
      </w:r>
      <w:r>
        <w:rPr>
          <w:rFonts w:ascii="仿宋" w:hAnsi="仿宋" w:eastAsia="仿宋"/>
          <w:sz w:val="28"/>
          <w:szCs w:val="28"/>
        </w:rPr>
        <w:fldChar w:fldCharType="end"/>
      </w:r>
    </w:p>
    <w:p w14:paraId="76797C84">
      <w:pPr>
        <w:pStyle w:val="12"/>
        <w:pageBreakBefore w:val="0"/>
        <w:kinsoku/>
        <w:wordWrap/>
        <w:overflowPunct/>
        <w:topLinePunct w:val="0"/>
        <w:autoSpaceDE/>
        <w:autoSpaceDN/>
        <w:bidi w:val="0"/>
        <w:adjustRightInd/>
        <w:snapToGrid/>
        <w:spacing w:line="576" w:lineRule="exact"/>
        <w:textAlignment w:val="auto"/>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23"/>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7</w:t>
      </w:r>
      <w:r>
        <w:rPr>
          <w:rFonts w:ascii="仿宋" w:hAnsi="仿宋" w:eastAsia="仿宋"/>
          <w:sz w:val="28"/>
          <w:szCs w:val="28"/>
        </w:rPr>
        <w:fldChar w:fldCharType="end"/>
      </w:r>
      <w:r>
        <w:rPr>
          <w:rFonts w:ascii="仿宋" w:hAnsi="仿宋" w:eastAsia="仿宋"/>
          <w:sz w:val="28"/>
          <w:szCs w:val="28"/>
        </w:rPr>
        <w:fldChar w:fldCharType="end"/>
      </w:r>
    </w:p>
    <w:p w14:paraId="12C88393">
      <w:pPr>
        <w:pStyle w:val="12"/>
        <w:pageBreakBefore w:val="0"/>
        <w:kinsoku/>
        <w:wordWrap/>
        <w:overflowPunct/>
        <w:topLinePunct w:val="0"/>
        <w:autoSpaceDE/>
        <w:autoSpaceDN/>
        <w:bidi w:val="0"/>
        <w:adjustRightInd/>
        <w:snapToGrid/>
        <w:spacing w:line="576" w:lineRule="exact"/>
        <w:textAlignment w:val="auto"/>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23"/>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7</w:t>
      </w:r>
      <w:r>
        <w:rPr>
          <w:rFonts w:ascii="仿宋" w:hAnsi="仿宋" w:eastAsia="仿宋"/>
          <w:sz w:val="28"/>
          <w:szCs w:val="28"/>
        </w:rPr>
        <w:fldChar w:fldCharType="end"/>
      </w:r>
      <w:r>
        <w:rPr>
          <w:rFonts w:ascii="仿宋" w:hAnsi="仿宋" w:eastAsia="仿宋"/>
          <w:sz w:val="28"/>
          <w:szCs w:val="28"/>
        </w:rPr>
        <w:fldChar w:fldCharType="end"/>
      </w:r>
    </w:p>
    <w:p w14:paraId="4029F9EA">
      <w:pPr>
        <w:pStyle w:val="12"/>
        <w:pageBreakBefore w:val="0"/>
        <w:kinsoku/>
        <w:wordWrap/>
        <w:overflowPunct/>
        <w:topLinePunct w:val="0"/>
        <w:autoSpaceDE/>
        <w:autoSpaceDN/>
        <w:bidi w:val="0"/>
        <w:adjustRightInd/>
        <w:snapToGrid/>
        <w:spacing w:line="576" w:lineRule="exact"/>
        <w:textAlignment w:val="auto"/>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23"/>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7</w:t>
      </w:r>
      <w:r>
        <w:rPr>
          <w:rFonts w:ascii="仿宋" w:hAnsi="仿宋" w:eastAsia="仿宋"/>
          <w:sz w:val="28"/>
          <w:szCs w:val="28"/>
        </w:rPr>
        <w:fldChar w:fldCharType="end"/>
      </w:r>
      <w:r>
        <w:rPr>
          <w:rFonts w:ascii="仿宋" w:hAnsi="仿宋" w:eastAsia="仿宋"/>
          <w:sz w:val="28"/>
          <w:szCs w:val="28"/>
        </w:rPr>
        <w:fldChar w:fldCharType="end"/>
      </w:r>
    </w:p>
    <w:p w14:paraId="2D03002F">
      <w:pPr>
        <w:pStyle w:val="12"/>
        <w:pageBreakBefore w:val="0"/>
        <w:kinsoku/>
        <w:wordWrap/>
        <w:overflowPunct/>
        <w:topLinePunct w:val="0"/>
        <w:autoSpaceDE/>
        <w:autoSpaceDN/>
        <w:bidi w:val="0"/>
        <w:adjustRightInd/>
        <w:snapToGrid/>
        <w:spacing w:line="576" w:lineRule="exact"/>
        <w:textAlignment w:val="auto"/>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23"/>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7</w:t>
      </w:r>
      <w:r>
        <w:rPr>
          <w:rFonts w:ascii="仿宋" w:hAnsi="仿宋" w:eastAsia="仿宋"/>
          <w:sz w:val="28"/>
          <w:szCs w:val="28"/>
        </w:rPr>
        <w:fldChar w:fldCharType="end"/>
      </w:r>
      <w:r>
        <w:rPr>
          <w:rFonts w:ascii="仿宋" w:hAnsi="仿宋" w:eastAsia="仿宋"/>
          <w:sz w:val="28"/>
          <w:szCs w:val="28"/>
        </w:rPr>
        <w:fldChar w:fldCharType="end"/>
      </w:r>
    </w:p>
    <w:p w14:paraId="7AC33398">
      <w:pPr>
        <w:pStyle w:val="12"/>
        <w:pageBreakBefore w:val="0"/>
        <w:kinsoku/>
        <w:wordWrap/>
        <w:overflowPunct/>
        <w:topLinePunct w:val="0"/>
        <w:autoSpaceDE/>
        <w:autoSpaceDN/>
        <w:bidi w:val="0"/>
        <w:adjustRightInd/>
        <w:snapToGrid/>
        <w:spacing w:line="576" w:lineRule="exact"/>
        <w:textAlignment w:val="auto"/>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23"/>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7</w:t>
      </w:r>
      <w:r>
        <w:rPr>
          <w:rFonts w:ascii="仿宋" w:hAnsi="仿宋" w:eastAsia="仿宋"/>
          <w:sz w:val="28"/>
          <w:szCs w:val="28"/>
        </w:rPr>
        <w:fldChar w:fldCharType="end"/>
      </w:r>
      <w:r>
        <w:rPr>
          <w:rFonts w:ascii="仿宋" w:hAnsi="仿宋" w:eastAsia="仿宋"/>
          <w:sz w:val="28"/>
          <w:szCs w:val="28"/>
        </w:rPr>
        <w:fldChar w:fldCharType="end"/>
      </w:r>
    </w:p>
    <w:p w14:paraId="4887EB5D">
      <w:pPr>
        <w:pStyle w:val="12"/>
        <w:pageBreakBefore w:val="0"/>
        <w:kinsoku/>
        <w:wordWrap/>
        <w:overflowPunct/>
        <w:topLinePunct w:val="0"/>
        <w:autoSpaceDE/>
        <w:autoSpaceDN/>
        <w:bidi w:val="0"/>
        <w:adjustRightInd/>
        <w:snapToGrid/>
        <w:spacing w:line="576" w:lineRule="exact"/>
        <w:textAlignment w:val="auto"/>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23"/>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7</w:t>
      </w:r>
      <w:r>
        <w:rPr>
          <w:rFonts w:ascii="仿宋" w:hAnsi="仿宋" w:eastAsia="仿宋"/>
          <w:sz w:val="28"/>
          <w:szCs w:val="28"/>
        </w:rPr>
        <w:fldChar w:fldCharType="end"/>
      </w:r>
      <w:r>
        <w:rPr>
          <w:rFonts w:ascii="仿宋" w:hAnsi="仿宋" w:eastAsia="仿宋"/>
          <w:sz w:val="28"/>
          <w:szCs w:val="28"/>
        </w:rPr>
        <w:fldChar w:fldCharType="end"/>
      </w:r>
    </w:p>
    <w:p w14:paraId="236F8F1C">
      <w:pPr>
        <w:pStyle w:val="3"/>
        <w:pageBreakBefore w:val="0"/>
        <w:kinsoku/>
        <w:wordWrap/>
        <w:overflowPunct/>
        <w:topLinePunct w:val="0"/>
        <w:autoSpaceDE/>
        <w:autoSpaceDN/>
        <w:bidi w:val="0"/>
        <w:adjustRightInd/>
        <w:snapToGrid/>
        <w:spacing w:before="0" w:after="0" w:line="576" w:lineRule="exact"/>
        <w:jc w:val="center"/>
        <w:textAlignment w:val="auto"/>
        <w:rPr>
          <w:rFonts w:ascii="仿宋" w:hAnsi="仿宋" w:eastAsia="仿宋"/>
          <w:color w:val="000000"/>
          <w:sz w:val="24"/>
        </w:rPr>
      </w:pPr>
      <w:r>
        <w:rPr>
          <w:rFonts w:ascii="仿宋" w:hAnsi="仿宋" w:eastAsia="仿宋"/>
          <w:color w:val="000000"/>
          <w:sz w:val="24"/>
        </w:rPr>
        <w:fldChar w:fldCharType="end"/>
      </w:r>
    </w:p>
    <w:p w14:paraId="4901B763">
      <w:pPr>
        <w:rPr>
          <w:rFonts w:ascii="仿宋" w:hAnsi="仿宋" w:eastAsia="仿宋"/>
          <w:color w:val="000000"/>
          <w:sz w:val="24"/>
        </w:rPr>
      </w:pPr>
    </w:p>
    <w:p w14:paraId="1EFF9D62">
      <w:pPr>
        <w:pStyle w:val="2"/>
        <w:rPr>
          <w:rFonts w:ascii="仿宋" w:hAnsi="仿宋" w:eastAsia="仿宋"/>
          <w:color w:val="000000"/>
          <w:sz w:val="24"/>
        </w:rPr>
      </w:pPr>
    </w:p>
    <w:p w14:paraId="111017AF">
      <w:pPr>
        <w:pStyle w:val="2"/>
        <w:rPr>
          <w:rFonts w:ascii="仿宋" w:hAnsi="仿宋" w:eastAsia="仿宋"/>
          <w:color w:val="000000"/>
          <w:sz w:val="24"/>
        </w:rPr>
      </w:pPr>
    </w:p>
    <w:p w14:paraId="120DB9F2">
      <w:pPr>
        <w:pStyle w:val="2"/>
        <w:rPr>
          <w:rFonts w:ascii="仿宋" w:hAnsi="仿宋" w:eastAsia="仿宋"/>
          <w:color w:val="000000"/>
          <w:sz w:val="24"/>
        </w:rPr>
      </w:pPr>
    </w:p>
    <w:p w14:paraId="6A81C676">
      <w:pPr>
        <w:pStyle w:val="2"/>
        <w:rPr>
          <w:rFonts w:ascii="仿宋" w:hAnsi="仿宋" w:eastAsia="仿宋"/>
          <w:color w:val="000000"/>
          <w:sz w:val="24"/>
        </w:rPr>
      </w:pPr>
    </w:p>
    <w:p w14:paraId="7101613D">
      <w:pPr>
        <w:pStyle w:val="2"/>
        <w:rPr>
          <w:rFonts w:ascii="仿宋" w:hAnsi="仿宋" w:eastAsia="仿宋"/>
          <w:color w:val="000000"/>
          <w:sz w:val="24"/>
        </w:rPr>
      </w:pPr>
    </w:p>
    <w:p w14:paraId="1F75BA2B">
      <w:pPr>
        <w:pStyle w:val="2"/>
        <w:rPr>
          <w:rFonts w:ascii="仿宋" w:hAnsi="仿宋" w:eastAsia="仿宋"/>
          <w:color w:val="000000"/>
          <w:sz w:val="24"/>
        </w:rPr>
      </w:pPr>
    </w:p>
    <w:p w14:paraId="64049F28">
      <w:pPr>
        <w:pStyle w:val="2"/>
        <w:rPr>
          <w:rFonts w:ascii="仿宋" w:hAnsi="仿宋" w:eastAsia="仿宋"/>
          <w:color w:val="000000"/>
          <w:sz w:val="24"/>
        </w:rPr>
      </w:pPr>
    </w:p>
    <w:p w14:paraId="4DCEB769">
      <w:pPr>
        <w:pStyle w:val="2"/>
        <w:rPr>
          <w:rFonts w:ascii="仿宋" w:hAnsi="仿宋" w:eastAsia="仿宋"/>
          <w:color w:val="000000"/>
          <w:sz w:val="24"/>
        </w:rPr>
      </w:pPr>
    </w:p>
    <w:p w14:paraId="0AC50A41">
      <w:pPr>
        <w:pStyle w:val="3"/>
        <w:pageBreakBefore w:val="0"/>
        <w:kinsoku/>
        <w:wordWrap/>
        <w:overflowPunct/>
        <w:topLinePunct w:val="0"/>
        <w:autoSpaceDE/>
        <w:autoSpaceDN/>
        <w:bidi w:val="0"/>
        <w:adjustRightInd/>
        <w:snapToGrid/>
        <w:spacing w:before="0" w:after="0" w:line="576" w:lineRule="exact"/>
        <w:jc w:val="center"/>
        <w:textAlignment w:val="auto"/>
        <w:rPr>
          <w:rFonts w:hint="eastAsia" w:ascii="黑体" w:hAnsi="黑体" w:eastAsia="黑体"/>
          <w:b w:val="0"/>
        </w:rPr>
      </w:pPr>
    </w:p>
    <w:p w14:paraId="7B7811A9">
      <w:pPr>
        <w:pStyle w:val="3"/>
        <w:pageBreakBefore w:val="0"/>
        <w:kinsoku/>
        <w:wordWrap/>
        <w:overflowPunct/>
        <w:topLinePunct w:val="0"/>
        <w:autoSpaceDE/>
        <w:autoSpaceDN/>
        <w:bidi w:val="0"/>
        <w:adjustRightInd/>
        <w:snapToGrid/>
        <w:spacing w:before="0" w:after="0" w:line="576" w:lineRule="exact"/>
        <w:jc w:val="center"/>
        <w:textAlignment w:val="auto"/>
        <w:rPr>
          <w:rFonts w:hint="eastAsia" w:ascii="黑体" w:hAnsi="黑体" w:eastAsia="黑体"/>
          <w:b w:val="0"/>
        </w:rPr>
      </w:pPr>
    </w:p>
    <w:p w14:paraId="0D8DCA11">
      <w:pPr>
        <w:pStyle w:val="3"/>
        <w:pageBreakBefore w:val="0"/>
        <w:kinsoku/>
        <w:wordWrap/>
        <w:overflowPunct/>
        <w:topLinePunct w:val="0"/>
        <w:autoSpaceDE/>
        <w:autoSpaceDN/>
        <w:bidi w:val="0"/>
        <w:adjustRightInd/>
        <w:snapToGrid/>
        <w:spacing w:before="0" w:after="0" w:line="576" w:lineRule="exact"/>
        <w:jc w:val="center"/>
        <w:textAlignment w:val="auto"/>
      </w:pPr>
      <w:r>
        <w:rPr>
          <w:rFonts w:hint="eastAsia" w:ascii="黑体" w:hAnsi="黑体" w:eastAsia="黑体"/>
          <w:b w:val="0"/>
        </w:rPr>
        <w:t xml:space="preserve">第一部分 </w:t>
      </w:r>
      <w:r>
        <w:rPr>
          <w:rStyle w:val="37"/>
          <w:rFonts w:hint="eastAsia" w:ascii="黑体" w:hAnsi="黑体" w:eastAsia="黑体"/>
          <w:b w:val="0"/>
          <w:bCs w:val="0"/>
        </w:rPr>
        <w:t>部门概况</w:t>
      </w:r>
      <w:bookmarkEnd w:id="12"/>
      <w:bookmarkEnd w:id="13"/>
    </w:p>
    <w:p w14:paraId="5BA95344">
      <w:pPr>
        <w:pStyle w:val="4"/>
        <w:rPr>
          <w:rStyle w:val="38"/>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38"/>
          <w:rFonts w:hint="eastAsia" w:ascii="黑体" w:hAnsi="黑体" w:eastAsia="黑体"/>
          <w:b w:val="0"/>
          <w:bCs w:val="0"/>
        </w:rPr>
        <w:t>本职能及主要工作</w:t>
      </w:r>
      <w:bookmarkEnd w:id="14"/>
      <w:bookmarkEnd w:id="15"/>
    </w:p>
    <w:p w14:paraId="26E912F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bookmarkStart w:id="16" w:name="_Toc15377198"/>
      <w:bookmarkStart w:id="17" w:name="_Toc15378445"/>
      <w:r>
        <w:rPr>
          <w:rFonts w:hint="eastAsia" w:ascii="楷体" w:hAnsi="楷体" w:eastAsia="楷体" w:cs="楷体"/>
          <w:sz w:val="32"/>
          <w:szCs w:val="32"/>
          <w:lang w:val="en-US" w:eastAsia="zh-CN"/>
        </w:rPr>
        <w:t>（一）</w:t>
      </w:r>
      <w:r>
        <w:rPr>
          <w:rFonts w:hint="eastAsia" w:ascii="楷体" w:hAnsi="楷体" w:eastAsia="楷体" w:cs="楷体"/>
          <w:sz w:val="32"/>
          <w:szCs w:val="32"/>
        </w:rPr>
        <w:t>主要职能</w:t>
      </w:r>
      <w:bookmarkEnd w:id="16"/>
      <w:bookmarkEnd w:id="17"/>
    </w:p>
    <w:p w14:paraId="33FB467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中国共产主义青年团四川省广元市昭化区委员会（以下简称：团区委）</w:t>
      </w:r>
      <w:r>
        <w:rPr>
          <w:rFonts w:hint="eastAsia" w:ascii="仿宋" w:hAnsi="仿宋" w:eastAsia="仿宋" w:cs="仿宋"/>
          <w:sz w:val="32"/>
          <w:szCs w:val="32"/>
        </w:rPr>
        <w:t>负责制定全区团的建设规划，分类指导区直机关、农村以及企事业单位团的思想、组织、作风建设和团员的教育管理工作；负责加强团的领导班子、领导干部的思想政治作风建设；指导各级团组织抓好团员和青年的理论学习、党的路线、方针、政策以及科学文化、专业知识和法律知识的学习；指导各级团组织配合行政领导做好思想政治工作的统战工作；指导各级团组织发扬“全团带队”的传统，做好少先队工作和希望工程工作；完成区委和上级主管部门交办的其他工作。</w:t>
      </w:r>
    </w:p>
    <w:p w14:paraId="1E61525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（二）重点工作</w:t>
      </w:r>
    </w:p>
    <w:p w14:paraId="305AAEC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bookmarkStart w:id="18" w:name="_Toc15396601"/>
      <w:bookmarkStart w:id="19" w:name="_Toc15377200"/>
      <w:r>
        <w:rPr>
          <w:rFonts w:hint="eastAsia" w:ascii="黑体" w:hAnsi="黑体" w:eastAsia="黑体" w:cs="黑体"/>
          <w:sz w:val="32"/>
          <w:szCs w:val="32"/>
          <w:lang w:val="en-US" w:eastAsia="zh-CN"/>
        </w:rPr>
        <w:t>一是</w:t>
      </w:r>
      <w:r>
        <w:rPr>
          <w:rFonts w:hint="eastAsia" w:ascii="黑体" w:hAnsi="黑体" w:eastAsia="黑体" w:cs="黑体"/>
          <w:sz w:val="32"/>
          <w:szCs w:val="32"/>
        </w:rPr>
        <w:t>思想引领、以人为本，用青春育人行动溢满青春气息</w:t>
      </w:r>
    </w:p>
    <w:p w14:paraId="347A73FD">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1.以理想信念教育强化政治引领。</w:t>
      </w:r>
      <w:r>
        <w:rPr>
          <w:rFonts w:hint="eastAsia" w:ascii="仿宋" w:hAnsi="仿宋" w:eastAsia="仿宋" w:cs="仿宋"/>
          <w:sz w:val="32"/>
          <w:szCs w:val="32"/>
        </w:rPr>
        <w:t>广泛开展理想信念教育，开展“青年大宣讲”活动5次，组织全区青年开展学习贯彻习近平新时代中国特色社会主义思想，学习领会习近平总书记在“不忘初心、牢记使命”主题教育工作会议、庆祝中华人民共和国成立70周年大会、党的十九届四中全会等会议上的重要讲话</w:t>
      </w:r>
      <w:r>
        <w:rPr>
          <w:rFonts w:hint="eastAsia" w:ascii="仿宋" w:hAnsi="仿宋" w:eastAsia="仿宋" w:cs="仿宋"/>
          <w:sz w:val="32"/>
          <w:szCs w:val="32"/>
          <w:lang w:eastAsia="zh-CN"/>
        </w:rPr>
        <w:t>等</w:t>
      </w:r>
      <w:r>
        <w:rPr>
          <w:rFonts w:hint="eastAsia" w:ascii="仿宋" w:hAnsi="仿宋" w:eastAsia="仿宋" w:cs="仿宋"/>
          <w:sz w:val="32"/>
          <w:szCs w:val="32"/>
        </w:rPr>
        <w:t>，累计覆盖团干部200余人次；组织全区团干部参加由共青团中央发起的“青年大学习网上主题团课教育”8次，覆盖人数500余人，进一步提高了全区各级团干部思想政治认识和服务广大青年的意识。</w:t>
      </w:r>
    </w:p>
    <w:p w14:paraId="76E7FEDD">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2.以红色教育弘扬时代新风。</w:t>
      </w:r>
      <w:r>
        <w:rPr>
          <w:rFonts w:hint="eastAsia" w:ascii="仿宋" w:hAnsi="仿宋" w:eastAsia="仿宋" w:cs="仿宋"/>
          <w:sz w:val="32"/>
          <w:szCs w:val="32"/>
        </w:rPr>
        <w:t xml:space="preserve">持续深化“传承红色基因、赓续精神谱系”教育活动，举办“纪念五四运动100周年”、“我与祖国共奋进”、“庆祝中华人民共和国成立70周年”、“不忘初心、牢记使命”等主题教育活动10余次，使青少年在红色文化中铭记使命，在创新文化活动中陶冶情操，在和谐文化氛围里涤荡心灵，在先进文化理念下熏陶下茁壮成长。  </w:t>
      </w:r>
    </w:p>
    <w:p w14:paraId="3EC5E9FF">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3.以先进典型选树激励青少年。</w:t>
      </w:r>
      <w:r>
        <w:rPr>
          <w:rFonts w:hint="eastAsia" w:ascii="仿宋" w:hAnsi="仿宋" w:eastAsia="仿宋" w:cs="仿宋"/>
          <w:sz w:val="32"/>
          <w:szCs w:val="32"/>
        </w:rPr>
        <w:t>积极选树典型，更好地发挥优秀青年的示范带动作用，联合青年志愿者协会，积极组织开展“优秀志愿者”评选</w:t>
      </w:r>
      <w:r>
        <w:rPr>
          <w:rFonts w:hint="eastAsia" w:ascii="仿宋" w:hAnsi="仿宋" w:eastAsia="仿宋" w:cs="仿宋"/>
          <w:sz w:val="32"/>
          <w:szCs w:val="32"/>
          <w:lang w:eastAsia="zh-CN"/>
        </w:rPr>
        <w:t>推荐</w:t>
      </w:r>
      <w:r>
        <w:rPr>
          <w:rFonts w:hint="eastAsia" w:ascii="仿宋" w:hAnsi="仿宋" w:eastAsia="仿宋" w:cs="仿宋"/>
          <w:sz w:val="32"/>
          <w:szCs w:val="32"/>
        </w:rPr>
        <w:t>活动，涌现出了省级“优秀志愿者”4名</w:t>
      </w:r>
      <w:r>
        <w:rPr>
          <w:rFonts w:hint="eastAsia" w:ascii="仿宋" w:hAnsi="仿宋" w:eastAsia="仿宋" w:cs="仿宋"/>
          <w:sz w:val="32"/>
          <w:szCs w:val="32"/>
          <w:lang w:eastAsia="zh-CN"/>
        </w:rPr>
        <w:t>，</w:t>
      </w:r>
      <w:r>
        <w:rPr>
          <w:rFonts w:hint="eastAsia" w:ascii="仿宋" w:hAnsi="仿宋" w:eastAsia="仿宋" w:cs="仿宋"/>
          <w:sz w:val="32"/>
          <w:szCs w:val="32"/>
        </w:rPr>
        <w:t>市级</w:t>
      </w:r>
      <w:r>
        <w:rPr>
          <w:rFonts w:hint="eastAsia" w:ascii="仿宋" w:hAnsi="仿宋" w:eastAsia="仿宋" w:cs="仿宋"/>
          <w:sz w:val="32"/>
          <w:szCs w:val="32"/>
          <w:lang w:eastAsia="zh-CN"/>
        </w:rPr>
        <w:t>“优秀志愿者”</w:t>
      </w:r>
      <w:r>
        <w:rPr>
          <w:rFonts w:hint="eastAsia" w:ascii="仿宋" w:hAnsi="仿宋" w:eastAsia="仿宋" w:cs="仿宋"/>
          <w:sz w:val="32"/>
          <w:szCs w:val="32"/>
          <w:lang w:val="en-US" w:eastAsia="zh-CN"/>
        </w:rPr>
        <w:t>4名</w:t>
      </w:r>
      <w:r>
        <w:rPr>
          <w:rFonts w:hint="eastAsia" w:ascii="仿宋" w:hAnsi="仿宋" w:eastAsia="仿宋" w:cs="仿宋"/>
          <w:sz w:val="32"/>
          <w:szCs w:val="32"/>
          <w:lang w:eastAsia="zh-CN"/>
        </w:rPr>
        <w:t>，市级“优秀志愿服务组织”、“优秀志愿服务项目”、“优秀志愿服务先进社区”各</w:t>
      </w:r>
      <w:r>
        <w:rPr>
          <w:rFonts w:hint="eastAsia" w:ascii="仿宋" w:hAnsi="仿宋" w:eastAsia="仿宋" w:cs="仿宋"/>
          <w:sz w:val="32"/>
          <w:szCs w:val="32"/>
          <w:lang w:val="en-US" w:eastAsia="zh-CN"/>
        </w:rPr>
        <w:t>1个</w:t>
      </w:r>
      <w:r>
        <w:rPr>
          <w:rFonts w:hint="eastAsia" w:ascii="仿宋" w:hAnsi="仿宋" w:eastAsia="仿宋" w:cs="仿宋"/>
          <w:sz w:val="32"/>
          <w:szCs w:val="32"/>
        </w:rPr>
        <w:t>，以“青春榜样”助力在我区广大青少年中营造干事创业的良好氛围。</w:t>
      </w:r>
    </w:p>
    <w:p w14:paraId="4E385F9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二是</w:t>
      </w:r>
      <w:r>
        <w:rPr>
          <w:rFonts w:hint="eastAsia" w:ascii="黑体" w:hAnsi="黑体" w:eastAsia="黑体" w:cs="黑体"/>
          <w:sz w:val="32"/>
          <w:szCs w:val="32"/>
        </w:rPr>
        <w:t>服务大局、开拓创新，用青春建功行动唱响青春之歌</w:t>
      </w:r>
    </w:p>
    <w:p w14:paraId="68E56E4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1.脱贫攻坚工作凸显成效。</w:t>
      </w:r>
      <w:r>
        <w:rPr>
          <w:rFonts w:hint="eastAsia" w:ascii="仿宋" w:hAnsi="仿宋" w:eastAsia="仿宋" w:cs="仿宋"/>
          <w:sz w:val="32"/>
          <w:szCs w:val="32"/>
          <w:lang w:eastAsia="zh-CN"/>
        </w:rPr>
        <w:t>一方面，</w:t>
      </w:r>
      <w:r>
        <w:rPr>
          <w:rFonts w:hint="eastAsia" w:ascii="仿宋" w:hAnsi="仿宋" w:eastAsia="仿宋" w:cs="仿宋"/>
          <w:sz w:val="32"/>
          <w:szCs w:val="32"/>
        </w:rPr>
        <w:t>坚持脱贫攻坚是首要政治任务的原则，扎实做好石井铺镇八庙村驻村帮扶工作</w:t>
      </w:r>
      <w:r>
        <w:rPr>
          <w:rFonts w:hint="eastAsia" w:ascii="仿宋" w:hAnsi="仿宋" w:eastAsia="仿宋" w:cs="仿宋"/>
          <w:sz w:val="32"/>
          <w:szCs w:val="32"/>
          <w:lang w:eastAsia="zh-CN"/>
        </w:rPr>
        <w:t>。</w:t>
      </w:r>
      <w:r>
        <w:rPr>
          <w:rFonts w:hint="eastAsia" w:ascii="仿宋" w:hAnsi="仿宋" w:eastAsia="仿宋" w:cs="仿宋"/>
          <w:sz w:val="32"/>
          <w:szCs w:val="32"/>
        </w:rPr>
        <w:t>积极引导贫困户“形成好风气，养成好习惯“，常态开展“村十好、社六好”贫困户脱贫致富典型评选活动，为全村各户树立优秀榜样。认真开展“大走访、大调研、大整改、大提升”、“两不愁、三保障”全面走访排查、“三个三”大排查，进一步落实精准扶贫、精准脱贫。同时，组织全体帮扶干部、村社干部深入开展政治理论学习，严格落实区委“不忘初心、牢记使命”主题教育要求，开展第一书记讲党课2次、学党章党规3次，</w:t>
      </w:r>
      <w:r>
        <w:rPr>
          <w:rFonts w:hint="eastAsia" w:ascii="仿宋" w:hAnsi="仿宋" w:eastAsia="仿宋" w:cs="仿宋"/>
          <w:sz w:val="32"/>
          <w:szCs w:val="32"/>
          <w:lang w:eastAsia="zh-CN"/>
        </w:rPr>
        <w:t>组织村、社干部</w:t>
      </w:r>
      <w:r>
        <w:rPr>
          <w:rFonts w:hint="eastAsia" w:ascii="仿宋" w:hAnsi="仿宋" w:eastAsia="仿宋" w:cs="仿宋"/>
          <w:sz w:val="32"/>
          <w:szCs w:val="32"/>
        </w:rPr>
        <w:t>前往太公红军山</w:t>
      </w:r>
      <w:r>
        <w:rPr>
          <w:rFonts w:hint="eastAsia" w:ascii="仿宋" w:hAnsi="仿宋" w:eastAsia="仿宋" w:cs="仿宋"/>
          <w:sz w:val="32"/>
          <w:szCs w:val="32"/>
          <w:lang w:eastAsia="zh-CN"/>
        </w:rPr>
        <w:t>开展</w:t>
      </w:r>
      <w:r>
        <w:rPr>
          <w:rFonts w:hint="eastAsia" w:ascii="仿宋" w:hAnsi="仿宋" w:eastAsia="仿宋" w:cs="仿宋"/>
          <w:sz w:val="32"/>
          <w:szCs w:val="32"/>
        </w:rPr>
        <w:t>“不忘初心、牢记使命”</w:t>
      </w:r>
      <w:r>
        <w:rPr>
          <w:rFonts w:hint="eastAsia" w:ascii="仿宋" w:hAnsi="仿宋" w:eastAsia="仿宋" w:cs="仿宋"/>
          <w:sz w:val="32"/>
          <w:szCs w:val="32"/>
          <w:lang w:eastAsia="zh-CN"/>
        </w:rPr>
        <w:t>党性教育</w:t>
      </w:r>
      <w:r>
        <w:rPr>
          <w:rFonts w:hint="eastAsia" w:ascii="仿宋" w:hAnsi="仿宋" w:eastAsia="仿宋" w:cs="仿宋"/>
          <w:sz w:val="32"/>
          <w:szCs w:val="32"/>
        </w:rPr>
        <w:t>。</w:t>
      </w:r>
      <w:r>
        <w:rPr>
          <w:rFonts w:hint="eastAsia" w:ascii="仿宋" w:hAnsi="仿宋" w:eastAsia="仿宋" w:cs="仿宋"/>
          <w:sz w:val="32"/>
          <w:szCs w:val="32"/>
          <w:lang w:eastAsia="zh-CN"/>
        </w:rPr>
        <w:t>另一方面，</w:t>
      </w:r>
      <w:r>
        <w:rPr>
          <w:rFonts w:hint="eastAsia" w:ascii="仿宋" w:hAnsi="仿宋" w:eastAsia="仿宋" w:cs="仿宋"/>
          <w:sz w:val="32"/>
          <w:szCs w:val="32"/>
        </w:rPr>
        <w:t>高质量推进“龙泉·昭化”东西部扶贫协作农村电商扶贫项目。截至目前已完成“四川昭化原产地直供馆”、“龙泉·昭化电商扶贫飞地”、营销渠道建设工程方面、“农村电商服务中心”建设，“青年电商孵化中心”正在加快建设，预计年底完成入驻；建成微商示范村1处、微商示范乡1处，绿壳鸡蛋电商产业链条基本搭建完成，带动203名贫困人口增；搭建“昭化严选”供货平台1个，基本实现昭化特色产品入网销售，月销售量稳步提升至30万元以上；累计输送4期81名创业青年赴“飞地”学习，前两期共计孵化网商和电商从业者21名（个），月累计带动销售昭化产品5万余元；销售举办“网红暨微商培训”、“乡村振兴暨青年干部培训”、“微商培训进农村”等讲座26场次；开设抖音、微博话题“山水太极大美昭化”，目前，累计阅读量超过100万人次，带动了魔芋、金耳、乌鸡蛋等相关产品销售，项目案例先后被国家网信办、中宣办网络社会组织联合会评选为优秀案例。</w:t>
      </w:r>
    </w:p>
    <w:p w14:paraId="294E02AC">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2.青年就业创业建功行动广受好评。</w:t>
      </w:r>
      <w:r>
        <w:rPr>
          <w:rFonts w:hint="eastAsia" w:ascii="仿宋" w:hAnsi="仿宋" w:eastAsia="仿宋" w:cs="仿宋"/>
          <w:sz w:val="32"/>
          <w:szCs w:val="32"/>
        </w:rPr>
        <w:t>“就业是民生之本，创业是就业之源”，紧紧围绕全区脱贫攻坚工作，找准制约青年就业的“瓶颈”因素。一是大力实施龙泉·昭化东西部扶贫协作“飞地”电商人才培养工程。搭建好青年创业就业服务平台。2019年选拔60余名昭化籍青年赴浙参加电商培训，落实通过互联网、电商，提升乡镇干部和农村致富能手开展扶贫工作的能力和水平；搭建由180名青年组建的创业交流群，青年创业顾问不定期在群里发布创业信息和专业知识，为我区正在创业青年答疑解惑和提供服务。二是积极争取SYE(四川青年创业促进计划)项目。帮助5名昭化籍创业青年争取3-10万元免息贷款。三是广泛开展技能培训。开展“电商论坛”、“青春创业就业大讲堂”等</w:t>
      </w:r>
      <w:r>
        <w:rPr>
          <w:rFonts w:hint="eastAsia" w:ascii="仿宋" w:hAnsi="仿宋" w:eastAsia="仿宋" w:cs="仿宋"/>
          <w:sz w:val="32"/>
          <w:szCs w:val="32"/>
          <w:lang w:eastAsia="zh-CN"/>
        </w:rPr>
        <w:t>活动</w:t>
      </w:r>
      <w:r>
        <w:rPr>
          <w:rFonts w:hint="eastAsia" w:ascii="仿宋" w:hAnsi="仿宋" w:eastAsia="仿宋" w:cs="仿宋"/>
          <w:sz w:val="32"/>
          <w:szCs w:val="32"/>
        </w:rPr>
        <w:t>，累计为1000余名青年提供创业就业咨询服务，造就了一批有文化、懂技术、会经营的新型农村创业就业青年。</w:t>
      </w:r>
    </w:p>
    <w:p w14:paraId="1B3BE1FD">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3.困难青少年群体帮扶不断深化。</w:t>
      </w:r>
      <w:r>
        <w:rPr>
          <w:rFonts w:hint="eastAsia" w:ascii="仿宋" w:hAnsi="仿宋" w:eastAsia="仿宋" w:cs="仿宋"/>
          <w:sz w:val="32"/>
          <w:szCs w:val="32"/>
        </w:rPr>
        <w:t>以特殊、困难留守儿童群体为重点，争取各方资源，广泛开展捐款捐物、志愿服务、结对帮扶等活动。一是持续开展“小海星” 帮扶特殊困境留守学生工作。今年联系社会爱心人士结对帮扶困难留守儿童17名，争取帮扶资金3.88万元。二是落实好“希望工程”捐资助学项目。争取“中国茅台•国之栋梁——2019希望工程圆梦行动”、“昭化区新联会金秋助学”、“东西部协作助学”等助学项目，共筹措助学资金2.8万元，资助学生8人；落实</w:t>
      </w:r>
      <w:r>
        <w:rPr>
          <w:rFonts w:hint="eastAsia" w:ascii="仿宋" w:hAnsi="仿宋" w:eastAsia="仿宋" w:cs="仿宋"/>
          <w:sz w:val="32"/>
          <w:szCs w:val="32"/>
          <w:lang w:eastAsia="zh-CN"/>
        </w:rPr>
        <w:t>天九共享集团</w:t>
      </w:r>
      <w:r>
        <w:rPr>
          <w:rFonts w:hint="eastAsia" w:ascii="仿宋" w:hAnsi="仿宋" w:eastAsia="仿宋" w:cs="仿宋"/>
          <w:sz w:val="32"/>
          <w:szCs w:val="32"/>
        </w:rPr>
        <w:t>助学金</w:t>
      </w:r>
      <w:r>
        <w:rPr>
          <w:rFonts w:hint="eastAsia" w:ascii="仿宋" w:hAnsi="仿宋" w:eastAsia="仿宋" w:cs="仿宋"/>
          <w:sz w:val="32"/>
          <w:szCs w:val="32"/>
          <w:lang w:val="en-US" w:eastAsia="zh-CN"/>
        </w:rPr>
        <w:t>81.6万元，共</w:t>
      </w:r>
      <w:r>
        <w:rPr>
          <w:rFonts w:hint="eastAsia" w:ascii="仿宋" w:hAnsi="仿宋" w:eastAsia="仿宋" w:cs="仿宋"/>
          <w:sz w:val="32"/>
          <w:szCs w:val="32"/>
        </w:rPr>
        <w:t>资助</w:t>
      </w:r>
      <w:r>
        <w:rPr>
          <w:rFonts w:hint="eastAsia" w:ascii="仿宋" w:hAnsi="仿宋" w:eastAsia="仿宋" w:cs="仿宋"/>
          <w:sz w:val="32"/>
          <w:szCs w:val="32"/>
          <w:lang w:eastAsia="zh-CN"/>
        </w:rPr>
        <w:t>我区</w:t>
      </w:r>
      <w:r>
        <w:rPr>
          <w:rFonts w:hint="eastAsia" w:ascii="仿宋" w:hAnsi="仿宋" w:eastAsia="仿宋" w:cs="仿宋"/>
          <w:sz w:val="32"/>
          <w:szCs w:val="32"/>
          <w:lang w:val="en-US" w:eastAsia="zh-CN"/>
        </w:rPr>
        <w:t>687</w:t>
      </w:r>
      <w:r>
        <w:rPr>
          <w:rFonts w:hint="eastAsia" w:ascii="仿宋" w:hAnsi="仿宋" w:eastAsia="仿宋" w:cs="仿宋"/>
          <w:sz w:val="32"/>
          <w:szCs w:val="32"/>
        </w:rPr>
        <w:t>名贫困学生</w:t>
      </w:r>
      <w:r>
        <w:rPr>
          <w:rFonts w:hint="eastAsia" w:ascii="仿宋" w:hAnsi="仿宋" w:eastAsia="仿宋" w:cs="仿宋"/>
          <w:sz w:val="32"/>
          <w:szCs w:val="32"/>
          <w:lang w:eastAsia="zh-CN"/>
        </w:rPr>
        <w:t>上学</w:t>
      </w:r>
      <w:r>
        <w:rPr>
          <w:rFonts w:hint="eastAsia" w:ascii="仿宋" w:hAnsi="仿宋" w:eastAsia="仿宋" w:cs="仿宋"/>
          <w:sz w:val="32"/>
          <w:szCs w:val="32"/>
        </w:rPr>
        <w:t>，其中高中生129名</w:t>
      </w:r>
      <w:r>
        <w:rPr>
          <w:rFonts w:hint="eastAsia" w:ascii="仿宋" w:hAnsi="仿宋" w:eastAsia="仿宋" w:cs="仿宋"/>
          <w:sz w:val="32"/>
          <w:szCs w:val="32"/>
          <w:lang w:eastAsia="zh-CN"/>
        </w:rPr>
        <w:t>、</w:t>
      </w:r>
      <w:r>
        <w:rPr>
          <w:rFonts w:hint="eastAsia" w:ascii="仿宋" w:hAnsi="仿宋" w:eastAsia="仿宋" w:cs="仿宋"/>
          <w:sz w:val="32"/>
          <w:szCs w:val="32"/>
        </w:rPr>
        <w:t>初中生177名</w:t>
      </w:r>
      <w:r>
        <w:rPr>
          <w:rFonts w:hint="eastAsia" w:ascii="仿宋" w:hAnsi="仿宋" w:eastAsia="仿宋" w:cs="仿宋"/>
          <w:sz w:val="32"/>
          <w:szCs w:val="32"/>
          <w:lang w:eastAsia="zh-CN"/>
        </w:rPr>
        <w:t>、</w:t>
      </w:r>
      <w:r>
        <w:rPr>
          <w:rFonts w:hint="eastAsia" w:ascii="仿宋" w:hAnsi="仿宋" w:eastAsia="仿宋" w:cs="仿宋"/>
          <w:sz w:val="32"/>
          <w:szCs w:val="32"/>
        </w:rPr>
        <w:t>小学生381人</w:t>
      </w:r>
      <w:r>
        <w:rPr>
          <w:rFonts w:hint="eastAsia" w:ascii="仿宋" w:hAnsi="仿宋" w:eastAsia="仿宋" w:cs="仿宋"/>
          <w:sz w:val="32"/>
          <w:szCs w:val="32"/>
          <w:lang w:eastAsia="zh-CN"/>
        </w:rPr>
        <w:t>，</w:t>
      </w:r>
      <w:r>
        <w:rPr>
          <w:rFonts w:hint="eastAsia" w:ascii="仿宋" w:hAnsi="仿宋" w:eastAsia="仿宋" w:cs="仿宋"/>
          <w:sz w:val="32"/>
          <w:szCs w:val="32"/>
        </w:rPr>
        <w:t>覆盖全</w:t>
      </w:r>
      <w:r>
        <w:rPr>
          <w:rFonts w:hint="eastAsia" w:ascii="仿宋" w:hAnsi="仿宋" w:eastAsia="仿宋" w:cs="仿宋"/>
          <w:sz w:val="32"/>
          <w:szCs w:val="32"/>
          <w:lang w:val="en-US" w:eastAsia="zh-CN"/>
        </w:rPr>
        <w:t>区</w:t>
      </w:r>
      <w:r>
        <w:rPr>
          <w:rFonts w:hint="eastAsia" w:ascii="仿宋" w:hAnsi="仿宋" w:eastAsia="仿宋" w:cs="仿宋"/>
          <w:sz w:val="32"/>
          <w:szCs w:val="32"/>
        </w:rPr>
        <w:t>所有初高中和小学校。三是大力开展关爱困难青少年群体志愿服务行动。建立志愿服务队3支，紧紧围绕“团结互助、共同成长”，开展亲情陪护、爱心捐赠、课业辅导等专题活动5次。</w:t>
      </w:r>
    </w:p>
    <w:p w14:paraId="7A81F29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三是</w:t>
      </w:r>
      <w:r>
        <w:rPr>
          <w:rFonts w:hint="eastAsia" w:ascii="黑体" w:hAnsi="黑体" w:eastAsia="黑体" w:cs="黑体"/>
          <w:sz w:val="32"/>
          <w:szCs w:val="32"/>
        </w:rPr>
        <w:t>突出重点、合力攻坚，用青春和谐行动凸显青春业绩</w:t>
      </w:r>
    </w:p>
    <w:p w14:paraId="2DA48952">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1.青少年权益维护不断加强。</w:t>
      </w:r>
      <w:r>
        <w:rPr>
          <w:rFonts w:hint="eastAsia" w:ascii="仿宋" w:hAnsi="仿宋" w:eastAsia="仿宋" w:cs="仿宋"/>
          <w:sz w:val="32"/>
          <w:szCs w:val="32"/>
        </w:rPr>
        <w:t>全面深化青少年维权和心理咨询服务平台建设，聘请法律顾问1名，以宣传《未成年人保护法》、《预防青少年犯罪法》等内容为重点，深入开展“平安文明和谐校园”、“弘扬法治精神、增强法治观念”宣传教育活动，累计深入学校、社区、企业开展宣传教育10余场，累计惠及青少年3000人次</w:t>
      </w:r>
      <w:r>
        <w:rPr>
          <w:rFonts w:hint="eastAsia" w:ascii="仿宋" w:hAnsi="仿宋" w:eastAsia="仿宋" w:cs="仿宋"/>
          <w:sz w:val="32"/>
          <w:szCs w:val="32"/>
          <w:lang w:eastAsia="zh-CN"/>
        </w:rPr>
        <w:t>，</w:t>
      </w:r>
      <w:r>
        <w:rPr>
          <w:rFonts w:hint="eastAsia" w:ascii="仿宋" w:hAnsi="仿宋" w:eastAsia="仿宋" w:cs="仿宋"/>
          <w:sz w:val="32"/>
          <w:szCs w:val="32"/>
        </w:rPr>
        <w:t>进一步加强了预防青少年犯罪工作，提高了未成年人的法治意识。</w:t>
      </w:r>
    </w:p>
    <w:p w14:paraId="49F2D940">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2.志愿服务品牌活动深入人心。</w:t>
      </w:r>
      <w:r>
        <w:rPr>
          <w:rFonts w:hint="eastAsia" w:ascii="仿宋" w:hAnsi="仿宋" w:eastAsia="仿宋" w:cs="仿宋"/>
          <w:sz w:val="32"/>
          <w:szCs w:val="32"/>
          <w:lang w:eastAsia="zh-CN"/>
        </w:rPr>
        <w:t>积极</w:t>
      </w:r>
      <w:r>
        <w:rPr>
          <w:rFonts w:hint="eastAsia" w:ascii="仿宋" w:hAnsi="仿宋" w:eastAsia="仿宋" w:cs="仿宋"/>
          <w:sz w:val="32"/>
          <w:szCs w:val="32"/>
        </w:rPr>
        <w:t>打造具有昭化特色的志愿服务品牌。持续开展大学生“三下乡”社会实践行动3次，</w:t>
      </w:r>
      <w:r>
        <w:rPr>
          <w:rFonts w:hint="eastAsia" w:ascii="仿宋" w:hAnsi="仿宋" w:eastAsia="仿宋" w:cs="仿宋"/>
          <w:sz w:val="32"/>
          <w:szCs w:val="32"/>
          <w:lang w:eastAsia="zh-CN"/>
        </w:rPr>
        <w:t>今年</w:t>
      </w:r>
      <w:r>
        <w:rPr>
          <w:rFonts w:hint="eastAsia" w:ascii="仿宋" w:hAnsi="仿宋" w:eastAsia="仿宋" w:cs="仿宋"/>
          <w:sz w:val="32"/>
          <w:szCs w:val="32"/>
        </w:rPr>
        <w:t>新招募“大学生志愿服务西部计划志愿者”9人，组织开展“创建第六届全国文明城市”、“国家园林城市创建”、“情定广元·相约昭化”等志愿服务活动28次，提升了昭</w:t>
      </w:r>
      <w:bookmarkStart w:id="72" w:name="_GoBack"/>
      <w:bookmarkEnd w:id="72"/>
      <w:r>
        <w:rPr>
          <w:rFonts w:hint="eastAsia" w:ascii="仿宋" w:hAnsi="仿宋" w:eastAsia="仿宋" w:cs="仿宋"/>
          <w:sz w:val="32"/>
          <w:szCs w:val="32"/>
        </w:rPr>
        <w:t>化青年志愿服务行动在社会公益事业中的新形象，同时也提升了共青团在承接党委、政府社会事务中的组织承载力。</w:t>
      </w:r>
    </w:p>
    <w:p w14:paraId="6F6413B2">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3.“青年之家”团属阵地不断拓展。</w:t>
      </w:r>
      <w:r>
        <w:rPr>
          <w:rFonts w:hint="eastAsia" w:ascii="仿宋" w:hAnsi="仿宋" w:eastAsia="仿宋" w:cs="仿宋"/>
          <w:sz w:val="32"/>
          <w:szCs w:val="32"/>
        </w:rPr>
        <w:t>全力打造共青团直接联系服务青年的阵地，组织开展“青春微课堂”、“职场加油站”、“找到Ta（青年交友）”、“兴趣坊”、“志愿帮”等特色主题活动56余次，覆盖青年1000余人，切实服务青少年成长成才，让青年随时、随地找到团组织。</w:t>
      </w:r>
    </w:p>
    <w:p w14:paraId="53C4687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四是</w:t>
      </w:r>
      <w:r>
        <w:rPr>
          <w:rFonts w:hint="eastAsia" w:ascii="黑体" w:hAnsi="黑体" w:eastAsia="黑体" w:cs="黑体"/>
          <w:sz w:val="32"/>
          <w:szCs w:val="32"/>
        </w:rPr>
        <w:t>统筹兼顾、全面强化，用青春内修行动焕发青春活力</w:t>
      </w:r>
    </w:p>
    <w:p w14:paraId="36D4F52C">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1.团的组织建设全面强化。</w:t>
      </w:r>
      <w:r>
        <w:rPr>
          <w:rFonts w:hint="eastAsia" w:ascii="仿宋" w:hAnsi="仿宋" w:eastAsia="仿宋" w:cs="仿宋"/>
          <w:sz w:val="32"/>
          <w:szCs w:val="32"/>
        </w:rPr>
        <w:t>深入推进基层“党建带团建”工作。</w:t>
      </w:r>
      <w:r>
        <w:rPr>
          <w:rFonts w:hint="eastAsia" w:ascii="仿宋" w:hAnsi="仿宋" w:eastAsia="仿宋" w:cs="仿宋"/>
          <w:sz w:val="32"/>
          <w:szCs w:val="32"/>
          <w:lang w:eastAsia="zh-CN"/>
        </w:rPr>
        <w:t>一方面，</w:t>
      </w:r>
      <w:r>
        <w:rPr>
          <w:rFonts w:hint="eastAsia" w:ascii="仿宋" w:hAnsi="仿宋" w:eastAsia="仿宋" w:cs="仿宋"/>
          <w:sz w:val="32"/>
          <w:szCs w:val="32"/>
        </w:rPr>
        <w:t>深化实施团建基础工程。逐步建立起含59个直属基层团委（团支部）的团组织构架树，录入转入团员4019人；将团建工作纳入学校党建工作整体规划，认真按照“党建带团建“总体要求，推动学校团建考核在党建考核中占比达10%。</w:t>
      </w:r>
      <w:r>
        <w:rPr>
          <w:rFonts w:hint="eastAsia" w:ascii="仿宋" w:hAnsi="仿宋" w:eastAsia="仿宋" w:cs="仿宋"/>
          <w:sz w:val="32"/>
          <w:szCs w:val="32"/>
          <w:lang w:eastAsia="zh-CN"/>
        </w:rPr>
        <w:t>另一方面，</w:t>
      </w:r>
      <w:r>
        <w:rPr>
          <w:rFonts w:hint="eastAsia" w:ascii="仿宋" w:hAnsi="仿宋" w:eastAsia="仿宋" w:cs="仿宋"/>
          <w:sz w:val="32"/>
          <w:szCs w:val="32"/>
        </w:rPr>
        <w:t>持续深化团教协作，巩固建立团教协作机制，建立区教育团工委，理顺学校团组织书记任免流程；加强学校领域团组织书记管理，常态化推动学校团组织书记专设，优化学校团组织书记发展机制，认真开展“双线晋升“评选，提升校团组织书记责任感、荣誉感。</w:t>
      </w:r>
    </w:p>
    <w:p w14:paraId="19869CB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2.团干部队伍建设水平显著提高。</w:t>
      </w:r>
      <w:r>
        <w:rPr>
          <w:rFonts w:hint="eastAsia" w:ascii="仿宋" w:hAnsi="仿宋" w:eastAsia="仿宋" w:cs="仿宋"/>
          <w:sz w:val="32"/>
          <w:szCs w:val="32"/>
        </w:rPr>
        <w:t>一是强化团干部队伍建设。着力塑造团干部新风貌，推进团组织党的建设，强化党的领导，切实增强“四个意识”，严格遵守党的政治纪律和政治规矩，不断增强团干部的政治性。二是将团干部培训纳入全区干部培训计划，累计组织全区团干部学习《中国共产主义青年团章程》、共青团基础团务务知识培训、“不忘初心、牢记使命“主题教育团日等各类实践活动共计200余次，让基层团干进一步明确职责使命，提升工作激情，不断增强团干部的先进性。三是常态化开展落实“1+100”团干部联系青年制度，全区152名团干部通过网络联系青年1600余人，建立青年联系服务微信群12个，累计开展线上活动40余次，开展线下活动10余次，不断增强团干部的群众性。</w:t>
      </w:r>
    </w:p>
    <w:p w14:paraId="610A421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3.“全团带队”工作深入实施。</w:t>
      </w:r>
      <w:r>
        <w:rPr>
          <w:rFonts w:hint="eastAsia" w:ascii="仿宋" w:hAnsi="仿宋" w:eastAsia="仿宋" w:cs="仿宋"/>
          <w:sz w:val="32"/>
          <w:szCs w:val="32"/>
        </w:rPr>
        <w:t>充分履行“全团带队”工作职责，用习近平新时代中国特色社会主义思想教育和引导少年儿童，从小树牢理想信念；团的各级委员会集体带队，定期研究少先队工作，帮助健全少先队组织和工作机构，从校内向校外更广泛地拓展，选派优秀的团干部从事少先队工作；主动与社会各部门、各团体联系，积极争取社会对少先队工作的支持；探索符合少先队和少年儿童的特点及成长规律的工作方法，充分调动少先队组织的积极性和创造性，开展富有特色的活动100余次，覆盖所有少先队组织；加强少先队工作者的队伍建设，关心和帮助少先队辅导员，为他们创造有利的工作、学习和生活条件。</w:t>
      </w:r>
    </w:p>
    <w:p w14:paraId="442C4B86">
      <w:pPr>
        <w:pStyle w:val="4"/>
        <w:pageBreakBefore w:val="0"/>
        <w:widowControl w:val="0"/>
        <w:kinsoku/>
        <w:wordWrap/>
        <w:overflowPunct/>
        <w:topLinePunct w:val="0"/>
        <w:autoSpaceDE/>
        <w:autoSpaceDN/>
        <w:bidi w:val="0"/>
        <w:adjustRightInd/>
        <w:snapToGrid/>
        <w:spacing w:before="0" w:after="0"/>
        <w:textAlignment w:val="auto"/>
        <w:rPr>
          <w:rStyle w:val="38"/>
          <w:b w:val="0"/>
          <w:bCs w:val="0"/>
        </w:rPr>
      </w:pPr>
      <w:r>
        <w:rPr>
          <w:rFonts w:hint="eastAsia" w:ascii="黑体" w:eastAsia="黑体"/>
          <w:b w:val="0"/>
          <w:color w:val="000000"/>
        </w:rPr>
        <w:t>二、</w:t>
      </w:r>
      <w:r>
        <w:rPr>
          <w:rFonts w:hint="eastAsia" w:ascii="黑体" w:hAnsi="黑体" w:eastAsia="黑体"/>
          <w:b w:val="0"/>
          <w:color w:val="000000"/>
        </w:rPr>
        <w:t>机</w:t>
      </w:r>
      <w:r>
        <w:rPr>
          <w:rStyle w:val="38"/>
          <w:rFonts w:hint="eastAsia" w:ascii="黑体" w:hAnsi="黑体" w:eastAsia="黑体"/>
          <w:b w:val="0"/>
          <w:bCs w:val="0"/>
        </w:rPr>
        <w:t>构设置</w:t>
      </w:r>
      <w:bookmarkEnd w:id="18"/>
      <w:bookmarkEnd w:id="19"/>
    </w:p>
    <w:p w14:paraId="122BD393">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20" w:name="_Toc15377204"/>
      <w:bookmarkStart w:id="21" w:name="_Toc15396602"/>
      <w:r>
        <w:rPr>
          <w:rFonts w:hint="eastAsia" w:ascii="仿宋_GB2312" w:hAnsi="仿宋_GB2312" w:eastAsia="仿宋_GB2312" w:cs="仿宋_GB2312"/>
          <w:sz w:val="32"/>
          <w:szCs w:val="32"/>
          <w:lang w:val="en-US" w:eastAsia="zh-CN"/>
        </w:rPr>
        <w:t>团区委属独立的财务一级预算党群部门，下属公益一类事业单位1个，为“广元市昭化区青少年服务中心”，无二级预算单位。</w:t>
      </w:r>
    </w:p>
    <w:p w14:paraId="78385F66">
      <w:pPr>
        <w:pStyle w:val="3"/>
        <w:keepNext/>
        <w:keepLines/>
        <w:pageBreakBefore w:val="0"/>
        <w:widowControl w:val="0"/>
        <w:kinsoku/>
        <w:wordWrap/>
        <w:overflowPunct/>
        <w:topLinePunct w:val="0"/>
        <w:autoSpaceDE/>
        <w:autoSpaceDN/>
        <w:bidi w:val="0"/>
        <w:adjustRightInd/>
        <w:snapToGrid/>
        <w:spacing w:before="0" w:after="0" w:line="576" w:lineRule="exact"/>
        <w:ind w:right="442"/>
        <w:jc w:val="center"/>
        <w:textAlignment w:val="auto"/>
        <w:rPr>
          <w:rFonts w:hint="eastAsia" w:ascii="黑体" w:hAnsi="黑体" w:eastAsia="黑体"/>
          <w:b w:val="0"/>
          <w:color w:val="000000"/>
        </w:rPr>
      </w:pPr>
    </w:p>
    <w:p w14:paraId="766F136E">
      <w:pPr>
        <w:pStyle w:val="3"/>
        <w:keepNext/>
        <w:keepLines/>
        <w:pageBreakBefore w:val="0"/>
        <w:widowControl w:val="0"/>
        <w:kinsoku/>
        <w:wordWrap/>
        <w:overflowPunct/>
        <w:topLinePunct w:val="0"/>
        <w:autoSpaceDE/>
        <w:autoSpaceDN/>
        <w:bidi w:val="0"/>
        <w:adjustRightInd/>
        <w:snapToGrid/>
        <w:spacing w:before="0" w:after="0" w:line="576" w:lineRule="exact"/>
        <w:ind w:right="442"/>
        <w:jc w:val="center"/>
        <w:textAlignment w:val="auto"/>
        <w:rPr>
          <w:rFonts w:hint="eastAsia" w:ascii="黑体" w:hAnsi="黑体" w:eastAsia="黑体"/>
          <w:b w:val="0"/>
          <w:color w:val="000000"/>
        </w:rPr>
      </w:pPr>
    </w:p>
    <w:p w14:paraId="4D9B98EA">
      <w:pPr>
        <w:pStyle w:val="3"/>
        <w:keepNext/>
        <w:keepLines/>
        <w:pageBreakBefore w:val="0"/>
        <w:widowControl w:val="0"/>
        <w:kinsoku/>
        <w:wordWrap/>
        <w:overflowPunct/>
        <w:topLinePunct w:val="0"/>
        <w:autoSpaceDE/>
        <w:autoSpaceDN/>
        <w:bidi w:val="0"/>
        <w:adjustRightInd/>
        <w:snapToGrid/>
        <w:spacing w:before="0" w:after="0" w:line="576" w:lineRule="exact"/>
        <w:ind w:right="442"/>
        <w:jc w:val="center"/>
        <w:textAlignment w:val="auto"/>
        <w:rPr>
          <w:rFonts w:hint="eastAsia" w:ascii="黑体" w:hAnsi="黑体" w:eastAsia="黑体"/>
          <w:b w:val="0"/>
          <w:color w:val="000000"/>
        </w:rPr>
      </w:pPr>
    </w:p>
    <w:p w14:paraId="1BECFB5D">
      <w:pPr>
        <w:rPr>
          <w:rFonts w:hint="eastAsia" w:ascii="黑体" w:hAnsi="黑体" w:eastAsia="黑体"/>
          <w:b w:val="0"/>
          <w:color w:val="000000"/>
        </w:rPr>
      </w:pPr>
    </w:p>
    <w:p w14:paraId="5AA4F4D0">
      <w:pPr>
        <w:pStyle w:val="2"/>
        <w:rPr>
          <w:rFonts w:hint="eastAsia" w:ascii="黑体" w:hAnsi="黑体" w:eastAsia="黑体"/>
          <w:b w:val="0"/>
          <w:color w:val="000000"/>
        </w:rPr>
      </w:pPr>
    </w:p>
    <w:p w14:paraId="0B46E88E">
      <w:pPr>
        <w:pStyle w:val="2"/>
        <w:rPr>
          <w:rFonts w:hint="eastAsia" w:ascii="黑体" w:hAnsi="黑体" w:eastAsia="黑体"/>
          <w:b w:val="0"/>
          <w:color w:val="000000"/>
        </w:rPr>
      </w:pPr>
    </w:p>
    <w:p w14:paraId="13D6FCE4">
      <w:pPr>
        <w:pStyle w:val="3"/>
        <w:pageBreakBefore w:val="0"/>
        <w:widowControl w:val="0"/>
        <w:kinsoku/>
        <w:wordWrap/>
        <w:overflowPunct/>
        <w:topLinePunct w:val="0"/>
        <w:autoSpaceDE/>
        <w:autoSpaceDN/>
        <w:bidi w:val="0"/>
        <w:adjustRightInd/>
        <w:snapToGrid/>
        <w:spacing w:before="0" w:after="0" w:line="576" w:lineRule="exact"/>
        <w:ind w:right="440"/>
        <w:jc w:val="center"/>
        <w:textAlignment w:val="auto"/>
        <w:rPr>
          <w:rFonts w:hint="eastAsia" w:ascii="黑体" w:hAnsi="黑体" w:eastAsia="黑体"/>
          <w:b w:val="0"/>
          <w:color w:val="000000"/>
        </w:rPr>
      </w:pPr>
    </w:p>
    <w:p w14:paraId="155D2617">
      <w:pPr>
        <w:rPr>
          <w:rFonts w:hint="eastAsia" w:ascii="黑体" w:hAnsi="黑体" w:eastAsia="黑体"/>
          <w:b w:val="0"/>
          <w:color w:val="000000"/>
        </w:rPr>
      </w:pPr>
    </w:p>
    <w:p w14:paraId="11F20F82">
      <w:pPr>
        <w:pStyle w:val="2"/>
        <w:rPr>
          <w:rFonts w:hint="eastAsia" w:ascii="黑体" w:hAnsi="黑体" w:eastAsia="黑体"/>
          <w:b w:val="0"/>
          <w:color w:val="000000"/>
        </w:rPr>
      </w:pPr>
    </w:p>
    <w:p w14:paraId="40499C13">
      <w:pPr>
        <w:pStyle w:val="2"/>
        <w:rPr>
          <w:rFonts w:hint="eastAsia" w:ascii="黑体" w:hAnsi="黑体" w:eastAsia="黑体"/>
          <w:b w:val="0"/>
          <w:color w:val="000000"/>
        </w:rPr>
      </w:pPr>
    </w:p>
    <w:p w14:paraId="0CF76E5B">
      <w:pPr>
        <w:rPr>
          <w:rFonts w:hint="eastAsia"/>
        </w:rPr>
      </w:pPr>
    </w:p>
    <w:p w14:paraId="3D12DF72">
      <w:pPr>
        <w:pStyle w:val="3"/>
        <w:pageBreakBefore w:val="0"/>
        <w:widowControl w:val="0"/>
        <w:kinsoku/>
        <w:wordWrap/>
        <w:overflowPunct/>
        <w:topLinePunct w:val="0"/>
        <w:autoSpaceDE/>
        <w:autoSpaceDN/>
        <w:bidi w:val="0"/>
        <w:adjustRightInd/>
        <w:snapToGrid/>
        <w:spacing w:before="0" w:after="0" w:line="576" w:lineRule="exact"/>
        <w:ind w:right="440"/>
        <w:jc w:val="center"/>
        <w:textAlignment w:val="auto"/>
        <w:rPr>
          <w:rStyle w:val="37"/>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37"/>
          <w:rFonts w:hint="eastAsia" w:ascii="黑体" w:hAnsi="黑体" w:eastAsia="黑体"/>
          <w:b w:val="0"/>
          <w:bCs w:val="0"/>
        </w:rPr>
        <w:t>2019年度部门决算情况说明</w:t>
      </w:r>
      <w:bookmarkEnd w:id="20"/>
      <w:bookmarkEnd w:id="21"/>
    </w:p>
    <w:p w14:paraId="23AB5E21">
      <w:pPr>
        <w:pageBreakBefore w:val="0"/>
        <w:widowControl w:val="0"/>
        <w:kinsoku/>
        <w:wordWrap/>
        <w:overflowPunct/>
        <w:topLinePunct w:val="0"/>
        <w:autoSpaceDE/>
        <w:autoSpaceDN/>
        <w:bidi w:val="0"/>
        <w:adjustRightInd/>
        <w:snapToGrid/>
        <w:spacing w:line="576" w:lineRule="exact"/>
        <w:textAlignment w:val="auto"/>
      </w:pPr>
    </w:p>
    <w:p w14:paraId="3D257D14">
      <w:pPr>
        <w:pStyle w:val="36"/>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8"/>
          <w:rFonts w:ascii="黑体" w:hAnsi="黑体" w:eastAsia="黑体"/>
          <w:b w:val="0"/>
        </w:rPr>
      </w:pPr>
      <w:bookmarkStart w:id="22" w:name="_Toc15396603"/>
      <w:bookmarkStart w:id="23" w:name="_Toc15377205"/>
      <w:r>
        <w:rPr>
          <w:rFonts w:hint="eastAsia" w:ascii="黑体" w:hAnsi="黑体" w:eastAsia="黑体"/>
          <w:color w:val="000000"/>
          <w:sz w:val="32"/>
          <w:szCs w:val="32"/>
          <w:lang w:eastAsia="zh-CN"/>
        </w:rPr>
        <w:t>一、</w:t>
      </w:r>
      <w:r>
        <w:rPr>
          <w:rFonts w:hint="eastAsia" w:ascii="黑体" w:hAnsi="黑体" w:eastAsia="黑体"/>
          <w:color w:val="000000"/>
          <w:sz w:val="32"/>
          <w:szCs w:val="32"/>
        </w:rPr>
        <w:t>收</w:t>
      </w:r>
      <w:r>
        <w:rPr>
          <w:rStyle w:val="38"/>
          <w:rFonts w:hint="eastAsia" w:ascii="黑体" w:hAnsi="黑体" w:eastAsia="黑体"/>
          <w:b w:val="0"/>
        </w:rPr>
        <w:t>入支出决算总体情况说明</w:t>
      </w:r>
      <w:bookmarkEnd w:id="22"/>
      <w:bookmarkEnd w:id="23"/>
    </w:p>
    <w:p w14:paraId="1FA4091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2019年</w:t>
      </w:r>
      <w:r>
        <w:rPr>
          <w:rFonts w:hint="eastAsia" w:ascii="仿宋" w:hAnsi="仿宋" w:eastAsia="仿宋" w:cs="仿宋"/>
          <w:color w:val="000000"/>
          <w:sz w:val="32"/>
          <w:szCs w:val="32"/>
          <w:lang w:eastAsia="zh-CN"/>
        </w:rPr>
        <w:t>团区委</w:t>
      </w:r>
      <w:r>
        <w:rPr>
          <w:rFonts w:hint="eastAsia" w:ascii="仿宋" w:hAnsi="仿宋" w:eastAsia="仿宋" w:cs="仿宋"/>
          <w:color w:val="000000"/>
          <w:sz w:val="32"/>
          <w:szCs w:val="32"/>
        </w:rPr>
        <w:t>本年收入总计</w:t>
      </w:r>
      <w:r>
        <w:rPr>
          <w:rFonts w:hint="eastAsia" w:ascii="仿宋" w:hAnsi="仿宋" w:eastAsia="仿宋" w:cs="仿宋"/>
          <w:color w:val="000000"/>
          <w:sz w:val="32"/>
          <w:szCs w:val="32"/>
          <w:lang w:val="en-US" w:eastAsia="zh-CN"/>
        </w:rPr>
        <w:t>397.05</w:t>
      </w:r>
      <w:r>
        <w:rPr>
          <w:rFonts w:hint="eastAsia" w:ascii="仿宋" w:hAnsi="仿宋" w:eastAsia="仿宋" w:cs="仿宋"/>
          <w:color w:val="000000"/>
          <w:sz w:val="32"/>
          <w:szCs w:val="32"/>
        </w:rPr>
        <w:t>万元，与2018年相比减少了</w:t>
      </w:r>
      <w:r>
        <w:rPr>
          <w:rFonts w:hint="eastAsia" w:ascii="仿宋" w:hAnsi="仿宋" w:eastAsia="仿宋" w:cs="仿宋"/>
          <w:color w:val="000000"/>
          <w:sz w:val="32"/>
          <w:szCs w:val="32"/>
          <w:lang w:val="en-US" w:eastAsia="zh-CN"/>
        </w:rPr>
        <w:t>104.26</w:t>
      </w:r>
      <w:r>
        <w:rPr>
          <w:rFonts w:hint="eastAsia" w:ascii="仿宋" w:hAnsi="仿宋" w:eastAsia="仿宋" w:cs="仿宋"/>
          <w:color w:val="000000"/>
          <w:sz w:val="32"/>
          <w:szCs w:val="32"/>
        </w:rPr>
        <w:t>万元，</w:t>
      </w:r>
      <w:r>
        <w:rPr>
          <w:rFonts w:hint="eastAsia" w:ascii="仿宋" w:hAnsi="仿宋" w:eastAsia="仿宋" w:cs="仿宋"/>
          <w:sz w:val="32"/>
          <w:szCs w:val="32"/>
          <w:lang w:val="en-US" w:eastAsia="zh-CN"/>
        </w:rPr>
        <w:t>减少20.80</w:t>
      </w:r>
      <w:r>
        <w:rPr>
          <w:rFonts w:hint="eastAsia" w:ascii="仿宋" w:hAnsi="仿宋" w:eastAsia="仿宋" w:cs="仿宋"/>
          <w:sz w:val="32"/>
          <w:szCs w:val="32"/>
        </w:rPr>
        <w:t>%</w:t>
      </w:r>
      <w:bookmarkStart w:id="24" w:name="_Toc15377206"/>
      <w:bookmarkStart w:id="25" w:name="_Toc15396604"/>
      <w:r>
        <w:rPr>
          <w:rFonts w:hint="eastAsia" w:ascii="仿宋" w:hAnsi="仿宋" w:eastAsia="仿宋" w:cs="仿宋"/>
          <w:sz w:val="32"/>
          <w:szCs w:val="32"/>
          <w:lang w:eastAsia="zh-CN"/>
        </w:rPr>
        <w:t>。减少的主要原因为</w:t>
      </w:r>
      <w:r>
        <w:rPr>
          <w:rFonts w:hint="eastAsia" w:ascii="仿宋" w:hAnsi="仿宋" w:eastAsia="仿宋" w:cs="仿宋"/>
          <w:sz w:val="32"/>
          <w:szCs w:val="32"/>
          <w:lang w:val="en-US" w:eastAsia="zh-CN"/>
        </w:rPr>
        <w:t>2019年东西部扶贫协作农村电商扶贫项目资金较2018年度减少100万元</w:t>
      </w:r>
      <w:r>
        <w:rPr>
          <w:rFonts w:hint="eastAsia" w:ascii="仿宋" w:hAnsi="仿宋" w:eastAsia="仿宋" w:cs="仿宋"/>
          <w:sz w:val="32"/>
          <w:szCs w:val="32"/>
          <w:lang w:eastAsia="zh-CN"/>
        </w:rPr>
        <w:t>。</w:t>
      </w:r>
    </w:p>
    <w:p w14:paraId="1FFA8CC1">
      <w:pPr>
        <w:pStyle w:val="36"/>
        <w:numPr>
          <w:ilvl w:val="0"/>
          <w:numId w:val="0"/>
        </w:numPr>
        <w:spacing w:line="600" w:lineRule="exact"/>
        <w:ind w:firstLine="640" w:firstLineChars="200"/>
        <w:outlineLvl w:val="1"/>
        <w:rPr>
          <w:rStyle w:val="38"/>
          <w:rFonts w:ascii="黑体" w:hAnsi="黑体" w:eastAsia="黑体"/>
          <w:b w:val="0"/>
        </w:rPr>
      </w:pPr>
      <w:r>
        <w:rPr>
          <w:rStyle w:val="38"/>
          <w:rFonts w:hint="eastAsia" w:ascii="黑体" w:hAnsi="黑体" w:eastAsia="黑体"/>
          <w:b w:val="0"/>
          <w:lang w:eastAsia="zh-CN"/>
        </w:rPr>
        <w:t>二、</w:t>
      </w:r>
      <w:r>
        <w:rPr>
          <w:rStyle w:val="38"/>
          <w:rFonts w:hint="eastAsia" w:ascii="黑体" w:hAnsi="黑体" w:eastAsia="黑体"/>
          <w:b w:val="0"/>
        </w:rPr>
        <w:t>决算情况说明</w:t>
      </w:r>
      <w:bookmarkEnd w:id="24"/>
      <w:bookmarkEnd w:id="25"/>
    </w:p>
    <w:p w14:paraId="59F66A63">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397.05</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397.05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；政府性基金0万元，国有资本经营预算财政拨款收入0万元，占0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万元，占0%</w:t>
      </w:r>
    </w:p>
    <w:p w14:paraId="08FF2F34">
      <w:pPr>
        <w:pStyle w:val="36"/>
        <w:numPr>
          <w:ilvl w:val="0"/>
          <w:numId w:val="0"/>
        </w:numPr>
        <w:tabs>
          <w:tab w:val="left" w:pos="516"/>
        </w:tabs>
        <w:spacing w:line="600" w:lineRule="exact"/>
        <w:ind w:firstLine="640" w:firstLineChars="200"/>
        <w:outlineLvl w:val="1"/>
        <w:rPr>
          <w:rStyle w:val="38"/>
          <w:rFonts w:ascii="黑体" w:hAnsi="黑体" w:eastAsia="黑体"/>
          <w:b w:val="0"/>
        </w:rPr>
      </w:pPr>
      <w:bookmarkStart w:id="26" w:name="_Toc15396605"/>
      <w:bookmarkStart w:id="27" w:name="_Toc15377207"/>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38"/>
          <w:rFonts w:hint="eastAsia" w:ascii="黑体" w:hAnsi="黑体" w:eastAsia="黑体"/>
          <w:b w:val="0"/>
        </w:rPr>
        <w:t>出决算情况说明</w:t>
      </w:r>
      <w:bookmarkEnd w:id="26"/>
      <w:bookmarkEnd w:id="27"/>
    </w:p>
    <w:p w14:paraId="1F33CD07">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397.05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77.75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19.6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319.3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80</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4</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14:paraId="67F22FCD">
      <w:pPr>
        <w:spacing w:line="600" w:lineRule="exact"/>
        <w:ind w:firstLine="640" w:firstLineChars="200"/>
        <w:outlineLvl w:val="1"/>
        <w:rPr>
          <w:rStyle w:val="38"/>
          <w:rFonts w:ascii="黑体" w:hAnsi="黑体" w:eastAsia="黑体"/>
          <w:b w:val="0"/>
        </w:rPr>
      </w:pPr>
      <w:bookmarkStart w:id="28" w:name="_Toc15396606"/>
      <w:bookmarkStart w:id="29" w:name="_Toc15377208"/>
      <w:r>
        <w:rPr>
          <w:rFonts w:hint="eastAsia" w:ascii="黑体" w:hAnsi="黑体" w:eastAsia="黑体"/>
          <w:color w:val="000000"/>
          <w:sz w:val="32"/>
          <w:szCs w:val="32"/>
        </w:rPr>
        <w:t>四、财</w:t>
      </w:r>
      <w:r>
        <w:rPr>
          <w:rStyle w:val="38"/>
          <w:rFonts w:hint="eastAsia" w:ascii="黑体" w:hAnsi="黑体" w:eastAsia="黑体"/>
          <w:b w:val="0"/>
        </w:rPr>
        <w:t>政拨款收入支出决算总体情况说明</w:t>
      </w:r>
      <w:bookmarkEnd w:id="28"/>
      <w:bookmarkEnd w:id="29"/>
    </w:p>
    <w:p w14:paraId="615916E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s="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397.06</w:t>
      </w:r>
      <w:r>
        <w:rPr>
          <w:rFonts w:hint="eastAsia" w:ascii="仿宋" w:hAnsi="仿宋" w:eastAsia="仿宋"/>
          <w:color w:val="000000"/>
          <w:sz w:val="32"/>
          <w:szCs w:val="32"/>
        </w:rPr>
        <w:t>万元。</w:t>
      </w:r>
      <w:r>
        <w:rPr>
          <w:rFonts w:hint="eastAsia" w:ascii="仿宋" w:hAnsi="仿宋" w:eastAsia="仿宋" w:cs="仿宋"/>
          <w:color w:val="000000"/>
          <w:sz w:val="32"/>
          <w:szCs w:val="32"/>
        </w:rPr>
        <w:t>与2018年相比减少了</w:t>
      </w:r>
      <w:r>
        <w:rPr>
          <w:rFonts w:hint="eastAsia" w:ascii="仿宋" w:hAnsi="仿宋" w:eastAsia="仿宋" w:cs="仿宋"/>
          <w:color w:val="000000"/>
          <w:sz w:val="32"/>
          <w:szCs w:val="32"/>
          <w:lang w:val="en-US" w:eastAsia="zh-CN"/>
        </w:rPr>
        <w:t>104.26</w:t>
      </w:r>
      <w:r>
        <w:rPr>
          <w:rFonts w:hint="eastAsia" w:ascii="仿宋" w:hAnsi="仿宋" w:eastAsia="仿宋" w:cs="仿宋"/>
          <w:color w:val="000000"/>
          <w:sz w:val="32"/>
          <w:szCs w:val="32"/>
        </w:rPr>
        <w:t>万元，</w:t>
      </w:r>
      <w:r>
        <w:rPr>
          <w:rFonts w:hint="eastAsia" w:ascii="仿宋" w:hAnsi="仿宋" w:eastAsia="仿宋" w:cs="仿宋"/>
          <w:sz w:val="32"/>
          <w:szCs w:val="32"/>
          <w:lang w:val="en-US" w:eastAsia="zh-CN"/>
        </w:rPr>
        <w:t>减少20.80</w:t>
      </w:r>
      <w:r>
        <w:rPr>
          <w:rFonts w:hint="eastAsia" w:ascii="仿宋" w:hAnsi="仿宋" w:eastAsia="仿宋" w:cs="仿宋"/>
          <w:sz w:val="32"/>
          <w:szCs w:val="32"/>
        </w:rPr>
        <w:t>%</w:t>
      </w:r>
      <w:r>
        <w:rPr>
          <w:rFonts w:hint="eastAsia" w:ascii="仿宋" w:hAnsi="仿宋" w:eastAsia="仿宋" w:cs="仿宋"/>
          <w:sz w:val="32"/>
          <w:szCs w:val="32"/>
          <w:lang w:eastAsia="zh-CN"/>
        </w:rPr>
        <w:t>。减少的主要原因为</w:t>
      </w:r>
      <w:r>
        <w:rPr>
          <w:rFonts w:hint="eastAsia" w:ascii="仿宋" w:hAnsi="仿宋" w:eastAsia="仿宋" w:cs="仿宋"/>
          <w:sz w:val="32"/>
          <w:szCs w:val="32"/>
          <w:lang w:val="en-US" w:eastAsia="zh-CN"/>
        </w:rPr>
        <w:t>2019年东西部扶贫协作农村电商扶贫项目资金较2018年度减少100万元</w:t>
      </w:r>
      <w:r>
        <w:rPr>
          <w:rFonts w:hint="eastAsia" w:ascii="仿宋" w:hAnsi="仿宋" w:eastAsia="仿宋" w:cs="仿宋"/>
          <w:sz w:val="32"/>
          <w:szCs w:val="32"/>
          <w:lang w:eastAsia="zh-CN"/>
        </w:rPr>
        <w:t>。</w:t>
      </w:r>
    </w:p>
    <w:p w14:paraId="2D3BBFCF">
      <w:pPr>
        <w:spacing w:line="600" w:lineRule="exact"/>
        <w:ind w:firstLine="640" w:firstLineChars="200"/>
        <w:outlineLvl w:val="1"/>
        <w:rPr>
          <w:rStyle w:val="38"/>
          <w:rFonts w:ascii="黑体" w:hAnsi="黑体" w:eastAsia="黑体"/>
          <w:b w:val="0"/>
        </w:rPr>
      </w:pPr>
      <w:bookmarkStart w:id="30" w:name="_Toc15396607"/>
      <w:bookmarkStart w:id="31"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38"/>
          <w:rFonts w:hint="eastAsia" w:ascii="黑体" w:hAnsi="黑体" w:eastAsia="黑体"/>
          <w:b w:val="0"/>
        </w:rPr>
        <w:t>般公共预算财政拨款支出决算情况说明</w:t>
      </w:r>
      <w:bookmarkEnd w:id="30"/>
      <w:bookmarkEnd w:id="31"/>
    </w:p>
    <w:p w14:paraId="2C03C90E">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14:paraId="6DBD347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sz w:val="32"/>
          <w:szCs w:val="32"/>
          <w:highlight w:val="yellow"/>
          <w14:textFill>
            <w14:solidFill>
              <w14:schemeClr w14:val="tx1"/>
            </w14:solidFill>
          </w14:textFill>
        </w:rPr>
      </w:pPr>
      <w:r>
        <w:rPr>
          <w:rFonts w:hint="eastAsia" w:ascii="仿宋" w:hAnsi="仿宋" w:eastAsia="仿宋" w:cs="仿宋"/>
          <w:sz w:val="32"/>
          <w:szCs w:val="32"/>
          <w:lang w:val="en-US" w:eastAsia="zh-CN"/>
        </w:rPr>
        <w:t>2019年一般公共预算财政拨款支出397.05万元，占本年支出合计的100%。与2018年相比减少了104.26万元，减少20.80%。减少</w:t>
      </w:r>
      <w:r>
        <w:rPr>
          <w:rFonts w:hint="eastAsia" w:ascii="仿宋" w:hAnsi="仿宋" w:eastAsia="仿宋" w:cs="仿宋"/>
          <w:sz w:val="32"/>
          <w:szCs w:val="32"/>
          <w:lang w:eastAsia="zh-CN"/>
        </w:rPr>
        <w:t>的主要原因为</w:t>
      </w:r>
      <w:r>
        <w:rPr>
          <w:rFonts w:hint="eastAsia" w:ascii="仿宋" w:hAnsi="仿宋" w:eastAsia="仿宋" w:cs="仿宋"/>
          <w:sz w:val="32"/>
          <w:szCs w:val="32"/>
          <w:lang w:val="en-US" w:eastAsia="zh-CN"/>
        </w:rPr>
        <w:t>2019年东西部扶贫协作农村电商扶贫项目资金较2018年度减少100万元</w:t>
      </w:r>
      <w:r>
        <w:rPr>
          <w:rFonts w:hint="eastAsia" w:ascii="仿宋" w:hAnsi="仿宋" w:eastAsia="仿宋" w:cs="仿宋"/>
          <w:sz w:val="32"/>
          <w:szCs w:val="32"/>
          <w:lang w:eastAsia="zh-CN"/>
        </w:rPr>
        <w:t>。</w:t>
      </w:r>
    </w:p>
    <w:p w14:paraId="4E98AEE8">
      <w:pPr>
        <w:spacing w:line="600" w:lineRule="exact"/>
        <w:ind w:firstLine="643" w:firstLineChars="200"/>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14:paraId="354589D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397.05</w:t>
      </w:r>
      <w:r>
        <w:rPr>
          <w:rFonts w:hint="eastAsia" w:ascii="仿宋" w:hAnsi="仿宋" w:eastAsia="仿宋"/>
          <w:color w:val="000000" w:themeColor="text1"/>
          <w:sz w:val="32"/>
          <w:szCs w:val="32"/>
          <w14:textFill>
            <w14:solidFill>
              <w14:schemeClr w14:val="tx1"/>
            </w14:solidFill>
          </w14:textFill>
        </w:rPr>
        <w:t>万元，主要用于以下方面</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s="仿宋"/>
          <w:sz w:val="32"/>
          <w:szCs w:val="32"/>
          <w:lang w:val="en-US" w:eastAsia="zh-CN"/>
        </w:rPr>
        <w:t>一般公共服务支出88.83元，占总支出的22.37%；社会保障和就业支出3.74元，占总支出的0.94%；医疗卫生与计划生育支出1.74元，占总支出的0.44%；住房保障支出2.74元,占总支出的0.69%;</w:t>
      </w:r>
      <w:r>
        <w:rPr>
          <w:rStyle w:val="17"/>
          <w:rFonts w:hint="eastAsia" w:ascii="仿宋" w:hAnsi="仿宋" w:eastAsia="仿宋"/>
          <w:b w:val="0"/>
          <w:bCs/>
          <w:color w:val="000000"/>
          <w:sz w:val="32"/>
          <w:szCs w:val="32"/>
          <w:lang w:val="en-US" w:eastAsia="zh-CN"/>
        </w:rPr>
        <w:t>农林水支出（类）扶贫（款）其它扶贫（项）支出248.52万元，</w:t>
      </w:r>
      <w:r>
        <w:rPr>
          <w:rFonts w:hint="eastAsia" w:ascii="仿宋" w:hAnsi="仿宋" w:eastAsia="仿宋" w:cs="仿宋"/>
          <w:sz w:val="32"/>
          <w:szCs w:val="32"/>
          <w:lang w:val="en-US" w:eastAsia="zh-CN"/>
        </w:rPr>
        <w:t>占总支出的62.6%。</w:t>
      </w:r>
    </w:p>
    <w:p w14:paraId="0BBB084B">
      <w:pPr>
        <w:spacing w:line="600" w:lineRule="exact"/>
        <w:ind w:firstLine="643" w:firstLineChars="2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14:paraId="7FCC9AF0">
      <w:pPr>
        <w:spacing w:line="600" w:lineRule="exact"/>
        <w:ind w:firstLine="643" w:firstLineChars="200"/>
        <w:outlineLvl w:val="2"/>
        <w:rPr>
          <w:rFonts w:ascii="仿宋" w:hAnsi="仿宋" w:eastAsia="仿宋"/>
          <w:color w:val="FF0000"/>
          <w:sz w:val="32"/>
          <w:szCs w:val="32"/>
        </w:rPr>
      </w:pPr>
      <w:bookmarkStart w:id="35" w:name="_Toc15377444"/>
      <w:bookmarkStart w:id="36" w:name="_Toc15378460"/>
      <w:bookmarkStart w:id="37" w:name="_Toc15377213"/>
      <w:r>
        <w:rPr>
          <w:rFonts w:hint="eastAsia" w:ascii="仿宋" w:hAnsi="仿宋" w:eastAsia="仿宋"/>
          <w:b/>
          <w:color w:val="000000" w:themeColor="text1"/>
          <w:sz w:val="32"/>
          <w:szCs w:val="32"/>
          <w14:textFill>
            <w14:solidFill>
              <w14:schemeClr w14:val="tx1"/>
            </w14:solidFill>
          </w14:textFill>
        </w:rPr>
        <w:t>2019年一般公共预算支出决算数为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77.75</w:t>
      </w:r>
      <w:r>
        <w:rPr>
          <w:rFonts w:hint="eastAsia" w:ascii="仿宋" w:hAnsi="仿宋" w:eastAsia="仿宋"/>
          <w:b/>
          <w:color w:val="000000" w:themeColor="text1"/>
          <w:sz w:val="32"/>
          <w:szCs w:val="32"/>
          <w:lang w:eastAsia="zh-CN"/>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r>
        <w:rPr>
          <w:rStyle w:val="17"/>
          <w:rFonts w:hint="eastAsia" w:ascii="仿宋" w:hAnsi="仿宋" w:eastAsia="仿宋"/>
          <w:bCs/>
          <w:color w:val="000000" w:themeColor="text1"/>
          <w:sz w:val="32"/>
          <w:szCs w:val="32"/>
          <w14:textFill>
            <w14:solidFill>
              <w14:schemeClr w14:val="tx1"/>
            </w14:solidFill>
          </w14:textFill>
        </w:rPr>
        <w:t>完成</w:t>
      </w:r>
      <w:r>
        <w:rPr>
          <w:rStyle w:val="17"/>
          <w:rFonts w:hint="eastAsia" w:ascii="仿宋" w:hAnsi="仿宋" w:eastAsia="仿宋"/>
          <w:bCs/>
          <w:color w:val="000000"/>
          <w:sz w:val="32"/>
          <w:szCs w:val="32"/>
        </w:rPr>
        <w:t>预算</w:t>
      </w:r>
      <w:r>
        <w:rPr>
          <w:rStyle w:val="17"/>
          <w:rFonts w:hint="eastAsia" w:ascii="仿宋" w:hAnsi="仿宋" w:eastAsia="仿宋"/>
          <w:bCs/>
          <w:color w:val="000000"/>
          <w:sz w:val="32"/>
          <w:szCs w:val="32"/>
          <w:lang w:val="en-US" w:eastAsia="zh-CN"/>
        </w:rPr>
        <w:t>100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。其中：</w:t>
      </w:r>
      <w:bookmarkEnd w:id="35"/>
      <w:bookmarkEnd w:id="36"/>
      <w:bookmarkEnd w:id="37"/>
    </w:p>
    <w:p w14:paraId="7F62518B">
      <w:pPr>
        <w:numPr>
          <w:ilvl w:val="0"/>
          <w:numId w:val="0"/>
        </w:numPr>
        <w:spacing w:line="600" w:lineRule="exact"/>
        <w:ind w:firstLine="643" w:firstLineChars="200"/>
        <w:rPr>
          <w:rStyle w:val="17"/>
          <w:rFonts w:hint="eastAsia" w:ascii="仿宋" w:hAnsi="仿宋" w:eastAsia="仿宋"/>
          <w:b w:val="0"/>
          <w:bCs/>
          <w:color w:val="000000"/>
          <w:sz w:val="32"/>
          <w:szCs w:val="32"/>
        </w:rPr>
      </w:pPr>
      <w:bookmarkStart w:id="38" w:name="_Toc15377214"/>
      <w:bookmarkStart w:id="39" w:name="_Toc15396608"/>
      <w:r>
        <w:rPr>
          <w:rStyle w:val="17"/>
          <w:rFonts w:hint="eastAsia" w:ascii="仿宋" w:hAnsi="仿宋" w:eastAsia="仿宋"/>
          <w:bCs/>
          <w:color w:val="000000"/>
          <w:sz w:val="32"/>
          <w:szCs w:val="32"/>
          <w:lang w:val="en-US" w:eastAsia="zh-CN"/>
        </w:rPr>
        <w:t>1.</w:t>
      </w:r>
      <w:r>
        <w:rPr>
          <w:rStyle w:val="17"/>
          <w:rFonts w:hint="eastAsia" w:ascii="仿宋" w:hAnsi="仿宋" w:eastAsia="仿宋"/>
          <w:bCs/>
          <w:color w:val="000000"/>
          <w:sz w:val="32"/>
          <w:szCs w:val="32"/>
          <w:lang w:eastAsia="zh-CN"/>
        </w:rPr>
        <w:t>一</w:t>
      </w:r>
      <w:r>
        <w:rPr>
          <w:rStyle w:val="17"/>
          <w:rFonts w:hint="eastAsia" w:ascii="仿宋" w:hAnsi="仿宋" w:eastAsia="仿宋"/>
          <w:bCs/>
          <w:color w:val="000000"/>
          <w:sz w:val="32"/>
          <w:szCs w:val="32"/>
          <w:lang w:val="en-US" w:eastAsia="zh-CN"/>
        </w:rPr>
        <w:t>般</w:t>
      </w:r>
      <w:r>
        <w:rPr>
          <w:rStyle w:val="17"/>
          <w:rFonts w:hint="eastAsia" w:ascii="仿宋" w:hAnsi="仿宋" w:eastAsia="仿宋"/>
          <w:bCs/>
          <w:color w:val="000000"/>
          <w:sz w:val="32"/>
          <w:szCs w:val="32"/>
          <w:lang w:eastAsia="zh-CN"/>
        </w:rPr>
        <w:t>公共报务（类）党委办公厅（室）及相关机关机构事务（款）行政运行（项）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lang w:val="en-US" w:eastAsia="zh-CN"/>
        </w:rPr>
        <w:t>2019年</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69.53</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1E037A3F">
      <w:pPr>
        <w:numPr>
          <w:ilvl w:val="0"/>
          <w:numId w:val="0"/>
        </w:num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2.</w:t>
      </w:r>
      <w:r>
        <w:rPr>
          <w:rStyle w:val="17"/>
          <w:rFonts w:hint="eastAsia" w:ascii="仿宋" w:hAnsi="仿宋" w:eastAsia="仿宋"/>
          <w:bCs/>
          <w:color w:val="000000"/>
          <w:sz w:val="32"/>
          <w:szCs w:val="32"/>
        </w:rPr>
        <w:t>社会保障和就业（类）行政事业单位离退休（款） 归口管理的行政单位离退休（项）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0</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100B87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3.</w:t>
      </w:r>
      <w:r>
        <w:rPr>
          <w:rStyle w:val="17"/>
          <w:rFonts w:hint="eastAsia" w:ascii="仿宋" w:hAnsi="仿宋" w:eastAsia="仿宋"/>
          <w:bCs/>
          <w:color w:val="000000"/>
          <w:sz w:val="32"/>
          <w:szCs w:val="32"/>
        </w:rPr>
        <w:t>社会保障和就业（类）行政事业单位离退休（款）机关事业单位基本养老保险缴费支出（项）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3.74</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p>
    <w:p w14:paraId="5C933591">
      <w:pPr>
        <w:spacing w:line="600" w:lineRule="exact"/>
        <w:ind w:firstLine="643" w:firstLineChars="200"/>
        <w:rPr>
          <w:rFonts w:ascii="仿宋" w:hAnsi="仿宋" w:eastAsia="仿宋"/>
          <w:b/>
          <w:color w:val="000000"/>
          <w:sz w:val="32"/>
          <w:szCs w:val="32"/>
        </w:rPr>
      </w:pPr>
      <w:r>
        <w:rPr>
          <w:rStyle w:val="17"/>
          <w:rFonts w:hint="eastAsia" w:ascii="仿宋" w:hAnsi="仿宋" w:eastAsia="仿宋"/>
          <w:bCs/>
          <w:color w:val="000000"/>
          <w:sz w:val="32"/>
          <w:szCs w:val="32"/>
          <w:lang w:val="en-US" w:eastAsia="zh-CN"/>
        </w:rPr>
        <w:t>4</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医疗卫生与计划生育（类）行政事业单位医疗（款） 行政单位医疗（项）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1.74</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3C461329">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5</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住房保障支出（类）住房改革支出（款）住房公积金（项）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2.74</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0504A37D">
      <w:pPr>
        <w:pStyle w:val="2"/>
        <w:rPr>
          <w:rStyle w:val="17"/>
          <w:rFonts w:hint="eastAsia" w:ascii="仿宋" w:hAnsi="仿宋" w:eastAsia="仿宋" w:cs="Times New Roman"/>
          <w:b w:val="0"/>
          <w:bCs/>
          <w:color w:val="000000"/>
          <w:kern w:val="2"/>
          <w:sz w:val="32"/>
          <w:szCs w:val="32"/>
          <w:lang w:val="en-US" w:eastAsia="zh-CN" w:bidi="ar-SA"/>
        </w:rPr>
      </w:pPr>
      <w:r>
        <w:rPr>
          <w:rStyle w:val="17"/>
          <w:rFonts w:hint="eastAsia" w:ascii="仿宋" w:hAnsi="仿宋" w:eastAsia="仿宋" w:cs="Times New Roman"/>
          <w:bCs/>
          <w:color w:val="000000"/>
          <w:kern w:val="2"/>
          <w:sz w:val="32"/>
          <w:szCs w:val="32"/>
          <w:lang w:val="en-US" w:eastAsia="zh-CN" w:bidi="ar-SA"/>
        </w:rPr>
        <w:t xml:space="preserve">    6.农林水支出（类）扶贫（款）其它扶贫（项）：</w:t>
      </w:r>
      <w:r>
        <w:rPr>
          <w:rStyle w:val="17"/>
          <w:rFonts w:hint="eastAsia" w:ascii="仿宋" w:hAnsi="仿宋" w:eastAsia="仿宋" w:cs="Times New Roman"/>
          <w:b w:val="0"/>
          <w:bCs/>
          <w:color w:val="000000"/>
          <w:kern w:val="2"/>
          <w:sz w:val="32"/>
          <w:szCs w:val="32"/>
          <w:lang w:val="en-US" w:eastAsia="zh-CN" w:bidi="ar-SA"/>
        </w:rPr>
        <w:t>支出决算为248.52万元，完成预算100%。</w:t>
      </w:r>
    </w:p>
    <w:p w14:paraId="0E8580E4">
      <w:pPr>
        <w:tabs>
          <w:tab w:val="right" w:pos="8306"/>
        </w:tabs>
        <w:spacing w:line="600" w:lineRule="exact"/>
        <w:ind w:firstLine="320" w:firstLineChars="100"/>
        <w:outlineLvl w:val="1"/>
        <w:rPr>
          <w:rStyle w:val="38"/>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38"/>
          <w:rFonts w:hint="eastAsia" w:ascii="黑体" w:hAnsi="黑体" w:eastAsia="黑体"/>
          <w:b w:val="0"/>
        </w:rPr>
        <w:t>般公共预算财政拨款基本支出决算情况说明</w:t>
      </w:r>
      <w:bookmarkEnd w:id="38"/>
      <w:bookmarkEnd w:id="39"/>
      <w:r>
        <w:rPr>
          <w:rStyle w:val="38"/>
          <w:rFonts w:ascii="黑体" w:hAnsi="黑体" w:eastAsia="黑体"/>
          <w:b w:val="0"/>
        </w:rPr>
        <w:tab/>
      </w:r>
    </w:p>
    <w:p w14:paraId="59AB283E">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w:t>
      </w:r>
      <w:r>
        <w:rPr>
          <w:rFonts w:hint="eastAsia" w:ascii="仿宋" w:hAnsi="仿宋" w:eastAsia="仿宋"/>
          <w:color w:val="000000"/>
          <w:sz w:val="32"/>
          <w:szCs w:val="32"/>
          <w:lang w:eastAsia="zh-CN"/>
        </w:rPr>
        <w:t>团区委</w:t>
      </w:r>
      <w:r>
        <w:rPr>
          <w:rFonts w:hint="eastAsia" w:ascii="仿宋" w:hAnsi="仿宋" w:eastAsia="仿宋"/>
          <w:color w:val="000000"/>
          <w:sz w:val="32"/>
          <w:szCs w:val="32"/>
        </w:rPr>
        <w:t>一般公共预算财政拨款基本支出</w:t>
      </w:r>
      <w:r>
        <w:rPr>
          <w:rFonts w:hint="eastAsia" w:ascii="仿宋" w:hAnsi="仿宋" w:eastAsia="仿宋"/>
          <w:color w:val="000000"/>
          <w:sz w:val="32"/>
          <w:szCs w:val="32"/>
          <w:lang w:val="en-US" w:eastAsia="zh-CN"/>
        </w:rPr>
        <w:t>397.05</w:t>
      </w:r>
      <w:r>
        <w:rPr>
          <w:rFonts w:hint="eastAsia" w:ascii="仿宋" w:hAnsi="仿宋" w:eastAsia="仿宋"/>
          <w:color w:val="000000"/>
          <w:sz w:val="32"/>
          <w:szCs w:val="32"/>
        </w:rPr>
        <w:t>万元，其中：</w:t>
      </w:r>
    </w:p>
    <w:p w14:paraId="76619531">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30.70</w:t>
      </w:r>
      <w:r>
        <w:rPr>
          <w:rFonts w:hint="eastAsia" w:ascii="仿宋" w:hAnsi="仿宋" w:eastAsia="仿宋"/>
          <w:color w:val="000000"/>
          <w:sz w:val="32"/>
          <w:szCs w:val="32"/>
        </w:rPr>
        <w:t>万元，主要包括：</w:t>
      </w:r>
      <w:r>
        <w:rPr>
          <w:rFonts w:hint="eastAsia" w:ascii="仿宋" w:hAnsi="仿宋" w:eastAsia="仿宋"/>
          <w:color w:val="auto"/>
          <w:sz w:val="32"/>
          <w:szCs w:val="32"/>
        </w:rPr>
        <w:t>主要包括：基本工资、津贴补贴、奖金、机关事业单位基本养老保险缴费、其他社会保障缴费、其他工资福利支出、退休费、生活补助、奖励金、住房公积金等。</w:t>
      </w:r>
    </w:p>
    <w:p w14:paraId="22357B1E">
      <w:pPr>
        <w:spacing w:line="600" w:lineRule="exact"/>
        <w:ind w:firstLine="645"/>
        <w:rPr>
          <w:rFonts w:hint="eastAsia" w:ascii="黑体" w:eastAsia="黑体"/>
          <w:color w:val="000000"/>
          <w:sz w:val="32"/>
          <w:szCs w:val="32"/>
        </w:rPr>
      </w:pPr>
      <w:r>
        <w:rPr>
          <w:rFonts w:hint="eastAsia" w:ascii="仿宋" w:hAnsi="仿宋" w:eastAsia="仿宋"/>
          <w:color w:val="000000"/>
          <w:sz w:val="32"/>
          <w:szCs w:val="32"/>
        </w:rPr>
        <w:t>公用经费</w:t>
      </w:r>
      <w:r>
        <w:rPr>
          <w:rFonts w:hint="eastAsia" w:ascii="仿宋" w:hAnsi="仿宋" w:eastAsia="仿宋"/>
          <w:color w:val="000000"/>
          <w:sz w:val="32"/>
          <w:szCs w:val="32"/>
          <w:lang w:val="en-US" w:eastAsia="zh-CN"/>
        </w:rPr>
        <w:t>366.35</w:t>
      </w:r>
      <w:r>
        <w:rPr>
          <w:rFonts w:hint="eastAsia" w:ascii="仿宋" w:hAnsi="仿宋" w:eastAsia="仿宋"/>
          <w:color w:val="000000"/>
          <w:sz w:val="32"/>
          <w:szCs w:val="32"/>
        </w:rPr>
        <w:t>万元，主要包括：</w:t>
      </w:r>
      <w:r>
        <w:rPr>
          <w:rFonts w:hint="eastAsia" w:ascii="仿宋" w:hAnsi="仿宋" w:eastAsia="仿宋"/>
          <w:color w:val="auto"/>
          <w:sz w:val="32"/>
          <w:szCs w:val="32"/>
        </w:rPr>
        <w:t>主要包括：办公费、印刷费、水费、电费、邮电费、物业管理费、差旅费、维修（护）费、租赁费、培训费、公务接待费、劳务费、委托业务费、工会经费、公务用车运行维护费、其他交通费、其他商品和服务支出、办公设备购置、专用设备购置等。</w:t>
      </w:r>
    </w:p>
    <w:p w14:paraId="257EEA42">
      <w:pPr>
        <w:numPr>
          <w:ilvl w:val="0"/>
          <w:numId w:val="1"/>
        </w:numPr>
        <w:spacing w:line="600" w:lineRule="exact"/>
        <w:ind w:firstLine="640"/>
        <w:outlineLvl w:val="1"/>
        <w:rPr>
          <w:rStyle w:val="38"/>
          <w:rFonts w:ascii="黑体" w:hAnsi="黑体" w:eastAsia="黑体"/>
          <w:b w:val="0"/>
        </w:rPr>
      </w:pPr>
      <w:bookmarkStart w:id="40" w:name="_Toc15396609"/>
      <w:bookmarkStart w:id="41" w:name="_Toc15377215"/>
      <w:r>
        <w:rPr>
          <w:rStyle w:val="38"/>
          <w:rFonts w:hint="eastAsia" w:ascii="黑体" w:hAnsi="黑体" w:eastAsia="黑体"/>
        </w:rPr>
        <w:t>“</w:t>
      </w:r>
      <w:r>
        <w:rPr>
          <w:rStyle w:val="38"/>
          <w:rFonts w:hint="eastAsia" w:ascii="黑体" w:hAnsi="黑体" w:eastAsia="黑体"/>
          <w:b w:val="0"/>
        </w:rPr>
        <w:t>三公”经费财政拨款支出决算情况说明</w:t>
      </w:r>
      <w:bookmarkEnd w:id="40"/>
      <w:bookmarkEnd w:id="41"/>
    </w:p>
    <w:p w14:paraId="66BFCB3A">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14:paraId="609770C1">
      <w:pPr>
        <w:spacing w:line="600" w:lineRule="exact"/>
        <w:ind w:firstLine="640"/>
        <w:rPr>
          <w:rFonts w:hint="default" w:ascii="仿宋" w:hAnsi="仿宋" w:eastAsia="仿宋"/>
          <w:color w:val="000000"/>
          <w:sz w:val="32"/>
          <w:szCs w:val="32"/>
          <w:lang w:val="en-US" w:eastAsia="zh-CN"/>
        </w:rPr>
      </w:pPr>
      <w:bookmarkStart w:id="43" w:name="_Toc15377217"/>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highlight w:val="none"/>
          <w:lang w:val="en-US" w:eastAsia="zh-CN"/>
        </w:rPr>
        <w:t>0.7</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。决算数与预算数持平主要原因为严格控制公务接待。</w:t>
      </w:r>
    </w:p>
    <w:p w14:paraId="4012F521">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（二）“三公”经费财政拨款支出决算具体情况说明</w:t>
      </w:r>
      <w:bookmarkEnd w:id="43"/>
    </w:p>
    <w:p w14:paraId="5313D5F7">
      <w:pPr>
        <w:spacing w:line="600" w:lineRule="exact"/>
        <w:ind w:firstLine="640"/>
        <w:rPr>
          <w:rFonts w:ascii="仿宋" w:hAnsi="仿宋" w:eastAsia="仿宋"/>
          <w:color w:val="000000"/>
          <w:sz w:val="32"/>
          <w:szCs w:val="32"/>
        </w:rPr>
      </w:pPr>
      <w:bookmarkStart w:id="44" w:name="_Toc15377218"/>
      <w:bookmarkStart w:id="45" w:name="_Toc15396610"/>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3AA9D145">
      <w:pPr>
        <w:numPr>
          <w:ilvl w:val="0"/>
          <w:numId w:val="0"/>
        </w:num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p>
    <w:p w14:paraId="0B382D53">
      <w:pPr>
        <w:numPr>
          <w:ilvl w:val="0"/>
          <w:numId w:val="0"/>
        </w:numPr>
        <w:spacing w:line="600" w:lineRule="exact"/>
        <w:ind w:firstLine="643" w:firstLineChars="200"/>
        <w:rPr>
          <w:rFonts w:hint="default" w:ascii="仿宋_GB2312" w:eastAsia="仿宋_GB2312"/>
          <w:color w:val="auto"/>
          <w:sz w:val="32"/>
          <w:szCs w:val="32"/>
          <w:lang w:val="en-US" w:eastAsia="zh-CN"/>
        </w:rPr>
      </w:pPr>
      <w:r>
        <w:rPr>
          <w:rFonts w:hint="eastAsia" w:ascii="仿宋_GB2312" w:eastAsia="仿宋_GB2312"/>
          <w:b/>
          <w:color w:val="auto"/>
          <w:sz w:val="32"/>
          <w:szCs w:val="32"/>
          <w:lang w:val="en-US" w:eastAsia="zh-CN"/>
        </w:rPr>
        <w:t>2.</w:t>
      </w:r>
      <w:r>
        <w:rPr>
          <w:rFonts w:hint="eastAsia" w:ascii="仿宋_GB2312" w:eastAsia="仿宋_GB2312"/>
          <w:b/>
          <w:color w:val="auto"/>
          <w:sz w:val="32"/>
          <w:szCs w:val="32"/>
        </w:rPr>
        <w:t>公务用车运行维护费支出</w:t>
      </w:r>
      <w:r>
        <w:rPr>
          <w:rFonts w:hint="eastAsia" w:ascii="仿宋_GB2312" w:eastAsia="仿宋_GB2312"/>
          <w:b/>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Style w:val="17"/>
          <w:rFonts w:hint="eastAsia" w:ascii="仿宋" w:hAnsi="仿宋" w:eastAsia="仿宋"/>
          <w:b w:val="0"/>
          <w:bCs/>
          <w:color w:val="auto"/>
          <w:sz w:val="32"/>
          <w:szCs w:val="32"/>
        </w:rPr>
        <w:t>完成预算</w:t>
      </w:r>
      <w:r>
        <w:rPr>
          <w:rStyle w:val="17"/>
          <w:rFonts w:hint="eastAsia" w:ascii="仿宋" w:hAnsi="仿宋" w:eastAsia="仿宋"/>
          <w:b w:val="0"/>
          <w:bCs/>
          <w:color w:val="auto"/>
          <w:sz w:val="32"/>
          <w:szCs w:val="32"/>
          <w:lang w:val="en-US" w:eastAsia="zh-CN"/>
        </w:rPr>
        <w:t>0</w:t>
      </w:r>
      <w:r>
        <w:rPr>
          <w:rStyle w:val="17"/>
          <w:rFonts w:ascii="仿宋" w:hAnsi="仿宋" w:eastAsia="仿宋"/>
          <w:b w:val="0"/>
          <w:bCs/>
          <w:color w:val="auto"/>
          <w:sz w:val="32"/>
          <w:szCs w:val="32"/>
        </w:rPr>
        <w:t>%</w:t>
      </w:r>
      <w:r>
        <w:rPr>
          <w:rFonts w:hint="eastAsia" w:ascii="仿宋_GB2312" w:eastAsia="仿宋_GB2312"/>
          <w:color w:val="auto"/>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减少0</w:t>
      </w:r>
      <w:r>
        <w:rPr>
          <w:rFonts w:hint="eastAsia" w:ascii="仿宋_GB2312" w:eastAsia="仿宋_GB2312"/>
          <w:color w:val="000000"/>
          <w:sz w:val="32"/>
          <w:szCs w:val="32"/>
        </w:rPr>
        <w:t>万</w:t>
      </w:r>
      <w:r>
        <w:rPr>
          <w:rFonts w:hint="eastAsia" w:ascii="仿宋_GB2312" w:eastAsia="仿宋_GB2312"/>
          <w:color w:val="auto"/>
          <w:sz w:val="32"/>
          <w:szCs w:val="32"/>
        </w:rPr>
        <w:t>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减少0</w:t>
      </w:r>
      <w:r>
        <w:rPr>
          <w:rFonts w:ascii="仿宋_GB2312" w:eastAsia="仿宋_GB2312"/>
          <w:color w:val="auto"/>
          <w:sz w:val="32"/>
          <w:szCs w:val="32"/>
        </w:rPr>
        <w:t>%</w:t>
      </w:r>
      <w:r>
        <w:rPr>
          <w:rFonts w:hint="eastAsia" w:ascii="仿宋_GB2312" w:eastAsia="仿宋_GB2312"/>
          <w:color w:val="auto"/>
          <w:sz w:val="32"/>
          <w:szCs w:val="32"/>
        </w:rPr>
        <w:t>。</w:t>
      </w:r>
    </w:p>
    <w:p w14:paraId="626F04FE">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元。全年按规定更新</w:t>
      </w:r>
      <w:r>
        <w:rPr>
          <w:rFonts w:hint="eastAsia" w:ascii="仿宋_GB2312" w:eastAsia="仿宋_GB2312"/>
          <w:color w:val="000000"/>
          <w:sz w:val="32"/>
          <w:szCs w:val="32"/>
          <w:lang w:eastAsia="zh-CN"/>
        </w:rPr>
        <w:t>本</w:t>
      </w:r>
      <w:r>
        <w:rPr>
          <w:rFonts w:hint="eastAsia" w:ascii="仿宋_GB2312" w:eastAsia="仿宋_GB2312"/>
          <w:color w:val="000000"/>
          <w:sz w:val="32"/>
          <w:szCs w:val="32"/>
        </w:rPr>
        <w:t>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0辆、</w:t>
      </w:r>
      <w:r>
        <w:rPr>
          <w:rFonts w:hint="eastAsia" w:ascii="仿宋_GB2312" w:eastAsia="仿宋_GB2312"/>
          <w:color w:val="000000"/>
          <w:sz w:val="32"/>
          <w:szCs w:val="32"/>
        </w:rPr>
        <w:t>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14:paraId="39319A99">
      <w:pPr>
        <w:spacing w:line="600" w:lineRule="exact"/>
        <w:ind w:firstLine="640"/>
        <w:rPr>
          <w:rFonts w:hint="default" w:ascii="仿宋_GB2312" w:eastAsia="仿宋_GB2312"/>
          <w:color w:val="000000"/>
          <w:sz w:val="32"/>
          <w:szCs w:val="32"/>
          <w:lang w:val="en-US"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0.7</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减少0.34</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减少49</w:t>
      </w:r>
      <w:r>
        <w:rPr>
          <w:rFonts w:ascii="仿宋_GB2312" w:eastAsia="仿宋_GB2312"/>
          <w:color w:val="000000"/>
          <w:sz w:val="32"/>
          <w:szCs w:val="32"/>
        </w:rPr>
        <w:t>%</w:t>
      </w:r>
      <w:r>
        <w:rPr>
          <w:rFonts w:hint="eastAsia" w:ascii="仿宋_GB2312" w:eastAsia="仿宋_GB2312"/>
          <w:color w:val="000000"/>
          <w:sz w:val="32"/>
          <w:szCs w:val="32"/>
          <w:lang w:val="en-US" w:eastAsia="zh-CN"/>
        </w:rPr>
        <w:t>,2019年接待次数减少，相应费用减少</w:t>
      </w:r>
      <w:r>
        <w:rPr>
          <w:rFonts w:hint="eastAsia" w:ascii="仿宋_GB2312" w:eastAsia="仿宋_GB2312"/>
          <w:color w:val="000000"/>
          <w:sz w:val="32"/>
          <w:szCs w:val="32"/>
        </w:rPr>
        <w:t>。</w:t>
      </w:r>
    </w:p>
    <w:p w14:paraId="27807269">
      <w:pPr>
        <w:spacing w:line="600" w:lineRule="exact"/>
        <w:ind w:firstLine="643" w:firstLineChars="200"/>
        <w:rPr>
          <w:rFonts w:ascii="仿宋_GB2312" w:eastAsia="仿宋_GB2312"/>
          <w:color w:val="000000"/>
          <w:sz w:val="32"/>
          <w:szCs w:val="32"/>
        </w:rPr>
      </w:pPr>
      <w:r>
        <w:rPr>
          <w:rFonts w:hint="eastAsia" w:ascii="仿宋" w:hAnsi="仿宋" w:eastAsia="仿宋"/>
          <w:b/>
          <w:color w:val="auto"/>
          <w:sz w:val="32"/>
          <w:szCs w:val="32"/>
          <w:lang w:val="en-US" w:eastAsia="zh-CN"/>
        </w:rPr>
        <w:t>4.</w:t>
      </w:r>
      <w:r>
        <w:rPr>
          <w:rFonts w:hint="eastAsia" w:ascii="仿宋" w:hAnsi="仿宋" w:eastAsia="仿宋"/>
          <w:b/>
          <w:color w:val="auto"/>
          <w:sz w:val="32"/>
          <w:szCs w:val="32"/>
        </w:rPr>
        <w:t>外事</w:t>
      </w:r>
      <w:r>
        <w:rPr>
          <w:rFonts w:hint="eastAsia" w:ascii="仿宋" w:hAnsi="仿宋" w:eastAsia="仿宋"/>
          <w:b/>
          <w:color w:val="auto"/>
          <w:sz w:val="32"/>
          <w:szCs w:val="32"/>
          <w:lang w:val="en-US" w:eastAsia="zh-CN"/>
        </w:rPr>
        <w:t>0</w:t>
      </w:r>
      <w:r>
        <w:rPr>
          <w:rFonts w:hint="eastAsia" w:ascii="仿宋_GB2312" w:eastAsia="仿宋_GB2312"/>
          <w:color w:val="auto"/>
          <w:sz w:val="32"/>
          <w:szCs w:val="32"/>
        </w:rPr>
        <w:t>万元，外事接待</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人，共计</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1404DA79">
      <w:pPr>
        <w:spacing w:line="600" w:lineRule="exact"/>
        <w:ind w:firstLine="640"/>
        <w:rPr>
          <w:rFonts w:hint="eastAsia" w:ascii="黑体" w:eastAsia="黑体"/>
          <w:color w:val="000000"/>
          <w:sz w:val="32"/>
          <w:szCs w:val="32"/>
        </w:rPr>
      </w:pPr>
      <w:r>
        <w:rPr>
          <w:rFonts w:hint="eastAsia" w:ascii="仿宋" w:hAnsi="仿宋" w:eastAsia="仿宋"/>
          <w:b/>
          <w:color w:val="000000"/>
          <w:sz w:val="32"/>
          <w:szCs w:val="32"/>
          <w:lang w:val="en-US" w:eastAsia="zh-CN"/>
        </w:rPr>
        <w:t>5.</w:t>
      </w: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14:paraId="74EE8C86">
      <w:pPr>
        <w:spacing w:line="600" w:lineRule="exact"/>
        <w:ind w:firstLine="640"/>
        <w:outlineLvl w:val="1"/>
        <w:rPr>
          <w:rStyle w:val="38"/>
          <w:rFonts w:ascii="黑体" w:hAnsi="黑体" w:eastAsia="黑体"/>
        </w:rPr>
      </w:pPr>
      <w:r>
        <w:rPr>
          <w:rFonts w:hint="eastAsia" w:ascii="黑体" w:eastAsia="黑体"/>
          <w:color w:val="000000"/>
          <w:sz w:val="32"/>
          <w:szCs w:val="32"/>
        </w:rPr>
        <w:t>八、</w:t>
      </w:r>
      <w:r>
        <w:rPr>
          <w:rStyle w:val="38"/>
          <w:rFonts w:hint="eastAsia" w:ascii="黑体" w:hAnsi="黑体" w:eastAsia="黑体"/>
          <w:b w:val="0"/>
        </w:rPr>
        <w:t>政府性基金预算支出决算情况说明</w:t>
      </w:r>
      <w:bookmarkEnd w:id="44"/>
      <w:bookmarkEnd w:id="45"/>
    </w:p>
    <w:p w14:paraId="4F7AE1B8">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14:paraId="47E4122A">
      <w:pPr>
        <w:numPr>
          <w:ilvl w:val="0"/>
          <w:numId w:val="2"/>
        </w:numPr>
        <w:spacing w:line="600" w:lineRule="exact"/>
        <w:ind w:firstLine="640"/>
        <w:outlineLvl w:val="1"/>
        <w:rPr>
          <w:rStyle w:val="38"/>
          <w:rFonts w:ascii="黑体" w:hAnsi="黑体" w:eastAsia="黑体"/>
          <w:b w:val="0"/>
        </w:rPr>
      </w:pPr>
      <w:bookmarkStart w:id="46" w:name="_Toc15377219"/>
      <w:bookmarkStart w:id="47" w:name="_Toc15396611"/>
      <w:r>
        <w:rPr>
          <w:rStyle w:val="38"/>
          <w:rFonts w:hint="eastAsia" w:ascii="黑体" w:hAnsi="黑体" w:eastAsia="黑体"/>
          <w:b w:val="0"/>
        </w:rPr>
        <w:t>国有资本经营预算支出决算情况说明</w:t>
      </w:r>
      <w:bookmarkEnd w:id="46"/>
      <w:bookmarkEnd w:id="47"/>
    </w:p>
    <w:p w14:paraId="42965981">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14:paraId="1CB4BC66">
      <w:pPr>
        <w:spacing w:line="600" w:lineRule="exact"/>
        <w:ind w:firstLine="800" w:firstLineChars="250"/>
        <w:outlineLvl w:val="1"/>
        <w:rPr>
          <w:rStyle w:val="38"/>
          <w:rFonts w:ascii="黑体" w:hAnsi="黑体" w:eastAsia="黑体"/>
        </w:rPr>
      </w:pPr>
      <w:bookmarkStart w:id="48" w:name="_Toc15396612"/>
      <w:bookmarkStart w:id="49" w:name="_Toc15377221"/>
      <w:r>
        <w:rPr>
          <w:rFonts w:hint="eastAsia" w:ascii="黑体" w:hAnsi="黑体" w:eastAsia="黑体"/>
          <w:color w:val="000000"/>
          <w:sz w:val="32"/>
          <w:szCs w:val="32"/>
        </w:rPr>
        <w:t>十</w:t>
      </w:r>
      <w:r>
        <w:rPr>
          <w:rStyle w:val="38"/>
          <w:rFonts w:hint="eastAsia" w:ascii="黑体" w:hAnsi="黑体" w:eastAsia="黑体"/>
        </w:rPr>
        <w:t>、</w:t>
      </w:r>
      <w:r>
        <w:rPr>
          <w:rStyle w:val="38"/>
          <w:rFonts w:hint="eastAsia" w:ascii="黑体" w:hAnsi="黑体" w:eastAsia="黑体"/>
          <w:b w:val="0"/>
        </w:rPr>
        <w:t>其他重要事项的情况说明</w:t>
      </w:r>
      <w:bookmarkEnd w:id="48"/>
      <w:bookmarkEnd w:id="49"/>
    </w:p>
    <w:p w14:paraId="3EE7FB40">
      <w:pPr>
        <w:spacing w:line="600" w:lineRule="exact"/>
        <w:ind w:firstLine="643" w:firstLineChars="200"/>
        <w:outlineLvl w:val="2"/>
        <w:rPr>
          <w:rFonts w:ascii="仿宋" w:hAnsi="仿宋" w:eastAsia="仿宋"/>
          <w:color w:val="000000"/>
          <w:sz w:val="32"/>
          <w:szCs w:val="32"/>
        </w:rPr>
      </w:pPr>
      <w:bookmarkStart w:id="50" w:name="_Toc15377224"/>
      <w:r>
        <w:rPr>
          <w:rFonts w:hint="eastAsia" w:ascii="仿宋" w:hAnsi="仿宋" w:eastAsia="仿宋"/>
          <w:b/>
          <w:color w:val="000000"/>
          <w:sz w:val="32"/>
          <w:szCs w:val="32"/>
        </w:rPr>
        <w:t>（一）机关运行经费支出情况</w:t>
      </w:r>
    </w:p>
    <w:p w14:paraId="35077F1D">
      <w:pPr>
        <w:pStyle w:val="36"/>
        <w:numPr>
          <w:ilvl w:val="0"/>
          <w:numId w:val="0"/>
        </w:numPr>
        <w:spacing w:line="600" w:lineRule="exact"/>
        <w:ind w:firstLine="640" w:firstLineChars="200"/>
        <w:outlineLvl w:val="1"/>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团区委</w:t>
      </w:r>
      <w:r>
        <w:rPr>
          <w:rFonts w:hint="eastAsia" w:ascii="仿宋_GB2312" w:eastAsia="仿宋_GB2312"/>
          <w:color w:val="000000"/>
          <w:sz w:val="32"/>
          <w:szCs w:val="32"/>
        </w:rPr>
        <w:t>运行经费支出</w:t>
      </w:r>
      <w:r>
        <w:rPr>
          <w:rFonts w:hint="eastAsia" w:ascii="仿宋_GB2312" w:eastAsia="仿宋_GB2312"/>
          <w:color w:val="000000"/>
          <w:sz w:val="32"/>
          <w:szCs w:val="32"/>
          <w:lang w:val="en-US" w:eastAsia="zh-CN"/>
        </w:rPr>
        <w:t>286.52</w:t>
      </w:r>
      <w:r>
        <w:rPr>
          <w:rFonts w:hint="eastAsia" w:ascii="仿宋_GB2312" w:eastAsia="仿宋_GB2312"/>
          <w:color w:val="000000"/>
          <w:sz w:val="32"/>
          <w:szCs w:val="32"/>
        </w:rPr>
        <w:t>万元，比2018年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150.5万元，减少47.5</w:t>
      </w:r>
      <w:r>
        <w:rPr>
          <w:rFonts w:hint="default" w:ascii="仿宋_GB2312" w:eastAsia="仿宋_GB2312"/>
          <w:color w:val="000000"/>
          <w:sz w:val="32"/>
          <w:szCs w:val="32"/>
          <w:lang w:val="en-US" w:eastAsia="zh-CN"/>
        </w:rPr>
        <w:t>%</w:t>
      </w:r>
      <w:r>
        <w:rPr>
          <w:rFonts w:hint="eastAsia" w:ascii="仿宋_GB2312" w:eastAsia="仿宋_GB2312"/>
          <w:color w:val="000000"/>
          <w:sz w:val="32"/>
          <w:szCs w:val="32"/>
          <w:lang w:val="en-US" w:eastAsia="zh-CN"/>
        </w:rPr>
        <w:t>。主要原</w:t>
      </w:r>
      <w:r>
        <w:rPr>
          <w:rFonts w:hint="eastAsia" w:ascii="仿宋_GB2312" w:eastAsia="仿宋_GB2312"/>
          <w:color w:val="000000"/>
          <w:sz w:val="32"/>
          <w:szCs w:val="32"/>
        </w:rPr>
        <w:t>因是</w:t>
      </w:r>
      <w:r>
        <w:rPr>
          <w:rFonts w:hint="eastAsia" w:ascii="仿宋_GB2312" w:eastAsia="仿宋_GB2312"/>
          <w:color w:val="000000"/>
          <w:sz w:val="32"/>
          <w:szCs w:val="32"/>
          <w:lang w:val="en-US" w:eastAsia="zh-CN"/>
        </w:rPr>
        <w:t>：电商扶贫项目资金减少。</w:t>
      </w:r>
    </w:p>
    <w:p w14:paraId="2DA69E5F">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14:paraId="580E8DF9">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团区委</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bookmarkEnd w:id="50"/>
    <w:p w14:paraId="3288EBE4">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p>
    <w:p w14:paraId="5C80C31A">
      <w:pPr>
        <w:autoSpaceDE w:val="0"/>
        <w:autoSpaceDN w:val="0"/>
        <w:adjustRightInd w:val="0"/>
        <w:spacing w:line="600" w:lineRule="exact"/>
        <w:ind w:firstLine="640" w:firstLineChars="200"/>
        <w:jc w:val="left"/>
        <w:rPr>
          <w:rFonts w:hint="eastAsia" w:ascii="仿宋" w:hAnsi="仿宋" w:eastAsia="仿宋_GB2312"/>
          <w:b/>
          <w:color w:val="FF0000"/>
          <w:sz w:val="32"/>
          <w:szCs w:val="32"/>
          <w:lang w:val="en-US" w:eastAsia="zh-CN"/>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团区委</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14:paraId="378C6FDC">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50CDDEA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龙泉·昭化东西部扶贫农村电商扶贫项目</w:t>
      </w:r>
      <w:r>
        <w:rPr>
          <w:rFonts w:hint="eastAsia" w:ascii="仿宋_GB2312" w:hAnsi="仿宋_GB2312" w:eastAsia="仿宋_GB2312" w:cs="仿宋_GB2312"/>
          <w:sz w:val="32"/>
          <w:szCs w:val="32"/>
          <w:lang w:eastAsia="zh-CN"/>
        </w:rPr>
        <w:t>等支出</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个项目开展了绩效目标完成情况梳理填报。</w:t>
      </w:r>
    </w:p>
    <w:p w14:paraId="59311DE2">
      <w:pPr>
        <w:snapToGrid w:val="0"/>
        <w:spacing w:line="360" w:lineRule="auto"/>
        <w:ind w:firstLine="640" w:firstLineChars="200"/>
        <w:rPr>
          <w:rFonts w:ascii="仿宋" w:hAnsi="仿宋" w:eastAsia="仿宋" w:cs="仿宋_GB2312"/>
          <w:color w:val="000000"/>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eastAsia="zh-CN"/>
        </w:rPr>
        <w:t>：本单位</w:t>
      </w:r>
      <w:r>
        <w:rPr>
          <w:rFonts w:hint="eastAsia" w:ascii="仿宋" w:hAnsi="仿宋" w:eastAsia="仿宋" w:cs="仿宋_GB2312"/>
          <w:color w:val="000000"/>
          <w:sz w:val="32"/>
          <w:szCs w:val="32"/>
        </w:rPr>
        <w:t>201</w:t>
      </w:r>
      <w:r>
        <w:rPr>
          <w:rFonts w:hint="eastAsia" w:ascii="仿宋" w:hAnsi="仿宋" w:eastAsia="仿宋" w:cs="仿宋_GB2312"/>
          <w:color w:val="000000"/>
          <w:sz w:val="32"/>
          <w:szCs w:val="32"/>
          <w:lang w:val="en-US" w:eastAsia="zh-CN"/>
        </w:rPr>
        <w:t>9</w:t>
      </w:r>
      <w:r>
        <w:rPr>
          <w:rFonts w:hint="eastAsia" w:ascii="仿宋" w:hAnsi="仿宋" w:eastAsia="仿宋" w:cs="仿宋_GB2312"/>
          <w:color w:val="000000"/>
          <w:sz w:val="32"/>
          <w:szCs w:val="32"/>
        </w:rPr>
        <w:t>年财务支出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w:t>
      </w:r>
      <w:r>
        <w:rPr>
          <w:rFonts w:hint="eastAsia" w:ascii="仿宋" w:hAnsi="仿宋" w:eastAsia="仿宋" w:cs="仿宋_GB2312"/>
          <w:color w:val="000000"/>
          <w:sz w:val="32"/>
          <w:szCs w:val="32"/>
          <w:lang w:val="en-US" w:eastAsia="zh-CN"/>
        </w:rPr>
        <w:t>9</w:t>
      </w:r>
      <w:r>
        <w:rPr>
          <w:rFonts w:hint="eastAsia" w:ascii="仿宋" w:hAnsi="仿宋" w:eastAsia="仿宋" w:cs="仿宋_GB2312"/>
          <w:color w:val="000000"/>
          <w:sz w:val="32"/>
          <w:szCs w:val="32"/>
        </w:rPr>
        <w:t>年基本完成，在保障机关运转、履行职能职责上整体情况良好。综合评价结果为良级。</w:t>
      </w:r>
    </w:p>
    <w:p w14:paraId="25E311D3">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ascii="仿宋" w:hAnsi="仿宋" w:eastAsia="仿宋" w:cs="仿宋_GB2312"/>
          <w:color w:val="000000"/>
          <w:sz w:val="32"/>
          <w:szCs w:val="32"/>
        </w:rPr>
      </w:pP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个项目绩效评价，从评价情况来看</w:t>
      </w:r>
      <w:r>
        <w:rPr>
          <w:rFonts w:hint="eastAsia" w:ascii="仿宋_GB2312" w:hAnsi="仿宋_GB2312" w:eastAsia="仿宋_GB2312" w:cs="仿宋_GB2312"/>
          <w:sz w:val="32"/>
          <w:szCs w:val="32"/>
          <w:lang w:eastAsia="zh-CN"/>
        </w:rPr>
        <w:t>：</w:t>
      </w:r>
      <w:r>
        <w:rPr>
          <w:rFonts w:hint="eastAsia" w:ascii="仿宋" w:hAnsi="仿宋" w:eastAsia="仿宋" w:cs="仿宋_GB2312"/>
          <w:color w:val="000000"/>
          <w:sz w:val="32"/>
          <w:szCs w:val="32"/>
        </w:rPr>
        <w:t>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w:t>
      </w:r>
    </w:p>
    <w:p w14:paraId="1F30534F">
      <w:pPr>
        <w:keepNext w:val="0"/>
        <w:keepLines w:val="0"/>
        <w:pageBreakBefore w:val="0"/>
        <w:widowControl w:val="0"/>
        <w:numPr>
          <w:ilvl w:val="0"/>
          <w:numId w:val="0"/>
        </w:numPr>
        <w:kinsoku/>
        <w:wordWrap/>
        <w:overflowPunct/>
        <w:topLinePunct w:val="0"/>
        <w:autoSpaceDE/>
        <w:autoSpaceDN/>
        <w:bidi w:val="0"/>
        <w:adjustRightInd/>
        <w:spacing w:line="576" w:lineRule="exact"/>
        <w:ind w:firstLine="643" w:firstLineChars="200"/>
        <w:textAlignment w:val="auto"/>
        <w:rPr>
          <w:rFonts w:hint="eastAsia" w:ascii="仿宋" w:hAnsi="仿宋" w:eastAsia="仿宋" w:cs="楷体_GB2312"/>
          <w:b/>
          <w:bCs/>
          <w:sz w:val="32"/>
          <w:szCs w:val="32"/>
          <w:lang w:eastAsia="zh-CN"/>
        </w:rPr>
      </w:pPr>
      <w:r>
        <w:rPr>
          <w:rFonts w:hint="eastAsia" w:ascii="仿宋" w:hAnsi="仿宋" w:eastAsia="仿宋" w:cs="楷体_GB2312"/>
          <w:b/>
          <w:bCs/>
          <w:sz w:val="32"/>
          <w:szCs w:val="32"/>
          <w:lang w:eastAsia="zh-CN"/>
        </w:rPr>
        <w:t>（五）</w:t>
      </w:r>
      <w:r>
        <w:rPr>
          <w:rFonts w:hint="eastAsia" w:ascii="仿宋" w:hAnsi="仿宋" w:eastAsia="仿宋" w:cs="楷体_GB2312"/>
          <w:b/>
          <w:bCs/>
          <w:sz w:val="32"/>
          <w:szCs w:val="32"/>
        </w:rPr>
        <w:t>项目绩效目标完成情况。</w:t>
      </w:r>
    </w:p>
    <w:p w14:paraId="0DAFDA8F">
      <w:pPr>
        <w:keepNext w:val="0"/>
        <w:keepLines w:val="0"/>
        <w:pageBreakBefore w:val="0"/>
        <w:widowControl w:val="0"/>
        <w:numPr>
          <w:ilvl w:val="0"/>
          <w:numId w:val="0"/>
        </w:numPr>
        <w:kinsoku/>
        <w:wordWrap/>
        <w:overflowPunct/>
        <w:topLinePunct w:val="0"/>
        <w:autoSpaceDE/>
        <w:autoSpaceDN/>
        <w:bidi w:val="0"/>
        <w:adjustRightIn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val="en-US" w:eastAsia="zh-CN"/>
        </w:rPr>
        <w:t>龙泉·昭化东西部扶贫农村电商扶贫项目1</w:t>
      </w:r>
      <w:r>
        <w:rPr>
          <w:rFonts w:hint="eastAsia" w:ascii="仿宋_GB2312" w:hAnsi="仿宋_GB2312" w:eastAsia="仿宋_GB2312" w:cs="仿宋_GB2312"/>
          <w:sz w:val="32"/>
          <w:szCs w:val="32"/>
        </w:rPr>
        <w:t>个项目绩效目标实际完成情况。</w:t>
      </w:r>
    </w:p>
    <w:p w14:paraId="27EBA7B3">
      <w:pPr>
        <w:pageBreakBefore w:val="0"/>
        <w:numPr>
          <w:ilvl w:val="0"/>
          <w:numId w:val="0"/>
        </w:numPr>
        <w:kinsoku/>
        <w:wordWrap/>
        <w:overflowPunct/>
        <w:topLinePunct w:val="0"/>
        <w:bidi w:val="0"/>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龙泉·昭化东西部扶贫农村电商扶贫项目</w:t>
      </w:r>
      <w:r>
        <w:rPr>
          <w:rFonts w:hint="eastAsia" w:ascii="仿宋_GB2312" w:hAnsi="仿宋_GB2312" w:eastAsia="仿宋_GB2312" w:cs="仿宋_GB2312"/>
          <w:sz w:val="32"/>
          <w:szCs w:val="32"/>
        </w:rPr>
        <w:t>绩</w:t>
      </w:r>
      <w:r>
        <w:rPr>
          <w:rFonts w:hint="eastAsia" w:ascii="仿宋_GB2312" w:hAnsi="仿宋_GB2312" w:eastAsia="仿宋_GB2312" w:cs="仿宋_GB2312"/>
          <w:sz w:val="32"/>
          <w:szCs w:val="32"/>
          <w:lang w:val="en-US" w:eastAsia="zh-CN"/>
        </w:rPr>
        <w:t>效目标完成情况综述。项目全年预算数319.3万元，执行数为267.9万元，完成预算的84%，结转下年51.48万元。通过项目实施，打通了电商销货渠道、建立了贫困户新型链接机制、促进了新型劳动力就业创业，特别是提高了农产品电商销售整体能</w:t>
      </w:r>
      <w:r>
        <w:rPr>
          <w:rFonts w:hint="eastAsia" w:ascii="仿宋_GB2312" w:hAnsi="仿宋_GB2312" w:eastAsia="仿宋_GB2312" w:cs="仿宋_GB2312"/>
          <w:sz w:val="32"/>
          <w:szCs w:val="32"/>
        </w:rPr>
        <w:t>力，助推</w:t>
      </w:r>
      <w:r>
        <w:rPr>
          <w:rFonts w:hint="eastAsia" w:ascii="仿宋_GB2312" w:hAnsi="仿宋_GB2312" w:eastAsia="仿宋_GB2312" w:cs="仿宋_GB2312"/>
          <w:sz w:val="32"/>
          <w:szCs w:val="32"/>
          <w:lang w:eastAsia="zh-CN"/>
        </w:rPr>
        <w:t>了我区</w:t>
      </w:r>
      <w:r>
        <w:rPr>
          <w:rFonts w:hint="eastAsia" w:ascii="仿宋_GB2312" w:hAnsi="仿宋_GB2312" w:eastAsia="仿宋_GB2312" w:cs="仿宋_GB2312"/>
          <w:sz w:val="32"/>
          <w:szCs w:val="32"/>
        </w:rPr>
        <w:t>精准扶贫、精准脱贫。发现的主要问题：</w:t>
      </w:r>
      <w:r>
        <w:rPr>
          <w:rFonts w:hint="eastAsia" w:ascii="仿宋_GB2312" w:hAnsi="仿宋_GB2312" w:eastAsia="仿宋_GB2312" w:cs="仿宋_GB2312"/>
          <w:sz w:val="32"/>
          <w:szCs w:val="32"/>
          <w:lang w:val="en-US" w:eastAsia="zh-CN"/>
        </w:rPr>
        <w:t>项目绩效目标资金拨付不够即时，还需进一步提高</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val="en-US" w:eastAsia="zh-CN"/>
        </w:rPr>
        <w:t>完善项目绩效目标，建立健全项目管理制度。</w:t>
      </w: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3A6357CD">
        <w:trPr>
          <w:trHeight w:val="1034" w:hRule="atLeast"/>
        </w:trPr>
        <w:tc>
          <w:tcPr>
            <w:tcW w:w="9960" w:type="dxa"/>
            <w:gridSpan w:val="6"/>
            <w:noWrap w:val="0"/>
            <w:tcMar>
              <w:top w:w="15" w:type="dxa"/>
              <w:left w:w="15" w:type="dxa"/>
              <w:bottom w:w="0" w:type="dxa"/>
              <w:right w:w="15" w:type="dxa"/>
            </w:tcMar>
            <w:vAlign w:val="center"/>
          </w:tcPr>
          <w:p w14:paraId="37EC5626">
            <w:pPr>
              <w:pStyle w:val="36"/>
              <w:widowControl/>
              <w:ind w:left="4173" w:leftChars="1310" w:hanging="1422" w:hangingChars="395"/>
              <w:textAlignment w:val="center"/>
              <w:rPr>
                <w:rFonts w:hint="eastAsia" w:ascii="黑体" w:hAnsi="黑体" w:eastAsia="黑体" w:cs="宋体"/>
                <w:bCs/>
                <w:color w:val="000000"/>
                <w:kern w:val="0"/>
                <w:sz w:val="36"/>
                <w:szCs w:val="36"/>
                <w:lang w:eastAsia="zh-CN" w:bidi="ar"/>
              </w:rPr>
            </w:pPr>
            <w:r>
              <w:rPr>
                <w:rFonts w:hint="eastAsia" w:ascii="黑体" w:hAnsi="黑体" w:eastAsia="黑体" w:cs="宋体"/>
                <w:bCs/>
                <w:color w:val="000000"/>
                <w:kern w:val="0"/>
                <w:sz w:val="36"/>
                <w:szCs w:val="36"/>
                <w:lang w:bidi="ar"/>
              </w:rPr>
              <w:t>项目支出绩效目标完成情况表</w:t>
            </w:r>
          </w:p>
          <w:p w14:paraId="792055AF">
            <w:pPr>
              <w:pStyle w:val="36"/>
              <w:widowControl/>
              <w:ind w:left="4173" w:leftChars="1310" w:hanging="1422" w:hangingChars="395"/>
              <w:textAlignment w:val="center"/>
              <w:rPr>
                <w:rFonts w:ascii="宋体" w:hAnsi="宋体" w:cs="宋体"/>
                <w:color w:val="000000"/>
                <w:sz w:val="36"/>
                <w:szCs w:val="36"/>
              </w:rPr>
            </w:pP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年度)</w:t>
            </w:r>
          </w:p>
        </w:tc>
      </w:tr>
      <w:tr w14:paraId="12827349">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7BF9D2">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A4747E">
            <w:pPr>
              <w:widowControl/>
              <w:jc w:val="center"/>
              <w:textAlignment w:val="center"/>
              <w:rPr>
                <w:rFonts w:hint="eastAsia" w:ascii="宋体" w:hAnsi="宋体" w:eastAsia="宋体" w:cs="宋体"/>
                <w:color w:val="000000"/>
                <w:sz w:val="24"/>
                <w:lang w:eastAsia="zh-CN"/>
              </w:rPr>
            </w:pPr>
            <w:r>
              <w:rPr>
                <w:rFonts w:hint="eastAsia" w:ascii="仿宋_GB2312" w:hAnsi="仿宋_GB2312" w:eastAsia="仿宋_GB2312" w:cs="仿宋_GB2312"/>
                <w:sz w:val="32"/>
                <w:szCs w:val="32"/>
                <w:lang w:val="en-US" w:eastAsia="zh-CN"/>
              </w:rPr>
              <w:t>龙泉·昭化东西部扶贫农村电商扶贫项目</w:t>
            </w:r>
          </w:p>
        </w:tc>
      </w:tr>
      <w:tr w14:paraId="0E6320E7">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5ABC2B">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829CB0">
            <w:pPr>
              <w:widowControl/>
              <w:jc w:val="center"/>
              <w:textAlignment w:val="center"/>
              <w:rPr>
                <w:rFonts w:hint="eastAsia" w:ascii="宋体" w:hAnsi="宋体" w:eastAsia="宋体" w:cs="宋体"/>
                <w:color w:val="000000"/>
                <w:sz w:val="24"/>
                <w:lang w:eastAsia="zh-CN"/>
              </w:rPr>
            </w:pPr>
            <w:r>
              <w:rPr>
                <w:rFonts w:hint="eastAsia" w:ascii="宋体" w:hAnsi="宋体" w:cs="宋体"/>
                <w:color w:val="auto"/>
                <w:sz w:val="24"/>
                <w:lang w:eastAsia="zh-CN"/>
              </w:rPr>
              <w:t>中国共产主义青年团四川省广元市昭化区委员会</w:t>
            </w:r>
          </w:p>
        </w:tc>
      </w:tr>
      <w:tr w14:paraId="2B9D867B">
        <w:tblPrEx>
          <w:tblCellMar>
            <w:top w:w="0" w:type="dxa"/>
            <w:left w:w="0" w:type="dxa"/>
            <w:bottom w:w="0" w:type="dxa"/>
            <w:right w:w="0" w:type="dxa"/>
          </w:tblCellMar>
        </w:tblPrEx>
        <w:trPr>
          <w:trHeight w:val="36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06DE1F">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0C8C5D">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B2BC89">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319.3</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333201">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9094B3">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267.82</w:t>
            </w:r>
          </w:p>
        </w:tc>
      </w:tr>
      <w:tr w14:paraId="12D29223">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EB84BA">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FC541A">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AC3B6B">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319.3</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FBCF4A">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3A3D59">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267.82</w:t>
            </w:r>
          </w:p>
        </w:tc>
      </w:tr>
      <w:tr w14:paraId="42684D53">
        <w:tblPrEx>
          <w:tblCellMar>
            <w:top w:w="0" w:type="dxa"/>
            <w:left w:w="0" w:type="dxa"/>
            <w:bottom w:w="0" w:type="dxa"/>
            <w:right w:w="0" w:type="dxa"/>
          </w:tblCellMar>
        </w:tblPrEx>
        <w:trPr>
          <w:trHeight w:val="128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36B8DF">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00A13A">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4A920B">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A6E4DE">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3FDF1F">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375B8581">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D8FCF6">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3F6A90">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0A117F">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14:paraId="2AC40F88">
        <w:tblPrEx>
          <w:tblCellMar>
            <w:top w:w="0" w:type="dxa"/>
            <w:left w:w="0" w:type="dxa"/>
            <w:bottom w:w="0" w:type="dxa"/>
            <w:right w:w="0" w:type="dxa"/>
          </w:tblCellMar>
        </w:tblPrEx>
        <w:trPr>
          <w:trHeight w:val="314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763B30">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14:paraId="2E2D720E">
            <w:r>
              <w:rPr>
                <w:rFonts w:hint="eastAsia"/>
                <w:lang w:val="zh-CN"/>
              </w:rPr>
              <w:t>2</w:t>
            </w:r>
            <w:r>
              <w:rPr>
                <w:lang w:val="zh-CN"/>
              </w:rPr>
              <w:t>019</w:t>
            </w:r>
            <w:r>
              <w:rPr>
                <w:rFonts w:hint="eastAsia"/>
                <w:lang w:val="zh-CN"/>
              </w:rPr>
              <w:t>年在继续深入实施“一体两翼一心双环”的昭化东西部电商扶贫模式和经验的基础上，扎实做好项目要求的各项内容。着力做好两条线，一是产品线，以消费扶贫为核心，重点做好农产品的上行工作，以乌鸡蛋、贡米为核心产业，并将猕猴桃、脆李等季节性昭化产品的销售作为销售重点，线上线下相结合，加强与第三方平台和线下销售渠道的合作力度，整合项目资源，进行体系化的宣传推介和销售工作。二是人的线，挖掘龙泉.昭化东西部扶贫协作农村电商发展过程中的典型人物，并重点以“电商飞地优秀学员”为代表，打造集体电商人物形象。同时，围绕“昭化产品走进龙泉，龙泉人来到昭化旅游”的思路，力争在2</w:t>
            </w:r>
            <w:r>
              <w:rPr>
                <w:lang w:val="zh-CN"/>
              </w:rPr>
              <w:t>019</w:t>
            </w:r>
            <w:r>
              <w:rPr>
                <w:rFonts w:hint="eastAsia"/>
                <w:lang w:val="zh-CN"/>
              </w:rPr>
              <w:t>年树立一批东西部扶贫协作的明星产品和典型人物，在销售业绩方面突破2</w:t>
            </w:r>
            <w:r>
              <w:rPr>
                <w:lang w:val="zh-CN"/>
              </w:rPr>
              <w:t>00</w:t>
            </w:r>
            <w:r>
              <w:rPr>
                <w:rFonts w:hint="eastAsia"/>
                <w:lang w:val="zh-CN"/>
              </w:rPr>
              <w:t>万元，并在既定项目外，争取新的项目支撑，提高公司的盈利能力和运营水平。</w:t>
            </w:r>
          </w:p>
          <w:p w14:paraId="2356DF59">
            <w:pPr>
              <w:widowControl/>
              <w:numPr>
                <w:ilvl w:val="0"/>
                <w:numId w:val="0"/>
              </w:numPr>
              <w:ind w:firstLine="480" w:firstLineChars="200"/>
              <w:jc w:val="both"/>
              <w:textAlignment w:val="center"/>
              <w:rPr>
                <w:rFonts w:hint="default" w:ascii="宋体" w:hAnsi="宋体" w:cs="宋体"/>
                <w:color w:val="000000"/>
                <w:sz w:val="24"/>
                <w:lang w:val="en-US" w:eastAsia="zh-CN"/>
              </w:rPr>
            </w:pP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14:paraId="0B5DFA6B">
            <w:pPr>
              <w:rPr>
                <w:rFonts w:hint="eastAsia"/>
              </w:rPr>
            </w:pPr>
            <w:r>
              <w:t>运行线上昭化电商扶贫平台；线下扶贫O2O义卖专区运营，开展义卖活动；打造贫困户产品的运输、包装、文创加工“一条龙”式产业链；龙泉・昭化电商扶贫飞地，2019年孵化电商人才带头示范60人；设立“四川昭化原产地直供馆”进行推广营销；举行1次昭化特色农旅文化“网红直播”；开展“昭化造”农特产品展销暨电商扶贫渠道对接招商会，对接国内主流农产品电商平台2家以上，与昭化区农业企业进行关联合作，开展全网的电商扶贫推广。</w:t>
            </w:r>
            <w:r>
              <w:rPr>
                <w:rFonts w:hint="eastAsia"/>
                <w:lang w:val="zh-CN"/>
              </w:rPr>
              <w:t>销售业绩方面突破</w:t>
            </w:r>
            <w:r>
              <w:rPr>
                <w:rFonts w:hint="eastAsia"/>
                <w:lang w:val="en-US" w:eastAsia="zh-CN"/>
              </w:rPr>
              <w:t>3</w:t>
            </w:r>
            <w:r>
              <w:rPr>
                <w:lang w:val="zh-CN"/>
              </w:rPr>
              <w:t>00</w:t>
            </w:r>
            <w:r>
              <w:rPr>
                <w:rFonts w:hint="eastAsia"/>
                <w:lang w:val="zh-CN"/>
              </w:rPr>
              <w:t>万元</w:t>
            </w:r>
          </w:p>
          <w:p w14:paraId="42E5C49D">
            <w:pPr>
              <w:widowControl/>
              <w:jc w:val="both"/>
              <w:textAlignment w:val="center"/>
              <w:rPr>
                <w:rFonts w:hint="eastAsia" w:ascii="宋体" w:hAnsi="宋体" w:eastAsia="宋体" w:cs="宋体"/>
                <w:color w:val="000000"/>
                <w:kern w:val="2"/>
                <w:sz w:val="24"/>
                <w:szCs w:val="24"/>
                <w:lang w:val="en-US" w:eastAsia="zh-CN" w:bidi="ar-SA"/>
              </w:rPr>
            </w:pPr>
          </w:p>
        </w:tc>
      </w:tr>
      <w:tr w14:paraId="60425182">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10A2A7">
            <w:pPr>
              <w:widowControl/>
              <w:jc w:val="center"/>
              <w:textAlignment w:val="center"/>
              <w:rPr>
                <w:rFonts w:ascii="宋体" w:hAnsi="宋体" w:cs="宋体"/>
                <w:color w:val="000000"/>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58675D">
            <w:pPr>
              <w:widowControl/>
              <w:jc w:val="center"/>
              <w:textAlignment w:val="center"/>
              <w:rPr>
                <w:rFonts w:ascii="宋体" w:hAnsi="宋体" w:cs="宋体"/>
                <w:color w:val="000000"/>
                <w:sz w:val="24"/>
              </w:rPr>
            </w:pPr>
            <w:r>
              <w:rPr>
                <w:rFonts w:hint="eastAsia" w:ascii="宋体" w:hAnsi="宋体" w:cs="宋体"/>
                <w:color w:val="auto"/>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F46DF6">
            <w:pPr>
              <w:widowControl/>
              <w:jc w:val="center"/>
              <w:textAlignment w:val="center"/>
              <w:rPr>
                <w:rFonts w:ascii="宋体" w:hAnsi="宋体" w:cs="宋体"/>
                <w:color w:val="000000"/>
                <w:sz w:val="24"/>
              </w:rPr>
            </w:pPr>
            <w:r>
              <w:rPr>
                <w:rFonts w:hint="eastAsia" w:ascii="宋体" w:hAnsi="宋体" w:cs="宋体"/>
                <w:color w:val="auto"/>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A5F582">
            <w:pPr>
              <w:widowControl/>
              <w:jc w:val="center"/>
              <w:textAlignment w:val="center"/>
              <w:rPr>
                <w:rFonts w:ascii="宋体" w:hAnsi="宋体" w:cs="宋体"/>
                <w:color w:val="000000"/>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AF66CE">
            <w:pPr>
              <w:widowControl/>
              <w:jc w:val="center"/>
              <w:textAlignment w:val="center"/>
              <w:rPr>
                <w:rFonts w:ascii="宋体" w:hAnsi="宋体" w:cs="宋体"/>
                <w:color w:val="000000"/>
                <w:sz w:val="24"/>
              </w:rPr>
            </w:pPr>
            <w:r>
              <w:rPr>
                <w:rFonts w:hint="eastAsia" w:ascii="宋体" w:hAnsi="宋体" w:cs="宋体"/>
                <w:color w:val="auto"/>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6B3AB2">
            <w:pPr>
              <w:widowControl/>
              <w:jc w:val="center"/>
              <w:textAlignment w:val="center"/>
              <w:rPr>
                <w:rFonts w:ascii="宋体" w:hAnsi="宋体" w:cs="宋体"/>
                <w:color w:val="000000"/>
                <w:sz w:val="24"/>
              </w:rPr>
            </w:pPr>
            <w:r>
              <w:rPr>
                <w:rFonts w:hint="eastAsia" w:ascii="宋体" w:hAnsi="宋体" w:cs="宋体"/>
                <w:color w:val="auto"/>
                <w:kern w:val="0"/>
                <w:sz w:val="24"/>
                <w:lang w:bidi="ar"/>
              </w:rPr>
              <w:t>实际完成指标值(包含数字及文字描述)</w:t>
            </w:r>
          </w:p>
        </w:tc>
      </w:tr>
      <w:tr w14:paraId="5869074F">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68EA61">
            <w:pPr>
              <w:widowControl/>
              <w:jc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5B2E25">
            <w:pPr>
              <w:widowControl/>
              <w:jc w:val="center"/>
              <w:textAlignment w:val="center"/>
              <w:rPr>
                <w:rFonts w:ascii="宋体" w:hAnsi="宋体" w:cs="宋体"/>
                <w:color w:val="000000"/>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7ED1B7">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auto"/>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99D52A">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auto"/>
                <w:sz w:val="24"/>
                <w:lang w:val="en-US" w:eastAsia="zh-CN"/>
              </w:rPr>
              <w:t>项目成效</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14:paraId="136A55DE">
            <w:pPr>
              <w:widowControl/>
              <w:jc w:val="both"/>
              <w:textAlignment w:val="center"/>
              <w:rPr>
                <w:rFonts w:hint="eastAsia" w:ascii="宋体" w:hAnsi="宋体" w:eastAsia="等线" w:cs="宋体"/>
                <w:color w:val="000000"/>
                <w:sz w:val="24"/>
                <w:szCs w:val="24"/>
                <w:lang w:val="en-US" w:eastAsia="zh-CN"/>
              </w:rPr>
            </w:pPr>
            <w:r>
              <w:rPr>
                <w:rFonts w:hint="eastAsia" w:ascii="等线" w:hAnsi="等线" w:eastAsia="等线" w:cs="宋体"/>
                <w:color w:val="000000"/>
                <w:kern w:val="0"/>
                <w:sz w:val="22"/>
              </w:rPr>
              <w:t>线上开展推介活动，重点针对乌鸡蛋、贡米等产品进行集中打造，对接国内主流农产品电商平台</w:t>
            </w:r>
            <w:r>
              <w:rPr>
                <w:rFonts w:ascii="等线" w:hAnsi="等线" w:eastAsia="等线" w:cs="宋体"/>
                <w:color w:val="000000"/>
                <w:kern w:val="0"/>
                <w:sz w:val="22"/>
              </w:rPr>
              <w:t>2家以上，</w:t>
            </w:r>
            <w:r>
              <w:rPr>
                <w:rFonts w:hint="eastAsia" w:ascii="等线" w:hAnsi="等线" w:eastAsia="等线" w:cs="宋体"/>
                <w:color w:val="000000"/>
                <w:kern w:val="0"/>
                <w:sz w:val="22"/>
              </w:rPr>
              <w:t>形成销售额达到100万元，围绕乌鸡蛋销售制度月度销售计划，并逐步增加</w:t>
            </w:r>
            <w:r>
              <w:rPr>
                <w:rFonts w:hint="eastAsia" w:ascii="等线" w:hAnsi="等线" w:eastAsia="等线" w:cs="宋体"/>
                <w:color w:val="000000"/>
                <w:kern w:val="0"/>
                <w:sz w:val="22"/>
                <w:lang w:eastAsia="zh-CN"/>
              </w:rPr>
              <w:t>，</w:t>
            </w:r>
            <w:r>
              <w:rPr>
                <w:rFonts w:hint="eastAsia" w:ascii="等线" w:hAnsi="等线" w:eastAsia="等线" w:cs="宋体"/>
                <w:color w:val="000000"/>
                <w:kern w:val="0"/>
                <w:sz w:val="22"/>
              </w:rPr>
              <w:t>按照项目要求新增1个微商村的打造工作，6月份前，完成溯源体系建设，结合电商论坛的举办乌鸡蛋为重点的开展产销对接会。开展三期6</w:t>
            </w:r>
            <w:r>
              <w:rPr>
                <w:rFonts w:ascii="等线" w:hAnsi="等线" w:eastAsia="等线" w:cs="宋体"/>
                <w:color w:val="000000"/>
                <w:kern w:val="0"/>
                <w:sz w:val="22"/>
              </w:rPr>
              <w:t>0</w:t>
            </w:r>
            <w:r>
              <w:rPr>
                <w:rFonts w:hint="eastAsia" w:ascii="等线" w:hAnsi="等线" w:eastAsia="等线" w:cs="宋体"/>
                <w:color w:val="000000"/>
                <w:kern w:val="0"/>
                <w:sz w:val="22"/>
              </w:rPr>
              <w:t>名飞地电商学员培训工作</w:t>
            </w:r>
            <w:r>
              <w:rPr>
                <w:rFonts w:hint="eastAsia" w:ascii="等线" w:hAnsi="等线" w:eastAsia="等线" w:cs="宋体"/>
                <w:color w:val="000000"/>
                <w:kern w:val="0"/>
                <w:sz w:val="22"/>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F84B52">
            <w:pPr>
              <w:rPr>
                <w:rFonts w:hint="eastAsia"/>
              </w:rPr>
            </w:pPr>
            <w:r>
              <w:t>运行线上昭化电商扶贫平台；线下扶贫O2O义卖专区运营，开展义卖活动；打造贫困户产品的运输、包装、文创加工“一条龙”式产业链；龙泉・昭化电商扶贫飞地，2019年孵化电商人才带头示范60人；设立“四川昭化原产地直供馆”进行推广营销；举行1次昭化特色农旅文化“网红直播”；开展“昭化造”农特产品展销暨电商扶贫渠道对接招商会，对接国内主流农产品电商平台2家以上，与昭化区农业企业进行关联合作，开展全网的电商扶贫推广。</w:t>
            </w:r>
            <w:r>
              <w:rPr>
                <w:rFonts w:hint="eastAsia"/>
                <w:lang w:val="zh-CN"/>
              </w:rPr>
              <w:t>销售业绩方面突破</w:t>
            </w:r>
            <w:r>
              <w:rPr>
                <w:rFonts w:hint="eastAsia"/>
                <w:lang w:val="en-US" w:eastAsia="zh-CN"/>
              </w:rPr>
              <w:t>3</w:t>
            </w:r>
            <w:r>
              <w:rPr>
                <w:lang w:val="zh-CN"/>
              </w:rPr>
              <w:t>00</w:t>
            </w:r>
            <w:r>
              <w:rPr>
                <w:rFonts w:hint="eastAsia"/>
                <w:lang w:val="zh-CN"/>
              </w:rPr>
              <w:t>万元</w:t>
            </w:r>
          </w:p>
          <w:p w14:paraId="4438FDD5">
            <w:pPr>
              <w:widowControl/>
              <w:jc w:val="both"/>
              <w:textAlignment w:val="center"/>
              <w:rPr>
                <w:rFonts w:hint="eastAsia" w:ascii="宋体" w:hAnsi="宋体" w:eastAsia="宋体" w:cs="宋体"/>
                <w:color w:val="000000"/>
                <w:sz w:val="24"/>
                <w:szCs w:val="24"/>
                <w:lang w:val="en-US" w:eastAsia="zh-CN"/>
              </w:rPr>
            </w:pPr>
          </w:p>
        </w:tc>
      </w:tr>
      <w:tr w14:paraId="18A9C60E">
        <w:tblPrEx>
          <w:tblCellMar>
            <w:top w:w="0" w:type="dxa"/>
            <w:left w:w="0" w:type="dxa"/>
            <w:bottom w:w="0" w:type="dxa"/>
            <w:right w:w="0" w:type="dxa"/>
          </w:tblCellMar>
        </w:tblPrEx>
        <w:trPr>
          <w:trHeight w:val="48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2858F6">
            <w:pPr>
              <w:widowControl/>
              <w:jc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362002">
            <w:pPr>
              <w:widowControl/>
              <w:jc w:val="center"/>
              <w:textAlignment w:val="center"/>
              <w:rPr>
                <w:rFonts w:ascii="宋体" w:hAnsi="宋体" w:cs="宋体"/>
                <w:color w:val="000000"/>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001457">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auto"/>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FC600C">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auto"/>
                <w:sz w:val="24"/>
                <w:lang w:eastAsia="zh-CN"/>
              </w:rPr>
              <w:t>完成时间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2B9F3C">
            <w:pPr>
              <w:jc w:val="center"/>
              <w:rPr>
                <w:rFonts w:hint="default" w:ascii="宋体" w:hAnsi="宋体" w:eastAsia="宋体" w:cs="宋体"/>
                <w:sz w:val="24"/>
                <w:szCs w:val="24"/>
                <w:lang w:val="en-US" w:eastAsia="zh-CN"/>
              </w:rPr>
            </w:pPr>
            <w:r>
              <w:rPr>
                <w:rFonts w:hint="eastAsia"/>
                <w:sz w:val="24"/>
                <w:szCs w:val="24"/>
                <w:lang w:val="en-US" w:eastAsia="zh-CN"/>
              </w:rPr>
              <w:t>2019年10月</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8FA143">
            <w:pPr>
              <w:jc w:val="center"/>
              <w:rPr>
                <w:rFonts w:hint="eastAsia" w:ascii="宋体" w:hAnsi="宋体" w:eastAsia="宋体" w:cs="宋体"/>
                <w:color w:val="000000"/>
                <w:sz w:val="24"/>
                <w:szCs w:val="24"/>
                <w:lang w:eastAsia="zh-CN"/>
              </w:rPr>
            </w:pPr>
            <w:r>
              <w:rPr>
                <w:rFonts w:hint="eastAsia"/>
                <w:sz w:val="24"/>
                <w:szCs w:val="24"/>
                <w:lang w:val="en-US" w:eastAsia="zh-CN"/>
              </w:rPr>
              <w:t>2019年11月</w:t>
            </w:r>
          </w:p>
        </w:tc>
      </w:tr>
      <w:tr w14:paraId="431B7F56">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C000FF">
            <w:pPr>
              <w:widowControl/>
              <w:jc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A82F45">
            <w:pPr>
              <w:widowControl/>
              <w:jc w:val="center"/>
              <w:textAlignment w:val="center"/>
              <w:rPr>
                <w:rFonts w:ascii="宋体" w:hAnsi="宋体" w:cs="宋体"/>
                <w:color w:val="000000"/>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33623C">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auto"/>
                <w:sz w:val="24"/>
                <w:lang w:eastAsia="zh-CN"/>
              </w:rPr>
              <w:t>预算指标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04383B">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auto"/>
                <w:sz w:val="24"/>
                <w:lang w:val="en-US" w:eastAsia="zh-CN"/>
              </w:rPr>
              <w:t>2019年</w:t>
            </w:r>
            <w:r>
              <w:rPr>
                <w:rFonts w:hint="eastAsia" w:ascii="宋体" w:hAnsi="宋体" w:cs="宋体"/>
                <w:color w:val="auto"/>
                <w:sz w:val="24"/>
                <w:lang w:eastAsia="zh-CN"/>
              </w:rPr>
              <w:t>项目资金</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80F84D">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auto"/>
                <w:sz w:val="24"/>
                <w:lang w:val="en-US" w:eastAsia="zh-CN"/>
              </w:rPr>
              <w:t>319.3万元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7BBCB0">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auto"/>
                <w:sz w:val="24"/>
                <w:lang w:val="en-US" w:eastAsia="zh-CN"/>
              </w:rPr>
              <w:t>267.82万元</w:t>
            </w:r>
          </w:p>
        </w:tc>
      </w:tr>
      <w:tr w14:paraId="431354C0">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8C4AE5">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7099CC">
            <w:pPr>
              <w:widowControl/>
              <w:jc w:val="center"/>
              <w:textAlignment w:val="center"/>
              <w:rPr>
                <w:rFonts w:ascii="宋体" w:hAnsi="宋体" w:cs="宋体"/>
                <w:color w:val="000000"/>
                <w:kern w:val="0"/>
                <w:sz w:val="24"/>
                <w:lang w:bidi="ar"/>
              </w:rPr>
            </w:pPr>
            <w:r>
              <w:rPr>
                <w:rFonts w:hint="eastAsia" w:ascii="宋体" w:hAnsi="宋体" w:cs="宋体"/>
                <w:color w:val="auto"/>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81709B">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auto"/>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08C3A8">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auto"/>
                <w:sz w:val="24"/>
                <w:lang w:eastAsia="zh-CN"/>
              </w:rPr>
              <w:t>服务对象满意度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FB70A5">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auto"/>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1DB059">
            <w:pPr>
              <w:widowControl/>
              <w:jc w:val="center"/>
              <w:textAlignment w:val="center"/>
              <w:rPr>
                <w:rFonts w:hint="eastAsia" w:ascii="宋体" w:hAnsi="宋体" w:eastAsia="宋体" w:cs="宋体"/>
                <w:color w:val="000000"/>
                <w:sz w:val="24"/>
                <w:szCs w:val="24"/>
                <w:lang w:val="en-US" w:eastAsia="zh-CN"/>
              </w:rPr>
            </w:pPr>
            <w:r>
              <w:rPr>
                <w:rFonts w:hint="eastAsia" w:ascii="宋体" w:hAnsi="宋体" w:cs="宋体"/>
                <w:color w:val="auto"/>
                <w:sz w:val="24"/>
                <w:lang w:val="en-US" w:eastAsia="zh-CN"/>
              </w:rPr>
              <w:t>95%</w:t>
            </w:r>
          </w:p>
        </w:tc>
      </w:tr>
    </w:tbl>
    <w:p w14:paraId="3206E2C1">
      <w:pPr>
        <w:pStyle w:val="13"/>
        <w:widowControl/>
        <w:spacing w:line="360" w:lineRule="auto"/>
        <w:jc w:val="both"/>
        <w:rPr>
          <w:rFonts w:hint="eastAsia" w:ascii="仿宋_GB2312" w:hAnsi="Times New Roman" w:eastAsia="仿宋_GB2312" w:cs="Times New Roman"/>
          <w:color w:val="000000"/>
          <w:kern w:val="2"/>
          <w:sz w:val="32"/>
          <w:szCs w:val="32"/>
          <w:lang w:val="en-US" w:eastAsia="zh-CN" w:bidi="ar-SA"/>
        </w:rPr>
      </w:pPr>
    </w:p>
    <w:p w14:paraId="0637EF35">
      <w:pPr>
        <w:widowControl/>
        <w:ind w:firstLine="643" w:firstLineChars="200"/>
        <w:jc w:val="left"/>
        <w:rPr>
          <w:rFonts w:ascii="仿宋_GB2312" w:eastAsia="仿宋_GB2312"/>
          <w:b/>
          <w:color w:val="000000" w:themeColor="text1"/>
          <w:sz w:val="32"/>
          <w:szCs w:val="32"/>
          <w14:textFill>
            <w14:solidFill>
              <w14:schemeClr w14:val="tx1"/>
            </w14:solidFill>
          </w14:textFill>
        </w:rPr>
      </w:pPr>
    </w:p>
    <w:p w14:paraId="05EB7BFB">
      <w:pPr>
        <w:pStyle w:val="2"/>
        <w:rPr>
          <w:rFonts w:ascii="仿宋_GB2312" w:eastAsia="仿宋_GB2312"/>
          <w:b/>
          <w:color w:val="000000" w:themeColor="text1"/>
          <w:sz w:val="32"/>
          <w:szCs w:val="32"/>
          <w14:textFill>
            <w14:solidFill>
              <w14:schemeClr w14:val="tx1"/>
            </w14:solidFill>
          </w14:textFill>
        </w:rPr>
      </w:pPr>
    </w:p>
    <w:p w14:paraId="2B1EE5FB">
      <w:pPr>
        <w:pStyle w:val="2"/>
        <w:rPr>
          <w:rFonts w:ascii="仿宋_GB2312" w:eastAsia="仿宋_GB2312"/>
          <w:b/>
          <w:color w:val="000000" w:themeColor="text1"/>
          <w:sz w:val="32"/>
          <w:szCs w:val="32"/>
          <w14:textFill>
            <w14:solidFill>
              <w14:schemeClr w14:val="tx1"/>
            </w14:solidFill>
          </w14:textFill>
        </w:rPr>
      </w:pPr>
    </w:p>
    <w:p w14:paraId="3E65EF34">
      <w:pPr>
        <w:pStyle w:val="2"/>
        <w:rPr>
          <w:rFonts w:ascii="仿宋_GB2312" w:eastAsia="仿宋_GB2312"/>
          <w:b/>
          <w:color w:val="000000" w:themeColor="text1"/>
          <w:sz w:val="32"/>
          <w:szCs w:val="32"/>
          <w14:textFill>
            <w14:solidFill>
              <w14:schemeClr w14:val="tx1"/>
            </w14:solidFill>
          </w14:textFill>
        </w:rPr>
      </w:pPr>
    </w:p>
    <w:p w14:paraId="2487FFA7">
      <w:pPr>
        <w:pStyle w:val="2"/>
        <w:rPr>
          <w:rFonts w:ascii="仿宋_GB2312" w:eastAsia="仿宋_GB2312"/>
          <w:b/>
          <w:color w:val="000000" w:themeColor="text1"/>
          <w:sz w:val="32"/>
          <w:szCs w:val="32"/>
          <w14:textFill>
            <w14:solidFill>
              <w14:schemeClr w14:val="tx1"/>
            </w14:solidFill>
          </w14:textFill>
        </w:rPr>
      </w:pPr>
    </w:p>
    <w:p w14:paraId="073D4777">
      <w:pPr>
        <w:pStyle w:val="2"/>
        <w:rPr>
          <w:rFonts w:ascii="仿宋_GB2312" w:eastAsia="仿宋_GB2312"/>
          <w:b/>
          <w:color w:val="000000" w:themeColor="text1"/>
          <w:sz w:val="32"/>
          <w:szCs w:val="32"/>
          <w14:textFill>
            <w14:solidFill>
              <w14:schemeClr w14:val="tx1"/>
            </w14:solidFill>
          </w14:textFill>
        </w:rPr>
      </w:pPr>
    </w:p>
    <w:p w14:paraId="5ADB9BF2">
      <w:pPr>
        <w:pStyle w:val="2"/>
        <w:rPr>
          <w:rFonts w:ascii="仿宋_GB2312" w:eastAsia="仿宋_GB2312"/>
          <w:b/>
          <w:color w:val="000000" w:themeColor="text1"/>
          <w:sz w:val="32"/>
          <w:szCs w:val="32"/>
          <w14:textFill>
            <w14:solidFill>
              <w14:schemeClr w14:val="tx1"/>
            </w14:solidFill>
          </w14:textFill>
        </w:rPr>
      </w:pPr>
    </w:p>
    <w:p w14:paraId="231CB39E">
      <w:pPr>
        <w:pStyle w:val="2"/>
        <w:rPr>
          <w:rFonts w:ascii="仿宋_GB2312" w:eastAsia="仿宋_GB2312"/>
          <w:b/>
          <w:color w:val="000000" w:themeColor="text1"/>
          <w:sz w:val="32"/>
          <w:szCs w:val="32"/>
          <w14:textFill>
            <w14:solidFill>
              <w14:schemeClr w14:val="tx1"/>
            </w14:solidFill>
          </w14:textFill>
        </w:rPr>
      </w:pPr>
    </w:p>
    <w:p w14:paraId="132BDD77">
      <w:pPr>
        <w:numPr>
          <w:ilvl w:val="0"/>
          <w:numId w:val="3"/>
        </w:numPr>
        <w:spacing w:line="600" w:lineRule="exact"/>
        <w:ind w:firstLine="660" w:firstLineChars="150"/>
        <w:jc w:val="center"/>
        <w:outlineLvl w:val="0"/>
        <w:rPr>
          <w:rStyle w:val="37"/>
          <w:rFonts w:ascii="黑体" w:hAnsi="黑体" w:eastAsia="黑体"/>
          <w:b w:val="0"/>
        </w:rPr>
      </w:pPr>
      <w:bookmarkStart w:id="51" w:name="_Toc15396613"/>
      <w:bookmarkStart w:id="52" w:name="_Toc15377225"/>
      <w:r>
        <w:rPr>
          <w:rFonts w:hint="eastAsia" w:ascii="黑体" w:hAnsi="黑体" w:eastAsia="黑体"/>
          <w:color w:val="000000"/>
          <w:sz w:val="44"/>
          <w:szCs w:val="44"/>
        </w:rPr>
        <w:t>名</w:t>
      </w:r>
      <w:r>
        <w:rPr>
          <w:rStyle w:val="37"/>
          <w:rFonts w:hint="eastAsia" w:ascii="黑体" w:hAnsi="黑体" w:eastAsia="黑体"/>
          <w:b w:val="0"/>
        </w:rPr>
        <w:t>词解释</w:t>
      </w:r>
      <w:bookmarkEnd w:id="51"/>
      <w:bookmarkEnd w:id="52"/>
    </w:p>
    <w:p w14:paraId="042D8F4C">
      <w:pPr>
        <w:spacing w:line="600" w:lineRule="exact"/>
        <w:jc w:val="left"/>
        <w:rPr>
          <w:rFonts w:ascii="宋体"/>
          <w:b/>
          <w:color w:val="000000"/>
          <w:sz w:val="44"/>
          <w:szCs w:val="44"/>
        </w:rPr>
      </w:pPr>
      <w:bookmarkStart w:id="53" w:name="_Toc15377226"/>
    </w:p>
    <w:p w14:paraId="4F4B4FC2">
      <w:pPr>
        <w:pStyle w:val="3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38BAFDC4">
      <w:pPr>
        <w:pStyle w:val="3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25E9B04E">
      <w:pPr>
        <w:pStyle w:val="3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、年末结转和结余：指单位按有关规定结转到下年或以后年度继续使用的资金。</w:t>
      </w:r>
    </w:p>
    <w:p w14:paraId="4FF0EC4A">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公共安全（类）</w:t>
      </w:r>
      <w:r>
        <w:rPr>
          <w:rFonts w:hint="eastAsia" w:ascii="仿宋_GB2312" w:eastAsia="仿宋_GB2312"/>
          <w:color w:val="000000"/>
          <w:sz w:val="32"/>
          <w:szCs w:val="32"/>
          <w:lang w:eastAsia="zh-CN"/>
        </w:rPr>
        <w:t>公安</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行政运行</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公安机关的基本支出</w:t>
      </w:r>
      <w:r>
        <w:rPr>
          <w:rFonts w:hint="eastAsia" w:ascii="仿宋_GB2312" w:eastAsia="仿宋_GB2312"/>
          <w:color w:val="000000"/>
          <w:sz w:val="32"/>
          <w:szCs w:val="32"/>
        </w:rPr>
        <w:t>。</w:t>
      </w:r>
    </w:p>
    <w:p w14:paraId="6001E3BA">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公共安全（类）</w:t>
      </w:r>
      <w:r>
        <w:rPr>
          <w:rFonts w:hint="eastAsia" w:ascii="仿宋_GB2312" w:eastAsia="仿宋_GB2312"/>
          <w:color w:val="000000"/>
          <w:sz w:val="32"/>
          <w:szCs w:val="32"/>
          <w:lang w:eastAsia="zh-CN"/>
        </w:rPr>
        <w:t>公安</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一般行政管理事务</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公安机关未单独设置项级科目的其他项目支出</w:t>
      </w:r>
      <w:r>
        <w:rPr>
          <w:rFonts w:hint="eastAsia" w:ascii="仿宋_GB2312" w:eastAsia="仿宋_GB2312"/>
          <w:color w:val="000000"/>
          <w:sz w:val="32"/>
          <w:szCs w:val="32"/>
        </w:rPr>
        <w:t>。</w:t>
      </w:r>
    </w:p>
    <w:p w14:paraId="68FDC848">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公共安全（类）</w:t>
      </w:r>
      <w:r>
        <w:rPr>
          <w:rFonts w:hint="eastAsia" w:ascii="仿宋_GB2312" w:eastAsia="仿宋_GB2312"/>
          <w:color w:val="000000"/>
          <w:sz w:val="32"/>
          <w:szCs w:val="32"/>
          <w:lang w:eastAsia="zh-CN"/>
        </w:rPr>
        <w:t>公安</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执法办案</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公安机关从事行政执法、刑事司法及侦查办案等相关活动的支出</w:t>
      </w:r>
      <w:r>
        <w:rPr>
          <w:rFonts w:hint="eastAsia" w:ascii="仿宋_GB2312" w:eastAsia="仿宋_GB2312"/>
          <w:color w:val="000000"/>
          <w:sz w:val="32"/>
          <w:szCs w:val="32"/>
        </w:rPr>
        <w:t>。</w:t>
      </w:r>
    </w:p>
    <w:p w14:paraId="08D1FFC8">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归口管理的单位离退休</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实行归口管理管理的行政单位开支的离退休经费</w:t>
      </w:r>
      <w:r>
        <w:rPr>
          <w:rFonts w:hint="eastAsia" w:ascii="仿宋_GB2312" w:eastAsia="仿宋_GB2312"/>
          <w:color w:val="000000"/>
          <w:sz w:val="32"/>
          <w:szCs w:val="32"/>
        </w:rPr>
        <w:t>。</w:t>
      </w:r>
    </w:p>
    <w:p w14:paraId="38B01218">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行政事业单位基本养老保险缴费</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机关事业单位实施养老保险制度由单位缴纳的基本养老保险费支出</w:t>
      </w:r>
      <w:r>
        <w:rPr>
          <w:rFonts w:hint="eastAsia" w:ascii="仿宋_GB2312" w:eastAsia="仿宋_GB2312"/>
          <w:color w:val="000000"/>
          <w:sz w:val="32"/>
          <w:szCs w:val="32"/>
        </w:rPr>
        <w:t>。</w:t>
      </w:r>
    </w:p>
    <w:p w14:paraId="1554B75D">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行政单位医疗</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财政部门安排的行政单位基本医疗保险缴费经费，未参加医疗保险的行政单位的公费医疗经费，按国家规定享受离休人员、红军老战士待遇人员的医疗经费</w:t>
      </w:r>
      <w:r>
        <w:rPr>
          <w:rFonts w:hint="eastAsia" w:ascii="仿宋_GB2312" w:eastAsia="仿宋_GB2312"/>
          <w:color w:val="000000"/>
          <w:sz w:val="32"/>
          <w:szCs w:val="32"/>
        </w:rPr>
        <w:t>。</w:t>
      </w:r>
    </w:p>
    <w:p w14:paraId="6106CB7B">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住房保障（类）</w:t>
      </w:r>
      <w:r>
        <w:rPr>
          <w:rFonts w:hint="eastAsia" w:ascii="仿宋_GB2312" w:eastAsia="仿宋_GB2312"/>
          <w:color w:val="000000"/>
          <w:sz w:val="32"/>
          <w:szCs w:val="32"/>
          <w:lang w:eastAsia="zh-CN"/>
        </w:rPr>
        <w:t>住房改革支出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住房公积金</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14:paraId="045E5F43">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2228662B">
      <w:pPr>
        <w:pStyle w:val="3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DC1C759">
      <w:pPr>
        <w:pStyle w:val="3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5F07DBF">
      <w:pPr>
        <w:pStyle w:val="35"/>
        <w:spacing w:line="560" w:lineRule="exact"/>
        <w:ind w:firstLine="640" w:firstLineChars="200"/>
        <w:rPr>
          <w:rFonts w:ascii="仿宋_GB2312" w:eastAsia="仿宋_GB2312" w:cs="黑体"/>
          <w:sz w:val="32"/>
          <w:szCs w:val="32"/>
        </w:rPr>
      </w:pPr>
    </w:p>
    <w:p w14:paraId="00E2847A">
      <w:pPr>
        <w:pStyle w:val="35"/>
        <w:pageBreakBefore w:val="0"/>
        <w:kinsoku/>
        <w:wordWrap/>
        <w:overflowPunct/>
        <w:topLinePunct w:val="0"/>
        <w:bidi w:val="0"/>
        <w:snapToGrid/>
        <w:spacing w:line="576" w:lineRule="exact"/>
        <w:textAlignment w:val="auto"/>
        <w:rPr>
          <w:rStyle w:val="37"/>
          <w:rFonts w:ascii="黑体" w:hAnsi="黑体" w:eastAsia="黑体"/>
          <w:b w:val="0"/>
        </w:rPr>
      </w:pPr>
      <w:r>
        <w:rPr>
          <w:rFonts w:ascii="宋体"/>
          <w:b/>
          <w:color w:val="000000"/>
          <w:sz w:val="44"/>
          <w:szCs w:val="44"/>
        </w:rPr>
        <w:br w:type="page"/>
      </w:r>
      <w:bookmarkEnd w:id="53"/>
      <w:bookmarkStart w:id="54" w:name="_Toc15396614"/>
      <w:r>
        <w:rPr>
          <w:rFonts w:hint="eastAsia" w:ascii="黑体" w:hAnsi="黑体" w:eastAsia="黑体"/>
          <w:color w:val="000000"/>
          <w:sz w:val="44"/>
          <w:szCs w:val="44"/>
        </w:rPr>
        <w:t>第</w:t>
      </w:r>
      <w:r>
        <w:rPr>
          <w:rStyle w:val="37"/>
          <w:rFonts w:hint="eastAsia" w:ascii="黑体" w:hAnsi="黑体" w:eastAsia="黑体"/>
          <w:b w:val="0"/>
        </w:rPr>
        <w:t>四部分 附件</w:t>
      </w:r>
      <w:bookmarkEnd w:id="54"/>
    </w:p>
    <w:p w14:paraId="55F10676">
      <w:pPr>
        <w:pageBreakBefore w:val="0"/>
        <w:kinsoku/>
        <w:wordWrap/>
        <w:overflowPunct/>
        <w:topLinePunct w:val="0"/>
        <w:bidi w:val="0"/>
        <w:snapToGrid/>
        <w:spacing w:line="576" w:lineRule="exact"/>
        <w:jc w:val="center"/>
        <w:textAlignment w:val="auto"/>
        <w:outlineLvl w:val="0"/>
        <w:rPr>
          <w:rStyle w:val="37"/>
        </w:rPr>
      </w:pPr>
    </w:p>
    <w:p w14:paraId="4DB98E35">
      <w:pPr>
        <w:pStyle w:val="4"/>
        <w:pageBreakBefore w:val="0"/>
        <w:kinsoku/>
        <w:wordWrap/>
        <w:overflowPunct/>
        <w:topLinePunct w:val="0"/>
        <w:bidi w:val="0"/>
        <w:snapToGrid/>
        <w:spacing w:line="576" w:lineRule="exact"/>
        <w:textAlignment w:val="auto"/>
        <w:rPr>
          <w:rStyle w:val="37"/>
          <w:rFonts w:hint="eastAsia" w:ascii="仿宋" w:hAnsi="仿宋" w:eastAsia="仿宋"/>
          <w:b w:val="0"/>
          <w:bCs w:val="0"/>
          <w:sz w:val="32"/>
          <w:szCs w:val="32"/>
        </w:rPr>
      </w:pPr>
      <w:bookmarkStart w:id="55" w:name="_Toc15396615"/>
      <w:r>
        <w:rPr>
          <w:rStyle w:val="37"/>
          <w:rFonts w:hint="eastAsia" w:ascii="仿宋" w:hAnsi="仿宋" w:eastAsia="仿宋"/>
          <w:b w:val="0"/>
          <w:bCs w:val="0"/>
          <w:sz w:val="32"/>
          <w:szCs w:val="32"/>
        </w:rPr>
        <w:t>附件1</w:t>
      </w:r>
      <w:bookmarkEnd w:id="55"/>
      <w:bookmarkStart w:id="56" w:name="_Toc15396616"/>
    </w:p>
    <w:p w14:paraId="0033EEBA">
      <w:pPr>
        <w:pStyle w:val="4"/>
        <w:pageBreakBefore w:val="0"/>
        <w:kinsoku/>
        <w:wordWrap/>
        <w:overflowPunct/>
        <w:topLinePunct w:val="0"/>
        <w:bidi w:val="0"/>
        <w:snapToGrid/>
        <w:spacing w:line="576" w:lineRule="exact"/>
        <w:jc w:val="center"/>
        <w:textAlignment w:val="auto"/>
        <w:rPr>
          <w:rFonts w:ascii="黑体" w:hAnsi="黑体" w:eastAsia="黑体" w:cs="方正小标宋简体"/>
          <w:b w:val="0"/>
          <w:bCs w:val="0"/>
          <w:sz w:val="44"/>
          <w:szCs w:val="44"/>
        </w:rPr>
      </w:pPr>
      <w:r>
        <w:rPr>
          <w:rFonts w:hint="eastAsia" w:ascii="黑体" w:hAnsi="黑体" w:eastAsia="黑体" w:cs="方正小标宋简体"/>
          <w:b w:val="0"/>
          <w:bCs w:val="0"/>
          <w:sz w:val="44"/>
          <w:szCs w:val="44"/>
          <w:lang w:eastAsia="zh-CN"/>
        </w:rPr>
        <w:t>团区委</w:t>
      </w:r>
      <w:r>
        <w:rPr>
          <w:rFonts w:hint="eastAsia" w:ascii="黑体" w:hAnsi="黑体" w:eastAsia="黑体" w:cs="方正小标宋简体"/>
          <w:b w:val="0"/>
          <w:bCs w:val="0"/>
          <w:sz w:val="44"/>
          <w:szCs w:val="44"/>
        </w:rPr>
        <w:t>201</w:t>
      </w:r>
      <w:r>
        <w:rPr>
          <w:rFonts w:hint="eastAsia" w:ascii="黑体" w:hAnsi="黑体" w:eastAsia="黑体" w:cs="方正小标宋简体"/>
          <w:b w:val="0"/>
          <w:bCs w:val="0"/>
          <w:sz w:val="44"/>
          <w:szCs w:val="44"/>
          <w:lang w:val="en-US" w:eastAsia="zh-CN"/>
        </w:rPr>
        <w:t>9</w:t>
      </w:r>
      <w:r>
        <w:rPr>
          <w:rFonts w:hint="eastAsia" w:ascii="黑体" w:hAnsi="黑体" w:eastAsia="黑体" w:cs="方正小标宋简体"/>
          <w:b w:val="0"/>
          <w:bCs w:val="0"/>
          <w:sz w:val="44"/>
          <w:szCs w:val="44"/>
        </w:rPr>
        <w:t>年部门整体支出绩效评价报告</w:t>
      </w:r>
      <w:bookmarkEnd w:id="56"/>
    </w:p>
    <w:p w14:paraId="49013228">
      <w:pPr>
        <w:pageBreakBefore w:val="0"/>
        <w:kinsoku/>
        <w:wordWrap/>
        <w:overflowPunct/>
        <w:topLinePunct w:val="0"/>
        <w:bidi w:val="0"/>
        <w:snapToGrid/>
        <w:spacing w:line="576" w:lineRule="exact"/>
        <w:ind w:firstLine="640" w:firstLineChars="200"/>
        <w:textAlignment w:val="auto"/>
        <w:rPr>
          <w:rFonts w:ascii="黑体" w:hAnsi="黑体" w:eastAsia="黑体" w:cs="黑体"/>
          <w:sz w:val="32"/>
          <w:szCs w:val="32"/>
        </w:rPr>
      </w:pPr>
    </w:p>
    <w:p w14:paraId="089373B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一、部门（单位）概况</w:t>
      </w:r>
    </w:p>
    <w:p w14:paraId="6A82D93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（一）机构组成</w:t>
      </w:r>
    </w:p>
    <w:p w14:paraId="1FEB794C">
      <w:pPr>
        <w:pStyle w:val="2"/>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color w:val="auto"/>
          <w:sz w:val="32"/>
          <w:szCs w:val="32"/>
        </w:rPr>
      </w:pPr>
      <w:r>
        <w:rPr>
          <w:rFonts w:hint="eastAsia" w:hAnsi="仿宋_GB2312" w:cs="仿宋_GB2312"/>
          <w:color w:val="auto"/>
          <w:sz w:val="32"/>
          <w:szCs w:val="32"/>
          <w:lang w:val="en-US" w:eastAsia="zh-CN"/>
        </w:rPr>
        <w:t>团区委</w:t>
      </w:r>
      <w:r>
        <w:rPr>
          <w:rFonts w:hint="eastAsia" w:ascii="仿宋_GB2312" w:hAnsi="仿宋_GB2312" w:eastAsia="仿宋_GB2312" w:cs="仿宋_GB2312"/>
          <w:color w:val="auto"/>
          <w:sz w:val="32"/>
          <w:szCs w:val="32"/>
          <w:lang w:val="en-US" w:eastAsia="zh-CN"/>
        </w:rPr>
        <w:t>属独立的财务一级预算党群部门。</w:t>
      </w:r>
    </w:p>
    <w:p w14:paraId="699FFB43">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机构职能</w:t>
      </w:r>
    </w:p>
    <w:p w14:paraId="6BDAC0DA">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color w:val="auto"/>
        </w:rPr>
      </w:pPr>
      <w:r>
        <w:rPr>
          <w:rFonts w:hint="eastAsia" w:eastAsia="仿宋_GB2312"/>
          <w:color w:val="auto"/>
          <w:sz w:val="32"/>
          <w:szCs w:val="32"/>
        </w:rPr>
        <w:t>团区委负责制定全区团的建设规划，分类指导区直机关、农村以及企事业单位团的思想、组织、作风建设和团员的教育管理工作；负责加强团的领导班子、领导干部的思想政治作风建设；指导各级团组织抓好团员和青年的理论学习、党的路线、方针、政策以及科学文化、专业知识和法律知识的学习；指导各级团组织配合行政领导做好思想政治工作的统战工作；指导各级团组织发扬“全团带队”的传统，做好少先队工作和希望工程工作；完成区委和上级主管部门交办的其他工作。</w:t>
      </w:r>
    </w:p>
    <w:p w14:paraId="6351C441">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0" w:leftChars="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人员概况</w:t>
      </w:r>
    </w:p>
    <w:p w14:paraId="6D92886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有行政编制2名，其中：书记1名，副书记1名；2016年经区委批准设立公益一类事业单位“广元市昭化区青少年服务中心”，核定事业编制2名，设主任1名。</w:t>
      </w:r>
    </w:p>
    <w:p w14:paraId="250C123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color w:val="auto"/>
        </w:rPr>
      </w:pPr>
      <w:r>
        <w:rPr>
          <w:rFonts w:hint="eastAsia" w:ascii="仿宋_GB2312" w:hAnsi="仿宋_GB2312" w:eastAsia="仿宋_GB2312" w:cs="仿宋_GB2312"/>
          <w:sz w:val="32"/>
          <w:szCs w:val="32"/>
          <w:lang w:val="en-US" w:eastAsia="zh-CN"/>
        </w:rPr>
        <w:t>2018年，团区委</w:t>
      </w:r>
      <w:r>
        <w:rPr>
          <w:rFonts w:hint="eastAsia" w:ascii="仿宋_GB2312" w:hAnsi="仿宋_GB2312" w:eastAsia="仿宋_GB2312" w:cs="仿宋_GB2312"/>
          <w:sz w:val="32"/>
          <w:szCs w:val="32"/>
        </w:rPr>
        <w:t>实际在职4人，2人占用行政机关编制，2人</w:t>
      </w:r>
      <w:r>
        <w:rPr>
          <w:rFonts w:hint="eastAsia" w:ascii="仿宋_GB2312" w:hAnsi="仿宋_GB2312" w:eastAsia="仿宋_GB2312" w:cs="仿宋_GB2312"/>
          <w:color w:val="auto"/>
          <w:sz w:val="32"/>
          <w:szCs w:val="32"/>
        </w:rPr>
        <w:t>占用事业编制。</w:t>
      </w:r>
    </w:p>
    <w:p w14:paraId="2DCEDE9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color w:val="auto"/>
          <w:sz w:val="32"/>
          <w:szCs w:val="32"/>
        </w:rPr>
      </w:pPr>
      <w:r>
        <w:rPr>
          <w:rFonts w:ascii="黑体" w:hAnsi="黑体" w:eastAsia="黑体" w:cs="黑体"/>
          <w:color w:val="auto"/>
          <w:sz w:val="32"/>
          <w:szCs w:val="32"/>
        </w:rPr>
        <w:t>二、部门财政资金收支情况</w:t>
      </w:r>
    </w:p>
    <w:p w14:paraId="654AD3C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rPr>
        <w:t>（一）部门财政资金收入情况</w:t>
      </w:r>
    </w:p>
    <w:p w14:paraId="7527F0F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年本年收入合计</w:t>
      </w:r>
      <w:r>
        <w:rPr>
          <w:rFonts w:hint="eastAsia" w:ascii="仿宋_GB2312" w:hAnsi="仿宋_GB2312" w:eastAsia="仿宋_GB2312" w:cs="仿宋_GB2312"/>
          <w:color w:val="000000"/>
          <w:sz w:val="32"/>
          <w:szCs w:val="32"/>
          <w:lang w:val="en-US" w:eastAsia="zh-CN"/>
        </w:rPr>
        <w:t>397.05</w:t>
      </w:r>
      <w:r>
        <w:rPr>
          <w:rFonts w:hint="eastAsia" w:ascii="仿宋_GB2312" w:hAnsi="仿宋_GB2312" w:eastAsia="仿宋_GB2312" w:cs="仿宋_GB2312"/>
          <w:color w:val="000000"/>
          <w:sz w:val="32"/>
          <w:szCs w:val="32"/>
        </w:rPr>
        <w:t>万元，其中：一般公共预算财政拨款收入</w:t>
      </w:r>
      <w:r>
        <w:rPr>
          <w:rFonts w:hint="eastAsia" w:ascii="仿宋_GB2312" w:hAnsi="仿宋_GB2312" w:eastAsia="仿宋_GB2312" w:cs="仿宋_GB2312"/>
          <w:color w:val="000000"/>
          <w:sz w:val="32"/>
          <w:szCs w:val="32"/>
          <w:lang w:val="en-US" w:eastAsia="zh-CN"/>
        </w:rPr>
        <w:t>397.05</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%；政府性基金预算财政拨款收入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%；国有资本经营预算财政拨款收入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%；事业收入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%；经营收入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%；附属单位上缴收入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%；其他收入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14:paraId="1EA56580">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部门财政资金支出情况</w:t>
      </w:r>
    </w:p>
    <w:p w14:paraId="4E72918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年本年支出合计</w:t>
      </w:r>
      <w:r>
        <w:rPr>
          <w:rFonts w:hint="eastAsia" w:ascii="仿宋_GB2312" w:hAnsi="仿宋_GB2312" w:eastAsia="仿宋_GB2312" w:cs="仿宋_GB2312"/>
          <w:color w:val="000000"/>
          <w:sz w:val="32"/>
          <w:szCs w:val="32"/>
          <w:lang w:val="en-US" w:eastAsia="zh-CN"/>
        </w:rPr>
        <w:t>397.05</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397.05</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%；上缴上级支出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%；经营支出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%；对附属单位补助支出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14:paraId="57B7FDA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14:paraId="6F91CBE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（一）部门预算管理</w:t>
      </w:r>
    </w:p>
    <w:p w14:paraId="750856A0">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部门预算编制情况。我</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严格按照规定编制收入预算、支出预算（含基本支出、项目支出）、三公经费预算等。编制准确，正确使用功能科目和经济科目、准确编列资金性质和资金级次、按政府审定的方案规范编制项目支出，不漏报、错报，及时报送区财政局。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年，预算收入</w:t>
      </w:r>
      <w:r>
        <w:rPr>
          <w:rFonts w:hint="eastAsia" w:ascii="仿宋_GB2312" w:hAnsi="仿宋_GB2312" w:eastAsia="仿宋_GB2312" w:cs="仿宋_GB2312"/>
          <w:color w:val="000000"/>
          <w:sz w:val="32"/>
          <w:szCs w:val="32"/>
          <w:lang w:val="en-US" w:eastAsia="zh-CN"/>
        </w:rPr>
        <w:t>397.05</w:t>
      </w:r>
      <w:r>
        <w:rPr>
          <w:rFonts w:hint="eastAsia" w:ascii="仿宋_GB2312" w:hAnsi="仿宋_GB2312" w:eastAsia="仿宋_GB2312" w:cs="仿宋_GB2312"/>
          <w:color w:val="000000"/>
          <w:sz w:val="32"/>
          <w:szCs w:val="32"/>
        </w:rPr>
        <w:t>万元,其中：公共预算基本支出</w:t>
      </w:r>
      <w:r>
        <w:rPr>
          <w:rFonts w:hint="eastAsia" w:ascii="仿宋_GB2312" w:hAnsi="仿宋_GB2312" w:eastAsia="仿宋_GB2312" w:cs="仿宋_GB2312"/>
          <w:color w:val="000000"/>
          <w:sz w:val="32"/>
          <w:szCs w:val="32"/>
          <w:lang w:val="en-US" w:eastAsia="zh-CN"/>
        </w:rPr>
        <w:t>397.05</w:t>
      </w:r>
      <w:r>
        <w:rPr>
          <w:rFonts w:hint="eastAsia" w:ascii="仿宋_GB2312" w:hAnsi="仿宋_GB2312" w:eastAsia="仿宋_GB2312" w:cs="仿宋_GB2312"/>
          <w:color w:val="000000"/>
          <w:sz w:val="32"/>
          <w:szCs w:val="32"/>
        </w:rPr>
        <w:t>万元、项目支出</w:t>
      </w:r>
      <w:r>
        <w:rPr>
          <w:rFonts w:hint="eastAsia" w:ascii="仿宋_GB2312" w:hAnsi="仿宋_GB2312" w:eastAsia="仿宋_GB2312" w:cs="仿宋_GB2312"/>
          <w:color w:val="000000"/>
          <w:sz w:val="32"/>
          <w:szCs w:val="32"/>
          <w:lang w:val="en-US" w:eastAsia="zh-CN"/>
        </w:rPr>
        <w:t>0万元</w:t>
      </w:r>
      <w:r>
        <w:rPr>
          <w:rFonts w:hint="eastAsia" w:ascii="仿宋_GB2312" w:hAnsi="仿宋_GB2312" w:eastAsia="仿宋_GB2312" w:cs="仿宋_GB2312"/>
          <w:color w:val="000000"/>
          <w:sz w:val="32"/>
          <w:szCs w:val="32"/>
        </w:rPr>
        <w:t xml:space="preserve">。 </w:t>
      </w:r>
    </w:p>
    <w:p w14:paraId="019A01A1">
      <w:pPr>
        <w:keepNext w:val="0"/>
        <w:keepLines w:val="0"/>
        <w:pageBreakBefore w:val="0"/>
        <w:widowControl w:val="0"/>
        <w:kinsoku/>
        <w:wordWrap/>
        <w:overflowPunct/>
        <w:topLinePunct w:val="0"/>
        <w:autoSpaceDE/>
        <w:autoSpaceDN/>
        <w:bidi w:val="0"/>
        <w:adjustRightInd/>
        <w:snapToGrid/>
        <w:spacing w:line="576" w:lineRule="exact"/>
        <w:ind w:left="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预算执行情况。一是规章制度建立健全，制度执行严格合规，会计核算符合相关规定。二是严格按照有关规定，加强对财政对财政各项资金的监督管理，确保资金及时、足额到位，专款专用，资金支付依据和开支标准合法合规，未出现截留和挤占挪作他用的现象。三是严格执行财政集中支付制度，按规定使用公务卡，严格控制现金支付方式。四是按时上交账户年检表。五是按规定对财政拨付的专项资金进行自检自查，做好资金的项目和资金使用效益工作，充分发挥各项资金的使用效益，财政各项专项工作按时高质量的完成。</w:t>
      </w:r>
    </w:p>
    <w:p w14:paraId="3853C03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（二）专项预算管理</w:t>
      </w:r>
    </w:p>
    <w:p w14:paraId="6D5DCDA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按照经费管理制度，加强对</w:t>
      </w:r>
      <w:r>
        <w:rPr>
          <w:rFonts w:hint="eastAsia" w:ascii="仿宋_GB2312" w:hAnsi="仿宋_GB2312" w:eastAsia="仿宋_GB2312" w:cs="仿宋_GB2312"/>
          <w:sz w:val="32"/>
          <w:szCs w:val="32"/>
          <w:lang w:val="en-US" w:eastAsia="zh-CN"/>
        </w:rPr>
        <w:t>团区委</w:t>
      </w:r>
      <w:r>
        <w:rPr>
          <w:rFonts w:hint="eastAsia" w:ascii="仿宋_GB2312" w:hAnsi="仿宋_GB2312" w:eastAsia="仿宋_GB2312" w:cs="仿宋_GB2312"/>
          <w:sz w:val="32"/>
          <w:szCs w:val="32"/>
        </w:rPr>
        <w:t>预算执行管理，及时跟进各项目资金使用情况，</w:t>
      </w:r>
      <w:r>
        <w:rPr>
          <w:rFonts w:hint="eastAsia" w:ascii="仿宋_GB2312" w:hAnsi="仿宋_GB2312" w:eastAsia="仿宋_GB2312" w:cs="仿宋_GB2312"/>
          <w:sz w:val="32"/>
          <w:szCs w:val="32"/>
          <w:lang w:val="en-US" w:eastAsia="zh-CN"/>
        </w:rPr>
        <w:t>建立项目专项资金台账</w:t>
      </w:r>
      <w:r>
        <w:rPr>
          <w:rFonts w:hint="eastAsia" w:ascii="仿宋_GB2312" w:hAnsi="仿宋_GB2312" w:eastAsia="仿宋_GB2312" w:cs="仿宋_GB2312"/>
          <w:sz w:val="32"/>
          <w:szCs w:val="32"/>
        </w:rPr>
        <w:t>。对于执行进度缓慢或无法执行的项目预算按规定程序及时进行调整。完善项目资金使用审批手续，坚持先审批，后使用，确保专项资金专款专用。</w:t>
      </w:r>
    </w:p>
    <w:p w14:paraId="0D8248B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（三）结果应用情况</w:t>
      </w:r>
    </w:p>
    <w:p w14:paraId="0A8A9EC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评价结果作为年终部门评优依据。</w:t>
      </w:r>
    </w:p>
    <w:p w14:paraId="300C2E7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ascii="黑体" w:hAnsi="黑体" w:eastAsia="黑体" w:cs="黑体"/>
          <w:sz w:val="32"/>
          <w:szCs w:val="32"/>
        </w:rPr>
        <w:t>四、评价结论及建议</w:t>
      </w:r>
    </w:p>
    <w:p w14:paraId="5E901A1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（一）评价结论</w:t>
      </w:r>
    </w:p>
    <w:p w14:paraId="3BB0DF1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本部门基本完成了</w:t>
      </w:r>
      <w:r>
        <w:rPr>
          <w:rFonts w:hint="eastAsia" w:ascii="仿宋_GB2312" w:hAnsi="仿宋_GB2312" w:eastAsia="仿宋_GB2312" w:cs="仿宋_GB2312"/>
          <w:sz w:val="32"/>
          <w:szCs w:val="32"/>
          <w:lang w:val="en-US" w:eastAsia="zh-CN"/>
        </w:rPr>
        <w:t>2019年目标管理任务；</w:t>
      </w:r>
    </w:p>
    <w:p w14:paraId="533BAC0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rPr>
        <w:t>（二）存在问题</w:t>
      </w:r>
    </w:p>
    <w:p w14:paraId="3FCEA71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1、公务卡使用不达标；</w:t>
      </w:r>
    </w:p>
    <w:p w14:paraId="542BE5B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2、财务内部管理不完善。</w:t>
      </w:r>
    </w:p>
    <w:p w14:paraId="2D994D4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改进建议</w:t>
      </w:r>
    </w:p>
    <w:p w14:paraId="14DDF5F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1、加强公务卡的使用，能够使用公务卡支付的尽量使用公务卡支付；</w:t>
      </w:r>
    </w:p>
    <w:p w14:paraId="117B18B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2、进一步完善单位财务管理制度，并做到严格执行。</w:t>
      </w:r>
    </w:p>
    <w:p w14:paraId="7F453EB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79E2BE3D">
      <w:pPr>
        <w:pStyle w:val="4"/>
        <w:pageBreakBefore w:val="0"/>
        <w:kinsoku/>
        <w:wordWrap/>
        <w:overflowPunct/>
        <w:topLinePunct w:val="0"/>
        <w:bidi w:val="0"/>
        <w:spacing w:line="576" w:lineRule="exact"/>
        <w:rPr>
          <w:rStyle w:val="37"/>
          <w:rFonts w:ascii="仿宋" w:hAnsi="仿宋" w:eastAsia="仿宋"/>
          <w:b w:val="0"/>
          <w:bCs w:val="0"/>
          <w:sz w:val="32"/>
          <w:szCs w:val="32"/>
        </w:rPr>
      </w:pPr>
      <w:bookmarkStart w:id="57" w:name="_Toc15396617"/>
      <w:r>
        <w:rPr>
          <w:rStyle w:val="37"/>
          <w:rFonts w:hint="eastAsia" w:ascii="仿宋" w:hAnsi="仿宋" w:eastAsia="仿宋"/>
          <w:b w:val="0"/>
          <w:bCs w:val="0"/>
          <w:sz w:val="32"/>
          <w:szCs w:val="32"/>
        </w:rPr>
        <w:t>附件2</w:t>
      </w:r>
      <w:bookmarkEnd w:id="57"/>
    </w:p>
    <w:p w14:paraId="0E161642">
      <w:pPr>
        <w:pageBreakBefore w:val="0"/>
        <w:kinsoku/>
        <w:wordWrap/>
        <w:overflowPunct/>
        <w:topLinePunct w:val="0"/>
        <w:bidi w:val="0"/>
        <w:spacing w:line="576"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w:t>
      </w:r>
      <w:r>
        <w:rPr>
          <w:rFonts w:hint="eastAsia" w:ascii="黑体" w:hAnsi="黑体" w:eastAsia="黑体" w:cs="方正小标宋简体"/>
          <w:sz w:val="44"/>
          <w:szCs w:val="44"/>
          <w:lang w:eastAsia="zh-CN"/>
        </w:rPr>
        <w:t>团区委</w:t>
      </w:r>
      <w:r>
        <w:rPr>
          <w:rFonts w:hint="eastAsia" w:ascii="黑体" w:hAnsi="黑体" w:eastAsia="黑体" w:cs="方正小标宋简体"/>
          <w:sz w:val="44"/>
          <w:szCs w:val="44"/>
        </w:rPr>
        <w:t>项目支出绩效评价报告</w:t>
      </w:r>
    </w:p>
    <w:p w14:paraId="62BE0B11">
      <w:pPr>
        <w:pageBreakBefore w:val="0"/>
        <w:kinsoku/>
        <w:wordWrap/>
        <w:overflowPunct/>
        <w:topLinePunct w:val="0"/>
        <w:bidi w:val="0"/>
        <w:spacing w:line="576" w:lineRule="exact"/>
        <w:ind w:firstLine="640" w:firstLineChars="200"/>
        <w:rPr>
          <w:rFonts w:ascii="仿宋_GB2312" w:hAnsi="仿宋_GB2312" w:eastAsia="仿宋_GB2312" w:cs="仿宋_GB2312"/>
          <w:sz w:val="32"/>
          <w:szCs w:val="32"/>
        </w:rPr>
      </w:pPr>
    </w:p>
    <w:p w14:paraId="36A1703C">
      <w:pPr>
        <w:pageBreakBefore w:val="0"/>
        <w:kinsoku/>
        <w:wordWrap/>
        <w:overflowPunct/>
        <w:topLinePunct w:val="0"/>
        <w:bidi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一、评价工作开展及项目情况</w:t>
      </w:r>
    </w:p>
    <w:p w14:paraId="318C5C65">
      <w:pPr>
        <w:adjustRightInd w:val="0"/>
        <w:snapToGrid w:val="0"/>
        <w:spacing w:line="56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团区委</w:t>
      </w:r>
      <w:r>
        <w:rPr>
          <w:rFonts w:hint="eastAsia" w:ascii="仿宋_GB2312" w:hAnsi="仿宋_GB2312" w:eastAsia="仿宋_GB2312" w:cs="仿宋_GB2312"/>
          <w:sz w:val="32"/>
          <w:szCs w:val="32"/>
        </w:rPr>
        <w:t>以政府购买服务与市场运营相结合的形式</w:t>
      </w:r>
      <w:r>
        <w:rPr>
          <w:rFonts w:hint="eastAsia" w:ascii="仿宋_GB2312" w:hAnsi="仿宋_GB2312" w:eastAsia="仿宋_GB2312" w:cs="仿宋_GB2312"/>
          <w:sz w:val="32"/>
          <w:szCs w:val="32"/>
          <w:lang w:eastAsia="zh-CN"/>
        </w:rPr>
        <w:t>，扎实推进</w:t>
      </w:r>
      <w:r>
        <w:rPr>
          <w:rFonts w:hint="eastAsia" w:ascii="仿宋_GB2312" w:hAnsi="仿宋_GB2312" w:eastAsia="仿宋_GB2312" w:cs="仿宋_GB2312"/>
          <w:sz w:val="32"/>
          <w:szCs w:val="32"/>
        </w:rPr>
        <w:t>龙泉·昭化东西部扶贫协作农村电商扶贫项目</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重点开展“人才培养</w:t>
      </w:r>
      <w:r>
        <w:rPr>
          <w:rFonts w:hint="eastAsia" w:ascii="仿宋_GB2312" w:hAnsi="仿宋_GB2312" w:eastAsia="仿宋_GB2312" w:cs="仿宋_GB2312"/>
          <w:sz w:val="32"/>
          <w:szCs w:val="32"/>
          <w:lang w:eastAsia="zh-CN"/>
        </w:rPr>
        <w:t>孵化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微商村</w:t>
      </w:r>
      <w:r>
        <w:rPr>
          <w:rFonts w:hint="eastAsia" w:ascii="仿宋_GB2312" w:hAnsi="仿宋_GB2312" w:eastAsia="仿宋_GB2312" w:cs="仿宋_GB2312"/>
          <w:sz w:val="32"/>
          <w:szCs w:val="32"/>
        </w:rPr>
        <w:t>试点打造、</w:t>
      </w:r>
      <w:r>
        <w:rPr>
          <w:rFonts w:hint="eastAsia" w:ascii="仿宋_GB2312" w:hAnsi="仿宋_GB2312" w:eastAsia="仿宋_GB2312" w:cs="仿宋_GB2312"/>
          <w:sz w:val="32"/>
          <w:szCs w:val="32"/>
          <w:lang w:eastAsia="zh-CN"/>
        </w:rPr>
        <w:t>农特产</w:t>
      </w:r>
      <w:r>
        <w:rPr>
          <w:rFonts w:hint="eastAsia" w:ascii="仿宋_GB2312" w:hAnsi="仿宋_GB2312" w:eastAsia="仿宋_GB2312" w:cs="仿宋_GB2312"/>
          <w:sz w:val="32"/>
          <w:szCs w:val="32"/>
        </w:rPr>
        <w:t>渠道建设、电商扶贫</w:t>
      </w:r>
      <w:r>
        <w:rPr>
          <w:rFonts w:hint="eastAsia" w:ascii="仿宋_GB2312" w:hAnsi="仿宋_GB2312" w:eastAsia="仿宋_GB2312" w:cs="仿宋_GB2312"/>
          <w:sz w:val="32"/>
          <w:szCs w:val="32"/>
          <w:lang w:eastAsia="zh-CN"/>
        </w:rPr>
        <w:t>平台搭建和农村电商政策扶持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五大内容</w:t>
      </w:r>
      <w:r>
        <w:rPr>
          <w:rFonts w:hint="eastAsia" w:ascii="仿宋_GB2312" w:hAnsi="仿宋_GB2312" w:eastAsia="仿宋_GB2312" w:cs="仿宋_GB2312"/>
          <w:sz w:val="32"/>
          <w:szCs w:val="32"/>
        </w:rPr>
        <w:t>，培养一支懂电商业务、会经营网店、能带头致富的农村电商人才队伍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快速提升昭化区的电子商务应用水平。</w:t>
      </w:r>
    </w:p>
    <w:p w14:paraId="4E98513A">
      <w:pPr>
        <w:adjustRightInd w:val="0"/>
        <w:snapToGrid w:val="0"/>
        <w:spacing w:line="56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项目申报内容与具体实施内容相符、申报目标合理可行。</w:t>
      </w:r>
    </w:p>
    <w:p w14:paraId="47D339F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color w:val="000000"/>
          <w:kern w:val="0"/>
          <w:sz w:val="32"/>
          <w:szCs w:val="32"/>
          <w:lang w:eastAsia="zh-CN"/>
        </w:rPr>
        <w:t>项目支出绩效评价小组</w:t>
      </w:r>
      <w:r>
        <w:rPr>
          <w:rFonts w:hint="eastAsia" w:ascii="仿宋_GB2312" w:hAnsi="仿宋_GB2312" w:eastAsia="仿宋_GB2312" w:cs="仿宋_GB2312"/>
          <w:color w:val="000000"/>
          <w:kern w:val="0"/>
          <w:sz w:val="32"/>
          <w:szCs w:val="32"/>
        </w:rPr>
        <w:t>以相关资料为基础，经过认真审核和核对，分析得出自评结果，形成自评结论。</w:t>
      </w:r>
    </w:p>
    <w:p w14:paraId="706B536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二、评价结论及绩效分析</w:t>
      </w:r>
    </w:p>
    <w:p w14:paraId="3E1C0E3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58" w:name="_Toc15396618"/>
      <w:r>
        <w:rPr>
          <w:rFonts w:hint="eastAsia" w:ascii="仿宋_GB2312" w:hAnsi="仿宋_GB2312" w:eastAsia="仿宋_GB2312" w:cs="仿宋_GB2312"/>
          <w:sz w:val="32"/>
          <w:szCs w:val="32"/>
        </w:rPr>
        <w:t>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w:t>
      </w:r>
    </w:p>
    <w:p w14:paraId="4BDF8196">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（二）绩效分析</w:t>
      </w:r>
    </w:p>
    <w:p w14:paraId="3FB870BF">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Times New Roman" w:hAnsi="Times New Roman" w:eastAsia="仿宋_GB2312"/>
          <w:sz w:val="32"/>
          <w:szCs w:val="32"/>
          <w:lang w:val="en-US" w:eastAsia="zh-CN"/>
        </w:rPr>
      </w:pPr>
      <w:r>
        <w:rPr>
          <w:rFonts w:hint="eastAsia" w:ascii="仿宋" w:hAnsi="仿宋" w:eastAsia="仿宋" w:cs="仿宋"/>
          <w:b/>
          <w:sz w:val="32"/>
          <w:szCs w:val="32"/>
          <w:lang w:val="zh-CN"/>
        </w:rPr>
        <w:t>1、项目决策。</w:t>
      </w:r>
      <w:r>
        <w:rPr>
          <w:rFonts w:ascii="Times New Roman" w:hAnsi="Times New Roman" w:eastAsia="仿宋_GB2312"/>
          <w:sz w:val="32"/>
          <w:szCs w:val="32"/>
        </w:rPr>
        <w:t>龙泉·昭化东西部扶贫协作农村电商扶贫项目</w:t>
      </w:r>
      <w:r>
        <w:rPr>
          <w:rFonts w:hint="eastAsia" w:ascii="Times New Roman" w:hAnsi="Times New Roman" w:eastAsia="仿宋_GB2312"/>
          <w:sz w:val="32"/>
          <w:szCs w:val="32"/>
          <w:lang w:val="en-US" w:eastAsia="zh-CN"/>
        </w:rPr>
        <w:t>201</w:t>
      </w:r>
      <w:r>
        <w:rPr>
          <w:rFonts w:hint="eastAsia" w:eastAsia="仿宋_GB2312"/>
          <w:sz w:val="32"/>
          <w:szCs w:val="32"/>
          <w:lang w:val="en-US" w:eastAsia="zh-CN"/>
        </w:rPr>
        <w:t>9</w:t>
      </w:r>
      <w:r>
        <w:rPr>
          <w:rFonts w:hint="eastAsia" w:ascii="Times New Roman" w:hAnsi="Times New Roman" w:eastAsia="仿宋_GB2312"/>
          <w:sz w:val="32"/>
          <w:szCs w:val="32"/>
          <w:lang w:val="en-US" w:eastAsia="zh-CN"/>
        </w:rPr>
        <w:t>年财政预算资金</w:t>
      </w:r>
      <w:r>
        <w:rPr>
          <w:rFonts w:hint="eastAsia" w:eastAsia="仿宋_GB2312"/>
          <w:sz w:val="32"/>
          <w:szCs w:val="32"/>
          <w:lang w:val="en-US" w:eastAsia="zh-CN"/>
        </w:rPr>
        <w:t>319.3</w:t>
      </w:r>
      <w:r>
        <w:rPr>
          <w:rFonts w:hint="eastAsia" w:ascii="Times New Roman" w:hAnsi="Times New Roman" w:eastAsia="仿宋_GB2312"/>
          <w:sz w:val="32"/>
          <w:szCs w:val="32"/>
          <w:lang w:val="en-US" w:eastAsia="zh-CN"/>
        </w:rPr>
        <w:t>万元，到位</w:t>
      </w:r>
      <w:r>
        <w:rPr>
          <w:rFonts w:hint="eastAsia" w:eastAsia="仿宋_GB2312"/>
          <w:sz w:val="32"/>
          <w:szCs w:val="32"/>
          <w:lang w:val="en-US" w:eastAsia="zh-CN"/>
        </w:rPr>
        <w:t>84</w:t>
      </w:r>
      <w:r>
        <w:rPr>
          <w:rFonts w:hint="eastAsia" w:ascii="Times New Roman" w:hAnsi="Times New Roman" w:eastAsia="仿宋_GB2312"/>
          <w:sz w:val="32"/>
          <w:szCs w:val="32"/>
          <w:lang w:val="en-US" w:eastAsia="zh-CN"/>
        </w:rPr>
        <w:t>%。</w:t>
      </w:r>
    </w:p>
    <w:p w14:paraId="67A665E8">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zh-CN"/>
        </w:rPr>
      </w:pPr>
      <w:r>
        <w:rPr>
          <w:rFonts w:hint="eastAsia" w:ascii="仿宋" w:hAnsi="仿宋" w:eastAsia="仿宋" w:cs="仿宋"/>
          <w:b w:val="0"/>
          <w:bCs/>
          <w:sz w:val="32"/>
          <w:szCs w:val="32"/>
          <w:lang w:val="en-US" w:eastAsia="zh-CN"/>
        </w:rPr>
        <w:t>2、</w:t>
      </w:r>
      <w:r>
        <w:rPr>
          <w:rFonts w:hint="eastAsia" w:ascii="仿宋" w:hAnsi="仿宋" w:eastAsia="仿宋" w:cs="仿宋"/>
          <w:b/>
          <w:sz w:val="32"/>
          <w:szCs w:val="32"/>
          <w:lang w:val="zh-CN"/>
        </w:rPr>
        <w:t>项目管理</w:t>
      </w:r>
      <w:r>
        <w:rPr>
          <w:rFonts w:hint="eastAsia" w:ascii="仿宋" w:hAnsi="仿宋" w:eastAsia="仿宋" w:cs="仿宋"/>
          <w:b w:val="0"/>
          <w:bCs/>
          <w:sz w:val="32"/>
          <w:szCs w:val="32"/>
          <w:lang w:val="en-US" w:eastAsia="zh-CN"/>
        </w:rPr>
        <w:t>。团区委为保证项目取得预期效果，于2019年公开招标广元讯唯电子商务有限公司具体负责项目实施，团区委根据合同规定及项目实施进度拨付资金保障运行，并做好监督工作。团区委</w:t>
      </w:r>
      <w:r>
        <w:rPr>
          <w:rFonts w:hint="eastAsia" w:ascii="仿宋" w:hAnsi="仿宋" w:eastAsia="仿宋" w:cs="仿宋"/>
          <w:sz w:val="32"/>
          <w:szCs w:val="32"/>
          <w:lang w:val="zh-CN"/>
        </w:rPr>
        <w:t>对照项目资金管理办法，项目严格执行了财务管理制度、财务处理及时、会计核算规范。</w:t>
      </w:r>
    </w:p>
    <w:p w14:paraId="482F19F9">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项目</w:t>
      </w:r>
      <w:r>
        <w:rPr>
          <w:rFonts w:hint="eastAsia" w:ascii="仿宋" w:hAnsi="仿宋" w:eastAsia="仿宋" w:cs="仿宋"/>
          <w:b/>
          <w:bCs/>
          <w:sz w:val="32"/>
          <w:szCs w:val="32"/>
          <w:lang w:eastAsia="zh-CN"/>
        </w:rPr>
        <w:t>绩效。</w:t>
      </w:r>
      <w:r>
        <w:rPr>
          <w:rFonts w:hint="eastAsia" w:ascii="仿宋" w:hAnsi="仿宋" w:eastAsia="仿宋" w:cs="仿宋"/>
          <w:sz w:val="32"/>
          <w:szCs w:val="32"/>
          <w:lang w:val="zh-CN" w:eastAsia="zh-CN"/>
        </w:rPr>
        <w:t>截止</w:t>
      </w:r>
      <w:r>
        <w:rPr>
          <w:rFonts w:hint="eastAsia" w:ascii="仿宋" w:hAnsi="仿宋" w:eastAsia="仿宋" w:cs="仿宋"/>
          <w:sz w:val="32"/>
          <w:szCs w:val="32"/>
          <w:lang w:val="en-US" w:eastAsia="zh-CN"/>
        </w:rPr>
        <w:t>2019年11月，</w:t>
      </w:r>
      <w:r>
        <w:rPr>
          <w:rFonts w:hint="eastAsia" w:ascii="仿宋" w:hAnsi="仿宋" w:eastAsia="仿宋" w:cs="仿宋"/>
          <w:sz w:val="32"/>
          <w:szCs w:val="32"/>
          <w:lang w:val="zh-CN"/>
        </w:rPr>
        <w:t>运行线上昭化电商扶贫平台；线下扶贫O2O义卖专区运营，开展义卖活动；打造贫困户产品的运输、包装、文创加工“一条龙”式产业链；龙泉・昭化电商扶贫飞地，2019年孵化电商人才带头示范60人；设立“四川昭化原产地直供馆”进行推广营销；举行1次昭化特色农旅文化“网红直播”；开展“昭化造”农特产品展销暨电商扶贫渠道对接招商会，对接国内主流农产品电商平台2家以上，与昭化区农业企业进行关联合作，开展全网的电商扶贫推广。销售业绩方面突破</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00万元。</w:t>
      </w:r>
    </w:p>
    <w:p w14:paraId="48AC54AE">
      <w:pPr>
        <w:numPr>
          <w:ilvl w:val="0"/>
          <w:numId w:val="0"/>
        </w:numPr>
        <w:spacing w:line="580" w:lineRule="exact"/>
        <w:ind w:left="640" w:leftChars="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存在主要问题</w:t>
      </w:r>
    </w:p>
    <w:p w14:paraId="1B0F7BC7">
      <w:pPr>
        <w:pageBreakBefore w:val="0"/>
        <w:numPr>
          <w:ilvl w:val="0"/>
          <w:numId w:val="0"/>
        </w:numPr>
        <w:kinsoku/>
        <w:wordWrap/>
        <w:overflowPunct/>
        <w:topLinePunct w:val="0"/>
        <w:bidi w:val="0"/>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资金拨付不够即时，还需进一步提高</w:t>
      </w:r>
      <w:r>
        <w:rPr>
          <w:rFonts w:hint="eastAsia" w:ascii="仿宋_GB2312" w:hAnsi="仿宋_GB2312" w:eastAsia="仿宋_GB2312" w:cs="仿宋_GB2312"/>
          <w:sz w:val="32"/>
          <w:szCs w:val="32"/>
        </w:rPr>
        <w:t>。</w:t>
      </w:r>
    </w:p>
    <w:p w14:paraId="4D7A794F">
      <w:pPr>
        <w:numPr>
          <w:ilvl w:val="0"/>
          <w:numId w:val="0"/>
        </w:numPr>
        <w:spacing w:line="580" w:lineRule="exact"/>
        <w:ind w:left="640" w:leftChars="0"/>
        <w:rPr>
          <w:rFonts w:ascii="仿宋" w:hAnsi="仿宋" w:eastAsia="仿宋" w:cs="仿宋_GB2312"/>
          <w:b/>
          <w:bCs/>
          <w:sz w:val="32"/>
          <w:szCs w:val="32"/>
        </w:rPr>
      </w:pPr>
      <w:r>
        <w:rPr>
          <w:rFonts w:hint="eastAsia" w:ascii="仿宋" w:hAnsi="仿宋" w:eastAsia="仿宋" w:cs="仿宋_GB2312"/>
          <w:b/>
          <w:bCs/>
          <w:sz w:val="32"/>
          <w:szCs w:val="32"/>
          <w:lang w:eastAsia="zh-CN"/>
        </w:rPr>
        <w:t>四、</w:t>
      </w:r>
      <w:r>
        <w:rPr>
          <w:rFonts w:ascii="仿宋" w:hAnsi="仿宋" w:eastAsia="仿宋" w:cs="仿宋_GB2312"/>
          <w:b/>
          <w:bCs/>
          <w:sz w:val="32"/>
          <w:szCs w:val="32"/>
        </w:rPr>
        <w:t>相关措施建议</w:t>
      </w:r>
    </w:p>
    <w:p w14:paraId="7299DEF7">
      <w:pPr>
        <w:pageBreakBefore w:val="0"/>
        <w:numPr>
          <w:ilvl w:val="0"/>
          <w:numId w:val="0"/>
        </w:numPr>
        <w:kinsoku/>
        <w:wordWrap/>
        <w:overflowPunct/>
        <w:topLinePunct w:val="0"/>
        <w:bidi w:val="0"/>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完善项目绩效目标，建立健全项目管理制度。</w:t>
      </w:r>
    </w:p>
    <w:p w14:paraId="1A7BC447">
      <w:pPr>
        <w:pStyle w:val="2"/>
        <w:rPr>
          <w:rFonts w:hint="eastAsia" w:ascii="仿宋_GB2312" w:hAnsi="仿宋_GB2312" w:eastAsia="仿宋_GB2312" w:cs="仿宋_GB2312"/>
          <w:sz w:val="32"/>
          <w:szCs w:val="32"/>
          <w:lang w:val="en-US" w:eastAsia="zh-CN"/>
        </w:rPr>
      </w:pPr>
    </w:p>
    <w:p w14:paraId="397943C3">
      <w:pPr>
        <w:pStyle w:val="2"/>
        <w:rPr>
          <w:rFonts w:hint="eastAsia" w:ascii="仿宋_GB2312" w:hAnsi="仿宋_GB2312" w:eastAsia="仿宋_GB2312" w:cs="仿宋_GB2312"/>
          <w:sz w:val="32"/>
          <w:szCs w:val="32"/>
          <w:lang w:val="en-US" w:eastAsia="zh-CN"/>
        </w:rPr>
      </w:pPr>
    </w:p>
    <w:p w14:paraId="62B3DA97">
      <w:pPr>
        <w:pStyle w:val="2"/>
        <w:rPr>
          <w:rFonts w:hint="eastAsia" w:ascii="仿宋_GB2312" w:hAnsi="仿宋_GB2312" w:eastAsia="仿宋_GB2312" w:cs="仿宋_GB2312"/>
          <w:sz w:val="32"/>
          <w:szCs w:val="32"/>
          <w:lang w:val="en-US" w:eastAsia="zh-CN"/>
        </w:rPr>
      </w:pPr>
    </w:p>
    <w:p w14:paraId="0C91259E">
      <w:pPr>
        <w:pageBreakBefore w:val="0"/>
        <w:kinsoku/>
        <w:wordWrap/>
        <w:overflowPunct/>
        <w:topLinePunct w:val="0"/>
        <w:bidi w:val="0"/>
        <w:spacing w:line="576" w:lineRule="exact"/>
        <w:jc w:val="center"/>
        <w:outlineLvl w:val="0"/>
        <w:rPr>
          <w:rFonts w:hint="eastAsia" w:ascii="黑体" w:hAnsi="黑体" w:eastAsia="黑体"/>
          <w:color w:val="000000"/>
          <w:sz w:val="44"/>
          <w:szCs w:val="44"/>
        </w:rPr>
      </w:pPr>
    </w:p>
    <w:p w14:paraId="4D958803">
      <w:pPr>
        <w:pageBreakBefore w:val="0"/>
        <w:kinsoku/>
        <w:wordWrap/>
        <w:overflowPunct/>
        <w:topLinePunct w:val="0"/>
        <w:bidi w:val="0"/>
        <w:spacing w:line="576" w:lineRule="exact"/>
        <w:jc w:val="center"/>
        <w:outlineLvl w:val="0"/>
        <w:rPr>
          <w:rFonts w:hint="eastAsia" w:ascii="黑体" w:hAnsi="黑体" w:eastAsia="黑体"/>
          <w:color w:val="000000"/>
          <w:sz w:val="44"/>
          <w:szCs w:val="44"/>
        </w:rPr>
      </w:pPr>
    </w:p>
    <w:p w14:paraId="364074E3">
      <w:pPr>
        <w:pageBreakBefore w:val="0"/>
        <w:kinsoku/>
        <w:wordWrap/>
        <w:overflowPunct/>
        <w:topLinePunct w:val="0"/>
        <w:bidi w:val="0"/>
        <w:spacing w:line="576" w:lineRule="exact"/>
        <w:jc w:val="center"/>
        <w:outlineLvl w:val="0"/>
        <w:rPr>
          <w:rStyle w:val="37"/>
          <w:rFonts w:ascii="黑体" w:hAnsi="黑体" w:eastAsia="黑体"/>
          <w:b w:val="0"/>
        </w:rPr>
      </w:pPr>
      <w:r>
        <w:rPr>
          <w:rFonts w:hint="eastAsia" w:ascii="黑体" w:hAnsi="黑体" w:eastAsia="黑体"/>
          <w:color w:val="000000"/>
          <w:sz w:val="44"/>
          <w:szCs w:val="44"/>
        </w:rPr>
        <w:t>第</w:t>
      </w:r>
      <w:r>
        <w:rPr>
          <w:rStyle w:val="37"/>
          <w:rFonts w:hint="eastAsia" w:ascii="黑体" w:hAnsi="黑体" w:eastAsia="黑体"/>
          <w:b w:val="0"/>
        </w:rPr>
        <w:t>五部分 附表</w:t>
      </w:r>
      <w:bookmarkEnd w:id="58"/>
    </w:p>
    <w:p w14:paraId="0C563B75">
      <w:pPr>
        <w:pageBreakBefore w:val="0"/>
        <w:kinsoku/>
        <w:wordWrap/>
        <w:overflowPunct/>
        <w:topLinePunct w:val="0"/>
        <w:bidi w:val="0"/>
        <w:spacing w:line="576" w:lineRule="exact"/>
        <w:jc w:val="center"/>
        <w:outlineLvl w:val="0"/>
        <w:rPr>
          <w:rFonts w:ascii="仿宋" w:hAnsi="仿宋" w:eastAsia="仿宋"/>
          <w:b/>
          <w:color w:val="000000"/>
          <w:sz w:val="44"/>
          <w:szCs w:val="44"/>
        </w:rPr>
      </w:pPr>
    </w:p>
    <w:p w14:paraId="22C83BD1">
      <w:pPr>
        <w:pStyle w:val="4"/>
        <w:pageBreakBefore w:val="0"/>
        <w:kinsoku/>
        <w:wordWrap/>
        <w:overflowPunct/>
        <w:topLinePunct w:val="0"/>
        <w:bidi w:val="0"/>
        <w:spacing w:line="576" w:lineRule="exact"/>
        <w:rPr>
          <w:rFonts w:hint="eastAsia" w:ascii="仿宋_GB2312" w:hAnsi="仿宋_GB2312" w:eastAsia="仿宋_GB2312" w:cs="仿宋_GB2312"/>
          <w:color w:val="000000"/>
        </w:rPr>
      </w:pPr>
      <w:bookmarkStart w:id="59" w:name="_Toc15396619"/>
      <w:r>
        <w:rPr>
          <w:rFonts w:hint="eastAsia" w:ascii="仿宋_GB2312" w:hAnsi="仿宋_GB2312" w:eastAsia="仿宋_GB2312" w:cs="仿宋_GB2312"/>
          <w:b w:val="0"/>
          <w:color w:val="000000"/>
        </w:rPr>
        <w:t>一、收</w:t>
      </w:r>
      <w:r>
        <w:rPr>
          <w:rStyle w:val="38"/>
          <w:rFonts w:hint="eastAsia" w:ascii="仿宋_GB2312" w:hAnsi="仿宋_GB2312" w:eastAsia="仿宋_GB2312" w:cs="仿宋_GB2312"/>
          <w:b w:val="0"/>
          <w:bCs w:val="0"/>
        </w:rPr>
        <w:t>入支出决算总表</w:t>
      </w:r>
      <w:bookmarkEnd w:id="59"/>
    </w:p>
    <w:p w14:paraId="56BF09C9">
      <w:pPr>
        <w:pStyle w:val="4"/>
        <w:pageBreakBefore w:val="0"/>
        <w:kinsoku/>
        <w:wordWrap/>
        <w:overflowPunct/>
        <w:topLinePunct w:val="0"/>
        <w:bidi w:val="0"/>
        <w:spacing w:line="576" w:lineRule="exact"/>
        <w:rPr>
          <w:rFonts w:hint="eastAsia" w:ascii="仿宋_GB2312" w:hAnsi="仿宋_GB2312" w:eastAsia="仿宋_GB2312" w:cs="仿宋_GB2312"/>
          <w:color w:val="000000"/>
        </w:rPr>
      </w:pPr>
      <w:bookmarkStart w:id="60" w:name="_Toc15396620"/>
      <w:r>
        <w:rPr>
          <w:rFonts w:hint="eastAsia" w:ascii="仿宋_GB2312" w:hAnsi="仿宋_GB2312" w:eastAsia="仿宋_GB2312" w:cs="仿宋_GB2312"/>
          <w:b w:val="0"/>
          <w:color w:val="000000"/>
        </w:rPr>
        <w:t>二、收</w:t>
      </w:r>
      <w:r>
        <w:rPr>
          <w:rStyle w:val="38"/>
          <w:rFonts w:hint="eastAsia" w:ascii="仿宋_GB2312" w:hAnsi="仿宋_GB2312" w:eastAsia="仿宋_GB2312" w:cs="仿宋_GB2312"/>
          <w:b w:val="0"/>
          <w:bCs w:val="0"/>
        </w:rPr>
        <w:t>入总表</w:t>
      </w:r>
      <w:bookmarkEnd w:id="60"/>
    </w:p>
    <w:p w14:paraId="45FEDBEB">
      <w:pPr>
        <w:pStyle w:val="4"/>
        <w:pageBreakBefore w:val="0"/>
        <w:kinsoku/>
        <w:wordWrap/>
        <w:overflowPunct/>
        <w:topLinePunct w:val="0"/>
        <w:bidi w:val="0"/>
        <w:spacing w:line="576" w:lineRule="exact"/>
        <w:rPr>
          <w:rFonts w:hint="eastAsia" w:ascii="仿宋_GB2312" w:hAnsi="仿宋_GB2312" w:eastAsia="仿宋_GB2312" w:cs="仿宋_GB2312"/>
          <w:color w:val="000000"/>
        </w:rPr>
      </w:pPr>
      <w:bookmarkStart w:id="61" w:name="_Toc15396621"/>
      <w:r>
        <w:rPr>
          <w:rStyle w:val="38"/>
          <w:rFonts w:hint="eastAsia" w:ascii="仿宋_GB2312" w:hAnsi="仿宋_GB2312" w:eastAsia="仿宋_GB2312" w:cs="仿宋_GB2312"/>
          <w:b w:val="0"/>
          <w:bCs w:val="0"/>
        </w:rPr>
        <w:t>三、</w:t>
      </w:r>
      <w:r>
        <w:rPr>
          <w:rFonts w:hint="eastAsia" w:ascii="仿宋_GB2312" w:hAnsi="仿宋_GB2312" w:eastAsia="仿宋_GB2312" w:cs="仿宋_GB2312"/>
          <w:b w:val="0"/>
          <w:color w:val="000000"/>
        </w:rPr>
        <w:t>支</w:t>
      </w:r>
      <w:r>
        <w:rPr>
          <w:rStyle w:val="38"/>
          <w:rFonts w:hint="eastAsia" w:ascii="仿宋_GB2312" w:hAnsi="仿宋_GB2312" w:eastAsia="仿宋_GB2312" w:cs="仿宋_GB2312"/>
          <w:b w:val="0"/>
          <w:bCs w:val="0"/>
        </w:rPr>
        <w:t>出总表</w:t>
      </w:r>
      <w:bookmarkEnd w:id="61"/>
    </w:p>
    <w:p w14:paraId="79BF3C25">
      <w:pPr>
        <w:pStyle w:val="4"/>
        <w:pageBreakBefore w:val="0"/>
        <w:kinsoku/>
        <w:wordWrap/>
        <w:overflowPunct/>
        <w:topLinePunct w:val="0"/>
        <w:bidi w:val="0"/>
        <w:spacing w:line="576" w:lineRule="exact"/>
        <w:rPr>
          <w:rFonts w:hint="eastAsia" w:ascii="仿宋_GB2312" w:hAnsi="仿宋_GB2312" w:eastAsia="仿宋_GB2312" w:cs="仿宋_GB2312"/>
          <w:b w:val="0"/>
          <w:color w:val="000000"/>
        </w:rPr>
      </w:pPr>
      <w:bookmarkStart w:id="62" w:name="_Toc15396622"/>
      <w:r>
        <w:rPr>
          <w:rStyle w:val="38"/>
          <w:rFonts w:hint="eastAsia" w:ascii="仿宋_GB2312" w:hAnsi="仿宋_GB2312" w:eastAsia="仿宋_GB2312" w:cs="仿宋_GB2312"/>
          <w:b w:val="0"/>
          <w:bCs w:val="0"/>
        </w:rPr>
        <w:t>四、</w:t>
      </w:r>
      <w:r>
        <w:rPr>
          <w:rFonts w:hint="eastAsia" w:ascii="仿宋_GB2312" w:hAnsi="仿宋_GB2312" w:eastAsia="仿宋_GB2312" w:cs="仿宋_GB2312"/>
          <w:b w:val="0"/>
          <w:color w:val="000000"/>
        </w:rPr>
        <w:t>财</w:t>
      </w:r>
      <w:r>
        <w:rPr>
          <w:rStyle w:val="38"/>
          <w:rFonts w:hint="eastAsia" w:ascii="仿宋_GB2312" w:hAnsi="仿宋_GB2312" w:eastAsia="仿宋_GB2312" w:cs="仿宋_GB2312"/>
          <w:b w:val="0"/>
          <w:bCs w:val="0"/>
        </w:rPr>
        <w:t>政拨款收入支出决算总表</w:t>
      </w:r>
      <w:bookmarkEnd w:id="62"/>
    </w:p>
    <w:p w14:paraId="73FFDB30">
      <w:pPr>
        <w:pStyle w:val="4"/>
        <w:pageBreakBefore w:val="0"/>
        <w:kinsoku/>
        <w:wordWrap/>
        <w:overflowPunct/>
        <w:topLinePunct w:val="0"/>
        <w:bidi w:val="0"/>
        <w:spacing w:line="576" w:lineRule="exact"/>
        <w:rPr>
          <w:rFonts w:hint="eastAsia" w:ascii="仿宋_GB2312" w:hAnsi="仿宋_GB2312" w:eastAsia="仿宋_GB2312" w:cs="仿宋_GB2312"/>
          <w:color w:val="000000"/>
        </w:rPr>
      </w:pPr>
      <w:bookmarkStart w:id="63" w:name="_Toc15396623"/>
      <w:r>
        <w:rPr>
          <w:rStyle w:val="38"/>
          <w:rFonts w:hint="eastAsia" w:ascii="仿宋_GB2312" w:hAnsi="仿宋_GB2312" w:eastAsia="仿宋_GB2312" w:cs="仿宋_GB2312"/>
          <w:b w:val="0"/>
          <w:bCs w:val="0"/>
        </w:rPr>
        <w:t>五、</w:t>
      </w:r>
      <w:r>
        <w:rPr>
          <w:rFonts w:hint="eastAsia" w:ascii="仿宋_GB2312" w:hAnsi="仿宋_GB2312" w:eastAsia="仿宋_GB2312" w:cs="仿宋_GB2312"/>
          <w:b w:val="0"/>
          <w:color w:val="000000"/>
        </w:rPr>
        <w:t>财</w:t>
      </w:r>
      <w:r>
        <w:rPr>
          <w:rStyle w:val="38"/>
          <w:rFonts w:hint="eastAsia" w:ascii="仿宋_GB2312" w:hAnsi="仿宋_GB2312" w:eastAsia="仿宋_GB2312" w:cs="仿宋_GB2312"/>
          <w:b w:val="0"/>
          <w:bCs w:val="0"/>
        </w:rPr>
        <w:t>政拨款支出决算明细表（政府经济分类科目）</w:t>
      </w:r>
      <w:bookmarkEnd w:id="63"/>
    </w:p>
    <w:p w14:paraId="3BF1C89B">
      <w:pPr>
        <w:pStyle w:val="4"/>
        <w:pageBreakBefore w:val="0"/>
        <w:kinsoku/>
        <w:wordWrap/>
        <w:overflowPunct/>
        <w:topLinePunct w:val="0"/>
        <w:bidi w:val="0"/>
        <w:spacing w:line="576" w:lineRule="exact"/>
        <w:rPr>
          <w:rFonts w:hint="eastAsia" w:ascii="仿宋_GB2312" w:hAnsi="仿宋_GB2312" w:eastAsia="仿宋_GB2312" w:cs="仿宋_GB2312"/>
          <w:color w:val="000000"/>
        </w:rPr>
      </w:pPr>
      <w:bookmarkStart w:id="64" w:name="_Toc15396624"/>
      <w:r>
        <w:rPr>
          <w:rStyle w:val="38"/>
          <w:rFonts w:hint="eastAsia" w:ascii="仿宋_GB2312" w:hAnsi="仿宋_GB2312" w:eastAsia="仿宋_GB2312" w:cs="仿宋_GB2312"/>
          <w:b w:val="0"/>
          <w:bCs w:val="0"/>
        </w:rPr>
        <w:t>六、</w:t>
      </w:r>
      <w:r>
        <w:rPr>
          <w:rFonts w:hint="eastAsia" w:ascii="仿宋_GB2312" w:hAnsi="仿宋_GB2312" w:eastAsia="仿宋_GB2312" w:cs="仿宋_GB2312"/>
          <w:b w:val="0"/>
          <w:color w:val="000000"/>
        </w:rPr>
        <w:t>一</w:t>
      </w:r>
      <w:r>
        <w:rPr>
          <w:rStyle w:val="38"/>
          <w:rFonts w:hint="eastAsia" w:ascii="仿宋_GB2312" w:hAnsi="仿宋_GB2312" w:eastAsia="仿宋_GB2312" w:cs="仿宋_GB2312"/>
          <w:b w:val="0"/>
          <w:bCs w:val="0"/>
        </w:rPr>
        <w:t>般公共预算财政拨款支出决算表</w:t>
      </w:r>
      <w:bookmarkEnd w:id="64"/>
    </w:p>
    <w:p w14:paraId="223A2677">
      <w:pPr>
        <w:pStyle w:val="4"/>
        <w:pageBreakBefore w:val="0"/>
        <w:kinsoku/>
        <w:wordWrap/>
        <w:overflowPunct/>
        <w:topLinePunct w:val="0"/>
        <w:bidi w:val="0"/>
        <w:spacing w:line="576" w:lineRule="exact"/>
        <w:rPr>
          <w:rFonts w:hint="eastAsia" w:ascii="仿宋_GB2312" w:hAnsi="仿宋_GB2312" w:eastAsia="仿宋_GB2312" w:cs="仿宋_GB2312"/>
          <w:color w:val="000000"/>
        </w:rPr>
      </w:pPr>
      <w:bookmarkStart w:id="65" w:name="_Toc15396625"/>
      <w:r>
        <w:rPr>
          <w:rStyle w:val="38"/>
          <w:rFonts w:hint="eastAsia" w:ascii="仿宋_GB2312" w:hAnsi="仿宋_GB2312" w:eastAsia="仿宋_GB2312" w:cs="仿宋_GB2312"/>
          <w:b w:val="0"/>
          <w:bCs w:val="0"/>
        </w:rPr>
        <w:t>七、</w:t>
      </w:r>
      <w:r>
        <w:rPr>
          <w:rFonts w:hint="eastAsia" w:ascii="仿宋_GB2312" w:hAnsi="仿宋_GB2312" w:eastAsia="仿宋_GB2312" w:cs="仿宋_GB2312"/>
          <w:b w:val="0"/>
          <w:color w:val="000000"/>
        </w:rPr>
        <w:t>一</w:t>
      </w:r>
      <w:r>
        <w:rPr>
          <w:rStyle w:val="38"/>
          <w:rFonts w:hint="eastAsia" w:ascii="仿宋_GB2312" w:hAnsi="仿宋_GB2312" w:eastAsia="仿宋_GB2312" w:cs="仿宋_GB2312"/>
          <w:b w:val="0"/>
          <w:bCs w:val="0"/>
        </w:rPr>
        <w:t>般公共预算财政拨款支出决算明细表</w:t>
      </w:r>
      <w:bookmarkEnd w:id="65"/>
    </w:p>
    <w:p w14:paraId="05BEED50">
      <w:pPr>
        <w:pStyle w:val="4"/>
        <w:pageBreakBefore w:val="0"/>
        <w:kinsoku/>
        <w:wordWrap/>
        <w:overflowPunct/>
        <w:topLinePunct w:val="0"/>
        <w:bidi w:val="0"/>
        <w:spacing w:line="576" w:lineRule="exact"/>
        <w:rPr>
          <w:rFonts w:hint="eastAsia" w:ascii="仿宋_GB2312" w:hAnsi="仿宋_GB2312" w:eastAsia="仿宋_GB2312" w:cs="仿宋_GB2312"/>
          <w:color w:val="000000"/>
        </w:rPr>
      </w:pPr>
      <w:bookmarkStart w:id="66" w:name="_Toc15396626"/>
      <w:r>
        <w:rPr>
          <w:rStyle w:val="38"/>
          <w:rFonts w:hint="eastAsia" w:ascii="仿宋_GB2312" w:hAnsi="仿宋_GB2312" w:eastAsia="仿宋_GB2312" w:cs="仿宋_GB2312"/>
          <w:b w:val="0"/>
          <w:bCs w:val="0"/>
        </w:rPr>
        <w:t>八、</w:t>
      </w:r>
      <w:r>
        <w:rPr>
          <w:rFonts w:hint="eastAsia" w:ascii="仿宋_GB2312" w:hAnsi="仿宋_GB2312" w:eastAsia="仿宋_GB2312" w:cs="仿宋_GB2312"/>
          <w:b w:val="0"/>
          <w:color w:val="000000"/>
        </w:rPr>
        <w:t>一</w:t>
      </w:r>
      <w:r>
        <w:rPr>
          <w:rStyle w:val="38"/>
          <w:rFonts w:hint="eastAsia" w:ascii="仿宋_GB2312" w:hAnsi="仿宋_GB2312" w:eastAsia="仿宋_GB2312" w:cs="仿宋_GB2312"/>
          <w:b w:val="0"/>
          <w:bCs w:val="0"/>
        </w:rPr>
        <w:t>般公共预算财政拨款基本支出决算表</w:t>
      </w:r>
      <w:bookmarkEnd w:id="66"/>
    </w:p>
    <w:p w14:paraId="4C4AC703">
      <w:pPr>
        <w:pStyle w:val="4"/>
        <w:pageBreakBefore w:val="0"/>
        <w:kinsoku/>
        <w:wordWrap/>
        <w:overflowPunct/>
        <w:topLinePunct w:val="0"/>
        <w:bidi w:val="0"/>
        <w:spacing w:line="576" w:lineRule="exact"/>
        <w:rPr>
          <w:rFonts w:hint="eastAsia" w:ascii="仿宋_GB2312" w:hAnsi="仿宋_GB2312" w:eastAsia="仿宋_GB2312" w:cs="仿宋_GB2312"/>
          <w:color w:val="000000"/>
        </w:rPr>
      </w:pPr>
      <w:bookmarkStart w:id="67" w:name="_Toc15396627"/>
      <w:r>
        <w:rPr>
          <w:rStyle w:val="38"/>
          <w:rFonts w:hint="eastAsia" w:ascii="仿宋_GB2312" w:hAnsi="仿宋_GB2312" w:eastAsia="仿宋_GB2312" w:cs="仿宋_GB2312"/>
          <w:b w:val="0"/>
          <w:bCs w:val="0"/>
        </w:rPr>
        <w:t>九、</w:t>
      </w:r>
      <w:r>
        <w:rPr>
          <w:rFonts w:hint="eastAsia" w:ascii="仿宋_GB2312" w:hAnsi="仿宋_GB2312" w:eastAsia="仿宋_GB2312" w:cs="仿宋_GB2312"/>
          <w:b w:val="0"/>
          <w:color w:val="000000"/>
        </w:rPr>
        <w:t>一</w:t>
      </w:r>
      <w:r>
        <w:rPr>
          <w:rStyle w:val="38"/>
          <w:rFonts w:hint="eastAsia" w:ascii="仿宋_GB2312" w:hAnsi="仿宋_GB2312" w:eastAsia="仿宋_GB2312" w:cs="仿宋_GB2312"/>
          <w:b w:val="0"/>
          <w:bCs w:val="0"/>
        </w:rPr>
        <w:t>般公共预算财政拨款项目支出决算表</w:t>
      </w:r>
      <w:bookmarkEnd w:id="67"/>
    </w:p>
    <w:p w14:paraId="6868EF49">
      <w:pPr>
        <w:pStyle w:val="4"/>
        <w:pageBreakBefore w:val="0"/>
        <w:kinsoku/>
        <w:wordWrap/>
        <w:overflowPunct/>
        <w:topLinePunct w:val="0"/>
        <w:bidi w:val="0"/>
        <w:spacing w:line="576" w:lineRule="exact"/>
        <w:rPr>
          <w:rFonts w:hint="eastAsia" w:ascii="仿宋_GB2312" w:hAnsi="仿宋_GB2312" w:eastAsia="仿宋_GB2312" w:cs="仿宋_GB2312"/>
          <w:color w:val="000000"/>
        </w:rPr>
      </w:pPr>
      <w:bookmarkStart w:id="68" w:name="_Toc15396628"/>
      <w:r>
        <w:rPr>
          <w:rStyle w:val="38"/>
          <w:rFonts w:hint="eastAsia" w:ascii="仿宋_GB2312" w:hAnsi="仿宋_GB2312" w:eastAsia="仿宋_GB2312" w:cs="仿宋_GB2312"/>
          <w:b w:val="0"/>
          <w:bCs w:val="0"/>
        </w:rPr>
        <w:t>十、</w:t>
      </w:r>
      <w:r>
        <w:rPr>
          <w:rFonts w:hint="eastAsia" w:ascii="仿宋_GB2312" w:hAnsi="仿宋_GB2312" w:eastAsia="仿宋_GB2312" w:cs="仿宋_GB2312"/>
          <w:b w:val="0"/>
          <w:color w:val="000000"/>
        </w:rPr>
        <w:t>一</w:t>
      </w:r>
      <w:r>
        <w:rPr>
          <w:rStyle w:val="38"/>
          <w:rFonts w:hint="eastAsia" w:ascii="仿宋_GB2312" w:hAnsi="仿宋_GB2312" w:eastAsia="仿宋_GB2312" w:cs="仿宋_GB2312"/>
          <w:b w:val="0"/>
          <w:bCs w:val="0"/>
        </w:rPr>
        <w:t>般公共预算财政拨款“三公”经费支出决算表</w:t>
      </w:r>
      <w:bookmarkEnd w:id="68"/>
    </w:p>
    <w:p w14:paraId="4A36C1A8">
      <w:pPr>
        <w:pStyle w:val="4"/>
        <w:pageBreakBefore w:val="0"/>
        <w:kinsoku/>
        <w:wordWrap/>
        <w:overflowPunct/>
        <w:topLinePunct w:val="0"/>
        <w:bidi w:val="0"/>
        <w:spacing w:line="576" w:lineRule="exact"/>
        <w:rPr>
          <w:rFonts w:hint="eastAsia" w:ascii="仿宋_GB2312" w:hAnsi="仿宋_GB2312" w:eastAsia="仿宋_GB2312" w:cs="仿宋_GB2312"/>
          <w:color w:val="000000"/>
        </w:rPr>
      </w:pPr>
      <w:bookmarkStart w:id="69" w:name="_Toc15396629"/>
      <w:r>
        <w:rPr>
          <w:rStyle w:val="38"/>
          <w:rFonts w:hint="eastAsia" w:ascii="仿宋_GB2312" w:hAnsi="仿宋_GB2312" w:eastAsia="仿宋_GB2312" w:cs="仿宋_GB2312"/>
          <w:b w:val="0"/>
          <w:bCs w:val="0"/>
        </w:rPr>
        <w:t>十一、</w:t>
      </w:r>
      <w:r>
        <w:rPr>
          <w:rFonts w:hint="eastAsia" w:ascii="仿宋_GB2312" w:hAnsi="仿宋_GB2312" w:eastAsia="仿宋_GB2312" w:cs="仿宋_GB2312"/>
          <w:b w:val="0"/>
          <w:color w:val="000000"/>
        </w:rPr>
        <w:t>政</w:t>
      </w:r>
      <w:r>
        <w:rPr>
          <w:rStyle w:val="38"/>
          <w:rFonts w:hint="eastAsia" w:ascii="仿宋_GB2312" w:hAnsi="仿宋_GB2312" w:eastAsia="仿宋_GB2312" w:cs="仿宋_GB2312"/>
          <w:b w:val="0"/>
          <w:bCs w:val="0"/>
        </w:rPr>
        <w:t>府性基金预算财政拨款收入支出决算表</w:t>
      </w:r>
      <w:bookmarkEnd w:id="69"/>
    </w:p>
    <w:p w14:paraId="25042011">
      <w:pPr>
        <w:pStyle w:val="4"/>
        <w:pageBreakBefore w:val="0"/>
        <w:kinsoku/>
        <w:wordWrap/>
        <w:overflowPunct/>
        <w:topLinePunct w:val="0"/>
        <w:bidi w:val="0"/>
        <w:spacing w:line="576" w:lineRule="exact"/>
        <w:rPr>
          <w:rFonts w:hint="eastAsia" w:ascii="仿宋_GB2312" w:hAnsi="仿宋_GB2312" w:eastAsia="仿宋_GB2312" w:cs="仿宋_GB2312"/>
          <w:color w:val="000000"/>
        </w:rPr>
      </w:pPr>
      <w:bookmarkStart w:id="70" w:name="_Toc15396630"/>
      <w:r>
        <w:rPr>
          <w:rStyle w:val="38"/>
          <w:rFonts w:hint="eastAsia" w:ascii="仿宋_GB2312" w:hAnsi="仿宋_GB2312" w:eastAsia="仿宋_GB2312" w:cs="仿宋_GB2312"/>
          <w:b w:val="0"/>
          <w:bCs w:val="0"/>
        </w:rPr>
        <w:t>十二、</w:t>
      </w:r>
      <w:r>
        <w:rPr>
          <w:rFonts w:hint="eastAsia" w:ascii="仿宋_GB2312" w:hAnsi="仿宋_GB2312" w:eastAsia="仿宋_GB2312" w:cs="仿宋_GB2312"/>
          <w:b w:val="0"/>
          <w:color w:val="000000"/>
        </w:rPr>
        <w:t>政</w:t>
      </w:r>
      <w:r>
        <w:rPr>
          <w:rStyle w:val="38"/>
          <w:rFonts w:hint="eastAsia" w:ascii="仿宋_GB2312" w:hAnsi="仿宋_GB2312" w:eastAsia="仿宋_GB2312" w:cs="仿宋_GB2312"/>
          <w:b w:val="0"/>
          <w:bCs w:val="0"/>
        </w:rPr>
        <w:t>府性基金预算财政拨款“三公”经费支出决算表</w:t>
      </w:r>
      <w:bookmarkEnd w:id="70"/>
    </w:p>
    <w:p w14:paraId="2429BCF8">
      <w:pPr>
        <w:pStyle w:val="4"/>
        <w:pageBreakBefore w:val="0"/>
        <w:kinsoku/>
        <w:wordWrap/>
        <w:overflowPunct/>
        <w:topLinePunct w:val="0"/>
        <w:bidi w:val="0"/>
        <w:spacing w:line="576" w:lineRule="exact"/>
        <w:rPr>
          <w:rFonts w:hint="eastAsia" w:ascii="仿宋_GB2312" w:hAnsi="仿宋_GB2312" w:eastAsia="仿宋_GB2312" w:cs="仿宋_GB2312"/>
          <w:color w:val="000000" w:themeColor="text1"/>
          <w14:textFill>
            <w14:solidFill>
              <w14:schemeClr w14:val="tx1"/>
            </w14:solidFill>
          </w14:textFill>
        </w:rPr>
      </w:pPr>
      <w:bookmarkStart w:id="71" w:name="_Toc15396631"/>
      <w:r>
        <w:rPr>
          <w:rStyle w:val="38"/>
          <w:rFonts w:hint="eastAsia" w:ascii="仿宋_GB2312" w:hAnsi="仿宋_GB2312" w:eastAsia="仿宋_GB2312" w:cs="仿宋_GB2312"/>
          <w:b w:val="0"/>
          <w:bCs w:val="0"/>
        </w:rPr>
        <w:t>十三、</w:t>
      </w:r>
      <w:r>
        <w:rPr>
          <w:rFonts w:hint="eastAsia" w:ascii="仿宋_GB2312" w:hAnsi="仿宋_GB2312" w:eastAsia="仿宋_GB2312" w:cs="仿宋_GB2312"/>
          <w:b w:val="0"/>
          <w:color w:val="000000"/>
        </w:rPr>
        <w:t>国</w:t>
      </w:r>
      <w:r>
        <w:rPr>
          <w:rStyle w:val="38"/>
          <w:rFonts w:hint="eastAsia" w:ascii="仿宋_GB2312" w:hAnsi="仿宋_GB2312" w:eastAsia="仿宋_GB2312" w:cs="仿宋_GB2312"/>
          <w:b w:val="0"/>
          <w:bCs w:val="0"/>
        </w:rPr>
        <w:t>有资本经营预算支出决算表</w:t>
      </w:r>
      <w:bookmarkEnd w:id="71"/>
    </w:p>
    <w:p w14:paraId="408825EC">
      <w:pPr>
        <w:pStyle w:val="4"/>
        <w:rPr>
          <w:rFonts w:ascii="仿宋" w:hAnsi="仿宋" w:eastAsia="仿宋"/>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1C7FB0-781E-478D-A1BC-93E6CC8672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F91DC074-D741-4572-9ABE-2B5315783102}"/>
  </w:font>
  <w:font w:name="仿宋_GB2312">
    <w:altName w:val="仿宋"/>
    <w:panose1 w:val="02010609030101010101"/>
    <w:charset w:val="86"/>
    <w:family w:val="modern"/>
    <w:pitch w:val="default"/>
    <w:sig w:usb0="00000000" w:usb1="00000000" w:usb2="00000000" w:usb3="00000000" w:csb0="00040000" w:csb1="00000000"/>
    <w:embedRegular r:id="rId3" w:fontKey="{589B4461-F201-465C-AF65-2D3A6A451087}"/>
  </w:font>
  <w:font w:name="仿宋">
    <w:panose1 w:val="02010609060101010101"/>
    <w:charset w:val="86"/>
    <w:family w:val="auto"/>
    <w:pitch w:val="default"/>
    <w:sig w:usb0="800002BF" w:usb1="38CF7CFA" w:usb2="00000016" w:usb3="00000000" w:csb0="00040001" w:csb1="00000000"/>
    <w:embedRegular r:id="rId4" w:fontKey="{600FBF9E-76DE-46F0-B85C-DDB3E54C8E0E}"/>
  </w:font>
  <w:font w:name="方正小标宋简体">
    <w:panose1 w:val="02000000000000000000"/>
    <w:charset w:val="86"/>
    <w:family w:val="script"/>
    <w:pitch w:val="default"/>
    <w:sig w:usb0="00000001" w:usb1="08000000" w:usb2="00000000" w:usb3="00000000" w:csb0="00040000" w:csb1="00000000"/>
    <w:embedRegular r:id="rId5" w:fontKey="{F3E04779-DDD7-417E-A20D-462CDBAA16C1}"/>
  </w:font>
  <w:font w:name="楷体">
    <w:panose1 w:val="02010609060101010101"/>
    <w:charset w:val="86"/>
    <w:family w:val="auto"/>
    <w:pitch w:val="default"/>
    <w:sig w:usb0="800002BF" w:usb1="38CF7CFA" w:usb2="00000016" w:usb3="00000000" w:csb0="00040001" w:csb1="00000000"/>
    <w:embedRegular r:id="rId6" w:fontKey="{BAE47DEC-D55B-4203-9B7D-00C7C42187BD}"/>
  </w:font>
  <w:font w:name="楷体_GB2312">
    <w:panose1 w:val="02010609030101010101"/>
    <w:charset w:val="86"/>
    <w:family w:val="modern"/>
    <w:pitch w:val="default"/>
    <w:sig w:usb0="00000001" w:usb1="080E0000" w:usb2="00000000" w:usb3="00000000" w:csb0="00040000" w:csb1="00000000"/>
    <w:embedRegular r:id="rId7" w:fontKey="{EE6C6C8B-F0FB-4A13-8CC6-185918A8B4BE}"/>
  </w:font>
  <w:font w:name="等线">
    <w:panose1 w:val="02010600030101010101"/>
    <w:charset w:val="86"/>
    <w:family w:val="auto"/>
    <w:pitch w:val="default"/>
    <w:sig w:usb0="A00002BF" w:usb1="38CF7CFA" w:usb2="00000016" w:usb3="00000000" w:csb0="0004000F" w:csb1="00000000"/>
    <w:embedRegular r:id="rId8" w:fontKey="{9B565625-A2B7-4BDA-BEC7-ABD2A87CD989}"/>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234E695">
        <w:pPr>
          <w:pStyle w:val="9"/>
          <w:jc w:val="center"/>
        </w:pPr>
        <w:r>
          <w:fldChar w:fldCharType="begin"/>
        </w:r>
        <w:r>
          <w:instrText xml:space="preserve">PAGE   \* MERGEFORMAT</w:instrText>
        </w:r>
        <w:r>
          <w:fldChar w:fldCharType="separate"/>
        </w:r>
        <w:r>
          <w:rPr>
            <w:lang w:val="zh-CN"/>
          </w:rPr>
          <w:t>50</w:t>
        </w:r>
        <w:r>
          <w:fldChar w:fldCharType="end"/>
        </w:r>
      </w:p>
    </w:sdtContent>
  </w:sdt>
  <w:p w14:paraId="73EAEBB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57E8">
    <w:pPr>
      <w:pStyle w:val="10"/>
      <w:pBdr>
        <w:bottom w:val="none" w:color="auto" w:sz="0" w:space="0"/>
      </w:pBdr>
    </w:pPr>
  </w:p>
  <w:p w14:paraId="245D1AC4">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0286F3B"/>
    <w:multiLevelType w:val="singleLevel"/>
    <w:tmpl w:val="F0286F3B"/>
    <w:lvl w:ilvl="0" w:tentative="0">
      <w:start w:val="2"/>
      <w:numFmt w:val="chineseCounting"/>
      <w:suff w:val="nothing"/>
      <w:lvlText w:val="（%1）"/>
      <w:lvlJc w:val="left"/>
      <w:rPr>
        <w:rFonts w:hint="eastAsia"/>
      </w:rPr>
    </w:lvl>
  </w:abstractNum>
  <w:abstractNum w:abstractNumId="3">
    <w:nsid w:val="10A5D853"/>
    <w:multiLevelType w:val="singleLevel"/>
    <w:tmpl w:val="10A5D853"/>
    <w:lvl w:ilvl="0" w:tentative="0">
      <w:start w:val="2"/>
      <w:numFmt w:val="chineseCounting"/>
      <w:suff w:val="nothing"/>
      <w:lvlText w:val="（%1）"/>
      <w:lvlJc w:val="left"/>
      <w:rPr>
        <w:rFonts w:hint="eastAsia"/>
      </w:rPr>
    </w:lvl>
  </w:abstractNum>
  <w:abstractNum w:abstractNumId="4">
    <w:nsid w:val="3B01C0F1"/>
    <w:multiLevelType w:val="singleLevel"/>
    <w:tmpl w:val="3B01C0F1"/>
    <w:lvl w:ilvl="0" w:tentative="0">
      <w:start w:val="7"/>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561DB"/>
    <w:rsid w:val="0036561B"/>
    <w:rsid w:val="0037013F"/>
    <w:rsid w:val="00380C92"/>
    <w:rsid w:val="003A484F"/>
    <w:rsid w:val="003A4883"/>
    <w:rsid w:val="003B0BE0"/>
    <w:rsid w:val="003B0C1B"/>
    <w:rsid w:val="003B21F5"/>
    <w:rsid w:val="003B688C"/>
    <w:rsid w:val="003C0291"/>
    <w:rsid w:val="003C39AE"/>
    <w:rsid w:val="003C7B60"/>
    <w:rsid w:val="003D0C0F"/>
    <w:rsid w:val="003D1FB2"/>
    <w:rsid w:val="003D66DA"/>
    <w:rsid w:val="003E1310"/>
    <w:rsid w:val="003E6F55"/>
    <w:rsid w:val="00406254"/>
    <w:rsid w:val="00414710"/>
    <w:rsid w:val="00416CD4"/>
    <w:rsid w:val="004223DE"/>
    <w:rsid w:val="00434489"/>
    <w:rsid w:val="00437085"/>
    <w:rsid w:val="00443880"/>
    <w:rsid w:val="004464F4"/>
    <w:rsid w:val="00471401"/>
    <w:rsid w:val="00473F31"/>
    <w:rsid w:val="004756D6"/>
    <w:rsid w:val="0048263A"/>
    <w:rsid w:val="00487E5D"/>
    <w:rsid w:val="004A711F"/>
    <w:rsid w:val="004B199D"/>
    <w:rsid w:val="004B4690"/>
    <w:rsid w:val="004C2392"/>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38A3"/>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291B"/>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16AB2"/>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A668A"/>
    <w:rsid w:val="00AB64C9"/>
    <w:rsid w:val="00AC3C6A"/>
    <w:rsid w:val="00AD0F83"/>
    <w:rsid w:val="00AD5620"/>
    <w:rsid w:val="00AD656B"/>
    <w:rsid w:val="00AD7C1B"/>
    <w:rsid w:val="00AE16BA"/>
    <w:rsid w:val="00AE1EBE"/>
    <w:rsid w:val="00B03C9D"/>
    <w:rsid w:val="00B060AE"/>
    <w:rsid w:val="00B10517"/>
    <w:rsid w:val="00B14952"/>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388"/>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41D"/>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725D"/>
    <w:rsid w:val="00F36D8F"/>
    <w:rsid w:val="00F417B1"/>
    <w:rsid w:val="00F45853"/>
    <w:rsid w:val="00F602DF"/>
    <w:rsid w:val="00F754A1"/>
    <w:rsid w:val="00F81FD9"/>
    <w:rsid w:val="00F841AA"/>
    <w:rsid w:val="00F84A94"/>
    <w:rsid w:val="00F87E96"/>
    <w:rsid w:val="00FA23E8"/>
    <w:rsid w:val="00FD3CC1"/>
    <w:rsid w:val="00FF1E02"/>
    <w:rsid w:val="00FF30B4"/>
    <w:rsid w:val="02370E94"/>
    <w:rsid w:val="08664D49"/>
    <w:rsid w:val="0B560846"/>
    <w:rsid w:val="0B8126F4"/>
    <w:rsid w:val="0BEF5382"/>
    <w:rsid w:val="0EA62FBB"/>
    <w:rsid w:val="10C055FF"/>
    <w:rsid w:val="12C15BCD"/>
    <w:rsid w:val="12E179F0"/>
    <w:rsid w:val="15041D96"/>
    <w:rsid w:val="16BB723D"/>
    <w:rsid w:val="19601922"/>
    <w:rsid w:val="19D865F5"/>
    <w:rsid w:val="19EE57FD"/>
    <w:rsid w:val="1A4C1856"/>
    <w:rsid w:val="1C0A70B7"/>
    <w:rsid w:val="1F193E74"/>
    <w:rsid w:val="2018667C"/>
    <w:rsid w:val="221155F3"/>
    <w:rsid w:val="22F61767"/>
    <w:rsid w:val="240371BF"/>
    <w:rsid w:val="257C2CDA"/>
    <w:rsid w:val="258B34D4"/>
    <w:rsid w:val="26FF01B4"/>
    <w:rsid w:val="2838719E"/>
    <w:rsid w:val="29FD04D3"/>
    <w:rsid w:val="2B5421EA"/>
    <w:rsid w:val="2C9B54E4"/>
    <w:rsid w:val="2F616DDE"/>
    <w:rsid w:val="2F737DA3"/>
    <w:rsid w:val="319F7F4E"/>
    <w:rsid w:val="358C65EF"/>
    <w:rsid w:val="376D5730"/>
    <w:rsid w:val="377E702C"/>
    <w:rsid w:val="3A7E4373"/>
    <w:rsid w:val="3B273E65"/>
    <w:rsid w:val="3EE40F22"/>
    <w:rsid w:val="3F273C49"/>
    <w:rsid w:val="417417D6"/>
    <w:rsid w:val="427A2D33"/>
    <w:rsid w:val="43FF6812"/>
    <w:rsid w:val="45301388"/>
    <w:rsid w:val="46106E1D"/>
    <w:rsid w:val="46B82B92"/>
    <w:rsid w:val="47616519"/>
    <w:rsid w:val="4D9C384A"/>
    <w:rsid w:val="4ECE2238"/>
    <w:rsid w:val="4F2C2078"/>
    <w:rsid w:val="4FC40754"/>
    <w:rsid w:val="54BD4C6A"/>
    <w:rsid w:val="56F977A0"/>
    <w:rsid w:val="59525F96"/>
    <w:rsid w:val="59B77F2E"/>
    <w:rsid w:val="5A822621"/>
    <w:rsid w:val="5AF7065A"/>
    <w:rsid w:val="5D84249D"/>
    <w:rsid w:val="5DE41B7E"/>
    <w:rsid w:val="633C41CB"/>
    <w:rsid w:val="647C45BD"/>
    <w:rsid w:val="6817196D"/>
    <w:rsid w:val="6D4E5F83"/>
    <w:rsid w:val="6D733950"/>
    <w:rsid w:val="6FF73820"/>
    <w:rsid w:val="72734D90"/>
    <w:rsid w:val="7378557C"/>
    <w:rsid w:val="73B957E9"/>
    <w:rsid w:val="77187342"/>
    <w:rsid w:val="7B1052C8"/>
    <w:rsid w:val="7B4A55E9"/>
    <w:rsid w:val="7B6C5DC3"/>
    <w:rsid w:val="7CBB0A28"/>
    <w:rsid w:val="7CC652E2"/>
    <w:rsid w:val="7E116532"/>
    <w:rsid w:val="7E9C2D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4"/>
    <w:qFormat/>
    <w:uiPriority w:val="99"/>
    <w:pPr>
      <w:spacing w:beforeLines="30"/>
    </w:pPr>
    <w:rPr>
      <w:rFonts w:ascii="仿宋_GB2312" w:eastAsia="仿宋_GB2312"/>
      <w:kern w:val="0"/>
      <w:sz w:val="30"/>
    </w:rPr>
  </w:style>
  <w:style w:type="paragraph" w:styleId="6">
    <w:name w:val="annotation text"/>
    <w:basedOn w:val="1"/>
    <w:link w:val="44"/>
    <w:semiHidden/>
    <w:unhideWhenUsed/>
    <w:qFormat/>
    <w:uiPriority w:val="99"/>
    <w:pPr>
      <w:jc w:val="left"/>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40"/>
    <w:semiHidden/>
    <w:unhideWhenUsed/>
    <w:qFormat/>
    <w:uiPriority w:val="99"/>
    <w:rPr>
      <w:sz w:val="18"/>
      <w:szCs w:val="18"/>
    </w:rPr>
  </w:style>
  <w:style w:type="paragraph" w:styleId="9">
    <w:name w:val="footer"/>
    <w:basedOn w:val="1"/>
    <w:link w:val="3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3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unhideWhenUsed/>
    <w:qFormat/>
    <w:uiPriority w:val="99"/>
    <w:pPr>
      <w:jc w:val="left"/>
    </w:pPr>
    <w:rPr>
      <w:color w:val="2B2B2B"/>
      <w:kern w:val="0"/>
      <w:sz w:val="24"/>
    </w:rPr>
  </w:style>
  <w:style w:type="paragraph" w:styleId="14">
    <w:name w:val="annotation subject"/>
    <w:basedOn w:val="6"/>
    <w:next w:val="6"/>
    <w:link w:val="45"/>
    <w:semiHidden/>
    <w:unhideWhenUsed/>
    <w:qFormat/>
    <w:uiPriority w:val="99"/>
    <w:rPr>
      <w:b/>
      <w:bCs/>
    </w:rPr>
  </w:style>
  <w:style w:type="character" w:styleId="17">
    <w:name w:val="Strong"/>
    <w:basedOn w:val="16"/>
    <w:qFormat/>
    <w:uiPriority w:val="99"/>
    <w:rPr>
      <w:b/>
    </w:rPr>
  </w:style>
  <w:style w:type="character" w:styleId="18">
    <w:name w:val="FollowedHyperlink"/>
    <w:basedOn w:val="16"/>
    <w:semiHidden/>
    <w:unhideWhenUsed/>
    <w:qFormat/>
    <w:uiPriority w:val="99"/>
    <w:rPr>
      <w:color w:val="2B2B2B"/>
      <w:u w:val="none"/>
    </w:rPr>
  </w:style>
  <w:style w:type="character" w:styleId="19">
    <w:name w:val="Emphasis"/>
    <w:basedOn w:val="16"/>
    <w:qFormat/>
    <w:uiPriority w:val="20"/>
  </w:style>
  <w:style w:type="character" w:styleId="20">
    <w:name w:val="HTML Definition"/>
    <w:basedOn w:val="16"/>
    <w:semiHidden/>
    <w:unhideWhenUsed/>
    <w:qFormat/>
    <w:uiPriority w:val="99"/>
  </w:style>
  <w:style w:type="character" w:styleId="21">
    <w:name w:val="HTML Acronym"/>
    <w:basedOn w:val="16"/>
    <w:semiHidden/>
    <w:unhideWhenUsed/>
    <w:qFormat/>
    <w:uiPriority w:val="99"/>
  </w:style>
  <w:style w:type="character" w:styleId="22">
    <w:name w:val="HTML Variable"/>
    <w:basedOn w:val="16"/>
    <w:semiHidden/>
    <w:unhideWhenUsed/>
    <w:qFormat/>
    <w:uiPriority w:val="99"/>
  </w:style>
  <w:style w:type="character" w:styleId="23">
    <w:name w:val="Hyperlink"/>
    <w:basedOn w:val="16"/>
    <w:unhideWhenUsed/>
    <w:qFormat/>
    <w:uiPriority w:val="99"/>
    <w:rPr>
      <w:color w:val="0000FF" w:themeColor="hyperlink"/>
      <w:u w:val="single"/>
      <w14:textFill>
        <w14:solidFill>
          <w14:schemeClr w14:val="hlink"/>
        </w14:solidFill>
      </w14:textFill>
    </w:rPr>
  </w:style>
  <w:style w:type="character" w:styleId="24">
    <w:name w:val="HTML Code"/>
    <w:basedOn w:val="16"/>
    <w:semiHidden/>
    <w:unhideWhenUsed/>
    <w:qFormat/>
    <w:uiPriority w:val="99"/>
    <w:rPr>
      <w:rFonts w:ascii="Courier New" w:hAnsi="Courier New"/>
      <w:sz w:val="20"/>
    </w:rPr>
  </w:style>
  <w:style w:type="character" w:styleId="25">
    <w:name w:val="annotation reference"/>
    <w:basedOn w:val="16"/>
    <w:semiHidden/>
    <w:unhideWhenUsed/>
    <w:qFormat/>
    <w:uiPriority w:val="99"/>
    <w:rPr>
      <w:sz w:val="21"/>
      <w:szCs w:val="21"/>
    </w:rPr>
  </w:style>
  <w:style w:type="character" w:styleId="26">
    <w:name w:val="HTML Cite"/>
    <w:basedOn w:val="16"/>
    <w:semiHidden/>
    <w:unhideWhenUsed/>
    <w:qFormat/>
    <w:uiPriority w:val="99"/>
  </w:style>
  <w:style w:type="paragraph" w:customStyle="1" w:styleId="27">
    <w:name w:val="BodyText1I2"/>
    <w:basedOn w:val="28"/>
    <w:qFormat/>
    <w:uiPriority w:val="0"/>
    <w:pPr>
      <w:spacing w:line="240" w:lineRule="auto"/>
      <w:ind w:left="420" w:leftChars="200" w:firstLine="420" w:firstLineChars="200"/>
      <w:jc w:val="both"/>
      <w:textAlignment w:val="baseline"/>
    </w:pPr>
  </w:style>
  <w:style w:type="paragraph" w:customStyle="1" w:styleId="28">
    <w:name w:val="BodyTextIndent"/>
    <w:basedOn w:val="1"/>
    <w:qFormat/>
    <w:uiPriority w:val="0"/>
    <w:pPr>
      <w:spacing w:line="240" w:lineRule="auto"/>
      <w:ind w:left="420" w:leftChars="200"/>
      <w:jc w:val="both"/>
      <w:textAlignment w:val="baseline"/>
    </w:pPr>
  </w:style>
  <w:style w:type="character" w:customStyle="1" w:styleId="29">
    <w:name w:val="Header Char"/>
    <w:basedOn w:val="16"/>
    <w:semiHidden/>
    <w:qFormat/>
    <w:uiPriority w:val="99"/>
    <w:rPr>
      <w:rFonts w:ascii="Times New Roman" w:hAnsi="Times New Roman"/>
      <w:sz w:val="18"/>
      <w:szCs w:val="18"/>
    </w:rPr>
  </w:style>
  <w:style w:type="character" w:customStyle="1" w:styleId="30">
    <w:name w:val="页眉 Char"/>
    <w:link w:val="10"/>
    <w:semiHidden/>
    <w:qFormat/>
    <w:locked/>
    <w:uiPriority w:val="99"/>
    <w:rPr>
      <w:sz w:val="18"/>
    </w:rPr>
  </w:style>
  <w:style w:type="character" w:customStyle="1" w:styleId="31">
    <w:name w:val="Footer Char"/>
    <w:basedOn w:val="16"/>
    <w:semiHidden/>
    <w:qFormat/>
    <w:uiPriority w:val="99"/>
    <w:rPr>
      <w:rFonts w:ascii="Times New Roman" w:hAnsi="Times New Roman"/>
      <w:sz w:val="18"/>
      <w:szCs w:val="18"/>
    </w:rPr>
  </w:style>
  <w:style w:type="character" w:customStyle="1" w:styleId="32">
    <w:name w:val="页脚 Char"/>
    <w:link w:val="9"/>
    <w:qFormat/>
    <w:locked/>
    <w:uiPriority w:val="99"/>
    <w:rPr>
      <w:sz w:val="18"/>
    </w:rPr>
  </w:style>
  <w:style w:type="character" w:customStyle="1" w:styleId="33">
    <w:name w:val="Body Text Char"/>
    <w:basedOn w:val="16"/>
    <w:semiHidden/>
    <w:qFormat/>
    <w:uiPriority w:val="99"/>
    <w:rPr>
      <w:rFonts w:ascii="Times New Roman" w:hAnsi="Times New Roman"/>
      <w:szCs w:val="24"/>
    </w:rPr>
  </w:style>
  <w:style w:type="character" w:customStyle="1" w:styleId="34">
    <w:name w:val="正文文本 Char"/>
    <w:link w:val="2"/>
    <w:qFormat/>
    <w:locked/>
    <w:uiPriority w:val="99"/>
    <w:rPr>
      <w:rFonts w:ascii="仿宋_GB2312" w:hAnsi="Times New Roman" w:eastAsia="仿宋_GB2312"/>
      <w:sz w:val="24"/>
    </w:rPr>
  </w:style>
  <w:style w:type="paragraph" w:customStyle="1" w:styleId="3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6">
    <w:name w:val="List Paragraph"/>
    <w:basedOn w:val="1"/>
    <w:qFormat/>
    <w:uiPriority w:val="34"/>
    <w:pPr>
      <w:ind w:firstLine="420" w:firstLineChars="200"/>
    </w:pPr>
  </w:style>
  <w:style w:type="character" w:customStyle="1" w:styleId="37">
    <w:name w:val="标题 1 Char"/>
    <w:basedOn w:val="16"/>
    <w:link w:val="3"/>
    <w:qFormat/>
    <w:uiPriority w:val="9"/>
    <w:rPr>
      <w:rFonts w:ascii="Times New Roman" w:hAnsi="Times New Roman"/>
      <w:b/>
      <w:bCs/>
      <w:kern w:val="44"/>
      <w:sz w:val="44"/>
      <w:szCs w:val="44"/>
    </w:rPr>
  </w:style>
  <w:style w:type="character" w:customStyle="1" w:styleId="3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0">
    <w:name w:val="批注框文本 Char"/>
    <w:basedOn w:val="16"/>
    <w:link w:val="8"/>
    <w:semiHidden/>
    <w:qFormat/>
    <w:uiPriority w:val="99"/>
    <w:rPr>
      <w:rFonts w:ascii="Times New Roman" w:hAnsi="Times New Roman"/>
      <w:kern w:val="2"/>
      <w:sz w:val="18"/>
      <w:szCs w:val="18"/>
    </w:rPr>
  </w:style>
  <w:style w:type="character" w:customStyle="1" w:styleId="41">
    <w:name w:val="标题 3 Char"/>
    <w:basedOn w:val="16"/>
    <w:link w:val="5"/>
    <w:qFormat/>
    <w:uiPriority w:val="9"/>
    <w:rPr>
      <w:rFonts w:ascii="Times New Roman" w:hAnsi="Times New Roman"/>
      <w:b/>
      <w:bCs/>
      <w:kern w:val="2"/>
      <w:sz w:val="32"/>
      <w:szCs w:val="32"/>
    </w:rPr>
  </w:style>
  <w:style w:type="paragraph" w:customStyle="1" w:styleId="4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43">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44">
    <w:name w:val="批注文字 Char"/>
    <w:basedOn w:val="16"/>
    <w:link w:val="6"/>
    <w:semiHidden/>
    <w:qFormat/>
    <w:uiPriority w:val="99"/>
    <w:rPr>
      <w:rFonts w:ascii="Times New Roman" w:hAnsi="Times New Roman" w:eastAsia="宋体" w:cs="Times New Roman"/>
      <w:kern w:val="2"/>
      <w:sz w:val="21"/>
      <w:szCs w:val="24"/>
    </w:rPr>
  </w:style>
  <w:style w:type="character" w:customStyle="1" w:styleId="45">
    <w:name w:val="批注主题 Char"/>
    <w:basedOn w:val="44"/>
    <w:link w:val="14"/>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BED94-682D-4A56-9571-F1635068877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27</Pages>
  <Words>11344</Words>
  <Characters>12027</Characters>
  <Lines>1</Lines>
  <Paragraphs>1</Paragraphs>
  <TotalTime>4</TotalTime>
  <ScaleCrop>false</ScaleCrop>
  <LinksUpToDate>false</LinksUpToDate>
  <CharactersWithSpaces>12092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昭化融媒体</cp:lastModifiedBy>
  <cp:lastPrinted>2020-07-23T02:58:00Z</cp:lastPrinted>
  <dcterms:modified xsi:type="dcterms:W3CDTF">2024-08-12T08:04:33Z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8DEE7DD8E2EB44F9A5DF7C2A22ED5380</vt:lpwstr>
  </property>
</Properties>
</file>