
<file path=[Content_Types].xml><?xml version="1.0" encoding="utf-8"?>
<Types xmlns="http://schemas.openxmlformats.org/package/2006/content-types">
  <Default Extension="xlsx" ContentType="application/vnd.openxmlformats-officedocument.spreadsheetml.sheet"/>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olors1.xml" ContentType="application/vnd.ms-office.chartcolorstyle+xml"/>
  <Override PartName="/word/charts/colors2.xml" ContentType="application/vnd.ms-office.chartcolorstyle+xml"/>
  <Override PartName="/word/charts/colors3.xml" ContentType="application/vnd.ms-office.chartcolorstyle+xml"/>
  <Override PartName="/word/charts/colors4.xml" ContentType="application/vnd.ms-office.chartcolorstyle+xml"/>
  <Override PartName="/word/charts/colors5.xml" ContentType="application/vnd.ms-office.chartcolorstyle+xml"/>
  <Override PartName="/word/charts/style1.xml" ContentType="application/vnd.ms-office.chartstyle+xml"/>
  <Override PartName="/word/charts/style2.xml" ContentType="application/vnd.ms-office.chartstyle+xml"/>
  <Override PartName="/word/charts/style3.xml" ContentType="application/vnd.ms-office.chartstyle+xml"/>
  <Override PartName="/word/charts/style4.xml" ContentType="application/vnd.ms-office.chartstyle+xml"/>
  <Override PartName="/word/charts/style5.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6272D3">
      <w:pPr>
        <w:spacing w:line="600" w:lineRule="exact"/>
        <w:jc w:val="center"/>
        <w:outlineLvl w:val="0"/>
        <w:rPr>
          <w:rFonts w:hint="eastAsia" w:eastAsia="方正小标宋简体"/>
          <w:color w:val="000000"/>
          <w:sz w:val="72"/>
          <w:szCs w:val="72"/>
        </w:rPr>
      </w:pPr>
      <w:bookmarkStart w:id="0" w:name="_Toc15306267"/>
    </w:p>
    <w:p w14:paraId="2AA8CEF3">
      <w:pPr>
        <w:spacing w:line="600" w:lineRule="exact"/>
        <w:jc w:val="center"/>
        <w:outlineLvl w:val="0"/>
        <w:rPr>
          <w:rFonts w:eastAsia="方正小标宋简体"/>
          <w:color w:val="000000"/>
          <w:sz w:val="72"/>
          <w:szCs w:val="72"/>
        </w:rPr>
      </w:pPr>
    </w:p>
    <w:p w14:paraId="58DBFCAD">
      <w:pPr>
        <w:spacing w:line="600" w:lineRule="exact"/>
        <w:jc w:val="center"/>
        <w:outlineLvl w:val="0"/>
        <w:rPr>
          <w:rFonts w:eastAsia="方正小标宋简体"/>
          <w:color w:val="000000"/>
          <w:sz w:val="72"/>
          <w:szCs w:val="72"/>
        </w:rPr>
      </w:pPr>
    </w:p>
    <w:p w14:paraId="631FF167">
      <w:pPr>
        <w:spacing w:line="600" w:lineRule="exact"/>
        <w:jc w:val="center"/>
        <w:outlineLvl w:val="0"/>
        <w:rPr>
          <w:rFonts w:eastAsia="方正小标宋简体"/>
          <w:color w:val="000000"/>
          <w:sz w:val="72"/>
          <w:szCs w:val="72"/>
        </w:rPr>
      </w:pPr>
    </w:p>
    <w:p w14:paraId="670C9CB9">
      <w:pPr>
        <w:adjustRightInd w:val="0"/>
        <w:snapToGrid w:val="0"/>
        <w:spacing w:line="360" w:lineRule="auto"/>
        <w:jc w:val="center"/>
        <w:outlineLvl w:val="0"/>
        <w:rPr>
          <w:rFonts w:eastAsia="方正小标宋简体"/>
          <w:color w:val="000000"/>
          <w:sz w:val="72"/>
          <w:szCs w:val="72"/>
        </w:rPr>
      </w:pPr>
      <w:bookmarkStart w:id="1" w:name="_Toc15378441"/>
      <w:bookmarkStart w:id="2" w:name="_Toc15377193"/>
      <w:bookmarkStart w:id="3" w:name="_Toc15396475"/>
      <w:bookmarkStart w:id="4" w:name="_Toc15396597"/>
      <w:bookmarkStart w:id="5" w:name="_Toc15377425"/>
      <w:r>
        <w:rPr>
          <w:rFonts w:eastAsia="方正小标宋简体"/>
          <w:color w:val="000000"/>
          <w:sz w:val="72"/>
          <w:szCs w:val="72"/>
        </w:rPr>
        <w:t>四川省广元市昭化区扶贫和移民工作局</w:t>
      </w:r>
    </w:p>
    <w:p w14:paraId="17506676">
      <w:pPr>
        <w:adjustRightInd w:val="0"/>
        <w:snapToGrid w:val="0"/>
        <w:spacing w:line="360" w:lineRule="auto"/>
        <w:jc w:val="center"/>
        <w:outlineLvl w:val="0"/>
        <w:rPr>
          <w:rFonts w:eastAsia="方正小标宋简体"/>
          <w:color w:val="000000"/>
          <w:sz w:val="72"/>
          <w:szCs w:val="72"/>
        </w:rPr>
      </w:pPr>
      <w:r>
        <w:rPr>
          <w:rFonts w:eastAsia="黑体"/>
          <w:color w:val="000000"/>
          <w:sz w:val="72"/>
          <w:szCs w:val="72"/>
        </w:rPr>
        <w:t>201</w:t>
      </w:r>
      <w:r>
        <w:rPr>
          <w:rFonts w:hint="eastAsia" w:eastAsia="黑体"/>
          <w:color w:val="000000"/>
          <w:sz w:val="72"/>
          <w:szCs w:val="72"/>
        </w:rPr>
        <w:t>9</w:t>
      </w:r>
      <w:r>
        <w:rPr>
          <w:rFonts w:eastAsia="方正小标宋简体"/>
          <w:color w:val="000000"/>
          <w:sz w:val="72"/>
          <w:szCs w:val="72"/>
        </w:rPr>
        <w:t>年度</w:t>
      </w:r>
      <w:bookmarkEnd w:id="0"/>
      <w:bookmarkEnd w:id="1"/>
      <w:bookmarkEnd w:id="2"/>
      <w:bookmarkEnd w:id="3"/>
      <w:bookmarkEnd w:id="4"/>
      <w:bookmarkEnd w:id="5"/>
      <w:bookmarkStart w:id="6" w:name="_Toc15377426"/>
      <w:bookmarkStart w:id="7" w:name="_Toc15377194"/>
      <w:bookmarkStart w:id="8" w:name="_Toc15306268"/>
      <w:bookmarkStart w:id="9" w:name="_Toc15396476"/>
      <w:bookmarkStart w:id="10" w:name="_Toc15378442"/>
      <w:bookmarkStart w:id="11" w:name="_Toc15396598"/>
      <w:r>
        <w:rPr>
          <w:rFonts w:eastAsia="方正小标宋简体"/>
          <w:color w:val="000000"/>
          <w:sz w:val="72"/>
          <w:szCs w:val="72"/>
        </w:rPr>
        <w:t>部门决算</w:t>
      </w:r>
      <w:bookmarkEnd w:id="6"/>
      <w:bookmarkEnd w:id="7"/>
      <w:bookmarkEnd w:id="8"/>
      <w:bookmarkEnd w:id="9"/>
      <w:bookmarkEnd w:id="10"/>
      <w:bookmarkEnd w:id="11"/>
    </w:p>
    <w:p w14:paraId="461D711B">
      <w:pPr>
        <w:widowControl/>
        <w:jc w:val="center"/>
        <w:rPr>
          <w:rFonts w:eastAsia="方正小标宋简体"/>
          <w:color w:val="000000"/>
          <w:sz w:val="36"/>
          <w:szCs w:val="36"/>
        </w:rPr>
        <w:sectPr>
          <w:headerReference r:id="rId3" w:type="default"/>
          <w:footerReference r:id="rId4" w:type="default"/>
          <w:pgSz w:w="16838" w:h="11906" w:orient="landscape"/>
          <w:pgMar w:top="1800" w:right="1440" w:bottom="1800" w:left="1440" w:header="851" w:footer="992" w:gutter="0"/>
          <w:pgNumType w:start="1"/>
          <w:cols w:space="425" w:num="1"/>
          <w:titlePg/>
          <w:docGrid w:type="lines" w:linePitch="312" w:charSpace="0"/>
        </w:sectPr>
      </w:pPr>
      <w:r>
        <w:rPr>
          <w:rFonts w:eastAsia="方正小标宋简体"/>
          <w:color w:val="000000"/>
          <w:sz w:val="36"/>
          <w:szCs w:val="36"/>
        </w:rPr>
        <w:br w:type="page"/>
      </w:r>
    </w:p>
    <w:p w14:paraId="049165B7">
      <w:pPr>
        <w:widowControl/>
        <w:jc w:val="center"/>
        <w:rPr>
          <w:rFonts w:eastAsia="黑体"/>
          <w:color w:val="000000"/>
          <w:sz w:val="44"/>
          <w:szCs w:val="44"/>
        </w:rPr>
      </w:pPr>
      <w:r>
        <w:rPr>
          <w:rFonts w:eastAsia="黑体"/>
          <w:color w:val="000000"/>
          <w:sz w:val="44"/>
          <w:szCs w:val="44"/>
        </w:rPr>
        <w:t>目  录</w:t>
      </w:r>
    </w:p>
    <w:p w14:paraId="340E6A57">
      <w:pPr>
        <w:widowControl/>
        <w:jc w:val="center"/>
        <w:rPr>
          <w:rFonts w:eastAsia="黑体"/>
          <w:sz w:val="28"/>
          <w:szCs w:val="28"/>
        </w:rPr>
      </w:pPr>
      <w:r>
        <w:rPr>
          <w:rFonts w:eastAsia="黑体"/>
          <w:color w:val="000000"/>
          <w:sz w:val="48"/>
          <w:szCs w:val="48"/>
        </w:rPr>
        <w:fldChar w:fldCharType="begin"/>
      </w:r>
      <w:r>
        <w:rPr>
          <w:rFonts w:eastAsia="黑体"/>
          <w:color w:val="000000"/>
          <w:sz w:val="48"/>
          <w:szCs w:val="48"/>
        </w:rPr>
        <w:instrText xml:space="preserve"> TOC \o "1-2" \h \z \u </w:instrText>
      </w:r>
      <w:r>
        <w:rPr>
          <w:rFonts w:eastAsia="黑体"/>
          <w:color w:val="000000"/>
          <w:sz w:val="48"/>
          <w:szCs w:val="48"/>
        </w:rPr>
        <w:fldChar w:fldCharType="separate"/>
      </w:r>
    </w:p>
    <w:p w14:paraId="7FD91D71">
      <w:pPr>
        <w:pStyle w:val="12"/>
        <w:rPr>
          <w:rFonts w:ascii="Times New Roman" w:hAnsi="Times New Roman"/>
          <w:sz w:val="32"/>
          <w:szCs w:val="32"/>
        </w:rPr>
      </w:pPr>
      <w:r>
        <w:rPr>
          <w:rFonts w:ascii="Times New Roman" w:hAnsi="Times New Roman"/>
          <w:sz w:val="32"/>
          <w:szCs w:val="32"/>
        </w:rPr>
        <w:t>公开时间：20</w:t>
      </w:r>
      <w:r>
        <w:rPr>
          <w:rFonts w:hint="eastAsia" w:ascii="Times New Roman" w:hAnsi="Times New Roman"/>
          <w:sz w:val="32"/>
          <w:szCs w:val="32"/>
        </w:rPr>
        <w:t>20</w:t>
      </w:r>
      <w:r>
        <w:rPr>
          <w:rFonts w:ascii="Times New Roman" w:hAnsi="Times New Roman"/>
          <w:sz w:val="32"/>
          <w:szCs w:val="32"/>
        </w:rPr>
        <w:t>年</w:t>
      </w:r>
      <w:r>
        <w:rPr>
          <w:rFonts w:hint="eastAsia" w:ascii="Times New Roman" w:hAnsi="Times New Roman"/>
          <w:sz w:val="32"/>
          <w:szCs w:val="32"/>
        </w:rPr>
        <w:t>10</w:t>
      </w:r>
      <w:r>
        <w:rPr>
          <w:rFonts w:ascii="Times New Roman" w:hAnsi="Times New Roman"/>
          <w:sz w:val="32"/>
          <w:szCs w:val="32"/>
        </w:rPr>
        <w:t>月</w:t>
      </w:r>
      <w:r>
        <w:rPr>
          <w:rFonts w:hint="eastAsia" w:ascii="Times New Roman" w:hAnsi="Times New Roman"/>
          <w:sz w:val="32"/>
          <w:szCs w:val="32"/>
        </w:rPr>
        <w:t>9</w:t>
      </w:r>
      <w:r>
        <w:rPr>
          <w:rFonts w:ascii="Times New Roman" w:hAnsi="Times New Roman"/>
          <w:sz w:val="32"/>
          <w:szCs w:val="32"/>
        </w:rPr>
        <w:t>日</w:t>
      </w:r>
    </w:p>
    <w:p w14:paraId="58619E53"/>
    <w:p w14:paraId="5E1F1057">
      <w:pPr>
        <w:pStyle w:val="12"/>
        <w:spacing w:line="576" w:lineRule="exact"/>
        <w:jc w:val="both"/>
        <w:rPr>
          <w:rFonts w:ascii="Times New Roman" w:hAnsi="Times New Roman"/>
          <w:sz w:val="32"/>
          <w:szCs w:val="32"/>
        </w:rPr>
      </w:pPr>
      <w:r>
        <w:fldChar w:fldCharType="begin"/>
      </w:r>
      <w:r>
        <w:instrText xml:space="preserve"> HYPERLINK \l "_Toc15396599" </w:instrText>
      </w:r>
      <w:r>
        <w:fldChar w:fldCharType="separate"/>
      </w:r>
      <w:r>
        <w:rPr>
          <w:rStyle w:val="19"/>
          <w:rFonts w:ascii="Times New Roman" w:hAnsi="Times New Roman" w:eastAsia="黑体"/>
          <w:sz w:val="32"/>
          <w:szCs w:val="32"/>
        </w:rPr>
        <w:t>第一部分 部门概况</w:t>
      </w:r>
      <w:r>
        <w:rPr>
          <w:rFonts w:ascii="Times New Roman" w:hAnsi="Times New Roman"/>
          <w:sz w:val="32"/>
          <w:szCs w:val="32"/>
        </w:rPr>
        <w:tab/>
      </w:r>
      <w:r>
        <w:rPr>
          <w:rFonts w:ascii="Times New Roman" w:hAnsi="Times New Roman"/>
          <w:sz w:val="32"/>
          <w:szCs w:val="32"/>
        </w:rPr>
        <w:t>4</w:t>
      </w:r>
      <w:r>
        <w:rPr>
          <w:rFonts w:ascii="Times New Roman" w:hAnsi="Times New Roman"/>
          <w:sz w:val="32"/>
          <w:szCs w:val="32"/>
        </w:rPr>
        <w:fldChar w:fldCharType="end"/>
      </w:r>
    </w:p>
    <w:p w14:paraId="04024FAD">
      <w:pPr>
        <w:pStyle w:val="13"/>
        <w:spacing w:line="576" w:lineRule="exact"/>
        <w:ind w:left="0" w:leftChars="0"/>
        <w:rPr>
          <w:rFonts w:eastAsia="仿宋"/>
          <w:sz w:val="32"/>
          <w:szCs w:val="32"/>
        </w:rPr>
      </w:pPr>
      <w:r>
        <w:fldChar w:fldCharType="begin"/>
      </w:r>
      <w:r>
        <w:instrText xml:space="preserve"> HYPERLINK \l "_Toc15396600" </w:instrText>
      </w:r>
      <w:r>
        <w:fldChar w:fldCharType="separate"/>
      </w:r>
      <w:r>
        <w:rPr>
          <w:rStyle w:val="19"/>
          <w:rFonts w:eastAsia="仿宋"/>
          <w:sz w:val="32"/>
          <w:szCs w:val="32"/>
        </w:rPr>
        <w:t>一、基本职能及主要工作</w:t>
      </w:r>
      <w:r>
        <w:rPr>
          <w:rFonts w:eastAsia="仿宋"/>
          <w:sz w:val="32"/>
          <w:szCs w:val="32"/>
        </w:rPr>
        <w:tab/>
      </w:r>
      <w:r>
        <w:rPr>
          <w:rFonts w:eastAsia="仿宋"/>
          <w:sz w:val="32"/>
          <w:szCs w:val="32"/>
        </w:rPr>
        <w:t>4</w:t>
      </w:r>
      <w:r>
        <w:rPr>
          <w:rFonts w:eastAsia="仿宋"/>
          <w:sz w:val="32"/>
          <w:szCs w:val="32"/>
        </w:rPr>
        <w:fldChar w:fldCharType="end"/>
      </w:r>
    </w:p>
    <w:p w14:paraId="75D16E43">
      <w:pPr>
        <w:pStyle w:val="13"/>
        <w:spacing w:line="576" w:lineRule="exact"/>
        <w:ind w:left="0" w:leftChars="0"/>
        <w:rPr>
          <w:rFonts w:eastAsia="仿宋"/>
          <w:sz w:val="32"/>
          <w:szCs w:val="32"/>
        </w:rPr>
      </w:pPr>
      <w:r>
        <w:fldChar w:fldCharType="begin"/>
      </w:r>
      <w:r>
        <w:instrText xml:space="preserve"> HYPERLINK \l "_Toc15396601" </w:instrText>
      </w:r>
      <w:r>
        <w:fldChar w:fldCharType="separate"/>
      </w:r>
      <w:r>
        <w:rPr>
          <w:rStyle w:val="19"/>
          <w:rFonts w:eastAsia="仿宋"/>
          <w:sz w:val="32"/>
          <w:szCs w:val="32"/>
        </w:rPr>
        <w:t>二、机构设置</w:t>
      </w:r>
      <w:r>
        <w:rPr>
          <w:rFonts w:eastAsia="仿宋"/>
          <w:sz w:val="32"/>
          <w:szCs w:val="32"/>
        </w:rPr>
        <w:tab/>
      </w:r>
      <w:r>
        <w:rPr>
          <w:rFonts w:eastAsia="仿宋"/>
          <w:sz w:val="32"/>
          <w:szCs w:val="32"/>
        </w:rPr>
        <w:fldChar w:fldCharType="begin"/>
      </w:r>
      <w:r>
        <w:rPr>
          <w:rFonts w:eastAsia="仿宋"/>
          <w:sz w:val="32"/>
          <w:szCs w:val="32"/>
        </w:rPr>
        <w:instrText xml:space="preserve"> PAGEREF _Toc15396601 \h </w:instrText>
      </w:r>
      <w:r>
        <w:rPr>
          <w:rFonts w:eastAsia="仿宋"/>
          <w:sz w:val="32"/>
          <w:szCs w:val="32"/>
        </w:rPr>
        <w:fldChar w:fldCharType="separate"/>
      </w:r>
      <w:r>
        <w:rPr>
          <w:rFonts w:eastAsia="仿宋"/>
          <w:sz w:val="32"/>
          <w:szCs w:val="32"/>
        </w:rPr>
        <w:t>4</w:t>
      </w:r>
      <w:r>
        <w:rPr>
          <w:rFonts w:eastAsia="仿宋"/>
          <w:sz w:val="32"/>
          <w:szCs w:val="32"/>
        </w:rPr>
        <w:fldChar w:fldCharType="end"/>
      </w:r>
      <w:r>
        <w:rPr>
          <w:rFonts w:eastAsia="仿宋"/>
          <w:sz w:val="32"/>
          <w:szCs w:val="32"/>
        </w:rPr>
        <w:fldChar w:fldCharType="end"/>
      </w:r>
    </w:p>
    <w:p w14:paraId="4E454513">
      <w:pPr>
        <w:pStyle w:val="12"/>
        <w:spacing w:line="576" w:lineRule="exact"/>
        <w:jc w:val="both"/>
        <w:rPr>
          <w:rFonts w:ascii="Times New Roman" w:hAnsi="Times New Roman"/>
          <w:sz w:val="32"/>
          <w:szCs w:val="32"/>
        </w:rPr>
      </w:pPr>
      <w:r>
        <w:fldChar w:fldCharType="begin"/>
      </w:r>
      <w:r>
        <w:instrText xml:space="preserve"> HYPERLINK \l "_Toc15396602" </w:instrText>
      </w:r>
      <w:r>
        <w:fldChar w:fldCharType="separate"/>
      </w:r>
      <w:r>
        <w:rPr>
          <w:rStyle w:val="19"/>
          <w:rFonts w:ascii="Times New Roman" w:hAnsi="Times New Roman" w:eastAsia="黑体"/>
          <w:sz w:val="32"/>
          <w:szCs w:val="32"/>
        </w:rPr>
        <w:t>第二部分 201</w:t>
      </w:r>
      <w:r>
        <w:rPr>
          <w:rStyle w:val="19"/>
          <w:rFonts w:hint="eastAsia" w:ascii="Times New Roman" w:hAnsi="Times New Roman" w:eastAsia="黑体"/>
          <w:sz w:val="32"/>
          <w:szCs w:val="32"/>
        </w:rPr>
        <w:t>9</w:t>
      </w:r>
      <w:r>
        <w:rPr>
          <w:rStyle w:val="19"/>
          <w:rFonts w:ascii="Times New Roman" w:hAnsi="Times New Roman" w:eastAsia="黑体"/>
          <w:sz w:val="32"/>
          <w:szCs w:val="32"/>
        </w:rPr>
        <w:t>年度部门决算情况说明</w:t>
      </w:r>
      <w:r>
        <w:rPr>
          <w:rFonts w:ascii="Times New Roman" w:hAnsi="Times New Roman"/>
          <w:sz w:val="32"/>
          <w:szCs w:val="32"/>
        </w:rPr>
        <w:tab/>
      </w:r>
      <w:r>
        <w:rPr>
          <w:rFonts w:ascii="Times New Roman" w:hAnsi="Times New Roman"/>
          <w:sz w:val="32"/>
          <w:szCs w:val="32"/>
        </w:rPr>
        <w:fldChar w:fldCharType="begin"/>
      </w:r>
      <w:r>
        <w:rPr>
          <w:rFonts w:ascii="Times New Roman" w:hAnsi="Times New Roman"/>
          <w:sz w:val="32"/>
          <w:szCs w:val="32"/>
        </w:rPr>
        <w:instrText xml:space="preserve"> PAGEREF _Toc15396602 \h </w:instrText>
      </w:r>
      <w:r>
        <w:rPr>
          <w:rFonts w:ascii="Times New Roman" w:hAnsi="Times New Roman"/>
          <w:sz w:val="32"/>
          <w:szCs w:val="32"/>
        </w:rPr>
        <w:fldChar w:fldCharType="separate"/>
      </w:r>
      <w:r>
        <w:rPr>
          <w:rFonts w:ascii="Times New Roman" w:hAnsi="Times New Roman"/>
          <w:sz w:val="32"/>
          <w:szCs w:val="32"/>
        </w:rPr>
        <w:t>8</w:t>
      </w:r>
      <w:r>
        <w:rPr>
          <w:rFonts w:ascii="Times New Roman" w:hAnsi="Times New Roman"/>
          <w:sz w:val="32"/>
          <w:szCs w:val="32"/>
        </w:rPr>
        <w:fldChar w:fldCharType="end"/>
      </w:r>
      <w:r>
        <w:rPr>
          <w:rFonts w:ascii="Times New Roman" w:hAnsi="Times New Roman"/>
          <w:sz w:val="32"/>
          <w:szCs w:val="32"/>
        </w:rPr>
        <w:fldChar w:fldCharType="end"/>
      </w:r>
    </w:p>
    <w:p w14:paraId="53E7472D">
      <w:pPr>
        <w:pStyle w:val="13"/>
        <w:spacing w:line="576" w:lineRule="exact"/>
        <w:ind w:left="0" w:leftChars="0"/>
        <w:rPr>
          <w:rFonts w:eastAsia="仿宋"/>
          <w:sz w:val="32"/>
          <w:szCs w:val="32"/>
        </w:rPr>
      </w:pPr>
      <w:r>
        <w:fldChar w:fldCharType="begin"/>
      </w:r>
      <w:r>
        <w:instrText xml:space="preserve"> HYPERLINK \l "_Toc15396603" </w:instrText>
      </w:r>
      <w:r>
        <w:fldChar w:fldCharType="separate"/>
      </w:r>
      <w:r>
        <w:rPr>
          <w:rStyle w:val="19"/>
          <w:rFonts w:eastAsia="仿宋"/>
          <w:bCs/>
          <w:sz w:val="32"/>
          <w:szCs w:val="32"/>
        </w:rPr>
        <w:t>一、</w:t>
      </w:r>
      <w:r>
        <w:rPr>
          <w:rStyle w:val="19"/>
          <w:rFonts w:eastAsia="仿宋"/>
          <w:sz w:val="32"/>
          <w:szCs w:val="32"/>
        </w:rPr>
        <w:t>收</w:t>
      </w:r>
      <w:r>
        <w:rPr>
          <w:rStyle w:val="19"/>
          <w:rFonts w:eastAsia="仿宋"/>
          <w:bCs/>
          <w:sz w:val="32"/>
          <w:szCs w:val="32"/>
        </w:rPr>
        <w:t>入支出决算总体情况说明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_Toc15396603 \h </w:instrText>
      </w:r>
      <w:r>
        <w:rPr>
          <w:rFonts w:eastAsia="仿宋"/>
          <w:sz w:val="32"/>
          <w:szCs w:val="32"/>
        </w:rPr>
        <w:fldChar w:fldCharType="separate"/>
      </w:r>
      <w:r>
        <w:rPr>
          <w:rFonts w:eastAsia="仿宋"/>
          <w:sz w:val="32"/>
          <w:szCs w:val="32"/>
        </w:rPr>
        <w:t>8</w:t>
      </w:r>
      <w:r>
        <w:rPr>
          <w:rFonts w:eastAsia="仿宋"/>
          <w:sz w:val="32"/>
          <w:szCs w:val="32"/>
        </w:rPr>
        <w:fldChar w:fldCharType="end"/>
      </w:r>
      <w:r>
        <w:rPr>
          <w:rFonts w:eastAsia="仿宋"/>
          <w:sz w:val="32"/>
          <w:szCs w:val="32"/>
        </w:rPr>
        <w:fldChar w:fldCharType="end"/>
      </w:r>
    </w:p>
    <w:p w14:paraId="116AE546">
      <w:pPr>
        <w:pStyle w:val="13"/>
        <w:spacing w:line="576" w:lineRule="exact"/>
        <w:ind w:left="0" w:leftChars="0"/>
        <w:rPr>
          <w:rFonts w:eastAsia="仿宋"/>
          <w:sz w:val="32"/>
          <w:szCs w:val="32"/>
        </w:rPr>
      </w:pPr>
      <w:r>
        <w:fldChar w:fldCharType="begin"/>
      </w:r>
      <w:r>
        <w:instrText xml:space="preserve"> HYPERLINK \l "_Toc15396604" </w:instrText>
      </w:r>
      <w:r>
        <w:fldChar w:fldCharType="separate"/>
      </w:r>
      <w:r>
        <w:rPr>
          <w:rStyle w:val="19"/>
          <w:rFonts w:eastAsia="仿宋"/>
          <w:bCs/>
          <w:sz w:val="32"/>
          <w:szCs w:val="32"/>
        </w:rPr>
        <w:t>二、</w:t>
      </w:r>
      <w:r>
        <w:rPr>
          <w:rStyle w:val="19"/>
          <w:rFonts w:eastAsia="仿宋"/>
          <w:sz w:val="32"/>
          <w:szCs w:val="32"/>
        </w:rPr>
        <w:t>收</w:t>
      </w:r>
      <w:r>
        <w:rPr>
          <w:rStyle w:val="19"/>
          <w:rFonts w:eastAsia="仿宋"/>
          <w:bCs/>
          <w:sz w:val="32"/>
          <w:szCs w:val="32"/>
        </w:rPr>
        <w:t>入决算情况说明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_Toc15396604 \h </w:instrText>
      </w:r>
      <w:r>
        <w:rPr>
          <w:rFonts w:eastAsia="仿宋"/>
          <w:sz w:val="32"/>
          <w:szCs w:val="32"/>
        </w:rPr>
        <w:fldChar w:fldCharType="separate"/>
      </w:r>
      <w:r>
        <w:rPr>
          <w:rFonts w:eastAsia="仿宋"/>
          <w:sz w:val="32"/>
          <w:szCs w:val="32"/>
        </w:rPr>
        <w:t>9</w:t>
      </w:r>
      <w:r>
        <w:rPr>
          <w:rFonts w:eastAsia="仿宋"/>
          <w:sz w:val="32"/>
          <w:szCs w:val="32"/>
        </w:rPr>
        <w:fldChar w:fldCharType="end"/>
      </w:r>
      <w:r>
        <w:rPr>
          <w:rFonts w:eastAsia="仿宋"/>
          <w:sz w:val="32"/>
          <w:szCs w:val="32"/>
        </w:rPr>
        <w:fldChar w:fldCharType="end"/>
      </w:r>
    </w:p>
    <w:p w14:paraId="7E37AA56">
      <w:pPr>
        <w:pStyle w:val="13"/>
        <w:spacing w:line="576" w:lineRule="exact"/>
        <w:ind w:left="0" w:leftChars="0"/>
        <w:rPr>
          <w:rFonts w:eastAsia="仿宋"/>
          <w:sz w:val="32"/>
          <w:szCs w:val="32"/>
        </w:rPr>
      </w:pPr>
      <w:r>
        <w:fldChar w:fldCharType="begin"/>
      </w:r>
      <w:r>
        <w:instrText xml:space="preserve"> HYPERLINK \l "_Toc15396605" </w:instrText>
      </w:r>
      <w:r>
        <w:fldChar w:fldCharType="separate"/>
      </w:r>
      <w:r>
        <w:rPr>
          <w:rStyle w:val="19"/>
          <w:rFonts w:eastAsia="仿宋"/>
          <w:bCs/>
          <w:sz w:val="32"/>
          <w:szCs w:val="32"/>
        </w:rPr>
        <w:t>三、</w:t>
      </w:r>
      <w:r>
        <w:rPr>
          <w:rStyle w:val="19"/>
          <w:rFonts w:eastAsia="仿宋"/>
          <w:sz w:val="32"/>
          <w:szCs w:val="32"/>
        </w:rPr>
        <w:t>支</w:t>
      </w:r>
      <w:r>
        <w:rPr>
          <w:rStyle w:val="19"/>
          <w:rFonts w:eastAsia="仿宋"/>
          <w:bCs/>
          <w:sz w:val="32"/>
          <w:szCs w:val="32"/>
        </w:rPr>
        <w:t>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_Toc15396605 \h </w:instrText>
      </w:r>
      <w:r>
        <w:rPr>
          <w:rFonts w:eastAsia="仿宋"/>
          <w:sz w:val="32"/>
          <w:szCs w:val="32"/>
        </w:rPr>
        <w:fldChar w:fldCharType="separate"/>
      </w:r>
      <w:r>
        <w:rPr>
          <w:rFonts w:eastAsia="仿宋"/>
          <w:sz w:val="32"/>
          <w:szCs w:val="32"/>
        </w:rPr>
        <w:t>10</w:t>
      </w:r>
      <w:r>
        <w:rPr>
          <w:rFonts w:eastAsia="仿宋"/>
          <w:sz w:val="32"/>
          <w:szCs w:val="32"/>
        </w:rPr>
        <w:fldChar w:fldCharType="end"/>
      </w:r>
      <w:r>
        <w:rPr>
          <w:rFonts w:eastAsia="仿宋"/>
          <w:sz w:val="32"/>
          <w:szCs w:val="32"/>
        </w:rPr>
        <w:fldChar w:fldCharType="end"/>
      </w:r>
    </w:p>
    <w:p w14:paraId="481B03B9">
      <w:pPr>
        <w:pStyle w:val="13"/>
        <w:spacing w:line="576" w:lineRule="exact"/>
        <w:ind w:left="0" w:leftChars="0"/>
        <w:rPr>
          <w:rFonts w:eastAsia="仿宋"/>
          <w:sz w:val="32"/>
          <w:szCs w:val="32"/>
        </w:rPr>
      </w:pPr>
      <w:r>
        <w:fldChar w:fldCharType="begin"/>
      </w:r>
      <w:r>
        <w:instrText xml:space="preserve"> HYPERLINK \l "_Toc15396606" </w:instrText>
      </w:r>
      <w:r>
        <w:fldChar w:fldCharType="separate"/>
      </w:r>
      <w:r>
        <w:rPr>
          <w:rStyle w:val="19"/>
          <w:rFonts w:eastAsia="仿宋"/>
          <w:sz w:val="32"/>
          <w:szCs w:val="32"/>
        </w:rPr>
        <w:t>四、财</w:t>
      </w:r>
      <w:r>
        <w:rPr>
          <w:rStyle w:val="19"/>
          <w:rFonts w:eastAsia="仿宋"/>
          <w:bCs/>
          <w:sz w:val="32"/>
          <w:szCs w:val="32"/>
        </w:rPr>
        <w:t>政拨款收入支出决算总体情况说明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_Toc15396606 \h </w:instrText>
      </w:r>
      <w:r>
        <w:rPr>
          <w:rFonts w:eastAsia="仿宋"/>
          <w:sz w:val="32"/>
          <w:szCs w:val="32"/>
        </w:rPr>
        <w:fldChar w:fldCharType="separate"/>
      </w:r>
      <w:r>
        <w:rPr>
          <w:rFonts w:eastAsia="仿宋"/>
          <w:sz w:val="32"/>
          <w:szCs w:val="32"/>
        </w:rPr>
        <w:t>10</w:t>
      </w:r>
      <w:r>
        <w:rPr>
          <w:rFonts w:eastAsia="仿宋"/>
          <w:sz w:val="32"/>
          <w:szCs w:val="32"/>
        </w:rPr>
        <w:fldChar w:fldCharType="end"/>
      </w:r>
      <w:r>
        <w:rPr>
          <w:rFonts w:eastAsia="仿宋"/>
          <w:sz w:val="32"/>
          <w:szCs w:val="32"/>
        </w:rPr>
        <w:fldChar w:fldCharType="end"/>
      </w:r>
    </w:p>
    <w:p w14:paraId="22DFD4DC">
      <w:pPr>
        <w:pStyle w:val="13"/>
        <w:spacing w:line="576" w:lineRule="exact"/>
        <w:ind w:left="0" w:leftChars="0"/>
        <w:rPr>
          <w:rFonts w:eastAsia="仿宋"/>
          <w:sz w:val="32"/>
          <w:szCs w:val="32"/>
        </w:rPr>
      </w:pPr>
      <w:r>
        <w:fldChar w:fldCharType="begin"/>
      </w:r>
      <w:r>
        <w:instrText xml:space="preserve"> HYPERLINK \l "_Toc15396607" </w:instrText>
      </w:r>
      <w:r>
        <w:fldChar w:fldCharType="separate"/>
      </w:r>
      <w:r>
        <w:rPr>
          <w:rStyle w:val="19"/>
          <w:rFonts w:eastAsia="仿宋"/>
          <w:sz w:val="32"/>
          <w:szCs w:val="32"/>
        </w:rPr>
        <w:t>五、一</w:t>
      </w:r>
      <w:r>
        <w:rPr>
          <w:rStyle w:val="19"/>
          <w:rFonts w:eastAsia="仿宋"/>
          <w:bCs/>
          <w:sz w:val="32"/>
          <w:szCs w:val="32"/>
        </w:rPr>
        <w:t>般公共预算财政拨款支出决算情况说明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_Toc15396607 \h </w:instrText>
      </w:r>
      <w:r>
        <w:rPr>
          <w:rFonts w:eastAsia="仿宋"/>
          <w:sz w:val="32"/>
          <w:szCs w:val="32"/>
        </w:rPr>
        <w:fldChar w:fldCharType="separate"/>
      </w:r>
      <w:r>
        <w:rPr>
          <w:rFonts w:eastAsia="仿宋"/>
          <w:sz w:val="32"/>
          <w:szCs w:val="32"/>
        </w:rPr>
        <w:t>11</w:t>
      </w:r>
      <w:r>
        <w:rPr>
          <w:rFonts w:eastAsia="仿宋"/>
          <w:sz w:val="32"/>
          <w:szCs w:val="32"/>
        </w:rPr>
        <w:fldChar w:fldCharType="end"/>
      </w:r>
      <w:r>
        <w:rPr>
          <w:rFonts w:eastAsia="仿宋"/>
          <w:sz w:val="32"/>
          <w:szCs w:val="32"/>
        </w:rPr>
        <w:fldChar w:fldCharType="end"/>
      </w:r>
    </w:p>
    <w:p w14:paraId="6887CFA9">
      <w:pPr>
        <w:pStyle w:val="13"/>
        <w:spacing w:line="576" w:lineRule="exact"/>
        <w:ind w:left="0" w:leftChars="0"/>
        <w:rPr>
          <w:rFonts w:eastAsia="仿宋"/>
          <w:sz w:val="32"/>
          <w:szCs w:val="32"/>
        </w:rPr>
      </w:pPr>
      <w:r>
        <w:fldChar w:fldCharType="begin"/>
      </w:r>
      <w:r>
        <w:instrText xml:space="preserve"> HYPERLINK \l "_Toc15396608" </w:instrText>
      </w:r>
      <w:r>
        <w:fldChar w:fldCharType="separate"/>
      </w:r>
      <w:r>
        <w:rPr>
          <w:rStyle w:val="19"/>
          <w:rFonts w:eastAsia="仿宋"/>
          <w:sz w:val="32"/>
          <w:szCs w:val="32"/>
        </w:rPr>
        <w:t>六、一</w:t>
      </w:r>
      <w:r>
        <w:rPr>
          <w:rStyle w:val="19"/>
          <w:rFonts w:eastAsia="仿宋"/>
          <w:bCs/>
          <w:sz w:val="32"/>
          <w:szCs w:val="32"/>
        </w:rPr>
        <w:t>般公共预算财政拨款基本支出决算情况说明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_Toc15396608 \h </w:instrText>
      </w:r>
      <w:r>
        <w:rPr>
          <w:rFonts w:eastAsia="仿宋"/>
          <w:sz w:val="32"/>
          <w:szCs w:val="32"/>
        </w:rPr>
        <w:fldChar w:fldCharType="separate"/>
      </w:r>
      <w:r>
        <w:rPr>
          <w:rFonts w:eastAsia="仿宋"/>
          <w:sz w:val="32"/>
          <w:szCs w:val="32"/>
        </w:rPr>
        <w:t>13</w:t>
      </w:r>
      <w:r>
        <w:rPr>
          <w:rFonts w:eastAsia="仿宋"/>
          <w:sz w:val="32"/>
          <w:szCs w:val="32"/>
        </w:rPr>
        <w:fldChar w:fldCharType="end"/>
      </w:r>
      <w:r>
        <w:rPr>
          <w:rFonts w:eastAsia="仿宋"/>
          <w:sz w:val="32"/>
          <w:szCs w:val="32"/>
        </w:rPr>
        <w:fldChar w:fldCharType="end"/>
      </w:r>
    </w:p>
    <w:p w14:paraId="3D106F15">
      <w:pPr>
        <w:pStyle w:val="13"/>
        <w:spacing w:line="576" w:lineRule="exact"/>
        <w:ind w:left="0" w:leftChars="0"/>
        <w:rPr>
          <w:rFonts w:eastAsia="仿宋"/>
          <w:sz w:val="32"/>
          <w:szCs w:val="32"/>
        </w:rPr>
      </w:pPr>
      <w:r>
        <w:fldChar w:fldCharType="begin"/>
      </w:r>
      <w:r>
        <w:instrText xml:space="preserve"> HYPERLINK \l "_Toc15396609" </w:instrText>
      </w:r>
      <w:r>
        <w:fldChar w:fldCharType="separate"/>
      </w:r>
      <w:r>
        <w:rPr>
          <w:rStyle w:val="19"/>
          <w:rFonts w:eastAsia="仿宋"/>
          <w:sz w:val="32"/>
          <w:szCs w:val="32"/>
        </w:rPr>
        <w:t>七、“</w:t>
      </w:r>
      <w:r>
        <w:rPr>
          <w:rStyle w:val="19"/>
          <w:rFonts w:eastAsia="仿宋"/>
          <w:bCs/>
          <w:sz w:val="32"/>
          <w:szCs w:val="32"/>
        </w:rPr>
        <w:t>三公”经费财政拨款支出决算情况说明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_Toc15396609 \h </w:instrText>
      </w:r>
      <w:r>
        <w:rPr>
          <w:rFonts w:eastAsia="仿宋"/>
          <w:sz w:val="32"/>
          <w:szCs w:val="32"/>
        </w:rPr>
        <w:fldChar w:fldCharType="separate"/>
      </w:r>
      <w:r>
        <w:rPr>
          <w:rFonts w:eastAsia="仿宋"/>
          <w:sz w:val="32"/>
          <w:szCs w:val="32"/>
        </w:rPr>
        <w:t>13</w:t>
      </w:r>
      <w:r>
        <w:rPr>
          <w:rFonts w:eastAsia="仿宋"/>
          <w:sz w:val="32"/>
          <w:szCs w:val="32"/>
        </w:rPr>
        <w:fldChar w:fldCharType="end"/>
      </w:r>
      <w:r>
        <w:rPr>
          <w:rFonts w:eastAsia="仿宋"/>
          <w:sz w:val="32"/>
          <w:szCs w:val="32"/>
        </w:rPr>
        <w:fldChar w:fldCharType="end"/>
      </w:r>
    </w:p>
    <w:p w14:paraId="34FB34F3">
      <w:pPr>
        <w:pStyle w:val="13"/>
        <w:spacing w:line="576" w:lineRule="exact"/>
        <w:ind w:left="0" w:leftChars="0"/>
        <w:rPr>
          <w:rFonts w:eastAsia="仿宋"/>
          <w:sz w:val="32"/>
          <w:szCs w:val="32"/>
        </w:rPr>
      </w:pPr>
      <w:r>
        <w:fldChar w:fldCharType="begin"/>
      </w:r>
      <w:r>
        <w:instrText xml:space="preserve"> HYPERLINK \l "_Toc15396610" </w:instrText>
      </w:r>
      <w:r>
        <w:fldChar w:fldCharType="separate"/>
      </w:r>
      <w:r>
        <w:rPr>
          <w:rStyle w:val="19"/>
          <w:rFonts w:eastAsia="仿宋"/>
          <w:sz w:val="32"/>
          <w:szCs w:val="32"/>
        </w:rPr>
        <w:t>八、</w:t>
      </w:r>
      <w:r>
        <w:rPr>
          <w:rStyle w:val="19"/>
          <w:rFonts w:eastAsia="仿宋"/>
          <w:bCs/>
          <w:sz w:val="32"/>
          <w:szCs w:val="32"/>
        </w:rPr>
        <w:t>政府性基金预算支出决算情况说明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_Toc15396610 \h </w:instrText>
      </w:r>
      <w:r>
        <w:rPr>
          <w:rFonts w:eastAsia="仿宋"/>
          <w:sz w:val="32"/>
          <w:szCs w:val="32"/>
        </w:rPr>
        <w:fldChar w:fldCharType="separate"/>
      </w:r>
      <w:r>
        <w:rPr>
          <w:rFonts w:eastAsia="仿宋"/>
          <w:sz w:val="32"/>
          <w:szCs w:val="32"/>
        </w:rPr>
        <w:t>14</w:t>
      </w:r>
      <w:r>
        <w:rPr>
          <w:rFonts w:eastAsia="仿宋"/>
          <w:sz w:val="32"/>
          <w:szCs w:val="32"/>
        </w:rPr>
        <w:fldChar w:fldCharType="end"/>
      </w:r>
      <w:r>
        <w:rPr>
          <w:rFonts w:eastAsia="仿宋"/>
          <w:sz w:val="32"/>
          <w:szCs w:val="32"/>
        </w:rPr>
        <w:fldChar w:fldCharType="end"/>
      </w:r>
    </w:p>
    <w:p w14:paraId="7A704DD1">
      <w:pPr>
        <w:pStyle w:val="13"/>
        <w:spacing w:line="576" w:lineRule="exact"/>
        <w:ind w:left="0" w:leftChars="0"/>
        <w:rPr>
          <w:rFonts w:eastAsia="仿宋"/>
          <w:sz w:val="32"/>
          <w:szCs w:val="32"/>
        </w:rPr>
      </w:pPr>
      <w:r>
        <w:fldChar w:fldCharType="begin"/>
      </w:r>
      <w:r>
        <w:instrText xml:space="preserve"> HYPERLINK \l "_Toc15396611" </w:instrText>
      </w:r>
      <w:r>
        <w:fldChar w:fldCharType="separate"/>
      </w:r>
      <w:r>
        <w:rPr>
          <w:rStyle w:val="19"/>
          <w:rFonts w:eastAsia="仿宋"/>
          <w:bCs/>
          <w:sz w:val="32"/>
          <w:szCs w:val="32"/>
        </w:rPr>
        <w:t>九、</w:t>
      </w:r>
      <w:r>
        <w:rPr>
          <w:rStyle w:val="19"/>
          <w:rFonts w:eastAsia="仿宋"/>
          <w:sz w:val="32"/>
          <w:szCs w:val="32"/>
        </w:rPr>
        <w:t xml:space="preserve"> 国</w:t>
      </w:r>
      <w:r>
        <w:rPr>
          <w:rStyle w:val="19"/>
          <w:rFonts w:eastAsia="仿宋"/>
          <w:bCs/>
          <w:sz w:val="32"/>
          <w:szCs w:val="32"/>
        </w:rPr>
        <w:t>有资本经营预算支出决算情况说明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_Toc15396611 \h </w:instrText>
      </w:r>
      <w:r>
        <w:rPr>
          <w:rFonts w:eastAsia="仿宋"/>
          <w:sz w:val="32"/>
          <w:szCs w:val="32"/>
        </w:rPr>
        <w:fldChar w:fldCharType="separate"/>
      </w:r>
      <w:r>
        <w:rPr>
          <w:rFonts w:eastAsia="仿宋"/>
          <w:sz w:val="32"/>
          <w:szCs w:val="32"/>
        </w:rPr>
        <w:t>14</w:t>
      </w:r>
      <w:r>
        <w:rPr>
          <w:rFonts w:eastAsia="仿宋"/>
          <w:sz w:val="32"/>
          <w:szCs w:val="32"/>
        </w:rPr>
        <w:fldChar w:fldCharType="end"/>
      </w:r>
      <w:r>
        <w:rPr>
          <w:rFonts w:eastAsia="仿宋"/>
          <w:sz w:val="32"/>
          <w:szCs w:val="32"/>
        </w:rPr>
        <w:fldChar w:fldCharType="end"/>
      </w:r>
    </w:p>
    <w:p w14:paraId="5F8F9525">
      <w:pPr>
        <w:pStyle w:val="13"/>
        <w:spacing w:line="576" w:lineRule="exact"/>
        <w:ind w:left="0" w:leftChars="0"/>
        <w:rPr>
          <w:rFonts w:eastAsia="仿宋"/>
          <w:sz w:val="32"/>
          <w:szCs w:val="32"/>
        </w:rPr>
      </w:pPr>
      <w:r>
        <w:fldChar w:fldCharType="begin"/>
      </w:r>
      <w:r>
        <w:instrText xml:space="preserve"> HYPERLINK \l "_Toc15396612" </w:instrText>
      </w:r>
      <w:r>
        <w:fldChar w:fldCharType="separate"/>
      </w:r>
      <w:r>
        <w:rPr>
          <w:rStyle w:val="19"/>
          <w:rFonts w:eastAsia="仿宋"/>
          <w:sz w:val="32"/>
          <w:szCs w:val="32"/>
        </w:rPr>
        <w:t>十</w:t>
      </w:r>
      <w:r>
        <w:rPr>
          <w:rStyle w:val="19"/>
          <w:rFonts w:eastAsia="仿宋"/>
          <w:bCs/>
          <w:sz w:val="32"/>
          <w:szCs w:val="32"/>
        </w:rPr>
        <w:t>一、其他重要事项的情况说明</w:t>
      </w:r>
      <w:r>
        <w:rPr>
          <w:rFonts w:eastAsia="仿宋"/>
          <w:sz w:val="32"/>
          <w:szCs w:val="32"/>
        </w:rPr>
        <w:tab/>
      </w:r>
      <w:r>
        <w:rPr>
          <w:rFonts w:eastAsia="仿宋"/>
          <w:sz w:val="32"/>
          <w:szCs w:val="32"/>
        </w:rPr>
        <w:fldChar w:fldCharType="begin"/>
      </w:r>
      <w:r>
        <w:rPr>
          <w:rFonts w:eastAsia="仿宋"/>
          <w:sz w:val="32"/>
          <w:szCs w:val="32"/>
        </w:rPr>
        <w:instrText xml:space="preserve"> PAGEREF _Toc15396612 \h </w:instrText>
      </w:r>
      <w:r>
        <w:rPr>
          <w:rFonts w:eastAsia="仿宋"/>
          <w:sz w:val="32"/>
          <w:szCs w:val="32"/>
        </w:rPr>
        <w:fldChar w:fldCharType="separate"/>
      </w:r>
      <w:r>
        <w:rPr>
          <w:rFonts w:eastAsia="仿宋"/>
          <w:sz w:val="32"/>
          <w:szCs w:val="32"/>
        </w:rPr>
        <w:t>23</w:t>
      </w:r>
      <w:r>
        <w:rPr>
          <w:rFonts w:eastAsia="仿宋"/>
          <w:sz w:val="32"/>
          <w:szCs w:val="32"/>
        </w:rPr>
        <w:fldChar w:fldCharType="end"/>
      </w:r>
      <w:r>
        <w:rPr>
          <w:rFonts w:eastAsia="仿宋"/>
          <w:sz w:val="32"/>
          <w:szCs w:val="32"/>
        </w:rPr>
        <w:fldChar w:fldCharType="end"/>
      </w:r>
    </w:p>
    <w:p w14:paraId="1E4CED6A">
      <w:pPr>
        <w:pStyle w:val="12"/>
        <w:spacing w:line="576" w:lineRule="exact"/>
        <w:jc w:val="both"/>
        <w:rPr>
          <w:rFonts w:ascii="Times New Roman" w:hAnsi="Times New Roman"/>
          <w:sz w:val="32"/>
          <w:szCs w:val="32"/>
        </w:rPr>
      </w:pPr>
      <w:r>
        <w:fldChar w:fldCharType="begin"/>
      </w:r>
      <w:r>
        <w:instrText xml:space="preserve"> HYPERLINK \l "_Toc15396613" </w:instrText>
      </w:r>
      <w:r>
        <w:fldChar w:fldCharType="separate"/>
      </w:r>
      <w:r>
        <w:rPr>
          <w:rStyle w:val="19"/>
          <w:rFonts w:ascii="Times New Roman" w:hAnsi="Times New Roman" w:eastAsia="黑体"/>
          <w:bCs/>
          <w:kern w:val="44"/>
          <w:sz w:val="32"/>
          <w:szCs w:val="32"/>
        </w:rPr>
        <w:t>第三部分</w:t>
      </w:r>
      <w:r>
        <w:rPr>
          <w:rStyle w:val="19"/>
          <w:rFonts w:ascii="Times New Roman" w:hAnsi="Times New Roman" w:eastAsia="黑体"/>
          <w:sz w:val="32"/>
          <w:szCs w:val="32"/>
        </w:rPr>
        <w:t xml:space="preserve"> 名</w:t>
      </w:r>
      <w:r>
        <w:rPr>
          <w:rStyle w:val="19"/>
          <w:rFonts w:ascii="Times New Roman" w:hAnsi="Times New Roman" w:eastAsia="黑体"/>
          <w:bCs/>
          <w:kern w:val="44"/>
          <w:sz w:val="32"/>
          <w:szCs w:val="32"/>
        </w:rPr>
        <w:t>词解释</w:t>
      </w:r>
      <w:r>
        <w:rPr>
          <w:rFonts w:ascii="Times New Roman" w:hAnsi="Times New Roman"/>
          <w:sz w:val="32"/>
          <w:szCs w:val="32"/>
        </w:rPr>
        <w:tab/>
      </w:r>
      <w:r>
        <w:rPr>
          <w:rFonts w:ascii="Times New Roman" w:hAnsi="Times New Roman"/>
          <w:sz w:val="32"/>
          <w:szCs w:val="32"/>
        </w:rPr>
        <w:fldChar w:fldCharType="begin"/>
      </w:r>
      <w:r>
        <w:rPr>
          <w:rFonts w:ascii="Times New Roman" w:hAnsi="Times New Roman"/>
          <w:sz w:val="32"/>
          <w:szCs w:val="32"/>
        </w:rPr>
        <w:instrText xml:space="preserve"> PAGEREF _Toc15396613 \h </w:instrText>
      </w:r>
      <w:r>
        <w:rPr>
          <w:rFonts w:ascii="Times New Roman" w:hAnsi="Times New Roman"/>
          <w:sz w:val="32"/>
          <w:szCs w:val="32"/>
        </w:rPr>
        <w:fldChar w:fldCharType="separate"/>
      </w:r>
      <w:r>
        <w:rPr>
          <w:rFonts w:ascii="Times New Roman" w:hAnsi="Times New Roman"/>
          <w:sz w:val="32"/>
          <w:szCs w:val="32"/>
        </w:rPr>
        <w:t>25</w:t>
      </w:r>
      <w:r>
        <w:rPr>
          <w:rFonts w:ascii="Times New Roman" w:hAnsi="Times New Roman"/>
          <w:sz w:val="32"/>
          <w:szCs w:val="32"/>
        </w:rPr>
        <w:fldChar w:fldCharType="end"/>
      </w:r>
      <w:r>
        <w:rPr>
          <w:rFonts w:ascii="Times New Roman" w:hAnsi="Times New Roman"/>
          <w:sz w:val="32"/>
          <w:szCs w:val="32"/>
        </w:rPr>
        <w:fldChar w:fldCharType="end"/>
      </w:r>
    </w:p>
    <w:p w14:paraId="35394BFA">
      <w:pPr>
        <w:pStyle w:val="12"/>
        <w:spacing w:line="576" w:lineRule="exact"/>
        <w:jc w:val="both"/>
        <w:rPr>
          <w:rFonts w:ascii="Times New Roman" w:hAnsi="Times New Roman"/>
          <w:sz w:val="32"/>
          <w:szCs w:val="32"/>
        </w:rPr>
      </w:pPr>
      <w:r>
        <w:fldChar w:fldCharType="begin"/>
      </w:r>
      <w:r>
        <w:instrText xml:space="preserve"> HYPERLINK \l "_Toc15396614" </w:instrText>
      </w:r>
      <w:r>
        <w:fldChar w:fldCharType="separate"/>
      </w:r>
      <w:r>
        <w:rPr>
          <w:rStyle w:val="19"/>
          <w:rFonts w:ascii="Times New Roman" w:hAnsi="Times New Roman" w:eastAsia="黑体"/>
          <w:sz w:val="32"/>
          <w:szCs w:val="32"/>
          <w:u w:val="none"/>
        </w:rPr>
        <w:t>第</w:t>
      </w:r>
      <w:r>
        <w:rPr>
          <w:rStyle w:val="19"/>
          <w:rFonts w:ascii="Times New Roman" w:hAnsi="Times New Roman" w:eastAsia="黑体"/>
          <w:bCs/>
          <w:kern w:val="44"/>
          <w:sz w:val="32"/>
          <w:szCs w:val="32"/>
          <w:u w:val="none"/>
        </w:rPr>
        <w:t>四部分 附件</w:t>
      </w:r>
      <w:r>
        <w:rPr>
          <w:rFonts w:ascii="Times New Roman" w:hAnsi="Times New Roman"/>
          <w:sz w:val="32"/>
          <w:szCs w:val="32"/>
        </w:rPr>
        <w:tab/>
      </w:r>
      <w:r>
        <w:rPr>
          <w:rFonts w:ascii="Times New Roman" w:hAnsi="Times New Roman"/>
          <w:sz w:val="32"/>
          <w:szCs w:val="32"/>
        </w:rPr>
        <w:fldChar w:fldCharType="begin"/>
      </w:r>
      <w:r>
        <w:rPr>
          <w:rFonts w:ascii="Times New Roman" w:hAnsi="Times New Roman"/>
          <w:sz w:val="32"/>
          <w:szCs w:val="32"/>
        </w:rPr>
        <w:instrText xml:space="preserve"> PAGEREF _Toc15396614 \h </w:instrText>
      </w:r>
      <w:r>
        <w:rPr>
          <w:rFonts w:ascii="Times New Roman" w:hAnsi="Times New Roman"/>
          <w:sz w:val="32"/>
          <w:szCs w:val="32"/>
        </w:rPr>
        <w:fldChar w:fldCharType="separate"/>
      </w:r>
      <w:r>
        <w:rPr>
          <w:rFonts w:ascii="Times New Roman" w:hAnsi="Times New Roman"/>
          <w:sz w:val="32"/>
          <w:szCs w:val="32"/>
        </w:rPr>
        <w:t>29</w:t>
      </w:r>
      <w:r>
        <w:rPr>
          <w:rFonts w:ascii="Times New Roman" w:hAnsi="Times New Roman"/>
          <w:sz w:val="32"/>
          <w:szCs w:val="32"/>
        </w:rPr>
        <w:fldChar w:fldCharType="end"/>
      </w:r>
      <w:r>
        <w:rPr>
          <w:rFonts w:ascii="Times New Roman" w:hAnsi="Times New Roman"/>
          <w:sz w:val="32"/>
          <w:szCs w:val="32"/>
        </w:rPr>
        <w:fldChar w:fldCharType="end"/>
      </w:r>
    </w:p>
    <w:p w14:paraId="404160E8">
      <w:pPr>
        <w:pStyle w:val="13"/>
        <w:spacing w:line="576" w:lineRule="exact"/>
        <w:ind w:left="0" w:leftChars="0"/>
        <w:rPr>
          <w:rFonts w:eastAsia="仿宋"/>
          <w:sz w:val="32"/>
          <w:szCs w:val="32"/>
        </w:rPr>
      </w:pPr>
      <w:r>
        <w:fldChar w:fldCharType="begin"/>
      </w:r>
      <w:r>
        <w:instrText xml:space="preserve"> HYPERLINK \l "_Toc15396615" </w:instrText>
      </w:r>
      <w:r>
        <w:fldChar w:fldCharType="separate"/>
      </w:r>
      <w:r>
        <w:rPr>
          <w:rStyle w:val="19"/>
          <w:rFonts w:eastAsia="仿宋"/>
          <w:kern w:val="44"/>
          <w:sz w:val="32"/>
          <w:szCs w:val="32"/>
        </w:rPr>
        <w:t>附件1</w:t>
      </w:r>
      <w:r>
        <w:rPr>
          <w:rFonts w:eastAsia="仿宋"/>
          <w:sz w:val="32"/>
          <w:szCs w:val="32"/>
        </w:rPr>
        <w:tab/>
      </w:r>
      <w:r>
        <w:rPr>
          <w:rFonts w:eastAsia="仿宋"/>
          <w:sz w:val="32"/>
          <w:szCs w:val="32"/>
        </w:rPr>
        <w:fldChar w:fldCharType="begin"/>
      </w:r>
      <w:r>
        <w:rPr>
          <w:rFonts w:eastAsia="仿宋"/>
          <w:sz w:val="32"/>
          <w:szCs w:val="32"/>
        </w:rPr>
        <w:instrText xml:space="preserve"> PAGEREF _Toc15396615 \h </w:instrText>
      </w:r>
      <w:r>
        <w:rPr>
          <w:rFonts w:eastAsia="仿宋"/>
          <w:sz w:val="32"/>
          <w:szCs w:val="32"/>
        </w:rPr>
        <w:fldChar w:fldCharType="separate"/>
      </w:r>
      <w:r>
        <w:rPr>
          <w:rFonts w:eastAsia="仿宋"/>
          <w:sz w:val="32"/>
          <w:szCs w:val="32"/>
        </w:rPr>
        <w:t>29</w:t>
      </w:r>
      <w:r>
        <w:rPr>
          <w:rFonts w:eastAsia="仿宋"/>
          <w:sz w:val="32"/>
          <w:szCs w:val="32"/>
        </w:rPr>
        <w:fldChar w:fldCharType="end"/>
      </w:r>
      <w:r>
        <w:rPr>
          <w:rFonts w:eastAsia="仿宋"/>
          <w:sz w:val="32"/>
          <w:szCs w:val="32"/>
        </w:rPr>
        <w:fldChar w:fldCharType="end"/>
      </w:r>
    </w:p>
    <w:p w14:paraId="392445BD">
      <w:pPr>
        <w:pStyle w:val="13"/>
        <w:spacing w:line="576" w:lineRule="exact"/>
        <w:ind w:left="0" w:leftChars="0"/>
        <w:rPr>
          <w:rFonts w:eastAsia="仿宋"/>
          <w:sz w:val="32"/>
          <w:szCs w:val="32"/>
        </w:rPr>
      </w:pPr>
      <w:r>
        <w:fldChar w:fldCharType="begin"/>
      </w:r>
      <w:r>
        <w:instrText xml:space="preserve"> HYPERLINK \l "_Toc15396617" </w:instrText>
      </w:r>
      <w:r>
        <w:fldChar w:fldCharType="separate"/>
      </w:r>
      <w:r>
        <w:rPr>
          <w:rStyle w:val="19"/>
          <w:rFonts w:eastAsia="仿宋"/>
          <w:kern w:val="44"/>
          <w:sz w:val="32"/>
          <w:szCs w:val="32"/>
        </w:rPr>
        <w:t>附件2</w:t>
      </w:r>
      <w:r>
        <w:rPr>
          <w:rFonts w:eastAsia="仿宋"/>
          <w:sz w:val="32"/>
          <w:szCs w:val="32"/>
        </w:rPr>
        <w:tab/>
      </w:r>
      <w:r>
        <w:rPr>
          <w:rFonts w:eastAsia="仿宋"/>
          <w:sz w:val="32"/>
          <w:szCs w:val="32"/>
        </w:rPr>
        <w:fldChar w:fldCharType="begin"/>
      </w:r>
      <w:r>
        <w:rPr>
          <w:rFonts w:eastAsia="仿宋"/>
          <w:sz w:val="32"/>
          <w:szCs w:val="32"/>
        </w:rPr>
        <w:instrText xml:space="preserve"> PAGEREF _Toc15396617 \h </w:instrText>
      </w:r>
      <w:r>
        <w:rPr>
          <w:rFonts w:eastAsia="仿宋"/>
          <w:sz w:val="32"/>
          <w:szCs w:val="32"/>
        </w:rPr>
        <w:fldChar w:fldCharType="separate"/>
      </w:r>
      <w:r>
        <w:rPr>
          <w:rFonts w:eastAsia="仿宋"/>
          <w:sz w:val="32"/>
          <w:szCs w:val="32"/>
        </w:rPr>
        <w:t>31</w:t>
      </w:r>
      <w:r>
        <w:rPr>
          <w:rFonts w:eastAsia="仿宋"/>
          <w:sz w:val="32"/>
          <w:szCs w:val="32"/>
        </w:rPr>
        <w:fldChar w:fldCharType="end"/>
      </w:r>
      <w:r>
        <w:rPr>
          <w:rFonts w:eastAsia="仿宋"/>
          <w:sz w:val="32"/>
          <w:szCs w:val="32"/>
        </w:rPr>
        <w:fldChar w:fldCharType="end"/>
      </w:r>
    </w:p>
    <w:p w14:paraId="6A831A1E">
      <w:pPr>
        <w:pStyle w:val="12"/>
        <w:spacing w:line="576" w:lineRule="exact"/>
        <w:jc w:val="both"/>
        <w:rPr>
          <w:rFonts w:ascii="Times New Roman" w:hAnsi="Times New Roman"/>
          <w:sz w:val="32"/>
          <w:szCs w:val="32"/>
        </w:rPr>
      </w:pPr>
      <w:r>
        <w:fldChar w:fldCharType="begin"/>
      </w:r>
      <w:r>
        <w:instrText xml:space="preserve"> HYPERLINK \l "_Toc15396618" </w:instrText>
      </w:r>
      <w:r>
        <w:fldChar w:fldCharType="separate"/>
      </w:r>
      <w:r>
        <w:rPr>
          <w:rStyle w:val="19"/>
          <w:rFonts w:ascii="Times New Roman" w:hAnsi="Times New Roman" w:eastAsia="黑体"/>
          <w:sz w:val="32"/>
          <w:szCs w:val="32"/>
        </w:rPr>
        <w:t>第</w:t>
      </w:r>
      <w:r>
        <w:rPr>
          <w:rStyle w:val="19"/>
          <w:rFonts w:ascii="Times New Roman" w:hAnsi="Times New Roman" w:eastAsia="黑体"/>
          <w:bCs/>
          <w:kern w:val="44"/>
          <w:sz w:val="32"/>
          <w:szCs w:val="32"/>
        </w:rPr>
        <w:t>五部分 附表</w:t>
      </w:r>
      <w:r>
        <w:rPr>
          <w:rFonts w:ascii="Times New Roman" w:hAnsi="Times New Roman"/>
          <w:sz w:val="32"/>
          <w:szCs w:val="32"/>
        </w:rPr>
        <w:tab/>
      </w:r>
      <w:r>
        <w:rPr>
          <w:rFonts w:ascii="Times New Roman" w:hAnsi="Times New Roman"/>
          <w:sz w:val="32"/>
          <w:szCs w:val="32"/>
        </w:rPr>
        <w:fldChar w:fldCharType="begin"/>
      </w:r>
      <w:r>
        <w:rPr>
          <w:rFonts w:ascii="Times New Roman" w:hAnsi="Times New Roman"/>
          <w:sz w:val="32"/>
          <w:szCs w:val="32"/>
        </w:rPr>
        <w:instrText xml:space="preserve"> PAGEREF _Toc15396618 \h </w:instrText>
      </w:r>
      <w:r>
        <w:rPr>
          <w:rFonts w:ascii="Times New Roman" w:hAnsi="Times New Roman"/>
          <w:sz w:val="32"/>
          <w:szCs w:val="32"/>
        </w:rPr>
        <w:fldChar w:fldCharType="separate"/>
      </w:r>
      <w:r>
        <w:rPr>
          <w:rFonts w:ascii="Times New Roman" w:hAnsi="Times New Roman"/>
          <w:sz w:val="32"/>
          <w:szCs w:val="32"/>
        </w:rPr>
        <w:t>40</w:t>
      </w:r>
      <w:r>
        <w:rPr>
          <w:rFonts w:ascii="Times New Roman" w:hAnsi="Times New Roman"/>
          <w:sz w:val="32"/>
          <w:szCs w:val="32"/>
        </w:rPr>
        <w:fldChar w:fldCharType="end"/>
      </w:r>
      <w:r>
        <w:rPr>
          <w:rFonts w:ascii="Times New Roman" w:hAnsi="Times New Roman"/>
          <w:sz w:val="32"/>
          <w:szCs w:val="32"/>
        </w:rPr>
        <w:fldChar w:fldCharType="end"/>
      </w:r>
    </w:p>
    <w:p w14:paraId="3339C54C">
      <w:pPr>
        <w:pStyle w:val="13"/>
        <w:spacing w:line="576" w:lineRule="exact"/>
        <w:ind w:left="0" w:leftChars="0"/>
        <w:rPr>
          <w:rFonts w:eastAsia="仿宋"/>
          <w:sz w:val="32"/>
          <w:szCs w:val="32"/>
        </w:rPr>
      </w:pPr>
      <w:r>
        <w:rPr>
          <w:rFonts w:eastAsia="仿宋"/>
          <w:sz w:val="32"/>
          <w:szCs w:val="32"/>
        </w:rPr>
        <w:t>一、</w:t>
      </w:r>
      <w:r>
        <w:fldChar w:fldCharType="begin"/>
      </w:r>
      <w:r>
        <w:instrText xml:space="preserve"> HYPERLINK \l "_Toc15396619" </w:instrText>
      </w:r>
      <w:r>
        <w:fldChar w:fldCharType="separate"/>
      </w:r>
      <w:r>
        <w:rPr>
          <w:rStyle w:val="19"/>
          <w:rFonts w:eastAsia="仿宋"/>
          <w:sz w:val="32"/>
          <w:szCs w:val="32"/>
        </w:rPr>
        <w:t>收入支出决算总表</w:t>
      </w:r>
      <w:r>
        <w:rPr>
          <w:rFonts w:eastAsia="仿宋"/>
          <w:sz w:val="32"/>
          <w:szCs w:val="32"/>
        </w:rPr>
        <w:tab/>
      </w:r>
      <w:r>
        <w:rPr>
          <w:rFonts w:eastAsia="仿宋"/>
          <w:sz w:val="32"/>
          <w:szCs w:val="32"/>
        </w:rPr>
        <w:fldChar w:fldCharType="begin"/>
      </w:r>
      <w:r>
        <w:rPr>
          <w:rFonts w:eastAsia="仿宋"/>
          <w:sz w:val="32"/>
          <w:szCs w:val="32"/>
        </w:rPr>
        <w:instrText xml:space="preserve"> PAGEREF _Toc15396619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20FC3B74">
      <w:pPr>
        <w:pStyle w:val="13"/>
        <w:spacing w:line="576" w:lineRule="exact"/>
        <w:ind w:left="0" w:leftChars="0"/>
        <w:rPr>
          <w:rFonts w:eastAsia="仿宋"/>
          <w:sz w:val="32"/>
          <w:szCs w:val="32"/>
        </w:rPr>
      </w:pPr>
      <w:r>
        <w:rPr>
          <w:rFonts w:eastAsia="仿宋"/>
          <w:sz w:val="32"/>
          <w:szCs w:val="32"/>
        </w:rPr>
        <w:t>二、</w:t>
      </w:r>
      <w:r>
        <w:fldChar w:fldCharType="begin"/>
      </w:r>
      <w:r>
        <w:instrText xml:space="preserve"> HYPERLINK \l "_Toc15396620" </w:instrText>
      </w:r>
      <w:r>
        <w:fldChar w:fldCharType="separate"/>
      </w:r>
      <w:r>
        <w:rPr>
          <w:rStyle w:val="19"/>
          <w:rFonts w:eastAsia="仿宋"/>
          <w:sz w:val="32"/>
          <w:szCs w:val="32"/>
        </w:rPr>
        <w:t>收入总表</w:t>
      </w:r>
      <w:r>
        <w:rPr>
          <w:rFonts w:eastAsia="仿宋"/>
          <w:sz w:val="32"/>
          <w:szCs w:val="32"/>
        </w:rPr>
        <w:tab/>
      </w:r>
      <w:r>
        <w:rPr>
          <w:rFonts w:eastAsia="仿宋"/>
          <w:sz w:val="32"/>
          <w:szCs w:val="32"/>
        </w:rPr>
        <w:fldChar w:fldCharType="begin"/>
      </w:r>
      <w:r>
        <w:rPr>
          <w:rFonts w:eastAsia="仿宋"/>
          <w:sz w:val="32"/>
          <w:szCs w:val="32"/>
        </w:rPr>
        <w:instrText xml:space="preserve"> PAGEREF _Toc15396620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5E3F8B06">
      <w:pPr>
        <w:pStyle w:val="13"/>
        <w:spacing w:line="576" w:lineRule="exact"/>
        <w:ind w:left="0" w:leftChars="0"/>
        <w:rPr>
          <w:rFonts w:eastAsia="仿宋"/>
          <w:sz w:val="32"/>
          <w:szCs w:val="32"/>
        </w:rPr>
      </w:pPr>
      <w:r>
        <w:rPr>
          <w:rFonts w:eastAsia="仿宋"/>
          <w:sz w:val="32"/>
          <w:szCs w:val="32"/>
        </w:rPr>
        <w:t>三、</w:t>
      </w:r>
      <w:r>
        <w:fldChar w:fldCharType="begin"/>
      </w:r>
      <w:r>
        <w:instrText xml:space="preserve"> HYPERLINK \l "_Toc15396621" </w:instrText>
      </w:r>
      <w:r>
        <w:fldChar w:fldCharType="separate"/>
      </w:r>
      <w:r>
        <w:rPr>
          <w:rStyle w:val="19"/>
          <w:rFonts w:eastAsia="仿宋"/>
          <w:sz w:val="32"/>
          <w:szCs w:val="32"/>
        </w:rPr>
        <w:t>支出总表</w:t>
      </w:r>
      <w:r>
        <w:rPr>
          <w:rFonts w:eastAsia="仿宋"/>
          <w:sz w:val="32"/>
          <w:szCs w:val="32"/>
        </w:rPr>
        <w:tab/>
      </w:r>
      <w:r>
        <w:rPr>
          <w:rFonts w:eastAsia="仿宋"/>
          <w:sz w:val="32"/>
          <w:szCs w:val="32"/>
        </w:rPr>
        <w:fldChar w:fldCharType="begin"/>
      </w:r>
      <w:r>
        <w:rPr>
          <w:rFonts w:eastAsia="仿宋"/>
          <w:sz w:val="32"/>
          <w:szCs w:val="32"/>
        </w:rPr>
        <w:instrText xml:space="preserve"> PAGEREF _Toc15396621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159BB166">
      <w:pPr>
        <w:pStyle w:val="13"/>
        <w:spacing w:line="576" w:lineRule="exact"/>
        <w:ind w:left="0" w:leftChars="0"/>
        <w:rPr>
          <w:rFonts w:eastAsia="仿宋"/>
          <w:sz w:val="32"/>
          <w:szCs w:val="32"/>
        </w:rPr>
      </w:pPr>
      <w:r>
        <w:rPr>
          <w:rFonts w:eastAsia="仿宋"/>
          <w:sz w:val="32"/>
          <w:szCs w:val="32"/>
        </w:rPr>
        <w:t>四、</w:t>
      </w:r>
      <w:r>
        <w:fldChar w:fldCharType="begin"/>
      </w:r>
      <w:r>
        <w:instrText xml:space="preserve"> HYPERLINK \l "_Toc15396622" </w:instrText>
      </w:r>
      <w:r>
        <w:fldChar w:fldCharType="separate"/>
      </w:r>
      <w:r>
        <w:rPr>
          <w:rStyle w:val="19"/>
          <w:rFonts w:eastAsia="仿宋"/>
          <w:sz w:val="32"/>
          <w:szCs w:val="32"/>
        </w:rPr>
        <w:t>财政拨款收入支出决算总表</w:t>
      </w:r>
      <w:r>
        <w:rPr>
          <w:rFonts w:eastAsia="仿宋"/>
          <w:sz w:val="32"/>
          <w:szCs w:val="32"/>
        </w:rPr>
        <w:tab/>
      </w:r>
      <w:r>
        <w:rPr>
          <w:rFonts w:eastAsia="仿宋"/>
          <w:sz w:val="32"/>
          <w:szCs w:val="32"/>
        </w:rPr>
        <w:fldChar w:fldCharType="begin"/>
      </w:r>
      <w:r>
        <w:rPr>
          <w:rFonts w:eastAsia="仿宋"/>
          <w:sz w:val="32"/>
          <w:szCs w:val="32"/>
        </w:rPr>
        <w:instrText xml:space="preserve"> PAGEREF _Toc15396622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4D83ED71">
      <w:pPr>
        <w:pStyle w:val="13"/>
        <w:spacing w:line="576" w:lineRule="exact"/>
        <w:ind w:left="0" w:leftChars="0"/>
        <w:rPr>
          <w:rFonts w:eastAsia="仿宋"/>
          <w:sz w:val="32"/>
          <w:szCs w:val="32"/>
        </w:rPr>
      </w:pPr>
      <w:r>
        <w:rPr>
          <w:rFonts w:eastAsia="仿宋"/>
          <w:sz w:val="32"/>
          <w:szCs w:val="32"/>
        </w:rPr>
        <w:t>五、</w:t>
      </w:r>
      <w:r>
        <w:fldChar w:fldCharType="begin"/>
      </w:r>
      <w:r>
        <w:instrText xml:space="preserve"> HYPERLINK \l "_Toc15396623" </w:instrText>
      </w:r>
      <w:r>
        <w:fldChar w:fldCharType="separate"/>
      </w:r>
      <w:r>
        <w:rPr>
          <w:rFonts w:eastAsia="仿宋"/>
          <w:sz w:val="32"/>
          <w:szCs w:val="32"/>
        </w:rPr>
        <w:t>财政拨款支出决算明细表（政府经济分类科目）</w:t>
      </w:r>
      <w:r>
        <w:rPr>
          <w:rFonts w:eastAsia="仿宋"/>
          <w:sz w:val="32"/>
          <w:szCs w:val="32"/>
        </w:rPr>
        <w:tab/>
      </w:r>
      <w:r>
        <w:rPr>
          <w:rFonts w:eastAsia="仿宋"/>
          <w:sz w:val="32"/>
          <w:szCs w:val="32"/>
        </w:rPr>
        <w:fldChar w:fldCharType="begin"/>
      </w:r>
      <w:r>
        <w:rPr>
          <w:rFonts w:eastAsia="仿宋"/>
          <w:sz w:val="32"/>
          <w:szCs w:val="32"/>
        </w:rPr>
        <w:instrText xml:space="preserve"> PAGEREF _Toc15396623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17DEE56C">
      <w:pPr>
        <w:pStyle w:val="13"/>
        <w:spacing w:line="576" w:lineRule="exact"/>
        <w:ind w:left="0" w:leftChars="0"/>
        <w:rPr>
          <w:rFonts w:eastAsia="仿宋"/>
          <w:sz w:val="32"/>
          <w:szCs w:val="32"/>
        </w:rPr>
      </w:pPr>
      <w:r>
        <w:rPr>
          <w:rFonts w:eastAsia="仿宋"/>
          <w:sz w:val="32"/>
          <w:szCs w:val="32"/>
        </w:rPr>
        <w:t>六、</w:t>
      </w:r>
      <w:r>
        <w:fldChar w:fldCharType="begin"/>
      </w:r>
      <w:r>
        <w:instrText xml:space="preserve"> HYPERLINK \l "_Toc15396624" </w:instrText>
      </w:r>
      <w:r>
        <w:fldChar w:fldCharType="separate"/>
      </w:r>
      <w:r>
        <w:rPr>
          <w:rStyle w:val="19"/>
          <w:rFonts w:eastAsia="仿宋"/>
          <w:sz w:val="32"/>
          <w:szCs w:val="32"/>
        </w:rPr>
        <w:t>一般公共预算财政拨款支出决算表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_Toc15396624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5FE7B563">
      <w:pPr>
        <w:pStyle w:val="13"/>
        <w:spacing w:line="576" w:lineRule="exact"/>
        <w:ind w:left="0" w:leftChars="0"/>
        <w:rPr>
          <w:rFonts w:eastAsia="仿宋"/>
          <w:sz w:val="32"/>
          <w:szCs w:val="32"/>
        </w:rPr>
      </w:pPr>
      <w:r>
        <w:rPr>
          <w:rFonts w:eastAsia="仿宋"/>
          <w:sz w:val="32"/>
          <w:szCs w:val="32"/>
        </w:rPr>
        <w:t>七、</w:t>
      </w:r>
      <w:r>
        <w:fldChar w:fldCharType="begin"/>
      </w:r>
      <w:r>
        <w:instrText xml:space="preserve"> HYPERLINK \l "_Toc15396625" </w:instrText>
      </w:r>
      <w:r>
        <w:fldChar w:fldCharType="separate"/>
      </w:r>
      <w:r>
        <w:rPr>
          <w:rStyle w:val="19"/>
          <w:rFonts w:eastAsia="仿宋"/>
          <w:sz w:val="32"/>
          <w:szCs w:val="32"/>
        </w:rPr>
        <w:t>一般公共预算财政拨款支出决算明细表</w:t>
      </w:r>
      <w:r>
        <w:rPr>
          <w:rFonts w:eastAsia="仿宋"/>
          <w:sz w:val="32"/>
          <w:szCs w:val="32"/>
        </w:rPr>
        <w:tab/>
      </w:r>
      <w:r>
        <w:rPr>
          <w:rFonts w:eastAsia="仿宋"/>
          <w:sz w:val="32"/>
          <w:szCs w:val="32"/>
        </w:rPr>
        <w:fldChar w:fldCharType="begin"/>
      </w:r>
      <w:r>
        <w:rPr>
          <w:rFonts w:eastAsia="仿宋"/>
          <w:sz w:val="32"/>
          <w:szCs w:val="32"/>
        </w:rPr>
        <w:instrText xml:space="preserve"> PAGEREF _Toc15396625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5167C520">
      <w:pPr>
        <w:pStyle w:val="13"/>
        <w:spacing w:line="576" w:lineRule="exact"/>
        <w:ind w:left="0" w:leftChars="0"/>
        <w:rPr>
          <w:rFonts w:eastAsia="仿宋"/>
          <w:sz w:val="32"/>
          <w:szCs w:val="32"/>
        </w:rPr>
      </w:pPr>
      <w:r>
        <w:rPr>
          <w:rFonts w:eastAsia="仿宋"/>
          <w:sz w:val="32"/>
          <w:szCs w:val="32"/>
        </w:rPr>
        <w:t>八、</w:t>
      </w:r>
      <w:r>
        <w:fldChar w:fldCharType="begin"/>
      </w:r>
      <w:r>
        <w:instrText xml:space="preserve"> HYPERLINK \l "_Toc15396626" </w:instrText>
      </w:r>
      <w:r>
        <w:fldChar w:fldCharType="separate"/>
      </w:r>
      <w:r>
        <w:rPr>
          <w:rStyle w:val="19"/>
          <w:rFonts w:eastAsia="仿宋"/>
          <w:sz w:val="32"/>
          <w:szCs w:val="32"/>
        </w:rPr>
        <w:t>一般公共预算财政拨款基本支出决算表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_Toc15396626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2CE6F569">
      <w:pPr>
        <w:pStyle w:val="13"/>
        <w:spacing w:line="576" w:lineRule="exact"/>
        <w:ind w:left="0" w:leftChars="0"/>
        <w:rPr>
          <w:rFonts w:eastAsia="仿宋"/>
          <w:sz w:val="32"/>
          <w:szCs w:val="32"/>
        </w:rPr>
      </w:pPr>
      <w:r>
        <w:rPr>
          <w:rFonts w:eastAsia="仿宋"/>
          <w:sz w:val="32"/>
          <w:szCs w:val="32"/>
        </w:rPr>
        <w:t>九、</w:t>
      </w:r>
      <w:r>
        <w:fldChar w:fldCharType="begin"/>
      </w:r>
      <w:r>
        <w:instrText xml:space="preserve"> HYPERLINK \l "_Toc15396627" </w:instrText>
      </w:r>
      <w:r>
        <w:fldChar w:fldCharType="separate"/>
      </w:r>
      <w:r>
        <w:rPr>
          <w:rStyle w:val="19"/>
          <w:rFonts w:eastAsia="仿宋"/>
          <w:sz w:val="32"/>
          <w:szCs w:val="32"/>
        </w:rPr>
        <w:t>一般公共预算财政拨款项目支出决算表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_Toc15396627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688E5C33">
      <w:pPr>
        <w:pStyle w:val="13"/>
        <w:spacing w:line="576" w:lineRule="exact"/>
        <w:ind w:left="0" w:leftChars="0"/>
        <w:rPr>
          <w:rFonts w:eastAsia="仿宋"/>
          <w:sz w:val="32"/>
          <w:szCs w:val="32"/>
        </w:rPr>
      </w:pPr>
      <w:r>
        <w:rPr>
          <w:rFonts w:eastAsia="仿宋"/>
          <w:sz w:val="32"/>
          <w:szCs w:val="32"/>
        </w:rPr>
        <w:t>十、</w:t>
      </w:r>
      <w:r>
        <w:fldChar w:fldCharType="begin"/>
      </w:r>
      <w:r>
        <w:instrText xml:space="preserve"> HYPERLINK \l "_Toc15396628" </w:instrText>
      </w:r>
      <w:r>
        <w:fldChar w:fldCharType="separate"/>
      </w:r>
      <w:r>
        <w:rPr>
          <w:rStyle w:val="19"/>
          <w:rFonts w:eastAsia="仿宋"/>
          <w:sz w:val="32"/>
          <w:szCs w:val="32"/>
        </w:rPr>
        <w:t>一般公共预算财政拨款“三公”经费支出决算表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_Toc15396628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79382F6E">
      <w:pPr>
        <w:pStyle w:val="13"/>
        <w:spacing w:line="576" w:lineRule="exact"/>
        <w:ind w:left="0" w:leftChars="0"/>
        <w:rPr>
          <w:rFonts w:eastAsia="仿宋"/>
          <w:sz w:val="32"/>
          <w:szCs w:val="32"/>
        </w:rPr>
      </w:pPr>
      <w:r>
        <w:rPr>
          <w:rFonts w:eastAsia="仿宋"/>
          <w:sz w:val="32"/>
          <w:szCs w:val="32"/>
        </w:rPr>
        <w:t>十一、</w:t>
      </w:r>
      <w:r>
        <w:fldChar w:fldCharType="begin"/>
      </w:r>
      <w:r>
        <w:instrText xml:space="preserve"> HYPERLINK \l "_Toc15396629" </w:instrText>
      </w:r>
      <w:r>
        <w:fldChar w:fldCharType="separate"/>
      </w:r>
      <w:r>
        <w:rPr>
          <w:rStyle w:val="19"/>
          <w:rFonts w:eastAsia="仿宋"/>
          <w:sz w:val="32"/>
          <w:szCs w:val="32"/>
        </w:rPr>
        <w:t>政府性基金预算财政拨款收入支出决算表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_Toc15396629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5155A994">
      <w:pPr>
        <w:pStyle w:val="13"/>
        <w:spacing w:line="576" w:lineRule="exact"/>
        <w:ind w:left="0" w:leftChars="0"/>
        <w:rPr>
          <w:rFonts w:eastAsia="仿宋"/>
          <w:sz w:val="32"/>
          <w:szCs w:val="32"/>
        </w:rPr>
      </w:pPr>
      <w:r>
        <w:rPr>
          <w:rFonts w:eastAsia="仿宋"/>
          <w:sz w:val="32"/>
          <w:szCs w:val="32"/>
        </w:rPr>
        <w:t>十二、</w:t>
      </w:r>
      <w:r>
        <w:fldChar w:fldCharType="begin"/>
      </w:r>
      <w:r>
        <w:instrText xml:space="preserve"> HYPERLINK \l "_Toc15396630" </w:instrText>
      </w:r>
      <w:r>
        <w:fldChar w:fldCharType="separate"/>
      </w:r>
      <w:r>
        <w:rPr>
          <w:rStyle w:val="19"/>
          <w:rFonts w:eastAsia="仿宋"/>
          <w:sz w:val="32"/>
          <w:szCs w:val="32"/>
        </w:rPr>
        <w:t>政府性基金预算财政拨款“三公”经费支出决算表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_Toc15396630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559ABF75">
      <w:pPr>
        <w:pStyle w:val="13"/>
        <w:spacing w:line="576" w:lineRule="exact"/>
        <w:ind w:left="0" w:leftChars="0"/>
        <w:rPr>
          <w:rFonts w:eastAsia="仿宋"/>
          <w:sz w:val="24"/>
        </w:rPr>
      </w:pPr>
      <w:r>
        <w:rPr>
          <w:rFonts w:eastAsia="仿宋"/>
          <w:sz w:val="32"/>
          <w:szCs w:val="32"/>
        </w:rPr>
        <w:t>十三、</w:t>
      </w:r>
      <w:r>
        <w:fldChar w:fldCharType="begin"/>
      </w:r>
      <w:r>
        <w:instrText xml:space="preserve"> HYPERLINK \l "_Toc15396631" </w:instrText>
      </w:r>
      <w:r>
        <w:fldChar w:fldCharType="separate"/>
      </w:r>
      <w:r>
        <w:rPr>
          <w:rStyle w:val="19"/>
          <w:rFonts w:eastAsia="仿宋"/>
          <w:sz w:val="32"/>
          <w:szCs w:val="32"/>
        </w:rPr>
        <w:t>国有资本经营预算支出决算表</w:t>
      </w:r>
      <w:r>
        <w:rPr>
          <w:rFonts w:eastAsia="仿宋"/>
          <w:sz w:val="32"/>
          <w:szCs w:val="32"/>
        </w:rPr>
        <w:tab/>
      </w:r>
      <w:r>
        <w:rPr>
          <w:rFonts w:eastAsia="仿宋"/>
          <w:sz w:val="32"/>
          <w:szCs w:val="32"/>
        </w:rPr>
        <w:fldChar w:fldCharType="begin"/>
      </w:r>
      <w:r>
        <w:rPr>
          <w:rFonts w:eastAsia="仿宋"/>
          <w:sz w:val="32"/>
          <w:szCs w:val="32"/>
        </w:rPr>
        <w:instrText xml:space="preserve"> PAGEREF _Toc15396631 \h </w:instrText>
      </w:r>
      <w:r>
        <w:rPr>
          <w:rFonts w:eastAsia="仿宋"/>
          <w:sz w:val="32"/>
          <w:szCs w:val="32"/>
        </w:rPr>
        <w:fldChar w:fldCharType="separate"/>
      </w:r>
      <w:r>
        <w:rPr>
          <w:rFonts w:eastAsia="仿宋"/>
          <w:sz w:val="32"/>
          <w:szCs w:val="32"/>
        </w:rPr>
        <w:t>40</w:t>
      </w:r>
      <w:r>
        <w:rPr>
          <w:rFonts w:eastAsia="仿宋"/>
          <w:sz w:val="32"/>
          <w:szCs w:val="32"/>
        </w:rPr>
        <w:fldChar w:fldCharType="end"/>
      </w:r>
      <w:r>
        <w:rPr>
          <w:rFonts w:eastAsia="仿宋"/>
          <w:sz w:val="32"/>
          <w:szCs w:val="32"/>
        </w:rPr>
        <w:fldChar w:fldCharType="end"/>
      </w:r>
    </w:p>
    <w:p w14:paraId="740B8254">
      <w:pPr>
        <w:widowControl/>
        <w:jc w:val="left"/>
        <w:rPr>
          <w:rFonts w:eastAsia="仿宋"/>
          <w:color w:val="000000"/>
          <w:sz w:val="24"/>
        </w:rPr>
      </w:pPr>
      <w:r>
        <w:rPr>
          <w:rFonts w:eastAsia="仿宋"/>
          <w:color w:val="000000"/>
          <w:sz w:val="24"/>
        </w:rPr>
        <w:fldChar w:fldCharType="end"/>
      </w:r>
    </w:p>
    <w:p w14:paraId="43ADBAA9">
      <w:pPr>
        <w:widowControl/>
        <w:jc w:val="left"/>
        <w:rPr>
          <w:rFonts w:eastAsia="黑体"/>
          <w:bCs/>
          <w:kern w:val="44"/>
          <w:sz w:val="44"/>
          <w:szCs w:val="44"/>
        </w:rPr>
      </w:pPr>
      <w:bookmarkStart w:id="12" w:name="_Toc15377196"/>
      <w:bookmarkStart w:id="13" w:name="_Toc15396599"/>
      <w:r>
        <w:rPr>
          <w:rFonts w:eastAsia="黑体"/>
          <w:b/>
        </w:rPr>
        <w:br w:type="page"/>
      </w:r>
    </w:p>
    <w:p w14:paraId="120BECD9">
      <w:pPr>
        <w:pStyle w:val="3"/>
        <w:jc w:val="center"/>
        <w:rPr>
          <w:rStyle w:val="27"/>
          <w:rFonts w:eastAsia="方正小标宋简体"/>
          <w:b/>
          <w:bCs w:val="0"/>
        </w:rPr>
      </w:pPr>
      <w:r>
        <w:rPr>
          <w:rFonts w:eastAsia="方正小标宋简体"/>
          <w:b w:val="0"/>
        </w:rPr>
        <w:t xml:space="preserve">第一部分 </w:t>
      </w:r>
      <w:r>
        <w:rPr>
          <w:rStyle w:val="27"/>
          <w:rFonts w:eastAsia="方正小标宋简体"/>
          <w:b w:val="0"/>
          <w:bCs w:val="0"/>
        </w:rPr>
        <w:t>部门概况</w:t>
      </w:r>
      <w:bookmarkEnd w:id="12"/>
      <w:bookmarkEnd w:id="13"/>
    </w:p>
    <w:p w14:paraId="40CC54ED">
      <w:pPr>
        <w:pStyle w:val="4"/>
        <w:spacing w:before="0" w:after="0" w:line="576" w:lineRule="exact"/>
        <w:ind w:firstLine="640" w:firstLineChars="200"/>
        <w:rPr>
          <w:rStyle w:val="28"/>
          <w:rFonts w:ascii="Times New Roman" w:hAnsi="Times New Roman" w:eastAsia="黑体" w:cs="Times New Roman"/>
          <w:b w:val="0"/>
          <w:bCs w:val="0"/>
        </w:rPr>
      </w:pPr>
      <w:bookmarkStart w:id="14" w:name="_Toc15396600"/>
      <w:bookmarkStart w:id="15" w:name="_Toc15377197"/>
      <w:r>
        <w:rPr>
          <w:rFonts w:ascii="Times New Roman" w:hAnsi="Times New Roman" w:eastAsia="黑体" w:cs="Times New Roman"/>
          <w:b w:val="0"/>
          <w:color w:val="000000"/>
        </w:rPr>
        <w:t>一、基</w:t>
      </w:r>
      <w:r>
        <w:rPr>
          <w:rStyle w:val="28"/>
          <w:rFonts w:ascii="Times New Roman" w:hAnsi="Times New Roman" w:eastAsia="黑体" w:cs="Times New Roman"/>
          <w:b w:val="0"/>
          <w:bCs w:val="0"/>
        </w:rPr>
        <w:t>本职能及主要工作</w:t>
      </w:r>
      <w:bookmarkEnd w:id="14"/>
      <w:bookmarkEnd w:id="15"/>
      <w:bookmarkStart w:id="16" w:name="_Toc15378445"/>
      <w:bookmarkStart w:id="17" w:name="_Toc15377198"/>
    </w:p>
    <w:p w14:paraId="4752628C">
      <w:pPr>
        <w:pStyle w:val="4"/>
        <w:spacing w:before="0" w:after="0" w:line="576" w:lineRule="exact"/>
        <w:ind w:firstLine="643" w:firstLineChars="200"/>
        <w:rPr>
          <w:rFonts w:ascii="Times New Roman" w:hAnsi="Times New Roman" w:eastAsia="楷体_GB2312" w:cs="Times New Roman"/>
          <w:color w:val="000000"/>
        </w:rPr>
      </w:pPr>
      <w:r>
        <w:rPr>
          <w:rFonts w:ascii="Times New Roman" w:hAnsi="Times New Roman" w:eastAsia="楷体_GB2312" w:cs="Times New Roman"/>
          <w:color w:val="000000"/>
        </w:rPr>
        <w:t>（一）主要职能</w:t>
      </w:r>
      <w:bookmarkEnd w:id="16"/>
      <w:bookmarkEnd w:id="17"/>
    </w:p>
    <w:p w14:paraId="4E7D6F4A">
      <w:pPr>
        <w:spacing w:line="556" w:lineRule="exact"/>
        <w:ind w:firstLine="320" w:firstLineChars="100"/>
        <w:rPr>
          <w:rFonts w:eastAsia="仿宋_GB2312"/>
          <w:sz w:val="32"/>
          <w:szCs w:val="32"/>
        </w:rPr>
      </w:pPr>
      <w:bookmarkStart w:id="18" w:name="_Toc15377199"/>
      <w:bookmarkStart w:id="19" w:name="_Toc15378446"/>
      <w:r>
        <w:rPr>
          <w:rFonts w:eastAsia="仿宋_GB2312"/>
          <w:sz w:val="32"/>
          <w:szCs w:val="32"/>
        </w:rPr>
        <w:t>（1）贯彻执行国家扶贫开发和大中型水利水电工程移民迁建安置、后期扶持的方针、政策和法律、法规，拟订有关具体政策措施并组织实施。</w:t>
      </w:r>
    </w:p>
    <w:p w14:paraId="3107A50C">
      <w:pPr>
        <w:spacing w:line="556" w:lineRule="exact"/>
        <w:rPr>
          <w:rFonts w:eastAsia="仿宋_GB2312"/>
          <w:sz w:val="32"/>
          <w:szCs w:val="32"/>
        </w:rPr>
      </w:pPr>
      <w:r>
        <w:rPr>
          <w:rFonts w:eastAsia="仿宋_GB2312"/>
          <w:sz w:val="32"/>
          <w:szCs w:val="32"/>
        </w:rPr>
        <w:t xml:space="preserve">   （2）拟订全区扶贫开发中长期规划和年度计划，组织、协调和指导全区产业扶贫、科技扶贫、智力扶贫、特殊类区扶贫开发工作，组织和指导社会扶贫工作，负责联络区外机构对口帮扶工作，组织定点扶贫与扶贫协作工作，组织扶贫开发对外交流与合作及外资外援扶贫项目的引进与实施。</w:t>
      </w:r>
    </w:p>
    <w:p w14:paraId="012B92FB">
      <w:pPr>
        <w:spacing w:line="556" w:lineRule="exact"/>
        <w:rPr>
          <w:rFonts w:eastAsia="仿宋_GB2312"/>
          <w:sz w:val="32"/>
          <w:szCs w:val="32"/>
        </w:rPr>
      </w:pPr>
      <w:r>
        <w:rPr>
          <w:rFonts w:eastAsia="仿宋_GB2312"/>
          <w:sz w:val="32"/>
          <w:szCs w:val="32"/>
        </w:rPr>
        <w:t xml:space="preserve">   （3）承担扶贫、移民资金管理责任。拟订全区扶贫开发和移民资金使用管理和项目管理办法，负责有关项目、资金、基金、物资的分配、管理、使用、稽查审计、绩效考评、统计监测等监督工作。</w:t>
      </w:r>
    </w:p>
    <w:p w14:paraId="5C9C256B">
      <w:pPr>
        <w:spacing w:line="556" w:lineRule="exact"/>
        <w:rPr>
          <w:rFonts w:eastAsia="仿宋_GB2312"/>
          <w:sz w:val="32"/>
          <w:szCs w:val="32"/>
        </w:rPr>
      </w:pPr>
      <w:r>
        <w:rPr>
          <w:rFonts w:eastAsia="仿宋_GB2312"/>
          <w:sz w:val="32"/>
          <w:szCs w:val="32"/>
        </w:rPr>
        <w:t xml:space="preserve">   （4）负责扶贫开发和移民政策研究及信息工作，组织贫困、移民群众生产技能和劳动力转移培训、扶贫移民工作人员培训。</w:t>
      </w:r>
    </w:p>
    <w:p w14:paraId="0FA9196E">
      <w:pPr>
        <w:spacing w:line="556" w:lineRule="exact"/>
        <w:rPr>
          <w:rFonts w:eastAsia="仿宋_GB2312"/>
          <w:sz w:val="32"/>
          <w:szCs w:val="32"/>
        </w:rPr>
      </w:pPr>
      <w:r>
        <w:rPr>
          <w:rFonts w:eastAsia="仿宋_GB2312"/>
          <w:sz w:val="32"/>
          <w:szCs w:val="32"/>
        </w:rPr>
        <w:t xml:space="preserve">   （5）制订大中型水利水电工程移民工作年度计划，管理和监督全区大中型水利水电工程移民迁 建安置实施工作，组织移民安置验收、后期扶持和监督评估。</w:t>
      </w:r>
    </w:p>
    <w:p w14:paraId="3AA52A5C">
      <w:pPr>
        <w:spacing w:line="556" w:lineRule="exact"/>
        <w:rPr>
          <w:rFonts w:eastAsia="仿宋_GB2312"/>
          <w:sz w:val="32"/>
          <w:szCs w:val="32"/>
        </w:rPr>
      </w:pPr>
      <w:r>
        <w:rPr>
          <w:rFonts w:eastAsia="仿宋_GB2312"/>
          <w:sz w:val="32"/>
          <w:szCs w:val="32"/>
        </w:rPr>
        <w:t xml:space="preserve">   （6）负责扶贫开发和移民信访接待、处理、管理工作，协调、指导有关的社会稳定工作，负责扶贫开发和移民安置、后期扶持政策宣传工作。</w:t>
      </w:r>
    </w:p>
    <w:p w14:paraId="2B1557A0">
      <w:pPr>
        <w:spacing w:line="556" w:lineRule="exact"/>
        <w:rPr>
          <w:rFonts w:eastAsia="仿宋_GB2312"/>
          <w:sz w:val="32"/>
          <w:szCs w:val="32"/>
        </w:rPr>
      </w:pPr>
      <w:r>
        <w:rPr>
          <w:rFonts w:eastAsia="仿宋_GB2312"/>
          <w:sz w:val="32"/>
          <w:szCs w:val="32"/>
        </w:rPr>
        <w:t xml:space="preserve">   （7）负责承担并协调区政府对外友好城市建立后的相关工作。</w:t>
      </w:r>
    </w:p>
    <w:p w14:paraId="67CE67CD">
      <w:pPr>
        <w:spacing w:line="556" w:lineRule="exact"/>
        <w:rPr>
          <w:rFonts w:eastAsia="仿宋_GB2312"/>
          <w:sz w:val="32"/>
          <w:szCs w:val="32"/>
        </w:rPr>
      </w:pPr>
      <w:r>
        <w:rPr>
          <w:rFonts w:eastAsia="仿宋_GB2312"/>
          <w:sz w:val="32"/>
          <w:szCs w:val="32"/>
        </w:rPr>
        <w:t xml:space="preserve">   （8）承担区政府公布的有关行政审批事项。</w:t>
      </w:r>
    </w:p>
    <w:p w14:paraId="69E7242F">
      <w:pPr>
        <w:spacing w:line="556" w:lineRule="exact"/>
        <w:rPr>
          <w:rFonts w:eastAsia="仿宋_GB2312"/>
          <w:sz w:val="32"/>
          <w:szCs w:val="32"/>
        </w:rPr>
      </w:pPr>
      <w:r>
        <w:rPr>
          <w:rFonts w:eastAsia="仿宋_GB2312"/>
          <w:sz w:val="32"/>
          <w:szCs w:val="32"/>
        </w:rPr>
        <w:t xml:space="preserve">   （9）承担区</w:t>
      </w:r>
      <w:r>
        <w:rPr>
          <w:rFonts w:eastAsia="仿宋_GB2312"/>
          <w:color w:val="000000"/>
          <w:sz w:val="32"/>
          <w:szCs w:val="32"/>
        </w:rPr>
        <w:t>委区政府</w:t>
      </w:r>
      <w:r>
        <w:rPr>
          <w:rFonts w:eastAsia="仿宋_GB2312"/>
          <w:sz w:val="32"/>
          <w:szCs w:val="32"/>
        </w:rPr>
        <w:t>扶贫开发领导小组、区革命老区建设领导小组的具体工作。</w:t>
      </w:r>
    </w:p>
    <w:p w14:paraId="1234225B">
      <w:pPr>
        <w:spacing w:line="556" w:lineRule="exact"/>
        <w:rPr>
          <w:rFonts w:eastAsia="仿宋_GB2312"/>
          <w:sz w:val="32"/>
          <w:szCs w:val="32"/>
        </w:rPr>
      </w:pPr>
      <w:r>
        <w:rPr>
          <w:rFonts w:eastAsia="仿宋_GB2312"/>
          <w:sz w:val="32"/>
          <w:szCs w:val="32"/>
        </w:rPr>
        <w:t xml:space="preserve">   （10）承办区政府交办的其他事项。</w:t>
      </w:r>
    </w:p>
    <w:p w14:paraId="41FCE821">
      <w:pPr>
        <w:pStyle w:val="6"/>
        <w:adjustRightInd w:val="0"/>
        <w:snapToGrid w:val="0"/>
        <w:spacing w:beforeLines="0" w:line="576" w:lineRule="exact"/>
        <w:ind w:firstLine="643" w:firstLineChars="200"/>
        <w:outlineLvl w:val="2"/>
        <w:rPr>
          <w:rFonts w:ascii="Times New Roman" w:eastAsia="仿宋"/>
          <w:bCs/>
          <w:color w:val="000000"/>
          <w:sz w:val="32"/>
          <w:szCs w:val="32"/>
        </w:rPr>
      </w:pPr>
      <w:r>
        <w:rPr>
          <w:rFonts w:ascii="Times New Roman" w:eastAsia="楷体_GB2312"/>
          <w:b/>
          <w:color w:val="000000"/>
          <w:sz w:val="32"/>
          <w:szCs w:val="32"/>
        </w:rPr>
        <w:t>（二）201</w:t>
      </w:r>
      <w:r>
        <w:rPr>
          <w:rFonts w:hint="eastAsia" w:ascii="Times New Roman" w:eastAsia="楷体_GB2312"/>
          <w:b/>
          <w:color w:val="000000"/>
          <w:sz w:val="32"/>
          <w:szCs w:val="32"/>
        </w:rPr>
        <w:t>9年</w:t>
      </w:r>
      <w:r>
        <w:rPr>
          <w:rFonts w:ascii="Times New Roman" w:eastAsia="楷体_GB2312"/>
          <w:b/>
          <w:color w:val="000000"/>
          <w:sz w:val="32"/>
          <w:szCs w:val="32"/>
        </w:rPr>
        <w:t>重点工作完成情况</w:t>
      </w:r>
      <w:bookmarkEnd w:id="18"/>
      <w:bookmarkEnd w:id="19"/>
    </w:p>
    <w:p w14:paraId="3652EEAB">
      <w:pPr>
        <w:overflowPunct w:val="0"/>
        <w:topLinePunct/>
        <w:spacing w:line="576" w:lineRule="exact"/>
        <w:ind w:firstLine="648" w:firstLineChars="200"/>
        <w:textAlignment w:val="bottom"/>
        <w:rPr>
          <w:rFonts w:eastAsia="仿宋_GB2312"/>
          <w:spacing w:val="2"/>
          <w:sz w:val="32"/>
          <w:szCs w:val="32"/>
        </w:rPr>
      </w:pPr>
      <w:bookmarkStart w:id="20" w:name="_Toc15396601"/>
      <w:bookmarkStart w:id="21" w:name="_Toc15377200"/>
      <w:r>
        <w:rPr>
          <w:rFonts w:hint="eastAsia" w:eastAsia="仿宋_GB2312"/>
          <w:spacing w:val="2"/>
          <w:sz w:val="32"/>
          <w:szCs w:val="32"/>
        </w:rPr>
        <w:t>2019年度减贫任务全面完成。全年退出贫困村4个，减少贫困人口426户1101人，12月顺利通过了国家东西部扶贫协作专项考核和省、市级脱贫攻坚成效考核。全年争取财政专项扶贫、移民安置和移民后期扶持等项目资金共计13654万元，占目标任务的</w:t>
      </w:r>
      <w:r>
        <w:rPr>
          <w:rFonts w:eastAsia="仿宋_GB2312"/>
          <w:spacing w:val="2"/>
          <w:sz w:val="32"/>
          <w:szCs w:val="32"/>
        </w:rPr>
        <w:t>1</w:t>
      </w:r>
      <w:r>
        <w:rPr>
          <w:rFonts w:hint="eastAsia" w:eastAsia="仿宋_GB2312"/>
          <w:spacing w:val="2"/>
          <w:sz w:val="32"/>
          <w:szCs w:val="32"/>
        </w:rPr>
        <w:t>10.29</w:t>
      </w:r>
      <w:r>
        <w:rPr>
          <w:rFonts w:eastAsia="仿宋_GB2312"/>
          <w:spacing w:val="2"/>
          <w:sz w:val="32"/>
          <w:szCs w:val="32"/>
        </w:rPr>
        <w:t>%</w:t>
      </w:r>
      <w:r>
        <w:rPr>
          <w:rFonts w:hint="eastAsia" w:eastAsia="仿宋_GB2312"/>
          <w:spacing w:val="2"/>
          <w:sz w:val="32"/>
          <w:szCs w:val="32"/>
        </w:rPr>
        <w:t>。</w:t>
      </w:r>
      <w:r>
        <w:rPr>
          <w:rFonts w:eastAsia="仿宋_GB2312"/>
          <w:spacing w:val="2"/>
          <w:sz w:val="32"/>
          <w:szCs w:val="32"/>
        </w:rPr>
        <w:t>完成移民投资</w:t>
      </w:r>
      <w:r>
        <w:rPr>
          <w:rFonts w:hint="eastAsia" w:eastAsia="仿宋_GB2312"/>
          <w:spacing w:val="2"/>
          <w:sz w:val="32"/>
          <w:szCs w:val="32"/>
        </w:rPr>
        <w:t>2759.91</w:t>
      </w:r>
      <w:r>
        <w:rPr>
          <w:rFonts w:eastAsia="仿宋_GB2312"/>
          <w:spacing w:val="2"/>
          <w:sz w:val="32"/>
          <w:szCs w:val="32"/>
        </w:rPr>
        <w:t>万元，占</w:t>
      </w:r>
      <w:r>
        <w:rPr>
          <w:rFonts w:hint="eastAsia" w:eastAsia="仿宋_GB2312"/>
          <w:spacing w:val="2"/>
          <w:sz w:val="32"/>
          <w:szCs w:val="32"/>
        </w:rPr>
        <w:t>目标任务</w:t>
      </w:r>
      <w:r>
        <w:rPr>
          <w:rFonts w:eastAsia="仿宋_GB2312"/>
          <w:spacing w:val="2"/>
          <w:sz w:val="32"/>
          <w:szCs w:val="32"/>
        </w:rPr>
        <w:t>的1</w:t>
      </w:r>
      <w:r>
        <w:rPr>
          <w:rFonts w:hint="eastAsia" w:eastAsia="仿宋_GB2312"/>
          <w:spacing w:val="2"/>
          <w:sz w:val="32"/>
          <w:szCs w:val="32"/>
        </w:rPr>
        <w:t>16.18</w:t>
      </w:r>
      <w:r>
        <w:rPr>
          <w:rFonts w:eastAsia="仿宋_GB2312"/>
          <w:spacing w:val="2"/>
          <w:sz w:val="32"/>
          <w:szCs w:val="32"/>
        </w:rPr>
        <w:t>%。机关管理及项目实施监管全年安全无事故，干部职工当年无违纪违规行为发生。</w:t>
      </w:r>
    </w:p>
    <w:p w14:paraId="20ED7DFD">
      <w:pPr>
        <w:overflowPunct w:val="0"/>
        <w:topLinePunct/>
        <w:spacing w:line="576" w:lineRule="exact"/>
        <w:ind w:firstLine="651" w:firstLineChars="200"/>
        <w:textAlignment w:val="bottom"/>
        <w:rPr>
          <w:rFonts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1、</w:t>
      </w:r>
      <w:r>
        <w:rPr>
          <w:rFonts w:eastAsia="楷体_GB2312"/>
          <w:b/>
          <w:bCs/>
          <w:sz w:val="32"/>
          <w:szCs w:val="32"/>
        </w:rPr>
        <w:t>持续深入推进脱贫攻坚</w:t>
      </w:r>
    </w:p>
    <w:p w14:paraId="26CA6A13">
      <w:pPr>
        <w:overflowPunct w:val="0"/>
        <w:topLinePunct/>
        <w:spacing w:line="576" w:lineRule="exact"/>
        <w:ind w:firstLine="651" w:firstLineChars="200"/>
        <w:textAlignment w:val="bottom"/>
        <w:rPr>
          <w:rFonts w:eastAsia="仿宋_GB2312"/>
          <w:spacing w:val="2"/>
          <w:sz w:val="32"/>
          <w:szCs w:val="32"/>
        </w:rPr>
      </w:pPr>
      <w:r>
        <w:rPr>
          <w:rFonts w:eastAsia="仿宋_GB2312"/>
          <w:b/>
          <w:bCs/>
          <w:spacing w:val="2"/>
          <w:sz w:val="32"/>
          <w:szCs w:val="32"/>
        </w:rPr>
        <w:t>一是</w:t>
      </w:r>
      <w:r>
        <w:rPr>
          <w:rFonts w:eastAsia="仿宋_GB2312"/>
          <w:spacing w:val="2"/>
          <w:sz w:val="32"/>
          <w:szCs w:val="32"/>
        </w:rPr>
        <w:t>履行好牵头揽总主责。先后组织筹备了</w:t>
      </w:r>
      <w:r>
        <w:rPr>
          <w:rFonts w:hint="eastAsia" w:eastAsia="仿宋_GB2312"/>
          <w:spacing w:val="2"/>
          <w:sz w:val="32"/>
          <w:szCs w:val="32"/>
        </w:rPr>
        <w:t>7</w:t>
      </w:r>
      <w:r>
        <w:rPr>
          <w:rFonts w:eastAsia="仿宋_GB2312"/>
          <w:spacing w:val="2"/>
          <w:sz w:val="32"/>
          <w:szCs w:val="32"/>
        </w:rPr>
        <w:t>次脱贫攻坚指挥部（领导小组）会、</w:t>
      </w:r>
      <w:r>
        <w:rPr>
          <w:rFonts w:hint="eastAsia" w:eastAsia="仿宋_GB2312"/>
          <w:spacing w:val="2"/>
          <w:sz w:val="32"/>
          <w:szCs w:val="32"/>
        </w:rPr>
        <w:t>5</w:t>
      </w:r>
      <w:r>
        <w:rPr>
          <w:rFonts w:eastAsia="仿宋_GB2312"/>
          <w:spacing w:val="2"/>
          <w:sz w:val="32"/>
          <w:szCs w:val="32"/>
        </w:rPr>
        <w:t>次脱贫攻坚指挥部（领导小组）办公室会、4次大型政策宣讲会、</w:t>
      </w:r>
      <w:r>
        <w:rPr>
          <w:rFonts w:hint="eastAsia" w:eastAsia="仿宋_GB2312"/>
          <w:spacing w:val="2"/>
          <w:sz w:val="32"/>
          <w:szCs w:val="32"/>
        </w:rPr>
        <w:t>8</w:t>
      </w:r>
      <w:r>
        <w:rPr>
          <w:rFonts w:eastAsia="仿宋_GB2312"/>
          <w:spacing w:val="2"/>
          <w:sz w:val="32"/>
          <w:szCs w:val="32"/>
        </w:rPr>
        <w:t>次脱贫攻坚信息宣传等各类业务培训暨推进会，起草了全区脱贫攻坚系列指导性文件、汇报材料、专题会议领导讲话材料等，为领导科学决策提供了有力依据。组织行业扶贫部门根据省、市专项扶贫年度计划，制定了我区26个扶贫专项201</w:t>
      </w:r>
      <w:r>
        <w:rPr>
          <w:rFonts w:hint="eastAsia" w:eastAsia="仿宋_GB2312"/>
          <w:spacing w:val="2"/>
          <w:sz w:val="32"/>
          <w:szCs w:val="32"/>
        </w:rPr>
        <w:t>9</w:t>
      </w:r>
      <w:r>
        <w:rPr>
          <w:rFonts w:eastAsia="仿宋_GB2312"/>
          <w:spacing w:val="2"/>
          <w:sz w:val="32"/>
          <w:szCs w:val="32"/>
        </w:rPr>
        <w:t>年</w:t>
      </w:r>
      <w:r>
        <w:rPr>
          <w:rFonts w:hint="eastAsia" w:eastAsia="仿宋_GB2312"/>
          <w:spacing w:val="2"/>
          <w:sz w:val="32"/>
          <w:szCs w:val="32"/>
        </w:rPr>
        <w:t>实施方案</w:t>
      </w:r>
      <w:r>
        <w:rPr>
          <w:rFonts w:eastAsia="仿宋_GB2312"/>
          <w:spacing w:val="2"/>
          <w:sz w:val="32"/>
          <w:szCs w:val="32"/>
        </w:rPr>
        <w:t>。组织编制了201</w:t>
      </w:r>
      <w:r>
        <w:rPr>
          <w:rFonts w:hint="eastAsia" w:eastAsia="仿宋_GB2312"/>
          <w:spacing w:val="2"/>
          <w:sz w:val="32"/>
          <w:szCs w:val="32"/>
        </w:rPr>
        <w:t>9</w:t>
      </w:r>
      <w:r>
        <w:rPr>
          <w:rFonts w:eastAsia="仿宋_GB2312"/>
          <w:spacing w:val="2"/>
          <w:sz w:val="32"/>
          <w:szCs w:val="32"/>
        </w:rPr>
        <w:t>年度财政涉农资金统筹整合使用方案，整合到位财政涉农资金共计</w:t>
      </w:r>
      <w:r>
        <w:rPr>
          <w:rFonts w:hint="eastAsia" w:eastAsia="仿宋_GB2312"/>
          <w:spacing w:val="2"/>
          <w:sz w:val="32"/>
          <w:szCs w:val="32"/>
        </w:rPr>
        <w:t>53158.566万</w:t>
      </w:r>
      <w:r>
        <w:rPr>
          <w:rFonts w:eastAsia="仿宋_GB2312"/>
          <w:spacing w:val="2"/>
          <w:sz w:val="32"/>
          <w:szCs w:val="32"/>
        </w:rPr>
        <w:t>元，保障了年度脱贫攻坚各项投入。</w:t>
      </w:r>
      <w:r>
        <w:rPr>
          <w:rFonts w:hint="eastAsia" w:eastAsia="仿宋_GB2312"/>
          <w:spacing w:val="2"/>
          <w:sz w:val="32"/>
          <w:szCs w:val="32"/>
        </w:rPr>
        <w:t>按照国家、省市规范完善县级脱贫攻坚项目库工作要求，及时制定我区2018-2020年脱贫攻坚项目库规范完善工作方案，完成项目入库申报和录入工作，共入库项目3054个，总投资246029.3477万元。牵头开展了扶贫领域工程项目专项清理和</w:t>
      </w:r>
      <w:r>
        <w:rPr>
          <w:rFonts w:eastAsia="仿宋_GB2312"/>
          <w:spacing w:val="2"/>
          <w:sz w:val="32"/>
          <w:szCs w:val="32"/>
        </w:rPr>
        <w:t>作风问题专项治理</w:t>
      </w:r>
      <w:r>
        <w:rPr>
          <w:rFonts w:hint="eastAsia" w:eastAsia="仿宋_GB2312"/>
          <w:spacing w:val="2"/>
          <w:sz w:val="32"/>
          <w:szCs w:val="32"/>
        </w:rPr>
        <w:t>。</w:t>
      </w:r>
      <w:r>
        <w:rPr>
          <w:rFonts w:eastAsia="仿宋_GB2312"/>
          <w:spacing w:val="2"/>
          <w:sz w:val="32"/>
          <w:szCs w:val="32"/>
        </w:rPr>
        <w:t>分季度制定了“春季攻势”“夏季战役”“秋季</w:t>
      </w:r>
      <w:r>
        <w:rPr>
          <w:rFonts w:eastAsia="仿宋_GB2312"/>
          <w:sz w:val="32"/>
          <w:szCs w:val="32"/>
        </w:rPr>
        <w:t>攻坚”“冬季冲刺”任务责任清单，细化时间表、算清任务账，倒排工期、正排工序，</w:t>
      </w:r>
      <w:r>
        <w:rPr>
          <w:rFonts w:hint="eastAsia" w:eastAsia="仿宋_GB2312"/>
          <w:sz w:val="32"/>
          <w:szCs w:val="32"/>
        </w:rPr>
        <w:t>确保各项工作落实到位。</w:t>
      </w:r>
      <w:r>
        <w:rPr>
          <w:rFonts w:eastAsia="仿宋_GB2312"/>
          <w:b/>
          <w:bCs/>
          <w:spacing w:val="2"/>
          <w:sz w:val="32"/>
          <w:szCs w:val="32"/>
        </w:rPr>
        <w:t>二是</w:t>
      </w:r>
      <w:r>
        <w:rPr>
          <w:rFonts w:eastAsia="仿宋_GB2312"/>
          <w:spacing w:val="2"/>
          <w:sz w:val="32"/>
          <w:szCs w:val="32"/>
        </w:rPr>
        <w:t>压紧脱贫攻坚主业。</w:t>
      </w:r>
      <w:r>
        <w:rPr>
          <w:rFonts w:hint="eastAsia" w:eastAsia="仿宋_GB2312"/>
          <w:spacing w:val="2"/>
          <w:sz w:val="32"/>
          <w:szCs w:val="32"/>
        </w:rPr>
        <w:t>按照“四不摘”要求，再次优化</w:t>
      </w:r>
      <w:r>
        <w:rPr>
          <w:rFonts w:eastAsia="仿宋_GB2312"/>
          <w:spacing w:val="2"/>
          <w:sz w:val="32"/>
          <w:szCs w:val="32"/>
        </w:rPr>
        <w:t>脱贫攻坚力量，严格分类分线管理</w:t>
      </w:r>
      <w:r>
        <w:rPr>
          <w:rFonts w:hint="eastAsia" w:eastAsia="仿宋_GB2312"/>
          <w:spacing w:val="2"/>
          <w:sz w:val="32"/>
          <w:szCs w:val="32"/>
        </w:rPr>
        <w:t>。</w:t>
      </w:r>
      <w:r>
        <w:rPr>
          <w:rFonts w:eastAsia="仿宋_GB2312"/>
          <w:spacing w:val="2"/>
          <w:sz w:val="32"/>
          <w:szCs w:val="32"/>
        </w:rPr>
        <w:t>结合班子成员分工和干部岗位职责，分类列出任务清单到干部人头，逐项落实</w:t>
      </w:r>
      <w:r>
        <w:rPr>
          <w:rFonts w:hint="eastAsia" w:eastAsia="仿宋_GB2312"/>
          <w:spacing w:val="2"/>
          <w:sz w:val="32"/>
          <w:szCs w:val="32"/>
        </w:rPr>
        <w:t>巩固脱贫成果</w:t>
      </w:r>
      <w:r>
        <w:rPr>
          <w:rFonts w:eastAsia="仿宋_GB2312"/>
          <w:spacing w:val="2"/>
          <w:sz w:val="32"/>
          <w:szCs w:val="32"/>
        </w:rPr>
        <w:t>措施。瞄准贫困村和贫困人口，精心编制财政专项扶贫项目资金实施方案，督促指导项目实施，</w:t>
      </w:r>
      <w:r>
        <w:rPr>
          <w:rFonts w:hint="eastAsia" w:eastAsia="仿宋_GB2312"/>
          <w:spacing w:val="2"/>
          <w:sz w:val="32"/>
          <w:szCs w:val="32"/>
        </w:rPr>
        <w:t>2019年财政专项扶贫到户项目当年资金报账率达95%以上，</w:t>
      </w:r>
      <w:r>
        <w:rPr>
          <w:rFonts w:eastAsia="仿宋_GB2312"/>
          <w:spacing w:val="2"/>
          <w:sz w:val="32"/>
          <w:szCs w:val="32"/>
        </w:rPr>
        <w:t>201</w:t>
      </w:r>
      <w:r>
        <w:rPr>
          <w:rFonts w:hint="eastAsia" w:eastAsia="仿宋_GB2312"/>
          <w:spacing w:val="2"/>
          <w:sz w:val="32"/>
          <w:szCs w:val="32"/>
        </w:rPr>
        <w:t>8</w:t>
      </w:r>
      <w:r>
        <w:rPr>
          <w:rFonts w:eastAsia="仿宋_GB2312"/>
          <w:spacing w:val="2"/>
          <w:sz w:val="32"/>
          <w:szCs w:val="32"/>
        </w:rPr>
        <w:t>年</w:t>
      </w:r>
      <w:r>
        <w:rPr>
          <w:rFonts w:hint="eastAsia" w:eastAsia="仿宋_GB2312"/>
          <w:spacing w:val="2"/>
          <w:sz w:val="32"/>
          <w:szCs w:val="32"/>
        </w:rPr>
        <w:t>及以前年度</w:t>
      </w:r>
      <w:r>
        <w:rPr>
          <w:rFonts w:eastAsia="仿宋_GB2312"/>
          <w:spacing w:val="2"/>
          <w:sz w:val="32"/>
          <w:szCs w:val="32"/>
        </w:rPr>
        <w:t>到户项目资金报账率</w:t>
      </w:r>
      <w:r>
        <w:rPr>
          <w:rFonts w:hint="eastAsia" w:eastAsia="仿宋_GB2312"/>
          <w:spacing w:val="2"/>
          <w:sz w:val="32"/>
          <w:szCs w:val="32"/>
        </w:rPr>
        <w:t>达到</w:t>
      </w:r>
      <w:r>
        <w:rPr>
          <w:rFonts w:eastAsia="仿宋_GB2312"/>
          <w:spacing w:val="2"/>
          <w:sz w:val="32"/>
          <w:szCs w:val="32"/>
        </w:rPr>
        <w:t>100%，实现了贫困村、贫困户产业项目资金全覆盖。围绕“10.17”扶贫日主题活动，牵头开展了昭化区第</w:t>
      </w:r>
      <w:r>
        <w:rPr>
          <w:rFonts w:hint="eastAsia" w:eastAsia="仿宋_GB2312"/>
          <w:spacing w:val="2"/>
          <w:sz w:val="32"/>
          <w:szCs w:val="32"/>
        </w:rPr>
        <w:t>四</w:t>
      </w:r>
      <w:r>
        <w:rPr>
          <w:rFonts w:eastAsia="仿宋_GB2312"/>
          <w:spacing w:val="2"/>
          <w:sz w:val="32"/>
          <w:szCs w:val="32"/>
        </w:rPr>
        <w:t>届“百佳脱贫示范户”、第</w:t>
      </w:r>
      <w:r>
        <w:rPr>
          <w:rFonts w:hint="eastAsia" w:eastAsia="仿宋_GB2312"/>
          <w:spacing w:val="2"/>
          <w:sz w:val="32"/>
          <w:szCs w:val="32"/>
        </w:rPr>
        <w:t>三</w:t>
      </w:r>
      <w:r>
        <w:rPr>
          <w:rFonts w:eastAsia="仿宋_GB2312"/>
          <w:spacing w:val="2"/>
          <w:sz w:val="32"/>
          <w:szCs w:val="32"/>
        </w:rPr>
        <w:t>届“百佳奔康示范户”的评选表彰活动，我区</w:t>
      </w:r>
      <w:r>
        <w:rPr>
          <w:rFonts w:hint="eastAsia" w:eastAsia="仿宋_GB2312"/>
          <w:spacing w:val="2"/>
          <w:sz w:val="32"/>
          <w:szCs w:val="32"/>
        </w:rPr>
        <w:t>有6人和1个乡镇、2个区级部门</w:t>
      </w:r>
      <w:r>
        <w:rPr>
          <w:rFonts w:eastAsia="仿宋_GB2312"/>
          <w:spacing w:val="2"/>
          <w:sz w:val="32"/>
          <w:szCs w:val="32"/>
        </w:rPr>
        <w:t>获得“全市脱贫攻坚奖”表彰，</w:t>
      </w:r>
      <w:r>
        <w:rPr>
          <w:rFonts w:hint="eastAsia" w:eastAsia="仿宋_GB2312"/>
          <w:spacing w:val="2"/>
          <w:sz w:val="32"/>
          <w:szCs w:val="32"/>
        </w:rPr>
        <w:t>10</w:t>
      </w:r>
      <w:r>
        <w:rPr>
          <w:rFonts w:eastAsia="仿宋_GB2312"/>
          <w:spacing w:val="2"/>
          <w:sz w:val="32"/>
          <w:szCs w:val="32"/>
        </w:rPr>
        <w:t>人获得“广元市第</w:t>
      </w:r>
      <w:r>
        <w:rPr>
          <w:rFonts w:hint="eastAsia" w:eastAsia="仿宋_GB2312"/>
          <w:spacing w:val="2"/>
          <w:sz w:val="32"/>
          <w:szCs w:val="32"/>
        </w:rPr>
        <w:t>四</w:t>
      </w:r>
      <w:r>
        <w:rPr>
          <w:rFonts w:eastAsia="仿宋_GB2312"/>
          <w:spacing w:val="2"/>
          <w:sz w:val="32"/>
          <w:szCs w:val="32"/>
        </w:rPr>
        <w:t>届百佳示范脱贫户”称号。认真组织实施“雨露计划”，完成春、秋两季审核</w:t>
      </w:r>
      <w:r>
        <w:rPr>
          <w:rFonts w:hint="eastAsia" w:eastAsia="仿宋_GB2312"/>
          <w:spacing w:val="2"/>
          <w:sz w:val="32"/>
          <w:szCs w:val="32"/>
        </w:rPr>
        <w:t>725</w:t>
      </w:r>
      <w:r>
        <w:rPr>
          <w:rFonts w:eastAsia="仿宋_GB2312"/>
          <w:spacing w:val="2"/>
          <w:sz w:val="32"/>
          <w:szCs w:val="32"/>
        </w:rPr>
        <w:t>人次、补助资金</w:t>
      </w:r>
      <w:r>
        <w:rPr>
          <w:rFonts w:hint="eastAsia" w:eastAsia="仿宋_GB2312"/>
          <w:spacing w:val="2"/>
          <w:sz w:val="32"/>
          <w:szCs w:val="32"/>
        </w:rPr>
        <w:t>90.3</w:t>
      </w:r>
      <w:r>
        <w:rPr>
          <w:rFonts w:eastAsia="仿宋_GB2312"/>
          <w:spacing w:val="2"/>
          <w:sz w:val="32"/>
          <w:szCs w:val="32"/>
        </w:rPr>
        <w:t>万元。</w:t>
      </w:r>
      <w:r>
        <w:rPr>
          <w:rFonts w:hint="eastAsia" w:eastAsia="仿宋_GB2312"/>
          <w:spacing w:val="2"/>
          <w:sz w:val="32"/>
          <w:szCs w:val="32"/>
        </w:rPr>
        <w:t>累计审批政担银企户并批准贷款的42家，贷款金额3700余万元。加大东西部扶贫协作，完成协作双方领导多次互访对接，互派干部7人、专业技术人员15人挂职交流，编制了扶贫协作2019年度实施计划，牵头完成了2019年实施项目的启动、进度督查和成效验收，引进落地企业3家，实际到位资金1.34亿余元，带动贫困人口脱贫2811人，组织专场招聘会11场，转移贫困人口就业602人。配合相关部门组织38家企业深入29个村开展万企帮万村活动。</w:t>
      </w:r>
      <w:r>
        <w:rPr>
          <w:rFonts w:eastAsia="仿宋_GB2312"/>
          <w:b/>
          <w:bCs/>
          <w:spacing w:val="2"/>
          <w:sz w:val="32"/>
          <w:szCs w:val="32"/>
        </w:rPr>
        <w:t>三是</w:t>
      </w:r>
      <w:r>
        <w:rPr>
          <w:rFonts w:eastAsia="仿宋_GB2312"/>
          <w:spacing w:val="2"/>
          <w:sz w:val="32"/>
          <w:szCs w:val="32"/>
        </w:rPr>
        <w:t>抓实结对帮扶工作。</w:t>
      </w:r>
      <w:r>
        <w:rPr>
          <w:rFonts w:eastAsia="仿宋_GB2312"/>
          <w:b/>
          <w:bCs/>
          <w:spacing w:val="2"/>
          <w:sz w:val="32"/>
          <w:szCs w:val="32"/>
        </w:rPr>
        <w:t>四是</w:t>
      </w:r>
      <w:r>
        <w:rPr>
          <w:rFonts w:eastAsia="仿宋_GB2312"/>
          <w:spacing w:val="2"/>
          <w:sz w:val="32"/>
          <w:szCs w:val="32"/>
        </w:rPr>
        <w:t>强化信息宣传。。</w:t>
      </w:r>
    </w:p>
    <w:p w14:paraId="202DE01B">
      <w:pPr>
        <w:overflowPunct w:val="0"/>
        <w:topLinePunct/>
        <w:spacing w:line="576" w:lineRule="exact"/>
        <w:ind w:firstLine="651" w:firstLineChars="200"/>
        <w:textAlignment w:val="bottom"/>
        <w:rPr>
          <w:rFonts w:ascii="楷体" w:hAnsi="楷体" w:eastAsia="楷体"/>
          <w:b/>
          <w:bCs/>
          <w:sz w:val="32"/>
          <w:szCs w:val="32"/>
        </w:rPr>
      </w:pPr>
      <w:r>
        <w:rPr>
          <w:rFonts w:hint="eastAsia" w:ascii="楷体_GB2312" w:hAnsi="楷体_GB2312" w:eastAsia="楷体_GB2312" w:cs="楷体_GB2312"/>
          <w:b/>
          <w:bCs/>
          <w:spacing w:val="2"/>
          <w:sz w:val="32"/>
          <w:szCs w:val="32"/>
        </w:rPr>
        <w:t>2、稳妥推进库区移民工作</w:t>
      </w:r>
    </w:p>
    <w:p w14:paraId="05AD1ABD">
      <w:pPr>
        <w:spacing w:line="576" w:lineRule="exact"/>
        <w:ind w:firstLine="643" w:firstLineChars="200"/>
        <w:rPr>
          <w:rFonts w:eastAsia="仿宋_GB2312"/>
          <w:sz w:val="32"/>
          <w:szCs w:val="32"/>
        </w:rPr>
      </w:pPr>
      <w:r>
        <w:rPr>
          <w:rFonts w:hint="eastAsia" w:ascii="仿宋_GB2312" w:hAnsi="仿宋_GB2312" w:eastAsia="仿宋_GB2312" w:cs="仿宋_GB2312"/>
          <w:b/>
          <w:bCs/>
          <w:sz w:val="32"/>
          <w:szCs w:val="32"/>
        </w:rPr>
        <w:t>一是</w:t>
      </w:r>
      <w:r>
        <w:rPr>
          <w:rFonts w:hint="eastAsia" w:eastAsia="仿宋_GB2312"/>
          <w:spacing w:val="2"/>
          <w:sz w:val="32"/>
          <w:szCs w:val="32"/>
        </w:rPr>
        <w:t>加快推进亭子口移民扫尾工作。亭子口工程完成年度投资1266.80万元，占目标任务1200万元的105.57%。</w:t>
      </w:r>
      <w:r>
        <w:rPr>
          <w:rFonts w:hint="eastAsia" w:ascii="仿宋_GB2312" w:eastAsia="仿宋_GB2312"/>
          <w:b/>
          <w:bCs/>
          <w:sz w:val="32"/>
          <w:szCs w:val="32"/>
        </w:rPr>
        <w:t>二是</w:t>
      </w:r>
      <w:r>
        <w:rPr>
          <w:rFonts w:hint="eastAsia" w:eastAsia="仿宋_GB2312"/>
          <w:spacing w:val="2"/>
          <w:sz w:val="32"/>
          <w:szCs w:val="32"/>
        </w:rPr>
        <w:t>规范有序推进中型水库移民安置。大寨水库工程完成了大朝乡孟江村1、2、4组和云台村2组移民安置，累计生产安置179人，搬迁安置41户173人。完成了截流范围库底清理、农村移民安置设计变更和截流阶段移民安置自验初验工作，大寨水库工程完成年度投资1341.95万元，占目标任务1133.94万元的118.34%。乐园水库工程完成了磨滩镇金堂村4、5组移民安置工作，累计生产安置13人。完成了磨滩镇金堂村3组移民资金分配、库区林地分解和地面附着物补偿补助资金兑付工作。乐园水库工程完成年度投资151.16万元，占目标任务41.54万元的363.89%。</w:t>
      </w:r>
      <w:r>
        <w:rPr>
          <w:rFonts w:hint="eastAsia" w:eastAsia="仿宋_GB2312"/>
          <w:b/>
          <w:bCs/>
          <w:sz w:val="32"/>
          <w:szCs w:val="32"/>
        </w:rPr>
        <w:t>三是</w:t>
      </w:r>
      <w:r>
        <w:rPr>
          <w:rFonts w:hint="eastAsia" w:eastAsia="仿宋_GB2312"/>
          <w:spacing w:val="2"/>
          <w:sz w:val="32"/>
          <w:szCs w:val="32"/>
        </w:rPr>
        <w:t>扎实推进移民后期扶持。</w:t>
      </w:r>
      <w:r>
        <w:rPr>
          <w:rFonts w:hint="eastAsia" w:eastAsia="仿宋_GB2312"/>
          <w:sz w:val="32"/>
          <w:szCs w:val="32"/>
        </w:rPr>
        <w:t>认真开展移民后期扶持直发直补工作。按要求及时进行人口动态管理，结合区 “一卡通”变“一卡统”，认真推进人口信息核实工作，2019年度共发放直补资金808.3万元。</w:t>
      </w:r>
      <w:r>
        <w:rPr>
          <w:rFonts w:hint="eastAsia" w:eastAsia="仿宋_GB2312"/>
          <w:b/>
          <w:bCs/>
          <w:sz w:val="32"/>
          <w:szCs w:val="32"/>
        </w:rPr>
        <w:t>四是</w:t>
      </w:r>
      <w:r>
        <w:rPr>
          <w:rFonts w:eastAsia="仿宋_GB2312"/>
          <w:spacing w:val="2"/>
          <w:sz w:val="32"/>
          <w:szCs w:val="32"/>
        </w:rPr>
        <w:t>加强项目实施管理指导</w:t>
      </w:r>
      <w:r>
        <w:rPr>
          <w:rFonts w:hint="eastAsia" w:eastAsia="仿宋_GB2312"/>
          <w:spacing w:val="2"/>
          <w:sz w:val="32"/>
          <w:szCs w:val="32"/>
        </w:rPr>
        <w:t>。</w:t>
      </w:r>
      <w:r>
        <w:rPr>
          <w:rFonts w:eastAsia="仿宋_GB2312"/>
          <w:spacing w:val="2"/>
          <w:sz w:val="32"/>
          <w:szCs w:val="32"/>
        </w:rPr>
        <w:t>完成了201</w:t>
      </w:r>
      <w:r>
        <w:rPr>
          <w:rFonts w:hint="eastAsia" w:eastAsia="仿宋_GB2312"/>
          <w:spacing w:val="2"/>
          <w:sz w:val="32"/>
          <w:szCs w:val="32"/>
        </w:rPr>
        <w:t>9</w:t>
      </w:r>
      <w:r>
        <w:rPr>
          <w:rFonts w:eastAsia="仿宋_GB2312"/>
          <w:spacing w:val="2"/>
          <w:sz w:val="32"/>
          <w:szCs w:val="32"/>
        </w:rPr>
        <w:t>年移民后期扶持项目规划、项目资金计划下达，同时指导项目乡镇、村做好项目实施方案的编制、实施、报账等工作。</w:t>
      </w:r>
      <w:r>
        <w:rPr>
          <w:rFonts w:hint="eastAsia" w:eastAsia="仿宋_GB2312"/>
          <w:sz w:val="32"/>
          <w:szCs w:val="32"/>
        </w:rPr>
        <w:t>避险解困项目全部完工，搬迁移民299户、899人，建安置点7个，硬化村组道路21.6公里，新建猕猴桃产业园1725亩，完善了公共服务设施。</w:t>
      </w:r>
      <w:r>
        <w:rPr>
          <w:rFonts w:hint="eastAsia" w:eastAsia="仿宋_GB2312"/>
          <w:b/>
          <w:bCs/>
          <w:sz w:val="32"/>
          <w:szCs w:val="32"/>
        </w:rPr>
        <w:t>五是</w:t>
      </w:r>
      <w:r>
        <w:rPr>
          <w:rFonts w:eastAsia="仿宋_GB2312"/>
          <w:spacing w:val="2"/>
          <w:sz w:val="32"/>
          <w:szCs w:val="32"/>
        </w:rPr>
        <w:t>移民库区振兴发展成效</w:t>
      </w:r>
      <w:r>
        <w:rPr>
          <w:rFonts w:hint="eastAsia" w:eastAsia="仿宋_GB2312"/>
          <w:spacing w:val="2"/>
          <w:sz w:val="32"/>
          <w:szCs w:val="32"/>
        </w:rPr>
        <w:t>明显</w:t>
      </w:r>
      <w:r>
        <w:rPr>
          <w:rFonts w:eastAsia="仿宋_GB2312"/>
          <w:spacing w:val="2"/>
          <w:sz w:val="32"/>
          <w:szCs w:val="32"/>
        </w:rPr>
        <w:t>。</w:t>
      </w:r>
      <w:r>
        <w:rPr>
          <w:rFonts w:hint="eastAsia" w:eastAsia="仿宋_GB2312"/>
          <w:spacing w:val="2"/>
          <w:sz w:val="32"/>
          <w:szCs w:val="32"/>
        </w:rPr>
        <w:t>印发了</w:t>
      </w:r>
      <w:r>
        <w:rPr>
          <w:rFonts w:eastAsia="仿宋_GB2312"/>
          <w:sz w:val="32"/>
          <w:szCs w:val="32"/>
        </w:rPr>
        <w:t>《2019年移民工作重点任务</w:t>
      </w:r>
      <w:r>
        <w:rPr>
          <w:rFonts w:hint="eastAsia" w:eastAsia="仿宋_GB2312"/>
          <w:sz w:val="32"/>
          <w:szCs w:val="32"/>
        </w:rPr>
        <w:t>清单</w:t>
      </w:r>
      <w:r>
        <w:rPr>
          <w:rFonts w:eastAsia="仿宋_GB2312"/>
          <w:sz w:val="32"/>
          <w:szCs w:val="32"/>
        </w:rPr>
        <w:t>》，</w:t>
      </w:r>
      <w:r>
        <w:rPr>
          <w:rFonts w:eastAsia="仿宋_GB2312"/>
          <w:spacing w:val="2"/>
          <w:sz w:val="32"/>
          <w:szCs w:val="32"/>
        </w:rPr>
        <w:t>进一步明确全区各行业、各部门的目标任务和工作职责，年初市政府下达我区的目标任务圆满完成。</w:t>
      </w:r>
    </w:p>
    <w:p w14:paraId="7EDF5300">
      <w:pPr>
        <w:overflowPunct w:val="0"/>
        <w:topLinePunct/>
        <w:spacing w:line="576" w:lineRule="exact"/>
        <w:ind w:firstLine="651" w:firstLineChars="200"/>
        <w:textAlignment w:val="bottom"/>
        <w:rPr>
          <w:rFonts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3、持续抓好生态平安建设</w:t>
      </w:r>
    </w:p>
    <w:p w14:paraId="4480B295">
      <w:pPr>
        <w:overflowPunct w:val="0"/>
        <w:topLinePunct/>
        <w:spacing w:line="576" w:lineRule="exact"/>
        <w:ind w:firstLine="648" w:firstLineChars="200"/>
        <w:textAlignment w:val="bottom"/>
        <w:rPr>
          <w:rFonts w:eastAsia="仿宋_GB2312"/>
          <w:spacing w:val="2"/>
          <w:sz w:val="32"/>
          <w:szCs w:val="32"/>
        </w:rPr>
      </w:pPr>
      <w:r>
        <w:rPr>
          <w:rFonts w:eastAsia="仿宋_GB2312"/>
          <w:spacing w:val="2"/>
          <w:sz w:val="32"/>
          <w:szCs w:val="32"/>
        </w:rPr>
        <w:t>结合扶贫领域</w:t>
      </w:r>
      <w:r>
        <w:rPr>
          <w:rFonts w:hint="eastAsia" w:eastAsia="仿宋_GB2312"/>
          <w:spacing w:val="2"/>
          <w:sz w:val="32"/>
          <w:szCs w:val="32"/>
        </w:rPr>
        <w:t>项目工程清理和</w:t>
      </w:r>
      <w:r>
        <w:rPr>
          <w:rFonts w:eastAsia="仿宋_GB2312"/>
          <w:spacing w:val="2"/>
          <w:sz w:val="32"/>
          <w:szCs w:val="32"/>
        </w:rPr>
        <w:t>腐败</w:t>
      </w:r>
      <w:r>
        <w:rPr>
          <w:rFonts w:hint="eastAsia" w:eastAsia="仿宋_GB2312"/>
          <w:spacing w:val="2"/>
          <w:sz w:val="32"/>
          <w:szCs w:val="32"/>
        </w:rPr>
        <w:t>、</w:t>
      </w:r>
      <w:r>
        <w:rPr>
          <w:rFonts w:eastAsia="仿宋_GB2312"/>
          <w:spacing w:val="2"/>
          <w:sz w:val="32"/>
          <w:szCs w:val="32"/>
        </w:rPr>
        <w:t>作风问题专项治理工作，以“营造浓厚氛围、排查矛盾纠纷、畅通举报渠道”为抓手，坚持“有黑扫黑、无黑除恶、无恶治乱”的原则，</w:t>
      </w:r>
      <w:r>
        <w:rPr>
          <w:rFonts w:hint="eastAsia" w:eastAsia="仿宋_GB2312"/>
          <w:spacing w:val="2"/>
          <w:sz w:val="32"/>
          <w:szCs w:val="32"/>
        </w:rPr>
        <w:t>持续</w:t>
      </w:r>
      <w:r>
        <w:rPr>
          <w:rFonts w:eastAsia="仿宋_GB2312"/>
          <w:spacing w:val="2"/>
          <w:sz w:val="32"/>
          <w:szCs w:val="32"/>
        </w:rPr>
        <w:t>推进扫黑除恶专项斗争。</w:t>
      </w:r>
      <w:r>
        <w:rPr>
          <w:rFonts w:hint="eastAsia" w:eastAsia="仿宋_GB2312"/>
          <w:spacing w:val="2"/>
          <w:sz w:val="32"/>
          <w:szCs w:val="32"/>
        </w:rPr>
        <w:t>完善充实</w:t>
      </w:r>
      <w:r>
        <w:rPr>
          <w:rFonts w:eastAsia="仿宋_GB2312"/>
          <w:spacing w:val="2"/>
          <w:sz w:val="32"/>
          <w:szCs w:val="32"/>
        </w:rPr>
        <w:t>了扫黑除恶专项斗争领导小组，制订了实施方案，落实了分管领导和具体工作人员，建立了线索收集分析研判机制和处理上报台账。</w:t>
      </w:r>
    </w:p>
    <w:p w14:paraId="4C20A5E6">
      <w:pPr>
        <w:overflowPunct w:val="0"/>
        <w:topLinePunct/>
        <w:spacing w:line="576" w:lineRule="exact"/>
        <w:ind w:firstLine="651" w:firstLineChars="200"/>
        <w:textAlignment w:val="bottom"/>
        <w:rPr>
          <w:rFonts w:ascii="楷体_GB2312" w:hAnsi="楷体_GB2312" w:eastAsia="楷体_GB2312" w:cs="楷体_GB2312"/>
          <w:spacing w:val="2"/>
          <w:sz w:val="32"/>
          <w:szCs w:val="32"/>
        </w:rPr>
      </w:pPr>
      <w:r>
        <w:rPr>
          <w:rFonts w:hint="eastAsia" w:ascii="楷体_GB2312" w:hAnsi="楷体_GB2312" w:eastAsia="楷体_GB2312" w:cs="楷体_GB2312"/>
          <w:b/>
          <w:bCs/>
          <w:spacing w:val="2"/>
          <w:sz w:val="32"/>
          <w:szCs w:val="32"/>
        </w:rPr>
        <w:t>4、深入推进深化改革和依法治区工作</w:t>
      </w:r>
    </w:p>
    <w:p w14:paraId="49FB80FC">
      <w:pPr>
        <w:overflowPunct w:val="0"/>
        <w:topLinePunct/>
        <w:spacing w:line="576" w:lineRule="exact"/>
        <w:ind w:firstLine="648" w:firstLineChars="200"/>
        <w:textAlignment w:val="bottom"/>
        <w:rPr>
          <w:rFonts w:eastAsia="仿宋_GB2312"/>
          <w:spacing w:val="2"/>
          <w:sz w:val="32"/>
          <w:szCs w:val="32"/>
        </w:rPr>
      </w:pPr>
      <w:r>
        <w:rPr>
          <w:rFonts w:eastAsia="仿宋_GB2312"/>
          <w:spacing w:val="2"/>
          <w:sz w:val="32"/>
          <w:szCs w:val="32"/>
        </w:rPr>
        <w:t>高度重视扶贫领域改革</w:t>
      </w:r>
      <w:r>
        <w:rPr>
          <w:rFonts w:hint="eastAsia" w:eastAsia="仿宋_GB2312"/>
          <w:spacing w:val="2"/>
          <w:sz w:val="32"/>
          <w:szCs w:val="32"/>
        </w:rPr>
        <w:t>，结合</w:t>
      </w:r>
      <w:r>
        <w:rPr>
          <w:rFonts w:eastAsia="仿宋_GB2312"/>
          <w:spacing w:val="2"/>
          <w:sz w:val="32"/>
          <w:szCs w:val="32"/>
        </w:rPr>
        <w:t>《广元市昭化区打赢脱贫攻坚战三年行动实施计划》</w:t>
      </w:r>
      <w:r>
        <w:rPr>
          <w:rFonts w:hint="eastAsia" w:eastAsia="仿宋_GB2312"/>
          <w:spacing w:val="2"/>
          <w:sz w:val="32"/>
          <w:szCs w:val="32"/>
        </w:rPr>
        <w:t>和巩固提升脱贫攻坚成果，</w:t>
      </w:r>
      <w:r>
        <w:rPr>
          <w:rFonts w:eastAsia="仿宋_GB2312"/>
          <w:spacing w:val="2"/>
          <w:sz w:val="32"/>
          <w:szCs w:val="32"/>
        </w:rPr>
        <w:t>牵头出台了</w:t>
      </w:r>
      <w:r>
        <w:rPr>
          <w:rFonts w:hint="eastAsia" w:eastAsia="仿宋_GB2312"/>
          <w:spacing w:val="2"/>
          <w:sz w:val="32"/>
          <w:szCs w:val="32"/>
        </w:rPr>
        <w:t>《</w:t>
      </w:r>
      <w:r>
        <w:rPr>
          <w:rFonts w:eastAsia="仿宋_GB2312"/>
          <w:spacing w:val="2"/>
          <w:sz w:val="32"/>
          <w:szCs w:val="32"/>
        </w:rPr>
        <w:t>广元市昭化区2019年脱贫攻坚巩固提升工作要点</w:t>
      </w:r>
      <w:r>
        <w:rPr>
          <w:rFonts w:hint="eastAsia" w:eastAsia="仿宋_GB2312"/>
          <w:spacing w:val="2"/>
          <w:sz w:val="32"/>
          <w:szCs w:val="32"/>
        </w:rPr>
        <w:t>》，</w:t>
      </w:r>
      <w:r>
        <w:rPr>
          <w:rFonts w:eastAsia="仿宋_GB2312"/>
          <w:spacing w:val="2"/>
          <w:sz w:val="32"/>
          <w:szCs w:val="32"/>
        </w:rPr>
        <w:t>同时，注重主动向上汇报对接、向外招引合作和向下指导服务，通过主动作为汇聚合力，一大批企业、社会各</w:t>
      </w:r>
      <w:r>
        <w:rPr>
          <w:rFonts w:hint="eastAsia" w:eastAsia="仿宋_GB2312"/>
          <w:spacing w:val="2"/>
          <w:sz w:val="32"/>
          <w:szCs w:val="32"/>
          <w:lang w:val="en-US" w:eastAsia="zh-CN"/>
        </w:rPr>
        <w:t>界</w:t>
      </w:r>
      <w:r>
        <w:rPr>
          <w:rFonts w:eastAsia="仿宋_GB2312"/>
          <w:spacing w:val="2"/>
          <w:sz w:val="32"/>
          <w:szCs w:val="32"/>
        </w:rPr>
        <w:t>人士广泛参与我区脱贫攻坚，“大扶贫”机制体制纵深推进。夯实推进依法治区基础工作。制定了局《201</w:t>
      </w:r>
      <w:r>
        <w:rPr>
          <w:rFonts w:hint="eastAsia" w:eastAsia="仿宋_GB2312"/>
          <w:spacing w:val="2"/>
          <w:sz w:val="32"/>
          <w:szCs w:val="32"/>
        </w:rPr>
        <w:t>9</w:t>
      </w:r>
      <w:r>
        <w:rPr>
          <w:rFonts w:eastAsia="仿宋_GB2312"/>
          <w:spacing w:val="2"/>
          <w:sz w:val="32"/>
          <w:szCs w:val="32"/>
        </w:rPr>
        <w:t>年推进依法治区工作要点》，调整充实了推进依法治区领导小组及办公室。有计划、有步骤组织召开学法、普法专题学习会，全年</w:t>
      </w:r>
      <w:r>
        <w:rPr>
          <w:rFonts w:hint="eastAsia" w:eastAsia="仿宋_GB2312"/>
          <w:spacing w:val="2"/>
          <w:sz w:val="32"/>
          <w:szCs w:val="32"/>
        </w:rPr>
        <w:t>局党组、</w:t>
      </w:r>
      <w:r>
        <w:rPr>
          <w:rFonts w:hint="eastAsia" w:eastAsia="仿宋_GB2312"/>
          <w:spacing w:val="2"/>
          <w:sz w:val="32"/>
          <w:szCs w:val="32"/>
          <w:lang w:eastAsia="zh-CN"/>
        </w:rPr>
        <w:t>理论学习中心组</w:t>
      </w:r>
      <w:r>
        <w:rPr>
          <w:rFonts w:eastAsia="仿宋_GB2312"/>
          <w:spacing w:val="2"/>
          <w:sz w:val="32"/>
          <w:szCs w:val="32"/>
        </w:rPr>
        <w:t>学法</w:t>
      </w:r>
      <w:r>
        <w:rPr>
          <w:rFonts w:hint="eastAsia" w:eastAsia="仿宋_GB2312"/>
          <w:spacing w:val="2"/>
          <w:sz w:val="32"/>
          <w:szCs w:val="32"/>
        </w:rPr>
        <w:t>16</w:t>
      </w:r>
      <w:r>
        <w:rPr>
          <w:rFonts w:eastAsia="仿宋_GB2312"/>
          <w:spacing w:val="2"/>
          <w:sz w:val="32"/>
          <w:szCs w:val="32"/>
        </w:rPr>
        <w:t>次。以“放管服”为切入点，完善政务一体化平台信息，对依申请公开事项及时认领并认真办理，进一步完善细化政务公开，优化办事工作流程。依法规范行政行为，强化内部监督职能，完善内审机构和内审制度，对项目资金监管和机关</w:t>
      </w:r>
      <w:r>
        <w:rPr>
          <w:rFonts w:hint="eastAsia" w:eastAsia="仿宋_GB2312"/>
          <w:spacing w:val="2"/>
          <w:sz w:val="32"/>
          <w:szCs w:val="32"/>
          <w:lang w:eastAsia="zh-CN"/>
        </w:rPr>
        <w:t>“三公”经费</w:t>
      </w:r>
      <w:r>
        <w:rPr>
          <w:rFonts w:eastAsia="仿宋_GB2312"/>
          <w:spacing w:val="2"/>
          <w:sz w:val="32"/>
          <w:szCs w:val="32"/>
        </w:rPr>
        <w:t>支出等行为实行内部横向监督制约。</w:t>
      </w:r>
    </w:p>
    <w:p w14:paraId="779F43EC">
      <w:pPr>
        <w:pStyle w:val="14"/>
        <w:shd w:val="clear" w:color="auto" w:fill="FFFFFF"/>
        <w:spacing w:before="0" w:beforeAutospacing="0" w:after="0" w:afterAutospacing="0" w:line="576" w:lineRule="exact"/>
        <w:ind w:firstLine="643" w:firstLineChars="200"/>
        <w:jc w:val="both"/>
        <w:rPr>
          <w:rFonts w:ascii="楷体_GB2312" w:hAnsi="楷体_GB2312" w:eastAsia="楷体_GB2312" w:cs="楷体_GB2312"/>
          <w:bCs/>
          <w:sz w:val="32"/>
          <w:szCs w:val="32"/>
        </w:rPr>
      </w:pPr>
      <w:r>
        <w:rPr>
          <w:rFonts w:hint="eastAsia" w:ascii="楷体_GB2312" w:hAnsi="楷体_GB2312" w:eastAsia="楷体_GB2312" w:cs="楷体_GB2312"/>
          <w:b/>
          <w:bCs/>
          <w:color w:val="000000"/>
          <w:sz w:val="32"/>
          <w:szCs w:val="32"/>
        </w:rPr>
        <w:t>5、</w:t>
      </w:r>
      <w:r>
        <w:rPr>
          <w:rFonts w:hint="eastAsia" w:ascii="楷体_GB2312" w:hAnsi="楷体_GB2312" w:eastAsia="楷体_GB2312" w:cs="楷体_GB2312"/>
          <w:b/>
          <w:bCs/>
          <w:sz w:val="32"/>
          <w:szCs w:val="32"/>
        </w:rPr>
        <w:t>全面落实党建廉政意识形态责任</w:t>
      </w:r>
    </w:p>
    <w:p w14:paraId="398633F8">
      <w:pPr>
        <w:spacing w:line="576" w:lineRule="exact"/>
        <w:ind w:firstLine="651" w:firstLineChars="200"/>
        <w:rPr>
          <w:rFonts w:eastAsia="仿宋_GB2312"/>
          <w:spacing w:val="2"/>
          <w:sz w:val="32"/>
          <w:szCs w:val="32"/>
        </w:rPr>
      </w:pPr>
      <w:r>
        <w:rPr>
          <w:rFonts w:eastAsia="仿宋_GB2312"/>
          <w:b/>
          <w:spacing w:val="2"/>
          <w:sz w:val="32"/>
          <w:szCs w:val="32"/>
        </w:rPr>
        <w:t>一是</w:t>
      </w:r>
      <w:r>
        <w:rPr>
          <w:rFonts w:eastAsia="仿宋_GB2312"/>
          <w:spacing w:val="2"/>
          <w:sz w:val="32"/>
          <w:szCs w:val="32"/>
        </w:rPr>
        <w:t>着力抓实机关党建。</w:t>
      </w:r>
      <w:r>
        <w:rPr>
          <w:rFonts w:hint="eastAsia" w:eastAsia="仿宋_GB2312"/>
          <w:spacing w:val="2"/>
          <w:sz w:val="32"/>
          <w:szCs w:val="32"/>
        </w:rPr>
        <w:t>、</w:t>
      </w:r>
      <w:r>
        <w:rPr>
          <w:rFonts w:hint="eastAsia" w:eastAsia="仿宋_GB2312"/>
          <w:b/>
          <w:bCs/>
          <w:spacing w:val="2"/>
          <w:sz w:val="32"/>
          <w:szCs w:val="32"/>
        </w:rPr>
        <w:t>二是</w:t>
      </w:r>
      <w:r>
        <w:rPr>
          <w:rFonts w:hint="eastAsia" w:eastAsia="仿宋_GB2312"/>
          <w:spacing w:val="-4"/>
          <w:kern w:val="0"/>
          <w:sz w:val="32"/>
          <w:szCs w:val="32"/>
        </w:rPr>
        <w:t>扎实开展</w:t>
      </w:r>
      <w:r>
        <w:rPr>
          <w:rFonts w:eastAsia="仿宋_GB2312"/>
          <w:spacing w:val="-4"/>
          <w:kern w:val="0"/>
          <w:sz w:val="32"/>
          <w:szCs w:val="32"/>
        </w:rPr>
        <w:t>“</w:t>
      </w:r>
      <w:r>
        <w:rPr>
          <w:rFonts w:hint="eastAsia" w:eastAsia="仿宋_GB2312"/>
          <w:spacing w:val="-4"/>
          <w:kern w:val="0"/>
          <w:sz w:val="32"/>
          <w:szCs w:val="32"/>
        </w:rPr>
        <w:t>不忘初心、牢记使命</w:t>
      </w:r>
      <w:r>
        <w:rPr>
          <w:rFonts w:eastAsia="仿宋_GB2312"/>
          <w:spacing w:val="2"/>
          <w:sz w:val="32"/>
          <w:szCs w:val="32"/>
        </w:rPr>
        <w:t>”</w:t>
      </w:r>
      <w:r>
        <w:rPr>
          <w:rFonts w:hint="eastAsia" w:eastAsia="仿宋_GB2312"/>
          <w:spacing w:val="2"/>
          <w:sz w:val="32"/>
          <w:szCs w:val="32"/>
        </w:rPr>
        <w:t>主题教育。</w:t>
      </w:r>
      <w:r>
        <w:rPr>
          <w:rFonts w:hint="eastAsia" w:eastAsia="仿宋_GB2312"/>
          <w:b/>
          <w:bCs/>
          <w:color w:val="000000"/>
          <w:sz w:val="32"/>
          <w:szCs w:val="32"/>
        </w:rPr>
        <w:t>三</w:t>
      </w:r>
      <w:bookmarkStart w:id="76" w:name="_GoBack"/>
      <w:bookmarkEnd w:id="76"/>
      <w:r>
        <w:rPr>
          <w:rFonts w:eastAsia="仿宋_GB2312"/>
          <w:b/>
          <w:bCs/>
          <w:color w:val="000000"/>
          <w:sz w:val="32"/>
          <w:szCs w:val="32"/>
        </w:rPr>
        <w:t>是</w:t>
      </w:r>
      <w:r>
        <w:rPr>
          <w:rFonts w:eastAsia="仿宋_GB2312"/>
          <w:spacing w:val="2"/>
          <w:sz w:val="32"/>
          <w:szCs w:val="32"/>
        </w:rPr>
        <w:t>着力抓好党风廉政。</w:t>
      </w:r>
      <w:r>
        <w:rPr>
          <w:rFonts w:hint="eastAsia" w:eastAsia="仿宋_GB2312"/>
          <w:b/>
          <w:spacing w:val="2"/>
          <w:sz w:val="32"/>
          <w:szCs w:val="32"/>
        </w:rPr>
        <w:t>四</w:t>
      </w:r>
      <w:r>
        <w:rPr>
          <w:rFonts w:eastAsia="仿宋_GB2312"/>
          <w:b/>
          <w:spacing w:val="2"/>
          <w:sz w:val="32"/>
          <w:szCs w:val="32"/>
        </w:rPr>
        <w:t>是</w:t>
      </w:r>
      <w:r>
        <w:rPr>
          <w:rFonts w:eastAsia="仿宋_GB2312"/>
          <w:spacing w:val="2"/>
          <w:sz w:val="32"/>
          <w:szCs w:val="32"/>
        </w:rPr>
        <w:t>着力</w:t>
      </w:r>
      <w:r>
        <w:rPr>
          <w:rFonts w:hint="eastAsia" w:eastAsia="仿宋_GB2312"/>
          <w:spacing w:val="2"/>
          <w:sz w:val="32"/>
          <w:szCs w:val="32"/>
        </w:rPr>
        <w:t>抓</w:t>
      </w:r>
      <w:r>
        <w:rPr>
          <w:rFonts w:eastAsia="仿宋_GB2312"/>
          <w:spacing w:val="2"/>
          <w:sz w:val="32"/>
          <w:szCs w:val="32"/>
        </w:rPr>
        <w:t>强</w:t>
      </w:r>
      <w:r>
        <w:rPr>
          <w:rFonts w:hint="eastAsia" w:eastAsia="仿宋_GB2312"/>
          <w:spacing w:val="2"/>
          <w:sz w:val="32"/>
          <w:szCs w:val="32"/>
        </w:rPr>
        <w:t>作风效能</w:t>
      </w:r>
      <w:r>
        <w:rPr>
          <w:rFonts w:eastAsia="仿宋_GB2312"/>
          <w:spacing w:val="2"/>
          <w:sz w:val="32"/>
          <w:szCs w:val="32"/>
        </w:rPr>
        <w:t>。</w:t>
      </w:r>
    </w:p>
    <w:p w14:paraId="7F387BE3">
      <w:pPr>
        <w:pStyle w:val="2"/>
        <w:spacing w:line="576" w:lineRule="exact"/>
        <w:ind w:firstLine="651" w:firstLineChars="200"/>
        <w:jc w:val="both"/>
        <w:rPr>
          <w:rFonts w:ascii="楷体_GB2312" w:hAnsi="楷体_GB2312" w:eastAsia="楷体_GB2312" w:cs="楷体_GB2312"/>
          <w:b/>
          <w:bCs/>
          <w:spacing w:val="2"/>
          <w:sz w:val="32"/>
          <w:szCs w:val="32"/>
        </w:rPr>
      </w:pPr>
      <w:r>
        <w:rPr>
          <w:rFonts w:hint="eastAsia" w:ascii="楷体_GB2312" w:hAnsi="楷体_GB2312" w:eastAsia="楷体_GB2312" w:cs="楷体_GB2312"/>
          <w:b/>
          <w:bCs/>
          <w:spacing w:val="2"/>
          <w:sz w:val="32"/>
          <w:szCs w:val="32"/>
        </w:rPr>
        <w:t>（六）统筹兼顾，协调推进建议提案办理及统战、保密、精神文明、档案、妇儿、应急、国安、防邪、禁毒、文体、统计等工作。</w:t>
      </w:r>
    </w:p>
    <w:p w14:paraId="011D1611">
      <w:pPr>
        <w:pStyle w:val="4"/>
        <w:spacing w:before="0" w:after="0" w:line="576" w:lineRule="exact"/>
        <w:ind w:firstLine="640" w:firstLineChars="200"/>
        <w:rPr>
          <w:rStyle w:val="28"/>
          <w:rFonts w:ascii="Times New Roman" w:hAnsi="Times New Roman" w:eastAsia="黑体" w:cs="Times New Roman"/>
          <w:b w:val="0"/>
          <w:bCs w:val="0"/>
          <w:color w:val="000000" w:themeColor="text1"/>
          <w14:textFill>
            <w14:solidFill>
              <w14:schemeClr w14:val="tx1"/>
            </w14:solidFill>
          </w14:textFill>
        </w:rPr>
      </w:pPr>
      <w:r>
        <w:rPr>
          <w:rFonts w:ascii="Times New Roman" w:hAnsi="Times New Roman" w:eastAsia="黑体" w:cs="Times New Roman"/>
          <w:b w:val="0"/>
          <w:color w:val="000000" w:themeColor="text1"/>
          <w14:textFill>
            <w14:solidFill>
              <w14:schemeClr w14:val="tx1"/>
            </w14:solidFill>
          </w14:textFill>
        </w:rPr>
        <w:t>二、机</w:t>
      </w:r>
      <w:r>
        <w:rPr>
          <w:rStyle w:val="28"/>
          <w:rFonts w:ascii="Times New Roman" w:hAnsi="Times New Roman" w:eastAsia="黑体" w:cs="Times New Roman"/>
          <w:b w:val="0"/>
          <w:bCs w:val="0"/>
          <w:color w:val="000000" w:themeColor="text1"/>
          <w14:textFill>
            <w14:solidFill>
              <w14:schemeClr w14:val="tx1"/>
            </w14:solidFill>
          </w14:textFill>
        </w:rPr>
        <w:t>构设置</w:t>
      </w:r>
      <w:bookmarkEnd w:id="20"/>
      <w:bookmarkEnd w:id="21"/>
    </w:p>
    <w:p w14:paraId="35782A62">
      <w:pPr>
        <w:spacing w:line="576" w:lineRule="exact"/>
        <w:ind w:firstLine="640" w:firstLineChars="200"/>
        <w:rPr>
          <w:rFonts w:eastAsia="仿宋_GB2312"/>
          <w:color w:val="auto"/>
          <w:sz w:val="32"/>
          <w:szCs w:val="32"/>
        </w:rPr>
      </w:pPr>
      <w:r>
        <w:rPr>
          <w:rFonts w:eastAsia="仿宋_GB2312"/>
          <w:color w:val="000000" w:themeColor="text1"/>
          <w:kern w:val="0"/>
          <w:sz w:val="32"/>
          <w:szCs w:val="32"/>
          <w:lang w:bidi="ar"/>
          <w14:textFill>
            <w14:solidFill>
              <w14:schemeClr w14:val="tx1"/>
            </w14:solidFill>
          </w14:textFill>
        </w:rPr>
        <w:t>区</w:t>
      </w:r>
      <w:r>
        <w:rPr>
          <w:rFonts w:eastAsia="仿宋_GB2312"/>
          <w:color w:val="000000" w:themeColor="text1"/>
          <w:sz w:val="32"/>
          <w:szCs w:val="32"/>
          <w:lang w:bidi="ar"/>
          <w14:textFill>
            <w14:solidFill>
              <w14:schemeClr w14:val="tx1"/>
            </w14:solidFill>
          </w14:textFill>
        </w:rPr>
        <w:t>扶贫移民局</w:t>
      </w:r>
      <w:r>
        <w:rPr>
          <w:rFonts w:eastAsia="仿宋_GB2312"/>
          <w:color w:val="000000" w:themeColor="text1"/>
          <w:sz w:val="32"/>
          <w:szCs w:val="32"/>
          <w14:textFill>
            <w14:solidFill>
              <w14:schemeClr w14:val="tx1"/>
            </w14:solidFill>
          </w14:textFill>
        </w:rPr>
        <w:t>设8个内设机构，下属事业单位2个。</w:t>
      </w:r>
      <w:r>
        <w:rPr>
          <w:rFonts w:eastAsia="仿宋_GB2312"/>
          <w:color w:val="auto"/>
          <w:sz w:val="32"/>
          <w:szCs w:val="32"/>
        </w:rPr>
        <w:t>核定</w:t>
      </w:r>
      <w:r>
        <w:rPr>
          <w:rFonts w:eastAsia="仿宋_GB2312"/>
          <w:color w:val="auto"/>
          <w:kern w:val="0"/>
          <w:sz w:val="32"/>
          <w:szCs w:val="32"/>
          <w:lang w:bidi="ar"/>
        </w:rPr>
        <w:t>总编制40名，其中行政编制10 名，其他事业编制30 名（含脱贫办机动编制10名）。在职人员总数</w:t>
      </w:r>
      <w:r>
        <w:rPr>
          <w:rFonts w:hint="eastAsia" w:eastAsia="仿宋_GB2312"/>
          <w:color w:val="auto"/>
          <w:kern w:val="0"/>
          <w:sz w:val="32"/>
          <w:szCs w:val="32"/>
          <w:lang w:bidi="ar"/>
        </w:rPr>
        <w:t>38</w:t>
      </w:r>
      <w:r>
        <w:rPr>
          <w:rFonts w:eastAsia="仿宋_GB2312"/>
          <w:color w:val="auto"/>
          <w:kern w:val="0"/>
          <w:sz w:val="32"/>
          <w:szCs w:val="32"/>
          <w:lang w:bidi="ar"/>
        </w:rPr>
        <w:t>人，其中行政人员</w:t>
      </w:r>
      <w:r>
        <w:rPr>
          <w:rFonts w:hint="eastAsia" w:eastAsia="仿宋_GB2312"/>
          <w:color w:val="auto"/>
          <w:kern w:val="0"/>
          <w:sz w:val="32"/>
          <w:szCs w:val="32"/>
          <w:lang w:bidi="ar"/>
        </w:rPr>
        <w:t>9</w:t>
      </w:r>
      <w:r>
        <w:rPr>
          <w:rFonts w:eastAsia="仿宋_GB2312"/>
          <w:color w:val="auto"/>
          <w:kern w:val="0"/>
          <w:sz w:val="32"/>
          <w:szCs w:val="32"/>
          <w:lang w:bidi="ar"/>
        </w:rPr>
        <w:t>人，政法人员0人，参照公务员法管理的事业人员0人，其他事业人员</w:t>
      </w:r>
      <w:r>
        <w:rPr>
          <w:rFonts w:hint="eastAsia" w:eastAsia="仿宋_GB2312"/>
          <w:color w:val="auto"/>
          <w:kern w:val="0"/>
          <w:sz w:val="32"/>
          <w:szCs w:val="32"/>
          <w:lang w:bidi="ar"/>
        </w:rPr>
        <w:t>29</w:t>
      </w:r>
      <w:r>
        <w:rPr>
          <w:rFonts w:eastAsia="仿宋_GB2312"/>
          <w:color w:val="auto"/>
          <w:kern w:val="0"/>
          <w:sz w:val="32"/>
          <w:szCs w:val="32"/>
          <w:lang w:bidi="ar"/>
        </w:rPr>
        <w:t>人；离休人员0人，退休人员</w:t>
      </w:r>
      <w:r>
        <w:rPr>
          <w:rFonts w:hint="eastAsia" w:eastAsia="仿宋_GB2312"/>
          <w:color w:val="auto"/>
          <w:kern w:val="0"/>
          <w:sz w:val="32"/>
          <w:szCs w:val="32"/>
          <w:lang w:bidi="ar"/>
        </w:rPr>
        <w:t>3</w:t>
      </w:r>
      <w:r>
        <w:rPr>
          <w:rFonts w:eastAsia="仿宋_GB2312"/>
          <w:color w:val="auto"/>
          <w:kern w:val="0"/>
          <w:sz w:val="32"/>
          <w:szCs w:val="32"/>
          <w:lang w:bidi="ar"/>
        </w:rPr>
        <w:t>人</w:t>
      </w:r>
    </w:p>
    <w:p w14:paraId="5286EC48">
      <w:pPr>
        <w:pStyle w:val="6"/>
        <w:adjustRightInd w:val="0"/>
        <w:snapToGrid w:val="0"/>
        <w:spacing w:beforeLines="0" w:line="576" w:lineRule="exact"/>
        <w:ind w:firstLine="640" w:firstLineChars="200"/>
        <w:rPr>
          <w:rFonts w:ascii="Times New Roman"/>
          <w:sz w:val="32"/>
          <w:szCs w:val="32"/>
        </w:rPr>
      </w:pPr>
      <w:r>
        <w:rPr>
          <w:rFonts w:ascii="Times New Roman"/>
          <w:sz w:val="32"/>
          <w:szCs w:val="32"/>
        </w:rPr>
        <w:t>没有纳入201</w:t>
      </w:r>
      <w:r>
        <w:rPr>
          <w:rFonts w:hint="eastAsia" w:ascii="Times New Roman"/>
          <w:sz w:val="32"/>
          <w:szCs w:val="32"/>
        </w:rPr>
        <w:t>9</w:t>
      </w:r>
      <w:r>
        <w:rPr>
          <w:rFonts w:ascii="Times New Roman"/>
          <w:sz w:val="32"/>
          <w:szCs w:val="32"/>
        </w:rPr>
        <w:t>年度部门决算编制范围的二级预算单位。</w:t>
      </w:r>
    </w:p>
    <w:p w14:paraId="4C1044F2">
      <w:pPr>
        <w:spacing w:line="576" w:lineRule="exact"/>
      </w:pPr>
    </w:p>
    <w:p w14:paraId="6353EE1A">
      <w:pPr>
        <w:pStyle w:val="3"/>
        <w:spacing w:before="0" w:after="0" w:line="576" w:lineRule="exact"/>
        <w:jc w:val="center"/>
      </w:pPr>
      <w:bookmarkStart w:id="22" w:name="_Toc15396602"/>
      <w:bookmarkStart w:id="23" w:name="_Toc15377204"/>
      <w:r>
        <w:rPr>
          <w:rFonts w:eastAsia="方正小标宋简体"/>
          <w:b w:val="0"/>
          <w:color w:val="000000"/>
        </w:rPr>
        <w:t>第二部分</w:t>
      </w:r>
      <w:r>
        <w:rPr>
          <w:rFonts w:eastAsia="方正小标宋简体"/>
          <w:color w:val="000000"/>
        </w:rPr>
        <w:t xml:space="preserve"> </w:t>
      </w:r>
      <w:r>
        <w:rPr>
          <w:rStyle w:val="27"/>
          <w:rFonts w:eastAsia="方正小标宋简体"/>
          <w:b w:val="0"/>
          <w:bCs w:val="0"/>
        </w:rPr>
        <w:t>201</w:t>
      </w:r>
      <w:r>
        <w:rPr>
          <w:rStyle w:val="27"/>
          <w:rFonts w:hint="eastAsia" w:eastAsia="方正小标宋简体"/>
          <w:b w:val="0"/>
          <w:bCs w:val="0"/>
        </w:rPr>
        <w:t>9</w:t>
      </w:r>
      <w:r>
        <w:rPr>
          <w:rStyle w:val="27"/>
          <w:rFonts w:eastAsia="方正小标宋简体"/>
          <w:b w:val="0"/>
          <w:bCs w:val="0"/>
        </w:rPr>
        <w:t>年度部门决算情况说明</w:t>
      </w:r>
      <w:bookmarkEnd w:id="22"/>
      <w:bookmarkEnd w:id="23"/>
    </w:p>
    <w:p w14:paraId="3FEFB669">
      <w:pPr>
        <w:pStyle w:val="26"/>
        <w:spacing w:line="576" w:lineRule="exact"/>
        <w:ind w:firstLine="0" w:firstLineChars="0"/>
        <w:outlineLvl w:val="1"/>
        <w:rPr>
          <w:rFonts w:eastAsia="黑体"/>
          <w:color w:val="000000"/>
          <w:sz w:val="32"/>
          <w:szCs w:val="32"/>
        </w:rPr>
      </w:pPr>
      <w:bookmarkStart w:id="24" w:name="_Toc15377205"/>
      <w:bookmarkStart w:id="25" w:name="_Toc15396603"/>
    </w:p>
    <w:p w14:paraId="71255D64">
      <w:pPr>
        <w:pStyle w:val="26"/>
        <w:spacing w:line="576" w:lineRule="exact"/>
        <w:ind w:firstLine="640"/>
        <w:outlineLvl w:val="1"/>
        <w:rPr>
          <w:rStyle w:val="28"/>
          <w:rFonts w:ascii="Times New Roman" w:hAnsi="Times New Roman" w:eastAsia="黑体" w:cs="Times New Roman"/>
          <w:b w:val="0"/>
        </w:rPr>
      </w:pPr>
      <w:r>
        <w:rPr>
          <w:rFonts w:eastAsia="黑体"/>
          <w:color w:val="000000"/>
          <w:sz w:val="32"/>
          <w:szCs w:val="32"/>
        </w:rPr>
        <w:t>一、收</w:t>
      </w:r>
      <w:r>
        <w:rPr>
          <w:rStyle w:val="28"/>
          <w:rFonts w:ascii="Times New Roman" w:hAnsi="Times New Roman" w:eastAsia="黑体" w:cs="Times New Roman"/>
          <w:b w:val="0"/>
        </w:rPr>
        <w:t>入支出决算总体情况说明</w:t>
      </w:r>
      <w:bookmarkEnd w:id="24"/>
      <w:bookmarkEnd w:id="25"/>
    </w:p>
    <w:p w14:paraId="708FA747">
      <w:pPr>
        <w:spacing w:line="576" w:lineRule="exact"/>
        <w:ind w:firstLine="600" w:firstLineChars="200"/>
        <w:rPr>
          <w:rFonts w:eastAsia="仿宋_GB2312"/>
          <w:color w:val="000000"/>
          <w:sz w:val="32"/>
          <w:szCs w:val="32"/>
        </w:rPr>
      </w:pPr>
      <w:r>
        <w:rPr>
          <w:rFonts w:eastAsia="仿宋_GB2312"/>
          <w:sz w:val="30"/>
          <w:szCs w:val="30"/>
        </w:rPr>
        <w:t>201</w:t>
      </w:r>
      <w:r>
        <w:rPr>
          <w:rFonts w:hint="eastAsia" w:eastAsia="仿宋_GB2312"/>
          <w:sz w:val="30"/>
          <w:szCs w:val="30"/>
        </w:rPr>
        <w:t>9</w:t>
      </w:r>
      <w:r>
        <w:rPr>
          <w:rFonts w:eastAsia="仿宋_GB2312"/>
          <w:sz w:val="30"/>
          <w:szCs w:val="30"/>
        </w:rPr>
        <w:t>年度收入总计</w:t>
      </w:r>
      <w:r>
        <w:rPr>
          <w:rFonts w:hint="eastAsia" w:eastAsia="仿宋_GB2312"/>
          <w:sz w:val="30"/>
          <w:szCs w:val="30"/>
        </w:rPr>
        <w:t>3151.19</w:t>
      </w:r>
      <w:r>
        <w:rPr>
          <w:rFonts w:eastAsia="仿宋_GB2312"/>
          <w:sz w:val="30"/>
          <w:szCs w:val="30"/>
        </w:rPr>
        <w:t>万元、支出总计</w:t>
      </w:r>
      <w:r>
        <w:rPr>
          <w:rFonts w:hint="eastAsia" w:eastAsia="仿宋_GB2312"/>
          <w:sz w:val="30"/>
          <w:szCs w:val="30"/>
        </w:rPr>
        <w:t>3234.42</w:t>
      </w:r>
      <w:r>
        <w:rPr>
          <w:rFonts w:eastAsia="仿宋_GB2312"/>
          <w:sz w:val="30"/>
          <w:szCs w:val="30"/>
        </w:rPr>
        <w:t>万元。与201</w:t>
      </w:r>
      <w:r>
        <w:rPr>
          <w:rFonts w:hint="eastAsia" w:eastAsia="仿宋_GB2312"/>
          <w:sz w:val="30"/>
          <w:szCs w:val="30"/>
        </w:rPr>
        <w:t>8</w:t>
      </w:r>
      <w:r>
        <w:rPr>
          <w:rFonts w:eastAsia="仿宋_GB2312"/>
          <w:sz w:val="30"/>
          <w:szCs w:val="30"/>
        </w:rPr>
        <w:t>年相比，收入减少</w:t>
      </w:r>
      <w:r>
        <w:rPr>
          <w:rFonts w:hint="eastAsia" w:eastAsia="仿宋_GB2312"/>
          <w:sz w:val="30"/>
          <w:szCs w:val="30"/>
        </w:rPr>
        <w:t>1723.36</w:t>
      </w:r>
      <w:r>
        <w:rPr>
          <w:rFonts w:eastAsia="仿宋_GB2312"/>
          <w:sz w:val="30"/>
          <w:szCs w:val="30"/>
        </w:rPr>
        <w:t>万元，下降</w:t>
      </w:r>
      <w:r>
        <w:rPr>
          <w:rFonts w:hint="eastAsia" w:eastAsia="仿宋_GB2312"/>
          <w:sz w:val="30"/>
          <w:szCs w:val="30"/>
        </w:rPr>
        <w:t xml:space="preserve">35.35 </w:t>
      </w:r>
      <w:r>
        <w:rPr>
          <w:rFonts w:eastAsia="仿宋_GB2312"/>
          <w:sz w:val="30"/>
          <w:szCs w:val="30"/>
        </w:rPr>
        <w:t>%。支出总计</w:t>
      </w:r>
      <w:r>
        <w:rPr>
          <w:rFonts w:hint="eastAsia" w:eastAsia="仿宋_GB2312"/>
          <w:sz w:val="30"/>
          <w:szCs w:val="30"/>
        </w:rPr>
        <w:t>减少</w:t>
      </w:r>
      <w:r>
        <w:rPr>
          <w:rFonts w:hint="eastAsia" w:eastAsia="仿宋_GB2312"/>
          <w:sz w:val="32"/>
          <w:szCs w:val="32"/>
        </w:rPr>
        <w:t>795.74</w:t>
      </w:r>
      <w:r>
        <w:rPr>
          <w:rFonts w:eastAsia="仿宋_GB2312"/>
          <w:sz w:val="32"/>
          <w:szCs w:val="32"/>
        </w:rPr>
        <w:t>万元，</w:t>
      </w:r>
      <w:r>
        <w:rPr>
          <w:rFonts w:hint="eastAsia" w:eastAsia="仿宋_GB2312"/>
          <w:sz w:val="32"/>
          <w:szCs w:val="32"/>
        </w:rPr>
        <w:t>减少19.74</w:t>
      </w:r>
      <w:r>
        <w:rPr>
          <w:rFonts w:eastAsia="仿宋_GB2312"/>
          <w:sz w:val="32"/>
          <w:szCs w:val="32"/>
        </w:rPr>
        <w:t>%。主要变动原因是</w:t>
      </w:r>
      <w:r>
        <w:rPr>
          <w:rFonts w:eastAsia="仿宋_GB2312"/>
          <w:color w:val="000000"/>
          <w:sz w:val="32"/>
          <w:szCs w:val="32"/>
        </w:rPr>
        <w:t>一是大中型水库移民后期扶持资金减少，导致收入减少，二是支出</w:t>
      </w:r>
      <w:r>
        <w:rPr>
          <w:rFonts w:hint="eastAsia" w:eastAsia="仿宋_GB2312"/>
          <w:color w:val="000000"/>
          <w:sz w:val="32"/>
          <w:szCs w:val="32"/>
        </w:rPr>
        <w:t>减少</w:t>
      </w:r>
      <w:r>
        <w:rPr>
          <w:rFonts w:eastAsia="仿宋_GB2312"/>
          <w:color w:val="000000"/>
          <w:sz w:val="32"/>
          <w:szCs w:val="32"/>
        </w:rPr>
        <w:t>，移民后扶项目资金</w:t>
      </w:r>
      <w:r>
        <w:rPr>
          <w:rFonts w:hint="eastAsia" w:eastAsia="仿宋_GB2312"/>
          <w:color w:val="000000"/>
          <w:sz w:val="32"/>
          <w:szCs w:val="32"/>
        </w:rPr>
        <w:t>存量过大</w:t>
      </w:r>
      <w:r>
        <w:rPr>
          <w:rFonts w:eastAsia="仿宋_GB2312"/>
          <w:color w:val="000000"/>
          <w:sz w:val="32"/>
          <w:szCs w:val="32"/>
        </w:rPr>
        <w:t>。</w:t>
      </w:r>
    </w:p>
    <w:p w14:paraId="372C360D">
      <w:pPr>
        <w:pStyle w:val="15"/>
        <w:rPr>
          <w:rFonts w:eastAsia="仿宋_GB2312"/>
          <w:color w:val="000000"/>
        </w:rPr>
      </w:pPr>
    </w:p>
    <w:p w14:paraId="5FDD68B0">
      <w:pPr>
        <w:pStyle w:val="2"/>
      </w:pPr>
      <w:r>
        <w:drawing>
          <wp:inline distT="0" distB="0" distL="0" distR="0">
            <wp:extent cx="5274310" cy="3076575"/>
            <wp:effectExtent l="0" t="0" r="2540" b="9525"/>
            <wp:docPr id="2" name="图表 2"/>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inline>
        </w:drawing>
      </w:r>
    </w:p>
    <w:p w14:paraId="627C23AD">
      <w:pPr>
        <w:pStyle w:val="26"/>
        <w:spacing w:line="576" w:lineRule="exact"/>
        <w:ind w:firstLine="640"/>
        <w:outlineLvl w:val="1"/>
        <w:rPr>
          <w:rStyle w:val="28"/>
          <w:rFonts w:ascii="Times New Roman" w:hAnsi="Times New Roman" w:eastAsia="黑体" w:cs="Times New Roman"/>
          <w:b w:val="0"/>
        </w:rPr>
      </w:pPr>
      <w:bookmarkStart w:id="26" w:name="_Toc15377206"/>
      <w:bookmarkStart w:id="27" w:name="_Toc15396604"/>
      <w:r>
        <w:rPr>
          <w:rFonts w:eastAsia="黑体"/>
          <w:color w:val="000000"/>
          <w:sz w:val="32"/>
          <w:szCs w:val="32"/>
        </w:rPr>
        <w:t>二、收</w:t>
      </w:r>
      <w:r>
        <w:rPr>
          <w:rStyle w:val="28"/>
          <w:rFonts w:ascii="Times New Roman" w:hAnsi="Times New Roman" w:eastAsia="黑体" w:cs="Times New Roman"/>
          <w:b w:val="0"/>
        </w:rPr>
        <w:t>入决算情况说明</w:t>
      </w:r>
      <w:bookmarkEnd w:id="26"/>
      <w:bookmarkEnd w:id="27"/>
    </w:p>
    <w:p w14:paraId="7D22EDAD">
      <w:pPr>
        <w:spacing w:line="576" w:lineRule="exact"/>
        <w:ind w:firstLine="640" w:firstLineChars="200"/>
        <w:outlineLvl w:val="1"/>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年本年收入合计</w:t>
      </w:r>
      <w:r>
        <w:rPr>
          <w:rFonts w:hint="eastAsia" w:eastAsia="仿宋_GB2312"/>
          <w:color w:val="000000"/>
          <w:sz w:val="32"/>
          <w:szCs w:val="32"/>
        </w:rPr>
        <w:t>3151.19</w:t>
      </w:r>
      <w:r>
        <w:rPr>
          <w:rFonts w:eastAsia="仿宋_GB2312"/>
          <w:color w:val="000000"/>
          <w:sz w:val="32"/>
          <w:szCs w:val="32"/>
        </w:rPr>
        <w:t>万元，其中：一般公共预算财政拨款收入</w:t>
      </w:r>
      <w:r>
        <w:rPr>
          <w:rFonts w:hint="eastAsia" w:eastAsia="仿宋_GB2312"/>
          <w:color w:val="000000"/>
          <w:sz w:val="32"/>
          <w:szCs w:val="32"/>
        </w:rPr>
        <w:t>475.57</w:t>
      </w:r>
      <w:r>
        <w:rPr>
          <w:rFonts w:eastAsia="仿宋_GB2312"/>
          <w:color w:val="000000"/>
          <w:sz w:val="32"/>
          <w:szCs w:val="32"/>
        </w:rPr>
        <w:t>万元，占</w:t>
      </w:r>
      <w:r>
        <w:rPr>
          <w:rFonts w:hint="eastAsia" w:eastAsia="仿宋_GB2312"/>
          <w:color w:val="000000"/>
          <w:sz w:val="32"/>
          <w:szCs w:val="32"/>
        </w:rPr>
        <w:t>15.09</w:t>
      </w:r>
      <w:r>
        <w:rPr>
          <w:rFonts w:eastAsia="仿宋_GB2312"/>
          <w:color w:val="000000"/>
          <w:sz w:val="32"/>
          <w:szCs w:val="32"/>
        </w:rPr>
        <w:t>%；政府性基金预算财政拨款收入</w:t>
      </w:r>
      <w:r>
        <w:rPr>
          <w:rFonts w:hint="eastAsia" w:eastAsia="仿宋_GB2312"/>
          <w:color w:val="000000"/>
          <w:sz w:val="32"/>
          <w:szCs w:val="32"/>
        </w:rPr>
        <w:t>2675.62</w:t>
      </w:r>
      <w:r>
        <w:rPr>
          <w:rFonts w:eastAsia="仿宋_GB2312"/>
          <w:color w:val="000000"/>
          <w:sz w:val="32"/>
          <w:szCs w:val="32"/>
        </w:rPr>
        <w:t>万元，占</w:t>
      </w:r>
      <w:r>
        <w:rPr>
          <w:rFonts w:hint="eastAsia" w:eastAsia="仿宋_GB2312"/>
          <w:color w:val="000000"/>
          <w:sz w:val="32"/>
          <w:szCs w:val="32"/>
        </w:rPr>
        <w:t>84.91</w:t>
      </w:r>
      <w:r>
        <w:rPr>
          <w:rFonts w:eastAsia="仿宋_GB2312"/>
          <w:color w:val="000000"/>
          <w:sz w:val="32"/>
          <w:szCs w:val="32"/>
        </w:rPr>
        <w:t>%；国有资本经营预算财政拨款收入0万元；其他收入0万元，占0%。</w:t>
      </w:r>
    </w:p>
    <w:p w14:paraId="74408C87">
      <w:pPr>
        <w:pStyle w:val="15"/>
        <w:rPr>
          <w:rFonts w:eastAsia="仿宋_GB2312"/>
          <w:color w:val="000000"/>
        </w:rPr>
      </w:pPr>
    </w:p>
    <w:p w14:paraId="41EA6BD2">
      <w:pPr>
        <w:pStyle w:val="15"/>
        <w:rPr>
          <w:rFonts w:eastAsia="仿宋_GB2312"/>
          <w:color w:val="000000"/>
        </w:rPr>
      </w:pPr>
    </w:p>
    <w:p w14:paraId="5B895B64">
      <w:pPr>
        <w:pStyle w:val="2"/>
      </w:pPr>
      <w:r>
        <w:rPr>
          <w:rFonts w:hint="eastAsia"/>
        </w:rPr>
        <w:drawing>
          <wp:inline distT="0" distB="0" distL="0" distR="0">
            <wp:extent cx="5274310" cy="3076575"/>
            <wp:effectExtent l="0" t="0" r="2540" b="9525"/>
            <wp:docPr id="3"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14:paraId="1341077E">
      <w:pPr>
        <w:pStyle w:val="26"/>
        <w:spacing w:line="576" w:lineRule="exact"/>
        <w:ind w:firstLine="640"/>
        <w:outlineLvl w:val="1"/>
        <w:rPr>
          <w:rStyle w:val="28"/>
          <w:rFonts w:ascii="Times New Roman" w:hAnsi="Times New Roman" w:eastAsia="黑体" w:cs="Times New Roman"/>
          <w:b w:val="0"/>
        </w:rPr>
      </w:pPr>
      <w:bookmarkStart w:id="28" w:name="_Toc15377207"/>
      <w:bookmarkStart w:id="29" w:name="_Toc15396605"/>
      <w:r>
        <w:rPr>
          <w:rFonts w:eastAsia="黑体"/>
          <w:color w:val="000000"/>
          <w:sz w:val="32"/>
          <w:szCs w:val="32"/>
        </w:rPr>
        <w:t>三、支</w:t>
      </w:r>
      <w:r>
        <w:rPr>
          <w:rStyle w:val="28"/>
          <w:rFonts w:ascii="Times New Roman" w:hAnsi="Times New Roman" w:eastAsia="黑体" w:cs="Times New Roman"/>
          <w:b w:val="0"/>
        </w:rPr>
        <w:t>出决算情况说明</w:t>
      </w:r>
      <w:bookmarkEnd w:id="28"/>
      <w:bookmarkEnd w:id="29"/>
    </w:p>
    <w:p w14:paraId="502300C1">
      <w:pPr>
        <w:spacing w:line="576"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年本年支出合计</w:t>
      </w:r>
      <w:r>
        <w:rPr>
          <w:rFonts w:hint="eastAsia" w:eastAsia="仿宋_GB2312"/>
          <w:color w:val="000000"/>
          <w:sz w:val="32"/>
          <w:szCs w:val="32"/>
        </w:rPr>
        <w:t>3234.42</w:t>
      </w:r>
      <w:r>
        <w:rPr>
          <w:rFonts w:eastAsia="仿宋_GB2312"/>
          <w:color w:val="000000"/>
          <w:sz w:val="32"/>
          <w:szCs w:val="32"/>
        </w:rPr>
        <w:t>万元，其中：基本支出</w:t>
      </w:r>
      <w:r>
        <w:rPr>
          <w:rFonts w:hint="eastAsia" w:eastAsia="仿宋_GB2312"/>
          <w:color w:val="000000"/>
          <w:sz w:val="32"/>
          <w:szCs w:val="32"/>
        </w:rPr>
        <w:t>459.03</w:t>
      </w:r>
      <w:r>
        <w:rPr>
          <w:rFonts w:eastAsia="仿宋_GB2312"/>
          <w:color w:val="000000"/>
          <w:sz w:val="32"/>
          <w:szCs w:val="32"/>
        </w:rPr>
        <w:t>万元，占</w:t>
      </w:r>
      <w:r>
        <w:rPr>
          <w:rFonts w:hint="eastAsia" w:eastAsia="仿宋_GB2312"/>
          <w:color w:val="000000"/>
          <w:sz w:val="32"/>
          <w:szCs w:val="32"/>
        </w:rPr>
        <w:t>14.19</w:t>
      </w:r>
      <w:r>
        <w:rPr>
          <w:rFonts w:eastAsia="仿宋_GB2312"/>
          <w:color w:val="000000"/>
          <w:sz w:val="32"/>
          <w:szCs w:val="32"/>
        </w:rPr>
        <w:t>%；项目支出</w:t>
      </w:r>
      <w:r>
        <w:rPr>
          <w:rFonts w:hint="eastAsia" w:eastAsia="仿宋_GB2312"/>
          <w:color w:val="000000"/>
          <w:sz w:val="32"/>
          <w:szCs w:val="32"/>
        </w:rPr>
        <w:t>2775.39</w:t>
      </w:r>
      <w:r>
        <w:rPr>
          <w:rFonts w:eastAsia="仿宋_GB2312"/>
          <w:color w:val="000000"/>
          <w:sz w:val="32"/>
          <w:szCs w:val="32"/>
        </w:rPr>
        <w:t>万元，占</w:t>
      </w:r>
      <w:r>
        <w:rPr>
          <w:rFonts w:hint="eastAsia" w:eastAsia="仿宋_GB2312"/>
          <w:color w:val="000000"/>
          <w:sz w:val="32"/>
          <w:szCs w:val="32"/>
        </w:rPr>
        <w:t>85.81</w:t>
      </w:r>
      <w:r>
        <w:rPr>
          <w:rFonts w:eastAsia="仿宋_GB2312"/>
          <w:color w:val="000000"/>
          <w:sz w:val="32"/>
          <w:szCs w:val="32"/>
        </w:rPr>
        <w:t>%；上缴上级支出0万元，占0%；经营支出0万元，占0%；对附属单位补助支出0万元，占0%。</w:t>
      </w:r>
    </w:p>
    <w:p w14:paraId="10F24E6D">
      <w:pPr>
        <w:pStyle w:val="2"/>
      </w:pPr>
      <w:r>
        <w:rPr>
          <w:rFonts w:hint="eastAsia"/>
        </w:rPr>
        <w:drawing>
          <wp:inline distT="0" distB="0" distL="0" distR="0">
            <wp:extent cx="5274310" cy="3076575"/>
            <wp:effectExtent l="0" t="0" r="2540" b="9525"/>
            <wp:docPr id="4" name="图表 4"/>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14:paraId="5A1D897C">
      <w:pPr>
        <w:spacing w:line="576" w:lineRule="exact"/>
        <w:ind w:firstLine="640" w:firstLineChars="200"/>
        <w:outlineLvl w:val="1"/>
        <w:rPr>
          <w:rStyle w:val="28"/>
          <w:rFonts w:ascii="Times New Roman" w:hAnsi="Times New Roman" w:eastAsia="黑体" w:cs="Times New Roman"/>
          <w:b w:val="0"/>
        </w:rPr>
      </w:pPr>
      <w:bookmarkStart w:id="30" w:name="_Toc15396606"/>
      <w:bookmarkStart w:id="31" w:name="_Toc15377208"/>
      <w:r>
        <w:rPr>
          <w:rFonts w:eastAsia="黑体"/>
          <w:color w:val="000000"/>
          <w:sz w:val="32"/>
          <w:szCs w:val="32"/>
        </w:rPr>
        <w:t>四、财</w:t>
      </w:r>
      <w:r>
        <w:rPr>
          <w:rStyle w:val="28"/>
          <w:rFonts w:ascii="Times New Roman" w:hAnsi="Times New Roman" w:eastAsia="黑体" w:cs="Times New Roman"/>
          <w:b w:val="0"/>
        </w:rPr>
        <w:t>政拨款收入支出决算总体情况说明</w:t>
      </w:r>
      <w:bookmarkEnd w:id="30"/>
      <w:bookmarkEnd w:id="31"/>
    </w:p>
    <w:p w14:paraId="6C1CC1BE">
      <w:pPr>
        <w:spacing w:line="576" w:lineRule="exact"/>
        <w:ind w:firstLine="640" w:firstLineChars="200"/>
        <w:rPr>
          <w:rFonts w:eastAsia="仿宋_GB2312"/>
          <w:color w:val="000000"/>
          <w:sz w:val="32"/>
          <w:szCs w:val="32"/>
          <w:highlight w:val="yellow"/>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年财政拨款收、支总计</w:t>
      </w:r>
      <w:r>
        <w:rPr>
          <w:rFonts w:hint="eastAsia" w:eastAsia="仿宋_GB2312"/>
          <w:color w:val="000000"/>
          <w:sz w:val="32"/>
          <w:szCs w:val="32"/>
        </w:rPr>
        <w:t>3151.19万元、3234.42万元</w:t>
      </w:r>
      <w:r>
        <w:rPr>
          <w:rFonts w:eastAsia="仿宋_GB2312"/>
          <w:color w:val="000000"/>
          <w:sz w:val="32"/>
          <w:szCs w:val="32"/>
        </w:rPr>
        <w:t>，与201</w:t>
      </w:r>
      <w:r>
        <w:rPr>
          <w:rFonts w:hint="eastAsia" w:eastAsia="仿宋_GB2312"/>
          <w:color w:val="000000"/>
          <w:sz w:val="32"/>
          <w:szCs w:val="32"/>
        </w:rPr>
        <w:t>8</w:t>
      </w:r>
      <w:r>
        <w:rPr>
          <w:rFonts w:eastAsia="仿宋_GB2312"/>
          <w:color w:val="000000"/>
          <w:sz w:val="32"/>
          <w:szCs w:val="32"/>
        </w:rPr>
        <w:t>年相比，财政拨款收、支总计各减少</w:t>
      </w:r>
      <w:r>
        <w:rPr>
          <w:rFonts w:hint="eastAsia" w:eastAsia="仿宋_GB2312"/>
          <w:color w:val="000000"/>
          <w:sz w:val="32"/>
          <w:szCs w:val="32"/>
        </w:rPr>
        <w:t>1723.56</w:t>
      </w:r>
      <w:r>
        <w:rPr>
          <w:rFonts w:eastAsia="仿宋_GB2312"/>
          <w:color w:val="000000"/>
          <w:sz w:val="32"/>
          <w:szCs w:val="32"/>
        </w:rPr>
        <w:t>万元</w:t>
      </w:r>
      <w:r>
        <w:rPr>
          <w:rFonts w:hint="eastAsia" w:eastAsia="仿宋_GB2312"/>
          <w:color w:val="000000"/>
          <w:sz w:val="32"/>
          <w:szCs w:val="32"/>
        </w:rPr>
        <w:t>、795.74万元</w:t>
      </w:r>
      <w:r>
        <w:rPr>
          <w:rFonts w:eastAsia="仿宋_GB2312"/>
          <w:color w:val="000000"/>
          <w:sz w:val="32"/>
          <w:szCs w:val="32"/>
        </w:rPr>
        <w:t>，下降</w:t>
      </w:r>
      <w:r>
        <w:rPr>
          <w:rFonts w:hint="eastAsia" w:eastAsia="仿宋_GB2312"/>
          <w:color w:val="000000"/>
          <w:sz w:val="32"/>
          <w:szCs w:val="32"/>
        </w:rPr>
        <w:t>35.35%、19.74</w:t>
      </w:r>
      <w:r>
        <w:rPr>
          <w:rFonts w:eastAsia="仿宋_GB2312"/>
          <w:color w:val="000000"/>
          <w:sz w:val="32"/>
          <w:szCs w:val="32"/>
        </w:rPr>
        <w:t>%。主要变动原因是大中型水库移民后期扶持资金减少。</w:t>
      </w:r>
    </w:p>
    <w:p w14:paraId="69BBE0B9">
      <w:pPr>
        <w:pStyle w:val="2"/>
      </w:pPr>
      <w:r>
        <w:drawing>
          <wp:inline distT="0" distB="0" distL="0" distR="0">
            <wp:extent cx="5274310" cy="3076575"/>
            <wp:effectExtent l="0" t="0" r="2540" b="9525"/>
            <wp:docPr id="5" name="图表 5"/>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14:paraId="37D3C8D2">
      <w:pPr>
        <w:spacing w:line="576" w:lineRule="exact"/>
        <w:ind w:firstLine="640" w:firstLineChars="200"/>
        <w:outlineLvl w:val="1"/>
        <w:rPr>
          <w:rStyle w:val="28"/>
          <w:rFonts w:ascii="Times New Roman" w:hAnsi="Times New Roman" w:eastAsia="黑体" w:cs="Times New Roman"/>
          <w:b w:val="0"/>
        </w:rPr>
      </w:pPr>
      <w:bookmarkStart w:id="32" w:name="_Toc15377209"/>
      <w:bookmarkStart w:id="33" w:name="_Toc15396607"/>
      <w:r>
        <w:rPr>
          <w:rFonts w:eastAsia="黑体"/>
          <w:color w:val="000000"/>
          <w:sz w:val="32"/>
          <w:szCs w:val="32"/>
        </w:rPr>
        <w:t>五、</w:t>
      </w:r>
      <w:r>
        <w:rPr>
          <w:rFonts w:eastAsia="黑体"/>
          <w:b/>
          <w:color w:val="000000"/>
          <w:sz w:val="32"/>
          <w:szCs w:val="32"/>
        </w:rPr>
        <w:t>一</w:t>
      </w:r>
      <w:r>
        <w:rPr>
          <w:rStyle w:val="28"/>
          <w:rFonts w:ascii="Times New Roman" w:hAnsi="Times New Roman" w:eastAsia="黑体" w:cs="Times New Roman"/>
          <w:b w:val="0"/>
        </w:rPr>
        <w:t>般公共预算财政拨款支出决算情况说明</w:t>
      </w:r>
      <w:bookmarkEnd w:id="32"/>
      <w:bookmarkEnd w:id="33"/>
    </w:p>
    <w:p w14:paraId="60E806F1">
      <w:pPr>
        <w:spacing w:line="576" w:lineRule="exact"/>
        <w:ind w:firstLine="643" w:firstLineChars="200"/>
        <w:outlineLvl w:val="2"/>
        <w:rPr>
          <w:rFonts w:eastAsia="楷体_GB2312"/>
          <w:b/>
          <w:color w:val="000000"/>
          <w:sz w:val="32"/>
          <w:szCs w:val="32"/>
        </w:rPr>
      </w:pPr>
      <w:bookmarkStart w:id="34" w:name="_Toc15377210"/>
      <w:r>
        <w:rPr>
          <w:rFonts w:eastAsia="楷体_GB2312"/>
          <w:b/>
          <w:color w:val="000000"/>
          <w:sz w:val="32"/>
          <w:szCs w:val="32"/>
        </w:rPr>
        <w:t>（一）一般公共预算财政拨款支出决算总体情况</w:t>
      </w:r>
      <w:bookmarkEnd w:id="34"/>
    </w:p>
    <w:p w14:paraId="5C590B73">
      <w:pPr>
        <w:spacing w:line="576"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年一般公共预算财政拨款支出</w:t>
      </w:r>
      <w:r>
        <w:rPr>
          <w:rFonts w:hint="eastAsia" w:eastAsia="仿宋_GB2312"/>
          <w:color w:val="000000"/>
          <w:sz w:val="32"/>
          <w:szCs w:val="32"/>
        </w:rPr>
        <w:t>1133.87</w:t>
      </w:r>
      <w:r>
        <w:rPr>
          <w:rFonts w:eastAsia="仿宋_GB2312"/>
          <w:color w:val="000000"/>
          <w:sz w:val="32"/>
          <w:szCs w:val="32"/>
        </w:rPr>
        <w:t>万元，占本年支出合计的</w:t>
      </w:r>
      <w:r>
        <w:rPr>
          <w:rFonts w:hint="eastAsia" w:eastAsia="仿宋_GB2312"/>
          <w:color w:val="000000"/>
          <w:sz w:val="32"/>
          <w:szCs w:val="32"/>
        </w:rPr>
        <w:t>35.06</w:t>
      </w:r>
      <w:r>
        <w:rPr>
          <w:rFonts w:eastAsia="仿宋_GB2312"/>
          <w:color w:val="000000"/>
          <w:sz w:val="32"/>
          <w:szCs w:val="32"/>
        </w:rPr>
        <w:t>%。与201</w:t>
      </w:r>
      <w:r>
        <w:rPr>
          <w:rFonts w:hint="eastAsia" w:eastAsia="仿宋_GB2312"/>
          <w:color w:val="000000"/>
          <w:sz w:val="32"/>
          <w:szCs w:val="32"/>
        </w:rPr>
        <w:t>8</w:t>
      </w:r>
      <w:r>
        <w:rPr>
          <w:rFonts w:eastAsia="仿宋_GB2312"/>
          <w:color w:val="000000"/>
          <w:sz w:val="32"/>
          <w:szCs w:val="32"/>
        </w:rPr>
        <w:t>年相比，一般公共预算财政拨款增加</w:t>
      </w:r>
      <w:r>
        <w:rPr>
          <w:rFonts w:hint="eastAsia" w:eastAsia="仿宋_GB2312"/>
          <w:color w:val="000000"/>
          <w:sz w:val="32"/>
          <w:szCs w:val="32"/>
        </w:rPr>
        <w:t>147.61</w:t>
      </w:r>
      <w:r>
        <w:rPr>
          <w:rFonts w:eastAsia="仿宋_GB2312"/>
          <w:color w:val="000000"/>
          <w:sz w:val="32"/>
          <w:szCs w:val="32"/>
        </w:rPr>
        <w:t>万元，增长</w:t>
      </w:r>
      <w:r>
        <w:rPr>
          <w:rFonts w:hint="eastAsia" w:eastAsia="仿宋_GB2312"/>
          <w:color w:val="000000"/>
          <w:sz w:val="32"/>
          <w:szCs w:val="32"/>
        </w:rPr>
        <w:t>14.97</w:t>
      </w:r>
      <w:r>
        <w:rPr>
          <w:rFonts w:eastAsia="仿宋_GB2312"/>
          <w:color w:val="000000"/>
          <w:sz w:val="32"/>
          <w:szCs w:val="32"/>
        </w:rPr>
        <w:t>%。主要变动原因其他农林水项目资金的增加。</w:t>
      </w:r>
    </w:p>
    <w:p w14:paraId="5139DC94">
      <w:pPr>
        <w:spacing w:line="576" w:lineRule="exact"/>
        <w:ind w:firstLine="643" w:firstLineChars="200"/>
        <w:outlineLvl w:val="2"/>
        <w:rPr>
          <w:rFonts w:eastAsia="楷体_GB2312"/>
          <w:b/>
          <w:color w:val="000000"/>
          <w:sz w:val="32"/>
          <w:szCs w:val="32"/>
        </w:rPr>
      </w:pPr>
      <w:bookmarkStart w:id="35" w:name="_Toc15377211"/>
      <w:r>
        <w:rPr>
          <w:rFonts w:eastAsia="楷体_GB2312"/>
          <w:b/>
          <w:color w:val="000000"/>
          <w:sz w:val="32"/>
          <w:szCs w:val="32"/>
        </w:rPr>
        <w:t>（二）一般公共预算财政拨款支出决算结构情况</w:t>
      </w:r>
      <w:bookmarkEnd w:id="35"/>
    </w:p>
    <w:p w14:paraId="79B94BB1">
      <w:pPr>
        <w:spacing w:line="576" w:lineRule="exact"/>
        <w:ind w:firstLine="640" w:firstLineChars="200"/>
        <w:rPr>
          <w:rFonts w:eastAsia="仿宋_GB2312"/>
          <w:color w:val="000000" w:themeColor="text1"/>
          <w:sz w:val="32"/>
          <w:szCs w:val="32"/>
          <w14:textFill>
            <w14:solidFill>
              <w14:schemeClr w14:val="tx1"/>
            </w14:solidFill>
          </w14:textFill>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年一般公共预算财</w:t>
      </w:r>
      <w:r>
        <w:rPr>
          <w:rFonts w:eastAsia="仿宋_GB2312"/>
          <w:color w:val="000000" w:themeColor="text1"/>
          <w:sz w:val="32"/>
          <w:szCs w:val="32"/>
          <w14:textFill>
            <w14:solidFill>
              <w14:schemeClr w14:val="tx1"/>
            </w14:solidFill>
          </w14:textFill>
        </w:rPr>
        <w:t>政拨款支出</w:t>
      </w:r>
      <w:r>
        <w:rPr>
          <w:rFonts w:hint="eastAsia" w:eastAsia="仿宋_GB2312"/>
          <w:color w:val="000000" w:themeColor="text1"/>
          <w:sz w:val="32"/>
          <w:szCs w:val="32"/>
          <w14:textFill>
            <w14:solidFill>
              <w14:schemeClr w14:val="tx1"/>
            </w14:solidFill>
          </w14:textFill>
        </w:rPr>
        <w:t>1133.87</w:t>
      </w:r>
      <w:r>
        <w:rPr>
          <w:rFonts w:eastAsia="仿宋_GB2312"/>
          <w:color w:val="000000" w:themeColor="text1"/>
          <w:sz w:val="32"/>
          <w:szCs w:val="32"/>
          <w14:textFill>
            <w14:solidFill>
              <w14:schemeClr w14:val="tx1"/>
            </w14:solidFill>
          </w14:textFill>
        </w:rPr>
        <w:t>万元，主要用于以下方面:</w:t>
      </w:r>
      <w:r>
        <w:rPr>
          <w:rFonts w:eastAsia="仿宋_GB2312"/>
          <w:color w:val="000000"/>
          <w:sz w:val="32"/>
          <w:szCs w:val="32"/>
        </w:rPr>
        <w:t>社会保障和就业（类）支出</w:t>
      </w:r>
      <w:r>
        <w:rPr>
          <w:rFonts w:hint="eastAsia" w:eastAsia="仿宋_GB2312"/>
          <w:color w:val="000000"/>
          <w:sz w:val="32"/>
          <w:szCs w:val="32"/>
        </w:rPr>
        <w:t>40.44</w:t>
      </w:r>
      <w:r>
        <w:rPr>
          <w:rFonts w:eastAsia="仿宋_GB2312"/>
          <w:color w:val="000000"/>
          <w:sz w:val="32"/>
          <w:szCs w:val="32"/>
        </w:rPr>
        <w:t>万元，占</w:t>
      </w:r>
      <w:r>
        <w:rPr>
          <w:rFonts w:hint="eastAsia" w:eastAsia="仿宋_GB2312"/>
          <w:color w:val="000000"/>
          <w:sz w:val="32"/>
          <w:szCs w:val="32"/>
        </w:rPr>
        <w:t>3.57</w:t>
      </w:r>
      <w:r>
        <w:rPr>
          <w:rFonts w:eastAsia="仿宋_GB2312"/>
          <w:color w:val="000000"/>
          <w:sz w:val="32"/>
          <w:szCs w:val="32"/>
        </w:rPr>
        <w:t>%；医疗卫生支出</w:t>
      </w:r>
      <w:r>
        <w:rPr>
          <w:rFonts w:hint="eastAsia" w:eastAsia="仿宋_GB2312"/>
          <w:color w:val="000000"/>
          <w:sz w:val="32"/>
          <w:szCs w:val="32"/>
        </w:rPr>
        <w:t>18.59</w:t>
      </w:r>
      <w:r>
        <w:rPr>
          <w:rFonts w:eastAsia="仿宋_GB2312"/>
          <w:color w:val="000000"/>
          <w:sz w:val="32"/>
          <w:szCs w:val="32"/>
        </w:rPr>
        <w:t>万元，占</w:t>
      </w:r>
      <w:r>
        <w:rPr>
          <w:rFonts w:hint="eastAsia" w:eastAsia="仿宋_GB2312"/>
          <w:color w:val="000000"/>
          <w:sz w:val="32"/>
          <w:szCs w:val="32"/>
        </w:rPr>
        <w:t>1.64</w:t>
      </w:r>
      <w:r>
        <w:rPr>
          <w:rFonts w:eastAsia="仿宋_GB2312"/>
          <w:color w:val="000000"/>
          <w:sz w:val="32"/>
          <w:szCs w:val="32"/>
        </w:rPr>
        <w:t>%；住房保障支出</w:t>
      </w:r>
      <w:r>
        <w:rPr>
          <w:rFonts w:hint="eastAsia" w:eastAsia="仿宋_GB2312"/>
          <w:color w:val="000000"/>
          <w:sz w:val="32"/>
          <w:szCs w:val="32"/>
        </w:rPr>
        <w:t>30.33</w:t>
      </w:r>
      <w:r>
        <w:rPr>
          <w:rFonts w:eastAsia="仿宋_GB2312"/>
          <w:color w:val="000000"/>
          <w:sz w:val="32"/>
          <w:szCs w:val="32"/>
        </w:rPr>
        <w:t>万元，占</w:t>
      </w:r>
      <w:r>
        <w:rPr>
          <w:rFonts w:hint="eastAsia" w:eastAsia="仿宋_GB2312"/>
          <w:color w:val="000000"/>
          <w:sz w:val="32"/>
          <w:szCs w:val="32"/>
        </w:rPr>
        <w:t>2.67</w:t>
      </w:r>
      <w:r>
        <w:rPr>
          <w:rFonts w:eastAsia="仿宋_GB2312"/>
          <w:color w:val="000000"/>
          <w:sz w:val="32"/>
          <w:szCs w:val="32"/>
        </w:rPr>
        <w:t>%;农林水支出扶贫行政运行</w:t>
      </w:r>
      <w:r>
        <w:rPr>
          <w:rFonts w:hint="eastAsia" w:eastAsia="仿宋_GB2312"/>
          <w:color w:val="000000" w:themeColor="text1"/>
          <w:sz w:val="32"/>
          <w:szCs w:val="32"/>
          <w14:textFill>
            <w14:solidFill>
              <w14:schemeClr w14:val="tx1"/>
            </w14:solidFill>
          </w14:textFill>
        </w:rPr>
        <w:t>369.67</w:t>
      </w:r>
      <w:r>
        <w:rPr>
          <w:rFonts w:eastAsia="仿宋_GB2312"/>
          <w:color w:val="000000" w:themeColor="text1"/>
          <w:sz w:val="32"/>
          <w:szCs w:val="32"/>
          <w14:textFill>
            <w14:solidFill>
              <w14:schemeClr w14:val="tx1"/>
            </w14:solidFill>
          </w14:textFill>
        </w:rPr>
        <w:t>万元，占</w:t>
      </w:r>
      <w:r>
        <w:rPr>
          <w:rFonts w:hint="eastAsia" w:eastAsia="仿宋_GB2312"/>
          <w:color w:val="000000" w:themeColor="text1"/>
          <w:sz w:val="32"/>
          <w:szCs w:val="32"/>
          <w14:textFill>
            <w14:solidFill>
              <w14:schemeClr w14:val="tx1"/>
            </w14:solidFill>
          </w14:textFill>
        </w:rPr>
        <w:t>32.60</w:t>
      </w:r>
      <w:r>
        <w:rPr>
          <w:rFonts w:eastAsia="仿宋_GB2312"/>
          <w:color w:val="000000" w:themeColor="text1"/>
          <w:sz w:val="32"/>
          <w:szCs w:val="32"/>
          <w14:textFill>
            <w14:solidFill>
              <w14:schemeClr w14:val="tx1"/>
            </w14:solidFill>
          </w14:textFill>
        </w:rPr>
        <w:t>%；</w:t>
      </w:r>
      <w:r>
        <w:rPr>
          <w:rFonts w:hint="eastAsia" w:eastAsia="仿宋_GB2312"/>
          <w:color w:val="000000" w:themeColor="text1"/>
          <w:sz w:val="32"/>
          <w:szCs w:val="32"/>
          <w14:textFill>
            <w14:solidFill>
              <w14:schemeClr w14:val="tx1"/>
            </w14:solidFill>
          </w14:textFill>
        </w:rPr>
        <w:t>其他扶贫支出5.34万元，</w:t>
      </w:r>
      <w:r>
        <w:rPr>
          <w:rFonts w:eastAsia="仿宋_GB2312"/>
          <w:color w:val="000000" w:themeColor="text1"/>
          <w:sz w:val="32"/>
          <w:szCs w:val="32"/>
          <w14:textFill>
            <w14:solidFill>
              <w14:schemeClr w14:val="tx1"/>
            </w14:solidFill>
          </w14:textFill>
        </w:rPr>
        <w:t>占</w:t>
      </w:r>
      <w:r>
        <w:rPr>
          <w:rFonts w:hint="eastAsia" w:eastAsia="仿宋_GB2312"/>
          <w:color w:val="000000" w:themeColor="text1"/>
          <w:sz w:val="32"/>
          <w:szCs w:val="32"/>
          <w14:textFill>
            <w14:solidFill>
              <w14:schemeClr w14:val="tx1"/>
            </w14:solidFill>
          </w14:textFill>
        </w:rPr>
        <w:t>0.47</w:t>
      </w:r>
      <w:r>
        <w:rPr>
          <w:rFonts w:eastAsia="仿宋_GB2312"/>
          <w:color w:val="000000" w:themeColor="text1"/>
          <w:sz w:val="32"/>
          <w:szCs w:val="32"/>
          <w14:textFill>
            <w14:solidFill>
              <w14:schemeClr w14:val="tx1"/>
            </w14:solidFill>
          </w14:textFill>
        </w:rPr>
        <w:t>%</w:t>
      </w:r>
      <w:r>
        <w:rPr>
          <w:rFonts w:hint="eastAsia" w:eastAsia="仿宋_GB2312"/>
          <w:color w:val="000000" w:themeColor="text1"/>
          <w:sz w:val="32"/>
          <w:szCs w:val="32"/>
          <w14:textFill>
            <w14:solidFill>
              <w14:schemeClr w14:val="tx1"/>
            </w14:solidFill>
          </w14:textFill>
        </w:rPr>
        <w:t>；</w:t>
      </w:r>
      <w:r>
        <w:rPr>
          <w:rFonts w:eastAsia="仿宋_GB2312"/>
          <w:color w:val="000000" w:themeColor="text1"/>
          <w:sz w:val="32"/>
          <w:szCs w:val="32"/>
          <w14:textFill>
            <w14:solidFill>
              <w14:schemeClr w14:val="tx1"/>
            </w14:solidFill>
          </w14:textFill>
        </w:rPr>
        <w:t>其他农林水支出</w:t>
      </w:r>
      <w:r>
        <w:rPr>
          <w:rFonts w:hint="eastAsia" w:eastAsia="仿宋_GB2312"/>
          <w:color w:val="000000" w:themeColor="text1"/>
          <w:sz w:val="32"/>
          <w:szCs w:val="32"/>
          <w14:textFill>
            <w14:solidFill>
              <w14:schemeClr w14:val="tx1"/>
            </w14:solidFill>
          </w14:textFill>
        </w:rPr>
        <w:t>669.50</w:t>
      </w:r>
      <w:r>
        <w:rPr>
          <w:rFonts w:eastAsia="仿宋_GB2312"/>
          <w:color w:val="000000" w:themeColor="text1"/>
          <w:sz w:val="32"/>
          <w:szCs w:val="32"/>
          <w14:textFill>
            <w14:solidFill>
              <w14:schemeClr w14:val="tx1"/>
            </w14:solidFill>
          </w14:textFill>
        </w:rPr>
        <w:t>万元，占</w:t>
      </w:r>
      <w:r>
        <w:rPr>
          <w:rFonts w:hint="eastAsia" w:eastAsia="仿宋_GB2312"/>
          <w:color w:val="000000" w:themeColor="text1"/>
          <w:sz w:val="32"/>
          <w:szCs w:val="32"/>
          <w14:textFill>
            <w14:solidFill>
              <w14:schemeClr w14:val="tx1"/>
            </w14:solidFill>
          </w14:textFill>
        </w:rPr>
        <w:t>59.05</w:t>
      </w:r>
      <w:r>
        <w:rPr>
          <w:rFonts w:eastAsia="仿宋_GB2312"/>
          <w:color w:val="000000" w:themeColor="text1"/>
          <w:sz w:val="32"/>
          <w:szCs w:val="32"/>
          <w14:textFill>
            <w14:solidFill>
              <w14:schemeClr w14:val="tx1"/>
            </w14:solidFill>
          </w14:textFill>
        </w:rPr>
        <w:t>%。</w:t>
      </w:r>
    </w:p>
    <w:p w14:paraId="23238035">
      <w:pPr>
        <w:pStyle w:val="2"/>
      </w:pPr>
      <w:r>
        <w:drawing>
          <wp:inline distT="0" distB="0" distL="0" distR="0">
            <wp:extent cx="5274310" cy="3076575"/>
            <wp:effectExtent l="0" t="0" r="2540" b="9525"/>
            <wp:docPr id="7" name="图表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20EC89ED">
      <w:pPr>
        <w:spacing w:line="576" w:lineRule="exact"/>
        <w:ind w:firstLine="643" w:firstLineChars="200"/>
        <w:outlineLvl w:val="2"/>
        <w:rPr>
          <w:rFonts w:eastAsia="楷体_GB2312"/>
          <w:b/>
          <w:color w:val="000000"/>
          <w:sz w:val="32"/>
          <w:szCs w:val="32"/>
        </w:rPr>
      </w:pPr>
      <w:bookmarkStart w:id="36" w:name="_Toc15377212"/>
      <w:r>
        <w:rPr>
          <w:rFonts w:eastAsia="楷体_GB2312"/>
          <w:b/>
          <w:color w:val="000000"/>
          <w:sz w:val="32"/>
          <w:szCs w:val="32"/>
        </w:rPr>
        <w:t>（三）一般公共预算财政拨款支出决算具体情况</w:t>
      </w:r>
      <w:bookmarkEnd w:id="36"/>
    </w:p>
    <w:p w14:paraId="6FCFD41A">
      <w:pPr>
        <w:spacing w:line="576" w:lineRule="exact"/>
        <w:ind w:firstLine="640" w:firstLineChars="200"/>
        <w:rPr>
          <w:rFonts w:eastAsia="仿宋_GB2312"/>
          <w:color w:val="000000"/>
          <w:sz w:val="32"/>
          <w:szCs w:val="32"/>
        </w:rPr>
      </w:pPr>
      <w:bookmarkStart w:id="37" w:name="_Toc15377444"/>
      <w:bookmarkStart w:id="38" w:name="_Toc15377213"/>
      <w:bookmarkStart w:id="39" w:name="_Toc15378460"/>
      <w:r>
        <w:rPr>
          <w:rFonts w:eastAsia="仿宋_GB2312"/>
          <w:color w:val="000000"/>
          <w:sz w:val="32"/>
          <w:szCs w:val="32"/>
        </w:rPr>
        <w:t>2018年一般公共预算支出决算数为</w:t>
      </w:r>
      <w:r>
        <w:rPr>
          <w:rFonts w:hint="eastAsia" w:eastAsia="仿宋_GB2312"/>
          <w:color w:val="000000"/>
          <w:sz w:val="32"/>
          <w:szCs w:val="32"/>
        </w:rPr>
        <w:t>1133.87</w:t>
      </w:r>
      <w:r>
        <w:rPr>
          <w:rFonts w:eastAsia="仿宋_GB2312"/>
          <w:color w:val="000000"/>
          <w:sz w:val="32"/>
          <w:szCs w:val="32"/>
        </w:rPr>
        <w:t>万元，完成预算100%。其中：</w:t>
      </w:r>
      <w:bookmarkEnd w:id="37"/>
      <w:bookmarkEnd w:id="38"/>
      <w:bookmarkEnd w:id="39"/>
    </w:p>
    <w:p w14:paraId="33403778">
      <w:pPr>
        <w:spacing w:line="576" w:lineRule="exact"/>
        <w:ind w:firstLine="640" w:firstLineChars="200"/>
        <w:rPr>
          <w:rFonts w:eastAsia="仿宋_GB2312"/>
          <w:color w:val="000000"/>
          <w:sz w:val="32"/>
          <w:szCs w:val="32"/>
        </w:rPr>
      </w:pPr>
      <w:r>
        <w:rPr>
          <w:rFonts w:eastAsia="仿宋_GB2312"/>
          <w:color w:val="000000"/>
          <w:sz w:val="32"/>
          <w:szCs w:val="32"/>
        </w:rPr>
        <w:t>1.社会保障和就业机关事业支出（类）行政事业单位离退休（款）单位基本养老保险缴费支出（项）: 支出决算</w:t>
      </w:r>
      <w:r>
        <w:rPr>
          <w:rFonts w:hint="eastAsia" w:eastAsia="仿宋_GB2312"/>
          <w:color w:val="000000"/>
          <w:sz w:val="32"/>
          <w:szCs w:val="32"/>
        </w:rPr>
        <w:t>40.44</w:t>
      </w:r>
      <w:r>
        <w:rPr>
          <w:rFonts w:eastAsia="仿宋_GB2312"/>
          <w:color w:val="000000"/>
          <w:sz w:val="32"/>
          <w:szCs w:val="32"/>
        </w:rPr>
        <w:t>万元；抚恤（款）死亡抚恤（项）</w:t>
      </w:r>
      <w:r>
        <w:rPr>
          <w:rFonts w:hint="eastAsia" w:eastAsia="仿宋_GB2312"/>
          <w:color w:val="000000"/>
          <w:sz w:val="32"/>
          <w:szCs w:val="32"/>
        </w:rPr>
        <w:t>0</w:t>
      </w:r>
      <w:r>
        <w:rPr>
          <w:rFonts w:eastAsia="仿宋_GB2312"/>
          <w:color w:val="000000"/>
          <w:sz w:val="32"/>
          <w:szCs w:val="32"/>
        </w:rPr>
        <w:t>万元，款完成预算100%；决算数与预算数持平。</w:t>
      </w:r>
    </w:p>
    <w:p w14:paraId="57D17A6C">
      <w:pPr>
        <w:spacing w:line="576" w:lineRule="exact"/>
        <w:ind w:firstLine="640" w:firstLineChars="200"/>
        <w:rPr>
          <w:rFonts w:eastAsia="仿宋_GB2312"/>
          <w:color w:val="000000"/>
          <w:sz w:val="32"/>
          <w:szCs w:val="32"/>
        </w:rPr>
      </w:pPr>
      <w:r>
        <w:rPr>
          <w:rFonts w:eastAsia="仿宋_GB2312"/>
          <w:color w:val="000000"/>
          <w:sz w:val="32"/>
          <w:szCs w:val="32"/>
        </w:rPr>
        <w:t>2.医疗卫生与计划生育（类）行政事业单位医疗（款）行政单位医疗（项）:支出决算</w:t>
      </w:r>
      <w:r>
        <w:rPr>
          <w:rFonts w:hint="eastAsia" w:eastAsia="仿宋_GB2312"/>
          <w:color w:val="000000"/>
          <w:sz w:val="32"/>
          <w:szCs w:val="32"/>
        </w:rPr>
        <w:t>18.59</w:t>
      </w:r>
      <w:r>
        <w:rPr>
          <w:rFonts w:eastAsia="仿宋_GB2312"/>
          <w:color w:val="000000"/>
          <w:sz w:val="32"/>
          <w:szCs w:val="32"/>
        </w:rPr>
        <w:t>万元，完成预算100%，决算数与预算数持平，没有人员变动。</w:t>
      </w:r>
    </w:p>
    <w:p w14:paraId="5B3641F6">
      <w:pPr>
        <w:spacing w:line="576" w:lineRule="exact"/>
        <w:ind w:firstLine="640" w:firstLineChars="200"/>
        <w:rPr>
          <w:rFonts w:eastAsia="仿宋_GB2312"/>
          <w:color w:val="000000"/>
          <w:sz w:val="32"/>
          <w:szCs w:val="32"/>
        </w:rPr>
      </w:pPr>
      <w:r>
        <w:rPr>
          <w:rFonts w:eastAsia="仿宋_GB2312"/>
          <w:color w:val="000000"/>
          <w:sz w:val="32"/>
          <w:szCs w:val="32"/>
        </w:rPr>
        <w:t>3.农林水支出（类）扶贫（款）行政运行（项）: 支出决算为</w:t>
      </w:r>
      <w:r>
        <w:rPr>
          <w:rFonts w:hint="eastAsia" w:eastAsia="仿宋_GB2312"/>
          <w:color w:val="000000"/>
          <w:sz w:val="32"/>
          <w:szCs w:val="32"/>
        </w:rPr>
        <w:t>369.67</w:t>
      </w:r>
      <w:r>
        <w:rPr>
          <w:rFonts w:eastAsia="仿宋_GB2312"/>
          <w:color w:val="000000"/>
          <w:sz w:val="32"/>
          <w:szCs w:val="32"/>
        </w:rPr>
        <w:t>万元、其他扶贫支出</w:t>
      </w:r>
      <w:r>
        <w:rPr>
          <w:rFonts w:hint="eastAsia" w:eastAsia="仿宋_GB2312"/>
          <w:color w:val="000000"/>
          <w:sz w:val="32"/>
          <w:szCs w:val="32"/>
        </w:rPr>
        <w:t>5.34</w:t>
      </w:r>
      <w:r>
        <w:rPr>
          <w:rFonts w:eastAsia="仿宋_GB2312"/>
          <w:color w:val="000000"/>
          <w:sz w:val="32"/>
          <w:szCs w:val="32"/>
        </w:rPr>
        <w:t>万元，完成预算100%。决算数与预算数全年持平。其他农林水支出</w:t>
      </w:r>
      <w:r>
        <w:rPr>
          <w:rFonts w:hint="eastAsia" w:eastAsia="仿宋_GB2312"/>
          <w:color w:val="000000"/>
          <w:sz w:val="32"/>
          <w:szCs w:val="32"/>
        </w:rPr>
        <w:t>669.50</w:t>
      </w:r>
      <w:r>
        <w:rPr>
          <w:rFonts w:eastAsia="仿宋_GB2312"/>
          <w:color w:val="000000"/>
          <w:sz w:val="32"/>
          <w:szCs w:val="32"/>
        </w:rPr>
        <w:t>万元，完成预算</w:t>
      </w:r>
      <w:r>
        <w:rPr>
          <w:rFonts w:hint="eastAsia" w:eastAsia="仿宋_GB2312"/>
          <w:color w:val="000000"/>
          <w:sz w:val="32"/>
          <w:szCs w:val="32"/>
        </w:rPr>
        <w:t>100</w:t>
      </w:r>
      <w:r>
        <w:rPr>
          <w:rFonts w:eastAsia="仿宋_GB2312"/>
          <w:color w:val="000000"/>
          <w:sz w:val="32"/>
          <w:szCs w:val="32"/>
        </w:rPr>
        <w:t>%。</w:t>
      </w:r>
    </w:p>
    <w:p w14:paraId="0615D2B9">
      <w:pPr>
        <w:spacing w:line="576" w:lineRule="exact"/>
        <w:ind w:firstLine="640" w:firstLineChars="200"/>
        <w:rPr>
          <w:rFonts w:eastAsia="仿宋_GB2312"/>
          <w:color w:val="000000"/>
          <w:sz w:val="32"/>
          <w:szCs w:val="32"/>
        </w:rPr>
      </w:pPr>
      <w:r>
        <w:rPr>
          <w:rFonts w:eastAsia="仿宋_GB2312"/>
          <w:color w:val="000000"/>
          <w:sz w:val="32"/>
          <w:szCs w:val="32"/>
        </w:rPr>
        <w:t>4.住房保障支出（类）住房改革支出（款）住房公积金：支出决算为</w:t>
      </w:r>
      <w:r>
        <w:rPr>
          <w:rFonts w:hint="eastAsia" w:eastAsia="仿宋_GB2312"/>
          <w:color w:val="000000"/>
          <w:sz w:val="32"/>
          <w:szCs w:val="32"/>
        </w:rPr>
        <w:t>30.33</w:t>
      </w:r>
      <w:r>
        <w:rPr>
          <w:rFonts w:eastAsia="仿宋_GB2312"/>
          <w:color w:val="000000"/>
          <w:sz w:val="32"/>
          <w:szCs w:val="32"/>
        </w:rPr>
        <w:t>万元，完成预算100%，决算与预算持平，原因是没有人员变动。</w:t>
      </w:r>
    </w:p>
    <w:p w14:paraId="7F81FC11">
      <w:pPr>
        <w:spacing w:line="576" w:lineRule="exact"/>
        <w:ind w:firstLine="640" w:firstLineChars="200"/>
        <w:rPr>
          <w:rStyle w:val="28"/>
          <w:rFonts w:ascii="Times New Roman" w:hAnsi="Times New Roman" w:eastAsia="黑体" w:cs="Times New Roman"/>
          <w:b w:val="0"/>
        </w:rPr>
      </w:pPr>
      <w:bookmarkStart w:id="40" w:name="_Toc15396608"/>
      <w:bookmarkStart w:id="41" w:name="_Toc15377214"/>
      <w:r>
        <w:rPr>
          <w:rFonts w:eastAsia="黑体"/>
          <w:color w:val="000000"/>
          <w:sz w:val="32"/>
          <w:szCs w:val="32"/>
        </w:rPr>
        <w:t>六</w:t>
      </w:r>
      <w:r>
        <w:rPr>
          <w:rFonts w:eastAsia="黑体"/>
          <w:b/>
          <w:color w:val="000000"/>
          <w:sz w:val="32"/>
          <w:szCs w:val="32"/>
        </w:rPr>
        <w:t>、一</w:t>
      </w:r>
      <w:r>
        <w:rPr>
          <w:rStyle w:val="28"/>
          <w:rFonts w:ascii="Times New Roman" w:hAnsi="Times New Roman" w:eastAsia="黑体" w:cs="Times New Roman"/>
          <w:b w:val="0"/>
        </w:rPr>
        <w:t>般公共预算财政拨款基本支出决算情况说明</w:t>
      </w:r>
    </w:p>
    <w:p w14:paraId="68EE1A06">
      <w:pPr>
        <w:spacing w:line="576" w:lineRule="exact"/>
        <w:ind w:firstLine="640" w:firstLineChars="200"/>
        <w:rPr>
          <w:rFonts w:eastAsia="仿宋_GB2312"/>
          <w:color w:val="000000"/>
          <w:sz w:val="32"/>
          <w:szCs w:val="32"/>
        </w:rPr>
      </w:pPr>
      <w:r>
        <w:rPr>
          <w:rFonts w:eastAsia="仿宋_GB2312"/>
          <w:color w:val="000000"/>
          <w:sz w:val="32"/>
          <w:szCs w:val="32"/>
        </w:rPr>
        <w:t>一般公共预算财政拨款基本支出决</w:t>
      </w:r>
      <w:bookmarkEnd w:id="40"/>
      <w:bookmarkEnd w:id="41"/>
      <w:r>
        <w:rPr>
          <w:rFonts w:eastAsia="仿宋_GB2312"/>
          <w:color w:val="000000"/>
          <w:sz w:val="32"/>
          <w:szCs w:val="32"/>
        </w:rPr>
        <w:t>算</w:t>
      </w:r>
      <w:r>
        <w:rPr>
          <w:rFonts w:hint="eastAsia" w:eastAsia="仿宋_GB2312"/>
          <w:color w:val="000000"/>
          <w:sz w:val="32"/>
          <w:szCs w:val="32"/>
        </w:rPr>
        <w:t>459.03</w:t>
      </w:r>
      <w:r>
        <w:rPr>
          <w:rFonts w:eastAsia="仿宋_GB2312"/>
          <w:color w:val="000000"/>
          <w:sz w:val="32"/>
          <w:szCs w:val="32"/>
        </w:rPr>
        <w:t>万元，其中：人员经费</w:t>
      </w:r>
      <w:r>
        <w:rPr>
          <w:rFonts w:hint="eastAsia" w:eastAsia="仿宋_GB2312"/>
          <w:color w:val="000000"/>
          <w:sz w:val="32"/>
          <w:szCs w:val="32"/>
        </w:rPr>
        <w:t>355.43</w:t>
      </w:r>
      <w:r>
        <w:rPr>
          <w:rFonts w:eastAsia="仿宋_GB2312"/>
          <w:color w:val="000000"/>
          <w:sz w:val="32"/>
          <w:szCs w:val="32"/>
        </w:rPr>
        <w:t>万元，主要包括：主要包括：基本工资、津贴补贴、奖金、绩效工资、机关事业单位基本养老保险缴费、其他社会保障缴费、其他工资福利支出、医疗费、奖励金、住房公积金、其他对个人和家庭的补助支出等。</w:t>
      </w:r>
    </w:p>
    <w:p w14:paraId="14E3D5A8">
      <w:pPr>
        <w:spacing w:line="576" w:lineRule="exact"/>
        <w:ind w:firstLine="640" w:firstLineChars="200"/>
        <w:rPr>
          <w:rFonts w:eastAsia="仿宋_GB2312"/>
          <w:color w:val="000000"/>
          <w:sz w:val="32"/>
          <w:szCs w:val="32"/>
        </w:rPr>
      </w:pPr>
      <w:r>
        <w:rPr>
          <w:rFonts w:eastAsia="仿宋_GB2312"/>
          <w:color w:val="000000"/>
          <w:sz w:val="32"/>
          <w:szCs w:val="32"/>
        </w:rPr>
        <w:t>公用经费</w:t>
      </w:r>
      <w:r>
        <w:rPr>
          <w:rFonts w:hint="eastAsia" w:eastAsia="仿宋_GB2312"/>
          <w:color w:val="000000"/>
          <w:sz w:val="32"/>
          <w:szCs w:val="32"/>
        </w:rPr>
        <w:t>103.60</w:t>
      </w:r>
      <w:r>
        <w:rPr>
          <w:rFonts w:eastAsia="仿宋_GB2312"/>
          <w:color w:val="000000"/>
          <w:sz w:val="32"/>
          <w:szCs w:val="32"/>
        </w:rPr>
        <w:t>万元，主要包括：办公费、印刷费、咨询费、手续费、水费、电费、邮电费、物业管理费、差旅费、因公出国（境）费用、维修（护）费、租赁费、会议费、培训费、公务接待费、劳务费、委托业务费、工会经费、公务用车运行维护费、其他交通费。</w:t>
      </w:r>
    </w:p>
    <w:p w14:paraId="640952B6">
      <w:pPr>
        <w:spacing w:line="576" w:lineRule="exact"/>
        <w:ind w:firstLine="640" w:firstLineChars="200"/>
        <w:outlineLvl w:val="1"/>
        <w:rPr>
          <w:rStyle w:val="28"/>
          <w:rFonts w:ascii="Times New Roman" w:hAnsi="Times New Roman" w:eastAsia="黑体" w:cs="Times New Roman"/>
          <w:b w:val="0"/>
        </w:rPr>
      </w:pPr>
      <w:bookmarkStart w:id="42" w:name="_Toc15377215"/>
      <w:bookmarkStart w:id="43" w:name="_Toc15396609"/>
      <w:r>
        <w:rPr>
          <w:rFonts w:eastAsia="黑体"/>
          <w:color w:val="000000"/>
          <w:sz w:val="32"/>
          <w:szCs w:val="32"/>
        </w:rPr>
        <w:t>七、</w:t>
      </w:r>
      <w:r>
        <w:rPr>
          <w:rStyle w:val="28"/>
          <w:rFonts w:ascii="Times New Roman" w:hAnsi="Times New Roman" w:eastAsia="黑体" w:cs="Times New Roman"/>
        </w:rPr>
        <w:t>“</w:t>
      </w:r>
      <w:r>
        <w:rPr>
          <w:rStyle w:val="28"/>
          <w:rFonts w:ascii="Times New Roman" w:hAnsi="Times New Roman" w:eastAsia="黑体" w:cs="Times New Roman"/>
          <w:b w:val="0"/>
        </w:rPr>
        <w:t>三公”经费财政拨款支出决算情况说明</w:t>
      </w:r>
      <w:bookmarkEnd w:id="42"/>
      <w:bookmarkEnd w:id="43"/>
    </w:p>
    <w:p w14:paraId="4696E195">
      <w:pPr>
        <w:spacing w:line="576" w:lineRule="exact"/>
        <w:ind w:firstLine="643" w:firstLineChars="200"/>
        <w:outlineLvl w:val="2"/>
        <w:rPr>
          <w:rFonts w:eastAsia="楷体_GB2312"/>
          <w:b/>
          <w:color w:val="000000"/>
          <w:sz w:val="32"/>
          <w:szCs w:val="32"/>
        </w:rPr>
      </w:pPr>
      <w:bookmarkStart w:id="44" w:name="_Toc15377216"/>
      <w:r>
        <w:rPr>
          <w:rFonts w:eastAsia="楷体_GB2312"/>
          <w:b/>
          <w:color w:val="000000"/>
          <w:sz w:val="32"/>
          <w:szCs w:val="32"/>
        </w:rPr>
        <w:t>（一）“三公”经费财政拨款支出决算总体情况说明</w:t>
      </w:r>
      <w:bookmarkEnd w:id="44"/>
    </w:p>
    <w:p w14:paraId="7045284E">
      <w:pPr>
        <w:spacing w:line="576"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年“三公”经费财政拨款支出决算为</w:t>
      </w:r>
      <w:r>
        <w:rPr>
          <w:rFonts w:hint="eastAsia" w:eastAsia="仿宋_GB2312"/>
          <w:color w:val="000000"/>
          <w:sz w:val="32"/>
          <w:szCs w:val="32"/>
        </w:rPr>
        <w:t>2.49</w:t>
      </w:r>
      <w:r>
        <w:rPr>
          <w:rFonts w:eastAsia="仿宋_GB2312"/>
          <w:color w:val="000000"/>
          <w:sz w:val="32"/>
          <w:szCs w:val="32"/>
        </w:rPr>
        <w:t>万元，完成预算</w:t>
      </w:r>
      <w:r>
        <w:rPr>
          <w:rFonts w:hint="eastAsia" w:eastAsia="仿宋_GB2312"/>
          <w:color w:val="000000"/>
          <w:sz w:val="32"/>
          <w:szCs w:val="32"/>
        </w:rPr>
        <w:t>75.45</w:t>
      </w:r>
      <w:r>
        <w:rPr>
          <w:rFonts w:eastAsia="仿宋_GB2312"/>
          <w:color w:val="000000"/>
          <w:sz w:val="32"/>
          <w:szCs w:val="32"/>
        </w:rPr>
        <w:t>%，决算数小于预算数主要原因是厉行节约，严格按照八项规定执行。</w:t>
      </w:r>
    </w:p>
    <w:p w14:paraId="6B599647">
      <w:pPr>
        <w:spacing w:line="576" w:lineRule="exact"/>
        <w:ind w:firstLine="643" w:firstLineChars="200"/>
        <w:outlineLvl w:val="2"/>
        <w:rPr>
          <w:rFonts w:eastAsia="楷体_GB2312"/>
          <w:b/>
          <w:color w:val="000000"/>
          <w:sz w:val="32"/>
          <w:szCs w:val="32"/>
        </w:rPr>
      </w:pPr>
      <w:bookmarkStart w:id="45" w:name="_Toc15377217"/>
      <w:r>
        <w:rPr>
          <w:rFonts w:eastAsia="楷体_GB2312"/>
          <w:b/>
          <w:color w:val="000000"/>
          <w:sz w:val="32"/>
          <w:szCs w:val="32"/>
        </w:rPr>
        <w:t>（二）“三公”经费财政拨款支出决算具体情况说明</w:t>
      </w:r>
      <w:bookmarkEnd w:id="45"/>
    </w:p>
    <w:p w14:paraId="50D19381">
      <w:pPr>
        <w:spacing w:line="576"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年“三公”经费财政拨款支出决算中，因公出国（境）费支出决算0万元，占0%；公务用车购置及运行维护费支</w:t>
      </w:r>
      <w:r>
        <w:rPr>
          <w:rFonts w:eastAsia="仿宋_GB2312"/>
          <w:color w:val="000000" w:themeColor="text1"/>
          <w:sz w:val="32"/>
          <w:szCs w:val="32"/>
          <w14:textFill>
            <w14:solidFill>
              <w14:schemeClr w14:val="tx1"/>
            </w14:solidFill>
          </w14:textFill>
        </w:rPr>
        <w:t>出决算0万元，占0%；公务接待费支出决算</w:t>
      </w:r>
      <w:r>
        <w:rPr>
          <w:rFonts w:hint="eastAsia" w:eastAsia="仿宋_GB2312"/>
          <w:color w:val="000000" w:themeColor="text1"/>
          <w:sz w:val="32"/>
          <w:szCs w:val="32"/>
          <w14:textFill>
            <w14:solidFill>
              <w14:schemeClr w14:val="tx1"/>
            </w14:solidFill>
          </w14:textFill>
        </w:rPr>
        <w:t>2.49</w:t>
      </w:r>
      <w:r>
        <w:rPr>
          <w:rFonts w:eastAsia="仿宋_GB2312"/>
          <w:color w:val="000000" w:themeColor="text1"/>
          <w:sz w:val="32"/>
          <w:szCs w:val="32"/>
          <w14:textFill>
            <w14:solidFill>
              <w14:schemeClr w14:val="tx1"/>
            </w14:solidFill>
          </w14:textFill>
        </w:rPr>
        <w:t>万元，占预算</w:t>
      </w:r>
      <w:r>
        <w:rPr>
          <w:rFonts w:hint="eastAsia" w:eastAsia="仿宋_GB2312"/>
          <w:color w:val="000000" w:themeColor="text1"/>
          <w:sz w:val="32"/>
          <w:szCs w:val="32"/>
          <w14:textFill>
            <w14:solidFill>
              <w14:schemeClr w14:val="tx1"/>
            </w14:solidFill>
          </w14:textFill>
        </w:rPr>
        <w:t>75.45</w:t>
      </w:r>
      <w:r>
        <w:rPr>
          <w:rFonts w:eastAsia="仿宋_GB2312"/>
          <w:color w:val="000000" w:themeColor="text1"/>
          <w:sz w:val="32"/>
          <w:szCs w:val="32"/>
          <w14:textFill>
            <w14:solidFill>
              <w14:schemeClr w14:val="tx1"/>
            </w14:solidFill>
          </w14:textFill>
        </w:rPr>
        <w:t>%</w:t>
      </w:r>
      <w:r>
        <w:rPr>
          <w:rFonts w:eastAsia="仿宋_GB2312"/>
          <w:color w:val="000000"/>
          <w:sz w:val="32"/>
          <w:szCs w:val="32"/>
        </w:rPr>
        <w:t>。具体情况如下：</w:t>
      </w:r>
    </w:p>
    <w:p w14:paraId="4F0EDCC1">
      <w:pPr>
        <w:spacing w:line="576" w:lineRule="exact"/>
        <w:ind w:firstLine="640" w:firstLineChars="200"/>
        <w:rPr>
          <w:rFonts w:eastAsia="仿宋_GB2312"/>
          <w:color w:val="000000"/>
          <w:sz w:val="32"/>
          <w:szCs w:val="32"/>
        </w:rPr>
      </w:pPr>
      <w:r>
        <w:rPr>
          <w:rFonts w:eastAsia="仿宋_GB2312"/>
          <w:color w:val="000000"/>
          <w:sz w:val="32"/>
          <w:szCs w:val="32"/>
        </w:rPr>
        <w:t>1.因公出国（境）经费支出0万元。</w:t>
      </w:r>
    </w:p>
    <w:p w14:paraId="5F5881F1">
      <w:pPr>
        <w:spacing w:line="576" w:lineRule="exact"/>
        <w:ind w:firstLine="640" w:firstLineChars="200"/>
        <w:rPr>
          <w:rFonts w:eastAsia="仿宋_GB2312"/>
          <w:color w:val="000000"/>
          <w:sz w:val="32"/>
          <w:szCs w:val="32"/>
        </w:rPr>
      </w:pPr>
      <w:r>
        <w:rPr>
          <w:rFonts w:eastAsia="仿宋_GB2312"/>
          <w:color w:val="000000"/>
          <w:sz w:val="32"/>
          <w:szCs w:val="32"/>
        </w:rPr>
        <w:t>2.公务用车购置及运行维护费支出0万元，公务车改革，我单位无公务车。</w:t>
      </w:r>
    </w:p>
    <w:p w14:paraId="1EFFFEB2">
      <w:pPr>
        <w:spacing w:line="576" w:lineRule="exact"/>
        <w:ind w:firstLine="640" w:firstLineChars="200"/>
        <w:rPr>
          <w:rFonts w:eastAsia="仿宋_GB2312"/>
          <w:color w:val="000000"/>
          <w:sz w:val="32"/>
          <w:szCs w:val="32"/>
        </w:rPr>
      </w:pPr>
      <w:r>
        <w:rPr>
          <w:rFonts w:eastAsia="仿宋_GB2312"/>
          <w:color w:val="000000"/>
          <w:sz w:val="32"/>
          <w:szCs w:val="32"/>
        </w:rPr>
        <w:t>3.公务接待费支出</w:t>
      </w:r>
      <w:r>
        <w:rPr>
          <w:rFonts w:hint="eastAsia" w:eastAsia="仿宋_GB2312"/>
          <w:color w:val="000000"/>
          <w:sz w:val="32"/>
          <w:szCs w:val="32"/>
        </w:rPr>
        <w:t>2.49</w:t>
      </w:r>
      <w:r>
        <w:rPr>
          <w:rFonts w:eastAsia="仿宋_GB2312"/>
          <w:color w:val="000000"/>
          <w:sz w:val="32"/>
          <w:szCs w:val="32"/>
        </w:rPr>
        <w:t>万元，完成预算</w:t>
      </w:r>
      <w:r>
        <w:rPr>
          <w:rFonts w:hint="eastAsia" w:eastAsia="仿宋_GB2312"/>
          <w:color w:val="000000"/>
          <w:sz w:val="32"/>
          <w:szCs w:val="32"/>
        </w:rPr>
        <w:t>75.45</w:t>
      </w:r>
      <w:r>
        <w:rPr>
          <w:rFonts w:eastAsia="仿宋_GB2312"/>
          <w:color w:val="000000"/>
          <w:sz w:val="32"/>
          <w:szCs w:val="32"/>
        </w:rPr>
        <w:t>%。公务接待费支出决算比201</w:t>
      </w:r>
      <w:r>
        <w:rPr>
          <w:rFonts w:hint="eastAsia" w:eastAsia="仿宋_GB2312"/>
          <w:color w:val="000000"/>
          <w:sz w:val="32"/>
          <w:szCs w:val="32"/>
        </w:rPr>
        <w:t>8</w:t>
      </w:r>
      <w:r>
        <w:rPr>
          <w:rFonts w:eastAsia="仿宋_GB2312"/>
          <w:color w:val="000000"/>
          <w:sz w:val="32"/>
          <w:szCs w:val="32"/>
        </w:rPr>
        <w:t>年减少</w:t>
      </w:r>
      <w:r>
        <w:rPr>
          <w:rFonts w:hint="eastAsia" w:eastAsia="仿宋_GB2312"/>
          <w:color w:val="000000"/>
          <w:sz w:val="32"/>
          <w:szCs w:val="32"/>
        </w:rPr>
        <w:t>0.18</w:t>
      </w:r>
      <w:r>
        <w:rPr>
          <w:rFonts w:eastAsia="仿宋_GB2312"/>
          <w:color w:val="000000"/>
          <w:sz w:val="32"/>
          <w:szCs w:val="32"/>
        </w:rPr>
        <w:t>万元，下降</w:t>
      </w:r>
      <w:r>
        <w:rPr>
          <w:rFonts w:hint="eastAsia" w:eastAsia="仿宋_GB2312"/>
          <w:color w:val="000000"/>
          <w:sz w:val="32"/>
          <w:szCs w:val="32"/>
        </w:rPr>
        <w:t>6.7</w:t>
      </w:r>
      <w:r>
        <w:rPr>
          <w:rFonts w:eastAsia="仿宋_GB2312"/>
          <w:color w:val="000000"/>
          <w:sz w:val="32"/>
          <w:szCs w:val="32"/>
        </w:rPr>
        <w:t>%。主要原因是厉行节约，严格执行八项规定。</w:t>
      </w:r>
    </w:p>
    <w:p w14:paraId="154364DD">
      <w:pPr>
        <w:spacing w:line="576" w:lineRule="exact"/>
        <w:ind w:firstLine="640" w:firstLineChars="200"/>
        <w:rPr>
          <w:rFonts w:eastAsia="仿宋_GB2312"/>
          <w:color w:val="000000"/>
          <w:sz w:val="32"/>
          <w:szCs w:val="32"/>
        </w:rPr>
      </w:pPr>
      <w:r>
        <w:rPr>
          <w:rFonts w:eastAsia="仿宋_GB2312"/>
          <w:color w:val="000000"/>
          <w:sz w:val="32"/>
          <w:szCs w:val="32"/>
        </w:rPr>
        <w:t>主要用于执行公务、开展业务活动开支的交通费、住宿费、用餐费等。国内公务接待</w:t>
      </w:r>
      <w:r>
        <w:rPr>
          <w:rFonts w:hint="eastAsia" w:eastAsia="仿宋_GB2312"/>
          <w:color w:val="000000"/>
          <w:sz w:val="32"/>
          <w:szCs w:val="32"/>
        </w:rPr>
        <w:t>59</w:t>
      </w:r>
      <w:r>
        <w:rPr>
          <w:rFonts w:eastAsia="仿宋_GB2312"/>
          <w:color w:val="000000"/>
          <w:sz w:val="32"/>
          <w:szCs w:val="32"/>
        </w:rPr>
        <w:t>批次，5</w:t>
      </w:r>
      <w:r>
        <w:rPr>
          <w:rFonts w:hint="eastAsia" w:eastAsia="仿宋_GB2312"/>
          <w:color w:val="000000"/>
          <w:sz w:val="32"/>
          <w:szCs w:val="32"/>
        </w:rPr>
        <w:t>9</w:t>
      </w:r>
      <w:r>
        <w:rPr>
          <w:rFonts w:eastAsia="仿宋_GB2312"/>
          <w:color w:val="000000"/>
          <w:sz w:val="32"/>
          <w:szCs w:val="32"/>
        </w:rPr>
        <w:t>5人次（不包括陪同人员），共计支出2.</w:t>
      </w:r>
      <w:r>
        <w:rPr>
          <w:rFonts w:hint="eastAsia" w:eastAsia="仿宋_GB2312"/>
          <w:color w:val="000000"/>
          <w:sz w:val="32"/>
          <w:szCs w:val="32"/>
        </w:rPr>
        <w:t>49</w:t>
      </w:r>
      <w:r>
        <w:rPr>
          <w:rFonts w:eastAsia="仿宋_GB2312"/>
          <w:color w:val="000000"/>
          <w:sz w:val="32"/>
          <w:szCs w:val="32"/>
        </w:rPr>
        <w:t>万元，具体内容包括：生活费。</w:t>
      </w:r>
    </w:p>
    <w:p w14:paraId="6FA3366A">
      <w:pPr>
        <w:spacing w:line="576" w:lineRule="exact"/>
        <w:ind w:firstLine="640" w:firstLineChars="200"/>
        <w:rPr>
          <w:rFonts w:eastAsia="仿宋_GB2312"/>
          <w:color w:val="000000"/>
          <w:sz w:val="32"/>
          <w:szCs w:val="32"/>
        </w:rPr>
      </w:pPr>
      <w:r>
        <w:rPr>
          <w:rFonts w:eastAsia="仿宋_GB2312"/>
          <w:color w:val="000000"/>
          <w:sz w:val="32"/>
          <w:szCs w:val="32"/>
        </w:rPr>
        <w:t>其中：</w:t>
      </w:r>
    </w:p>
    <w:p w14:paraId="65AEBE92">
      <w:pPr>
        <w:spacing w:line="576" w:lineRule="exact"/>
        <w:ind w:firstLine="640" w:firstLineChars="200"/>
        <w:rPr>
          <w:rFonts w:eastAsia="仿宋_GB2312"/>
          <w:color w:val="000000"/>
          <w:sz w:val="32"/>
          <w:szCs w:val="32"/>
        </w:rPr>
      </w:pPr>
      <w:r>
        <w:rPr>
          <w:rFonts w:eastAsia="仿宋_GB2312"/>
          <w:color w:val="000000"/>
          <w:sz w:val="32"/>
          <w:szCs w:val="32"/>
        </w:rPr>
        <w:t>外事接待支出0万元，外事接待0批次，0人，共计支出0万元。</w:t>
      </w:r>
    </w:p>
    <w:p w14:paraId="33E8AC9F">
      <w:pPr>
        <w:spacing w:line="576" w:lineRule="exact"/>
        <w:ind w:firstLine="640" w:firstLineChars="200"/>
        <w:rPr>
          <w:rFonts w:eastAsia="仿宋_GB2312"/>
          <w:color w:val="000000"/>
          <w:sz w:val="32"/>
          <w:szCs w:val="32"/>
        </w:rPr>
      </w:pPr>
      <w:r>
        <w:rPr>
          <w:rFonts w:eastAsia="仿宋_GB2312"/>
          <w:color w:val="000000"/>
          <w:sz w:val="32"/>
          <w:szCs w:val="32"/>
        </w:rPr>
        <w:t>其他国内公务接待支出0万元。</w:t>
      </w:r>
    </w:p>
    <w:p w14:paraId="27A75D18">
      <w:pPr>
        <w:spacing w:line="576" w:lineRule="exact"/>
        <w:ind w:firstLine="640" w:firstLineChars="200"/>
        <w:outlineLvl w:val="1"/>
        <w:rPr>
          <w:rStyle w:val="28"/>
          <w:rFonts w:ascii="Times New Roman" w:hAnsi="Times New Roman" w:eastAsia="黑体" w:cs="Times New Roman"/>
        </w:rPr>
      </w:pPr>
      <w:bookmarkStart w:id="46" w:name="_Toc15377218"/>
      <w:bookmarkStart w:id="47" w:name="_Toc15396610"/>
      <w:r>
        <w:rPr>
          <w:rFonts w:eastAsia="黑体"/>
          <w:color w:val="000000"/>
          <w:sz w:val="32"/>
          <w:szCs w:val="32"/>
        </w:rPr>
        <w:t>八、</w:t>
      </w:r>
      <w:r>
        <w:rPr>
          <w:rStyle w:val="28"/>
          <w:rFonts w:ascii="Times New Roman" w:hAnsi="Times New Roman" w:eastAsia="黑体" w:cs="Times New Roman"/>
          <w:b w:val="0"/>
        </w:rPr>
        <w:t>政府性基金预算支出决算情况说明</w:t>
      </w:r>
      <w:bookmarkEnd w:id="46"/>
      <w:bookmarkEnd w:id="47"/>
    </w:p>
    <w:p w14:paraId="13D63149">
      <w:pPr>
        <w:spacing w:line="576"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年政府性基金预算拨款支出</w:t>
      </w:r>
      <w:r>
        <w:rPr>
          <w:rFonts w:hint="eastAsia" w:eastAsia="仿宋_GB2312"/>
          <w:color w:val="000000"/>
          <w:sz w:val="32"/>
          <w:szCs w:val="32"/>
        </w:rPr>
        <w:t>2100.55</w:t>
      </w:r>
      <w:r>
        <w:rPr>
          <w:rFonts w:eastAsia="仿宋_GB2312"/>
          <w:color w:val="000000"/>
          <w:sz w:val="32"/>
          <w:szCs w:val="32"/>
        </w:rPr>
        <w:t>万元。</w:t>
      </w:r>
    </w:p>
    <w:p w14:paraId="202B4CD3">
      <w:pPr>
        <w:spacing w:line="576" w:lineRule="exact"/>
        <w:ind w:firstLine="640" w:firstLineChars="200"/>
        <w:rPr>
          <w:rFonts w:eastAsia="仿宋_GB2312"/>
          <w:color w:val="000000"/>
          <w:sz w:val="32"/>
          <w:szCs w:val="32"/>
        </w:rPr>
      </w:pPr>
      <w:bookmarkStart w:id="48" w:name="_Toc15377219"/>
      <w:bookmarkStart w:id="49" w:name="_Toc15396611"/>
      <w:r>
        <w:rPr>
          <w:rFonts w:eastAsia="仿宋_GB2312"/>
          <w:color w:val="000000"/>
          <w:sz w:val="32"/>
          <w:szCs w:val="32"/>
        </w:rPr>
        <w:t>国有资本经营预算支出决算情</w:t>
      </w:r>
      <w:bookmarkEnd w:id="48"/>
      <w:bookmarkEnd w:id="49"/>
      <w:r>
        <w:rPr>
          <w:rFonts w:eastAsia="仿宋_GB2312"/>
          <w:color w:val="000000"/>
          <w:sz w:val="32"/>
          <w:szCs w:val="32"/>
        </w:rPr>
        <w:t>0万元。</w:t>
      </w:r>
    </w:p>
    <w:p w14:paraId="2FA68702">
      <w:pPr>
        <w:pStyle w:val="26"/>
        <w:spacing w:line="576" w:lineRule="exact"/>
        <w:ind w:firstLine="640"/>
        <w:rPr>
          <w:rStyle w:val="28"/>
          <w:rFonts w:ascii="Times New Roman" w:hAnsi="Times New Roman" w:eastAsia="黑体" w:cs="Times New Roman"/>
          <w:b w:val="0"/>
        </w:rPr>
      </w:pPr>
      <w:r>
        <w:rPr>
          <w:rStyle w:val="28"/>
          <w:rFonts w:ascii="Times New Roman" w:hAnsi="Times New Roman" w:eastAsia="黑体" w:cs="Times New Roman"/>
          <w:b w:val="0"/>
        </w:rPr>
        <w:t>九、预算绩效情况说明</w:t>
      </w:r>
    </w:p>
    <w:p w14:paraId="172052FE">
      <w:pPr>
        <w:spacing w:line="576" w:lineRule="exact"/>
        <w:ind w:firstLine="643" w:firstLineChars="200"/>
        <w:rPr>
          <w:rFonts w:eastAsia="楷体_GB2312"/>
          <w:b/>
          <w:bCs/>
          <w:color w:val="000000"/>
          <w:sz w:val="32"/>
          <w:szCs w:val="32"/>
        </w:rPr>
      </w:pPr>
      <w:r>
        <w:rPr>
          <w:rFonts w:eastAsia="楷体_GB2312"/>
          <w:b/>
          <w:bCs/>
          <w:color w:val="000000"/>
          <w:sz w:val="32"/>
          <w:szCs w:val="32"/>
        </w:rPr>
        <w:t>（一）预算绩效管理工作开展情况</w:t>
      </w:r>
    </w:p>
    <w:p w14:paraId="739BA144">
      <w:pPr>
        <w:spacing w:line="576" w:lineRule="exact"/>
        <w:ind w:firstLine="640" w:firstLineChars="200"/>
        <w:rPr>
          <w:rFonts w:eastAsia="仿宋_GB2312"/>
          <w:color w:val="000000"/>
          <w:sz w:val="32"/>
          <w:szCs w:val="32"/>
        </w:rPr>
      </w:pPr>
      <w:r>
        <w:rPr>
          <w:rFonts w:eastAsia="仿宋_GB2312"/>
          <w:color w:val="000000"/>
          <w:sz w:val="32"/>
          <w:szCs w:val="32"/>
        </w:rPr>
        <w:t>根据预算绩效管理要求，区扶贫</w:t>
      </w:r>
      <w:r>
        <w:rPr>
          <w:rFonts w:hint="eastAsia" w:eastAsia="仿宋_GB2312"/>
          <w:color w:val="000000"/>
          <w:sz w:val="32"/>
          <w:szCs w:val="32"/>
        </w:rPr>
        <w:t>开发</w:t>
      </w:r>
      <w:r>
        <w:rPr>
          <w:rFonts w:eastAsia="仿宋_GB2312"/>
          <w:color w:val="000000"/>
          <w:sz w:val="32"/>
          <w:szCs w:val="32"/>
        </w:rPr>
        <w:t>局在年初预算编制阶段，组织对大中型水库移民后期扶持项目开展了预算事前绩效评估，对</w:t>
      </w:r>
      <w:r>
        <w:rPr>
          <w:rFonts w:hint="eastAsia" w:eastAsia="仿宋_GB2312"/>
          <w:color w:val="000000"/>
          <w:sz w:val="32"/>
          <w:szCs w:val="32"/>
        </w:rPr>
        <w:t>3</w:t>
      </w:r>
      <w:r>
        <w:rPr>
          <w:rFonts w:eastAsia="仿宋_GB2312"/>
          <w:color w:val="000000"/>
          <w:sz w:val="32"/>
          <w:szCs w:val="32"/>
        </w:rPr>
        <w:t>个项目编制了绩效目标，预算执行过程中，选取1个项目开展绩效监控，年终执行完毕后，对1个项目开展了绩效目标完成情况梳理填报。</w:t>
      </w:r>
    </w:p>
    <w:p w14:paraId="46816CBC">
      <w:pPr>
        <w:spacing w:line="576" w:lineRule="exact"/>
        <w:ind w:firstLine="640" w:firstLineChars="200"/>
        <w:rPr>
          <w:rFonts w:eastAsia="仿宋_GB2312"/>
          <w:sz w:val="32"/>
          <w:szCs w:val="32"/>
        </w:rPr>
      </w:pPr>
      <w:r>
        <w:rPr>
          <w:rFonts w:eastAsia="仿宋_GB2312"/>
          <w:color w:val="000000"/>
          <w:sz w:val="32"/>
          <w:szCs w:val="32"/>
        </w:rPr>
        <w:t>本部门按要求对201</w:t>
      </w:r>
      <w:r>
        <w:rPr>
          <w:rFonts w:hint="eastAsia" w:eastAsia="仿宋_GB2312"/>
          <w:color w:val="000000"/>
          <w:sz w:val="32"/>
          <w:szCs w:val="32"/>
        </w:rPr>
        <w:t>9</w:t>
      </w:r>
      <w:r>
        <w:rPr>
          <w:rFonts w:eastAsia="仿宋_GB2312"/>
          <w:color w:val="000000"/>
          <w:sz w:val="32"/>
          <w:szCs w:val="32"/>
        </w:rPr>
        <w:t>年部门整体支出开展绩效自评</w:t>
      </w:r>
      <w:r>
        <w:rPr>
          <w:rFonts w:eastAsia="仿宋_GB2312"/>
          <w:color w:val="0000FF"/>
          <w:sz w:val="32"/>
          <w:szCs w:val="32"/>
        </w:rPr>
        <w:t>，</w:t>
      </w:r>
      <w:r>
        <w:rPr>
          <w:rFonts w:eastAsia="仿宋_GB2312"/>
          <w:sz w:val="32"/>
          <w:szCs w:val="32"/>
        </w:rPr>
        <w:t>从评价情况来看：201</w:t>
      </w:r>
      <w:r>
        <w:rPr>
          <w:rFonts w:hint="eastAsia" w:eastAsia="仿宋_GB2312"/>
          <w:sz w:val="32"/>
          <w:szCs w:val="32"/>
        </w:rPr>
        <w:t>9</w:t>
      </w:r>
      <w:r>
        <w:rPr>
          <w:rFonts w:eastAsia="仿宋_GB2312"/>
          <w:sz w:val="32"/>
          <w:szCs w:val="32"/>
        </w:rPr>
        <w:t>年区扶贫移民局财务支出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eastAsia="仿宋_GB2312"/>
          <w:sz w:val="32"/>
          <w:szCs w:val="32"/>
        </w:rPr>
        <w:t>9</w:t>
      </w:r>
      <w:r>
        <w:rPr>
          <w:rFonts w:eastAsia="仿宋_GB2312"/>
          <w:sz w:val="32"/>
          <w:szCs w:val="32"/>
        </w:rPr>
        <w:t>年基本完成，在保障机关运转、履行职能职责上整体情况优良。</w:t>
      </w:r>
    </w:p>
    <w:p w14:paraId="03C62BA5">
      <w:pPr>
        <w:snapToGrid w:val="0"/>
        <w:spacing w:line="576" w:lineRule="exact"/>
        <w:ind w:firstLine="640" w:firstLineChars="200"/>
        <w:rPr>
          <w:rFonts w:eastAsia="仿宋_GB2312"/>
          <w:color w:val="0000FF"/>
          <w:sz w:val="32"/>
          <w:szCs w:val="32"/>
        </w:rPr>
      </w:pPr>
      <w:r>
        <w:rPr>
          <w:rFonts w:eastAsia="仿宋_GB2312"/>
          <w:sz w:val="32"/>
          <w:szCs w:val="32"/>
        </w:rPr>
        <w:t>本部门201</w:t>
      </w:r>
      <w:r>
        <w:rPr>
          <w:rFonts w:hint="eastAsia" w:eastAsia="仿宋_GB2312"/>
          <w:sz w:val="32"/>
          <w:szCs w:val="32"/>
        </w:rPr>
        <w:t>9</w:t>
      </w:r>
      <w:r>
        <w:rPr>
          <w:rFonts w:eastAsia="仿宋_GB2312"/>
          <w:sz w:val="32"/>
          <w:szCs w:val="32"/>
        </w:rPr>
        <w:t>年度组织了1个项目绩效评价，从评价情况来看：该项目在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w:t>
      </w:r>
    </w:p>
    <w:p w14:paraId="25428230">
      <w:pPr>
        <w:snapToGrid w:val="0"/>
        <w:spacing w:line="576" w:lineRule="exact"/>
        <w:ind w:firstLine="643" w:firstLineChars="200"/>
        <w:rPr>
          <w:rFonts w:eastAsia="楷体_GB2312"/>
          <w:b/>
          <w:bCs/>
          <w:color w:val="000000"/>
          <w:sz w:val="32"/>
          <w:szCs w:val="32"/>
        </w:rPr>
      </w:pPr>
      <w:r>
        <w:rPr>
          <w:rFonts w:eastAsia="楷体_GB2312"/>
          <w:b/>
          <w:bCs/>
          <w:color w:val="000000"/>
          <w:sz w:val="32"/>
          <w:szCs w:val="32"/>
        </w:rPr>
        <w:t>（二）项目绩效目标完成情况</w:t>
      </w:r>
    </w:p>
    <w:p w14:paraId="6ABBE9BF">
      <w:pPr>
        <w:snapToGrid w:val="0"/>
        <w:spacing w:line="576" w:lineRule="exact"/>
        <w:ind w:firstLine="640" w:firstLineChars="200"/>
        <w:rPr>
          <w:rFonts w:eastAsia="仿宋_GB2312"/>
          <w:sz w:val="32"/>
          <w:szCs w:val="32"/>
        </w:rPr>
      </w:pPr>
      <w:r>
        <w:rPr>
          <w:rFonts w:eastAsia="仿宋_GB2312"/>
          <w:sz w:val="32"/>
          <w:szCs w:val="32"/>
        </w:rPr>
        <w:t>本部门在201</w:t>
      </w:r>
      <w:r>
        <w:rPr>
          <w:rFonts w:hint="eastAsia" w:eastAsia="仿宋_GB2312"/>
          <w:sz w:val="32"/>
          <w:szCs w:val="32"/>
        </w:rPr>
        <w:t>9</w:t>
      </w:r>
      <w:r>
        <w:rPr>
          <w:rFonts w:eastAsia="仿宋_GB2312"/>
          <w:sz w:val="32"/>
          <w:szCs w:val="32"/>
        </w:rPr>
        <w:t>年度部门决算中反映大中型水库移民后期扶持基金项目1个项目绩效目标实际完成情况。</w:t>
      </w:r>
    </w:p>
    <w:p w14:paraId="47973C7C">
      <w:pPr>
        <w:widowControl/>
        <w:ind w:firstLine="620" w:firstLineChars="200"/>
        <w:jc w:val="left"/>
      </w:pPr>
      <w:r>
        <w:rPr>
          <w:rFonts w:hint="eastAsia" w:ascii="仿宋" w:hAnsi="仿宋" w:eastAsia="仿宋" w:cs="仿宋"/>
          <w:color w:val="000000"/>
          <w:kern w:val="0"/>
          <w:sz w:val="31"/>
          <w:szCs w:val="31"/>
          <w:lang w:bidi="ar"/>
        </w:rPr>
        <w:t>1、</w:t>
      </w:r>
      <w:r>
        <w:rPr>
          <w:rFonts w:ascii="楷体" w:hAnsi="楷体" w:eastAsia="楷体" w:cs="楷体"/>
          <w:color w:val="000000"/>
          <w:kern w:val="0"/>
          <w:sz w:val="31"/>
          <w:szCs w:val="31"/>
          <w:lang w:bidi="ar"/>
        </w:rPr>
        <w:t>省级下达专项转移支付预算情况</w:t>
      </w:r>
    </w:p>
    <w:p w14:paraId="7DEF6AA8">
      <w:pPr>
        <w:widowControl/>
        <w:jc w:val="left"/>
      </w:pPr>
      <w:r>
        <w:rPr>
          <w:rFonts w:ascii="仿宋" w:hAnsi="仿宋" w:eastAsia="仿宋" w:cs="仿宋"/>
          <w:color w:val="000000"/>
          <w:kern w:val="0"/>
          <w:sz w:val="31"/>
          <w:szCs w:val="31"/>
          <w:lang w:bidi="ar"/>
        </w:rPr>
        <w:t xml:space="preserve">省财政厅《关于提前下达全省 </w:t>
      </w:r>
      <w:r>
        <w:rPr>
          <w:color w:val="000000"/>
          <w:kern w:val="0"/>
          <w:sz w:val="31"/>
          <w:szCs w:val="31"/>
          <w:lang w:bidi="ar"/>
        </w:rPr>
        <w:t xml:space="preserve">2019 </w:t>
      </w:r>
      <w:r>
        <w:rPr>
          <w:rFonts w:ascii="仿宋" w:hAnsi="仿宋" w:eastAsia="仿宋" w:cs="仿宋"/>
          <w:color w:val="000000"/>
          <w:kern w:val="0"/>
          <w:sz w:val="31"/>
          <w:szCs w:val="31"/>
          <w:lang w:bidi="ar"/>
        </w:rPr>
        <w:t>年水库移民后期扶持资金预算指标的通知》（川财企〔</w:t>
      </w:r>
      <w:r>
        <w:rPr>
          <w:color w:val="000000"/>
          <w:kern w:val="0"/>
          <w:sz w:val="31"/>
          <w:szCs w:val="31"/>
          <w:lang w:bidi="ar"/>
        </w:rPr>
        <w:t>2018</w:t>
      </w:r>
      <w:r>
        <w:rPr>
          <w:rFonts w:ascii="仿宋" w:hAnsi="仿宋" w:eastAsia="仿宋" w:cs="仿宋"/>
          <w:color w:val="000000"/>
          <w:kern w:val="0"/>
          <w:sz w:val="31"/>
          <w:szCs w:val="31"/>
          <w:lang w:bidi="ar"/>
        </w:rPr>
        <w:t>〕</w:t>
      </w:r>
      <w:r>
        <w:rPr>
          <w:color w:val="000000"/>
          <w:kern w:val="0"/>
          <w:sz w:val="31"/>
          <w:szCs w:val="31"/>
          <w:lang w:bidi="ar"/>
        </w:rPr>
        <w:t xml:space="preserve">103 </w:t>
      </w:r>
      <w:r>
        <w:rPr>
          <w:rFonts w:ascii="仿宋" w:hAnsi="仿宋" w:eastAsia="仿宋" w:cs="仿宋"/>
          <w:color w:val="000000"/>
          <w:kern w:val="0"/>
          <w:sz w:val="31"/>
          <w:szCs w:val="31"/>
          <w:lang w:bidi="ar"/>
        </w:rPr>
        <w:t xml:space="preserve">号）下达我区 </w:t>
      </w:r>
      <w:r>
        <w:rPr>
          <w:color w:val="000000"/>
          <w:kern w:val="0"/>
          <w:sz w:val="31"/>
          <w:szCs w:val="31"/>
          <w:lang w:bidi="ar"/>
        </w:rPr>
        <w:t xml:space="preserve">2019 </w:t>
      </w:r>
    </w:p>
    <w:p w14:paraId="5C3FBCC7">
      <w:pPr>
        <w:widowControl/>
        <w:jc w:val="left"/>
        <w:rPr>
          <w:rFonts w:ascii="仿宋" w:hAnsi="仿宋" w:eastAsia="仿宋" w:cs="仿宋"/>
          <w:color w:val="000000"/>
          <w:kern w:val="0"/>
          <w:sz w:val="31"/>
          <w:szCs w:val="31"/>
          <w:lang w:bidi="ar"/>
        </w:rPr>
      </w:pPr>
      <w:r>
        <w:rPr>
          <w:rFonts w:ascii="仿宋" w:hAnsi="仿宋" w:eastAsia="仿宋" w:cs="仿宋"/>
          <w:color w:val="000000"/>
          <w:kern w:val="0"/>
          <w:sz w:val="31"/>
          <w:szCs w:val="31"/>
          <w:lang w:bidi="ar"/>
        </w:rPr>
        <w:t xml:space="preserve">年一二季度移民直补资金预算 </w:t>
      </w:r>
      <w:r>
        <w:rPr>
          <w:color w:val="000000"/>
          <w:kern w:val="0"/>
          <w:sz w:val="31"/>
          <w:szCs w:val="31"/>
          <w:lang w:bidi="ar"/>
        </w:rPr>
        <w:t xml:space="preserve">546.54 </w:t>
      </w:r>
      <w:r>
        <w:rPr>
          <w:rFonts w:ascii="仿宋" w:hAnsi="仿宋" w:eastAsia="仿宋" w:cs="仿宋"/>
          <w:color w:val="000000"/>
          <w:kern w:val="0"/>
          <w:sz w:val="31"/>
          <w:szCs w:val="31"/>
          <w:lang w:bidi="ar"/>
        </w:rPr>
        <w:t xml:space="preserve">万元，三季度移民直补资金预算 </w:t>
      </w:r>
      <w:r>
        <w:rPr>
          <w:color w:val="000000"/>
          <w:kern w:val="0"/>
          <w:sz w:val="31"/>
          <w:szCs w:val="31"/>
          <w:lang w:bidi="ar"/>
        </w:rPr>
        <w:t xml:space="preserve">270.45 </w:t>
      </w:r>
      <w:r>
        <w:rPr>
          <w:rFonts w:ascii="仿宋" w:hAnsi="仿宋" w:eastAsia="仿宋" w:cs="仿宋"/>
          <w:color w:val="000000"/>
          <w:kern w:val="0"/>
          <w:sz w:val="31"/>
          <w:szCs w:val="31"/>
          <w:lang w:bidi="ar"/>
        </w:rPr>
        <w:t xml:space="preserve">万元，四季度移民直补资金预算 </w:t>
      </w:r>
      <w:r>
        <w:rPr>
          <w:color w:val="000000"/>
          <w:kern w:val="0"/>
          <w:sz w:val="31"/>
          <w:szCs w:val="31"/>
          <w:lang w:bidi="ar"/>
        </w:rPr>
        <w:t xml:space="preserve">336.628 </w:t>
      </w:r>
      <w:r>
        <w:rPr>
          <w:rFonts w:ascii="仿宋" w:hAnsi="仿宋" w:eastAsia="仿宋" w:cs="仿宋"/>
          <w:color w:val="000000"/>
          <w:kern w:val="0"/>
          <w:sz w:val="31"/>
          <w:szCs w:val="31"/>
          <w:lang w:bidi="ar"/>
        </w:rPr>
        <w:t>万元；省财政厅、省扶贫移民局《关于下达大中型水库移民后期扶持资金的通知》（川财企〔</w:t>
      </w:r>
      <w:r>
        <w:rPr>
          <w:color w:val="000000"/>
          <w:kern w:val="0"/>
          <w:sz w:val="31"/>
          <w:szCs w:val="31"/>
          <w:lang w:bidi="ar"/>
        </w:rPr>
        <w:t>2018</w:t>
      </w:r>
      <w:r>
        <w:rPr>
          <w:rFonts w:ascii="仿宋" w:hAnsi="仿宋" w:eastAsia="仿宋" w:cs="仿宋"/>
          <w:color w:val="000000"/>
          <w:kern w:val="0"/>
          <w:sz w:val="31"/>
          <w:szCs w:val="31"/>
          <w:lang w:bidi="ar"/>
        </w:rPr>
        <w:t>〕</w:t>
      </w:r>
      <w:r>
        <w:rPr>
          <w:color w:val="000000"/>
          <w:kern w:val="0"/>
          <w:sz w:val="31"/>
          <w:szCs w:val="31"/>
          <w:lang w:bidi="ar"/>
        </w:rPr>
        <w:t xml:space="preserve">108 </w:t>
      </w:r>
      <w:r>
        <w:rPr>
          <w:rFonts w:ascii="仿宋" w:hAnsi="仿宋" w:eastAsia="仿宋" w:cs="仿宋"/>
          <w:color w:val="000000"/>
          <w:kern w:val="0"/>
          <w:sz w:val="31"/>
          <w:szCs w:val="31"/>
          <w:lang w:bidi="ar"/>
        </w:rPr>
        <w:t xml:space="preserve">号）下达我区项目扶持资金 </w:t>
      </w:r>
      <w:r>
        <w:rPr>
          <w:color w:val="000000"/>
          <w:kern w:val="0"/>
          <w:sz w:val="31"/>
          <w:szCs w:val="31"/>
          <w:lang w:bidi="ar"/>
        </w:rPr>
        <w:t xml:space="preserve">1171 </w:t>
      </w:r>
      <w:r>
        <w:rPr>
          <w:rFonts w:ascii="仿宋" w:hAnsi="仿宋" w:eastAsia="仿宋" w:cs="仿宋"/>
          <w:color w:val="000000"/>
          <w:kern w:val="0"/>
          <w:sz w:val="31"/>
          <w:szCs w:val="31"/>
          <w:lang w:bidi="ar"/>
        </w:rPr>
        <w:t xml:space="preserve">万元；省财政厅、省扶贫开发局《关于下达 </w:t>
      </w:r>
      <w:r>
        <w:rPr>
          <w:color w:val="000000"/>
          <w:kern w:val="0"/>
          <w:sz w:val="31"/>
          <w:szCs w:val="31"/>
          <w:lang w:bidi="ar"/>
        </w:rPr>
        <w:t xml:space="preserve">2019 </w:t>
      </w:r>
      <w:r>
        <w:rPr>
          <w:rFonts w:ascii="仿宋" w:hAnsi="仿宋" w:eastAsia="仿宋" w:cs="仿宋"/>
          <w:color w:val="000000"/>
          <w:kern w:val="0"/>
          <w:sz w:val="31"/>
          <w:szCs w:val="31"/>
          <w:lang w:bidi="ar"/>
        </w:rPr>
        <w:t>年度中央大中型水库移民后期扶持资金的通知》（川财农〔</w:t>
      </w:r>
      <w:r>
        <w:rPr>
          <w:color w:val="000000"/>
          <w:kern w:val="0"/>
          <w:sz w:val="31"/>
          <w:szCs w:val="31"/>
          <w:lang w:bidi="ar"/>
        </w:rPr>
        <w:t>2019</w:t>
      </w:r>
      <w:r>
        <w:rPr>
          <w:rFonts w:ascii="仿宋" w:hAnsi="仿宋" w:eastAsia="仿宋" w:cs="仿宋"/>
          <w:color w:val="000000"/>
          <w:kern w:val="0"/>
          <w:sz w:val="31"/>
          <w:szCs w:val="31"/>
          <w:lang w:bidi="ar"/>
        </w:rPr>
        <w:t>〕</w:t>
      </w:r>
      <w:r>
        <w:rPr>
          <w:color w:val="000000"/>
          <w:kern w:val="0"/>
          <w:sz w:val="31"/>
          <w:szCs w:val="31"/>
          <w:lang w:bidi="ar"/>
        </w:rPr>
        <w:t xml:space="preserve">106 </w:t>
      </w:r>
      <w:r>
        <w:rPr>
          <w:rFonts w:ascii="仿宋" w:hAnsi="仿宋" w:eastAsia="仿宋" w:cs="仿宋"/>
          <w:color w:val="000000"/>
          <w:kern w:val="0"/>
          <w:sz w:val="31"/>
          <w:szCs w:val="31"/>
          <w:lang w:bidi="ar"/>
        </w:rPr>
        <w:t xml:space="preserve">号）下达我区项目扶持资金 </w:t>
      </w:r>
      <w:r>
        <w:rPr>
          <w:color w:val="000000"/>
          <w:kern w:val="0"/>
          <w:sz w:val="31"/>
          <w:szCs w:val="31"/>
          <w:lang w:bidi="ar"/>
        </w:rPr>
        <w:t xml:space="preserve">351 </w:t>
      </w:r>
      <w:r>
        <w:rPr>
          <w:rFonts w:ascii="仿宋" w:hAnsi="仿宋" w:eastAsia="仿宋" w:cs="仿宋"/>
          <w:color w:val="000000"/>
          <w:kern w:val="0"/>
          <w:sz w:val="31"/>
          <w:szCs w:val="31"/>
          <w:lang w:bidi="ar"/>
        </w:rPr>
        <w:t>万元。</w:t>
      </w:r>
    </w:p>
    <w:p w14:paraId="73B87BFA">
      <w:pPr>
        <w:widowControl/>
        <w:ind w:firstLine="310" w:firstLineChars="100"/>
        <w:jc w:val="left"/>
      </w:pPr>
      <w:r>
        <w:rPr>
          <w:rFonts w:hint="eastAsia" w:ascii="楷体" w:hAnsi="楷体" w:eastAsia="楷体" w:cs="楷体"/>
          <w:color w:val="000000"/>
          <w:kern w:val="0"/>
          <w:sz w:val="31"/>
          <w:szCs w:val="31"/>
          <w:lang w:bidi="ar"/>
        </w:rPr>
        <w:t>2、</w:t>
      </w:r>
      <w:r>
        <w:rPr>
          <w:rFonts w:ascii="楷体" w:hAnsi="楷体" w:eastAsia="楷体" w:cs="楷体"/>
          <w:color w:val="000000"/>
          <w:kern w:val="0"/>
          <w:sz w:val="31"/>
          <w:szCs w:val="31"/>
          <w:lang w:bidi="ar"/>
        </w:rPr>
        <w:t>市分解下达预算和绩效目标情况</w:t>
      </w:r>
    </w:p>
    <w:p w14:paraId="23932130">
      <w:pPr>
        <w:pStyle w:val="15"/>
        <w:rPr>
          <w:rFonts w:ascii="仿宋" w:hAnsi="仿宋" w:eastAsia="仿宋" w:cs="仿宋"/>
          <w:color w:val="000000"/>
          <w:kern w:val="0"/>
          <w:sz w:val="31"/>
          <w:szCs w:val="31"/>
          <w:lang w:bidi="ar"/>
        </w:rPr>
      </w:pPr>
      <w:r>
        <w:rPr>
          <w:rFonts w:ascii="仿宋" w:hAnsi="仿宋" w:eastAsia="仿宋" w:cs="仿宋"/>
          <w:b/>
          <w:bCs/>
          <w:color w:val="000000"/>
          <w:kern w:val="0"/>
          <w:sz w:val="31"/>
          <w:szCs w:val="31"/>
          <w:lang w:bidi="ar"/>
        </w:rPr>
        <w:t>资金分配和使用</w:t>
      </w:r>
      <w:r>
        <w:rPr>
          <w:rFonts w:ascii="仿宋" w:hAnsi="仿宋" w:eastAsia="仿宋" w:cs="仿宋"/>
          <w:color w:val="000000"/>
          <w:kern w:val="0"/>
          <w:sz w:val="31"/>
          <w:szCs w:val="31"/>
          <w:lang w:bidi="ar"/>
        </w:rPr>
        <w:t xml:space="preserve">。一是 600 元直补资金。2019 年 4 月 2 日，广元市财政局以广财企〔2019〕16 号文件下达我区 2019 年 度移民直补资金 546.54 万元，主要用于 2019 年 1、2 季度移民 直发直补和 600 元项目扶持；2019 年 9 月 29 日，广元市财政局 以广财企〔2019〕54 号文件下达我区 2019 年度移民直补资金 270.45 万元，主要用于 2019 年 3 季度移民直发直补和 600 元项 目扶持；2019 年 11 月 14 日，广元市财政局以广财企〔2019〕 73 号文件下达我区 2019 年度移民直补资金 336.628 万元，主要 用于 2019 年四季度移民直发直补和 600 元项目扶持。2019 年直 发直补累计发放 53748 人次（按季度核算）、806.22 万元（含按 政策补发资金），600 元固定指标项目安排 266.16 万元，合计支 出 1072.38 万元。二是 1171 万中央资金。2019 年 3 月 8 日，广 元市财政局、广元市扶贫开发局以广财企〔2019〕8 号文件下达 我区 2019 年大中型水库移民后期扶持资金 1171 万元，共安排 56 个项目，涉及 32 个移民村，主要用于解决基础设施、产业发 展和公共服务等，改善库区移民生产生活条件，建设美丽移民村， 助力移民产业发展，促进库区和谐稳定。截止 2020 年 6 月底， 累计完成投资 1171 万元，累计支出 1171 万元。三是 351 万元中 央资金。2019 年 9 月 4 日，广元市财政局、广元市扶贫开发局 以广财企〔2019〕49 号文件下达我区 2019 年大中型水库移民后 期扶持资金 351 万元，共安排 12 个项目，涉及 10 个移民村，主 要用于移民村集体经济发展、基础设施建设等方面。截止 2020 年 6 月底，累计完成投资 351 万元，累计支出 351 万元。 </w:t>
      </w:r>
    </w:p>
    <w:p w14:paraId="30132FF9">
      <w:pPr>
        <w:pStyle w:val="2"/>
        <w:spacing w:line="576" w:lineRule="exact"/>
        <w:ind w:firstLine="640" w:firstLineChars="200"/>
        <w:jc w:val="both"/>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3、绩效指标完成情况分析。一是完成数量。2019 年全年移 民直发直补涉及 53748 人次，实施项目共 81 个，涉及 12 个镇 49 个村（集镇），规范种植猕猴桃、蔬菜及脆桃等 4000 亩，修 建村组道路 28.5 公里，整治山坪塘 3 口，建设幸福美丽移民新 村 3 个。二是完成质量。计划项目 81 个，完工项目 81 个，完工 率 100%；验收 81 个，验收合格率 100%。三是共拨付资金 2594.38 万元，资金拨付率 100%，其中移民直补资金发放 806.22 万元， 幸福美丽新村 263.36 万元，生产开发及配套设施 1524.8 万元。 四是成本节约情况。项目资金严格按照下达的资金计划进行控 制，采取资金报账制，报账资金未超过预算指标；移民直补资金 按政策规定标准发放，实际发放人数 13725 人（53748 人次），项目扶持 4436 人。整个项目资金支出全部控制在预算范围内，未超出预算。</w:t>
      </w:r>
    </w:p>
    <w:p w14:paraId="60B01316">
      <w:pPr>
        <w:pStyle w:val="2"/>
        <w:spacing w:line="576" w:lineRule="exact"/>
        <w:ind w:firstLine="640" w:firstLineChars="200"/>
        <w:jc w:val="both"/>
        <w:rPr>
          <w:rFonts w:ascii="Times New Roman" w:hAnsi="Times New Roman" w:eastAsia="仿宋_GB2312" w:cs="Times New Roman"/>
          <w:sz w:val="32"/>
          <w:szCs w:val="32"/>
        </w:rPr>
      </w:pPr>
      <w:r>
        <w:rPr>
          <w:rFonts w:ascii="Times New Roman" w:hAnsi="Times New Roman" w:eastAsia="仿宋_GB2312" w:cs="Times New Roman"/>
          <w:sz w:val="32"/>
          <w:szCs w:val="32"/>
        </w:rPr>
        <w:t>发现主要问题：</w:t>
      </w:r>
      <w:r>
        <w:rPr>
          <w:rFonts w:hint="eastAsia" w:ascii="Times New Roman" w:hAnsi="Times New Roman" w:eastAsia="仿宋_GB2312" w:cs="Times New Roman"/>
          <w:sz w:val="32"/>
          <w:szCs w:val="32"/>
        </w:rPr>
        <w:t>直发直补资金未全部发放到位。主要原因一是少数移民长期 失联，无法发放；二是少数移民账号注销、变更，未及时提供新 的账号，无法发放。下</w:t>
      </w:r>
      <w:r>
        <w:rPr>
          <w:rFonts w:ascii="Times New Roman" w:hAnsi="Times New Roman" w:eastAsia="仿宋_GB2312" w:cs="Times New Roman"/>
          <w:sz w:val="32"/>
          <w:szCs w:val="32"/>
        </w:rPr>
        <w:t>一步措施：</w:t>
      </w:r>
      <w:r>
        <w:rPr>
          <w:rFonts w:hint="eastAsia" w:ascii="Times New Roman" w:hAnsi="Times New Roman" w:eastAsia="仿宋_GB2312" w:cs="Times New Roman"/>
          <w:sz w:val="32"/>
          <w:szCs w:val="32"/>
        </w:rPr>
        <w:t>一是督促各镇千方百计联系失联移民，尽快发放直发直补资 金；二是尽快收集变更、注销账号移民的新账号，及时发放直发 直补资金。</w:t>
      </w:r>
    </w:p>
    <w:p w14:paraId="60AB3BB1">
      <w:pPr>
        <w:pStyle w:val="2"/>
        <w:spacing w:line="576" w:lineRule="exact"/>
        <w:ind w:left="2"/>
        <w:jc w:val="center"/>
        <w:rPr>
          <w:rFonts w:ascii="方正小标宋简体" w:hAnsi="仿宋_GB2312" w:eastAsia="方正小标宋简体"/>
          <w:color w:val="auto"/>
          <w:sz w:val="44"/>
          <w:szCs w:val="44"/>
        </w:rPr>
      </w:pPr>
      <w:r>
        <w:rPr>
          <w:rFonts w:hint="eastAsia" w:ascii="方正小标宋简体" w:hAnsi="仿宋_GB2312" w:eastAsia="方正小标宋简体"/>
          <w:color w:val="auto"/>
          <w:sz w:val="44"/>
          <w:szCs w:val="44"/>
        </w:rPr>
        <w:t>中央水库移民扶持基金绩效自评表</w:t>
      </w:r>
    </w:p>
    <w:p w14:paraId="7714EDEE">
      <w:pPr>
        <w:pStyle w:val="2"/>
        <w:spacing w:line="576" w:lineRule="exact"/>
        <w:ind w:left="2"/>
        <w:jc w:val="center"/>
        <w:rPr>
          <w:rFonts w:ascii="Times New Roman" w:hAnsi="仿宋_GB2312" w:eastAsia="仿宋_GB2312"/>
          <w:color w:val="auto"/>
          <w:sz w:val="32"/>
          <w:szCs w:val="32"/>
        </w:rPr>
      </w:pPr>
      <w:r>
        <w:rPr>
          <w:rFonts w:ascii="Times New Roman" w:hAnsi="仿宋_GB2312" w:eastAsia="仿宋_GB2312"/>
          <w:color w:val="auto"/>
          <w:sz w:val="32"/>
          <w:szCs w:val="32"/>
        </w:rPr>
        <w:t>（</w:t>
      </w:r>
      <w:r>
        <w:rPr>
          <w:rFonts w:ascii="Times New Roman" w:hAnsi="Times New Roman" w:eastAsia="仿宋_GB2312"/>
          <w:color w:val="auto"/>
          <w:sz w:val="32"/>
          <w:szCs w:val="32"/>
        </w:rPr>
        <w:t>2019</w:t>
      </w:r>
      <w:r>
        <w:rPr>
          <w:rFonts w:ascii="Times New Roman" w:hAnsi="仿宋_GB2312" w:eastAsia="仿宋_GB2312"/>
          <w:color w:val="auto"/>
          <w:sz w:val="32"/>
          <w:szCs w:val="32"/>
        </w:rPr>
        <w:t>年度）</w:t>
      </w:r>
    </w:p>
    <w:p w14:paraId="0A83A752">
      <w:pPr>
        <w:pStyle w:val="2"/>
        <w:spacing w:line="576" w:lineRule="exact"/>
        <w:ind w:left="2"/>
        <w:jc w:val="center"/>
        <w:rPr>
          <w:rFonts w:ascii="Times New Roman" w:hAnsi="仿宋_GB2312" w:eastAsia="仿宋_GB2312"/>
          <w:color w:val="auto"/>
          <w:sz w:val="32"/>
          <w:szCs w:val="32"/>
        </w:rPr>
      </w:pPr>
    </w:p>
    <w:tbl>
      <w:tblPr>
        <w:tblStyle w:val="16"/>
        <w:tblW w:w="10157" w:type="dxa"/>
        <w:jc w:val="center"/>
        <w:tblLayout w:type="autofit"/>
        <w:tblCellMar>
          <w:top w:w="0" w:type="dxa"/>
          <w:left w:w="108" w:type="dxa"/>
          <w:bottom w:w="0" w:type="dxa"/>
          <w:right w:w="108" w:type="dxa"/>
        </w:tblCellMar>
      </w:tblPr>
      <w:tblGrid>
        <w:gridCol w:w="546"/>
        <w:gridCol w:w="414"/>
        <w:gridCol w:w="463"/>
        <w:gridCol w:w="2921"/>
        <w:gridCol w:w="1110"/>
        <w:gridCol w:w="4703"/>
      </w:tblGrid>
      <w:tr w14:paraId="039B92B1">
        <w:tblPrEx>
          <w:tblCellMar>
            <w:top w:w="0" w:type="dxa"/>
            <w:left w:w="108" w:type="dxa"/>
            <w:bottom w:w="0" w:type="dxa"/>
            <w:right w:w="108" w:type="dxa"/>
          </w:tblCellMar>
        </w:tblPrEx>
        <w:trPr>
          <w:trHeight w:val="780" w:hRule="atLeast"/>
          <w:jc w:val="center"/>
        </w:trPr>
        <w:tc>
          <w:tcPr>
            <w:tcW w:w="96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2998556">
            <w:pPr>
              <w:widowControl/>
              <w:jc w:val="center"/>
              <w:rPr>
                <w:rFonts w:ascii="宋体" w:hAnsi="宋体" w:cs="宋体"/>
                <w:color w:val="000000"/>
                <w:kern w:val="0"/>
                <w:sz w:val="16"/>
                <w:szCs w:val="16"/>
              </w:rPr>
            </w:pPr>
            <w:r>
              <w:rPr>
                <w:rFonts w:hint="eastAsia" w:ascii="宋体" w:hAnsi="宋体" w:cs="宋体"/>
                <w:color w:val="000000"/>
                <w:kern w:val="0"/>
                <w:sz w:val="16"/>
                <w:szCs w:val="16"/>
              </w:rPr>
              <w:t>专项名称</w:t>
            </w:r>
          </w:p>
        </w:tc>
        <w:tc>
          <w:tcPr>
            <w:tcW w:w="9197"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06FDC4D">
            <w:pPr>
              <w:widowControl/>
              <w:jc w:val="center"/>
              <w:rPr>
                <w:rFonts w:ascii="宋体" w:hAnsi="宋体" w:cs="宋体"/>
                <w:color w:val="000000"/>
                <w:kern w:val="0"/>
                <w:sz w:val="16"/>
                <w:szCs w:val="16"/>
              </w:rPr>
            </w:pPr>
            <w:r>
              <w:rPr>
                <w:rFonts w:hint="eastAsia" w:ascii="宋体" w:hAnsi="宋体" w:cs="宋体"/>
                <w:color w:val="000000"/>
                <w:kern w:val="0"/>
                <w:sz w:val="16"/>
                <w:szCs w:val="16"/>
              </w:rPr>
              <w:t>中央水库移民扶持基金（含一般预算）</w:t>
            </w:r>
          </w:p>
        </w:tc>
      </w:tr>
      <w:tr w14:paraId="5F14656C">
        <w:tblPrEx>
          <w:tblCellMar>
            <w:top w:w="0" w:type="dxa"/>
            <w:left w:w="108" w:type="dxa"/>
            <w:bottom w:w="0" w:type="dxa"/>
            <w:right w:w="108" w:type="dxa"/>
          </w:tblCellMar>
        </w:tblPrEx>
        <w:trPr>
          <w:trHeight w:val="780" w:hRule="atLeast"/>
          <w:jc w:val="center"/>
        </w:trPr>
        <w:tc>
          <w:tcPr>
            <w:tcW w:w="142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2B295573">
            <w:pPr>
              <w:widowControl/>
              <w:jc w:val="center"/>
              <w:rPr>
                <w:rFonts w:ascii="宋体" w:hAnsi="宋体" w:cs="宋体"/>
                <w:color w:val="000000"/>
                <w:kern w:val="0"/>
                <w:sz w:val="16"/>
                <w:szCs w:val="16"/>
              </w:rPr>
            </w:pPr>
            <w:r>
              <w:rPr>
                <w:rFonts w:hint="eastAsia" w:ascii="宋体" w:hAnsi="宋体" w:cs="宋体"/>
                <w:color w:val="000000"/>
                <w:kern w:val="0"/>
                <w:sz w:val="16"/>
                <w:szCs w:val="16"/>
              </w:rPr>
              <w:t>市（州）</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94EE1">
            <w:pPr>
              <w:widowControl/>
              <w:jc w:val="center"/>
              <w:rPr>
                <w:color w:val="000000"/>
                <w:kern w:val="0"/>
                <w:sz w:val="16"/>
                <w:szCs w:val="16"/>
              </w:rPr>
            </w:pP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DA5E7">
            <w:pPr>
              <w:widowControl/>
              <w:ind w:left="-105" w:leftChars="-50" w:right="-105" w:rightChars="-50"/>
              <w:jc w:val="center"/>
              <w:rPr>
                <w:rFonts w:ascii="宋体" w:hAnsi="宋体" w:cs="宋体"/>
                <w:color w:val="000000"/>
                <w:kern w:val="0"/>
                <w:sz w:val="16"/>
                <w:szCs w:val="16"/>
              </w:rPr>
            </w:pPr>
            <w:r>
              <w:rPr>
                <w:rFonts w:hint="eastAsia" w:ascii="宋体" w:hAnsi="宋体" w:cs="宋体"/>
                <w:color w:val="000000"/>
                <w:kern w:val="0"/>
                <w:sz w:val="16"/>
                <w:szCs w:val="16"/>
              </w:rPr>
              <w:t>省级主管部门</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0AA6F">
            <w:pPr>
              <w:widowControl/>
              <w:jc w:val="center"/>
              <w:rPr>
                <w:rFonts w:ascii="宋体" w:hAnsi="宋体" w:cs="宋体"/>
                <w:color w:val="000000"/>
                <w:kern w:val="0"/>
                <w:sz w:val="16"/>
                <w:szCs w:val="16"/>
              </w:rPr>
            </w:pPr>
            <w:r>
              <w:rPr>
                <w:rFonts w:hint="eastAsia" w:ascii="宋体" w:hAnsi="宋体" w:cs="宋体"/>
                <w:color w:val="000000"/>
                <w:kern w:val="0"/>
                <w:sz w:val="16"/>
                <w:szCs w:val="16"/>
              </w:rPr>
              <w:t>省扶贫开发局</w:t>
            </w:r>
          </w:p>
        </w:tc>
      </w:tr>
      <w:tr w14:paraId="24C10DC1">
        <w:tblPrEx>
          <w:tblCellMar>
            <w:top w:w="0" w:type="dxa"/>
            <w:left w:w="108" w:type="dxa"/>
            <w:bottom w:w="0" w:type="dxa"/>
            <w:right w:w="108" w:type="dxa"/>
          </w:tblCellMar>
        </w:tblPrEx>
        <w:trPr>
          <w:trHeight w:val="780" w:hRule="atLeast"/>
          <w:jc w:val="center"/>
        </w:trPr>
        <w:tc>
          <w:tcPr>
            <w:tcW w:w="1423"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115CB690">
            <w:pPr>
              <w:widowControl/>
              <w:jc w:val="center"/>
              <w:rPr>
                <w:rFonts w:ascii="宋体" w:hAnsi="宋体" w:cs="宋体"/>
                <w:color w:val="000000"/>
                <w:kern w:val="0"/>
                <w:sz w:val="16"/>
                <w:szCs w:val="16"/>
              </w:rPr>
            </w:pPr>
            <w:r>
              <w:rPr>
                <w:rFonts w:hint="eastAsia" w:ascii="宋体" w:hAnsi="宋体" w:cs="宋体"/>
                <w:color w:val="000000"/>
                <w:kern w:val="0"/>
                <w:sz w:val="16"/>
                <w:szCs w:val="16"/>
              </w:rPr>
              <w:t>市级财政部门</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EE487">
            <w:pPr>
              <w:widowControl/>
              <w:jc w:val="center"/>
              <w:rPr>
                <w:rFonts w:ascii="宋体" w:hAnsi="宋体" w:cs="宋体"/>
                <w:color w:val="000000"/>
                <w:kern w:val="0"/>
                <w:sz w:val="16"/>
                <w:szCs w:val="16"/>
              </w:rPr>
            </w:pPr>
            <w:r>
              <w:rPr>
                <w:rFonts w:hint="eastAsia" w:ascii="宋体" w:hAnsi="宋体" w:cs="宋体"/>
                <w:color w:val="000000"/>
                <w:kern w:val="0"/>
                <w:sz w:val="16"/>
                <w:szCs w:val="16"/>
              </w:rPr>
              <w:t>广元市财政局</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E4DD1">
            <w:pPr>
              <w:widowControl/>
              <w:ind w:left="-105" w:leftChars="-50" w:right="-105" w:rightChars="-50"/>
              <w:jc w:val="center"/>
              <w:rPr>
                <w:rFonts w:ascii="宋体" w:hAnsi="宋体" w:cs="宋体"/>
                <w:color w:val="000000"/>
                <w:kern w:val="0"/>
                <w:sz w:val="16"/>
                <w:szCs w:val="16"/>
              </w:rPr>
            </w:pPr>
            <w:r>
              <w:rPr>
                <w:rFonts w:hint="eastAsia" w:ascii="宋体" w:hAnsi="宋体" w:cs="宋体"/>
                <w:color w:val="000000"/>
                <w:kern w:val="0"/>
                <w:sz w:val="16"/>
                <w:szCs w:val="16"/>
              </w:rPr>
              <w:t>市级主管部门</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457F7">
            <w:pPr>
              <w:widowControl/>
              <w:jc w:val="center"/>
              <w:rPr>
                <w:rFonts w:ascii="宋体" w:hAnsi="宋体" w:cs="宋体"/>
                <w:color w:val="000000"/>
                <w:kern w:val="0"/>
                <w:sz w:val="16"/>
                <w:szCs w:val="16"/>
              </w:rPr>
            </w:pPr>
            <w:r>
              <w:rPr>
                <w:rFonts w:hint="eastAsia" w:ascii="宋体" w:hAnsi="宋体" w:cs="宋体"/>
                <w:color w:val="000000"/>
                <w:kern w:val="0"/>
                <w:sz w:val="16"/>
                <w:szCs w:val="16"/>
              </w:rPr>
              <w:t>广元市扶贫开发局</w:t>
            </w:r>
          </w:p>
        </w:tc>
      </w:tr>
      <w:tr w14:paraId="0682158A">
        <w:tblPrEx>
          <w:tblCellMar>
            <w:top w:w="0" w:type="dxa"/>
            <w:left w:w="108" w:type="dxa"/>
            <w:bottom w:w="0" w:type="dxa"/>
            <w:right w:w="108" w:type="dxa"/>
          </w:tblCellMar>
        </w:tblPrEx>
        <w:trPr>
          <w:trHeight w:val="780" w:hRule="atLeast"/>
          <w:jc w:val="center"/>
        </w:trPr>
        <w:tc>
          <w:tcPr>
            <w:tcW w:w="5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3282451">
            <w:pPr>
              <w:widowControl/>
              <w:jc w:val="center"/>
              <w:rPr>
                <w:rFonts w:hint="eastAsia" w:ascii="宋体" w:hAnsi="宋体" w:eastAsia="宋体"/>
                <w:color w:val="000000"/>
                <w:kern w:val="0"/>
                <w:sz w:val="16"/>
                <w:lang w:eastAsia="zh-CN"/>
              </w:rPr>
            </w:pPr>
            <w:r>
              <w:rPr>
                <w:rFonts w:ascii="宋体" w:hAnsi="宋体"/>
                <w:color w:val="000000"/>
                <w:kern w:val="0"/>
                <w:sz w:val="16"/>
              </w:rPr>
              <w:t>预算执行情况</w:t>
            </w:r>
          </w:p>
          <w:p w14:paraId="5F3B32A2">
            <w:pPr>
              <w:widowControl/>
              <w:jc w:val="center"/>
              <w:rPr>
                <w:color w:val="000000"/>
                <w:kern w:val="0"/>
                <w:sz w:val="16"/>
                <w:szCs w:val="16"/>
              </w:rPr>
            </w:pPr>
            <w:r>
              <w:rPr>
                <w:rFonts w:ascii="宋体" w:hAnsi="宋体"/>
                <w:color w:val="000000"/>
                <w:kern w:val="0"/>
                <w:sz w:val="16"/>
              </w:rPr>
              <w:t>（万元）</w:t>
            </w:r>
          </w:p>
        </w:tc>
        <w:tc>
          <w:tcPr>
            <w:tcW w:w="8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ED6E877">
            <w:pPr>
              <w:widowControl/>
              <w:jc w:val="left"/>
              <w:rPr>
                <w:color w:val="000000"/>
                <w:kern w:val="0"/>
                <w:sz w:val="16"/>
                <w:szCs w:val="16"/>
              </w:rPr>
            </w:pPr>
            <w:r>
              <w:rPr>
                <w:rFonts w:ascii="宋体" w:hAnsi="宋体"/>
                <w:color w:val="000000"/>
                <w:kern w:val="0"/>
                <w:sz w:val="16"/>
              </w:rPr>
              <w:t>预算数：</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51C74">
            <w:pPr>
              <w:widowControl/>
              <w:jc w:val="center"/>
              <w:rPr>
                <w:color w:val="000000"/>
                <w:kern w:val="0"/>
                <w:sz w:val="16"/>
                <w:szCs w:val="16"/>
              </w:rPr>
            </w:pPr>
            <w:r>
              <w:rPr>
                <w:color w:val="000000"/>
                <w:kern w:val="0"/>
                <w:sz w:val="16"/>
                <w:szCs w:val="16"/>
              </w:rPr>
              <w:t>2675.62</w:t>
            </w:r>
            <w:r>
              <w:rPr>
                <w:rFonts w:ascii="宋体" w:hAnsi="宋体"/>
                <w:color w:val="000000"/>
                <w:kern w:val="0"/>
                <w:sz w:val="16"/>
              </w:rPr>
              <w:t>万元</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4221C">
            <w:pPr>
              <w:widowControl/>
              <w:jc w:val="left"/>
              <w:rPr>
                <w:color w:val="000000"/>
                <w:kern w:val="0"/>
                <w:sz w:val="16"/>
                <w:szCs w:val="16"/>
              </w:rPr>
            </w:pPr>
            <w:r>
              <w:rPr>
                <w:rFonts w:ascii="宋体" w:hAnsi="宋体"/>
                <w:color w:val="000000"/>
                <w:kern w:val="0"/>
                <w:sz w:val="16"/>
              </w:rPr>
              <w:t>执行数：</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468F">
            <w:pPr>
              <w:widowControl/>
              <w:jc w:val="center"/>
              <w:rPr>
                <w:color w:val="000000"/>
                <w:kern w:val="0"/>
                <w:sz w:val="16"/>
                <w:szCs w:val="16"/>
              </w:rPr>
            </w:pPr>
            <w:r>
              <w:rPr>
                <w:color w:val="000000"/>
                <w:kern w:val="0"/>
                <w:sz w:val="16"/>
                <w:szCs w:val="16"/>
              </w:rPr>
              <w:t>2605.03</w:t>
            </w:r>
            <w:r>
              <w:rPr>
                <w:rFonts w:ascii="宋体" w:hAnsi="宋体"/>
                <w:color w:val="000000"/>
                <w:kern w:val="0"/>
                <w:sz w:val="16"/>
              </w:rPr>
              <w:t>万元</w:t>
            </w:r>
          </w:p>
        </w:tc>
      </w:tr>
      <w:tr w14:paraId="0A200FB2">
        <w:tblPrEx>
          <w:tblCellMar>
            <w:top w:w="0" w:type="dxa"/>
            <w:left w:w="108" w:type="dxa"/>
            <w:bottom w:w="0" w:type="dxa"/>
            <w:right w:w="108" w:type="dxa"/>
          </w:tblCellMar>
        </w:tblPrEx>
        <w:trPr>
          <w:trHeight w:val="780" w:hRule="atLeast"/>
          <w:jc w:val="center"/>
        </w:trPr>
        <w:tc>
          <w:tcPr>
            <w:tcW w:w="5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CD7E36">
            <w:pPr>
              <w:widowControl/>
              <w:jc w:val="left"/>
              <w:rPr>
                <w:color w:val="000000"/>
                <w:kern w:val="0"/>
                <w:sz w:val="16"/>
                <w:szCs w:val="16"/>
              </w:rPr>
            </w:pPr>
          </w:p>
        </w:tc>
        <w:tc>
          <w:tcPr>
            <w:tcW w:w="8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3753D8">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其中：中央资金</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FD2E9">
            <w:pPr>
              <w:widowControl/>
              <w:jc w:val="left"/>
              <w:rPr>
                <w:color w:val="000000"/>
                <w:kern w:val="0"/>
                <w:sz w:val="16"/>
                <w:szCs w:val="16"/>
              </w:rPr>
            </w:pPr>
            <w:r>
              <w:rPr>
                <w:color w:val="000000"/>
                <w:kern w:val="0"/>
                <w:sz w:val="16"/>
                <w:szCs w:val="16"/>
              </w:rPr>
              <w:t>2675.62</w:t>
            </w:r>
            <w:r>
              <w:rPr>
                <w:rFonts w:ascii="宋体" w:hAnsi="宋体"/>
                <w:color w:val="000000"/>
                <w:kern w:val="0"/>
                <w:sz w:val="16"/>
              </w:rPr>
              <w:t>万元（其中用于直补资金发放887.46万元、避险解困</w:t>
            </w:r>
            <w:r>
              <w:rPr>
                <w:color w:val="000000"/>
                <w:kern w:val="0"/>
                <w:sz w:val="16"/>
                <w:szCs w:val="16"/>
              </w:rPr>
              <w:t>0</w:t>
            </w:r>
            <w:r>
              <w:rPr>
                <w:rFonts w:ascii="宋体" w:hAnsi="宋体"/>
                <w:color w:val="000000"/>
                <w:kern w:val="0"/>
                <w:sz w:val="16"/>
              </w:rPr>
              <w:t>万元、美丽家园建设</w:t>
            </w:r>
            <w:r>
              <w:rPr>
                <w:color w:val="000000"/>
                <w:kern w:val="0"/>
                <w:sz w:val="16"/>
                <w:szCs w:val="16"/>
              </w:rPr>
              <w:t>263.36</w:t>
            </w:r>
            <w:r>
              <w:rPr>
                <w:rFonts w:ascii="宋体" w:hAnsi="宋体"/>
                <w:color w:val="000000"/>
                <w:kern w:val="0"/>
                <w:sz w:val="16"/>
              </w:rPr>
              <w:t>万元、生产开发及配套设施建设</w:t>
            </w:r>
            <w:r>
              <w:rPr>
                <w:color w:val="000000"/>
                <w:kern w:val="0"/>
                <w:sz w:val="16"/>
                <w:szCs w:val="16"/>
              </w:rPr>
              <w:t>1524.8</w:t>
            </w:r>
            <w:r>
              <w:rPr>
                <w:rFonts w:ascii="宋体" w:hAnsi="宋体"/>
                <w:color w:val="000000"/>
                <w:kern w:val="0"/>
                <w:sz w:val="16"/>
              </w:rPr>
              <w:t>万元）</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E5F77">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其中：中央资金</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86528">
            <w:pPr>
              <w:widowControl/>
              <w:jc w:val="left"/>
              <w:rPr>
                <w:color w:val="000000"/>
                <w:kern w:val="0"/>
                <w:sz w:val="16"/>
                <w:szCs w:val="16"/>
              </w:rPr>
            </w:pPr>
            <w:r>
              <w:rPr>
                <w:color w:val="000000"/>
                <w:kern w:val="0"/>
                <w:sz w:val="16"/>
                <w:szCs w:val="16"/>
              </w:rPr>
              <w:t xml:space="preserve"> 2605.03</w:t>
            </w:r>
            <w:r>
              <w:rPr>
                <w:rFonts w:ascii="宋体" w:hAnsi="宋体"/>
                <w:color w:val="000000"/>
                <w:kern w:val="0"/>
                <w:sz w:val="16"/>
              </w:rPr>
              <w:t>万元（其中用于直补资金发放</w:t>
            </w:r>
            <w:r>
              <w:rPr>
                <w:color w:val="000000"/>
                <w:kern w:val="0"/>
                <w:sz w:val="16"/>
                <w:szCs w:val="16"/>
              </w:rPr>
              <w:t>816.87</w:t>
            </w:r>
            <w:r>
              <w:rPr>
                <w:rFonts w:ascii="宋体" w:hAnsi="宋体"/>
                <w:color w:val="000000"/>
                <w:kern w:val="0"/>
                <w:sz w:val="16"/>
              </w:rPr>
              <w:t>万元、避险解困</w:t>
            </w:r>
            <w:r>
              <w:rPr>
                <w:color w:val="000000"/>
                <w:kern w:val="0"/>
                <w:sz w:val="16"/>
                <w:szCs w:val="16"/>
              </w:rPr>
              <w:t>0</w:t>
            </w:r>
            <w:r>
              <w:rPr>
                <w:rFonts w:ascii="宋体" w:hAnsi="宋体"/>
                <w:color w:val="000000"/>
                <w:kern w:val="0"/>
                <w:sz w:val="16"/>
              </w:rPr>
              <w:t>万元、美丽家园建设</w:t>
            </w:r>
            <w:r>
              <w:rPr>
                <w:color w:val="000000"/>
                <w:kern w:val="0"/>
                <w:sz w:val="16"/>
                <w:szCs w:val="16"/>
              </w:rPr>
              <w:t>263.36</w:t>
            </w:r>
            <w:r>
              <w:rPr>
                <w:rFonts w:ascii="宋体" w:hAnsi="宋体"/>
                <w:color w:val="000000"/>
                <w:kern w:val="0"/>
                <w:sz w:val="16"/>
              </w:rPr>
              <w:t>万元、生产开发及配套设施建设</w:t>
            </w:r>
            <w:r>
              <w:rPr>
                <w:color w:val="000000"/>
                <w:kern w:val="0"/>
                <w:sz w:val="16"/>
                <w:szCs w:val="16"/>
              </w:rPr>
              <w:t>1524.8</w:t>
            </w:r>
            <w:r>
              <w:rPr>
                <w:rFonts w:ascii="宋体" w:hAnsi="宋体"/>
                <w:color w:val="000000"/>
                <w:kern w:val="0"/>
                <w:sz w:val="16"/>
              </w:rPr>
              <w:t>万元）</w:t>
            </w:r>
          </w:p>
        </w:tc>
      </w:tr>
      <w:tr w14:paraId="15076EB3">
        <w:tblPrEx>
          <w:tblCellMar>
            <w:top w:w="0" w:type="dxa"/>
            <w:left w:w="108" w:type="dxa"/>
            <w:bottom w:w="0" w:type="dxa"/>
            <w:right w:w="108" w:type="dxa"/>
          </w:tblCellMar>
        </w:tblPrEx>
        <w:trPr>
          <w:trHeight w:val="780" w:hRule="atLeast"/>
          <w:jc w:val="center"/>
        </w:trPr>
        <w:tc>
          <w:tcPr>
            <w:tcW w:w="5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10758">
            <w:pPr>
              <w:widowControl/>
              <w:jc w:val="left"/>
              <w:rPr>
                <w:color w:val="000000"/>
                <w:kern w:val="0"/>
                <w:sz w:val="16"/>
                <w:szCs w:val="16"/>
              </w:rPr>
            </w:pPr>
          </w:p>
        </w:tc>
        <w:tc>
          <w:tcPr>
            <w:tcW w:w="8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C54A4D5">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地方资金</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2C172">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万元（其中用于直补资金发放</w:t>
            </w:r>
            <w:r>
              <w:rPr>
                <w:color w:val="000000"/>
                <w:kern w:val="0"/>
                <w:sz w:val="16"/>
                <w:szCs w:val="16"/>
              </w:rPr>
              <w:t xml:space="preserve">  </w:t>
            </w:r>
            <w:r>
              <w:rPr>
                <w:rFonts w:ascii="宋体" w:hAnsi="宋体"/>
                <w:color w:val="000000"/>
                <w:kern w:val="0"/>
                <w:sz w:val="16"/>
              </w:rPr>
              <w:t>万元、避险解困</w:t>
            </w:r>
            <w:r>
              <w:rPr>
                <w:color w:val="000000"/>
                <w:kern w:val="0"/>
                <w:sz w:val="16"/>
                <w:szCs w:val="16"/>
              </w:rPr>
              <w:t xml:space="preserve">  </w:t>
            </w:r>
            <w:r>
              <w:rPr>
                <w:rFonts w:ascii="宋体" w:hAnsi="宋体"/>
                <w:color w:val="000000"/>
                <w:kern w:val="0"/>
                <w:sz w:val="16"/>
              </w:rPr>
              <w:t>万元、美丽家园建设</w:t>
            </w:r>
            <w:r>
              <w:rPr>
                <w:color w:val="000000"/>
                <w:kern w:val="0"/>
                <w:sz w:val="16"/>
                <w:szCs w:val="16"/>
              </w:rPr>
              <w:t xml:space="preserve">  </w:t>
            </w:r>
            <w:r>
              <w:rPr>
                <w:rFonts w:ascii="宋体" w:hAnsi="宋体"/>
                <w:color w:val="000000"/>
                <w:kern w:val="0"/>
                <w:sz w:val="16"/>
              </w:rPr>
              <w:t>万元、生产开发及配套设施建设</w:t>
            </w:r>
            <w:r>
              <w:rPr>
                <w:color w:val="000000"/>
                <w:kern w:val="0"/>
                <w:sz w:val="16"/>
                <w:szCs w:val="16"/>
              </w:rPr>
              <w:t xml:space="preserve">  </w:t>
            </w:r>
            <w:r>
              <w:rPr>
                <w:rFonts w:ascii="宋体" w:hAnsi="宋体"/>
                <w:color w:val="000000"/>
                <w:kern w:val="0"/>
                <w:sz w:val="16"/>
              </w:rPr>
              <w:t>万元、移民劳动力培训</w:t>
            </w:r>
            <w:r>
              <w:rPr>
                <w:color w:val="000000"/>
                <w:kern w:val="0"/>
                <w:sz w:val="16"/>
                <w:szCs w:val="16"/>
              </w:rPr>
              <w:t xml:space="preserve">  </w:t>
            </w:r>
            <w:r>
              <w:rPr>
                <w:rFonts w:ascii="宋体" w:hAnsi="宋体"/>
                <w:color w:val="000000"/>
                <w:kern w:val="0"/>
                <w:sz w:val="16"/>
              </w:rPr>
              <w:t>万元、监督检查 万元、其他 万元</w:t>
            </w:r>
            <w:r>
              <w:rPr>
                <w:color w:val="000000"/>
                <w:kern w:val="0"/>
                <w:sz w:val="16"/>
                <w:szCs w:val="16"/>
              </w:rPr>
              <w:t>……</w:t>
            </w:r>
            <w:r>
              <w:rPr>
                <w:rFonts w:ascii="宋体" w:hAnsi="宋体"/>
                <w:color w:val="000000"/>
                <w:kern w:val="0"/>
                <w:sz w:val="16"/>
              </w:rPr>
              <w:t>）</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14EA9">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地方资金</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821F8">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万元（其中用于直补资金发放</w:t>
            </w:r>
            <w:r>
              <w:rPr>
                <w:color w:val="000000"/>
                <w:kern w:val="0"/>
                <w:sz w:val="16"/>
                <w:szCs w:val="16"/>
              </w:rPr>
              <w:t xml:space="preserve">    </w:t>
            </w:r>
            <w:r>
              <w:rPr>
                <w:rFonts w:ascii="宋体" w:hAnsi="宋体"/>
                <w:color w:val="000000"/>
                <w:kern w:val="0"/>
                <w:sz w:val="16"/>
              </w:rPr>
              <w:t>万元、避险解困</w:t>
            </w:r>
            <w:r>
              <w:rPr>
                <w:color w:val="000000"/>
                <w:kern w:val="0"/>
                <w:sz w:val="16"/>
                <w:szCs w:val="16"/>
              </w:rPr>
              <w:t xml:space="preserve">    </w:t>
            </w:r>
            <w:r>
              <w:rPr>
                <w:rFonts w:ascii="宋体" w:hAnsi="宋体"/>
                <w:color w:val="000000"/>
                <w:kern w:val="0"/>
                <w:sz w:val="16"/>
              </w:rPr>
              <w:t>万元、美丽家园建设</w:t>
            </w:r>
            <w:r>
              <w:rPr>
                <w:color w:val="000000"/>
                <w:kern w:val="0"/>
                <w:sz w:val="16"/>
                <w:szCs w:val="16"/>
              </w:rPr>
              <w:t xml:space="preserve">    </w:t>
            </w:r>
            <w:r>
              <w:rPr>
                <w:rFonts w:ascii="宋体" w:hAnsi="宋体"/>
                <w:color w:val="000000"/>
                <w:kern w:val="0"/>
                <w:sz w:val="16"/>
              </w:rPr>
              <w:t>万元、生产开发及配套设施建设</w:t>
            </w:r>
            <w:r>
              <w:rPr>
                <w:color w:val="000000"/>
                <w:kern w:val="0"/>
                <w:sz w:val="16"/>
                <w:szCs w:val="16"/>
              </w:rPr>
              <w:t xml:space="preserve">    </w:t>
            </w:r>
            <w:r>
              <w:rPr>
                <w:rFonts w:ascii="宋体" w:hAnsi="宋体"/>
                <w:color w:val="000000"/>
                <w:kern w:val="0"/>
                <w:sz w:val="16"/>
              </w:rPr>
              <w:t>万元、移民劳动力培训</w:t>
            </w:r>
            <w:r>
              <w:rPr>
                <w:color w:val="000000"/>
                <w:kern w:val="0"/>
                <w:sz w:val="16"/>
                <w:szCs w:val="16"/>
              </w:rPr>
              <w:t xml:space="preserve">    </w:t>
            </w:r>
            <w:r>
              <w:rPr>
                <w:rFonts w:ascii="宋体" w:hAnsi="宋体"/>
                <w:color w:val="000000"/>
                <w:kern w:val="0"/>
                <w:sz w:val="16"/>
              </w:rPr>
              <w:t>万元、监督检查 万元、其他 万元</w:t>
            </w:r>
            <w:r>
              <w:rPr>
                <w:color w:val="000000"/>
                <w:kern w:val="0"/>
                <w:sz w:val="16"/>
                <w:szCs w:val="16"/>
              </w:rPr>
              <w:t>……</w:t>
            </w:r>
            <w:r>
              <w:rPr>
                <w:rFonts w:ascii="宋体" w:hAnsi="宋体"/>
                <w:color w:val="000000"/>
                <w:kern w:val="0"/>
                <w:sz w:val="16"/>
              </w:rPr>
              <w:t>）</w:t>
            </w:r>
          </w:p>
        </w:tc>
      </w:tr>
      <w:tr w14:paraId="0A42CC67">
        <w:tblPrEx>
          <w:tblCellMar>
            <w:top w:w="0" w:type="dxa"/>
            <w:left w:w="108" w:type="dxa"/>
            <w:bottom w:w="0" w:type="dxa"/>
            <w:right w:w="108" w:type="dxa"/>
          </w:tblCellMar>
        </w:tblPrEx>
        <w:trPr>
          <w:trHeight w:val="780" w:hRule="atLeast"/>
          <w:jc w:val="center"/>
        </w:trPr>
        <w:tc>
          <w:tcPr>
            <w:tcW w:w="5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0E4475">
            <w:pPr>
              <w:widowControl/>
              <w:jc w:val="left"/>
              <w:rPr>
                <w:color w:val="000000"/>
                <w:kern w:val="0"/>
                <w:sz w:val="16"/>
                <w:szCs w:val="16"/>
              </w:rPr>
            </w:pPr>
          </w:p>
        </w:tc>
        <w:tc>
          <w:tcPr>
            <w:tcW w:w="877"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6DC0A73">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其他资金</w:t>
            </w:r>
          </w:p>
        </w:tc>
        <w:tc>
          <w:tcPr>
            <w:tcW w:w="29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273A0">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万元（其中用于直补资金发放</w:t>
            </w:r>
            <w:r>
              <w:rPr>
                <w:color w:val="000000"/>
                <w:kern w:val="0"/>
                <w:sz w:val="16"/>
                <w:szCs w:val="16"/>
              </w:rPr>
              <w:t xml:space="preserve">  </w:t>
            </w:r>
            <w:r>
              <w:rPr>
                <w:rFonts w:ascii="宋体" w:hAnsi="宋体"/>
                <w:color w:val="000000"/>
                <w:kern w:val="0"/>
                <w:sz w:val="16"/>
              </w:rPr>
              <w:t>万元、避险解困</w:t>
            </w:r>
            <w:r>
              <w:rPr>
                <w:color w:val="000000"/>
                <w:kern w:val="0"/>
                <w:sz w:val="16"/>
                <w:szCs w:val="16"/>
              </w:rPr>
              <w:t xml:space="preserve">  </w:t>
            </w:r>
            <w:r>
              <w:rPr>
                <w:rFonts w:ascii="宋体" w:hAnsi="宋体"/>
                <w:color w:val="000000"/>
                <w:kern w:val="0"/>
                <w:sz w:val="16"/>
              </w:rPr>
              <w:t>万元、美丽家园建设</w:t>
            </w:r>
            <w:r>
              <w:rPr>
                <w:color w:val="000000"/>
                <w:kern w:val="0"/>
                <w:sz w:val="16"/>
                <w:szCs w:val="16"/>
              </w:rPr>
              <w:t xml:space="preserve">  </w:t>
            </w:r>
            <w:r>
              <w:rPr>
                <w:rFonts w:ascii="宋体" w:hAnsi="宋体"/>
                <w:color w:val="000000"/>
                <w:kern w:val="0"/>
                <w:sz w:val="16"/>
              </w:rPr>
              <w:t>万元、生产开发及配套设施建设</w:t>
            </w:r>
            <w:r>
              <w:rPr>
                <w:color w:val="000000"/>
                <w:kern w:val="0"/>
                <w:sz w:val="16"/>
                <w:szCs w:val="16"/>
              </w:rPr>
              <w:t xml:space="preserve">  </w:t>
            </w:r>
            <w:r>
              <w:rPr>
                <w:rFonts w:ascii="宋体" w:hAnsi="宋体"/>
                <w:color w:val="000000"/>
                <w:kern w:val="0"/>
                <w:sz w:val="16"/>
              </w:rPr>
              <w:t>万元、移民劳动力培训</w:t>
            </w:r>
            <w:r>
              <w:rPr>
                <w:color w:val="000000"/>
                <w:kern w:val="0"/>
                <w:sz w:val="16"/>
                <w:szCs w:val="16"/>
              </w:rPr>
              <w:t xml:space="preserve">  </w:t>
            </w:r>
            <w:r>
              <w:rPr>
                <w:rFonts w:ascii="宋体" w:hAnsi="宋体"/>
                <w:color w:val="000000"/>
                <w:kern w:val="0"/>
                <w:sz w:val="16"/>
              </w:rPr>
              <w:t>万元、监督检查 万元、其他 万元</w:t>
            </w:r>
            <w:r>
              <w:rPr>
                <w:color w:val="000000"/>
                <w:kern w:val="0"/>
                <w:sz w:val="16"/>
                <w:szCs w:val="16"/>
              </w:rPr>
              <w:t>……</w:t>
            </w:r>
            <w:r>
              <w:rPr>
                <w:rFonts w:ascii="宋体" w:hAnsi="宋体"/>
                <w:color w:val="000000"/>
                <w:kern w:val="0"/>
                <w:sz w:val="16"/>
              </w:rPr>
              <w:t>）</w:t>
            </w:r>
          </w:p>
        </w:tc>
        <w:tc>
          <w:tcPr>
            <w:tcW w:w="11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5703F">
            <w:pPr>
              <w:widowControl/>
              <w:jc w:val="center"/>
              <w:rPr>
                <w:color w:val="000000"/>
                <w:kern w:val="0"/>
                <w:sz w:val="16"/>
                <w:szCs w:val="16"/>
              </w:rPr>
            </w:pPr>
            <w:r>
              <w:rPr>
                <w:color w:val="000000"/>
                <w:kern w:val="0"/>
                <w:sz w:val="16"/>
                <w:szCs w:val="16"/>
              </w:rPr>
              <w:t xml:space="preserve">             </w:t>
            </w:r>
            <w:r>
              <w:rPr>
                <w:rFonts w:ascii="宋体" w:hAnsi="宋体"/>
                <w:color w:val="000000"/>
                <w:kern w:val="0"/>
                <w:sz w:val="16"/>
              </w:rPr>
              <w:t>其他资金</w:t>
            </w:r>
          </w:p>
        </w:tc>
        <w:tc>
          <w:tcPr>
            <w:tcW w:w="470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93BF1">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万元（其中用于直补资金发放</w:t>
            </w:r>
            <w:r>
              <w:rPr>
                <w:color w:val="000000"/>
                <w:kern w:val="0"/>
                <w:sz w:val="16"/>
                <w:szCs w:val="16"/>
              </w:rPr>
              <w:t xml:space="preserve">    </w:t>
            </w:r>
            <w:r>
              <w:rPr>
                <w:rFonts w:ascii="宋体" w:hAnsi="宋体"/>
                <w:color w:val="000000"/>
                <w:kern w:val="0"/>
                <w:sz w:val="16"/>
              </w:rPr>
              <w:t>万元、避险解困</w:t>
            </w:r>
            <w:r>
              <w:rPr>
                <w:color w:val="000000"/>
                <w:kern w:val="0"/>
                <w:sz w:val="16"/>
                <w:szCs w:val="16"/>
              </w:rPr>
              <w:t xml:space="preserve">    </w:t>
            </w:r>
            <w:r>
              <w:rPr>
                <w:rFonts w:ascii="宋体" w:hAnsi="宋体"/>
                <w:color w:val="000000"/>
                <w:kern w:val="0"/>
                <w:sz w:val="16"/>
              </w:rPr>
              <w:t>万元、美丽家园建设</w:t>
            </w:r>
            <w:r>
              <w:rPr>
                <w:color w:val="000000"/>
                <w:kern w:val="0"/>
                <w:sz w:val="16"/>
                <w:szCs w:val="16"/>
              </w:rPr>
              <w:t xml:space="preserve">    </w:t>
            </w:r>
            <w:r>
              <w:rPr>
                <w:rFonts w:ascii="宋体" w:hAnsi="宋体"/>
                <w:color w:val="000000"/>
                <w:kern w:val="0"/>
                <w:sz w:val="16"/>
              </w:rPr>
              <w:t>万元、生产开发及配套设施建设</w:t>
            </w:r>
            <w:r>
              <w:rPr>
                <w:color w:val="000000"/>
                <w:kern w:val="0"/>
                <w:sz w:val="16"/>
                <w:szCs w:val="16"/>
              </w:rPr>
              <w:t xml:space="preserve">    </w:t>
            </w:r>
            <w:r>
              <w:rPr>
                <w:rFonts w:ascii="宋体" w:hAnsi="宋体"/>
                <w:color w:val="000000"/>
                <w:kern w:val="0"/>
                <w:sz w:val="16"/>
              </w:rPr>
              <w:t>万元、移民劳动力培训</w:t>
            </w:r>
            <w:r>
              <w:rPr>
                <w:color w:val="000000"/>
                <w:kern w:val="0"/>
                <w:sz w:val="16"/>
                <w:szCs w:val="16"/>
              </w:rPr>
              <w:t xml:space="preserve">    </w:t>
            </w:r>
            <w:r>
              <w:rPr>
                <w:rFonts w:ascii="宋体" w:hAnsi="宋体"/>
                <w:color w:val="000000"/>
                <w:kern w:val="0"/>
                <w:sz w:val="16"/>
              </w:rPr>
              <w:t>万元、监督检查 万元、其他 万元</w:t>
            </w:r>
            <w:r>
              <w:rPr>
                <w:color w:val="000000"/>
                <w:kern w:val="0"/>
                <w:sz w:val="16"/>
                <w:szCs w:val="16"/>
              </w:rPr>
              <w:t>……</w:t>
            </w:r>
            <w:r>
              <w:rPr>
                <w:rFonts w:ascii="宋体" w:hAnsi="宋体"/>
                <w:color w:val="000000"/>
                <w:kern w:val="0"/>
                <w:sz w:val="16"/>
              </w:rPr>
              <w:t>）</w:t>
            </w:r>
          </w:p>
        </w:tc>
      </w:tr>
      <w:tr w14:paraId="7496B35B">
        <w:tblPrEx>
          <w:tblCellMar>
            <w:top w:w="0" w:type="dxa"/>
            <w:left w:w="108" w:type="dxa"/>
            <w:bottom w:w="0" w:type="dxa"/>
            <w:right w:w="108" w:type="dxa"/>
          </w:tblCellMar>
        </w:tblPrEx>
        <w:trPr>
          <w:trHeight w:val="780" w:hRule="atLeast"/>
          <w:jc w:val="center"/>
        </w:trPr>
        <w:tc>
          <w:tcPr>
            <w:tcW w:w="54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BEDFF2">
            <w:pPr>
              <w:widowControl/>
              <w:jc w:val="center"/>
              <w:rPr>
                <w:color w:val="000000"/>
                <w:kern w:val="0"/>
                <w:sz w:val="16"/>
                <w:szCs w:val="16"/>
              </w:rPr>
            </w:pPr>
            <w:r>
              <w:rPr>
                <w:rFonts w:ascii="宋体" w:hAnsi="宋体"/>
                <w:color w:val="000000"/>
                <w:kern w:val="0"/>
                <w:sz w:val="16"/>
              </w:rPr>
              <w:t>年度目标完成情况</w:t>
            </w:r>
          </w:p>
        </w:tc>
        <w:tc>
          <w:tcPr>
            <w:tcW w:w="379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14:paraId="3168C5B2">
            <w:pPr>
              <w:widowControl/>
              <w:jc w:val="center"/>
              <w:rPr>
                <w:color w:val="000000"/>
                <w:kern w:val="0"/>
                <w:sz w:val="16"/>
                <w:szCs w:val="16"/>
              </w:rPr>
            </w:pPr>
            <w:r>
              <w:rPr>
                <w:rFonts w:ascii="宋体" w:hAnsi="宋体"/>
                <w:color w:val="000000"/>
                <w:kern w:val="0"/>
                <w:sz w:val="16"/>
              </w:rPr>
              <w:t>预期目标</w:t>
            </w:r>
          </w:p>
        </w:tc>
        <w:tc>
          <w:tcPr>
            <w:tcW w:w="581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F423CB0">
            <w:pPr>
              <w:widowControl/>
              <w:jc w:val="center"/>
              <w:rPr>
                <w:color w:val="000000"/>
                <w:kern w:val="0"/>
                <w:sz w:val="16"/>
                <w:szCs w:val="16"/>
              </w:rPr>
            </w:pPr>
            <w:r>
              <w:rPr>
                <w:rFonts w:ascii="宋体" w:hAnsi="宋体"/>
                <w:color w:val="000000"/>
                <w:kern w:val="0"/>
                <w:sz w:val="16"/>
              </w:rPr>
              <w:t>目标实际完成情况</w:t>
            </w:r>
          </w:p>
        </w:tc>
      </w:tr>
      <w:tr w14:paraId="0597C0DD">
        <w:tblPrEx>
          <w:tblCellMar>
            <w:top w:w="0" w:type="dxa"/>
            <w:left w:w="108" w:type="dxa"/>
            <w:bottom w:w="0" w:type="dxa"/>
            <w:right w:w="108" w:type="dxa"/>
          </w:tblCellMar>
        </w:tblPrEx>
        <w:trPr>
          <w:trHeight w:val="780" w:hRule="atLeast"/>
          <w:jc w:val="center"/>
        </w:trPr>
        <w:tc>
          <w:tcPr>
            <w:tcW w:w="54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08DD03">
            <w:pPr>
              <w:widowControl/>
              <w:jc w:val="left"/>
              <w:rPr>
                <w:color w:val="000000"/>
                <w:kern w:val="0"/>
                <w:sz w:val="16"/>
                <w:szCs w:val="16"/>
              </w:rPr>
            </w:pPr>
          </w:p>
        </w:tc>
        <w:tc>
          <w:tcPr>
            <w:tcW w:w="3798" w:type="dxa"/>
            <w:gridSpan w:val="3"/>
            <w:tcBorders>
              <w:top w:val="single" w:color="000000" w:sz="4" w:space="0"/>
              <w:left w:val="single" w:color="000000" w:sz="4" w:space="0"/>
              <w:bottom w:val="single" w:color="000000" w:sz="4" w:space="0"/>
              <w:right w:val="single" w:color="000000" w:sz="4" w:space="0"/>
            </w:tcBorders>
            <w:shd w:val="clear" w:color="auto" w:fill="auto"/>
          </w:tcPr>
          <w:p w14:paraId="23E28460">
            <w:pPr>
              <w:widowControl/>
              <w:jc w:val="left"/>
              <w:rPr>
                <w:rFonts w:hint="eastAsia" w:eastAsia="宋体"/>
                <w:color w:val="000000"/>
                <w:kern w:val="0"/>
                <w:sz w:val="16"/>
                <w:szCs w:val="16"/>
                <w:lang w:eastAsia="zh-CN"/>
              </w:rPr>
            </w:pPr>
          </w:p>
          <w:p w14:paraId="313F9AF3">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1</w:t>
            </w:r>
            <w:r>
              <w:rPr>
                <w:rFonts w:ascii="宋体" w:hAnsi="宋体"/>
                <w:color w:val="000000"/>
                <w:kern w:val="0"/>
                <w:sz w:val="16"/>
              </w:rPr>
              <w:t>：完成14791人直发直补，使用资金887.46万元，有效促进移民库区的稳定发展。</w:t>
            </w:r>
          </w:p>
          <w:p w14:paraId="3341F4B7">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2</w:t>
            </w:r>
            <w:r>
              <w:rPr>
                <w:rFonts w:ascii="宋体" w:hAnsi="宋体"/>
                <w:color w:val="000000"/>
                <w:kern w:val="0"/>
                <w:sz w:val="16"/>
              </w:rPr>
              <w:t>：完成美丽家园建设项目12个，使用资金263.36万元，解决移民生活条件提供移民生活水平；生产开发及配套设施建设项目69个，使用资金1524.8万元，有效提升移民生产生活条件，提高巩固移民经济收入。</w:t>
            </w:r>
          </w:p>
          <w:p w14:paraId="2427173C">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3</w:t>
            </w:r>
            <w:r>
              <w:rPr>
                <w:rFonts w:ascii="宋体" w:hAnsi="宋体"/>
                <w:color w:val="000000"/>
                <w:kern w:val="0"/>
                <w:sz w:val="16"/>
              </w:rPr>
              <w:t>：完成移民劳动力培训890人次，带动移民就业360人，有效解决移民缺技术的问题，促进了移民在乡创业干事激情；监督检查全覆盖项目29个，保证移民后扶项目的进度和质量。</w:t>
            </w:r>
          </w:p>
          <w:p w14:paraId="2A4CFE12">
            <w:pPr>
              <w:widowControl/>
              <w:jc w:val="left"/>
              <w:rPr>
                <w:color w:val="000000"/>
                <w:kern w:val="0"/>
                <w:sz w:val="16"/>
                <w:szCs w:val="16"/>
              </w:rPr>
            </w:pPr>
            <w:r>
              <w:rPr>
                <w:color w:val="000000"/>
                <w:kern w:val="0"/>
                <w:sz w:val="16"/>
                <w:szCs w:val="16"/>
              </w:rPr>
              <w:t>……</w:t>
            </w:r>
          </w:p>
        </w:tc>
        <w:tc>
          <w:tcPr>
            <w:tcW w:w="5813" w:type="dxa"/>
            <w:gridSpan w:val="2"/>
            <w:tcBorders>
              <w:top w:val="single" w:color="000000" w:sz="4" w:space="0"/>
              <w:left w:val="single" w:color="000000" w:sz="4" w:space="0"/>
              <w:bottom w:val="single" w:color="000000" w:sz="4" w:space="0"/>
              <w:right w:val="single" w:color="000000" w:sz="4" w:space="0"/>
            </w:tcBorders>
            <w:shd w:val="clear" w:color="auto" w:fill="auto"/>
          </w:tcPr>
          <w:p w14:paraId="7732230A">
            <w:pPr>
              <w:widowControl/>
              <w:jc w:val="left"/>
              <w:rPr>
                <w:rFonts w:hint="eastAsia" w:eastAsia="宋体"/>
                <w:color w:val="000000"/>
                <w:kern w:val="0"/>
                <w:sz w:val="16"/>
                <w:szCs w:val="16"/>
                <w:lang w:eastAsia="zh-CN"/>
              </w:rPr>
            </w:pPr>
          </w:p>
          <w:p w14:paraId="51E307F6">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1</w:t>
            </w:r>
            <w:r>
              <w:rPr>
                <w:rFonts w:ascii="宋体" w:hAnsi="宋体"/>
                <w:color w:val="000000"/>
                <w:kern w:val="0"/>
                <w:sz w:val="16"/>
              </w:rPr>
              <w:t>：完成</w:t>
            </w:r>
            <w:r>
              <w:rPr>
                <w:color w:val="000000"/>
                <w:kern w:val="0"/>
                <w:sz w:val="16"/>
                <w:szCs w:val="16"/>
              </w:rPr>
              <w:t>13782</w:t>
            </w:r>
            <w:r>
              <w:rPr>
                <w:rFonts w:ascii="宋体" w:hAnsi="宋体"/>
                <w:color w:val="000000"/>
                <w:kern w:val="0"/>
                <w:sz w:val="16"/>
              </w:rPr>
              <w:t>人直发直补，使用资金</w:t>
            </w:r>
            <w:r>
              <w:rPr>
                <w:color w:val="000000"/>
                <w:kern w:val="0"/>
                <w:sz w:val="16"/>
                <w:szCs w:val="16"/>
              </w:rPr>
              <w:t>816.87</w:t>
            </w:r>
            <w:r>
              <w:rPr>
                <w:rFonts w:ascii="宋体" w:hAnsi="宋体"/>
                <w:color w:val="000000"/>
                <w:kern w:val="0"/>
                <w:sz w:val="16"/>
              </w:rPr>
              <w:t>万元，有效促进移民库区的稳定发展。</w:t>
            </w:r>
          </w:p>
          <w:p w14:paraId="6CE92241">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2</w:t>
            </w:r>
            <w:r>
              <w:rPr>
                <w:rFonts w:ascii="宋体" w:hAnsi="宋体"/>
                <w:color w:val="000000"/>
                <w:kern w:val="0"/>
                <w:sz w:val="16"/>
              </w:rPr>
              <w:t>：完成美丽家园建设项目</w:t>
            </w:r>
            <w:r>
              <w:rPr>
                <w:color w:val="000000"/>
                <w:kern w:val="0"/>
                <w:sz w:val="16"/>
                <w:szCs w:val="16"/>
              </w:rPr>
              <w:t>12</w:t>
            </w:r>
            <w:r>
              <w:rPr>
                <w:rFonts w:ascii="宋体" w:hAnsi="宋体"/>
                <w:color w:val="000000"/>
                <w:kern w:val="0"/>
                <w:sz w:val="16"/>
              </w:rPr>
              <w:t>个，使用资金</w:t>
            </w:r>
            <w:r>
              <w:rPr>
                <w:color w:val="000000"/>
                <w:kern w:val="0"/>
                <w:sz w:val="16"/>
                <w:szCs w:val="16"/>
              </w:rPr>
              <w:t>263.36</w:t>
            </w:r>
            <w:r>
              <w:rPr>
                <w:rFonts w:ascii="宋体" w:hAnsi="宋体"/>
                <w:color w:val="000000"/>
                <w:kern w:val="0"/>
                <w:sz w:val="16"/>
              </w:rPr>
              <w:t>万元，解决移民生活条件提供移民生活水平；生产开发及配套设施建设项目</w:t>
            </w:r>
            <w:r>
              <w:rPr>
                <w:color w:val="000000"/>
                <w:kern w:val="0"/>
                <w:sz w:val="16"/>
                <w:szCs w:val="16"/>
              </w:rPr>
              <w:t>69</w:t>
            </w:r>
            <w:r>
              <w:rPr>
                <w:rFonts w:ascii="宋体" w:hAnsi="宋体"/>
                <w:color w:val="000000"/>
                <w:kern w:val="0"/>
                <w:sz w:val="16"/>
              </w:rPr>
              <w:t>个，使用资金</w:t>
            </w:r>
            <w:r>
              <w:rPr>
                <w:color w:val="000000"/>
                <w:kern w:val="0"/>
                <w:sz w:val="16"/>
                <w:szCs w:val="16"/>
              </w:rPr>
              <w:t>1524.8</w:t>
            </w:r>
            <w:r>
              <w:rPr>
                <w:rFonts w:ascii="宋体" w:hAnsi="宋体"/>
                <w:color w:val="000000"/>
                <w:kern w:val="0"/>
                <w:sz w:val="16"/>
              </w:rPr>
              <w:t>万元，有效提升移民生产生活条件，提高巩固移民经济收入。</w:t>
            </w:r>
          </w:p>
          <w:p w14:paraId="3E471536">
            <w:pPr>
              <w:widowControl/>
              <w:jc w:val="left"/>
              <w:rPr>
                <w:rFonts w:hint="eastAsia" w:ascii="宋体" w:hAnsi="宋体" w:eastAsia="宋体"/>
                <w:color w:val="000000"/>
                <w:kern w:val="0"/>
                <w:sz w:val="16"/>
                <w:lang w:eastAsia="zh-CN"/>
              </w:rPr>
            </w:pPr>
            <w:r>
              <w:rPr>
                <w:color w:val="000000"/>
                <w:kern w:val="0"/>
                <w:sz w:val="16"/>
                <w:szCs w:val="16"/>
              </w:rPr>
              <w:t xml:space="preserve"> </w:t>
            </w:r>
            <w:r>
              <w:rPr>
                <w:rFonts w:ascii="宋体" w:hAnsi="宋体"/>
                <w:color w:val="000000"/>
                <w:kern w:val="0"/>
                <w:sz w:val="16"/>
              </w:rPr>
              <w:t>目标</w:t>
            </w:r>
            <w:r>
              <w:rPr>
                <w:color w:val="000000"/>
                <w:kern w:val="0"/>
                <w:sz w:val="16"/>
                <w:szCs w:val="16"/>
              </w:rPr>
              <w:t>3</w:t>
            </w:r>
            <w:r>
              <w:rPr>
                <w:rFonts w:ascii="宋体" w:hAnsi="宋体"/>
                <w:color w:val="000000"/>
                <w:kern w:val="0"/>
                <w:sz w:val="16"/>
              </w:rPr>
              <w:t>：完成移民劳动力培训</w:t>
            </w:r>
            <w:r>
              <w:rPr>
                <w:color w:val="000000"/>
                <w:kern w:val="0"/>
                <w:sz w:val="16"/>
                <w:szCs w:val="16"/>
              </w:rPr>
              <w:t>890</w:t>
            </w:r>
            <w:r>
              <w:rPr>
                <w:rFonts w:ascii="宋体" w:hAnsi="宋体"/>
                <w:color w:val="000000"/>
                <w:kern w:val="0"/>
                <w:sz w:val="16"/>
              </w:rPr>
              <w:t>人次，带动移民就业</w:t>
            </w:r>
            <w:r>
              <w:rPr>
                <w:color w:val="000000"/>
                <w:kern w:val="0"/>
                <w:sz w:val="16"/>
                <w:szCs w:val="16"/>
              </w:rPr>
              <w:t>360</w:t>
            </w:r>
            <w:r>
              <w:rPr>
                <w:rFonts w:ascii="宋体" w:hAnsi="宋体"/>
                <w:color w:val="000000"/>
                <w:kern w:val="0"/>
                <w:sz w:val="16"/>
              </w:rPr>
              <w:t>人，有效解决移民缺技术的问题，促进了移民在乡创业干事激情；监督检查全覆盖项目</w:t>
            </w:r>
            <w:r>
              <w:rPr>
                <w:color w:val="000000"/>
                <w:kern w:val="0"/>
                <w:sz w:val="16"/>
                <w:szCs w:val="16"/>
              </w:rPr>
              <w:t>29</w:t>
            </w:r>
            <w:r>
              <w:rPr>
                <w:rFonts w:ascii="宋体" w:hAnsi="宋体"/>
                <w:color w:val="000000"/>
                <w:kern w:val="0"/>
                <w:sz w:val="16"/>
              </w:rPr>
              <w:t>个，保证了移民后扶项目的进度和质量。</w:t>
            </w:r>
          </w:p>
          <w:p w14:paraId="22C1A109">
            <w:pPr>
              <w:widowControl/>
              <w:jc w:val="left"/>
              <w:rPr>
                <w:color w:val="000000"/>
                <w:kern w:val="0"/>
                <w:sz w:val="16"/>
                <w:szCs w:val="16"/>
              </w:rPr>
            </w:pPr>
            <w:r>
              <w:rPr>
                <w:color w:val="000000"/>
                <w:kern w:val="0"/>
                <w:sz w:val="16"/>
                <w:szCs w:val="16"/>
              </w:rPr>
              <w:t>……</w:t>
            </w:r>
          </w:p>
        </w:tc>
      </w:tr>
    </w:tbl>
    <w:p w14:paraId="086BB669">
      <w:pPr>
        <w:spacing w:line="20" w:lineRule="exact"/>
      </w:pPr>
    </w:p>
    <w:tbl>
      <w:tblPr>
        <w:tblStyle w:val="16"/>
        <w:tblW w:w="10262" w:type="dxa"/>
        <w:jc w:val="center"/>
        <w:tblLayout w:type="autofit"/>
        <w:tblCellMar>
          <w:top w:w="0" w:type="dxa"/>
          <w:left w:w="108" w:type="dxa"/>
          <w:bottom w:w="0" w:type="dxa"/>
          <w:right w:w="108" w:type="dxa"/>
        </w:tblCellMar>
      </w:tblPr>
      <w:tblGrid>
        <w:gridCol w:w="537"/>
        <w:gridCol w:w="407"/>
        <w:gridCol w:w="456"/>
        <w:gridCol w:w="407"/>
        <w:gridCol w:w="456"/>
        <w:gridCol w:w="1075"/>
        <w:gridCol w:w="536"/>
        <w:gridCol w:w="670"/>
        <w:gridCol w:w="670"/>
        <w:gridCol w:w="422"/>
        <w:gridCol w:w="2189"/>
        <w:gridCol w:w="2437"/>
      </w:tblGrid>
      <w:tr w14:paraId="410E64E5">
        <w:trPr>
          <w:trHeight w:val="567" w:hRule="atLeast"/>
          <w:tblHeader/>
          <w:jc w:val="center"/>
        </w:trPr>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E9B0C">
            <w:pPr>
              <w:widowControl/>
              <w:ind w:left="-105" w:leftChars="-50" w:right="-105" w:rightChars="-50"/>
              <w:jc w:val="center"/>
              <w:rPr>
                <w:color w:val="000000"/>
                <w:kern w:val="0"/>
                <w:sz w:val="16"/>
                <w:szCs w:val="16"/>
              </w:rPr>
            </w:pPr>
            <w:r>
              <w:rPr>
                <w:rFonts w:ascii="宋体" w:hAnsi="宋体"/>
                <w:color w:val="000000"/>
                <w:kern w:val="0"/>
                <w:sz w:val="16"/>
              </w:rPr>
              <w:t>绩效指标完成情况</w:t>
            </w:r>
          </w:p>
        </w:tc>
        <w:tc>
          <w:tcPr>
            <w:tcW w:w="4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8AF1F">
            <w:pPr>
              <w:widowControl/>
              <w:ind w:left="-105" w:leftChars="-50" w:right="-105" w:rightChars="-50"/>
              <w:jc w:val="center"/>
              <w:rPr>
                <w:rFonts w:ascii="宋体" w:hAnsi="宋体"/>
                <w:color w:val="000000"/>
                <w:kern w:val="0"/>
                <w:sz w:val="16"/>
              </w:rPr>
            </w:pPr>
            <w:r>
              <w:rPr>
                <w:rFonts w:ascii="宋体" w:hAnsi="宋体"/>
                <w:color w:val="000000"/>
                <w:kern w:val="0"/>
                <w:sz w:val="16"/>
              </w:rPr>
              <w:t>一级</w:t>
            </w:r>
          </w:p>
          <w:p w14:paraId="7BEC16B8">
            <w:pPr>
              <w:widowControl/>
              <w:ind w:left="-105" w:leftChars="-50" w:right="-105" w:rightChars="-50"/>
              <w:jc w:val="center"/>
              <w:rPr>
                <w:color w:val="000000"/>
                <w:kern w:val="0"/>
                <w:sz w:val="16"/>
                <w:szCs w:val="16"/>
              </w:rPr>
            </w:pPr>
            <w:r>
              <w:rPr>
                <w:rFonts w:ascii="宋体" w:hAnsi="宋体"/>
                <w:color w:val="000000"/>
                <w:kern w:val="0"/>
                <w:sz w:val="16"/>
              </w:rPr>
              <w:t>指标</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D0F29">
            <w:pPr>
              <w:widowControl/>
              <w:ind w:left="-105" w:leftChars="-50" w:right="-105" w:rightChars="-50"/>
              <w:jc w:val="center"/>
              <w:rPr>
                <w:color w:val="000000"/>
                <w:kern w:val="0"/>
                <w:sz w:val="16"/>
                <w:szCs w:val="16"/>
              </w:rPr>
            </w:pPr>
            <w:r>
              <w:rPr>
                <w:rFonts w:ascii="宋体" w:hAnsi="宋体"/>
                <w:color w:val="000000"/>
                <w:kern w:val="0"/>
                <w:sz w:val="16"/>
              </w:rPr>
              <w:t>分值</w:t>
            </w:r>
          </w:p>
        </w:tc>
        <w:tc>
          <w:tcPr>
            <w:tcW w:w="4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C2F5E">
            <w:pPr>
              <w:widowControl/>
              <w:ind w:left="-105" w:leftChars="-50" w:right="-105" w:rightChars="-50"/>
              <w:jc w:val="center"/>
              <w:rPr>
                <w:rFonts w:ascii="宋体" w:hAnsi="宋体"/>
                <w:color w:val="000000"/>
                <w:kern w:val="0"/>
                <w:sz w:val="16"/>
              </w:rPr>
            </w:pPr>
            <w:r>
              <w:rPr>
                <w:rFonts w:ascii="宋体" w:hAnsi="宋体"/>
                <w:color w:val="000000"/>
                <w:kern w:val="0"/>
                <w:sz w:val="16"/>
              </w:rPr>
              <w:t>二级</w:t>
            </w:r>
          </w:p>
          <w:p w14:paraId="54D7EEB8">
            <w:pPr>
              <w:widowControl/>
              <w:ind w:left="-105" w:leftChars="-50" w:right="-105" w:rightChars="-50"/>
              <w:jc w:val="center"/>
              <w:rPr>
                <w:color w:val="000000"/>
                <w:kern w:val="0"/>
                <w:sz w:val="16"/>
                <w:szCs w:val="16"/>
              </w:rPr>
            </w:pPr>
            <w:r>
              <w:rPr>
                <w:rFonts w:ascii="宋体" w:hAnsi="宋体"/>
                <w:color w:val="000000"/>
                <w:kern w:val="0"/>
                <w:sz w:val="16"/>
              </w:rPr>
              <w:t>指标</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A8725">
            <w:pPr>
              <w:widowControl/>
              <w:ind w:left="-105" w:leftChars="-50" w:right="-105" w:rightChars="-50"/>
              <w:jc w:val="center"/>
              <w:rPr>
                <w:color w:val="000000"/>
                <w:kern w:val="0"/>
                <w:sz w:val="16"/>
                <w:szCs w:val="16"/>
              </w:rPr>
            </w:pPr>
            <w:r>
              <w:rPr>
                <w:rFonts w:ascii="宋体" w:hAnsi="宋体"/>
                <w:color w:val="000000"/>
                <w:kern w:val="0"/>
                <w:sz w:val="16"/>
              </w:rPr>
              <w:t>分值</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B31ED">
            <w:pPr>
              <w:widowControl/>
              <w:ind w:left="-105" w:leftChars="-50" w:right="-105" w:rightChars="-50"/>
              <w:jc w:val="center"/>
              <w:rPr>
                <w:color w:val="000000"/>
                <w:kern w:val="0"/>
                <w:sz w:val="16"/>
                <w:szCs w:val="16"/>
              </w:rPr>
            </w:pPr>
            <w:r>
              <w:rPr>
                <w:rFonts w:ascii="宋体" w:hAnsi="宋体"/>
                <w:color w:val="000000"/>
                <w:kern w:val="0"/>
                <w:sz w:val="16"/>
              </w:rPr>
              <w:t>三级指标</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AB4AB">
            <w:pPr>
              <w:widowControl/>
              <w:ind w:left="-105" w:leftChars="-50" w:right="-105" w:rightChars="-50"/>
              <w:jc w:val="center"/>
              <w:rPr>
                <w:color w:val="000000"/>
                <w:kern w:val="0"/>
                <w:sz w:val="16"/>
                <w:szCs w:val="16"/>
              </w:rPr>
            </w:pPr>
            <w:r>
              <w:rPr>
                <w:rFonts w:ascii="宋体" w:hAnsi="宋体"/>
                <w:color w:val="000000"/>
                <w:kern w:val="0"/>
                <w:sz w:val="16"/>
              </w:rPr>
              <w:t>分值</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301A6">
            <w:pPr>
              <w:widowControl/>
              <w:ind w:left="-105" w:leftChars="-50" w:right="-105" w:rightChars="-50"/>
              <w:jc w:val="center"/>
              <w:rPr>
                <w:rFonts w:ascii="宋体" w:hAnsi="宋体"/>
                <w:color w:val="000000"/>
                <w:kern w:val="0"/>
                <w:sz w:val="16"/>
              </w:rPr>
            </w:pPr>
            <w:r>
              <w:rPr>
                <w:rFonts w:ascii="宋体" w:hAnsi="宋体"/>
                <w:color w:val="000000"/>
                <w:kern w:val="0"/>
                <w:sz w:val="16"/>
              </w:rPr>
              <w:t>绩效</w:t>
            </w:r>
          </w:p>
          <w:p w14:paraId="58436923">
            <w:pPr>
              <w:widowControl/>
              <w:ind w:left="-105" w:leftChars="-50" w:right="-105" w:rightChars="-50"/>
              <w:jc w:val="center"/>
              <w:rPr>
                <w:color w:val="000000"/>
                <w:kern w:val="0"/>
                <w:sz w:val="16"/>
                <w:szCs w:val="16"/>
              </w:rPr>
            </w:pPr>
            <w:r>
              <w:rPr>
                <w:rFonts w:ascii="宋体" w:hAnsi="宋体"/>
                <w:color w:val="000000"/>
                <w:kern w:val="0"/>
                <w:sz w:val="16"/>
              </w:rPr>
              <w:t>目标</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B40C6">
            <w:pPr>
              <w:widowControl/>
              <w:ind w:left="-105" w:leftChars="-50" w:right="-105" w:rightChars="-50"/>
              <w:jc w:val="center"/>
              <w:rPr>
                <w:color w:val="000000"/>
                <w:kern w:val="0"/>
                <w:sz w:val="16"/>
                <w:szCs w:val="16"/>
              </w:rPr>
            </w:pPr>
            <w:r>
              <w:rPr>
                <w:rFonts w:ascii="宋体" w:hAnsi="宋体"/>
                <w:color w:val="000000"/>
                <w:kern w:val="0"/>
                <w:sz w:val="16"/>
              </w:rPr>
              <w:t>实际完成指标值</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51E96">
            <w:pPr>
              <w:widowControl/>
              <w:ind w:left="-105" w:leftChars="-50" w:right="-105" w:rightChars="-50"/>
              <w:jc w:val="center"/>
              <w:rPr>
                <w:color w:val="000000"/>
                <w:kern w:val="0"/>
                <w:sz w:val="16"/>
                <w:szCs w:val="16"/>
              </w:rPr>
            </w:pPr>
            <w:r>
              <w:rPr>
                <w:rFonts w:ascii="宋体" w:hAnsi="宋体"/>
                <w:color w:val="000000"/>
                <w:kern w:val="0"/>
                <w:sz w:val="16"/>
              </w:rPr>
              <w:t>得分</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5A5DA">
            <w:pPr>
              <w:widowControl/>
              <w:ind w:left="-105" w:leftChars="-50" w:right="-105" w:rightChars="-50"/>
              <w:jc w:val="center"/>
              <w:rPr>
                <w:color w:val="000000"/>
                <w:kern w:val="0"/>
                <w:sz w:val="16"/>
                <w:szCs w:val="16"/>
              </w:rPr>
            </w:pPr>
            <w:r>
              <w:rPr>
                <w:rFonts w:ascii="宋体" w:hAnsi="宋体"/>
                <w:color w:val="000000"/>
                <w:kern w:val="0"/>
                <w:sz w:val="16"/>
              </w:rPr>
              <w:t>指标解释</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FEDB73">
            <w:pPr>
              <w:widowControl/>
              <w:ind w:left="-105" w:leftChars="-50" w:right="-105" w:rightChars="-50"/>
              <w:jc w:val="center"/>
              <w:rPr>
                <w:color w:val="000000"/>
                <w:kern w:val="0"/>
                <w:sz w:val="16"/>
                <w:szCs w:val="16"/>
              </w:rPr>
            </w:pPr>
            <w:r>
              <w:rPr>
                <w:rFonts w:ascii="宋体" w:hAnsi="宋体"/>
                <w:color w:val="000000"/>
                <w:kern w:val="0"/>
                <w:sz w:val="16"/>
              </w:rPr>
              <w:t>评分标准</w:t>
            </w:r>
          </w:p>
        </w:tc>
      </w:tr>
      <w:tr w14:paraId="60355A09">
        <w:tblPrEx>
          <w:tblCellMar>
            <w:top w:w="0" w:type="dxa"/>
            <w:left w:w="108" w:type="dxa"/>
            <w:bottom w:w="0" w:type="dxa"/>
            <w:right w:w="108" w:type="dxa"/>
          </w:tblCellMar>
        </w:tblPrEx>
        <w:trPr>
          <w:trHeight w:val="794"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9849045">
            <w:pPr>
              <w:widowControl/>
              <w:jc w:val="center"/>
              <w:rPr>
                <w:color w:val="000000"/>
                <w:kern w:val="0"/>
                <w:sz w:val="16"/>
                <w:szCs w:val="16"/>
              </w:rPr>
            </w:pPr>
            <w:r>
              <w:rPr>
                <w:rFonts w:ascii="宋体" w:hAnsi="宋体"/>
                <w:color w:val="000000"/>
                <w:kern w:val="0"/>
                <w:sz w:val="16"/>
              </w:rPr>
              <w:t>管理工作</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D219E5">
            <w:pPr>
              <w:widowControl/>
              <w:jc w:val="center"/>
              <w:rPr>
                <w:color w:val="000000"/>
                <w:kern w:val="0"/>
                <w:sz w:val="16"/>
                <w:szCs w:val="16"/>
              </w:rPr>
            </w:pPr>
            <w:r>
              <w:rPr>
                <w:rFonts w:ascii="宋体" w:hAnsi="宋体"/>
                <w:color w:val="000000"/>
                <w:kern w:val="0"/>
                <w:sz w:val="16"/>
              </w:rPr>
              <w:t>项目决策</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3C9F2A3">
            <w:pPr>
              <w:widowControl/>
              <w:jc w:val="center"/>
              <w:rPr>
                <w:color w:val="000000"/>
                <w:kern w:val="0"/>
                <w:sz w:val="16"/>
                <w:szCs w:val="16"/>
              </w:rPr>
            </w:pPr>
            <w:r>
              <w:rPr>
                <w:color w:val="000000"/>
                <w:kern w:val="0"/>
                <w:sz w:val="16"/>
                <w:szCs w:val="16"/>
              </w:rPr>
              <w:t>6</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8D245B2">
            <w:pPr>
              <w:widowControl/>
              <w:jc w:val="center"/>
              <w:rPr>
                <w:color w:val="000000"/>
                <w:kern w:val="0"/>
                <w:sz w:val="16"/>
                <w:szCs w:val="16"/>
              </w:rPr>
            </w:pPr>
            <w:r>
              <w:rPr>
                <w:rFonts w:ascii="宋体" w:hAnsi="宋体"/>
                <w:color w:val="000000"/>
                <w:kern w:val="0"/>
                <w:sz w:val="16"/>
              </w:rPr>
              <w:t>资金分配</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76708A3">
            <w:pPr>
              <w:widowControl/>
              <w:jc w:val="center"/>
              <w:rPr>
                <w:color w:val="000000"/>
                <w:kern w:val="0"/>
                <w:sz w:val="16"/>
                <w:szCs w:val="16"/>
              </w:rPr>
            </w:pPr>
            <w:r>
              <w:rPr>
                <w:color w:val="000000"/>
                <w:kern w:val="0"/>
                <w:sz w:val="16"/>
                <w:szCs w:val="16"/>
              </w:rPr>
              <w:t>6</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FB85F">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：资金下达</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DDB51">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36D06">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1E7EE">
            <w:pPr>
              <w:widowControl/>
              <w:jc w:val="left"/>
              <w:rPr>
                <w:rFonts w:ascii="宋体" w:hAnsi="宋体" w:cs="宋体"/>
                <w:color w:val="000000"/>
                <w:kern w:val="0"/>
                <w:sz w:val="16"/>
                <w:szCs w:val="16"/>
              </w:rPr>
            </w:pPr>
            <w:r>
              <w:rPr>
                <w:rFonts w:hint="eastAsia" w:ascii="宋体" w:hAnsi="宋体" w:cs="宋体"/>
                <w:color w:val="000000"/>
                <w:kern w:val="0"/>
                <w:sz w:val="16"/>
                <w:szCs w:val="16"/>
              </w:rPr>
              <w:t>符合、及时</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4B903">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393E3">
            <w:pPr>
              <w:widowControl/>
              <w:jc w:val="left"/>
              <w:rPr>
                <w:color w:val="000000"/>
                <w:kern w:val="0"/>
                <w:sz w:val="16"/>
                <w:szCs w:val="16"/>
              </w:rPr>
            </w:pPr>
            <w:r>
              <w:rPr>
                <w:rFonts w:ascii="宋体" w:hAnsi="宋体"/>
                <w:color w:val="000000"/>
                <w:kern w:val="0"/>
                <w:sz w:val="16"/>
              </w:rPr>
              <w:t>资金分配是否符合相关要求，是否及时分解下达到位</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23EF8">
            <w:pPr>
              <w:widowControl/>
              <w:jc w:val="left"/>
              <w:rPr>
                <w:color w:val="000000"/>
                <w:kern w:val="0"/>
                <w:sz w:val="16"/>
                <w:szCs w:val="16"/>
              </w:rPr>
            </w:pPr>
            <w:r>
              <w:rPr>
                <w:rFonts w:ascii="宋体" w:hAnsi="宋体"/>
                <w:color w:val="000000"/>
                <w:kern w:val="0"/>
                <w:sz w:val="16"/>
              </w:rPr>
              <w:t>资金分配符合相关要求（</w:t>
            </w:r>
            <w:r>
              <w:rPr>
                <w:color w:val="000000"/>
                <w:kern w:val="0"/>
                <w:sz w:val="16"/>
                <w:szCs w:val="16"/>
              </w:rPr>
              <w:t>2</w:t>
            </w:r>
            <w:r>
              <w:rPr>
                <w:rFonts w:ascii="宋体" w:hAnsi="宋体"/>
                <w:color w:val="000000"/>
                <w:kern w:val="0"/>
                <w:sz w:val="16"/>
              </w:rPr>
              <w:t>分），及时分解下达到位（</w:t>
            </w:r>
            <w:r>
              <w:rPr>
                <w:color w:val="000000"/>
                <w:kern w:val="0"/>
                <w:sz w:val="16"/>
                <w:szCs w:val="16"/>
              </w:rPr>
              <w:t>1</w:t>
            </w:r>
            <w:r>
              <w:rPr>
                <w:rFonts w:ascii="宋体" w:hAnsi="宋体"/>
                <w:color w:val="000000"/>
                <w:kern w:val="0"/>
                <w:sz w:val="16"/>
              </w:rPr>
              <w:t>分）</w:t>
            </w:r>
          </w:p>
        </w:tc>
      </w:tr>
      <w:tr w14:paraId="214BEECC">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4D84E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F7E2EA">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6575AE">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4D4F66">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B1CB34">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2225B0D">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：支出方向</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25B6E">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93E4F">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5069D">
            <w:pPr>
              <w:widowControl/>
              <w:jc w:val="left"/>
              <w:rPr>
                <w:rFonts w:ascii="宋体" w:hAnsi="宋体" w:cs="宋体"/>
                <w:color w:val="000000"/>
                <w:kern w:val="0"/>
                <w:sz w:val="16"/>
                <w:szCs w:val="16"/>
              </w:rPr>
            </w:pPr>
            <w:r>
              <w:rPr>
                <w:rFonts w:hint="eastAsia" w:ascii="宋体" w:hAnsi="宋体" w:cs="宋体"/>
                <w:color w:val="000000"/>
                <w:kern w:val="0"/>
                <w:sz w:val="16"/>
                <w:szCs w:val="16"/>
              </w:rPr>
              <w:t>符合、规范</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F2A4A">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BA94D">
            <w:pPr>
              <w:widowControl/>
              <w:jc w:val="left"/>
              <w:rPr>
                <w:color w:val="000000"/>
                <w:kern w:val="0"/>
                <w:sz w:val="16"/>
                <w:szCs w:val="16"/>
              </w:rPr>
            </w:pPr>
            <w:r>
              <w:rPr>
                <w:rFonts w:ascii="宋体" w:hAnsi="宋体"/>
                <w:color w:val="000000"/>
                <w:kern w:val="0"/>
                <w:sz w:val="16"/>
              </w:rPr>
              <w:t>支出方向是否符合相关管理办法</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45240">
            <w:pPr>
              <w:widowControl/>
              <w:jc w:val="left"/>
              <w:rPr>
                <w:color w:val="000000"/>
                <w:kern w:val="0"/>
                <w:sz w:val="16"/>
                <w:szCs w:val="16"/>
              </w:rPr>
            </w:pPr>
            <w:r>
              <w:rPr>
                <w:rFonts w:ascii="宋体" w:hAnsi="宋体"/>
                <w:color w:val="000000"/>
                <w:kern w:val="0"/>
                <w:sz w:val="16"/>
              </w:rPr>
              <w:t>支出方向符合相关管理办法规定（</w:t>
            </w:r>
            <w:r>
              <w:rPr>
                <w:color w:val="000000"/>
                <w:kern w:val="0"/>
                <w:sz w:val="16"/>
                <w:szCs w:val="16"/>
              </w:rPr>
              <w:t>3</w:t>
            </w:r>
            <w:r>
              <w:rPr>
                <w:rFonts w:ascii="宋体" w:hAnsi="宋体"/>
                <w:color w:val="000000"/>
                <w:kern w:val="0"/>
                <w:sz w:val="16"/>
              </w:rPr>
              <w:t>分）</w:t>
            </w:r>
          </w:p>
        </w:tc>
      </w:tr>
      <w:tr w14:paraId="002696CB">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39AAC7">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D81664D">
            <w:pPr>
              <w:widowControl/>
              <w:jc w:val="center"/>
              <w:rPr>
                <w:color w:val="000000"/>
                <w:kern w:val="0"/>
                <w:sz w:val="16"/>
                <w:szCs w:val="16"/>
              </w:rPr>
            </w:pPr>
            <w:r>
              <w:rPr>
                <w:rFonts w:ascii="宋体" w:hAnsi="宋体"/>
                <w:color w:val="000000"/>
                <w:kern w:val="0"/>
                <w:sz w:val="16"/>
              </w:rPr>
              <w:t>项目管理</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3C4D702">
            <w:pPr>
              <w:widowControl/>
              <w:jc w:val="center"/>
              <w:rPr>
                <w:color w:val="000000"/>
                <w:kern w:val="0"/>
                <w:sz w:val="16"/>
                <w:szCs w:val="16"/>
              </w:rPr>
            </w:pPr>
            <w:r>
              <w:rPr>
                <w:color w:val="000000"/>
                <w:kern w:val="0"/>
                <w:sz w:val="16"/>
                <w:szCs w:val="16"/>
              </w:rPr>
              <w:t>34</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78B6D28">
            <w:pPr>
              <w:widowControl/>
              <w:jc w:val="center"/>
              <w:rPr>
                <w:color w:val="000000"/>
                <w:kern w:val="0"/>
                <w:sz w:val="16"/>
                <w:szCs w:val="16"/>
              </w:rPr>
            </w:pPr>
            <w:r>
              <w:rPr>
                <w:rFonts w:ascii="宋体" w:hAnsi="宋体"/>
                <w:color w:val="000000"/>
                <w:kern w:val="0"/>
                <w:sz w:val="16"/>
              </w:rPr>
              <w:t>组织实施</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9D7F8B9">
            <w:pPr>
              <w:widowControl/>
              <w:jc w:val="center"/>
              <w:rPr>
                <w:color w:val="000000"/>
                <w:kern w:val="0"/>
                <w:sz w:val="16"/>
                <w:szCs w:val="16"/>
              </w:rPr>
            </w:pPr>
            <w:r>
              <w:rPr>
                <w:color w:val="000000"/>
                <w:kern w:val="0"/>
                <w:sz w:val="16"/>
                <w:szCs w:val="16"/>
              </w:rPr>
              <w:t>7</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FB845">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：组织机构</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0245C">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37B6B">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E2722EF">
            <w:pPr>
              <w:widowControl/>
              <w:jc w:val="left"/>
              <w:rPr>
                <w:rFonts w:ascii="宋体" w:hAnsi="宋体" w:cs="宋体"/>
                <w:color w:val="000000"/>
                <w:kern w:val="0"/>
                <w:sz w:val="16"/>
                <w:szCs w:val="16"/>
              </w:rPr>
            </w:pPr>
            <w:r>
              <w:rPr>
                <w:rFonts w:hint="eastAsia" w:ascii="宋体" w:hAnsi="宋体" w:cs="宋体"/>
                <w:color w:val="000000"/>
                <w:kern w:val="0"/>
                <w:sz w:val="16"/>
                <w:szCs w:val="16"/>
              </w:rPr>
              <w:t>健全</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83D6C9">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BFDB38">
            <w:pPr>
              <w:widowControl/>
              <w:jc w:val="left"/>
              <w:rPr>
                <w:color w:val="000000"/>
                <w:kern w:val="0"/>
                <w:sz w:val="16"/>
                <w:szCs w:val="16"/>
              </w:rPr>
            </w:pPr>
            <w:r>
              <w:rPr>
                <w:rFonts w:ascii="宋体" w:hAnsi="宋体"/>
                <w:color w:val="000000"/>
                <w:kern w:val="0"/>
                <w:sz w:val="16"/>
              </w:rPr>
              <w:t>组织机构是否健全，职能分工是否明确</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1E2A7">
            <w:pPr>
              <w:widowControl/>
              <w:jc w:val="left"/>
              <w:rPr>
                <w:color w:val="000000"/>
                <w:kern w:val="0"/>
                <w:sz w:val="16"/>
                <w:szCs w:val="16"/>
              </w:rPr>
            </w:pPr>
            <w:r>
              <w:rPr>
                <w:rFonts w:ascii="宋体" w:hAnsi="宋体"/>
                <w:color w:val="000000"/>
                <w:kern w:val="0"/>
                <w:sz w:val="16"/>
              </w:rPr>
              <w:t>组织机构健全（</w:t>
            </w:r>
            <w:r>
              <w:rPr>
                <w:color w:val="000000"/>
                <w:kern w:val="0"/>
                <w:sz w:val="16"/>
                <w:szCs w:val="16"/>
              </w:rPr>
              <w:t>1</w:t>
            </w:r>
            <w:r>
              <w:rPr>
                <w:rFonts w:ascii="宋体" w:hAnsi="宋体"/>
                <w:color w:val="000000"/>
                <w:kern w:val="0"/>
                <w:sz w:val="16"/>
              </w:rPr>
              <w:t>分）；职能分工明确（</w:t>
            </w:r>
            <w:r>
              <w:rPr>
                <w:color w:val="000000"/>
                <w:kern w:val="0"/>
                <w:sz w:val="16"/>
                <w:szCs w:val="16"/>
              </w:rPr>
              <w:t>1</w:t>
            </w:r>
            <w:r>
              <w:rPr>
                <w:rFonts w:ascii="宋体" w:hAnsi="宋体"/>
                <w:color w:val="000000"/>
                <w:kern w:val="0"/>
                <w:sz w:val="16"/>
              </w:rPr>
              <w:t>分）</w:t>
            </w:r>
          </w:p>
        </w:tc>
      </w:tr>
      <w:tr w14:paraId="74F29E7B">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CA8DB7">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228C7E">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62B5C5">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B0264C">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B9569B">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7607A">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：管理制度</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F4312">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6CB6E">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723AA51">
            <w:pPr>
              <w:widowControl/>
              <w:jc w:val="left"/>
              <w:rPr>
                <w:rFonts w:ascii="宋体" w:hAnsi="宋体" w:cs="宋体"/>
                <w:color w:val="000000"/>
                <w:kern w:val="0"/>
                <w:sz w:val="16"/>
                <w:szCs w:val="16"/>
              </w:rPr>
            </w:pPr>
            <w:r>
              <w:rPr>
                <w:rFonts w:hint="eastAsia" w:ascii="宋体" w:hAnsi="宋体" w:cs="宋体"/>
                <w:color w:val="000000"/>
                <w:kern w:val="0"/>
                <w:sz w:val="16"/>
                <w:szCs w:val="16"/>
              </w:rPr>
              <w:t>明确、规范</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5C9F3">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A22A5">
            <w:pPr>
              <w:widowControl/>
              <w:jc w:val="left"/>
              <w:rPr>
                <w:rFonts w:ascii="宋体" w:hAnsi="宋体" w:cs="宋体"/>
                <w:color w:val="000000"/>
                <w:kern w:val="0"/>
                <w:sz w:val="16"/>
                <w:szCs w:val="16"/>
              </w:rPr>
            </w:pPr>
            <w:r>
              <w:rPr>
                <w:rFonts w:hint="eastAsia" w:ascii="宋体" w:hAnsi="宋体" w:cs="宋体"/>
                <w:color w:val="000000"/>
                <w:kern w:val="0"/>
                <w:sz w:val="16"/>
                <w:szCs w:val="16"/>
              </w:rPr>
              <w:t>是否严格按国家要求制定后期扶持人口核定和动态管理、项目管理、资金管理及财务规章制度等配套政策；是否按国家要求制定绩效管理实施细则</w:t>
            </w:r>
          </w:p>
        </w:tc>
        <w:tc>
          <w:tcPr>
            <w:tcW w:w="2437"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2D1B41">
            <w:pPr>
              <w:widowControl/>
              <w:jc w:val="left"/>
              <w:rPr>
                <w:rFonts w:ascii="宋体" w:hAnsi="宋体" w:cs="宋体"/>
                <w:color w:val="000000"/>
                <w:kern w:val="0"/>
                <w:sz w:val="16"/>
                <w:szCs w:val="16"/>
              </w:rPr>
            </w:pPr>
            <w:r>
              <w:rPr>
                <w:rFonts w:ascii="宋体" w:hAnsi="宋体" w:cs="宋体"/>
                <w:color w:val="000000"/>
                <w:kern w:val="0"/>
                <w:sz w:val="16"/>
              </w:rPr>
              <w:t>按国家要求制定后期扶持人口核定和动态管理制度（</w:t>
            </w:r>
            <w:r>
              <w:rPr>
                <w:color w:val="000000"/>
                <w:kern w:val="0"/>
                <w:sz w:val="16"/>
                <w:szCs w:val="16"/>
              </w:rPr>
              <w:t>0.5</w:t>
            </w:r>
            <w:r>
              <w:rPr>
                <w:rFonts w:ascii="宋体" w:hAnsi="宋体" w:cs="宋体"/>
                <w:color w:val="000000"/>
                <w:kern w:val="0"/>
                <w:sz w:val="16"/>
              </w:rPr>
              <w:t>分）、项目管理办法及配套制度（</w:t>
            </w:r>
            <w:r>
              <w:rPr>
                <w:color w:val="000000"/>
                <w:kern w:val="0"/>
                <w:sz w:val="16"/>
                <w:szCs w:val="16"/>
              </w:rPr>
              <w:t>0.5</w:t>
            </w:r>
            <w:r>
              <w:rPr>
                <w:rFonts w:ascii="宋体" w:hAnsi="宋体" w:cs="宋体"/>
                <w:color w:val="000000"/>
                <w:kern w:val="0"/>
                <w:sz w:val="16"/>
              </w:rPr>
              <w:t>分）、财务规章制度（0.5分）、资金管理办法（</w:t>
            </w:r>
            <w:r>
              <w:rPr>
                <w:color w:val="000000"/>
                <w:kern w:val="0"/>
                <w:sz w:val="16"/>
                <w:szCs w:val="16"/>
              </w:rPr>
              <w:t>0.5</w:t>
            </w:r>
            <w:r>
              <w:rPr>
                <w:rFonts w:ascii="宋体" w:hAnsi="宋体" w:cs="宋体"/>
                <w:color w:val="000000"/>
                <w:kern w:val="0"/>
                <w:sz w:val="16"/>
              </w:rPr>
              <w:t>分）、绩效管理实施细则（1分）</w:t>
            </w:r>
          </w:p>
        </w:tc>
      </w:tr>
      <w:tr w14:paraId="17CC6342">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025E0">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F595D1">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878CCF">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F75078">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AA6FD5">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342EF">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3</w:t>
            </w:r>
            <w:r>
              <w:rPr>
                <w:rFonts w:ascii="宋体" w:hAnsi="宋体"/>
                <w:color w:val="000000"/>
                <w:kern w:val="0"/>
                <w:sz w:val="16"/>
              </w:rPr>
              <w:t>：后期扶持人口核定和动态管理</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0D97B">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42E5B">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D84A6C">
            <w:pPr>
              <w:widowControl/>
              <w:jc w:val="left"/>
              <w:rPr>
                <w:rFonts w:ascii="宋体" w:hAnsi="宋体" w:cs="宋体"/>
                <w:color w:val="000000"/>
                <w:kern w:val="0"/>
                <w:sz w:val="16"/>
                <w:szCs w:val="16"/>
              </w:rPr>
            </w:pPr>
            <w:r>
              <w:rPr>
                <w:rFonts w:hint="eastAsia" w:ascii="宋体" w:hAnsi="宋体" w:cs="宋体"/>
                <w:color w:val="000000"/>
                <w:kern w:val="0"/>
                <w:sz w:val="16"/>
                <w:szCs w:val="16"/>
              </w:rPr>
              <w:t>严格、及时</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B987B">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A850B">
            <w:pPr>
              <w:widowControl/>
              <w:jc w:val="left"/>
              <w:rPr>
                <w:color w:val="000000"/>
                <w:kern w:val="0"/>
                <w:sz w:val="16"/>
                <w:szCs w:val="16"/>
              </w:rPr>
            </w:pPr>
            <w:r>
              <w:rPr>
                <w:rFonts w:ascii="宋体" w:hAnsi="宋体"/>
                <w:color w:val="000000"/>
                <w:kern w:val="0"/>
                <w:sz w:val="16"/>
              </w:rPr>
              <w:t>直补到人建档立卡是否完整；能核定到人的扶持人口是否严格实行动态管理</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F3412">
            <w:pPr>
              <w:widowControl/>
              <w:jc w:val="left"/>
              <w:rPr>
                <w:color w:val="000000"/>
                <w:kern w:val="0"/>
                <w:sz w:val="16"/>
                <w:szCs w:val="16"/>
              </w:rPr>
            </w:pPr>
            <w:r>
              <w:rPr>
                <w:rFonts w:ascii="宋体" w:hAnsi="宋体"/>
                <w:color w:val="000000"/>
                <w:kern w:val="0"/>
                <w:sz w:val="16"/>
              </w:rPr>
              <w:t>直补到人建档立卡完整（</w:t>
            </w:r>
            <w:r>
              <w:rPr>
                <w:color w:val="000000"/>
                <w:kern w:val="0"/>
                <w:sz w:val="16"/>
                <w:szCs w:val="16"/>
              </w:rPr>
              <w:t>1</w:t>
            </w:r>
            <w:r>
              <w:rPr>
                <w:rFonts w:ascii="宋体" w:hAnsi="宋体"/>
                <w:color w:val="000000"/>
                <w:kern w:val="0"/>
                <w:sz w:val="16"/>
              </w:rPr>
              <w:t>分）；能核定到人的扶持人口严格实行动态管理（</w:t>
            </w:r>
            <w:r>
              <w:rPr>
                <w:color w:val="000000"/>
                <w:kern w:val="0"/>
                <w:sz w:val="16"/>
                <w:szCs w:val="16"/>
              </w:rPr>
              <w:t>1</w:t>
            </w:r>
            <w:r>
              <w:rPr>
                <w:rFonts w:ascii="宋体" w:hAnsi="宋体"/>
                <w:color w:val="000000"/>
                <w:kern w:val="0"/>
                <w:sz w:val="16"/>
              </w:rPr>
              <w:t>分）</w:t>
            </w:r>
          </w:p>
        </w:tc>
      </w:tr>
      <w:tr w14:paraId="4341BC77">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5ECA93">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D8E785C">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D6FEBC">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9888E2B">
            <w:pPr>
              <w:widowControl/>
              <w:jc w:val="center"/>
              <w:rPr>
                <w:color w:val="000000"/>
                <w:kern w:val="0"/>
                <w:sz w:val="16"/>
                <w:szCs w:val="16"/>
              </w:rPr>
            </w:pPr>
            <w:r>
              <w:rPr>
                <w:rFonts w:ascii="宋体" w:hAnsi="宋体"/>
                <w:color w:val="000000"/>
                <w:kern w:val="0"/>
                <w:sz w:val="16"/>
              </w:rPr>
              <w:t>资金安全</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8458DF">
            <w:pPr>
              <w:widowControl/>
              <w:jc w:val="center"/>
              <w:rPr>
                <w:color w:val="000000"/>
                <w:kern w:val="0"/>
                <w:sz w:val="16"/>
                <w:szCs w:val="16"/>
              </w:rPr>
            </w:pPr>
            <w:r>
              <w:rPr>
                <w:color w:val="000000"/>
                <w:kern w:val="0"/>
                <w:sz w:val="16"/>
                <w:szCs w:val="16"/>
              </w:rPr>
              <w:t>12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F6BEE">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：资金管理</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B34B8">
            <w:pPr>
              <w:widowControl/>
              <w:jc w:val="center"/>
              <w:rPr>
                <w:color w:val="000000"/>
                <w:kern w:val="0"/>
                <w:sz w:val="16"/>
                <w:szCs w:val="16"/>
              </w:rPr>
            </w:pPr>
            <w:r>
              <w:rPr>
                <w:color w:val="000000"/>
                <w:kern w:val="0"/>
                <w:sz w:val="16"/>
                <w:szCs w:val="16"/>
              </w:rPr>
              <w:t>8</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627D2">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B2946CC">
            <w:pPr>
              <w:widowControl/>
              <w:jc w:val="left"/>
              <w:rPr>
                <w:rFonts w:ascii="宋体" w:hAnsi="宋体" w:cs="宋体"/>
                <w:color w:val="000000"/>
                <w:kern w:val="0"/>
                <w:sz w:val="16"/>
                <w:szCs w:val="16"/>
              </w:rPr>
            </w:pPr>
            <w:r>
              <w:rPr>
                <w:rFonts w:hint="eastAsia" w:ascii="宋体" w:hAnsi="宋体" w:cs="宋体"/>
                <w:color w:val="000000"/>
                <w:kern w:val="0"/>
                <w:sz w:val="16"/>
                <w:szCs w:val="16"/>
              </w:rPr>
              <w:t>严格、规范</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550B313">
            <w:pPr>
              <w:widowControl/>
              <w:jc w:val="center"/>
              <w:rPr>
                <w:color w:val="000000"/>
                <w:kern w:val="0"/>
                <w:sz w:val="16"/>
                <w:szCs w:val="16"/>
              </w:rPr>
            </w:pPr>
            <w:r>
              <w:rPr>
                <w:color w:val="000000"/>
                <w:kern w:val="0"/>
                <w:sz w:val="16"/>
                <w:szCs w:val="16"/>
              </w:rPr>
              <w:t>8</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C710A7D">
            <w:pPr>
              <w:widowControl/>
              <w:jc w:val="left"/>
              <w:rPr>
                <w:color w:val="000000"/>
                <w:kern w:val="0"/>
                <w:sz w:val="16"/>
                <w:szCs w:val="16"/>
              </w:rPr>
            </w:pPr>
            <w:r>
              <w:rPr>
                <w:rFonts w:ascii="宋体" w:hAnsi="宋体"/>
                <w:color w:val="000000"/>
                <w:kern w:val="0"/>
                <w:sz w:val="16"/>
              </w:rPr>
              <w:t>补助资金发放对象、时限和程序是否合规，项目资金拨付程序和使用范围是否合规，预决算及财务会计工作是否规范，是否存在弄虚作假或截留、挤占、挪用资金等违规问题</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B4B88">
            <w:pPr>
              <w:widowControl/>
              <w:jc w:val="left"/>
              <w:rPr>
                <w:color w:val="000000"/>
                <w:kern w:val="0"/>
                <w:sz w:val="16"/>
                <w:szCs w:val="16"/>
              </w:rPr>
            </w:pPr>
            <w:r>
              <w:rPr>
                <w:rFonts w:ascii="宋体" w:hAnsi="宋体"/>
                <w:color w:val="000000"/>
                <w:kern w:val="0"/>
                <w:sz w:val="16"/>
              </w:rPr>
              <w:t>存在弄虚作假或截留、挤占、挪用资金等违规问题的，每个问题按情节轻重及整改情况扣</w:t>
            </w:r>
            <w:r>
              <w:rPr>
                <w:color w:val="000000"/>
                <w:kern w:val="0"/>
                <w:sz w:val="16"/>
                <w:szCs w:val="16"/>
              </w:rPr>
              <w:t>2-8</w:t>
            </w:r>
            <w:r>
              <w:rPr>
                <w:rFonts w:ascii="宋体" w:hAnsi="宋体"/>
                <w:color w:val="000000"/>
                <w:kern w:val="0"/>
                <w:sz w:val="16"/>
              </w:rPr>
              <w:t>分；存在其他资金管理问题的，每类问题按情节轻重及整改情况扣</w:t>
            </w:r>
            <w:r>
              <w:rPr>
                <w:color w:val="000000"/>
                <w:kern w:val="0"/>
                <w:sz w:val="16"/>
                <w:szCs w:val="16"/>
              </w:rPr>
              <w:t>0.5-2</w:t>
            </w:r>
            <w:r>
              <w:rPr>
                <w:rFonts w:ascii="宋体" w:hAnsi="宋体"/>
                <w:color w:val="000000"/>
                <w:kern w:val="0"/>
                <w:sz w:val="16"/>
              </w:rPr>
              <w:t>分；</w:t>
            </w:r>
            <w:r>
              <w:rPr>
                <w:color w:val="000000"/>
                <w:kern w:val="0"/>
                <w:sz w:val="16"/>
                <w:szCs w:val="16"/>
              </w:rPr>
              <w:t>8</w:t>
            </w:r>
            <w:r>
              <w:rPr>
                <w:rFonts w:ascii="宋体" w:hAnsi="宋体"/>
                <w:color w:val="000000"/>
                <w:kern w:val="0"/>
                <w:sz w:val="16"/>
              </w:rPr>
              <w:t>分扣完为止</w:t>
            </w:r>
          </w:p>
        </w:tc>
      </w:tr>
      <w:tr w14:paraId="6527B43C">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E39868">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3D089">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52A2E0">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B5DD46">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ED6702A">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DCDF7">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：项目管理</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2B1D9">
            <w:pPr>
              <w:widowControl/>
              <w:jc w:val="center"/>
              <w:rPr>
                <w:color w:val="000000"/>
                <w:kern w:val="0"/>
                <w:sz w:val="16"/>
                <w:szCs w:val="16"/>
              </w:rPr>
            </w:pPr>
            <w:r>
              <w:rPr>
                <w:color w:val="000000"/>
                <w:kern w:val="0"/>
                <w:sz w:val="16"/>
                <w:szCs w:val="16"/>
              </w:rPr>
              <w:t>4</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14467">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9C468">
            <w:pPr>
              <w:widowControl/>
              <w:jc w:val="left"/>
              <w:rPr>
                <w:rFonts w:ascii="宋体" w:hAnsi="宋体" w:cs="宋体"/>
                <w:color w:val="000000"/>
                <w:kern w:val="0"/>
                <w:sz w:val="16"/>
                <w:szCs w:val="16"/>
              </w:rPr>
            </w:pPr>
            <w:r>
              <w:rPr>
                <w:rFonts w:hint="eastAsia" w:ascii="宋体" w:hAnsi="宋体" w:cs="宋体"/>
                <w:color w:val="000000"/>
                <w:kern w:val="0"/>
                <w:sz w:val="16"/>
                <w:szCs w:val="16"/>
              </w:rPr>
              <w:t>严格、规范</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553FDF9">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DBE6D27">
            <w:pPr>
              <w:widowControl/>
              <w:jc w:val="left"/>
              <w:rPr>
                <w:color w:val="000000"/>
                <w:kern w:val="0"/>
                <w:sz w:val="16"/>
                <w:szCs w:val="16"/>
              </w:rPr>
            </w:pPr>
            <w:r>
              <w:rPr>
                <w:rFonts w:ascii="宋体" w:hAnsi="宋体"/>
                <w:color w:val="000000"/>
                <w:kern w:val="0"/>
                <w:sz w:val="16"/>
              </w:rPr>
              <w:t>项目实施过程中是否实行公开公示、移民参与和监督，政府采购和建设管理、档案管理是否符合制度规定</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0CCC5">
            <w:pPr>
              <w:widowControl/>
              <w:jc w:val="left"/>
              <w:rPr>
                <w:color w:val="000000"/>
                <w:kern w:val="0"/>
                <w:sz w:val="16"/>
                <w:szCs w:val="16"/>
              </w:rPr>
            </w:pPr>
            <w:r>
              <w:rPr>
                <w:rFonts w:ascii="宋体" w:hAnsi="宋体"/>
                <w:color w:val="000000"/>
                <w:kern w:val="0"/>
                <w:sz w:val="16"/>
              </w:rPr>
              <w:t>存在项目管理问题的，每类问题按情节轻重及整改情况扣</w:t>
            </w:r>
            <w:r>
              <w:rPr>
                <w:color w:val="000000"/>
                <w:kern w:val="0"/>
                <w:sz w:val="16"/>
                <w:szCs w:val="16"/>
              </w:rPr>
              <w:t>0.5-2</w:t>
            </w:r>
            <w:r>
              <w:rPr>
                <w:rFonts w:ascii="宋体" w:hAnsi="宋体"/>
                <w:color w:val="000000"/>
                <w:kern w:val="0"/>
                <w:sz w:val="16"/>
              </w:rPr>
              <w:t>分；</w:t>
            </w:r>
            <w:r>
              <w:rPr>
                <w:color w:val="000000"/>
                <w:kern w:val="0"/>
                <w:sz w:val="16"/>
                <w:szCs w:val="16"/>
              </w:rPr>
              <w:t>4</w:t>
            </w:r>
            <w:r>
              <w:rPr>
                <w:rFonts w:ascii="宋体" w:hAnsi="宋体"/>
                <w:color w:val="000000"/>
                <w:kern w:val="0"/>
                <w:sz w:val="16"/>
              </w:rPr>
              <w:t>分扣完为止</w:t>
            </w:r>
          </w:p>
        </w:tc>
      </w:tr>
      <w:tr w14:paraId="3F8A55A9">
        <w:tblPrEx>
          <w:tblCellMar>
            <w:top w:w="0" w:type="dxa"/>
            <w:left w:w="108" w:type="dxa"/>
            <w:bottom w:w="0" w:type="dxa"/>
            <w:right w:w="108" w:type="dxa"/>
          </w:tblCellMar>
        </w:tblPrEx>
        <w:trPr>
          <w:trHeight w:val="794"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6FF2615">
            <w:pPr>
              <w:widowControl/>
              <w:jc w:val="center"/>
              <w:rPr>
                <w:color w:val="000000"/>
                <w:kern w:val="0"/>
                <w:sz w:val="16"/>
                <w:szCs w:val="16"/>
              </w:rPr>
            </w:pPr>
            <w:r>
              <w:rPr>
                <w:rFonts w:ascii="宋体" w:hAnsi="宋体"/>
                <w:color w:val="000000"/>
                <w:kern w:val="0"/>
                <w:sz w:val="16"/>
              </w:rPr>
              <w:t>管理工作</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09F70AF">
            <w:pPr>
              <w:widowControl/>
              <w:jc w:val="center"/>
              <w:rPr>
                <w:color w:val="000000"/>
                <w:kern w:val="0"/>
                <w:sz w:val="16"/>
                <w:szCs w:val="16"/>
              </w:rPr>
            </w:pPr>
            <w:r>
              <w:rPr>
                <w:rFonts w:ascii="宋体" w:hAnsi="宋体"/>
                <w:color w:val="000000"/>
                <w:kern w:val="0"/>
                <w:sz w:val="16"/>
              </w:rPr>
              <w:t>项目管理</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4D3EF8B">
            <w:pPr>
              <w:widowControl/>
              <w:jc w:val="center"/>
              <w:rPr>
                <w:color w:val="000000"/>
                <w:kern w:val="0"/>
                <w:sz w:val="16"/>
                <w:szCs w:val="16"/>
              </w:rPr>
            </w:pPr>
            <w:r>
              <w:rPr>
                <w:color w:val="000000"/>
                <w:kern w:val="0"/>
                <w:sz w:val="16"/>
                <w:szCs w:val="16"/>
              </w:rPr>
              <w:t>34</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E5C48F8">
            <w:pPr>
              <w:widowControl/>
              <w:jc w:val="center"/>
              <w:rPr>
                <w:color w:val="000000"/>
                <w:kern w:val="0"/>
                <w:sz w:val="16"/>
                <w:szCs w:val="16"/>
              </w:rPr>
            </w:pPr>
            <w:r>
              <w:rPr>
                <w:rFonts w:ascii="宋体" w:hAnsi="宋体"/>
                <w:color w:val="000000"/>
                <w:kern w:val="0"/>
                <w:sz w:val="16"/>
              </w:rPr>
              <w:t>监督检查</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F1174B">
            <w:pPr>
              <w:widowControl/>
              <w:jc w:val="center"/>
              <w:rPr>
                <w:color w:val="000000"/>
                <w:kern w:val="0"/>
                <w:sz w:val="16"/>
                <w:szCs w:val="16"/>
              </w:rPr>
            </w:pPr>
            <w:r>
              <w:rPr>
                <w:color w:val="000000"/>
                <w:kern w:val="0"/>
                <w:sz w:val="16"/>
                <w:szCs w:val="16"/>
              </w:rPr>
              <w:t>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43595">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：稽察工作</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E3B85A8">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BD88A">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77F80F2">
            <w:pPr>
              <w:widowControl/>
              <w:jc w:val="left"/>
              <w:rPr>
                <w:rFonts w:ascii="宋体" w:hAnsi="宋体" w:cs="宋体"/>
                <w:color w:val="000000"/>
                <w:kern w:val="0"/>
                <w:sz w:val="16"/>
                <w:szCs w:val="16"/>
              </w:rPr>
            </w:pPr>
            <w:r>
              <w:rPr>
                <w:rFonts w:hint="eastAsia" w:ascii="宋体" w:hAnsi="宋体" w:cs="宋体"/>
                <w:color w:val="000000"/>
                <w:kern w:val="0"/>
                <w:sz w:val="16"/>
                <w:szCs w:val="16"/>
              </w:rPr>
              <w:t>是</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6861008">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78E5173">
            <w:pPr>
              <w:widowControl/>
              <w:jc w:val="left"/>
              <w:rPr>
                <w:rFonts w:ascii="宋体" w:hAnsi="宋体" w:cs="宋体"/>
                <w:color w:val="000000"/>
                <w:kern w:val="0"/>
                <w:sz w:val="16"/>
                <w:szCs w:val="16"/>
              </w:rPr>
            </w:pPr>
            <w:r>
              <w:rPr>
                <w:rFonts w:hint="eastAsia" w:ascii="宋体" w:hAnsi="宋体" w:cs="宋体"/>
                <w:color w:val="000000"/>
                <w:kern w:val="0"/>
                <w:sz w:val="16"/>
                <w:szCs w:val="16"/>
              </w:rPr>
              <w:t>是否按规定开展稽察工作，稽察意见是否整改落实到位</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74EA4">
            <w:pPr>
              <w:widowControl/>
              <w:jc w:val="left"/>
              <w:rPr>
                <w:rFonts w:ascii="宋体" w:hAnsi="宋体" w:cs="宋体"/>
                <w:color w:val="000000"/>
                <w:kern w:val="0"/>
                <w:sz w:val="16"/>
                <w:szCs w:val="16"/>
              </w:rPr>
            </w:pPr>
            <w:r>
              <w:rPr>
                <w:rFonts w:ascii="宋体" w:hAnsi="宋体" w:cs="宋体"/>
                <w:color w:val="000000"/>
                <w:kern w:val="0"/>
                <w:sz w:val="16"/>
              </w:rPr>
              <w:t>按规定开展稽察工作（</w:t>
            </w:r>
            <w:r>
              <w:rPr>
                <w:color w:val="000000"/>
                <w:kern w:val="0"/>
                <w:sz w:val="16"/>
                <w:szCs w:val="16"/>
              </w:rPr>
              <w:t>1</w:t>
            </w:r>
            <w:r>
              <w:rPr>
                <w:rFonts w:ascii="宋体" w:hAnsi="宋体" w:cs="宋体"/>
                <w:color w:val="000000"/>
                <w:kern w:val="0"/>
                <w:sz w:val="16"/>
              </w:rPr>
              <w:t>分）；稽察意见整改落实（</w:t>
            </w:r>
            <w:r>
              <w:rPr>
                <w:color w:val="000000"/>
                <w:kern w:val="0"/>
                <w:sz w:val="16"/>
                <w:szCs w:val="16"/>
              </w:rPr>
              <w:t>1</w:t>
            </w:r>
            <w:r>
              <w:rPr>
                <w:rFonts w:ascii="宋体" w:hAnsi="宋体" w:cs="宋体"/>
                <w:color w:val="000000"/>
                <w:kern w:val="0"/>
                <w:sz w:val="16"/>
              </w:rPr>
              <w:t>分）</w:t>
            </w:r>
          </w:p>
        </w:tc>
      </w:tr>
      <w:tr w14:paraId="3FBF0518">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49EF0A">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29F56E">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4FB426">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657E79">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238AA7">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A577F">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：监测评估工作</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ACF4F7">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861BE">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5CBD932">
            <w:pPr>
              <w:widowControl/>
              <w:jc w:val="left"/>
              <w:rPr>
                <w:rFonts w:ascii="宋体" w:hAnsi="宋体" w:cs="宋体"/>
                <w:color w:val="000000"/>
                <w:kern w:val="0"/>
                <w:sz w:val="16"/>
                <w:szCs w:val="16"/>
              </w:rPr>
            </w:pPr>
            <w:r>
              <w:rPr>
                <w:rFonts w:hint="eastAsia" w:ascii="宋体" w:hAnsi="宋体" w:cs="宋体"/>
                <w:color w:val="000000"/>
                <w:kern w:val="0"/>
                <w:sz w:val="16"/>
                <w:szCs w:val="16"/>
              </w:rPr>
              <w:t>是</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542BB15">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6CAAE1">
            <w:pPr>
              <w:widowControl/>
              <w:jc w:val="left"/>
              <w:rPr>
                <w:rFonts w:ascii="宋体" w:hAnsi="宋体" w:cs="宋体"/>
                <w:color w:val="000000"/>
                <w:kern w:val="0"/>
                <w:sz w:val="16"/>
                <w:szCs w:val="16"/>
              </w:rPr>
            </w:pPr>
            <w:r>
              <w:rPr>
                <w:rFonts w:hint="eastAsia" w:ascii="宋体" w:hAnsi="宋体" w:cs="宋体"/>
                <w:color w:val="000000"/>
                <w:kern w:val="0"/>
                <w:sz w:val="16"/>
                <w:szCs w:val="16"/>
              </w:rPr>
              <w:t>是否按规定开展监测评估工作并按时报送成果，监测评估成果质量高并得到运用</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FE811">
            <w:pPr>
              <w:widowControl/>
              <w:jc w:val="left"/>
              <w:rPr>
                <w:color w:val="000000"/>
                <w:kern w:val="0"/>
                <w:sz w:val="16"/>
                <w:szCs w:val="16"/>
              </w:rPr>
            </w:pPr>
            <w:r>
              <w:rPr>
                <w:rFonts w:ascii="宋体" w:hAnsi="宋体"/>
                <w:color w:val="000000"/>
                <w:kern w:val="0"/>
                <w:sz w:val="16"/>
              </w:rPr>
              <w:t>按规定开展监测评估工作并按时报送成果（</w:t>
            </w:r>
            <w:r>
              <w:rPr>
                <w:color w:val="000000"/>
                <w:kern w:val="0"/>
                <w:sz w:val="16"/>
                <w:szCs w:val="16"/>
              </w:rPr>
              <w:t>1</w:t>
            </w:r>
            <w:r>
              <w:rPr>
                <w:rFonts w:ascii="宋体" w:hAnsi="宋体"/>
                <w:color w:val="000000"/>
                <w:kern w:val="0"/>
                <w:sz w:val="16"/>
              </w:rPr>
              <w:t>分）；监测评估成果质量高并得到运用（</w:t>
            </w:r>
            <w:r>
              <w:rPr>
                <w:color w:val="000000"/>
                <w:kern w:val="0"/>
                <w:sz w:val="16"/>
                <w:szCs w:val="16"/>
              </w:rPr>
              <w:t>1</w:t>
            </w:r>
            <w:r>
              <w:rPr>
                <w:rFonts w:ascii="宋体" w:hAnsi="宋体"/>
                <w:color w:val="000000"/>
                <w:kern w:val="0"/>
                <w:sz w:val="16"/>
              </w:rPr>
              <w:t>分）</w:t>
            </w:r>
          </w:p>
        </w:tc>
      </w:tr>
      <w:tr w14:paraId="00F3CFCC">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347057">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FB050B">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A5868E">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5F2DE0BF">
            <w:pPr>
              <w:widowControl/>
              <w:jc w:val="center"/>
              <w:rPr>
                <w:color w:val="000000"/>
                <w:kern w:val="0"/>
                <w:sz w:val="16"/>
                <w:szCs w:val="16"/>
              </w:rPr>
            </w:pPr>
            <w:r>
              <w:rPr>
                <w:rFonts w:ascii="宋体" w:hAnsi="宋体"/>
                <w:color w:val="000000"/>
                <w:kern w:val="0"/>
                <w:sz w:val="16"/>
              </w:rPr>
              <w:t>信息统计</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0CBD8C">
            <w:pPr>
              <w:widowControl/>
              <w:jc w:val="center"/>
              <w:rPr>
                <w:color w:val="000000"/>
                <w:kern w:val="0"/>
                <w:sz w:val="16"/>
                <w:szCs w:val="16"/>
              </w:rPr>
            </w:pPr>
            <w:r>
              <w:rPr>
                <w:color w:val="000000"/>
                <w:kern w:val="0"/>
                <w:sz w:val="16"/>
                <w:szCs w:val="16"/>
              </w:rPr>
              <w:t>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4810A">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：信息统计工作</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D88358">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A61BE">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AB66648">
            <w:pPr>
              <w:widowControl/>
              <w:jc w:val="left"/>
              <w:rPr>
                <w:rFonts w:ascii="宋体" w:hAnsi="宋体" w:cs="宋体"/>
                <w:color w:val="000000"/>
                <w:kern w:val="0"/>
                <w:sz w:val="16"/>
                <w:szCs w:val="16"/>
              </w:rPr>
            </w:pPr>
            <w:r>
              <w:rPr>
                <w:rFonts w:hint="eastAsia" w:ascii="宋体" w:hAnsi="宋体" w:cs="宋体"/>
                <w:color w:val="000000"/>
                <w:kern w:val="0"/>
                <w:sz w:val="16"/>
                <w:szCs w:val="16"/>
              </w:rPr>
              <w:t>及时</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662EA1A">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D1E7B30">
            <w:pPr>
              <w:widowControl/>
              <w:jc w:val="left"/>
              <w:rPr>
                <w:rFonts w:ascii="宋体" w:hAnsi="宋体" w:cs="宋体"/>
                <w:color w:val="000000"/>
                <w:kern w:val="0"/>
                <w:sz w:val="16"/>
                <w:szCs w:val="16"/>
              </w:rPr>
            </w:pPr>
            <w:r>
              <w:rPr>
                <w:rFonts w:hint="eastAsia" w:ascii="宋体" w:hAnsi="宋体" w:cs="宋体"/>
                <w:color w:val="000000"/>
                <w:kern w:val="0"/>
                <w:sz w:val="16"/>
                <w:szCs w:val="16"/>
              </w:rPr>
              <w:t>是否按规定开展后期扶持实施情况统计工作并按时报送统计报表，填报内容是否完整，信息系统数据是否及时更新</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01182">
            <w:pPr>
              <w:widowControl/>
              <w:jc w:val="left"/>
              <w:rPr>
                <w:color w:val="000000"/>
                <w:kern w:val="0"/>
                <w:sz w:val="16"/>
                <w:szCs w:val="16"/>
              </w:rPr>
            </w:pPr>
            <w:r>
              <w:rPr>
                <w:rFonts w:ascii="宋体" w:hAnsi="宋体"/>
                <w:color w:val="000000"/>
                <w:kern w:val="0"/>
                <w:sz w:val="16"/>
              </w:rPr>
              <w:t>按规定开展后期扶持实施情况统计工作并按时报送统计报表且填报完整（</w:t>
            </w:r>
            <w:r>
              <w:rPr>
                <w:color w:val="000000"/>
                <w:kern w:val="0"/>
                <w:sz w:val="16"/>
                <w:szCs w:val="16"/>
              </w:rPr>
              <w:t>1</w:t>
            </w:r>
            <w:r>
              <w:rPr>
                <w:rFonts w:ascii="宋体" w:hAnsi="宋体"/>
                <w:color w:val="000000"/>
                <w:kern w:val="0"/>
                <w:sz w:val="16"/>
              </w:rPr>
              <w:t>分）；信息系统数据及时更新（</w:t>
            </w:r>
            <w:r>
              <w:rPr>
                <w:color w:val="000000"/>
                <w:kern w:val="0"/>
                <w:sz w:val="16"/>
                <w:szCs w:val="16"/>
              </w:rPr>
              <w:t>1</w:t>
            </w:r>
            <w:r>
              <w:rPr>
                <w:rFonts w:ascii="宋体" w:hAnsi="宋体"/>
                <w:color w:val="000000"/>
                <w:kern w:val="0"/>
                <w:sz w:val="16"/>
              </w:rPr>
              <w:t>分）</w:t>
            </w:r>
          </w:p>
        </w:tc>
      </w:tr>
      <w:tr w14:paraId="220627AA">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4862D">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3B3EA3">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0E5899">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D86F92">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8AE9B1">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94349">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：材料报送</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496F8">
            <w:pPr>
              <w:widowControl/>
              <w:jc w:val="center"/>
              <w:rPr>
                <w:color w:val="000000"/>
                <w:kern w:val="0"/>
                <w:sz w:val="16"/>
                <w:szCs w:val="16"/>
              </w:rPr>
            </w:pPr>
            <w:r>
              <w:rPr>
                <w:color w:val="000000"/>
                <w:kern w:val="0"/>
                <w:sz w:val="16"/>
                <w:szCs w:val="16"/>
              </w:rPr>
              <w:t>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54470">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0A5D2">
            <w:pPr>
              <w:widowControl/>
              <w:jc w:val="left"/>
              <w:rPr>
                <w:rFonts w:ascii="宋体" w:hAnsi="宋体" w:cs="宋体"/>
                <w:color w:val="000000"/>
                <w:kern w:val="0"/>
                <w:sz w:val="16"/>
                <w:szCs w:val="16"/>
              </w:rPr>
            </w:pPr>
            <w:r>
              <w:rPr>
                <w:rFonts w:hint="eastAsia" w:ascii="宋体" w:hAnsi="宋体" w:cs="宋体"/>
                <w:color w:val="000000"/>
                <w:kern w:val="0"/>
                <w:sz w:val="16"/>
                <w:szCs w:val="16"/>
              </w:rPr>
              <w:t>及时</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3F9E5">
            <w:pPr>
              <w:widowControl/>
              <w:jc w:val="center"/>
              <w:rPr>
                <w:color w:val="000000"/>
                <w:kern w:val="0"/>
                <w:sz w:val="16"/>
                <w:szCs w:val="16"/>
              </w:rPr>
            </w:pPr>
            <w:r>
              <w:rPr>
                <w:color w:val="000000"/>
                <w:kern w:val="0"/>
                <w:sz w:val="16"/>
                <w:szCs w:val="16"/>
              </w:rPr>
              <w:t>1</w:t>
            </w:r>
          </w:p>
        </w:tc>
        <w:tc>
          <w:tcPr>
            <w:tcW w:w="2189" w:type="dxa"/>
            <w:tcBorders>
              <w:top w:val="single" w:color="000000" w:sz="4" w:space="0"/>
              <w:left w:val="single" w:color="000000" w:sz="4" w:space="0"/>
              <w:bottom w:val="single" w:color="000000" w:sz="4" w:space="0"/>
              <w:right w:val="single" w:color="FFFFFF" w:sz="4" w:space="0"/>
            </w:tcBorders>
            <w:shd w:val="clear" w:color="auto" w:fill="auto"/>
            <w:vAlign w:val="center"/>
          </w:tcPr>
          <w:p w14:paraId="1364977B">
            <w:pPr>
              <w:widowControl/>
              <w:jc w:val="left"/>
              <w:rPr>
                <w:color w:val="000000"/>
                <w:kern w:val="0"/>
                <w:sz w:val="16"/>
                <w:szCs w:val="16"/>
              </w:rPr>
            </w:pPr>
            <w:r>
              <w:rPr>
                <w:rFonts w:ascii="宋体" w:hAnsi="宋体"/>
                <w:color w:val="000000"/>
                <w:kern w:val="0"/>
                <w:sz w:val="16"/>
              </w:rPr>
              <w:t>是否按要求按时报送各种材料，后期扶持工作是否受到省部级以上媒体或简报宣传</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336A5">
            <w:pPr>
              <w:widowControl/>
              <w:jc w:val="left"/>
              <w:rPr>
                <w:color w:val="000000"/>
                <w:kern w:val="0"/>
                <w:sz w:val="16"/>
                <w:szCs w:val="16"/>
              </w:rPr>
            </w:pPr>
            <w:r>
              <w:rPr>
                <w:rFonts w:ascii="宋体" w:hAnsi="宋体"/>
                <w:color w:val="000000"/>
                <w:kern w:val="0"/>
                <w:sz w:val="16"/>
              </w:rPr>
              <w:t>按要求按时报送各种材料（</w:t>
            </w:r>
            <w:r>
              <w:rPr>
                <w:color w:val="000000"/>
                <w:kern w:val="0"/>
                <w:sz w:val="16"/>
                <w:szCs w:val="16"/>
              </w:rPr>
              <w:t>1</w:t>
            </w:r>
            <w:r>
              <w:rPr>
                <w:rFonts w:ascii="宋体" w:hAnsi="宋体"/>
                <w:color w:val="000000"/>
                <w:kern w:val="0"/>
                <w:sz w:val="16"/>
              </w:rPr>
              <w:t>分）；受到省部级以上媒体或简报宣传（</w:t>
            </w:r>
            <w:r>
              <w:rPr>
                <w:color w:val="000000"/>
                <w:kern w:val="0"/>
                <w:sz w:val="16"/>
                <w:szCs w:val="16"/>
              </w:rPr>
              <w:t>1</w:t>
            </w:r>
            <w:r>
              <w:rPr>
                <w:rFonts w:ascii="宋体" w:hAnsi="宋体"/>
                <w:color w:val="000000"/>
                <w:kern w:val="0"/>
                <w:sz w:val="16"/>
              </w:rPr>
              <w:t>分）</w:t>
            </w:r>
          </w:p>
        </w:tc>
      </w:tr>
      <w:tr w14:paraId="0809D9D7">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E7E11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A0C8F8A">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247169">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7259D2EA">
            <w:pPr>
              <w:widowControl/>
              <w:jc w:val="center"/>
              <w:rPr>
                <w:color w:val="000000"/>
                <w:kern w:val="0"/>
                <w:sz w:val="16"/>
                <w:szCs w:val="16"/>
              </w:rPr>
            </w:pPr>
            <w:r>
              <w:rPr>
                <w:rFonts w:ascii="宋体" w:hAnsi="宋体"/>
                <w:color w:val="000000"/>
                <w:kern w:val="0"/>
                <w:sz w:val="16"/>
              </w:rPr>
              <w:t>绩效管理</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D90F853">
            <w:pPr>
              <w:widowControl/>
              <w:jc w:val="center"/>
              <w:rPr>
                <w:color w:val="000000"/>
                <w:kern w:val="0"/>
                <w:sz w:val="16"/>
                <w:szCs w:val="16"/>
              </w:rPr>
            </w:pPr>
            <w:r>
              <w:rPr>
                <w:color w:val="000000"/>
                <w:kern w:val="0"/>
                <w:sz w:val="16"/>
                <w:szCs w:val="16"/>
              </w:rPr>
              <w:t>7</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119DC">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：填报质量</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7C07FA4">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D0111">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6CBCAE9">
            <w:pPr>
              <w:widowControl/>
              <w:jc w:val="left"/>
              <w:rPr>
                <w:rFonts w:ascii="宋体" w:hAnsi="宋体" w:cs="宋体"/>
                <w:color w:val="000000"/>
                <w:kern w:val="0"/>
                <w:sz w:val="16"/>
                <w:szCs w:val="16"/>
              </w:rPr>
            </w:pPr>
            <w:r>
              <w:rPr>
                <w:rFonts w:hint="eastAsia" w:ascii="宋体" w:hAnsi="宋体" w:cs="宋体"/>
                <w:color w:val="000000"/>
                <w:kern w:val="0"/>
                <w:sz w:val="16"/>
                <w:szCs w:val="16"/>
              </w:rPr>
              <w:t>高</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CD0CF34">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9AF5AEA">
            <w:pPr>
              <w:widowControl/>
              <w:jc w:val="left"/>
              <w:rPr>
                <w:color w:val="000000"/>
                <w:kern w:val="0"/>
                <w:sz w:val="16"/>
                <w:szCs w:val="16"/>
              </w:rPr>
            </w:pPr>
            <w:r>
              <w:rPr>
                <w:rFonts w:ascii="宋体" w:hAnsi="宋体"/>
                <w:color w:val="000000"/>
                <w:kern w:val="0"/>
                <w:sz w:val="16"/>
              </w:rPr>
              <w:t>绩效指标填报是否准确、完整</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A176C">
            <w:pPr>
              <w:widowControl/>
              <w:jc w:val="left"/>
              <w:rPr>
                <w:color w:val="000000"/>
                <w:kern w:val="0"/>
                <w:sz w:val="16"/>
                <w:szCs w:val="16"/>
              </w:rPr>
            </w:pPr>
            <w:r>
              <w:rPr>
                <w:rFonts w:ascii="宋体" w:hAnsi="宋体"/>
                <w:color w:val="000000"/>
                <w:kern w:val="0"/>
                <w:sz w:val="16"/>
              </w:rPr>
              <w:t>绩效指标填报准确（</w:t>
            </w:r>
            <w:r>
              <w:rPr>
                <w:color w:val="000000"/>
                <w:kern w:val="0"/>
                <w:sz w:val="16"/>
                <w:szCs w:val="16"/>
              </w:rPr>
              <w:t>1.5</w:t>
            </w:r>
            <w:r>
              <w:rPr>
                <w:rFonts w:ascii="宋体" w:hAnsi="宋体"/>
                <w:color w:val="000000"/>
                <w:kern w:val="0"/>
                <w:sz w:val="16"/>
              </w:rPr>
              <w:t>分）；填报完整（</w:t>
            </w:r>
            <w:r>
              <w:rPr>
                <w:color w:val="000000"/>
                <w:kern w:val="0"/>
                <w:sz w:val="16"/>
                <w:szCs w:val="16"/>
              </w:rPr>
              <w:t>1.5</w:t>
            </w:r>
            <w:r>
              <w:rPr>
                <w:rFonts w:ascii="宋体" w:hAnsi="宋体"/>
                <w:color w:val="000000"/>
                <w:kern w:val="0"/>
                <w:sz w:val="16"/>
              </w:rPr>
              <w:t>分）</w:t>
            </w:r>
          </w:p>
        </w:tc>
      </w:tr>
      <w:tr w14:paraId="652B5239">
        <w:tblPrEx>
          <w:tblCellMar>
            <w:top w:w="0" w:type="dxa"/>
            <w:left w:w="108" w:type="dxa"/>
            <w:bottom w:w="0" w:type="dxa"/>
            <w:right w:w="108" w:type="dxa"/>
          </w:tblCellMar>
        </w:tblPrEx>
        <w:trPr>
          <w:trHeight w:val="7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C73293">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B0BA0B">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3E07A6">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FEEE39">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004C7">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70763">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：报送时效性</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F5E38BD">
            <w:pPr>
              <w:widowControl/>
              <w:jc w:val="center"/>
              <w:rPr>
                <w:color w:val="000000"/>
                <w:kern w:val="0"/>
                <w:sz w:val="16"/>
                <w:szCs w:val="16"/>
              </w:rPr>
            </w:pPr>
            <w:r>
              <w:rPr>
                <w:color w:val="000000"/>
                <w:kern w:val="0"/>
                <w:sz w:val="16"/>
                <w:szCs w:val="16"/>
              </w:rPr>
              <w:t>4</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5C5CB">
            <w:pPr>
              <w:widowControl/>
              <w:jc w:val="center"/>
              <w:rPr>
                <w:color w:val="000000"/>
                <w:kern w:val="0"/>
                <w:sz w:val="16"/>
                <w:szCs w:val="16"/>
              </w:rPr>
            </w:pPr>
            <w:r>
              <w:rPr>
                <w:color w:val="000000"/>
                <w:kern w:val="0"/>
                <w:sz w:val="16"/>
                <w:szCs w:val="16"/>
              </w:rPr>
              <w:t>/</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71AAFF">
            <w:pPr>
              <w:widowControl/>
              <w:jc w:val="left"/>
              <w:rPr>
                <w:rFonts w:ascii="宋体" w:hAnsi="宋体" w:cs="宋体"/>
                <w:color w:val="000000"/>
                <w:kern w:val="0"/>
                <w:sz w:val="16"/>
                <w:szCs w:val="16"/>
              </w:rPr>
            </w:pPr>
            <w:r>
              <w:rPr>
                <w:rFonts w:hint="eastAsia" w:ascii="宋体" w:hAnsi="宋体" w:cs="宋体"/>
                <w:color w:val="000000"/>
                <w:kern w:val="0"/>
                <w:sz w:val="16"/>
                <w:szCs w:val="16"/>
              </w:rPr>
              <w:t>及时</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42DFB1">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3079EFF">
            <w:pPr>
              <w:widowControl/>
              <w:jc w:val="left"/>
              <w:rPr>
                <w:rFonts w:ascii="宋体" w:hAnsi="宋体" w:cs="宋体"/>
                <w:color w:val="000000"/>
                <w:kern w:val="0"/>
                <w:sz w:val="16"/>
                <w:szCs w:val="16"/>
              </w:rPr>
            </w:pPr>
            <w:r>
              <w:rPr>
                <w:rFonts w:hint="eastAsia" w:ascii="宋体" w:hAnsi="宋体" w:cs="宋体"/>
                <w:color w:val="000000"/>
                <w:kern w:val="0"/>
                <w:sz w:val="16"/>
                <w:szCs w:val="16"/>
              </w:rPr>
              <w:t>是否在规定时间内报送绩效目标和自评材料</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435DC">
            <w:pPr>
              <w:widowControl/>
              <w:jc w:val="left"/>
              <w:rPr>
                <w:rFonts w:ascii="宋体" w:hAnsi="宋体" w:cs="宋体"/>
                <w:color w:val="000000"/>
                <w:kern w:val="0"/>
                <w:sz w:val="16"/>
                <w:szCs w:val="16"/>
              </w:rPr>
            </w:pPr>
            <w:r>
              <w:rPr>
                <w:rFonts w:hint="eastAsia" w:ascii="宋体" w:hAnsi="宋体" w:cs="宋体"/>
                <w:color w:val="000000"/>
                <w:kern w:val="0"/>
                <w:sz w:val="16"/>
                <w:szCs w:val="16"/>
              </w:rPr>
              <w:t>在规定时间内报送绩效目标（2分）；在规定的时间内报送绩效自评材料（2分）</w:t>
            </w:r>
          </w:p>
        </w:tc>
      </w:tr>
      <w:tr w14:paraId="16A1E363">
        <w:tblPrEx>
          <w:tblCellMar>
            <w:top w:w="0" w:type="dxa"/>
            <w:left w:w="108" w:type="dxa"/>
            <w:bottom w:w="0" w:type="dxa"/>
            <w:right w:w="108" w:type="dxa"/>
          </w:tblCellMar>
        </w:tblPrEx>
        <w:trPr>
          <w:trHeight w:val="567"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99334C">
            <w:pPr>
              <w:widowControl/>
              <w:jc w:val="center"/>
              <w:rPr>
                <w:rFonts w:ascii="宋体" w:hAnsi="宋体" w:cs="宋体"/>
                <w:color w:val="000000"/>
                <w:kern w:val="0"/>
                <w:sz w:val="16"/>
                <w:szCs w:val="16"/>
              </w:rPr>
            </w:pPr>
            <w:r>
              <w:rPr>
                <w:rFonts w:hint="eastAsia" w:ascii="宋体" w:hAnsi="宋体" w:cs="宋体"/>
                <w:color w:val="000000"/>
                <w:kern w:val="0"/>
                <w:sz w:val="16"/>
                <w:szCs w:val="16"/>
              </w:rPr>
              <w:t>绩效指标</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CCA2E9">
            <w:pPr>
              <w:widowControl/>
              <w:jc w:val="center"/>
              <w:rPr>
                <w:rFonts w:ascii="宋体" w:hAnsi="宋体" w:cs="宋体"/>
                <w:color w:val="000000"/>
                <w:kern w:val="0"/>
                <w:sz w:val="16"/>
                <w:szCs w:val="16"/>
              </w:rPr>
            </w:pPr>
            <w:r>
              <w:rPr>
                <w:rFonts w:hint="eastAsia" w:ascii="宋体" w:hAnsi="宋体" w:cs="宋体"/>
                <w:color w:val="000000"/>
                <w:kern w:val="0"/>
                <w:sz w:val="16"/>
                <w:szCs w:val="16"/>
              </w:rPr>
              <w:t>产出指标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A35741">
            <w:pPr>
              <w:widowControl/>
              <w:jc w:val="center"/>
              <w:rPr>
                <w:color w:val="000000"/>
                <w:kern w:val="0"/>
                <w:sz w:val="16"/>
                <w:szCs w:val="16"/>
              </w:rPr>
            </w:pPr>
            <w:r>
              <w:rPr>
                <w:color w:val="000000"/>
                <w:kern w:val="0"/>
                <w:sz w:val="16"/>
                <w:szCs w:val="16"/>
              </w:rPr>
              <w:t>36</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2D18390">
            <w:pPr>
              <w:widowControl/>
              <w:jc w:val="center"/>
              <w:rPr>
                <w:rFonts w:ascii="宋体" w:hAnsi="宋体" w:cs="宋体"/>
                <w:color w:val="000000"/>
                <w:kern w:val="0"/>
                <w:sz w:val="16"/>
                <w:szCs w:val="16"/>
              </w:rPr>
            </w:pPr>
            <w:r>
              <w:rPr>
                <w:rFonts w:hint="eastAsia" w:ascii="宋体" w:hAnsi="宋体" w:cs="宋体"/>
                <w:color w:val="000000"/>
                <w:kern w:val="0"/>
                <w:sz w:val="16"/>
                <w:szCs w:val="16"/>
              </w:rPr>
              <w:t>数量指标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6F7F13">
            <w:pPr>
              <w:widowControl/>
              <w:jc w:val="center"/>
              <w:rPr>
                <w:color w:val="000000"/>
                <w:kern w:val="0"/>
                <w:sz w:val="16"/>
                <w:szCs w:val="16"/>
              </w:rPr>
            </w:pPr>
            <w:r>
              <w:rPr>
                <w:color w:val="000000"/>
                <w:kern w:val="0"/>
                <w:sz w:val="16"/>
                <w:szCs w:val="16"/>
              </w:rPr>
              <w:t>20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09796">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：资金直补受益移民（人）</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2C5D237">
            <w:pPr>
              <w:widowControl/>
              <w:jc w:val="center"/>
              <w:rPr>
                <w:color w:val="000000"/>
                <w:kern w:val="0"/>
                <w:sz w:val="16"/>
                <w:szCs w:val="16"/>
              </w:rPr>
            </w:pPr>
            <w:r>
              <w:rPr>
                <w:color w:val="000000"/>
                <w:kern w:val="0"/>
                <w:sz w:val="16"/>
                <w:szCs w:val="16"/>
              </w:rPr>
              <w:t>5</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F4FDF">
            <w:pPr>
              <w:widowControl/>
              <w:jc w:val="center"/>
              <w:rPr>
                <w:color w:val="000000"/>
                <w:kern w:val="0"/>
                <w:sz w:val="16"/>
                <w:szCs w:val="16"/>
              </w:rPr>
            </w:pPr>
            <w:r>
              <w:rPr>
                <w:color w:val="000000"/>
                <w:kern w:val="0"/>
                <w:sz w:val="16"/>
                <w:szCs w:val="16"/>
              </w:rPr>
              <w:t>13725</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48009">
            <w:pPr>
              <w:widowControl/>
              <w:jc w:val="right"/>
              <w:rPr>
                <w:color w:val="000000"/>
                <w:kern w:val="0"/>
                <w:sz w:val="16"/>
                <w:szCs w:val="16"/>
              </w:rPr>
            </w:pPr>
            <w:r>
              <w:rPr>
                <w:color w:val="000000"/>
                <w:kern w:val="0"/>
                <w:sz w:val="16"/>
                <w:szCs w:val="16"/>
              </w:rPr>
              <w:t>13725</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82A41">
            <w:pPr>
              <w:widowControl/>
              <w:jc w:val="center"/>
              <w:rPr>
                <w:color w:val="000000"/>
                <w:kern w:val="0"/>
                <w:sz w:val="16"/>
                <w:szCs w:val="16"/>
              </w:rPr>
            </w:pPr>
            <w:r>
              <w:rPr>
                <w:color w:val="000000"/>
                <w:kern w:val="0"/>
                <w:sz w:val="16"/>
                <w:szCs w:val="16"/>
              </w:rPr>
              <w:t>5</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48B4E8B">
            <w:pPr>
              <w:widowControl/>
              <w:jc w:val="left"/>
              <w:rPr>
                <w:rFonts w:ascii="宋体" w:hAnsi="宋体" w:cs="宋体"/>
                <w:color w:val="000000"/>
                <w:kern w:val="0"/>
                <w:sz w:val="16"/>
                <w:szCs w:val="16"/>
              </w:rPr>
            </w:pPr>
            <w:r>
              <w:rPr>
                <w:rFonts w:hint="eastAsia" w:ascii="宋体" w:hAnsi="宋体" w:cs="宋体"/>
                <w:color w:val="000000"/>
                <w:kern w:val="0"/>
                <w:sz w:val="16"/>
                <w:szCs w:val="16"/>
              </w:rPr>
              <w:t>资金直补方式、两者结合方式扶持的移民人数</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264E74">
            <w:pPr>
              <w:widowControl/>
              <w:jc w:val="left"/>
              <w:rPr>
                <w:rFonts w:ascii="宋体" w:hAnsi="宋体" w:cs="宋体"/>
                <w:color w:val="000000"/>
                <w:kern w:val="0"/>
                <w:sz w:val="16"/>
                <w:szCs w:val="16"/>
              </w:rPr>
            </w:pPr>
            <w:r>
              <w:rPr>
                <w:rFonts w:ascii="宋体" w:hAnsi="宋体" w:cs="宋体"/>
                <w:color w:val="000000"/>
                <w:kern w:val="0"/>
                <w:sz w:val="16"/>
              </w:rPr>
              <w:t>对照绩效目标评价产出数量（</w:t>
            </w:r>
            <w:r>
              <w:rPr>
                <w:color w:val="000000"/>
                <w:kern w:val="0"/>
                <w:sz w:val="16"/>
                <w:szCs w:val="16"/>
              </w:rPr>
              <w:t>20</w:t>
            </w:r>
            <w:r>
              <w:rPr>
                <w:rFonts w:ascii="宋体" w:hAnsi="宋体" w:cs="宋体"/>
                <w:color w:val="000000"/>
                <w:kern w:val="0"/>
                <w:sz w:val="16"/>
              </w:rPr>
              <w:t>分），全部达到绩效目标的，得满分；否则，按照绩效目标完成比例得分</w:t>
            </w:r>
          </w:p>
        </w:tc>
      </w:tr>
      <w:tr w14:paraId="6306C430">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4FC41E">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5AF1A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ED811A">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15B9C11">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B48BE9">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3A6EE">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：避险解困移民（人）</w:t>
            </w:r>
          </w:p>
        </w:tc>
        <w:tc>
          <w:tcPr>
            <w:tcW w:w="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EFB253">
            <w:pPr>
              <w:widowControl/>
              <w:jc w:val="center"/>
              <w:rPr>
                <w:color w:val="000000"/>
                <w:kern w:val="0"/>
                <w:sz w:val="16"/>
                <w:szCs w:val="16"/>
              </w:rPr>
            </w:pPr>
            <w:r>
              <w:rPr>
                <w:color w:val="000000"/>
                <w:kern w:val="0"/>
                <w:sz w:val="16"/>
                <w:szCs w:val="16"/>
              </w:rPr>
              <w:t>15</w:t>
            </w:r>
            <w:r>
              <w:rPr>
                <w:rFonts w:ascii="宋体" w:hAnsi="宋体"/>
                <w:color w:val="000000"/>
                <w:kern w:val="0"/>
                <w:sz w:val="16"/>
              </w:rPr>
              <w:t>（根据各省中央资金分项投资所占权重分配各指标分值）</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5031B">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129FB8">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543EA">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C154D05">
            <w:pPr>
              <w:widowControl/>
              <w:jc w:val="left"/>
              <w:rPr>
                <w:rFonts w:ascii="宋体" w:hAnsi="宋体" w:cs="宋体"/>
                <w:color w:val="000000"/>
                <w:kern w:val="0"/>
                <w:sz w:val="16"/>
                <w:szCs w:val="16"/>
              </w:rPr>
            </w:pPr>
            <w:r>
              <w:rPr>
                <w:rFonts w:hint="eastAsia" w:ascii="宋体" w:hAnsi="宋体" w:cs="宋体"/>
                <w:color w:val="000000"/>
                <w:kern w:val="0"/>
                <w:sz w:val="16"/>
                <w:szCs w:val="16"/>
              </w:rPr>
              <w:t>实施避险解困搬迁的移民人数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5EDE4E5E">
            <w:pPr>
              <w:widowControl/>
              <w:jc w:val="left"/>
              <w:rPr>
                <w:rFonts w:ascii="宋体" w:hAnsi="宋体" w:cs="宋体"/>
                <w:color w:val="000000"/>
                <w:kern w:val="0"/>
                <w:sz w:val="16"/>
                <w:szCs w:val="16"/>
              </w:rPr>
            </w:pPr>
          </w:p>
        </w:tc>
      </w:tr>
      <w:tr w14:paraId="5A157AA0">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A172DA">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6BDFA">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6227D6">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BCD5D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B1B827A">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52F3A">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3</w:t>
            </w:r>
            <w:r>
              <w:rPr>
                <w:rFonts w:ascii="宋体" w:hAnsi="宋体"/>
                <w:color w:val="000000"/>
                <w:kern w:val="0"/>
                <w:sz w:val="16"/>
              </w:rPr>
              <w:t>：移民美丽家园项目（个）</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A5EA49">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0FC2D">
            <w:pPr>
              <w:widowControl/>
              <w:jc w:val="center"/>
              <w:rPr>
                <w:color w:val="000000"/>
                <w:kern w:val="0"/>
                <w:sz w:val="16"/>
                <w:szCs w:val="16"/>
              </w:rPr>
            </w:pPr>
            <w:r>
              <w:rPr>
                <w:color w:val="000000"/>
                <w:kern w:val="0"/>
                <w:sz w:val="16"/>
                <w:szCs w:val="16"/>
              </w:rPr>
              <w:t>12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6AE0F">
            <w:pPr>
              <w:widowControl/>
              <w:jc w:val="right"/>
              <w:rPr>
                <w:color w:val="000000"/>
                <w:kern w:val="0"/>
                <w:sz w:val="16"/>
                <w:szCs w:val="16"/>
              </w:rPr>
            </w:pPr>
            <w:r>
              <w:rPr>
                <w:color w:val="000000"/>
                <w:kern w:val="0"/>
                <w:sz w:val="16"/>
                <w:szCs w:val="16"/>
              </w:rPr>
              <w:t>12</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CFC4D">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376658">
            <w:pPr>
              <w:widowControl/>
              <w:jc w:val="left"/>
              <w:rPr>
                <w:rFonts w:ascii="宋体" w:hAnsi="宋体" w:cs="宋体"/>
                <w:color w:val="000000"/>
                <w:kern w:val="0"/>
                <w:sz w:val="16"/>
                <w:szCs w:val="16"/>
              </w:rPr>
            </w:pPr>
            <w:r>
              <w:rPr>
                <w:rFonts w:hint="eastAsia" w:ascii="宋体" w:hAnsi="宋体" w:cs="宋体"/>
                <w:color w:val="000000"/>
                <w:kern w:val="0"/>
                <w:sz w:val="16"/>
                <w:szCs w:val="16"/>
              </w:rPr>
              <w:t>美丽家园类（基础设施、社会事业、生态建设及环境保护等）项目个数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519A373A">
            <w:pPr>
              <w:widowControl/>
              <w:jc w:val="left"/>
              <w:rPr>
                <w:rFonts w:ascii="宋体" w:hAnsi="宋体" w:cs="宋体"/>
                <w:color w:val="000000"/>
                <w:kern w:val="0"/>
                <w:sz w:val="16"/>
                <w:szCs w:val="16"/>
              </w:rPr>
            </w:pPr>
          </w:p>
        </w:tc>
      </w:tr>
      <w:tr w14:paraId="662301E4">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92CA21">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8897F8">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FACF03">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97CC166">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D4133B">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4B756">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4</w:t>
            </w:r>
            <w:r>
              <w:rPr>
                <w:rFonts w:ascii="宋体" w:hAnsi="宋体"/>
                <w:color w:val="000000"/>
                <w:kern w:val="0"/>
                <w:sz w:val="16"/>
              </w:rPr>
              <w:t>：生产开发及配套设施项目（个）</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1BE8FD">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C603A">
            <w:pPr>
              <w:widowControl/>
              <w:jc w:val="center"/>
              <w:rPr>
                <w:color w:val="000000"/>
                <w:kern w:val="0"/>
                <w:sz w:val="16"/>
                <w:szCs w:val="16"/>
              </w:rPr>
            </w:pPr>
            <w:r>
              <w:rPr>
                <w:color w:val="000000"/>
                <w:kern w:val="0"/>
                <w:sz w:val="16"/>
                <w:szCs w:val="16"/>
              </w:rPr>
              <w:t>69</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440F1">
            <w:pPr>
              <w:widowControl/>
              <w:jc w:val="right"/>
              <w:rPr>
                <w:color w:val="000000"/>
                <w:kern w:val="0"/>
                <w:sz w:val="16"/>
                <w:szCs w:val="16"/>
              </w:rPr>
            </w:pPr>
            <w:r>
              <w:rPr>
                <w:color w:val="000000"/>
                <w:kern w:val="0"/>
                <w:sz w:val="16"/>
                <w:szCs w:val="16"/>
              </w:rPr>
              <w:t>69</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07C2C">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DD9BC35">
            <w:pPr>
              <w:widowControl/>
              <w:jc w:val="left"/>
              <w:rPr>
                <w:rFonts w:ascii="宋体" w:hAnsi="宋体" w:cs="宋体"/>
                <w:color w:val="000000"/>
                <w:kern w:val="0"/>
                <w:sz w:val="16"/>
                <w:szCs w:val="16"/>
              </w:rPr>
            </w:pPr>
            <w:r>
              <w:rPr>
                <w:rFonts w:hint="eastAsia" w:ascii="宋体" w:hAnsi="宋体" w:cs="宋体"/>
                <w:color w:val="000000"/>
                <w:kern w:val="0"/>
                <w:sz w:val="16"/>
                <w:szCs w:val="16"/>
              </w:rPr>
              <w:t>生产开发及配套设施类（基本口粮田及水利设施配套、生产开发等）项目个数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4EB523B0">
            <w:pPr>
              <w:widowControl/>
              <w:jc w:val="left"/>
              <w:rPr>
                <w:rFonts w:ascii="宋体" w:hAnsi="宋体" w:cs="宋体"/>
                <w:color w:val="000000"/>
                <w:kern w:val="0"/>
                <w:sz w:val="16"/>
                <w:szCs w:val="16"/>
              </w:rPr>
            </w:pPr>
          </w:p>
        </w:tc>
      </w:tr>
      <w:tr w14:paraId="7080FF9B">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C1D750">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F1F039">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C8B39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574779">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067767">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38D04">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5</w:t>
            </w:r>
            <w:r>
              <w:rPr>
                <w:rFonts w:ascii="宋体" w:hAnsi="宋体"/>
                <w:color w:val="000000"/>
                <w:kern w:val="0"/>
                <w:sz w:val="16"/>
              </w:rPr>
              <w:t>：培训移民劳动力（人次）</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07D05E">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D0196">
            <w:pPr>
              <w:widowControl/>
              <w:jc w:val="center"/>
              <w:rPr>
                <w:color w:val="000000"/>
                <w:kern w:val="0"/>
                <w:sz w:val="16"/>
                <w:szCs w:val="16"/>
              </w:rPr>
            </w:pPr>
            <w:r>
              <w:rPr>
                <w:color w:val="000000"/>
                <w:kern w:val="0"/>
                <w:sz w:val="16"/>
                <w:szCs w:val="16"/>
              </w:rPr>
              <w:t>890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EAAEA">
            <w:pPr>
              <w:widowControl/>
              <w:jc w:val="right"/>
              <w:rPr>
                <w:color w:val="000000"/>
                <w:kern w:val="0"/>
                <w:sz w:val="16"/>
                <w:szCs w:val="16"/>
              </w:rPr>
            </w:pPr>
            <w:r>
              <w:rPr>
                <w:color w:val="000000"/>
                <w:kern w:val="0"/>
                <w:sz w:val="16"/>
                <w:szCs w:val="16"/>
              </w:rPr>
              <w:t>890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28246">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0A97487">
            <w:pPr>
              <w:widowControl/>
              <w:jc w:val="left"/>
              <w:rPr>
                <w:rFonts w:ascii="宋体" w:hAnsi="宋体" w:cs="宋体"/>
                <w:color w:val="000000"/>
                <w:kern w:val="0"/>
                <w:sz w:val="16"/>
                <w:szCs w:val="16"/>
              </w:rPr>
            </w:pPr>
            <w:r>
              <w:rPr>
                <w:rFonts w:hint="eastAsia" w:ascii="宋体" w:hAnsi="宋体" w:cs="宋体"/>
                <w:color w:val="000000"/>
                <w:kern w:val="0"/>
                <w:sz w:val="16"/>
                <w:szCs w:val="16"/>
              </w:rPr>
              <w:t>职业教育、职业技能培训、实用技术培训等方式培训的移民劳动力人次</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298284C0">
            <w:pPr>
              <w:widowControl/>
              <w:jc w:val="left"/>
              <w:rPr>
                <w:rFonts w:ascii="宋体" w:hAnsi="宋体" w:cs="宋体"/>
                <w:color w:val="000000"/>
                <w:kern w:val="0"/>
                <w:sz w:val="16"/>
                <w:szCs w:val="16"/>
              </w:rPr>
            </w:pPr>
          </w:p>
        </w:tc>
      </w:tr>
      <w:tr w14:paraId="74FE226E">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029AC76">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FD7FEC">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D1414D">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EA5392">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2E57B1">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D12DC">
            <w:pPr>
              <w:widowControl/>
              <w:jc w:val="left"/>
              <w:rPr>
                <w:rFonts w:ascii="宋体" w:hAnsi="宋体" w:cs="宋体"/>
                <w:color w:val="000000"/>
                <w:kern w:val="0"/>
                <w:sz w:val="16"/>
                <w:szCs w:val="16"/>
              </w:rPr>
            </w:pPr>
            <w:r>
              <w:rPr>
                <w:rFonts w:ascii="宋体" w:hAnsi="宋体" w:cs="宋体"/>
                <w:color w:val="000000"/>
                <w:kern w:val="0"/>
                <w:sz w:val="16"/>
              </w:rPr>
              <w:t>指标</w:t>
            </w:r>
            <w:r>
              <w:rPr>
                <w:color w:val="000000"/>
                <w:kern w:val="0"/>
                <w:sz w:val="16"/>
                <w:szCs w:val="16"/>
              </w:rPr>
              <w:t>6</w:t>
            </w:r>
            <w:r>
              <w:rPr>
                <w:rFonts w:ascii="宋体" w:hAnsi="宋体" w:cs="宋体"/>
                <w:color w:val="000000"/>
                <w:kern w:val="0"/>
                <w:sz w:val="16"/>
              </w:rPr>
              <w:t>：监督检查项目（个）</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27C141">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8EE49C">
            <w:pPr>
              <w:widowControl/>
              <w:jc w:val="center"/>
              <w:rPr>
                <w:color w:val="000000"/>
                <w:kern w:val="0"/>
                <w:sz w:val="16"/>
                <w:szCs w:val="16"/>
              </w:rPr>
            </w:pPr>
            <w:r>
              <w:rPr>
                <w:color w:val="000000"/>
                <w:kern w:val="0"/>
                <w:sz w:val="16"/>
                <w:szCs w:val="16"/>
              </w:rPr>
              <w:t>29</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BE5AF">
            <w:pPr>
              <w:widowControl/>
              <w:jc w:val="right"/>
              <w:rPr>
                <w:color w:val="000000"/>
                <w:kern w:val="0"/>
                <w:sz w:val="16"/>
                <w:szCs w:val="16"/>
              </w:rPr>
            </w:pPr>
            <w:r>
              <w:rPr>
                <w:color w:val="000000"/>
                <w:kern w:val="0"/>
                <w:sz w:val="16"/>
                <w:szCs w:val="16"/>
              </w:rPr>
              <w:t>29</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2E10B">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05C40EC">
            <w:pPr>
              <w:widowControl/>
              <w:jc w:val="left"/>
              <w:rPr>
                <w:rFonts w:ascii="宋体" w:hAnsi="宋体" w:cs="宋体"/>
                <w:color w:val="000000"/>
                <w:kern w:val="0"/>
                <w:sz w:val="16"/>
                <w:szCs w:val="16"/>
              </w:rPr>
            </w:pPr>
            <w:r>
              <w:rPr>
                <w:rFonts w:hint="eastAsia" w:ascii="宋体" w:hAnsi="宋体" w:cs="宋体"/>
                <w:color w:val="000000"/>
                <w:kern w:val="0"/>
                <w:sz w:val="16"/>
                <w:szCs w:val="16"/>
              </w:rPr>
              <w:t>按国家及地方规定开展的不同区域范围的监督检查项目个数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6C2D1872">
            <w:pPr>
              <w:widowControl/>
              <w:jc w:val="left"/>
              <w:rPr>
                <w:rFonts w:ascii="宋体" w:hAnsi="宋体" w:cs="宋体"/>
                <w:color w:val="000000"/>
                <w:kern w:val="0"/>
                <w:sz w:val="16"/>
                <w:szCs w:val="16"/>
              </w:rPr>
            </w:pPr>
          </w:p>
        </w:tc>
      </w:tr>
      <w:tr w14:paraId="745B676B">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4687B0">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15EB62">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6C2DA7">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424DB0">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B035EDE">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0E730">
            <w:pPr>
              <w:widowControl/>
              <w:jc w:val="left"/>
              <w:rPr>
                <w:rFonts w:ascii="宋体" w:hAnsi="宋体" w:cs="宋体"/>
                <w:color w:val="000000"/>
                <w:kern w:val="0"/>
                <w:sz w:val="16"/>
                <w:szCs w:val="16"/>
              </w:rPr>
            </w:pPr>
            <w:r>
              <w:rPr>
                <w:rFonts w:ascii="宋体" w:hAnsi="宋体" w:cs="宋体"/>
                <w:color w:val="000000"/>
                <w:kern w:val="0"/>
                <w:sz w:val="16"/>
              </w:rPr>
              <w:t>指标</w:t>
            </w:r>
            <w:r>
              <w:rPr>
                <w:color w:val="000000"/>
                <w:kern w:val="0"/>
                <w:sz w:val="16"/>
                <w:szCs w:val="16"/>
              </w:rPr>
              <w:t>7</w:t>
            </w:r>
            <w:r>
              <w:rPr>
                <w:rFonts w:ascii="宋体" w:hAnsi="宋体" w:cs="宋体"/>
                <w:color w:val="000000"/>
                <w:kern w:val="0"/>
                <w:sz w:val="16"/>
              </w:rPr>
              <w:t>：其他项目（个）</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3E9BADB">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47228">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5B472">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FCAE8">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BC431E1">
            <w:pPr>
              <w:widowControl/>
              <w:jc w:val="left"/>
              <w:rPr>
                <w:rFonts w:ascii="宋体" w:hAnsi="宋体" w:cs="宋体"/>
                <w:color w:val="000000"/>
                <w:kern w:val="0"/>
                <w:sz w:val="16"/>
                <w:szCs w:val="16"/>
              </w:rPr>
            </w:pPr>
            <w:r>
              <w:rPr>
                <w:rFonts w:hint="eastAsia" w:ascii="宋体" w:hAnsi="宋体" w:cs="宋体"/>
                <w:color w:val="000000"/>
                <w:kern w:val="0"/>
                <w:sz w:val="16"/>
                <w:szCs w:val="16"/>
              </w:rPr>
              <w:t>不在上述类别范围内的项目个数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1A9B819C">
            <w:pPr>
              <w:widowControl/>
              <w:jc w:val="left"/>
              <w:rPr>
                <w:rFonts w:ascii="宋体" w:hAnsi="宋体" w:cs="宋体"/>
                <w:color w:val="000000"/>
                <w:kern w:val="0"/>
                <w:sz w:val="16"/>
                <w:szCs w:val="16"/>
              </w:rPr>
            </w:pPr>
          </w:p>
        </w:tc>
      </w:tr>
      <w:tr w14:paraId="536D2DAA">
        <w:tblPrEx>
          <w:tblCellMar>
            <w:top w:w="0" w:type="dxa"/>
            <w:left w:w="108" w:type="dxa"/>
            <w:bottom w:w="0" w:type="dxa"/>
            <w:right w:w="108" w:type="dxa"/>
          </w:tblCellMar>
        </w:tblPrEx>
        <w:trPr>
          <w:trHeight w:val="396"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11351B">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C6BA76">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6D9506">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F7F53A">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B8E0DE">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14C1F">
            <w:pPr>
              <w:widowControl/>
              <w:jc w:val="left"/>
              <w:rPr>
                <w:color w:val="000000"/>
                <w:kern w:val="0"/>
                <w:sz w:val="16"/>
                <w:szCs w:val="16"/>
              </w:rPr>
            </w:pPr>
            <w:r>
              <w:rPr>
                <w:color w:val="000000"/>
                <w:kern w:val="0"/>
                <w:sz w:val="16"/>
                <w:szCs w:val="16"/>
              </w:rPr>
              <w:t>……</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10DEAA">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49A4F">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EA022">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A3072">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417AF">
            <w:pPr>
              <w:widowControl/>
              <w:jc w:val="left"/>
              <w:rPr>
                <w:color w:val="000000"/>
                <w:kern w:val="0"/>
                <w:sz w:val="16"/>
                <w:szCs w:val="16"/>
              </w:rPr>
            </w:pP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04A78640">
            <w:pPr>
              <w:widowControl/>
              <w:jc w:val="left"/>
              <w:rPr>
                <w:rFonts w:ascii="宋体" w:hAnsi="宋体" w:cs="宋体"/>
                <w:color w:val="000000"/>
                <w:kern w:val="0"/>
                <w:sz w:val="16"/>
                <w:szCs w:val="16"/>
              </w:rPr>
            </w:pPr>
          </w:p>
        </w:tc>
      </w:tr>
      <w:tr w14:paraId="159AF059">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33E8DA">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3C6A6B">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6ABDAF">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CA5162">
            <w:pPr>
              <w:widowControl/>
              <w:jc w:val="center"/>
              <w:rPr>
                <w:rFonts w:ascii="宋体" w:hAnsi="宋体" w:cs="宋体"/>
                <w:color w:val="000000"/>
                <w:kern w:val="0"/>
                <w:sz w:val="16"/>
                <w:szCs w:val="16"/>
              </w:rPr>
            </w:pPr>
            <w:r>
              <w:rPr>
                <w:rFonts w:hint="eastAsia" w:ascii="宋体" w:hAnsi="宋体" w:cs="宋体"/>
                <w:color w:val="000000"/>
                <w:kern w:val="0"/>
                <w:sz w:val="16"/>
                <w:szCs w:val="16"/>
              </w:rPr>
              <w:t>质量指标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EEA0C0">
            <w:pPr>
              <w:widowControl/>
              <w:jc w:val="center"/>
              <w:rPr>
                <w:color w:val="000000"/>
                <w:kern w:val="0"/>
                <w:sz w:val="16"/>
                <w:szCs w:val="16"/>
              </w:rPr>
            </w:pPr>
            <w:r>
              <w:rPr>
                <w:color w:val="000000"/>
                <w:kern w:val="0"/>
                <w:sz w:val="16"/>
                <w:szCs w:val="16"/>
              </w:rPr>
              <w:t>4</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6626D">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：培训合格率（</w:t>
            </w:r>
            <w:r>
              <w:rPr>
                <w:color w:val="000000"/>
                <w:kern w:val="0"/>
                <w:sz w:val="16"/>
                <w:szCs w:val="16"/>
              </w:rPr>
              <w:t>%</w:t>
            </w:r>
            <w:r>
              <w:rPr>
                <w:rFonts w:ascii="宋体" w:hAnsi="宋体"/>
                <w:color w:val="000000"/>
                <w:kern w:val="0"/>
                <w:sz w:val="16"/>
              </w:rPr>
              <w:t>）</w:t>
            </w:r>
          </w:p>
        </w:tc>
        <w:tc>
          <w:tcPr>
            <w:tcW w:w="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291261C">
            <w:pPr>
              <w:widowControl/>
              <w:ind w:left="-105" w:leftChars="-50" w:right="-105" w:rightChars="-50"/>
              <w:jc w:val="center"/>
              <w:rPr>
                <w:color w:val="000000"/>
                <w:kern w:val="0"/>
                <w:sz w:val="16"/>
                <w:szCs w:val="16"/>
              </w:rPr>
            </w:pPr>
            <w:r>
              <w:rPr>
                <w:color w:val="000000"/>
                <w:kern w:val="0"/>
                <w:sz w:val="16"/>
                <w:szCs w:val="16"/>
              </w:rPr>
              <w:t>4</w:t>
            </w:r>
            <w:r>
              <w:rPr>
                <w:rFonts w:ascii="宋体" w:hAnsi="宋体"/>
                <w:color w:val="000000"/>
                <w:kern w:val="0"/>
                <w:sz w:val="16"/>
              </w:rPr>
              <w:t>（根据各省中央资金分项投资所占权重分配各指标分值）</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51CD9">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CCF58">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41768">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7DB8F">
            <w:pPr>
              <w:widowControl/>
              <w:jc w:val="left"/>
              <w:rPr>
                <w:rFonts w:ascii="宋体" w:hAnsi="宋体" w:cs="宋体"/>
                <w:color w:val="000000"/>
                <w:kern w:val="0"/>
                <w:sz w:val="16"/>
                <w:szCs w:val="16"/>
              </w:rPr>
            </w:pPr>
            <w:r>
              <w:rPr>
                <w:rFonts w:ascii="宋体" w:hAnsi="宋体" w:cs="宋体"/>
                <w:color w:val="000000"/>
                <w:kern w:val="0"/>
                <w:sz w:val="16"/>
              </w:rPr>
              <w:t>培训合格的移民劳动力人次</w:t>
            </w:r>
            <w:r>
              <w:rPr>
                <w:color w:val="000000"/>
                <w:kern w:val="0"/>
                <w:sz w:val="16"/>
                <w:szCs w:val="16"/>
              </w:rPr>
              <w:t>/</w:t>
            </w:r>
            <w:r>
              <w:rPr>
                <w:rFonts w:ascii="宋体" w:hAnsi="宋体" w:cs="宋体"/>
                <w:color w:val="000000"/>
                <w:kern w:val="0"/>
                <w:sz w:val="16"/>
              </w:rPr>
              <w:t>完成培训的移民劳动力人次</w:t>
            </w:r>
            <w:r>
              <w:rPr>
                <w:color w:val="000000"/>
                <w:kern w:val="0"/>
                <w:sz w:val="16"/>
                <w:szCs w:val="16"/>
              </w:rPr>
              <w:t>×100%</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FFAB496">
            <w:pPr>
              <w:widowControl/>
              <w:jc w:val="left"/>
              <w:rPr>
                <w:rFonts w:ascii="宋体" w:hAnsi="宋体" w:cs="宋体"/>
                <w:color w:val="000000"/>
                <w:kern w:val="0"/>
                <w:sz w:val="16"/>
                <w:szCs w:val="16"/>
              </w:rPr>
            </w:pPr>
            <w:r>
              <w:rPr>
                <w:rFonts w:ascii="宋体" w:hAnsi="宋体" w:cs="宋体"/>
                <w:color w:val="000000"/>
                <w:kern w:val="0"/>
                <w:sz w:val="16"/>
              </w:rPr>
              <w:t>对照绩效目标评价产出质量（</w:t>
            </w:r>
            <w:r>
              <w:rPr>
                <w:color w:val="000000"/>
                <w:kern w:val="0"/>
                <w:sz w:val="16"/>
                <w:szCs w:val="16"/>
              </w:rPr>
              <w:t>4</w:t>
            </w:r>
            <w:r>
              <w:rPr>
                <w:rFonts w:ascii="宋体" w:hAnsi="宋体" w:cs="宋体"/>
                <w:color w:val="000000"/>
                <w:kern w:val="0"/>
                <w:sz w:val="16"/>
              </w:rPr>
              <w:t>分），全部达到绩效目标的，得满分；否则，按照绩效目标完成比例得分</w:t>
            </w:r>
          </w:p>
        </w:tc>
      </w:tr>
      <w:tr w14:paraId="0FEA64FF">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55D69B">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82B94C3">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25EF7F">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C5AB66">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85A55F">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46810">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：项目（不含移民培训）验收合格率（</w:t>
            </w:r>
            <w:r>
              <w:rPr>
                <w:color w:val="000000"/>
                <w:kern w:val="0"/>
                <w:sz w:val="16"/>
                <w:szCs w:val="16"/>
              </w:rPr>
              <w:t>%</w:t>
            </w:r>
            <w:r>
              <w:rPr>
                <w:rFonts w:ascii="宋体" w:hAnsi="宋体"/>
                <w:color w:val="000000"/>
                <w:kern w:val="0"/>
                <w:sz w:val="16"/>
              </w:rPr>
              <w:t>）</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EBAED62">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F82FB">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7907DE">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DA7FE">
            <w:pPr>
              <w:widowControl/>
              <w:jc w:val="center"/>
              <w:rPr>
                <w:color w:val="000000"/>
                <w:kern w:val="0"/>
                <w:sz w:val="16"/>
                <w:szCs w:val="16"/>
              </w:rPr>
            </w:pPr>
            <w:r>
              <w:rPr>
                <w:color w:val="000000"/>
                <w:kern w:val="0"/>
                <w:sz w:val="16"/>
                <w:szCs w:val="16"/>
              </w:rPr>
              <w:t>2</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60481">
            <w:pPr>
              <w:widowControl/>
              <w:jc w:val="left"/>
              <w:rPr>
                <w:rFonts w:ascii="宋体" w:hAnsi="宋体" w:cs="宋体"/>
                <w:color w:val="000000"/>
                <w:kern w:val="0"/>
                <w:sz w:val="16"/>
                <w:szCs w:val="16"/>
              </w:rPr>
            </w:pPr>
            <w:r>
              <w:rPr>
                <w:rFonts w:ascii="宋体" w:hAnsi="宋体" w:cs="宋体"/>
                <w:color w:val="000000"/>
                <w:kern w:val="0"/>
                <w:sz w:val="16"/>
              </w:rPr>
              <w:t>验收合格的项目个数</w:t>
            </w:r>
            <w:r>
              <w:rPr>
                <w:color w:val="000000"/>
                <w:kern w:val="0"/>
                <w:sz w:val="16"/>
                <w:szCs w:val="16"/>
              </w:rPr>
              <w:t>/</w:t>
            </w:r>
            <w:r>
              <w:rPr>
                <w:rFonts w:ascii="宋体" w:hAnsi="宋体" w:cs="宋体"/>
                <w:color w:val="000000"/>
                <w:kern w:val="0"/>
                <w:sz w:val="16"/>
              </w:rPr>
              <w:t>已经完工的项目个数</w:t>
            </w:r>
            <w:r>
              <w:rPr>
                <w:color w:val="000000"/>
                <w:kern w:val="0"/>
                <w:sz w:val="16"/>
                <w:szCs w:val="16"/>
              </w:rPr>
              <w:t>×100%</w:t>
            </w:r>
            <w:r>
              <w:rPr>
                <w:rFonts w:ascii="宋体" w:hAnsi="宋体" w:cs="宋体"/>
                <w:color w:val="000000"/>
                <w:kern w:val="0"/>
                <w:sz w:val="16"/>
              </w:rPr>
              <w:t>，不含移民培训项目个数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767506A5">
            <w:pPr>
              <w:widowControl/>
              <w:jc w:val="left"/>
              <w:rPr>
                <w:rFonts w:ascii="宋体" w:hAnsi="宋体" w:cs="宋体"/>
                <w:color w:val="000000"/>
                <w:kern w:val="0"/>
                <w:sz w:val="16"/>
                <w:szCs w:val="16"/>
              </w:rPr>
            </w:pPr>
          </w:p>
        </w:tc>
      </w:tr>
      <w:tr w14:paraId="53958FEC">
        <w:tblPrEx>
          <w:tblCellMar>
            <w:top w:w="0" w:type="dxa"/>
            <w:left w:w="108" w:type="dxa"/>
            <w:bottom w:w="0" w:type="dxa"/>
            <w:right w:w="108" w:type="dxa"/>
          </w:tblCellMar>
        </w:tblPrEx>
        <w:trPr>
          <w:trHeight w:val="298"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90D14F">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87FE25">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6F043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34ACC7">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3AF095">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3029D">
            <w:pPr>
              <w:widowControl/>
              <w:jc w:val="left"/>
              <w:rPr>
                <w:color w:val="000000"/>
                <w:kern w:val="0"/>
                <w:sz w:val="16"/>
                <w:szCs w:val="16"/>
              </w:rPr>
            </w:pPr>
            <w:r>
              <w:rPr>
                <w:color w:val="000000"/>
                <w:kern w:val="0"/>
                <w:sz w:val="16"/>
                <w:szCs w:val="16"/>
              </w:rPr>
              <w:t xml:space="preserve"> ……</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119420">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39AB6">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49AEA">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93B0E">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3834D">
            <w:pPr>
              <w:widowControl/>
              <w:jc w:val="left"/>
              <w:rPr>
                <w:color w:val="000000"/>
                <w:kern w:val="0"/>
                <w:sz w:val="16"/>
                <w:szCs w:val="16"/>
              </w:rPr>
            </w:pP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2A8E566C">
            <w:pPr>
              <w:widowControl/>
              <w:jc w:val="left"/>
              <w:rPr>
                <w:rFonts w:ascii="宋体" w:hAnsi="宋体" w:cs="宋体"/>
                <w:color w:val="000000"/>
                <w:kern w:val="0"/>
                <w:sz w:val="16"/>
                <w:szCs w:val="16"/>
              </w:rPr>
            </w:pPr>
          </w:p>
        </w:tc>
      </w:tr>
      <w:tr w14:paraId="2F6516D3">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7E1B0AF">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45AD6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8E19DB">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21B42B">
            <w:pPr>
              <w:widowControl/>
              <w:jc w:val="center"/>
              <w:rPr>
                <w:rFonts w:ascii="宋体" w:hAnsi="宋体" w:cs="宋体"/>
                <w:color w:val="000000"/>
                <w:kern w:val="0"/>
                <w:sz w:val="16"/>
                <w:szCs w:val="16"/>
              </w:rPr>
            </w:pPr>
            <w:r>
              <w:rPr>
                <w:rFonts w:hint="eastAsia" w:ascii="宋体" w:hAnsi="宋体" w:cs="宋体"/>
                <w:color w:val="000000"/>
                <w:kern w:val="0"/>
                <w:sz w:val="16"/>
                <w:szCs w:val="16"/>
              </w:rPr>
              <w:t>时效指标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813BA71">
            <w:pPr>
              <w:widowControl/>
              <w:jc w:val="center"/>
              <w:rPr>
                <w:color w:val="000000"/>
                <w:kern w:val="0"/>
                <w:sz w:val="16"/>
                <w:szCs w:val="16"/>
              </w:rPr>
            </w:pPr>
            <w:r>
              <w:rPr>
                <w:color w:val="000000"/>
                <w:kern w:val="0"/>
                <w:sz w:val="16"/>
                <w:szCs w:val="16"/>
              </w:rPr>
              <w:t>10</w:t>
            </w:r>
          </w:p>
        </w:tc>
        <w:tc>
          <w:tcPr>
            <w:tcW w:w="10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32D8D3">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：直补资金按时发放率（</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49BF4CA">
            <w:pPr>
              <w:widowControl/>
              <w:jc w:val="center"/>
              <w:rPr>
                <w:color w:val="000000"/>
                <w:kern w:val="0"/>
                <w:sz w:val="16"/>
                <w:szCs w:val="16"/>
              </w:rPr>
            </w:pPr>
            <w:r>
              <w:rPr>
                <w:color w:val="000000"/>
                <w:kern w:val="0"/>
                <w:sz w:val="16"/>
                <w:szCs w:val="16"/>
              </w:rPr>
              <w:t>4</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B4D43F">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FA10B91">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B50A0D">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99FC0F4">
            <w:pPr>
              <w:widowControl/>
              <w:jc w:val="left"/>
              <w:rPr>
                <w:rFonts w:ascii="宋体" w:hAnsi="宋体" w:cs="宋体"/>
                <w:color w:val="000000"/>
                <w:kern w:val="0"/>
                <w:sz w:val="16"/>
                <w:szCs w:val="16"/>
              </w:rPr>
            </w:pPr>
            <w:r>
              <w:rPr>
                <w:rFonts w:ascii="宋体" w:hAnsi="宋体" w:cs="宋体"/>
                <w:color w:val="000000"/>
                <w:kern w:val="0"/>
                <w:sz w:val="16"/>
              </w:rPr>
              <w:t>按时发放的直补资金额</w:t>
            </w:r>
            <w:r>
              <w:rPr>
                <w:color w:val="000000"/>
                <w:kern w:val="0"/>
                <w:sz w:val="16"/>
                <w:szCs w:val="16"/>
              </w:rPr>
              <w:t>/</w:t>
            </w:r>
            <w:r>
              <w:rPr>
                <w:rFonts w:ascii="宋体" w:hAnsi="宋体" w:cs="宋体"/>
                <w:color w:val="000000"/>
                <w:kern w:val="0"/>
                <w:sz w:val="16"/>
              </w:rPr>
              <w:t>实际发放直补资金额</w:t>
            </w:r>
            <w:r>
              <w:rPr>
                <w:color w:val="000000"/>
                <w:kern w:val="0"/>
                <w:sz w:val="16"/>
                <w:szCs w:val="16"/>
              </w:rPr>
              <w:t>×100%</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14:paraId="629CAB29">
            <w:pPr>
              <w:widowControl/>
              <w:jc w:val="left"/>
              <w:rPr>
                <w:rFonts w:ascii="宋体" w:hAnsi="宋体" w:cs="宋体"/>
                <w:color w:val="000000"/>
                <w:kern w:val="0"/>
                <w:sz w:val="16"/>
                <w:szCs w:val="16"/>
              </w:rPr>
            </w:pPr>
            <w:r>
              <w:rPr>
                <w:rFonts w:ascii="宋体" w:hAnsi="宋体" w:cs="宋体"/>
                <w:color w:val="000000"/>
                <w:kern w:val="0"/>
                <w:sz w:val="16"/>
              </w:rPr>
              <w:t>对照绩效目标评价产出时效（</w:t>
            </w:r>
            <w:r>
              <w:rPr>
                <w:color w:val="000000"/>
                <w:kern w:val="0"/>
                <w:sz w:val="16"/>
                <w:szCs w:val="16"/>
              </w:rPr>
              <w:t>10</w:t>
            </w:r>
            <w:r>
              <w:rPr>
                <w:rFonts w:ascii="宋体" w:hAnsi="宋体" w:cs="宋体"/>
                <w:color w:val="000000"/>
                <w:kern w:val="0"/>
                <w:sz w:val="16"/>
              </w:rPr>
              <w:t>分），全部达到绩效目标的，得满分；否则，按照绩效目标完成比例得分</w:t>
            </w:r>
          </w:p>
        </w:tc>
      </w:tr>
      <w:tr w14:paraId="3ED2D895">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36E7CD">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C38A94B">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FC20F7">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2695D8">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CB8035">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1EB63B5">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：截至</w:t>
            </w:r>
            <w:r>
              <w:rPr>
                <w:color w:val="000000"/>
                <w:kern w:val="0"/>
                <w:sz w:val="16"/>
                <w:szCs w:val="16"/>
              </w:rPr>
              <w:t>2019</w:t>
            </w:r>
            <w:r>
              <w:rPr>
                <w:rFonts w:ascii="宋体" w:hAnsi="宋体"/>
                <w:color w:val="000000"/>
                <w:kern w:val="0"/>
                <w:sz w:val="16"/>
              </w:rPr>
              <w:t>年底，项目资金完成率（</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EE584E">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A3A6C2">
            <w:pPr>
              <w:widowControl/>
              <w:jc w:val="center"/>
              <w:rPr>
                <w:color w:val="000000"/>
                <w:kern w:val="0"/>
                <w:sz w:val="16"/>
                <w:szCs w:val="16"/>
              </w:rPr>
            </w:pPr>
            <w:r>
              <w:rPr>
                <w:color w:val="000000"/>
                <w:kern w:val="0"/>
                <w:sz w:val="16"/>
                <w:szCs w:val="16"/>
              </w:rPr>
              <w:t>80%</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0938FA61">
            <w:pPr>
              <w:widowControl/>
              <w:jc w:val="center"/>
              <w:rPr>
                <w:color w:val="000000"/>
                <w:kern w:val="0"/>
                <w:sz w:val="16"/>
                <w:szCs w:val="16"/>
              </w:rPr>
            </w:pPr>
            <w:r>
              <w:rPr>
                <w:color w:val="000000"/>
                <w:kern w:val="0"/>
                <w:sz w:val="16"/>
                <w:szCs w:val="16"/>
              </w:rPr>
              <w:t>80%</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170D11C">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F0D9001">
            <w:pPr>
              <w:widowControl/>
              <w:jc w:val="left"/>
              <w:rPr>
                <w:rFonts w:ascii="宋体" w:hAnsi="宋体" w:cs="宋体"/>
                <w:color w:val="000000"/>
                <w:kern w:val="0"/>
                <w:sz w:val="16"/>
                <w:szCs w:val="16"/>
              </w:rPr>
            </w:pPr>
            <w:r>
              <w:rPr>
                <w:rFonts w:ascii="宋体" w:hAnsi="宋体" w:cs="宋体"/>
                <w:color w:val="000000"/>
                <w:kern w:val="0"/>
                <w:sz w:val="16"/>
              </w:rPr>
              <w:t>截至</w:t>
            </w:r>
            <w:r>
              <w:rPr>
                <w:color w:val="000000"/>
                <w:kern w:val="0"/>
                <w:sz w:val="16"/>
                <w:szCs w:val="16"/>
              </w:rPr>
              <w:t>2019</w:t>
            </w:r>
            <w:r>
              <w:rPr>
                <w:rFonts w:ascii="宋体" w:hAnsi="宋体" w:cs="宋体"/>
                <w:color w:val="000000"/>
                <w:kern w:val="0"/>
                <w:sz w:val="16"/>
              </w:rPr>
              <w:t>年底，项目资金完成额（包括实际支付工程款、应付质保金和其他应付工程款）</w:t>
            </w:r>
            <w:r>
              <w:rPr>
                <w:color w:val="000000"/>
                <w:kern w:val="0"/>
                <w:sz w:val="16"/>
                <w:szCs w:val="16"/>
              </w:rPr>
              <w:t>/</w:t>
            </w:r>
            <w:r>
              <w:rPr>
                <w:rFonts w:ascii="宋体" w:hAnsi="宋体" w:cs="宋体"/>
                <w:color w:val="000000"/>
                <w:kern w:val="0"/>
                <w:sz w:val="16"/>
              </w:rPr>
              <w:t>项目资金预算额</w:t>
            </w:r>
            <w:r>
              <w:rPr>
                <w:color w:val="000000"/>
                <w:kern w:val="0"/>
                <w:sz w:val="16"/>
                <w:szCs w:val="16"/>
              </w:rPr>
              <w:t>×100%</w:t>
            </w:r>
            <w:r>
              <w:rPr>
                <w:rFonts w:ascii="宋体" w:hAnsi="宋体" w:cs="宋体"/>
                <w:color w:val="000000"/>
                <w:kern w:val="0"/>
                <w:sz w:val="16"/>
              </w:rPr>
              <w:t>，</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7B45AB3C">
            <w:pPr>
              <w:widowControl/>
              <w:jc w:val="left"/>
              <w:rPr>
                <w:rFonts w:ascii="宋体" w:hAnsi="宋体" w:cs="宋体"/>
                <w:color w:val="000000"/>
                <w:kern w:val="0"/>
                <w:sz w:val="16"/>
                <w:szCs w:val="16"/>
              </w:rPr>
            </w:pPr>
          </w:p>
        </w:tc>
      </w:tr>
      <w:tr w14:paraId="05CAA1DD">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B455B6">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2C93F4">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FAD844">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5C3B3A6">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DE6CC7">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BAEFBD8">
            <w:pPr>
              <w:widowControl/>
              <w:jc w:val="left"/>
              <w:rPr>
                <w:rFonts w:ascii="宋体" w:hAnsi="宋体" w:cs="宋体"/>
                <w:color w:val="000000"/>
                <w:kern w:val="0"/>
                <w:sz w:val="16"/>
                <w:szCs w:val="16"/>
              </w:rPr>
            </w:pPr>
            <w:r>
              <w:rPr>
                <w:rFonts w:ascii="宋体" w:hAnsi="宋体" w:cs="宋体"/>
                <w:color w:val="000000"/>
                <w:kern w:val="0"/>
                <w:sz w:val="16"/>
              </w:rPr>
              <w:t xml:space="preserve"> 指标</w:t>
            </w:r>
            <w:r>
              <w:rPr>
                <w:color w:val="000000"/>
                <w:kern w:val="0"/>
                <w:sz w:val="16"/>
                <w:szCs w:val="16"/>
              </w:rPr>
              <w:t>3</w:t>
            </w:r>
            <w:r>
              <w:rPr>
                <w:rFonts w:ascii="宋体" w:hAnsi="宋体" w:cs="宋体"/>
                <w:color w:val="000000"/>
                <w:kern w:val="0"/>
                <w:sz w:val="16"/>
              </w:rPr>
              <w:t>：截至</w:t>
            </w:r>
            <w:r>
              <w:rPr>
                <w:color w:val="000000"/>
                <w:kern w:val="0"/>
                <w:sz w:val="16"/>
                <w:szCs w:val="16"/>
              </w:rPr>
              <w:t>2020</w:t>
            </w:r>
            <w:r>
              <w:rPr>
                <w:rFonts w:ascii="宋体" w:hAnsi="宋体" w:cs="宋体"/>
                <w:color w:val="000000"/>
                <w:kern w:val="0"/>
                <w:sz w:val="16"/>
              </w:rPr>
              <w:t>年</w:t>
            </w:r>
            <w:r>
              <w:rPr>
                <w:color w:val="000000"/>
                <w:kern w:val="0"/>
                <w:sz w:val="16"/>
                <w:szCs w:val="16"/>
              </w:rPr>
              <w:t>6</w:t>
            </w:r>
            <w:r>
              <w:rPr>
                <w:rFonts w:ascii="宋体" w:hAnsi="宋体" w:cs="宋体"/>
                <w:color w:val="000000"/>
                <w:kern w:val="0"/>
                <w:sz w:val="16"/>
              </w:rPr>
              <w:t>月底，项目资金完成率（%）</w:t>
            </w:r>
          </w:p>
        </w:tc>
        <w:tc>
          <w:tcPr>
            <w:tcW w:w="5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9F3A2E4">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A0F932A">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3AA3FC3">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102832EA">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C017096">
            <w:pPr>
              <w:widowControl/>
              <w:jc w:val="left"/>
              <w:rPr>
                <w:rFonts w:ascii="宋体" w:hAnsi="宋体" w:cs="宋体"/>
                <w:color w:val="000000"/>
                <w:kern w:val="0"/>
                <w:sz w:val="16"/>
                <w:szCs w:val="16"/>
              </w:rPr>
            </w:pPr>
            <w:r>
              <w:rPr>
                <w:rFonts w:ascii="宋体" w:hAnsi="宋体" w:cs="宋体"/>
                <w:color w:val="000000"/>
                <w:kern w:val="0"/>
                <w:sz w:val="16"/>
              </w:rPr>
              <w:t>截至</w:t>
            </w:r>
            <w:r>
              <w:rPr>
                <w:color w:val="000000"/>
                <w:kern w:val="0"/>
                <w:sz w:val="16"/>
                <w:szCs w:val="16"/>
              </w:rPr>
              <w:t>2020</w:t>
            </w:r>
            <w:r>
              <w:rPr>
                <w:rFonts w:ascii="宋体" w:hAnsi="宋体" w:cs="宋体"/>
                <w:color w:val="000000"/>
                <w:kern w:val="0"/>
                <w:sz w:val="16"/>
              </w:rPr>
              <w:t>年6月底，项目资金完成额（包括实际支付工程款、应付质保金和其他应付工程款）</w:t>
            </w:r>
            <w:r>
              <w:rPr>
                <w:color w:val="000000"/>
                <w:kern w:val="0"/>
                <w:sz w:val="16"/>
                <w:szCs w:val="16"/>
              </w:rPr>
              <w:t>/</w:t>
            </w:r>
            <w:r>
              <w:rPr>
                <w:rFonts w:ascii="宋体" w:hAnsi="宋体" w:cs="宋体"/>
                <w:color w:val="000000"/>
                <w:kern w:val="0"/>
                <w:sz w:val="16"/>
              </w:rPr>
              <w:t>项目资金预算额</w:t>
            </w:r>
            <w:r>
              <w:rPr>
                <w:color w:val="000000"/>
                <w:kern w:val="0"/>
                <w:sz w:val="16"/>
                <w:szCs w:val="16"/>
              </w:rPr>
              <w:t>×100%</w:t>
            </w:r>
            <w:r>
              <w:rPr>
                <w:rFonts w:ascii="宋体" w:hAnsi="宋体" w:cs="宋体"/>
                <w:color w:val="000000"/>
                <w:kern w:val="0"/>
                <w:sz w:val="16"/>
              </w:rPr>
              <w:t>，</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61181509">
            <w:pPr>
              <w:widowControl/>
              <w:jc w:val="left"/>
              <w:rPr>
                <w:rFonts w:ascii="宋体" w:hAnsi="宋体" w:cs="宋体"/>
                <w:color w:val="000000"/>
                <w:kern w:val="0"/>
                <w:sz w:val="16"/>
                <w:szCs w:val="16"/>
              </w:rPr>
            </w:pPr>
          </w:p>
        </w:tc>
      </w:tr>
      <w:tr w14:paraId="31B5B0AE">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F1E46A">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8C8F74">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EE2084B">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1EB419E">
            <w:pPr>
              <w:widowControl/>
              <w:jc w:val="center"/>
              <w:rPr>
                <w:rFonts w:ascii="宋体" w:hAnsi="宋体" w:cs="宋体"/>
                <w:color w:val="000000"/>
                <w:kern w:val="0"/>
                <w:sz w:val="16"/>
                <w:szCs w:val="16"/>
              </w:rPr>
            </w:pPr>
            <w:r>
              <w:rPr>
                <w:rFonts w:hint="eastAsia" w:ascii="宋体" w:hAnsi="宋体" w:cs="宋体"/>
                <w:color w:val="000000"/>
                <w:kern w:val="0"/>
                <w:sz w:val="16"/>
                <w:szCs w:val="16"/>
              </w:rPr>
              <w:t>成本指标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9C3D7B2">
            <w:pPr>
              <w:widowControl/>
              <w:jc w:val="center"/>
              <w:rPr>
                <w:color w:val="000000"/>
                <w:kern w:val="0"/>
                <w:sz w:val="16"/>
                <w:szCs w:val="16"/>
              </w:rPr>
            </w:pPr>
            <w:r>
              <w:rPr>
                <w:color w:val="000000"/>
                <w:kern w:val="0"/>
                <w:sz w:val="16"/>
                <w:szCs w:val="16"/>
              </w:rPr>
              <w:t>2</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70162">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：直补资金标准符合率（</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92F25">
            <w:pPr>
              <w:widowControl/>
              <w:jc w:val="center"/>
              <w:rPr>
                <w:color w:val="000000"/>
                <w:kern w:val="0"/>
                <w:sz w:val="16"/>
                <w:szCs w:val="16"/>
              </w:rPr>
            </w:pPr>
            <w:r>
              <w:rPr>
                <w:color w:val="000000"/>
                <w:kern w:val="0"/>
                <w:sz w:val="16"/>
                <w:szCs w:val="16"/>
              </w:rPr>
              <w:t>1</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B80E9">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290E">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59E6A">
            <w:pPr>
              <w:widowControl/>
              <w:jc w:val="center"/>
              <w:rPr>
                <w:color w:val="000000"/>
                <w:kern w:val="0"/>
                <w:sz w:val="16"/>
                <w:szCs w:val="16"/>
              </w:rPr>
            </w:pPr>
            <w:r>
              <w:rPr>
                <w:color w:val="000000"/>
                <w:kern w:val="0"/>
                <w:sz w:val="16"/>
                <w:szCs w:val="16"/>
              </w:rPr>
              <w:t>1</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0D940">
            <w:pPr>
              <w:widowControl/>
              <w:jc w:val="left"/>
              <w:rPr>
                <w:rFonts w:ascii="宋体" w:hAnsi="宋体" w:cs="宋体"/>
                <w:color w:val="000000"/>
                <w:kern w:val="0"/>
                <w:sz w:val="16"/>
                <w:szCs w:val="16"/>
              </w:rPr>
            </w:pPr>
            <w:r>
              <w:rPr>
                <w:rFonts w:ascii="宋体" w:hAnsi="宋体" w:cs="宋体"/>
                <w:color w:val="000000"/>
                <w:kern w:val="0"/>
                <w:sz w:val="16"/>
              </w:rPr>
              <w:t>按政策规定标准发放的直补人数</w:t>
            </w:r>
            <w:r>
              <w:rPr>
                <w:color w:val="000000"/>
                <w:kern w:val="0"/>
                <w:sz w:val="16"/>
                <w:szCs w:val="16"/>
              </w:rPr>
              <w:t>/</w:t>
            </w:r>
            <w:r>
              <w:rPr>
                <w:rFonts w:ascii="宋体" w:hAnsi="宋体" w:cs="宋体"/>
                <w:color w:val="000000"/>
                <w:kern w:val="0"/>
                <w:sz w:val="16"/>
              </w:rPr>
              <w:t>实际发放的直补人数</w:t>
            </w:r>
            <w:r>
              <w:rPr>
                <w:color w:val="000000"/>
                <w:kern w:val="0"/>
                <w:sz w:val="16"/>
                <w:szCs w:val="16"/>
              </w:rPr>
              <w:t>×100%</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7373E">
            <w:pPr>
              <w:widowControl/>
              <w:jc w:val="left"/>
              <w:rPr>
                <w:rFonts w:ascii="宋体" w:hAnsi="宋体" w:cs="宋体"/>
                <w:color w:val="000000"/>
                <w:kern w:val="0"/>
                <w:sz w:val="16"/>
                <w:szCs w:val="16"/>
              </w:rPr>
            </w:pPr>
            <w:r>
              <w:rPr>
                <w:rFonts w:ascii="宋体" w:hAnsi="宋体" w:cs="宋体"/>
                <w:color w:val="000000"/>
                <w:kern w:val="0"/>
                <w:sz w:val="16"/>
              </w:rPr>
              <w:t>完成绩效目标的</w:t>
            </w:r>
            <w:r>
              <w:rPr>
                <w:color w:val="000000"/>
                <w:kern w:val="0"/>
                <w:sz w:val="16"/>
                <w:szCs w:val="16"/>
              </w:rPr>
              <w:t>100%</w:t>
            </w:r>
            <w:r>
              <w:rPr>
                <w:rFonts w:ascii="宋体" w:hAnsi="宋体" w:cs="宋体"/>
                <w:color w:val="000000"/>
                <w:kern w:val="0"/>
                <w:sz w:val="16"/>
              </w:rPr>
              <w:t>（</w:t>
            </w:r>
            <w:r>
              <w:rPr>
                <w:color w:val="000000"/>
                <w:kern w:val="0"/>
                <w:sz w:val="16"/>
                <w:szCs w:val="16"/>
              </w:rPr>
              <w:t>1</w:t>
            </w:r>
            <w:r>
              <w:rPr>
                <w:rFonts w:ascii="宋体" w:hAnsi="宋体" w:cs="宋体"/>
                <w:color w:val="000000"/>
                <w:kern w:val="0"/>
                <w:sz w:val="16"/>
              </w:rPr>
              <w:t>分）；否则为</w:t>
            </w:r>
            <w:r>
              <w:rPr>
                <w:color w:val="000000"/>
                <w:kern w:val="0"/>
                <w:sz w:val="16"/>
                <w:szCs w:val="16"/>
              </w:rPr>
              <w:t>0</w:t>
            </w:r>
            <w:r>
              <w:rPr>
                <w:rFonts w:ascii="宋体" w:hAnsi="宋体" w:cs="宋体"/>
                <w:color w:val="000000"/>
                <w:kern w:val="0"/>
                <w:sz w:val="16"/>
              </w:rPr>
              <w:t>分</w:t>
            </w:r>
          </w:p>
        </w:tc>
      </w:tr>
      <w:tr w14:paraId="25A0C438">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F7CB52">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68EE1E">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776826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7425E2">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6E1FC3">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CD347">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：项目支出控制在批复预算范围内的项目比例（</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33BD8">
            <w:pPr>
              <w:widowControl/>
              <w:jc w:val="center"/>
              <w:rPr>
                <w:color w:val="000000"/>
                <w:kern w:val="0"/>
                <w:sz w:val="16"/>
                <w:szCs w:val="16"/>
              </w:rPr>
            </w:pPr>
            <w:r>
              <w:rPr>
                <w:color w:val="000000"/>
                <w:kern w:val="0"/>
                <w:sz w:val="16"/>
                <w:szCs w:val="16"/>
              </w:rPr>
              <w:t>1</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BF4A7">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03915">
            <w:pPr>
              <w:widowControl/>
              <w:jc w:val="center"/>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802F3">
            <w:pPr>
              <w:widowControl/>
              <w:jc w:val="center"/>
              <w:rPr>
                <w:color w:val="000000"/>
                <w:kern w:val="0"/>
                <w:sz w:val="16"/>
                <w:szCs w:val="16"/>
              </w:rPr>
            </w:pPr>
            <w:r>
              <w:rPr>
                <w:color w:val="000000"/>
                <w:kern w:val="0"/>
                <w:sz w:val="16"/>
                <w:szCs w:val="16"/>
              </w:rPr>
              <w:t>1</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AD3D3">
            <w:pPr>
              <w:widowControl/>
              <w:jc w:val="left"/>
              <w:rPr>
                <w:rFonts w:ascii="宋体" w:hAnsi="宋体" w:cs="宋体"/>
                <w:color w:val="000000"/>
                <w:kern w:val="0"/>
                <w:sz w:val="16"/>
                <w:szCs w:val="16"/>
              </w:rPr>
            </w:pPr>
            <w:r>
              <w:rPr>
                <w:rFonts w:ascii="宋体" w:hAnsi="宋体" w:cs="宋体"/>
                <w:color w:val="000000"/>
                <w:kern w:val="0"/>
                <w:sz w:val="16"/>
              </w:rPr>
              <w:t>控制在批复的预算内的项目个数</w:t>
            </w:r>
            <w:r>
              <w:rPr>
                <w:color w:val="000000"/>
                <w:kern w:val="0"/>
                <w:sz w:val="16"/>
                <w:szCs w:val="16"/>
              </w:rPr>
              <w:t>/</w:t>
            </w:r>
            <w:r>
              <w:rPr>
                <w:rFonts w:ascii="宋体" w:hAnsi="宋体" w:cs="宋体"/>
                <w:color w:val="000000"/>
                <w:kern w:val="0"/>
                <w:sz w:val="16"/>
              </w:rPr>
              <w:t>已完成支付的预算项目总个数</w:t>
            </w:r>
            <w:r>
              <w:rPr>
                <w:color w:val="000000"/>
                <w:kern w:val="0"/>
                <w:sz w:val="16"/>
                <w:szCs w:val="16"/>
              </w:rPr>
              <w:t>×100%</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2B7B">
            <w:pPr>
              <w:widowControl/>
              <w:jc w:val="left"/>
              <w:rPr>
                <w:rFonts w:ascii="宋体" w:hAnsi="宋体" w:cs="宋体"/>
                <w:color w:val="000000"/>
                <w:kern w:val="0"/>
                <w:sz w:val="16"/>
                <w:szCs w:val="16"/>
              </w:rPr>
            </w:pPr>
            <w:r>
              <w:rPr>
                <w:rFonts w:ascii="宋体" w:hAnsi="宋体" w:cs="宋体"/>
                <w:color w:val="000000"/>
                <w:kern w:val="0"/>
                <w:sz w:val="16"/>
              </w:rPr>
              <w:t>完成绩效目标的</w:t>
            </w:r>
            <w:r>
              <w:rPr>
                <w:color w:val="000000"/>
                <w:kern w:val="0"/>
                <w:sz w:val="16"/>
                <w:szCs w:val="16"/>
              </w:rPr>
              <w:t>100%</w:t>
            </w:r>
            <w:r>
              <w:rPr>
                <w:rFonts w:ascii="宋体" w:hAnsi="宋体" w:cs="宋体"/>
                <w:color w:val="000000"/>
                <w:kern w:val="0"/>
                <w:sz w:val="16"/>
              </w:rPr>
              <w:t>（</w:t>
            </w:r>
            <w:r>
              <w:rPr>
                <w:color w:val="000000"/>
                <w:kern w:val="0"/>
                <w:sz w:val="16"/>
                <w:szCs w:val="16"/>
              </w:rPr>
              <w:t>1</w:t>
            </w:r>
            <w:r>
              <w:rPr>
                <w:rFonts w:ascii="宋体" w:hAnsi="宋体" w:cs="宋体"/>
                <w:color w:val="000000"/>
                <w:kern w:val="0"/>
                <w:sz w:val="16"/>
              </w:rPr>
              <w:t>分）；超出批复预算且重新报批程序不完备的项目控制在</w:t>
            </w:r>
            <w:r>
              <w:rPr>
                <w:color w:val="000000"/>
                <w:kern w:val="0"/>
                <w:sz w:val="16"/>
                <w:szCs w:val="16"/>
              </w:rPr>
              <w:t>1%</w:t>
            </w:r>
            <w:r>
              <w:rPr>
                <w:rFonts w:ascii="宋体" w:hAnsi="宋体" w:cs="宋体"/>
                <w:color w:val="000000"/>
                <w:kern w:val="0"/>
                <w:sz w:val="16"/>
              </w:rPr>
              <w:t>（含）以内（</w:t>
            </w:r>
            <w:r>
              <w:rPr>
                <w:color w:val="000000"/>
                <w:kern w:val="0"/>
                <w:sz w:val="16"/>
                <w:szCs w:val="16"/>
              </w:rPr>
              <w:t>0.5</w:t>
            </w:r>
            <w:r>
              <w:rPr>
                <w:rFonts w:ascii="宋体" w:hAnsi="宋体" w:cs="宋体"/>
                <w:color w:val="000000"/>
                <w:kern w:val="0"/>
                <w:sz w:val="16"/>
              </w:rPr>
              <w:t>分）；超出批复预算且重新报批程序不完备的项目超出</w:t>
            </w:r>
            <w:r>
              <w:rPr>
                <w:color w:val="000000"/>
                <w:kern w:val="0"/>
                <w:sz w:val="16"/>
                <w:szCs w:val="16"/>
              </w:rPr>
              <w:t>1%</w:t>
            </w:r>
            <w:r>
              <w:rPr>
                <w:rFonts w:ascii="宋体" w:hAnsi="宋体" w:cs="宋体"/>
                <w:color w:val="000000"/>
                <w:kern w:val="0"/>
                <w:sz w:val="16"/>
              </w:rPr>
              <w:t>的（</w:t>
            </w:r>
            <w:r>
              <w:rPr>
                <w:color w:val="000000"/>
                <w:kern w:val="0"/>
                <w:sz w:val="16"/>
                <w:szCs w:val="16"/>
              </w:rPr>
              <w:t>0</w:t>
            </w:r>
            <w:r>
              <w:rPr>
                <w:rFonts w:ascii="宋体" w:hAnsi="宋体" w:cs="宋体"/>
                <w:color w:val="000000"/>
                <w:kern w:val="0"/>
                <w:sz w:val="16"/>
              </w:rPr>
              <w:t>分）</w:t>
            </w:r>
          </w:p>
        </w:tc>
      </w:tr>
      <w:tr w14:paraId="0E733A54">
        <w:tblPrEx>
          <w:tblCellMar>
            <w:top w:w="0" w:type="dxa"/>
            <w:left w:w="108" w:type="dxa"/>
            <w:bottom w:w="0" w:type="dxa"/>
            <w:right w:w="108" w:type="dxa"/>
          </w:tblCellMar>
        </w:tblPrEx>
        <w:trPr>
          <w:trHeight w:val="295"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14AFB7">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5310C4D">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3E29CD">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71B18B">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D607C3">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0CC17">
            <w:pPr>
              <w:widowControl/>
              <w:jc w:val="left"/>
              <w:rPr>
                <w:color w:val="000000"/>
                <w:kern w:val="0"/>
                <w:sz w:val="16"/>
                <w:szCs w:val="16"/>
              </w:rPr>
            </w:pPr>
            <w:r>
              <w:rPr>
                <w:color w:val="000000"/>
                <w:kern w:val="0"/>
                <w:sz w:val="16"/>
                <w:szCs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B32E0">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D2E07">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D22EA">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CA36">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D1C45">
            <w:pPr>
              <w:widowControl/>
              <w:jc w:val="left"/>
              <w:rPr>
                <w:color w:val="000000"/>
                <w:kern w:val="0"/>
                <w:sz w:val="16"/>
                <w:szCs w:val="16"/>
              </w:rPr>
            </w:pP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698E9">
            <w:pPr>
              <w:widowControl/>
              <w:jc w:val="left"/>
              <w:rPr>
                <w:color w:val="000000"/>
                <w:kern w:val="0"/>
                <w:sz w:val="16"/>
                <w:szCs w:val="16"/>
              </w:rPr>
            </w:pPr>
          </w:p>
        </w:tc>
      </w:tr>
      <w:tr w14:paraId="2542B2C7">
        <w:tblPrEx>
          <w:tblCellMar>
            <w:top w:w="0" w:type="dxa"/>
            <w:left w:w="108" w:type="dxa"/>
            <w:bottom w:w="0" w:type="dxa"/>
            <w:right w:w="108" w:type="dxa"/>
          </w:tblCellMar>
        </w:tblPrEx>
        <w:trPr>
          <w:trHeight w:val="567" w:hRule="atLeast"/>
          <w:jc w:val="center"/>
        </w:trPr>
        <w:tc>
          <w:tcPr>
            <w:tcW w:w="5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8E61ABC">
            <w:pPr>
              <w:widowControl/>
              <w:jc w:val="center"/>
              <w:rPr>
                <w:rFonts w:ascii="宋体" w:hAnsi="宋体" w:cs="宋体"/>
                <w:color w:val="000000"/>
                <w:kern w:val="0"/>
                <w:sz w:val="16"/>
                <w:szCs w:val="16"/>
              </w:rPr>
            </w:pPr>
            <w:r>
              <w:rPr>
                <w:rFonts w:hint="eastAsia" w:ascii="宋体" w:hAnsi="宋体" w:cs="宋体"/>
                <w:color w:val="000000"/>
                <w:kern w:val="0"/>
                <w:sz w:val="16"/>
                <w:szCs w:val="16"/>
              </w:rPr>
              <w:t>绩效指标</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CB24C6">
            <w:pPr>
              <w:widowControl/>
              <w:jc w:val="center"/>
              <w:rPr>
                <w:rFonts w:ascii="宋体" w:hAnsi="宋体" w:cs="宋体"/>
                <w:color w:val="000000"/>
                <w:kern w:val="0"/>
                <w:sz w:val="16"/>
                <w:szCs w:val="16"/>
              </w:rPr>
            </w:pPr>
            <w:r>
              <w:rPr>
                <w:rFonts w:hint="eastAsia" w:ascii="宋体" w:hAnsi="宋体" w:cs="宋体"/>
                <w:color w:val="000000"/>
                <w:kern w:val="0"/>
                <w:sz w:val="16"/>
                <w:szCs w:val="16"/>
              </w:rPr>
              <w:t>效益指标</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DA189B9">
            <w:pPr>
              <w:widowControl/>
              <w:jc w:val="center"/>
              <w:rPr>
                <w:color w:val="000000"/>
                <w:kern w:val="0"/>
                <w:sz w:val="16"/>
                <w:szCs w:val="16"/>
              </w:rPr>
            </w:pPr>
            <w:r>
              <w:rPr>
                <w:color w:val="000000"/>
                <w:kern w:val="0"/>
                <w:sz w:val="16"/>
                <w:szCs w:val="16"/>
              </w:rPr>
              <w:t>19</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5A34061A">
            <w:pPr>
              <w:widowControl/>
              <w:jc w:val="center"/>
              <w:rPr>
                <w:rFonts w:ascii="宋体" w:hAnsi="宋体" w:cs="宋体"/>
                <w:color w:val="000000"/>
                <w:kern w:val="0"/>
                <w:sz w:val="16"/>
                <w:szCs w:val="16"/>
              </w:rPr>
            </w:pPr>
            <w:r>
              <w:rPr>
                <w:rFonts w:hint="eastAsia" w:ascii="宋体" w:hAnsi="宋体" w:cs="宋体"/>
                <w:color w:val="000000"/>
                <w:kern w:val="0"/>
                <w:sz w:val="16"/>
                <w:szCs w:val="16"/>
              </w:rPr>
              <w:t>经济效益</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820060">
            <w:pPr>
              <w:widowControl/>
              <w:jc w:val="center"/>
              <w:rPr>
                <w:color w:val="000000"/>
                <w:kern w:val="0"/>
                <w:sz w:val="16"/>
                <w:szCs w:val="16"/>
              </w:rPr>
            </w:pPr>
            <w:r>
              <w:rPr>
                <w:color w:val="000000"/>
                <w:kern w:val="0"/>
                <w:sz w:val="16"/>
                <w:szCs w:val="16"/>
              </w:rPr>
              <w:t>6</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66E20">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：增加移民人均可支配收入（元）</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A3181">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C0854">
            <w:pPr>
              <w:widowControl/>
              <w:jc w:val="center"/>
              <w:rPr>
                <w:color w:val="000000"/>
                <w:kern w:val="0"/>
                <w:sz w:val="16"/>
                <w:szCs w:val="16"/>
              </w:rPr>
            </w:pPr>
            <w:r>
              <w:rPr>
                <w:color w:val="000000"/>
                <w:kern w:val="0"/>
                <w:sz w:val="16"/>
                <w:szCs w:val="16"/>
              </w:rPr>
              <w:t>300</w:t>
            </w:r>
            <w:r>
              <w:rPr>
                <w:rFonts w:ascii="宋体" w:hAnsi="宋体"/>
                <w:color w:val="000000"/>
                <w:kern w:val="0"/>
                <w:sz w:val="16"/>
              </w:rPr>
              <w:t>元</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B494C">
            <w:pPr>
              <w:widowControl/>
              <w:jc w:val="left"/>
              <w:rPr>
                <w:color w:val="000000"/>
                <w:kern w:val="0"/>
                <w:sz w:val="16"/>
                <w:szCs w:val="16"/>
              </w:rPr>
            </w:pPr>
            <w:r>
              <w:rPr>
                <w:color w:val="000000"/>
                <w:kern w:val="0"/>
                <w:sz w:val="16"/>
                <w:szCs w:val="16"/>
              </w:rPr>
              <w:t>300</w:t>
            </w:r>
            <w:r>
              <w:rPr>
                <w:rFonts w:ascii="宋体" w:hAnsi="宋体"/>
                <w:color w:val="000000"/>
                <w:kern w:val="0"/>
                <w:sz w:val="16"/>
              </w:rPr>
              <w:t>元</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927EE">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476C5">
            <w:pPr>
              <w:widowControl/>
              <w:jc w:val="left"/>
              <w:rPr>
                <w:color w:val="000000"/>
                <w:kern w:val="0"/>
                <w:sz w:val="16"/>
                <w:szCs w:val="16"/>
              </w:rPr>
            </w:pPr>
            <w:r>
              <w:rPr>
                <w:color w:val="000000"/>
                <w:kern w:val="0"/>
                <w:sz w:val="16"/>
                <w:szCs w:val="16"/>
              </w:rPr>
              <w:t>2019</w:t>
            </w:r>
            <w:r>
              <w:rPr>
                <w:rFonts w:ascii="宋体" w:hAnsi="宋体"/>
                <w:color w:val="000000"/>
                <w:kern w:val="0"/>
                <w:sz w:val="16"/>
              </w:rPr>
              <w:t>年移民人均可支配收入</w:t>
            </w:r>
            <w:r>
              <w:rPr>
                <w:color w:val="000000"/>
                <w:kern w:val="0"/>
                <w:sz w:val="16"/>
                <w:szCs w:val="16"/>
              </w:rPr>
              <w:t>-2018</w:t>
            </w:r>
            <w:r>
              <w:rPr>
                <w:rFonts w:ascii="宋体" w:hAnsi="宋体"/>
                <w:color w:val="000000"/>
                <w:kern w:val="0"/>
                <w:sz w:val="16"/>
              </w:rPr>
              <w:t>年移民人均可支配收入</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1D5A400">
            <w:pPr>
              <w:widowControl/>
              <w:jc w:val="left"/>
              <w:rPr>
                <w:rFonts w:ascii="宋体" w:hAnsi="宋体" w:cs="宋体"/>
                <w:color w:val="000000"/>
                <w:kern w:val="0"/>
                <w:sz w:val="16"/>
                <w:szCs w:val="16"/>
              </w:rPr>
            </w:pPr>
            <w:r>
              <w:rPr>
                <w:rFonts w:ascii="宋体" w:hAnsi="宋体" w:cs="宋体"/>
                <w:color w:val="000000"/>
                <w:kern w:val="0"/>
                <w:sz w:val="16"/>
              </w:rPr>
              <w:t>对照绩效目标评价经济效益（</w:t>
            </w:r>
            <w:r>
              <w:rPr>
                <w:color w:val="000000"/>
                <w:kern w:val="0"/>
                <w:sz w:val="16"/>
                <w:szCs w:val="16"/>
              </w:rPr>
              <w:t>6</w:t>
            </w:r>
            <w:r>
              <w:rPr>
                <w:rFonts w:ascii="宋体" w:hAnsi="宋体" w:cs="宋体"/>
                <w:color w:val="000000"/>
                <w:kern w:val="0"/>
                <w:sz w:val="16"/>
              </w:rPr>
              <w:t>分），全部达到绩效目标的，得满分；否则，按照绩效目标完成比例得分</w:t>
            </w:r>
          </w:p>
        </w:tc>
      </w:tr>
      <w:tr w14:paraId="056EF551">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22A9F9B">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9849D1">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88F2AC">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A4C74D">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E380D1">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5A36E">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：提高移民收入占当地农村居民收入比例（</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F3AA5">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8E94C">
            <w:pPr>
              <w:widowControl/>
              <w:jc w:val="center"/>
              <w:rPr>
                <w:color w:val="000000"/>
                <w:kern w:val="0"/>
                <w:sz w:val="16"/>
                <w:szCs w:val="16"/>
              </w:rPr>
            </w:pPr>
            <w:r>
              <w:rPr>
                <w:color w:val="000000"/>
                <w:kern w:val="0"/>
                <w:sz w:val="16"/>
                <w:szCs w:val="16"/>
              </w:rPr>
              <w:t>20%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83C1B">
            <w:pPr>
              <w:widowControl/>
              <w:jc w:val="right"/>
              <w:rPr>
                <w:color w:val="000000"/>
                <w:kern w:val="0"/>
                <w:sz w:val="16"/>
                <w:szCs w:val="16"/>
              </w:rPr>
            </w:pPr>
            <w:r>
              <w:rPr>
                <w:color w:val="000000"/>
                <w:kern w:val="0"/>
                <w:sz w:val="16"/>
                <w:szCs w:val="16"/>
              </w:rPr>
              <w:t>20%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F16AB">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87B65">
            <w:pPr>
              <w:widowControl/>
              <w:jc w:val="left"/>
              <w:rPr>
                <w:rFonts w:ascii="宋体" w:hAnsi="宋体" w:cs="宋体"/>
                <w:color w:val="000000"/>
                <w:kern w:val="0"/>
                <w:sz w:val="16"/>
                <w:szCs w:val="16"/>
              </w:rPr>
            </w:pPr>
            <w:r>
              <w:rPr>
                <w:rFonts w:ascii="宋体" w:hAnsi="宋体" w:cs="宋体"/>
                <w:color w:val="000000"/>
                <w:kern w:val="0"/>
                <w:sz w:val="16"/>
              </w:rPr>
              <w:t>（</w:t>
            </w:r>
            <w:r>
              <w:rPr>
                <w:color w:val="000000"/>
                <w:kern w:val="0"/>
                <w:sz w:val="16"/>
                <w:szCs w:val="16"/>
              </w:rPr>
              <w:t>2019</w:t>
            </w:r>
            <w:r>
              <w:rPr>
                <w:rFonts w:ascii="宋体" w:hAnsi="宋体" w:cs="宋体"/>
                <w:color w:val="000000"/>
                <w:kern w:val="0"/>
                <w:sz w:val="16"/>
              </w:rPr>
              <w:t>年移民人均可支配收入</w:t>
            </w:r>
            <w:r>
              <w:rPr>
                <w:color w:val="000000"/>
                <w:kern w:val="0"/>
                <w:sz w:val="16"/>
                <w:szCs w:val="16"/>
              </w:rPr>
              <w:t>/2019</w:t>
            </w:r>
            <w:r>
              <w:rPr>
                <w:rFonts w:ascii="宋体" w:hAnsi="宋体" w:cs="宋体"/>
                <w:color w:val="000000"/>
                <w:kern w:val="0"/>
                <w:sz w:val="16"/>
              </w:rPr>
              <w:t>年当地农村居民人均可支配收入</w:t>
            </w:r>
            <w:r>
              <w:rPr>
                <w:color w:val="000000"/>
                <w:kern w:val="0"/>
                <w:sz w:val="16"/>
                <w:szCs w:val="16"/>
              </w:rPr>
              <w:t>×100%</w:t>
            </w:r>
            <w:r>
              <w:rPr>
                <w:rFonts w:ascii="宋体" w:hAnsi="宋体" w:cs="宋体"/>
                <w:color w:val="000000"/>
                <w:kern w:val="0"/>
                <w:sz w:val="16"/>
              </w:rPr>
              <w:t>）</w:t>
            </w:r>
            <w:r>
              <w:rPr>
                <w:color w:val="000000"/>
                <w:kern w:val="0"/>
                <w:sz w:val="16"/>
                <w:szCs w:val="16"/>
              </w:rPr>
              <w:t>-</w:t>
            </w:r>
            <w:r>
              <w:rPr>
                <w:rFonts w:ascii="宋体" w:hAnsi="宋体" w:cs="宋体"/>
                <w:color w:val="000000"/>
                <w:kern w:val="0"/>
                <w:sz w:val="16"/>
              </w:rPr>
              <w:t>（</w:t>
            </w:r>
            <w:r>
              <w:rPr>
                <w:color w:val="000000"/>
                <w:kern w:val="0"/>
                <w:sz w:val="16"/>
                <w:szCs w:val="16"/>
              </w:rPr>
              <w:t>2018</w:t>
            </w:r>
            <w:r>
              <w:rPr>
                <w:rFonts w:ascii="宋体" w:hAnsi="宋体" w:cs="宋体"/>
                <w:color w:val="000000"/>
                <w:kern w:val="0"/>
                <w:sz w:val="16"/>
              </w:rPr>
              <w:t>年移民人均可支配收入</w:t>
            </w:r>
            <w:r>
              <w:rPr>
                <w:color w:val="000000"/>
                <w:kern w:val="0"/>
                <w:sz w:val="16"/>
                <w:szCs w:val="16"/>
              </w:rPr>
              <w:t>/2018</w:t>
            </w:r>
            <w:r>
              <w:rPr>
                <w:rFonts w:ascii="宋体" w:hAnsi="宋体" w:cs="宋体"/>
                <w:color w:val="000000"/>
                <w:kern w:val="0"/>
                <w:sz w:val="16"/>
              </w:rPr>
              <w:t>年当地农村居民人均可支配收入</w:t>
            </w:r>
            <w:r>
              <w:rPr>
                <w:color w:val="000000"/>
                <w:kern w:val="0"/>
                <w:sz w:val="16"/>
                <w:szCs w:val="16"/>
              </w:rPr>
              <w:t>×100%</w:t>
            </w:r>
            <w:r>
              <w:rPr>
                <w:rFonts w:ascii="宋体" w:hAnsi="宋体" w:cs="宋体"/>
                <w:color w:val="000000"/>
                <w:kern w:val="0"/>
                <w:sz w:val="16"/>
              </w:rPr>
              <w:t>）</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28B790AF">
            <w:pPr>
              <w:widowControl/>
              <w:jc w:val="left"/>
              <w:rPr>
                <w:rFonts w:ascii="宋体" w:hAnsi="宋体" w:cs="宋体"/>
                <w:color w:val="000000"/>
                <w:kern w:val="0"/>
                <w:sz w:val="16"/>
                <w:szCs w:val="16"/>
              </w:rPr>
            </w:pPr>
          </w:p>
        </w:tc>
      </w:tr>
      <w:tr w14:paraId="55244116">
        <w:tblPrEx>
          <w:tblCellMar>
            <w:top w:w="0" w:type="dxa"/>
            <w:left w:w="108" w:type="dxa"/>
            <w:bottom w:w="0" w:type="dxa"/>
            <w:right w:w="108" w:type="dxa"/>
          </w:tblCellMar>
        </w:tblPrEx>
        <w:trPr>
          <w:trHeight w:val="378"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ECD31F">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23484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84689F">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C9815EE">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E345A">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CDF7B">
            <w:pPr>
              <w:widowControl/>
              <w:jc w:val="left"/>
              <w:rPr>
                <w:color w:val="000000"/>
                <w:kern w:val="0"/>
                <w:sz w:val="16"/>
                <w:szCs w:val="16"/>
              </w:rPr>
            </w:pPr>
            <w:r>
              <w:rPr>
                <w:color w:val="000000"/>
                <w:kern w:val="0"/>
                <w:sz w:val="16"/>
                <w:szCs w:val="16"/>
              </w:rPr>
              <w:t xml:space="preserve"> ……</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85476">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12D34">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BC86A">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B68D3">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C8461">
            <w:pPr>
              <w:widowControl/>
              <w:jc w:val="left"/>
              <w:rPr>
                <w:color w:val="000000"/>
                <w:kern w:val="0"/>
                <w:sz w:val="16"/>
                <w:szCs w:val="16"/>
              </w:rPr>
            </w:pP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3B86D438">
            <w:pPr>
              <w:widowControl/>
              <w:jc w:val="left"/>
              <w:rPr>
                <w:rFonts w:ascii="宋体" w:hAnsi="宋体" w:cs="宋体"/>
                <w:color w:val="000000"/>
                <w:kern w:val="0"/>
                <w:sz w:val="16"/>
                <w:szCs w:val="16"/>
              </w:rPr>
            </w:pPr>
          </w:p>
        </w:tc>
      </w:tr>
      <w:tr w14:paraId="252327FB">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046A4B">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3AB72D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573EAC">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CE5AC30">
            <w:pPr>
              <w:widowControl/>
              <w:jc w:val="center"/>
              <w:rPr>
                <w:rFonts w:ascii="宋体" w:hAnsi="宋体" w:cs="宋体"/>
                <w:color w:val="000000"/>
                <w:kern w:val="0"/>
                <w:sz w:val="16"/>
                <w:szCs w:val="16"/>
              </w:rPr>
            </w:pPr>
            <w:r>
              <w:rPr>
                <w:rFonts w:hint="eastAsia" w:ascii="宋体" w:hAnsi="宋体" w:cs="宋体"/>
                <w:color w:val="000000"/>
                <w:kern w:val="0"/>
                <w:sz w:val="16"/>
                <w:szCs w:val="16"/>
              </w:rPr>
              <w:t>社会效益</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387D54E">
            <w:pPr>
              <w:widowControl/>
              <w:jc w:val="center"/>
              <w:rPr>
                <w:color w:val="000000"/>
                <w:kern w:val="0"/>
                <w:sz w:val="16"/>
                <w:szCs w:val="16"/>
              </w:rPr>
            </w:pPr>
            <w:r>
              <w:rPr>
                <w:color w:val="000000"/>
                <w:kern w:val="0"/>
                <w:sz w:val="16"/>
                <w:szCs w:val="16"/>
              </w:rPr>
              <w:t>7</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0CD99">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：助力贫困移民脱贫（人）</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23C53">
            <w:pPr>
              <w:widowControl/>
              <w:jc w:val="center"/>
              <w:rPr>
                <w:color w:val="000000"/>
                <w:kern w:val="0"/>
                <w:sz w:val="16"/>
                <w:szCs w:val="16"/>
              </w:rPr>
            </w:pPr>
            <w:r>
              <w:rPr>
                <w:color w:val="000000"/>
                <w:kern w:val="0"/>
                <w:sz w:val="16"/>
                <w:szCs w:val="16"/>
              </w:rPr>
              <w:t>4</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42B91">
            <w:pPr>
              <w:widowControl/>
              <w:jc w:val="center"/>
              <w:rPr>
                <w:color w:val="000000"/>
                <w:kern w:val="0"/>
                <w:sz w:val="16"/>
                <w:szCs w:val="16"/>
              </w:rPr>
            </w:pPr>
            <w:r>
              <w:rPr>
                <w:color w:val="000000"/>
                <w:kern w:val="0"/>
                <w:sz w:val="16"/>
                <w:szCs w:val="16"/>
              </w:rPr>
              <w:t>122</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C605B">
            <w:pPr>
              <w:widowControl/>
              <w:jc w:val="right"/>
              <w:rPr>
                <w:color w:val="000000"/>
                <w:kern w:val="0"/>
                <w:sz w:val="16"/>
                <w:szCs w:val="16"/>
              </w:rPr>
            </w:pPr>
            <w:r>
              <w:rPr>
                <w:color w:val="000000"/>
                <w:kern w:val="0"/>
                <w:sz w:val="16"/>
                <w:szCs w:val="16"/>
              </w:rPr>
              <w:t>122</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66380">
            <w:pPr>
              <w:widowControl/>
              <w:jc w:val="center"/>
              <w:rPr>
                <w:color w:val="000000"/>
                <w:kern w:val="0"/>
                <w:sz w:val="16"/>
                <w:szCs w:val="16"/>
              </w:rPr>
            </w:pPr>
            <w:r>
              <w:rPr>
                <w:color w:val="000000"/>
                <w:kern w:val="0"/>
                <w:sz w:val="16"/>
                <w:szCs w:val="16"/>
              </w:rPr>
              <w:t>4</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7255E">
            <w:pPr>
              <w:widowControl/>
              <w:jc w:val="left"/>
              <w:rPr>
                <w:color w:val="000000"/>
                <w:kern w:val="0"/>
                <w:sz w:val="16"/>
                <w:szCs w:val="16"/>
              </w:rPr>
            </w:pPr>
            <w:r>
              <w:rPr>
                <w:color w:val="000000"/>
                <w:kern w:val="0"/>
                <w:sz w:val="16"/>
                <w:szCs w:val="16"/>
              </w:rPr>
              <w:t>2018</w:t>
            </w:r>
            <w:r>
              <w:rPr>
                <w:rFonts w:ascii="宋体" w:hAnsi="宋体"/>
                <w:color w:val="000000"/>
                <w:kern w:val="0"/>
                <w:sz w:val="16"/>
              </w:rPr>
              <w:t>年末建档立卡贫困移民人数</w:t>
            </w:r>
            <w:r>
              <w:rPr>
                <w:color w:val="000000"/>
                <w:kern w:val="0"/>
                <w:sz w:val="16"/>
                <w:szCs w:val="16"/>
              </w:rPr>
              <w:t>-2019</w:t>
            </w:r>
            <w:r>
              <w:rPr>
                <w:rFonts w:ascii="宋体" w:hAnsi="宋体"/>
                <w:color w:val="000000"/>
                <w:kern w:val="0"/>
                <w:sz w:val="16"/>
              </w:rPr>
              <w:t>年末建档立卡贫困移民人数</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4AAD485">
            <w:pPr>
              <w:widowControl/>
              <w:jc w:val="left"/>
              <w:rPr>
                <w:rFonts w:ascii="宋体" w:hAnsi="宋体" w:cs="宋体"/>
                <w:color w:val="000000"/>
                <w:kern w:val="0"/>
                <w:sz w:val="16"/>
                <w:szCs w:val="16"/>
              </w:rPr>
            </w:pPr>
            <w:r>
              <w:rPr>
                <w:rFonts w:ascii="宋体" w:hAnsi="宋体" w:cs="宋体"/>
                <w:color w:val="000000"/>
                <w:kern w:val="0"/>
                <w:sz w:val="16"/>
              </w:rPr>
              <w:t>对照绩效目标评价社会效益（</w:t>
            </w:r>
            <w:r>
              <w:rPr>
                <w:color w:val="000000"/>
                <w:kern w:val="0"/>
                <w:sz w:val="16"/>
                <w:szCs w:val="16"/>
              </w:rPr>
              <w:t>7</w:t>
            </w:r>
            <w:r>
              <w:rPr>
                <w:rFonts w:ascii="宋体" w:hAnsi="宋体" w:cs="宋体"/>
                <w:color w:val="000000"/>
                <w:kern w:val="0"/>
                <w:sz w:val="16"/>
              </w:rPr>
              <w:t>分），全部达到绩效目标的，得满分；否则，按照绩效目标完成比例得分</w:t>
            </w:r>
          </w:p>
        </w:tc>
      </w:tr>
      <w:tr w14:paraId="5E400126">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6753E5">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F40D3E">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0883FD">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15223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C1FD07D">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8246">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：增加达到当地县农村居民平均收入水平移民人口（人）</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DEBB3">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CE9AE">
            <w:pPr>
              <w:widowControl/>
              <w:jc w:val="center"/>
              <w:rPr>
                <w:color w:val="000000"/>
                <w:kern w:val="0"/>
                <w:sz w:val="16"/>
                <w:szCs w:val="16"/>
              </w:rPr>
            </w:pPr>
            <w:r>
              <w:rPr>
                <w:color w:val="000000"/>
                <w:kern w:val="0"/>
                <w:sz w:val="16"/>
                <w:szCs w:val="16"/>
              </w:rPr>
              <w:t>899</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CC8D2C">
            <w:pPr>
              <w:widowControl/>
              <w:jc w:val="right"/>
              <w:rPr>
                <w:color w:val="000000"/>
                <w:kern w:val="0"/>
                <w:sz w:val="16"/>
                <w:szCs w:val="16"/>
              </w:rPr>
            </w:pPr>
            <w:r>
              <w:rPr>
                <w:color w:val="000000"/>
                <w:kern w:val="0"/>
                <w:sz w:val="16"/>
                <w:szCs w:val="16"/>
              </w:rPr>
              <w:t>899</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6BA92">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943E3">
            <w:pPr>
              <w:widowControl/>
              <w:jc w:val="left"/>
              <w:rPr>
                <w:color w:val="000000"/>
                <w:kern w:val="0"/>
                <w:sz w:val="16"/>
                <w:szCs w:val="16"/>
              </w:rPr>
            </w:pPr>
            <w:r>
              <w:rPr>
                <w:color w:val="000000"/>
                <w:kern w:val="0"/>
                <w:sz w:val="16"/>
                <w:szCs w:val="16"/>
              </w:rPr>
              <w:t>2019</w:t>
            </w:r>
            <w:r>
              <w:rPr>
                <w:rFonts w:ascii="宋体" w:hAnsi="宋体"/>
                <w:color w:val="000000"/>
                <w:kern w:val="0"/>
                <w:sz w:val="16"/>
              </w:rPr>
              <w:t>年移民人均可支配收入在本县</w:t>
            </w:r>
            <w:r>
              <w:rPr>
                <w:color w:val="000000"/>
                <w:kern w:val="0"/>
                <w:sz w:val="16"/>
                <w:szCs w:val="16"/>
              </w:rPr>
              <w:t>2019</w:t>
            </w:r>
            <w:r>
              <w:rPr>
                <w:rFonts w:ascii="宋体" w:hAnsi="宋体"/>
                <w:color w:val="000000"/>
                <w:kern w:val="0"/>
                <w:sz w:val="16"/>
              </w:rPr>
              <w:t>年农村居民人均可支配收入以上的人数</w:t>
            </w:r>
            <w:r>
              <w:rPr>
                <w:color w:val="000000"/>
                <w:kern w:val="0"/>
                <w:sz w:val="16"/>
                <w:szCs w:val="16"/>
              </w:rPr>
              <w:t>-2018</w:t>
            </w:r>
            <w:r>
              <w:rPr>
                <w:rFonts w:ascii="宋体" w:hAnsi="宋体"/>
                <w:color w:val="000000"/>
                <w:kern w:val="0"/>
                <w:sz w:val="16"/>
              </w:rPr>
              <w:t>年移民人均可支配收入在本县</w:t>
            </w:r>
            <w:r>
              <w:rPr>
                <w:color w:val="000000"/>
                <w:kern w:val="0"/>
                <w:sz w:val="16"/>
                <w:szCs w:val="16"/>
              </w:rPr>
              <w:t>2018</w:t>
            </w:r>
            <w:r>
              <w:rPr>
                <w:rFonts w:ascii="宋体" w:hAnsi="宋体"/>
                <w:color w:val="000000"/>
                <w:kern w:val="0"/>
                <w:sz w:val="16"/>
              </w:rPr>
              <w:t>年农村居民人均可支配收入以上的人数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1D20D35B">
            <w:pPr>
              <w:widowControl/>
              <w:jc w:val="left"/>
              <w:rPr>
                <w:rFonts w:ascii="宋体" w:hAnsi="宋体" w:cs="宋体"/>
                <w:color w:val="000000"/>
                <w:kern w:val="0"/>
                <w:sz w:val="16"/>
                <w:szCs w:val="16"/>
              </w:rPr>
            </w:pPr>
          </w:p>
        </w:tc>
      </w:tr>
      <w:tr w14:paraId="0D1AD1DF">
        <w:tblPrEx>
          <w:tblCellMar>
            <w:top w:w="0" w:type="dxa"/>
            <w:left w:w="108" w:type="dxa"/>
            <w:bottom w:w="0" w:type="dxa"/>
            <w:right w:w="108" w:type="dxa"/>
          </w:tblCellMar>
        </w:tblPrEx>
        <w:trPr>
          <w:trHeight w:val="294"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B3855">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90CF8C">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8341F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0E05C08">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097EBF">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6A0CB">
            <w:pPr>
              <w:widowControl/>
              <w:jc w:val="left"/>
              <w:rPr>
                <w:color w:val="000000"/>
                <w:kern w:val="0"/>
                <w:sz w:val="16"/>
                <w:szCs w:val="16"/>
              </w:rPr>
            </w:pPr>
            <w:r>
              <w:rPr>
                <w:color w:val="000000"/>
                <w:kern w:val="0"/>
                <w:sz w:val="16"/>
                <w:szCs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44E45">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F62C3">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19307">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986DB">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6CCEAE">
            <w:pPr>
              <w:widowControl/>
              <w:jc w:val="left"/>
              <w:rPr>
                <w:color w:val="000000"/>
                <w:kern w:val="0"/>
                <w:sz w:val="16"/>
                <w:szCs w:val="16"/>
              </w:rPr>
            </w:pP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219E5810">
            <w:pPr>
              <w:widowControl/>
              <w:jc w:val="left"/>
              <w:rPr>
                <w:rFonts w:ascii="宋体" w:hAnsi="宋体" w:cs="宋体"/>
                <w:color w:val="000000"/>
                <w:kern w:val="0"/>
                <w:sz w:val="16"/>
                <w:szCs w:val="16"/>
              </w:rPr>
            </w:pPr>
          </w:p>
        </w:tc>
      </w:tr>
      <w:tr w14:paraId="0144CE40">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FB9EC13">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667CD4E">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5C59A">
            <w:pPr>
              <w:widowControl/>
              <w:jc w:val="left"/>
              <w:rPr>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2D8111">
            <w:pPr>
              <w:widowControl/>
              <w:jc w:val="center"/>
              <w:rPr>
                <w:rFonts w:ascii="宋体" w:hAnsi="宋体" w:cs="宋体"/>
                <w:color w:val="000000"/>
                <w:kern w:val="0"/>
                <w:sz w:val="16"/>
                <w:szCs w:val="16"/>
              </w:rPr>
            </w:pPr>
            <w:r>
              <w:rPr>
                <w:rFonts w:hint="eastAsia" w:ascii="宋体" w:hAnsi="宋体" w:cs="宋体"/>
                <w:color w:val="000000"/>
                <w:kern w:val="0"/>
                <w:sz w:val="16"/>
                <w:szCs w:val="16"/>
              </w:rPr>
              <w:t>生态效益</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6AA291">
            <w:pPr>
              <w:widowControl/>
              <w:jc w:val="center"/>
              <w:rPr>
                <w:color w:val="000000"/>
                <w:kern w:val="0"/>
                <w:sz w:val="16"/>
                <w:szCs w:val="16"/>
              </w:rPr>
            </w:pPr>
            <w:r>
              <w:rPr>
                <w:color w:val="000000"/>
                <w:kern w:val="0"/>
                <w:sz w:val="16"/>
                <w:szCs w:val="16"/>
              </w:rPr>
              <w:t>6</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C34A9">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：建成美丽移民村（个）</w:t>
            </w:r>
          </w:p>
        </w:tc>
        <w:tc>
          <w:tcPr>
            <w:tcW w:w="53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3EA3F68">
            <w:pPr>
              <w:widowControl/>
              <w:ind w:left="-105" w:leftChars="-50" w:right="-105" w:rightChars="-50"/>
              <w:jc w:val="center"/>
              <w:rPr>
                <w:color w:val="000000"/>
                <w:kern w:val="0"/>
                <w:sz w:val="16"/>
                <w:szCs w:val="16"/>
              </w:rPr>
            </w:pPr>
            <w:r>
              <w:rPr>
                <w:color w:val="000000"/>
                <w:kern w:val="0"/>
                <w:sz w:val="16"/>
                <w:szCs w:val="16"/>
              </w:rPr>
              <w:t>6</w:t>
            </w:r>
            <w:r>
              <w:rPr>
                <w:rFonts w:ascii="宋体" w:hAnsi="宋体"/>
                <w:color w:val="000000"/>
                <w:kern w:val="0"/>
                <w:sz w:val="16"/>
              </w:rPr>
              <w:t>（根据各省中央资金分项投资所占权重分配各指标分值）</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2B2F9">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4AB2B">
            <w:pPr>
              <w:widowControl/>
              <w:jc w:val="right"/>
              <w:rPr>
                <w:color w:val="000000"/>
                <w:kern w:val="0"/>
                <w:sz w:val="16"/>
                <w:szCs w:val="16"/>
              </w:rPr>
            </w:pPr>
            <w:r>
              <w:rPr>
                <w:color w:val="000000"/>
                <w:kern w:val="0"/>
                <w:sz w:val="16"/>
                <w:szCs w:val="16"/>
              </w:rPr>
              <w:t>3</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407D94">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8999F">
            <w:pPr>
              <w:widowControl/>
              <w:jc w:val="left"/>
              <w:rPr>
                <w:rFonts w:ascii="宋体" w:hAnsi="宋体" w:cs="宋体"/>
                <w:color w:val="000000"/>
                <w:kern w:val="0"/>
                <w:sz w:val="16"/>
                <w:szCs w:val="16"/>
              </w:rPr>
            </w:pPr>
            <w:r>
              <w:rPr>
                <w:rFonts w:hint="eastAsia" w:ascii="宋体" w:hAnsi="宋体" w:cs="宋体"/>
                <w:color w:val="000000"/>
                <w:kern w:val="0"/>
                <w:sz w:val="16"/>
                <w:szCs w:val="16"/>
              </w:rPr>
              <w:t>完成美丽移民村建设任务的移民村个数</w:t>
            </w:r>
          </w:p>
        </w:tc>
        <w:tc>
          <w:tcPr>
            <w:tcW w:w="243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10C4C4B">
            <w:pPr>
              <w:widowControl/>
              <w:jc w:val="left"/>
              <w:rPr>
                <w:rFonts w:ascii="宋体" w:hAnsi="宋体" w:cs="宋体"/>
                <w:color w:val="000000"/>
                <w:kern w:val="0"/>
                <w:sz w:val="16"/>
                <w:szCs w:val="16"/>
              </w:rPr>
            </w:pPr>
            <w:r>
              <w:rPr>
                <w:rFonts w:ascii="宋体" w:hAnsi="宋体" w:cs="宋体"/>
                <w:color w:val="000000"/>
                <w:kern w:val="0"/>
                <w:sz w:val="16"/>
              </w:rPr>
              <w:t>对照绩效目标评价生态效益（</w:t>
            </w:r>
            <w:r>
              <w:rPr>
                <w:color w:val="000000"/>
                <w:kern w:val="0"/>
                <w:sz w:val="16"/>
                <w:szCs w:val="16"/>
              </w:rPr>
              <w:t>6</w:t>
            </w:r>
            <w:r>
              <w:rPr>
                <w:rFonts w:ascii="宋体" w:hAnsi="宋体" w:cs="宋体"/>
                <w:color w:val="000000"/>
                <w:kern w:val="0"/>
                <w:sz w:val="16"/>
              </w:rPr>
              <w:t>分），全部达到绩效目标的，得满分；否则，按照绩效目标完成比例得分</w:t>
            </w:r>
          </w:p>
        </w:tc>
      </w:tr>
      <w:tr w14:paraId="67CCF288">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89710">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4983B89">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F5ABA6B">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6AEF31A">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6E3F87">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68046">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：项目扶持受益移民村（不含建成美丽移民村）（个）</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4EF780">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379F">
            <w:pPr>
              <w:widowControl/>
              <w:jc w:val="center"/>
              <w:rPr>
                <w:color w:val="000000"/>
                <w:kern w:val="0"/>
                <w:sz w:val="16"/>
                <w:szCs w:val="16"/>
              </w:rPr>
            </w:pPr>
            <w:r>
              <w:rPr>
                <w:color w:val="000000"/>
                <w:kern w:val="0"/>
                <w:sz w:val="16"/>
                <w:szCs w:val="16"/>
              </w:rPr>
              <w:t>74</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5E344">
            <w:pPr>
              <w:widowControl/>
              <w:jc w:val="right"/>
              <w:rPr>
                <w:color w:val="000000"/>
                <w:kern w:val="0"/>
                <w:sz w:val="16"/>
                <w:szCs w:val="16"/>
              </w:rPr>
            </w:pPr>
            <w:r>
              <w:rPr>
                <w:color w:val="000000"/>
                <w:kern w:val="0"/>
                <w:sz w:val="16"/>
                <w:szCs w:val="16"/>
              </w:rPr>
              <w:t>74</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973F3">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50B2B">
            <w:pPr>
              <w:widowControl/>
              <w:jc w:val="left"/>
              <w:rPr>
                <w:rFonts w:ascii="宋体" w:hAnsi="宋体" w:cs="宋体"/>
                <w:color w:val="000000"/>
                <w:kern w:val="0"/>
                <w:sz w:val="16"/>
                <w:szCs w:val="16"/>
              </w:rPr>
            </w:pPr>
            <w:r>
              <w:rPr>
                <w:rFonts w:hint="eastAsia" w:ascii="宋体" w:hAnsi="宋体" w:cs="宋体"/>
                <w:color w:val="000000"/>
                <w:kern w:val="0"/>
                <w:sz w:val="16"/>
                <w:szCs w:val="16"/>
              </w:rPr>
              <w:t>完成项目建设任务的移民村（除建成的美丽移民村外）个数</w:t>
            </w: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1F5E5923">
            <w:pPr>
              <w:widowControl/>
              <w:jc w:val="left"/>
              <w:rPr>
                <w:rFonts w:ascii="宋体" w:hAnsi="宋体" w:cs="宋体"/>
                <w:color w:val="000000"/>
                <w:kern w:val="0"/>
                <w:sz w:val="16"/>
                <w:szCs w:val="16"/>
              </w:rPr>
            </w:pPr>
          </w:p>
        </w:tc>
      </w:tr>
      <w:tr w14:paraId="20D04AAC">
        <w:tblPrEx>
          <w:tblCellMar>
            <w:top w:w="0" w:type="dxa"/>
            <w:left w:w="108" w:type="dxa"/>
            <w:bottom w:w="0" w:type="dxa"/>
            <w:right w:w="108" w:type="dxa"/>
          </w:tblCellMar>
        </w:tblPrEx>
        <w:trPr>
          <w:trHeight w:val="279"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8D2A48">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DF3B68">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9E1C206">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352EB29">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7ECFDE">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B5E42">
            <w:pPr>
              <w:widowControl/>
              <w:jc w:val="left"/>
              <w:rPr>
                <w:color w:val="000000"/>
                <w:kern w:val="0"/>
                <w:sz w:val="16"/>
                <w:szCs w:val="16"/>
              </w:rPr>
            </w:pPr>
            <w:r>
              <w:rPr>
                <w:color w:val="000000"/>
                <w:kern w:val="0"/>
                <w:sz w:val="16"/>
                <w:szCs w:val="16"/>
              </w:rPr>
              <w:t xml:space="preserve"> ……</w:t>
            </w:r>
          </w:p>
        </w:tc>
        <w:tc>
          <w:tcPr>
            <w:tcW w:w="53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ED97FB">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DEE1B">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881D3">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B136E">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B766A">
            <w:pPr>
              <w:widowControl/>
              <w:jc w:val="left"/>
              <w:rPr>
                <w:color w:val="000000"/>
                <w:kern w:val="0"/>
                <w:sz w:val="16"/>
                <w:szCs w:val="16"/>
              </w:rPr>
            </w:pPr>
          </w:p>
        </w:tc>
        <w:tc>
          <w:tcPr>
            <w:tcW w:w="2437" w:type="dxa"/>
            <w:vMerge w:val="continue"/>
            <w:tcBorders>
              <w:top w:val="single" w:color="000000" w:sz="4" w:space="0"/>
              <w:left w:val="single" w:color="000000" w:sz="4" w:space="0"/>
              <w:bottom w:val="single" w:color="000000" w:sz="4" w:space="0"/>
              <w:right w:val="single" w:color="000000" w:sz="4" w:space="0"/>
            </w:tcBorders>
            <w:vAlign w:val="center"/>
          </w:tcPr>
          <w:p w14:paraId="48CC6CEA">
            <w:pPr>
              <w:widowControl/>
              <w:jc w:val="left"/>
              <w:rPr>
                <w:rFonts w:ascii="宋体" w:hAnsi="宋体" w:cs="宋体"/>
                <w:color w:val="000000"/>
                <w:kern w:val="0"/>
                <w:sz w:val="16"/>
                <w:szCs w:val="16"/>
              </w:rPr>
            </w:pPr>
          </w:p>
        </w:tc>
      </w:tr>
      <w:tr w14:paraId="4404100A">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AC3A51">
            <w:pPr>
              <w:widowControl/>
              <w:jc w:val="left"/>
              <w:rPr>
                <w:rFonts w:ascii="宋体" w:hAnsi="宋体" w:cs="宋体"/>
                <w:color w:val="000000"/>
                <w:kern w:val="0"/>
                <w:sz w:val="16"/>
                <w:szCs w:val="16"/>
              </w:rPr>
            </w:pP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E685AB0">
            <w:pPr>
              <w:widowControl/>
              <w:jc w:val="center"/>
              <w:rPr>
                <w:rFonts w:ascii="宋体" w:hAnsi="宋体" w:cs="宋体"/>
                <w:color w:val="000000"/>
                <w:kern w:val="0"/>
                <w:sz w:val="16"/>
                <w:szCs w:val="16"/>
              </w:rPr>
            </w:pPr>
            <w:r>
              <w:rPr>
                <w:rFonts w:hint="eastAsia" w:ascii="宋体" w:hAnsi="宋体" w:cs="宋体"/>
                <w:color w:val="000000"/>
                <w:kern w:val="0"/>
                <w:sz w:val="16"/>
                <w:szCs w:val="16"/>
              </w:rPr>
              <w:t>满意度</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88DF380">
            <w:pPr>
              <w:widowControl/>
              <w:jc w:val="center"/>
              <w:rPr>
                <w:color w:val="000000"/>
                <w:kern w:val="0"/>
                <w:sz w:val="16"/>
                <w:szCs w:val="16"/>
              </w:rPr>
            </w:pPr>
            <w:r>
              <w:rPr>
                <w:color w:val="000000"/>
                <w:kern w:val="0"/>
                <w:sz w:val="16"/>
                <w:szCs w:val="16"/>
              </w:rPr>
              <w:t>5</w:t>
            </w:r>
          </w:p>
        </w:tc>
        <w:tc>
          <w:tcPr>
            <w:tcW w:w="40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00C3AED">
            <w:pPr>
              <w:widowControl/>
              <w:jc w:val="center"/>
              <w:rPr>
                <w:rFonts w:hint="eastAsia" w:ascii="宋体" w:hAnsi="宋体" w:eastAsia="宋体"/>
                <w:color w:val="000000"/>
                <w:kern w:val="0"/>
                <w:sz w:val="16"/>
                <w:lang w:eastAsia="zh-CN"/>
              </w:rPr>
            </w:pPr>
          </w:p>
          <w:p w14:paraId="5922A6D4">
            <w:pPr>
              <w:widowControl/>
              <w:jc w:val="center"/>
              <w:rPr>
                <w:color w:val="000000"/>
                <w:kern w:val="0"/>
                <w:sz w:val="16"/>
                <w:szCs w:val="16"/>
              </w:rPr>
            </w:pPr>
            <w:r>
              <w:rPr>
                <w:rFonts w:ascii="宋体" w:hAnsi="宋体"/>
                <w:color w:val="000000"/>
                <w:kern w:val="0"/>
                <w:sz w:val="16"/>
              </w:rPr>
              <w:t>服务对象满意度</w:t>
            </w:r>
          </w:p>
        </w:tc>
        <w:tc>
          <w:tcPr>
            <w:tcW w:w="45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907CB4F">
            <w:pPr>
              <w:widowControl/>
              <w:jc w:val="center"/>
              <w:rPr>
                <w:color w:val="000000"/>
                <w:kern w:val="0"/>
                <w:sz w:val="16"/>
                <w:szCs w:val="16"/>
              </w:rPr>
            </w:pPr>
            <w:r>
              <w:rPr>
                <w:color w:val="000000"/>
                <w:kern w:val="0"/>
                <w:sz w:val="16"/>
                <w:szCs w:val="16"/>
              </w:rPr>
              <w:t>5</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1C94D">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1</w:t>
            </w:r>
            <w:r>
              <w:rPr>
                <w:rFonts w:ascii="宋体" w:hAnsi="宋体"/>
                <w:color w:val="000000"/>
                <w:kern w:val="0"/>
                <w:sz w:val="16"/>
              </w:rPr>
              <w:t>：移民对后期扶持政策实施满意度（</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8B328">
            <w:pPr>
              <w:widowControl/>
              <w:jc w:val="center"/>
              <w:rPr>
                <w:color w:val="000000"/>
                <w:kern w:val="0"/>
                <w:sz w:val="16"/>
                <w:szCs w:val="16"/>
              </w:rPr>
            </w:pPr>
            <w:r>
              <w:rPr>
                <w:color w:val="000000"/>
                <w:kern w:val="0"/>
                <w:sz w:val="16"/>
                <w:szCs w:val="16"/>
              </w:rPr>
              <w:t>3</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1D255">
            <w:pPr>
              <w:widowControl/>
              <w:jc w:val="center"/>
              <w:rPr>
                <w:rFonts w:ascii="宋体" w:hAnsi="宋体" w:cs="宋体"/>
                <w:color w:val="000000"/>
                <w:kern w:val="0"/>
                <w:sz w:val="16"/>
                <w:szCs w:val="16"/>
              </w:rPr>
            </w:pPr>
            <w:r>
              <w:rPr>
                <w:rFonts w:ascii="宋体" w:hAnsi="宋体" w:cs="宋体"/>
                <w:color w:val="000000"/>
                <w:kern w:val="0"/>
                <w:sz w:val="16"/>
              </w:rPr>
              <w:t>≥</w:t>
            </w:r>
            <w:r>
              <w:rPr>
                <w:color w:val="000000"/>
                <w:kern w:val="0"/>
                <w:sz w:val="16"/>
                <w:szCs w:val="16"/>
              </w:rPr>
              <w:t>80%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C8648">
            <w:pPr>
              <w:widowControl/>
              <w:jc w:val="center"/>
              <w:rPr>
                <w:rFonts w:ascii="宋体" w:hAnsi="宋体" w:cs="宋体"/>
                <w:color w:val="000000"/>
                <w:kern w:val="0"/>
                <w:sz w:val="16"/>
                <w:szCs w:val="16"/>
              </w:rPr>
            </w:pPr>
            <w:r>
              <w:rPr>
                <w:rFonts w:ascii="宋体" w:hAnsi="宋体" w:cs="宋体"/>
                <w:color w:val="000000"/>
                <w:kern w:val="0"/>
                <w:sz w:val="16"/>
              </w:rPr>
              <w:t>≥</w:t>
            </w:r>
            <w:r>
              <w:rPr>
                <w:color w:val="000000"/>
                <w:kern w:val="0"/>
                <w:sz w:val="16"/>
                <w:szCs w:val="16"/>
              </w:rPr>
              <w:t>80%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289B4">
            <w:pPr>
              <w:widowControl/>
              <w:jc w:val="center"/>
              <w:rPr>
                <w:color w:val="000000"/>
                <w:kern w:val="0"/>
                <w:sz w:val="16"/>
                <w:szCs w:val="16"/>
              </w:rPr>
            </w:pPr>
            <w:r>
              <w:rPr>
                <w:color w:val="000000"/>
                <w:kern w:val="0"/>
                <w:sz w:val="16"/>
                <w:szCs w:val="16"/>
              </w:rPr>
              <w:t>3</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C12E7">
            <w:pPr>
              <w:widowControl/>
              <w:jc w:val="left"/>
              <w:rPr>
                <w:rFonts w:ascii="宋体" w:hAnsi="宋体" w:cs="宋体"/>
                <w:color w:val="000000"/>
                <w:kern w:val="0"/>
                <w:sz w:val="16"/>
                <w:szCs w:val="16"/>
              </w:rPr>
            </w:pPr>
            <w:r>
              <w:rPr>
                <w:rFonts w:hint="eastAsia" w:ascii="宋体" w:hAnsi="宋体" w:cs="宋体"/>
                <w:color w:val="000000"/>
                <w:kern w:val="0"/>
                <w:sz w:val="16"/>
                <w:szCs w:val="16"/>
              </w:rPr>
              <w:t>对后期扶持政策实施情况表示满意的移民人数占比</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39D36">
            <w:pPr>
              <w:widowControl/>
              <w:jc w:val="left"/>
              <w:rPr>
                <w:rFonts w:ascii="宋体" w:hAnsi="宋体" w:cs="宋体"/>
                <w:color w:val="000000"/>
                <w:kern w:val="0"/>
                <w:sz w:val="16"/>
                <w:szCs w:val="16"/>
              </w:rPr>
            </w:pPr>
            <w:r>
              <w:rPr>
                <w:rFonts w:ascii="宋体" w:hAnsi="宋体" w:cs="宋体"/>
                <w:color w:val="000000"/>
                <w:kern w:val="0"/>
                <w:sz w:val="16"/>
              </w:rPr>
              <w:t>满意度高于或等于</w:t>
            </w:r>
            <w:r>
              <w:rPr>
                <w:color w:val="000000"/>
                <w:kern w:val="0"/>
                <w:sz w:val="16"/>
                <w:szCs w:val="16"/>
              </w:rPr>
              <w:t>80%</w:t>
            </w:r>
            <w:r>
              <w:rPr>
                <w:rFonts w:ascii="宋体" w:hAnsi="宋体" w:cs="宋体"/>
                <w:color w:val="000000"/>
                <w:kern w:val="0"/>
                <w:sz w:val="16"/>
              </w:rPr>
              <w:t>（</w:t>
            </w:r>
            <w:r>
              <w:rPr>
                <w:color w:val="000000"/>
                <w:kern w:val="0"/>
                <w:sz w:val="16"/>
                <w:szCs w:val="16"/>
              </w:rPr>
              <w:t>3</w:t>
            </w:r>
            <w:r>
              <w:rPr>
                <w:rFonts w:ascii="宋体" w:hAnsi="宋体" w:cs="宋体"/>
                <w:color w:val="000000"/>
                <w:kern w:val="0"/>
                <w:sz w:val="16"/>
              </w:rPr>
              <w:t>分）；满意度低于</w:t>
            </w:r>
            <w:r>
              <w:rPr>
                <w:color w:val="000000"/>
                <w:kern w:val="0"/>
                <w:sz w:val="16"/>
                <w:szCs w:val="16"/>
              </w:rPr>
              <w:t>80%</w:t>
            </w:r>
            <w:r>
              <w:rPr>
                <w:rFonts w:ascii="宋体" w:hAnsi="宋体" w:cs="宋体"/>
                <w:color w:val="000000"/>
                <w:kern w:val="0"/>
                <w:sz w:val="16"/>
              </w:rPr>
              <w:t>的，按照绩效目标完成比例得分</w:t>
            </w:r>
          </w:p>
        </w:tc>
      </w:tr>
      <w:tr w14:paraId="5C633E3C">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8270F12">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8586EAF">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54C7DB">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3314A">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644AE6">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5D325">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2</w:t>
            </w:r>
            <w:r>
              <w:rPr>
                <w:rFonts w:ascii="宋体" w:hAnsi="宋体"/>
                <w:color w:val="000000"/>
                <w:kern w:val="0"/>
                <w:sz w:val="16"/>
              </w:rPr>
              <w:t>：与后期扶持有关的非正常进京越级上访事件（起）</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46FF9">
            <w:pPr>
              <w:widowControl/>
              <w:jc w:val="center"/>
              <w:rPr>
                <w:color w:val="000000"/>
                <w:kern w:val="0"/>
                <w:sz w:val="16"/>
                <w:szCs w:val="16"/>
              </w:rPr>
            </w:pPr>
            <w:r>
              <w:rPr>
                <w:color w:val="000000"/>
                <w:kern w:val="0"/>
                <w:sz w:val="16"/>
                <w:szCs w:val="16"/>
              </w:rPr>
              <w:t>1</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1DCA9">
            <w:pPr>
              <w:widowControl/>
              <w:jc w:val="center"/>
              <w:rPr>
                <w:color w:val="000000"/>
                <w:kern w:val="0"/>
                <w:sz w:val="16"/>
                <w:szCs w:val="16"/>
              </w:rPr>
            </w:pPr>
            <w:r>
              <w:rPr>
                <w:color w:val="000000"/>
                <w:kern w:val="0"/>
                <w:sz w:val="16"/>
                <w:szCs w:val="16"/>
              </w:rPr>
              <w:t>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3F6B7">
            <w:pPr>
              <w:widowControl/>
              <w:jc w:val="right"/>
              <w:rPr>
                <w:color w:val="000000"/>
                <w:kern w:val="0"/>
                <w:sz w:val="16"/>
                <w:szCs w:val="16"/>
              </w:rPr>
            </w:pPr>
            <w:r>
              <w:rPr>
                <w:color w:val="000000"/>
                <w:kern w:val="0"/>
                <w:sz w:val="16"/>
                <w:szCs w:val="16"/>
              </w:rPr>
              <w:t>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977DB">
            <w:pPr>
              <w:widowControl/>
              <w:jc w:val="center"/>
              <w:rPr>
                <w:color w:val="000000"/>
                <w:kern w:val="0"/>
                <w:sz w:val="16"/>
                <w:szCs w:val="16"/>
              </w:rPr>
            </w:pPr>
            <w:r>
              <w:rPr>
                <w:color w:val="000000"/>
                <w:kern w:val="0"/>
                <w:sz w:val="16"/>
                <w:szCs w:val="16"/>
              </w:rPr>
              <w:t>1</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2F852">
            <w:pPr>
              <w:widowControl/>
              <w:jc w:val="left"/>
              <w:rPr>
                <w:rFonts w:ascii="宋体" w:hAnsi="宋体" w:cs="宋体"/>
                <w:color w:val="000000"/>
                <w:kern w:val="0"/>
                <w:sz w:val="16"/>
                <w:szCs w:val="16"/>
              </w:rPr>
            </w:pPr>
            <w:r>
              <w:rPr>
                <w:rFonts w:hint="eastAsia" w:ascii="宋体" w:hAnsi="宋体" w:cs="宋体"/>
                <w:color w:val="000000"/>
                <w:kern w:val="0"/>
                <w:sz w:val="16"/>
                <w:szCs w:val="16"/>
              </w:rPr>
              <w:t>发生信访人以进京的方式进行集访、闹访、缠访、越级形态出现的影响党政机关办公秩序，损害社会治安秩序，妨害国家安全和公共安全等行为的上访事件次数</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7F024">
            <w:pPr>
              <w:widowControl/>
              <w:jc w:val="left"/>
              <w:rPr>
                <w:rFonts w:ascii="宋体" w:hAnsi="宋体" w:cs="宋体"/>
                <w:color w:val="000000"/>
                <w:kern w:val="0"/>
                <w:sz w:val="16"/>
                <w:szCs w:val="16"/>
              </w:rPr>
            </w:pPr>
            <w:r>
              <w:rPr>
                <w:rFonts w:ascii="宋体" w:hAnsi="宋体" w:cs="宋体"/>
                <w:color w:val="000000"/>
                <w:kern w:val="0"/>
                <w:sz w:val="16"/>
              </w:rPr>
              <w:t>发生</w:t>
            </w:r>
            <w:r>
              <w:rPr>
                <w:color w:val="000000"/>
                <w:kern w:val="0"/>
                <w:sz w:val="16"/>
                <w:szCs w:val="16"/>
              </w:rPr>
              <w:t>0</w:t>
            </w:r>
            <w:r>
              <w:rPr>
                <w:rFonts w:ascii="宋体" w:hAnsi="宋体" w:cs="宋体"/>
                <w:color w:val="000000"/>
                <w:kern w:val="0"/>
                <w:sz w:val="16"/>
              </w:rPr>
              <w:t>起（</w:t>
            </w:r>
            <w:r>
              <w:rPr>
                <w:color w:val="000000"/>
                <w:kern w:val="0"/>
                <w:sz w:val="16"/>
                <w:szCs w:val="16"/>
              </w:rPr>
              <w:t>1</w:t>
            </w:r>
            <w:r>
              <w:rPr>
                <w:rFonts w:ascii="宋体" w:hAnsi="宋体" w:cs="宋体"/>
                <w:color w:val="000000"/>
                <w:kern w:val="0"/>
                <w:sz w:val="16"/>
              </w:rPr>
              <w:t>分）；发生</w:t>
            </w:r>
            <w:r>
              <w:rPr>
                <w:color w:val="000000"/>
                <w:kern w:val="0"/>
                <w:sz w:val="16"/>
                <w:szCs w:val="16"/>
              </w:rPr>
              <w:t>1</w:t>
            </w:r>
            <w:r>
              <w:rPr>
                <w:rFonts w:ascii="宋体" w:hAnsi="宋体" w:cs="宋体"/>
                <w:color w:val="000000"/>
                <w:kern w:val="0"/>
                <w:sz w:val="16"/>
              </w:rPr>
              <w:t>起及以上（</w:t>
            </w:r>
            <w:r>
              <w:rPr>
                <w:color w:val="000000"/>
                <w:kern w:val="0"/>
                <w:sz w:val="16"/>
                <w:szCs w:val="16"/>
              </w:rPr>
              <w:t>0</w:t>
            </w:r>
            <w:r>
              <w:rPr>
                <w:rFonts w:ascii="宋体" w:hAnsi="宋体" w:cs="宋体"/>
                <w:color w:val="000000"/>
                <w:kern w:val="0"/>
                <w:sz w:val="16"/>
              </w:rPr>
              <w:t>分）</w:t>
            </w:r>
          </w:p>
        </w:tc>
      </w:tr>
      <w:tr w14:paraId="27D33842">
        <w:tblPrEx>
          <w:tblCellMar>
            <w:top w:w="0" w:type="dxa"/>
            <w:left w:w="108" w:type="dxa"/>
            <w:bottom w:w="0" w:type="dxa"/>
            <w:right w:w="108" w:type="dxa"/>
          </w:tblCellMar>
        </w:tblPrEx>
        <w:trPr>
          <w:trHeight w:val="567"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B8343C1">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57C67D">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2D42D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7660095">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2282A0">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D1748">
            <w:pPr>
              <w:widowControl/>
              <w:jc w:val="left"/>
              <w:rPr>
                <w:color w:val="000000"/>
                <w:kern w:val="0"/>
                <w:sz w:val="16"/>
                <w:szCs w:val="16"/>
              </w:rPr>
            </w:pPr>
            <w:r>
              <w:rPr>
                <w:color w:val="000000"/>
                <w:kern w:val="0"/>
                <w:sz w:val="16"/>
                <w:szCs w:val="16"/>
              </w:rPr>
              <w:t xml:space="preserve"> </w:t>
            </w:r>
            <w:r>
              <w:rPr>
                <w:rFonts w:ascii="宋体" w:hAnsi="宋体"/>
                <w:color w:val="000000"/>
                <w:kern w:val="0"/>
                <w:sz w:val="16"/>
              </w:rPr>
              <w:t>指标</w:t>
            </w:r>
            <w:r>
              <w:rPr>
                <w:color w:val="000000"/>
                <w:kern w:val="0"/>
                <w:sz w:val="16"/>
                <w:szCs w:val="16"/>
              </w:rPr>
              <w:t>3</w:t>
            </w:r>
            <w:r>
              <w:rPr>
                <w:rFonts w:ascii="宋体" w:hAnsi="宋体"/>
                <w:color w:val="000000"/>
                <w:kern w:val="0"/>
                <w:sz w:val="16"/>
              </w:rPr>
              <w:t>：交办的信访事项及时处理率（</w:t>
            </w:r>
            <w:r>
              <w:rPr>
                <w:color w:val="000000"/>
                <w:kern w:val="0"/>
                <w:sz w:val="16"/>
                <w:szCs w:val="16"/>
              </w:rPr>
              <w:t>%</w:t>
            </w:r>
            <w:r>
              <w:rPr>
                <w:rFonts w:ascii="宋体" w:hAnsi="宋体"/>
                <w:color w:val="000000"/>
                <w:kern w:val="0"/>
                <w:sz w:val="16"/>
              </w:rPr>
              <w:t>）</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DA5E8">
            <w:pPr>
              <w:widowControl/>
              <w:jc w:val="center"/>
              <w:rPr>
                <w:color w:val="000000"/>
                <w:kern w:val="0"/>
                <w:sz w:val="16"/>
                <w:szCs w:val="16"/>
              </w:rPr>
            </w:pPr>
            <w:r>
              <w:rPr>
                <w:color w:val="000000"/>
                <w:kern w:val="0"/>
                <w:sz w:val="16"/>
                <w:szCs w:val="16"/>
              </w:rPr>
              <w:t>1</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E1C3F">
            <w:pPr>
              <w:widowControl/>
              <w:jc w:val="center"/>
              <w:rPr>
                <w:color w:val="000000"/>
                <w:kern w:val="0"/>
                <w:sz w:val="16"/>
                <w:szCs w:val="16"/>
              </w:rPr>
            </w:pPr>
            <w:r>
              <w:rPr>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9109F">
            <w:pPr>
              <w:widowControl/>
              <w:jc w:val="right"/>
              <w:rPr>
                <w:color w:val="000000"/>
                <w:kern w:val="0"/>
                <w:sz w:val="16"/>
                <w:szCs w:val="16"/>
              </w:rPr>
            </w:pPr>
            <w:r>
              <w:rPr>
                <w:color w:val="000000"/>
                <w:kern w:val="0"/>
                <w:sz w:val="16"/>
                <w:szCs w:val="16"/>
              </w:rPr>
              <w:t>100%</w:t>
            </w: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29B64">
            <w:pPr>
              <w:widowControl/>
              <w:jc w:val="center"/>
              <w:rPr>
                <w:color w:val="000000"/>
                <w:kern w:val="0"/>
                <w:sz w:val="16"/>
                <w:szCs w:val="16"/>
              </w:rPr>
            </w:pPr>
            <w:r>
              <w:rPr>
                <w:color w:val="000000"/>
                <w:kern w:val="0"/>
                <w:sz w:val="16"/>
                <w:szCs w:val="16"/>
              </w:rPr>
              <w:t>1</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AD7EF">
            <w:pPr>
              <w:widowControl/>
              <w:jc w:val="left"/>
              <w:rPr>
                <w:rFonts w:ascii="宋体" w:hAnsi="宋体" w:cs="宋体"/>
                <w:color w:val="000000"/>
                <w:kern w:val="0"/>
                <w:sz w:val="16"/>
                <w:szCs w:val="16"/>
              </w:rPr>
            </w:pPr>
            <w:r>
              <w:rPr>
                <w:rFonts w:ascii="宋体" w:hAnsi="宋体" w:cs="宋体"/>
                <w:color w:val="000000"/>
                <w:kern w:val="0"/>
                <w:sz w:val="16"/>
              </w:rPr>
              <w:t>中央交办的信访事项及时处理的个数</w:t>
            </w:r>
            <w:r>
              <w:rPr>
                <w:color w:val="000000"/>
                <w:kern w:val="0"/>
                <w:sz w:val="16"/>
                <w:szCs w:val="16"/>
              </w:rPr>
              <w:t>/</w:t>
            </w:r>
            <w:r>
              <w:rPr>
                <w:rFonts w:ascii="宋体" w:hAnsi="宋体" w:cs="宋体"/>
                <w:color w:val="000000"/>
                <w:kern w:val="0"/>
                <w:sz w:val="16"/>
              </w:rPr>
              <w:t>中央交办的信访事项总个数</w:t>
            </w:r>
            <w:r>
              <w:rPr>
                <w:color w:val="000000"/>
                <w:kern w:val="0"/>
                <w:sz w:val="16"/>
                <w:szCs w:val="16"/>
              </w:rPr>
              <w:t>×100%</w:t>
            </w: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2AEBD">
            <w:pPr>
              <w:widowControl/>
              <w:jc w:val="left"/>
              <w:rPr>
                <w:rFonts w:ascii="宋体" w:hAnsi="宋体" w:cs="宋体"/>
                <w:color w:val="000000"/>
                <w:kern w:val="0"/>
                <w:sz w:val="16"/>
                <w:szCs w:val="16"/>
              </w:rPr>
            </w:pPr>
            <w:r>
              <w:rPr>
                <w:rFonts w:ascii="宋体" w:hAnsi="宋体" w:cs="宋体"/>
                <w:color w:val="000000"/>
                <w:kern w:val="0"/>
                <w:sz w:val="16"/>
              </w:rPr>
              <w:t>完成率</w:t>
            </w:r>
            <w:r>
              <w:rPr>
                <w:color w:val="000000"/>
                <w:kern w:val="0"/>
                <w:sz w:val="16"/>
                <w:szCs w:val="16"/>
              </w:rPr>
              <w:t>100%</w:t>
            </w:r>
            <w:r>
              <w:rPr>
                <w:rFonts w:ascii="宋体" w:hAnsi="宋体" w:cs="宋体"/>
                <w:color w:val="000000"/>
                <w:kern w:val="0"/>
                <w:sz w:val="16"/>
              </w:rPr>
              <w:t>（</w:t>
            </w:r>
            <w:r>
              <w:rPr>
                <w:color w:val="000000"/>
                <w:kern w:val="0"/>
                <w:sz w:val="16"/>
                <w:szCs w:val="16"/>
              </w:rPr>
              <w:t>1</w:t>
            </w:r>
            <w:r>
              <w:rPr>
                <w:rFonts w:ascii="宋体" w:hAnsi="宋体" w:cs="宋体"/>
                <w:color w:val="000000"/>
                <w:kern w:val="0"/>
                <w:sz w:val="16"/>
              </w:rPr>
              <w:t>分）；否则，按照绩效目标完成比例得分</w:t>
            </w:r>
          </w:p>
        </w:tc>
      </w:tr>
      <w:tr w14:paraId="4571B949">
        <w:tblPrEx>
          <w:tblCellMar>
            <w:top w:w="0" w:type="dxa"/>
            <w:left w:w="108" w:type="dxa"/>
            <w:bottom w:w="0" w:type="dxa"/>
            <w:right w:w="108" w:type="dxa"/>
          </w:tblCellMar>
        </w:tblPrEx>
        <w:trPr>
          <w:trHeight w:val="166" w:hRule="atLeast"/>
          <w:jc w:val="center"/>
        </w:trPr>
        <w:tc>
          <w:tcPr>
            <w:tcW w:w="53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36470A">
            <w:pPr>
              <w:widowControl/>
              <w:jc w:val="left"/>
              <w:rPr>
                <w:rFonts w:ascii="宋体" w:hAnsi="宋体" w:cs="宋体"/>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0C85BD">
            <w:pPr>
              <w:widowControl/>
              <w:jc w:val="left"/>
              <w:rPr>
                <w:rFonts w:ascii="宋体" w:hAnsi="宋体" w:cs="宋体"/>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535792">
            <w:pPr>
              <w:widowControl/>
              <w:jc w:val="left"/>
              <w:rPr>
                <w:color w:val="000000"/>
                <w:kern w:val="0"/>
                <w:sz w:val="16"/>
                <w:szCs w:val="16"/>
              </w:rPr>
            </w:pPr>
          </w:p>
        </w:tc>
        <w:tc>
          <w:tcPr>
            <w:tcW w:w="40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3A57D7E">
            <w:pPr>
              <w:widowControl/>
              <w:jc w:val="left"/>
              <w:rPr>
                <w:color w:val="000000"/>
                <w:kern w:val="0"/>
                <w:sz w:val="16"/>
                <w:szCs w:val="16"/>
              </w:rPr>
            </w:pPr>
          </w:p>
        </w:tc>
        <w:tc>
          <w:tcPr>
            <w:tcW w:w="45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D1302B2">
            <w:pPr>
              <w:widowControl/>
              <w:jc w:val="left"/>
              <w:rPr>
                <w:color w:val="000000"/>
                <w:kern w:val="0"/>
                <w:sz w:val="16"/>
                <w:szCs w:val="16"/>
              </w:rPr>
            </w:pP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699D">
            <w:pPr>
              <w:widowControl/>
              <w:jc w:val="left"/>
              <w:rPr>
                <w:color w:val="000000"/>
                <w:kern w:val="0"/>
                <w:sz w:val="16"/>
                <w:szCs w:val="16"/>
              </w:rPr>
            </w:pPr>
            <w:r>
              <w:rPr>
                <w:color w:val="000000"/>
                <w:kern w:val="0"/>
                <w:sz w:val="16"/>
                <w:szCs w:val="16"/>
              </w:rPr>
              <w:t xml:space="preserve"> ……</w:t>
            </w: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B5DE1">
            <w:pPr>
              <w:widowControl/>
              <w:jc w:val="left"/>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D162A">
            <w:pPr>
              <w:widowControl/>
              <w:jc w:val="center"/>
              <w:rPr>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1959A">
            <w:pPr>
              <w:widowControl/>
              <w:jc w:val="left"/>
              <w:rPr>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0A622">
            <w:pPr>
              <w:widowControl/>
              <w:jc w:val="center"/>
              <w:rPr>
                <w:color w:val="000000"/>
                <w:kern w:val="0"/>
                <w:sz w:val="16"/>
                <w:szCs w:val="16"/>
              </w:rPr>
            </w:pP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1DBBA">
            <w:pPr>
              <w:widowControl/>
              <w:jc w:val="left"/>
              <w:rPr>
                <w:color w:val="000000"/>
                <w:kern w:val="0"/>
                <w:sz w:val="16"/>
                <w:szCs w:val="16"/>
              </w:rPr>
            </w:pP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84BF3">
            <w:pPr>
              <w:widowControl/>
              <w:jc w:val="left"/>
              <w:rPr>
                <w:color w:val="000000"/>
                <w:kern w:val="0"/>
                <w:sz w:val="16"/>
                <w:szCs w:val="16"/>
              </w:rPr>
            </w:pPr>
          </w:p>
        </w:tc>
      </w:tr>
      <w:tr w14:paraId="590C741F">
        <w:tblPrEx>
          <w:tblCellMar>
            <w:top w:w="0" w:type="dxa"/>
            <w:left w:w="108" w:type="dxa"/>
            <w:bottom w:w="0" w:type="dxa"/>
            <w:right w:w="108" w:type="dxa"/>
          </w:tblCellMar>
        </w:tblPrEx>
        <w:trPr>
          <w:trHeight w:val="567" w:hRule="atLeast"/>
          <w:jc w:val="center"/>
        </w:trPr>
        <w:tc>
          <w:tcPr>
            <w:tcW w:w="94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783BE04">
            <w:pPr>
              <w:widowControl/>
              <w:ind w:left="-105" w:leftChars="-50" w:right="-105" w:rightChars="-50"/>
              <w:jc w:val="center"/>
              <w:rPr>
                <w:rFonts w:ascii="宋体" w:hAnsi="宋体" w:cs="宋体"/>
                <w:bCs/>
                <w:color w:val="000000"/>
                <w:kern w:val="0"/>
                <w:sz w:val="16"/>
                <w:szCs w:val="16"/>
              </w:rPr>
            </w:pPr>
            <w:r>
              <w:rPr>
                <w:rFonts w:hint="eastAsia" w:ascii="宋体" w:hAnsi="宋体" w:cs="宋体"/>
                <w:bCs/>
                <w:color w:val="000000"/>
                <w:kern w:val="0"/>
                <w:sz w:val="16"/>
                <w:szCs w:val="16"/>
              </w:rPr>
              <w:t>自评分合计</w:t>
            </w: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CBB69">
            <w:pPr>
              <w:widowControl/>
              <w:jc w:val="center"/>
              <w:rPr>
                <w:bCs/>
                <w:color w:val="000000"/>
                <w:kern w:val="0"/>
                <w:sz w:val="16"/>
                <w:szCs w:val="16"/>
              </w:rPr>
            </w:pPr>
            <w:r>
              <w:rPr>
                <w:bCs/>
                <w:color w:val="000000"/>
                <w:kern w:val="0"/>
                <w:sz w:val="16"/>
                <w:szCs w:val="16"/>
              </w:rPr>
              <w:t>100</w:t>
            </w:r>
          </w:p>
        </w:tc>
        <w:tc>
          <w:tcPr>
            <w:tcW w:w="40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C6C3F">
            <w:pPr>
              <w:widowControl/>
              <w:jc w:val="center"/>
              <w:rPr>
                <w:bCs/>
                <w:color w:val="000000"/>
                <w:kern w:val="0"/>
                <w:sz w:val="16"/>
                <w:szCs w:val="16"/>
              </w:rPr>
            </w:pPr>
          </w:p>
        </w:tc>
        <w:tc>
          <w:tcPr>
            <w:tcW w:w="45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B4033">
            <w:pPr>
              <w:widowControl/>
              <w:jc w:val="center"/>
              <w:rPr>
                <w:bCs/>
                <w:color w:val="000000"/>
                <w:kern w:val="0"/>
                <w:sz w:val="16"/>
                <w:szCs w:val="16"/>
              </w:rPr>
            </w:pPr>
            <w:r>
              <w:rPr>
                <w:bCs/>
                <w:color w:val="000000"/>
                <w:kern w:val="0"/>
                <w:sz w:val="16"/>
                <w:szCs w:val="16"/>
              </w:rPr>
              <w:t>100</w:t>
            </w:r>
          </w:p>
        </w:tc>
        <w:tc>
          <w:tcPr>
            <w:tcW w:w="10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64220">
            <w:pPr>
              <w:widowControl/>
              <w:jc w:val="left"/>
              <w:rPr>
                <w:bCs/>
                <w:color w:val="000000"/>
                <w:kern w:val="0"/>
                <w:sz w:val="16"/>
                <w:szCs w:val="16"/>
              </w:rPr>
            </w:pPr>
          </w:p>
        </w:tc>
        <w:tc>
          <w:tcPr>
            <w:tcW w:w="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B7A81">
            <w:pPr>
              <w:widowControl/>
              <w:jc w:val="center"/>
              <w:rPr>
                <w:bCs/>
                <w:color w:val="000000"/>
                <w:kern w:val="0"/>
                <w:sz w:val="16"/>
                <w:szCs w:val="16"/>
              </w:rPr>
            </w:pPr>
            <w:r>
              <w:rPr>
                <w:bCs/>
                <w:color w:val="000000"/>
                <w:kern w:val="0"/>
                <w:sz w:val="16"/>
                <w:szCs w:val="16"/>
              </w:rPr>
              <w:t>100</w:t>
            </w: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68C02A">
            <w:pPr>
              <w:widowControl/>
              <w:jc w:val="center"/>
              <w:rPr>
                <w:bCs/>
                <w:color w:val="000000"/>
                <w:kern w:val="0"/>
                <w:sz w:val="16"/>
                <w:szCs w:val="16"/>
              </w:rPr>
            </w:pPr>
          </w:p>
        </w:tc>
        <w:tc>
          <w:tcPr>
            <w:tcW w:w="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56304">
            <w:pPr>
              <w:widowControl/>
              <w:jc w:val="left"/>
              <w:rPr>
                <w:bCs/>
                <w:color w:val="000000"/>
                <w:kern w:val="0"/>
                <w:sz w:val="16"/>
                <w:szCs w:val="16"/>
              </w:rPr>
            </w:pPr>
          </w:p>
        </w:tc>
        <w:tc>
          <w:tcPr>
            <w:tcW w:w="42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90D28">
            <w:pPr>
              <w:widowControl/>
              <w:jc w:val="center"/>
              <w:rPr>
                <w:bCs/>
                <w:color w:val="000000"/>
                <w:kern w:val="0"/>
                <w:sz w:val="16"/>
                <w:szCs w:val="16"/>
              </w:rPr>
            </w:pPr>
            <w:r>
              <w:rPr>
                <w:bCs/>
                <w:color w:val="000000"/>
                <w:kern w:val="0"/>
                <w:sz w:val="16"/>
                <w:szCs w:val="16"/>
              </w:rPr>
              <w:t>99</w:t>
            </w:r>
          </w:p>
        </w:tc>
        <w:tc>
          <w:tcPr>
            <w:tcW w:w="21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5B9F9">
            <w:pPr>
              <w:widowControl/>
              <w:jc w:val="left"/>
              <w:rPr>
                <w:bCs/>
                <w:color w:val="000000"/>
                <w:kern w:val="0"/>
                <w:sz w:val="16"/>
                <w:szCs w:val="16"/>
              </w:rPr>
            </w:pPr>
          </w:p>
        </w:tc>
        <w:tc>
          <w:tcPr>
            <w:tcW w:w="24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56936">
            <w:pPr>
              <w:widowControl/>
              <w:jc w:val="left"/>
              <w:rPr>
                <w:bCs/>
                <w:color w:val="000000"/>
                <w:kern w:val="0"/>
                <w:sz w:val="16"/>
                <w:szCs w:val="16"/>
              </w:rPr>
            </w:pPr>
          </w:p>
        </w:tc>
      </w:tr>
    </w:tbl>
    <w:p w14:paraId="1407EC9E">
      <w:pPr>
        <w:spacing w:line="580" w:lineRule="exact"/>
        <w:ind w:firstLine="640" w:firstLineChars="200"/>
        <w:rPr>
          <w:rFonts w:eastAsia="仿宋_GB2312"/>
          <w:sz w:val="32"/>
          <w:szCs w:val="32"/>
        </w:rPr>
      </w:pPr>
      <w:r>
        <w:rPr>
          <w:rFonts w:eastAsia="仿宋_GB2312"/>
          <w:sz w:val="32"/>
          <w:szCs w:val="32"/>
        </w:rPr>
        <w:t>本部门按要求对201</w:t>
      </w:r>
      <w:r>
        <w:rPr>
          <w:rFonts w:hint="eastAsia" w:eastAsia="仿宋_GB2312"/>
          <w:sz w:val="32"/>
          <w:szCs w:val="32"/>
        </w:rPr>
        <w:t>9</w:t>
      </w:r>
      <w:r>
        <w:rPr>
          <w:rFonts w:eastAsia="仿宋_GB2312"/>
          <w:sz w:val="32"/>
          <w:szCs w:val="32"/>
        </w:rPr>
        <w:t>年部门整体支出绩效评价情况开展自评，《区扶贫</w:t>
      </w:r>
      <w:r>
        <w:rPr>
          <w:rFonts w:hint="eastAsia" w:eastAsia="仿宋_GB2312"/>
          <w:sz w:val="32"/>
          <w:szCs w:val="32"/>
        </w:rPr>
        <w:t>开发</w:t>
      </w:r>
      <w:r>
        <w:rPr>
          <w:rFonts w:eastAsia="仿宋_GB2312"/>
          <w:sz w:val="32"/>
          <w:szCs w:val="32"/>
        </w:rPr>
        <w:t>局部门201</w:t>
      </w:r>
      <w:r>
        <w:rPr>
          <w:rFonts w:hint="eastAsia" w:eastAsia="仿宋_GB2312"/>
          <w:sz w:val="32"/>
          <w:szCs w:val="32"/>
        </w:rPr>
        <w:t>9</w:t>
      </w:r>
      <w:r>
        <w:rPr>
          <w:rFonts w:eastAsia="仿宋_GB2312"/>
          <w:sz w:val="32"/>
          <w:szCs w:val="32"/>
        </w:rPr>
        <w:t>年部门整体支出绩效评价报告》见附件。</w:t>
      </w:r>
    </w:p>
    <w:p w14:paraId="6A172E97">
      <w:pPr>
        <w:spacing w:line="580" w:lineRule="exact"/>
        <w:ind w:firstLine="640" w:firstLineChars="200"/>
        <w:rPr>
          <w:rFonts w:eastAsia="仿宋_GB2312"/>
          <w:sz w:val="32"/>
          <w:szCs w:val="32"/>
        </w:rPr>
      </w:pPr>
      <w:r>
        <w:rPr>
          <w:rFonts w:eastAsia="仿宋_GB2312"/>
          <w:sz w:val="32"/>
          <w:szCs w:val="32"/>
        </w:rPr>
        <w:t>本部门自行组织对大中型水库移民后期扶持基金项目、开展了绩效评价，《大中型水库移民后期扶持基金项目20</w:t>
      </w:r>
      <w:r>
        <w:rPr>
          <w:rFonts w:hint="eastAsia" w:eastAsia="仿宋_GB2312"/>
          <w:sz w:val="32"/>
          <w:szCs w:val="32"/>
        </w:rPr>
        <w:t>19</w:t>
      </w:r>
      <w:r>
        <w:rPr>
          <w:rFonts w:eastAsia="仿宋_GB2312"/>
          <w:sz w:val="32"/>
          <w:szCs w:val="32"/>
        </w:rPr>
        <w:t>年绩效评价报告》见附件。（非涉密部门均需公开部门整体支出评价报告，部门自行组织的绩效评价情况根据部门实际公开）</w:t>
      </w:r>
    </w:p>
    <w:p w14:paraId="3EE0659D">
      <w:pPr>
        <w:spacing w:line="600" w:lineRule="exact"/>
        <w:ind w:firstLine="640" w:firstLineChars="200"/>
        <w:outlineLvl w:val="1"/>
        <w:rPr>
          <w:rStyle w:val="28"/>
          <w:rFonts w:ascii="Times New Roman" w:hAnsi="Times New Roman" w:eastAsia="黑体" w:cs="Times New Roman"/>
        </w:rPr>
      </w:pPr>
      <w:bookmarkStart w:id="50" w:name="_Toc15377221"/>
      <w:bookmarkStart w:id="51" w:name="_Toc15396612"/>
      <w:r>
        <w:rPr>
          <w:rFonts w:eastAsia="黑体"/>
          <w:color w:val="000000"/>
          <w:sz w:val="32"/>
          <w:szCs w:val="32"/>
        </w:rPr>
        <w:t>十</w:t>
      </w:r>
      <w:r>
        <w:rPr>
          <w:rStyle w:val="28"/>
          <w:rFonts w:ascii="Times New Roman" w:hAnsi="Times New Roman" w:eastAsia="黑体" w:cs="Times New Roman"/>
        </w:rPr>
        <w:t>一、</w:t>
      </w:r>
      <w:r>
        <w:rPr>
          <w:rStyle w:val="28"/>
          <w:rFonts w:ascii="Times New Roman" w:hAnsi="Times New Roman" w:eastAsia="黑体" w:cs="Times New Roman"/>
          <w:b w:val="0"/>
        </w:rPr>
        <w:t>其他重要事项的情况说明</w:t>
      </w:r>
      <w:bookmarkEnd w:id="50"/>
      <w:bookmarkEnd w:id="51"/>
    </w:p>
    <w:p w14:paraId="69176140">
      <w:pPr>
        <w:spacing w:line="600" w:lineRule="exact"/>
        <w:ind w:firstLine="643" w:firstLineChars="200"/>
        <w:outlineLvl w:val="2"/>
        <w:rPr>
          <w:rFonts w:eastAsia="楷体_GB2312"/>
          <w:color w:val="000000" w:themeColor="text1"/>
          <w:sz w:val="32"/>
          <w:szCs w:val="32"/>
          <w14:textFill>
            <w14:solidFill>
              <w14:schemeClr w14:val="tx1"/>
            </w14:solidFill>
          </w14:textFill>
        </w:rPr>
      </w:pPr>
      <w:bookmarkStart w:id="52" w:name="_Toc15377222"/>
      <w:r>
        <w:rPr>
          <w:rFonts w:eastAsia="楷体_GB2312"/>
          <w:b/>
          <w:color w:val="000000" w:themeColor="text1"/>
          <w:sz w:val="32"/>
          <w:szCs w:val="32"/>
          <w14:textFill>
            <w14:solidFill>
              <w14:schemeClr w14:val="tx1"/>
            </w14:solidFill>
          </w14:textFill>
        </w:rPr>
        <w:t>（一）机关运行经费支出情况</w:t>
      </w:r>
      <w:bookmarkEnd w:id="52"/>
    </w:p>
    <w:p w14:paraId="66C735D2">
      <w:pPr>
        <w:spacing w:line="600" w:lineRule="exact"/>
        <w:ind w:firstLine="640" w:firstLineChars="200"/>
        <w:rPr>
          <w:rFonts w:eastAsia="仿宋_GB2312"/>
          <w:color w:val="000000" w:themeColor="text1"/>
          <w:sz w:val="32"/>
          <w:szCs w:val="32"/>
          <w14:textFill>
            <w14:solidFill>
              <w14:schemeClr w14:val="tx1"/>
            </w14:solidFill>
          </w14:textFill>
        </w:rPr>
      </w:pPr>
      <w:r>
        <w:rPr>
          <w:rFonts w:eastAsia="仿宋_GB2312"/>
          <w:color w:val="000000" w:themeColor="text1"/>
          <w:sz w:val="32"/>
          <w:szCs w:val="32"/>
          <w14:textFill>
            <w14:solidFill>
              <w14:schemeClr w14:val="tx1"/>
            </w14:solidFill>
          </w14:textFill>
        </w:rPr>
        <w:t>201</w:t>
      </w:r>
      <w:r>
        <w:rPr>
          <w:rFonts w:hint="eastAsia" w:eastAsia="仿宋_GB2312"/>
          <w:color w:val="000000" w:themeColor="text1"/>
          <w:sz w:val="32"/>
          <w:szCs w:val="32"/>
          <w14:textFill>
            <w14:solidFill>
              <w14:schemeClr w14:val="tx1"/>
            </w14:solidFill>
          </w14:textFill>
        </w:rPr>
        <w:t>9</w:t>
      </w:r>
      <w:r>
        <w:rPr>
          <w:rFonts w:eastAsia="仿宋_GB2312"/>
          <w:color w:val="000000" w:themeColor="text1"/>
          <w:sz w:val="32"/>
          <w:szCs w:val="32"/>
          <w14:textFill>
            <w14:solidFill>
              <w14:schemeClr w14:val="tx1"/>
            </w14:solidFill>
          </w14:textFill>
        </w:rPr>
        <w:t>年，区扶贫</w:t>
      </w:r>
      <w:r>
        <w:rPr>
          <w:rFonts w:hint="eastAsia" w:eastAsia="仿宋_GB2312"/>
          <w:color w:val="000000" w:themeColor="text1"/>
          <w:sz w:val="32"/>
          <w:szCs w:val="32"/>
          <w14:textFill>
            <w14:solidFill>
              <w14:schemeClr w14:val="tx1"/>
            </w14:solidFill>
          </w14:textFill>
        </w:rPr>
        <w:t>开发</w:t>
      </w:r>
      <w:r>
        <w:rPr>
          <w:rFonts w:eastAsia="仿宋_GB2312"/>
          <w:color w:val="000000" w:themeColor="text1"/>
          <w:sz w:val="32"/>
          <w:szCs w:val="32"/>
          <w14:textFill>
            <w14:solidFill>
              <w14:schemeClr w14:val="tx1"/>
            </w14:solidFill>
          </w14:textFill>
        </w:rPr>
        <w:t>局机关运行经费支出</w:t>
      </w:r>
      <w:r>
        <w:rPr>
          <w:rFonts w:hint="eastAsia" w:eastAsia="仿宋_GB2312"/>
          <w:color w:val="000000" w:themeColor="text1"/>
          <w:sz w:val="32"/>
          <w:szCs w:val="32"/>
          <w14:textFill>
            <w14:solidFill>
              <w14:schemeClr w14:val="tx1"/>
            </w14:solidFill>
          </w14:textFill>
        </w:rPr>
        <w:t>459.03</w:t>
      </w:r>
      <w:r>
        <w:rPr>
          <w:rFonts w:eastAsia="仿宋_GB2312"/>
          <w:color w:val="000000" w:themeColor="text1"/>
          <w:sz w:val="32"/>
          <w:szCs w:val="32"/>
          <w14:textFill>
            <w14:solidFill>
              <w14:schemeClr w14:val="tx1"/>
            </w14:solidFill>
          </w14:textFill>
        </w:rPr>
        <w:t>万元，比201</w:t>
      </w:r>
      <w:r>
        <w:rPr>
          <w:rFonts w:hint="eastAsia" w:eastAsia="仿宋_GB2312"/>
          <w:color w:val="000000" w:themeColor="text1"/>
          <w:sz w:val="32"/>
          <w:szCs w:val="32"/>
          <w14:textFill>
            <w14:solidFill>
              <w14:schemeClr w14:val="tx1"/>
            </w14:solidFill>
          </w14:textFill>
        </w:rPr>
        <w:t>8</w:t>
      </w:r>
      <w:r>
        <w:rPr>
          <w:rFonts w:eastAsia="仿宋_GB2312"/>
          <w:color w:val="000000" w:themeColor="text1"/>
          <w:sz w:val="32"/>
          <w:szCs w:val="32"/>
          <w14:textFill>
            <w14:solidFill>
              <w14:schemeClr w14:val="tx1"/>
            </w14:solidFill>
          </w14:textFill>
        </w:rPr>
        <w:t>年增加</w:t>
      </w:r>
      <w:r>
        <w:rPr>
          <w:rFonts w:hint="eastAsia" w:eastAsia="仿宋_GB2312"/>
          <w:color w:val="000000" w:themeColor="text1"/>
          <w:sz w:val="32"/>
          <w:szCs w:val="32"/>
          <w14:textFill>
            <w14:solidFill>
              <w14:schemeClr w14:val="tx1"/>
            </w14:solidFill>
          </w14:textFill>
        </w:rPr>
        <w:t>111.61</w:t>
      </w:r>
      <w:r>
        <w:rPr>
          <w:rFonts w:eastAsia="仿宋_GB2312"/>
          <w:color w:val="000000" w:themeColor="text1"/>
          <w:sz w:val="32"/>
          <w:szCs w:val="32"/>
          <w14:textFill>
            <w14:solidFill>
              <w14:schemeClr w14:val="tx1"/>
            </w14:solidFill>
          </w14:textFill>
        </w:rPr>
        <w:t>万元，增长</w:t>
      </w:r>
      <w:r>
        <w:rPr>
          <w:rFonts w:hint="eastAsia" w:eastAsia="仿宋_GB2312"/>
          <w:color w:val="000000" w:themeColor="text1"/>
          <w:sz w:val="32"/>
          <w:szCs w:val="32"/>
          <w14:textFill>
            <w14:solidFill>
              <w14:schemeClr w14:val="tx1"/>
            </w14:solidFill>
          </w14:textFill>
        </w:rPr>
        <w:t>32.13</w:t>
      </w:r>
      <w:r>
        <w:rPr>
          <w:rFonts w:eastAsia="仿宋_GB2312"/>
          <w:color w:val="000000" w:themeColor="text1"/>
          <w:sz w:val="32"/>
          <w:szCs w:val="32"/>
          <w14:textFill>
            <w14:solidFill>
              <w14:schemeClr w14:val="tx1"/>
            </w14:solidFill>
          </w14:textFill>
        </w:rPr>
        <w:t>%，主要原因是脱贫攻坚工作经费的增加。（数据来源财决CS05表）</w:t>
      </w:r>
    </w:p>
    <w:p w14:paraId="092103AD">
      <w:pPr>
        <w:spacing w:line="600" w:lineRule="exact"/>
        <w:ind w:firstLine="643" w:firstLineChars="200"/>
        <w:outlineLvl w:val="2"/>
        <w:rPr>
          <w:rFonts w:eastAsia="楷体_GB2312"/>
          <w:b/>
          <w:color w:val="000000" w:themeColor="text1"/>
          <w:sz w:val="32"/>
          <w:szCs w:val="32"/>
          <w14:textFill>
            <w14:solidFill>
              <w14:schemeClr w14:val="tx1"/>
            </w14:solidFill>
          </w14:textFill>
        </w:rPr>
      </w:pPr>
      <w:bookmarkStart w:id="53" w:name="_Toc15377223"/>
      <w:r>
        <w:rPr>
          <w:rFonts w:eastAsia="楷体_GB2312"/>
          <w:b/>
          <w:color w:val="000000" w:themeColor="text1"/>
          <w:sz w:val="32"/>
          <w:szCs w:val="32"/>
          <w14:textFill>
            <w14:solidFill>
              <w14:schemeClr w14:val="tx1"/>
            </w14:solidFill>
          </w14:textFill>
        </w:rPr>
        <w:t>（二）政府采购支出情况</w:t>
      </w:r>
      <w:bookmarkEnd w:id="53"/>
    </w:p>
    <w:p w14:paraId="4ABF0E3E">
      <w:pPr>
        <w:spacing w:line="600" w:lineRule="exact"/>
        <w:ind w:firstLine="640" w:firstLineChars="200"/>
        <w:rPr>
          <w:rFonts w:eastAsia="仿宋_GB2312"/>
          <w:color w:val="000000"/>
          <w:sz w:val="32"/>
          <w:szCs w:val="32"/>
        </w:rPr>
      </w:pPr>
      <w:r>
        <w:rPr>
          <w:rFonts w:eastAsia="仿宋_GB2312"/>
          <w:color w:val="000000"/>
          <w:sz w:val="32"/>
          <w:szCs w:val="32"/>
        </w:rPr>
        <w:t>201</w:t>
      </w:r>
      <w:r>
        <w:rPr>
          <w:rFonts w:hint="eastAsia" w:eastAsia="仿宋_GB2312"/>
          <w:color w:val="000000"/>
          <w:sz w:val="32"/>
          <w:szCs w:val="32"/>
        </w:rPr>
        <w:t>9</w:t>
      </w:r>
      <w:r>
        <w:rPr>
          <w:rFonts w:eastAsia="仿宋_GB2312"/>
          <w:color w:val="000000"/>
          <w:sz w:val="32"/>
          <w:szCs w:val="32"/>
        </w:rPr>
        <w:t>年，区扶贫</w:t>
      </w:r>
      <w:r>
        <w:rPr>
          <w:rFonts w:hint="eastAsia" w:eastAsia="仿宋_GB2312"/>
          <w:color w:val="000000"/>
          <w:sz w:val="32"/>
          <w:szCs w:val="32"/>
        </w:rPr>
        <w:t>开发</w:t>
      </w:r>
      <w:r>
        <w:rPr>
          <w:rFonts w:eastAsia="仿宋_GB2312"/>
          <w:color w:val="000000"/>
          <w:sz w:val="32"/>
          <w:szCs w:val="32"/>
        </w:rPr>
        <w:t>局政府采购支出总额0万元，其中：政府采购货物支出0万元、政府采购工程支出0万元、政府采购服务支出0万元。（数据来源财决CS06表）</w:t>
      </w:r>
    </w:p>
    <w:p w14:paraId="3D168D73">
      <w:pPr>
        <w:spacing w:line="600" w:lineRule="exact"/>
        <w:ind w:firstLine="643" w:firstLineChars="200"/>
        <w:outlineLvl w:val="2"/>
        <w:rPr>
          <w:rFonts w:eastAsia="楷体_GB2312"/>
          <w:b/>
          <w:color w:val="000000" w:themeColor="text1"/>
          <w:sz w:val="32"/>
          <w:szCs w:val="32"/>
          <w14:textFill>
            <w14:solidFill>
              <w14:schemeClr w14:val="tx1"/>
            </w14:solidFill>
          </w14:textFill>
        </w:rPr>
      </w:pPr>
      <w:bookmarkStart w:id="54" w:name="_Toc15377224"/>
      <w:r>
        <w:rPr>
          <w:rFonts w:eastAsia="楷体_GB2312"/>
          <w:b/>
          <w:color w:val="000000" w:themeColor="text1"/>
          <w:sz w:val="32"/>
          <w:szCs w:val="32"/>
          <w14:textFill>
            <w14:solidFill>
              <w14:schemeClr w14:val="tx1"/>
            </w14:solidFill>
          </w14:textFill>
        </w:rPr>
        <w:t>（三）国有资产占有使用情况</w:t>
      </w:r>
      <w:bookmarkEnd w:id="54"/>
    </w:p>
    <w:p w14:paraId="7606B5F1">
      <w:pPr>
        <w:autoSpaceDE w:val="0"/>
        <w:autoSpaceDN w:val="0"/>
        <w:adjustRightInd w:val="0"/>
        <w:spacing w:line="600" w:lineRule="exact"/>
        <w:ind w:firstLine="640" w:firstLineChars="200"/>
        <w:jc w:val="left"/>
        <w:rPr>
          <w:rFonts w:eastAsia="仿宋_GB2312"/>
          <w:b/>
          <w:color w:val="000000"/>
          <w:sz w:val="32"/>
          <w:szCs w:val="32"/>
        </w:rPr>
      </w:pPr>
      <w:r>
        <w:rPr>
          <w:rFonts w:eastAsia="仿宋_GB2312"/>
          <w:color w:val="000000"/>
          <w:sz w:val="32"/>
          <w:szCs w:val="32"/>
        </w:rPr>
        <w:t>截至201</w:t>
      </w:r>
      <w:r>
        <w:rPr>
          <w:rFonts w:hint="eastAsia" w:eastAsia="仿宋_GB2312"/>
          <w:color w:val="000000"/>
          <w:sz w:val="32"/>
          <w:szCs w:val="32"/>
        </w:rPr>
        <w:t>9</w:t>
      </w:r>
      <w:r>
        <w:rPr>
          <w:rFonts w:eastAsia="仿宋_GB2312"/>
          <w:color w:val="000000"/>
          <w:sz w:val="32"/>
          <w:szCs w:val="32"/>
        </w:rPr>
        <w:t>年12月31日，区扶贫移民局共有车辆0辆，其中：部级领导干部用车0辆、一般公务用车0辆、一般执法执勤用车0辆、特种专业技术用车0辆、其他用车0辆。</w:t>
      </w:r>
      <w:r>
        <w:rPr>
          <w:rFonts w:eastAsia="仿宋"/>
          <w:b/>
          <w:color w:val="000000"/>
          <w:sz w:val="32"/>
          <w:szCs w:val="32"/>
        </w:rPr>
        <w:t>（</w:t>
      </w:r>
      <w:r>
        <w:rPr>
          <w:rFonts w:eastAsia="仿宋_GB2312"/>
          <w:color w:val="000000"/>
          <w:sz w:val="32"/>
          <w:szCs w:val="32"/>
        </w:rPr>
        <w:t>数据来源财决CS05表，按部门决算报表填报数据罗列车辆情况。）</w:t>
      </w:r>
    </w:p>
    <w:p w14:paraId="591A9231">
      <w:pPr>
        <w:widowControl/>
        <w:jc w:val="left"/>
        <w:rPr>
          <w:rFonts w:eastAsia="仿宋_GB2312"/>
          <w:b/>
          <w:color w:val="000000"/>
          <w:sz w:val="32"/>
          <w:szCs w:val="32"/>
        </w:rPr>
      </w:pPr>
      <w:r>
        <w:rPr>
          <w:rFonts w:eastAsia="仿宋_GB2312"/>
          <w:b/>
          <w:color w:val="000000"/>
          <w:sz w:val="32"/>
          <w:szCs w:val="32"/>
        </w:rPr>
        <w:br w:type="page"/>
      </w:r>
    </w:p>
    <w:p w14:paraId="74C6226E">
      <w:pPr>
        <w:spacing w:line="600" w:lineRule="exact"/>
        <w:jc w:val="center"/>
        <w:outlineLvl w:val="0"/>
        <w:rPr>
          <w:rStyle w:val="27"/>
          <w:rFonts w:eastAsia="方正小标宋简体"/>
          <w:b w:val="0"/>
        </w:rPr>
      </w:pPr>
      <w:bookmarkStart w:id="55" w:name="_Toc15377225"/>
      <w:bookmarkStart w:id="56" w:name="_Toc15396613"/>
      <w:r>
        <w:rPr>
          <w:rFonts w:eastAsia="方正小标宋简体"/>
          <w:bCs/>
          <w:color w:val="000000"/>
          <w:sz w:val="44"/>
          <w:szCs w:val="44"/>
        </w:rPr>
        <w:t>第三部分  名</w:t>
      </w:r>
      <w:r>
        <w:rPr>
          <w:rStyle w:val="27"/>
          <w:rFonts w:eastAsia="方正小标宋简体"/>
          <w:b w:val="0"/>
        </w:rPr>
        <w:t>词解释</w:t>
      </w:r>
      <w:bookmarkEnd w:id="55"/>
      <w:bookmarkEnd w:id="56"/>
    </w:p>
    <w:p w14:paraId="53B83DD6">
      <w:pPr>
        <w:pStyle w:val="2"/>
        <w:spacing w:line="560" w:lineRule="exact"/>
        <w:ind w:firstLine="420" w:firstLineChars="200"/>
        <w:jc w:val="both"/>
        <w:rPr>
          <w:rFonts w:ascii="Times New Roman" w:hAnsi="Times New Roman" w:eastAsia="仿宋_GB2312" w:cs="Times New Roman"/>
          <w:sz w:val="21"/>
          <w:szCs w:val="21"/>
        </w:rPr>
      </w:pPr>
    </w:p>
    <w:p w14:paraId="107B8A66">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1.财政拨款收入：指单位从同级财政部门取得的财政预算资金。</w:t>
      </w:r>
    </w:p>
    <w:p w14:paraId="67732213">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2.事业收入：指事业单位开展专业业务活动及辅助活动取得的收入。如二级预算单位事业收入情况等。</w:t>
      </w:r>
    </w:p>
    <w:p w14:paraId="6EDE6537">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3.经营收入：指事业单位在专业业务活动及其辅助活动之外开展非独立核算经营活动取得的收入。如二级预算单位经营收入情况等。</w:t>
      </w:r>
    </w:p>
    <w:p w14:paraId="75FB7B13">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4.其他收入：指单位取得的除上述收入以外的各项收入。</w:t>
      </w:r>
    </w:p>
    <w:p w14:paraId="11A70F0D">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5.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14:paraId="2BDC52C4">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6.年初结转和结余：指以前年度尚未完成、结转到本年按有关规定继续使用的资金。</w:t>
      </w:r>
    </w:p>
    <w:p w14:paraId="3F283ED7">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7.结余分配：指事业单位按照事业单位会计制度的规定从非财政补助结余中分配的事业基金和职工福利基金等。</w:t>
      </w:r>
    </w:p>
    <w:p w14:paraId="5B9F7104">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8、年末结转和结余：指单位按有关规定结转到下年或以后年度继续使用的资金。</w:t>
      </w:r>
    </w:p>
    <w:p w14:paraId="201217B8">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9.一般公共服务（201类）：反应政府提供一般公共服务的支出。</w:t>
      </w:r>
    </w:p>
    <w:p w14:paraId="2D4AC833">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10.外交202（类）支出：指反映政府外交管理事务支出。</w:t>
      </w:r>
    </w:p>
    <w:p w14:paraId="730F6E71">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11.公共安全204（类）支出：指反映政府维护社会公共安全方面。</w:t>
      </w:r>
    </w:p>
    <w:p w14:paraId="23A8EF02">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12.教育205（类）支出：指反映政府教育事务支出。</w:t>
      </w:r>
    </w:p>
    <w:p w14:paraId="78E05C16">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13.科学技术206（类）支出：指反映科学技术方面的支出。</w:t>
      </w:r>
    </w:p>
    <w:p w14:paraId="50FD208B">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14.文化体育与传媒207（类）支出：指反映政府在文化、文物、体育、广播电视、新闻出版等方面的支出。</w:t>
      </w:r>
    </w:p>
    <w:p w14:paraId="06209D87">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15.社会保障和就业208支出（类）支出：反映政府在社会保障与就业方面的支出。</w:t>
      </w:r>
    </w:p>
    <w:p w14:paraId="0F9D9BC1">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16.医疗卫生与计划生育210（类）支出：指反映政府医疗卫生与计划生育管理方面的支出。</w:t>
      </w:r>
    </w:p>
    <w:p w14:paraId="5E758AF6">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17.节能环保支出211（类）支出：指反映政府节能环保支出。</w:t>
      </w:r>
    </w:p>
    <w:p w14:paraId="54B33F9F">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18.城乡社区212（类）支出：指反映政府城乡社区事务支出。</w:t>
      </w:r>
    </w:p>
    <w:p w14:paraId="44A55CC4">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19.农林水213（类）支出：指反映政府农林水事务支出。</w:t>
      </w:r>
    </w:p>
    <w:p w14:paraId="2F454030">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20.交通运输（类）支出：指反映交通运输和邮政业务方面的支出。</w:t>
      </w:r>
    </w:p>
    <w:p w14:paraId="42237256">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21.资源勘探信息等215（类）支出：指反映用于资源勘探、制造业、建筑业、工业信息等方面支出。</w:t>
      </w:r>
    </w:p>
    <w:p w14:paraId="2DDCEDE2">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22.商业服务业216（类）：指反映商业服务等方面的支出。</w:t>
      </w:r>
    </w:p>
    <w:p w14:paraId="30291E0C">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23.金融217（类）支出：指反映金融方面的支出。</w:t>
      </w:r>
    </w:p>
    <w:p w14:paraId="53BCDCC1">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24.国土海洋气象等220（类）支出：指反映政府用于国土资源、海洋、测绘、地震、气象等公益服务事业方面的支出。</w:t>
      </w:r>
    </w:p>
    <w:p w14:paraId="08CF72D9">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25.住房保障221（类）支出：指反映政府用于政府方面的支出。</w:t>
      </w:r>
    </w:p>
    <w:p w14:paraId="08793332">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26.粮油物资储备222（类）支出：指反映政府粮油物资储备方面的支出。</w:t>
      </w:r>
    </w:p>
    <w:p w14:paraId="7D9F5295">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27.基本支出：指为保障机构正常运转、完成日常工作任务而发生的人员支出和公用支出。</w:t>
      </w:r>
    </w:p>
    <w:p w14:paraId="07A92B65">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28.项目支出：指在基本支出之外为完成特定行政任务和事业发展目标所发生的支出。</w:t>
      </w:r>
    </w:p>
    <w:p w14:paraId="584F1757">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29.经营支出：指事业单位在专业业务活动及其辅助活动之外开展非独立核算经营活动发生的支出。</w:t>
      </w:r>
    </w:p>
    <w:p w14:paraId="6106565A">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30.“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14:paraId="1E1C9F77">
      <w:pPr>
        <w:pStyle w:val="14"/>
        <w:widowControl/>
        <w:spacing w:before="76" w:beforeAutospacing="0" w:after="300" w:afterAutospacing="0" w:line="450" w:lineRule="atLeast"/>
        <w:ind w:firstLine="420"/>
        <w:jc w:val="both"/>
        <w:rPr>
          <w:rFonts w:ascii="仿宋_GB2312" w:hAnsi="仿宋_GB2312" w:eastAsia="仿宋_GB2312" w:cs="仿宋_GB2312"/>
          <w:sz w:val="32"/>
          <w:szCs w:val="32"/>
        </w:rPr>
      </w:pPr>
      <w:r>
        <w:rPr>
          <w:rFonts w:hint="eastAsia" w:ascii="仿宋_GB2312" w:hAnsi="仿宋_GB2312" w:eastAsia="仿宋_GB2312" w:cs="仿宋_GB2312"/>
          <w:sz w:val="32"/>
          <w:szCs w:val="32"/>
          <w:shd w:val="clear" w:color="auto" w:fill="FFFFFF"/>
        </w:rPr>
        <w:t>31.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14:paraId="5A47F179">
      <w:pPr>
        <w:spacing w:line="600" w:lineRule="exact"/>
        <w:jc w:val="center"/>
        <w:outlineLvl w:val="0"/>
        <w:rPr>
          <w:rStyle w:val="27"/>
          <w:rFonts w:ascii="方正小标宋简体" w:hAnsi="方正小标宋简体" w:eastAsia="方正小标宋简体" w:cs="方正小标宋简体"/>
          <w:b w:val="0"/>
        </w:rPr>
      </w:pPr>
      <w:bookmarkStart w:id="57" w:name="_Toc15377226"/>
      <w:r>
        <w:rPr>
          <w:b/>
          <w:color w:val="000000"/>
          <w:sz w:val="44"/>
          <w:szCs w:val="44"/>
        </w:rPr>
        <w:br w:type="page"/>
      </w:r>
      <w:bookmarkStart w:id="58" w:name="_Toc15396614"/>
      <w:r>
        <w:rPr>
          <w:rFonts w:hint="eastAsia" w:ascii="方正小标宋简体" w:hAnsi="方正小标宋简体" w:eastAsia="方正小标宋简体" w:cs="方正小标宋简体"/>
          <w:color w:val="000000"/>
          <w:sz w:val="44"/>
          <w:szCs w:val="44"/>
        </w:rPr>
        <w:t>第</w:t>
      </w:r>
      <w:r>
        <w:rPr>
          <w:rStyle w:val="27"/>
          <w:rFonts w:hint="eastAsia" w:ascii="方正小标宋简体" w:hAnsi="方正小标宋简体" w:eastAsia="方正小标宋简体" w:cs="方正小标宋简体"/>
          <w:b w:val="0"/>
        </w:rPr>
        <w:t>四部分  附件</w:t>
      </w:r>
      <w:bookmarkEnd w:id="58"/>
    </w:p>
    <w:p w14:paraId="5225B43F">
      <w:pPr>
        <w:pStyle w:val="4"/>
        <w:rPr>
          <w:rStyle w:val="27"/>
          <w:rFonts w:ascii="黑体" w:hAnsi="黑体" w:eastAsia="黑体" w:cs="黑体"/>
          <w:b w:val="0"/>
          <w:bCs w:val="0"/>
          <w:sz w:val="32"/>
          <w:szCs w:val="32"/>
        </w:rPr>
      </w:pPr>
      <w:bookmarkStart w:id="59" w:name="_Toc15396615"/>
      <w:r>
        <w:rPr>
          <w:rStyle w:val="27"/>
          <w:rFonts w:hint="eastAsia" w:ascii="黑体" w:hAnsi="黑体" w:eastAsia="黑体" w:cs="黑体"/>
          <w:b w:val="0"/>
          <w:bCs w:val="0"/>
          <w:sz w:val="32"/>
          <w:szCs w:val="32"/>
        </w:rPr>
        <w:t>附件1</w:t>
      </w:r>
      <w:bookmarkEnd w:id="59"/>
    </w:p>
    <w:p w14:paraId="12924DA9">
      <w:pPr>
        <w:spacing w:line="600" w:lineRule="exact"/>
        <w:jc w:val="center"/>
        <w:outlineLvl w:val="0"/>
        <w:rPr>
          <w:rFonts w:hint="eastAsia" w:ascii="方正小标宋简体" w:hAnsi="方正小标宋简体" w:eastAsia="方正小标宋简体" w:cs="方正小标宋简体"/>
          <w:sz w:val="44"/>
          <w:szCs w:val="44"/>
        </w:rPr>
      </w:pPr>
      <w:bookmarkStart w:id="60" w:name="_Toc15396616"/>
      <w:r>
        <w:rPr>
          <w:rFonts w:hint="eastAsia" w:ascii="方正小标宋简体" w:hAnsi="方正小标宋简体" w:eastAsia="方正小标宋简体" w:cs="方正小标宋简体"/>
          <w:sz w:val="44"/>
          <w:szCs w:val="44"/>
        </w:rPr>
        <w:t>广元市昭化区扶贫和移民工作局</w:t>
      </w:r>
    </w:p>
    <w:p w14:paraId="1AEE6315">
      <w:pPr>
        <w:spacing w:line="600" w:lineRule="exact"/>
        <w:jc w:val="center"/>
        <w:outlineLvl w:val="0"/>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部门201</w:t>
      </w:r>
      <w:r>
        <w:rPr>
          <w:rFonts w:hint="eastAsia" w:ascii="方正小标宋简体" w:hAnsi="方正小标宋简体" w:eastAsia="方正小标宋简体" w:cs="方正小标宋简体"/>
          <w:sz w:val="44"/>
          <w:szCs w:val="44"/>
          <w:lang w:val="en-US" w:eastAsia="zh-CN"/>
        </w:rPr>
        <w:t>9</w:t>
      </w:r>
      <w:r>
        <w:rPr>
          <w:rFonts w:hint="eastAsia" w:ascii="方正小标宋简体" w:hAnsi="方正小标宋简体" w:eastAsia="方正小标宋简体" w:cs="方正小标宋简体"/>
          <w:sz w:val="44"/>
          <w:szCs w:val="44"/>
        </w:rPr>
        <w:t>年部门整体支出绩效评价报告</w:t>
      </w:r>
      <w:bookmarkEnd w:id="60"/>
    </w:p>
    <w:p w14:paraId="215C1BE7">
      <w:pPr>
        <w:spacing w:line="580" w:lineRule="exact"/>
        <w:ind w:firstLine="640" w:firstLineChars="200"/>
        <w:rPr>
          <w:rFonts w:eastAsia="黑体"/>
          <w:sz w:val="32"/>
          <w:szCs w:val="32"/>
        </w:rPr>
      </w:pPr>
    </w:p>
    <w:p w14:paraId="71DA2B02">
      <w:pPr>
        <w:spacing w:line="576" w:lineRule="exact"/>
        <w:ind w:firstLine="640" w:firstLineChars="200"/>
        <w:rPr>
          <w:rFonts w:eastAsia="黑体"/>
          <w:sz w:val="32"/>
          <w:szCs w:val="32"/>
        </w:rPr>
      </w:pPr>
      <w:r>
        <w:rPr>
          <w:rFonts w:eastAsia="黑体"/>
          <w:sz w:val="32"/>
          <w:szCs w:val="32"/>
        </w:rPr>
        <w:t>一、部门（单位）概况</w:t>
      </w:r>
    </w:p>
    <w:p w14:paraId="4365A3A9">
      <w:pPr>
        <w:spacing w:line="576"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（一）机构组成</w:t>
      </w:r>
    </w:p>
    <w:p w14:paraId="0B90C3DB">
      <w:pPr>
        <w:spacing w:line="576" w:lineRule="exact"/>
        <w:ind w:firstLine="640" w:firstLineChars="200"/>
        <w:rPr>
          <w:rFonts w:eastAsia="仿宋_GB2312"/>
          <w:color w:val="000000" w:themeColor="text1"/>
          <w:sz w:val="32"/>
          <w:szCs w:val="32"/>
          <w14:textFill>
            <w14:solidFill>
              <w14:schemeClr w14:val="tx1"/>
            </w14:solidFill>
          </w14:textFill>
        </w:rPr>
      </w:pPr>
      <w:r>
        <w:rPr>
          <w:rFonts w:eastAsia="仿宋_GB2312"/>
          <w:color w:val="000000" w:themeColor="text1"/>
          <w:kern w:val="0"/>
          <w:sz w:val="32"/>
          <w:szCs w:val="32"/>
          <w:lang w:bidi="ar"/>
          <w14:textFill>
            <w14:solidFill>
              <w14:schemeClr w14:val="tx1"/>
            </w14:solidFill>
          </w14:textFill>
        </w:rPr>
        <w:t>区</w:t>
      </w:r>
      <w:r>
        <w:rPr>
          <w:rFonts w:eastAsia="仿宋_GB2312"/>
          <w:color w:val="000000" w:themeColor="text1"/>
          <w:sz w:val="32"/>
          <w:szCs w:val="32"/>
          <w:lang w:bidi="ar"/>
          <w14:textFill>
            <w14:solidFill>
              <w14:schemeClr w14:val="tx1"/>
            </w14:solidFill>
          </w14:textFill>
        </w:rPr>
        <w:t>扶贫移民局</w:t>
      </w:r>
      <w:r>
        <w:rPr>
          <w:rFonts w:eastAsia="仿宋_GB2312"/>
          <w:color w:val="000000" w:themeColor="text1"/>
          <w:sz w:val="32"/>
          <w:szCs w:val="32"/>
          <w14:textFill>
            <w14:solidFill>
              <w14:schemeClr w14:val="tx1"/>
            </w14:solidFill>
          </w14:textFill>
        </w:rPr>
        <w:t>设8个内设机构，下属事业单位2个。</w:t>
      </w:r>
    </w:p>
    <w:p w14:paraId="75C4DF93">
      <w:pPr>
        <w:spacing w:line="576"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（二）机构职能</w:t>
      </w:r>
    </w:p>
    <w:p w14:paraId="2A77AB05">
      <w:pPr>
        <w:spacing w:line="576" w:lineRule="exact"/>
        <w:ind w:firstLine="640" w:firstLineChars="200"/>
        <w:rPr>
          <w:rFonts w:eastAsia="仿宋_GB2312"/>
          <w:sz w:val="32"/>
          <w:szCs w:val="32"/>
        </w:rPr>
      </w:pPr>
      <w:r>
        <w:rPr>
          <w:bCs/>
          <w:color w:val="000000"/>
          <w:sz w:val="32"/>
          <w:szCs w:val="32"/>
        </w:rPr>
        <w:t>（</w:t>
      </w:r>
      <w:r>
        <w:rPr>
          <w:rFonts w:eastAsia="仿宋_GB2312"/>
          <w:sz w:val="32"/>
          <w:szCs w:val="32"/>
        </w:rPr>
        <w:t>1</w:t>
      </w:r>
      <w:r>
        <w:rPr>
          <w:bCs/>
          <w:color w:val="000000"/>
          <w:sz w:val="32"/>
          <w:szCs w:val="32"/>
        </w:rPr>
        <w:t>）</w:t>
      </w:r>
      <w:r>
        <w:rPr>
          <w:rFonts w:eastAsia="仿宋_GB2312"/>
          <w:sz w:val="32"/>
          <w:szCs w:val="32"/>
        </w:rPr>
        <w:t>贯彻执行国家扶贫开发和大中型水利水电工程移民迁建安置、后期扶持的方针、政策和法律、法规，拟订有关具体政策措施并组织实施。</w:t>
      </w:r>
    </w:p>
    <w:p w14:paraId="059ECDBB">
      <w:pPr>
        <w:spacing w:line="576" w:lineRule="exact"/>
        <w:ind w:firstLine="640" w:firstLineChars="200"/>
        <w:rPr>
          <w:rFonts w:eastAsia="仿宋_GB2312"/>
          <w:sz w:val="32"/>
          <w:szCs w:val="32"/>
        </w:rPr>
      </w:pPr>
      <w:r>
        <w:rPr>
          <w:rFonts w:eastAsia="仿宋_GB2312"/>
          <w:sz w:val="32"/>
          <w:szCs w:val="32"/>
        </w:rPr>
        <w:t>（2）拟订全区扶贫开发中长期规划和年度计划，组织、协调和指导全区产业扶贫、科技扶贫、智力扶贫、特殊类区扶贫开发工作，组织和指导社会扶贫工作，负责联络区外机构对口帮扶工作，组织定点扶贫与扶贫协作工作，组织扶贫开发对外交流与合作及外资外援扶贫项目的引进与实施。</w:t>
      </w:r>
    </w:p>
    <w:p w14:paraId="147D89E3">
      <w:pPr>
        <w:spacing w:line="576" w:lineRule="exact"/>
        <w:ind w:firstLine="640" w:firstLineChars="200"/>
        <w:rPr>
          <w:rFonts w:eastAsia="仿宋_GB2312"/>
          <w:sz w:val="32"/>
          <w:szCs w:val="32"/>
        </w:rPr>
      </w:pPr>
      <w:r>
        <w:rPr>
          <w:rFonts w:eastAsia="仿宋_GB2312"/>
          <w:sz w:val="32"/>
          <w:szCs w:val="32"/>
        </w:rPr>
        <w:t>（3）承担扶贫、移民资金管理责任。拟订全区扶贫开发和移民资金使用管理和项目管理办法，负责有关项目、资金、基金、物资的分配、管理、使用、稽查审计、绩效考评、统计监测等监督工作。</w:t>
      </w:r>
    </w:p>
    <w:p w14:paraId="1ABC852D">
      <w:pPr>
        <w:spacing w:line="576" w:lineRule="exact"/>
        <w:ind w:firstLine="640" w:firstLineChars="200"/>
        <w:rPr>
          <w:rFonts w:eastAsia="仿宋_GB2312"/>
          <w:sz w:val="32"/>
          <w:szCs w:val="32"/>
        </w:rPr>
      </w:pPr>
      <w:r>
        <w:rPr>
          <w:rFonts w:eastAsia="仿宋_GB2312"/>
          <w:sz w:val="32"/>
          <w:szCs w:val="32"/>
        </w:rPr>
        <w:t>（4）负责扶贫开发和移民政策研究及信息工作，组织贫困、移民群众生产技能和劳动力转移培训、扶贫移民工作人员培训。</w:t>
      </w:r>
    </w:p>
    <w:p w14:paraId="58EF453F">
      <w:pPr>
        <w:spacing w:line="576" w:lineRule="exact"/>
        <w:ind w:firstLine="640" w:firstLineChars="200"/>
        <w:rPr>
          <w:rFonts w:eastAsia="仿宋_GB2312"/>
          <w:sz w:val="32"/>
          <w:szCs w:val="32"/>
        </w:rPr>
      </w:pPr>
      <w:r>
        <w:rPr>
          <w:rFonts w:eastAsia="仿宋_GB2312"/>
          <w:sz w:val="32"/>
          <w:szCs w:val="32"/>
        </w:rPr>
        <w:t>（5）制订大中型水利水电工程移民工作年度计划，管理和监督全区大中型水利水电工程移民迁 建安置实施工作，组织移民安置验收、后期扶持和监督评估。</w:t>
      </w:r>
    </w:p>
    <w:p w14:paraId="56ECF878">
      <w:pPr>
        <w:spacing w:line="576" w:lineRule="exact"/>
        <w:ind w:firstLine="640" w:firstLineChars="200"/>
        <w:rPr>
          <w:rFonts w:eastAsia="仿宋_GB2312"/>
          <w:sz w:val="32"/>
          <w:szCs w:val="32"/>
        </w:rPr>
      </w:pPr>
      <w:r>
        <w:rPr>
          <w:rFonts w:eastAsia="仿宋_GB2312"/>
          <w:sz w:val="32"/>
          <w:szCs w:val="32"/>
        </w:rPr>
        <w:t>（6）负责扶贫开发和移民信访接待、处理、管理工作，协调、指导有关的社会稳定工作，负责扶贫开发和移民安置、后期扶持政策宣传工作。</w:t>
      </w:r>
    </w:p>
    <w:p w14:paraId="436AC7FF">
      <w:pPr>
        <w:spacing w:line="576" w:lineRule="exact"/>
        <w:ind w:firstLine="640" w:firstLineChars="200"/>
        <w:rPr>
          <w:rFonts w:eastAsia="仿宋_GB2312"/>
          <w:sz w:val="32"/>
          <w:szCs w:val="32"/>
        </w:rPr>
      </w:pPr>
      <w:r>
        <w:rPr>
          <w:rFonts w:eastAsia="仿宋_GB2312"/>
          <w:sz w:val="32"/>
          <w:szCs w:val="32"/>
        </w:rPr>
        <w:t>（7）负责承担并协调区政府对外友好城市建立后的相关工作。</w:t>
      </w:r>
    </w:p>
    <w:p w14:paraId="39F10B6D">
      <w:pPr>
        <w:spacing w:line="576" w:lineRule="exact"/>
        <w:ind w:firstLine="640" w:firstLineChars="200"/>
        <w:rPr>
          <w:rFonts w:eastAsia="仿宋_GB2312"/>
          <w:sz w:val="32"/>
          <w:szCs w:val="32"/>
        </w:rPr>
      </w:pPr>
      <w:r>
        <w:rPr>
          <w:rFonts w:eastAsia="仿宋_GB2312"/>
          <w:sz w:val="32"/>
          <w:szCs w:val="32"/>
        </w:rPr>
        <w:t>（8）承担区政府公布的有关行政审批事项。</w:t>
      </w:r>
    </w:p>
    <w:p w14:paraId="340A784A">
      <w:pPr>
        <w:spacing w:line="576" w:lineRule="exact"/>
        <w:ind w:firstLine="640" w:firstLineChars="200"/>
        <w:rPr>
          <w:rFonts w:eastAsia="仿宋_GB2312"/>
          <w:sz w:val="32"/>
          <w:szCs w:val="32"/>
        </w:rPr>
      </w:pPr>
      <w:r>
        <w:rPr>
          <w:rFonts w:eastAsia="仿宋_GB2312"/>
          <w:sz w:val="32"/>
          <w:szCs w:val="32"/>
        </w:rPr>
        <w:t>（9）承担区</w:t>
      </w:r>
      <w:r>
        <w:rPr>
          <w:rFonts w:eastAsia="仿宋_GB2312"/>
          <w:color w:val="000000"/>
          <w:sz w:val="32"/>
          <w:szCs w:val="32"/>
        </w:rPr>
        <w:t>委区政府</w:t>
      </w:r>
      <w:r>
        <w:rPr>
          <w:rFonts w:eastAsia="仿宋_GB2312"/>
          <w:sz w:val="32"/>
          <w:szCs w:val="32"/>
        </w:rPr>
        <w:t>扶贫开发领导小组、区革命老区建设领导小组的具体工作。</w:t>
      </w:r>
    </w:p>
    <w:p w14:paraId="38A73F97">
      <w:pPr>
        <w:spacing w:line="576" w:lineRule="exact"/>
        <w:ind w:firstLine="640" w:firstLineChars="200"/>
        <w:rPr>
          <w:rFonts w:eastAsia="仿宋_GB2312"/>
          <w:sz w:val="32"/>
          <w:szCs w:val="32"/>
        </w:rPr>
      </w:pPr>
      <w:r>
        <w:rPr>
          <w:rFonts w:eastAsia="仿宋_GB2312"/>
          <w:sz w:val="32"/>
          <w:szCs w:val="32"/>
        </w:rPr>
        <w:t>（10）承办区政府交办的其他事项。</w:t>
      </w:r>
    </w:p>
    <w:p w14:paraId="4551A749">
      <w:pPr>
        <w:spacing w:line="576" w:lineRule="exact"/>
        <w:ind w:firstLine="643" w:firstLineChars="200"/>
        <w:rPr>
          <w:rFonts w:eastAsia="仿宋"/>
          <w:sz w:val="32"/>
          <w:szCs w:val="32"/>
        </w:rPr>
      </w:pPr>
      <w:r>
        <w:rPr>
          <w:rFonts w:hint="eastAsia" w:ascii="楷体_GB2312" w:hAnsi="楷体_GB2312" w:eastAsia="楷体_GB2312" w:cs="楷体_GB2312"/>
          <w:b/>
          <w:bCs/>
          <w:sz w:val="32"/>
          <w:szCs w:val="32"/>
        </w:rPr>
        <w:t>（三）人员概况</w:t>
      </w:r>
    </w:p>
    <w:p w14:paraId="26FD9F3B">
      <w:pPr>
        <w:spacing w:line="576" w:lineRule="exact"/>
        <w:ind w:firstLine="640" w:firstLineChars="200"/>
        <w:rPr>
          <w:rFonts w:eastAsia="仿宋_GB2312"/>
          <w:color w:val="000000" w:themeColor="text1"/>
          <w:sz w:val="32"/>
          <w:szCs w:val="32"/>
          <w14:textFill>
            <w14:solidFill>
              <w14:schemeClr w14:val="tx1"/>
            </w14:solidFill>
          </w14:textFill>
        </w:rPr>
      </w:pPr>
      <w:r>
        <w:rPr>
          <w:rFonts w:eastAsia="仿宋_GB2312"/>
          <w:color w:val="000000" w:themeColor="text1"/>
          <w:kern w:val="0"/>
          <w:sz w:val="32"/>
          <w:szCs w:val="32"/>
          <w:lang w:bidi="ar"/>
          <w14:textFill>
            <w14:solidFill>
              <w14:schemeClr w14:val="tx1"/>
            </w14:solidFill>
          </w14:textFill>
        </w:rPr>
        <w:t>区</w:t>
      </w:r>
      <w:r>
        <w:rPr>
          <w:rFonts w:eastAsia="仿宋_GB2312"/>
          <w:color w:val="000000" w:themeColor="text1"/>
          <w:sz w:val="32"/>
          <w:szCs w:val="32"/>
          <w:lang w:bidi="ar"/>
          <w14:textFill>
            <w14:solidFill>
              <w14:schemeClr w14:val="tx1"/>
            </w14:solidFill>
          </w14:textFill>
        </w:rPr>
        <w:t>扶贫移民局</w:t>
      </w:r>
      <w:r>
        <w:rPr>
          <w:rFonts w:eastAsia="仿宋_GB2312"/>
          <w:color w:val="000000" w:themeColor="text1"/>
          <w:sz w:val="32"/>
          <w:szCs w:val="32"/>
          <w14:textFill>
            <w14:solidFill>
              <w14:schemeClr w14:val="tx1"/>
            </w14:solidFill>
          </w14:textFill>
        </w:rPr>
        <w:t>设8个内设机构，下属事业单位2个。</w:t>
      </w:r>
      <w:r>
        <w:rPr>
          <w:rFonts w:eastAsia="仿宋_GB2312"/>
          <w:color w:val="FF0000"/>
          <w:sz w:val="32"/>
          <w:szCs w:val="32"/>
        </w:rPr>
        <w:t>核定</w:t>
      </w:r>
      <w:r>
        <w:rPr>
          <w:rFonts w:eastAsia="仿宋_GB2312"/>
          <w:color w:val="FF0000"/>
          <w:kern w:val="0"/>
          <w:sz w:val="32"/>
          <w:szCs w:val="32"/>
          <w:lang w:bidi="ar"/>
        </w:rPr>
        <w:t>总编制40名，其中行政编制10 名，其他事业编制30 名（含脱贫办机动编制10名）。在职人员总数</w:t>
      </w:r>
      <w:r>
        <w:rPr>
          <w:rFonts w:hint="eastAsia" w:eastAsia="仿宋_GB2312"/>
          <w:color w:val="FF0000"/>
          <w:kern w:val="0"/>
          <w:sz w:val="32"/>
          <w:szCs w:val="32"/>
          <w:lang w:bidi="ar"/>
        </w:rPr>
        <w:t>38</w:t>
      </w:r>
      <w:r>
        <w:rPr>
          <w:rFonts w:eastAsia="仿宋_GB2312"/>
          <w:color w:val="FF0000"/>
          <w:kern w:val="0"/>
          <w:sz w:val="32"/>
          <w:szCs w:val="32"/>
          <w:lang w:bidi="ar"/>
        </w:rPr>
        <w:t>人，其中行政人员</w:t>
      </w:r>
      <w:r>
        <w:rPr>
          <w:rFonts w:hint="eastAsia" w:eastAsia="仿宋_GB2312"/>
          <w:color w:val="FF0000"/>
          <w:kern w:val="0"/>
          <w:sz w:val="32"/>
          <w:szCs w:val="32"/>
          <w:lang w:bidi="ar"/>
        </w:rPr>
        <w:t>9</w:t>
      </w:r>
      <w:r>
        <w:rPr>
          <w:rFonts w:eastAsia="仿宋_GB2312"/>
          <w:color w:val="FF0000"/>
          <w:kern w:val="0"/>
          <w:sz w:val="32"/>
          <w:szCs w:val="32"/>
          <w:lang w:bidi="ar"/>
        </w:rPr>
        <w:t>人，政法人员0人，参照公务员法管理的事业人员0人，其他事业人员</w:t>
      </w:r>
      <w:r>
        <w:rPr>
          <w:rFonts w:hint="eastAsia" w:eastAsia="仿宋_GB2312"/>
          <w:color w:val="FF0000"/>
          <w:kern w:val="0"/>
          <w:sz w:val="32"/>
          <w:szCs w:val="32"/>
          <w:lang w:bidi="ar"/>
        </w:rPr>
        <w:t>29</w:t>
      </w:r>
      <w:r>
        <w:rPr>
          <w:rFonts w:eastAsia="仿宋_GB2312"/>
          <w:color w:val="FF0000"/>
          <w:kern w:val="0"/>
          <w:sz w:val="32"/>
          <w:szCs w:val="32"/>
          <w:lang w:bidi="ar"/>
        </w:rPr>
        <w:t>人；离休人员0人，退休人员</w:t>
      </w:r>
      <w:r>
        <w:rPr>
          <w:rFonts w:hint="eastAsia" w:eastAsia="仿宋_GB2312"/>
          <w:color w:val="FF0000"/>
          <w:kern w:val="0"/>
          <w:sz w:val="32"/>
          <w:szCs w:val="32"/>
          <w:lang w:bidi="ar"/>
        </w:rPr>
        <w:t>3</w:t>
      </w:r>
      <w:r>
        <w:rPr>
          <w:rFonts w:eastAsia="仿宋_GB2312"/>
          <w:color w:val="FF0000"/>
          <w:kern w:val="0"/>
          <w:sz w:val="32"/>
          <w:szCs w:val="32"/>
          <w:lang w:bidi="ar"/>
        </w:rPr>
        <w:t>人</w:t>
      </w:r>
    </w:p>
    <w:p w14:paraId="6A32E84D">
      <w:pPr>
        <w:spacing w:line="576" w:lineRule="exact"/>
        <w:ind w:firstLine="640" w:firstLineChars="200"/>
        <w:rPr>
          <w:rFonts w:eastAsia="黑体"/>
          <w:sz w:val="32"/>
          <w:szCs w:val="32"/>
        </w:rPr>
      </w:pPr>
      <w:r>
        <w:rPr>
          <w:rFonts w:eastAsia="黑体"/>
          <w:sz w:val="32"/>
          <w:szCs w:val="32"/>
        </w:rPr>
        <w:t>二、部门财政资金收支情况</w:t>
      </w:r>
    </w:p>
    <w:p w14:paraId="3B2C41DC">
      <w:pPr>
        <w:spacing w:line="576" w:lineRule="exact"/>
        <w:ind w:firstLine="643" w:firstLineChars="200"/>
        <w:rPr>
          <w:rFonts w:ascii="楷体_GB2312" w:hAnsi="楷体_GB2312" w:eastAsia="楷体_GB2312" w:cs="楷体_GB2312"/>
          <w:b/>
          <w:bCs/>
          <w:sz w:val="32"/>
          <w:szCs w:val="32"/>
        </w:rPr>
      </w:pPr>
      <w:r>
        <w:rPr>
          <w:rFonts w:hint="eastAsia" w:ascii="楷体_GB2312" w:hAnsi="楷体_GB2312" w:eastAsia="楷体_GB2312" w:cs="楷体_GB2312"/>
          <w:b/>
          <w:bCs/>
          <w:sz w:val="32"/>
          <w:szCs w:val="32"/>
        </w:rPr>
        <w:t>（一）部门财政资金收入情况</w:t>
      </w:r>
    </w:p>
    <w:p w14:paraId="2F0144A0">
      <w:pPr>
        <w:snapToGrid w:val="0"/>
        <w:spacing w:line="576" w:lineRule="exact"/>
        <w:ind w:firstLine="640" w:firstLineChars="200"/>
        <w:rPr>
          <w:rFonts w:eastAsia="仿宋_GB2312"/>
          <w:sz w:val="32"/>
          <w:szCs w:val="32"/>
        </w:rPr>
      </w:pPr>
      <w:r>
        <w:rPr>
          <w:rFonts w:eastAsia="仿宋_GB2312"/>
          <w:color w:val="000000"/>
          <w:sz w:val="32"/>
          <w:szCs w:val="32"/>
        </w:rPr>
        <w:t>201</w:t>
      </w:r>
      <w:r>
        <w:rPr>
          <w:rFonts w:hint="eastAsia" w:eastAsia="仿宋_GB2312"/>
          <w:color w:val="000000"/>
          <w:sz w:val="32"/>
          <w:szCs w:val="32"/>
          <w:lang w:val="en-US" w:eastAsia="zh-CN"/>
        </w:rPr>
        <w:t>9</w:t>
      </w:r>
      <w:r>
        <w:rPr>
          <w:rFonts w:eastAsia="仿宋_GB2312"/>
          <w:color w:val="000000"/>
          <w:sz w:val="32"/>
          <w:szCs w:val="32"/>
        </w:rPr>
        <w:t>年本年收入合计</w:t>
      </w:r>
      <w:r>
        <w:rPr>
          <w:rFonts w:hint="eastAsia" w:eastAsia="仿宋_GB2312"/>
          <w:color w:val="000000"/>
          <w:sz w:val="32"/>
          <w:szCs w:val="32"/>
          <w:lang w:val="en-US" w:eastAsia="zh-CN"/>
        </w:rPr>
        <w:t>3151.19</w:t>
      </w:r>
      <w:r>
        <w:rPr>
          <w:rFonts w:eastAsia="仿宋_GB2312"/>
          <w:color w:val="000000"/>
          <w:sz w:val="32"/>
          <w:szCs w:val="32"/>
        </w:rPr>
        <w:t>万元，其中：一般公共预算财政拨款收入</w:t>
      </w:r>
      <w:r>
        <w:rPr>
          <w:rFonts w:hint="eastAsia" w:eastAsia="仿宋_GB2312"/>
          <w:color w:val="000000"/>
          <w:sz w:val="32"/>
          <w:szCs w:val="32"/>
          <w:lang w:val="en-US" w:eastAsia="zh-CN"/>
        </w:rPr>
        <w:t>475.57</w:t>
      </w:r>
      <w:r>
        <w:rPr>
          <w:rFonts w:eastAsia="仿宋_GB2312"/>
          <w:color w:val="000000"/>
          <w:sz w:val="32"/>
          <w:szCs w:val="32"/>
        </w:rPr>
        <w:t>万元；政府性基金预算财政拨款收入</w:t>
      </w:r>
      <w:r>
        <w:rPr>
          <w:rFonts w:hint="eastAsia" w:eastAsia="仿宋_GB2312"/>
          <w:color w:val="000000"/>
          <w:sz w:val="32"/>
          <w:szCs w:val="32"/>
          <w:lang w:val="en-US" w:eastAsia="zh-CN"/>
        </w:rPr>
        <w:t>2675.62</w:t>
      </w:r>
      <w:r>
        <w:rPr>
          <w:rFonts w:eastAsia="仿宋_GB2312"/>
          <w:color w:val="000000"/>
          <w:sz w:val="32"/>
          <w:szCs w:val="32"/>
        </w:rPr>
        <w:t>万元。</w:t>
      </w:r>
      <w:r>
        <w:rPr>
          <w:rFonts w:eastAsia="仿宋_GB2312"/>
          <w:sz w:val="32"/>
          <w:szCs w:val="32"/>
        </w:rPr>
        <w:t>单位的各项收入做到应收尽收，所有收入均纳入账簿，各项收入无虚挂往来现象，并做到了及时入账。</w:t>
      </w:r>
    </w:p>
    <w:p w14:paraId="42B2C359">
      <w:pPr>
        <w:spacing w:line="576" w:lineRule="exact"/>
        <w:ind w:firstLine="643" w:firstLineChars="200"/>
        <w:rPr>
          <w:rFonts w:eastAsia="仿宋"/>
          <w:sz w:val="32"/>
          <w:szCs w:val="32"/>
        </w:rPr>
      </w:pPr>
      <w:r>
        <w:rPr>
          <w:rFonts w:hint="eastAsia" w:ascii="楷体_GB2312" w:hAnsi="楷体_GB2312" w:eastAsia="楷体_GB2312" w:cs="楷体_GB2312"/>
          <w:b/>
          <w:bCs/>
          <w:sz w:val="32"/>
          <w:szCs w:val="32"/>
        </w:rPr>
        <w:t>（二）部门财政资金支出情况</w:t>
      </w:r>
    </w:p>
    <w:p w14:paraId="11A114E4">
      <w:pPr>
        <w:snapToGrid w:val="0"/>
        <w:spacing w:line="576" w:lineRule="exact"/>
        <w:ind w:firstLine="640" w:firstLineChars="200"/>
        <w:rPr>
          <w:rFonts w:eastAsia="仿宋_GB2312"/>
          <w:sz w:val="32"/>
          <w:szCs w:val="32"/>
        </w:rPr>
      </w:pPr>
      <w:r>
        <w:rPr>
          <w:rFonts w:eastAsia="仿宋_GB2312"/>
          <w:color w:val="000000"/>
          <w:sz w:val="32"/>
          <w:szCs w:val="32"/>
        </w:rPr>
        <w:t>2018年本年支出合计</w:t>
      </w:r>
      <w:r>
        <w:rPr>
          <w:rFonts w:hint="eastAsia" w:eastAsia="仿宋_GB2312"/>
          <w:color w:val="000000"/>
          <w:sz w:val="32"/>
          <w:szCs w:val="32"/>
          <w:lang w:val="en-US" w:eastAsia="zh-CN"/>
        </w:rPr>
        <w:t>3234.42</w:t>
      </w:r>
      <w:r>
        <w:rPr>
          <w:rFonts w:eastAsia="仿宋_GB2312"/>
          <w:color w:val="000000"/>
          <w:sz w:val="32"/>
          <w:szCs w:val="32"/>
        </w:rPr>
        <w:t>万元，其中：基本支出</w:t>
      </w:r>
      <w:r>
        <w:rPr>
          <w:rFonts w:hint="eastAsia" w:eastAsia="仿宋_GB2312"/>
          <w:color w:val="000000"/>
          <w:sz w:val="32"/>
          <w:szCs w:val="32"/>
          <w:lang w:val="en-US" w:eastAsia="zh-CN"/>
        </w:rPr>
        <w:t>459.03</w:t>
      </w:r>
      <w:r>
        <w:rPr>
          <w:rFonts w:eastAsia="仿宋_GB2312"/>
          <w:color w:val="000000"/>
          <w:sz w:val="32"/>
          <w:szCs w:val="32"/>
        </w:rPr>
        <w:t>万元；项目支出</w:t>
      </w:r>
      <w:r>
        <w:rPr>
          <w:rFonts w:hint="eastAsia" w:eastAsia="仿宋_GB2312"/>
          <w:color w:val="000000"/>
          <w:sz w:val="32"/>
          <w:szCs w:val="32"/>
          <w:lang w:val="en-US" w:eastAsia="zh-CN"/>
        </w:rPr>
        <w:t>2775.39</w:t>
      </w:r>
      <w:r>
        <w:rPr>
          <w:rFonts w:eastAsia="仿宋_GB2312"/>
          <w:color w:val="000000"/>
          <w:sz w:val="32"/>
          <w:szCs w:val="32"/>
        </w:rPr>
        <w:t>元。</w:t>
      </w:r>
      <w:r>
        <w:rPr>
          <w:rFonts w:eastAsia="仿宋_GB2312"/>
          <w:sz w:val="32"/>
          <w:szCs w:val="32"/>
        </w:rPr>
        <w:t>预算支出未发现无预算、超预算支出，未发现虚列支出和预算科目间相互挤占问题，所有财政资金支出均履行了严格审批手续，未发现挤占、挪用、转移财政资金行为。基本支出严格执行国家有关政策及规定，无擅自扩大开支范围的提高开支标准，单位津补贴、奖金和福利均按照国家或地方的规定发放，项目支出均按照批准的项目和用途以及项目实施方案执行，无自行改变项目内容，扩大支出范围现象。无自行调整项目支出预算问题，所有项目支出均合理合规。未发现利用财政或自由资金对外借、贷款问题。</w:t>
      </w:r>
    </w:p>
    <w:p w14:paraId="6B4C5177">
      <w:pPr>
        <w:spacing w:line="576" w:lineRule="exact"/>
        <w:ind w:firstLine="640" w:firstLineChars="200"/>
        <w:rPr>
          <w:rFonts w:eastAsia="黑体"/>
          <w:sz w:val="32"/>
          <w:szCs w:val="32"/>
        </w:rPr>
      </w:pPr>
      <w:r>
        <w:rPr>
          <w:rFonts w:eastAsia="黑体"/>
          <w:sz w:val="32"/>
          <w:szCs w:val="32"/>
        </w:rPr>
        <w:t>三、部门整体预算绩效管理情况</w:t>
      </w:r>
    </w:p>
    <w:p w14:paraId="1D85554F">
      <w:pPr>
        <w:spacing w:line="576" w:lineRule="exact"/>
        <w:ind w:firstLine="643" w:firstLineChars="200"/>
        <w:rPr>
          <w:rFonts w:eastAsia="楷体_GB2312"/>
          <w:b/>
          <w:bCs/>
          <w:sz w:val="32"/>
          <w:szCs w:val="32"/>
        </w:rPr>
      </w:pPr>
      <w:bookmarkStart w:id="61" w:name="_Toc15396617"/>
      <w:r>
        <w:rPr>
          <w:rFonts w:eastAsia="楷体_GB2312"/>
          <w:b/>
          <w:bCs/>
          <w:sz w:val="32"/>
          <w:szCs w:val="32"/>
        </w:rPr>
        <w:t>（一）部门预算管理</w:t>
      </w:r>
    </w:p>
    <w:p w14:paraId="0DAA81B8">
      <w:pPr>
        <w:spacing w:line="576" w:lineRule="exact"/>
        <w:ind w:firstLine="640" w:firstLineChars="200"/>
        <w:rPr>
          <w:rFonts w:eastAsia="仿宋_GB2312"/>
          <w:sz w:val="32"/>
          <w:szCs w:val="32"/>
        </w:rPr>
      </w:pPr>
      <w:r>
        <w:rPr>
          <w:rFonts w:eastAsia="仿宋_GB2312"/>
          <w:sz w:val="32"/>
          <w:szCs w:val="32"/>
        </w:rPr>
        <w:t>部门预决算编制内容基本真实、完整，部门决算按规定口径填列，表内表间数据衔接一致，上下年度衔接一致，部门决算与其他上报报表或者决算一致，项目及资金结转清晰、科目填报准确合理。能够按要求的时间报送部门预算、部门预算编制说明以及部门决算。</w:t>
      </w:r>
    </w:p>
    <w:p w14:paraId="26BB15AE">
      <w:pPr>
        <w:spacing w:line="576" w:lineRule="exact"/>
        <w:ind w:firstLine="643" w:firstLineChars="200"/>
        <w:rPr>
          <w:rFonts w:eastAsia="楷体_GB2312"/>
          <w:b/>
          <w:bCs/>
          <w:sz w:val="32"/>
          <w:szCs w:val="32"/>
        </w:rPr>
      </w:pPr>
      <w:r>
        <w:rPr>
          <w:rFonts w:eastAsia="楷体_GB2312"/>
          <w:b/>
          <w:bCs/>
          <w:sz w:val="32"/>
          <w:szCs w:val="32"/>
        </w:rPr>
        <w:t>（二）专项预算管理</w:t>
      </w:r>
    </w:p>
    <w:p w14:paraId="40059523">
      <w:pPr>
        <w:spacing w:line="576" w:lineRule="exact"/>
        <w:ind w:firstLine="640" w:firstLineChars="200"/>
        <w:rPr>
          <w:rFonts w:eastAsia="仿宋_GB2312"/>
          <w:sz w:val="32"/>
          <w:szCs w:val="32"/>
        </w:rPr>
      </w:pPr>
      <w:r>
        <w:rPr>
          <w:rFonts w:eastAsia="仿宋_GB2312"/>
          <w:sz w:val="32"/>
          <w:szCs w:val="32"/>
        </w:rPr>
        <w:t>区扶贫移民局根据专项资金文件规定的申报、审核、支付、管理流程，进行审核支付资金，资金的支付范围、支付标准合规合法，支付依据充分，做到了专款专用，专账核算，无违规违纪等事项发生。</w:t>
      </w:r>
    </w:p>
    <w:p w14:paraId="270FB54B">
      <w:pPr>
        <w:spacing w:line="576" w:lineRule="exact"/>
        <w:ind w:firstLine="643" w:firstLineChars="200"/>
        <w:rPr>
          <w:rFonts w:eastAsia="楷体_GB2312"/>
          <w:b/>
          <w:bCs/>
          <w:sz w:val="32"/>
          <w:szCs w:val="32"/>
        </w:rPr>
      </w:pPr>
      <w:r>
        <w:rPr>
          <w:rFonts w:eastAsia="楷体_GB2312"/>
          <w:b/>
          <w:bCs/>
          <w:sz w:val="32"/>
          <w:szCs w:val="32"/>
        </w:rPr>
        <w:t>（三）结果应用情况</w:t>
      </w:r>
    </w:p>
    <w:p w14:paraId="7BBB1DB9">
      <w:pPr>
        <w:snapToGrid w:val="0"/>
        <w:spacing w:line="576" w:lineRule="exact"/>
        <w:ind w:firstLine="640" w:firstLineChars="200"/>
        <w:rPr>
          <w:rFonts w:eastAsia="仿宋_GB2312"/>
          <w:sz w:val="32"/>
          <w:szCs w:val="32"/>
        </w:rPr>
      </w:pPr>
      <w:r>
        <w:rPr>
          <w:rFonts w:eastAsia="仿宋_GB2312"/>
          <w:sz w:val="32"/>
          <w:szCs w:val="32"/>
        </w:rPr>
        <w:t>包括部门自评质量、绩效目标公开和自评公开、评价结果整改和应用结果反馈等情况。</w:t>
      </w:r>
    </w:p>
    <w:p w14:paraId="31E7D30A">
      <w:pPr>
        <w:spacing w:line="576" w:lineRule="exact"/>
        <w:ind w:firstLine="640" w:firstLineChars="200"/>
        <w:rPr>
          <w:rFonts w:eastAsia="黑体"/>
          <w:sz w:val="32"/>
          <w:szCs w:val="32"/>
        </w:rPr>
      </w:pPr>
      <w:r>
        <w:rPr>
          <w:rFonts w:eastAsia="黑体"/>
          <w:sz w:val="32"/>
          <w:szCs w:val="32"/>
        </w:rPr>
        <w:t>四、评价结论及建议</w:t>
      </w:r>
    </w:p>
    <w:p w14:paraId="79B74792">
      <w:pPr>
        <w:snapToGrid w:val="0"/>
        <w:spacing w:line="576" w:lineRule="exact"/>
        <w:ind w:firstLine="643" w:firstLineChars="200"/>
        <w:rPr>
          <w:rFonts w:eastAsia="楷体_GB2312"/>
          <w:b/>
          <w:bCs/>
          <w:sz w:val="32"/>
          <w:szCs w:val="32"/>
        </w:rPr>
      </w:pPr>
      <w:r>
        <w:rPr>
          <w:rFonts w:eastAsia="楷体_GB2312"/>
          <w:b/>
          <w:bCs/>
          <w:sz w:val="32"/>
          <w:szCs w:val="32"/>
        </w:rPr>
        <w:t>（一）评价结论</w:t>
      </w:r>
    </w:p>
    <w:p w14:paraId="77A96E8B">
      <w:pPr>
        <w:snapToGrid w:val="0"/>
        <w:spacing w:line="576" w:lineRule="exact"/>
        <w:ind w:firstLine="640" w:firstLineChars="200"/>
        <w:rPr>
          <w:rFonts w:eastAsia="仿宋_GB2312"/>
          <w:sz w:val="32"/>
          <w:szCs w:val="32"/>
        </w:rPr>
      </w:pPr>
      <w:r>
        <w:rPr>
          <w:rFonts w:eastAsia="仿宋_GB2312"/>
          <w:sz w:val="32"/>
          <w:szCs w:val="32"/>
        </w:rPr>
        <w:t>1</w:t>
      </w:r>
      <w:r>
        <w:rPr>
          <w:rFonts w:hint="eastAsia" w:eastAsia="仿宋_GB2312"/>
          <w:sz w:val="32"/>
          <w:szCs w:val="32"/>
        </w:rPr>
        <w:t>.</w:t>
      </w:r>
      <w:r>
        <w:rPr>
          <w:rFonts w:eastAsia="仿宋_GB2312"/>
          <w:sz w:val="32"/>
          <w:szCs w:val="32"/>
        </w:rPr>
        <w:t>财务管理绩效总评价结果</w:t>
      </w:r>
    </w:p>
    <w:p w14:paraId="539CE0B3">
      <w:pPr>
        <w:snapToGrid w:val="0"/>
        <w:spacing w:line="576" w:lineRule="exact"/>
        <w:ind w:firstLine="640" w:firstLineChars="200"/>
        <w:rPr>
          <w:rFonts w:eastAsia="仿宋_GB2312"/>
          <w:sz w:val="32"/>
          <w:szCs w:val="32"/>
        </w:rPr>
      </w:pPr>
      <w:r>
        <w:rPr>
          <w:rFonts w:eastAsia="仿宋_GB2312"/>
          <w:sz w:val="32"/>
          <w:szCs w:val="32"/>
        </w:rPr>
        <w:t>201</w:t>
      </w:r>
      <w:r>
        <w:rPr>
          <w:rFonts w:hint="eastAsia" w:eastAsia="仿宋_GB2312"/>
          <w:sz w:val="32"/>
          <w:szCs w:val="32"/>
          <w:lang w:val="en-US" w:eastAsia="zh-CN"/>
        </w:rPr>
        <w:t>9</w:t>
      </w:r>
      <w:r>
        <w:rPr>
          <w:rFonts w:eastAsia="仿宋_GB2312"/>
          <w:sz w:val="32"/>
          <w:szCs w:val="32"/>
        </w:rPr>
        <w:t>年区扶贫移民局财务支出符合国家财经法规和财务管理制度规定以及有关专项资金管理办法的规定，资金的拨付有完整的审批过程和手续，支出基本符合部门预算批复的用途，资金使用无截留、挤占、挪用、虚列支出等情况。根据区政府绩效考核文件精神，绩效目标在201</w:t>
      </w:r>
      <w:r>
        <w:rPr>
          <w:rFonts w:hint="eastAsia" w:eastAsia="仿宋_GB2312"/>
          <w:sz w:val="32"/>
          <w:szCs w:val="32"/>
          <w:lang w:val="en-US" w:eastAsia="zh-CN"/>
        </w:rPr>
        <w:t>9</w:t>
      </w:r>
      <w:r>
        <w:rPr>
          <w:rFonts w:eastAsia="仿宋_GB2312"/>
          <w:sz w:val="32"/>
          <w:szCs w:val="32"/>
        </w:rPr>
        <w:t>年基本完成，在保障机关运转、履行职能职责上整体情况优良。</w:t>
      </w:r>
    </w:p>
    <w:p w14:paraId="0477ED3F">
      <w:pPr>
        <w:snapToGrid w:val="0"/>
        <w:spacing w:line="576" w:lineRule="exact"/>
        <w:ind w:firstLine="640" w:firstLineChars="200"/>
        <w:rPr>
          <w:rFonts w:eastAsia="仿宋_GB2312"/>
          <w:sz w:val="32"/>
          <w:szCs w:val="32"/>
        </w:rPr>
      </w:pPr>
      <w:r>
        <w:rPr>
          <w:rFonts w:eastAsia="仿宋_GB2312"/>
          <w:sz w:val="32"/>
          <w:szCs w:val="32"/>
        </w:rPr>
        <w:t>通过对区扶贫移民局201</w:t>
      </w:r>
      <w:r>
        <w:rPr>
          <w:rFonts w:hint="eastAsia" w:eastAsia="仿宋_GB2312"/>
          <w:sz w:val="32"/>
          <w:szCs w:val="32"/>
          <w:lang w:val="en-US" w:eastAsia="zh-CN"/>
        </w:rPr>
        <w:t>9</w:t>
      </w:r>
      <w:r>
        <w:rPr>
          <w:rFonts w:eastAsia="仿宋_GB2312"/>
          <w:sz w:val="32"/>
          <w:szCs w:val="32"/>
        </w:rPr>
        <w:t>年部门财务管理三级指标的分析考评，区扶贫201</w:t>
      </w:r>
      <w:r>
        <w:rPr>
          <w:rFonts w:hint="eastAsia" w:eastAsia="仿宋_GB2312"/>
          <w:sz w:val="32"/>
          <w:szCs w:val="32"/>
          <w:lang w:val="en-US" w:eastAsia="zh-CN"/>
        </w:rPr>
        <w:t>9</w:t>
      </w:r>
      <w:r>
        <w:rPr>
          <w:rFonts w:eastAsia="仿宋_GB2312"/>
          <w:sz w:val="32"/>
          <w:szCs w:val="32"/>
        </w:rPr>
        <w:t>年部门财务管理绩效评价得分为93分，综合评价结果为优级。</w:t>
      </w:r>
    </w:p>
    <w:p w14:paraId="274A34D6">
      <w:pPr>
        <w:snapToGrid w:val="0"/>
        <w:spacing w:line="576" w:lineRule="exact"/>
        <w:ind w:firstLine="640" w:firstLineChars="200"/>
        <w:rPr>
          <w:rFonts w:eastAsia="仿宋_GB2312"/>
          <w:sz w:val="32"/>
          <w:szCs w:val="32"/>
        </w:rPr>
      </w:pPr>
      <w:r>
        <w:rPr>
          <w:rFonts w:eastAsia="仿宋_GB2312"/>
          <w:sz w:val="32"/>
          <w:szCs w:val="32"/>
        </w:rPr>
        <w:t>2</w:t>
      </w:r>
      <w:r>
        <w:rPr>
          <w:rFonts w:hint="eastAsia" w:eastAsia="仿宋_GB2312"/>
          <w:sz w:val="32"/>
          <w:szCs w:val="32"/>
        </w:rPr>
        <w:t>.</w:t>
      </w:r>
      <w:r>
        <w:rPr>
          <w:rFonts w:eastAsia="仿宋_GB2312"/>
          <w:sz w:val="32"/>
          <w:szCs w:val="32"/>
        </w:rPr>
        <w:t>项目绩效总评价结果</w:t>
      </w:r>
    </w:p>
    <w:p w14:paraId="4FC87F9D">
      <w:pPr>
        <w:snapToGrid w:val="0"/>
        <w:spacing w:line="576" w:lineRule="exact"/>
        <w:ind w:firstLine="640" w:firstLineChars="200"/>
        <w:rPr>
          <w:rFonts w:eastAsia="仿宋_GB2312"/>
          <w:sz w:val="32"/>
          <w:szCs w:val="32"/>
        </w:rPr>
      </w:pPr>
      <w:r>
        <w:rPr>
          <w:rFonts w:eastAsia="仿宋_GB2312"/>
          <w:sz w:val="32"/>
          <w:szCs w:val="32"/>
        </w:rPr>
        <w:t>该项目在决策方面，决策依据基本充分、资金分配合理；在项目管理方面，资金到位及时、资金支出的依据、使用范围、开支标准基本符合规定，财务制度、会计核算健全规范；在项目完成方面，实现计划目标；在项目效果方面，项目的开展，取得了良好效果。</w:t>
      </w:r>
    </w:p>
    <w:p w14:paraId="147AC439">
      <w:pPr>
        <w:snapToGrid w:val="0"/>
        <w:spacing w:line="576" w:lineRule="exact"/>
        <w:ind w:firstLine="640" w:firstLineChars="200"/>
        <w:rPr>
          <w:rFonts w:eastAsia="仿宋_GB2312"/>
          <w:sz w:val="32"/>
          <w:szCs w:val="32"/>
        </w:rPr>
      </w:pPr>
      <w:r>
        <w:rPr>
          <w:rFonts w:eastAsia="仿宋_GB2312"/>
          <w:sz w:val="32"/>
          <w:szCs w:val="32"/>
        </w:rPr>
        <w:t>通过该项目三级指标的分析考评，该项目的绩效评价得分为</w:t>
      </w:r>
      <w:r>
        <w:rPr>
          <w:rFonts w:hint="eastAsia" w:eastAsia="仿宋_GB2312"/>
          <w:sz w:val="32"/>
          <w:szCs w:val="32"/>
          <w:lang w:val="en-US" w:eastAsia="zh-CN"/>
        </w:rPr>
        <w:t>95</w:t>
      </w:r>
      <w:r>
        <w:rPr>
          <w:rFonts w:eastAsia="仿宋_GB2312"/>
          <w:sz w:val="32"/>
          <w:szCs w:val="32"/>
        </w:rPr>
        <w:t>分，综合评价结果为</w:t>
      </w:r>
      <w:r>
        <w:rPr>
          <w:rFonts w:hint="eastAsia" w:eastAsia="仿宋_GB2312"/>
          <w:sz w:val="32"/>
          <w:szCs w:val="32"/>
          <w:lang w:eastAsia="zh-CN"/>
        </w:rPr>
        <w:t>优</w:t>
      </w:r>
      <w:r>
        <w:rPr>
          <w:rFonts w:eastAsia="仿宋_GB2312"/>
          <w:sz w:val="32"/>
          <w:szCs w:val="32"/>
        </w:rPr>
        <w:t>级。</w:t>
      </w:r>
    </w:p>
    <w:p w14:paraId="0A218B72">
      <w:pPr>
        <w:spacing w:line="576" w:lineRule="exact"/>
        <w:ind w:firstLine="643" w:firstLineChars="200"/>
        <w:rPr>
          <w:rFonts w:eastAsia="楷体_GB2312"/>
          <w:b/>
          <w:bCs/>
          <w:sz w:val="32"/>
          <w:szCs w:val="32"/>
        </w:rPr>
      </w:pPr>
      <w:r>
        <w:rPr>
          <w:rFonts w:eastAsia="楷体_GB2312"/>
          <w:b/>
          <w:bCs/>
          <w:sz w:val="32"/>
          <w:szCs w:val="32"/>
        </w:rPr>
        <w:t>（二）存在问题</w:t>
      </w:r>
    </w:p>
    <w:p w14:paraId="46BE9B4A">
      <w:pPr>
        <w:spacing w:line="576" w:lineRule="exact"/>
        <w:ind w:firstLine="640" w:firstLineChars="200"/>
        <w:rPr>
          <w:rFonts w:eastAsia="仿宋_GB2312"/>
          <w:sz w:val="32"/>
          <w:szCs w:val="32"/>
        </w:rPr>
      </w:pPr>
      <w:r>
        <w:rPr>
          <w:rFonts w:eastAsia="仿宋_GB2312"/>
          <w:sz w:val="32"/>
          <w:szCs w:val="32"/>
        </w:rPr>
        <w:t>1.公务卡使用率低。</w:t>
      </w:r>
    </w:p>
    <w:p w14:paraId="0B5761E4">
      <w:pPr>
        <w:spacing w:line="576" w:lineRule="exact"/>
        <w:ind w:firstLine="640" w:firstLineChars="200"/>
        <w:rPr>
          <w:rFonts w:eastAsia="仿宋_GB2312"/>
          <w:sz w:val="32"/>
          <w:szCs w:val="32"/>
        </w:rPr>
      </w:pPr>
      <w:r>
        <w:rPr>
          <w:rFonts w:eastAsia="仿宋_GB2312"/>
          <w:sz w:val="32"/>
          <w:szCs w:val="32"/>
        </w:rPr>
        <w:t>2.固定资产管理不规范。</w:t>
      </w:r>
    </w:p>
    <w:p w14:paraId="114E5A53">
      <w:pPr>
        <w:spacing w:line="576" w:lineRule="exact"/>
        <w:ind w:firstLine="643" w:firstLineChars="200"/>
        <w:rPr>
          <w:rFonts w:eastAsia="楷体_GB2312"/>
          <w:b/>
          <w:bCs/>
          <w:sz w:val="32"/>
          <w:szCs w:val="32"/>
        </w:rPr>
      </w:pPr>
      <w:r>
        <w:rPr>
          <w:rFonts w:eastAsia="楷体_GB2312"/>
          <w:b/>
          <w:bCs/>
          <w:sz w:val="32"/>
          <w:szCs w:val="32"/>
        </w:rPr>
        <w:t>（三）改进建议</w:t>
      </w:r>
    </w:p>
    <w:p w14:paraId="3DF18829">
      <w:pPr>
        <w:spacing w:line="576" w:lineRule="exact"/>
        <w:ind w:firstLine="640" w:firstLineChars="200"/>
        <w:rPr>
          <w:rFonts w:eastAsia="仿宋_GB2312"/>
          <w:sz w:val="32"/>
          <w:szCs w:val="32"/>
        </w:rPr>
      </w:pPr>
      <w:r>
        <w:rPr>
          <w:rFonts w:eastAsia="仿宋_GB2312"/>
          <w:sz w:val="32"/>
          <w:szCs w:val="32"/>
        </w:rPr>
        <w:t>与区财政、国有资产管理部门沟通协调，处理好账面与报表之间的差异。规范和完善固定资产管理，确定实物资产管理人，根据实物资产建立固定资产卡片，如存在划拨资产、盘盈盘亏情况，应根据相关划拨单、盘点表及相关内部盘点结果处理情况进行账务处理。同时，尽快取得国有资产管理部门相关批复，尽量保持账表相符，账账相符，账卡相符，账实相符。</w:t>
      </w:r>
    </w:p>
    <w:p w14:paraId="0C055115">
      <w:pPr>
        <w:spacing w:line="576" w:lineRule="exact"/>
        <w:ind w:firstLine="640" w:firstLineChars="200"/>
        <w:rPr>
          <w:rFonts w:eastAsia="仿宋_GB2312"/>
          <w:sz w:val="32"/>
          <w:szCs w:val="32"/>
        </w:rPr>
      </w:pPr>
    </w:p>
    <w:p w14:paraId="21F96194">
      <w:pPr>
        <w:widowControl/>
        <w:spacing w:line="576" w:lineRule="exact"/>
        <w:jc w:val="left"/>
        <w:rPr>
          <w:rFonts w:eastAsia="仿宋_GB2312"/>
          <w:sz w:val="32"/>
          <w:szCs w:val="32"/>
        </w:rPr>
      </w:pPr>
      <w:r>
        <w:rPr>
          <w:rFonts w:eastAsia="仿宋_GB2312"/>
          <w:sz w:val="32"/>
          <w:szCs w:val="32"/>
        </w:rPr>
        <w:br w:type="page"/>
      </w:r>
    </w:p>
    <w:p w14:paraId="5CACF162">
      <w:pPr>
        <w:pStyle w:val="4"/>
        <w:rPr>
          <w:rStyle w:val="27"/>
          <w:rFonts w:ascii="黑体" w:hAnsi="黑体" w:eastAsia="黑体" w:cs="黑体"/>
          <w:b w:val="0"/>
          <w:bCs w:val="0"/>
          <w:sz w:val="32"/>
          <w:szCs w:val="32"/>
        </w:rPr>
      </w:pPr>
      <w:r>
        <w:rPr>
          <w:rStyle w:val="27"/>
          <w:rFonts w:hint="eastAsia" w:ascii="黑体" w:hAnsi="黑体" w:eastAsia="黑体" w:cs="黑体"/>
          <w:b w:val="0"/>
          <w:bCs w:val="0"/>
          <w:sz w:val="32"/>
          <w:szCs w:val="32"/>
        </w:rPr>
        <w:t>附件2</w:t>
      </w:r>
      <w:bookmarkEnd w:id="61"/>
    </w:p>
    <w:p w14:paraId="22A32353">
      <w:pPr>
        <w:spacing w:line="580" w:lineRule="exact"/>
        <w:ind w:firstLine="640" w:firstLineChars="200"/>
        <w:rPr>
          <w:rFonts w:eastAsia="仿宋_GB2312"/>
          <w:sz w:val="32"/>
          <w:szCs w:val="32"/>
        </w:rPr>
      </w:pPr>
    </w:p>
    <w:p w14:paraId="5140B804">
      <w:pPr>
        <w:adjustRightInd w:val="0"/>
        <w:snapToGrid w:val="0"/>
        <w:spacing w:line="576" w:lineRule="exact"/>
        <w:jc w:val="center"/>
        <w:rPr>
          <w:rFonts w:hint="eastAsia" w:ascii="方正小标宋简体" w:hAnsi="新宋体" w:eastAsia="方正小标宋简体" w:cs="新宋体"/>
          <w:b w:val="0"/>
          <w:bCs/>
          <w:color w:val="000000"/>
          <w:sz w:val="44"/>
          <w:szCs w:val="44"/>
        </w:rPr>
      </w:pPr>
      <w:bookmarkStart w:id="62" w:name="_Toc15396618"/>
      <w:r>
        <w:rPr>
          <w:rFonts w:hint="eastAsia" w:ascii="方正小标宋简体" w:hAnsi="新宋体" w:eastAsia="方正小标宋简体" w:cs="新宋体"/>
          <w:b w:val="0"/>
          <w:bCs/>
          <w:color w:val="000000"/>
          <w:sz w:val="44"/>
          <w:szCs w:val="44"/>
        </w:rPr>
        <w:t>昭化区2019 年度大中型水利水电工程移民</w:t>
      </w:r>
    </w:p>
    <w:p w14:paraId="12F5FAFC">
      <w:pPr>
        <w:adjustRightInd w:val="0"/>
        <w:snapToGrid w:val="0"/>
        <w:spacing w:line="576" w:lineRule="exact"/>
        <w:jc w:val="center"/>
        <w:rPr>
          <w:rFonts w:hint="eastAsia" w:ascii="方正小标宋简体" w:hAnsi="新宋体" w:eastAsia="方正小标宋简体" w:cs="新宋体"/>
          <w:b w:val="0"/>
          <w:bCs/>
          <w:color w:val="000000"/>
          <w:sz w:val="44"/>
          <w:szCs w:val="44"/>
        </w:rPr>
      </w:pPr>
      <w:r>
        <w:rPr>
          <w:rFonts w:hint="eastAsia" w:ascii="方正小标宋简体" w:hAnsi="新宋体" w:eastAsia="方正小标宋简体" w:cs="新宋体"/>
          <w:b w:val="0"/>
          <w:bCs/>
          <w:color w:val="000000"/>
          <w:sz w:val="44"/>
          <w:szCs w:val="44"/>
        </w:rPr>
        <w:t>后期扶持基金绩效自评报告</w:t>
      </w:r>
    </w:p>
    <w:p w14:paraId="310E4B6E">
      <w:pPr>
        <w:adjustRightInd w:val="0"/>
        <w:snapToGrid w:val="0"/>
        <w:spacing w:line="576" w:lineRule="exact"/>
        <w:rPr>
          <w:rFonts w:ascii="Times New Roman"/>
          <w:b w:val="0"/>
          <w:color w:val="000000"/>
          <w:sz w:val="32"/>
          <w:szCs w:val="32"/>
        </w:rPr>
      </w:pPr>
    </w:p>
    <w:p w14:paraId="285AAAFF">
      <w:pPr>
        <w:adjustRightInd w:val="0"/>
        <w:snapToGrid w:val="0"/>
        <w:spacing w:line="550" w:lineRule="exact"/>
        <w:ind w:firstLine="640" w:firstLineChars="200"/>
        <w:rPr>
          <w:rFonts w:ascii="Times New Roman"/>
          <w:b w:val="0"/>
          <w:bCs/>
          <w:color w:val="000000"/>
          <w:sz w:val="32"/>
          <w:szCs w:val="32"/>
        </w:rPr>
      </w:pPr>
      <w:r>
        <w:rPr>
          <w:rFonts w:ascii="Times New Roman"/>
          <w:b w:val="0"/>
          <w:bCs/>
          <w:color w:val="000000"/>
          <w:sz w:val="32"/>
          <w:szCs w:val="32"/>
        </w:rPr>
        <w:t>按照四川省扶贫开发局、四川省财政厅《关于开展2019年度大中型水利水电工程移民后期扶持基金绩效评价工作的通知》（川扶贫发﹝2020﹞41号）要求，我局安排专人对全区2019年度大中型水库移民后期扶持资金使用情况进行了全面自查，现将资金使用绩效自评情况报告如下。</w:t>
      </w:r>
    </w:p>
    <w:p w14:paraId="43E0B1B2">
      <w:pPr>
        <w:numPr>
          <w:ilvl w:val="0"/>
          <w:numId w:val="1"/>
        </w:numPr>
        <w:adjustRightInd w:val="0"/>
        <w:snapToGrid w:val="0"/>
        <w:spacing w:line="550" w:lineRule="exact"/>
        <w:ind w:firstLine="640" w:firstLineChars="200"/>
        <w:rPr>
          <w:rFonts w:ascii="黑体" w:hAnsi="黑体" w:eastAsia="黑体"/>
          <w:b w:val="0"/>
          <w:color w:val="000000"/>
          <w:sz w:val="32"/>
          <w:szCs w:val="32"/>
        </w:rPr>
      </w:pPr>
      <w:r>
        <w:rPr>
          <w:rFonts w:ascii="黑体" w:hAnsi="黑体" w:eastAsia="黑体"/>
          <w:b w:val="0"/>
          <w:color w:val="000000"/>
          <w:sz w:val="32"/>
          <w:szCs w:val="32"/>
        </w:rPr>
        <w:t>项目安排和资金使用基本情况</w:t>
      </w:r>
    </w:p>
    <w:p w14:paraId="0884DD54">
      <w:pPr>
        <w:adjustRightInd w:val="0"/>
        <w:snapToGrid w:val="0"/>
        <w:spacing w:line="550" w:lineRule="exact"/>
        <w:ind w:left="640"/>
        <w:rPr>
          <w:rFonts w:hint="eastAsia" w:ascii="楷体_GB2312" w:eastAsia="楷体_GB2312"/>
          <w:b w:val="0"/>
          <w:sz w:val="32"/>
          <w:szCs w:val="32"/>
        </w:rPr>
      </w:pPr>
      <w:r>
        <w:rPr>
          <w:rFonts w:hint="eastAsia" w:ascii="楷体_GB2312" w:eastAsia="楷体_GB2312"/>
          <w:b w:val="0"/>
          <w:sz w:val="32"/>
          <w:szCs w:val="32"/>
        </w:rPr>
        <w:t>（一）省级下达专项转移支付预算情况。</w:t>
      </w:r>
    </w:p>
    <w:p w14:paraId="5A35C277">
      <w:pPr>
        <w:adjustRightInd w:val="0"/>
        <w:snapToGrid w:val="0"/>
        <w:spacing w:line="550" w:lineRule="exact"/>
        <w:rPr>
          <w:rFonts w:ascii="Times New Roman"/>
          <w:b w:val="0"/>
          <w:sz w:val="32"/>
          <w:szCs w:val="32"/>
        </w:rPr>
      </w:pPr>
      <w:r>
        <w:rPr>
          <w:rFonts w:ascii="Times New Roman"/>
          <w:b w:val="0"/>
          <w:sz w:val="32"/>
          <w:szCs w:val="32"/>
        </w:rPr>
        <w:t xml:space="preserve">    省财政厅《关于提前下达全省2019年水库移民后期扶持资金预算指标的通知》（川财企〔2018〕103号）下达我区2019年一二季度移民直补资金预算546.54万元，三季度移民直补资金预算270.45万元，四季度移民直补资金预算336.628万元；省财政厅、省扶贫移民局《关于下达大中型水库移民后期扶持资金的通知》（川财企〔2018〕108号）下达我区项目扶持资金1171万元；省财政厅、省扶贫开发局《关于下达2019年度中央大中型水库移民后期扶持资金的通知》（川财农〔2019〕106号）下达我区项目扶持资金351万元。</w:t>
      </w:r>
    </w:p>
    <w:p w14:paraId="73061A6E">
      <w:pPr>
        <w:adjustRightInd w:val="0"/>
        <w:snapToGrid w:val="0"/>
        <w:spacing w:line="550" w:lineRule="exact"/>
        <w:ind w:left="640"/>
        <w:rPr>
          <w:rFonts w:ascii="楷体_GB2312" w:eastAsia="楷体_GB2312"/>
          <w:b w:val="0"/>
          <w:sz w:val="32"/>
          <w:szCs w:val="32"/>
        </w:rPr>
      </w:pPr>
      <w:r>
        <w:rPr>
          <w:rFonts w:ascii="楷体_GB2312" w:eastAsia="楷体_GB2312"/>
          <w:b w:val="0"/>
          <w:sz w:val="32"/>
          <w:szCs w:val="32"/>
        </w:rPr>
        <w:t>（二）市分解下达预算和绩效目标情况。</w:t>
      </w:r>
    </w:p>
    <w:p w14:paraId="030A3957">
      <w:pPr>
        <w:spacing w:line="550" w:lineRule="exact"/>
        <w:ind w:firstLine="640" w:firstLineChars="200"/>
        <w:rPr>
          <w:rFonts w:ascii="Times New Roman"/>
          <w:b w:val="0"/>
          <w:sz w:val="32"/>
          <w:szCs w:val="32"/>
        </w:rPr>
      </w:pPr>
      <w:r>
        <w:rPr>
          <w:rFonts w:ascii="Times New Roman"/>
          <w:b w:val="0"/>
          <w:sz w:val="32"/>
          <w:szCs w:val="32"/>
        </w:rPr>
        <w:t>1、资金分配和使用。一是600元直补资金。2019年4月2日，广元市财政局以广财企〔2019〕16号文件下达我区2019年度移民直补资金546.54万元，主要用于2019年1、2季度移民直发直补和600元项目扶持；2019年 9月29日，广元市财政局以广财企〔2019〕54号文件下达我区2019年度移民直补资金270.45万元，主要用于2019年3季度移民直发直补和600元项目扶持；2019年11月14日，广元市财政局以广财企〔2019〕73号文件下达我区2019年度移民直补资金336.628万元，主要用于2019年四季度移民直发直补和600元项目扶持。2019年直发直补累计发放53748人次（按季度核算）、806.22万元（含按政策补发资金），600元固定指标项目安排266.16万元，合计支出1072.38万元。二是1171万中央资金。2019年3月8日，广元市财政局、广元市扶贫开发局以广财企〔2019〕8号文件下达我区2019年大中型水库移民后期扶持资金1171万元，共安排56个项目，涉及32个移民村，主要用于解决基础设施、产业发展和公共服务等，改善库区移民生产生活条件，建设美丽移民村，助力移民产业发展，促进库区和谐稳定。截止2020年6月底，累计完成投资1171万元，累计支出1171万元。三是351万元中央资金。2019年9月4日，广元市财政局、广元市扶贫开发局以广财企〔2019〕49号文件下达我区2019年大中型水库移民后期扶持资金351万元，共安排12个项目，涉及10个移民村，主要用于移民村集体经济发展、基础设施建设等方面。截止2020年6月底，累计完成投资351万元，累计支出351万元。</w:t>
      </w:r>
    </w:p>
    <w:p w14:paraId="570D4BC5">
      <w:pPr>
        <w:spacing w:line="550" w:lineRule="exact"/>
        <w:ind w:firstLine="645"/>
        <w:rPr>
          <w:rFonts w:ascii="Times New Roman"/>
          <w:b w:val="0"/>
          <w:sz w:val="32"/>
          <w:szCs w:val="32"/>
        </w:rPr>
      </w:pPr>
      <w:r>
        <w:rPr>
          <w:rFonts w:ascii="Times New Roman"/>
          <w:b w:val="0"/>
          <w:sz w:val="32"/>
          <w:szCs w:val="32"/>
        </w:rPr>
        <w:t>2、绩效目标。上级下达资金后，项目资金通过移民村社、乡镇申报，区扶贫开发局、区财政局严格按照《广元市昭化区大中型水库移民后期扶持“十三五”规划》提出资金安排建议方案，报区人民政府常务会审核后报市扶贫开发局审批。项目资金安排以脱贫攻坚工作为主体，以移民贫困村为载体，以移民贫困户为核心。项目实施内容涵盖村组道路、产业道路整治硬化、生产生活用水、移民产业发展、库区产业示范片建设、移民区幸福美丽新村建设以及移民村公共服务配套建设等。</w:t>
      </w:r>
    </w:p>
    <w:p w14:paraId="0548675A">
      <w:pPr>
        <w:adjustRightInd w:val="0"/>
        <w:snapToGrid w:val="0"/>
        <w:spacing w:line="550" w:lineRule="exact"/>
        <w:ind w:firstLine="640" w:firstLineChars="200"/>
        <w:rPr>
          <w:rFonts w:ascii="黑体" w:hAnsi="黑体" w:eastAsia="黑体"/>
          <w:b w:val="0"/>
          <w:color w:val="000000"/>
          <w:sz w:val="32"/>
          <w:szCs w:val="32"/>
        </w:rPr>
      </w:pPr>
      <w:r>
        <w:rPr>
          <w:rFonts w:ascii="黑体" w:hAnsi="黑体" w:eastAsia="黑体"/>
          <w:b w:val="0"/>
          <w:color w:val="000000"/>
          <w:sz w:val="32"/>
          <w:szCs w:val="32"/>
        </w:rPr>
        <w:t>二、绩效自评工作开展情况</w:t>
      </w:r>
    </w:p>
    <w:p w14:paraId="1BFC8C03">
      <w:pPr>
        <w:adjustRightInd w:val="0"/>
        <w:snapToGrid w:val="0"/>
        <w:spacing w:line="550" w:lineRule="exact"/>
        <w:ind w:firstLine="640" w:firstLineChars="200"/>
        <w:rPr>
          <w:rFonts w:ascii="Times New Roman"/>
          <w:b w:val="0"/>
          <w:color w:val="000000"/>
          <w:sz w:val="32"/>
          <w:szCs w:val="32"/>
        </w:rPr>
      </w:pPr>
      <w:r>
        <w:rPr>
          <w:rFonts w:ascii="楷体_GB2312" w:eastAsia="楷体_GB2312"/>
          <w:b w:val="0"/>
          <w:sz w:val="32"/>
          <w:szCs w:val="32"/>
        </w:rPr>
        <w:t>（一）前期准备。</w:t>
      </w:r>
      <w:r>
        <w:rPr>
          <w:rFonts w:ascii="Times New Roman"/>
          <w:b w:val="0"/>
          <w:color w:val="000000"/>
          <w:sz w:val="32"/>
          <w:szCs w:val="32"/>
        </w:rPr>
        <w:t>按四川省扶贫开发局、四川省财政厅《关于开展2019年度大中型水利水电工程移民后期扶持基金绩效评价工作的通知》（川扶贫发﹝2020﹞41号）要求，我局安排局分管副局长牵头、相关股室具体负责，认真收集整理基础资料，填写包括资金下达、资金分解绩效指标等在内的绩效自评基础数据表册，认真准备县（区）级绩效自评材料。</w:t>
      </w:r>
    </w:p>
    <w:p w14:paraId="2A92A187">
      <w:pPr>
        <w:adjustRightInd w:val="0"/>
        <w:snapToGrid w:val="0"/>
        <w:spacing w:line="550" w:lineRule="exact"/>
        <w:ind w:firstLine="640" w:firstLineChars="200"/>
        <w:rPr>
          <w:rFonts w:ascii="Times New Roman"/>
          <w:b w:val="0"/>
          <w:color w:val="000000"/>
          <w:sz w:val="32"/>
          <w:szCs w:val="32"/>
        </w:rPr>
      </w:pPr>
      <w:r>
        <w:rPr>
          <w:rFonts w:ascii="楷体_GB2312" w:eastAsia="楷体_GB2312"/>
          <w:b w:val="0"/>
          <w:sz w:val="32"/>
          <w:szCs w:val="32"/>
        </w:rPr>
        <w:t>（二）组织过程。</w:t>
      </w:r>
      <w:r>
        <w:rPr>
          <w:rFonts w:ascii="Times New Roman"/>
          <w:b w:val="0"/>
          <w:color w:val="000000"/>
          <w:sz w:val="32"/>
          <w:szCs w:val="32"/>
        </w:rPr>
        <w:t>收集相关佐证资料后，根据“指标解释”和“评分标准”，客观真实的对我区2019年度大中型水利水电工程移民后期扶持基金绩效进行了自评，填写好自评表册，在此基础上撰写形成了我区2019年度中央水库移民扶持基金绩效自评情况的报告。</w:t>
      </w:r>
    </w:p>
    <w:p w14:paraId="4413B9C6">
      <w:pPr>
        <w:adjustRightInd w:val="0"/>
        <w:snapToGrid w:val="0"/>
        <w:spacing w:line="550" w:lineRule="exact"/>
        <w:ind w:firstLine="640" w:firstLineChars="200"/>
        <w:rPr>
          <w:rFonts w:ascii="Times New Roman"/>
          <w:b w:val="0"/>
          <w:color w:val="000000"/>
          <w:sz w:val="32"/>
          <w:szCs w:val="32"/>
        </w:rPr>
      </w:pPr>
      <w:r>
        <w:rPr>
          <w:rFonts w:ascii="楷体_GB2312" w:eastAsia="楷体_GB2312"/>
          <w:b w:val="0"/>
          <w:sz w:val="32"/>
          <w:szCs w:val="32"/>
        </w:rPr>
        <w:t>（三）分析评价。</w:t>
      </w:r>
      <w:r>
        <w:rPr>
          <w:rFonts w:ascii="Times New Roman"/>
          <w:b w:val="0"/>
          <w:color w:val="000000"/>
          <w:sz w:val="32"/>
          <w:szCs w:val="32"/>
        </w:rPr>
        <w:t>本次自评佐证材料比较充分，基础数据比较准确，评价结果比较真实客观，自评得分99分。</w:t>
      </w:r>
    </w:p>
    <w:p w14:paraId="55BE1D8B">
      <w:pPr>
        <w:adjustRightInd w:val="0"/>
        <w:snapToGrid w:val="0"/>
        <w:spacing w:line="550" w:lineRule="exact"/>
        <w:ind w:firstLine="640" w:firstLineChars="200"/>
        <w:rPr>
          <w:rFonts w:ascii="黑体" w:hAnsi="黑体" w:eastAsia="黑体"/>
          <w:b w:val="0"/>
          <w:color w:val="000000"/>
          <w:sz w:val="32"/>
          <w:szCs w:val="32"/>
        </w:rPr>
      </w:pPr>
      <w:r>
        <w:rPr>
          <w:rFonts w:ascii="黑体" w:hAnsi="黑体" w:eastAsia="黑体"/>
          <w:b w:val="0"/>
          <w:color w:val="000000"/>
          <w:sz w:val="32"/>
          <w:szCs w:val="32"/>
        </w:rPr>
        <w:t>三、绩效目标实现程度及效果</w:t>
      </w:r>
    </w:p>
    <w:p w14:paraId="3DE44558">
      <w:pPr>
        <w:adjustRightInd w:val="0"/>
        <w:snapToGrid w:val="0"/>
        <w:spacing w:line="550" w:lineRule="exact"/>
        <w:ind w:left="640"/>
        <w:rPr>
          <w:rFonts w:ascii="楷体_GB2312" w:eastAsia="楷体_GB2312"/>
          <w:b w:val="0"/>
          <w:sz w:val="32"/>
          <w:szCs w:val="32"/>
        </w:rPr>
      </w:pPr>
      <w:r>
        <w:rPr>
          <w:rFonts w:ascii="楷体_GB2312" w:eastAsia="楷体_GB2312"/>
          <w:b w:val="0"/>
          <w:sz w:val="32"/>
          <w:szCs w:val="32"/>
        </w:rPr>
        <w:t>（一）资金情况分析。</w:t>
      </w:r>
    </w:p>
    <w:p w14:paraId="0FB8D264">
      <w:pPr>
        <w:spacing w:line="550" w:lineRule="exact"/>
        <w:ind w:firstLine="640" w:firstLineChars="200"/>
        <w:rPr>
          <w:rFonts w:ascii="Times New Roman"/>
          <w:b w:val="0"/>
          <w:sz w:val="32"/>
          <w:szCs w:val="32"/>
        </w:rPr>
      </w:pPr>
      <w:r>
        <w:rPr>
          <w:rFonts w:ascii="Times New Roman"/>
          <w:b w:val="0"/>
          <w:sz w:val="32"/>
          <w:szCs w:val="32"/>
        </w:rPr>
        <w:t>1、资金到位情况分析。2019年4月2日，广元市财政局以广财企〔2019〕16号文件下达我区2019年度移民直补资金546.54万元，主要用于2019年1、2季度移民直发直补和600元项目扶持，其中122.4万元用于7个移民村固定指标项目，涉及8个项目；2019年 9月29日，广元市财政局以广财企〔2019〕54号文件下达我区2019年度移民直补资金270.45万元，主要用于2019年3季度移民直发直补和600元项目扶持，2019年11月14日，广元市财政局以广财企〔2019〕73号文件下达我区2019年度移民直补资金336.628万元，主要用于2019年四季度移民直发直补和600元项目扶持。2019年直发直补累计发放53748人次（按季度核算）、806.22万元（含按政策补发资金），600元固定指标项目安排266.16万元，合计支出1072.38万元。二是1171万中央资金。2019年3月8日，广元市财政局以广财企〔2019〕8号下达我区2019年大中型水库移民后期扶持资金1171万元，共安排56个项目，涉及32个移民村，主要用于解决基础设施、产业发展和公共服务等，改善库区移民生产生活条件，建设美丽移民村，助力移民产业发展，促进库区和谐稳定。截止2020年6月底，累计完成投资1171万元，累计支出1171万元。三是351万元中央资金。2019年9月4日，广元市财政局以广财企〔2019〕49号下达我区2019年大中型水库移民后期扶持资金351万元，共安排12个项目，涉及10个移民村，主要用于移民村集体经济发展、基础设施建设等方面。</w:t>
      </w:r>
    </w:p>
    <w:p w14:paraId="6B94D09A">
      <w:pPr>
        <w:spacing w:line="550" w:lineRule="exact"/>
        <w:ind w:firstLine="640" w:firstLineChars="200"/>
        <w:rPr>
          <w:rFonts w:ascii="Times New Roman"/>
          <w:b w:val="0"/>
          <w:sz w:val="32"/>
          <w:szCs w:val="32"/>
        </w:rPr>
      </w:pPr>
      <w:r>
        <w:rPr>
          <w:rFonts w:ascii="Times New Roman"/>
          <w:b w:val="0"/>
          <w:sz w:val="32"/>
          <w:szCs w:val="32"/>
        </w:rPr>
        <w:t>2、资金执行情况分析。一是我区移民后扶项目资金安排采取自下而上、逐级申报、逐级审核原则。项目申报时，要求各项目乡镇必须坚持民生问题优先解决，紧紧围绕脱贫攻坚，结合乡村振兴的原则，坚持集中连片、规模化发展一村一品产业为主，基础设施建设为辅，构建和谐稳定富裕的移民库区。各乡镇将项目需求报送区扶贫开发局，区扶贫开发局汇总编制了《广元市昭化区2019年大中型水库移民后期扶持项目资金使用计划方案》，并报区人民政府常务会审核通过和报市扶贫开发局审批后，再由区扶贫开发局和区财政局联合发文下达资金计划，乡镇指导各村组织实施项目。二是区财政局根据区扶贫开发局申报的每季度人口情况，将直发直补资金指标下达到区扶贫开发局，由区扶贫移民局打卡直发到移民个人账号，资金拨付安全快捷。</w:t>
      </w:r>
    </w:p>
    <w:p w14:paraId="2BC61FEF">
      <w:pPr>
        <w:topLinePunct/>
        <w:adjustRightInd w:val="0"/>
        <w:snapToGrid w:val="0"/>
        <w:spacing w:line="550" w:lineRule="exact"/>
        <w:ind w:firstLine="540"/>
        <w:rPr>
          <w:rFonts w:ascii="Times New Roman"/>
          <w:b w:val="0"/>
          <w:sz w:val="32"/>
          <w:szCs w:val="32"/>
        </w:rPr>
      </w:pPr>
      <w:r>
        <w:rPr>
          <w:rFonts w:ascii="Times New Roman"/>
          <w:b w:val="0"/>
          <w:sz w:val="32"/>
          <w:szCs w:val="32"/>
        </w:rPr>
        <w:t>3、资金管理情况分析。</w:t>
      </w:r>
    </w:p>
    <w:p w14:paraId="00F9E86F">
      <w:pPr>
        <w:spacing w:line="550" w:lineRule="exact"/>
        <w:ind w:firstLine="640" w:firstLineChars="200"/>
        <w:rPr>
          <w:rFonts w:ascii="Times New Roman"/>
          <w:b w:val="0"/>
          <w:sz w:val="32"/>
          <w:szCs w:val="32"/>
        </w:rPr>
      </w:pPr>
      <w:r>
        <w:rPr>
          <w:rFonts w:ascii="Times New Roman"/>
          <w:b w:val="0"/>
          <w:sz w:val="32"/>
          <w:szCs w:val="32"/>
        </w:rPr>
        <w:t>①组织实施。一是项目实施按照“谁主体谁负责”的原则。指标项目和村民自建项目，项目村所在村委会是责任主体，项目理事会是实施主体，其他项目由项目所在地乡、镇人民政府作为责任主体和实施主体，负责组织、协调、指导、监督，区扶贫开发局抽查、巡检工程质量和进度。二是按基本建设管理程序严格实施项目，遵循“公开、公平、公正、诚信”的原则。三是严格实行项目监理制。招标、比选项目由监理单位对项目实施过程中的投资控制、进度控制和质量控制进行严格管理，并承担相应责任；其他项目由相关移民村理财小组、质量监督小组或廉勤委履行监理职能。四是村民自建项目采用“一事一议”的方式决定有关事项，遵循“量力而行、群众受益、民主决策、上限控制、使用公开”的原则，其项目理事会、理财小组、质量监督小组一般由3至5人组成，经选举产生。五是区扶贫开发局根据档案管理规定一个项目建好一个档案，并将项目扶持计划和实施情况及时纳入全省大中型水利水电工程移民后期扶持管理信息系统。</w:t>
      </w:r>
    </w:p>
    <w:p w14:paraId="06E9E371">
      <w:pPr>
        <w:spacing w:line="550" w:lineRule="exact"/>
        <w:ind w:firstLine="640" w:firstLineChars="200"/>
        <w:rPr>
          <w:rFonts w:ascii="Times New Roman"/>
          <w:b w:val="0"/>
          <w:sz w:val="32"/>
          <w:szCs w:val="32"/>
        </w:rPr>
      </w:pPr>
      <w:r>
        <w:rPr>
          <w:rFonts w:ascii="Times New Roman"/>
          <w:b w:val="0"/>
          <w:sz w:val="32"/>
          <w:szCs w:val="32"/>
        </w:rPr>
        <w:t>②资金安全管理。一是自建项目实行区级报账制。二是招投标项目按照工程进度拨付资金。三是以移民人口动态管理台账为依据，遵循“不错、不漏、及时”的原则，以“一卡统”金财网系统的方式由乡镇先导入系统，区级行业部门（区扶贫开发局、区财政局）审核通过后将直补资金打卡及时兑现直发直补资金，做到按季度发放，确保资金及时准确补助到位。</w:t>
      </w:r>
    </w:p>
    <w:p w14:paraId="2BB98022">
      <w:pPr>
        <w:adjustRightInd w:val="0"/>
        <w:snapToGrid w:val="0"/>
        <w:spacing w:line="550" w:lineRule="exact"/>
        <w:ind w:firstLine="640" w:firstLineChars="200"/>
        <w:rPr>
          <w:rFonts w:ascii="Times New Roman"/>
          <w:b w:val="0"/>
          <w:sz w:val="32"/>
          <w:szCs w:val="32"/>
        </w:rPr>
      </w:pPr>
      <w:r>
        <w:rPr>
          <w:rFonts w:ascii="Times New Roman"/>
          <w:b w:val="0"/>
          <w:sz w:val="32"/>
          <w:szCs w:val="32"/>
        </w:rPr>
        <w:t>③监督检查。积极接受省、市对我区移民后扶工作的检查督查，配合财政、审计等部门，开展后扶资金专项检查，及时发现和处理苗头性问题。加强区扶贫开发与区财政、交通、住建等相关行业部门的协调合作，对年度实施项目的工程进度、工程质量等进行经常性督促检查，对存在的问题跟踪督促整改，同时责成乡镇督促村廉勤委认真履行职责，确保项目质量合格和资金使用效益的最大化。</w:t>
      </w:r>
    </w:p>
    <w:p w14:paraId="7277E645">
      <w:pPr>
        <w:adjustRightInd w:val="0"/>
        <w:snapToGrid w:val="0"/>
        <w:spacing w:line="550" w:lineRule="exact"/>
        <w:ind w:firstLine="640" w:firstLineChars="200"/>
        <w:rPr>
          <w:rFonts w:ascii="Times New Roman"/>
          <w:b w:val="0"/>
          <w:sz w:val="32"/>
          <w:szCs w:val="32"/>
        </w:rPr>
      </w:pPr>
      <w:r>
        <w:rPr>
          <w:rFonts w:ascii="Times New Roman"/>
          <w:b w:val="0"/>
          <w:sz w:val="32"/>
          <w:szCs w:val="32"/>
        </w:rPr>
        <w:t>④信息统计。按规定开展移民后扶实施统计工作，按时填报快报和年报，按要求及时报送各种材料，及时更新移民后扶信息系统数据。</w:t>
      </w:r>
    </w:p>
    <w:p w14:paraId="1CF0E968">
      <w:pPr>
        <w:adjustRightInd w:val="0"/>
        <w:snapToGrid w:val="0"/>
        <w:spacing w:line="550" w:lineRule="exact"/>
        <w:ind w:firstLine="640" w:firstLineChars="200"/>
        <w:rPr>
          <w:rFonts w:ascii="Times New Roman"/>
          <w:b w:val="0"/>
          <w:sz w:val="32"/>
          <w:szCs w:val="32"/>
        </w:rPr>
      </w:pPr>
      <w:r>
        <w:rPr>
          <w:rFonts w:ascii="Times New Roman"/>
          <w:b w:val="0"/>
          <w:sz w:val="32"/>
          <w:szCs w:val="32"/>
        </w:rPr>
        <w:t>⑤绩效管理。为了实现项目绩效预期的产出目标和效果，我局和区财政局采取定期和不定期现场检查，对项目的进度、质量等实施情况进行监控，对存在的问题及时指出并督促整改，力求绩效指标填报完整、准确，预设目标如期实现。</w:t>
      </w:r>
    </w:p>
    <w:p w14:paraId="430E018B">
      <w:pPr>
        <w:topLinePunct/>
        <w:adjustRightInd w:val="0"/>
        <w:snapToGrid w:val="0"/>
        <w:spacing w:line="550" w:lineRule="exact"/>
        <w:rPr>
          <w:rFonts w:ascii="Times New Roman"/>
          <w:b w:val="0"/>
          <w:sz w:val="32"/>
          <w:szCs w:val="32"/>
        </w:rPr>
      </w:pPr>
      <w:r>
        <w:rPr>
          <w:rFonts w:ascii="Times New Roman"/>
          <w:b w:val="0"/>
          <w:sz w:val="32"/>
          <w:szCs w:val="32"/>
        </w:rPr>
        <w:t xml:space="preserve">    ⑥严格资金管理，分级把关负责。项目资金严格实行“区级主管、乡镇主体、村两委主责”的管理原则，做到管理责任明确，分级监督落实。资金拨付严格按照村申报、乡镇审核、区级主管部门审查原则，做到逐级申报，分级把关，层层负责。工程完工后，经项目乡镇、村验收质量合格签字，进行项目竣工情况公示，公示无异议后，项目乡镇按程序申报，同时提交项目建设相关资料，区扶贫开发局会同区财政局等部门对乡镇竣工验收情况进行复查核实，项目建设质量合格，完善项目报账手续，拨付项目资金。</w:t>
      </w:r>
    </w:p>
    <w:p w14:paraId="6A34C059">
      <w:pPr>
        <w:adjustRightInd w:val="0"/>
        <w:snapToGrid w:val="0"/>
        <w:spacing w:line="550" w:lineRule="exact"/>
        <w:ind w:left="640"/>
        <w:rPr>
          <w:rFonts w:ascii="楷体_GB2312" w:eastAsia="楷体_GB2312"/>
          <w:b w:val="0"/>
          <w:sz w:val="32"/>
          <w:szCs w:val="32"/>
        </w:rPr>
      </w:pPr>
      <w:r>
        <w:rPr>
          <w:rFonts w:ascii="楷体_GB2312" w:eastAsia="楷体_GB2312"/>
          <w:b w:val="0"/>
          <w:sz w:val="32"/>
          <w:szCs w:val="32"/>
        </w:rPr>
        <w:t>（二）绩效指标完成情况分析。</w:t>
      </w:r>
    </w:p>
    <w:p w14:paraId="273FB0A6">
      <w:pPr>
        <w:spacing w:line="550" w:lineRule="exact"/>
        <w:ind w:firstLine="640" w:firstLineChars="200"/>
        <w:rPr>
          <w:rFonts w:ascii="Times New Roman"/>
          <w:b w:val="0"/>
          <w:sz w:val="32"/>
          <w:szCs w:val="32"/>
        </w:rPr>
      </w:pPr>
      <w:r>
        <w:rPr>
          <w:rFonts w:ascii="Times New Roman"/>
          <w:b w:val="0"/>
          <w:sz w:val="32"/>
          <w:szCs w:val="32"/>
        </w:rPr>
        <w:t>1、产出指标完成情况分析。一是完成数量。2019年全年移民直发直补涉及53748人次，实施项目共81个，涉及12个镇49个村（集镇），规范种植猕猴桃、蔬菜及脆桃等4000亩，修建村组道路28.5公里，整治山坪塘3口，建设幸福美丽移民新村3个。二是完成质量。计划项目81个，完工项目81个，完工率100%；验收81个，验收合格率100%。三是共拨付资金2594.38万元，资金拨付率100%，其中移民直补资金发放806.22万元，幸福美丽新村263.36万元，生产开发及配套设施1524.8万元。四是成本节约情况。项目资金严格按照下达的资金计划进行控制，采取资金报账制，报账资金未超过预算指标；移民直补资金按政策规定标准发放，实际发放人数13725人（53748人次），项目扶持4436人。整个项目资金支出全部控制在预算范围内，未超出预算。</w:t>
      </w:r>
    </w:p>
    <w:p w14:paraId="1291D44E">
      <w:pPr>
        <w:topLinePunct/>
        <w:adjustRightInd w:val="0"/>
        <w:snapToGrid w:val="0"/>
        <w:spacing w:line="550" w:lineRule="exact"/>
        <w:ind w:firstLine="540"/>
        <w:rPr>
          <w:rFonts w:ascii="Times New Roman"/>
          <w:b w:val="0"/>
          <w:sz w:val="32"/>
          <w:szCs w:val="32"/>
        </w:rPr>
      </w:pPr>
      <w:r>
        <w:rPr>
          <w:rFonts w:ascii="Times New Roman"/>
          <w:b w:val="0"/>
          <w:sz w:val="32"/>
          <w:szCs w:val="32"/>
        </w:rPr>
        <w:t>2、效益指标完成情况分析。一是经济效益分析。通过项目实施和资金投入，畅通了移民出行道路，种养产业销售渠道畅通，移民库区产品变商品转换率明显提升，移民收入稳步增长，2019年移民人均可支配收入达到9159元，较2018年人均增长300元。二是社会效益分析。我区是移民大区，全区高度重视移民工作，各级干部牢固树立“移民为先为重”、“移民利益无小事”的理念，坚持移民后扶和精准脱贫统筹同步推进，大力实施库区和谐稳定和振兴发展战略，积极推动库区基础设施不断完善、社会事业全面进步、公共服务不断提升、群众收入持续增长、库区总体稳定和谐。对标“四好村”脱贫要求，坚持缺啥补啥、那弱补那，通过新建、扩建、改造等方式，按照“村五有”硬件设施达标指标，卡表推进，按期交账。至2020年6月底，巩固已脱贫的移民人口1104人致富增收，全区移民贫困人口1191人全部达到脱贫要求，其中985人在2017年底的基础上，达到我区农村居民平均收入水平。三是生态效益分析。通过项目实施，整治了移民安置点环境卫生，完善了基础设施，彻底改变了移民聚居点脏乱差现象，引导移民群众养成良好生产生活习惯，为建设人和村美的幸福美丽新村贡献力量。</w:t>
      </w:r>
    </w:p>
    <w:p w14:paraId="57DED43E">
      <w:pPr>
        <w:spacing w:line="550" w:lineRule="exact"/>
        <w:ind w:firstLine="645"/>
        <w:rPr>
          <w:rFonts w:ascii="Times New Roman"/>
          <w:b w:val="0"/>
          <w:sz w:val="32"/>
          <w:szCs w:val="32"/>
        </w:rPr>
      </w:pPr>
      <w:r>
        <w:rPr>
          <w:rFonts w:ascii="Times New Roman"/>
          <w:b w:val="0"/>
          <w:sz w:val="32"/>
          <w:szCs w:val="32"/>
        </w:rPr>
        <w:t>3、满意度指标完成情况分析。平时我区注重多与移民群众沟通，宣传相关移民产业发展政策，解决移民群众实际困难问题，当前移民群众情绪稳定。通过对项目实施村的移民满意度调查情况反馈，部分移民认为每1个月50元生活补贴太低，但通过解释政策也能逐步理解。通过基础设施、产业项目的实施，移民群众生产生活条件不断得到改善，增收致富能力不断提升，收入大幅增加，社会更加和谐稳定，库区群众以项目实施促发展、以发展促稳定的意识不断增强，群众满意度达100%。</w:t>
      </w:r>
    </w:p>
    <w:p w14:paraId="675012D5">
      <w:pPr>
        <w:adjustRightInd w:val="0"/>
        <w:snapToGrid w:val="0"/>
        <w:spacing w:line="550" w:lineRule="exact"/>
        <w:ind w:firstLine="640" w:firstLineChars="200"/>
        <w:rPr>
          <w:rFonts w:ascii="黑体" w:hAnsi="黑体" w:eastAsia="黑体"/>
          <w:b w:val="0"/>
          <w:color w:val="000000"/>
          <w:sz w:val="32"/>
          <w:szCs w:val="32"/>
        </w:rPr>
      </w:pPr>
      <w:r>
        <w:rPr>
          <w:rFonts w:ascii="黑体" w:hAnsi="黑体" w:eastAsia="黑体"/>
          <w:b w:val="0"/>
          <w:color w:val="000000"/>
          <w:sz w:val="32"/>
          <w:szCs w:val="32"/>
        </w:rPr>
        <w:t>四、存在问题及原因分析</w:t>
      </w:r>
    </w:p>
    <w:p w14:paraId="1BE3541E">
      <w:pPr>
        <w:adjustRightInd w:val="0"/>
        <w:snapToGrid w:val="0"/>
        <w:spacing w:line="550" w:lineRule="exact"/>
        <w:ind w:left="640"/>
        <w:rPr>
          <w:rFonts w:ascii="楷体_GB2312" w:eastAsia="楷体_GB2312"/>
          <w:b w:val="0"/>
          <w:sz w:val="32"/>
          <w:szCs w:val="32"/>
        </w:rPr>
      </w:pPr>
      <w:r>
        <w:rPr>
          <w:rFonts w:ascii="楷体_GB2312" w:eastAsia="楷体_GB2312"/>
          <w:b w:val="0"/>
          <w:sz w:val="32"/>
          <w:szCs w:val="32"/>
        </w:rPr>
        <w:t>（一）绩效目标未完成原因分析。</w:t>
      </w:r>
    </w:p>
    <w:p w14:paraId="4DD3FE64">
      <w:pPr>
        <w:spacing w:line="550" w:lineRule="exact"/>
        <w:ind w:firstLine="645"/>
        <w:rPr>
          <w:rFonts w:ascii="Times New Roman"/>
          <w:b w:val="0"/>
          <w:sz w:val="32"/>
          <w:szCs w:val="32"/>
        </w:rPr>
      </w:pPr>
      <w:r>
        <w:rPr>
          <w:rFonts w:ascii="Times New Roman"/>
          <w:b w:val="0"/>
          <w:sz w:val="32"/>
          <w:szCs w:val="32"/>
        </w:rPr>
        <w:t>直发直补资金未全部发放到位。主要原因一是少数移民长期失联，无法发放；二是少数移民账号注销、变更，未及时提供新的账号，无法发放。</w:t>
      </w:r>
    </w:p>
    <w:p w14:paraId="57846E30">
      <w:pPr>
        <w:adjustRightInd w:val="0"/>
        <w:snapToGrid w:val="0"/>
        <w:spacing w:line="550" w:lineRule="exact"/>
        <w:ind w:left="640"/>
        <w:rPr>
          <w:rFonts w:ascii="楷体_GB2312" w:eastAsia="楷体_GB2312"/>
          <w:b w:val="0"/>
          <w:sz w:val="32"/>
          <w:szCs w:val="32"/>
        </w:rPr>
      </w:pPr>
      <w:r>
        <w:rPr>
          <w:rFonts w:ascii="楷体_GB2312" w:eastAsia="楷体_GB2312"/>
          <w:b w:val="0"/>
          <w:sz w:val="32"/>
          <w:szCs w:val="32"/>
        </w:rPr>
        <w:t>（二）下一步改进措施。</w:t>
      </w:r>
    </w:p>
    <w:p w14:paraId="49AB8307">
      <w:pPr>
        <w:spacing w:line="550" w:lineRule="exact"/>
        <w:ind w:firstLine="645"/>
        <w:rPr>
          <w:rFonts w:ascii="Times New Roman"/>
          <w:b w:val="0"/>
          <w:sz w:val="32"/>
          <w:szCs w:val="32"/>
        </w:rPr>
      </w:pPr>
      <w:r>
        <w:rPr>
          <w:rFonts w:ascii="Times New Roman"/>
          <w:b w:val="0"/>
          <w:sz w:val="32"/>
          <w:szCs w:val="32"/>
        </w:rPr>
        <w:t>一是督促各镇千方百计联系失联移民，尽快发放直发直补资金；二是尽快收集变更、注销账号移民的新账号，及时发放直发直补资金。</w:t>
      </w:r>
    </w:p>
    <w:p w14:paraId="2C77FA21">
      <w:pPr>
        <w:adjustRightInd w:val="0"/>
        <w:snapToGrid w:val="0"/>
        <w:spacing w:line="550" w:lineRule="exact"/>
        <w:ind w:firstLine="640" w:firstLineChars="200"/>
        <w:rPr>
          <w:rFonts w:ascii="Times New Roman"/>
          <w:b w:val="0"/>
          <w:color w:val="000000"/>
          <w:sz w:val="32"/>
          <w:szCs w:val="32"/>
        </w:rPr>
      </w:pPr>
      <w:r>
        <w:rPr>
          <w:rFonts w:ascii="黑体" w:hAnsi="黑体" w:eastAsia="黑体"/>
          <w:b w:val="0"/>
          <w:color w:val="000000"/>
          <w:sz w:val="32"/>
          <w:szCs w:val="32"/>
        </w:rPr>
        <w:t>五、综合评价结论：</w:t>
      </w:r>
      <w:r>
        <w:rPr>
          <w:rFonts w:ascii="Times New Roman"/>
          <w:b w:val="0"/>
          <w:color w:val="000000"/>
          <w:sz w:val="32"/>
          <w:szCs w:val="32"/>
        </w:rPr>
        <w:t>优秀</w:t>
      </w:r>
    </w:p>
    <w:p w14:paraId="7A06E03A">
      <w:pPr>
        <w:adjustRightInd w:val="0"/>
        <w:snapToGrid w:val="0"/>
        <w:spacing w:line="550" w:lineRule="exact"/>
        <w:ind w:firstLine="640" w:firstLineChars="200"/>
        <w:rPr>
          <w:rFonts w:ascii="黑体" w:hAnsi="黑体" w:eastAsia="黑体"/>
          <w:b w:val="0"/>
          <w:color w:val="000000"/>
          <w:sz w:val="32"/>
          <w:szCs w:val="32"/>
        </w:rPr>
      </w:pPr>
      <w:r>
        <w:rPr>
          <w:rFonts w:ascii="黑体" w:hAnsi="黑体" w:eastAsia="黑体"/>
          <w:b w:val="0"/>
          <w:color w:val="000000"/>
          <w:sz w:val="32"/>
          <w:szCs w:val="32"/>
        </w:rPr>
        <w:t>六、相关建议和意见</w:t>
      </w:r>
    </w:p>
    <w:p w14:paraId="1DF89F48">
      <w:pPr>
        <w:adjustRightInd w:val="0"/>
        <w:snapToGrid w:val="0"/>
        <w:spacing w:line="550" w:lineRule="exact"/>
        <w:ind w:firstLine="640" w:firstLineChars="200"/>
        <w:rPr>
          <w:rFonts w:ascii="Times New Roman"/>
          <w:b w:val="0"/>
          <w:color w:val="000000"/>
          <w:sz w:val="32"/>
          <w:szCs w:val="32"/>
        </w:rPr>
      </w:pPr>
      <w:r>
        <w:rPr>
          <w:rFonts w:ascii="楷体_GB2312" w:eastAsia="楷体_GB2312"/>
          <w:b w:val="0"/>
          <w:sz w:val="32"/>
          <w:szCs w:val="32"/>
        </w:rPr>
        <w:t>（一）建议建立健全居住在集镇（城市）失地农村户籍困难移民的扶持机制。</w:t>
      </w:r>
      <w:r>
        <w:rPr>
          <w:rFonts w:ascii="Times New Roman"/>
          <w:b w:val="0"/>
          <w:bCs/>
          <w:color w:val="000000"/>
          <w:sz w:val="32"/>
          <w:szCs w:val="32"/>
        </w:rPr>
        <w:t>在移民后期扶持产业发展过程中，对于居住在农村的移民群众，在涉及与土地相关的种养业方面进行了较大扶持，但对于居住在集镇或城市的失地农村户籍移民，在创业就业等方面缺少移民后扶措施支持。建议由省、市政府出台居住在城镇（城市）的失地农村户籍困难移民扶持政策，分类落实</w:t>
      </w:r>
      <w:r>
        <w:rPr>
          <w:rFonts w:ascii="Times New Roman"/>
          <w:b w:val="0"/>
          <w:color w:val="000000"/>
          <w:sz w:val="32"/>
          <w:szCs w:val="32"/>
        </w:rPr>
        <w:t>帮扶措施。一是加强技能技术培训，帮助有劳动能力的移民群众就业；二是加强对移民群众从事二三产业的帮扶力度，对有能力、有意愿进行创业的困难移民群众进行适当扶持；三是建立移民困难救助基金，对无劳动能力或重病、受灾的困难移民进行适当救助。</w:t>
      </w:r>
    </w:p>
    <w:p w14:paraId="3D4BC1D8">
      <w:pPr>
        <w:spacing w:line="550" w:lineRule="exact"/>
        <w:ind w:firstLine="640" w:firstLineChars="200"/>
        <w:rPr>
          <w:rFonts w:ascii="Times New Roman"/>
          <w:b w:val="0"/>
          <w:color w:val="000000"/>
          <w:sz w:val="32"/>
          <w:szCs w:val="32"/>
        </w:rPr>
      </w:pPr>
      <w:r>
        <w:rPr>
          <w:rFonts w:ascii="楷体_GB2312" w:eastAsia="楷体_GB2312"/>
          <w:b w:val="0"/>
          <w:sz w:val="32"/>
          <w:szCs w:val="32"/>
        </w:rPr>
        <w:t>（二）建议健全库区产业发展后续扶持机制。</w:t>
      </w:r>
      <w:r>
        <w:rPr>
          <w:rFonts w:ascii="Times New Roman"/>
          <w:b w:val="0"/>
          <w:color w:val="000000"/>
          <w:sz w:val="32"/>
          <w:szCs w:val="32"/>
        </w:rPr>
        <w:t>在库区移民群众发展种（养）业过程中，各行业在产业发展前期投入资金较多、扶持力度较大，但在后期加工、销售环节缺乏有效激励机制和措施，影响产业长期发挥效益。建议由省、市政府出台移民库区产业发展后续加工、销售补助办法。一是明确移民库区产业发展后续加工、销售补助范围和对象；二是明确移民库区产业发展后续加工、销售补助标准和资金来源。</w:t>
      </w:r>
    </w:p>
    <w:p w14:paraId="5C4FCAA5">
      <w:pPr>
        <w:spacing w:line="550" w:lineRule="exact"/>
        <w:ind w:firstLine="640" w:firstLineChars="200"/>
        <w:rPr>
          <w:rFonts w:ascii="Times New Roman"/>
          <w:b w:val="0"/>
          <w:color w:val="000000"/>
          <w:kern w:val="0"/>
          <w:sz w:val="32"/>
          <w:szCs w:val="32"/>
        </w:rPr>
      </w:pPr>
      <w:r>
        <w:rPr>
          <w:rFonts w:ascii="Times New Roman"/>
          <w:b w:val="0"/>
          <w:color w:val="000000"/>
          <w:kern w:val="0"/>
          <w:sz w:val="32"/>
          <w:szCs w:val="32"/>
        </w:rPr>
        <w:t xml:space="preserve"> </w:t>
      </w:r>
    </w:p>
    <w:p w14:paraId="5CE17032">
      <w:pPr>
        <w:adjustRightInd w:val="0"/>
        <w:snapToGrid w:val="0"/>
        <w:spacing w:line="550" w:lineRule="exact"/>
        <w:rPr>
          <w:rFonts w:ascii="Times New Roman"/>
          <w:b w:val="0"/>
          <w:color w:val="000000"/>
          <w:sz w:val="32"/>
          <w:szCs w:val="32"/>
        </w:rPr>
      </w:pPr>
      <w:r>
        <w:rPr>
          <w:rFonts w:ascii="Times New Roman"/>
          <w:b w:val="0"/>
          <w:color w:val="000000"/>
          <w:sz w:val="32"/>
          <w:szCs w:val="32"/>
        </w:rPr>
        <w:t xml:space="preserve">              </w:t>
      </w:r>
    </w:p>
    <w:p w14:paraId="6378BD5C">
      <w:pPr>
        <w:adjustRightInd w:val="0"/>
        <w:snapToGrid w:val="0"/>
        <w:spacing w:line="550" w:lineRule="exact"/>
        <w:rPr>
          <w:rFonts w:ascii="Times New Roman"/>
          <w:b w:val="0"/>
          <w:color w:val="000000"/>
          <w:sz w:val="32"/>
          <w:szCs w:val="32"/>
        </w:rPr>
      </w:pPr>
    </w:p>
    <w:p w14:paraId="5F8EFEFD">
      <w:pPr>
        <w:spacing w:line="600" w:lineRule="exact"/>
        <w:jc w:val="center"/>
        <w:outlineLvl w:val="0"/>
        <w:rPr>
          <w:rStyle w:val="27"/>
          <w:rFonts w:ascii="方正小标宋简体" w:hAnsi="方正小标宋简体" w:eastAsia="方正小标宋简体" w:cs="方正小标宋简体"/>
          <w:b w:val="0"/>
          <w:bCs w:val="0"/>
        </w:rPr>
      </w:pPr>
      <w:r>
        <w:rPr>
          <w:rFonts w:hint="eastAsia" w:ascii="方正小标宋简体" w:hAnsi="方正小标宋简体" w:eastAsia="方正小标宋简体" w:cs="方正小标宋简体"/>
          <w:color w:val="000000"/>
          <w:sz w:val="44"/>
          <w:szCs w:val="44"/>
        </w:rPr>
        <w:t>第</w:t>
      </w:r>
      <w:r>
        <w:rPr>
          <w:rStyle w:val="27"/>
          <w:rFonts w:hint="eastAsia" w:ascii="方正小标宋简体" w:hAnsi="方正小标宋简体" w:eastAsia="方正小标宋简体" w:cs="方正小标宋简体"/>
          <w:b w:val="0"/>
          <w:bCs w:val="0"/>
        </w:rPr>
        <w:t>五部分 附表</w:t>
      </w:r>
      <w:bookmarkEnd w:id="57"/>
      <w:bookmarkEnd w:id="62"/>
    </w:p>
    <w:p w14:paraId="723A1D35">
      <w:pPr>
        <w:pStyle w:val="4"/>
        <w:spacing w:before="0" w:after="0" w:line="576" w:lineRule="exact"/>
        <w:ind w:firstLine="420" w:firstLineChars="200"/>
        <w:rPr>
          <w:rFonts w:ascii="仿宋_GB2312" w:hAnsi="仿宋_GB2312" w:eastAsia="仿宋_GB2312" w:cs="仿宋_GB2312"/>
          <w:b w:val="0"/>
          <w:color w:val="000000"/>
          <w:sz w:val="21"/>
          <w:szCs w:val="21"/>
        </w:rPr>
      </w:pPr>
      <w:bookmarkStart w:id="63" w:name="_Toc15396619"/>
    </w:p>
    <w:p w14:paraId="732B9A48">
      <w:pPr>
        <w:pStyle w:val="4"/>
        <w:spacing w:before="0" w:after="0" w:line="576" w:lineRule="exact"/>
        <w:ind w:firstLine="640" w:firstLineChars="200"/>
        <w:rPr>
          <w:rFonts w:ascii="仿宋_GB2312" w:hAnsi="仿宋_GB2312" w:eastAsia="仿宋_GB2312" w:cs="仿宋_GB2312"/>
          <w:color w:val="000000"/>
        </w:rPr>
      </w:pPr>
      <w:r>
        <w:rPr>
          <w:rFonts w:hint="eastAsia" w:ascii="仿宋_GB2312" w:hAnsi="仿宋_GB2312" w:eastAsia="仿宋_GB2312" w:cs="仿宋_GB2312"/>
          <w:b w:val="0"/>
          <w:color w:val="000000"/>
        </w:rPr>
        <w:t>一、收</w:t>
      </w:r>
      <w:r>
        <w:rPr>
          <w:rStyle w:val="28"/>
          <w:rFonts w:hint="eastAsia" w:ascii="仿宋_GB2312" w:hAnsi="仿宋_GB2312" w:eastAsia="仿宋_GB2312" w:cs="仿宋_GB2312"/>
          <w:b w:val="0"/>
          <w:bCs w:val="0"/>
        </w:rPr>
        <w:t>入支出决算总表</w:t>
      </w:r>
      <w:bookmarkEnd w:id="63"/>
    </w:p>
    <w:p w14:paraId="4CF1E37B">
      <w:pPr>
        <w:pStyle w:val="4"/>
        <w:spacing w:before="0" w:after="0" w:line="576" w:lineRule="exact"/>
        <w:ind w:firstLine="640" w:firstLineChars="200"/>
        <w:rPr>
          <w:rFonts w:ascii="仿宋_GB2312" w:hAnsi="仿宋_GB2312" w:eastAsia="仿宋_GB2312" w:cs="仿宋_GB2312"/>
          <w:color w:val="000000"/>
        </w:rPr>
      </w:pPr>
      <w:bookmarkStart w:id="64" w:name="_Toc15396620"/>
      <w:r>
        <w:rPr>
          <w:rFonts w:hint="eastAsia" w:ascii="仿宋_GB2312" w:hAnsi="仿宋_GB2312" w:eastAsia="仿宋_GB2312" w:cs="仿宋_GB2312"/>
          <w:b w:val="0"/>
          <w:color w:val="000000"/>
        </w:rPr>
        <w:t>二、收</w:t>
      </w:r>
      <w:r>
        <w:rPr>
          <w:rStyle w:val="28"/>
          <w:rFonts w:hint="eastAsia" w:ascii="仿宋_GB2312" w:hAnsi="仿宋_GB2312" w:eastAsia="仿宋_GB2312" w:cs="仿宋_GB2312"/>
          <w:b w:val="0"/>
          <w:bCs w:val="0"/>
        </w:rPr>
        <w:t>入总表</w:t>
      </w:r>
      <w:bookmarkEnd w:id="64"/>
    </w:p>
    <w:p w14:paraId="2ADBB00A">
      <w:pPr>
        <w:pStyle w:val="4"/>
        <w:spacing w:before="0" w:after="0" w:line="576" w:lineRule="exact"/>
        <w:ind w:firstLine="640" w:firstLineChars="200"/>
        <w:rPr>
          <w:rFonts w:ascii="仿宋_GB2312" w:hAnsi="仿宋_GB2312" w:eastAsia="仿宋_GB2312" w:cs="仿宋_GB2312"/>
          <w:color w:val="000000"/>
        </w:rPr>
      </w:pPr>
      <w:bookmarkStart w:id="65" w:name="_Toc15396621"/>
      <w:r>
        <w:rPr>
          <w:rStyle w:val="28"/>
          <w:rFonts w:hint="eastAsia" w:ascii="仿宋_GB2312" w:hAnsi="仿宋_GB2312" w:eastAsia="仿宋_GB2312" w:cs="仿宋_GB2312"/>
          <w:b w:val="0"/>
          <w:bCs w:val="0"/>
        </w:rPr>
        <w:t>三、</w:t>
      </w:r>
      <w:r>
        <w:rPr>
          <w:rFonts w:hint="eastAsia" w:ascii="仿宋_GB2312" w:hAnsi="仿宋_GB2312" w:eastAsia="仿宋_GB2312" w:cs="仿宋_GB2312"/>
          <w:b w:val="0"/>
          <w:color w:val="000000"/>
        </w:rPr>
        <w:t>支</w:t>
      </w:r>
      <w:r>
        <w:rPr>
          <w:rStyle w:val="28"/>
          <w:rFonts w:hint="eastAsia" w:ascii="仿宋_GB2312" w:hAnsi="仿宋_GB2312" w:eastAsia="仿宋_GB2312" w:cs="仿宋_GB2312"/>
          <w:b w:val="0"/>
          <w:bCs w:val="0"/>
        </w:rPr>
        <w:t>出总表</w:t>
      </w:r>
      <w:bookmarkEnd w:id="65"/>
    </w:p>
    <w:p w14:paraId="16F9C516">
      <w:pPr>
        <w:pStyle w:val="4"/>
        <w:spacing w:before="0" w:after="0" w:line="576" w:lineRule="exact"/>
        <w:ind w:firstLine="640" w:firstLineChars="200"/>
        <w:rPr>
          <w:rFonts w:ascii="仿宋_GB2312" w:hAnsi="仿宋_GB2312" w:eastAsia="仿宋_GB2312" w:cs="仿宋_GB2312"/>
          <w:b w:val="0"/>
          <w:color w:val="000000"/>
        </w:rPr>
      </w:pPr>
      <w:bookmarkStart w:id="66" w:name="_Toc15396622"/>
      <w:r>
        <w:rPr>
          <w:rStyle w:val="28"/>
          <w:rFonts w:hint="eastAsia" w:ascii="仿宋_GB2312" w:hAnsi="仿宋_GB2312" w:eastAsia="仿宋_GB2312" w:cs="仿宋_GB2312"/>
          <w:b w:val="0"/>
          <w:bCs w:val="0"/>
        </w:rPr>
        <w:t>四、</w:t>
      </w:r>
      <w:r>
        <w:rPr>
          <w:rFonts w:hint="eastAsia" w:ascii="仿宋_GB2312" w:hAnsi="仿宋_GB2312" w:eastAsia="仿宋_GB2312" w:cs="仿宋_GB2312"/>
          <w:b w:val="0"/>
          <w:color w:val="000000"/>
        </w:rPr>
        <w:t>财</w:t>
      </w:r>
      <w:r>
        <w:rPr>
          <w:rStyle w:val="28"/>
          <w:rFonts w:hint="eastAsia" w:ascii="仿宋_GB2312" w:hAnsi="仿宋_GB2312" w:eastAsia="仿宋_GB2312" w:cs="仿宋_GB2312"/>
          <w:b w:val="0"/>
          <w:bCs w:val="0"/>
        </w:rPr>
        <w:t>政拨款收入支出决算总表</w:t>
      </w:r>
      <w:bookmarkEnd w:id="66"/>
    </w:p>
    <w:p w14:paraId="0529F5E9">
      <w:pPr>
        <w:pStyle w:val="4"/>
        <w:spacing w:before="0" w:after="0" w:line="576" w:lineRule="exact"/>
        <w:ind w:firstLine="640" w:firstLineChars="200"/>
        <w:rPr>
          <w:rFonts w:ascii="仿宋_GB2312" w:hAnsi="仿宋_GB2312" w:eastAsia="仿宋_GB2312" w:cs="仿宋_GB2312"/>
          <w:color w:val="000000"/>
        </w:rPr>
      </w:pPr>
      <w:bookmarkStart w:id="67" w:name="_Toc15396623"/>
      <w:r>
        <w:rPr>
          <w:rStyle w:val="28"/>
          <w:rFonts w:hint="eastAsia" w:ascii="仿宋_GB2312" w:hAnsi="仿宋_GB2312" w:eastAsia="仿宋_GB2312" w:cs="仿宋_GB2312"/>
          <w:b w:val="0"/>
          <w:bCs w:val="0"/>
        </w:rPr>
        <w:t>五、</w:t>
      </w:r>
      <w:r>
        <w:rPr>
          <w:rFonts w:hint="eastAsia" w:ascii="仿宋_GB2312" w:hAnsi="仿宋_GB2312" w:eastAsia="仿宋_GB2312" w:cs="仿宋_GB2312"/>
          <w:b w:val="0"/>
          <w:color w:val="000000"/>
        </w:rPr>
        <w:t>财</w:t>
      </w:r>
      <w:r>
        <w:rPr>
          <w:rStyle w:val="28"/>
          <w:rFonts w:hint="eastAsia" w:ascii="仿宋_GB2312" w:hAnsi="仿宋_GB2312" w:eastAsia="仿宋_GB2312" w:cs="仿宋_GB2312"/>
          <w:b w:val="0"/>
          <w:bCs w:val="0"/>
        </w:rPr>
        <w:t>政拨款支出决算明细表（政府经济分类科目）</w:t>
      </w:r>
      <w:bookmarkEnd w:id="67"/>
    </w:p>
    <w:p w14:paraId="268814C4">
      <w:pPr>
        <w:pStyle w:val="4"/>
        <w:spacing w:before="0" w:after="0" w:line="576" w:lineRule="exact"/>
        <w:ind w:firstLine="640" w:firstLineChars="200"/>
        <w:rPr>
          <w:rFonts w:ascii="仿宋_GB2312" w:hAnsi="仿宋_GB2312" w:eastAsia="仿宋_GB2312" w:cs="仿宋_GB2312"/>
          <w:color w:val="000000"/>
        </w:rPr>
      </w:pPr>
      <w:bookmarkStart w:id="68" w:name="_Toc15396624"/>
      <w:r>
        <w:rPr>
          <w:rStyle w:val="28"/>
          <w:rFonts w:hint="eastAsia" w:ascii="仿宋_GB2312" w:hAnsi="仿宋_GB2312" w:eastAsia="仿宋_GB2312" w:cs="仿宋_GB2312"/>
          <w:b w:val="0"/>
          <w:bCs w:val="0"/>
        </w:rPr>
        <w:t>六、</w:t>
      </w:r>
      <w:r>
        <w:rPr>
          <w:rFonts w:hint="eastAsia" w:ascii="仿宋_GB2312" w:hAnsi="仿宋_GB2312" w:eastAsia="仿宋_GB2312" w:cs="仿宋_GB2312"/>
          <w:b w:val="0"/>
          <w:color w:val="000000"/>
        </w:rPr>
        <w:t>一</w:t>
      </w:r>
      <w:r>
        <w:rPr>
          <w:rStyle w:val="28"/>
          <w:rFonts w:hint="eastAsia" w:ascii="仿宋_GB2312" w:hAnsi="仿宋_GB2312" w:eastAsia="仿宋_GB2312" w:cs="仿宋_GB2312"/>
          <w:b w:val="0"/>
          <w:bCs w:val="0"/>
        </w:rPr>
        <w:t>般公共预算财政拨款支出决算表</w:t>
      </w:r>
      <w:bookmarkEnd w:id="68"/>
    </w:p>
    <w:p w14:paraId="613A031B">
      <w:pPr>
        <w:pStyle w:val="4"/>
        <w:spacing w:before="0" w:after="0" w:line="576" w:lineRule="exact"/>
        <w:ind w:firstLine="640" w:firstLineChars="200"/>
        <w:rPr>
          <w:rFonts w:ascii="仿宋_GB2312" w:hAnsi="仿宋_GB2312" w:eastAsia="仿宋_GB2312" w:cs="仿宋_GB2312"/>
          <w:color w:val="000000"/>
        </w:rPr>
      </w:pPr>
      <w:bookmarkStart w:id="69" w:name="_Toc15396625"/>
      <w:r>
        <w:rPr>
          <w:rStyle w:val="28"/>
          <w:rFonts w:hint="eastAsia" w:ascii="仿宋_GB2312" w:hAnsi="仿宋_GB2312" w:eastAsia="仿宋_GB2312" w:cs="仿宋_GB2312"/>
          <w:b w:val="0"/>
          <w:bCs w:val="0"/>
        </w:rPr>
        <w:t>七、</w:t>
      </w:r>
      <w:r>
        <w:rPr>
          <w:rFonts w:hint="eastAsia" w:ascii="仿宋_GB2312" w:hAnsi="仿宋_GB2312" w:eastAsia="仿宋_GB2312" w:cs="仿宋_GB2312"/>
          <w:b w:val="0"/>
          <w:color w:val="000000"/>
        </w:rPr>
        <w:t>一</w:t>
      </w:r>
      <w:r>
        <w:rPr>
          <w:rStyle w:val="28"/>
          <w:rFonts w:hint="eastAsia" w:ascii="仿宋_GB2312" w:hAnsi="仿宋_GB2312" w:eastAsia="仿宋_GB2312" w:cs="仿宋_GB2312"/>
          <w:b w:val="0"/>
          <w:bCs w:val="0"/>
        </w:rPr>
        <w:t>般公共预算财政拨款支出决算明细表</w:t>
      </w:r>
      <w:bookmarkEnd w:id="69"/>
    </w:p>
    <w:p w14:paraId="2A7C4339">
      <w:pPr>
        <w:pStyle w:val="4"/>
        <w:spacing w:before="0" w:after="0" w:line="576" w:lineRule="exact"/>
        <w:ind w:firstLine="640" w:firstLineChars="200"/>
        <w:rPr>
          <w:rFonts w:ascii="仿宋_GB2312" w:hAnsi="仿宋_GB2312" w:eastAsia="仿宋_GB2312" w:cs="仿宋_GB2312"/>
          <w:color w:val="000000"/>
        </w:rPr>
      </w:pPr>
      <w:bookmarkStart w:id="70" w:name="_Toc15396626"/>
      <w:r>
        <w:rPr>
          <w:rStyle w:val="28"/>
          <w:rFonts w:hint="eastAsia" w:ascii="仿宋_GB2312" w:hAnsi="仿宋_GB2312" w:eastAsia="仿宋_GB2312" w:cs="仿宋_GB2312"/>
          <w:b w:val="0"/>
          <w:bCs w:val="0"/>
        </w:rPr>
        <w:t>八、</w:t>
      </w:r>
      <w:r>
        <w:rPr>
          <w:rFonts w:hint="eastAsia" w:ascii="仿宋_GB2312" w:hAnsi="仿宋_GB2312" w:eastAsia="仿宋_GB2312" w:cs="仿宋_GB2312"/>
          <w:b w:val="0"/>
          <w:color w:val="000000"/>
        </w:rPr>
        <w:t>一</w:t>
      </w:r>
      <w:r>
        <w:rPr>
          <w:rStyle w:val="28"/>
          <w:rFonts w:hint="eastAsia" w:ascii="仿宋_GB2312" w:hAnsi="仿宋_GB2312" w:eastAsia="仿宋_GB2312" w:cs="仿宋_GB2312"/>
          <w:b w:val="0"/>
          <w:bCs w:val="0"/>
        </w:rPr>
        <w:t>般公共预算财政拨款基本支出决算表</w:t>
      </w:r>
      <w:bookmarkEnd w:id="70"/>
    </w:p>
    <w:p w14:paraId="39792BC4">
      <w:pPr>
        <w:pStyle w:val="4"/>
        <w:spacing w:before="0" w:after="0" w:line="576" w:lineRule="exact"/>
        <w:ind w:firstLine="640" w:firstLineChars="200"/>
        <w:rPr>
          <w:rFonts w:ascii="仿宋_GB2312" w:hAnsi="仿宋_GB2312" w:eastAsia="仿宋_GB2312" w:cs="仿宋_GB2312"/>
          <w:color w:val="000000"/>
        </w:rPr>
      </w:pPr>
      <w:bookmarkStart w:id="71" w:name="_Toc15396627"/>
      <w:r>
        <w:rPr>
          <w:rStyle w:val="28"/>
          <w:rFonts w:hint="eastAsia" w:ascii="仿宋_GB2312" w:hAnsi="仿宋_GB2312" w:eastAsia="仿宋_GB2312" w:cs="仿宋_GB2312"/>
          <w:b w:val="0"/>
          <w:bCs w:val="0"/>
        </w:rPr>
        <w:t>九、</w:t>
      </w:r>
      <w:r>
        <w:rPr>
          <w:rFonts w:hint="eastAsia" w:ascii="仿宋_GB2312" w:hAnsi="仿宋_GB2312" w:eastAsia="仿宋_GB2312" w:cs="仿宋_GB2312"/>
          <w:b w:val="0"/>
          <w:color w:val="000000"/>
        </w:rPr>
        <w:t>一</w:t>
      </w:r>
      <w:r>
        <w:rPr>
          <w:rStyle w:val="28"/>
          <w:rFonts w:hint="eastAsia" w:ascii="仿宋_GB2312" w:hAnsi="仿宋_GB2312" w:eastAsia="仿宋_GB2312" w:cs="仿宋_GB2312"/>
          <w:b w:val="0"/>
          <w:bCs w:val="0"/>
        </w:rPr>
        <w:t>般公共预算财政拨款项目支出决算表</w:t>
      </w:r>
      <w:bookmarkEnd w:id="71"/>
    </w:p>
    <w:p w14:paraId="6B8AEECD">
      <w:pPr>
        <w:pStyle w:val="4"/>
        <w:spacing w:before="0" w:after="0" w:line="576" w:lineRule="exact"/>
        <w:ind w:firstLine="640" w:firstLineChars="200"/>
        <w:rPr>
          <w:rFonts w:ascii="仿宋_GB2312" w:hAnsi="仿宋_GB2312" w:eastAsia="仿宋_GB2312" w:cs="仿宋_GB2312"/>
          <w:color w:val="000000"/>
        </w:rPr>
      </w:pPr>
      <w:bookmarkStart w:id="72" w:name="_Toc15396628"/>
      <w:r>
        <w:rPr>
          <w:rStyle w:val="28"/>
          <w:rFonts w:hint="eastAsia" w:ascii="仿宋_GB2312" w:hAnsi="仿宋_GB2312" w:eastAsia="仿宋_GB2312" w:cs="仿宋_GB2312"/>
          <w:b w:val="0"/>
          <w:bCs w:val="0"/>
        </w:rPr>
        <w:t>十、</w:t>
      </w:r>
      <w:r>
        <w:rPr>
          <w:rFonts w:hint="eastAsia" w:ascii="仿宋_GB2312" w:hAnsi="仿宋_GB2312" w:eastAsia="仿宋_GB2312" w:cs="仿宋_GB2312"/>
          <w:b w:val="0"/>
          <w:color w:val="000000"/>
        </w:rPr>
        <w:t>一</w:t>
      </w:r>
      <w:r>
        <w:rPr>
          <w:rStyle w:val="28"/>
          <w:rFonts w:hint="eastAsia" w:ascii="仿宋_GB2312" w:hAnsi="仿宋_GB2312" w:eastAsia="仿宋_GB2312" w:cs="仿宋_GB2312"/>
          <w:b w:val="0"/>
          <w:bCs w:val="0"/>
        </w:rPr>
        <w:t>般公共预算财政拨款“三公”经费支出决算表</w:t>
      </w:r>
      <w:bookmarkEnd w:id="72"/>
    </w:p>
    <w:p w14:paraId="5A8CD78C">
      <w:pPr>
        <w:pStyle w:val="4"/>
        <w:spacing w:before="0" w:after="0" w:line="576" w:lineRule="exact"/>
        <w:ind w:firstLine="640" w:firstLineChars="200"/>
        <w:rPr>
          <w:rFonts w:ascii="仿宋_GB2312" w:hAnsi="仿宋_GB2312" w:eastAsia="仿宋_GB2312" w:cs="仿宋_GB2312"/>
          <w:color w:val="000000"/>
        </w:rPr>
      </w:pPr>
      <w:bookmarkStart w:id="73" w:name="_Toc15396629"/>
      <w:r>
        <w:rPr>
          <w:rStyle w:val="28"/>
          <w:rFonts w:hint="eastAsia" w:ascii="仿宋_GB2312" w:hAnsi="仿宋_GB2312" w:eastAsia="仿宋_GB2312" w:cs="仿宋_GB2312"/>
          <w:b w:val="0"/>
          <w:bCs w:val="0"/>
        </w:rPr>
        <w:t>十一、</w:t>
      </w:r>
      <w:r>
        <w:rPr>
          <w:rFonts w:hint="eastAsia" w:ascii="仿宋_GB2312" w:hAnsi="仿宋_GB2312" w:eastAsia="仿宋_GB2312" w:cs="仿宋_GB2312"/>
          <w:b w:val="0"/>
          <w:color w:val="000000"/>
        </w:rPr>
        <w:t>政</w:t>
      </w:r>
      <w:r>
        <w:rPr>
          <w:rStyle w:val="28"/>
          <w:rFonts w:hint="eastAsia" w:ascii="仿宋_GB2312" w:hAnsi="仿宋_GB2312" w:eastAsia="仿宋_GB2312" w:cs="仿宋_GB2312"/>
          <w:b w:val="0"/>
          <w:bCs w:val="0"/>
        </w:rPr>
        <w:t>府性基金预算财政拨款收入支出决算表</w:t>
      </w:r>
      <w:bookmarkEnd w:id="73"/>
    </w:p>
    <w:p w14:paraId="3C9F4EBD">
      <w:pPr>
        <w:pStyle w:val="4"/>
        <w:spacing w:before="0" w:after="0" w:line="576" w:lineRule="exact"/>
        <w:ind w:firstLine="640" w:firstLineChars="200"/>
        <w:rPr>
          <w:rFonts w:ascii="仿宋_GB2312" w:hAnsi="仿宋_GB2312" w:eastAsia="仿宋_GB2312" w:cs="仿宋_GB2312"/>
          <w:color w:val="000000"/>
          <w:w w:val="95"/>
        </w:rPr>
      </w:pPr>
      <w:bookmarkStart w:id="74" w:name="_Toc15396630"/>
      <w:r>
        <w:rPr>
          <w:rStyle w:val="28"/>
          <w:rFonts w:hint="eastAsia" w:ascii="仿宋_GB2312" w:hAnsi="仿宋_GB2312" w:eastAsia="仿宋_GB2312" w:cs="仿宋_GB2312"/>
          <w:b w:val="0"/>
          <w:bCs w:val="0"/>
        </w:rPr>
        <w:t>十二、</w:t>
      </w:r>
      <w:r>
        <w:rPr>
          <w:rFonts w:hint="eastAsia" w:ascii="仿宋_GB2312" w:hAnsi="仿宋_GB2312" w:eastAsia="仿宋_GB2312" w:cs="仿宋_GB2312"/>
          <w:b w:val="0"/>
          <w:color w:val="000000"/>
          <w:w w:val="95"/>
        </w:rPr>
        <w:t>政</w:t>
      </w:r>
      <w:r>
        <w:rPr>
          <w:rStyle w:val="28"/>
          <w:rFonts w:hint="eastAsia" w:ascii="仿宋_GB2312" w:hAnsi="仿宋_GB2312" w:eastAsia="仿宋_GB2312" w:cs="仿宋_GB2312"/>
          <w:b w:val="0"/>
          <w:bCs w:val="0"/>
          <w:w w:val="95"/>
        </w:rPr>
        <w:t>府性基金预算财政拨款“三公”经费支出决算表</w:t>
      </w:r>
      <w:bookmarkEnd w:id="74"/>
    </w:p>
    <w:p w14:paraId="02974D43">
      <w:pPr>
        <w:pStyle w:val="4"/>
        <w:spacing w:before="0" w:after="0" w:line="576" w:lineRule="exact"/>
        <w:ind w:firstLine="640" w:firstLineChars="200"/>
        <w:rPr>
          <w:rFonts w:ascii="仿宋_GB2312" w:hAnsi="仿宋_GB2312" w:eastAsia="仿宋_GB2312" w:cs="仿宋_GB2312"/>
          <w:color w:val="000000" w:themeColor="text1"/>
          <w14:textFill>
            <w14:solidFill>
              <w14:schemeClr w14:val="tx1"/>
            </w14:solidFill>
          </w14:textFill>
        </w:rPr>
      </w:pPr>
      <w:bookmarkStart w:id="75" w:name="_Toc15396631"/>
      <w:r>
        <w:rPr>
          <w:rStyle w:val="28"/>
          <w:rFonts w:hint="eastAsia" w:ascii="仿宋_GB2312" w:hAnsi="仿宋_GB2312" w:eastAsia="仿宋_GB2312" w:cs="仿宋_GB2312"/>
          <w:b w:val="0"/>
          <w:bCs w:val="0"/>
        </w:rPr>
        <w:t>十三、</w:t>
      </w:r>
      <w:r>
        <w:rPr>
          <w:rFonts w:hint="eastAsia" w:ascii="仿宋_GB2312" w:hAnsi="仿宋_GB2312" w:eastAsia="仿宋_GB2312" w:cs="仿宋_GB2312"/>
          <w:b w:val="0"/>
          <w:color w:val="000000"/>
        </w:rPr>
        <w:t>国</w:t>
      </w:r>
      <w:r>
        <w:rPr>
          <w:rStyle w:val="28"/>
          <w:rFonts w:hint="eastAsia" w:ascii="仿宋_GB2312" w:hAnsi="仿宋_GB2312" w:eastAsia="仿宋_GB2312" w:cs="仿宋_GB2312"/>
          <w:b w:val="0"/>
          <w:bCs w:val="0"/>
        </w:rPr>
        <w:t>有资本经营预算支出决算表</w:t>
      </w:r>
      <w:bookmarkEnd w:id="75"/>
    </w:p>
    <w:sectPr>
      <w:pgSz w:w="11906" w:h="16838"/>
      <w:pgMar w:top="1440" w:right="1800" w:bottom="1440" w:left="1800" w:header="851" w:footer="992" w:gutter="0"/>
      <w:pgNumType w:start="1"/>
      <w:cols w:space="0"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2000000000000000000"/>
    <w:charset w:val="86"/>
    <w:family w:val="script"/>
    <w:pitch w:val="default"/>
    <w:sig w:usb0="00000001" w:usb1="08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94781956"/>
    </w:sdtPr>
    <w:sdtContent>
      <w:p w14:paraId="49A78825">
        <w:pPr>
          <w:pStyle w:val="10"/>
          <w:jc w:val="center"/>
        </w:pPr>
        <w:r>
          <w:fldChar w:fldCharType="begin"/>
        </w:r>
        <w:r>
          <w:instrText xml:space="preserve">PAGE   \* MERGEFORMAT</w:instrText>
        </w:r>
        <w:r>
          <w:fldChar w:fldCharType="separate"/>
        </w:r>
        <w:r>
          <w:rPr>
            <w:lang w:val="zh-CN"/>
          </w:rPr>
          <w:t>10</w:t>
        </w:r>
        <w:r>
          <w:fldChar w:fldCharType="end"/>
        </w:r>
      </w:p>
    </w:sdtContent>
  </w:sdt>
  <w:p w14:paraId="209BC542">
    <w:pPr>
      <w:pStyle w:val="1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D501F8">
    <w:pPr>
      <w:pStyle w:val="11"/>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singleLevel"/>
    <w:tmpl w:val="0000000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VhYTg4NGNkZWJkODFjNzcyZDRjM2M4Y2UzNjI5ZmUifQ=="/>
  </w:docVars>
  <w:rsids>
    <w:rsidRoot w:val="00F1361C"/>
    <w:rsid w:val="000222C6"/>
    <w:rsid w:val="0002549F"/>
    <w:rsid w:val="0006487A"/>
    <w:rsid w:val="00065F8F"/>
    <w:rsid w:val="000768F2"/>
    <w:rsid w:val="0009184B"/>
    <w:rsid w:val="00094FF5"/>
    <w:rsid w:val="0009593C"/>
    <w:rsid w:val="000B047F"/>
    <w:rsid w:val="000B5923"/>
    <w:rsid w:val="000B5A48"/>
    <w:rsid w:val="000B6FF3"/>
    <w:rsid w:val="000C3467"/>
    <w:rsid w:val="000C3CA6"/>
    <w:rsid w:val="000D1267"/>
    <w:rsid w:val="000D1D50"/>
    <w:rsid w:val="000D5782"/>
    <w:rsid w:val="000E6613"/>
    <w:rsid w:val="000E7119"/>
    <w:rsid w:val="00105376"/>
    <w:rsid w:val="00114E9B"/>
    <w:rsid w:val="0014729F"/>
    <w:rsid w:val="00157BAB"/>
    <w:rsid w:val="001654D1"/>
    <w:rsid w:val="0018106D"/>
    <w:rsid w:val="001877A7"/>
    <w:rsid w:val="00191536"/>
    <w:rsid w:val="00196687"/>
    <w:rsid w:val="001C0962"/>
    <w:rsid w:val="001D0C6E"/>
    <w:rsid w:val="001D7531"/>
    <w:rsid w:val="001E737D"/>
    <w:rsid w:val="001F0592"/>
    <w:rsid w:val="001F7506"/>
    <w:rsid w:val="002006CD"/>
    <w:rsid w:val="00202B36"/>
    <w:rsid w:val="00204B7A"/>
    <w:rsid w:val="0021101A"/>
    <w:rsid w:val="00220536"/>
    <w:rsid w:val="00235629"/>
    <w:rsid w:val="00260C38"/>
    <w:rsid w:val="002616C0"/>
    <w:rsid w:val="002662AA"/>
    <w:rsid w:val="00273FC8"/>
    <w:rsid w:val="00280496"/>
    <w:rsid w:val="00295495"/>
    <w:rsid w:val="002B2613"/>
    <w:rsid w:val="002F1818"/>
    <w:rsid w:val="002F567B"/>
    <w:rsid w:val="003216A9"/>
    <w:rsid w:val="0037013F"/>
    <w:rsid w:val="00380C92"/>
    <w:rsid w:val="003A484F"/>
    <w:rsid w:val="003A6AA9"/>
    <w:rsid w:val="003B0BE0"/>
    <w:rsid w:val="003B0C1B"/>
    <w:rsid w:val="003B688C"/>
    <w:rsid w:val="003C0291"/>
    <w:rsid w:val="003C39AE"/>
    <w:rsid w:val="003C7B60"/>
    <w:rsid w:val="003D1FB2"/>
    <w:rsid w:val="003D66DA"/>
    <w:rsid w:val="003E1310"/>
    <w:rsid w:val="003E6F55"/>
    <w:rsid w:val="00406254"/>
    <w:rsid w:val="004223DE"/>
    <w:rsid w:val="00434489"/>
    <w:rsid w:val="00437085"/>
    <w:rsid w:val="00443880"/>
    <w:rsid w:val="004464F4"/>
    <w:rsid w:val="00471401"/>
    <w:rsid w:val="00473F31"/>
    <w:rsid w:val="0048263A"/>
    <w:rsid w:val="00487E5D"/>
    <w:rsid w:val="004A711F"/>
    <w:rsid w:val="004B199D"/>
    <w:rsid w:val="004B4690"/>
    <w:rsid w:val="004E0A2D"/>
    <w:rsid w:val="004E206B"/>
    <w:rsid w:val="004E6DF7"/>
    <w:rsid w:val="004F0FBD"/>
    <w:rsid w:val="00505A47"/>
    <w:rsid w:val="00512FDA"/>
    <w:rsid w:val="00520DA0"/>
    <w:rsid w:val="00554996"/>
    <w:rsid w:val="005664BB"/>
    <w:rsid w:val="0057481D"/>
    <w:rsid w:val="0058486E"/>
    <w:rsid w:val="005D1C8B"/>
    <w:rsid w:val="005D5CED"/>
    <w:rsid w:val="005F1A4C"/>
    <w:rsid w:val="005F71C9"/>
    <w:rsid w:val="00605688"/>
    <w:rsid w:val="006070AF"/>
    <w:rsid w:val="00607E6C"/>
    <w:rsid w:val="006101B1"/>
    <w:rsid w:val="00614E44"/>
    <w:rsid w:val="00622830"/>
    <w:rsid w:val="00630AEF"/>
    <w:rsid w:val="006325F8"/>
    <w:rsid w:val="00634C9A"/>
    <w:rsid w:val="006440E4"/>
    <w:rsid w:val="0066343B"/>
    <w:rsid w:val="00664777"/>
    <w:rsid w:val="006748A4"/>
    <w:rsid w:val="00683E73"/>
    <w:rsid w:val="006A3141"/>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23B0"/>
    <w:rsid w:val="007F1991"/>
    <w:rsid w:val="007F2C2F"/>
    <w:rsid w:val="007F55FC"/>
    <w:rsid w:val="007F5665"/>
    <w:rsid w:val="00800112"/>
    <w:rsid w:val="008253BB"/>
    <w:rsid w:val="0083706E"/>
    <w:rsid w:val="008423A5"/>
    <w:rsid w:val="00850625"/>
    <w:rsid w:val="00853718"/>
    <w:rsid w:val="00855221"/>
    <w:rsid w:val="00860645"/>
    <w:rsid w:val="008655C8"/>
    <w:rsid w:val="00871F71"/>
    <w:rsid w:val="00885AF4"/>
    <w:rsid w:val="008939CD"/>
    <w:rsid w:val="008B768C"/>
    <w:rsid w:val="008C20B8"/>
    <w:rsid w:val="008C4DB1"/>
    <w:rsid w:val="008C4EAF"/>
    <w:rsid w:val="008C5176"/>
    <w:rsid w:val="008C7FD0"/>
    <w:rsid w:val="008E1DE7"/>
    <w:rsid w:val="008E707C"/>
    <w:rsid w:val="00900B08"/>
    <w:rsid w:val="00902155"/>
    <w:rsid w:val="00902FA3"/>
    <w:rsid w:val="00923564"/>
    <w:rsid w:val="0092392E"/>
    <w:rsid w:val="009315F9"/>
    <w:rsid w:val="00946945"/>
    <w:rsid w:val="00951248"/>
    <w:rsid w:val="0095152F"/>
    <w:rsid w:val="00952A8A"/>
    <w:rsid w:val="00954C49"/>
    <w:rsid w:val="0097099F"/>
    <w:rsid w:val="00971997"/>
    <w:rsid w:val="00971FFC"/>
    <w:rsid w:val="0098660A"/>
    <w:rsid w:val="009931C3"/>
    <w:rsid w:val="009A54DD"/>
    <w:rsid w:val="009B2C43"/>
    <w:rsid w:val="009B4EAE"/>
    <w:rsid w:val="009B7573"/>
    <w:rsid w:val="009C22F4"/>
    <w:rsid w:val="009C2E98"/>
    <w:rsid w:val="009D3447"/>
    <w:rsid w:val="009D4711"/>
    <w:rsid w:val="009F1185"/>
    <w:rsid w:val="009F18CD"/>
    <w:rsid w:val="009F2A13"/>
    <w:rsid w:val="00A04EB0"/>
    <w:rsid w:val="00A13CC1"/>
    <w:rsid w:val="00A16847"/>
    <w:rsid w:val="00A237D8"/>
    <w:rsid w:val="00A268C4"/>
    <w:rsid w:val="00A307CD"/>
    <w:rsid w:val="00A40A00"/>
    <w:rsid w:val="00A4142F"/>
    <w:rsid w:val="00A42DB7"/>
    <w:rsid w:val="00A56DF2"/>
    <w:rsid w:val="00A67AB5"/>
    <w:rsid w:val="00A91760"/>
    <w:rsid w:val="00A93B00"/>
    <w:rsid w:val="00A93C21"/>
    <w:rsid w:val="00AC3C6A"/>
    <w:rsid w:val="00AD5620"/>
    <w:rsid w:val="00AD5906"/>
    <w:rsid w:val="00AD7C1B"/>
    <w:rsid w:val="00AE16BA"/>
    <w:rsid w:val="00AE1EBE"/>
    <w:rsid w:val="00B03C9D"/>
    <w:rsid w:val="00B060AE"/>
    <w:rsid w:val="00B10517"/>
    <w:rsid w:val="00B14E76"/>
    <w:rsid w:val="00B161B8"/>
    <w:rsid w:val="00B2048C"/>
    <w:rsid w:val="00B23AB3"/>
    <w:rsid w:val="00B310B9"/>
    <w:rsid w:val="00B35F3F"/>
    <w:rsid w:val="00B36CBB"/>
    <w:rsid w:val="00B425E0"/>
    <w:rsid w:val="00B440AA"/>
    <w:rsid w:val="00B44B70"/>
    <w:rsid w:val="00B53C56"/>
    <w:rsid w:val="00B77EA6"/>
    <w:rsid w:val="00B81598"/>
    <w:rsid w:val="00B841F1"/>
    <w:rsid w:val="00B944D6"/>
    <w:rsid w:val="00BB4DF0"/>
    <w:rsid w:val="00BC289F"/>
    <w:rsid w:val="00BC5361"/>
    <w:rsid w:val="00BC5460"/>
    <w:rsid w:val="00BC6B50"/>
    <w:rsid w:val="00BD0E25"/>
    <w:rsid w:val="00BF5BD6"/>
    <w:rsid w:val="00C03E31"/>
    <w:rsid w:val="00C33E72"/>
    <w:rsid w:val="00C354B2"/>
    <w:rsid w:val="00C35554"/>
    <w:rsid w:val="00C42709"/>
    <w:rsid w:val="00C533CC"/>
    <w:rsid w:val="00C5751C"/>
    <w:rsid w:val="00C61BFC"/>
    <w:rsid w:val="00C62B85"/>
    <w:rsid w:val="00C65438"/>
    <w:rsid w:val="00C87F62"/>
    <w:rsid w:val="00C91CBB"/>
    <w:rsid w:val="00CC09B6"/>
    <w:rsid w:val="00CC666F"/>
    <w:rsid w:val="00CD1E3F"/>
    <w:rsid w:val="00CD631C"/>
    <w:rsid w:val="00CE44F6"/>
    <w:rsid w:val="00CE49DA"/>
    <w:rsid w:val="00CE7B61"/>
    <w:rsid w:val="00D00095"/>
    <w:rsid w:val="00D20620"/>
    <w:rsid w:val="00D26091"/>
    <w:rsid w:val="00D34E7C"/>
    <w:rsid w:val="00D35489"/>
    <w:rsid w:val="00D51276"/>
    <w:rsid w:val="00D7035F"/>
    <w:rsid w:val="00DA65AC"/>
    <w:rsid w:val="00DB1913"/>
    <w:rsid w:val="00DB63B2"/>
    <w:rsid w:val="00DC410D"/>
    <w:rsid w:val="00DC68CA"/>
    <w:rsid w:val="00DC7CBA"/>
    <w:rsid w:val="00DD73B7"/>
    <w:rsid w:val="00DF28BC"/>
    <w:rsid w:val="00DF34B9"/>
    <w:rsid w:val="00E01053"/>
    <w:rsid w:val="00E07ACF"/>
    <w:rsid w:val="00E331A1"/>
    <w:rsid w:val="00E33202"/>
    <w:rsid w:val="00E336A9"/>
    <w:rsid w:val="00E50624"/>
    <w:rsid w:val="00E568DF"/>
    <w:rsid w:val="00E64269"/>
    <w:rsid w:val="00E82267"/>
    <w:rsid w:val="00EA010F"/>
    <w:rsid w:val="00ED1B63"/>
    <w:rsid w:val="00ED3C1F"/>
    <w:rsid w:val="00ED4085"/>
    <w:rsid w:val="00ED420E"/>
    <w:rsid w:val="00EE2F57"/>
    <w:rsid w:val="00EF4C34"/>
    <w:rsid w:val="00EF77C6"/>
    <w:rsid w:val="00F05438"/>
    <w:rsid w:val="00F1361C"/>
    <w:rsid w:val="00F160C7"/>
    <w:rsid w:val="00F36D8F"/>
    <w:rsid w:val="00F417B1"/>
    <w:rsid w:val="00F602DF"/>
    <w:rsid w:val="00F71197"/>
    <w:rsid w:val="00F81FD9"/>
    <w:rsid w:val="00F841AA"/>
    <w:rsid w:val="00FA23E8"/>
    <w:rsid w:val="00FD3CC1"/>
    <w:rsid w:val="00FF1E02"/>
    <w:rsid w:val="00FF30B4"/>
    <w:rsid w:val="02B1429F"/>
    <w:rsid w:val="03C61579"/>
    <w:rsid w:val="109206FA"/>
    <w:rsid w:val="10C055FF"/>
    <w:rsid w:val="16BB723D"/>
    <w:rsid w:val="1EB4743B"/>
    <w:rsid w:val="22112EBB"/>
    <w:rsid w:val="240371BF"/>
    <w:rsid w:val="29563118"/>
    <w:rsid w:val="296E1231"/>
    <w:rsid w:val="29DC0783"/>
    <w:rsid w:val="29FD04D3"/>
    <w:rsid w:val="2EDE24F2"/>
    <w:rsid w:val="316120D6"/>
    <w:rsid w:val="319F7F4E"/>
    <w:rsid w:val="31FF709A"/>
    <w:rsid w:val="3323476E"/>
    <w:rsid w:val="336D52DB"/>
    <w:rsid w:val="33A92B38"/>
    <w:rsid w:val="33C34C0C"/>
    <w:rsid w:val="35026155"/>
    <w:rsid w:val="385D0226"/>
    <w:rsid w:val="3A733BAD"/>
    <w:rsid w:val="3CFD17A7"/>
    <w:rsid w:val="3D4254CF"/>
    <w:rsid w:val="41811D41"/>
    <w:rsid w:val="422C2FF1"/>
    <w:rsid w:val="43BA140E"/>
    <w:rsid w:val="46A61D10"/>
    <w:rsid w:val="47B270CF"/>
    <w:rsid w:val="482971E4"/>
    <w:rsid w:val="48B97E5A"/>
    <w:rsid w:val="497F6DED"/>
    <w:rsid w:val="4C140D01"/>
    <w:rsid w:val="4E6631C1"/>
    <w:rsid w:val="4E6E381E"/>
    <w:rsid w:val="518A0DE8"/>
    <w:rsid w:val="5611338F"/>
    <w:rsid w:val="5652507C"/>
    <w:rsid w:val="58C0631E"/>
    <w:rsid w:val="59553F07"/>
    <w:rsid w:val="598A5E2A"/>
    <w:rsid w:val="5CEE6616"/>
    <w:rsid w:val="5E6A2919"/>
    <w:rsid w:val="5FE01BD9"/>
    <w:rsid w:val="627F0EFD"/>
    <w:rsid w:val="643872B3"/>
    <w:rsid w:val="690E65FA"/>
    <w:rsid w:val="69220834"/>
    <w:rsid w:val="6C1B1ED4"/>
    <w:rsid w:val="74CC4B55"/>
    <w:rsid w:val="765C700F"/>
    <w:rsid w:val="77853114"/>
    <w:rsid w:val="7A0F7824"/>
    <w:rsid w:val="7D0D007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99"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7"/>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8"/>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5">
    <w:name w:val="heading 3"/>
    <w:basedOn w:val="1"/>
    <w:next w:val="1"/>
    <w:link w:val="31"/>
    <w:unhideWhenUsed/>
    <w:qFormat/>
    <w:uiPriority w:val="9"/>
    <w:pPr>
      <w:keepNext/>
      <w:keepLines/>
      <w:spacing w:before="260" w:after="260" w:line="416" w:lineRule="auto"/>
      <w:outlineLvl w:val="2"/>
    </w:pPr>
    <w:rPr>
      <w:b/>
      <w:bCs/>
      <w:sz w:val="32"/>
      <w:szCs w:val="32"/>
    </w:rPr>
  </w:style>
  <w:style w:type="character" w:default="1" w:styleId="17">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仿宋" w:hAnsi="Calibri" w:eastAsia="仿宋" w:cs="仿宋"/>
      <w:color w:val="000000"/>
      <w:sz w:val="24"/>
      <w:szCs w:val="24"/>
      <w:lang w:val="en-US" w:eastAsia="zh-CN" w:bidi="ar-SA"/>
    </w:rPr>
  </w:style>
  <w:style w:type="paragraph" w:styleId="6">
    <w:name w:val="Body Text"/>
    <w:basedOn w:val="1"/>
    <w:link w:val="25"/>
    <w:qFormat/>
    <w:uiPriority w:val="99"/>
    <w:pPr>
      <w:spacing w:beforeLines="30"/>
    </w:pPr>
    <w:rPr>
      <w:rFonts w:ascii="仿宋_GB2312" w:eastAsia="仿宋_GB2312"/>
      <w:kern w:val="0"/>
      <w:sz w:val="30"/>
    </w:rPr>
  </w:style>
  <w:style w:type="paragraph" w:styleId="7">
    <w:name w:val="Body Text Indent"/>
    <w:basedOn w:val="1"/>
    <w:qFormat/>
    <w:uiPriority w:val="99"/>
    <w:pPr>
      <w:ind w:firstLine="630"/>
      <w:jc w:val="left"/>
    </w:pPr>
    <w:rPr>
      <w:rFonts w:eastAsia="黑体"/>
      <w:sz w:val="32"/>
      <w:szCs w:val="32"/>
    </w:rPr>
  </w:style>
  <w:style w:type="paragraph" w:styleId="8">
    <w:name w:val="toc 3"/>
    <w:basedOn w:val="1"/>
    <w:next w:val="1"/>
    <w:unhideWhenUsed/>
    <w:qFormat/>
    <w:uiPriority w:val="39"/>
    <w:pPr>
      <w:tabs>
        <w:tab w:val="right" w:leader="dot" w:pos="8296"/>
      </w:tabs>
      <w:ind w:left="840" w:leftChars="400"/>
    </w:pPr>
  </w:style>
  <w:style w:type="paragraph" w:styleId="9">
    <w:name w:val="Balloon Text"/>
    <w:basedOn w:val="1"/>
    <w:link w:val="30"/>
    <w:semiHidden/>
    <w:unhideWhenUsed/>
    <w:qFormat/>
    <w:uiPriority w:val="99"/>
    <w:rPr>
      <w:sz w:val="18"/>
      <w:szCs w:val="18"/>
    </w:rPr>
  </w:style>
  <w:style w:type="paragraph" w:styleId="10">
    <w:name w:val="footer"/>
    <w:basedOn w:val="1"/>
    <w:link w:val="23"/>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2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unhideWhenUsed/>
    <w:qFormat/>
    <w:uiPriority w:val="39"/>
    <w:pPr>
      <w:tabs>
        <w:tab w:val="right" w:leader="dot" w:pos="8296"/>
      </w:tabs>
      <w:spacing w:before="93"/>
      <w:jc w:val="center"/>
    </w:pPr>
    <w:rPr>
      <w:rFonts w:ascii="仿宋" w:hAnsi="仿宋" w:eastAsia="仿宋"/>
      <w:sz w:val="28"/>
      <w:szCs w:val="28"/>
    </w:rPr>
  </w:style>
  <w:style w:type="paragraph" w:styleId="13">
    <w:name w:val="toc 2"/>
    <w:basedOn w:val="1"/>
    <w:next w:val="1"/>
    <w:unhideWhenUsed/>
    <w:qFormat/>
    <w:uiPriority w:val="39"/>
    <w:pPr>
      <w:tabs>
        <w:tab w:val="right" w:leader="dot" w:pos="8296"/>
      </w:tabs>
      <w:ind w:left="420" w:leftChars="200"/>
    </w:pPr>
  </w:style>
  <w:style w:type="paragraph" w:styleId="14">
    <w:name w:val="Normal (Web)"/>
    <w:basedOn w:val="1"/>
    <w:unhideWhenUsed/>
    <w:qFormat/>
    <w:uiPriority w:val="99"/>
    <w:pPr>
      <w:spacing w:before="100" w:beforeAutospacing="1" w:after="100" w:afterAutospacing="1"/>
      <w:jc w:val="left"/>
    </w:pPr>
    <w:rPr>
      <w:kern w:val="0"/>
      <w:sz w:val="24"/>
    </w:rPr>
  </w:style>
  <w:style w:type="paragraph" w:styleId="15">
    <w:name w:val="Body Text First Indent 2"/>
    <w:basedOn w:val="7"/>
    <w:qFormat/>
    <w:uiPriority w:val="99"/>
    <w:pPr>
      <w:spacing w:after="120"/>
      <w:ind w:left="420" w:leftChars="200" w:firstLine="420"/>
    </w:pPr>
  </w:style>
  <w:style w:type="character" w:styleId="18">
    <w:name w:val="Strong"/>
    <w:basedOn w:val="17"/>
    <w:qFormat/>
    <w:uiPriority w:val="99"/>
    <w:rPr>
      <w:b/>
    </w:rPr>
  </w:style>
  <w:style w:type="character" w:styleId="19">
    <w:name w:val="Hyperlink"/>
    <w:basedOn w:val="17"/>
    <w:unhideWhenUsed/>
    <w:qFormat/>
    <w:uiPriority w:val="99"/>
    <w:rPr>
      <w:color w:val="0000FF" w:themeColor="hyperlink"/>
      <w:u w:val="single"/>
      <w14:textFill>
        <w14:solidFill>
          <w14:schemeClr w14:val="hlink"/>
        </w14:solidFill>
      </w14:textFill>
    </w:rPr>
  </w:style>
  <w:style w:type="character" w:customStyle="1" w:styleId="20">
    <w:name w:val="Header Char"/>
    <w:basedOn w:val="17"/>
    <w:semiHidden/>
    <w:qFormat/>
    <w:uiPriority w:val="99"/>
    <w:rPr>
      <w:rFonts w:ascii="Times New Roman" w:hAnsi="Times New Roman"/>
      <w:sz w:val="18"/>
      <w:szCs w:val="18"/>
    </w:rPr>
  </w:style>
  <w:style w:type="character" w:customStyle="1" w:styleId="21">
    <w:name w:val="页眉 字符"/>
    <w:link w:val="11"/>
    <w:semiHidden/>
    <w:qFormat/>
    <w:locked/>
    <w:uiPriority w:val="99"/>
    <w:rPr>
      <w:sz w:val="18"/>
    </w:rPr>
  </w:style>
  <w:style w:type="character" w:customStyle="1" w:styleId="22">
    <w:name w:val="Footer Char"/>
    <w:basedOn w:val="17"/>
    <w:semiHidden/>
    <w:qFormat/>
    <w:uiPriority w:val="99"/>
    <w:rPr>
      <w:rFonts w:ascii="Times New Roman" w:hAnsi="Times New Roman"/>
      <w:sz w:val="18"/>
      <w:szCs w:val="18"/>
    </w:rPr>
  </w:style>
  <w:style w:type="character" w:customStyle="1" w:styleId="23">
    <w:name w:val="页脚 字符"/>
    <w:link w:val="10"/>
    <w:qFormat/>
    <w:locked/>
    <w:uiPriority w:val="99"/>
    <w:rPr>
      <w:sz w:val="18"/>
    </w:rPr>
  </w:style>
  <w:style w:type="character" w:customStyle="1" w:styleId="24">
    <w:name w:val="Body Text Char"/>
    <w:basedOn w:val="17"/>
    <w:semiHidden/>
    <w:qFormat/>
    <w:uiPriority w:val="99"/>
    <w:rPr>
      <w:rFonts w:ascii="Times New Roman" w:hAnsi="Times New Roman"/>
      <w:szCs w:val="24"/>
    </w:rPr>
  </w:style>
  <w:style w:type="character" w:customStyle="1" w:styleId="25">
    <w:name w:val="正文文本 字符"/>
    <w:link w:val="6"/>
    <w:qFormat/>
    <w:locked/>
    <w:uiPriority w:val="99"/>
    <w:rPr>
      <w:rFonts w:ascii="仿宋_GB2312" w:hAnsi="Times New Roman" w:eastAsia="仿宋_GB2312"/>
      <w:sz w:val="24"/>
    </w:rPr>
  </w:style>
  <w:style w:type="paragraph" w:styleId="26">
    <w:name w:val="List Paragraph"/>
    <w:basedOn w:val="1"/>
    <w:qFormat/>
    <w:uiPriority w:val="34"/>
    <w:pPr>
      <w:ind w:firstLine="420" w:firstLineChars="200"/>
    </w:pPr>
  </w:style>
  <w:style w:type="character" w:customStyle="1" w:styleId="27">
    <w:name w:val="标题 1 字符"/>
    <w:basedOn w:val="17"/>
    <w:link w:val="3"/>
    <w:qFormat/>
    <w:uiPriority w:val="9"/>
    <w:rPr>
      <w:rFonts w:ascii="Times New Roman" w:hAnsi="Times New Roman"/>
      <w:b/>
      <w:bCs/>
      <w:kern w:val="44"/>
      <w:sz w:val="44"/>
      <w:szCs w:val="44"/>
    </w:rPr>
  </w:style>
  <w:style w:type="character" w:customStyle="1" w:styleId="28">
    <w:name w:val="标题 2 字符"/>
    <w:basedOn w:val="17"/>
    <w:link w:val="4"/>
    <w:qFormat/>
    <w:uiPriority w:val="9"/>
    <w:rPr>
      <w:rFonts w:asciiTheme="majorHAnsi" w:hAnsiTheme="majorHAnsi" w:eastAsiaTheme="majorEastAsia" w:cstheme="majorBidi"/>
      <w:b/>
      <w:bCs/>
      <w:kern w:val="2"/>
      <w:sz w:val="32"/>
      <w:szCs w:val="32"/>
    </w:rPr>
  </w:style>
  <w:style w:type="paragraph" w:customStyle="1" w:styleId="29">
    <w:name w:val="TOC 标题1"/>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30">
    <w:name w:val="批注框文本 字符"/>
    <w:basedOn w:val="17"/>
    <w:link w:val="9"/>
    <w:semiHidden/>
    <w:qFormat/>
    <w:uiPriority w:val="99"/>
    <w:rPr>
      <w:rFonts w:ascii="Times New Roman" w:hAnsi="Times New Roman"/>
      <w:kern w:val="2"/>
      <w:sz w:val="18"/>
      <w:szCs w:val="18"/>
    </w:rPr>
  </w:style>
  <w:style w:type="character" w:customStyle="1" w:styleId="31">
    <w:name w:val="标题 3 字符"/>
    <w:basedOn w:val="17"/>
    <w:link w:val="5"/>
    <w:qFormat/>
    <w:uiPriority w:val="9"/>
    <w:rPr>
      <w:rFonts w:ascii="Times New Roman" w:hAnsi="Times New Roman"/>
      <w:b/>
      <w:bCs/>
      <w:kern w:val="2"/>
      <w:sz w:val="32"/>
      <w:szCs w:val="32"/>
    </w:rPr>
  </w:style>
</w:styles>
</file>

<file path=word/_rels/document.xml.rels><?xml version="1.0" encoding="UTF-8" standalone="yes"?>
<Relationships xmlns="http://schemas.openxmlformats.org/package/2006/relationships"><Relationship Id="rId9" Type="http://schemas.openxmlformats.org/officeDocument/2006/relationships/chart" Target="charts/chart4.xml"/><Relationship Id="rId8" Type="http://schemas.openxmlformats.org/officeDocument/2006/relationships/chart" Target="charts/chart3.xml"/><Relationship Id="rId7" Type="http://schemas.openxmlformats.org/officeDocument/2006/relationships/chart" Target="charts/chart2.xml"/><Relationship Id="rId6" Type="http://schemas.openxmlformats.org/officeDocument/2006/relationships/chart" Target="charts/chart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hart" Target="charts/chart5.xml"/><Relationship Id="rId1" Type="http://schemas.openxmlformats.org/officeDocument/2006/relationships/styles" Target="styles.xml"/></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Workbook1.xlsx"/></Relationships>
</file>

<file path=word/charts/_rels/chart2.xml.rels><?xml version="1.0" encoding="UTF-8" standalone="yes"?>
<Relationships xmlns="http://schemas.openxmlformats.org/package/2006/relationships"><Relationship Id="rId3" Type="http://schemas.microsoft.com/office/2011/relationships/chartColorStyle" Target="colors2.xml"/><Relationship Id="rId2" Type="http://schemas.microsoft.com/office/2011/relationships/chartStyle" Target="style2.xml"/><Relationship Id="rId1" Type="http://schemas.openxmlformats.org/officeDocument/2006/relationships/package" Target="../embeddings/Workbook2.xlsx"/></Relationships>
</file>

<file path=word/charts/_rels/chart3.xml.rels><?xml version="1.0" encoding="UTF-8" standalone="yes"?>
<Relationships xmlns="http://schemas.openxmlformats.org/package/2006/relationships"><Relationship Id="rId3" Type="http://schemas.microsoft.com/office/2011/relationships/chartColorStyle" Target="colors3.xml"/><Relationship Id="rId2" Type="http://schemas.microsoft.com/office/2011/relationships/chartStyle" Target="style3.xml"/><Relationship Id="rId1" Type="http://schemas.openxmlformats.org/officeDocument/2006/relationships/package" Target="../embeddings/Workbook3.xlsx"/></Relationships>
</file>

<file path=word/charts/_rels/chart4.xml.rels><?xml version="1.0" encoding="UTF-8" standalone="yes"?>
<Relationships xmlns="http://schemas.openxmlformats.org/package/2006/relationships"><Relationship Id="rId3" Type="http://schemas.microsoft.com/office/2011/relationships/chartColorStyle" Target="colors5.xml"/><Relationship Id="rId2" Type="http://schemas.microsoft.com/office/2011/relationships/chartStyle" Target="style5.xml"/><Relationship Id="rId1" Type="http://schemas.openxmlformats.org/officeDocument/2006/relationships/package" Target="../embeddings/Workbook5.xlsx"/></Relationships>
</file>

<file path=word/charts/_rels/chart5.xml.rels><?xml version="1.0" encoding="UTF-8" standalone="yes"?>
<Relationships xmlns="http://schemas.openxmlformats.org/package/2006/relationships"><Relationship Id="rId3" Type="http://schemas.microsoft.com/office/2011/relationships/chartColorStyle" Target="colors4.xml"/><Relationship Id="rId2" Type="http://schemas.microsoft.com/office/2011/relationships/chartStyle" Target="style4.xml"/><Relationship Id="rId1" Type="http://schemas.openxmlformats.org/officeDocument/2006/relationships/package" Target="../embeddings/Workbook4.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600" b="1" i="0" u="none" strike="noStrike" kern="1200" baseline="0">
                <a:solidFill>
                  <a:schemeClr val="tx1">
                    <a:lumMod val="65000"/>
                    <a:lumOff val="35000"/>
                  </a:schemeClr>
                </a:solidFill>
                <a:latin typeface="+mn-lt"/>
                <a:ea typeface="+mn-ea"/>
                <a:cs typeface="+mn-cs"/>
              </a:defRPr>
            </a:pPr>
            <a:r>
              <a:rPr lang="zh-CN"/>
              <a:t>收、支决算总计变动情况图</a:t>
            </a:r>
            <a:endParaRPr lang="en-US" altLang="zh-CN"/>
          </a:p>
          <a:p>
            <a:pPr>
              <a:defRPr lang="zh-CN" sz="1600" b="1" i="0" u="none" strike="noStrike" kern="1200" baseline="0">
                <a:solidFill>
                  <a:schemeClr val="tx1">
                    <a:lumMod val="65000"/>
                    <a:lumOff val="35000"/>
                  </a:schemeClr>
                </a:solidFill>
                <a:latin typeface="+mn-lt"/>
                <a:ea typeface="+mn-ea"/>
                <a:cs typeface="+mn-cs"/>
              </a:defRPr>
            </a:pPr>
            <a:r>
              <a:rPr lang="zh-CN"/>
              <a:t>位：万元</a:t>
            </a:r>
            <a:endParaRPr lang="en-US"/>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2018年</c:v>
                </c:pt>
              </c:strCache>
            </c:strRef>
          </c:tx>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2"/>
                <c:pt idx="0">
                  <c:v>收入</c:v>
                </c:pt>
                <c:pt idx="1">
                  <c:v>支出</c:v>
                </c:pt>
              </c:strCache>
            </c:strRef>
          </c:cat>
          <c:val>
            <c:numRef>
              <c:f>Sheet1!$B$2:$B$5</c:f>
              <c:numCache>
                <c:formatCode>General</c:formatCode>
                <c:ptCount val="4"/>
                <c:pt idx="0">
                  <c:v>4874.55</c:v>
                </c:pt>
                <c:pt idx="1">
                  <c:v>4030.16</c:v>
                </c:pt>
              </c:numCache>
            </c:numRef>
          </c:val>
        </c:ser>
        <c:ser>
          <c:idx val="1"/>
          <c:order val="1"/>
          <c:tx>
            <c:strRef>
              <c:f>Sheet1!$C$1</c:f>
              <c:strCache>
                <c:ptCount val="1"/>
                <c:pt idx="0">
                  <c:v>2019年</c:v>
                </c:pt>
              </c:strCache>
            </c:strRef>
          </c:tx>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2"/>
                <c:pt idx="0">
                  <c:v>收入</c:v>
                </c:pt>
                <c:pt idx="1">
                  <c:v>支出</c:v>
                </c:pt>
              </c:strCache>
            </c:strRef>
          </c:cat>
          <c:val>
            <c:numRef>
              <c:f>Sheet1!$C$2:$C$5</c:f>
              <c:numCache>
                <c:formatCode>General</c:formatCode>
                <c:ptCount val="4"/>
                <c:pt idx="0">
                  <c:v>3151.19</c:v>
                </c:pt>
                <c:pt idx="1">
                  <c:v>3234.42</c:v>
                </c:pt>
              </c:numCache>
            </c:numRef>
          </c:val>
        </c:ser>
        <c:ser>
          <c:idx val="2"/>
          <c:order val="2"/>
          <c:tx>
            <c:strRef>
              <c:f>Sheet1!$D$1</c:f>
              <c:strCache>
                <c:ptCount val="1"/>
                <c:pt idx="0">
                  <c:v>增长率</c:v>
                </c:pt>
              </c:strCache>
            </c:strRef>
          </c:tx>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c:spPr>
          <c:invertIfNegative val="0"/>
          <c:dLbls>
            <c:dLbl>
              <c:idx val="0"/>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extLst>
                <c:ext xmlns:c15="http://schemas.microsoft.com/office/drawing/2012/chart" uri="{CE6537A1-D6FC-4f65-9D91-7224C49458BB}"/>
              </c:extLst>
            </c:dLbl>
            <c:dLbl>
              <c:idx val="1"/>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lang="zh-CN" sz="900" b="0" i="0" u="none" strike="noStrike" kern="1200" baseline="0">
                    <a:solidFill>
                      <a:schemeClr val="tx1">
                        <a:lumMod val="75000"/>
                        <a:lumOff val="25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Sheet1!$A$2:$A$5</c:f>
              <c:strCache>
                <c:ptCount val="2"/>
                <c:pt idx="0">
                  <c:v>收入</c:v>
                </c:pt>
                <c:pt idx="1">
                  <c:v>支出</c:v>
                </c:pt>
              </c:strCache>
            </c:strRef>
          </c:cat>
          <c:val>
            <c:numRef>
              <c:f>Sheet1!$D$2:$D$5</c:f>
              <c:numCache>
                <c:formatCode>General</c:formatCode>
                <c:ptCount val="4"/>
                <c:pt idx="0">
                  <c:v>-0.3535</c:v>
                </c:pt>
                <c:pt idx="1">
                  <c:v>-0.1974</c:v>
                </c:pt>
              </c:numCache>
            </c:numRef>
          </c:val>
        </c:ser>
        <c:dLbls>
          <c:showLegendKey val="0"/>
          <c:showVal val="1"/>
          <c:showCatName val="0"/>
          <c:showSerName val="0"/>
          <c:showPercent val="0"/>
          <c:showBubbleSize val="0"/>
        </c:dLbls>
        <c:gapWidth val="100"/>
        <c:overlap val="-24"/>
        <c:axId val="501331032"/>
        <c:axId val="501339560"/>
      </c:barChart>
      <c:catAx>
        <c:axId val="501331032"/>
        <c:scaling>
          <c:orientation val="minMax"/>
        </c:scaling>
        <c:delete val="0"/>
        <c:axPos val="b"/>
        <c:numFmt formatCode="General" sourceLinked="1"/>
        <c:majorTickMark val="none"/>
        <c:minorTickMark val="none"/>
        <c:tickLblPos val="nextTo"/>
        <c:spPr>
          <a:noFill/>
          <a:ln w="12700"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01339560"/>
        <c:crosses val="autoZero"/>
        <c:auto val="1"/>
        <c:lblAlgn val="ctr"/>
        <c:lblOffset val="100"/>
        <c:noMultiLvlLbl val="0"/>
      </c:catAx>
      <c:valAx>
        <c:axId val="501339560"/>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501331032"/>
        <c:crosses val="autoZero"/>
        <c:crossBetween val="between"/>
      </c:valAx>
      <c:spPr>
        <a:noFill/>
        <a:ln>
          <a:noFill/>
        </a:ln>
        <a:effectLst/>
      </c:spPr>
    </c:plotArea>
    <c:legend>
      <c:legendPos val="b"/>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extLst>
      <c:ext uri="{0b15fc19-7d7d-44ad-8c2d-2c3a37ce22c3}">
        <chartProps xmlns="https://web.wps.cn/et/2018/main" chartId="{ef1c4f98-1c33-4d9b-a9c1-654b29926a56}"/>
      </c:ext>
    </c:extLst>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lang="zh-CN" sz="1800" b="1" i="0" u="none" strike="noStrike" kern="1200" baseline="0">
              <a:solidFill>
                <a:schemeClr val="dk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收入决算结构图       单位：万元</c:v>
                </c:pt>
              </c:strCache>
            </c:strRef>
          </c:tx>
          <c:spPr/>
          <c:explosion val="0"/>
          <c:dPt>
            <c:idx val="0"/>
            <c:bubble3D val="0"/>
            <c:spPr>
              <a:solidFill>
                <a:schemeClr val="accent1"/>
              </a:solidFill>
              <a:ln>
                <a:noFill/>
              </a:ln>
              <a:effectLst>
                <a:outerShdw blurRad="317500" algn="ctr" rotWithShape="0">
                  <a:prstClr val="black">
                    <a:alpha val="25000"/>
                  </a:prstClr>
                </a:outerShdw>
              </a:effectLst>
            </c:spPr>
          </c:dPt>
          <c:dPt>
            <c:idx val="1"/>
            <c:bubble3D val="0"/>
            <c:spPr>
              <a:solidFill>
                <a:schemeClr val="accent2"/>
              </a:solidFill>
              <a:ln>
                <a:noFill/>
              </a:ln>
              <a:effectLst>
                <a:outerShdw blurRad="317500" algn="ctr" rotWithShape="0">
                  <a:prstClr val="black">
                    <a:alpha val="25000"/>
                  </a:prstClr>
                </a:outerShdw>
              </a:effectLst>
            </c:spPr>
          </c:dPt>
          <c:dPt>
            <c:idx val="2"/>
            <c:bubble3D val="0"/>
            <c:spPr>
              <a:solidFill>
                <a:schemeClr val="accent3"/>
              </a:solidFill>
              <a:ln>
                <a:noFill/>
              </a:ln>
              <a:effectLst>
                <a:outerShdw blurRad="317500" algn="ctr" rotWithShape="0">
                  <a:prstClr val="black">
                    <a:alpha val="25000"/>
                  </a:prstClr>
                </a:outerShdw>
              </a:effectLst>
            </c:spPr>
          </c:dPt>
          <c:dPt>
            <c:idx val="3"/>
            <c:bubble3D val="0"/>
            <c:spPr>
              <a:solidFill>
                <a:schemeClr val="accent4"/>
              </a:solidFill>
              <a:ln>
                <a:noFill/>
              </a:ln>
              <a:effectLst>
                <a:outerShdw blurRad="317500" algn="ctr" rotWithShape="0">
                  <a:prstClr val="black">
                    <a:alpha val="25000"/>
                  </a:prstClr>
                </a:outerShdw>
              </a:effectLst>
            </c:spPr>
          </c:dPt>
          <c:dLbls>
            <c:dLbl>
              <c:idx val="0"/>
              <c:layout>
                <c:manualLayout>
                  <c:x val="-0.144819511936158"/>
                  <c:y val="0.226419313684861"/>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88161674228477"/>
                  <c:y val="-0.143859974159577"/>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168552853359017"/>
                  <c:y val="0.396893298554399"/>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0337105706718035"/>
                  <c:y val="0.117429934261313"/>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inEnd"/>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dk1">
                          <a:lumMod val="35000"/>
                          <a:lumOff val="65000"/>
                        </a:schemeClr>
                      </a:solidFill>
                      <a:round/>
                    </a:ln>
                    <a:effectLst/>
                  </c:spPr>
                </c15:leaderLines>
              </c:ext>
            </c:extLst>
          </c:dLbls>
          <c:cat>
            <c:strRef>
              <c:f>Sheet1!$A$2:$A$5</c:f>
              <c:strCache>
                <c:ptCount val="4"/>
                <c:pt idx="0">
                  <c:v>一般公共预算财政拨款收入</c:v>
                </c:pt>
                <c:pt idx="1">
                  <c:v>政府性基金预算财政拨款收入</c:v>
                </c:pt>
                <c:pt idx="2">
                  <c:v>国有资本经营预算财政拨款收入</c:v>
                </c:pt>
                <c:pt idx="3">
                  <c:v>其他收入</c:v>
                </c:pt>
              </c:strCache>
            </c:strRef>
          </c:cat>
          <c:val>
            <c:numRef>
              <c:f>Sheet1!$B$2:$B$5</c:f>
              <c:numCache>
                <c:formatCode>General</c:formatCode>
                <c:ptCount val="4"/>
                <c:pt idx="0">
                  <c:v>475.57</c:v>
                </c:pt>
                <c:pt idx="1">
                  <c:v>2675.62</c:v>
                </c:pt>
                <c:pt idx="2">
                  <c:v>0</c:v>
                </c:pt>
                <c:pt idx="3">
                  <c:v>0</c:v>
                </c:pt>
              </c:numCache>
            </c:numRef>
          </c:val>
        </c:ser>
        <c:dLbls>
          <c:showLegendKey val="0"/>
          <c:showVal val="0"/>
          <c:showCatName val="0"/>
          <c:showSerName val="0"/>
          <c:showPercent val="1"/>
          <c:showBubbleSize val="0"/>
          <c:showLeaderLines val="1"/>
        </c:dLbls>
        <c:firstSliceAng val="0"/>
      </c:pieChart>
      <c:spPr>
        <a:noFill/>
        <a:ln>
          <a:noFill/>
        </a:ln>
        <a:effectLst/>
      </c:spPr>
    </c:plotArea>
    <c:legend>
      <c:legendPos val="b"/>
      <c:layout/>
      <c:overlay val="0"/>
      <c:spPr>
        <a:solidFill>
          <a:schemeClr val="lt1">
            <a:alpha val="78000"/>
          </a:schemeClr>
        </a:solidFill>
        <a:ln>
          <a:noFill/>
        </a:ln>
        <a:effectLst/>
      </c:spPr>
      <c:txPr>
        <a:bodyPr rot="0" spcFirstLastPara="1" vertOverflow="ellipsis" vert="horz" wrap="square" anchor="ctr" anchorCtr="1"/>
        <a:lstStyle/>
        <a:p>
          <a:pPr>
            <a:defRPr lang="zh-CN" sz="900" b="0" i="0" u="none" strike="noStrike" kern="1200" baseline="0">
              <a:solidFill>
                <a:schemeClr val="dk1">
                  <a:lumMod val="65000"/>
                  <a:lumOff val="35000"/>
                </a:schemeClr>
              </a:solidFill>
              <a:latin typeface="+mn-lt"/>
              <a:ea typeface="+mn-ea"/>
              <a:cs typeface="+mn-cs"/>
            </a:defRPr>
          </a:pPr>
        </a:p>
      </c:txPr>
    </c:legend>
    <c:plotVisOnly val="1"/>
    <c:dispBlanksAs val="gap"/>
    <c:showDLblsOverMax val="0"/>
    <c:extLst>
      <c:ext uri="{0b15fc19-7d7d-44ad-8c2d-2c3a37ce22c3}">
        <chartProps xmlns="https://web.wps.cn/et/2018/main" chartId="{0528ec1f-484c-43d8-a529-6bd8f25258db}"/>
      </c:ext>
    </c:extLst>
  </c:chart>
  <c:spPr>
    <a:pattFill prst="dkDnDiag">
      <a:fgClr>
        <a:schemeClr val="lt1">
          <a:lumMod val="95000"/>
        </a:schemeClr>
      </a:fgClr>
      <a:bgClr>
        <a:schemeClr val="lt1"/>
      </a:bgClr>
    </a:pattFill>
    <a:ln w="9525" cap="flat" cmpd="sng" algn="ctr">
      <a:solidFill>
        <a:schemeClr val="dk1">
          <a:lumMod val="15000"/>
          <a:lumOff val="85000"/>
        </a:schemeClr>
      </a:solidFill>
      <a:round/>
    </a:ln>
    <a:effectLst/>
  </c:spPr>
  <c:txPr>
    <a:bodyPr/>
    <a:lstStyle/>
    <a:p>
      <a:pPr>
        <a:defRPr lang="zh-CN"/>
      </a:pPr>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lang="zh-CN" sz="1400" b="1" i="0" u="none" strike="noStrike" kern="1200" cap="all" spc="5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支出决算结构图</c:v>
                </c:pt>
              </c:strCache>
            </c:strRef>
          </c:tx>
          <c:spPr/>
          <c:explosion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dPt>
          <c:dLbls>
            <c:dLbl>
              <c:idx val="0"/>
              <c:layout>
                <c:manualLayout>
                  <c:x val="-0.0525300939838576"/>
                  <c:y val="0.174179404045083"/>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168109383028301"/>
                  <c:y val="-0.149488960938706"/>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0963159162051529"/>
                  <c:y val="0.281692141423499"/>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manualLayout>
                  <c:x val="-0.00722369371538647"/>
                  <c:y val="0.376635381877575"/>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4"/>
              <c:layout>
                <c:manualLayout>
                  <c:x val="-0.00601974476282206"/>
                  <c:y val="0.181382218863509"/>
                </c:manualLayout>
              </c:layout>
              <c:dLblPos val="bestFit"/>
              <c:showLegendKey val="0"/>
              <c:showVal val="0"/>
              <c:showCatName val="1"/>
              <c:showSerName val="0"/>
              <c:showPercent val="1"/>
              <c:showBubbleSize val="0"/>
              <c:separator>
</c:separator>
              <c:extLst>
                <c:ext xmlns:c15="http://schemas.microsoft.com/office/drawing/2012/chart" uri="{CE6537A1-D6FC-4f65-9D91-7224C49458BB}">
                  <c15:layout>
                    <c:manualLayout>
                      <c:w val="0.287214062123766"/>
                      <c:h val="0.154324207926022"/>
                    </c:manualLayout>
                  </c15:layout>
                </c:ext>
              </c:extLst>
            </c:dLbl>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inEnd"/>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Sheet1!$A$2:$A$6</c:f>
              <c:strCache>
                <c:ptCount val="5"/>
                <c:pt idx="0">
                  <c:v>基本支出</c:v>
                </c:pt>
                <c:pt idx="1">
                  <c:v>项目支出 </c:v>
                </c:pt>
                <c:pt idx="2">
                  <c:v>上缴上级支出</c:v>
                </c:pt>
                <c:pt idx="3">
                  <c:v>经营支出</c:v>
                </c:pt>
                <c:pt idx="4">
                  <c:v>对附属单位补助支出</c:v>
                </c:pt>
              </c:strCache>
            </c:strRef>
          </c:cat>
          <c:val>
            <c:numRef>
              <c:f>Sheet1!$B$2:$B$6</c:f>
              <c:numCache>
                <c:formatCode>General</c:formatCode>
                <c:ptCount val="5"/>
                <c:pt idx="0">
                  <c:v>459.03</c:v>
                </c:pt>
                <c:pt idx="1">
                  <c:v>2775.39</c:v>
                </c:pt>
                <c:pt idx="2">
                  <c:v>0</c:v>
                </c:pt>
                <c:pt idx="3">
                  <c:v>0</c:v>
                </c:pt>
                <c:pt idx="4">
                  <c:v>0</c:v>
                </c:pt>
              </c:numCache>
            </c:numRef>
          </c:val>
        </c:ser>
        <c:dLbls>
          <c:showLegendKey val="0"/>
          <c:showVal val="0"/>
          <c:showCatName val="1"/>
          <c:showSerName val="0"/>
          <c:showPercent val="1"/>
          <c:showBubbleSize val="0"/>
          <c:showLeaderLines val="1"/>
        </c:dLbls>
        <c:firstSliceAng val="0"/>
      </c:pieChart>
      <c:spPr>
        <a:noFill/>
        <a:ln>
          <a:noFill/>
        </a:ln>
        <a:effectLst/>
      </c:spPr>
    </c:plotArea>
    <c:legend>
      <c:legendPos val="t"/>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extLst>
      <c:ext uri="{0b15fc19-7d7d-44ad-8c2d-2c3a37ce22c3}">
        <chartProps xmlns="https://web.wps.cn/et/2018/main" chartId="{730d659a-5c70-4513-858e-6b64d2ab4433}"/>
      </c:ext>
    </c:extLst>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lang="zh-CN" sz="1600" b="1" i="0" u="none" strike="noStrike" kern="1200" cap="all" spc="120" normalizeH="0" baseline="0">
                <a:solidFill>
                  <a:schemeClr val="tx1">
                    <a:lumMod val="65000"/>
                    <a:lumOff val="35000"/>
                  </a:schemeClr>
                </a:solidFill>
                <a:latin typeface="+mn-lt"/>
                <a:ea typeface="+mn-ea"/>
                <a:cs typeface="+mn-cs"/>
              </a:defRPr>
            </a:pPr>
            <a:r>
              <a:rPr lang="zh-CN"/>
              <a:t>财政拨款收、支决算总计变动情况</a:t>
            </a:r>
            <a:endParaRPr lang="en-US" altLang="zh-CN"/>
          </a:p>
          <a:p>
            <a:pPr>
              <a:defRPr lang="zh-CN" sz="1600" b="1" i="0" u="none" strike="noStrike" kern="1200" cap="all" spc="120" normalizeH="0" baseline="0">
                <a:solidFill>
                  <a:schemeClr val="tx1">
                    <a:lumMod val="65000"/>
                    <a:lumOff val="35000"/>
                  </a:schemeClr>
                </a:solidFill>
                <a:latin typeface="+mn-lt"/>
                <a:ea typeface="+mn-ea"/>
                <a:cs typeface="+mn-cs"/>
              </a:defRPr>
            </a:pPr>
            <a:r>
              <a:rPr lang="zh-CN"/>
              <a:t>单位：万元</a:t>
            </a:r>
            <a:endParaRPr lang="zh-CN"/>
          </a:p>
        </c:rich>
      </c:tx>
      <c:layout/>
      <c:overlay val="0"/>
      <c:spPr>
        <a:noFill/>
        <a:ln>
          <a:noFill/>
        </a:ln>
        <a:effectLst/>
      </c:spPr>
    </c:title>
    <c:autoTitleDeleted val="0"/>
    <c:plotArea>
      <c:layout/>
      <c:barChart>
        <c:barDir val="col"/>
        <c:grouping val="clustered"/>
        <c:varyColors val="0"/>
        <c:ser>
          <c:idx val="0"/>
          <c:order val="0"/>
          <c:tx>
            <c:strRef>
              <c:f>Sheet1!$B$1</c:f>
              <c:strCache>
                <c:ptCount val="1"/>
                <c:pt idx="0">
                  <c:v>2018年</c:v>
                </c:pt>
              </c:strCache>
            </c:strRef>
          </c:tx>
          <c:spPr>
            <a:solidFill>
              <a:schemeClr val="accent1"/>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lang="zh-CN" sz="800" b="0" i="0" u="none" strike="noStrike" kern="1200" baseline="0">
                    <a:solidFill>
                      <a:schemeClr val="tx1">
                        <a:lumMod val="50000"/>
                        <a:lumOff val="50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2"/>
                <c:pt idx="0">
                  <c:v>收入</c:v>
                </c:pt>
                <c:pt idx="1">
                  <c:v>支出</c:v>
                </c:pt>
              </c:strCache>
            </c:strRef>
          </c:cat>
          <c:val>
            <c:numRef>
              <c:f>Sheet1!$B$2:$B$5</c:f>
              <c:numCache>
                <c:formatCode>General</c:formatCode>
                <c:ptCount val="4"/>
                <c:pt idx="0">
                  <c:v>4874.55</c:v>
                </c:pt>
                <c:pt idx="1">
                  <c:v>4874.55</c:v>
                </c:pt>
              </c:numCache>
            </c:numRef>
          </c:val>
        </c:ser>
        <c:ser>
          <c:idx val="1"/>
          <c:order val="1"/>
          <c:tx>
            <c:strRef>
              <c:f>Sheet1!$C$1</c:f>
              <c:strCache>
                <c:ptCount val="1"/>
                <c:pt idx="0">
                  <c:v>2019年</c:v>
                </c:pt>
              </c:strCache>
            </c:strRef>
          </c:tx>
          <c:spPr>
            <a:solidFill>
              <a:schemeClr val="accent2"/>
            </a:solidFill>
            <a:ln>
              <a:noFill/>
            </a:ln>
            <a:effectLst/>
          </c:spPr>
          <c:invertIfNegative val="0"/>
          <c:dLbls>
            <c:spPr>
              <a:noFill/>
              <a:ln>
                <a:noFill/>
              </a:ln>
              <a:effectLst/>
            </c:spPr>
            <c:txPr>
              <a:bodyPr rot="-5400000" spcFirstLastPara="1" vertOverflow="clip" horzOverflow="clip" vert="horz" wrap="square" lIns="38100" tIns="19050" rIns="38100" bIns="19050" anchor="ctr" anchorCtr="1">
                <a:spAutoFit/>
              </a:bodyPr>
              <a:lstStyle/>
              <a:p>
                <a:pPr>
                  <a:defRPr lang="zh-CN" sz="800" b="0" i="0" u="none" strike="noStrike" kern="1200" baseline="0">
                    <a:solidFill>
                      <a:schemeClr val="tx1">
                        <a:lumMod val="50000"/>
                        <a:lumOff val="50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2"/>
                <c:pt idx="0">
                  <c:v>收入</c:v>
                </c:pt>
                <c:pt idx="1">
                  <c:v>支出</c:v>
                </c:pt>
              </c:strCache>
            </c:strRef>
          </c:cat>
          <c:val>
            <c:numRef>
              <c:f>Sheet1!$C$2:$C$5</c:f>
              <c:numCache>
                <c:formatCode>General</c:formatCode>
                <c:ptCount val="4"/>
                <c:pt idx="0">
                  <c:v>3151.19</c:v>
                </c:pt>
                <c:pt idx="1">
                  <c:v>3234.42</c:v>
                </c:pt>
              </c:numCache>
            </c:numRef>
          </c:val>
        </c:ser>
        <c:ser>
          <c:idx val="2"/>
          <c:order val="2"/>
          <c:tx>
            <c:strRef>
              <c:f>Sheet1!$D$1</c:f>
              <c:strCache>
                <c:ptCount val="1"/>
                <c:pt idx="0">
                  <c:v>增长率</c:v>
                </c:pt>
              </c:strCache>
            </c:strRef>
          </c:tx>
          <c:spPr>
            <a:solidFill>
              <a:schemeClr val="accent3"/>
            </a:solidFill>
            <a:ln>
              <a:noFill/>
            </a:ln>
            <a:effectLst/>
          </c:spPr>
          <c:invertIfNegative val="0"/>
          <c:dLbls>
            <c:numFmt formatCode="0.00%" sourceLinked="0"/>
            <c:spPr>
              <a:noFill/>
              <a:ln>
                <a:noFill/>
              </a:ln>
              <a:effectLst/>
            </c:spPr>
            <c:txPr>
              <a:bodyPr rot="-5400000" spcFirstLastPara="1" vertOverflow="clip" horzOverflow="clip" vert="horz" wrap="square" lIns="38100" tIns="19050" rIns="38100" bIns="19050" anchor="ctr" anchorCtr="1">
                <a:spAutoFit/>
              </a:bodyPr>
              <a:lstStyle/>
              <a:p>
                <a:pPr>
                  <a:defRPr lang="zh-CN" sz="800" b="0" i="0" u="none" strike="noStrike" kern="1200" baseline="0">
                    <a:solidFill>
                      <a:schemeClr val="tx1">
                        <a:lumMod val="50000"/>
                        <a:lumOff val="50000"/>
                      </a:schemeClr>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a:solidFill>
                        <a:schemeClr val="tx1">
                          <a:lumMod val="35000"/>
                          <a:lumOff val="65000"/>
                        </a:schemeClr>
                      </a:solidFill>
                    </a:ln>
                    <a:effectLst/>
                  </c:spPr>
                </c15:leaderLines>
              </c:ext>
            </c:extLst>
          </c:dLbls>
          <c:cat>
            <c:strRef>
              <c:f>Sheet1!$A$2:$A$5</c:f>
              <c:strCache>
                <c:ptCount val="2"/>
                <c:pt idx="0">
                  <c:v>收入</c:v>
                </c:pt>
                <c:pt idx="1">
                  <c:v>支出</c:v>
                </c:pt>
              </c:strCache>
            </c:strRef>
          </c:cat>
          <c:val>
            <c:numRef>
              <c:f>Sheet1!$D$2:$D$5</c:f>
              <c:numCache>
                <c:formatCode>General</c:formatCode>
                <c:ptCount val="4"/>
                <c:pt idx="0">
                  <c:v>-0.3535</c:v>
                </c:pt>
                <c:pt idx="1">
                  <c:v>-0.1974</c:v>
                </c:pt>
              </c:numCache>
            </c:numRef>
          </c:val>
        </c:ser>
        <c:dLbls>
          <c:showLegendKey val="0"/>
          <c:showVal val="1"/>
          <c:showCatName val="0"/>
          <c:showSerName val="0"/>
          <c:showPercent val="0"/>
          <c:showBubbleSize val="0"/>
        </c:dLbls>
        <c:gapWidth val="444"/>
        <c:overlap val="-90"/>
        <c:axId val="497622088"/>
        <c:axId val="497623072"/>
      </c:barChart>
      <c:catAx>
        <c:axId val="497622088"/>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lang="zh-CN" sz="800" b="0" i="0" u="none" strike="noStrike" kern="1200" cap="all" spc="120" normalizeH="0" baseline="0">
                <a:solidFill>
                  <a:schemeClr val="tx1">
                    <a:lumMod val="65000"/>
                    <a:lumOff val="35000"/>
                  </a:schemeClr>
                </a:solidFill>
                <a:latin typeface="+mn-lt"/>
                <a:ea typeface="+mn-ea"/>
                <a:cs typeface="+mn-cs"/>
              </a:defRPr>
            </a:pPr>
          </a:p>
        </c:txPr>
        <c:crossAx val="497623072"/>
        <c:crosses val="autoZero"/>
        <c:auto val="1"/>
        <c:lblAlgn val="ctr"/>
        <c:lblOffset val="100"/>
        <c:noMultiLvlLbl val="0"/>
      </c:catAx>
      <c:valAx>
        <c:axId val="497623072"/>
        <c:scaling>
          <c:orientation val="minMax"/>
        </c:scaling>
        <c:delete val="1"/>
        <c:axPos val="l"/>
        <c:numFmt formatCode="General" sourceLinked="1"/>
        <c:majorTickMark val="none"/>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497622088"/>
        <c:crosses val="autoZero"/>
        <c:crossBetween val="between"/>
      </c:valAx>
      <c:spPr>
        <a:noFill/>
        <a:ln>
          <a:noFill/>
        </a:ln>
        <a:effectLst/>
      </c:spPr>
    </c:plotArea>
    <c:legend>
      <c:legendPos val="t"/>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extLst>
      <c:ext uri="{0b15fc19-7d7d-44ad-8c2d-2c3a37ce22c3}">
        <chartProps xmlns="https://web.wps.cn/et/2018/main" chartId="{73450053-a4f4-4bbd-9305-72c8e97bf047}"/>
      </c:ext>
    </c:extLst>
  </c:chart>
  <c:spPr>
    <a:solidFill>
      <a:schemeClr val="lt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layout/>
      <c:overlay val="0"/>
      <c:spPr>
        <a:noFill/>
        <a:ln>
          <a:noFill/>
        </a:ln>
        <a:effectLst/>
      </c:spPr>
      <c:txPr>
        <a:bodyPr rot="0" spcFirstLastPara="1" vertOverflow="ellipsis" vert="horz" wrap="square" anchor="ctr" anchorCtr="1"/>
        <a:lstStyle/>
        <a:p>
          <a:pPr>
            <a:defRPr lang="zh-CN" sz="1400" b="1" i="0" u="none" strike="noStrike" kern="1200" cap="all" spc="50" baseline="0">
              <a:solidFill>
                <a:schemeClr val="tx1">
                  <a:lumMod val="65000"/>
                  <a:lumOff val="35000"/>
                </a:schemeClr>
              </a:solidFill>
              <a:latin typeface="+mn-lt"/>
              <a:ea typeface="+mn-ea"/>
              <a:cs typeface="+mn-cs"/>
            </a:defRPr>
          </a:pPr>
        </a:p>
      </c:txPr>
    </c:title>
    <c:autoTitleDeleted val="0"/>
    <c:plotArea>
      <c:layout/>
      <c:pieChart>
        <c:varyColors val="1"/>
        <c:ser>
          <c:idx val="0"/>
          <c:order val="0"/>
          <c:tx>
            <c:strRef>
              <c:f>Sheet1!$B$1</c:f>
              <c:strCache>
                <c:ptCount val="1"/>
                <c:pt idx="0">
                  <c:v>一般公共预算财政拨款支出决算结构图</c:v>
                </c:pt>
              </c:strCache>
            </c:strRef>
          </c:tx>
          <c:spPr/>
          <c:explosion val="0"/>
          <c:dPt>
            <c:idx val="0"/>
            <c:bubble3D val="0"/>
            <c:spPr>
              <a:solidFill>
                <a:schemeClr val="accent1"/>
              </a:solidFill>
              <a:ln>
                <a:noFill/>
              </a:ln>
              <a:effectLst/>
              <a:scene3d>
                <a:camera prst="orthographicFront"/>
                <a:lightRig rig="brightRoom" dir="t"/>
              </a:scene3d>
              <a:sp3d prstMaterial="flat">
                <a:bevelT w="50800" h="101600" prst="angle"/>
                <a:contourClr>
                  <a:srgbClr val="000000"/>
                </a:contourClr>
              </a:sp3d>
            </c:spPr>
          </c:dPt>
          <c:dPt>
            <c:idx val="1"/>
            <c:bubble3D val="0"/>
            <c:spPr>
              <a:solidFill>
                <a:schemeClr val="accent2"/>
              </a:solidFill>
              <a:ln>
                <a:noFill/>
              </a:ln>
              <a:effectLst/>
              <a:scene3d>
                <a:camera prst="orthographicFront"/>
                <a:lightRig rig="brightRoom" dir="t"/>
              </a:scene3d>
              <a:sp3d prstMaterial="flat">
                <a:bevelT w="50800" h="101600" prst="angle"/>
                <a:contourClr>
                  <a:srgbClr val="000000"/>
                </a:contourClr>
              </a:sp3d>
            </c:spPr>
          </c:dPt>
          <c:dPt>
            <c:idx val="2"/>
            <c:bubble3D val="0"/>
            <c:spPr>
              <a:solidFill>
                <a:schemeClr val="accent3"/>
              </a:solidFill>
              <a:ln>
                <a:noFill/>
              </a:ln>
              <a:effectLst/>
              <a:scene3d>
                <a:camera prst="orthographicFront"/>
                <a:lightRig rig="brightRoom" dir="t"/>
              </a:scene3d>
              <a:sp3d prstMaterial="flat">
                <a:bevelT w="50800" h="101600" prst="angle"/>
                <a:contourClr>
                  <a:srgbClr val="000000"/>
                </a:contourClr>
              </a:sp3d>
            </c:spPr>
          </c:dPt>
          <c:dPt>
            <c:idx val="3"/>
            <c:bubble3D val="0"/>
            <c:spPr>
              <a:solidFill>
                <a:schemeClr val="accent4"/>
              </a:solidFill>
              <a:ln>
                <a:noFill/>
              </a:ln>
              <a:effectLst/>
              <a:scene3d>
                <a:camera prst="orthographicFront"/>
                <a:lightRig rig="brightRoom" dir="t"/>
              </a:scene3d>
              <a:sp3d prstMaterial="flat">
                <a:bevelT w="50800" h="101600" prst="angle"/>
                <a:contourClr>
                  <a:srgbClr val="000000"/>
                </a:contourClr>
              </a:sp3d>
            </c:spPr>
          </c:dPt>
          <c:dPt>
            <c:idx val="4"/>
            <c:bubble3D val="0"/>
            <c:spPr>
              <a:solidFill>
                <a:schemeClr val="accent5"/>
              </a:solidFill>
              <a:ln>
                <a:noFill/>
              </a:ln>
              <a:effectLst/>
              <a:scene3d>
                <a:camera prst="orthographicFront"/>
                <a:lightRig rig="brightRoom" dir="t"/>
              </a:scene3d>
              <a:sp3d prstMaterial="flat">
                <a:bevelT w="50800" h="101600" prst="angle"/>
                <a:contourClr>
                  <a:srgbClr val="000000"/>
                </a:contourClr>
              </a:sp3d>
            </c:spPr>
          </c:dPt>
          <c:dPt>
            <c:idx val="5"/>
            <c:bubble3D val="0"/>
            <c:spPr>
              <a:solidFill>
                <a:schemeClr val="accent6"/>
              </a:solidFill>
              <a:ln>
                <a:noFill/>
              </a:ln>
              <a:effectLst/>
              <a:scene3d>
                <a:camera prst="orthographicFront"/>
                <a:lightRig rig="brightRoom" dir="t"/>
              </a:scene3d>
              <a:sp3d prstMaterial="flat">
                <a:bevelT w="50800" h="101600" prst="angle"/>
                <a:contourClr>
                  <a:srgbClr val="000000"/>
                </a:contourClr>
              </a:sp3d>
            </c:spPr>
          </c:dPt>
          <c:dLbls>
            <c:dLbl>
              <c:idx val="0"/>
              <c:layout>
                <c:manualLayout>
                  <c:x val="-0.0959573858950271"/>
                  <c:y val="0.250944638112186"/>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1"/>
              <c:layout>
                <c:manualLayout>
                  <c:x val="-0.075789629354361"/>
                  <c:y val="0.112736078268854"/>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2"/>
              <c:layout>
                <c:manualLayout>
                  <c:x val="-0.0402966454379815"/>
                  <c:y val="0.200071508089353"/>
                </c:manualLayout>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3"/>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inEnd"/>
              <c:showLegendKey val="0"/>
              <c:showVal val="0"/>
              <c:showCatName val="1"/>
              <c:showSerName val="0"/>
              <c:showPercent val="1"/>
              <c:showBubbleSize val="0"/>
              <c:separator>
</c:separator>
              <c:extLst>
                <c:ext xmlns:c15="http://schemas.microsoft.com/office/drawing/2012/chart" uri="{CE6537A1-D6FC-4f65-9D91-7224C49458BB}"/>
              </c:extLst>
            </c:dLbl>
            <c:dLbl>
              <c:idx val="4"/>
              <c:layout>
                <c:manualLayout>
                  <c:x val="0.0895258337109499"/>
                  <c:y val="0.249467671030285"/>
                </c:manualLayout>
              </c:layout>
              <c:tx>
                <c:rich>
                  <a:bodyPr rot="0" spcFirstLastPara="1" vertOverflow="ellipsis" vert="horz" wrap="square" lIns="38100" tIns="19050" rIns="38100" bIns="19050" anchor="ctr" anchorCtr="1">
                    <a:spAutoFit/>
                  </a:bodyPr>
                  <a:lstStyle/>
                  <a:p>
                    <a:fld id="{41cd28a6-d318-4e70-9d65-e663738773ad}" type="CATEGORYNAME">
                      <a:t>[CATEGORY NAME]</a:t>
                    </a:fld>
                    <a:endParaRPr b="0" i="0" u="none" strike="noStrike" baseline="0">
                      <a:latin typeface="Times New Roman" panose="02020603050405020304" charset="0"/>
                      <a:ea typeface="Times New Roman" panose="02020603050405020304" charset="0"/>
                      <a:cs typeface="+mn-ea"/>
                    </a:endParaRPr>
                  </a:p>
                </c:rich>
              </c:tx>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bestFit"/>
              <c:showLegendKey val="0"/>
              <c:showVal val="0"/>
              <c:showCatName val="1"/>
              <c:showSerName val="0"/>
              <c:showPercent val="1"/>
              <c:showBubbleSize val="0"/>
              <c:separator>
</c:separator>
              <c:extLst>
                <c:ext xmlns:c15="http://schemas.microsoft.com/office/drawing/2012/chart" uri="{CE6537A1-D6FC-4f65-9D91-7224C49458BB}">
                  <c15:layout/>
                </c:ext>
              </c:extLst>
            </c:dLbl>
            <c:dLbl>
              <c:idx val="5"/>
              <c:layout/>
              <c:numFmt formatCode="0.00%" sourceLinked="0"/>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inEnd"/>
              <c:showLegendKey val="0"/>
              <c:showVal val="0"/>
              <c:showCatName val="1"/>
              <c:showSerName val="0"/>
              <c:showPercent val="1"/>
              <c:showBubbleSize val="0"/>
              <c:separator>
</c:separator>
              <c:extLst>
                <c:ext xmlns:c15="http://schemas.microsoft.com/office/drawing/2012/chart" uri="{CE6537A1-D6FC-4f65-9D91-7224C49458BB}"/>
              </c:extLst>
            </c:dLbl>
            <c:spPr>
              <a:noFill/>
              <a:ln>
                <a:noFill/>
              </a:ln>
              <a:effectLst/>
            </c:spPr>
            <c:txPr>
              <a:bodyPr rot="0" spcFirstLastPara="1" vertOverflow="ellipsis" vert="horz" wrap="square" lIns="38100" tIns="19050" rIns="38100" bIns="19050" anchor="ctr" anchorCtr="1">
                <a:spAutoFit/>
              </a:bodyPr>
              <a:lstStyle/>
              <a:p>
                <a:pPr>
                  <a:defRPr lang="zh-CN" sz="900" b="1" i="0" u="none" strike="noStrike" kern="1200" baseline="0">
                    <a:solidFill>
                      <a:schemeClr val="lt1"/>
                    </a:solidFill>
                    <a:latin typeface="+mn-lt"/>
                    <a:ea typeface="+mn-ea"/>
                    <a:cs typeface="+mn-cs"/>
                  </a:defRPr>
                </a:pPr>
              </a:p>
            </c:txPr>
            <c:dLblPos val="inEnd"/>
            <c:showLegendKey val="0"/>
            <c:showVal val="0"/>
            <c:showCatName val="1"/>
            <c:showSerName val="0"/>
            <c:showPercent val="1"/>
            <c:showBubbleSize val="0"/>
            <c:showLeaderLines val="1"/>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Sheet1!$A$2:$A$7</c:f>
              <c:strCache>
                <c:ptCount val="6"/>
                <c:pt idx="0">
                  <c:v>社会保障和就业（类）支出</c:v>
                </c:pt>
                <c:pt idx="1">
                  <c:v>医疗卫生支出</c:v>
                </c:pt>
                <c:pt idx="2">
                  <c:v>住房保障支出</c:v>
                </c:pt>
                <c:pt idx="3">
                  <c:v>农林水支出扶贫行政运行</c:v>
                </c:pt>
                <c:pt idx="4">
                  <c:v>其他扶贫支出</c:v>
                </c:pt>
                <c:pt idx="5">
                  <c:v>其他农林水支出</c:v>
                </c:pt>
              </c:strCache>
            </c:strRef>
          </c:cat>
          <c:val>
            <c:numRef>
              <c:f>Sheet1!$B$2:$B$7</c:f>
              <c:numCache>
                <c:formatCode>General</c:formatCode>
                <c:ptCount val="6"/>
                <c:pt idx="0">
                  <c:v>40.44</c:v>
                </c:pt>
                <c:pt idx="1">
                  <c:v>18.59</c:v>
                </c:pt>
                <c:pt idx="2">
                  <c:v>30.33</c:v>
                </c:pt>
                <c:pt idx="3">
                  <c:v>369.67</c:v>
                </c:pt>
                <c:pt idx="4">
                  <c:v>5.34</c:v>
                </c:pt>
                <c:pt idx="5">
                  <c:v>669.5</c:v>
                </c:pt>
              </c:numCache>
            </c:numRef>
          </c:val>
        </c:ser>
        <c:dLbls>
          <c:showLegendKey val="0"/>
          <c:showVal val="0"/>
          <c:showCatName val="1"/>
          <c:showSerName val="0"/>
          <c:showPercent val="1"/>
          <c:showBubbleSize val="0"/>
          <c:showLeaderLines val="1"/>
        </c:dLbls>
        <c:firstSliceAng val="0"/>
      </c:pieChart>
      <c:spPr>
        <a:noFill/>
        <a:ln>
          <a:noFill/>
        </a:ln>
        <a:effectLst/>
      </c:spPr>
    </c:plotArea>
    <c:legend>
      <c:legendPos val="t"/>
      <c:layout/>
      <c:overlay val="0"/>
      <c:spPr>
        <a:noFill/>
        <a:ln>
          <a:noFill/>
        </a:ln>
        <a:effectLst/>
      </c:spPr>
      <c:txPr>
        <a:bodyPr rot="0" spcFirstLastPara="1"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legend>
    <c:plotVisOnly val="1"/>
    <c:dispBlanksAs val="gap"/>
    <c:showDLblsOverMax val="0"/>
    <c:extLst>
      <c:ext uri="{0b15fc19-7d7d-44ad-8c2d-2c3a37ce22c3}">
        <chartProps xmlns="https://web.wps.cn/et/2018/main" chartId="{a3fe1554-2df0-4bca-94cb-e13979230bd2}"/>
      </c:ext>
    </c:extLst>
  </c:chart>
  <c:spPr>
    <a:solidFill>
      <a:schemeClr val="bg1"/>
    </a:solidFill>
    <a:ln w="9525" cap="flat" cmpd="sng" algn="ctr">
      <a:solidFill>
        <a:schemeClr val="tx1">
          <a:lumMod val="15000"/>
          <a:lumOff val="85000"/>
        </a:schemeClr>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40">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3"/>
    <cs:fontRef idx="minor">
      <a:schemeClr val="lt1"/>
    </cs:fontRef>
  </cs:dataPoint>
  <cs:dataPoint3D>
    <cs:lnRef idx="0"/>
    <cs:fillRef idx="3">
      <cs:styleClr val="auto"/>
    </cs:fillRef>
    <cs:effectRef idx="3"/>
    <cs:fontRef idx="minor">
      <a:schemeClr val="lt1"/>
    </cs:fontRef>
  </cs:dataPoint3D>
  <cs:dataPointLine>
    <cs:lnRef idx="0">
      <cs:styleClr val="auto"/>
    </cs:lnRef>
    <cs:fillRef idx="3"/>
    <cs:effectRef idx="3"/>
    <cs:fontRef idx="minor">
      <a:schemeClr val="lt1"/>
    </cs:fontRef>
    <cs:spPr>
      <a:ln w="34925" cap="rnd">
        <a:solidFill>
          <a:schemeClr val="phClr"/>
        </a:solidFill>
        <a:round/>
      </a:ln>
    </cs:spPr>
  </cs:dataPointLine>
  <cs:dataPointMarker>
    <cs:lnRef idx="0">
      <cs:styleClr val="auto"/>
    </cs:lnRef>
    <cs:fillRef idx="3">
      <cs:styleClr val="auto"/>
    </cs:fillRef>
    <cs:effectRef idx="3"/>
    <cs:fontRef idx="minor">
      <a:schemeClr val="lt1"/>
    </cs:fontRef>
    <cs:spPr>
      <a:ln w="9525">
        <a:solidFill>
          <a:schemeClr val="phClr"/>
        </a:solidFill>
        <a:round/>
      </a:ln>
    </cs:spPr>
  </cs:dataPointMarker>
  <cs:dataPointMarkerLayout symbol="circle" size="6"/>
  <cs:dataPointWireframe>
    <cs:lnRef idx="0">
      <cs:styleClr val="auto"/>
    </cs:lnRef>
    <cs:fillRef idx="3"/>
    <cs:effectRef idx="3"/>
    <cs:fontRef idx="minor">
      <a:schemeClr val="lt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lt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cs:lnRef idx="0"/>
    <cs:fillRef idx="0"/>
    <cs:effectRef idx="0"/>
    <cs:fontRef idx="minor">
      <a:schemeClr val="lt1"/>
    </cs:fontRef>
  </cs:plotArea>
  <cs:plotArea3D>
    <cs:lnRef idx="0"/>
    <cs:fillRef idx="0"/>
    <cs:effectRef idx="0"/>
    <cs:fontRef idx="minor">
      <a:schemeClr val="lt1"/>
    </cs:fontRef>
  </cs:plotArea3D>
  <cs:seriesAxis>
    <cs:lnRef idx="0"/>
    <cs:fillRef idx="0"/>
    <cs:effectRef idx="0"/>
    <cs:fontRef idx="minor">
      <a:schemeClr val="tx1">
        <a:lumMod val="65000"/>
        <a:lumOff val="35000"/>
      </a:schemeClr>
    </cs:fontRef>
    <cs:spPr>
      <a:ln w="12700"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baseline="0"/>
  </cs:title>
  <cs:trendline>
    <cs:lnRef idx="0">
      <cs:styleClr val="auto"/>
    </cs:lnRef>
    <cs:fillRef idx="0"/>
    <cs:effectRef idx="0"/>
    <cs:fontRef idx="minor">
      <a:schemeClr val="lt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lt1"/>
    </cs:fontRef>
  </cs:wall>
</cs:chartStyle>
</file>

<file path=word/charts/style2.xml><?xml version="1.0" encoding="utf-8"?>
<cs:chartStyle xmlns:cs="http://schemas.microsoft.com/office/drawing/2012/chartStyle" xmlns:a="http://schemas.openxmlformats.org/drawingml/2006/main" id="261">
  <cs:axisTitle>
    <cs:lnRef idx="0"/>
    <cs:fillRef idx="0"/>
    <cs:effectRef idx="0"/>
    <cs:fontRef idx="minor">
      <a:schemeClr val="dk1">
        <a:lumMod val="65000"/>
        <a:lumOff val="35000"/>
      </a:schemeClr>
    </cs:fontRef>
    <cs:defRPr sz="900" kern="1200"/>
  </cs:axisTitle>
  <cs:categoryAxis>
    <cs:lnRef idx="0"/>
    <cs:fillRef idx="0"/>
    <cs:effectRef idx="0"/>
    <cs:fontRef idx="minor">
      <a:schemeClr val="dk1">
        <a:lumMod val="65000"/>
        <a:lumOff val="35000"/>
      </a:schemeClr>
    </cs:fontRef>
    <cs:defRPr sz="900" kern="1200"/>
  </cs:categoryAxis>
  <cs:chartArea>
    <cs:lnRef idx="0"/>
    <cs:fillRef idx="0"/>
    <cs:effectRef idx="0"/>
    <cs:fontRef idx="minor">
      <a:schemeClr val="dk1"/>
    </cs:fontRef>
    <cs:spPr>
      <a:pattFill prst="dkDnDiag">
        <a:fgClr>
          <a:schemeClr val="lt1">
            <a:lumMod val="95000"/>
          </a:schemeClr>
        </a:fgClr>
        <a:bgClr>
          <a:schemeClr val="lt1"/>
        </a:bgClr>
      </a:pattFill>
      <a:ln w="9525" cap="flat" cmpd="sng" algn="ctr">
        <a:solidFill>
          <a:schemeClr val="dk1">
            <a:lumMod val="15000"/>
            <a:lumOff val="85000"/>
          </a:schemeClr>
        </a:solidFill>
        <a:round/>
      </a:ln>
    </cs:spPr>
    <cs:defRPr sz="900" kern="1200"/>
  </cs:chartArea>
  <cs:dataLabel>
    <cs:lnRef idx="0"/>
    <cs:fillRef idx="0"/>
    <cs:effectRef idx="0"/>
    <cs:fontRef idx="minor">
      <a:schemeClr val="lt1"/>
    </cs:fontRef>
    <cs:defRPr sz="900" b="1" i="0" u="none" strike="noStrike" kern="1200" baseline="0"/>
  </cs:dataLabel>
  <cs:dataLabelCallout>
    <cs:lnRef idx="0"/>
    <cs:fillRef idx="0"/>
    <cs:effectRef idx="0"/>
    <cs:fontRef idx="minor">
      <a:schemeClr val="dk1">
        <a:lumMod val="65000"/>
        <a:lumOff val="35000"/>
      </a:schemeClr>
    </cs:fontRef>
    <cs:spPr>
      <a:solidFill>
        <a:schemeClr val="lt1">
          <a:alpha val="75000"/>
        </a:schemeClr>
      </a:solidFill>
      <a:ln w="9525">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a:effectLst>
        <a:outerShdw blurRad="317500" algn="ctr" rotWithShape="0">
          <a:prstClr val="black">
            <a:alpha val="25000"/>
          </a:prstClr>
        </a:outerShdw>
      </a:effectLst>
    </cs:spPr>
  </cs:dataPoint>
  <cs:dataPoint3D>
    <cs:lnRef idx="0"/>
    <cs:fillRef idx="0">
      <cs:styleClr val="auto"/>
    </cs:fillRef>
    <cs:effectRef idx="0"/>
    <cs:fontRef idx="minor">
      <a:schemeClr val="dk1"/>
    </cs:fontRef>
    <cs:spPr>
      <a:solidFill>
        <a:schemeClr val="phClr"/>
      </a:solidFill>
      <a:effectLst>
        <a:outerShdw blurRad="88900" sx="102000" sy="102000" algn="ctr" rotWithShape="0">
          <a:prstClr val="black">
            <a:alpha val="20000"/>
          </a:prstClr>
        </a:outerShdw>
      </a:effectLst>
      <a:scene3d>
        <a:camera prst="orthographicFront"/>
        <a:lightRig rig="threePt" dir="t"/>
      </a:scene3d>
      <a:sp3d prstMaterial="matte"/>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dk1">
        <a:lumMod val="65000"/>
        <a:lumOff val="35000"/>
      </a:schemeClr>
    </cs:fontRef>
    <cs:spPr>
      <a:noFill/>
      <a:ln w="9525" cap="flat" cmpd="sng" algn="ctr">
        <a:solidFill>
          <a:schemeClr val="dk1">
            <a:lumMod val="15000"/>
            <a:lumOff val="85000"/>
          </a:schemeClr>
        </a:solidFill>
        <a:round/>
      </a:ln>
    </cs:spPr>
    <cs:defRPr sz="900" kern="1200"/>
  </cs:dataTable>
  <cs:downBar>
    <cs:lnRef idx="0"/>
    <cs:fillRef idx="0"/>
    <cs:effectRef idx="0"/>
    <cs:fontRef idx="minor">
      <a:schemeClr val="dk1"/>
    </cs:fontRef>
    <cs:spPr>
      <a:solidFill>
        <a:schemeClr val="dk1">
          <a:lumMod val="75000"/>
          <a:lumOff val="25000"/>
        </a:schemeClr>
      </a:solidFill>
      <a:ln w="9525" cap="flat" cmpd="sng" algn="ctr">
        <a:solidFill>
          <a:schemeClr val="dk1">
            <a:lumMod val="65000"/>
            <a:lumOff val="35000"/>
          </a:schemeClr>
        </a:solidFill>
        <a:round/>
      </a:ln>
    </cs:spPr>
  </cs:downBar>
  <cs:dropLine>
    <cs:lnRef idx="0"/>
    <cs:fillRef idx="0"/>
    <cs:effectRef idx="0"/>
    <cs:fontRef idx="minor">
      <a:schemeClr val="dk1"/>
    </cs:fontRef>
    <cs:spPr>
      <a:ln w="9525" cap="flat" cmpd="sng" algn="ctr">
        <a:solidFill>
          <a:schemeClr val="dk1">
            <a:lumMod val="35000"/>
            <a:lumOff val="65000"/>
          </a:schemeClr>
        </a:solidFill>
        <a:round/>
      </a:ln>
    </cs:spPr>
  </cs:dropLine>
  <cs:errorBar>
    <cs:lnRef idx="0"/>
    <cs:fillRef idx="0"/>
    <cs:effectRef idx="0"/>
    <cs:fontRef idx="minor">
      <a:schemeClr val="dk1"/>
    </cs:fontRef>
    <cs:spPr>
      <a:ln w="9525" cap="flat" cmpd="sng" algn="ctr">
        <a:solidFill>
          <a:schemeClr val="dk1">
            <a:lumMod val="65000"/>
            <a:lumOff val="35000"/>
          </a:schemeClr>
        </a:solidFill>
        <a:round/>
      </a:ln>
    </cs:spPr>
  </cs:errorBar>
  <cs:floor>
    <cs:lnRef idx="0"/>
    <cs:fillRef idx="0"/>
    <cs:effectRef idx="0"/>
    <cs:fontRef idx="minor">
      <a:schemeClr val="dk1"/>
    </cs:fontRef>
    <cs:spPr>
      <a:noFill/>
      <a:ln>
        <a:noFill/>
      </a:ln>
    </cs:spPr>
  </cs:floor>
  <cs:gridlineMajor>
    <cs:lnRef idx="0"/>
    <cs:fillRef idx="0"/>
    <cs:effectRef idx="0"/>
    <cs:fontRef idx="minor">
      <a:schemeClr val="dk1"/>
    </cs:fontRef>
    <cs:spPr>
      <a:ln w="9525" cap="flat" cmpd="sng" algn="ctr">
        <a:solidFill>
          <a:schemeClr val="dk1">
            <a:lumMod val="15000"/>
            <a:lumOff val="85000"/>
          </a:schemeClr>
        </a:solidFill>
        <a:round/>
      </a:ln>
    </cs:spPr>
  </cs:gridlineMajor>
  <cs:gridlineMinor>
    <cs:lnRef idx="0"/>
    <cs:fillRef idx="0"/>
    <cs:effectRef idx="0"/>
    <cs:fontRef idx="minor">
      <a:schemeClr val="dk1"/>
    </cs:fontRef>
    <cs:spPr>
      <a:ln w="9525" cap="flat" cmpd="sng" algn="ctr">
        <a:solidFill>
          <a:schemeClr val="dk1">
            <a:lumMod val="5000"/>
            <a:lumOff val="95000"/>
          </a:schemeClr>
        </a:solidFill>
        <a:round/>
      </a:ln>
    </cs:spPr>
  </cs:gridlineMinor>
  <cs:hiLoLine>
    <cs:lnRef idx="0"/>
    <cs:fillRef idx="0"/>
    <cs:effectRef idx="0"/>
    <cs:fontRef idx="minor">
      <a:schemeClr val="dk1"/>
    </cs:fontRef>
    <cs:spPr>
      <a:ln w="9525" cap="flat" cmpd="sng" algn="ctr">
        <a:solidFill>
          <a:schemeClr val="dk1">
            <a:lumMod val="50000"/>
            <a:lumOff val="50000"/>
          </a:schemeClr>
        </a:solidFill>
        <a:round/>
      </a:ln>
    </cs:spPr>
  </cs:hiLoLine>
  <cs:leaderLine>
    <cs:lnRef idx="0"/>
    <cs:fillRef idx="0"/>
    <cs:effectRef idx="0"/>
    <cs:fontRef idx="minor">
      <a:schemeClr val="dk1"/>
    </cs:fontRef>
    <cs:spPr>
      <a:ln w="9525" cap="flat" cmpd="sng" algn="ctr">
        <a:solidFill>
          <a:schemeClr val="dk1">
            <a:lumMod val="35000"/>
            <a:lumOff val="65000"/>
          </a:schemeClr>
        </a:solidFill>
        <a:round/>
      </a:ln>
    </cs:spPr>
  </cs:leaderLine>
  <cs:legend>
    <cs:lnRef idx="0"/>
    <cs:fillRef idx="0"/>
    <cs:effectRef idx="0"/>
    <cs:fontRef idx="minor">
      <a:schemeClr val="dk1">
        <a:lumMod val="65000"/>
        <a:lumOff val="35000"/>
      </a:schemeClr>
    </cs:fontRef>
    <cs:spPr>
      <a:solidFill>
        <a:schemeClr val="lt1">
          <a:alpha val="78000"/>
        </a:schemeClr>
      </a:solidFill>
    </cs:spPr>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dk1">
        <a:lumMod val="65000"/>
        <a:lumOff val="35000"/>
      </a:schemeClr>
    </cs:fontRef>
    <cs:defRPr sz="900" kern="1200"/>
  </cs:seriesAxis>
  <cs:seriesLine>
    <cs:lnRef idx="0"/>
    <cs:fillRef idx="0"/>
    <cs:effectRef idx="0"/>
    <cs:fontRef idx="minor">
      <a:schemeClr val="dk1"/>
    </cs:fontRef>
    <cs:spPr>
      <a:ln w="9525" cap="flat" cmpd="sng" algn="ctr">
        <a:solidFill>
          <a:schemeClr val="dk1">
            <a:lumMod val="35000"/>
            <a:lumOff val="65000"/>
          </a:schemeClr>
        </a:solidFill>
        <a:round/>
      </a:ln>
    </cs:spPr>
  </cs:seriesLine>
  <cs:title>
    <cs:lnRef idx="0"/>
    <cs:fillRef idx="0"/>
    <cs:effectRef idx="0"/>
    <cs:fontRef idx="minor">
      <a:schemeClr val="dk1">
        <a:lumMod val="65000"/>
        <a:lumOff val="35000"/>
      </a:schemeClr>
    </cs:fontRef>
    <cs:defRPr sz="1800" b="1" kern="120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dk1">
        <a:lumMod val="65000"/>
        <a:lumOff val="35000"/>
      </a:schemeClr>
    </cs:fontRef>
    <cs:defRPr sz="900" kern="1200"/>
  </cs:trendlineLabel>
  <cs:upBar>
    <cs:lnRef idx="0"/>
    <cs:fillRef idx="0"/>
    <cs:effectRef idx="0"/>
    <cs:fontRef idx="minor">
      <a:schemeClr val="dk1"/>
    </cs:fontRef>
    <cs:spPr>
      <a:solidFill>
        <a:schemeClr val="lt1"/>
      </a:solidFill>
      <a:ln w="9525" cap="flat" cmpd="sng" algn="ctr">
        <a:solidFill>
          <a:schemeClr val="dk1">
            <a:lumMod val="65000"/>
            <a:lumOff val="35000"/>
          </a:schemeClr>
        </a:solidFill>
        <a:round/>
      </a:ln>
    </cs:spPr>
  </cs:upBar>
  <cs:valueAxis>
    <cs:lnRef idx="0"/>
    <cs:fillRef idx="0"/>
    <cs:effectRef idx="0"/>
    <cs:fontRef idx="minor">
      <a:schemeClr val="dk1">
        <a:lumMod val="65000"/>
        <a:lumOff val="35000"/>
      </a:schemeClr>
    </cs:fontRef>
    <cs:defRPr sz="900" kern="1200"/>
  </cs:valueAxis>
  <cs:wall>
    <cs:lnRef idx="0"/>
    <cs:fillRef idx="0"/>
    <cs:effectRef idx="0"/>
    <cs:fontRef idx="minor">
      <a:schemeClr val="dk1"/>
    </cs:fontRef>
  </cs:wall>
</cs:chartStyle>
</file>

<file path=word/charts/style3.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4.xml><?xml version="1.0" encoding="utf-8"?>
<cs:chartStyle xmlns:cs="http://schemas.microsoft.com/office/drawing/2012/chartStyle" xmlns:a="http://schemas.openxmlformats.org/drawingml/2006/main" id="258">
  <cs:axisTitle>
    <cs:lnRef idx="0"/>
    <cs:fillRef idx="0"/>
    <cs:effectRef idx="0"/>
    <cs:fontRef idx="minor">
      <a:schemeClr val="tx1">
        <a:lumMod val="65000"/>
        <a:lumOff val="35000"/>
      </a:schemeClr>
    </cs:fontRef>
    <cs:defRPr sz="900" kern="1200"/>
  </cs:axisTitle>
  <cs:categoryAxis>
    <cs:lnRef idx="0"/>
    <cs:fillRef idx="0"/>
    <cs:effectRef idx="0"/>
    <cs:fontRef idx="minor">
      <a:schemeClr val="tx1">
        <a:lumMod val="65000"/>
        <a:lumOff val="35000"/>
      </a:schemeClr>
    </cs:fontRef>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lt1"/>
    </cs:fontRef>
    <cs:defRPr sz="900" b="1"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scene3d>
        <a:camera prst="orthographicFront"/>
        <a:lightRig rig="brightRoom" dir="t"/>
      </a:scene3d>
      <a:sp3d prstMaterial="flat">
        <a:bevelT w="50800" h="101600" prst="angle"/>
        <a:contourClr>
          <a:srgbClr val="000000"/>
        </a:contourClr>
      </a:sp3d>
    </cs:spPr>
  </cs:dataPoint>
  <cs:dataPoint3D>
    <cs:lnRef idx="0"/>
    <cs:fillRef idx="0">
      <cs:styleClr val="auto"/>
    </cs:fillRef>
    <cs:effectRef idx="0"/>
    <cs:fontRef idx="minor">
      <a:schemeClr val="tx1"/>
    </cs:fontRef>
    <cs:spPr>
      <a:solidFill>
        <a:schemeClr val="phClr"/>
      </a:solidFill>
      <a:ln w="19050">
        <a:solidFill>
          <a:schemeClr val="lt1"/>
        </a:solidFill>
      </a:ln>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6"/>
  <cs:dataPointWireframe>
    <cs:lnRef idx="0">
      <cs:styleClr val="auto"/>
    </cs:lnRef>
    <cs:fillRef idx="0"/>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1" i="0" kern="1200" cap="all" spc="50" baseline="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2">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800" kern="1200" cap="all" spc="120" normalizeH="0" baseline="0"/>
  </cs:categoryAxis>
  <cs:chartArea mods="allowNoFillOverride allowNoLineOverride">
    <cs:lnRef idx="0"/>
    <cs:fillRef idx="0"/>
    <cs:effectRef idx="0"/>
    <cs:fontRef idx="minor">
      <a:schemeClr val="dk1"/>
    </cs:fontRef>
    <cs:spPr>
      <a:solidFill>
        <a:schemeClr val="lt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50000"/>
        <a:lumOff val="50000"/>
      </a:schemeClr>
    </cs:fontRef>
    <cs:defRPr sz="800" b="0" i="0" u="none" strike="noStrike" kern="1200" baseline="0"/>
    <cs:bodyPr rot="-5400000" spcFirstLastPara="1" vertOverflow="clip" horzOverflow="clip" vert="horz" wrap="square" lIns="38100" tIns="19050" rIns="38100" bIns="19050" anchor="ctr" anchorCtr="1">
      <a:spAutoFit/>
    </cs:bodyPr>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22225" cap="rnd">
        <a:solidFill>
          <a:schemeClr val="phClr"/>
        </a:solidFill>
        <a:round/>
      </a:ln>
    </cs:spPr>
  </cs:dataPointLine>
  <cs:dataPointMarker>
    <cs:lnRef idx="0">
      <cs:styleClr val="auto"/>
    </cs:lnRef>
    <cs:fillRef idx="0">
      <cs:styleClr val="auto"/>
    </cs:fillRef>
    <cs:effectRef idx="0"/>
    <cs:fontRef idx="minor">
      <a:schemeClr val="dk1"/>
    </cs:fontRef>
    <cs:spPr>
      <a:solidFill>
        <a:schemeClr val="phClr"/>
      </a:solidFill>
      <a:ln w="9525">
        <a:solidFill>
          <a:schemeClr val="phClr"/>
        </a:solidFill>
        <a:round/>
      </a:ln>
    </cs:spPr>
  </cs:dataPointMarker>
  <cs:dataPointMarkerLayout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15000"/>
            <a:lumOff val="85000"/>
          </a:schemeClr>
        </a:solidFill>
      </a:ln>
    </cs:spPr>
  </cs:downBar>
  <cs:dropLine>
    <cs:lnRef idx="0"/>
    <cs:fillRef idx="0"/>
    <cs:effectRef idx="0"/>
    <cs:fontRef idx="minor">
      <a:schemeClr val="dk1"/>
    </cs:fontRef>
    <cs:spPr>
      <a:ln w="9525">
        <a:solidFill>
          <a:schemeClr val="tx1">
            <a:lumMod val="35000"/>
            <a:lumOff val="65000"/>
          </a:schemeClr>
        </a:solidFill>
      </a:ln>
    </cs:spPr>
  </cs:dropLine>
  <cs:errorBar>
    <cs:lnRef idx="0"/>
    <cs:fillRef idx="0"/>
    <cs:effectRef idx="0"/>
    <cs:fontRef idx="minor">
      <a:schemeClr val="dk1"/>
    </cs:fontRef>
    <cs:spPr>
      <a:ln w="9525">
        <a:solidFill>
          <a:schemeClr val="tx1">
            <a:lumMod val="65000"/>
            <a:lumOff val="35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50000"/>
            <a:lumOff val="50000"/>
          </a:schemeClr>
        </a:solidFill>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65000"/>
        <a:lumOff val="35000"/>
      </a:schemeClr>
    </cs:fontRef>
    <cs:defRPr sz="1600" b="1" kern="1200" cap="all" spc="120" normalizeH="0" baseline="0"/>
  </cs:title>
  <cs:trendline>
    <cs:lnRef idx="0">
      <cs:styleClr val="auto"/>
    </cs:lnRef>
    <cs:fillRef idx="0"/>
    <cs:effectRef idx="0"/>
    <cs:fontRef idx="minor">
      <a:schemeClr val="dk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800" kern="1200"/>
  </cs:trendlineLabel>
  <cs:upBar>
    <cs:lnRef idx="0"/>
    <cs:fillRef idx="0"/>
    <cs:effectRef idx="0"/>
    <cs:fontRef idx="minor">
      <a:schemeClr val="dk1"/>
    </cs:fontRef>
    <cs:spPr>
      <a:solidFill>
        <a:schemeClr val="lt1"/>
      </a:solidFill>
      <a:ln w="9525">
        <a:solidFill>
          <a:schemeClr val="tx1">
            <a:lumMod val="65000"/>
            <a:lumOff val="35000"/>
          </a:schemeClr>
        </a:solidFill>
      </a:ln>
    </cs:spPr>
  </cs:upBar>
  <cs:valueAxis>
    <cs:lnRef idx="0"/>
    <cs:fillRef idx="0"/>
    <cs:effectRef idx="0"/>
    <cs:fontRef idx="minor">
      <a:schemeClr val="tx1">
        <a:lumMod val="65000"/>
        <a:lumOff val="35000"/>
      </a:schemeClr>
    </cs:fontRef>
    <cs:spPr>
      <a:ln w="9525" cap="flat" cmpd="sng" algn="ctr">
        <a:solidFill>
          <a:schemeClr val="dk1">
            <a:lumMod val="15000"/>
            <a:lumOff val="85000"/>
          </a:schemeClr>
        </a:solidFill>
        <a:round/>
      </a:ln>
    </cs:spPr>
    <cs:defRPr sz="900" kern="1200"/>
  </cs:valueAxis>
  <cs:wall>
    <cs:lnRef idx="0"/>
    <cs:fillRef idx="0"/>
    <cs:effectRef idx="0"/>
    <cs:fontRef idx="minor">
      <a:schemeClr val="dk1"/>
    </cs:fontRef>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四川省财政厅</Company>
  <Pages>45</Pages>
  <Words>7207</Words>
  <Characters>8080</Characters>
  <Lines>163</Lines>
  <Paragraphs>46</Paragraphs>
  <TotalTime>0</TotalTime>
  <ScaleCrop>false</ScaleCrop>
  <LinksUpToDate>false</LinksUpToDate>
  <CharactersWithSpaces>8350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昭化融媒体</cp:lastModifiedBy>
  <cp:lastPrinted>2019-08-01T00:48:00Z</cp:lastPrinted>
  <dcterms:modified xsi:type="dcterms:W3CDTF">2025-04-01T01:04:24Z</dcterms:modified>
  <dc:title>四川省***</dc:title>
  <cp:revision>26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518BEBB7D6624B3299FC94EBEFF9E3BF</vt:lpwstr>
  </property>
  <property fmtid="{D5CDD505-2E9C-101B-9397-08002B2CF9AE}" pid="4" name="KSOTemplateDocerSaveRecord">
    <vt:lpwstr>eyJoZGlkIjoiMGVhYTg4NGNkZWJkODFjNzcyZDRjM2M4Y2UzNjI5ZmUiLCJ1c2VySWQiOiI2MTE2MzEwMDYifQ==</vt:lpwstr>
  </property>
</Properties>
</file>