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B9413A">
      <w:pPr>
        <w:spacing w:line="600" w:lineRule="exact"/>
        <w:jc w:val="center"/>
        <w:outlineLvl w:val="0"/>
        <w:rPr>
          <w:rFonts w:ascii="方正小标宋简体" w:hAnsi="宋体" w:eastAsia="方正小标宋简体"/>
          <w:color w:val="000000"/>
          <w:sz w:val="72"/>
          <w:szCs w:val="72"/>
        </w:rPr>
      </w:pPr>
      <w:bookmarkStart w:id="0" w:name="_Toc15306267"/>
    </w:p>
    <w:p w14:paraId="7FA9DE41">
      <w:pPr>
        <w:pStyle w:val="2"/>
      </w:pPr>
    </w:p>
    <w:p w14:paraId="6F616CBD">
      <w:pPr>
        <w:spacing w:line="600" w:lineRule="exact"/>
        <w:jc w:val="center"/>
        <w:outlineLvl w:val="0"/>
        <w:rPr>
          <w:rFonts w:ascii="方正小标宋简体" w:hAnsi="宋体" w:eastAsia="方正小标宋简体"/>
          <w:color w:val="000000"/>
          <w:sz w:val="72"/>
          <w:szCs w:val="72"/>
        </w:rPr>
      </w:pPr>
    </w:p>
    <w:p w14:paraId="43292A1E">
      <w:pPr>
        <w:spacing w:line="600" w:lineRule="exact"/>
        <w:jc w:val="center"/>
        <w:outlineLvl w:val="0"/>
        <w:rPr>
          <w:rFonts w:ascii="方正小标宋简体" w:hAnsi="宋体" w:eastAsia="方正小标宋简体"/>
          <w:color w:val="000000"/>
          <w:sz w:val="72"/>
          <w:szCs w:val="72"/>
        </w:rPr>
      </w:pPr>
    </w:p>
    <w:p w14:paraId="47ACD2BC">
      <w:pPr>
        <w:spacing w:line="600" w:lineRule="exact"/>
        <w:jc w:val="center"/>
        <w:outlineLvl w:val="0"/>
        <w:rPr>
          <w:rFonts w:ascii="方正小标宋简体" w:hAnsi="宋体" w:eastAsia="方正小标宋简体"/>
          <w:color w:val="000000"/>
          <w:sz w:val="72"/>
          <w:szCs w:val="72"/>
        </w:rPr>
      </w:pPr>
    </w:p>
    <w:p w14:paraId="0D47421E">
      <w:pPr>
        <w:adjustRightInd w:val="0"/>
        <w:snapToGrid w:val="0"/>
        <w:spacing w:line="360" w:lineRule="auto"/>
        <w:jc w:val="center"/>
        <w:outlineLvl w:val="0"/>
        <w:rPr>
          <w:rFonts w:hint="eastAsia" w:ascii="方正小标宋简体" w:hAnsi="宋体" w:eastAsia="方正小标宋简体"/>
          <w:color w:val="000000"/>
          <w:sz w:val="52"/>
          <w:szCs w:val="52"/>
          <w:lang w:eastAsia="zh-CN"/>
        </w:rPr>
      </w:pPr>
      <w:bookmarkStart w:id="1" w:name="_Toc15377193"/>
      <w:bookmarkStart w:id="2" w:name="_Toc15396475"/>
      <w:bookmarkStart w:id="3" w:name="_Toc15378441"/>
      <w:bookmarkStart w:id="4" w:name="_Toc15396597"/>
      <w:bookmarkStart w:id="5" w:name="_Toc15377425"/>
      <w:r>
        <w:rPr>
          <w:rFonts w:hint="eastAsia" w:ascii="方正小标宋简体" w:hAnsi="宋体" w:eastAsia="方正小标宋简体"/>
          <w:color w:val="000000"/>
          <w:sz w:val="52"/>
          <w:szCs w:val="52"/>
        </w:rPr>
        <w:t>四川省</w:t>
      </w:r>
      <w:r>
        <w:rPr>
          <w:rFonts w:hint="eastAsia" w:ascii="方正小标宋简体" w:hAnsi="宋体" w:eastAsia="方正小标宋简体"/>
          <w:color w:val="000000"/>
          <w:sz w:val="52"/>
          <w:szCs w:val="52"/>
          <w:lang w:eastAsia="zh-CN"/>
        </w:rPr>
        <w:t>广元市昭化生态环境局</w:t>
      </w:r>
    </w:p>
    <w:p w14:paraId="5A25B4ED">
      <w:pPr>
        <w:adjustRightInd w:val="0"/>
        <w:snapToGrid w:val="0"/>
        <w:spacing w:line="360" w:lineRule="auto"/>
        <w:jc w:val="center"/>
        <w:outlineLvl w:val="0"/>
        <w:rPr>
          <w:rFonts w:hint="eastAsia" w:ascii="方正小标宋简体" w:hAnsi="宋体" w:eastAsia="方正小标宋简体"/>
          <w:color w:val="000000"/>
          <w:sz w:val="52"/>
          <w:szCs w:val="52"/>
          <w:lang w:val="en-US" w:eastAsia="zh-CN"/>
        </w:rPr>
      </w:pPr>
      <w:r>
        <w:rPr>
          <w:rFonts w:ascii="黑体" w:hAnsi="黑体" w:eastAsia="黑体"/>
          <w:color w:val="000000"/>
          <w:sz w:val="52"/>
          <w:szCs w:val="52"/>
        </w:rPr>
        <w:t>201</w:t>
      </w:r>
      <w:r>
        <w:rPr>
          <w:rFonts w:hint="eastAsia" w:ascii="黑体" w:hAnsi="黑体" w:eastAsia="黑体"/>
          <w:color w:val="000000"/>
          <w:sz w:val="52"/>
          <w:szCs w:val="52"/>
        </w:rPr>
        <w:t>9</w:t>
      </w:r>
      <w:r>
        <w:rPr>
          <w:rFonts w:hint="eastAsia" w:ascii="方正小标宋简体" w:hAnsi="宋体" w:eastAsia="方正小标宋简体"/>
          <w:color w:val="000000"/>
          <w:sz w:val="52"/>
          <w:szCs w:val="52"/>
        </w:rPr>
        <w:t>年</w:t>
      </w:r>
      <w:bookmarkEnd w:id="0"/>
      <w:bookmarkEnd w:id="1"/>
      <w:bookmarkEnd w:id="2"/>
      <w:bookmarkEnd w:id="3"/>
      <w:bookmarkEnd w:id="4"/>
      <w:bookmarkEnd w:id="5"/>
      <w:bookmarkStart w:id="6" w:name="_Toc15377426"/>
      <w:bookmarkStart w:id="7" w:name="_Toc15306268"/>
      <w:bookmarkStart w:id="8" w:name="_Toc15396476"/>
      <w:bookmarkStart w:id="9" w:name="_Toc15377194"/>
      <w:bookmarkStart w:id="10" w:name="_Toc15378442"/>
      <w:bookmarkStart w:id="11" w:name="_Toc15396598"/>
      <w:r>
        <w:rPr>
          <w:rFonts w:hint="eastAsia" w:ascii="方正小标宋简体" w:hAnsi="宋体" w:eastAsia="方正小标宋简体"/>
          <w:color w:val="000000"/>
          <w:sz w:val="52"/>
          <w:szCs w:val="52"/>
        </w:rPr>
        <w:t>部门决算</w:t>
      </w:r>
      <w:bookmarkEnd w:id="6"/>
      <w:bookmarkEnd w:id="7"/>
      <w:bookmarkEnd w:id="8"/>
      <w:bookmarkEnd w:id="9"/>
      <w:bookmarkEnd w:id="10"/>
      <w:bookmarkEnd w:id="11"/>
      <w:r>
        <w:rPr>
          <w:rFonts w:hint="eastAsia" w:ascii="方正小标宋简体" w:hAnsi="宋体" w:eastAsia="方正小标宋简体"/>
          <w:color w:val="000000"/>
          <w:sz w:val="52"/>
          <w:szCs w:val="52"/>
          <w:lang w:eastAsia="zh-CN"/>
        </w:rPr>
        <w:t>公开</w:t>
      </w:r>
    </w:p>
    <w:p w14:paraId="2FA4B945">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14:paraId="66A43F96">
      <w:pPr>
        <w:widowControl/>
        <w:jc w:val="center"/>
        <w:rPr>
          <w:rFonts w:ascii="黑体" w:hAnsi="黑体" w:eastAsia="黑体" w:cs="Times New Roman"/>
          <w:sz w:val="28"/>
          <w:szCs w:val="28"/>
        </w:rPr>
      </w:pPr>
    </w:p>
    <w:p w14:paraId="224DEDCB"/>
    <w:p w14:paraId="0BC8439B">
      <w:pPr>
        <w:pStyle w:val="8"/>
        <w:adjustRightInd w:val="0"/>
        <w:snapToGrid w:val="0"/>
        <w:spacing w:before="0" w:line="440" w:lineRule="exact"/>
        <w:jc w:val="left"/>
        <w:rPr>
          <w:rFonts w:cs="Times New Roman"/>
          <w:sz w:val="24"/>
          <w:szCs w:val="24"/>
        </w:rPr>
      </w:pPr>
      <w:r>
        <w:rPr>
          <w:rFonts w:hint="eastAsia"/>
          <w:sz w:val="24"/>
        </w:rPr>
        <w:t>第一部分</w:t>
      </w:r>
      <w:r>
        <w:rPr>
          <w:sz w:val="24"/>
        </w:rPr>
        <w:t xml:space="preserve"> </w:t>
      </w:r>
      <w:r>
        <w:rPr>
          <w:rFonts w:hint="eastAsia"/>
          <w:sz w:val="24"/>
        </w:rPr>
        <w:t>部门概况</w:t>
      </w:r>
    </w:p>
    <w:p w14:paraId="5B2E7024">
      <w:pPr>
        <w:pStyle w:val="9"/>
        <w:adjustRightInd w:val="0"/>
        <w:snapToGrid w:val="0"/>
        <w:spacing w:line="440" w:lineRule="exact"/>
        <w:jc w:val="left"/>
        <w:rPr>
          <w:rFonts w:hint="default" w:ascii="仿宋" w:hAnsi="仿宋" w:eastAsia="宋体"/>
          <w:sz w:val="24"/>
          <w:lang w:val="en-US" w:eastAsia="zh-CN"/>
        </w:rPr>
      </w:pPr>
      <w:r>
        <w:rPr>
          <w:rFonts w:hint="eastAsia"/>
          <w:sz w:val="24"/>
        </w:rPr>
        <w:t>一、基本职能及主要工作</w:t>
      </w:r>
      <w:r>
        <w:rPr>
          <w:rFonts w:hint="eastAsia"/>
          <w:sz w:val="24"/>
          <w:lang w:val="en-US" w:eastAsia="zh-CN"/>
        </w:rPr>
        <w:t>...............................................................................  4</w:t>
      </w:r>
    </w:p>
    <w:p w14:paraId="60C0A996">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二、机构设置</w:t>
      </w:r>
      <w:r>
        <w:rPr>
          <w:rFonts w:hint="eastAsia"/>
          <w:sz w:val="24"/>
          <w:lang w:val="en-US" w:eastAsia="zh-CN"/>
        </w:rPr>
        <w:t>...................................................................................................  13</w:t>
      </w:r>
    </w:p>
    <w:p w14:paraId="2038ACC9">
      <w:pPr>
        <w:pStyle w:val="8"/>
        <w:adjustRightInd w:val="0"/>
        <w:snapToGrid w:val="0"/>
        <w:spacing w:before="0" w:line="440" w:lineRule="exact"/>
        <w:jc w:val="left"/>
        <w:rPr>
          <w:sz w:val="24"/>
          <w:szCs w:val="24"/>
        </w:rPr>
      </w:pPr>
      <w:r>
        <w:rPr>
          <w:rFonts w:hint="eastAsia"/>
          <w:sz w:val="24"/>
        </w:rPr>
        <w:t>第二部分</w:t>
      </w:r>
      <w:r>
        <w:rPr>
          <w:rFonts w:hint="eastAsia"/>
          <w:sz w:val="24"/>
          <w:lang w:val="en-US" w:eastAsia="zh-CN"/>
        </w:rPr>
        <w:t xml:space="preserve"> </w:t>
      </w:r>
      <w:r>
        <w:rPr>
          <w:rFonts w:hint="eastAsia"/>
          <w:sz w:val="24"/>
        </w:rPr>
        <w:t>部门决算情况说明</w:t>
      </w:r>
    </w:p>
    <w:p w14:paraId="42D4C260">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一、收入支出决算总体情况说明</w:t>
      </w:r>
      <w:r>
        <w:rPr>
          <w:rFonts w:hint="eastAsia"/>
          <w:sz w:val="24"/>
          <w:lang w:val="en-US" w:eastAsia="zh-CN"/>
        </w:rPr>
        <w:t>...................................................................  13</w:t>
      </w:r>
    </w:p>
    <w:p w14:paraId="07C07C28">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二、收入决算情况说明</w:t>
      </w:r>
      <w:r>
        <w:rPr>
          <w:rFonts w:hint="eastAsia"/>
          <w:sz w:val="24"/>
          <w:lang w:val="en-US" w:eastAsia="zh-CN"/>
        </w:rPr>
        <w:t>...................................................................................  14</w:t>
      </w:r>
    </w:p>
    <w:p w14:paraId="74BF948E">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三、支出决算情况说明</w:t>
      </w:r>
      <w:r>
        <w:rPr>
          <w:rFonts w:hint="eastAsia"/>
          <w:sz w:val="24"/>
          <w:lang w:val="en-US" w:eastAsia="zh-CN"/>
        </w:rPr>
        <w:t>...................................................................................  14</w:t>
      </w:r>
    </w:p>
    <w:p w14:paraId="5C8C4F28">
      <w:pPr>
        <w:pStyle w:val="9"/>
        <w:adjustRightInd w:val="0"/>
        <w:snapToGrid w:val="0"/>
        <w:spacing w:line="440" w:lineRule="exact"/>
        <w:jc w:val="left"/>
        <w:rPr>
          <w:rFonts w:ascii="仿宋" w:hAnsi="仿宋" w:eastAsia="仿宋" w:cs="Times New Roman"/>
          <w:sz w:val="24"/>
        </w:rPr>
      </w:pPr>
      <w:r>
        <w:rPr>
          <w:rFonts w:hint="eastAsia"/>
          <w:sz w:val="24"/>
        </w:rPr>
        <w:t>四、财政拨款收入支出决算总体情况说明</w:t>
      </w:r>
      <w:r>
        <w:rPr>
          <w:rFonts w:hint="eastAsia"/>
          <w:sz w:val="24"/>
          <w:lang w:val="en-US" w:eastAsia="zh-CN"/>
        </w:rPr>
        <w:t>...................................................  14</w:t>
      </w:r>
    </w:p>
    <w:p w14:paraId="0AB81A52">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五、一般公共预算财政拨款支出决算情况说明</w:t>
      </w:r>
      <w:r>
        <w:rPr>
          <w:rFonts w:hint="eastAsia"/>
          <w:sz w:val="24"/>
          <w:lang w:val="en-US" w:eastAsia="zh-CN"/>
        </w:rPr>
        <w:t>...........................................  14</w:t>
      </w:r>
    </w:p>
    <w:p w14:paraId="4ECDDE7C">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六、一般公共预算财政拨款基本支出决算情况说明</w:t>
      </w:r>
      <w:r>
        <w:rPr>
          <w:rFonts w:hint="eastAsia"/>
          <w:sz w:val="24"/>
          <w:lang w:val="en-US" w:eastAsia="zh-CN"/>
        </w:rPr>
        <w:t>...................................  16</w:t>
      </w:r>
    </w:p>
    <w:p w14:paraId="64EB1D9F">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七、</w:t>
      </w:r>
      <w:r>
        <w:rPr>
          <w:sz w:val="24"/>
        </w:rPr>
        <w:t>“</w:t>
      </w:r>
      <w:r>
        <w:rPr>
          <w:rFonts w:hint="eastAsia"/>
          <w:sz w:val="24"/>
        </w:rPr>
        <w:t>三公”经费财政拨款支出决算情况说明</w:t>
      </w:r>
      <w:r>
        <w:rPr>
          <w:rFonts w:hint="eastAsia"/>
          <w:sz w:val="24"/>
          <w:lang w:val="en-US" w:eastAsia="zh-CN"/>
        </w:rPr>
        <w:t>.............................................  16</w:t>
      </w:r>
    </w:p>
    <w:p w14:paraId="782FE625">
      <w:pPr>
        <w:pStyle w:val="9"/>
        <w:adjustRightInd w:val="0"/>
        <w:snapToGrid w:val="0"/>
        <w:spacing w:line="440" w:lineRule="exact"/>
        <w:jc w:val="left"/>
        <w:rPr>
          <w:rFonts w:hint="default" w:ascii="仿宋" w:hAnsi="仿宋" w:eastAsia="宋体" w:cs="Times New Roman"/>
          <w:sz w:val="24"/>
          <w:lang w:val="en-US" w:eastAsia="zh-CN"/>
        </w:rPr>
      </w:pPr>
      <w:r>
        <w:rPr>
          <w:rFonts w:hint="eastAsia"/>
          <w:sz w:val="24"/>
        </w:rPr>
        <w:t>八、政府性基金预算支出决算情况说明</w:t>
      </w:r>
      <w:r>
        <w:rPr>
          <w:rFonts w:hint="eastAsia"/>
          <w:sz w:val="24"/>
          <w:lang w:val="en-US" w:eastAsia="zh-CN"/>
        </w:rPr>
        <w:t>.......................................................  18</w:t>
      </w:r>
    </w:p>
    <w:p w14:paraId="09B2156D">
      <w:pPr>
        <w:pStyle w:val="9"/>
        <w:adjustRightInd w:val="0"/>
        <w:snapToGrid w:val="0"/>
        <w:spacing w:line="440" w:lineRule="exact"/>
        <w:ind w:leftChars="0"/>
        <w:jc w:val="left"/>
        <w:rPr>
          <w:rFonts w:hint="default" w:ascii="仿宋" w:hAnsi="仿宋" w:eastAsia="宋体"/>
          <w:sz w:val="24"/>
          <w:lang w:val="en-US" w:eastAsia="zh-CN"/>
        </w:rPr>
      </w:pPr>
      <w:r>
        <w:rPr>
          <w:rFonts w:hint="eastAsia" w:ascii="仿宋" w:hAnsi="仿宋" w:eastAsia="仿宋"/>
          <w:sz w:val="24"/>
        </w:rPr>
        <w:t>九、</w:t>
      </w:r>
      <w:r>
        <w:rPr>
          <w:sz w:val="24"/>
        </w:rPr>
        <w:t xml:space="preserve"> 国</w:t>
      </w:r>
      <w:r>
        <w:rPr>
          <w:rFonts w:hint="eastAsia"/>
          <w:sz w:val="24"/>
        </w:rPr>
        <w:t>有资本经营预算支出决算情况说明</w:t>
      </w:r>
      <w:r>
        <w:rPr>
          <w:rFonts w:hint="eastAsia"/>
          <w:sz w:val="24"/>
          <w:lang w:val="en-US" w:eastAsia="zh-CN"/>
        </w:rPr>
        <w:t>.................................................  18</w:t>
      </w:r>
    </w:p>
    <w:p w14:paraId="7C6556B8">
      <w:pPr>
        <w:pStyle w:val="9"/>
        <w:adjustRightInd w:val="0"/>
        <w:snapToGrid w:val="0"/>
        <w:spacing w:line="440" w:lineRule="exact"/>
        <w:jc w:val="left"/>
        <w:rPr>
          <w:rFonts w:ascii="仿宋" w:hAnsi="仿宋" w:eastAsia="仿宋" w:cs="Times New Roman"/>
          <w:sz w:val="24"/>
        </w:rPr>
      </w:pPr>
      <w:r>
        <w:rPr>
          <w:rStyle w:val="13"/>
          <w:rFonts w:hint="eastAsia" w:ascii="仿宋" w:hAnsi="仿宋" w:eastAsia="仿宋"/>
          <w:color w:val="000000"/>
          <w:sz w:val="24"/>
          <w:u w:val="none"/>
        </w:rPr>
        <w:t>十、</w:t>
      </w:r>
      <w:r>
        <w:rPr>
          <w:rFonts w:hint="eastAsia"/>
          <w:sz w:val="24"/>
        </w:rPr>
        <w:t>其他重要事项的情况说明</w:t>
      </w:r>
      <w:r>
        <w:rPr>
          <w:rFonts w:ascii="仿宋" w:hAnsi="仿宋" w:eastAsia="仿宋"/>
          <w:sz w:val="24"/>
        </w:rPr>
        <w:tab/>
      </w:r>
      <w:r>
        <w:rPr>
          <w:rFonts w:hint="eastAsia"/>
          <w:sz w:val="24"/>
          <w:lang w:val="en-US" w:eastAsia="zh-CN"/>
        </w:rPr>
        <w:t>...................................................  18</w:t>
      </w:r>
    </w:p>
    <w:p w14:paraId="16719D1D">
      <w:pPr>
        <w:pStyle w:val="9"/>
        <w:adjustRightInd w:val="0"/>
        <w:snapToGrid w:val="0"/>
        <w:spacing w:line="440" w:lineRule="exact"/>
        <w:ind w:left="0" w:leftChars="0" w:firstLine="0" w:firstLineChars="0"/>
        <w:jc w:val="left"/>
        <w:rPr>
          <w:rFonts w:cs="Times New Roman"/>
          <w:sz w:val="24"/>
          <w:szCs w:val="24"/>
        </w:rPr>
      </w:pPr>
      <w:r>
        <w:rPr>
          <w:rFonts w:hint="eastAsia" w:ascii="仿宋" w:hAnsi="仿宋" w:eastAsia="仿宋" w:cs="Times New Roman"/>
          <w:kern w:val="2"/>
          <w:sz w:val="24"/>
          <w:szCs w:val="28"/>
          <w:lang w:val="en-US" w:eastAsia="zh-CN" w:bidi="ar-SA"/>
        </w:rPr>
        <w:t>第三部分 名词解释</w:t>
      </w:r>
      <w:r>
        <w:rPr>
          <w:rFonts w:ascii="仿宋" w:hAnsi="仿宋" w:eastAsia="仿宋"/>
          <w:sz w:val="24"/>
        </w:rPr>
        <w:tab/>
      </w:r>
      <w:r>
        <w:rPr>
          <w:rFonts w:hint="eastAsia"/>
          <w:sz w:val="24"/>
          <w:lang w:val="en-US" w:eastAsia="zh-CN"/>
        </w:rPr>
        <w:t>...................................................  21</w:t>
      </w:r>
    </w:p>
    <w:p w14:paraId="7914AC29">
      <w:pPr>
        <w:pStyle w:val="9"/>
        <w:adjustRightInd w:val="0"/>
        <w:snapToGrid w:val="0"/>
        <w:spacing w:line="440" w:lineRule="exact"/>
        <w:ind w:left="0" w:leftChars="0" w:firstLine="0" w:firstLineChars="0"/>
        <w:jc w:val="left"/>
        <w:rPr>
          <w:rFonts w:hint="eastAsia" w:ascii="仿宋" w:hAnsi="仿宋" w:eastAsia="仿宋" w:cs="Times New Roman"/>
          <w:kern w:val="2"/>
          <w:sz w:val="24"/>
          <w:szCs w:val="28"/>
          <w:lang w:val="en-US" w:eastAsia="zh-CN" w:bidi="ar-SA"/>
        </w:rPr>
      </w:pPr>
      <w:r>
        <w:rPr>
          <w:rFonts w:hint="eastAsia" w:ascii="仿宋" w:hAnsi="仿宋" w:eastAsia="仿宋" w:cs="Times New Roman"/>
          <w:kern w:val="2"/>
          <w:sz w:val="24"/>
          <w:szCs w:val="28"/>
          <w:lang w:val="en-US" w:eastAsia="zh-CN" w:bidi="ar-SA"/>
        </w:rPr>
        <w:t>第四部分 附件</w:t>
      </w:r>
    </w:p>
    <w:p w14:paraId="45D1527C">
      <w:pPr>
        <w:pStyle w:val="9"/>
        <w:adjustRightInd w:val="0"/>
        <w:snapToGrid w:val="0"/>
        <w:spacing w:line="440" w:lineRule="exact"/>
        <w:jc w:val="left"/>
        <w:rPr>
          <w:rFonts w:hint="default" w:ascii="仿宋" w:hAnsi="仿宋" w:eastAsia="仿宋" w:cs="Times New Roman"/>
          <w:sz w:val="24"/>
          <w:lang w:val="en-US"/>
        </w:rPr>
      </w:pPr>
      <w:r>
        <w:rPr>
          <w:rFonts w:hint="eastAsia"/>
          <w:sz w:val="24"/>
        </w:rPr>
        <w:t>附件</w:t>
      </w:r>
      <w:r>
        <w:rPr>
          <w:sz w:val="24"/>
        </w:rPr>
        <w:t>1</w:t>
      </w:r>
      <w:r>
        <w:rPr>
          <w:rFonts w:hint="eastAsia"/>
          <w:sz w:val="24"/>
          <w:lang w:val="en-US" w:eastAsia="zh-CN"/>
        </w:rPr>
        <w:t>................................................................................................................  24</w:t>
      </w:r>
      <w:r>
        <w:rPr>
          <w:rFonts w:hint="eastAsia"/>
          <w:sz w:val="24"/>
        </w:rPr>
        <w:t>附件</w:t>
      </w:r>
      <w:r>
        <w:rPr>
          <w:sz w:val="24"/>
        </w:rPr>
        <w:t>2</w:t>
      </w:r>
      <w:r>
        <w:rPr>
          <w:rFonts w:hint="eastAsia"/>
          <w:sz w:val="24"/>
          <w:lang w:val="en-US" w:eastAsia="zh-CN"/>
        </w:rPr>
        <w:t>................................................................................................................  27</w:t>
      </w:r>
    </w:p>
    <w:p w14:paraId="0404842C">
      <w:pPr>
        <w:pStyle w:val="8"/>
        <w:adjustRightInd w:val="0"/>
        <w:snapToGrid w:val="0"/>
        <w:spacing w:before="0" w:line="440" w:lineRule="exact"/>
        <w:jc w:val="left"/>
        <w:rPr>
          <w:rFonts w:hint="default" w:cs="Times New Roman"/>
          <w:sz w:val="24"/>
          <w:szCs w:val="24"/>
          <w:lang w:val="en-US"/>
        </w:rPr>
      </w:pPr>
      <w:r>
        <w:rPr>
          <w:rFonts w:hint="eastAsia"/>
          <w:sz w:val="24"/>
        </w:rPr>
        <w:t>第五部分</w:t>
      </w:r>
      <w:r>
        <w:rPr>
          <w:sz w:val="24"/>
        </w:rPr>
        <w:t xml:space="preserve"> </w:t>
      </w:r>
      <w:r>
        <w:rPr>
          <w:rFonts w:hint="eastAsia"/>
          <w:sz w:val="24"/>
        </w:rPr>
        <w:t>附表</w:t>
      </w:r>
      <w:r>
        <w:rPr>
          <w:rFonts w:hint="eastAsia" w:ascii="Times New Roman" w:eastAsia="宋体"/>
          <w:sz w:val="24"/>
          <w:lang w:val="en-US" w:eastAsia="zh-CN"/>
        </w:rPr>
        <w:t>........................................................................................................  31</w:t>
      </w:r>
    </w:p>
    <w:p w14:paraId="24F2963A">
      <w:pPr>
        <w:pStyle w:val="9"/>
        <w:adjustRightInd w:val="0"/>
        <w:snapToGrid w:val="0"/>
        <w:spacing w:line="440" w:lineRule="exact"/>
        <w:jc w:val="left"/>
        <w:rPr>
          <w:rFonts w:hint="eastAsia"/>
          <w:sz w:val="24"/>
        </w:rPr>
      </w:pPr>
      <w:r>
        <w:rPr>
          <w:rFonts w:hint="eastAsia"/>
          <w:sz w:val="24"/>
        </w:rPr>
        <w:t>一、收入支出决算总表</w:t>
      </w:r>
    </w:p>
    <w:p w14:paraId="4FF29DE7">
      <w:pPr>
        <w:pStyle w:val="9"/>
        <w:adjustRightInd w:val="0"/>
        <w:snapToGrid w:val="0"/>
        <w:spacing w:line="440" w:lineRule="exact"/>
        <w:jc w:val="left"/>
        <w:rPr>
          <w:rFonts w:hint="eastAsia"/>
          <w:sz w:val="24"/>
        </w:rPr>
      </w:pPr>
      <w:r>
        <w:rPr>
          <w:rFonts w:hint="eastAsia"/>
          <w:sz w:val="24"/>
        </w:rPr>
        <w:t>二、收入决算表</w:t>
      </w:r>
    </w:p>
    <w:p w14:paraId="573F6F64">
      <w:pPr>
        <w:pStyle w:val="9"/>
        <w:adjustRightInd w:val="0"/>
        <w:snapToGrid w:val="0"/>
        <w:spacing w:line="440" w:lineRule="exact"/>
        <w:jc w:val="left"/>
        <w:rPr>
          <w:rFonts w:hint="eastAsia"/>
          <w:sz w:val="24"/>
        </w:rPr>
      </w:pPr>
      <w:r>
        <w:rPr>
          <w:rFonts w:hint="eastAsia"/>
          <w:sz w:val="24"/>
        </w:rPr>
        <w:t>三、支出决算表</w:t>
      </w:r>
    </w:p>
    <w:p w14:paraId="7183CAB0">
      <w:pPr>
        <w:pStyle w:val="9"/>
        <w:adjustRightInd w:val="0"/>
        <w:snapToGrid w:val="0"/>
        <w:spacing w:line="440" w:lineRule="exact"/>
        <w:jc w:val="left"/>
        <w:rPr>
          <w:rFonts w:hint="eastAsia"/>
          <w:sz w:val="24"/>
        </w:rPr>
      </w:pPr>
      <w:r>
        <w:rPr>
          <w:rFonts w:hint="eastAsia"/>
          <w:sz w:val="24"/>
        </w:rPr>
        <w:t>四、财政拨款收入支出决算总表</w:t>
      </w:r>
    </w:p>
    <w:p w14:paraId="1E6DF9B4">
      <w:pPr>
        <w:pStyle w:val="9"/>
        <w:adjustRightInd w:val="0"/>
        <w:snapToGrid w:val="0"/>
        <w:spacing w:line="440" w:lineRule="exact"/>
        <w:jc w:val="left"/>
        <w:rPr>
          <w:rFonts w:hint="eastAsia"/>
          <w:sz w:val="24"/>
        </w:rPr>
      </w:pPr>
      <w:r>
        <w:rPr>
          <w:rFonts w:hint="eastAsia"/>
          <w:sz w:val="24"/>
        </w:rPr>
        <w:t>五、财政拨款支出决算明细表</w:t>
      </w:r>
    </w:p>
    <w:p w14:paraId="6B00D365">
      <w:pPr>
        <w:pStyle w:val="9"/>
        <w:adjustRightInd w:val="0"/>
        <w:snapToGrid w:val="0"/>
        <w:spacing w:line="440" w:lineRule="exact"/>
        <w:jc w:val="left"/>
        <w:rPr>
          <w:rFonts w:hint="eastAsia"/>
          <w:sz w:val="24"/>
        </w:rPr>
      </w:pPr>
      <w:r>
        <w:rPr>
          <w:rFonts w:hint="eastAsia"/>
          <w:sz w:val="24"/>
        </w:rPr>
        <w:t>六、一般公共预算财政拨款支出决算表</w:t>
      </w:r>
    </w:p>
    <w:p w14:paraId="0359EEF2">
      <w:pPr>
        <w:pStyle w:val="9"/>
        <w:adjustRightInd w:val="0"/>
        <w:snapToGrid w:val="0"/>
        <w:spacing w:line="440" w:lineRule="exact"/>
        <w:jc w:val="left"/>
        <w:rPr>
          <w:rFonts w:hint="eastAsia"/>
          <w:sz w:val="24"/>
        </w:rPr>
      </w:pPr>
      <w:r>
        <w:rPr>
          <w:rFonts w:hint="eastAsia"/>
          <w:sz w:val="24"/>
        </w:rPr>
        <w:t>七、一般公共预算财政拨款支出决算明细表</w:t>
      </w:r>
    </w:p>
    <w:p w14:paraId="008CFB6A">
      <w:pPr>
        <w:pStyle w:val="9"/>
        <w:adjustRightInd w:val="0"/>
        <w:snapToGrid w:val="0"/>
        <w:spacing w:line="440" w:lineRule="exact"/>
        <w:jc w:val="left"/>
        <w:rPr>
          <w:rFonts w:hint="eastAsia"/>
          <w:sz w:val="24"/>
        </w:rPr>
      </w:pPr>
      <w:r>
        <w:rPr>
          <w:rFonts w:hint="eastAsia"/>
          <w:sz w:val="24"/>
        </w:rPr>
        <w:t>八、一般公共预算财政拨款基本支出决算表</w:t>
      </w:r>
    </w:p>
    <w:p w14:paraId="7E75B9A3">
      <w:pPr>
        <w:pStyle w:val="9"/>
        <w:adjustRightInd w:val="0"/>
        <w:snapToGrid w:val="0"/>
        <w:spacing w:line="440" w:lineRule="exact"/>
        <w:jc w:val="left"/>
        <w:rPr>
          <w:rFonts w:hint="eastAsia"/>
          <w:sz w:val="24"/>
        </w:rPr>
      </w:pPr>
      <w:r>
        <w:rPr>
          <w:rFonts w:hint="eastAsia"/>
          <w:sz w:val="24"/>
        </w:rPr>
        <w:t>九、一般公共预算财政拨款项目支出决算表</w:t>
      </w:r>
    </w:p>
    <w:p w14:paraId="535374C6">
      <w:pPr>
        <w:pStyle w:val="9"/>
        <w:adjustRightInd w:val="0"/>
        <w:snapToGrid w:val="0"/>
        <w:spacing w:line="440" w:lineRule="exact"/>
        <w:jc w:val="left"/>
        <w:rPr>
          <w:rFonts w:hint="eastAsia"/>
          <w:sz w:val="24"/>
        </w:rPr>
      </w:pPr>
      <w:r>
        <w:rPr>
          <w:rFonts w:hint="eastAsia"/>
          <w:sz w:val="24"/>
        </w:rPr>
        <w:t>十、一般公共预算财政拨款“三公”经费支出决算表</w:t>
      </w:r>
    </w:p>
    <w:p w14:paraId="389DB090">
      <w:pPr>
        <w:pStyle w:val="9"/>
        <w:adjustRightInd w:val="0"/>
        <w:snapToGrid w:val="0"/>
        <w:spacing w:line="440" w:lineRule="exact"/>
        <w:jc w:val="left"/>
        <w:rPr>
          <w:rFonts w:hint="eastAsia"/>
          <w:sz w:val="24"/>
        </w:rPr>
      </w:pPr>
      <w:r>
        <w:rPr>
          <w:rFonts w:hint="eastAsia"/>
          <w:sz w:val="24"/>
        </w:rPr>
        <w:t>十一、政府性基金预算财政拨款收入支出决算表</w:t>
      </w:r>
    </w:p>
    <w:p w14:paraId="42BB8FE8">
      <w:pPr>
        <w:pStyle w:val="9"/>
        <w:adjustRightInd w:val="0"/>
        <w:snapToGrid w:val="0"/>
        <w:spacing w:line="440" w:lineRule="exact"/>
        <w:jc w:val="left"/>
        <w:rPr>
          <w:rFonts w:hint="eastAsia"/>
          <w:sz w:val="24"/>
        </w:rPr>
      </w:pPr>
      <w:r>
        <w:rPr>
          <w:rFonts w:hint="eastAsia"/>
          <w:sz w:val="24"/>
        </w:rPr>
        <w:t>十二、政府性基金预算财政拨款“三公”经费支出决算表</w:t>
      </w:r>
    </w:p>
    <w:p w14:paraId="66C9E045">
      <w:pPr>
        <w:pStyle w:val="9"/>
        <w:adjustRightInd w:val="0"/>
        <w:snapToGrid w:val="0"/>
        <w:spacing w:line="440" w:lineRule="exact"/>
        <w:jc w:val="left"/>
        <w:rPr>
          <w:rFonts w:hint="eastAsia"/>
          <w:sz w:val="24"/>
        </w:rPr>
      </w:pPr>
      <w:r>
        <w:rPr>
          <w:rFonts w:hint="eastAsia"/>
          <w:sz w:val="24"/>
        </w:rPr>
        <w:t>十三、国有资本经营预算支出决算表</w:t>
      </w:r>
    </w:p>
    <w:p w14:paraId="0ADDBD3C">
      <w:pPr>
        <w:widowControl/>
        <w:spacing w:line="440" w:lineRule="exact"/>
        <w:jc w:val="left"/>
        <w:rPr>
          <w:rFonts w:ascii="仿宋" w:hAnsi="仿宋" w:eastAsia="仿宋"/>
          <w:bCs/>
          <w:kern w:val="44"/>
          <w:sz w:val="24"/>
        </w:rPr>
      </w:pPr>
      <w:bookmarkStart w:id="12" w:name="_Toc15396599"/>
      <w:bookmarkStart w:id="13" w:name="_Toc15377196"/>
      <w:r>
        <w:rPr>
          <w:rFonts w:ascii="仿宋" w:hAnsi="仿宋" w:eastAsia="仿宋"/>
          <w:b/>
          <w:sz w:val="24"/>
        </w:rPr>
        <w:br w:type="page"/>
      </w:r>
    </w:p>
    <w:p w14:paraId="2E28DAD1">
      <w:pPr>
        <w:pStyle w:val="3"/>
        <w:jc w:val="center"/>
        <w:rPr>
          <w:rStyle w:val="14"/>
          <w:rFonts w:ascii="黑体" w:hAnsi="黑体" w:eastAsia="黑体"/>
          <w:b/>
          <w:bCs w:val="0"/>
        </w:rPr>
      </w:pPr>
      <w:r>
        <w:rPr>
          <w:rFonts w:hint="eastAsia" w:ascii="黑体" w:hAnsi="黑体" w:eastAsia="黑体"/>
          <w:b w:val="0"/>
        </w:rPr>
        <w:t xml:space="preserve">第一部分 </w:t>
      </w:r>
      <w:r>
        <w:rPr>
          <w:rStyle w:val="14"/>
          <w:rFonts w:hint="eastAsia" w:ascii="黑体" w:hAnsi="黑体" w:eastAsia="黑体"/>
          <w:b w:val="0"/>
          <w:bCs w:val="0"/>
        </w:rPr>
        <w:t>部门概况</w:t>
      </w:r>
      <w:bookmarkEnd w:id="12"/>
      <w:bookmarkEnd w:id="13"/>
    </w:p>
    <w:p w14:paraId="1014CE8A">
      <w:pPr>
        <w:widowControl/>
        <w:jc w:val="left"/>
        <w:rPr>
          <w:rFonts w:ascii="黑体" w:eastAsia="黑体"/>
          <w:color w:val="000000"/>
          <w:sz w:val="32"/>
          <w:szCs w:val="32"/>
        </w:rPr>
      </w:pPr>
    </w:p>
    <w:p w14:paraId="6BCF15A0">
      <w:pPr>
        <w:pStyle w:val="4"/>
        <w:rPr>
          <w:rStyle w:val="15"/>
          <w:rFonts w:ascii="仿宋" w:hAnsi="仿宋" w:eastAsia="仿宋"/>
          <w:b w:val="0"/>
          <w:bCs w:val="0"/>
        </w:rPr>
      </w:pPr>
      <w:bookmarkStart w:id="14" w:name="_Toc15377197"/>
      <w:bookmarkStart w:id="15" w:name="_Toc15396600"/>
      <w:r>
        <w:rPr>
          <w:rFonts w:hint="eastAsia" w:ascii="黑体" w:hAnsi="黑体" w:eastAsia="黑体"/>
          <w:b w:val="0"/>
          <w:color w:val="000000"/>
        </w:rPr>
        <w:t>一、基</w:t>
      </w:r>
      <w:r>
        <w:rPr>
          <w:rStyle w:val="15"/>
          <w:rFonts w:hint="eastAsia" w:ascii="黑体" w:hAnsi="黑体" w:eastAsia="黑体"/>
          <w:b w:val="0"/>
          <w:bCs w:val="0"/>
        </w:rPr>
        <w:t>本职能及主要工作</w:t>
      </w:r>
      <w:bookmarkEnd w:id="14"/>
      <w:bookmarkEnd w:id="15"/>
    </w:p>
    <w:p w14:paraId="0B20DCA3">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bookmarkStart w:id="16" w:name="_Toc15377198"/>
      <w:bookmarkStart w:id="17" w:name="_Toc15378445"/>
      <w:r>
        <w:rPr>
          <w:rFonts w:hint="eastAsia" w:ascii="仿宋" w:hAnsi="仿宋" w:eastAsia="仿宋"/>
          <w:bCs/>
          <w:color w:val="000000"/>
          <w:sz w:val="32"/>
          <w:szCs w:val="32"/>
        </w:rPr>
        <w:t>（一）主要职能。</w:t>
      </w:r>
    </w:p>
    <w:p w14:paraId="0D5C36F6">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1.贯彻执行环境保护的方针、政策和法律、法规、规章。</w:t>
      </w:r>
    </w:p>
    <w:p w14:paraId="77F3DB22">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2.负责统筹协调和监督管理全区重大环境问题。</w:t>
      </w:r>
    </w:p>
    <w:p w14:paraId="567E129E">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3.负责落实全区污染物减排工作。</w:t>
      </w:r>
    </w:p>
    <w:p w14:paraId="6F83DB44">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4.负责环境保护的投资管理。</w:t>
      </w:r>
    </w:p>
    <w:p w14:paraId="2EBB98BC">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5.负责全区从源头上预防、控制环境污染和环境破坏。</w:t>
      </w:r>
    </w:p>
    <w:p w14:paraId="7E853BC7">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6.负责全区环境污染防治的监督管理。</w:t>
      </w:r>
    </w:p>
    <w:p w14:paraId="2EA39F70">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7.指导、协调、监督全市生态保护工作。</w:t>
      </w:r>
    </w:p>
    <w:p w14:paraId="0AECA625">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8.负责全区核安全和辐射安全的监督管理。</w:t>
      </w:r>
    </w:p>
    <w:p w14:paraId="6B0A6F06">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9.负责全区环境监测、统计和信息管理。</w:t>
      </w:r>
    </w:p>
    <w:p w14:paraId="407DA6EB">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10.开展全区环境保护科技工作。</w:t>
      </w:r>
    </w:p>
    <w:p w14:paraId="5F49D2DD">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11.组织、指导和协调全区环境保护宣传教育工作。</w:t>
      </w:r>
    </w:p>
    <w:p w14:paraId="684AD2E9">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12.会同有关部门组织开展全区环境保护系统行政管理体制改革，指导全区环境保护系统队伍建设、业务建设和精神文明建设，规划并组织全区环境保护系统在职人员岗位培训和继续教育。</w:t>
      </w:r>
    </w:p>
    <w:p w14:paraId="2ADAFA68">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13.承担区政府公布的有关行政审批事项。</w:t>
      </w:r>
    </w:p>
    <w:p w14:paraId="1AE72863">
      <w:pPr>
        <w:pStyle w:val="5"/>
        <w:adjustRightInd w:val="0"/>
        <w:snapToGrid w:val="0"/>
        <w:spacing w:before="93" w:line="600" w:lineRule="exact"/>
        <w:ind w:firstLine="672" w:firstLineChars="210"/>
        <w:outlineLvl w:val="2"/>
        <w:rPr>
          <w:rFonts w:hint="eastAsia" w:ascii="仿宋" w:hAnsi="仿宋" w:eastAsia="仿宋"/>
          <w:bCs/>
          <w:color w:val="000000"/>
          <w:sz w:val="28"/>
          <w:szCs w:val="28"/>
        </w:rPr>
      </w:pPr>
      <w:r>
        <w:rPr>
          <w:rFonts w:hint="eastAsia" w:ascii="仿宋" w:hAnsi="仿宋" w:eastAsia="仿宋"/>
          <w:bCs/>
          <w:color w:val="000000"/>
          <w:sz w:val="32"/>
          <w:szCs w:val="32"/>
        </w:rPr>
        <w:t>14.承办区政府交办的其他事项。</w:t>
      </w:r>
    </w:p>
    <w:bookmarkEnd w:id="16"/>
    <w:bookmarkEnd w:id="17"/>
    <w:p w14:paraId="11D46D95">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bookmarkStart w:id="18" w:name="_Toc15378446"/>
      <w:bookmarkStart w:id="19" w:name="_Toc15377199"/>
      <w:r>
        <w:rPr>
          <w:rFonts w:hint="eastAsia" w:ascii="仿宋" w:hAnsi="仿宋" w:eastAsia="仿宋"/>
          <w:bCs/>
          <w:color w:val="000000"/>
          <w:sz w:val="32"/>
          <w:szCs w:val="32"/>
        </w:rPr>
        <w:t>（二）</w:t>
      </w:r>
      <w:r>
        <w:rPr>
          <w:rFonts w:ascii="仿宋" w:hAnsi="仿宋" w:eastAsia="仿宋"/>
          <w:bCs/>
          <w:color w:val="000000"/>
          <w:sz w:val="32"/>
          <w:szCs w:val="32"/>
        </w:rPr>
        <w:t>201</w:t>
      </w:r>
      <w:r>
        <w:rPr>
          <w:rFonts w:hint="eastAsia" w:ascii="仿宋" w:hAnsi="仿宋" w:eastAsia="仿宋"/>
          <w:bCs/>
          <w:color w:val="000000"/>
          <w:sz w:val="32"/>
          <w:szCs w:val="32"/>
        </w:rPr>
        <w:t>9年重点工作完成情况。</w:t>
      </w:r>
      <w:bookmarkEnd w:id="18"/>
      <w:bookmarkEnd w:id="19"/>
    </w:p>
    <w:p w14:paraId="6EDF59F2">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1.强力推进环保督察问题整改</w:t>
      </w:r>
    </w:p>
    <w:p w14:paraId="3372FCD0">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认真履行生态环境保护统一监管职责，着力推动落实生态环保督察问题整改。一是全面完成省环保督察问题整改。省环保督察反馈我区剑门蜀道国家级风景名胜区建设项目违规等5个方面26个具体问题，目前已全部完成整改销号，整改完成率100%。二是全力推进</w:t>
      </w:r>
      <w:r>
        <w:rPr>
          <w:rFonts w:hint="eastAsia" w:ascii="仿宋" w:hAnsi="仿宋" w:eastAsia="仿宋"/>
          <w:bCs/>
          <w:color w:val="000000"/>
          <w:sz w:val="32"/>
          <w:szCs w:val="32"/>
          <w:lang w:eastAsia="zh-CN"/>
        </w:rPr>
        <w:t>中央生态环保督察</w:t>
      </w:r>
      <w:r>
        <w:rPr>
          <w:rFonts w:hint="eastAsia" w:ascii="仿宋" w:hAnsi="仿宋" w:eastAsia="仿宋"/>
          <w:bCs/>
          <w:color w:val="000000"/>
          <w:sz w:val="32"/>
          <w:szCs w:val="32"/>
        </w:rPr>
        <w:t>反馈问题整改。针对</w:t>
      </w:r>
      <w:r>
        <w:rPr>
          <w:rFonts w:hint="eastAsia" w:ascii="仿宋" w:hAnsi="仿宋" w:eastAsia="仿宋"/>
          <w:bCs/>
          <w:color w:val="000000"/>
          <w:sz w:val="32"/>
          <w:szCs w:val="32"/>
          <w:lang w:eastAsia="zh-CN"/>
        </w:rPr>
        <w:t>中央生态环保督察</w:t>
      </w:r>
      <w:r>
        <w:rPr>
          <w:rFonts w:hint="eastAsia" w:ascii="仿宋" w:hAnsi="仿宋" w:eastAsia="仿宋"/>
          <w:bCs/>
          <w:color w:val="000000"/>
          <w:sz w:val="32"/>
          <w:szCs w:val="32"/>
        </w:rPr>
        <w:t>组反馈全省对应到我区的生态环境保护责任落实不到位、水环境形势依然严峻等5大类21个问题，制定了《昭化区落实中央第五环境保护督察组督察反馈意见整改方案》，细化措施，落实责任，全力推进落实各项整改任务。目前已完成19个问题整改，整改完成率90.5%，剩余2个正按进度加快整改。督察组移交我区的7件信访案件已按时办结。三是认真做好中央生态环保督察“回头看”反馈问题整改。制定《昭化区迎接环境保护督察“回头看”工作方案》，做好</w:t>
      </w:r>
      <w:r>
        <w:rPr>
          <w:rFonts w:hint="eastAsia" w:ascii="仿宋" w:hAnsi="仿宋" w:eastAsia="仿宋"/>
          <w:bCs/>
          <w:color w:val="000000"/>
          <w:sz w:val="32"/>
          <w:szCs w:val="32"/>
          <w:lang w:eastAsia="zh-CN"/>
        </w:rPr>
        <w:t>中央生态环保督察</w:t>
      </w:r>
      <w:r>
        <w:rPr>
          <w:rFonts w:hint="eastAsia" w:ascii="仿宋" w:hAnsi="仿宋" w:eastAsia="仿宋"/>
          <w:bCs/>
          <w:color w:val="000000"/>
          <w:sz w:val="32"/>
          <w:szCs w:val="32"/>
        </w:rPr>
        <w:t>“回头看”各项工作，</w:t>
      </w:r>
      <w:r>
        <w:rPr>
          <w:rFonts w:hint="eastAsia" w:ascii="仿宋" w:hAnsi="仿宋" w:eastAsia="仿宋"/>
          <w:bCs/>
          <w:color w:val="000000"/>
          <w:sz w:val="32"/>
          <w:szCs w:val="32"/>
          <w:lang w:eastAsia="zh-CN"/>
        </w:rPr>
        <w:t>中央生态环保督察</w:t>
      </w:r>
      <w:r>
        <w:rPr>
          <w:rFonts w:hint="eastAsia" w:ascii="仿宋" w:hAnsi="仿宋" w:eastAsia="仿宋"/>
          <w:bCs/>
          <w:color w:val="000000"/>
          <w:sz w:val="32"/>
          <w:szCs w:val="32"/>
        </w:rPr>
        <w:t>“回头看”转办我区7件群众信访件已全部办结。四是中央环保跟踪督察反馈问题整改有序推进。2019年5月，针对中央环保跟踪督察组反馈我区9个问题，制定了整改方案，印发了《广元市昭化区落实2019年中央生态环保跟踪督察反馈意见整改任务清单》，明确了整改措施、目标、时限、责任单位、挂联领导。目前，已完成取消环保部门经济工作指标、“散乱污”企业清理等7项任务，其余2项属于长期坚持，各项整改工作有序推进。</w:t>
      </w:r>
    </w:p>
    <w:p w14:paraId="71551DD3">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2.污染防治攻坚战取得实效</w:t>
      </w:r>
    </w:p>
    <w:p w14:paraId="2484E885">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坚决打赢打好蓝天保卫战。制定了《昭化区打赢蓝天保卫战实施方案》，全面落实全市秋冬大气污染防治攻坚33条措施，全方位加强管控，源头上减少污染。一是推进工业废气治理。健全落后产能退出机制，关闭新荣砖厂、民威建材厂等10家工艺落后砖厂。二是开展扬尘综合治理。全面推行绿色施工，对东部新城、昭化古城等重点区域，家居产业城、两路一隧等重点工地，以及其他建设工地实施全面规范整治，达到建筑施工“六必须、六不准、六个100%”要求。严格监管城市渣土、物料运输车辆，严禁抛洒滴漏。对昭化城区、元坝镇至广元快速通道，加强冲洗保洁。三是强化秸秆露天禁烧。印发《关于坚决禁止大春露天焚烧秸秆的通知》，建立秸秆禁烧联合巡查制度，落实区、乡、村、组四级网格化监管责任，加大秋冬大气攻坚。截至2019年12月底，城区空气质量优良率97.5%，相比去年同期上升2.2个百分点，主要污染物年平均浓度同比下降，超额完成省市下达的考核指标，擦亮“昭化蓝”的生态名片。</w:t>
      </w:r>
    </w:p>
    <w:p w14:paraId="005EAA4B">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2）持续巩固饮用水源安全稳定。一是充分发挥乡镇饮用水水源地保护区标识及监控中心项目环境效益，实时监控水源保护区状况，进一步提升风险防范能力，达到高技术驻入、高水平服务、高效率管理的效果。二是全面加强水源地保护。聚焦乡镇、农村集中式饮用水水源地突出环境问题，全面启动水源地保护区调整划定、规范化建设、环境问题整治专项行动，划定18处集中式饮用水水源保护区，开展7个“千吨万人”乡镇集中式饮用水水源地问题排查、水质监测评估，列出问题清单，编制了《广元市昭化区农村饮用水水源地保护工程实施方案（2019-2020年度）》。三是强化饮用水应急管理。完善集中式饮用水源突发环境事件应急处置工作预案（修订），完成水源地专职管理机构设立，建立完善水源地保护日常巡查、水质监测、水源地信息管理等专项工作机制。2019年，城市集中式饮用水源地渔洞河水质达标率100%，乡镇饮用水源地水质达标率95%以上。</w:t>
      </w:r>
    </w:p>
    <w:p w14:paraId="55EB071D">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（3）大力推进城镇环保</w:t>
      </w:r>
      <w:r>
        <w:rPr>
          <w:rFonts w:hint="eastAsia" w:ascii="仿宋" w:hAnsi="仿宋" w:eastAsia="仿宋"/>
          <w:bCs/>
          <w:color w:val="000000"/>
          <w:sz w:val="32"/>
          <w:szCs w:val="32"/>
          <w:lang w:eastAsia="zh-CN"/>
        </w:rPr>
        <w:t>基础设施建设</w:t>
      </w:r>
      <w:r>
        <w:rPr>
          <w:rFonts w:hint="eastAsia" w:ascii="仿宋" w:hAnsi="仿宋" w:eastAsia="仿宋"/>
          <w:bCs/>
          <w:color w:val="000000"/>
          <w:sz w:val="32"/>
          <w:szCs w:val="32"/>
        </w:rPr>
        <w:t>。充分考虑园区工业废水接纳处理，投资2000余万元，牵头实施泉坝污水处理厂二期1万吨扩能改造项目，现已建成投运，彻底解决泉坝污水处理厂处理能力不足、部分生活污水直排入水体环境的生态环境问题。投入650万元，完成虎跳、红岩等7个乡镇污水处理厂提标改造工程，已建成投入使用。结合乡镇实际，采取MBR等工艺，建成昭化鸭浮、柏林沟、明觉、白果等一体化污水处理设施建设项目。投入1340万元，开工建设石井铺镇、晋贤乡、文村乡、梅树乡、磨滩镇等污水处理站，项目预计12月底完工，建成后日处理污水可达750吨。目前城区生活污水处理率达到90%、建制镇达到70%。</w:t>
      </w:r>
    </w:p>
    <w:p w14:paraId="5B53DD5A">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4）全面启动农村生活污水治理。按照“城乡融合、建管并重，上下联动、部门协作、创新驱动”的原则，认真落实各项专项治理任务。一是坚持规划先行，搞好顶层设计。印发《广元市昭化区农村生活污水治理实施方案》，将农村生活污水治理纳入实施乡村振兴战略推动城乡融合发展的重要内容，协调统筹推进农村生活污水治理。二是分步分类实施，统筹厂网共建。制定《广元市昭化区2019年度中央农村环境整治项目实施方案》《广元市昭化区农村环境综合整治项目实施方案（2019-2021年度）》，落实农村生活污水治理任务到点位、到项目，推动农村生活污水治理专项规划目标任务有序落地落实。三是加强运行管理，健全长效机制。探索建立“企业运营、政府监管”的污水处理设施运营管理机制，逐步落实网格化环境管理制度，确保农村生活污水处理系统稳定运行、出水达标。目前，已完成全区生活污水治理情况现状调查，完成15个试点村生活污水治理工作任务。新建了9座农村生活污水处理设施，配套建设雨污管网57公里，改建、新建农村化粪池、沼气池6300口，195个行政村黑臭水体得到整治，沟渠、河塘清淤200个村，纳入河长制管理的村110个。我区共有69个行政村得到治理，比例达到32.8%，农村生活污水得到有效治理，农村黑臭水体正逐步消除，村内库塘渠水质正逐步实现功能性达标，长效管理机制正逐步建立。目前，全区嘉陵江、白龙江主要河流断面水质达到或优于地表水II类标准，柏林河、长滩河、射箭河、巩河、插江、张家沟、毛家沟等河流均达到地表水Ⅲ类标准。</w:t>
      </w:r>
    </w:p>
    <w:p w14:paraId="2046BDF9">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5）大力推进矿企环境治理。按照全市统一部署，昭化区全面完成了煤矿和非煤矿山企业大排查及矿井涌水污染调查监测工作，监测结果显示我区东山煤矿、银丰煤矿、锋力煤业3家煤矿共5口矿井的5个涌水监测点位水质均达到《煤炭工业污染物排放标准》，矿井下游12个地表水监测点位水质未受涌水影响。2家地热探矿企业温泉涌水监测达标。同时，我区完成煤矿矿井、矸石山等生态环境治理问题的排查，建立了整改台账。投入270万元完成3家砖厂脱硫、收尘除尘设施建设，淘汰关闭5家砖瓦企业，鼓励砖瓦企业实施全过程自动化生产和信息化控制，提升砖瓦生产智能化水平。</w:t>
      </w:r>
    </w:p>
    <w:p w14:paraId="46C20003">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3.持续强化环境监管助推经济社会发展</w:t>
      </w:r>
    </w:p>
    <w:p w14:paraId="22066EA7">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 xml:space="preserve">（1）全面优化环境行政审批服务。一是前移环评“关口”。积极推进“放、管、服、效”工作改革，打造“六最”营商环境，把服务全区的经济建设作为优化发展环境的着力点，对中国西部（广元）绿色家居产业城引入项目等重点建设项目，建立了提前介入机制，主动参与项目的立项决策，为项目建设单位提供产业政策、选项选址等有效指导和服务。二是精简审批材料。在项目环评审批中，取消通过网络核验手段能实现的、部门间核查能够实现的、部门内部不同机构之间互相提供的材料等，由原需提供的4项材料减少至1项，减免了75%。三是缩短审批时限。为助推项目早开工、早建设，项目环境影响报告表的审批由法定时限30工作日缩短为10个工作日，缩短了66.67%。2019年已计办结行政审批411件，其中环评报告表审批31件，环评登记表（备案）376件，出具建设项目环保初审意见4份，累计审批项目总投资221134.7万元，其中环保投资6603.4万元。   </w:t>
      </w:r>
    </w:p>
    <w:p w14:paraId="32BADB48">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（2）保持打击环境违法违规行为高压态势。严格执行《环保法》及四个配套办法，开展环境风险源排查、</w:t>
      </w:r>
      <w:r>
        <w:rPr>
          <w:rFonts w:hint="eastAsia" w:ascii="仿宋" w:hAnsi="仿宋" w:eastAsia="仿宋"/>
          <w:bCs/>
          <w:color w:val="000000"/>
          <w:sz w:val="32"/>
          <w:szCs w:val="32"/>
          <w:lang w:eastAsia="zh-CN"/>
        </w:rPr>
        <w:t>秸秆</w:t>
      </w:r>
      <w:r>
        <w:rPr>
          <w:rFonts w:hint="eastAsia" w:ascii="仿宋" w:hAnsi="仿宋" w:eastAsia="仿宋"/>
          <w:bCs/>
          <w:color w:val="000000"/>
          <w:sz w:val="32"/>
          <w:szCs w:val="32"/>
        </w:rPr>
        <w:t>禁烧专项检查、危险废物专项检查、违法违规建设项目清理整顿等10余项执法行动，全面实施网格化环境监管，坚持源头严防、过程严管、违法严查。健全环保、公安、检察院、法院等环境执法联动机制，严厉打击违法排污、破坏环境质量的行为。完善区乡上下联动工作推进机制，加大对违法典型案件查处和曝光力度，确保监管见实效。2019年以来，实施双随机执法检查52次，执法检察企业200家次，暗查夜查执法70余次。立案10件，同比增长150%，责令整改9起，处罚金额共计100.9万元，同比增长54.6%，其中适用查封扣押等配套办法2件。</w:t>
      </w:r>
    </w:p>
    <w:p w14:paraId="36D8E276">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3）持续做好环境质量监测。制定全区环境监测工作要点和环境监测工作方案，持续完成省控站中心城区站点环境空气质量24小时自动监测。定期开展渔洞河城市饮用水水源地、21个乡镇水源地、长滩河、插江2个区控断面、南河及白龙江2个生态补偿跨界断面和市级河长制断面监测，及时全面掌握全区环境质量状况。投资120万元，建成昭化区白龙江苴国村国控水质自动监测站。圆满完成全市区域水环境风险评估工作。</w:t>
      </w:r>
    </w:p>
    <w:p w14:paraId="7F596058">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4）完满完成全国污染源普查。制定《昭化区第二次全国污染源普查方案》，建立工业、畜禽养殖、集中式污染治理设施、入河排污口、生活源锅炉等名录底册602个，将448个污染源纳入普查对象。对企业基本情况、活动水平、污染治理设施和排放口等信息开展入户调查，分行业分类别核算污染物产生量和排放量，高质量完成了全国第二次污染源普查任务，现已完成第二次全国污染源普查《技术核查报告》《分析报告》《质量报告》等成果，并通过国家验收抽查和省级第三方评估。</w:t>
      </w:r>
    </w:p>
    <w:p w14:paraId="0F46C943">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4.有序推进生态文明制度改革</w:t>
      </w:r>
    </w:p>
    <w:p w14:paraId="4D805E86">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1）深植习近平生态文明思想，全面推动绿色发展。深入学习领会习近平生态文明思想，坚持生态立区发展战略不动摇，将绿色发展理念始终贯穿全区国民经济计划、社会发展规划、专项工作方案，持续调整经济能源结构、优化国土空间开发布局、培育壮大节能环保产业、推进资源循环利用、倡导绿色低碳生活方式，绿色发展推动经济高质量发展的作用更加凸显。</w:t>
      </w:r>
    </w:p>
    <w:p w14:paraId="77C4268E">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2）制定目标考核指标体系，生态环境管理制度持续完善。按照广元市党政同责工作目标绩效管理实施办法，结合我区实际，制定了《2019年度区级部门生态环境保护党政同责工作目标任务及考评细则》，编制完成了生态区建设规划，部门联动开展“低碳环保宣传年”活动，科学发展观念、生态文明理念深入人心。制定重大开发建设项目环境保护准入会商审查制度，建立完善企业环境信用评价制度，试点开展区控以上重点工业企业环境信用评价工作。建成100项指标环境应急监测体系，初步具备环境信息发布能力。建立9部门“保障群众健康环保专项行动”联动长效机制，健全“区、片区、乡镇、村社”“四位一体”环境监管体系，区级部门与公安、检察部门建立生态环境行政执法与刑事司法联动衔接机制，合力打击环境违法犯罪机制正逐步建立。</w:t>
      </w:r>
    </w:p>
    <w:p w14:paraId="11973E46">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3）部分生态发展空间格局得到优化。修订完善“三线一单”，土地资源管理、城市规划管控、生态红线保护进一步加强。划定水资源利用红线，完善土地利用红线，优化调整畜禽养殖产业发展区划，工业、畜禽等重点产业发展功能区划日趋合理</w:t>
      </w:r>
    </w:p>
    <w:p w14:paraId="2E18C08B">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4）重点生态环境建设取得一定成效。新建林业产业基地7个、林药产业园区5个，新增林地1.2万亩、蔬菜基地4000亩、森林食品基地2个。累计认定地理标志产品、无公害农产品等各类生产基地55.44万亩，无公害畜产品基地7个，无公害水产品生产基地1个，成功创建为国家级农产品质量安全监管示范区。</w:t>
      </w:r>
    </w:p>
    <w:p w14:paraId="6CA01487">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5）重点污染治理机制有所创新。积极推进城镇生活污水、垃圾处理公私运作“3P”模式，在省级平台成功签约实施1家。初步制定《畜禽面源污染治理验收办法》，探索提出畜禽面源污染治理“12352”模式，积极创新养殖污染防治工作方法。</w:t>
      </w:r>
    </w:p>
    <w:p w14:paraId="0EF1B4BF">
      <w:pPr>
        <w:pStyle w:val="4"/>
        <w:rPr>
          <w:rStyle w:val="15"/>
          <w:b w:val="0"/>
          <w:bCs w:val="0"/>
        </w:rPr>
      </w:pPr>
      <w:bookmarkStart w:id="20" w:name="_Toc15377200"/>
      <w:bookmarkStart w:id="21" w:name="_Toc15396601"/>
      <w:r>
        <w:rPr>
          <w:rFonts w:hint="eastAsia" w:ascii="黑体" w:eastAsia="黑体"/>
          <w:b w:val="0"/>
          <w:color w:val="000000"/>
        </w:rPr>
        <w:t>二、</w:t>
      </w:r>
      <w:r>
        <w:rPr>
          <w:rFonts w:hint="eastAsia" w:ascii="黑体" w:hAnsi="黑体" w:eastAsia="黑体"/>
          <w:b w:val="0"/>
          <w:color w:val="000000"/>
        </w:rPr>
        <w:t>机</w:t>
      </w:r>
      <w:r>
        <w:rPr>
          <w:rStyle w:val="15"/>
          <w:rFonts w:hint="eastAsia" w:ascii="黑体" w:hAnsi="黑体" w:eastAsia="黑体"/>
          <w:b w:val="0"/>
          <w:bCs w:val="0"/>
        </w:rPr>
        <w:t>构设置</w:t>
      </w:r>
      <w:bookmarkEnd w:id="20"/>
      <w:bookmarkEnd w:id="21"/>
    </w:p>
    <w:p w14:paraId="77D6A67C">
      <w:pPr>
        <w:widowControl/>
        <w:ind w:firstLine="640" w:firstLineChars="200"/>
        <w:jc w:val="left"/>
        <w:rPr>
          <w:rFonts w:ascii="仿宋" w:hAnsi="仿宋" w:eastAsia="仿宋"/>
          <w:color w:val="000000"/>
          <w:kern w:val="0"/>
          <w:sz w:val="32"/>
          <w:szCs w:val="32"/>
        </w:rPr>
      </w:pPr>
      <w:r>
        <w:rPr>
          <w:rFonts w:hint="eastAsia" w:ascii="仿宋" w:hAnsi="仿宋" w:eastAsia="仿宋"/>
          <w:sz w:val="32"/>
          <w:szCs w:val="32"/>
        </w:rPr>
        <w:t>区生态环境局设 5 个内设机构，包括办公室（政策法规股）、污染防治股（总量减排股）、生态与农村环境管理股、行政审批股（环境影响评价股）、核与辐射安全管理股。设 2 个下属事业单位，分别为区环境监察执法大队和区环境监测站。</w:t>
      </w:r>
    </w:p>
    <w:p w14:paraId="6EA98523">
      <w:pPr>
        <w:pStyle w:val="3"/>
        <w:ind w:right="440"/>
        <w:jc w:val="right"/>
        <w:rPr>
          <w:rStyle w:val="14"/>
          <w:rFonts w:ascii="黑体" w:hAnsi="黑体" w:eastAsia="黑体"/>
          <w:b w:val="0"/>
          <w:bCs w:val="0"/>
        </w:rPr>
      </w:pPr>
      <w:bookmarkStart w:id="22" w:name="_Toc15396602"/>
      <w:bookmarkStart w:id="23" w:name="_Toc15377204"/>
      <w:r>
        <w:rPr>
          <w:rFonts w:hint="eastAsia" w:ascii="黑体" w:hAnsi="黑体" w:eastAsia="黑体"/>
          <w:b w:val="0"/>
          <w:color w:val="000000"/>
        </w:rPr>
        <w:t>第二部分</w:t>
      </w:r>
      <w:r>
        <w:rPr>
          <w:rFonts w:hint="eastAsia" w:ascii="黑体" w:hAnsi="黑体" w:eastAsia="黑体"/>
          <w:color w:val="000000"/>
        </w:rPr>
        <w:t xml:space="preserve"> </w:t>
      </w:r>
      <w:r>
        <w:rPr>
          <w:rStyle w:val="14"/>
          <w:rFonts w:hint="eastAsia" w:ascii="黑体" w:hAnsi="黑体" w:eastAsia="黑体"/>
          <w:b w:val="0"/>
          <w:bCs w:val="0"/>
        </w:rPr>
        <w:t>2019年度部门决算情况说明</w:t>
      </w:r>
      <w:bookmarkEnd w:id="22"/>
      <w:bookmarkEnd w:id="23"/>
    </w:p>
    <w:p w14:paraId="1B643583"/>
    <w:p w14:paraId="5806FB9F">
      <w:pPr>
        <w:pStyle w:val="16"/>
        <w:numPr>
          <w:ilvl w:val="0"/>
          <w:numId w:val="1"/>
        </w:numPr>
        <w:spacing w:line="600" w:lineRule="exact"/>
        <w:ind w:firstLineChars="0"/>
        <w:outlineLvl w:val="1"/>
        <w:rPr>
          <w:rStyle w:val="15"/>
          <w:rFonts w:ascii="黑体" w:hAnsi="黑体" w:eastAsia="黑体"/>
          <w:b w:val="0"/>
        </w:rPr>
      </w:pPr>
      <w:bookmarkStart w:id="24" w:name="_Toc15396603"/>
      <w:bookmarkStart w:id="25" w:name="_Toc15377205"/>
      <w:r>
        <w:rPr>
          <w:rFonts w:hint="eastAsia" w:ascii="黑体" w:hAnsi="黑体" w:eastAsia="黑体"/>
          <w:color w:val="000000"/>
          <w:sz w:val="32"/>
          <w:szCs w:val="32"/>
        </w:rPr>
        <w:t>收</w:t>
      </w:r>
      <w:r>
        <w:rPr>
          <w:rStyle w:val="15"/>
          <w:rFonts w:hint="eastAsia" w:ascii="黑体" w:hAnsi="黑体" w:eastAsia="黑体"/>
          <w:b w:val="0"/>
        </w:rPr>
        <w:t>入支出决算总体情况说明</w:t>
      </w:r>
      <w:bookmarkEnd w:id="24"/>
      <w:bookmarkEnd w:id="25"/>
    </w:p>
    <w:p w14:paraId="35140848">
      <w:pPr>
        <w:spacing w:line="600" w:lineRule="exact"/>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2019年区生态环境局本年收入合计2806.23万元，其中：财政拨款收入2806.23万元，占100%。</w:t>
      </w:r>
    </w:p>
    <w:p w14:paraId="0C95B68D">
      <w:pPr>
        <w:spacing w:line="600" w:lineRule="exact"/>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2019年区生态环境局本年支出合计725.48万元，其中：基本支出292.59万元，占40.33%；项目支出432.9万元，占59.67%。</w:t>
      </w:r>
    </w:p>
    <w:p w14:paraId="24EFEBD8">
      <w:pPr>
        <w:spacing w:line="600" w:lineRule="exact"/>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rPr>
        <w:t>区生态环境局2019年度财政拨款收支总决算725.48万元。与2018年相比，财政拨款收入总计增加</w:t>
      </w:r>
      <w:r>
        <w:rPr>
          <w:rFonts w:hint="eastAsia" w:ascii="仿宋" w:hAnsi="仿宋" w:eastAsia="仿宋"/>
          <w:color w:val="000000"/>
          <w:sz w:val="32"/>
          <w:szCs w:val="32"/>
          <w:lang w:val="en-US" w:eastAsia="zh-CN"/>
        </w:rPr>
        <w:t>1841.19</w:t>
      </w:r>
      <w:r>
        <w:rPr>
          <w:rFonts w:hint="eastAsia" w:ascii="仿宋" w:hAnsi="仿宋" w:eastAsia="仿宋"/>
          <w:color w:val="000000"/>
          <w:sz w:val="32"/>
          <w:szCs w:val="32"/>
        </w:rPr>
        <w:t>万元，增幅</w:t>
      </w:r>
      <w:r>
        <w:rPr>
          <w:rFonts w:hint="eastAsia" w:ascii="仿宋" w:hAnsi="仿宋" w:eastAsia="仿宋"/>
          <w:color w:val="000000"/>
          <w:sz w:val="32"/>
          <w:szCs w:val="32"/>
          <w:lang w:val="en-US" w:eastAsia="zh-CN"/>
        </w:rPr>
        <w:t>65.61</w:t>
      </w:r>
      <w:r>
        <w:rPr>
          <w:rFonts w:hint="eastAsia" w:ascii="仿宋" w:hAnsi="仿宋" w:eastAsia="仿宋"/>
          <w:color w:val="000000"/>
          <w:sz w:val="32"/>
          <w:szCs w:val="32"/>
        </w:rPr>
        <w:t>%</w:t>
      </w:r>
      <w:r>
        <w:rPr>
          <w:rFonts w:hint="eastAsia" w:ascii="仿宋" w:hAnsi="仿宋" w:eastAsia="仿宋"/>
          <w:color w:val="000000"/>
          <w:sz w:val="32"/>
          <w:szCs w:val="32"/>
          <w:lang w:val="en-US" w:eastAsia="zh-CN"/>
        </w:rPr>
        <w:t>,财政拨款收入增加的主要原因是环保项目资金增加</w:t>
      </w:r>
      <w:r>
        <w:rPr>
          <w:rFonts w:hint="eastAsia" w:ascii="仿宋" w:hAnsi="仿宋" w:eastAsia="仿宋"/>
          <w:color w:val="000000"/>
          <w:sz w:val="32"/>
          <w:szCs w:val="32"/>
        </w:rPr>
        <w:t>；财政拨款支出总计增加268.89万元，增幅58.89%</w:t>
      </w:r>
      <w:r>
        <w:rPr>
          <w:rFonts w:hint="eastAsia" w:ascii="仿宋" w:hAnsi="仿宋" w:eastAsia="仿宋"/>
          <w:color w:val="000000"/>
          <w:sz w:val="32"/>
          <w:szCs w:val="32"/>
          <w:lang w:eastAsia="zh-CN"/>
        </w:rPr>
        <w:t>，主要原因是加大了环保专项资金的投入</w:t>
      </w:r>
      <w:r>
        <w:rPr>
          <w:rFonts w:hint="eastAsia" w:ascii="仿宋" w:hAnsi="仿宋" w:eastAsia="仿宋"/>
          <w:color w:val="000000"/>
          <w:sz w:val="32"/>
          <w:szCs w:val="32"/>
        </w:rPr>
        <w:t>。</w:t>
      </w:r>
    </w:p>
    <w:p w14:paraId="3E9B81E3">
      <w:pPr>
        <w:pStyle w:val="16"/>
        <w:numPr>
          <w:ilvl w:val="0"/>
          <w:numId w:val="1"/>
        </w:numPr>
        <w:spacing w:line="600" w:lineRule="exact"/>
        <w:ind w:firstLineChars="0"/>
        <w:outlineLvl w:val="1"/>
        <w:rPr>
          <w:rStyle w:val="15"/>
          <w:rFonts w:ascii="黑体" w:hAnsi="黑体" w:eastAsia="黑体"/>
          <w:b w:val="0"/>
        </w:rPr>
      </w:pPr>
      <w:bookmarkStart w:id="26" w:name="_Toc15396604"/>
      <w:bookmarkStart w:id="27" w:name="_Toc15377206"/>
      <w:r>
        <w:rPr>
          <w:rFonts w:hint="eastAsia" w:ascii="黑体" w:hAnsi="黑体" w:eastAsia="黑体"/>
          <w:color w:val="000000"/>
          <w:sz w:val="32"/>
          <w:szCs w:val="32"/>
        </w:rPr>
        <w:t>收</w:t>
      </w:r>
      <w:r>
        <w:rPr>
          <w:rStyle w:val="15"/>
          <w:rFonts w:hint="eastAsia" w:ascii="黑体" w:hAnsi="黑体" w:eastAsia="黑体"/>
          <w:b w:val="0"/>
        </w:rPr>
        <w:t>入决算情况说明</w:t>
      </w:r>
      <w:bookmarkEnd w:id="26"/>
      <w:bookmarkEnd w:id="27"/>
    </w:p>
    <w:p w14:paraId="2604261D">
      <w:pPr>
        <w:spacing w:line="560" w:lineRule="exact"/>
        <w:ind w:firstLine="570"/>
        <w:rPr>
          <w:rFonts w:hint="eastAsia" w:ascii="仿宋" w:hAnsi="仿宋" w:eastAsia="仿宋"/>
          <w:color w:val="auto"/>
          <w:sz w:val="32"/>
          <w:szCs w:val="32"/>
          <w:shd w:val="clear" w:color="auto" w:fill="FFFFFF"/>
          <w:lang w:val="en-US" w:eastAsia="zh-CN"/>
        </w:rPr>
      </w:pPr>
      <w:r>
        <w:rPr>
          <w:rFonts w:ascii="仿宋" w:hAnsi="仿宋" w:eastAsia="仿宋"/>
          <w:color w:val="000000"/>
          <w:sz w:val="32"/>
          <w:szCs w:val="32"/>
        </w:rPr>
        <w:t>201</w:t>
      </w:r>
      <w:r>
        <w:rPr>
          <w:rFonts w:hint="eastAsia" w:ascii="仿宋" w:hAnsi="仿宋" w:eastAsia="仿宋"/>
          <w:color w:val="000000"/>
          <w:sz w:val="32"/>
          <w:szCs w:val="32"/>
        </w:rPr>
        <w:t>9年本年收入合计</w:t>
      </w:r>
      <w:r>
        <w:rPr>
          <w:rFonts w:hint="eastAsia" w:ascii="仿宋" w:hAnsi="仿宋" w:eastAsia="仿宋"/>
          <w:color w:val="auto"/>
          <w:sz w:val="32"/>
          <w:szCs w:val="32"/>
          <w:shd w:val="clear" w:color="auto" w:fill="FFFFFF"/>
          <w:lang w:val="en-US" w:eastAsia="zh-CN"/>
        </w:rPr>
        <w:t>3304.48</w:t>
      </w:r>
      <w:r>
        <w:rPr>
          <w:rFonts w:hint="eastAsia" w:ascii="仿宋" w:hAnsi="仿宋" w:eastAsia="仿宋"/>
          <w:color w:val="000000"/>
          <w:sz w:val="32"/>
          <w:szCs w:val="32"/>
        </w:rPr>
        <w:t>万元，其中：一般公共预算财政拨款收入</w:t>
      </w:r>
      <w:r>
        <w:rPr>
          <w:rFonts w:hint="eastAsia" w:ascii="仿宋" w:hAnsi="仿宋" w:eastAsia="仿宋"/>
          <w:color w:val="auto"/>
          <w:sz w:val="32"/>
          <w:szCs w:val="32"/>
          <w:shd w:val="clear" w:color="auto" w:fill="FFFFFF"/>
          <w:lang w:val="en-US" w:eastAsia="zh-CN"/>
        </w:rPr>
        <w:t>2806.23</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84.92</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auto"/>
          <w:sz w:val="32"/>
          <w:szCs w:val="32"/>
          <w:shd w:val="clear" w:color="auto" w:fill="FFFFFF"/>
          <w:lang w:val="en-US" w:eastAsia="zh-CN"/>
        </w:rPr>
        <w:t>上年结转收入 508.45万元，占15.08%。收入决算总额较2018年增加2339.44万元，增加的主要原因是环保项目资金增加。</w:t>
      </w:r>
    </w:p>
    <w:p w14:paraId="759AEA2A">
      <w:pPr>
        <w:pStyle w:val="16"/>
        <w:numPr>
          <w:ilvl w:val="0"/>
          <w:numId w:val="1"/>
        </w:numPr>
        <w:spacing w:line="600" w:lineRule="exact"/>
        <w:ind w:firstLineChars="0"/>
        <w:outlineLvl w:val="1"/>
        <w:rPr>
          <w:rStyle w:val="15"/>
          <w:rFonts w:ascii="黑体" w:hAnsi="黑体" w:eastAsia="黑体"/>
          <w:b w:val="0"/>
        </w:rPr>
      </w:pPr>
      <w:bookmarkStart w:id="28" w:name="_Toc15377207"/>
      <w:bookmarkStart w:id="29" w:name="_Toc15396605"/>
      <w:r>
        <w:rPr>
          <w:rFonts w:hint="eastAsia" w:ascii="黑体" w:hAnsi="黑体" w:eastAsia="黑体"/>
          <w:color w:val="000000"/>
          <w:sz w:val="32"/>
          <w:szCs w:val="32"/>
        </w:rPr>
        <w:t>支</w:t>
      </w:r>
      <w:r>
        <w:rPr>
          <w:rStyle w:val="15"/>
          <w:rFonts w:hint="eastAsia" w:ascii="黑体" w:hAnsi="黑体" w:eastAsia="黑体"/>
          <w:b w:val="0"/>
        </w:rPr>
        <w:t>出决算情况说明</w:t>
      </w:r>
      <w:bookmarkEnd w:id="28"/>
      <w:bookmarkEnd w:id="29"/>
    </w:p>
    <w:p w14:paraId="088A44C0">
      <w:pPr>
        <w:spacing w:line="600" w:lineRule="exact"/>
        <w:ind w:firstLine="640" w:firstLineChars="200"/>
        <w:outlineLvl w:val="1"/>
        <w:rPr>
          <w:rFonts w:hint="eastAsia" w:ascii="仿宋" w:hAnsi="仿宋" w:eastAsia="仿宋"/>
          <w:color w:val="auto"/>
          <w:sz w:val="32"/>
          <w:szCs w:val="32"/>
          <w:shd w:val="clear" w:color="auto" w:fill="FFFFFF"/>
          <w:lang w:val="en-US" w:eastAsia="zh-CN"/>
        </w:rPr>
      </w:pPr>
      <w:bookmarkStart w:id="30" w:name="_Toc15396606"/>
      <w:bookmarkStart w:id="31" w:name="_Toc15377208"/>
      <w:r>
        <w:rPr>
          <w:rFonts w:hint="eastAsia" w:ascii="仿宋" w:hAnsi="仿宋" w:eastAsia="仿宋"/>
          <w:color w:val="auto"/>
          <w:sz w:val="32"/>
          <w:szCs w:val="32"/>
          <w:shd w:val="clear" w:color="auto" w:fill="FFFFFF"/>
          <w:lang w:val="en-US" w:eastAsia="zh-CN"/>
        </w:rPr>
        <w:t>2019年一般公共预算财政拨款支出决算725.48万元，占本年支出合计的100%。与2018年相比，一般公共预算财政拨款增加268.89万元，增幅58.89%，主要原因是</w:t>
      </w:r>
      <w:r>
        <w:rPr>
          <w:rFonts w:hint="eastAsia" w:ascii="仿宋" w:hAnsi="仿宋" w:eastAsia="仿宋"/>
          <w:color w:val="000000"/>
          <w:sz w:val="32"/>
          <w:szCs w:val="32"/>
          <w:lang w:eastAsia="zh-CN"/>
        </w:rPr>
        <w:t>加大了环保专项资金的投入</w:t>
      </w:r>
      <w:r>
        <w:rPr>
          <w:rFonts w:hint="eastAsia" w:ascii="仿宋" w:hAnsi="仿宋" w:eastAsia="仿宋"/>
          <w:color w:val="auto"/>
          <w:sz w:val="32"/>
          <w:szCs w:val="32"/>
          <w:shd w:val="clear" w:color="auto" w:fill="FFFFFF"/>
          <w:lang w:val="en-US" w:eastAsia="zh-CN"/>
        </w:rPr>
        <w:t>。</w:t>
      </w:r>
    </w:p>
    <w:p w14:paraId="43AE668C">
      <w:pPr>
        <w:spacing w:line="600" w:lineRule="exact"/>
        <w:ind w:firstLine="640" w:firstLineChars="200"/>
        <w:outlineLvl w:val="1"/>
        <w:rPr>
          <w:rStyle w:val="15"/>
          <w:rFonts w:ascii="黑体" w:hAnsi="黑体" w:eastAsia="黑体"/>
          <w:b w:val="0"/>
        </w:rPr>
      </w:pPr>
      <w:r>
        <w:rPr>
          <w:rFonts w:hint="eastAsia" w:ascii="黑体" w:hAnsi="黑体" w:eastAsia="黑体"/>
          <w:color w:val="000000"/>
          <w:sz w:val="32"/>
          <w:szCs w:val="32"/>
        </w:rPr>
        <w:t>四、财</w:t>
      </w:r>
      <w:r>
        <w:rPr>
          <w:rStyle w:val="15"/>
          <w:rFonts w:hint="eastAsia" w:ascii="黑体" w:hAnsi="黑体" w:eastAsia="黑体"/>
          <w:b w:val="0"/>
        </w:rPr>
        <w:t>政拨款收入支出决算总体情况说明</w:t>
      </w:r>
      <w:bookmarkEnd w:id="30"/>
      <w:bookmarkEnd w:id="31"/>
    </w:p>
    <w:p w14:paraId="4DAE54A9">
      <w:pPr>
        <w:spacing w:line="600" w:lineRule="exact"/>
        <w:ind w:firstLine="640" w:firstLineChars="200"/>
        <w:rPr>
          <w:rFonts w:ascii="仿宋" w:hAnsi="仿宋" w:eastAsia="仿宋"/>
          <w:b/>
          <w:color w:val="00B050"/>
          <w:sz w:val="32"/>
          <w:szCs w:val="32"/>
        </w:rPr>
      </w:pPr>
      <w:r>
        <w:rPr>
          <w:rFonts w:hint="eastAsia" w:ascii="仿宋" w:hAnsi="仿宋" w:eastAsia="仿宋"/>
          <w:color w:val="000000"/>
          <w:sz w:val="32"/>
          <w:szCs w:val="32"/>
        </w:rPr>
        <w:t>区生态环境局2019年度财政拨款收支总决算725.48万元。与2018年相比，财政拨款收入总计增加1830.99万元，增幅253.79%</w:t>
      </w:r>
      <w:r>
        <w:rPr>
          <w:rFonts w:hint="eastAsia" w:ascii="仿宋" w:hAnsi="仿宋" w:eastAsia="仿宋"/>
          <w:color w:val="000000"/>
          <w:sz w:val="32"/>
          <w:szCs w:val="32"/>
          <w:lang w:val="en-US" w:eastAsia="zh-CN"/>
        </w:rPr>
        <w:t>增加的主要原因是环保项目资金增加</w:t>
      </w:r>
      <w:r>
        <w:rPr>
          <w:rFonts w:hint="eastAsia" w:ascii="仿宋" w:hAnsi="仿宋" w:eastAsia="仿宋"/>
          <w:color w:val="000000"/>
          <w:sz w:val="32"/>
          <w:szCs w:val="32"/>
          <w:lang w:eastAsia="zh-CN"/>
        </w:rPr>
        <w:t>，</w:t>
      </w:r>
      <w:r>
        <w:rPr>
          <w:rFonts w:hint="eastAsia" w:ascii="仿宋" w:hAnsi="仿宋" w:eastAsia="仿宋"/>
          <w:color w:val="000000"/>
          <w:sz w:val="32"/>
          <w:szCs w:val="32"/>
        </w:rPr>
        <w:t>；财政拨款支出总计增加268.89万元，增幅58.89%</w:t>
      </w:r>
      <w:r>
        <w:rPr>
          <w:rFonts w:hint="eastAsia" w:ascii="仿宋" w:hAnsi="仿宋" w:eastAsia="仿宋"/>
          <w:color w:val="000000"/>
          <w:sz w:val="32"/>
          <w:szCs w:val="32"/>
          <w:lang w:eastAsia="zh-CN"/>
        </w:rPr>
        <w:t>，主要原因是加大了环保专项资金的投入</w:t>
      </w:r>
      <w:r>
        <w:rPr>
          <w:rFonts w:hint="eastAsia" w:ascii="仿宋" w:hAnsi="仿宋" w:eastAsia="仿宋"/>
          <w:color w:val="000000"/>
          <w:sz w:val="32"/>
          <w:szCs w:val="32"/>
        </w:rPr>
        <w:t>。</w:t>
      </w:r>
    </w:p>
    <w:p w14:paraId="7E8C84F2">
      <w:pPr>
        <w:spacing w:line="600" w:lineRule="exact"/>
        <w:ind w:firstLine="640" w:firstLineChars="200"/>
        <w:outlineLvl w:val="1"/>
        <w:rPr>
          <w:rStyle w:val="15"/>
          <w:rFonts w:ascii="黑体" w:hAnsi="黑体" w:eastAsia="黑体"/>
          <w:b w:val="0"/>
        </w:rPr>
      </w:pPr>
      <w:bookmarkStart w:id="32" w:name="_Toc15377209"/>
      <w:bookmarkStart w:id="33" w:name="_Toc15396607"/>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15"/>
          <w:rFonts w:hint="eastAsia" w:ascii="黑体" w:hAnsi="黑体" w:eastAsia="黑体"/>
          <w:b w:val="0"/>
        </w:rPr>
        <w:t>般公共预算财政拨款支出决算情况说明</w:t>
      </w:r>
      <w:bookmarkEnd w:id="32"/>
      <w:bookmarkEnd w:id="33"/>
    </w:p>
    <w:p w14:paraId="40343616">
      <w:pPr>
        <w:spacing w:line="600" w:lineRule="exact"/>
        <w:ind w:firstLine="643" w:firstLineChars="200"/>
        <w:outlineLvl w:val="2"/>
        <w:rPr>
          <w:rFonts w:ascii="仿宋" w:hAnsi="仿宋" w:eastAsia="仿宋"/>
          <w:b/>
          <w:color w:val="000000"/>
          <w:sz w:val="32"/>
          <w:szCs w:val="32"/>
        </w:rPr>
      </w:pPr>
      <w:bookmarkStart w:id="34" w:name="_Toc15377210"/>
      <w:r>
        <w:rPr>
          <w:rFonts w:hint="eastAsia" w:ascii="仿宋" w:hAnsi="仿宋" w:eastAsia="仿宋"/>
          <w:b/>
          <w:color w:val="000000"/>
          <w:sz w:val="32"/>
          <w:szCs w:val="32"/>
        </w:rPr>
        <w:t>（一）一般公共预算财政拨款支出决算总体情况</w:t>
      </w:r>
      <w:bookmarkEnd w:id="34"/>
    </w:p>
    <w:p w14:paraId="796CC47E">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区生态环境局2019年一般公共预算财政拨款支出决算725.48万元，占本年支出合计的100%。与2018年相比，一般公共预算财政拨款增加268.89万元，增幅58.89%</w:t>
      </w:r>
      <w:r>
        <w:rPr>
          <w:rFonts w:hint="eastAsia" w:ascii="仿宋" w:hAnsi="仿宋" w:eastAsia="仿宋"/>
          <w:color w:val="000000"/>
          <w:sz w:val="32"/>
          <w:szCs w:val="32"/>
          <w:lang w:eastAsia="zh-CN"/>
        </w:rPr>
        <w:t>，主要原因是环保项目资金增加</w:t>
      </w:r>
      <w:r>
        <w:rPr>
          <w:rFonts w:hint="eastAsia" w:ascii="仿宋" w:hAnsi="仿宋" w:eastAsia="仿宋"/>
          <w:color w:val="000000"/>
          <w:sz w:val="32"/>
          <w:szCs w:val="32"/>
        </w:rPr>
        <w:t>。</w:t>
      </w:r>
    </w:p>
    <w:p w14:paraId="270187C2">
      <w:pPr>
        <w:spacing w:line="600" w:lineRule="exact"/>
        <w:ind w:firstLine="643" w:firstLineChars="200"/>
        <w:outlineLvl w:val="2"/>
        <w:rPr>
          <w:rFonts w:ascii="仿宋" w:hAnsi="仿宋" w:eastAsia="仿宋"/>
          <w:b/>
          <w:color w:val="000000"/>
          <w:sz w:val="32"/>
          <w:szCs w:val="32"/>
        </w:rPr>
      </w:pPr>
      <w:bookmarkStart w:id="35" w:name="_Toc15377211"/>
      <w:r>
        <w:rPr>
          <w:rFonts w:hint="eastAsia" w:ascii="仿宋" w:hAnsi="仿宋" w:eastAsia="仿宋"/>
          <w:b/>
          <w:color w:val="000000"/>
          <w:sz w:val="32"/>
          <w:szCs w:val="32"/>
        </w:rPr>
        <w:t>（二）一般公共预算财政拨款支出决算结构情况</w:t>
      </w:r>
      <w:bookmarkEnd w:id="35"/>
    </w:p>
    <w:p w14:paraId="7FF6659A">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t>区生态环境局2019年一般公共预算财政拨款支出725.48万元，主要用于以下方面:节能环保支出658.32万元，占90.74%；社会保障和就业支出31.73万元，占4.37%；医疗卫生支出12.73万元，占1.75%；住房保障支出22.7万元，占3.13%。</w:t>
      </w:r>
    </w:p>
    <w:p w14:paraId="0C288DE3">
      <w:pPr>
        <w:spacing w:line="600" w:lineRule="exact"/>
        <w:ind w:firstLine="643" w:firstLineChars="200"/>
        <w:outlineLvl w:val="2"/>
        <w:rPr>
          <w:rFonts w:ascii="仿宋" w:hAnsi="仿宋" w:eastAsia="仿宋"/>
          <w:b/>
          <w:color w:val="000000"/>
          <w:sz w:val="32"/>
          <w:szCs w:val="32"/>
        </w:rPr>
      </w:pPr>
      <w:bookmarkStart w:id="36" w:name="_Toc15377212"/>
      <w:r>
        <w:rPr>
          <w:rFonts w:hint="eastAsia" w:ascii="仿宋" w:hAnsi="仿宋" w:eastAsia="仿宋"/>
          <w:b/>
          <w:color w:val="000000"/>
          <w:sz w:val="32"/>
          <w:szCs w:val="32"/>
        </w:rPr>
        <w:t>（三）一般公共预算财政拨款支出决算具体情况</w:t>
      </w:r>
      <w:bookmarkEnd w:id="36"/>
    </w:p>
    <w:p w14:paraId="6937326F">
      <w:pPr>
        <w:spacing w:line="600" w:lineRule="exact"/>
        <w:ind w:firstLine="640" w:firstLineChars="200"/>
        <w:rPr>
          <w:rFonts w:hint="eastAsia" w:ascii="仿宋" w:hAnsi="仿宋" w:eastAsia="仿宋"/>
          <w:b w:val="0"/>
          <w:bCs/>
          <w:color w:val="auto"/>
          <w:sz w:val="32"/>
          <w:szCs w:val="32"/>
        </w:rPr>
      </w:pPr>
      <w:r>
        <w:rPr>
          <w:rFonts w:hint="eastAsia" w:ascii="仿宋" w:hAnsi="仿宋" w:eastAsia="仿宋"/>
          <w:b w:val="0"/>
          <w:bCs/>
          <w:color w:val="auto"/>
          <w:sz w:val="32"/>
          <w:szCs w:val="32"/>
        </w:rPr>
        <w:t>1.节能环保支出-环境保护管理事务-行政运行:2019年决算数为225.42万元，完成预算95.34%；节能环保支出-污染防治-大气：2019年决算数为116万元，完成预算42.19%；节能环保支出-污染防治-其他污染防治：2019年决算数为34.84万元，完成预算3.17%；节能环保支出-污染减排-环境监测与信息：2019年决算数为20.29万元，完成预算54.38%；节能环保支出-污染减排-其他节能环保支出：2019年决算数为218.02万元，完成预算92.77%；节能环保支出-环境保护管理事务-其他环境保护管理事务：2019年决算数为13.75万元，完成预算35.26%；节能环保支出-污染防治-水体：2019年决算数为30万元，完成预算6.5%。</w:t>
      </w:r>
    </w:p>
    <w:p w14:paraId="196D1F42">
      <w:pPr>
        <w:spacing w:line="600" w:lineRule="exact"/>
        <w:ind w:firstLine="640" w:firstLineChars="200"/>
        <w:rPr>
          <w:rFonts w:hint="eastAsia" w:ascii="仿宋" w:hAnsi="仿宋" w:eastAsia="仿宋"/>
          <w:b w:val="0"/>
          <w:bCs/>
          <w:color w:val="auto"/>
          <w:sz w:val="32"/>
          <w:szCs w:val="32"/>
        </w:rPr>
      </w:pPr>
      <w:r>
        <w:rPr>
          <w:rFonts w:hint="eastAsia" w:ascii="仿宋" w:hAnsi="仿宋" w:eastAsia="仿宋"/>
          <w:b w:val="0"/>
          <w:bCs/>
          <w:color w:val="auto"/>
          <w:sz w:val="32"/>
          <w:szCs w:val="32"/>
        </w:rPr>
        <w:t xml:space="preserve">  2.社会保障和就业-行政事业单位离退休-机关事业单位基本养老保险缴费支出:2019年决算数为31.73元，完成预算100%。</w:t>
      </w:r>
    </w:p>
    <w:p w14:paraId="35A8E242">
      <w:pPr>
        <w:spacing w:line="600" w:lineRule="exact"/>
        <w:ind w:firstLine="640" w:firstLineChars="200"/>
        <w:rPr>
          <w:rFonts w:hint="eastAsia" w:ascii="仿宋" w:hAnsi="仿宋" w:eastAsia="仿宋"/>
          <w:b w:val="0"/>
          <w:bCs/>
          <w:color w:val="auto"/>
          <w:sz w:val="32"/>
          <w:szCs w:val="32"/>
        </w:rPr>
      </w:pPr>
      <w:r>
        <w:rPr>
          <w:rFonts w:hint="eastAsia" w:ascii="仿宋" w:hAnsi="仿宋" w:eastAsia="仿宋"/>
          <w:b w:val="0"/>
          <w:bCs/>
          <w:color w:val="auto"/>
          <w:sz w:val="32"/>
          <w:szCs w:val="32"/>
        </w:rPr>
        <w:t>  3.医疗卫生与计划生育-医疗保障-行政单位医疗:2019年决算数为12.73万元，完成预算100%。</w:t>
      </w:r>
    </w:p>
    <w:p w14:paraId="0ADEAEF4">
      <w:pPr>
        <w:spacing w:line="600" w:lineRule="exact"/>
        <w:ind w:firstLine="640" w:firstLineChars="200"/>
        <w:rPr>
          <w:rFonts w:ascii="仿宋" w:hAnsi="仿宋" w:eastAsia="仿宋"/>
          <w:b/>
          <w:color w:val="000000"/>
          <w:sz w:val="32"/>
          <w:szCs w:val="32"/>
        </w:rPr>
      </w:pPr>
      <w:r>
        <w:rPr>
          <w:rFonts w:hint="eastAsia" w:ascii="仿宋" w:hAnsi="仿宋" w:eastAsia="仿宋"/>
          <w:b w:val="0"/>
          <w:bCs/>
          <w:color w:val="auto"/>
          <w:sz w:val="32"/>
          <w:szCs w:val="32"/>
        </w:rPr>
        <w:t>  4.住房保障支出-住房改革支出-住房公积金：2019年决算数为22.7万元，完成预算100%。</w:t>
      </w:r>
    </w:p>
    <w:p w14:paraId="2033A6F7">
      <w:pPr>
        <w:tabs>
          <w:tab w:val="right" w:pos="8306"/>
        </w:tabs>
        <w:spacing w:line="600" w:lineRule="exact"/>
        <w:ind w:firstLine="640"/>
        <w:outlineLvl w:val="1"/>
        <w:rPr>
          <w:rStyle w:val="15"/>
        </w:rPr>
      </w:pPr>
      <w:bookmarkStart w:id="37" w:name="_Toc15377214"/>
      <w:bookmarkStart w:id="38"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15"/>
          <w:rFonts w:hint="eastAsia" w:ascii="黑体" w:hAnsi="黑体" w:eastAsia="黑体"/>
          <w:b w:val="0"/>
        </w:rPr>
        <w:t>般公共预算财政拨款基本支出决算情况说明</w:t>
      </w:r>
      <w:bookmarkEnd w:id="37"/>
      <w:bookmarkEnd w:id="38"/>
      <w:r>
        <w:rPr>
          <w:rStyle w:val="15"/>
          <w:rFonts w:ascii="黑体" w:hAnsi="黑体" w:eastAsia="黑体"/>
          <w:b w:val="0"/>
        </w:rPr>
        <w:tab/>
      </w:r>
    </w:p>
    <w:p w14:paraId="7C45062E">
      <w:pPr>
        <w:spacing w:line="600" w:lineRule="exact"/>
        <w:ind w:firstLine="640"/>
        <w:outlineLvl w:val="1"/>
        <w:rPr>
          <w:rFonts w:hint="eastAsia" w:ascii="仿宋" w:hAnsi="仿宋" w:eastAsia="仿宋"/>
          <w:color w:val="000000"/>
          <w:sz w:val="32"/>
          <w:szCs w:val="32"/>
        </w:rPr>
      </w:pPr>
      <w:bookmarkStart w:id="39" w:name="_Toc15396609"/>
      <w:bookmarkStart w:id="40" w:name="_Toc15377215"/>
      <w:r>
        <w:rPr>
          <w:rFonts w:hint="eastAsia" w:ascii="仿宋" w:hAnsi="仿宋" w:eastAsia="仿宋"/>
          <w:color w:val="000000"/>
          <w:sz w:val="32"/>
          <w:szCs w:val="32"/>
        </w:rPr>
        <w:t>区生态环境局2019年一般公共预算财政拨款基本支出292.59万元，其中：</w:t>
      </w:r>
    </w:p>
    <w:p w14:paraId="63E05478">
      <w:pPr>
        <w:spacing w:line="600" w:lineRule="exact"/>
        <w:ind w:firstLine="640"/>
        <w:outlineLvl w:val="1"/>
        <w:rPr>
          <w:rFonts w:hint="eastAsia" w:ascii="仿宋" w:hAnsi="仿宋" w:eastAsia="仿宋"/>
          <w:color w:val="000000"/>
          <w:sz w:val="32"/>
          <w:szCs w:val="32"/>
        </w:rPr>
      </w:pPr>
      <w:r>
        <w:rPr>
          <w:rFonts w:hint="eastAsia" w:ascii="仿宋" w:hAnsi="仿宋" w:eastAsia="仿宋"/>
          <w:color w:val="000000"/>
          <w:sz w:val="32"/>
          <w:szCs w:val="32"/>
        </w:rPr>
        <w:t>人员经费217.57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w:t>
      </w:r>
    </w:p>
    <w:p w14:paraId="23286FAC">
      <w:pPr>
        <w:spacing w:line="600" w:lineRule="exact"/>
        <w:ind w:firstLine="640"/>
        <w:outlineLvl w:val="1"/>
        <w:rPr>
          <w:rFonts w:hint="eastAsia" w:ascii="仿宋" w:hAnsi="仿宋" w:eastAsia="仿宋"/>
          <w:color w:val="000000"/>
          <w:sz w:val="32"/>
          <w:szCs w:val="32"/>
        </w:rPr>
      </w:pPr>
      <w:r>
        <w:rPr>
          <w:rFonts w:hint="eastAsia" w:ascii="仿宋" w:hAnsi="仿宋" w:eastAsia="仿宋"/>
          <w:color w:val="000000"/>
          <w:sz w:val="32"/>
          <w:szCs w:val="32"/>
        </w:rPr>
        <w:t>  公用经费75.02万元，主要包括：办公费、印刷费、咨询费、手续费、水费、电费、邮电费、取暖费、物业管理费、差旅费、因公出国（境）费用、维修（护）费、租赁费、会议费、培训费、公务接待费、劳务费、委托业务费、工会经费、福利费、其他交通费、税金及附加费用、其他商品和服务支出。</w:t>
      </w:r>
    </w:p>
    <w:p w14:paraId="457D1C9A">
      <w:pPr>
        <w:spacing w:line="600" w:lineRule="exact"/>
        <w:ind w:firstLine="640"/>
        <w:outlineLvl w:val="1"/>
        <w:rPr>
          <w:rStyle w:val="15"/>
          <w:rFonts w:ascii="黑体" w:hAnsi="黑体" w:eastAsia="黑体"/>
          <w:b w:val="0"/>
        </w:rPr>
      </w:pPr>
      <w:r>
        <w:rPr>
          <w:rFonts w:hint="eastAsia" w:ascii="黑体" w:eastAsia="黑体"/>
          <w:color w:val="000000"/>
          <w:sz w:val="32"/>
          <w:szCs w:val="32"/>
        </w:rPr>
        <w:t>七、</w:t>
      </w:r>
      <w:r>
        <w:rPr>
          <w:rStyle w:val="15"/>
          <w:rFonts w:hint="eastAsia" w:ascii="黑体" w:hAnsi="黑体" w:eastAsia="黑体"/>
        </w:rPr>
        <w:t>“</w:t>
      </w:r>
      <w:r>
        <w:rPr>
          <w:rStyle w:val="15"/>
          <w:rFonts w:hint="eastAsia" w:ascii="黑体" w:hAnsi="黑体" w:eastAsia="黑体"/>
          <w:b w:val="0"/>
        </w:rPr>
        <w:t>三公”经费财政拨款支出决算情况说明</w:t>
      </w:r>
      <w:bookmarkEnd w:id="39"/>
      <w:bookmarkEnd w:id="40"/>
    </w:p>
    <w:p w14:paraId="6F2F0E29">
      <w:pPr>
        <w:spacing w:line="600" w:lineRule="exact"/>
        <w:ind w:firstLine="640"/>
        <w:outlineLvl w:val="2"/>
        <w:rPr>
          <w:rFonts w:ascii="仿宋" w:hAnsi="仿宋" w:eastAsia="仿宋"/>
          <w:b/>
          <w:color w:val="000000"/>
          <w:sz w:val="32"/>
          <w:szCs w:val="32"/>
        </w:rPr>
      </w:pPr>
      <w:bookmarkStart w:id="41" w:name="_Toc15377216"/>
      <w:r>
        <w:rPr>
          <w:rFonts w:hint="eastAsia" w:ascii="仿宋" w:hAnsi="仿宋" w:eastAsia="仿宋"/>
          <w:b/>
          <w:color w:val="000000"/>
          <w:sz w:val="32"/>
          <w:szCs w:val="32"/>
        </w:rPr>
        <w:t>（一）“三公”经费财政拨款支出决算总体情况说明</w:t>
      </w:r>
      <w:bookmarkEnd w:id="41"/>
    </w:p>
    <w:p w14:paraId="63265D6B">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区生态环境局2019年度“三公”经费财政拨款支出决算为4.32万元，完成预算61.71%，其中：公务用车购置及运行维护费支出决算为0万元，完成预算0%；公务接待费支出决算为4.32万元，完成预算61.71%。2019年度“三公”经费支出决算数小于预算数的主要原因：一是按照</w:t>
      </w:r>
      <w:r>
        <w:rPr>
          <w:rFonts w:hint="eastAsia" w:ascii="仿宋" w:hAnsi="仿宋" w:eastAsia="仿宋"/>
          <w:color w:val="000000"/>
          <w:sz w:val="32"/>
          <w:szCs w:val="32"/>
          <w:lang w:val="en-US" w:eastAsia="zh-CN"/>
        </w:rPr>
        <w:t>中央</w:t>
      </w:r>
      <w:r>
        <w:rPr>
          <w:rFonts w:hint="eastAsia" w:ascii="仿宋" w:hAnsi="仿宋" w:eastAsia="仿宋"/>
          <w:color w:val="000000"/>
          <w:sz w:val="32"/>
          <w:szCs w:val="32"/>
        </w:rPr>
        <w:t>八项规定严格控制接待次数、人数和标准；二是严格车改后，减少了公务用车维护费用。</w:t>
      </w:r>
    </w:p>
    <w:p w14:paraId="55A336EE">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2019年度“三公”经费财政拨款支出决算数比2018年减少1.61万元，下降27.15%，其中：公务接待费支出决算减少1.61万元，下降27.15%%。增减变动的主要原因：接待的批次和人次均有所减少。</w:t>
      </w:r>
    </w:p>
    <w:p w14:paraId="50F5EFC8">
      <w:pPr>
        <w:spacing w:line="600" w:lineRule="exact"/>
        <w:ind w:firstLine="640"/>
        <w:outlineLvl w:val="2"/>
        <w:rPr>
          <w:rFonts w:ascii="仿宋" w:hAnsi="仿宋" w:eastAsia="仿宋"/>
          <w:b/>
          <w:color w:val="000000"/>
          <w:sz w:val="32"/>
          <w:szCs w:val="32"/>
        </w:rPr>
      </w:pPr>
      <w:bookmarkStart w:id="42" w:name="_Toc15377217"/>
      <w:r>
        <w:rPr>
          <w:rFonts w:hint="eastAsia" w:ascii="仿宋" w:hAnsi="仿宋" w:eastAsia="仿宋"/>
          <w:b/>
          <w:color w:val="000000"/>
          <w:sz w:val="32"/>
          <w:szCs w:val="32"/>
        </w:rPr>
        <w:t>（二）“三公”经费财政拨款支出决算具体情况说明</w:t>
      </w:r>
      <w:bookmarkEnd w:id="42"/>
    </w:p>
    <w:p w14:paraId="7113AE7F">
      <w:pPr>
        <w:spacing w:line="600" w:lineRule="exact"/>
        <w:ind w:firstLine="640"/>
        <w:rPr>
          <w:rFonts w:hint="eastAsia" w:ascii="仿宋" w:hAnsi="仿宋" w:eastAsia="仿宋"/>
          <w:color w:val="000000"/>
          <w:sz w:val="32"/>
          <w:szCs w:val="32"/>
        </w:rPr>
      </w:pPr>
      <w:r>
        <w:rPr>
          <w:rFonts w:hint="eastAsia" w:ascii="仿宋" w:hAnsi="仿宋" w:eastAsia="仿宋"/>
          <w:color w:val="000000"/>
          <w:sz w:val="32"/>
          <w:szCs w:val="32"/>
        </w:rPr>
        <w:t>2019年度“三公”经费财政拨款支出决算中，因公出国（境）费支出决算0万元，占0%；公务用车购置及运行维护费支出决算0万元，占0%；公务接待费支出决算4.32万元，占100%。具体情况如下：</w:t>
      </w:r>
      <w:bookmarkStart w:id="70" w:name="_GoBack"/>
      <w:bookmarkEnd w:id="70"/>
    </w:p>
    <w:p w14:paraId="34AAFD76">
      <w:pPr>
        <w:spacing w:line="600" w:lineRule="exact"/>
        <w:ind w:firstLine="640"/>
        <w:rPr>
          <w:rStyle w:val="12"/>
          <w:rFonts w:hint="eastAsia" w:ascii="仿宋" w:hAnsi="仿宋" w:eastAsia="仿宋"/>
          <w:b w:val="0"/>
          <w:bCs/>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Style w:val="12"/>
          <w:rFonts w:hint="eastAsia" w:ascii="仿宋" w:hAnsi="仿宋" w:eastAsia="仿宋"/>
          <w:b w:val="0"/>
          <w:bCs/>
          <w:color w:val="000000"/>
          <w:sz w:val="32"/>
          <w:szCs w:val="32"/>
        </w:rPr>
        <w:t>全年安排因公出国（境）团组0次，出国（境）0人。</w:t>
      </w:r>
    </w:p>
    <w:p w14:paraId="01423727">
      <w:pPr>
        <w:spacing w:line="600" w:lineRule="exact"/>
        <w:ind w:firstLine="640"/>
        <w:rPr>
          <w:rFonts w:hint="eastAsia" w:ascii="仿宋_GB2312" w:eastAsia="仿宋_GB2312"/>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万元,2016年公车改革后公务用车全部移交机关事务管理局，因此2019年未发生公务用车购置及运行维护费。</w:t>
      </w:r>
    </w:p>
    <w:p w14:paraId="5F01D747">
      <w:pPr>
        <w:spacing w:line="600" w:lineRule="exact"/>
        <w:ind w:firstLine="643" w:firstLineChars="200"/>
        <w:rPr>
          <w:rStyle w:val="12"/>
          <w:rFonts w:hint="eastAsia" w:ascii="仿宋" w:hAnsi="仿宋" w:eastAsia="仿宋"/>
          <w:b w:val="0"/>
          <w:bCs/>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Style w:val="12"/>
          <w:rFonts w:hint="eastAsia" w:ascii="仿宋" w:hAnsi="仿宋" w:eastAsia="仿宋" w:cs="Times New Roman"/>
          <w:b w:val="0"/>
          <w:bCs/>
          <w:color w:val="000000"/>
          <w:sz w:val="32"/>
          <w:szCs w:val="32"/>
        </w:rPr>
        <w:t>4.32</w:t>
      </w:r>
      <w:r>
        <w:rPr>
          <w:rFonts w:hint="eastAsia" w:ascii="仿宋_GB2312" w:eastAsia="仿宋_GB2312"/>
          <w:color w:val="000000"/>
          <w:sz w:val="32"/>
          <w:szCs w:val="32"/>
        </w:rPr>
        <w:t>万元，</w:t>
      </w:r>
      <w:r>
        <w:rPr>
          <w:rStyle w:val="12"/>
          <w:rFonts w:hint="eastAsia" w:ascii="仿宋" w:hAnsi="仿宋" w:eastAsia="仿宋"/>
          <w:b w:val="0"/>
          <w:bCs/>
          <w:color w:val="000000"/>
          <w:sz w:val="32"/>
          <w:szCs w:val="32"/>
        </w:rPr>
        <w:t>主要用于执行公务、开展业务活动开支的交通费、住宿费、用餐费等。国内公务接待69批次，7200人次，共计支出4.32万元，具体内容包括：环境监测站相关业务对接21批次，1.37万元；环境监察执法大队相关业务对接17批次，0.85万元。环境保护其他项目对接31批次，2.1万元。</w:t>
      </w:r>
    </w:p>
    <w:p w14:paraId="290DF252">
      <w:pPr>
        <w:spacing w:line="600" w:lineRule="exact"/>
        <w:ind w:firstLine="640"/>
        <w:outlineLvl w:val="1"/>
        <w:rPr>
          <w:rStyle w:val="15"/>
          <w:rFonts w:ascii="黑体" w:hAnsi="黑体" w:eastAsia="黑体"/>
        </w:rPr>
      </w:pPr>
      <w:bookmarkStart w:id="43" w:name="_Toc15396610"/>
      <w:bookmarkStart w:id="44" w:name="_Toc15377218"/>
      <w:r>
        <w:rPr>
          <w:rFonts w:hint="eastAsia" w:ascii="黑体" w:eastAsia="黑体"/>
          <w:color w:val="000000"/>
          <w:sz w:val="32"/>
          <w:szCs w:val="32"/>
        </w:rPr>
        <w:t>八、</w:t>
      </w:r>
      <w:r>
        <w:rPr>
          <w:rStyle w:val="15"/>
          <w:rFonts w:hint="eastAsia" w:ascii="黑体" w:hAnsi="黑体" w:eastAsia="黑体"/>
          <w:b w:val="0"/>
        </w:rPr>
        <w:t>政府性基金预算支出决算情况说明</w:t>
      </w:r>
      <w:bookmarkEnd w:id="43"/>
      <w:bookmarkEnd w:id="44"/>
    </w:p>
    <w:p w14:paraId="058A1CEB">
      <w:pPr>
        <w:numPr>
          <w:ilvl w:val="0"/>
          <w:numId w:val="0"/>
        </w:numPr>
        <w:spacing w:line="600" w:lineRule="exact"/>
        <w:ind w:firstLine="640" w:firstLineChars="200"/>
        <w:outlineLvl w:val="1"/>
        <w:rPr>
          <w:rStyle w:val="15"/>
          <w:rFonts w:ascii="黑体" w:hAnsi="黑体" w:eastAsia="黑体"/>
          <w:b w:val="0"/>
        </w:rPr>
      </w:pPr>
      <w:bookmarkStart w:id="45" w:name="_Toc15396611"/>
      <w:bookmarkStart w:id="46" w:name="_Toc15377219"/>
      <w:r>
        <w:rPr>
          <w:rFonts w:hint="eastAsia" w:ascii="仿宋_GB2312" w:eastAsia="仿宋_GB2312"/>
          <w:color w:val="000000"/>
          <w:sz w:val="32"/>
          <w:szCs w:val="32"/>
        </w:rPr>
        <w:t>2019年无政府性基金预算财政拨款支出。</w:t>
      </w:r>
    </w:p>
    <w:p w14:paraId="2EEF5323">
      <w:pPr>
        <w:numPr>
          <w:ilvl w:val="0"/>
          <w:numId w:val="2"/>
        </w:numPr>
        <w:spacing w:line="600" w:lineRule="exact"/>
        <w:ind w:firstLine="640"/>
        <w:outlineLvl w:val="1"/>
        <w:rPr>
          <w:rStyle w:val="15"/>
          <w:rFonts w:ascii="黑体" w:hAnsi="黑体" w:eastAsia="黑体"/>
          <w:b w:val="0"/>
        </w:rPr>
      </w:pPr>
      <w:r>
        <w:rPr>
          <w:rStyle w:val="15"/>
          <w:rFonts w:hint="eastAsia" w:ascii="黑体" w:hAnsi="黑体" w:eastAsia="黑体"/>
          <w:b w:val="0"/>
        </w:rPr>
        <w:t>国有资本经营预算支出决算情况说明</w:t>
      </w:r>
      <w:bookmarkEnd w:id="45"/>
      <w:bookmarkEnd w:id="46"/>
    </w:p>
    <w:p w14:paraId="354A5620">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val="en-US" w:eastAsia="zh-CN"/>
        </w:rPr>
        <w:t>无</w:t>
      </w:r>
      <w:r>
        <w:rPr>
          <w:rFonts w:hint="eastAsia" w:ascii="仿宋_GB2312" w:eastAsia="仿宋_GB2312"/>
          <w:color w:val="000000"/>
          <w:sz w:val="32"/>
          <w:szCs w:val="32"/>
        </w:rPr>
        <w:t>国有资本经营预算拨款支出。</w:t>
      </w:r>
    </w:p>
    <w:p w14:paraId="3689391C">
      <w:pPr>
        <w:spacing w:line="600" w:lineRule="exact"/>
        <w:ind w:firstLine="640" w:firstLineChars="200"/>
        <w:outlineLvl w:val="1"/>
        <w:rPr>
          <w:rStyle w:val="15"/>
          <w:rFonts w:ascii="黑体" w:hAnsi="黑体" w:eastAsia="黑体"/>
        </w:rPr>
      </w:pPr>
      <w:bookmarkStart w:id="47" w:name="_Toc15396612"/>
      <w:bookmarkStart w:id="48" w:name="_Toc15377221"/>
      <w:r>
        <w:rPr>
          <w:rFonts w:hint="eastAsia" w:ascii="黑体" w:hAnsi="黑体" w:eastAsia="黑体"/>
          <w:color w:val="000000"/>
          <w:sz w:val="32"/>
          <w:szCs w:val="32"/>
        </w:rPr>
        <w:t>十</w:t>
      </w:r>
      <w:r>
        <w:rPr>
          <w:rStyle w:val="15"/>
          <w:rFonts w:hint="eastAsia" w:ascii="黑体" w:hAnsi="黑体" w:eastAsia="黑体"/>
        </w:rPr>
        <w:t>、</w:t>
      </w:r>
      <w:r>
        <w:rPr>
          <w:rStyle w:val="15"/>
          <w:rFonts w:hint="eastAsia" w:ascii="黑体" w:hAnsi="黑体" w:eastAsia="黑体"/>
          <w:b w:val="0"/>
        </w:rPr>
        <w:t>其他重要事项的情况说明</w:t>
      </w:r>
      <w:bookmarkEnd w:id="47"/>
      <w:bookmarkEnd w:id="48"/>
    </w:p>
    <w:p w14:paraId="5EAC60CA">
      <w:pPr>
        <w:spacing w:line="600" w:lineRule="exact"/>
        <w:ind w:firstLine="643" w:firstLineChars="200"/>
        <w:outlineLvl w:val="2"/>
        <w:rPr>
          <w:rFonts w:ascii="仿宋" w:hAnsi="仿宋" w:eastAsia="仿宋"/>
          <w:color w:val="000000"/>
          <w:sz w:val="32"/>
          <w:szCs w:val="32"/>
        </w:rPr>
      </w:pPr>
      <w:bookmarkStart w:id="49" w:name="_Toc15377222"/>
      <w:r>
        <w:rPr>
          <w:rFonts w:hint="eastAsia" w:ascii="仿宋" w:hAnsi="仿宋" w:eastAsia="仿宋"/>
          <w:b/>
          <w:color w:val="000000"/>
          <w:sz w:val="32"/>
          <w:szCs w:val="32"/>
        </w:rPr>
        <w:t>（一）机关运行经费支出情况</w:t>
      </w:r>
      <w:bookmarkEnd w:id="49"/>
    </w:p>
    <w:p w14:paraId="22879648">
      <w:pPr>
        <w:spacing w:line="600" w:lineRule="exact"/>
        <w:ind w:left="638" w:leftChars="304" w:firstLine="0" w:firstLineChars="0"/>
        <w:rPr>
          <w:rFonts w:hint="eastAsia" w:ascii="仿宋_GB2312" w:eastAsia="仿宋_GB2312"/>
          <w:color w:val="000000"/>
          <w:sz w:val="32"/>
          <w:szCs w:val="32"/>
        </w:rPr>
      </w:pPr>
      <w:r>
        <w:rPr>
          <w:rFonts w:hint="eastAsia" w:ascii="仿宋_GB2312" w:eastAsia="仿宋_GB2312"/>
          <w:color w:val="000000"/>
          <w:sz w:val="32"/>
          <w:szCs w:val="32"/>
        </w:rPr>
        <w:t>2019年度，区生态环境局机关运行经费支出75.02万元，比2018年增加37.24万元，增长98.57%</w:t>
      </w:r>
      <w:r>
        <w:rPr>
          <w:rFonts w:hint="eastAsia" w:ascii="仿宋_GB2312" w:eastAsia="仿宋_GB2312"/>
          <w:color w:val="000000"/>
          <w:sz w:val="32"/>
          <w:szCs w:val="32"/>
          <w:lang w:eastAsia="zh-CN"/>
        </w:rPr>
        <w:t>，主要原因是办公费、印刷费、差旅费等增加</w:t>
      </w:r>
      <w:r>
        <w:rPr>
          <w:rFonts w:hint="eastAsia" w:ascii="仿宋_GB2312" w:eastAsia="仿宋_GB2312"/>
          <w:color w:val="000000"/>
          <w:sz w:val="32"/>
          <w:szCs w:val="32"/>
        </w:rPr>
        <w:t>。</w:t>
      </w:r>
    </w:p>
    <w:p w14:paraId="429B0982">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0" w:name="_Toc15377223"/>
      <w:r>
        <w:rPr>
          <w:rFonts w:hint="eastAsia" w:ascii="仿宋" w:hAnsi="仿宋" w:eastAsia="仿宋"/>
          <w:b/>
          <w:color w:val="000000"/>
          <w:sz w:val="32"/>
          <w:szCs w:val="32"/>
        </w:rPr>
        <w:t>（二）政府采购支出情况</w:t>
      </w:r>
      <w:bookmarkEnd w:id="50"/>
    </w:p>
    <w:p w14:paraId="593BAAB5">
      <w:pPr>
        <w:spacing w:line="60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2019年度，区生态环境局无政府采购支出。</w:t>
      </w:r>
    </w:p>
    <w:p w14:paraId="59242C1E">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1" w:name="_Toc15377224"/>
      <w:r>
        <w:rPr>
          <w:rFonts w:hint="eastAsia" w:ascii="仿宋" w:hAnsi="仿宋" w:eastAsia="仿宋"/>
          <w:b/>
          <w:color w:val="000000"/>
          <w:sz w:val="32"/>
          <w:szCs w:val="32"/>
        </w:rPr>
        <w:t>（三）国有资产占有使用情况</w:t>
      </w:r>
      <w:bookmarkEnd w:id="51"/>
    </w:p>
    <w:p w14:paraId="6EC998FE">
      <w:pPr>
        <w:autoSpaceDE w:val="0"/>
        <w:autoSpaceDN w:val="0"/>
        <w:adjustRightInd w:val="0"/>
        <w:spacing w:line="600" w:lineRule="exact"/>
        <w:ind w:firstLine="640" w:firstLineChars="200"/>
        <w:jc w:val="left"/>
        <w:rPr>
          <w:rFonts w:hint="eastAsia" w:ascii="仿宋_GB2312" w:eastAsia="仿宋_GB2312"/>
          <w:color w:val="000000"/>
          <w:sz w:val="32"/>
          <w:szCs w:val="32"/>
        </w:rPr>
      </w:pPr>
      <w:r>
        <w:rPr>
          <w:rFonts w:hint="eastAsia" w:ascii="仿宋_GB2312" w:eastAsia="仿宋_GB2312"/>
          <w:color w:val="000000"/>
          <w:sz w:val="32"/>
          <w:szCs w:val="32"/>
        </w:rPr>
        <w:t>截至2019年12月31日，区生态环境局无公有车辆</w:t>
      </w:r>
    </w:p>
    <w:p w14:paraId="50F1AEB2">
      <w:pPr>
        <w:autoSpaceDE w:val="0"/>
        <w:autoSpaceDN w:val="0"/>
        <w:adjustRightInd w:val="0"/>
        <w:spacing w:line="600" w:lineRule="exact"/>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（四）预算绩效管理情况。</w:t>
      </w:r>
    </w:p>
    <w:p w14:paraId="2C49C8DF">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根据预算绩效管理要求，本部门（单位）在年初预算编制阶段，组织对2019年环境执法工作开展了预算事前绩效评估，对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个项目开展了绩效目标完成情况自评。</w:t>
      </w:r>
    </w:p>
    <w:p w14:paraId="3C7E7DC5">
      <w:pPr>
        <w:spacing w:line="580" w:lineRule="exact"/>
        <w:ind w:firstLine="640" w:firstLineChars="200"/>
        <w:rPr>
          <w:rFonts w:hint="eastAsia"/>
          <w:lang w:eastAsia="zh-CN"/>
        </w:rPr>
      </w:pPr>
      <w:r>
        <w:rPr>
          <w:rFonts w:hint="eastAsia" w:ascii="仿宋_GB2312" w:hAnsi="仿宋_GB2312" w:eastAsia="仿宋_GB2312" w:cs="仿宋_GB2312"/>
          <w:sz w:val="32"/>
          <w:szCs w:val="32"/>
        </w:rPr>
        <w:t>本部门按要求对2019年部门整体支出开展绩效自评，从评价情况来看截至12月底出动环境监察380人/次，检查企业187家/次</w:t>
      </w:r>
      <w:r>
        <w:rPr>
          <w:rFonts w:hint="eastAsia" w:ascii="仿宋_GB2312" w:hAnsi="仿宋_GB2312" w:eastAsia="仿宋_GB2312" w:cs="仿宋_GB2312"/>
          <w:sz w:val="32"/>
          <w:szCs w:val="32"/>
          <w:lang w:eastAsia="zh-CN"/>
        </w:rPr>
        <w:t>，保持环境保护高压态势，严格环境执法监管，强化问题源头管控。坚持问题导向，全面排查工业园区及各乡镇企业存在的突出环境问题，坚决制止和惩处破坏生态环境违法违规行为，靠实管理责任，严肃追责问责，健全完善管理长效机制，使得环境监察执法工作取得明显成效。</w:t>
      </w:r>
    </w:p>
    <w:p w14:paraId="1752EAC5">
      <w:pPr>
        <w:spacing w:line="58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本部门还自行组织了1个项目支出绩效评价，从评价情况来看该项目在决策方面，决策依据基本充分、资金分配合理； 在项目管理方面，资金到位及时、资金支出的依据、使用范围、开支标准基本符合规定，财务制度、会计核算健全规范； 在项目完成方面，实现计划目标；在项目效果方面，项目的开展，取得了良好效果。</w:t>
      </w:r>
    </w:p>
    <w:p w14:paraId="42C67D3D">
      <w:pPr>
        <w:numPr>
          <w:ilvl w:val="0"/>
          <w:numId w:val="3"/>
        </w:numPr>
        <w:spacing w:line="580" w:lineRule="exact"/>
        <w:ind w:firstLine="640" w:firstLineChars="20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项目绩效目标完成情况。</w:t>
      </w:r>
    </w:p>
    <w:p w14:paraId="00395211">
      <w:pPr>
        <w:numPr>
          <w:ilvl w:val="0"/>
          <w:numId w:val="3"/>
        </w:num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本部门在2019年度部门决算中反映2019年环境执法工作</w:t>
      </w:r>
      <w:r>
        <w:rPr>
          <w:rFonts w:hint="eastAsia" w:ascii="仿宋_GB2312" w:hAnsi="仿宋_GB2312" w:eastAsia="仿宋_GB2312" w:cs="仿宋_GB2312"/>
          <w:sz w:val="32"/>
          <w:szCs w:val="32"/>
          <w:lang w:val="en-US" w:eastAsia="zh-CN"/>
        </w:rPr>
        <w:t>1个</w:t>
      </w:r>
      <w:r>
        <w:rPr>
          <w:rFonts w:hint="eastAsia" w:ascii="仿宋_GB2312" w:hAnsi="仿宋_GB2312" w:eastAsia="仿宋_GB2312" w:cs="仿宋_GB2312"/>
          <w:sz w:val="32"/>
          <w:szCs w:val="32"/>
        </w:rPr>
        <w:t>项目绩效目标实际完成情况。</w:t>
      </w:r>
    </w:p>
    <w:p w14:paraId="21273D5F">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2019年环境执法工作项目绩效目标完成情况综述。项目全年预算数</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tbl>
      <w:tblPr>
        <w:tblStyle w:val="10"/>
        <w:tblpPr w:leftFromText="180" w:rightFromText="180" w:vertAnchor="text" w:horzAnchor="page" w:tblpXSpec="center" w:tblpY="423"/>
        <w:tblOverlap w:val="never"/>
        <w:tblW w:w="9960" w:type="dxa"/>
        <w:jc w:val="center"/>
        <w:tblLayout w:type="fixed"/>
        <w:tblCellMar>
          <w:top w:w="0" w:type="dxa"/>
          <w:left w:w="0" w:type="dxa"/>
          <w:bottom w:w="0" w:type="dxa"/>
          <w:right w:w="0" w:type="dxa"/>
        </w:tblCellMar>
      </w:tblPr>
      <w:tblGrid>
        <w:gridCol w:w="608"/>
        <w:gridCol w:w="1149"/>
        <w:gridCol w:w="1025"/>
        <w:gridCol w:w="2392"/>
        <w:gridCol w:w="2394"/>
        <w:gridCol w:w="2392"/>
      </w:tblGrid>
      <w:tr w14:paraId="1C227E00">
        <w:tblPrEx>
          <w:tblCellMar>
            <w:top w:w="0" w:type="dxa"/>
            <w:left w:w="0" w:type="dxa"/>
            <w:bottom w:w="0" w:type="dxa"/>
            <w:right w:w="0" w:type="dxa"/>
          </w:tblCellMar>
        </w:tblPrEx>
        <w:trPr>
          <w:trHeight w:val="1034" w:hRule="atLeast"/>
          <w:jc w:val="center"/>
        </w:trPr>
        <w:tc>
          <w:tcPr>
            <w:tcW w:w="9960" w:type="dxa"/>
            <w:gridSpan w:val="6"/>
            <w:tcBorders>
              <w:top w:val="nil"/>
              <w:left w:val="nil"/>
              <w:bottom w:val="nil"/>
              <w:right w:val="nil"/>
            </w:tcBorders>
            <w:noWrap w:val="0"/>
            <w:tcMar>
              <w:top w:w="15" w:type="dxa"/>
              <w:left w:w="15" w:type="dxa"/>
              <w:right w:w="15" w:type="dxa"/>
            </w:tcMar>
            <w:vAlign w:val="center"/>
          </w:tcPr>
          <w:p w14:paraId="31CE6422">
            <w:pPr>
              <w:widowControl/>
              <w:jc w:val="center"/>
              <w:textAlignment w:val="center"/>
              <w:rPr>
                <w:rFonts w:hint="eastAsia" w:ascii="宋体" w:hAnsi="宋体" w:eastAsia="宋体" w:cs="宋体"/>
                <w:b/>
                <w:bCs/>
                <w:color w:val="000000"/>
                <w:kern w:val="0"/>
                <w:sz w:val="36"/>
                <w:szCs w:val="36"/>
                <w:lang w:eastAsia="zh-CN"/>
              </w:rPr>
            </w:pPr>
            <w:r>
              <w:rPr>
                <w:rFonts w:hint="eastAsia" w:ascii="宋体" w:hAnsi="宋体" w:cs="宋体"/>
                <w:b/>
                <w:bCs/>
                <w:color w:val="000000"/>
                <w:kern w:val="0"/>
                <w:sz w:val="36"/>
                <w:szCs w:val="36"/>
              </w:rPr>
              <w:t>项目绩效目标完成情况表</w:t>
            </w:r>
          </w:p>
          <w:p w14:paraId="01FB08A2">
            <w:pPr>
              <w:widowControl/>
              <w:jc w:val="center"/>
              <w:textAlignment w:val="center"/>
              <w:rPr>
                <w:rFonts w:ascii="宋体" w:hAnsi="宋体" w:cs="宋体"/>
                <w:color w:val="000000"/>
                <w:sz w:val="36"/>
                <w:szCs w:val="36"/>
              </w:rPr>
            </w:pPr>
            <w:r>
              <w:rPr>
                <w:rFonts w:hint="eastAsia" w:ascii="宋体" w:hAnsi="宋体" w:cs="宋体"/>
                <w:color w:val="000000"/>
                <w:kern w:val="0"/>
                <w:sz w:val="36"/>
                <w:szCs w:val="36"/>
              </w:rPr>
              <w:t>(2019 年度)</w:t>
            </w:r>
          </w:p>
        </w:tc>
      </w:tr>
      <w:tr w14:paraId="5F8BF23E">
        <w:tblPrEx>
          <w:tblCellMar>
            <w:top w:w="0" w:type="dxa"/>
            <w:left w:w="0" w:type="dxa"/>
            <w:bottom w:w="0" w:type="dxa"/>
            <w:right w:w="0" w:type="dxa"/>
          </w:tblCellMar>
        </w:tblPrEx>
        <w:trPr>
          <w:trHeight w:val="276" w:hRule="atLeast"/>
          <w:jc w:val="center"/>
        </w:trPr>
        <w:tc>
          <w:tcPr>
            <w:tcW w:w="278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6BAB3C">
            <w:pPr>
              <w:widowControl/>
              <w:jc w:val="center"/>
              <w:textAlignment w:val="center"/>
              <w:rPr>
                <w:rFonts w:ascii="宋体" w:hAnsi="宋体" w:cs="宋体"/>
                <w:color w:val="000000"/>
                <w:sz w:val="24"/>
              </w:rPr>
            </w:pPr>
            <w:r>
              <w:rPr>
                <w:rFonts w:hint="eastAsia" w:ascii="宋体" w:hAnsi="宋体" w:cs="宋体"/>
                <w:color w:val="000000"/>
                <w:kern w:val="0"/>
                <w:sz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DBE479">
            <w:pPr>
              <w:widowControl/>
              <w:jc w:val="center"/>
              <w:textAlignment w:val="center"/>
              <w:rPr>
                <w:rFonts w:ascii="宋体" w:hAnsi="宋体" w:cs="宋体"/>
                <w:color w:val="000000"/>
                <w:sz w:val="24"/>
              </w:rPr>
            </w:pPr>
            <w:r>
              <w:rPr>
                <w:rFonts w:hint="eastAsia" w:ascii="宋体" w:hAnsi="宋体" w:cs="宋体"/>
                <w:color w:val="000000"/>
                <w:sz w:val="24"/>
              </w:rPr>
              <w:t>2019年环境执法工作经费</w:t>
            </w:r>
          </w:p>
        </w:tc>
      </w:tr>
      <w:tr w14:paraId="67FD63FA">
        <w:tblPrEx>
          <w:tblCellMar>
            <w:top w:w="0" w:type="dxa"/>
            <w:left w:w="0" w:type="dxa"/>
            <w:bottom w:w="0" w:type="dxa"/>
            <w:right w:w="0" w:type="dxa"/>
          </w:tblCellMar>
        </w:tblPrEx>
        <w:trPr>
          <w:trHeight w:val="276" w:hRule="atLeast"/>
          <w:jc w:val="center"/>
        </w:trPr>
        <w:tc>
          <w:tcPr>
            <w:tcW w:w="278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65F352">
            <w:pPr>
              <w:widowControl/>
              <w:jc w:val="center"/>
              <w:textAlignment w:val="center"/>
              <w:rPr>
                <w:rFonts w:ascii="宋体" w:hAnsi="宋体" w:cs="宋体"/>
                <w:color w:val="000000"/>
                <w:sz w:val="24"/>
              </w:rPr>
            </w:pPr>
            <w:r>
              <w:rPr>
                <w:rFonts w:hint="eastAsia" w:ascii="宋体" w:hAnsi="宋体" w:cs="宋体"/>
                <w:color w:val="000000"/>
                <w:kern w:val="0"/>
                <w:sz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9CF97E">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广元市昭化生态环境局</w:t>
            </w:r>
          </w:p>
        </w:tc>
      </w:tr>
      <w:tr w14:paraId="7386A51D">
        <w:tblPrEx>
          <w:tblCellMar>
            <w:top w:w="0" w:type="dxa"/>
            <w:left w:w="0" w:type="dxa"/>
            <w:bottom w:w="0" w:type="dxa"/>
            <w:right w:w="0" w:type="dxa"/>
          </w:tblCellMar>
        </w:tblPrEx>
        <w:trPr>
          <w:trHeight w:val="276"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A85320">
            <w:pPr>
              <w:widowControl/>
              <w:jc w:val="center"/>
              <w:textAlignment w:val="center"/>
              <w:rPr>
                <w:rFonts w:ascii="宋体" w:hAnsi="宋体" w:cs="宋体"/>
                <w:color w:val="000000"/>
                <w:sz w:val="24"/>
              </w:rPr>
            </w:pPr>
            <w:r>
              <w:rPr>
                <w:rFonts w:hint="eastAsia" w:ascii="宋体" w:hAnsi="宋体" w:cs="宋体"/>
                <w:color w:val="000000"/>
                <w:kern w:val="0"/>
                <w:sz w:val="24"/>
              </w:rPr>
              <w:t>预算执行情况(万元)</w:t>
            </w:r>
          </w:p>
        </w:tc>
        <w:tc>
          <w:tcPr>
            <w:tcW w:w="2174"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82B46A">
            <w:pPr>
              <w:widowControl/>
              <w:jc w:val="center"/>
              <w:textAlignment w:val="center"/>
              <w:rPr>
                <w:rFonts w:ascii="宋体" w:hAnsi="宋体" w:cs="宋体"/>
                <w:color w:val="000000"/>
                <w:sz w:val="24"/>
              </w:rPr>
            </w:pPr>
            <w:r>
              <w:rPr>
                <w:rFonts w:hint="eastAsia" w:ascii="宋体" w:hAnsi="宋体" w:cs="宋体"/>
                <w:color w:val="000000"/>
                <w:kern w:val="0"/>
                <w:sz w:val="24"/>
              </w:rPr>
              <w:t>预算数:</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174DB4">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50000</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75F640">
            <w:pPr>
              <w:widowControl/>
              <w:jc w:val="center"/>
              <w:textAlignment w:val="center"/>
              <w:rPr>
                <w:rFonts w:ascii="宋体" w:hAnsi="宋体" w:cs="宋体"/>
                <w:color w:val="000000"/>
                <w:sz w:val="24"/>
              </w:rPr>
            </w:pPr>
            <w:r>
              <w:rPr>
                <w:rFonts w:hint="eastAsia" w:ascii="宋体" w:hAnsi="宋体" w:cs="宋体"/>
                <w:color w:val="000000"/>
                <w:kern w:val="0"/>
                <w:sz w:val="24"/>
              </w:rPr>
              <w:t>执行数:</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8815655">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50000</w:t>
            </w:r>
          </w:p>
        </w:tc>
      </w:tr>
      <w:tr w14:paraId="1CB5691F">
        <w:tblPrEx>
          <w:tblCellMar>
            <w:top w:w="0" w:type="dxa"/>
            <w:left w:w="0" w:type="dxa"/>
            <w:bottom w:w="0" w:type="dxa"/>
            <w:right w:w="0" w:type="dxa"/>
          </w:tblCellMar>
        </w:tblPrEx>
        <w:trPr>
          <w:trHeight w:val="276"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6CD039">
            <w:pPr>
              <w:jc w:val="center"/>
              <w:rPr>
                <w:rFonts w:ascii="宋体" w:hAnsi="宋体" w:cs="宋体"/>
                <w:color w:val="000000"/>
                <w:sz w:val="24"/>
              </w:rPr>
            </w:pPr>
          </w:p>
        </w:tc>
        <w:tc>
          <w:tcPr>
            <w:tcW w:w="2174"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6810E4">
            <w:pPr>
              <w:widowControl/>
              <w:jc w:val="center"/>
              <w:textAlignment w:val="center"/>
              <w:rPr>
                <w:rFonts w:ascii="宋体" w:hAnsi="宋体" w:cs="宋体"/>
                <w:color w:val="000000"/>
                <w:sz w:val="24"/>
              </w:rPr>
            </w:pPr>
            <w:r>
              <w:rPr>
                <w:rFonts w:hint="eastAsia" w:ascii="宋体" w:hAnsi="宋体" w:cs="宋体"/>
                <w:color w:val="000000"/>
                <w:kern w:val="0"/>
                <w:sz w:val="24"/>
              </w:rPr>
              <w:t>其中-财政拨款:</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63C2D5">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50000</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2087C7">
            <w:pPr>
              <w:widowControl/>
              <w:jc w:val="center"/>
              <w:textAlignment w:val="center"/>
              <w:rPr>
                <w:rFonts w:ascii="宋体" w:hAnsi="宋体" w:cs="宋体"/>
                <w:color w:val="000000"/>
                <w:sz w:val="24"/>
              </w:rPr>
            </w:pPr>
            <w:r>
              <w:rPr>
                <w:rFonts w:hint="eastAsia" w:ascii="宋体" w:hAnsi="宋体" w:cs="宋体"/>
                <w:color w:val="000000"/>
                <w:kern w:val="0"/>
                <w:sz w:val="24"/>
              </w:rPr>
              <w:t>其中-财政拨款:</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62A093">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50000</w:t>
            </w:r>
          </w:p>
        </w:tc>
      </w:tr>
      <w:tr w14:paraId="433879DC">
        <w:tblPrEx>
          <w:tblCellMar>
            <w:top w:w="0" w:type="dxa"/>
            <w:left w:w="0" w:type="dxa"/>
            <w:bottom w:w="0" w:type="dxa"/>
            <w:right w:w="0" w:type="dxa"/>
          </w:tblCellMar>
        </w:tblPrEx>
        <w:trPr>
          <w:trHeight w:val="1511"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FAD34D">
            <w:pPr>
              <w:jc w:val="center"/>
              <w:rPr>
                <w:rFonts w:ascii="宋体" w:hAnsi="宋体" w:cs="宋体"/>
                <w:color w:val="000000"/>
                <w:sz w:val="24"/>
              </w:rPr>
            </w:pPr>
          </w:p>
        </w:tc>
        <w:tc>
          <w:tcPr>
            <w:tcW w:w="2174"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D3D27D">
            <w:pPr>
              <w:widowControl/>
              <w:jc w:val="center"/>
              <w:textAlignment w:val="center"/>
              <w:rPr>
                <w:rFonts w:ascii="宋体" w:hAnsi="宋体" w:cs="宋体"/>
                <w:color w:val="000000"/>
                <w:sz w:val="24"/>
              </w:rPr>
            </w:pPr>
            <w:r>
              <w:rPr>
                <w:rFonts w:hint="eastAsia" w:ascii="宋体" w:hAnsi="宋体" w:cs="宋体"/>
                <w:color w:val="000000"/>
                <w:kern w:val="0"/>
                <w:sz w:val="24"/>
              </w:rPr>
              <w:t>其它资金:</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BA819D">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B87567">
            <w:pPr>
              <w:widowControl/>
              <w:jc w:val="center"/>
              <w:textAlignment w:val="center"/>
              <w:rPr>
                <w:rFonts w:ascii="宋体" w:hAnsi="宋体" w:cs="宋体"/>
                <w:color w:val="000000"/>
                <w:sz w:val="24"/>
              </w:rPr>
            </w:pPr>
            <w:r>
              <w:rPr>
                <w:rFonts w:hint="eastAsia" w:ascii="宋体" w:hAnsi="宋体" w:cs="宋体"/>
                <w:color w:val="000000"/>
                <w:kern w:val="0"/>
                <w:sz w:val="24"/>
              </w:rPr>
              <w:t>其它资金:</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6E6912">
            <w:pPr>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14:paraId="5E5693D5">
        <w:tblPrEx>
          <w:tblCellMar>
            <w:top w:w="0" w:type="dxa"/>
            <w:left w:w="0" w:type="dxa"/>
            <w:bottom w:w="0" w:type="dxa"/>
            <w:right w:w="0" w:type="dxa"/>
          </w:tblCellMar>
        </w:tblPrEx>
        <w:trPr>
          <w:trHeight w:val="276" w:hRule="atLeast"/>
          <w:jc w:val="center"/>
        </w:trPr>
        <w:tc>
          <w:tcPr>
            <w:tcW w:w="60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52D31F">
            <w:pPr>
              <w:widowControl/>
              <w:jc w:val="center"/>
              <w:textAlignment w:val="center"/>
              <w:rPr>
                <w:rFonts w:ascii="宋体" w:hAnsi="宋体" w:cs="宋体"/>
                <w:color w:val="000000"/>
                <w:sz w:val="24"/>
              </w:rPr>
            </w:pPr>
            <w:r>
              <w:rPr>
                <w:rFonts w:hint="eastAsia" w:ascii="宋体" w:hAnsi="宋体" w:cs="宋体"/>
                <w:color w:val="000000"/>
                <w:kern w:val="0"/>
                <w:sz w:val="24"/>
              </w:rPr>
              <w:t>年度目标完成情况</w:t>
            </w:r>
          </w:p>
        </w:tc>
        <w:tc>
          <w:tcPr>
            <w:tcW w:w="456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0ED69E">
            <w:pPr>
              <w:widowControl/>
              <w:jc w:val="center"/>
              <w:textAlignment w:val="center"/>
              <w:rPr>
                <w:rFonts w:ascii="宋体" w:hAnsi="宋体" w:cs="宋体"/>
                <w:color w:val="000000"/>
                <w:sz w:val="24"/>
              </w:rPr>
            </w:pPr>
            <w:r>
              <w:rPr>
                <w:rFonts w:hint="eastAsia" w:ascii="宋体" w:hAnsi="宋体" w:cs="宋体"/>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E683BC">
            <w:pPr>
              <w:widowControl/>
              <w:jc w:val="center"/>
              <w:textAlignment w:val="center"/>
              <w:rPr>
                <w:rFonts w:ascii="宋体" w:hAnsi="宋体" w:cs="宋体"/>
                <w:color w:val="000000"/>
                <w:sz w:val="24"/>
              </w:rPr>
            </w:pPr>
            <w:r>
              <w:rPr>
                <w:rFonts w:hint="eastAsia" w:ascii="宋体" w:hAnsi="宋体" w:cs="宋体"/>
                <w:color w:val="000000"/>
                <w:kern w:val="0"/>
                <w:sz w:val="24"/>
              </w:rPr>
              <w:t>实际完成目标</w:t>
            </w:r>
          </w:p>
        </w:tc>
      </w:tr>
      <w:tr w14:paraId="74D2DC1C">
        <w:tblPrEx>
          <w:tblCellMar>
            <w:top w:w="0" w:type="dxa"/>
            <w:left w:w="0" w:type="dxa"/>
            <w:bottom w:w="0" w:type="dxa"/>
            <w:right w:w="0" w:type="dxa"/>
          </w:tblCellMar>
        </w:tblPrEx>
        <w:trPr>
          <w:trHeight w:val="1159" w:hRule="atLeast"/>
          <w:jc w:val="center"/>
        </w:trPr>
        <w:tc>
          <w:tcPr>
            <w:tcW w:w="60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9E377A">
            <w:pPr>
              <w:jc w:val="center"/>
              <w:rPr>
                <w:rFonts w:ascii="宋体" w:hAnsi="宋体" w:cs="宋体"/>
                <w:color w:val="000000"/>
                <w:sz w:val="24"/>
              </w:rPr>
            </w:pPr>
          </w:p>
        </w:tc>
        <w:tc>
          <w:tcPr>
            <w:tcW w:w="456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E716FB">
            <w:pPr>
              <w:widowControl/>
              <w:jc w:val="center"/>
              <w:textAlignment w:val="center"/>
              <w:rPr>
                <w:rFonts w:ascii="宋体" w:hAnsi="宋体" w:cs="宋体"/>
                <w:color w:val="000000"/>
                <w:sz w:val="24"/>
              </w:rPr>
            </w:pPr>
            <w:r>
              <w:rPr>
                <w:rFonts w:hint="eastAsia" w:ascii="宋体" w:hAnsi="宋体" w:cs="宋体"/>
                <w:color w:val="000000"/>
                <w:sz w:val="24"/>
              </w:rPr>
              <w:t>截至12月底出动环境监察180人/次，检查企业80家/次</w:t>
            </w:r>
          </w:p>
        </w:tc>
        <w:tc>
          <w:tcPr>
            <w:tcW w:w="4786"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104E6D">
            <w:pPr>
              <w:widowControl/>
              <w:jc w:val="center"/>
              <w:textAlignment w:val="center"/>
              <w:rPr>
                <w:rFonts w:ascii="宋体" w:hAnsi="宋体" w:cs="宋体"/>
                <w:color w:val="000000"/>
                <w:sz w:val="24"/>
              </w:rPr>
            </w:pPr>
            <w:r>
              <w:rPr>
                <w:rFonts w:hint="eastAsia" w:ascii="宋体" w:hAnsi="宋体" w:cs="宋体"/>
                <w:color w:val="000000"/>
                <w:sz w:val="24"/>
              </w:rPr>
              <w:t>截至12月底出动环境监察</w:t>
            </w:r>
            <w:r>
              <w:rPr>
                <w:rFonts w:hint="eastAsia" w:ascii="宋体" w:hAnsi="宋体" w:cs="宋体"/>
                <w:color w:val="000000"/>
                <w:sz w:val="24"/>
                <w:lang w:val="en-US" w:eastAsia="zh-CN"/>
              </w:rPr>
              <w:t>380</w:t>
            </w:r>
            <w:r>
              <w:rPr>
                <w:rFonts w:hint="eastAsia" w:ascii="宋体" w:hAnsi="宋体" w:cs="宋体"/>
                <w:color w:val="000000"/>
                <w:sz w:val="24"/>
              </w:rPr>
              <w:t>人/次，检查企业</w:t>
            </w:r>
            <w:r>
              <w:rPr>
                <w:rFonts w:hint="eastAsia" w:ascii="宋体" w:hAnsi="宋体" w:cs="宋体"/>
                <w:color w:val="000000"/>
                <w:sz w:val="24"/>
                <w:lang w:val="en-US" w:eastAsia="zh-CN"/>
              </w:rPr>
              <w:t>187</w:t>
            </w:r>
            <w:r>
              <w:rPr>
                <w:rFonts w:hint="eastAsia" w:ascii="宋体" w:hAnsi="宋体" w:cs="宋体"/>
                <w:color w:val="000000"/>
                <w:sz w:val="24"/>
              </w:rPr>
              <w:t>家/次</w:t>
            </w:r>
          </w:p>
        </w:tc>
      </w:tr>
      <w:tr w14:paraId="3C2ED35D">
        <w:tblPrEx>
          <w:tblCellMar>
            <w:top w:w="0" w:type="dxa"/>
            <w:left w:w="0" w:type="dxa"/>
            <w:bottom w:w="0" w:type="dxa"/>
            <w:right w:w="0" w:type="dxa"/>
          </w:tblCellMar>
        </w:tblPrEx>
        <w:trPr>
          <w:trHeight w:val="1042" w:hRule="atLeast"/>
          <w:jc w:val="center"/>
        </w:trPr>
        <w:tc>
          <w:tcPr>
            <w:tcW w:w="608"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0BE9DDD9">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14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506FCC">
            <w:pPr>
              <w:widowControl/>
              <w:jc w:val="center"/>
              <w:textAlignment w:val="center"/>
              <w:rPr>
                <w:rFonts w:ascii="宋体" w:hAnsi="宋体" w:cs="宋体"/>
                <w:color w:val="000000"/>
                <w:sz w:val="24"/>
              </w:rPr>
            </w:pPr>
            <w:r>
              <w:rPr>
                <w:rFonts w:hint="eastAsia" w:ascii="宋体" w:hAnsi="宋体" w:cs="宋体"/>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462D3B">
            <w:pPr>
              <w:widowControl/>
              <w:jc w:val="center"/>
              <w:textAlignment w:val="center"/>
              <w:rPr>
                <w:rFonts w:ascii="宋体" w:hAnsi="宋体" w:cs="宋体"/>
                <w:color w:val="000000"/>
                <w:sz w:val="24"/>
              </w:rPr>
            </w:pPr>
            <w:r>
              <w:rPr>
                <w:rFonts w:hint="eastAsia" w:ascii="宋体" w:hAnsi="宋体" w:cs="宋体"/>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30B48B">
            <w:pPr>
              <w:widowControl/>
              <w:jc w:val="center"/>
              <w:textAlignment w:val="center"/>
              <w:rPr>
                <w:rFonts w:ascii="宋体" w:hAnsi="宋体" w:cs="宋体"/>
                <w:color w:val="000000"/>
                <w:sz w:val="24"/>
              </w:rPr>
            </w:pPr>
            <w:r>
              <w:rPr>
                <w:rFonts w:hint="eastAsia" w:ascii="宋体" w:hAnsi="宋体" w:cs="宋体"/>
                <w:color w:val="000000"/>
                <w:kern w:val="0"/>
                <w:sz w:val="24"/>
              </w:rPr>
              <w:t>三级指标</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8509608">
            <w:pPr>
              <w:widowControl/>
              <w:jc w:val="center"/>
              <w:textAlignment w:val="center"/>
              <w:rPr>
                <w:rFonts w:ascii="宋体" w:hAnsi="宋体" w:cs="宋体"/>
                <w:color w:val="000000"/>
                <w:sz w:val="24"/>
              </w:rPr>
            </w:pPr>
            <w:r>
              <w:rPr>
                <w:rFonts w:hint="eastAsia" w:ascii="宋体" w:hAnsi="宋体" w:cs="宋体"/>
                <w:color w:val="000000"/>
                <w:kern w:val="0"/>
                <w:sz w:val="24"/>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4B7A62">
            <w:pPr>
              <w:widowControl/>
              <w:jc w:val="center"/>
              <w:textAlignment w:val="center"/>
              <w:rPr>
                <w:rFonts w:ascii="宋体" w:hAnsi="宋体" w:cs="宋体"/>
                <w:color w:val="000000"/>
                <w:sz w:val="24"/>
              </w:rPr>
            </w:pPr>
            <w:r>
              <w:rPr>
                <w:rFonts w:hint="eastAsia" w:ascii="宋体" w:hAnsi="宋体" w:cs="宋体"/>
                <w:color w:val="000000"/>
                <w:kern w:val="0"/>
                <w:sz w:val="24"/>
              </w:rPr>
              <w:t>实际完成指标值(包含数字及文字描述)</w:t>
            </w:r>
          </w:p>
        </w:tc>
      </w:tr>
      <w:tr w14:paraId="755276B6">
        <w:tblPrEx>
          <w:tblCellMar>
            <w:top w:w="0" w:type="dxa"/>
            <w:left w:w="0" w:type="dxa"/>
            <w:bottom w:w="0" w:type="dxa"/>
            <w:right w:w="0" w:type="dxa"/>
          </w:tblCellMar>
        </w:tblPrEx>
        <w:trPr>
          <w:trHeight w:val="953" w:hRule="atLeast"/>
          <w:jc w:val="center"/>
        </w:trPr>
        <w:tc>
          <w:tcPr>
            <w:tcW w:w="608" w:type="dxa"/>
            <w:vMerge w:val="continue"/>
            <w:tcBorders>
              <w:left w:val="single" w:color="000000" w:sz="4" w:space="0"/>
              <w:right w:val="single" w:color="000000" w:sz="4" w:space="0"/>
            </w:tcBorders>
            <w:noWrap w:val="0"/>
            <w:tcMar>
              <w:top w:w="15" w:type="dxa"/>
              <w:left w:w="15" w:type="dxa"/>
              <w:right w:w="15" w:type="dxa"/>
            </w:tcMar>
            <w:vAlign w:val="center"/>
          </w:tcPr>
          <w:p w14:paraId="44633989">
            <w:pPr>
              <w:widowControl/>
              <w:jc w:val="center"/>
              <w:textAlignment w:val="center"/>
              <w:rPr>
                <w:rFonts w:ascii="宋体" w:hAnsi="宋体" w:cs="宋体"/>
                <w:color w:val="000000"/>
                <w:sz w:val="24"/>
              </w:rPr>
            </w:pPr>
          </w:p>
        </w:tc>
        <w:tc>
          <w:tcPr>
            <w:tcW w:w="114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B648D9">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2EDF79">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C82630">
            <w:pPr>
              <w:widowControl/>
              <w:jc w:val="center"/>
              <w:textAlignment w:val="center"/>
              <w:rPr>
                <w:rFonts w:ascii="宋体" w:hAnsi="宋体" w:cs="宋体"/>
                <w:color w:val="000000"/>
                <w:sz w:val="24"/>
              </w:rPr>
            </w:pPr>
            <w:r>
              <w:rPr>
                <w:rFonts w:hint="eastAsia" w:ascii="宋体" w:hAnsi="宋体" w:cs="宋体"/>
                <w:color w:val="000000"/>
                <w:sz w:val="24"/>
              </w:rPr>
              <w:t>环境监察</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C2295B">
            <w:pPr>
              <w:widowControl/>
              <w:jc w:val="center"/>
              <w:textAlignment w:val="center"/>
              <w:rPr>
                <w:rFonts w:ascii="宋体" w:hAnsi="宋体" w:cs="宋体"/>
                <w:color w:val="000000"/>
                <w:sz w:val="24"/>
              </w:rPr>
            </w:pPr>
            <w:r>
              <w:rPr>
                <w:rFonts w:hint="eastAsia" w:ascii="宋体" w:hAnsi="宋体" w:cs="宋体"/>
                <w:color w:val="000000"/>
                <w:sz w:val="24"/>
              </w:rPr>
              <w:t>180人/次</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A23B70">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380</w:t>
            </w:r>
            <w:r>
              <w:rPr>
                <w:rFonts w:hint="eastAsia" w:ascii="宋体" w:hAnsi="宋体" w:cs="宋体"/>
                <w:color w:val="000000"/>
                <w:sz w:val="24"/>
              </w:rPr>
              <w:t>人/次</w:t>
            </w:r>
          </w:p>
        </w:tc>
      </w:tr>
      <w:tr w14:paraId="0E572B15">
        <w:tblPrEx>
          <w:tblCellMar>
            <w:top w:w="0" w:type="dxa"/>
            <w:left w:w="0" w:type="dxa"/>
            <w:bottom w:w="0" w:type="dxa"/>
            <w:right w:w="0" w:type="dxa"/>
          </w:tblCellMar>
        </w:tblPrEx>
        <w:trPr>
          <w:trHeight w:val="1297" w:hRule="atLeast"/>
          <w:jc w:val="center"/>
        </w:trPr>
        <w:tc>
          <w:tcPr>
            <w:tcW w:w="608" w:type="dxa"/>
            <w:vMerge w:val="continue"/>
            <w:tcBorders>
              <w:left w:val="single" w:color="000000" w:sz="4" w:space="0"/>
              <w:right w:val="single" w:color="000000" w:sz="4" w:space="0"/>
            </w:tcBorders>
            <w:noWrap w:val="0"/>
            <w:tcMar>
              <w:top w:w="15" w:type="dxa"/>
              <w:left w:w="15" w:type="dxa"/>
              <w:right w:w="15" w:type="dxa"/>
            </w:tcMar>
            <w:vAlign w:val="center"/>
          </w:tcPr>
          <w:p w14:paraId="5D29743E">
            <w:pPr>
              <w:widowControl/>
              <w:jc w:val="center"/>
              <w:textAlignment w:val="center"/>
              <w:rPr>
                <w:rFonts w:ascii="宋体" w:hAnsi="宋体" w:cs="宋体"/>
                <w:color w:val="000000"/>
                <w:sz w:val="24"/>
              </w:rPr>
            </w:pPr>
          </w:p>
        </w:tc>
        <w:tc>
          <w:tcPr>
            <w:tcW w:w="114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6CC001">
            <w:pPr>
              <w:widowControl/>
              <w:jc w:val="center"/>
              <w:textAlignment w:val="center"/>
              <w:rPr>
                <w:rFonts w:ascii="宋体" w:hAns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5BC11E">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4C235A">
            <w:pPr>
              <w:widowControl/>
              <w:jc w:val="center"/>
              <w:textAlignment w:val="center"/>
              <w:rPr>
                <w:rFonts w:ascii="宋体" w:hAnsi="宋体" w:cs="宋体"/>
                <w:color w:val="000000"/>
                <w:sz w:val="24"/>
              </w:rPr>
            </w:pPr>
            <w:r>
              <w:rPr>
                <w:rFonts w:hint="eastAsia" w:ascii="宋体" w:hAnsi="宋体" w:cs="宋体"/>
                <w:color w:val="000000"/>
                <w:sz w:val="24"/>
              </w:rPr>
              <w:t>检查企业</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862114">
            <w:pPr>
              <w:widowControl/>
              <w:jc w:val="center"/>
              <w:textAlignment w:val="center"/>
              <w:rPr>
                <w:rFonts w:ascii="宋体" w:hAnsi="宋体" w:cs="宋体"/>
                <w:color w:val="000000"/>
                <w:sz w:val="24"/>
              </w:rPr>
            </w:pPr>
            <w:r>
              <w:rPr>
                <w:rFonts w:hint="eastAsia" w:ascii="宋体" w:hAnsi="宋体" w:cs="宋体"/>
                <w:color w:val="000000"/>
                <w:sz w:val="24"/>
              </w:rPr>
              <w:t>80家/次</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A00FAE">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187</w:t>
            </w:r>
            <w:r>
              <w:rPr>
                <w:rFonts w:hint="eastAsia" w:ascii="宋体" w:hAnsi="宋体" w:cs="宋体"/>
                <w:color w:val="000000"/>
                <w:sz w:val="24"/>
              </w:rPr>
              <w:t>家/次</w:t>
            </w:r>
          </w:p>
        </w:tc>
      </w:tr>
      <w:tr w14:paraId="26A8E3A4">
        <w:tblPrEx>
          <w:tblCellMar>
            <w:top w:w="0" w:type="dxa"/>
            <w:left w:w="0" w:type="dxa"/>
            <w:bottom w:w="0" w:type="dxa"/>
            <w:right w:w="0" w:type="dxa"/>
          </w:tblCellMar>
        </w:tblPrEx>
        <w:trPr>
          <w:trHeight w:val="1297" w:hRule="atLeast"/>
          <w:jc w:val="center"/>
        </w:trPr>
        <w:tc>
          <w:tcPr>
            <w:tcW w:w="608" w:type="dxa"/>
            <w:vMerge w:val="continue"/>
            <w:tcBorders>
              <w:left w:val="single" w:color="000000" w:sz="4" w:space="0"/>
              <w:right w:val="single" w:color="000000" w:sz="4" w:space="0"/>
            </w:tcBorders>
            <w:noWrap w:val="0"/>
            <w:tcMar>
              <w:top w:w="15" w:type="dxa"/>
              <w:left w:w="15" w:type="dxa"/>
              <w:right w:w="15" w:type="dxa"/>
            </w:tcMar>
            <w:vAlign w:val="center"/>
          </w:tcPr>
          <w:p w14:paraId="20766E02">
            <w:pPr>
              <w:widowControl/>
              <w:jc w:val="center"/>
              <w:textAlignment w:val="center"/>
              <w:rPr>
                <w:rFonts w:ascii="宋体" w:hAnsi="宋体" w:cs="宋体"/>
                <w:color w:val="000000"/>
                <w:sz w:val="24"/>
              </w:rPr>
            </w:pPr>
          </w:p>
        </w:tc>
        <w:tc>
          <w:tcPr>
            <w:tcW w:w="114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BC7881">
            <w:pPr>
              <w:widowControl/>
              <w:jc w:val="center"/>
              <w:textAlignment w:val="center"/>
              <w:rPr>
                <w:rFonts w:ascii="宋体" w:hAnsi="宋体" w:cs="宋体"/>
                <w:color w:val="000000"/>
                <w:sz w:val="24"/>
              </w:rPr>
            </w:pPr>
            <w:r>
              <w:rPr>
                <w:rFonts w:hint="eastAsia" w:ascii="宋体" w:hAnsi="宋体" w:cs="宋体"/>
                <w:color w:val="000000"/>
                <w:kern w:val="0"/>
                <w:sz w:val="24"/>
              </w:rPr>
              <w:t>效益指标</w:t>
            </w:r>
          </w:p>
        </w:tc>
        <w:tc>
          <w:tcPr>
            <w:tcW w:w="10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B86247">
            <w:pPr>
              <w:widowControl/>
              <w:jc w:val="center"/>
              <w:textAlignment w:val="center"/>
              <w:rPr>
                <w:rFonts w:ascii="宋体" w:hAnsi="宋体" w:cs="宋体"/>
                <w:color w:val="000000"/>
                <w:sz w:val="24"/>
              </w:rPr>
            </w:pPr>
            <w:r>
              <w:rPr>
                <w:rFonts w:hint="eastAsia" w:ascii="宋体" w:hAnsi="宋体" w:cs="宋体"/>
                <w:color w:val="000000"/>
                <w:sz w:val="24"/>
              </w:rPr>
              <w:t>环境效益指标</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5D6A16">
            <w:pPr>
              <w:widowControl/>
              <w:jc w:val="center"/>
              <w:textAlignment w:val="center"/>
              <w:rPr>
                <w:rFonts w:ascii="宋体" w:hAnsi="宋体" w:cs="宋体"/>
                <w:color w:val="000000"/>
                <w:sz w:val="24"/>
              </w:rPr>
            </w:pPr>
            <w:r>
              <w:rPr>
                <w:rFonts w:hint="eastAsia" w:ascii="宋体" w:hAnsi="宋体" w:cs="宋体"/>
                <w:color w:val="000000"/>
                <w:sz w:val="24"/>
              </w:rPr>
              <w:t>保持环境保护高压态势，严格环境执法监管，强化问题源头管控。坚持问题导向，全面排查工业园区及各乡镇企业存在的突出环境问题，坚决制止和惩处破坏生态环境违法违规行为，靠实管理责任，严肃追责问责，健全完善管理长效机制，使得环境监察执法工作取得明显成效。</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7BF94D">
            <w:pPr>
              <w:widowControl/>
              <w:jc w:val="center"/>
              <w:textAlignment w:val="center"/>
              <w:rPr>
                <w:rFonts w:ascii="宋体" w:hAnsi="宋体" w:cs="宋体"/>
                <w:color w:val="000000"/>
                <w:sz w:val="24"/>
              </w:rPr>
            </w:pPr>
            <w:r>
              <w:rPr>
                <w:rFonts w:hint="eastAsia" w:ascii="宋体" w:hAnsi="宋体" w:cs="宋体"/>
                <w:color w:val="000000"/>
                <w:sz w:val="24"/>
              </w:rPr>
              <w:t>环境风险隐患排查：1.排查我区5家重点源企业；2.排查全区27个乡镇卫生院和3个区级医院进行检查，检查发现部分卫生院医疗废物管理台账不规范、医疗贮存间不规范、未设置标志标牌、未设置环保专职人员、部分乡镇卫生院存在住院综合楼、职工住宿周转房未批等情况；3.排查工业发展集中区企业的污染防治设施运行情况、生产废水、废气是否存在偷排、漏排、超排现象和固体废物的处置情况</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ADC72D">
            <w:pPr>
              <w:widowControl/>
              <w:jc w:val="center"/>
              <w:textAlignment w:val="center"/>
              <w:rPr>
                <w:rFonts w:ascii="宋体" w:hAnsi="宋体" w:cs="宋体"/>
                <w:color w:val="000000"/>
                <w:sz w:val="24"/>
              </w:rPr>
            </w:pPr>
            <w:r>
              <w:rPr>
                <w:rFonts w:hint="eastAsia" w:ascii="宋体" w:hAnsi="宋体" w:cs="宋体"/>
                <w:color w:val="000000"/>
                <w:sz w:val="24"/>
              </w:rPr>
              <w:t>环境风险隐患排查：1.排查我区5家重点源企业；2.排查全区27个乡镇卫生院和3个区级医院进行检查，检查发现部分卫生院医疗废物管理台账不规范、医疗贮存间不规范、未设置标志标牌、未设置环保专职人员、部分乡镇卫生院存在住院综合楼、职工住宿周转房未批等情况；3.排查工业发展集中区企业的污染防治设施运行情况、生产废水、废气是否存在偷排、漏排、超排现象和固体废物的处置情况</w:t>
            </w:r>
          </w:p>
        </w:tc>
      </w:tr>
      <w:tr w14:paraId="37FD7686">
        <w:tblPrEx>
          <w:tblCellMar>
            <w:top w:w="0" w:type="dxa"/>
            <w:left w:w="0" w:type="dxa"/>
            <w:bottom w:w="0" w:type="dxa"/>
            <w:right w:w="0" w:type="dxa"/>
          </w:tblCellMar>
        </w:tblPrEx>
        <w:trPr>
          <w:trHeight w:val="1050" w:hRule="atLeast"/>
          <w:jc w:val="center"/>
        </w:trPr>
        <w:tc>
          <w:tcPr>
            <w:tcW w:w="608"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14:paraId="29CD112E">
            <w:pPr>
              <w:widowControl/>
              <w:jc w:val="center"/>
              <w:textAlignment w:val="center"/>
              <w:rPr>
                <w:rFonts w:ascii="宋体" w:hAnsi="宋体" w:cs="宋体"/>
                <w:color w:val="000000"/>
                <w:sz w:val="24"/>
              </w:rPr>
            </w:pPr>
          </w:p>
        </w:tc>
        <w:tc>
          <w:tcPr>
            <w:tcW w:w="114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F03DAB">
            <w:pPr>
              <w:widowControl/>
              <w:jc w:val="center"/>
              <w:textAlignment w:val="center"/>
              <w:rPr>
                <w:rFonts w:ascii="宋体" w:hAnsi="宋体" w:cs="宋体"/>
                <w:color w:val="000000"/>
                <w:sz w:val="24"/>
              </w:rPr>
            </w:pPr>
            <w:r>
              <w:rPr>
                <w:rFonts w:hint="eastAsia" w:ascii="宋体" w:hAnsi="宋体" w:cs="宋体"/>
                <w:color w:val="000000"/>
                <w:kern w:val="0"/>
                <w:sz w:val="24"/>
              </w:rPr>
              <w:t>满意度指标</w:t>
            </w:r>
          </w:p>
        </w:tc>
        <w:tc>
          <w:tcPr>
            <w:tcW w:w="102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0FED44">
            <w:pPr>
              <w:widowControl/>
              <w:jc w:val="center"/>
              <w:textAlignment w:val="center"/>
              <w:rPr>
                <w:rFonts w:ascii="宋体" w:hAnsi="宋体" w:cs="宋体"/>
                <w:color w:val="000000"/>
                <w:sz w:val="24"/>
              </w:rPr>
            </w:pPr>
            <w:r>
              <w:rPr>
                <w:rFonts w:hint="eastAsia" w:ascii="宋体" w:hAnsi="宋体" w:cs="宋体"/>
                <w:color w:val="000000"/>
                <w:sz w:val="24"/>
              </w:rPr>
              <w:t>服务对象满意度指标</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B525DD">
            <w:pPr>
              <w:widowControl/>
              <w:jc w:val="center"/>
              <w:textAlignment w:val="center"/>
              <w:rPr>
                <w:rFonts w:ascii="宋体" w:hAnsi="宋体" w:cs="宋体"/>
                <w:color w:val="000000"/>
                <w:sz w:val="24"/>
              </w:rPr>
            </w:pPr>
            <w:r>
              <w:rPr>
                <w:rFonts w:hint="eastAsia" w:ascii="宋体" w:hAnsi="宋体" w:cs="宋体"/>
                <w:color w:val="000000"/>
                <w:sz w:val="24"/>
              </w:rPr>
              <w:t>受益群众满意度</w:t>
            </w:r>
          </w:p>
        </w:tc>
        <w:tc>
          <w:tcPr>
            <w:tcW w:w="23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B386F8">
            <w:pPr>
              <w:widowControl/>
              <w:jc w:val="center"/>
              <w:textAlignment w:val="center"/>
              <w:rPr>
                <w:rFonts w:ascii="宋体" w:hAnsi="宋体" w:cs="宋体"/>
                <w:color w:val="000000"/>
                <w:sz w:val="24"/>
              </w:rPr>
            </w:pPr>
            <w:r>
              <w:rPr>
                <w:rFonts w:hint="eastAsia" w:ascii="宋体" w:hAnsi="宋体" w:cs="宋体"/>
                <w:color w:val="000000"/>
                <w:sz w:val="24"/>
              </w:rPr>
              <w:t>≥90%</w:t>
            </w:r>
          </w:p>
        </w:tc>
        <w:tc>
          <w:tcPr>
            <w:tcW w:w="239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8D7E55">
            <w:pPr>
              <w:widowControl/>
              <w:jc w:val="center"/>
              <w:textAlignment w:val="center"/>
              <w:rPr>
                <w:rFonts w:ascii="宋体" w:hAnsi="宋体" w:cs="宋体"/>
                <w:color w:val="000000"/>
                <w:sz w:val="24"/>
              </w:rPr>
            </w:pPr>
            <w:r>
              <w:rPr>
                <w:rFonts w:hint="eastAsia" w:ascii="宋体" w:hAnsi="宋体" w:cs="宋体"/>
                <w:color w:val="000000"/>
                <w:sz w:val="24"/>
              </w:rPr>
              <w:t>≥9</w:t>
            </w:r>
            <w:r>
              <w:rPr>
                <w:rFonts w:hint="eastAsia" w:ascii="宋体" w:hAnsi="宋体" w:cs="宋体"/>
                <w:color w:val="000000"/>
                <w:sz w:val="24"/>
                <w:lang w:val="en-US" w:eastAsia="zh-CN"/>
              </w:rPr>
              <w:t>5</w:t>
            </w:r>
            <w:r>
              <w:rPr>
                <w:rFonts w:hint="eastAsia" w:ascii="宋体" w:hAnsi="宋体" w:cs="宋体"/>
                <w:color w:val="000000"/>
                <w:sz w:val="24"/>
              </w:rPr>
              <w:t>%</w:t>
            </w:r>
          </w:p>
        </w:tc>
      </w:tr>
    </w:tbl>
    <w:p w14:paraId="66C8F9AE">
      <w:pPr>
        <w:spacing w:line="580" w:lineRule="exact"/>
        <w:ind w:left="630"/>
        <w:rPr>
          <w:rFonts w:ascii="仿宋_GB2312" w:hAnsi="仿宋_GB2312" w:eastAsia="仿宋_GB2312" w:cs="仿宋_GB2312"/>
          <w:sz w:val="32"/>
          <w:szCs w:val="32"/>
        </w:rPr>
      </w:pPr>
      <w:r>
        <w:rPr>
          <w:rFonts w:hint="eastAsia" w:ascii="楷体_GB2312" w:hAnsi="楷体_GB2312" w:eastAsia="楷体_GB2312" w:cs="楷体_GB2312"/>
          <w:sz w:val="32"/>
          <w:szCs w:val="32"/>
        </w:rPr>
        <w:t>2.部门绩效评价结果。</w:t>
      </w:r>
    </w:p>
    <w:p w14:paraId="74FACFEB">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本部门按要求对2019年部门整体支出绩效评价情况开展自评，《</w:t>
      </w:r>
      <w:r>
        <w:rPr>
          <w:rFonts w:hint="eastAsia" w:ascii="仿宋_GB2312" w:hAnsi="仿宋_GB2312" w:eastAsia="仿宋_GB2312" w:cs="仿宋_GB2312"/>
          <w:sz w:val="32"/>
          <w:szCs w:val="32"/>
          <w:lang w:val="en-US" w:eastAsia="zh-CN"/>
        </w:rPr>
        <w:t>广元市昭化生态环境局</w:t>
      </w:r>
      <w:r>
        <w:rPr>
          <w:rFonts w:hint="eastAsia" w:ascii="仿宋_GB2312" w:hAnsi="仿宋_GB2312" w:eastAsia="仿宋_GB2312" w:cs="仿宋_GB2312"/>
          <w:sz w:val="32"/>
          <w:szCs w:val="32"/>
        </w:rPr>
        <w:t>2019年部门整体支出绩效评价报告》见附件（附件1）。</w:t>
      </w:r>
    </w:p>
    <w:p w14:paraId="0F985241">
      <w:pPr>
        <w:widowControl/>
        <w:jc w:val="left"/>
        <w:rPr>
          <w:rFonts w:ascii="仿宋_GB2312" w:eastAsia="仿宋_GB2312"/>
          <w:b/>
          <w:color w:val="000000"/>
          <w:sz w:val="32"/>
          <w:szCs w:val="32"/>
        </w:rPr>
      </w:pPr>
      <w:r>
        <w:rPr>
          <w:rFonts w:hint="eastAsia" w:ascii="仿宋_GB2312" w:hAnsi="仿宋_GB2312" w:eastAsia="仿宋_GB2312" w:cs="仿宋_GB2312"/>
          <w:sz w:val="32"/>
          <w:szCs w:val="32"/>
        </w:rPr>
        <w:t>本部门自行组织对2019年环境执法工作开展了绩效评价，《环境执法工作2019年绩效评价报告》见附件（附件2）。</w:t>
      </w:r>
    </w:p>
    <w:p w14:paraId="576E5402">
      <w:pPr>
        <w:numPr>
          <w:ilvl w:val="0"/>
          <w:numId w:val="4"/>
        </w:numPr>
        <w:spacing w:line="600" w:lineRule="exact"/>
        <w:ind w:firstLine="660" w:firstLineChars="150"/>
        <w:jc w:val="center"/>
        <w:outlineLvl w:val="0"/>
        <w:rPr>
          <w:rStyle w:val="14"/>
          <w:rFonts w:ascii="黑体" w:hAnsi="黑体" w:eastAsia="黑体"/>
          <w:b w:val="0"/>
        </w:rPr>
      </w:pPr>
      <w:bookmarkStart w:id="52" w:name="_Toc15377225"/>
      <w:bookmarkStart w:id="53" w:name="_Toc15396613"/>
      <w:r>
        <w:rPr>
          <w:rFonts w:hint="eastAsia" w:ascii="黑体" w:hAnsi="黑体" w:eastAsia="黑体"/>
          <w:color w:val="000000"/>
          <w:sz w:val="44"/>
          <w:szCs w:val="44"/>
        </w:rPr>
        <w:t>名</w:t>
      </w:r>
      <w:r>
        <w:rPr>
          <w:rStyle w:val="14"/>
          <w:rFonts w:hint="eastAsia" w:ascii="黑体" w:hAnsi="黑体" w:eastAsia="黑体"/>
          <w:b w:val="0"/>
        </w:rPr>
        <w:t>词解释</w:t>
      </w:r>
      <w:bookmarkEnd w:id="52"/>
      <w:bookmarkEnd w:id="53"/>
    </w:p>
    <w:p w14:paraId="68E8EC2F">
      <w:pPr>
        <w:spacing w:line="600" w:lineRule="exact"/>
        <w:jc w:val="left"/>
        <w:rPr>
          <w:rFonts w:ascii="宋体"/>
          <w:b/>
          <w:color w:val="000000"/>
          <w:sz w:val="44"/>
          <w:szCs w:val="44"/>
        </w:rPr>
      </w:pPr>
    </w:p>
    <w:p w14:paraId="22B354A4">
      <w:pPr>
        <w:spacing w:line="600" w:lineRule="exact"/>
        <w:ind w:firstLine="640"/>
        <w:rPr>
          <w:rFonts w:hint="eastAsia" w:ascii="仿宋_GB2312" w:eastAsia="仿宋_GB2312"/>
          <w:sz w:val="32"/>
          <w:szCs w:val="32"/>
        </w:rPr>
      </w:pPr>
      <w:r>
        <w:rPr>
          <w:rFonts w:hint="eastAsia" w:ascii="仿宋_GB2312" w:eastAsia="仿宋_GB2312"/>
          <w:sz w:val="32"/>
          <w:szCs w:val="32"/>
        </w:rPr>
        <w:t>1.财政拨款收入：指省级财政当年拨付的资金。 </w:t>
      </w:r>
    </w:p>
    <w:p w14:paraId="791D88FC">
      <w:pPr>
        <w:spacing w:line="600" w:lineRule="exact"/>
        <w:ind w:firstLine="640"/>
        <w:rPr>
          <w:rFonts w:hint="eastAsia" w:ascii="仿宋_GB2312" w:eastAsia="仿宋_GB2312"/>
          <w:sz w:val="32"/>
          <w:szCs w:val="32"/>
        </w:rPr>
      </w:pPr>
      <w:r>
        <w:rPr>
          <w:rFonts w:hint="eastAsia" w:ascii="仿宋_GB2312" w:eastAsia="仿宋_GB2312"/>
          <w:sz w:val="32"/>
          <w:szCs w:val="32"/>
        </w:rPr>
        <w:t>2.年初结转和结余：指以前年度尚未完成、结转到本年按有关规定继续使用的资金。 </w:t>
      </w:r>
    </w:p>
    <w:p w14:paraId="240FCF70">
      <w:pPr>
        <w:spacing w:line="600" w:lineRule="exact"/>
        <w:ind w:firstLine="640"/>
        <w:rPr>
          <w:rFonts w:hint="eastAsia" w:ascii="仿宋_GB2312" w:eastAsia="仿宋_GB2312"/>
          <w:sz w:val="32"/>
          <w:szCs w:val="32"/>
        </w:rPr>
      </w:pPr>
      <w:r>
        <w:rPr>
          <w:rFonts w:hint="eastAsia" w:ascii="仿宋_GB2312" w:eastAsia="仿宋_GB2312"/>
          <w:sz w:val="32"/>
          <w:szCs w:val="32"/>
        </w:rPr>
        <w:t>3、一般公共服务支出（类）财政事务（款）行政运行（项）：反映行政单位（包括实行公务员管理的事业单位）的基本支出。</w:t>
      </w:r>
    </w:p>
    <w:p w14:paraId="267CB31D">
      <w:pPr>
        <w:spacing w:line="600" w:lineRule="exact"/>
        <w:ind w:firstLine="640"/>
        <w:rPr>
          <w:rFonts w:hint="eastAsia" w:ascii="仿宋_GB2312" w:eastAsia="仿宋_GB2312"/>
          <w:sz w:val="32"/>
          <w:szCs w:val="32"/>
        </w:rPr>
      </w:pPr>
      <w:r>
        <w:rPr>
          <w:rFonts w:hint="eastAsia" w:ascii="仿宋_GB2312" w:eastAsia="仿宋_GB2312"/>
          <w:sz w:val="32"/>
          <w:szCs w:val="32"/>
        </w:rPr>
        <w:t>4、一般公共服务支出（类）其他一般公共服务支出（款）其他一般公共服务支出（项）：反映其他一般公共服务支出。</w:t>
      </w:r>
    </w:p>
    <w:p w14:paraId="7D6017DF">
      <w:pPr>
        <w:spacing w:line="600" w:lineRule="exact"/>
        <w:ind w:firstLine="640"/>
        <w:rPr>
          <w:rFonts w:hint="eastAsia" w:ascii="仿宋_GB2312" w:eastAsia="仿宋_GB2312"/>
          <w:sz w:val="32"/>
          <w:szCs w:val="32"/>
        </w:rPr>
      </w:pPr>
      <w:r>
        <w:rPr>
          <w:rFonts w:hint="eastAsia" w:ascii="仿宋_GB2312" w:eastAsia="仿宋_GB2312"/>
          <w:sz w:val="32"/>
          <w:szCs w:val="32"/>
        </w:rPr>
        <w:t>5、社会保障和就业支出（类）行政事业单位离退休（款）机关事业单位基本养老保险缴费支出（项）：反映机关事业单位实施养老保险制度由单位缴纳的基本养老保险费支出。</w:t>
      </w:r>
    </w:p>
    <w:p w14:paraId="4B46325F">
      <w:pPr>
        <w:spacing w:line="600" w:lineRule="exact"/>
        <w:ind w:firstLine="640"/>
        <w:rPr>
          <w:rFonts w:hint="eastAsia" w:ascii="仿宋_GB2312" w:eastAsia="仿宋_GB2312"/>
          <w:sz w:val="32"/>
          <w:szCs w:val="32"/>
        </w:rPr>
      </w:pPr>
      <w:r>
        <w:rPr>
          <w:rFonts w:hint="eastAsia" w:ascii="仿宋_GB2312" w:eastAsia="仿宋_GB2312"/>
          <w:sz w:val="32"/>
          <w:szCs w:val="32"/>
        </w:rPr>
        <w:t>6、医疗卫生与计划生育支出（类）医疗保障（款）行政单位医疗（项）：反映行政单位医疗方面的支出。</w:t>
      </w:r>
    </w:p>
    <w:p w14:paraId="73DC324F">
      <w:pPr>
        <w:spacing w:line="600" w:lineRule="exact"/>
        <w:ind w:firstLine="640"/>
        <w:rPr>
          <w:rFonts w:hint="eastAsia" w:ascii="仿宋_GB2312" w:eastAsia="仿宋_GB2312"/>
          <w:sz w:val="32"/>
          <w:szCs w:val="32"/>
        </w:rPr>
      </w:pPr>
      <w:r>
        <w:rPr>
          <w:rFonts w:hint="eastAsia" w:ascii="仿宋_GB2312" w:eastAsia="仿宋_GB2312"/>
          <w:sz w:val="32"/>
          <w:szCs w:val="32"/>
        </w:rPr>
        <w:t>7、住房保障支出（类）住房改革支出（款）住房公积金（项）：反映行政事业单位按人力资源和社会保障部、财政部规定的基本工资和津贴补贴以及规定比例为职工缴纳的住房公积金。</w:t>
      </w:r>
    </w:p>
    <w:p w14:paraId="4B243C94">
      <w:pPr>
        <w:spacing w:line="600" w:lineRule="exact"/>
        <w:ind w:firstLine="640"/>
        <w:rPr>
          <w:rFonts w:hint="eastAsia" w:ascii="仿宋_GB2312" w:eastAsia="仿宋_GB2312"/>
          <w:sz w:val="32"/>
          <w:szCs w:val="32"/>
        </w:rPr>
      </w:pPr>
      <w:r>
        <w:rPr>
          <w:rFonts w:hint="eastAsia" w:ascii="仿宋_GB2312" w:eastAsia="仿宋_GB2312"/>
          <w:sz w:val="32"/>
          <w:szCs w:val="32"/>
        </w:rPr>
        <w:t>8、其他支出（类）其他支出（款）其他支出（项）：反映其他不能划分到具体功能科目中的支出项目。</w:t>
      </w:r>
    </w:p>
    <w:p w14:paraId="35643590">
      <w:pPr>
        <w:spacing w:line="600" w:lineRule="exact"/>
        <w:ind w:firstLine="640"/>
        <w:rPr>
          <w:rFonts w:hint="eastAsia" w:ascii="仿宋_GB2312" w:eastAsia="仿宋_GB2312"/>
          <w:sz w:val="32"/>
          <w:szCs w:val="32"/>
        </w:rPr>
      </w:pPr>
      <w:r>
        <w:rPr>
          <w:rFonts w:hint="eastAsia" w:ascii="仿宋_GB2312" w:eastAsia="仿宋_GB2312"/>
          <w:sz w:val="32"/>
          <w:szCs w:val="32"/>
        </w:rPr>
        <w:t>9.年末结转和结余：指本年度或以前年度预算安排、因客观条件发生变化无法按原计划实施，需延迟到以后年度按有关规定继续使用的资金。</w:t>
      </w:r>
    </w:p>
    <w:p w14:paraId="12D3A45B">
      <w:pPr>
        <w:spacing w:line="600" w:lineRule="exact"/>
        <w:ind w:firstLine="640"/>
        <w:rPr>
          <w:rFonts w:hint="eastAsia" w:ascii="仿宋_GB2312" w:eastAsia="仿宋_GB2312"/>
          <w:sz w:val="32"/>
          <w:szCs w:val="32"/>
        </w:rPr>
      </w:pPr>
      <w:r>
        <w:rPr>
          <w:rFonts w:hint="eastAsia" w:ascii="仿宋_GB2312" w:eastAsia="仿宋_GB2312"/>
          <w:sz w:val="32"/>
          <w:szCs w:val="32"/>
        </w:rPr>
        <w:t>10.基本支出：指为保障机构正常运转、完成日常工作任务而发生的人员支出和公用支出。</w:t>
      </w:r>
    </w:p>
    <w:p w14:paraId="5A411E92">
      <w:pPr>
        <w:spacing w:line="600" w:lineRule="exact"/>
        <w:ind w:firstLine="640"/>
        <w:rPr>
          <w:rFonts w:hint="eastAsia" w:ascii="仿宋_GB2312" w:eastAsia="仿宋_GB2312"/>
          <w:sz w:val="32"/>
          <w:szCs w:val="32"/>
        </w:rPr>
      </w:pPr>
      <w:r>
        <w:rPr>
          <w:rFonts w:hint="eastAsia" w:ascii="仿宋_GB2312" w:eastAsia="仿宋_GB2312"/>
          <w:sz w:val="32"/>
          <w:szCs w:val="32"/>
        </w:rPr>
        <w:t>11.项目支出：指在基本支出之外为完成特定行政任务和事业发展目标所发生的支出。 </w:t>
      </w:r>
    </w:p>
    <w:p w14:paraId="5272BE76">
      <w:pPr>
        <w:spacing w:line="600" w:lineRule="exact"/>
        <w:ind w:firstLine="640"/>
        <w:rPr>
          <w:rFonts w:hint="eastAsia" w:ascii="仿宋_GB2312" w:eastAsia="仿宋_GB2312"/>
          <w:sz w:val="32"/>
          <w:szCs w:val="32"/>
        </w:rPr>
      </w:pPr>
      <w:r>
        <w:rPr>
          <w:rFonts w:hint="eastAsia" w:ascii="仿宋_GB2312" w:eastAsia="仿宋_GB2312"/>
          <w:sz w:val="32"/>
          <w:szCs w:val="32"/>
        </w:rPr>
        <w:t>12.“三公”经费：纳入省级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14:paraId="29F10545">
      <w:pPr>
        <w:spacing w:line="600" w:lineRule="exact"/>
        <w:ind w:firstLine="640"/>
        <w:rPr>
          <w:rFonts w:hint="eastAsia" w:ascii="仿宋_GB2312" w:eastAsia="仿宋_GB2312"/>
          <w:sz w:val="32"/>
          <w:szCs w:val="32"/>
        </w:rPr>
      </w:pPr>
      <w:r>
        <w:rPr>
          <w:rFonts w:hint="eastAsia" w:ascii="仿宋_GB2312" w:eastAsia="仿宋_GB2312"/>
          <w:sz w:val="32"/>
          <w:szCs w:val="32"/>
        </w:rPr>
        <w:t>13.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2318F35A">
      <w:pPr>
        <w:ind w:firstLine="640" w:firstLineChars="200"/>
        <w:rPr>
          <w:rFonts w:ascii="仿宋_GB2312" w:eastAsia="仿宋_GB2312"/>
          <w:color w:val="000000"/>
          <w:sz w:val="32"/>
          <w:szCs w:val="32"/>
        </w:rPr>
      </w:pPr>
      <w:r>
        <w:rPr>
          <w:rFonts w:ascii="仿宋_GB2312" w:eastAsia="仿宋_GB2312"/>
          <w:color w:val="000000"/>
          <w:sz w:val="32"/>
          <w:szCs w:val="32"/>
        </w:rPr>
        <w:t>27.</w:t>
      </w:r>
      <w:r>
        <w:rPr>
          <w:rFonts w:hint="eastAsia" w:ascii="仿宋_GB2312" w:eastAsia="仿宋_GB2312"/>
          <w:color w:val="000000"/>
          <w:sz w:val="32"/>
          <w:szCs w:val="32"/>
        </w:rPr>
        <w:t>基本支出：指为保障机构正常运转、完成日常工作任务而发生的人员支出和公用支出。</w:t>
      </w:r>
    </w:p>
    <w:p w14:paraId="180B6BC2">
      <w:pPr>
        <w:ind w:firstLine="640" w:firstLineChars="200"/>
        <w:rPr>
          <w:rFonts w:ascii="仿宋_GB2312" w:eastAsia="仿宋_GB2312"/>
          <w:color w:val="000000"/>
          <w:sz w:val="32"/>
          <w:szCs w:val="32"/>
        </w:rPr>
      </w:pPr>
      <w:r>
        <w:rPr>
          <w:rFonts w:ascii="仿宋_GB2312" w:eastAsia="仿宋_GB2312"/>
          <w:color w:val="000000"/>
          <w:sz w:val="32"/>
          <w:szCs w:val="32"/>
        </w:rPr>
        <w:t>28.</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14:paraId="50D54345">
      <w:pPr>
        <w:ind w:firstLine="640" w:firstLineChars="200"/>
        <w:rPr>
          <w:rFonts w:ascii="仿宋_GB2312" w:eastAsia="仿宋_GB2312"/>
          <w:color w:val="000000"/>
          <w:sz w:val="32"/>
          <w:szCs w:val="32"/>
        </w:rPr>
      </w:pPr>
      <w:r>
        <w:rPr>
          <w:rFonts w:ascii="仿宋_GB2312" w:eastAsia="仿宋_GB2312"/>
          <w:color w:val="000000"/>
          <w:sz w:val="32"/>
          <w:szCs w:val="32"/>
        </w:rPr>
        <w:t>29.</w:t>
      </w:r>
      <w:r>
        <w:rPr>
          <w:rFonts w:hint="eastAsia" w:ascii="仿宋_GB2312" w:eastAsia="仿宋_GB2312"/>
          <w:color w:val="000000"/>
          <w:sz w:val="32"/>
          <w:szCs w:val="32"/>
        </w:rPr>
        <w:t>经营支出：指事业单位在专业业务活动及其辅助活动之外开展非独立核算经营活动发生的支出。</w:t>
      </w:r>
    </w:p>
    <w:p w14:paraId="5F93B417">
      <w:pPr>
        <w:pStyle w:val="2"/>
        <w:spacing w:line="560" w:lineRule="exact"/>
        <w:ind w:firstLine="640" w:firstLineChars="200"/>
        <w:rPr>
          <w:rFonts w:ascii="仿宋_GB2312" w:eastAsia="仿宋_GB2312"/>
          <w:sz w:val="32"/>
          <w:szCs w:val="32"/>
        </w:rPr>
      </w:pPr>
      <w:r>
        <w:rPr>
          <w:rFonts w:ascii="仿宋_GB2312" w:eastAsia="仿宋_GB2312"/>
          <w:sz w:val="32"/>
          <w:szCs w:val="32"/>
        </w:rPr>
        <w:t>30.</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340D9A59">
      <w:pPr>
        <w:pStyle w:val="2"/>
        <w:spacing w:line="560" w:lineRule="exact"/>
        <w:ind w:firstLine="640" w:firstLineChars="200"/>
        <w:rPr>
          <w:rFonts w:ascii="仿宋_GB2312" w:eastAsia="仿宋_GB2312"/>
          <w:sz w:val="32"/>
          <w:szCs w:val="32"/>
        </w:rPr>
      </w:pPr>
      <w:r>
        <w:rPr>
          <w:rFonts w:ascii="仿宋_GB2312" w:eastAsia="仿宋_GB2312"/>
          <w:sz w:val="32"/>
          <w:szCs w:val="32"/>
        </w:rPr>
        <w:t>31.</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0FC7EE32">
      <w:pPr>
        <w:spacing w:line="600" w:lineRule="exact"/>
        <w:jc w:val="center"/>
        <w:outlineLvl w:val="0"/>
        <w:rPr>
          <w:rStyle w:val="14"/>
          <w:rFonts w:ascii="黑体" w:hAnsi="黑体" w:eastAsia="黑体"/>
          <w:b w:val="0"/>
        </w:rPr>
      </w:pPr>
      <w:bookmarkStart w:id="54" w:name="_Toc15377226"/>
      <w:r>
        <w:rPr>
          <w:rFonts w:ascii="宋体"/>
          <w:b/>
          <w:color w:val="000000"/>
          <w:sz w:val="44"/>
          <w:szCs w:val="44"/>
        </w:rPr>
        <w:br w:type="page"/>
      </w:r>
      <w:bookmarkStart w:id="55" w:name="_Toc15396614"/>
      <w:r>
        <w:rPr>
          <w:rFonts w:hint="eastAsia" w:ascii="黑体" w:hAnsi="黑体" w:eastAsia="黑体"/>
          <w:color w:val="000000"/>
          <w:sz w:val="44"/>
          <w:szCs w:val="44"/>
        </w:rPr>
        <w:t>第</w:t>
      </w:r>
      <w:r>
        <w:rPr>
          <w:rStyle w:val="14"/>
          <w:rFonts w:hint="eastAsia" w:ascii="黑体" w:hAnsi="黑体" w:eastAsia="黑体"/>
          <w:b w:val="0"/>
        </w:rPr>
        <w:t>四部分 附件</w:t>
      </w:r>
      <w:bookmarkEnd w:id="55"/>
    </w:p>
    <w:p w14:paraId="4F4F2C96">
      <w:pPr>
        <w:spacing w:line="600" w:lineRule="exact"/>
        <w:jc w:val="left"/>
        <w:outlineLvl w:val="0"/>
        <w:rPr>
          <w:rFonts w:ascii="方正小标宋简体" w:hAnsi="方正小标宋简体" w:eastAsia="方正小标宋简体" w:cs="方正小标宋简体"/>
          <w:sz w:val="32"/>
          <w:szCs w:val="32"/>
        </w:rPr>
      </w:pPr>
      <w:r>
        <w:rPr>
          <w:rFonts w:hint="eastAsia" w:ascii="黑体" w:hAnsi="黑体" w:eastAsia="黑体" w:cs="黑体"/>
          <w:sz w:val="32"/>
          <w:szCs w:val="32"/>
        </w:rPr>
        <w:t>附件1</w:t>
      </w:r>
    </w:p>
    <w:p w14:paraId="1FB9DF7B">
      <w:pPr>
        <w:spacing w:line="580" w:lineRule="exact"/>
        <w:jc w:val="center"/>
        <w:rPr>
          <w:rFonts w:ascii="方正小标宋简体" w:hAnsi="方正小标宋简体" w:eastAsia="方正小标宋简体" w:cs="方正小标宋简体"/>
          <w:sz w:val="44"/>
          <w:szCs w:val="44"/>
        </w:rPr>
      </w:pPr>
    </w:p>
    <w:p w14:paraId="13512ED7">
      <w:pPr>
        <w:spacing w:line="600" w:lineRule="exact"/>
        <w:jc w:val="center"/>
        <w:rPr>
          <w:rFonts w:ascii="方正小标宋简体" w:hAnsi="宋体" w:eastAsia="方正小标宋简体"/>
          <w:color w:val="000000"/>
          <w:kern w:val="0"/>
          <w:sz w:val="40"/>
          <w:szCs w:val="44"/>
          <w:lang w:val="zh-CN"/>
        </w:rPr>
      </w:pPr>
      <w:r>
        <w:rPr>
          <w:rFonts w:hint="eastAsia" w:ascii="方正小标宋简体" w:hAnsi="宋体" w:eastAsia="方正小标宋简体"/>
          <w:color w:val="000000"/>
          <w:kern w:val="0"/>
          <w:sz w:val="40"/>
          <w:szCs w:val="44"/>
          <w:lang w:val="en-US" w:eastAsia="zh-CN"/>
        </w:rPr>
        <w:t>广元市昭化生态环境局</w:t>
      </w:r>
      <w:r>
        <w:rPr>
          <w:rFonts w:ascii="方正小标宋简体" w:hAnsi="宋体" w:eastAsia="方正小标宋简体"/>
          <w:color w:val="000000"/>
          <w:kern w:val="0"/>
          <w:sz w:val="40"/>
          <w:szCs w:val="44"/>
        </w:rPr>
        <w:t>2019年部门</w:t>
      </w:r>
      <w:r>
        <w:rPr>
          <w:rFonts w:hint="eastAsia" w:ascii="方正小标宋简体" w:hAnsi="宋体" w:eastAsia="方正小标宋简体"/>
          <w:color w:val="000000"/>
          <w:kern w:val="0"/>
          <w:sz w:val="40"/>
          <w:szCs w:val="44"/>
          <w:lang w:val="zh-CN"/>
        </w:rPr>
        <w:t>整体支出绩效评价报告</w:t>
      </w:r>
    </w:p>
    <w:p w14:paraId="0A30AE59">
      <w:pPr>
        <w:widowControl/>
        <w:spacing w:line="580" w:lineRule="exact"/>
        <w:ind w:firstLine="640" w:firstLineChars="200"/>
        <w:contextualSpacing/>
        <w:jc w:val="center"/>
        <w:rPr>
          <w:rFonts w:ascii="仿宋_GB2312" w:hAnsi="宋体" w:eastAsia="仿宋_GB2312"/>
          <w:sz w:val="32"/>
          <w:szCs w:val="32"/>
          <w:shd w:val="clear" w:color="auto" w:fill="FFFFFF"/>
        </w:rPr>
      </w:pPr>
      <w:r>
        <w:rPr>
          <w:rFonts w:hint="eastAsia" w:ascii="仿宋_GB2312" w:hAnsi="宋体" w:eastAsia="仿宋_GB2312"/>
          <w:sz w:val="32"/>
          <w:szCs w:val="32"/>
          <w:shd w:val="clear" w:color="auto" w:fill="FFFFFF"/>
        </w:rPr>
        <w:t>（报告范围包括机关和下属单位）</w:t>
      </w:r>
    </w:p>
    <w:p w14:paraId="2EB283E2">
      <w:pPr>
        <w:widowControl/>
        <w:adjustRightInd w:val="0"/>
        <w:snapToGrid w:val="0"/>
        <w:spacing w:line="580" w:lineRule="exact"/>
        <w:ind w:firstLine="480" w:firstLineChars="200"/>
        <w:contextualSpacing/>
        <w:jc w:val="left"/>
        <w:rPr>
          <w:rFonts w:ascii="黑体" w:hAnsi="宋体" w:eastAsia="黑体" w:cs="宋体"/>
          <w:color w:val="000000"/>
          <w:kern w:val="0"/>
          <w:sz w:val="24"/>
          <w:szCs w:val="32"/>
          <w:shd w:val="clear" w:color="auto" w:fill="FFFFFF"/>
        </w:rPr>
      </w:pPr>
    </w:p>
    <w:p w14:paraId="222E88B0">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rPr>
        <w:t>一、</w:t>
      </w:r>
      <w:r>
        <w:rPr>
          <w:rFonts w:hint="eastAsia" w:ascii="黑体" w:hAnsi="宋体" w:eastAsia="黑体" w:cs="宋体"/>
          <w:color w:val="000000"/>
          <w:kern w:val="0"/>
          <w:sz w:val="32"/>
          <w:szCs w:val="32"/>
          <w:shd w:val="clear" w:color="auto" w:fill="FFFFFF"/>
          <w:lang w:val="zh-CN"/>
        </w:rPr>
        <w:t>部门（单位）概况</w:t>
      </w:r>
    </w:p>
    <w:p w14:paraId="586D81F1">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（一）机构组成。</w:t>
      </w:r>
    </w:p>
    <w:p w14:paraId="0C68AEEB">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昭化</w:t>
      </w:r>
      <w:r>
        <w:rPr>
          <w:rFonts w:hint="eastAsia" w:ascii="仿宋_GB2312" w:hAnsi="宋体" w:eastAsia="仿宋_GB2312" w:cs="宋体"/>
          <w:color w:val="000000"/>
          <w:kern w:val="0"/>
          <w:sz w:val="32"/>
          <w:szCs w:val="32"/>
          <w:shd w:val="clear" w:color="auto" w:fill="FFFFFF"/>
          <w:lang w:val="zh-CN" w:eastAsia="zh-CN" w:bidi="ar-SA"/>
        </w:rPr>
        <w:t>生态环境局设一室四股，分别为办公室、污染防治股、生态与农村环境管理股、行政审批股、核与辐射安全管理股。</w:t>
      </w:r>
    </w:p>
    <w:p w14:paraId="536EE994">
      <w:pPr>
        <w:widowControl/>
        <w:numPr>
          <w:ilvl w:val="0"/>
          <w:numId w:val="5"/>
        </w:numPr>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机构职能。</w:t>
      </w:r>
    </w:p>
    <w:p w14:paraId="46A8908C">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1.贯彻执行环境保护的方针、政策和法律、法规、规章。</w:t>
      </w:r>
    </w:p>
    <w:p w14:paraId="535A5DFC">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2.负责统筹协调和监督管理全区重大环境问题。</w:t>
      </w:r>
    </w:p>
    <w:p w14:paraId="139DFEAB">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3.负责落实全区污染物减排工作。</w:t>
      </w:r>
    </w:p>
    <w:p w14:paraId="71875BB8">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4.负责环境保护的投资管理。</w:t>
      </w:r>
    </w:p>
    <w:p w14:paraId="2C294558">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5.负责全区从源头上预防、控制环境污染和环境破坏。</w:t>
      </w:r>
    </w:p>
    <w:p w14:paraId="526C906C">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6.负责全区环境污染防治的监督管理。</w:t>
      </w:r>
    </w:p>
    <w:p w14:paraId="0F2BD9DE">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7.指导、协调、监督全市生态保护工作。</w:t>
      </w:r>
    </w:p>
    <w:p w14:paraId="522251F8">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8.负责全区核安全和辐射安全的监督管理。</w:t>
      </w:r>
    </w:p>
    <w:p w14:paraId="2FEF8EFD">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9.负责全区环境监测、统计和信息管理。</w:t>
      </w:r>
    </w:p>
    <w:p w14:paraId="65045580">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10.开展全区环境保护科技工作。</w:t>
      </w:r>
    </w:p>
    <w:p w14:paraId="7E297903">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11.组织、指导和协调全区环境保护宣传教育工作。</w:t>
      </w:r>
    </w:p>
    <w:p w14:paraId="67866DE7">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12.会同有关部门组织开展全区环境保护系统行政管理体制改革，指导全区环境保护系统队伍建设、业务建设和精神文明建设，规划并组织全区环境保护系统在职人员岗位培训和继续教育。</w:t>
      </w:r>
    </w:p>
    <w:p w14:paraId="76050D36">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13.承担区政府公布的有关行政审批事项。</w:t>
      </w:r>
    </w:p>
    <w:p w14:paraId="157A4BE1">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14.承办区政府交办的其他事项。</w:t>
      </w:r>
    </w:p>
    <w:p w14:paraId="4373922F">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（三）人员概况。</w:t>
      </w:r>
    </w:p>
    <w:p w14:paraId="66E69D2D">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人员编制23名，其中：局机关7名（含1名行政工勤），环境监察执法大队6名，环境监测站10名。实有人数22人，其中：局机关9人（含行政工勤人员1人），环境监察执法大队4人，环境监测站9人。</w:t>
      </w:r>
    </w:p>
    <w:p w14:paraId="20CC8B51">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二、部门财政资金收支情况</w:t>
      </w:r>
    </w:p>
    <w:p w14:paraId="7007444A">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（一）部门财政资金收入情况。</w:t>
      </w:r>
    </w:p>
    <w:p w14:paraId="57C846C1">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2019年昭化生态环境局本年收入合计2806.23万元，其中：财政拨款收入2806.23万元，占100%。</w:t>
      </w:r>
    </w:p>
    <w:p w14:paraId="4185336E">
      <w:pPr>
        <w:widowControl/>
        <w:numPr>
          <w:ilvl w:val="0"/>
          <w:numId w:val="5"/>
        </w:numPr>
        <w:adjustRightInd w:val="0"/>
        <w:snapToGrid w:val="0"/>
        <w:spacing w:line="580" w:lineRule="exact"/>
        <w:ind w:left="0" w:leftChars="0"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部门财政资金支出情况。</w:t>
      </w:r>
    </w:p>
    <w:p w14:paraId="290EAB08">
      <w:pPr>
        <w:pStyle w:val="2"/>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2019年昭化生态环境局本年支出合计725.48万元，其中：基本支出292.59万元，占40.33%；项目支出432.9万元，占59.67%。</w:t>
      </w:r>
    </w:p>
    <w:p w14:paraId="69504B4D">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三、部门整体预算绩效管理情况</w:t>
      </w:r>
    </w:p>
    <w:p w14:paraId="2170D1F0">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（一）部门预算管理。</w:t>
      </w:r>
    </w:p>
    <w:p w14:paraId="7A129999">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（一）部门预算管理。</w:t>
      </w:r>
      <w:r>
        <w:rPr>
          <w:rFonts w:hint="eastAsia" w:ascii="仿宋_GB2312" w:hAnsi="宋体" w:eastAsia="仿宋_GB2312" w:cs="宋体"/>
          <w:color w:val="000000"/>
          <w:kern w:val="0"/>
          <w:sz w:val="32"/>
          <w:szCs w:val="32"/>
          <w:shd w:val="clear" w:color="auto" w:fill="FFFFFF"/>
          <w:lang w:val="en-US" w:eastAsia="zh-CN"/>
        </w:rPr>
        <w:t>昭化生态环境局</w:t>
      </w:r>
      <w:r>
        <w:rPr>
          <w:rFonts w:hint="eastAsia" w:ascii="仿宋_GB2312" w:hAnsi="宋体" w:eastAsia="仿宋_GB2312" w:cs="宋体"/>
          <w:color w:val="000000"/>
          <w:kern w:val="0"/>
          <w:sz w:val="32"/>
          <w:szCs w:val="32"/>
          <w:shd w:val="clear" w:color="auto" w:fill="FFFFFF"/>
          <w:lang w:val="zh-CN"/>
        </w:rPr>
        <w:t>部门绩效目标制定合理、目标完成良好、预算编制准确，支出控制、预算动态调整、执行进度合理，预算完成情况良好。</w:t>
      </w:r>
    </w:p>
    <w:p w14:paraId="729CDE42">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（二）专项预算管理。昭化生态环境局专项预算项目程序严密、规划合理、结果符合、分配科学、分配及时，专项预 算绩效目标完成良好。</w:t>
      </w:r>
    </w:p>
    <w:p w14:paraId="428BA0D0">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结果应用情况。昭化生态环境局自评质量良好、绩效目标公开和自评公开、评价结果整改到位，评价结果应用合理。括部门绩效目标制定、目标实现、预算编制准确、支出控制、预算动态调整、执行进度、预算完成情况和违规记录等情况。</w:t>
      </w:r>
    </w:p>
    <w:p w14:paraId="51A34F9C">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（二）结果应用情况。</w:t>
      </w:r>
    </w:p>
    <w:p w14:paraId="0DAF3575">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包括绩效自评公开、评价结果整改和应用结果反馈等情况。</w:t>
      </w:r>
    </w:p>
    <w:p w14:paraId="369E9424">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四、评价结论及建议</w:t>
      </w:r>
    </w:p>
    <w:p w14:paraId="48B27F2C">
      <w:pPr>
        <w:spacing w:line="580" w:lineRule="exact"/>
        <w:ind w:firstLine="640" w:firstLineChars="200"/>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（一）评价结论。2019年部门整体支出绩效评价好。资金管理规范，项目推进有力，促进了民政事业快速发展。</w:t>
      </w:r>
    </w:p>
    <w:p w14:paraId="50E551EB">
      <w:pPr>
        <w:spacing w:line="580" w:lineRule="exact"/>
        <w:ind w:firstLine="640" w:firstLineChars="200"/>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（二）存在问题。项目建设过程管理需进一步规范，项目建成后的管护和运营需加强。</w:t>
      </w:r>
    </w:p>
    <w:p w14:paraId="40750BB7">
      <w:pPr>
        <w:spacing w:line="580" w:lineRule="exact"/>
        <w:ind w:firstLine="640" w:firstLineChars="200"/>
        <w:rPr>
          <w:rFonts w:ascii="仿宋_GB2312" w:hAnsi="仿宋_GB2312" w:eastAsia="仿宋_GB2312" w:cs="仿宋_GB2312"/>
          <w:sz w:val="32"/>
          <w:szCs w:val="32"/>
        </w:rPr>
      </w:pPr>
      <w:r>
        <w:rPr>
          <w:rFonts w:hint="eastAsia" w:ascii="仿宋_GB2312" w:hAnsi="宋体" w:eastAsia="仿宋_GB2312" w:cs="宋体"/>
          <w:color w:val="000000"/>
          <w:kern w:val="0"/>
          <w:sz w:val="32"/>
          <w:szCs w:val="32"/>
          <w:shd w:val="clear" w:color="auto" w:fill="FFFFFF"/>
          <w:lang w:val="zh-CN"/>
        </w:rPr>
        <w:t>（三）改进建议。进一步优化绩效管理措施，规范项目建设过程管理，加强建设后项目使用跟踪管理。</w:t>
      </w:r>
    </w:p>
    <w:p w14:paraId="7723FB58">
      <w:pPr>
        <w:spacing w:line="580" w:lineRule="exact"/>
        <w:ind w:firstLine="640" w:firstLineChars="200"/>
        <w:rPr>
          <w:rFonts w:ascii="仿宋_GB2312" w:hAnsi="仿宋_GB2312" w:eastAsia="仿宋_GB2312" w:cs="仿宋_GB2312"/>
          <w:sz w:val="32"/>
          <w:szCs w:val="32"/>
        </w:rPr>
      </w:pPr>
    </w:p>
    <w:p w14:paraId="5B8E8A0A">
      <w:pPr>
        <w:pStyle w:val="2"/>
        <w:rPr>
          <w:rFonts w:ascii="仿宋_GB2312" w:hAnsi="仿宋_GB2312" w:eastAsia="仿宋_GB2312" w:cs="仿宋_GB2312"/>
          <w:sz w:val="32"/>
          <w:szCs w:val="32"/>
        </w:rPr>
      </w:pPr>
    </w:p>
    <w:p w14:paraId="4DB9DBF4">
      <w:pPr>
        <w:pStyle w:val="2"/>
        <w:rPr>
          <w:rFonts w:ascii="仿宋_GB2312" w:hAnsi="仿宋_GB2312" w:eastAsia="仿宋_GB2312" w:cs="仿宋_GB2312"/>
          <w:sz w:val="32"/>
          <w:szCs w:val="32"/>
        </w:rPr>
      </w:pPr>
    </w:p>
    <w:p w14:paraId="0399B346">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附件2</w:t>
      </w:r>
    </w:p>
    <w:p w14:paraId="312F9F94">
      <w:pPr>
        <w:spacing w:line="580" w:lineRule="exact"/>
        <w:ind w:firstLine="640" w:firstLineChars="200"/>
        <w:rPr>
          <w:rFonts w:ascii="仿宋_GB2312" w:hAnsi="仿宋_GB2312" w:eastAsia="仿宋_GB2312" w:cs="仿宋_GB2312"/>
          <w:sz w:val="32"/>
          <w:szCs w:val="32"/>
        </w:rPr>
      </w:pPr>
    </w:p>
    <w:p w14:paraId="73EA24A6">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rPr>
        <w:t>环境执法工作</w:t>
      </w:r>
      <w:r>
        <w:rPr>
          <w:rFonts w:hint="eastAsia" w:ascii="方正小标宋简体" w:hAnsi="宋体" w:eastAsia="方正小标宋简体"/>
          <w:color w:val="000000"/>
          <w:kern w:val="0"/>
          <w:sz w:val="44"/>
          <w:szCs w:val="44"/>
          <w:lang w:val="zh-CN"/>
        </w:rPr>
        <w:t>项目</w:t>
      </w:r>
      <w:r>
        <w:rPr>
          <w:rFonts w:hint="eastAsia" w:ascii="方正小标宋简体" w:hAnsi="宋体" w:eastAsia="方正小标宋简体"/>
          <w:color w:val="000000"/>
          <w:kern w:val="0"/>
          <w:sz w:val="44"/>
          <w:szCs w:val="44"/>
        </w:rPr>
        <w:t>2019年</w:t>
      </w:r>
      <w:r>
        <w:rPr>
          <w:rFonts w:hint="eastAsia" w:ascii="方正小标宋简体" w:hAnsi="宋体" w:eastAsia="方正小标宋简体"/>
          <w:color w:val="000000"/>
          <w:kern w:val="0"/>
          <w:sz w:val="44"/>
          <w:szCs w:val="44"/>
          <w:lang w:val="zh-CN"/>
        </w:rPr>
        <w:t>绩效评价报告</w:t>
      </w:r>
    </w:p>
    <w:p w14:paraId="1CD04D68">
      <w:pPr>
        <w:spacing w:line="600" w:lineRule="exact"/>
        <w:rPr>
          <w:rFonts w:ascii="宋体" w:hAnsi="宋体"/>
          <w:sz w:val="32"/>
          <w:szCs w:val="32"/>
          <w:lang w:val="zh-CN"/>
        </w:rPr>
      </w:pPr>
    </w:p>
    <w:p w14:paraId="5EC42DA7">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14:paraId="4E8447AF">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14:paraId="2FBA9BBD">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1．广元市昭化生态环境保护综合行政执法大队负责贯彻执行国家和地方生态环境保护法律、法规和规章，开展生态环境保护执法检查，依法查处生态环境违法行为。</w:t>
      </w:r>
    </w:p>
    <w:p w14:paraId="28658692">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2．全区环境保护综合行政执法人员共计3人，全区固定污染源共计158家，饮用水源地14处。按照四川省生态环境执法检查“双随机、一公开”要求，对随机抽查企业开展执法检查。对受理的生态环境信访依法调处。对环境违法行为依法查处。</w:t>
      </w:r>
    </w:p>
    <w:p w14:paraId="42356554">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3．在年初编制预算中，已将执法工作经费纳入本级财政预算。</w:t>
      </w:r>
    </w:p>
    <w:p w14:paraId="223B729D">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4．优先考虑保障执法工作经费。</w:t>
      </w:r>
    </w:p>
    <w:p w14:paraId="5A372D40">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14:paraId="2819B943">
      <w:pPr>
        <w:adjustRightInd w:val="0"/>
        <w:snapToGrid w:val="0"/>
        <w:spacing w:line="600" w:lineRule="exact"/>
        <w:ind w:firstLine="720"/>
        <w:rPr>
          <w:rFonts w:hint="eastAsia" w:ascii="仿宋_GB2312" w:hAnsi="宋体" w:eastAsia="仿宋_GB2312"/>
          <w:sz w:val="32"/>
          <w:szCs w:val="32"/>
          <w:lang w:val="en-US" w:eastAsia="zh-CN"/>
        </w:rPr>
      </w:pPr>
      <w:r>
        <w:rPr>
          <w:rFonts w:hint="eastAsia" w:ascii="仿宋_GB2312" w:hAnsi="宋体" w:eastAsia="仿宋_GB2312"/>
          <w:sz w:val="32"/>
          <w:szCs w:val="32"/>
          <w:lang w:val="zh-CN"/>
        </w:rPr>
        <w:t>对全区固定污染源以及饮用水水源地开展执法检查，受理并调处信访纠纷，对涉嫌环境违法行为情况立案查处。</w:t>
      </w:r>
      <w:r>
        <w:rPr>
          <w:rFonts w:hint="eastAsia" w:ascii="仿宋_GB2312" w:hAnsi="宋体" w:eastAsia="仿宋_GB2312"/>
          <w:sz w:val="32"/>
          <w:szCs w:val="32"/>
          <w:lang w:val="en-US" w:eastAsia="zh-CN"/>
        </w:rPr>
        <w:t xml:space="preserve">  </w:t>
      </w:r>
    </w:p>
    <w:p w14:paraId="3630DD4A">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14:paraId="4108D458">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14:paraId="6F0B8153">
      <w:pPr>
        <w:adjustRightInd w:val="0"/>
        <w:snapToGrid w:val="0"/>
        <w:spacing w:line="600" w:lineRule="exact"/>
        <w:ind w:firstLine="720"/>
        <w:rPr>
          <w:rFonts w:hint="default" w:ascii="仿宋_GB2312" w:hAnsi="宋体" w:eastAsia="仿宋_GB2312"/>
          <w:sz w:val="32"/>
          <w:szCs w:val="32"/>
          <w:lang w:val="en-US" w:eastAsia="zh-CN"/>
        </w:rPr>
      </w:pPr>
      <w:r>
        <w:rPr>
          <w:rFonts w:hint="eastAsia" w:ascii="仿宋_GB2312" w:hAnsi="宋体" w:eastAsia="仿宋_GB2312"/>
          <w:sz w:val="32"/>
          <w:szCs w:val="32"/>
          <w:lang w:val="en-US" w:eastAsia="zh-CN"/>
        </w:rPr>
        <w:t>年初预算将环境监察执法工作单列，资金申报为环境监察执法工作经费，资金来源为财政资金，批复随同2019年预算一起下达。</w:t>
      </w:r>
    </w:p>
    <w:p w14:paraId="3C802146">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（二）资金计划、到位及使用情况（可用表格形式反映）。</w:t>
      </w:r>
    </w:p>
    <w:p w14:paraId="3922FCD4">
      <w:pPr>
        <w:adjustRightInd w:val="0"/>
        <w:snapToGrid w:val="0"/>
        <w:spacing w:line="600" w:lineRule="exact"/>
        <w:ind w:firstLine="720"/>
        <w:rPr>
          <w:rFonts w:hint="eastAsia" w:ascii="仿宋_GB2312" w:hAnsi="宋体" w:eastAsia="仿宋_GB2312"/>
          <w:sz w:val="32"/>
          <w:szCs w:val="32"/>
          <w:lang w:val="zh-CN" w:eastAsia="zh-CN"/>
        </w:rPr>
      </w:pPr>
      <w:r>
        <w:rPr>
          <w:rFonts w:hint="eastAsia" w:ascii="仿宋_GB2312" w:hAnsi="宋体" w:eastAsia="仿宋_GB2312"/>
          <w:sz w:val="32"/>
          <w:szCs w:val="32"/>
          <w:lang w:val="zh-CN" w:eastAsia="zh-CN"/>
        </w:rPr>
        <w:t>1．资金计划。年初预算</w:t>
      </w:r>
      <w:r>
        <w:rPr>
          <w:rFonts w:hint="eastAsia" w:ascii="仿宋_GB2312" w:hAnsi="宋体" w:eastAsia="仿宋_GB2312"/>
          <w:sz w:val="32"/>
          <w:szCs w:val="32"/>
          <w:lang w:val="en-US" w:eastAsia="zh-CN"/>
        </w:rPr>
        <w:t>5</w:t>
      </w:r>
      <w:r>
        <w:rPr>
          <w:rFonts w:hint="eastAsia" w:ascii="仿宋_GB2312" w:hAnsi="宋体" w:eastAsia="仿宋_GB2312"/>
          <w:sz w:val="32"/>
          <w:szCs w:val="32"/>
          <w:lang w:val="zh-CN" w:eastAsia="zh-CN"/>
        </w:rPr>
        <w:t>万元用于环境监察执法。</w:t>
      </w:r>
    </w:p>
    <w:p w14:paraId="61BF3ADF">
      <w:pPr>
        <w:adjustRightInd w:val="0"/>
        <w:snapToGrid w:val="0"/>
        <w:spacing w:line="600" w:lineRule="exact"/>
        <w:ind w:firstLine="720"/>
        <w:rPr>
          <w:rFonts w:hint="eastAsia" w:ascii="仿宋_GB2312" w:hAnsi="宋体" w:eastAsia="仿宋_GB2312"/>
          <w:sz w:val="32"/>
          <w:szCs w:val="32"/>
          <w:lang w:val="zh-CN" w:eastAsia="zh-CN"/>
        </w:rPr>
      </w:pPr>
      <w:r>
        <w:rPr>
          <w:rFonts w:hint="eastAsia" w:ascii="仿宋_GB2312" w:hAnsi="宋体" w:eastAsia="仿宋_GB2312"/>
          <w:sz w:val="32"/>
          <w:szCs w:val="32"/>
          <w:lang w:val="zh-CN" w:eastAsia="zh-CN"/>
        </w:rPr>
        <w:t>2．资金到位。全部到位。</w:t>
      </w:r>
    </w:p>
    <w:p w14:paraId="29CAEAA4">
      <w:pPr>
        <w:adjustRightInd w:val="0"/>
        <w:snapToGrid w:val="0"/>
        <w:spacing w:line="600" w:lineRule="exact"/>
        <w:ind w:firstLine="720"/>
        <w:rPr>
          <w:rFonts w:hint="eastAsia" w:ascii="仿宋_GB2312" w:hAnsi="宋体" w:eastAsia="仿宋_GB2312"/>
          <w:sz w:val="32"/>
          <w:szCs w:val="32"/>
          <w:lang w:val="zh-CN" w:eastAsia="zh-CN"/>
        </w:rPr>
      </w:pPr>
      <w:r>
        <w:rPr>
          <w:rFonts w:hint="eastAsia" w:ascii="仿宋_GB2312" w:hAnsi="宋体" w:eastAsia="仿宋_GB2312"/>
          <w:sz w:val="32"/>
          <w:szCs w:val="32"/>
          <w:lang w:val="zh-CN" w:eastAsia="zh-CN"/>
        </w:rPr>
        <w:t>3．资金使用。根据项目实施进展情况分批次支付项目资金，年末资金全部使用完毕。</w:t>
      </w:r>
    </w:p>
    <w:p w14:paraId="4F8A2A93">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14:paraId="1561F85B">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项目资金支付与预算相符。未专门设置项目管理机构，会计核算及账务处理统一纳入</w:t>
      </w:r>
      <w:r>
        <w:rPr>
          <w:rFonts w:hint="eastAsia" w:ascii="仿宋_GB2312" w:hAnsi="宋体" w:eastAsia="仿宋_GB2312"/>
          <w:sz w:val="32"/>
          <w:szCs w:val="32"/>
          <w:lang w:val="en-US" w:eastAsia="zh-CN"/>
        </w:rPr>
        <w:t>昭化生态环境局</w:t>
      </w:r>
      <w:r>
        <w:rPr>
          <w:rFonts w:hint="eastAsia" w:ascii="仿宋_GB2312" w:hAnsi="宋体" w:eastAsia="仿宋_GB2312"/>
          <w:sz w:val="32"/>
          <w:szCs w:val="32"/>
          <w:lang w:val="zh-CN"/>
        </w:rPr>
        <w:t>机关财务统一核算。对照项目资金管理办法，项目严格执行了财务管理制度、财务处理及时、会计核算规范。截止2019年12月31日实际完成额</w:t>
      </w:r>
      <w:r>
        <w:rPr>
          <w:rFonts w:hint="eastAsia" w:ascii="仿宋_GB2312" w:hAnsi="宋体" w:eastAsia="仿宋_GB2312"/>
          <w:sz w:val="32"/>
          <w:szCs w:val="32"/>
          <w:lang w:val="en-US" w:eastAsia="zh-CN"/>
        </w:rPr>
        <w:t>5</w:t>
      </w:r>
      <w:r>
        <w:rPr>
          <w:rFonts w:hint="eastAsia" w:ascii="仿宋_GB2312" w:hAnsi="宋体" w:eastAsia="仿宋_GB2312"/>
          <w:sz w:val="32"/>
          <w:szCs w:val="32"/>
          <w:lang w:val="zh-CN"/>
        </w:rPr>
        <w:t>万元，全部完成绩效目标。</w:t>
      </w:r>
    </w:p>
    <w:p w14:paraId="1BA2A923">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14:paraId="2D248679">
      <w:pPr>
        <w:numPr>
          <w:ilvl w:val="0"/>
          <w:numId w:val="6"/>
        </w:numPr>
        <w:adjustRightInd w:val="0"/>
        <w:snapToGrid w:val="0"/>
        <w:spacing w:line="600" w:lineRule="exact"/>
        <w:ind w:firstLine="720"/>
        <w:rPr>
          <w:rFonts w:hint="eastAsia" w:ascii="楷体_GB2312" w:hAnsi="宋体" w:eastAsia="楷体_GB2312"/>
          <w:b/>
          <w:sz w:val="32"/>
          <w:szCs w:val="32"/>
          <w:lang w:val="zh-CN"/>
        </w:rPr>
      </w:pPr>
      <w:r>
        <w:rPr>
          <w:rFonts w:hint="eastAsia" w:ascii="楷体_GB2312" w:hAnsi="宋体" w:eastAsia="楷体_GB2312"/>
          <w:b/>
          <w:sz w:val="32"/>
          <w:szCs w:val="32"/>
          <w:lang w:val="zh-CN"/>
        </w:rPr>
        <w:t>项目组织架构及实施流程。</w:t>
      </w:r>
    </w:p>
    <w:p w14:paraId="48B2D7C8">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en-US" w:eastAsia="zh-CN"/>
        </w:rPr>
        <w:t>1.环境监察执法工作项目由昭化生态环境局根据项目申报和经费下达情况开展日常工作。</w:t>
      </w:r>
    </w:p>
    <w:p w14:paraId="3AA85B77">
      <w:pPr>
        <w:adjustRightInd w:val="0"/>
        <w:snapToGrid w:val="0"/>
        <w:spacing w:line="600" w:lineRule="exact"/>
        <w:ind w:firstLine="72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2.根据项目实施阶段制定工作计划。</w:t>
      </w:r>
    </w:p>
    <w:p w14:paraId="6AA6FF3B">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en-US" w:eastAsia="zh-CN"/>
        </w:rPr>
        <w:t>3.执法大队收集相关发票等材料，财务负责审核票据，按相关要求的进度拨付资金。</w:t>
      </w:r>
    </w:p>
    <w:p w14:paraId="76271C85">
      <w:pPr>
        <w:numPr>
          <w:ilvl w:val="0"/>
          <w:numId w:val="6"/>
        </w:numPr>
        <w:adjustRightInd w:val="0"/>
        <w:snapToGrid w:val="0"/>
        <w:spacing w:line="600" w:lineRule="exact"/>
        <w:ind w:left="0" w:leftChars="0" w:firstLine="720" w:firstLineChars="0"/>
        <w:rPr>
          <w:rFonts w:hint="eastAsia" w:ascii="楷体_GB2312" w:hAnsi="宋体" w:eastAsia="楷体_GB2312"/>
          <w:b/>
          <w:sz w:val="32"/>
          <w:szCs w:val="32"/>
          <w:lang w:val="zh-CN"/>
        </w:rPr>
      </w:pPr>
      <w:r>
        <w:rPr>
          <w:rFonts w:hint="eastAsia" w:ascii="楷体_GB2312" w:hAnsi="宋体" w:eastAsia="楷体_GB2312"/>
          <w:b/>
          <w:sz w:val="32"/>
          <w:szCs w:val="32"/>
          <w:lang w:val="zh-CN"/>
        </w:rPr>
        <w:t>项目管理情况。</w:t>
      </w:r>
    </w:p>
    <w:p w14:paraId="7DA31893">
      <w:pPr>
        <w:numPr>
          <w:ilvl w:val="0"/>
          <w:numId w:val="0"/>
        </w:numPr>
        <w:adjustRightInd w:val="0"/>
        <w:snapToGrid w:val="0"/>
        <w:spacing w:line="600" w:lineRule="exact"/>
        <w:ind w:left="720" w:leftChars="0"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该项目根据年初预算时制定的实施方案，分步骤分阶段推进，</w:t>
      </w:r>
      <w:r>
        <w:rPr>
          <w:rFonts w:hint="eastAsia" w:ascii="仿宋_GB2312" w:hAnsi="宋体" w:eastAsia="仿宋_GB2312"/>
          <w:sz w:val="32"/>
          <w:szCs w:val="32"/>
          <w:lang w:val="en-US" w:eastAsia="zh-CN"/>
        </w:rPr>
        <w:t>执法大队</w:t>
      </w:r>
      <w:r>
        <w:rPr>
          <w:rFonts w:hint="eastAsia" w:ascii="仿宋_GB2312" w:hAnsi="宋体" w:eastAsia="仿宋_GB2312"/>
          <w:sz w:val="32"/>
          <w:szCs w:val="32"/>
          <w:lang w:val="zh-CN"/>
        </w:rPr>
        <w:t>负责管理和实施，及时将相关</w:t>
      </w:r>
      <w:r>
        <w:rPr>
          <w:rFonts w:hint="eastAsia" w:ascii="仿宋_GB2312" w:hAnsi="宋体" w:eastAsia="仿宋_GB2312"/>
          <w:sz w:val="32"/>
          <w:szCs w:val="32"/>
          <w:lang w:val="en-US" w:eastAsia="zh-CN"/>
        </w:rPr>
        <w:t>费用</w:t>
      </w:r>
      <w:r>
        <w:rPr>
          <w:rFonts w:hint="eastAsia" w:ascii="仿宋_GB2312" w:hAnsi="宋体" w:eastAsia="仿宋_GB2312"/>
          <w:sz w:val="32"/>
          <w:szCs w:val="32"/>
          <w:lang w:val="zh-CN"/>
        </w:rPr>
        <w:t>资料和财务票据规整，经过分管领导审批后及时传财务入账。</w:t>
      </w:r>
    </w:p>
    <w:p w14:paraId="12B6A12C">
      <w:pPr>
        <w:numPr>
          <w:ilvl w:val="0"/>
          <w:numId w:val="6"/>
        </w:numPr>
        <w:adjustRightInd w:val="0"/>
        <w:snapToGrid w:val="0"/>
        <w:spacing w:line="600" w:lineRule="exact"/>
        <w:ind w:left="0" w:leftChars="0" w:firstLine="720" w:firstLineChars="0"/>
        <w:rPr>
          <w:rFonts w:hint="eastAsia" w:ascii="楷体_GB2312" w:hAnsi="宋体" w:eastAsia="楷体_GB2312"/>
          <w:b/>
          <w:sz w:val="32"/>
          <w:szCs w:val="32"/>
          <w:lang w:val="zh-CN"/>
        </w:rPr>
      </w:pPr>
      <w:r>
        <w:rPr>
          <w:rFonts w:hint="eastAsia" w:ascii="楷体_GB2312" w:hAnsi="宋体" w:eastAsia="楷体_GB2312"/>
          <w:b/>
          <w:sz w:val="32"/>
          <w:szCs w:val="32"/>
          <w:lang w:val="zh-CN"/>
        </w:rPr>
        <w:t>项目监管情况。</w:t>
      </w:r>
    </w:p>
    <w:p w14:paraId="7A5AFF99">
      <w:pPr>
        <w:numPr>
          <w:ilvl w:val="0"/>
          <w:numId w:val="0"/>
        </w:numPr>
        <w:adjustRightInd w:val="0"/>
        <w:snapToGrid w:val="0"/>
        <w:spacing w:line="600" w:lineRule="exact"/>
        <w:ind w:left="720" w:leftChars="0" w:firstLine="640" w:firstLineChars="200"/>
        <w:rPr>
          <w:rFonts w:hint="eastAsia" w:ascii="仿宋_GB2312" w:hAnsi="宋体" w:eastAsia="仿宋_GB2312"/>
          <w:sz w:val="32"/>
          <w:szCs w:val="32"/>
          <w:lang w:val="zh-CN"/>
        </w:rPr>
      </w:pPr>
      <w:r>
        <w:rPr>
          <w:rFonts w:hint="eastAsia" w:ascii="仿宋_GB2312" w:hAnsi="宋体" w:eastAsia="仿宋_GB2312"/>
          <w:sz w:val="32"/>
          <w:szCs w:val="32"/>
          <w:lang w:val="en-US" w:eastAsia="zh-CN"/>
        </w:rPr>
        <w:t>执法大队</w:t>
      </w:r>
      <w:r>
        <w:rPr>
          <w:rFonts w:hint="eastAsia" w:ascii="仿宋_GB2312" w:hAnsi="宋体" w:eastAsia="仿宋_GB2312"/>
          <w:sz w:val="32"/>
          <w:szCs w:val="32"/>
          <w:lang w:val="zh-CN"/>
        </w:rPr>
        <w:t>负责</w:t>
      </w:r>
      <w:r>
        <w:rPr>
          <w:rFonts w:hint="eastAsia" w:ascii="仿宋_GB2312" w:hAnsi="宋体" w:eastAsia="仿宋_GB2312"/>
          <w:sz w:val="32"/>
          <w:szCs w:val="32"/>
          <w:lang w:val="en-US" w:eastAsia="zh-CN"/>
        </w:rPr>
        <w:t>工作</w:t>
      </w:r>
      <w:r>
        <w:rPr>
          <w:rFonts w:hint="eastAsia" w:ascii="仿宋_GB2312" w:hAnsi="宋体" w:eastAsia="仿宋_GB2312"/>
          <w:sz w:val="32"/>
          <w:szCs w:val="32"/>
          <w:lang w:val="zh-CN"/>
        </w:rPr>
        <w:t>的实施和绩效自评，在项目实施期间，制定了严格的</w:t>
      </w:r>
      <w:r>
        <w:rPr>
          <w:rFonts w:hint="eastAsia" w:ascii="仿宋_GB2312" w:hAnsi="宋体" w:eastAsia="仿宋_GB2312"/>
          <w:sz w:val="32"/>
          <w:szCs w:val="32"/>
          <w:lang w:val="en-US" w:eastAsia="zh-CN"/>
        </w:rPr>
        <w:t>监管</w:t>
      </w:r>
      <w:r>
        <w:rPr>
          <w:rFonts w:hint="eastAsia" w:ascii="仿宋_GB2312" w:hAnsi="宋体" w:eastAsia="仿宋_GB2312"/>
          <w:sz w:val="32"/>
          <w:szCs w:val="32"/>
          <w:lang w:val="zh-CN"/>
        </w:rPr>
        <w:t>制度，保持环境保护高压态势，严格环境执法监管，强化问题源头管控，提高财政资金使用效益。</w:t>
      </w:r>
    </w:p>
    <w:p w14:paraId="6D674282">
      <w:pPr>
        <w:numPr>
          <w:ilvl w:val="0"/>
          <w:numId w:val="0"/>
        </w:numPr>
        <w:adjustRightInd w:val="0"/>
        <w:snapToGrid w:val="0"/>
        <w:spacing w:line="600" w:lineRule="exact"/>
        <w:ind w:left="720" w:leftChars="0" w:firstLine="640" w:firstLineChars="200"/>
        <w:rPr>
          <w:rFonts w:ascii="仿宋_GB2312" w:hAnsi="宋体" w:eastAsia="仿宋_GB2312"/>
          <w:sz w:val="32"/>
          <w:szCs w:val="32"/>
          <w:lang w:val="zh-CN"/>
        </w:rPr>
      </w:pPr>
      <w:r>
        <w:rPr>
          <w:rFonts w:hint="eastAsia" w:ascii="黑体" w:hAnsi="宋体" w:eastAsia="黑体"/>
          <w:sz w:val="32"/>
          <w:szCs w:val="32"/>
        </w:rPr>
        <w:t>四、项目绩效情况</w:t>
      </w:r>
      <w:r>
        <w:rPr>
          <w:rFonts w:hint="eastAsia" w:ascii="仿宋_GB2312" w:hAnsi="宋体" w:eastAsia="仿宋_GB2312"/>
          <w:sz w:val="32"/>
          <w:szCs w:val="32"/>
          <w:lang w:val="zh-CN"/>
        </w:rPr>
        <w:tab/>
      </w:r>
    </w:p>
    <w:p w14:paraId="46497774">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14:paraId="76A75E1A">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共出动环境监察人员380人，检查企业187家，下发执法文书21份，立案10件，责令整改9起，处罚金额共计100.9万元，其中适用查封扣押等配套办法2件。调处生态环境信访纠纷55起。</w:t>
      </w:r>
    </w:p>
    <w:p w14:paraId="7A677C81">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14:paraId="06FF3470">
      <w:pPr>
        <w:adjustRightInd w:val="0"/>
        <w:snapToGrid w:val="0"/>
        <w:spacing w:line="600" w:lineRule="exact"/>
        <w:ind w:firstLine="72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有效打击了全区环境违法行为，推动区域环境治理，提升了环保执法的震慑力。及时消除了环境影响，维护了群众的合法环境权益，有效地预防了因环境污染引发的上访和群体性事件。</w:t>
      </w:r>
    </w:p>
    <w:p w14:paraId="1002AC03">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14:paraId="33EA414D">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14:paraId="59F4FD5F">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该项目实施以来，全面排查工业园区及各乡镇企业存在的突出环境问题，坚决制止和惩处破坏生态环境违法违规行为，靠实管理责任，严肃追责问责，健全完善管理长效机制，使得环境监察执法工作取得明显成效。</w:t>
      </w:r>
    </w:p>
    <w:p w14:paraId="1DD14242">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14:paraId="796D3432">
      <w:pPr>
        <w:adjustRightInd w:val="0"/>
        <w:snapToGrid w:val="0"/>
        <w:spacing w:line="600" w:lineRule="exact"/>
        <w:ind w:firstLine="720"/>
        <w:rPr>
          <w:rFonts w:hint="eastAsia" w:ascii="仿宋_GB2312" w:hAnsi="宋体" w:eastAsia="仿宋_GB2312"/>
          <w:sz w:val="32"/>
          <w:szCs w:val="32"/>
          <w:lang w:val="zh-CN"/>
        </w:rPr>
      </w:pPr>
      <w:r>
        <w:rPr>
          <w:rFonts w:hint="eastAsia" w:ascii="仿宋_GB2312" w:hAnsi="宋体" w:eastAsia="仿宋_GB2312"/>
          <w:sz w:val="32"/>
          <w:szCs w:val="32"/>
          <w:lang w:val="zh-CN"/>
        </w:rPr>
        <w:t>一是执法能力建设不足，执法硬件装备欠缺，无移动执法笔记本及便携式打印机，无执法专用车辆。二是执法人员缺乏，目前在岗仅3人，目前环境执法工作任务繁重，现有执法人员难以满足环境监管执法工作需要。</w:t>
      </w:r>
    </w:p>
    <w:p w14:paraId="4F011B98">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14:paraId="30EE838C">
      <w:pPr>
        <w:spacing w:line="580" w:lineRule="exact"/>
        <w:ind w:firstLine="640"/>
        <w:rPr>
          <w:rFonts w:ascii="仿宋_GB2312" w:hAnsi="仿宋_GB2312" w:eastAsia="仿宋_GB2312" w:cs="仿宋_GB2312"/>
          <w:sz w:val="32"/>
          <w:szCs w:val="32"/>
        </w:rPr>
      </w:pPr>
      <w:r>
        <w:rPr>
          <w:rFonts w:hint="eastAsia" w:ascii="仿宋_GB2312" w:hAnsi="宋体" w:eastAsia="仿宋_GB2312"/>
          <w:sz w:val="32"/>
          <w:szCs w:val="32"/>
          <w:lang w:val="zh-CN"/>
        </w:rPr>
        <w:t>加大生态环境保护执法经费保障，健全执法队伍建设，常态化保持环境违法行为高压态势。</w:t>
      </w:r>
    </w:p>
    <w:p w14:paraId="70E37718">
      <w:pPr>
        <w:widowControl/>
        <w:jc w:val="left"/>
        <w:rPr>
          <w:rStyle w:val="14"/>
          <w:rFonts w:ascii="黑体" w:hAnsi="黑体" w:eastAsia="黑体"/>
          <w:b w:val="0"/>
        </w:rPr>
      </w:pPr>
    </w:p>
    <w:p w14:paraId="1FC829F0">
      <w:pPr>
        <w:widowControl/>
        <w:jc w:val="left"/>
        <w:rPr>
          <w:rStyle w:val="14"/>
          <w:rFonts w:ascii="黑体" w:hAnsi="黑体" w:eastAsia="黑体"/>
          <w:b w:val="0"/>
        </w:rPr>
      </w:pPr>
      <w:r>
        <w:rPr>
          <w:rStyle w:val="14"/>
          <w:rFonts w:ascii="黑体" w:hAnsi="黑体" w:eastAsia="黑体"/>
          <w:b w:val="0"/>
        </w:rPr>
        <w:br w:type="page"/>
      </w:r>
    </w:p>
    <w:p w14:paraId="5B7DD75F">
      <w:pPr>
        <w:spacing w:line="600" w:lineRule="exact"/>
        <w:jc w:val="center"/>
        <w:outlineLvl w:val="0"/>
        <w:rPr>
          <w:rStyle w:val="14"/>
          <w:rFonts w:ascii="黑体" w:hAnsi="黑体" w:eastAsia="黑体"/>
          <w:b w:val="0"/>
        </w:rPr>
      </w:pPr>
    </w:p>
    <w:p w14:paraId="31DB5184">
      <w:pPr>
        <w:spacing w:line="600" w:lineRule="exact"/>
        <w:jc w:val="center"/>
        <w:outlineLvl w:val="0"/>
        <w:rPr>
          <w:rStyle w:val="14"/>
          <w:rFonts w:ascii="黑体" w:hAnsi="黑体" w:eastAsia="黑体"/>
          <w:b w:val="0"/>
        </w:rPr>
      </w:pPr>
      <w:bookmarkStart w:id="56" w:name="_Toc15396618"/>
      <w:r>
        <w:rPr>
          <w:rFonts w:hint="eastAsia" w:ascii="黑体" w:hAnsi="黑体" w:eastAsia="黑体"/>
          <w:color w:val="000000"/>
          <w:sz w:val="44"/>
          <w:szCs w:val="44"/>
        </w:rPr>
        <w:t>第</w:t>
      </w:r>
      <w:r>
        <w:rPr>
          <w:rStyle w:val="14"/>
          <w:rFonts w:hint="eastAsia" w:ascii="黑体" w:hAnsi="黑体" w:eastAsia="黑体"/>
          <w:b w:val="0"/>
        </w:rPr>
        <w:t>五部分 附表</w:t>
      </w:r>
      <w:bookmarkEnd w:id="54"/>
      <w:bookmarkEnd w:id="56"/>
    </w:p>
    <w:p w14:paraId="4AC6FF4A">
      <w:pPr>
        <w:spacing w:line="600" w:lineRule="exact"/>
        <w:jc w:val="center"/>
        <w:outlineLvl w:val="0"/>
        <w:rPr>
          <w:rFonts w:ascii="仿宋" w:hAnsi="仿宋" w:eastAsia="仿宋"/>
          <w:b/>
          <w:color w:val="000000"/>
          <w:sz w:val="44"/>
          <w:szCs w:val="44"/>
        </w:rPr>
      </w:pPr>
    </w:p>
    <w:p w14:paraId="66F54A7D">
      <w:pPr>
        <w:pStyle w:val="4"/>
        <w:rPr>
          <w:rFonts w:ascii="仿宋" w:hAnsi="仿宋" w:eastAsia="仿宋"/>
          <w:color w:val="000000"/>
        </w:rPr>
      </w:pPr>
      <w:bookmarkStart w:id="57" w:name="_Toc15396619"/>
      <w:r>
        <w:rPr>
          <w:rFonts w:hint="eastAsia" w:ascii="仿宋" w:hAnsi="仿宋" w:eastAsia="仿宋"/>
          <w:b w:val="0"/>
          <w:color w:val="000000"/>
        </w:rPr>
        <w:t>一、收</w:t>
      </w:r>
      <w:r>
        <w:rPr>
          <w:rStyle w:val="15"/>
          <w:rFonts w:hint="eastAsia" w:ascii="仿宋" w:hAnsi="仿宋" w:eastAsia="仿宋"/>
          <w:b w:val="0"/>
          <w:bCs w:val="0"/>
        </w:rPr>
        <w:t>入支出决算总表</w:t>
      </w:r>
      <w:bookmarkEnd w:id="57"/>
    </w:p>
    <w:p w14:paraId="28C040E6">
      <w:pPr>
        <w:pStyle w:val="4"/>
        <w:rPr>
          <w:rFonts w:ascii="仿宋" w:hAnsi="仿宋" w:eastAsia="仿宋"/>
          <w:color w:val="000000"/>
        </w:rPr>
      </w:pPr>
      <w:bookmarkStart w:id="58" w:name="_Toc15396620"/>
      <w:r>
        <w:rPr>
          <w:rFonts w:hint="eastAsia" w:ascii="仿宋" w:hAnsi="仿宋" w:eastAsia="仿宋"/>
          <w:b w:val="0"/>
          <w:color w:val="000000"/>
        </w:rPr>
        <w:t>二、收</w:t>
      </w:r>
      <w:r>
        <w:rPr>
          <w:rStyle w:val="15"/>
          <w:rFonts w:hint="eastAsia" w:ascii="仿宋" w:hAnsi="仿宋" w:eastAsia="仿宋"/>
          <w:b w:val="0"/>
          <w:bCs w:val="0"/>
        </w:rPr>
        <w:t>入决算表</w:t>
      </w:r>
      <w:bookmarkEnd w:id="58"/>
    </w:p>
    <w:p w14:paraId="712DF0C3">
      <w:pPr>
        <w:pStyle w:val="4"/>
        <w:rPr>
          <w:rFonts w:ascii="仿宋" w:hAnsi="仿宋" w:eastAsia="仿宋"/>
          <w:color w:val="000000"/>
        </w:rPr>
      </w:pPr>
      <w:bookmarkStart w:id="59" w:name="_Toc15396621"/>
      <w:r>
        <w:rPr>
          <w:rStyle w:val="15"/>
          <w:rFonts w:hint="eastAsia" w:ascii="仿宋" w:hAnsi="仿宋" w:eastAsia="仿宋"/>
          <w:b w:val="0"/>
          <w:bCs w:val="0"/>
        </w:rPr>
        <w:t>三、</w:t>
      </w:r>
      <w:r>
        <w:rPr>
          <w:rFonts w:hint="eastAsia" w:ascii="仿宋" w:hAnsi="仿宋" w:eastAsia="仿宋"/>
          <w:b w:val="0"/>
          <w:color w:val="000000"/>
        </w:rPr>
        <w:t>支</w:t>
      </w:r>
      <w:r>
        <w:rPr>
          <w:rStyle w:val="15"/>
          <w:rFonts w:hint="eastAsia" w:ascii="仿宋" w:hAnsi="仿宋" w:eastAsia="仿宋"/>
          <w:b w:val="0"/>
          <w:bCs w:val="0"/>
        </w:rPr>
        <w:t>出决算表</w:t>
      </w:r>
      <w:bookmarkEnd w:id="59"/>
    </w:p>
    <w:p w14:paraId="50A017D3">
      <w:pPr>
        <w:pStyle w:val="4"/>
        <w:rPr>
          <w:rFonts w:ascii="仿宋" w:hAnsi="仿宋" w:eastAsia="仿宋"/>
          <w:b w:val="0"/>
          <w:color w:val="000000"/>
        </w:rPr>
      </w:pPr>
      <w:bookmarkStart w:id="60" w:name="_Toc15396622"/>
      <w:r>
        <w:rPr>
          <w:rStyle w:val="15"/>
          <w:rFonts w:hint="eastAsia" w:ascii="仿宋" w:hAnsi="仿宋" w:eastAsia="仿宋"/>
          <w:b w:val="0"/>
          <w:bCs w:val="0"/>
        </w:rPr>
        <w:t>四、</w:t>
      </w:r>
      <w:r>
        <w:rPr>
          <w:rFonts w:hint="eastAsia" w:ascii="仿宋" w:hAnsi="仿宋" w:eastAsia="仿宋"/>
          <w:b w:val="0"/>
          <w:color w:val="000000"/>
        </w:rPr>
        <w:t>财</w:t>
      </w:r>
      <w:r>
        <w:rPr>
          <w:rStyle w:val="15"/>
          <w:rFonts w:hint="eastAsia" w:ascii="仿宋" w:hAnsi="仿宋" w:eastAsia="仿宋"/>
          <w:b w:val="0"/>
          <w:bCs w:val="0"/>
        </w:rPr>
        <w:t>政拨款收入支出决算总表</w:t>
      </w:r>
      <w:bookmarkEnd w:id="60"/>
    </w:p>
    <w:p w14:paraId="720B50E9">
      <w:pPr>
        <w:pStyle w:val="4"/>
        <w:rPr>
          <w:rStyle w:val="15"/>
          <w:rFonts w:ascii="仿宋" w:hAnsi="仿宋" w:eastAsia="仿宋"/>
          <w:b w:val="0"/>
          <w:bCs w:val="0"/>
        </w:rPr>
      </w:pPr>
      <w:bookmarkStart w:id="61" w:name="_Toc15396623"/>
      <w:r>
        <w:rPr>
          <w:rStyle w:val="15"/>
          <w:rFonts w:hint="eastAsia" w:ascii="仿宋" w:hAnsi="仿宋" w:eastAsia="仿宋"/>
          <w:b w:val="0"/>
          <w:bCs w:val="0"/>
        </w:rPr>
        <w:t>五、</w:t>
      </w:r>
      <w:r>
        <w:rPr>
          <w:rFonts w:hint="eastAsia" w:ascii="仿宋" w:hAnsi="仿宋" w:eastAsia="仿宋"/>
          <w:b w:val="0"/>
          <w:color w:val="000000"/>
        </w:rPr>
        <w:t>财</w:t>
      </w:r>
      <w:r>
        <w:rPr>
          <w:rStyle w:val="15"/>
          <w:rFonts w:hint="eastAsia" w:ascii="仿宋" w:hAnsi="仿宋" w:eastAsia="仿宋"/>
          <w:b w:val="0"/>
          <w:bCs w:val="0"/>
        </w:rPr>
        <w:t>政拨款支出决算明细表</w:t>
      </w:r>
      <w:bookmarkEnd w:id="61"/>
      <w:bookmarkStart w:id="62" w:name="_Toc15396624"/>
    </w:p>
    <w:p w14:paraId="16E6ACAC">
      <w:pPr>
        <w:pStyle w:val="4"/>
        <w:rPr>
          <w:rFonts w:ascii="仿宋" w:hAnsi="仿宋" w:eastAsia="仿宋"/>
          <w:color w:val="000000"/>
        </w:rPr>
      </w:pPr>
      <w:r>
        <w:rPr>
          <w:rStyle w:val="15"/>
          <w:rFonts w:hint="eastAsia" w:ascii="仿宋" w:hAnsi="仿宋" w:eastAsia="仿宋"/>
          <w:b w:val="0"/>
          <w:bCs w:val="0"/>
        </w:rPr>
        <w:t>六、</w:t>
      </w:r>
      <w:r>
        <w:rPr>
          <w:rFonts w:hint="eastAsia" w:ascii="仿宋" w:hAnsi="仿宋" w:eastAsia="仿宋"/>
          <w:b w:val="0"/>
          <w:color w:val="000000"/>
        </w:rPr>
        <w:t>一</w:t>
      </w:r>
      <w:r>
        <w:rPr>
          <w:rStyle w:val="15"/>
          <w:rFonts w:hint="eastAsia" w:ascii="仿宋" w:hAnsi="仿宋" w:eastAsia="仿宋"/>
          <w:b w:val="0"/>
          <w:bCs w:val="0"/>
        </w:rPr>
        <w:t>般公共预算财政拨款支出决算表</w:t>
      </w:r>
      <w:bookmarkEnd w:id="62"/>
    </w:p>
    <w:p w14:paraId="67BEBC55">
      <w:pPr>
        <w:pStyle w:val="4"/>
        <w:rPr>
          <w:rFonts w:ascii="仿宋" w:hAnsi="仿宋" w:eastAsia="仿宋"/>
          <w:color w:val="000000"/>
        </w:rPr>
      </w:pPr>
      <w:bookmarkStart w:id="63" w:name="_Toc15396625"/>
      <w:r>
        <w:rPr>
          <w:rStyle w:val="15"/>
          <w:rFonts w:hint="eastAsia" w:ascii="仿宋" w:hAnsi="仿宋" w:eastAsia="仿宋"/>
          <w:b w:val="0"/>
          <w:bCs w:val="0"/>
        </w:rPr>
        <w:t>七、</w:t>
      </w:r>
      <w:r>
        <w:rPr>
          <w:rFonts w:hint="eastAsia" w:ascii="仿宋" w:hAnsi="仿宋" w:eastAsia="仿宋"/>
          <w:b w:val="0"/>
          <w:color w:val="000000"/>
        </w:rPr>
        <w:t>一</w:t>
      </w:r>
      <w:r>
        <w:rPr>
          <w:rStyle w:val="15"/>
          <w:rFonts w:hint="eastAsia" w:ascii="仿宋" w:hAnsi="仿宋" w:eastAsia="仿宋"/>
          <w:b w:val="0"/>
          <w:bCs w:val="0"/>
        </w:rPr>
        <w:t>般公共预算财政拨款支出决算明细表</w:t>
      </w:r>
      <w:bookmarkEnd w:id="63"/>
    </w:p>
    <w:p w14:paraId="7F877CEF">
      <w:pPr>
        <w:pStyle w:val="4"/>
        <w:rPr>
          <w:rFonts w:ascii="仿宋" w:hAnsi="仿宋" w:eastAsia="仿宋"/>
          <w:color w:val="000000"/>
        </w:rPr>
      </w:pPr>
      <w:bookmarkStart w:id="64" w:name="_Toc15396626"/>
      <w:r>
        <w:rPr>
          <w:rStyle w:val="15"/>
          <w:rFonts w:hint="eastAsia" w:ascii="仿宋" w:hAnsi="仿宋" w:eastAsia="仿宋"/>
          <w:b w:val="0"/>
          <w:bCs w:val="0"/>
        </w:rPr>
        <w:t>八、</w:t>
      </w:r>
      <w:r>
        <w:rPr>
          <w:rFonts w:hint="eastAsia" w:ascii="仿宋" w:hAnsi="仿宋" w:eastAsia="仿宋"/>
          <w:b w:val="0"/>
          <w:color w:val="000000"/>
        </w:rPr>
        <w:t>一</w:t>
      </w:r>
      <w:r>
        <w:rPr>
          <w:rStyle w:val="15"/>
          <w:rFonts w:hint="eastAsia" w:ascii="仿宋" w:hAnsi="仿宋" w:eastAsia="仿宋"/>
          <w:b w:val="0"/>
          <w:bCs w:val="0"/>
        </w:rPr>
        <w:t>般公共预算财政拨款基本支出决算表</w:t>
      </w:r>
      <w:bookmarkEnd w:id="64"/>
    </w:p>
    <w:p w14:paraId="25DF85B9">
      <w:pPr>
        <w:pStyle w:val="4"/>
        <w:rPr>
          <w:rFonts w:ascii="仿宋" w:hAnsi="仿宋" w:eastAsia="仿宋"/>
          <w:color w:val="000000"/>
        </w:rPr>
      </w:pPr>
      <w:bookmarkStart w:id="65" w:name="_Toc15396627"/>
      <w:r>
        <w:rPr>
          <w:rStyle w:val="15"/>
          <w:rFonts w:hint="eastAsia" w:ascii="仿宋" w:hAnsi="仿宋" w:eastAsia="仿宋"/>
          <w:b w:val="0"/>
          <w:bCs w:val="0"/>
        </w:rPr>
        <w:t>九、</w:t>
      </w:r>
      <w:r>
        <w:rPr>
          <w:rFonts w:hint="eastAsia" w:ascii="仿宋" w:hAnsi="仿宋" w:eastAsia="仿宋"/>
          <w:b w:val="0"/>
          <w:color w:val="000000"/>
        </w:rPr>
        <w:t>一</w:t>
      </w:r>
      <w:r>
        <w:rPr>
          <w:rStyle w:val="15"/>
          <w:rFonts w:hint="eastAsia" w:ascii="仿宋" w:hAnsi="仿宋" w:eastAsia="仿宋"/>
          <w:b w:val="0"/>
          <w:bCs w:val="0"/>
        </w:rPr>
        <w:t>般公共预算财政拨款项目支出决算表</w:t>
      </w:r>
      <w:bookmarkEnd w:id="65"/>
    </w:p>
    <w:p w14:paraId="4E96245C">
      <w:pPr>
        <w:pStyle w:val="4"/>
        <w:rPr>
          <w:rFonts w:ascii="仿宋" w:hAnsi="仿宋" w:eastAsia="仿宋"/>
          <w:color w:val="000000"/>
        </w:rPr>
      </w:pPr>
      <w:bookmarkStart w:id="66" w:name="_Toc15396628"/>
      <w:r>
        <w:rPr>
          <w:rStyle w:val="15"/>
          <w:rFonts w:hint="eastAsia" w:ascii="仿宋" w:hAnsi="仿宋" w:eastAsia="仿宋"/>
          <w:b w:val="0"/>
          <w:bCs w:val="0"/>
        </w:rPr>
        <w:t>十、</w:t>
      </w:r>
      <w:r>
        <w:rPr>
          <w:rFonts w:hint="eastAsia" w:ascii="仿宋" w:hAnsi="仿宋" w:eastAsia="仿宋"/>
          <w:b w:val="0"/>
          <w:color w:val="000000"/>
        </w:rPr>
        <w:t>一</w:t>
      </w:r>
      <w:r>
        <w:rPr>
          <w:rStyle w:val="15"/>
          <w:rFonts w:hint="eastAsia" w:ascii="仿宋" w:hAnsi="仿宋" w:eastAsia="仿宋"/>
          <w:b w:val="0"/>
          <w:bCs w:val="0"/>
        </w:rPr>
        <w:t>般公共预算财政拨款“三公”经费支出决算表</w:t>
      </w:r>
      <w:bookmarkEnd w:id="66"/>
    </w:p>
    <w:p w14:paraId="60CECCB2">
      <w:pPr>
        <w:pStyle w:val="4"/>
        <w:rPr>
          <w:rFonts w:ascii="仿宋" w:hAnsi="仿宋" w:eastAsia="仿宋"/>
          <w:color w:val="000000"/>
        </w:rPr>
      </w:pPr>
      <w:bookmarkStart w:id="67" w:name="_Toc15396629"/>
      <w:r>
        <w:rPr>
          <w:rStyle w:val="15"/>
          <w:rFonts w:hint="eastAsia" w:ascii="仿宋" w:hAnsi="仿宋" w:eastAsia="仿宋"/>
          <w:b w:val="0"/>
          <w:bCs w:val="0"/>
        </w:rPr>
        <w:t>十一、</w:t>
      </w:r>
      <w:r>
        <w:rPr>
          <w:rFonts w:hint="eastAsia" w:ascii="仿宋" w:hAnsi="仿宋" w:eastAsia="仿宋"/>
          <w:b w:val="0"/>
          <w:color w:val="000000"/>
        </w:rPr>
        <w:t>政</w:t>
      </w:r>
      <w:r>
        <w:rPr>
          <w:rStyle w:val="15"/>
          <w:rFonts w:hint="eastAsia" w:ascii="仿宋" w:hAnsi="仿宋" w:eastAsia="仿宋"/>
          <w:b w:val="0"/>
          <w:bCs w:val="0"/>
        </w:rPr>
        <w:t>府性基金预算财政拨款收入支出决算表</w:t>
      </w:r>
      <w:bookmarkEnd w:id="67"/>
    </w:p>
    <w:p w14:paraId="597AE476">
      <w:pPr>
        <w:pStyle w:val="4"/>
        <w:rPr>
          <w:rFonts w:ascii="仿宋" w:hAnsi="仿宋" w:eastAsia="仿宋"/>
          <w:color w:val="000000"/>
        </w:rPr>
      </w:pPr>
      <w:bookmarkStart w:id="68" w:name="_Toc15396630"/>
      <w:r>
        <w:rPr>
          <w:rStyle w:val="15"/>
          <w:rFonts w:hint="eastAsia" w:ascii="仿宋" w:hAnsi="仿宋" w:eastAsia="仿宋"/>
          <w:b w:val="0"/>
          <w:bCs w:val="0"/>
        </w:rPr>
        <w:t>十二、</w:t>
      </w:r>
      <w:r>
        <w:rPr>
          <w:rFonts w:hint="eastAsia" w:ascii="仿宋" w:hAnsi="仿宋" w:eastAsia="仿宋"/>
          <w:b w:val="0"/>
          <w:color w:val="000000"/>
        </w:rPr>
        <w:t>政</w:t>
      </w:r>
      <w:r>
        <w:rPr>
          <w:rStyle w:val="15"/>
          <w:rFonts w:hint="eastAsia" w:ascii="仿宋" w:hAnsi="仿宋" w:eastAsia="仿宋"/>
          <w:b w:val="0"/>
          <w:bCs w:val="0"/>
        </w:rPr>
        <w:t>府性基金预算财政拨款“三公”经费支出决算表</w:t>
      </w:r>
      <w:bookmarkEnd w:id="68"/>
    </w:p>
    <w:p w14:paraId="323B420A">
      <w:pPr>
        <w:pStyle w:val="4"/>
        <w:rPr>
          <w:rFonts w:ascii="仿宋" w:hAnsi="仿宋" w:eastAsia="仿宋"/>
          <w:color w:val="000000"/>
        </w:rPr>
      </w:pPr>
      <w:bookmarkStart w:id="69" w:name="_Toc15396631"/>
      <w:r>
        <w:rPr>
          <w:rStyle w:val="15"/>
          <w:rFonts w:hint="eastAsia" w:ascii="仿宋" w:hAnsi="仿宋" w:eastAsia="仿宋"/>
          <w:b w:val="0"/>
          <w:bCs w:val="0"/>
        </w:rPr>
        <w:t>十三、</w:t>
      </w:r>
      <w:r>
        <w:rPr>
          <w:rFonts w:hint="eastAsia" w:ascii="仿宋" w:hAnsi="仿宋" w:eastAsia="仿宋"/>
          <w:b w:val="0"/>
          <w:color w:val="000000"/>
        </w:rPr>
        <w:t>国</w:t>
      </w:r>
      <w:r>
        <w:rPr>
          <w:rStyle w:val="15"/>
          <w:rFonts w:hint="eastAsia" w:ascii="仿宋" w:hAnsi="仿宋" w:eastAsia="仿宋"/>
          <w:b w:val="0"/>
          <w:bCs w:val="0"/>
        </w:rPr>
        <w:t>有资本经营预算支出决算表</w:t>
      </w:r>
      <w:bookmarkEnd w:id="69"/>
    </w:p>
    <w:p w14:paraId="68DDDE7E"/>
    <w:sectPr>
      <w:headerReference r:id="rId3" w:type="default"/>
      <w:footerReference r:id="rId4" w:type="default"/>
      <w:pgSz w:w="11906" w:h="16838"/>
      <w:pgMar w:top="1440" w:right="1800" w:bottom="1440" w:left="1800"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4F1EE6A-3B3E-4186-A660-FD16D4E8562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embedRegular r:id="rId2" w:fontKey="{BF16EF86-5A59-4DBA-AB1A-A977F7933C17}"/>
  </w:font>
  <w:font w:name="仿宋">
    <w:panose1 w:val="02010609060101010101"/>
    <w:charset w:val="86"/>
    <w:family w:val="auto"/>
    <w:pitch w:val="default"/>
    <w:sig w:usb0="800002BF" w:usb1="38CF7CFA" w:usb2="00000016" w:usb3="00000000" w:csb0="00040001" w:csb1="00000000"/>
    <w:embedRegular r:id="rId3" w:fontKey="{8C786AEA-2EA7-45D2-A5A6-36FC53AE0591}"/>
  </w:font>
  <w:font w:name="仿宋_GB2312">
    <w:altName w:val="仿宋"/>
    <w:panose1 w:val="02010609030101010101"/>
    <w:charset w:val="86"/>
    <w:family w:val="modern"/>
    <w:pitch w:val="default"/>
    <w:sig w:usb0="00000000" w:usb1="00000000" w:usb2="00000000" w:usb3="00000000" w:csb0="00040000" w:csb1="00000000"/>
    <w:embedRegular r:id="rId4" w:fontKey="{07ADEACE-363B-4A94-85CB-558B4A572705}"/>
  </w:font>
  <w:font w:name="方正小标宋简体">
    <w:panose1 w:val="02000000000000000000"/>
    <w:charset w:val="86"/>
    <w:family w:val="script"/>
    <w:pitch w:val="default"/>
    <w:sig w:usb0="00000001" w:usb1="08000000" w:usb2="00000000" w:usb3="00000000" w:csb0="00040000" w:csb1="00000000"/>
    <w:embedRegular r:id="rId5" w:fontKey="{007D2242-A317-4459-8450-F7E3A9A64A1E}"/>
  </w:font>
  <w:font w:name="楷体_GB2312">
    <w:panose1 w:val="02010609030101010101"/>
    <w:charset w:val="86"/>
    <w:family w:val="modern"/>
    <w:pitch w:val="default"/>
    <w:sig w:usb0="00000001" w:usb1="080E0000" w:usb2="00000000" w:usb3="00000000" w:csb0="00040000" w:csb1="00000000"/>
    <w:embedRegular r:id="rId6" w:fontKey="{4FFB71A6-A664-4430-918D-CF3C7A5B9FB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1D0A5A">
    <w:pPr>
      <w:pStyle w:val="6"/>
      <w:jc w:val="center"/>
    </w:pPr>
    <w:r>
      <w:fldChar w:fldCharType="begin"/>
    </w:r>
    <w:r>
      <w:instrText xml:space="preserve">PAGE   \* MERGEFORMAT</w:instrText>
    </w:r>
    <w:r>
      <w:fldChar w:fldCharType="separate"/>
    </w:r>
    <w:r>
      <w:rPr>
        <w:lang w:val="zh-CN"/>
      </w:rPr>
      <w:t>24</w:t>
    </w:r>
    <w:r>
      <w:fldChar w:fldCharType="end"/>
    </w:r>
  </w:p>
  <w:p w14:paraId="6B282C4E">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BFC82">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2B307EDA"/>
    <w:multiLevelType w:val="singleLevel"/>
    <w:tmpl w:val="2B307EDA"/>
    <w:lvl w:ilvl="0" w:tentative="0">
      <w:start w:val="2"/>
      <w:numFmt w:val="chineseCounting"/>
      <w:suff w:val="nothing"/>
      <w:lvlText w:val="（%1）"/>
      <w:lvlJc w:val="left"/>
      <w:rPr>
        <w:rFonts w:hint="eastAsia"/>
      </w:rPr>
    </w:lvl>
  </w:abstractNum>
  <w:abstractNum w:abstractNumId="4">
    <w:nsid w:val="71A2558F"/>
    <w:multiLevelType w:val="singleLevel"/>
    <w:tmpl w:val="71A2558F"/>
    <w:lvl w:ilvl="0" w:tentative="0">
      <w:start w:val="1"/>
      <w:numFmt w:val="decimal"/>
      <w:lvlText w:val="%1."/>
      <w:lvlJc w:val="left"/>
      <w:pPr>
        <w:tabs>
          <w:tab w:val="left" w:pos="312"/>
        </w:tabs>
      </w:pPr>
    </w:lvl>
  </w:abstractNum>
  <w:abstractNum w:abstractNumId="5">
    <w:nsid w:val="75C43E68"/>
    <w:multiLevelType w:val="singleLevel"/>
    <w:tmpl w:val="75C43E68"/>
    <w:lvl w:ilvl="0" w:tentative="0">
      <w:start w:val="1"/>
      <w:numFmt w:val="chineseCounting"/>
      <w:suff w:val="nothing"/>
      <w:lvlText w:val="（%1）"/>
      <w:lvlJc w:val="left"/>
      <w:rPr>
        <w:rFonts w:hint="eastAsia"/>
      </w:rPr>
    </w:lvl>
  </w:abstractNum>
  <w:num w:numId="1">
    <w:abstractNumId w:val="2"/>
  </w:num>
  <w:num w:numId="2">
    <w:abstractNumId w:val="0"/>
  </w:num>
  <w:num w:numId="3">
    <w:abstractNumId w:val="4"/>
  </w:num>
  <w:num w:numId="4">
    <w:abstractNumId w:val="1"/>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hYTg4NGNkZWJkODFjNzcyZDRjM2M4Y2UzNjI5ZmUifQ=="/>
  </w:docVars>
  <w:rsids>
    <w:rsidRoot w:val="00000000"/>
    <w:rsid w:val="17B46406"/>
    <w:rsid w:val="1811355C"/>
    <w:rsid w:val="1F350227"/>
    <w:rsid w:val="27724643"/>
    <w:rsid w:val="59F05945"/>
    <w:rsid w:val="6BA90359"/>
    <w:rsid w:val="7F3538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4"/>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15"/>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5">
    <w:name w:val="Body Text"/>
    <w:basedOn w:val="1"/>
    <w:qFormat/>
    <w:uiPriority w:val="99"/>
    <w:pPr>
      <w:spacing w:beforeLines="30"/>
    </w:pPr>
    <w:rPr>
      <w:rFonts w:ascii="仿宋_GB2312" w:eastAsia="仿宋_GB2312"/>
      <w:kern w:val="0"/>
      <w:sz w:val="30"/>
    </w:rPr>
  </w:style>
  <w:style w:type="paragraph" w:styleId="6">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8">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9">
    <w:name w:val="toc 2"/>
    <w:basedOn w:val="1"/>
    <w:next w:val="1"/>
    <w:unhideWhenUsed/>
    <w:qFormat/>
    <w:uiPriority w:val="39"/>
    <w:pPr>
      <w:tabs>
        <w:tab w:val="right" w:leader="dot" w:pos="8296"/>
      </w:tabs>
      <w:ind w:left="420" w:leftChars="200"/>
    </w:pPr>
  </w:style>
  <w:style w:type="character" w:styleId="12">
    <w:name w:val="Strong"/>
    <w:basedOn w:val="11"/>
    <w:qFormat/>
    <w:uiPriority w:val="99"/>
    <w:rPr>
      <w:b/>
    </w:rPr>
  </w:style>
  <w:style w:type="character" w:styleId="13">
    <w:name w:val="Hyperlink"/>
    <w:basedOn w:val="11"/>
    <w:unhideWhenUsed/>
    <w:qFormat/>
    <w:uiPriority w:val="99"/>
    <w:rPr>
      <w:color w:val="0000FF"/>
      <w:u w:val="single"/>
    </w:rPr>
  </w:style>
  <w:style w:type="character" w:customStyle="1" w:styleId="14">
    <w:name w:val="标题 1 Char"/>
    <w:basedOn w:val="11"/>
    <w:link w:val="3"/>
    <w:qFormat/>
    <w:uiPriority w:val="9"/>
    <w:rPr>
      <w:b/>
      <w:bCs/>
      <w:kern w:val="44"/>
      <w:sz w:val="44"/>
      <w:szCs w:val="44"/>
    </w:rPr>
  </w:style>
  <w:style w:type="character" w:customStyle="1" w:styleId="15">
    <w:name w:val="标题 2 Char"/>
    <w:basedOn w:val="11"/>
    <w:link w:val="4"/>
    <w:qFormat/>
    <w:uiPriority w:val="9"/>
    <w:rPr>
      <w:rFonts w:ascii="Cambria" w:hAnsi="Cambria" w:eastAsia="宋体" w:cs="Times New Roman"/>
      <w:b/>
      <w:bCs/>
      <w:sz w:val="32"/>
      <w:szCs w:val="32"/>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32</Pages>
  <Words>13110</Words>
  <Characters>15134</Characters>
  <Lines>0</Lines>
  <Paragraphs>0</Paragraphs>
  <TotalTime>0</TotalTime>
  <ScaleCrop>false</ScaleCrop>
  <LinksUpToDate>false</LinksUpToDate>
  <CharactersWithSpaces>15209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2021-05-23T07:33:00Z</dcterms:created>
  <dc:creator>Administrator</dc:creator>
  <cp:lastModifiedBy>昭化融媒体</cp:lastModifiedBy>
  <dcterms:modified xsi:type="dcterms:W3CDTF">2024-12-26T01:23:17Z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F3D79A2AC1DA43EE84E04923D041FB8F</vt:lpwstr>
  </property>
  <property fmtid="{D5CDD505-2E9C-101B-9397-08002B2CF9AE}" pid="4" name="KSOTemplateDocerSaveRecord">
    <vt:lpwstr>eyJoZGlkIjoiMGVhYTg4NGNkZWJkODFjNzcyZDRjM2M4Y2UzNjI5ZmUiLCJ1c2VySWQiOiI2MTE2MzEwMDYifQ==</vt:lpwstr>
  </property>
</Properties>
</file>