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 w:hAnsi="仿宋" w:eastAsia="仿宋"/>
          <w:color w:val="000000"/>
          <w:sz w:val="32"/>
          <w:szCs w:val="32"/>
        </w:rPr>
      </w:pPr>
      <w:bookmarkStart w:id="0" w:name="_Toc15306267"/>
    </w:p>
    <w:bookmarkEnd w:id="0"/>
    <w:p>
      <w:pPr>
        <w:adjustRightInd w:val="0"/>
        <w:snapToGrid w:val="0"/>
        <w:spacing w:line="360" w:lineRule="auto"/>
        <w:jc w:val="center"/>
        <w:outlineLvl w:val="0"/>
        <w:rPr>
          <w:rFonts w:ascii="黑体" w:hAnsi="黑体" w:eastAsia="黑体"/>
          <w:color w:val="000000"/>
          <w:sz w:val="72"/>
          <w:szCs w:val="72"/>
        </w:rPr>
      </w:pPr>
      <w:bookmarkStart w:id="1" w:name="_Toc72671111"/>
      <w:bookmarkStart w:id="2" w:name="_Toc15377193"/>
      <w:bookmarkStart w:id="3" w:name="_Toc15396475"/>
      <w:bookmarkStart w:id="4" w:name="_Toc15377425"/>
      <w:bookmarkStart w:id="5" w:name="_Toc15396597"/>
      <w:bookmarkStart w:id="6" w:name="_Toc15378441"/>
      <w:r>
        <w:rPr>
          <w:rFonts w:ascii="黑体" w:hAnsi="黑体" w:eastAsia="黑体"/>
          <w:color w:val="000000"/>
          <w:sz w:val="72"/>
          <w:szCs w:val="72"/>
        </w:rPr>
        <w:t>2019</w:t>
      </w:r>
      <w:r>
        <w:rPr>
          <w:rFonts w:hint="eastAsia" w:ascii="黑体" w:hAnsi="黑体" w:eastAsia="黑体"/>
          <w:color w:val="000000"/>
          <w:sz w:val="72"/>
          <w:szCs w:val="72"/>
        </w:rPr>
        <w:t>年度</w:t>
      </w:r>
      <w:bookmarkEnd w:id="1"/>
      <w:bookmarkEnd w:id="2"/>
      <w:bookmarkEnd w:id="3"/>
      <w:bookmarkEnd w:id="4"/>
      <w:bookmarkEnd w:id="5"/>
      <w:bookmarkEnd w:id="6"/>
    </w:p>
    <w:p>
      <w:pPr>
        <w:widowControl/>
        <w:jc w:val="center"/>
        <w:rPr>
          <w:rFonts w:ascii="黑体" w:hAnsi="黑体" w:eastAsia="黑体"/>
          <w:color w:val="000000" w:themeColor="text1"/>
          <w:sz w:val="48"/>
          <w:szCs w:val="48"/>
        </w:rPr>
      </w:pPr>
      <w:bookmarkStart w:id="7" w:name="_Toc15396598"/>
      <w:bookmarkStart w:id="8" w:name="_Toc15377426"/>
      <w:bookmarkStart w:id="9" w:name="_Toc15396476"/>
      <w:bookmarkStart w:id="10" w:name="_Toc15378442"/>
      <w:bookmarkStart w:id="11" w:name="_Toc15377194"/>
      <w:bookmarkStart w:id="12" w:name="_Toc72671112"/>
      <w:r>
        <w:rPr>
          <w:rFonts w:hint="eastAsia" w:ascii="黑体" w:hAnsi="黑体" w:eastAsia="黑体"/>
          <w:color w:val="000000"/>
          <w:sz w:val="72"/>
          <w:szCs w:val="72"/>
        </w:rPr>
        <w:t>中共</w:t>
      </w:r>
      <w:bookmarkStart w:id="13" w:name="_Toc15306268"/>
      <w:r>
        <w:rPr>
          <w:rFonts w:hint="eastAsia" w:ascii="黑体" w:hAnsi="黑体" w:eastAsia="黑体"/>
          <w:color w:val="000000"/>
          <w:sz w:val="72"/>
          <w:szCs w:val="72"/>
        </w:rPr>
        <w:t>四川省广元市昭化区委机构编制委员会办公室部门决算</w:t>
      </w:r>
      <w:bookmarkEnd w:id="7"/>
      <w:bookmarkEnd w:id="8"/>
      <w:bookmarkEnd w:id="9"/>
      <w:bookmarkEnd w:id="10"/>
      <w:bookmarkEnd w:id="11"/>
      <w:bookmarkEnd w:id="13"/>
      <w:r>
        <w:rPr>
          <w:rFonts w:ascii="黑体" w:hAnsi="黑体" w:eastAsia="黑体"/>
          <w:color w:val="000000"/>
          <w:sz w:val="72"/>
          <w:szCs w:val="72"/>
        </w:rPr>
        <w:br w:type="page"/>
      </w:r>
      <w:bookmarkEnd w:id="12"/>
      <w:bookmarkStart w:id="14" w:name="_Toc15396599"/>
      <w:bookmarkStart w:id="15" w:name="_Toc15377196"/>
      <w:r>
        <w:rPr>
          <w:rFonts w:hint="eastAsia" w:ascii="黑体" w:hAnsi="黑体" w:eastAsia="黑体"/>
          <w:color w:val="000000"/>
          <w:sz w:val="48"/>
          <w:szCs w:val="48"/>
        </w:rPr>
        <w:t>目录</w:t>
      </w:r>
      <w:r>
        <w:rPr>
          <w:rFonts w:ascii="黑体" w:hAnsi="黑体" w:eastAsia="黑体"/>
          <w:color w:val="000000" w:themeColor="text1"/>
          <w:sz w:val="48"/>
          <w:szCs w:val="48"/>
        </w:rPr>
        <w:fldChar w:fldCharType="begin"/>
      </w:r>
      <w:r>
        <w:rPr>
          <w:rFonts w:ascii="黑体" w:hAnsi="黑体" w:eastAsia="黑体"/>
          <w:color w:val="000000" w:themeColor="text1"/>
          <w:sz w:val="48"/>
          <w:szCs w:val="48"/>
        </w:rPr>
        <w:instrText xml:space="preserve"> TOC \o "1-2" \h \z \u </w:instrText>
      </w:r>
      <w:r>
        <w:rPr>
          <w:rFonts w:ascii="黑体" w:hAnsi="黑体" w:eastAsia="黑体"/>
          <w:color w:val="000000" w:themeColor="text1"/>
          <w:sz w:val="48"/>
          <w:szCs w:val="48"/>
        </w:rPr>
        <w:fldChar w:fldCharType="separate"/>
      </w:r>
    </w:p>
    <w:p>
      <w:pPr>
        <w:rPr>
          <w:color w:val="000000" w:themeColor="text1"/>
        </w:rPr>
      </w:pPr>
    </w:p>
    <w:p>
      <w:pPr>
        <w:tabs>
          <w:tab w:val="right" w:leader="dot" w:pos="8296"/>
        </w:tabs>
        <w:spacing w:before="93"/>
        <w:jc w:val="center"/>
        <w:rPr>
          <w:rFonts w:ascii="仿宋" w:hAnsi="仿宋" w:eastAsia="仿宋" w:cstheme="minorBidi"/>
          <w:color w:val="000000" w:themeColor="text1"/>
          <w:sz w:val="28"/>
          <w:szCs w:val="28"/>
        </w:rPr>
      </w:pPr>
      <w:r>
        <w:fldChar w:fldCharType="begin"/>
      </w:r>
      <w:r>
        <w:instrText xml:space="preserve"> HYPERLINK \l "_Toc15396599" </w:instrText>
      </w:r>
      <w:r>
        <w:fldChar w:fldCharType="separate"/>
      </w:r>
      <w:r>
        <w:rPr>
          <w:rFonts w:hint="eastAsia" w:ascii="仿宋" w:hAnsi="仿宋" w:eastAsia="仿宋"/>
          <w:color w:val="000000" w:themeColor="text1"/>
          <w:sz w:val="28"/>
          <w:szCs w:val="28"/>
        </w:rPr>
        <w:t>第一部分</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部门概况</w:t>
      </w:r>
      <w:r>
        <w:rPr>
          <w:rFonts w:ascii="仿宋" w:hAnsi="仿宋" w:eastAsia="仿宋"/>
          <w:color w:val="000000" w:themeColor="text1"/>
          <w:sz w:val="28"/>
          <w:szCs w:val="28"/>
        </w:rPr>
        <w:tab/>
      </w:r>
      <w:r>
        <w:rPr>
          <w:rFonts w:hint="eastAsia" w:ascii="仿宋" w:hAnsi="仿宋" w:eastAsia="仿宋"/>
          <w:color w:val="000000" w:themeColor="text1"/>
          <w:sz w:val="28"/>
          <w:szCs w:val="28"/>
        </w:rPr>
        <w:t>4</w:t>
      </w:r>
      <w:r>
        <w:rPr>
          <w:rFonts w:hint="eastAsia"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"_Toc15396600" </w:instrText>
      </w:r>
      <w:r>
        <w:fldChar w:fldCharType="separate"/>
      </w:r>
      <w:r>
        <w:rPr>
          <w:rFonts w:hint="eastAsia" w:ascii="仿宋" w:hAnsi="仿宋" w:eastAsia="仿宋"/>
          <w:color w:val="000000" w:themeColor="text1"/>
          <w:sz w:val="28"/>
          <w:szCs w:val="28"/>
        </w:rPr>
        <w:t>一、基本职能及主要工作</w:t>
      </w:r>
      <w:r>
        <w:rPr>
          <w:rFonts w:ascii="仿宋" w:hAnsi="仿宋" w:eastAsia="仿宋"/>
          <w:color w:val="000000" w:themeColor="text1"/>
          <w:sz w:val="28"/>
          <w:szCs w:val="28"/>
        </w:rPr>
        <w:tab/>
      </w:r>
      <w:r>
        <w:rPr>
          <w:rFonts w:hint="eastAsia" w:ascii="仿宋" w:hAnsi="仿宋" w:eastAsia="仿宋"/>
          <w:color w:val="000000" w:themeColor="text1"/>
          <w:sz w:val="28"/>
          <w:szCs w:val="28"/>
        </w:rPr>
        <w:t>4</w:t>
      </w:r>
      <w:r>
        <w:rPr>
          <w:rFonts w:hint="eastAsia"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"_Toc15396601" </w:instrText>
      </w:r>
      <w:r>
        <w:fldChar w:fldCharType="separate"/>
      </w:r>
      <w:r>
        <w:rPr>
          <w:rFonts w:hint="eastAsia" w:ascii="仿宋" w:hAnsi="仿宋" w:eastAsia="仿宋"/>
          <w:color w:val="000000" w:themeColor="text1"/>
          <w:sz w:val="28"/>
          <w:szCs w:val="28"/>
        </w:rPr>
        <w:t>二、机构设置</w:t>
      </w:r>
      <w:r>
        <w:rPr>
          <w:rFonts w:ascii="仿宋" w:hAnsi="仿宋" w:eastAsia="仿宋"/>
          <w:color w:val="000000" w:themeColor="text1"/>
          <w:sz w:val="28"/>
          <w:szCs w:val="28"/>
        </w:rPr>
        <w:tab/>
      </w:r>
      <w:r>
        <w:rPr>
          <w:rFonts w:ascii="仿宋" w:hAnsi="仿宋" w:eastAsia="仿宋"/>
          <w:color w:val="000000" w:themeColor="text1"/>
          <w:sz w:val="28"/>
          <w:szCs w:val="28"/>
        </w:rPr>
        <w:t>8</w:t>
      </w:r>
      <w:r>
        <w:rPr>
          <w:rFonts w:ascii="仿宋" w:hAnsi="仿宋" w:eastAsia="仿宋"/>
          <w:color w:val="000000" w:themeColor="text1"/>
          <w:sz w:val="28"/>
          <w:szCs w:val="28"/>
        </w:rPr>
        <w:fldChar w:fldCharType="end"/>
      </w:r>
    </w:p>
    <w:p>
      <w:pPr>
        <w:tabs>
          <w:tab w:val="right" w:leader="dot" w:pos="8296"/>
        </w:tabs>
        <w:spacing w:before="93"/>
        <w:jc w:val="center"/>
        <w:rPr>
          <w:rFonts w:ascii="仿宋" w:hAnsi="仿宋" w:eastAsia="仿宋"/>
          <w:color w:val="000000" w:themeColor="text1"/>
          <w:sz w:val="28"/>
          <w:szCs w:val="28"/>
        </w:rPr>
      </w:pPr>
      <w:r>
        <w:fldChar w:fldCharType="begin"/>
      </w:r>
      <w:r>
        <w:instrText xml:space="preserve"> HYPERLINK \l "_Toc15396602" </w:instrText>
      </w:r>
      <w:r>
        <w:fldChar w:fldCharType="separate"/>
      </w:r>
      <w:r>
        <w:rPr>
          <w:rFonts w:hint="eastAsia" w:ascii="仿宋" w:hAnsi="仿宋" w:eastAsia="仿宋"/>
          <w:color w:val="000000" w:themeColor="text1"/>
          <w:sz w:val="28"/>
          <w:szCs w:val="28"/>
        </w:rPr>
        <w:t>第二部分</w:t>
      </w:r>
      <w:r>
        <w:rPr>
          <w:rFonts w:ascii="仿宋" w:hAnsi="仿宋" w:eastAsia="仿宋"/>
          <w:color w:val="000000" w:themeColor="text1"/>
          <w:sz w:val="28"/>
          <w:szCs w:val="28"/>
        </w:rPr>
        <w:t xml:space="preserve"> 2018</w:t>
      </w:r>
      <w:r>
        <w:rPr>
          <w:rFonts w:hint="eastAsia" w:ascii="仿宋" w:hAnsi="仿宋" w:eastAsia="仿宋"/>
          <w:color w:val="000000" w:themeColor="text1"/>
          <w:sz w:val="28"/>
          <w:szCs w:val="28"/>
        </w:rPr>
        <w:t>年度部门决算情况说明</w:t>
      </w:r>
      <w:r>
        <w:rPr>
          <w:rFonts w:ascii="仿宋" w:hAnsi="仿宋" w:eastAsia="仿宋"/>
          <w:color w:val="000000" w:themeColor="text1"/>
          <w:sz w:val="28"/>
          <w:szCs w:val="28"/>
        </w:rPr>
        <w:tab/>
      </w:r>
      <w:r>
        <w:rPr>
          <w:rFonts w:ascii="仿宋" w:hAnsi="仿宋" w:eastAsia="仿宋"/>
          <w:color w:val="000000" w:themeColor="text1"/>
          <w:sz w:val="28"/>
          <w:szCs w:val="28"/>
        </w:rPr>
        <w:t>9</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"_Toc15396603" </w:instrText>
      </w:r>
      <w:r>
        <w:fldChar w:fldCharType="separate"/>
      </w:r>
      <w:r>
        <w:rPr>
          <w:rFonts w:hint="eastAsia" w:ascii="仿宋" w:hAnsi="仿宋" w:eastAsia="仿宋" w:cstheme="majorBidi"/>
          <w:bCs/>
          <w:color w:val="000000" w:themeColor="text1"/>
          <w:sz w:val="28"/>
          <w:szCs w:val="28"/>
        </w:rPr>
        <w:t>一、</w:t>
      </w:r>
      <w:r>
        <w:rPr>
          <w:rFonts w:hint="eastAsia" w:ascii="仿宋" w:hAnsi="仿宋" w:eastAsia="仿宋"/>
          <w:color w:val="000000" w:themeColor="text1"/>
          <w:sz w:val="28"/>
          <w:szCs w:val="28"/>
        </w:rPr>
        <w:t>收</w:t>
      </w:r>
      <w:r>
        <w:rPr>
          <w:rFonts w:hint="eastAsia" w:ascii="仿宋" w:hAnsi="仿宋" w:eastAsia="仿宋" w:cstheme="majorBidi"/>
          <w:bCs/>
          <w:color w:val="000000" w:themeColor="text1"/>
          <w:sz w:val="28"/>
          <w:szCs w:val="28"/>
        </w:rPr>
        <w:t>入支出决算总体情况说明</w:t>
      </w:r>
      <w:r>
        <w:rPr>
          <w:rFonts w:ascii="仿宋" w:hAnsi="仿宋" w:eastAsia="仿宋"/>
          <w:color w:val="000000" w:themeColor="text1"/>
          <w:sz w:val="28"/>
          <w:szCs w:val="28"/>
        </w:rPr>
        <w:tab/>
      </w:r>
      <w:r>
        <w:rPr>
          <w:rFonts w:ascii="仿宋" w:hAnsi="仿宋" w:eastAsia="仿宋"/>
          <w:color w:val="000000" w:themeColor="text1"/>
          <w:sz w:val="28"/>
          <w:szCs w:val="28"/>
        </w:rPr>
        <w:t>9</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"_Toc15396604" </w:instrText>
      </w:r>
      <w:r>
        <w:fldChar w:fldCharType="separate"/>
      </w:r>
      <w:r>
        <w:rPr>
          <w:rFonts w:hint="eastAsia" w:ascii="仿宋" w:hAnsi="仿宋" w:eastAsia="仿宋" w:cstheme="majorBidi"/>
          <w:bCs/>
          <w:color w:val="000000" w:themeColor="text1"/>
          <w:sz w:val="28"/>
          <w:szCs w:val="28"/>
        </w:rPr>
        <w:t>二、</w:t>
      </w:r>
      <w:r>
        <w:rPr>
          <w:rFonts w:hint="eastAsia" w:ascii="仿宋" w:hAnsi="仿宋" w:eastAsia="仿宋"/>
          <w:color w:val="000000" w:themeColor="text1"/>
          <w:sz w:val="28"/>
          <w:szCs w:val="28"/>
        </w:rPr>
        <w:t>收</w:t>
      </w:r>
      <w:r>
        <w:rPr>
          <w:rFonts w:hint="eastAsia" w:ascii="仿宋" w:hAnsi="仿宋" w:eastAsia="仿宋" w:cstheme="majorBidi"/>
          <w:bCs/>
          <w:color w:val="000000" w:themeColor="text1"/>
          <w:sz w:val="28"/>
          <w:szCs w:val="28"/>
        </w:rPr>
        <w:t>入决算情况说明</w:t>
      </w:r>
      <w:r>
        <w:rPr>
          <w:rFonts w:ascii="仿宋" w:hAnsi="仿宋" w:eastAsia="仿宋"/>
          <w:color w:val="000000" w:themeColor="text1"/>
          <w:sz w:val="28"/>
          <w:szCs w:val="28"/>
        </w:rPr>
        <w:tab/>
      </w:r>
      <w:r>
        <w:rPr>
          <w:rFonts w:ascii="仿宋" w:hAnsi="仿宋" w:eastAsia="仿宋"/>
          <w:color w:val="000000" w:themeColor="text1"/>
          <w:sz w:val="28"/>
          <w:szCs w:val="28"/>
        </w:rPr>
        <w:t>9</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"_Toc15396605" </w:instrText>
      </w:r>
      <w:r>
        <w:fldChar w:fldCharType="separate"/>
      </w:r>
      <w:r>
        <w:rPr>
          <w:rFonts w:hint="eastAsia" w:ascii="仿宋" w:hAnsi="仿宋" w:eastAsia="仿宋" w:cstheme="majorBidi"/>
          <w:bCs/>
          <w:color w:val="000000" w:themeColor="text1"/>
          <w:sz w:val="28"/>
          <w:szCs w:val="28"/>
        </w:rPr>
        <w:t>三、</w:t>
      </w:r>
      <w:r>
        <w:rPr>
          <w:rFonts w:hint="eastAsia" w:ascii="仿宋" w:hAnsi="仿宋" w:eastAsia="仿宋"/>
          <w:color w:val="000000" w:themeColor="text1"/>
          <w:sz w:val="28"/>
          <w:szCs w:val="28"/>
        </w:rPr>
        <w:t>支</w:t>
      </w:r>
      <w:r>
        <w:rPr>
          <w:rFonts w:hint="eastAsia" w:ascii="仿宋" w:hAnsi="仿宋" w:eastAsia="仿宋" w:cstheme="majorBidi"/>
          <w:bCs/>
          <w:color w:val="000000" w:themeColor="text1"/>
          <w:sz w:val="28"/>
          <w:szCs w:val="28"/>
        </w:rPr>
        <w:t>出决算情况说明</w:t>
      </w:r>
      <w:r>
        <w:rPr>
          <w:rFonts w:ascii="仿宋" w:hAnsi="仿宋" w:eastAsia="仿宋"/>
          <w:color w:val="000000" w:themeColor="text1"/>
          <w:sz w:val="28"/>
          <w:szCs w:val="28"/>
        </w:rPr>
        <w:tab/>
      </w:r>
      <w:r>
        <w:rPr>
          <w:rFonts w:ascii="仿宋" w:hAnsi="仿宋" w:eastAsia="仿宋"/>
          <w:color w:val="000000" w:themeColor="text1"/>
          <w:sz w:val="28"/>
          <w:szCs w:val="28"/>
        </w:rPr>
        <w:t>9</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"_Toc15396606" </w:instrText>
      </w:r>
      <w:r>
        <w:fldChar w:fldCharType="separate"/>
      </w:r>
      <w:r>
        <w:rPr>
          <w:rFonts w:hint="eastAsia" w:ascii="仿宋" w:hAnsi="仿宋" w:eastAsia="仿宋"/>
          <w:color w:val="000000" w:themeColor="text1"/>
          <w:sz w:val="28"/>
          <w:szCs w:val="28"/>
        </w:rPr>
        <w:t>四、财</w:t>
      </w:r>
      <w:r>
        <w:rPr>
          <w:rFonts w:hint="eastAsia" w:ascii="仿宋" w:hAnsi="仿宋" w:eastAsia="仿宋" w:cstheme="majorBidi"/>
          <w:bCs/>
          <w:color w:val="000000" w:themeColor="text1"/>
          <w:sz w:val="28"/>
          <w:szCs w:val="28"/>
        </w:rPr>
        <w:t>政拨款收入支出决算总体情况说明</w:t>
      </w:r>
      <w:r>
        <w:rPr>
          <w:rFonts w:ascii="仿宋" w:hAnsi="仿宋" w:eastAsia="仿宋"/>
          <w:color w:val="000000" w:themeColor="text1"/>
          <w:sz w:val="28"/>
          <w:szCs w:val="28"/>
        </w:rPr>
        <w:tab/>
      </w:r>
      <w:r>
        <w:rPr>
          <w:rFonts w:ascii="仿宋" w:hAnsi="仿宋" w:eastAsia="仿宋"/>
          <w:color w:val="000000" w:themeColor="text1"/>
          <w:sz w:val="28"/>
          <w:szCs w:val="28"/>
        </w:rPr>
        <w:t>9</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"_Toc15396607" </w:instrText>
      </w:r>
      <w:r>
        <w:fldChar w:fldCharType="separate"/>
      </w:r>
      <w:r>
        <w:rPr>
          <w:rFonts w:hint="eastAsia" w:ascii="仿宋" w:hAnsi="仿宋" w:eastAsia="仿宋"/>
          <w:color w:val="000000" w:themeColor="text1"/>
          <w:sz w:val="28"/>
          <w:szCs w:val="28"/>
        </w:rPr>
        <w:t>五、一</w:t>
      </w:r>
      <w:r>
        <w:rPr>
          <w:rFonts w:hint="eastAsia" w:ascii="仿宋" w:hAnsi="仿宋" w:eastAsia="仿宋" w:cstheme="majorBidi"/>
          <w:bCs/>
          <w:color w:val="000000" w:themeColor="text1"/>
          <w:sz w:val="28"/>
          <w:szCs w:val="28"/>
        </w:rPr>
        <w:t>般公共预算财政拨款支出决算情况说明</w:t>
      </w:r>
      <w:r>
        <w:rPr>
          <w:rFonts w:ascii="仿宋" w:hAnsi="仿宋" w:eastAsia="仿宋"/>
          <w:color w:val="000000" w:themeColor="text1"/>
          <w:sz w:val="28"/>
          <w:szCs w:val="28"/>
        </w:rPr>
        <w:tab/>
      </w:r>
      <w:r>
        <w:rPr>
          <w:rFonts w:ascii="仿宋" w:hAnsi="仿宋" w:eastAsia="仿宋"/>
          <w:color w:val="000000" w:themeColor="text1"/>
          <w:sz w:val="28"/>
          <w:szCs w:val="28"/>
        </w:rPr>
        <w:t>10</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"_Toc15396608" </w:instrText>
      </w:r>
      <w:r>
        <w:fldChar w:fldCharType="separate"/>
      </w:r>
      <w:r>
        <w:rPr>
          <w:rFonts w:hint="eastAsia" w:ascii="仿宋" w:hAnsi="仿宋" w:eastAsia="仿宋"/>
          <w:color w:val="000000" w:themeColor="text1"/>
          <w:sz w:val="28"/>
          <w:szCs w:val="28"/>
        </w:rPr>
        <w:t>六、一</w:t>
      </w:r>
      <w:r>
        <w:rPr>
          <w:rFonts w:hint="eastAsia" w:ascii="仿宋" w:hAnsi="仿宋" w:eastAsia="仿宋" w:cstheme="majorBidi"/>
          <w:bCs/>
          <w:color w:val="000000" w:themeColor="text1"/>
          <w:sz w:val="28"/>
          <w:szCs w:val="28"/>
        </w:rPr>
        <w:t>般公共预算财政拨款基本支出决算情况说明</w:t>
      </w:r>
      <w:r>
        <w:rPr>
          <w:rFonts w:ascii="仿宋" w:hAnsi="仿宋" w:eastAsia="仿宋"/>
          <w:color w:val="000000" w:themeColor="text1"/>
          <w:sz w:val="28"/>
          <w:szCs w:val="28"/>
        </w:rPr>
        <w:tab/>
      </w:r>
      <w:r>
        <w:rPr>
          <w:rFonts w:ascii="仿宋" w:hAnsi="仿宋" w:eastAsia="仿宋"/>
          <w:color w:val="000000" w:themeColor="text1"/>
          <w:sz w:val="28"/>
          <w:szCs w:val="28"/>
        </w:rPr>
        <w:t>11</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"_Toc15396609" </w:instrText>
      </w:r>
      <w:r>
        <w:fldChar w:fldCharType="separate"/>
      </w:r>
      <w:r>
        <w:rPr>
          <w:rFonts w:hint="eastAsia" w:ascii="仿宋" w:hAnsi="仿宋" w:eastAsia="仿宋"/>
          <w:color w:val="000000" w:themeColor="text1"/>
          <w:sz w:val="28"/>
          <w:szCs w:val="28"/>
        </w:rPr>
        <w:t>七、</w:t>
      </w:r>
      <w:r>
        <w:rPr>
          <w:rFonts w:ascii="仿宋" w:hAnsi="仿宋" w:eastAsia="仿宋"/>
          <w:color w:val="000000" w:themeColor="text1"/>
          <w:sz w:val="28"/>
          <w:szCs w:val="28"/>
        </w:rPr>
        <w:t>“</w:t>
      </w:r>
      <w:r>
        <w:rPr>
          <w:rFonts w:hint="eastAsia" w:ascii="仿宋" w:hAnsi="仿宋" w:eastAsia="仿宋" w:cstheme="majorBidi"/>
          <w:bCs/>
          <w:color w:val="000000" w:themeColor="text1"/>
          <w:sz w:val="28"/>
          <w:szCs w:val="28"/>
        </w:rPr>
        <w:t>三公”经费财政拨款支出决算情况说明</w:t>
      </w:r>
      <w:r>
        <w:rPr>
          <w:rFonts w:ascii="仿宋" w:hAnsi="仿宋" w:eastAsia="仿宋"/>
          <w:color w:val="000000" w:themeColor="text1"/>
          <w:sz w:val="28"/>
          <w:szCs w:val="28"/>
        </w:rPr>
        <w:tab/>
      </w:r>
      <w:r>
        <w:rPr>
          <w:rFonts w:ascii="仿宋" w:hAnsi="仿宋" w:eastAsia="仿宋"/>
          <w:color w:val="000000" w:themeColor="text1"/>
          <w:sz w:val="28"/>
          <w:szCs w:val="28"/>
        </w:rPr>
        <w:t>11</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"_Toc15396610" </w:instrText>
      </w:r>
      <w:r>
        <w:fldChar w:fldCharType="separate"/>
      </w:r>
      <w:r>
        <w:rPr>
          <w:rFonts w:hint="eastAsia" w:ascii="仿宋" w:hAnsi="仿宋" w:eastAsia="仿宋"/>
          <w:color w:val="000000" w:themeColor="text1"/>
          <w:sz w:val="28"/>
          <w:szCs w:val="28"/>
        </w:rPr>
        <w:t>八、</w:t>
      </w:r>
      <w:r>
        <w:rPr>
          <w:rFonts w:hint="eastAsia" w:ascii="仿宋" w:hAnsi="仿宋" w:eastAsia="仿宋" w:cstheme="majorBidi"/>
          <w:bCs/>
          <w:color w:val="000000" w:themeColor="text1"/>
          <w:sz w:val="28"/>
          <w:szCs w:val="28"/>
        </w:rPr>
        <w:t>政府性基金预算支出决算情况说明</w:t>
      </w:r>
      <w:r>
        <w:rPr>
          <w:rFonts w:ascii="仿宋" w:hAnsi="仿宋" w:eastAsia="仿宋"/>
          <w:color w:val="000000" w:themeColor="text1"/>
          <w:sz w:val="28"/>
          <w:szCs w:val="28"/>
        </w:rPr>
        <w:tab/>
      </w:r>
      <w:r>
        <w:rPr>
          <w:rFonts w:ascii="仿宋" w:hAnsi="仿宋" w:eastAsia="仿宋"/>
          <w:color w:val="000000" w:themeColor="text1"/>
          <w:sz w:val="28"/>
          <w:szCs w:val="28"/>
        </w:rPr>
        <w:t>12</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fldChar w:fldCharType="begin"/>
      </w:r>
      <w:r>
        <w:instrText xml:space="preserve"> HYPERLINK \l "_Toc15396611" </w:instrText>
      </w:r>
      <w:r>
        <w:fldChar w:fldCharType="separate"/>
      </w:r>
      <w:r>
        <w:rPr>
          <w:rFonts w:hint="eastAsia" w:ascii="仿宋" w:hAnsi="仿宋" w:eastAsia="仿宋" w:cstheme="majorBidi"/>
          <w:bCs/>
          <w:color w:val="000000" w:themeColor="text1"/>
          <w:sz w:val="28"/>
          <w:szCs w:val="28"/>
        </w:rPr>
        <w:t>九、</w:t>
      </w:r>
      <w:r>
        <w:rPr>
          <w:rFonts w:hint="eastAsia" w:ascii="仿宋" w:hAnsi="仿宋" w:eastAsia="仿宋"/>
          <w:color w:val="000000" w:themeColor="text1"/>
          <w:sz w:val="28"/>
          <w:szCs w:val="28"/>
        </w:rPr>
        <w:t xml:space="preserve"> 国</w:t>
      </w:r>
      <w:r>
        <w:rPr>
          <w:rFonts w:hint="eastAsia" w:ascii="仿宋" w:hAnsi="仿宋" w:eastAsia="仿宋" w:cstheme="majorBidi"/>
          <w:bCs/>
          <w:color w:val="000000" w:themeColor="text1"/>
          <w:sz w:val="28"/>
          <w:szCs w:val="28"/>
        </w:rPr>
        <w:t>有资本经营预算支出决算情况说明</w:t>
      </w:r>
      <w:r>
        <w:rPr>
          <w:rFonts w:ascii="仿宋" w:hAnsi="仿宋" w:eastAsia="仿宋"/>
          <w:color w:val="000000" w:themeColor="text1"/>
          <w:sz w:val="28"/>
          <w:szCs w:val="28"/>
        </w:rPr>
        <w:tab/>
      </w:r>
      <w:r>
        <w:rPr>
          <w:rFonts w:ascii="仿宋" w:hAnsi="仿宋" w:eastAsia="仿宋"/>
          <w:color w:val="000000" w:themeColor="text1"/>
          <w:sz w:val="28"/>
          <w:szCs w:val="28"/>
        </w:rPr>
        <w:t>13</w:t>
      </w:r>
      <w:r>
        <w:rPr>
          <w:rFonts w:ascii="仿宋" w:hAnsi="仿宋" w:eastAsia="仿宋"/>
          <w:color w:val="000000" w:themeColor="text1"/>
          <w:sz w:val="28"/>
          <w:szCs w:val="28"/>
        </w:rPr>
        <w:fldChar w:fldCharType="end"/>
      </w:r>
    </w:p>
    <w:p>
      <w:pPr>
        <w:tabs>
          <w:tab w:val="right" w:leader="dot" w:pos="8296"/>
        </w:tabs>
        <w:ind w:left="420" w:leftChars="200"/>
        <w:rPr>
          <w:color w:val="000000" w:themeColor="text1"/>
        </w:rPr>
      </w:pPr>
      <w:r>
        <w:fldChar w:fldCharType="begin"/>
      </w:r>
      <w:r>
        <w:instrText xml:space="preserve"> HYPERLINK \l "_Toc15396611" </w:instrText>
      </w:r>
      <w:r>
        <w:fldChar w:fldCharType="separate"/>
      </w:r>
      <w:r>
        <w:rPr>
          <w:rFonts w:hint="eastAsia"/>
          <w:color w:val="000000" w:themeColor="text1"/>
        </w:rPr>
        <w:t>十</w:t>
      </w:r>
      <w:r>
        <w:rPr>
          <w:rFonts w:hint="eastAsia" w:ascii="仿宋" w:hAnsi="仿宋" w:eastAsia="仿宋" w:cstheme="majorBidi"/>
          <w:bCs/>
          <w:color w:val="000000" w:themeColor="text1"/>
          <w:sz w:val="28"/>
          <w:szCs w:val="28"/>
        </w:rPr>
        <w:t>、</w:t>
      </w:r>
      <w:r>
        <w:rPr>
          <w:rFonts w:hint="eastAsia" w:ascii="仿宋" w:hAnsi="仿宋" w:eastAsia="仿宋"/>
          <w:color w:val="000000" w:themeColor="text1"/>
          <w:sz w:val="28"/>
          <w:szCs w:val="28"/>
        </w:rPr>
        <w:t xml:space="preserve"> 其他重要事项的情况说明</w:t>
      </w:r>
      <w:r>
        <w:rPr>
          <w:rFonts w:ascii="仿宋" w:hAnsi="仿宋" w:eastAsia="仿宋"/>
          <w:color w:val="000000" w:themeColor="text1"/>
          <w:sz w:val="28"/>
          <w:szCs w:val="28"/>
        </w:rPr>
        <w:tab/>
      </w:r>
      <w:r>
        <w:rPr>
          <w:rFonts w:ascii="仿宋" w:hAnsi="仿宋" w:eastAsia="仿宋"/>
          <w:color w:val="000000" w:themeColor="text1"/>
          <w:sz w:val="28"/>
          <w:szCs w:val="28"/>
        </w:rPr>
        <w:t>13</w:t>
      </w:r>
      <w:r>
        <w:rPr>
          <w:rFonts w:ascii="仿宋" w:hAnsi="仿宋" w:eastAsia="仿宋"/>
          <w:color w:val="000000" w:themeColor="text1"/>
          <w:sz w:val="28"/>
          <w:szCs w:val="28"/>
        </w:rPr>
        <w:fldChar w:fldCharType="end"/>
      </w:r>
    </w:p>
    <w:p>
      <w:pPr>
        <w:tabs>
          <w:tab w:val="right" w:leader="dot" w:pos="8296"/>
        </w:tabs>
        <w:spacing w:before="93"/>
        <w:jc w:val="center"/>
        <w:rPr>
          <w:rFonts w:ascii="仿宋" w:hAnsi="仿宋" w:eastAsia="仿宋" w:cstheme="minorBidi"/>
          <w:color w:val="000000" w:themeColor="text1"/>
          <w:sz w:val="28"/>
          <w:szCs w:val="28"/>
        </w:rPr>
      </w:pPr>
      <w:r>
        <w:fldChar w:fldCharType="begin"/>
      </w:r>
      <w:r>
        <w:instrText xml:space="preserve"> HYPERLINK \l "_Toc15396613" </w:instrText>
      </w:r>
      <w:r>
        <w:fldChar w:fldCharType="separate"/>
      </w:r>
      <w:r>
        <w:rPr>
          <w:rFonts w:hint="eastAsia" w:ascii="仿宋" w:hAnsi="仿宋" w:eastAsia="仿宋"/>
          <w:bCs/>
          <w:color w:val="000000" w:themeColor="text1"/>
          <w:kern w:val="44"/>
          <w:sz w:val="28"/>
          <w:szCs w:val="28"/>
        </w:rPr>
        <w:t>第三部分</w:t>
      </w:r>
      <w:r>
        <w:rPr>
          <w:rFonts w:hint="eastAsia" w:ascii="仿宋" w:hAnsi="仿宋" w:eastAsia="仿宋"/>
          <w:color w:val="000000" w:themeColor="text1"/>
          <w:sz w:val="28"/>
          <w:szCs w:val="28"/>
        </w:rPr>
        <w:t xml:space="preserve"> 名</w:t>
      </w:r>
      <w:r>
        <w:rPr>
          <w:rFonts w:hint="eastAsia" w:ascii="仿宋" w:hAnsi="仿宋" w:eastAsia="仿宋"/>
          <w:bCs/>
          <w:color w:val="000000" w:themeColor="text1"/>
          <w:kern w:val="44"/>
          <w:sz w:val="28"/>
          <w:szCs w:val="28"/>
        </w:rPr>
        <w:t>词解释</w:t>
      </w:r>
      <w:r>
        <w:rPr>
          <w:rFonts w:ascii="仿宋" w:hAnsi="仿宋" w:eastAsia="仿宋"/>
          <w:color w:val="000000" w:themeColor="text1"/>
          <w:sz w:val="28"/>
          <w:szCs w:val="28"/>
        </w:rPr>
        <w:tab/>
      </w:r>
      <w:r>
        <w:rPr>
          <w:rFonts w:ascii="仿宋" w:hAnsi="仿宋" w:eastAsia="仿宋"/>
          <w:color w:val="000000" w:themeColor="text1"/>
          <w:sz w:val="28"/>
          <w:szCs w:val="28"/>
        </w:rPr>
        <w:fldChar w:fldCharType="end"/>
      </w:r>
      <w:r>
        <w:rPr>
          <w:rFonts w:ascii="仿宋" w:hAnsi="仿宋" w:eastAsia="仿宋"/>
          <w:color w:val="000000" w:themeColor="text1"/>
          <w:sz w:val="28"/>
          <w:szCs w:val="28"/>
        </w:rPr>
        <w:t>17</w:t>
      </w:r>
    </w:p>
    <w:p>
      <w:pPr>
        <w:tabs>
          <w:tab w:val="right" w:leader="dot" w:pos="8296"/>
        </w:tabs>
        <w:spacing w:before="93"/>
        <w:jc w:val="center"/>
        <w:rPr>
          <w:rFonts w:ascii="仿宋" w:hAnsi="仿宋" w:eastAsia="仿宋" w:cstheme="minorBidi"/>
          <w:color w:val="000000" w:themeColor="text1"/>
          <w:sz w:val="28"/>
          <w:szCs w:val="28"/>
        </w:rPr>
      </w:pPr>
      <w:r>
        <w:fldChar w:fldCharType="begin"/>
      </w:r>
      <w:r>
        <w:instrText xml:space="preserve"> HYPERLINK \l "_Toc15396614" </w:instrText>
      </w:r>
      <w:r>
        <w:fldChar w:fldCharType="separate"/>
      </w:r>
      <w:r>
        <w:rPr>
          <w:rFonts w:hint="eastAsia" w:ascii="仿宋" w:hAnsi="仿宋" w:eastAsia="仿宋"/>
          <w:color w:val="000000" w:themeColor="text1"/>
          <w:sz w:val="28"/>
          <w:szCs w:val="28"/>
        </w:rPr>
        <w:t>第</w:t>
      </w:r>
      <w:r>
        <w:rPr>
          <w:rFonts w:hint="eastAsia" w:ascii="仿宋" w:hAnsi="仿宋" w:eastAsia="仿宋"/>
          <w:bCs/>
          <w:color w:val="000000" w:themeColor="text1"/>
          <w:kern w:val="44"/>
          <w:sz w:val="28"/>
          <w:szCs w:val="28"/>
        </w:rPr>
        <w:t>四部分</w:t>
      </w:r>
      <w:r>
        <w:rPr>
          <w:rFonts w:ascii="仿宋" w:hAnsi="仿宋" w:eastAsia="仿宋"/>
          <w:bCs/>
          <w:color w:val="000000" w:themeColor="text1"/>
          <w:kern w:val="44"/>
          <w:sz w:val="28"/>
          <w:szCs w:val="28"/>
        </w:rPr>
        <w:t xml:space="preserve"> </w:t>
      </w:r>
      <w:r>
        <w:rPr>
          <w:rFonts w:hint="eastAsia" w:ascii="仿宋" w:hAnsi="仿宋" w:eastAsia="仿宋"/>
          <w:bCs/>
          <w:color w:val="000000" w:themeColor="text1"/>
          <w:kern w:val="44"/>
          <w:sz w:val="28"/>
          <w:szCs w:val="28"/>
        </w:rPr>
        <w:t>附件</w:t>
      </w:r>
      <w:r>
        <w:rPr>
          <w:rFonts w:ascii="仿宋" w:hAnsi="仿宋" w:eastAsia="仿宋"/>
          <w:color w:val="000000" w:themeColor="text1"/>
          <w:sz w:val="28"/>
          <w:szCs w:val="28"/>
        </w:rPr>
        <w:tab/>
      </w:r>
      <w:r>
        <w:rPr>
          <w:rFonts w:ascii="仿宋" w:hAnsi="仿宋" w:eastAsia="仿宋"/>
          <w:color w:val="000000" w:themeColor="text1"/>
          <w:sz w:val="28"/>
          <w:szCs w:val="28"/>
        </w:rPr>
        <w:t>19</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"_Toc15396615" </w:instrText>
      </w:r>
      <w:r>
        <w:fldChar w:fldCharType="separate"/>
      </w:r>
      <w:r>
        <w:rPr>
          <w:rFonts w:hint="eastAsia" w:ascii="仿宋" w:hAnsi="仿宋" w:eastAsia="仿宋"/>
          <w:color w:val="000000" w:themeColor="text1"/>
          <w:kern w:val="44"/>
          <w:sz w:val="28"/>
          <w:szCs w:val="28"/>
        </w:rPr>
        <w:t>附件</w:t>
      </w:r>
      <w:r>
        <w:rPr>
          <w:rFonts w:ascii="仿宋" w:hAnsi="仿宋" w:eastAsia="仿宋"/>
          <w:color w:val="000000" w:themeColor="text1"/>
          <w:kern w:val="44"/>
          <w:sz w:val="28"/>
          <w:szCs w:val="28"/>
        </w:rPr>
        <w:t>1</w:t>
      </w:r>
      <w:r>
        <w:rPr>
          <w:rFonts w:ascii="仿宋" w:hAnsi="仿宋" w:eastAsia="仿宋"/>
          <w:color w:val="000000" w:themeColor="text1"/>
          <w:sz w:val="28"/>
          <w:szCs w:val="28"/>
        </w:rPr>
        <w:tab/>
      </w:r>
      <w:r>
        <w:rPr>
          <w:rFonts w:ascii="仿宋" w:hAnsi="仿宋" w:eastAsia="仿宋"/>
          <w:color w:val="000000" w:themeColor="text1"/>
          <w:sz w:val="28"/>
          <w:szCs w:val="28"/>
        </w:rPr>
        <w:t>19</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8"/>
          <w:szCs w:val="28"/>
        </w:rPr>
      </w:pPr>
      <w:r>
        <w:fldChar w:fldCharType="begin"/>
      </w:r>
      <w:r>
        <w:instrText xml:space="preserve"> HYPERLINK \l "_Toc15396617" </w:instrText>
      </w:r>
      <w:r>
        <w:fldChar w:fldCharType="separate"/>
      </w:r>
      <w:r>
        <w:rPr>
          <w:rFonts w:hint="eastAsia" w:ascii="仿宋" w:hAnsi="仿宋" w:eastAsia="仿宋"/>
          <w:color w:val="000000" w:themeColor="text1"/>
          <w:kern w:val="44"/>
          <w:sz w:val="28"/>
          <w:szCs w:val="28"/>
        </w:rPr>
        <w:t>附件</w:t>
      </w:r>
      <w:r>
        <w:rPr>
          <w:rFonts w:ascii="仿宋" w:hAnsi="仿宋" w:eastAsia="仿宋"/>
          <w:color w:val="000000" w:themeColor="text1"/>
          <w:kern w:val="44"/>
          <w:sz w:val="28"/>
          <w:szCs w:val="28"/>
        </w:rPr>
        <w:t>2</w:t>
      </w:r>
      <w:r>
        <w:rPr>
          <w:rFonts w:ascii="仿宋" w:hAnsi="仿宋" w:eastAsia="仿宋"/>
          <w:color w:val="000000" w:themeColor="text1"/>
          <w:sz w:val="28"/>
          <w:szCs w:val="28"/>
        </w:rPr>
        <w:tab/>
      </w:r>
      <w:r>
        <w:rPr>
          <w:rFonts w:hint="eastAsia" w:ascii="仿宋" w:hAnsi="仿宋" w:eastAsia="仿宋"/>
          <w:color w:val="000000" w:themeColor="text1"/>
          <w:sz w:val="28"/>
          <w:szCs w:val="28"/>
        </w:rPr>
        <w:t>2</w:t>
      </w:r>
      <w:r>
        <w:rPr>
          <w:rFonts w:hint="eastAsia" w:ascii="仿宋" w:hAnsi="仿宋" w:eastAsia="仿宋"/>
          <w:color w:val="000000" w:themeColor="text1"/>
          <w:sz w:val="28"/>
          <w:szCs w:val="28"/>
        </w:rPr>
        <w:fldChar w:fldCharType="end"/>
      </w:r>
      <w:r>
        <w:rPr>
          <w:rFonts w:ascii="仿宋" w:hAnsi="仿宋" w:eastAsia="仿宋"/>
          <w:color w:val="000000" w:themeColor="text1"/>
          <w:sz w:val="28"/>
          <w:szCs w:val="28"/>
        </w:rPr>
        <w:t>3</w:t>
      </w:r>
    </w:p>
    <w:p>
      <w:pPr>
        <w:tabs>
          <w:tab w:val="right" w:leader="dot" w:pos="8296"/>
        </w:tabs>
        <w:spacing w:before="93"/>
        <w:jc w:val="center"/>
        <w:rPr>
          <w:rFonts w:ascii="仿宋" w:hAnsi="仿宋" w:eastAsia="仿宋"/>
          <w:color w:val="000000" w:themeColor="text1"/>
          <w:sz w:val="28"/>
          <w:szCs w:val="28"/>
        </w:rPr>
      </w:pPr>
      <w:r>
        <w:fldChar w:fldCharType="begin"/>
      </w:r>
      <w:r>
        <w:instrText xml:space="preserve"> HYPERLINK \l "_Toc15396618" </w:instrText>
      </w:r>
      <w:r>
        <w:fldChar w:fldCharType="separate"/>
      </w:r>
      <w:r>
        <w:rPr>
          <w:rFonts w:hint="eastAsia" w:ascii="仿宋" w:hAnsi="仿宋" w:eastAsia="仿宋"/>
          <w:color w:val="000000" w:themeColor="text1"/>
          <w:sz w:val="28"/>
          <w:szCs w:val="28"/>
        </w:rPr>
        <w:t>第</w:t>
      </w:r>
      <w:r>
        <w:rPr>
          <w:rFonts w:hint="eastAsia" w:ascii="仿宋" w:hAnsi="仿宋" w:eastAsia="仿宋"/>
          <w:bCs/>
          <w:color w:val="000000" w:themeColor="text1"/>
          <w:kern w:val="44"/>
          <w:sz w:val="28"/>
          <w:szCs w:val="28"/>
        </w:rPr>
        <w:t>五部分</w:t>
      </w:r>
      <w:r>
        <w:rPr>
          <w:rFonts w:ascii="仿宋" w:hAnsi="仿宋" w:eastAsia="仿宋"/>
          <w:bCs/>
          <w:color w:val="000000" w:themeColor="text1"/>
          <w:kern w:val="44"/>
          <w:sz w:val="28"/>
          <w:szCs w:val="28"/>
        </w:rPr>
        <w:t xml:space="preserve"> </w:t>
      </w:r>
      <w:r>
        <w:rPr>
          <w:rFonts w:hint="eastAsia" w:ascii="仿宋" w:hAnsi="仿宋" w:eastAsia="仿宋"/>
          <w:bCs/>
          <w:color w:val="000000" w:themeColor="text1"/>
          <w:kern w:val="44"/>
          <w:sz w:val="28"/>
          <w:szCs w:val="28"/>
        </w:rPr>
        <w:t>附表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一、</w:t>
      </w:r>
      <w:r>
        <w:fldChar w:fldCharType="begin"/>
      </w:r>
      <w:r>
        <w:instrText xml:space="preserve"> HYPERLINK \l "_Toc15396619" </w:instrText>
      </w:r>
      <w:r>
        <w:fldChar w:fldCharType="separate"/>
      </w:r>
      <w:r>
        <w:rPr>
          <w:rFonts w:hint="eastAsia" w:ascii="仿宋" w:hAnsi="仿宋" w:eastAsia="仿宋"/>
          <w:color w:val="000000" w:themeColor="text1"/>
          <w:sz w:val="28"/>
          <w:szCs w:val="28"/>
        </w:rPr>
        <w:t>收入支出决算总表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二、</w:t>
      </w:r>
      <w:r>
        <w:fldChar w:fldCharType="begin"/>
      </w:r>
      <w:r>
        <w:instrText xml:space="preserve"> HYPERLINK \l "_Toc15396620" </w:instrText>
      </w:r>
      <w:r>
        <w:fldChar w:fldCharType="separate"/>
      </w:r>
      <w:r>
        <w:rPr>
          <w:rFonts w:hint="eastAsia" w:ascii="仿宋" w:hAnsi="仿宋" w:eastAsia="仿宋"/>
          <w:color w:val="000000" w:themeColor="text1"/>
          <w:sz w:val="28"/>
          <w:szCs w:val="28"/>
        </w:rPr>
        <w:t>收入总表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三、</w:t>
      </w:r>
      <w:r>
        <w:fldChar w:fldCharType="begin"/>
      </w:r>
      <w:r>
        <w:instrText xml:space="preserve"> HYPERLINK \l "_Toc15396621" </w:instrText>
      </w:r>
      <w:r>
        <w:fldChar w:fldCharType="separate"/>
      </w:r>
      <w:r>
        <w:rPr>
          <w:rFonts w:hint="eastAsia" w:ascii="仿宋" w:hAnsi="仿宋" w:eastAsia="仿宋"/>
          <w:color w:val="000000" w:themeColor="text1"/>
          <w:sz w:val="28"/>
          <w:szCs w:val="28"/>
        </w:rPr>
        <w:t>支出总表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四、</w:t>
      </w:r>
      <w:r>
        <w:fldChar w:fldCharType="begin"/>
      </w:r>
      <w:r>
        <w:instrText xml:space="preserve"> HYPERLINK \l "_Toc15396622" </w:instrText>
      </w:r>
      <w:r>
        <w:fldChar w:fldCharType="separate"/>
      </w:r>
      <w:r>
        <w:rPr>
          <w:rFonts w:hint="eastAsia" w:ascii="仿宋" w:hAnsi="仿宋" w:eastAsia="仿宋"/>
          <w:color w:val="000000" w:themeColor="text1"/>
          <w:sz w:val="28"/>
          <w:szCs w:val="28"/>
        </w:rPr>
        <w:t>财政拨款收入支出决算总表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五、</w:t>
      </w:r>
      <w:r>
        <w:fldChar w:fldCharType="begin"/>
      </w:r>
      <w:r>
        <w:instrText xml:space="preserve"> HYPERLINK \l "_Toc15396623" </w:instrText>
      </w:r>
      <w:r>
        <w:fldChar w:fldCharType="separate"/>
      </w:r>
      <w:r>
        <w:rPr>
          <w:rFonts w:hint="eastAsia" w:ascii="仿宋" w:hAnsi="仿宋" w:eastAsia="仿宋"/>
          <w:color w:val="000000" w:themeColor="text1"/>
          <w:sz w:val="28"/>
          <w:szCs w:val="28"/>
        </w:rPr>
        <w:t>财政拨款支出决算明细表（政府经济分类科目）</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六、</w:t>
      </w:r>
      <w:r>
        <w:fldChar w:fldCharType="begin"/>
      </w:r>
      <w:r>
        <w:instrText xml:space="preserve"> HYPERLINK \l "_Toc15396624" </w:instrText>
      </w:r>
      <w:r>
        <w:fldChar w:fldCharType="separate"/>
      </w:r>
      <w:r>
        <w:rPr>
          <w:rFonts w:hint="eastAsia" w:ascii="仿宋" w:hAnsi="仿宋" w:eastAsia="仿宋"/>
          <w:color w:val="000000" w:themeColor="text1"/>
          <w:sz w:val="28"/>
          <w:szCs w:val="28"/>
        </w:rPr>
        <w:t>一般公共预算财政拨款支出决算表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七、</w:t>
      </w:r>
      <w:r>
        <w:fldChar w:fldCharType="begin"/>
      </w:r>
      <w:r>
        <w:instrText xml:space="preserve"> HYPERLINK \l "_Toc15396625" </w:instrText>
      </w:r>
      <w:r>
        <w:fldChar w:fldCharType="separate"/>
      </w:r>
      <w:r>
        <w:rPr>
          <w:rFonts w:hint="eastAsia" w:ascii="仿宋" w:hAnsi="仿宋" w:eastAsia="仿宋"/>
          <w:color w:val="000000" w:themeColor="text1"/>
          <w:sz w:val="28"/>
          <w:szCs w:val="28"/>
        </w:rPr>
        <w:t>一般公共预算财政拨款支出决算明细表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八、</w:t>
      </w:r>
      <w:r>
        <w:fldChar w:fldCharType="begin"/>
      </w:r>
      <w:r>
        <w:instrText xml:space="preserve"> HYPERLINK \l "_Toc15396626" </w:instrText>
      </w:r>
      <w:r>
        <w:fldChar w:fldCharType="separate"/>
      </w:r>
      <w:r>
        <w:rPr>
          <w:rFonts w:hint="eastAsia" w:ascii="仿宋" w:hAnsi="仿宋" w:eastAsia="仿宋"/>
          <w:color w:val="000000" w:themeColor="text1"/>
          <w:sz w:val="28"/>
          <w:szCs w:val="28"/>
        </w:rPr>
        <w:t>一般公共预算财政拨款基本支出决算表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九、</w:t>
      </w:r>
      <w:r>
        <w:fldChar w:fldCharType="begin"/>
      </w:r>
      <w:r>
        <w:instrText xml:space="preserve"> HYPERLINK \l "_Toc15396627" </w:instrText>
      </w:r>
      <w:r>
        <w:fldChar w:fldCharType="separate"/>
      </w:r>
      <w:r>
        <w:rPr>
          <w:rFonts w:hint="eastAsia" w:ascii="仿宋" w:hAnsi="仿宋" w:eastAsia="仿宋"/>
          <w:color w:val="000000" w:themeColor="text1"/>
          <w:sz w:val="28"/>
          <w:szCs w:val="28"/>
        </w:rPr>
        <w:t>一般公共预算财政拨款项目支出决算表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十、</w:t>
      </w:r>
      <w:r>
        <w:fldChar w:fldCharType="begin"/>
      </w:r>
      <w:r>
        <w:instrText xml:space="preserve"> HYPERLINK \l "_Toc15396628" </w:instrText>
      </w:r>
      <w:r>
        <w:fldChar w:fldCharType="separate"/>
      </w:r>
      <w:r>
        <w:rPr>
          <w:rFonts w:hint="eastAsia" w:ascii="仿宋" w:hAnsi="仿宋" w:eastAsia="仿宋"/>
          <w:color w:val="000000" w:themeColor="text1"/>
          <w:sz w:val="28"/>
          <w:szCs w:val="28"/>
        </w:rPr>
        <w:t>一般公共预算财政拨款“三公”经费支出决算表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十一、</w:t>
      </w:r>
      <w:r>
        <w:fldChar w:fldCharType="begin"/>
      </w:r>
      <w:r>
        <w:instrText xml:space="preserve"> HYPERLINK \l "_Toc15396629" </w:instrText>
      </w:r>
      <w:r>
        <w:fldChar w:fldCharType="separate"/>
      </w:r>
      <w:r>
        <w:rPr>
          <w:rFonts w:hint="eastAsia" w:ascii="仿宋" w:hAnsi="仿宋" w:eastAsia="仿宋"/>
          <w:color w:val="000000" w:themeColor="text1"/>
          <w:sz w:val="28"/>
          <w:szCs w:val="28"/>
        </w:rPr>
        <w:t>政府性基金预算财政拨款收入支出决算表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olor w:val="000000" w:themeColor="text1"/>
          <w:sz w:val="28"/>
          <w:szCs w:val="28"/>
        </w:rPr>
      </w:pPr>
      <w:r>
        <w:rPr>
          <w:rFonts w:hint="eastAsia" w:ascii="仿宋" w:hAnsi="仿宋" w:eastAsia="仿宋"/>
          <w:color w:val="000000" w:themeColor="text1"/>
          <w:sz w:val="28"/>
          <w:szCs w:val="28"/>
        </w:rPr>
        <w:t>十二、</w:t>
      </w:r>
      <w:r>
        <w:fldChar w:fldCharType="begin"/>
      </w:r>
      <w:r>
        <w:instrText xml:space="preserve"> HYPERLINK \l "_Toc15396630" </w:instrText>
      </w:r>
      <w:r>
        <w:fldChar w:fldCharType="separate"/>
      </w:r>
      <w:r>
        <w:rPr>
          <w:rFonts w:hint="eastAsia" w:ascii="仿宋" w:hAnsi="仿宋" w:eastAsia="仿宋"/>
          <w:color w:val="000000" w:themeColor="text1"/>
          <w:sz w:val="28"/>
          <w:szCs w:val="28"/>
        </w:rPr>
        <w:t>政府性基金预算财政拨款“三公”经费支出决算表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tabs>
          <w:tab w:val="right" w:leader="dot" w:pos="8296"/>
        </w:tabs>
        <w:ind w:left="420" w:leftChars="200"/>
        <w:rPr>
          <w:rFonts w:ascii="仿宋" w:hAnsi="仿宋" w:eastAsia="仿宋" w:cstheme="minorBidi"/>
          <w:color w:val="000000" w:themeColor="text1"/>
          <w:sz w:val="24"/>
        </w:rPr>
      </w:pPr>
      <w:r>
        <w:rPr>
          <w:rFonts w:hint="eastAsia" w:ascii="仿宋" w:hAnsi="仿宋" w:eastAsia="仿宋"/>
          <w:color w:val="000000" w:themeColor="text1"/>
          <w:sz w:val="28"/>
          <w:szCs w:val="28"/>
        </w:rPr>
        <w:t>十三、</w:t>
      </w:r>
      <w:r>
        <w:fldChar w:fldCharType="begin"/>
      </w:r>
      <w:r>
        <w:instrText xml:space="preserve"> HYPERLINK \l "_Toc15396631" </w:instrText>
      </w:r>
      <w:r>
        <w:fldChar w:fldCharType="separate"/>
      </w:r>
      <w:r>
        <w:rPr>
          <w:rFonts w:hint="eastAsia" w:ascii="仿宋" w:hAnsi="仿宋" w:eastAsia="仿宋"/>
          <w:color w:val="000000" w:themeColor="text1"/>
          <w:sz w:val="28"/>
          <w:szCs w:val="28"/>
        </w:rPr>
        <w:t>国有资本经营预算支出决算表</w:t>
      </w:r>
      <w:r>
        <w:rPr>
          <w:rFonts w:ascii="仿宋" w:hAnsi="仿宋" w:eastAsia="仿宋"/>
          <w:color w:val="000000" w:themeColor="text1"/>
          <w:sz w:val="28"/>
          <w:szCs w:val="28"/>
        </w:rPr>
        <w:tab/>
      </w:r>
      <w:r>
        <w:rPr>
          <w:rFonts w:ascii="仿宋" w:hAnsi="仿宋" w:eastAsia="仿宋"/>
          <w:color w:val="000000" w:themeColor="text1"/>
          <w:sz w:val="28"/>
          <w:szCs w:val="28"/>
        </w:rPr>
        <w:t>25</w:t>
      </w:r>
      <w:r>
        <w:rPr>
          <w:rFonts w:ascii="仿宋" w:hAnsi="仿宋" w:eastAsia="仿宋"/>
          <w:color w:val="000000" w:themeColor="text1"/>
          <w:sz w:val="28"/>
          <w:szCs w:val="28"/>
        </w:rPr>
        <w:fldChar w:fldCharType="end"/>
      </w:r>
    </w:p>
    <w:p>
      <w:pPr>
        <w:widowControl/>
        <w:jc w:val="left"/>
        <w:rPr>
          <w:rFonts w:ascii="仿宋" w:hAnsi="仿宋" w:eastAsia="仿宋"/>
          <w:color w:val="000000" w:themeColor="text1"/>
          <w:sz w:val="24"/>
        </w:rPr>
      </w:pPr>
      <w:r>
        <w:rPr>
          <w:rFonts w:ascii="仿宋" w:hAnsi="仿宋" w:eastAsia="仿宋"/>
          <w:color w:val="000000" w:themeColor="text1"/>
          <w:sz w:val="24"/>
        </w:rPr>
        <w:fldChar w:fldCharType="end"/>
      </w:r>
    </w:p>
    <w:p>
      <w:pPr>
        <w:widowControl/>
        <w:jc w:val="left"/>
        <w:rPr>
          <w:rFonts w:ascii="仿宋" w:hAnsi="仿宋" w:eastAsia="仿宋"/>
          <w:color w:val="000000" w:themeColor="text1"/>
          <w:sz w:val="24"/>
        </w:rPr>
      </w:pPr>
    </w:p>
    <w:p>
      <w:pPr>
        <w:widowControl/>
        <w:jc w:val="left"/>
        <w:rPr>
          <w:rFonts w:ascii="仿宋" w:hAnsi="仿宋" w:eastAsia="仿宋"/>
          <w:color w:val="000000" w:themeColor="text1"/>
          <w:sz w:val="24"/>
        </w:rPr>
      </w:pPr>
    </w:p>
    <w:p>
      <w:pPr>
        <w:widowControl/>
        <w:jc w:val="left"/>
        <w:rPr>
          <w:rFonts w:ascii="仿宋" w:hAnsi="仿宋" w:eastAsia="仿宋"/>
          <w:color w:val="000000" w:themeColor="text1"/>
          <w:sz w:val="24"/>
        </w:rPr>
      </w:pPr>
    </w:p>
    <w:p>
      <w:pPr>
        <w:widowControl/>
        <w:jc w:val="left"/>
        <w:rPr>
          <w:rFonts w:ascii="仿宋" w:hAnsi="仿宋" w:eastAsia="仿宋"/>
          <w:color w:val="000000" w:themeColor="text1"/>
          <w:sz w:val="24"/>
        </w:rPr>
      </w:pPr>
    </w:p>
    <w:p>
      <w:pPr>
        <w:widowControl/>
        <w:jc w:val="left"/>
        <w:rPr>
          <w:rFonts w:ascii="仿宋" w:hAnsi="仿宋" w:eastAsia="仿宋"/>
          <w:color w:val="000000" w:themeColor="text1"/>
          <w:sz w:val="24"/>
        </w:rPr>
      </w:pPr>
    </w:p>
    <w:p>
      <w:pPr>
        <w:widowControl/>
        <w:jc w:val="left"/>
        <w:rPr>
          <w:rFonts w:ascii="仿宋" w:hAnsi="仿宋" w:eastAsia="仿宋"/>
          <w:color w:val="000000" w:themeColor="text1"/>
          <w:sz w:val="24"/>
        </w:rPr>
      </w:pPr>
    </w:p>
    <w:p>
      <w:pPr>
        <w:widowControl/>
        <w:jc w:val="left"/>
        <w:rPr>
          <w:rFonts w:ascii="仿宋" w:hAnsi="仿宋" w:eastAsia="仿宋"/>
          <w:color w:val="000000" w:themeColor="text1"/>
          <w:sz w:val="24"/>
        </w:rPr>
      </w:pPr>
    </w:p>
    <w:p>
      <w:pPr>
        <w:widowControl/>
        <w:jc w:val="left"/>
        <w:rPr>
          <w:rFonts w:ascii="仿宋" w:hAnsi="仿宋" w:eastAsia="仿宋"/>
          <w:color w:val="000000" w:themeColor="text1"/>
          <w:sz w:val="24"/>
        </w:rPr>
      </w:pPr>
    </w:p>
    <w:p>
      <w:pPr>
        <w:widowControl/>
        <w:jc w:val="left"/>
        <w:rPr>
          <w:rFonts w:ascii="仿宋" w:hAnsi="仿宋" w:eastAsia="仿宋"/>
          <w:color w:val="000000" w:themeColor="text1"/>
          <w:sz w:val="24"/>
        </w:rPr>
      </w:pPr>
    </w:p>
    <w:p>
      <w:pPr>
        <w:widowControl/>
        <w:jc w:val="left"/>
        <w:rPr>
          <w:rFonts w:ascii="仿宋" w:hAnsi="仿宋" w:eastAsia="仿宋"/>
          <w:color w:val="000000"/>
          <w:sz w:val="24"/>
        </w:rPr>
      </w:pPr>
    </w:p>
    <w:p>
      <w:pPr>
        <w:adjustRightInd w:val="0"/>
        <w:snapToGrid w:val="0"/>
        <w:spacing w:line="360" w:lineRule="auto"/>
        <w:jc w:val="center"/>
        <w:outlineLvl w:val="0"/>
        <w:rPr>
          <w:rFonts w:ascii="仿宋" w:hAnsi="仿宋" w:eastAsia="仿宋"/>
          <w:sz w:val="32"/>
          <w:szCs w:val="32"/>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ind w:firstLine="2200" w:firstLineChars="500"/>
        <w:jc w:val="left"/>
        <w:rPr>
          <w:rFonts w:ascii="黑体" w:hAnsi="黑体" w:eastAsia="黑体" w:cs="黑体"/>
          <w:sz w:val="44"/>
          <w:szCs w:val="44"/>
        </w:rPr>
      </w:pPr>
      <w:r>
        <w:rPr>
          <w:rFonts w:hint="eastAsia" w:ascii="黑体" w:hAnsi="黑体" w:eastAsia="黑体" w:cs="黑体"/>
          <w:sz w:val="44"/>
          <w:szCs w:val="44"/>
        </w:rPr>
        <w:t>第一部分 部门概况</w:t>
      </w:r>
      <w:bookmarkEnd w:id="14"/>
      <w:bookmarkEnd w:id="15"/>
    </w:p>
    <w:p>
      <w:pPr>
        <w:pStyle w:val="4"/>
        <w:spacing w:line="576" w:lineRule="exact"/>
        <w:ind w:firstLine="640" w:firstLineChars="200"/>
        <w:rPr>
          <w:rStyle w:val="25"/>
          <w:rFonts w:ascii="黑体" w:hAnsi="黑体" w:eastAsia="黑体"/>
          <w:b w:val="0"/>
          <w:bCs w:val="0"/>
        </w:rPr>
      </w:pPr>
      <w:bookmarkStart w:id="16" w:name="_Toc72671113"/>
      <w:bookmarkStart w:id="17" w:name="_Toc15396600"/>
      <w:bookmarkStart w:id="18" w:name="_Toc15377197"/>
      <w:r>
        <w:rPr>
          <w:rFonts w:hint="eastAsia" w:ascii="黑体" w:hAnsi="黑体" w:eastAsia="黑体"/>
          <w:b w:val="0"/>
          <w:bCs w:val="0"/>
          <w:color w:val="000000"/>
        </w:rPr>
        <w:t>一、基</w:t>
      </w:r>
      <w:r>
        <w:rPr>
          <w:rStyle w:val="25"/>
          <w:rFonts w:hint="eastAsia" w:ascii="黑体" w:hAnsi="黑体" w:eastAsia="黑体"/>
          <w:b w:val="0"/>
          <w:bCs w:val="0"/>
        </w:rPr>
        <w:t>本职能及主要工作</w:t>
      </w:r>
      <w:bookmarkEnd w:id="16"/>
      <w:bookmarkEnd w:id="17"/>
      <w:bookmarkEnd w:id="18"/>
      <w:bookmarkStart w:id="19" w:name="_Toc15378445"/>
      <w:bookmarkStart w:id="20" w:name="_Toc15377198"/>
    </w:p>
    <w:p>
      <w:pPr>
        <w:pStyle w:val="4"/>
        <w:adjustRightInd w:val="0"/>
        <w:spacing w:line="576" w:lineRule="exact"/>
        <w:ind w:firstLine="720" w:firstLineChars="200"/>
        <w:rPr>
          <w:rFonts w:asciiTheme="majorEastAsia" w:hAnsiTheme="majorEastAsia"/>
          <w:b w:val="0"/>
          <w:bCs w:val="0"/>
          <w:color w:val="000000"/>
          <w:sz w:val="36"/>
          <w:szCs w:val="36"/>
        </w:rPr>
      </w:pPr>
      <w:bookmarkStart w:id="21" w:name="_Toc72671114"/>
      <w:r>
        <w:rPr>
          <w:rFonts w:hint="eastAsia" w:asciiTheme="majorEastAsia" w:hAnsiTheme="majorEastAsia"/>
          <w:b w:val="0"/>
          <w:bCs w:val="0"/>
          <w:color w:val="000000"/>
          <w:sz w:val="36"/>
          <w:szCs w:val="36"/>
        </w:rPr>
        <w:t>（一）主要职责</w:t>
      </w:r>
      <w:bookmarkEnd w:id="21"/>
    </w:p>
    <w:p>
      <w:pPr>
        <w:pStyle w:val="4"/>
        <w:adjustRightInd w:val="0"/>
        <w:spacing w:line="576" w:lineRule="exact"/>
        <w:ind w:firstLine="640" w:firstLineChars="200"/>
        <w:rPr>
          <w:rFonts w:ascii="楷体" w:hAnsi="楷体" w:eastAsia="楷体"/>
          <w:b w:val="0"/>
          <w:bCs w:val="0"/>
          <w:color w:val="000000"/>
        </w:rPr>
      </w:pPr>
      <w:bookmarkStart w:id="22" w:name="_Toc72671115"/>
      <w:r>
        <w:rPr>
          <w:rFonts w:ascii="仿宋" w:hAnsi="仿宋" w:eastAsia="仿宋"/>
          <w:b w:val="0"/>
          <w:bCs w:val="0"/>
        </w:rPr>
        <w:t>（</w:t>
      </w:r>
      <w:r>
        <w:rPr>
          <w:rFonts w:hint="eastAsia" w:ascii="仿宋" w:hAnsi="仿宋" w:eastAsia="仿宋"/>
          <w:b w:val="0"/>
          <w:bCs w:val="0"/>
        </w:rPr>
        <w:t>1</w:t>
      </w:r>
      <w:r>
        <w:rPr>
          <w:rFonts w:ascii="仿宋" w:hAnsi="仿宋" w:eastAsia="仿宋"/>
          <w:b w:val="0"/>
          <w:bCs w:val="0"/>
        </w:rPr>
        <w:t>）贯彻执行中央关于行政管理体制改革和机构改革、事业单位改革及机构编制管理的方针政策、法律法规规章，研究起草规章草案、规范性文件，制定相关政策并监督实施。</w:t>
      </w:r>
      <w:bookmarkEnd w:id="22"/>
    </w:p>
    <w:p>
      <w:pPr>
        <w:adjustRightInd w:val="0"/>
        <w:spacing w:line="576"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研究拟订全区行政管理体制改革和机构改革方案，审核区级部门“三定”规定和乡镇（街道）机构改革方案，指导各乡镇（街道）、各部门行政管理体制改革和机构改革，评估改革效果，参与行政审批制度改革和行政区划调整的有关工作。</w:t>
      </w:r>
    </w:p>
    <w:p>
      <w:pPr>
        <w:spacing w:line="576"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）拟订全区各级行政编制总额分配方案，分配政法专项编制。负责全区行政事业编制总量控制和机关事业单位机构编制实名制管理工作，对区直机关和区属事业单位使用空缺编制补充人员进行核批。</w:t>
      </w:r>
    </w:p>
    <w:p>
      <w:pPr>
        <w:spacing w:line="576"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）负责区委、区政府各部门，区人大、区政协机关，区法院、区检察院机关，各民主党派区委机关、区人民团体机关的机构编制管理工作。协调区级部门之间的职责分工。</w:t>
      </w:r>
    </w:p>
    <w:p>
      <w:pPr>
        <w:spacing w:line="576"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）给市委编委呈报副科级或按照副科级及以上规格管理机构的设置、调整。</w:t>
      </w:r>
    </w:p>
    <w:p>
      <w:pPr>
        <w:spacing w:line="576"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）研究拟订全区事业单位改革方案和事业单位编制标准及实施意见，负责区属事业单位机构编制管理，审核区属事业单位的机构编制方案，负责参照《公务员法》管理事业单位职责的审核工作。</w:t>
      </w:r>
    </w:p>
    <w:p>
      <w:pPr>
        <w:spacing w:line="576"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7</w:t>
      </w:r>
      <w:r>
        <w:rPr>
          <w:rFonts w:ascii="仿宋" w:hAnsi="仿宋" w:eastAsia="仿宋"/>
          <w:sz w:val="32"/>
          <w:szCs w:val="32"/>
        </w:rPr>
        <w:t>）监督检查全区行政管理体制改革和机构改革方案及机构编制规定执行情况，按照市委编委的要求，建立机构编制工作考核评估制度，会同有关部门查处机构编制违法违纪行为。</w:t>
      </w:r>
    </w:p>
    <w:p>
      <w:pPr>
        <w:spacing w:line="576"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8</w:t>
      </w:r>
      <w:r>
        <w:rPr>
          <w:rFonts w:ascii="仿宋" w:hAnsi="仿宋" w:eastAsia="仿宋"/>
          <w:sz w:val="32"/>
          <w:szCs w:val="32"/>
        </w:rPr>
        <w:t>）负责全区事业单位登记管理工作。</w:t>
      </w:r>
    </w:p>
    <w:p>
      <w:pPr>
        <w:pStyle w:val="2"/>
        <w:adjustRightInd w:val="0"/>
        <w:snapToGrid w:val="0"/>
        <w:spacing w:before="93" w:line="576" w:lineRule="exact"/>
        <w:ind w:firstLine="672" w:firstLineChars="21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指导、协调、监督并推进全区深化行政审批制度改革工作。</w:t>
      </w:r>
    </w:p>
    <w:p>
      <w:pPr>
        <w:pStyle w:val="2"/>
        <w:adjustRightInd w:val="0"/>
        <w:snapToGrid w:val="0"/>
        <w:spacing w:before="93" w:line="576" w:lineRule="exact"/>
        <w:ind w:firstLine="672" w:firstLineChars="210"/>
        <w:rPr>
          <w:rFonts w:hint="eastAsia" w:ascii="仿宋" w:hAnsi="仿宋" w:eastAsia="仿宋"/>
          <w:sz w:val="32"/>
          <w:szCs w:val="32"/>
        </w:rPr>
      </w:pPr>
      <w:r>
        <w:rPr>
          <w:rFonts w:hint="eastAsia" w:ascii="仿宋" w:hAnsi="仿宋" w:eastAsia="仿宋"/>
          <w:sz w:val="32"/>
          <w:szCs w:val="32"/>
        </w:rPr>
        <w:t>（10）</w:t>
      </w:r>
      <w:r>
        <w:rPr>
          <w:rFonts w:ascii="仿宋" w:hAnsi="仿宋" w:eastAsia="仿宋"/>
          <w:sz w:val="32"/>
          <w:szCs w:val="32"/>
        </w:rPr>
        <w:t>承办区委、区政府和区委编委交办的其他事项。</w:t>
      </w:r>
    </w:p>
    <w:p>
      <w:pPr>
        <w:spacing w:line="560" w:lineRule="exact"/>
        <w:ind w:firstLine="360" w:firstLineChars="100"/>
        <w:rPr>
          <w:rFonts w:asciiTheme="majorEastAsia" w:hAnsiTheme="majorEastAsia" w:eastAsiaTheme="majorEastAsia" w:cstheme="majorBidi"/>
          <w:color w:val="000000"/>
          <w:sz w:val="36"/>
          <w:szCs w:val="36"/>
        </w:rPr>
      </w:pPr>
      <w:r>
        <w:rPr>
          <w:rFonts w:hint="eastAsia" w:asciiTheme="majorEastAsia" w:hAnsiTheme="majorEastAsia" w:eastAsiaTheme="majorEastAsia" w:cstheme="majorBidi"/>
          <w:color w:val="000000"/>
          <w:sz w:val="36"/>
          <w:szCs w:val="36"/>
        </w:rPr>
        <w:t>（二）</w:t>
      </w:r>
      <w:r>
        <w:rPr>
          <w:rFonts w:asciiTheme="majorEastAsia" w:hAnsiTheme="majorEastAsia" w:eastAsiaTheme="majorEastAsia" w:cstheme="majorBidi"/>
          <w:color w:val="000000"/>
          <w:sz w:val="36"/>
          <w:szCs w:val="36"/>
        </w:rPr>
        <w:t>201</w:t>
      </w:r>
      <w:r>
        <w:rPr>
          <w:rFonts w:hint="eastAsia" w:asciiTheme="majorEastAsia" w:hAnsiTheme="majorEastAsia" w:eastAsiaTheme="majorEastAsia" w:cstheme="majorBidi"/>
          <w:color w:val="000000"/>
          <w:sz w:val="36"/>
          <w:szCs w:val="36"/>
        </w:rPr>
        <w:t>9年重点工作完成情况</w:t>
      </w:r>
    </w:p>
    <w:p>
      <w:pPr>
        <w:spacing w:line="60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全面完成党政机构改革各项任务</w:t>
      </w:r>
    </w:p>
    <w:p>
      <w:pPr>
        <w:spacing w:line="600" w:lineRule="exact"/>
        <w:ind w:firstLine="640"/>
        <w:rPr>
          <w:rFonts w:ascii="仿宋" w:hAnsi="仿宋" w:eastAsia="仿宋"/>
          <w:sz w:val="32"/>
          <w:szCs w:val="32"/>
        </w:rPr>
      </w:pPr>
      <w:r>
        <w:rPr>
          <w:rFonts w:hint="eastAsia" w:ascii="仿宋" w:hAnsi="仿宋" w:eastAsia="仿宋"/>
          <w:kern w:val="0"/>
          <w:sz w:val="32"/>
          <w:szCs w:val="32"/>
        </w:rPr>
        <w:t>根据</w:t>
      </w:r>
      <w:r>
        <w:rPr>
          <w:rFonts w:hint="eastAsia" w:ascii="仿宋" w:hAnsi="仿宋" w:eastAsia="仿宋"/>
          <w:color w:val="000000"/>
          <w:sz w:val="32"/>
          <w:szCs w:val="32"/>
        </w:rPr>
        <w:t>《中共四川省委、四川省人民政府关于印发〈市县机构改革的总体意见〉的通知》</w:t>
      </w:r>
      <w:r>
        <w:rPr>
          <w:rFonts w:ascii="仿宋" w:hAnsi="仿宋" w:eastAsia="仿宋"/>
          <w:kern w:val="0"/>
          <w:sz w:val="32"/>
          <w:szCs w:val="32"/>
        </w:rPr>
        <w:t>精神</w:t>
      </w:r>
      <w:r>
        <w:rPr>
          <w:rFonts w:hint="eastAsia" w:ascii="仿宋" w:hAnsi="仿宋" w:eastAsia="仿宋"/>
          <w:kern w:val="0"/>
          <w:sz w:val="32"/>
          <w:szCs w:val="32"/>
        </w:rPr>
        <w:t>，</w:t>
      </w:r>
      <w:r>
        <w:rPr>
          <w:rFonts w:ascii="仿宋" w:hAnsi="仿宋" w:eastAsia="仿宋"/>
          <w:kern w:val="0"/>
          <w:sz w:val="32"/>
          <w:szCs w:val="32"/>
        </w:rPr>
        <w:t>科学制定《广元市昭化区机构改革方案》和《广元市昭化区机构改革方案的实施意见》，全面按照“四个统一设置”要求，</w:t>
      </w:r>
      <w:r>
        <w:rPr>
          <w:rFonts w:ascii="仿宋" w:hAnsi="仿宋" w:eastAsia="仿宋"/>
          <w:sz w:val="32"/>
          <w:szCs w:val="32"/>
        </w:rPr>
        <w:t>成立了9个区委议事协调机构，加强了党对深化改革、依法治国、经济、国家安全、网络信息、财经、外事、机构编制、审计、教育、农业农村等重大工作的领导。充实了党的组织、宣传、统战、政法、机关党建等部门职责配置，强化归口协调本系统本领域重大工作职能。组建了区监察委员会，加强党对反腐败工作的统一领导，构建了党统一指挥、全面覆盖、权威高效的监督体系。落实机构改革刚性约束，加强对合署办公机构、挂牌机构、议事协调机构、临时机构、派出机构规范管理，在限额内设置了35个区委区政府工作部门（区委工作部门9个，区政府工作部门26个），15个完全对应中央和省级、市级层面设置，16个基本对应设置，因地制宜设置了区林业局、区扶贫开发局、区行政审批局和区综合行政执法局4个特色机构，确保了党的集中统一领导和国家法制统一、政令统一、市场统一，确保了上下贯通、执行有力。推进机构编制法定化，机构编制管理的刚性约束得到强化。分批次制定印发了20个区委区政府工作部门、7个区委区政府直属事业单位的“三定规定”和11个区委区政府工作部门“一事一议”机构编制调整事项，并将“三定规定”及一事一议事项文件向市委编办报备。改革后，全区党政机构数量维持不变，挂靠机构减少20个，挂牌机构减少4个，部门机构编制职数严格控制在中央和省市确定的总盘子内，总体实现精简。</w:t>
      </w:r>
    </w:p>
    <w:p>
      <w:pPr>
        <w:spacing w:line="60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严格机构编制日常管理</w:t>
      </w:r>
    </w:p>
    <w:p>
      <w:pPr>
        <w:spacing w:line="600" w:lineRule="exact"/>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全面落实机构编制“1+8”政策体系。运用“四个三”机构编制理论指导全区机构编制工作，统筹考虑各类机构设置、科学配置各类编制资源。严格机构编制管理，积极探索创新机构编制管理模式，确保将有限的机构编制资源用到事关社会经济发展、民生大事的关键领域。规范区纪委监委派驻（出）机构、区医疗保障事务中心等20余个机构的职能职责、编制和职数调整等事项，进一步提高了机构编制服务全区中心工作的水平。</w:t>
      </w:r>
    </w:p>
    <w:p>
      <w:pPr>
        <w:spacing w:line="600" w:lineRule="exact"/>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服务发展大局，用活编制资源。一是深入实施岗编适度分离。围绕全区“4+2”特色农业产业，采用“岗编分离”制度持续推进“五大到乡工程”，招引人才及岗位下沉到农村基层一线。将全区教育、卫生、农业、林业、水利等行业系统共814名干部人才派驻到乡镇，下派干部占全区事业编制22.78%，实行双重管理的“岗编分离”模式，推动干部、人才下沉，做到干部在基层历练成长、干部从基层选拔，为乡镇脱贫攻坚、乡村振兴、经济社会发展提供了机构编制保障。二是落实人才专项编制。为认真贯彻落实中央省市区人才发展战略，昭化区积极探索创新高层次人才与编制管理的有机结合，充分发挥事业编制在招才、引才、留才的蓄水池功能，设立乡村振兴人才专项编制，继续稳定保持人才专项机动编制40名，今年选拔各类高层次人才14名。三是积极推进区管校聘试点，优化教师队伍配置。以机构编制动态管理为目标，调整了全区中小学教职工编制，大力推行区管校聘试点。7所学校共有211人参加聘任，共计分流教师25人，分流教师达到10%以上。有力促进了试点片区学校师资均衡配置，全面激发了教师队伍活力。四是创新政法编制管理。我区通过事权下放，警力下沉，权责一致，内部挖潜，有序推进派出所政法专项编制挖潜增效。因地制宜将分局各警种承担的交通、消防、特巡警等管理职能职责依法委托、下放或授权派出所承担，进一步理顺分局各警种和派出所的职责边界，政法专项编制使用效力进一步提升。</w:t>
      </w:r>
    </w:p>
    <w:p>
      <w:pPr>
        <w:spacing w:line="60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持续深化重点领域体制改革</w:t>
      </w:r>
    </w:p>
    <w:p>
      <w:pPr>
        <w:spacing w:line="600" w:lineRule="exact"/>
        <w:ind w:firstLine="640"/>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1</w:t>
      </w:r>
      <w:r>
        <w:rPr>
          <w:rFonts w:ascii="仿宋" w:hAnsi="仿宋" w:eastAsia="仿宋"/>
          <w:kern w:val="0"/>
          <w:sz w:val="32"/>
          <w:szCs w:val="32"/>
        </w:rPr>
        <w:t>）积极做好</w:t>
      </w:r>
      <w:bookmarkStart w:id="23" w:name="baidusnap5"/>
      <w:bookmarkEnd w:id="23"/>
      <w:r>
        <w:rPr>
          <w:rFonts w:ascii="仿宋" w:hAnsi="仿宋" w:eastAsia="仿宋"/>
          <w:kern w:val="0"/>
          <w:sz w:val="32"/>
          <w:szCs w:val="32"/>
        </w:rPr>
        <w:t>行政权力事项划转工作。结合《四川省行政许可事项清单（2018年本）》，出台了《广元市昭化区行政许可指导清单（2018年本）》，共计5306项行政权力通过政府网站对外公开。完成区委宣传部等7个部门共计560项行政权力事项调整。将区发展和改革局等5个部门承担的11项行政许可事项划入区行政审批局集中进行审批。市直垂管部门行政审批事项和区级部门未划转事项统一进驻政务大厅，实行窗口集中办理。</w:t>
      </w:r>
    </w:p>
    <w:p>
      <w:pPr>
        <w:spacing w:line="600" w:lineRule="exact"/>
        <w:ind w:firstLine="640"/>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2</w:t>
      </w:r>
      <w:r>
        <w:rPr>
          <w:rFonts w:ascii="仿宋" w:hAnsi="仿宋" w:eastAsia="仿宋"/>
          <w:kern w:val="0"/>
          <w:sz w:val="32"/>
          <w:szCs w:val="32"/>
        </w:rPr>
        <w:t>）整合基层审批服务和执法力量。</w:t>
      </w:r>
      <w:r>
        <w:rPr>
          <w:rFonts w:ascii="仿宋" w:hAnsi="仿宋" w:eastAsia="仿宋"/>
          <w:sz w:val="32"/>
          <w:szCs w:val="32"/>
        </w:rPr>
        <w:t>印发了区综合行政执法局“三定规定”，成立了区综合行政执法大队。</w:t>
      </w:r>
      <w:r>
        <w:rPr>
          <w:rFonts w:ascii="仿宋" w:hAnsi="仿宋" w:eastAsia="仿宋"/>
          <w:kern w:val="0"/>
          <w:sz w:val="32"/>
          <w:szCs w:val="32"/>
        </w:rPr>
        <w:t>有序推进市场监管、生态环境保护、文化市场、交通运输、农业等领域综合执法，整合组建了市场监管、文化市场等4支综合行政执法大队。按照依法下放、宜放则放原则，将点多面广、基层管理迫切需要且能有效承接的审批服务执法等权限依法赋予镇政府，逐步实行“一枚印章管审批（服务）”“一支队伍管执法”，在全区12个镇统一设置“综合行政执法办公室”“便民服务中心”，保证基层事情基层办、基层权力给基层。</w:t>
      </w:r>
    </w:p>
    <w:p>
      <w:pPr>
        <w:spacing w:line="600" w:lineRule="exact"/>
        <w:ind w:firstLine="640"/>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3</w:t>
      </w:r>
      <w:r>
        <w:rPr>
          <w:rFonts w:ascii="仿宋" w:hAnsi="仿宋" w:eastAsia="仿宋"/>
          <w:kern w:val="0"/>
          <w:sz w:val="32"/>
          <w:szCs w:val="32"/>
        </w:rPr>
        <w:t>）稳妥推进乡镇机构改革工作。按照省市乡镇区划调整改革工作要求，保留和新组建了12个镇，撤并率达58.6%。印发了《关于乡镇区划调整改革机构编制和干部安置工作的实施意见》，明确了各镇职能配置、党政机构、事业单位、领导职数、行政和事业编制数。目前12个镇已全部挂牌并高效运行，完成了事业人员及工勤人员的转隶工作。正在制定镇“三定”规定。</w:t>
      </w:r>
    </w:p>
    <w:p>
      <w:pPr>
        <w:spacing w:line="60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全面完成事业单位改革</w:t>
      </w:r>
    </w:p>
    <w:p>
      <w:pPr>
        <w:spacing w:line="600" w:lineRule="exact"/>
        <w:ind w:firstLine="640"/>
        <w:rPr>
          <w:rFonts w:ascii="仿宋" w:hAnsi="仿宋" w:eastAsia="仿宋"/>
          <w:sz w:val="32"/>
          <w:szCs w:val="32"/>
        </w:rPr>
      </w:pPr>
      <w:r>
        <w:rPr>
          <w:rFonts w:ascii="仿宋" w:hAnsi="仿宋" w:eastAsia="仿宋"/>
          <w:sz w:val="32"/>
          <w:szCs w:val="32"/>
        </w:rPr>
        <w:t>坚持政事分开、精简效能、依法行政、分步推进、统筹兼顾的原则，按照简政放权和推行政府权力清单制度等工作要求，积极组织全区所有事业单位对照2018年全省权力清单目录全覆盖清理承担的行政职能。完成了承担行政职能事业单位改革工作，将23个事业单位承担的行政职能划转到相关行政部门，新成立事业单位13个，更名事业单位54个（其中科级28个），撤销事业单位25个，整合事业单位21个。</w:t>
      </w:r>
    </w:p>
    <w:p>
      <w:pPr>
        <w:spacing w:line="600" w:lineRule="exact"/>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强化机构编制刚性约束</w:t>
      </w:r>
    </w:p>
    <w:p>
      <w:pPr>
        <w:spacing w:line="600" w:lineRule="exact"/>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认真学习贯彻《中国共产党机构编制工作条例》。及时组织全体干部职工开展集中学习，并将《条例》纳入区委常委会会前学法，组织全体干部职工参加全市学习贯彻《条例》培训班。我区将《条例》全文转发各区级部门（单位）和乡镇党委政府，通过网站、微信公众号等新媒体，加大对《条例》的宣传力度，扩大宣传覆盖面和政策知晓率，营造了浓厚的舆论氛围。</w:t>
      </w:r>
    </w:p>
    <w:p>
      <w:pPr>
        <w:spacing w:line="600" w:lineRule="exact"/>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加强机构编制纪律约束。严格机构编制“三重工作”季报制度。健全了机构编制违规违纪台账管理制度、领导职数管理台账制度，对全区机关事业单位机构编制违规违纪行为、副科级以上领导职数实行台账制管理。接受了省委选人用人专项巡视，现已完成了区教育局、区发改局违规设置的领导职数的整改。将机构编制执行情况纳入党委巡察和党政主要领导干部经济责任审计，将区教育局、张家乡等两个单位的机构编制管理情况纳入了经济责任审计。</w:t>
      </w:r>
    </w:p>
    <w:p>
      <w:pPr>
        <w:spacing w:line="600" w:lineRule="exact"/>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严格机构编制管理权限。严格执行机构编制管理法律法规和政策规定，严控编制总量，未发生擅自增加机构、提升规格、增加编制、增加领导职数等事项。年内无“12310”举报案件，未新增违反机构编制管理权限和程序的行为。</w:t>
      </w:r>
    </w:p>
    <w:p>
      <w:pPr>
        <w:spacing w:line="600" w:lineRule="exact"/>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认真落实规范性文件备案审查。我办认真将规范性文件备案工作与已制发文件审查工作紧密结合，坚持“有件必备、有备必查、有错必纠”的审查原则，组织人员对今年制发的规范性文件进行审查，严把政策法规关，防止规范性文件不备、不查。全年向市上备案规范性文件1件（《中共广元市昭化区委机构编制委员会工作规则》和《中共广元市昭化区委机构编制委员会办公室工作细则》）。</w:t>
      </w:r>
    </w:p>
    <w:p>
      <w:pPr>
        <w:spacing w:line="600" w:lineRule="exact"/>
        <w:ind w:firstLine="64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创新机构编制管理</w:t>
      </w:r>
    </w:p>
    <w:p>
      <w:pPr>
        <w:spacing w:line="600" w:lineRule="exact"/>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）积极报送信息简报。着眼机构编制综合性、基础性和热点难点问题，全年向市委编办报送信息20余条，广元事业单位在线采用4条，被市事登局通报表扬。</w:t>
      </w:r>
    </w:p>
    <w:p>
      <w:pPr>
        <w:spacing w:line="600" w:lineRule="exact"/>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）事业单位登记管理规范有序。</w:t>
      </w:r>
      <w:r>
        <w:rPr>
          <w:rFonts w:ascii="仿宋" w:hAnsi="仿宋" w:eastAsia="仿宋"/>
          <w:kern w:val="0"/>
          <w:sz w:val="32"/>
          <w:szCs w:val="32"/>
        </w:rPr>
        <w:t>全面完成</w:t>
      </w:r>
      <w:r>
        <w:rPr>
          <w:rFonts w:ascii="仿宋" w:hAnsi="仿宋" w:eastAsia="仿宋"/>
          <w:sz w:val="32"/>
          <w:szCs w:val="32"/>
        </w:rPr>
        <w:t>了2018年度248家事业单位法人年度报告公示（公示率100%）、党政机关事业</w:t>
      </w:r>
      <w:r>
        <w:rPr>
          <w:rFonts w:ascii="仿宋" w:hAnsi="仿宋" w:eastAsia="仿宋"/>
          <w:kern w:val="0"/>
          <w:sz w:val="32"/>
          <w:szCs w:val="32"/>
        </w:rPr>
        <w:t>单位网站资格审核和加挂标识、中文域名注册续费工作。完成了王家中学等5家事业单位的绩效评估工作。组织区级11名事业单位法人参加全市事业单位法人培训。完成12家事业单位法人公示信息抽查工作。做好改革期间机关事业单位调整变更涉及的赋码颁证和相关登记管理工作，截</w:t>
      </w:r>
      <w:r>
        <w:rPr>
          <w:rFonts w:hint="eastAsia" w:ascii="仿宋" w:hAnsi="仿宋" w:eastAsia="仿宋"/>
          <w:kern w:val="0"/>
          <w:sz w:val="32"/>
          <w:szCs w:val="32"/>
          <w:lang w:val="en-US" w:eastAsia="zh-CN"/>
        </w:rPr>
        <w:t>至</w:t>
      </w:r>
      <w:bookmarkStart w:id="103" w:name="_GoBack"/>
      <w:bookmarkEnd w:id="103"/>
      <w:r>
        <w:rPr>
          <w:rFonts w:ascii="仿宋" w:hAnsi="仿宋" w:eastAsia="仿宋"/>
          <w:kern w:val="0"/>
          <w:sz w:val="32"/>
          <w:szCs w:val="32"/>
        </w:rPr>
        <w:t>目前，完成设立登记15个（其中事业单位3个、机关群团12个），变更登记66个（其中事业单位61个、机关群团5个），注销登记16个（其中事业单位注销3个、机关群团注销13个），补领证书6个。</w:t>
      </w:r>
    </w:p>
    <w:p>
      <w:pPr>
        <w:spacing w:line="560" w:lineRule="exact"/>
        <w:ind w:firstLine="640" w:firstLineChars="200"/>
        <w:rPr>
          <w:rStyle w:val="30"/>
          <w:rFonts w:ascii="黑体" w:hAnsi="黑体" w:eastAsia="黑体" w:cs="黑体"/>
          <w:b w:val="0"/>
          <w:bCs w:val="0"/>
        </w:rPr>
      </w:pPr>
      <w:r>
        <w:rPr>
          <w:rFonts w:hint="eastAsia" w:ascii="黑体" w:hAnsi="黑体" w:eastAsia="黑体" w:cs="黑体"/>
          <w:color w:val="000000"/>
          <w:sz w:val="32"/>
          <w:szCs w:val="32"/>
        </w:rPr>
        <w:t>二、机</w:t>
      </w:r>
      <w:r>
        <w:rPr>
          <w:rStyle w:val="30"/>
          <w:rFonts w:hint="eastAsia" w:ascii="黑体" w:hAnsi="黑体" w:eastAsia="黑体" w:cs="黑体"/>
          <w:b w:val="0"/>
          <w:bCs w:val="0"/>
        </w:rPr>
        <w:t>构设置</w:t>
      </w:r>
    </w:p>
    <w:p>
      <w:pPr>
        <w:ind w:firstLine="800" w:firstLineChars="250"/>
        <w:rPr>
          <w:rFonts w:ascii="仿宋" w:hAnsi="仿宋" w:eastAsia="仿宋"/>
          <w:sz w:val="32"/>
          <w:szCs w:val="32"/>
        </w:rPr>
      </w:pPr>
      <w:r>
        <w:rPr>
          <w:rFonts w:hint="eastAsia" w:ascii="仿宋" w:hAnsi="仿宋" w:eastAsia="仿宋"/>
          <w:sz w:val="32"/>
          <w:szCs w:val="32"/>
        </w:rPr>
        <w:t>区委编办下属事业单位2个，其中参照公务员法管理的事业单位1个，其他事业单位1个。</w:t>
      </w:r>
    </w:p>
    <w:p>
      <w:pPr>
        <w:pStyle w:val="2"/>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纳入区委编办2019年度部门决算编制范围的二级预算单位没有。</w:t>
      </w:r>
    </w:p>
    <w:p>
      <w:pPr>
        <w:pStyle w:val="2"/>
        <w:adjustRightInd w:val="0"/>
        <w:snapToGrid w:val="0"/>
        <w:spacing w:before="93" w:line="600" w:lineRule="exact"/>
        <w:ind w:firstLine="672" w:firstLineChars="210"/>
        <w:rPr>
          <w:rFonts w:ascii="仿宋" w:hAnsi="仿宋" w:eastAsia="仿宋"/>
          <w:color w:val="000000"/>
          <w:sz w:val="32"/>
          <w:szCs w:val="32"/>
        </w:rPr>
      </w:pPr>
    </w:p>
    <w:p>
      <w:pPr>
        <w:pStyle w:val="2"/>
        <w:adjustRightInd w:val="0"/>
        <w:snapToGrid w:val="0"/>
        <w:spacing w:before="93" w:line="600" w:lineRule="exact"/>
        <w:ind w:firstLine="672" w:firstLineChars="210"/>
        <w:rPr>
          <w:rFonts w:ascii="仿宋" w:hAnsi="仿宋" w:eastAsia="仿宋"/>
          <w:color w:val="000000"/>
          <w:sz w:val="32"/>
          <w:szCs w:val="32"/>
        </w:rPr>
      </w:pPr>
    </w:p>
    <w:p>
      <w:pPr>
        <w:pStyle w:val="2"/>
        <w:adjustRightInd w:val="0"/>
        <w:snapToGrid w:val="0"/>
        <w:spacing w:before="93" w:line="600" w:lineRule="exact"/>
        <w:ind w:firstLine="672" w:firstLineChars="210"/>
        <w:rPr>
          <w:rFonts w:ascii="仿宋" w:hAnsi="仿宋" w:eastAsia="仿宋"/>
          <w:color w:val="000000"/>
          <w:sz w:val="32"/>
          <w:szCs w:val="32"/>
        </w:rPr>
      </w:pPr>
    </w:p>
    <w:p>
      <w:pPr>
        <w:widowControl/>
        <w:jc w:val="left"/>
        <w:rPr>
          <w:rFonts w:hint="eastAsia" w:ascii="仿宋" w:hAnsi="仿宋" w:eastAsia="仿宋"/>
          <w:color w:val="000000"/>
          <w:kern w:val="0"/>
          <w:sz w:val="32"/>
          <w:szCs w:val="32"/>
        </w:rPr>
      </w:pPr>
      <w:r>
        <w:rPr>
          <w:rFonts w:ascii="仿宋" w:hAnsi="仿宋" w:eastAsia="仿宋"/>
          <w:color w:val="000000"/>
          <w:sz w:val="32"/>
          <w:szCs w:val="32"/>
        </w:rPr>
        <w:br w:type="page"/>
      </w:r>
    </w:p>
    <w:bookmarkEnd w:id="19"/>
    <w:bookmarkEnd w:id="20"/>
    <w:p>
      <w:pPr>
        <w:widowControl/>
        <w:jc w:val="center"/>
        <w:rPr>
          <w:rFonts w:hint="eastAsia" w:ascii="黑体" w:hAnsi="黑体" w:eastAsia="黑体"/>
          <w:kern w:val="44"/>
          <w:sz w:val="44"/>
          <w:szCs w:val="44"/>
        </w:rPr>
      </w:pPr>
      <w:bookmarkStart w:id="24" w:name="_Toc15377204"/>
      <w:bookmarkStart w:id="25" w:name="_Toc15396602"/>
      <w:r>
        <w:rPr>
          <w:rFonts w:hint="eastAsia" w:ascii="黑体" w:hAnsi="黑体" w:eastAsia="黑体"/>
          <w:kern w:val="44"/>
          <w:sz w:val="44"/>
          <w:szCs w:val="44"/>
        </w:rPr>
        <w:t>第二部分 2019年度部门决算情况说明</w:t>
      </w:r>
      <w:bookmarkEnd w:id="24"/>
      <w:bookmarkEnd w:id="25"/>
    </w:p>
    <w:p>
      <w:pPr>
        <w:pStyle w:val="23"/>
        <w:numPr>
          <w:ilvl w:val="0"/>
          <w:numId w:val="1"/>
        </w:numPr>
        <w:spacing w:line="600" w:lineRule="exact"/>
        <w:ind w:firstLineChars="0"/>
        <w:outlineLvl w:val="1"/>
        <w:rPr>
          <w:rStyle w:val="25"/>
          <w:rFonts w:ascii="黑体" w:hAnsi="黑体" w:eastAsia="黑体"/>
          <w:b w:val="0"/>
          <w:bCs w:val="0"/>
        </w:rPr>
      </w:pPr>
      <w:bookmarkStart w:id="26" w:name="_Toc72671116"/>
      <w:bookmarkStart w:id="27" w:name="_Toc15377205"/>
      <w:bookmarkStart w:id="28" w:name="_Toc15396603"/>
      <w:r>
        <w:rPr>
          <w:rFonts w:hint="eastAsia" w:ascii="黑体" w:hAnsi="黑体" w:eastAsia="黑体"/>
          <w:color w:val="000000"/>
          <w:sz w:val="32"/>
          <w:szCs w:val="32"/>
        </w:rPr>
        <w:t>收</w:t>
      </w:r>
      <w:r>
        <w:rPr>
          <w:rStyle w:val="25"/>
          <w:rFonts w:hint="eastAsia" w:ascii="黑体" w:hAnsi="黑体" w:eastAsia="黑体"/>
          <w:b w:val="0"/>
          <w:bCs w:val="0"/>
        </w:rPr>
        <w:t>入支出决算总体情况说明</w:t>
      </w:r>
      <w:bookmarkEnd w:id="26"/>
      <w:bookmarkEnd w:id="27"/>
      <w:bookmarkEnd w:id="28"/>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2019年全年收入合计149.02万元，全年支出总计147万元。与2018年相比，收入增加8.91万元，增长6.36</w:t>
      </w:r>
      <w:r>
        <w:rPr>
          <w:rFonts w:ascii="仿宋" w:hAnsi="仿宋" w:eastAsia="仿宋"/>
          <w:color w:val="000000"/>
          <w:sz w:val="32"/>
          <w:szCs w:val="32"/>
        </w:rPr>
        <w:t>%</w:t>
      </w:r>
      <w:r>
        <w:rPr>
          <w:rFonts w:hint="eastAsia" w:ascii="仿宋" w:hAnsi="仿宋" w:eastAsia="仿宋"/>
          <w:color w:val="000000"/>
          <w:sz w:val="32"/>
          <w:szCs w:val="32"/>
        </w:rPr>
        <w:t>，支出增加6.89万元，增长4.9%。主要变动原因是人员正常工资晋薪级、职务晋升调资；日常公用经费标准调标。</w:t>
      </w:r>
    </w:p>
    <w:p>
      <w:pPr>
        <w:pStyle w:val="23"/>
        <w:numPr>
          <w:ilvl w:val="0"/>
          <w:numId w:val="1"/>
        </w:numPr>
        <w:spacing w:line="600" w:lineRule="exact"/>
        <w:ind w:firstLineChars="0"/>
        <w:outlineLvl w:val="1"/>
        <w:rPr>
          <w:rStyle w:val="25"/>
          <w:rFonts w:ascii="黑体" w:hAnsi="黑体" w:eastAsia="黑体"/>
          <w:b w:val="0"/>
          <w:bCs w:val="0"/>
        </w:rPr>
      </w:pPr>
      <w:bookmarkStart w:id="29" w:name="_Toc72671117"/>
      <w:bookmarkStart w:id="30" w:name="_Toc15396604"/>
      <w:bookmarkStart w:id="31" w:name="_Toc15377206"/>
      <w:r>
        <w:rPr>
          <w:rFonts w:hint="eastAsia" w:ascii="黑体" w:hAnsi="黑体" w:eastAsia="黑体"/>
          <w:color w:val="000000"/>
          <w:sz w:val="32"/>
          <w:szCs w:val="32"/>
        </w:rPr>
        <w:t>收</w:t>
      </w:r>
      <w:r>
        <w:rPr>
          <w:rStyle w:val="25"/>
          <w:rFonts w:hint="eastAsia" w:ascii="黑体" w:hAnsi="黑体" w:eastAsia="黑体"/>
          <w:b w:val="0"/>
          <w:bCs w:val="0"/>
        </w:rPr>
        <w:t>入决算情况说明</w:t>
      </w:r>
      <w:bookmarkEnd w:id="29"/>
      <w:bookmarkEnd w:id="30"/>
      <w:bookmarkEnd w:id="31"/>
    </w:p>
    <w:p>
      <w:pPr>
        <w:spacing w:line="600" w:lineRule="exact"/>
        <w:ind w:firstLine="640" w:firstLineChars="200"/>
        <w:rPr>
          <w:rFonts w:ascii="仿宋" w:hAnsi="仿宋" w:eastAsia="仿宋"/>
          <w:color w:val="FF0000"/>
          <w:sz w:val="32"/>
          <w:szCs w:val="32"/>
        </w:rPr>
      </w:pPr>
      <w:r>
        <w:rPr>
          <w:rFonts w:hint="eastAsia" w:ascii="仿宋" w:hAnsi="仿宋" w:eastAsia="仿宋" w:cs="仿宋_GB2312"/>
          <w:color w:val="000000"/>
          <w:sz w:val="32"/>
          <w:szCs w:val="32"/>
        </w:rPr>
        <w:t>2019年本年收入合计149.02万元，其中：一般公共预算财政拨款收入149.02万元，占100%；政府性基金预算财政拨款收入0万元，占0%；国有资本经营预算财政拨款收入0万元，占0%；事业收入0万元，占0%；经营收入0万元，占0%；附属单位上缴收入0万元，占0%；其他收入0万元，占0%。</w:t>
      </w:r>
    </w:p>
    <w:p>
      <w:pPr>
        <w:pStyle w:val="23"/>
        <w:numPr>
          <w:ilvl w:val="0"/>
          <w:numId w:val="1"/>
        </w:numPr>
        <w:spacing w:line="600" w:lineRule="exact"/>
        <w:ind w:firstLineChars="0"/>
        <w:outlineLvl w:val="1"/>
        <w:rPr>
          <w:rStyle w:val="25"/>
          <w:rFonts w:ascii="黑体" w:hAnsi="黑体" w:eastAsia="黑体"/>
          <w:b w:val="0"/>
          <w:bCs w:val="0"/>
        </w:rPr>
      </w:pPr>
      <w:bookmarkStart w:id="32" w:name="_Toc72671118"/>
      <w:bookmarkStart w:id="33" w:name="_Toc15396605"/>
      <w:bookmarkStart w:id="34" w:name="_Toc15377207"/>
      <w:r>
        <w:rPr>
          <w:rFonts w:hint="eastAsia" w:ascii="黑体" w:hAnsi="黑体" w:eastAsia="黑体"/>
          <w:color w:val="000000"/>
          <w:sz w:val="32"/>
          <w:szCs w:val="32"/>
        </w:rPr>
        <w:t>支</w:t>
      </w:r>
      <w:r>
        <w:rPr>
          <w:rStyle w:val="25"/>
          <w:rFonts w:hint="eastAsia" w:ascii="黑体" w:hAnsi="黑体" w:eastAsia="黑体"/>
          <w:b w:val="0"/>
          <w:bCs w:val="0"/>
        </w:rPr>
        <w:t>出决算情况说明</w:t>
      </w:r>
      <w:bookmarkEnd w:id="32"/>
      <w:bookmarkEnd w:id="33"/>
      <w:bookmarkEnd w:id="34"/>
    </w:p>
    <w:p>
      <w:pPr>
        <w:spacing w:line="600" w:lineRule="exact"/>
        <w:ind w:firstLine="640" w:firstLineChars="200"/>
        <w:outlineLvl w:val="1"/>
        <w:rPr>
          <w:rFonts w:ascii="仿宋" w:hAnsi="仿宋" w:eastAsia="仿宋"/>
          <w:color w:val="000000"/>
          <w:sz w:val="32"/>
          <w:szCs w:val="32"/>
        </w:rPr>
      </w:pPr>
      <w:bookmarkStart w:id="35" w:name="_Toc72671119"/>
      <w:r>
        <w:rPr>
          <w:rFonts w:hint="eastAsia" w:ascii="仿宋" w:hAnsi="仿宋" w:eastAsia="仿宋"/>
          <w:color w:val="000000"/>
          <w:sz w:val="32"/>
          <w:szCs w:val="32"/>
        </w:rPr>
        <w:t>2019年全年支出合计147万元，其中：基本支出147万元，占100%；项目支出0万元，占0%；上缴上级支出0万元，占0%；经营支出0万元，占0%；对附属单位补助支出0万元，占0%。</w:t>
      </w:r>
      <w:bookmarkEnd w:id="35"/>
    </w:p>
    <w:p>
      <w:pPr>
        <w:spacing w:line="600" w:lineRule="exact"/>
        <w:ind w:firstLine="640" w:firstLineChars="200"/>
        <w:outlineLvl w:val="1"/>
        <w:rPr>
          <w:rStyle w:val="25"/>
          <w:rFonts w:ascii="黑体" w:hAnsi="黑体" w:eastAsia="黑体"/>
          <w:b w:val="0"/>
          <w:bCs w:val="0"/>
        </w:rPr>
      </w:pPr>
      <w:bookmarkStart w:id="36" w:name="_Toc15377208"/>
      <w:bookmarkStart w:id="37" w:name="_Toc15396606"/>
      <w:bookmarkStart w:id="38" w:name="_Toc72671120"/>
      <w:r>
        <w:rPr>
          <w:rFonts w:hint="eastAsia" w:ascii="黑体" w:hAnsi="黑体" w:eastAsia="黑体"/>
          <w:color w:val="000000"/>
          <w:sz w:val="32"/>
          <w:szCs w:val="32"/>
        </w:rPr>
        <w:t>四、财</w:t>
      </w:r>
      <w:r>
        <w:rPr>
          <w:rStyle w:val="25"/>
          <w:rFonts w:hint="eastAsia" w:ascii="黑体" w:hAnsi="黑体" w:eastAsia="黑体"/>
          <w:b w:val="0"/>
          <w:bCs w:val="0"/>
        </w:rPr>
        <w:t>政拨款收入支出决算总体情况说明</w:t>
      </w:r>
      <w:bookmarkEnd w:id="36"/>
      <w:bookmarkEnd w:id="37"/>
      <w:bookmarkEnd w:id="38"/>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2019年财政拨款收、支总计149.02万元。与2018年相比，财政拨款收</w:t>
      </w:r>
      <w:r>
        <w:rPr>
          <w:rFonts w:hint="eastAsia" w:ascii="仿宋" w:hAnsi="仿宋" w:eastAsia="仿宋"/>
          <w:color w:val="000000"/>
          <w:sz w:val="32"/>
          <w:szCs w:val="32"/>
        </w:rPr>
        <w:t>收入增加8.91万元</w:t>
      </w:r>
      <w:r>
        <w:rPr>
          <w:rFonts w:hint="eastAsia" w:ascii="仿宋" w:hAnsi="仿宋" w:eastAsia="仿宋" w:cs="仿宋_GB2312"/>
          <w:color w:val="000000"/>
          <w:sz w:val="32"/>
          <w:szCs w:val="32"/>
        </w:rPr>
        <w:t>，</w:t>
      </w:r>
      <w:r>
        <w:rPr>
          <w:rFonts w:hint="eastAsia" w:ascii="仿宋" w:hAnsi="仿宋" w:eastAsia="仿宋"/>
          <w:color w:val="000000"/>
          <w:sz w:val="32"/>
          <w:szCs w:val="32"/>
        </w:rPr>
        <w:t>增长6.36%，支出增加6.89万元，增长4.9%。主要原因是：人员正常工资晋薪级、职务晋升调资；日常公用经费标准调标。</w:t>
      </w:r>
    </w:p>
    <w:p>
      <w:pPr>
        <w:spacing w:line="600" w:lineRule="exact"/>
        <w:ind w:firstLine="640" w:firstLineChars="200"/>
        <w:outlineLvl w:val="1"/>
        <w:rPr>
          <w:rStyle w:val="25"/>
          <w:rFonts w:ascii="黑体" w:hAnsi="黑体" w:eastAsia="黑体"/>
          <w:b w:val="0"/>
          <w:bCs w:val="0"/>
        </w:rPr>
      </w:pPr>
      <w:bookmarkStart w:id="39" w:name="_Toc15396607"/>
      <w:bookmarkStart w:id="40" w:name="_Toc15377209"/>
      <w:bookmarkStart w:id="41" w:name="_Toc72671121"/>
      <w:r>
        <w:rPr>
          <w:rFonts w:hint="eastAsia" w:ascii="黑体" w:hAnsi="黑体" w:eastAsia="黑体"/>
          <w:color w:val="000000"/>
          <w:sz w:val="32"/>
          <w:szCs w:val="32"/>
        </w:rPr>
        <w:t>五、一</w:t>
      </w:r>
      <w:r>
        <w:rPr>
          <w:rStyle w:val="25"/>
          <w:rFonts w:hint="eastAsia" w:ascii="黑体" w:hAnsi="黑体" w:eastAsia="黑体"/>
          <w:b w:val="0"/>
          <w:bCs w:val="0"/>
        </w:rPr>
        <w:t>般公共预算财政拨款支出决算情况说明</w:t>
      </w:r>
      <w:bookmarkEnd w:id="39"/>
      <w:bookmarkEnd w:id="40"/>
      <w:bookmarkEnd w:id="41"/>
    </w:p>
    <w:p>
      <w:pPr>
        <w:spacing w:line="600" w:lineRule="exact"/>
        <w:ind w:firstLine="640" w:firstLineChars="200"/>
        <w:outlineLvl w:val="2"/>
        <w:rPr>
          <w:rFonts w:ascii="仿宋" w:hAnsi="仿宋" w:eastAsia="仿宋"/>
          <w:color w:val="000000"/>
          <w:sz w:val="32"/>
          <w:szCs w:val="32"/>
        </w:rPr>
      </w:pPr>
      <w:bookmarkStart w:id="42" w:name="_Toc72671122"/>
      <w:bookmarkStart w:id="43" w:name="_Toc15377210"/>
      <w:r>
        <w:rPr>
          <w:rFonts w:hint="eastAsia" w:ascii="仿宋" w:hAnsi="仿宋" w:eastAsia="仿宋"/>
          <w:color w:val="000000"/>
          <w:sz w:val="32"/>
          <w:szCs w:val="32"/>
        </w:rPr>
        <w:t>（一）一般公共预算财政拨款支出决算总体情况</w:t>
      </w:r>
      <w:bookmarkEnd w:id="42"/>
      <w:bookmarkEnd w:id="43"/>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2019年一般公共预算财政拨款支出149.02万元，占本年支出合计的100%。与2018年相比，一般公共预算财政拨款增加8.91万元，</w:t>
      </w:r>
      <w:r>
        <w:rPr>
          <w:rFonts w:hint="eastAsia" w:ascii="仿宋" w:hAnsi="仿宋" w:eastAsia="仿宋"/>
          <w:color w:val="000000"/>
          <w:sz w:val="32"/>
          <w:szCs w:val="32"/>
        </w:rPr>
        <w:t>增长6.36%。主要原因是：人员正常工资晋薪级、职务晋升调资；日常公用经费标准调标。</w:t>
      </w:r>
    </w:p>
    <w:p>
      <w:pPr>
        <w:spacing w:line="600" w:lineRule="exact"/>
        <w:ind w:firstLine="640" w:firstLineChars="200"/>
        <w:outlineLvl w:val="2"/>
        <w:rPr>
          <w:rFonts w:ascii="仿宋" w:hAnsi="仿宋" w:eastAsia="仿宋"/>
          <w:color w:val="000000"/>
          <w:sz w:val="32"/>
          <w:szCs w:val="32"/>
        </w:rPr>
      </w:pPr>
      <w:bookmarkStart w:id="44" w:name="_Toc72671123"/>
      <w:bookmarkStart w:id="45" w:name="_Toc15377211"/>
      <w:r>
        <w:rPr>
          <w:rFonts w:hint="eastAsia" w:ascii="仿宋" w:hAnsi="仿宋" w:eastAsia="仿宋"/>
          <w:color w:val="000000"/>
          <w:sz w:val="32"/>
          <w:szCs w:val="32"/>
        </w:rPr>
        <w:t>（二）一般公共预算财政拨款支出决算结构情况</w:t>
      </w:r>
      <w:bookmarkEnd w:id="44"/>
      <w:bookmarkEnd w:id="45"/>
    </w:p>
    <w:p>
      <w:pPr>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sz w:val="32"/>
          <w:szCs w:val="32"/>
        </w:rPr>
        <w:t>2019年一般公共预算财</w:t>
      </w:r>
      <w:r>
        <w:rPr>
          <w:rFonts w:hint="eastAsia" w:ascii="仿宋" w:hAnsi="仿宋" w:eastAsia="仿宋" w:cs="仿宋_GB2312"/>
          <w:color w:val="000000" w:themeColor="text1"/>
          <w:sz w:val="32"/>
          <w:szCs w:val="32"/>
        </w:rPr>
        <w:t>政拨款支出147万元，主要用于以下方面:一般公共服务（类）支出123.23万元，占83.8%；教育支出（类）0万元，占0%；科学技术（类）支出0万元，占0%；社会保障和就业（类）支出11.02万元，占7.5%；医疗卫生支出4.86万元，占3.3%；住房保障支出7.89万元，占5.4%。</w:t>
      </w:r>
    </w:p>
    <w:p>
      <w:pPr>
        <w:spacing w:line="600" w:lineRule="exact"/>
        <w:ind w:firstLine="640" w:firstLineChars="200"/>
        <w:outlineLvl w:val="2"/>
        <w:rPr>
          <w:rFonts w:ascii="仿宋" w:hAnsi="仿宋" w:eastAsia="仿宋"/>
          <w:color w:val="000000"/>
          <w:sz w:val="32"/>
          <w:szCs w:val="32"/>
        </w:rPr>
      </w:pPr>
      <w:bookmarkStart w:id="46" w:name="_Toc72671124"/>
      <w:bookmarkStart w:id="47" w:name="_Toc15377212"/>
      <w:r>
        <w:rPr>
          <w:rFonts w:hint="eastAsia" w:ascii="仿宋" w:hAnsi="仿宋" w:eastAsia="仿宋"/>
          <w:color w:val="000000"/>
          <w:sz w:val="32"/>
          <w:szCs w:val="32"/>
        </w:rPr>
        <w:t>（三）一般公共预算财政拨款支出决算具体情况</w:t>
      </w:r>
      <w:bookmarkEnd w:id="46"/>
      <w:bookmarkEnd w:id="47"/>
    </w:p>
    <w:p>
      <w:pPr>
        <w:spacing w:line="600" w:lineRule="exact"/>
        <w:ind w:firstLine="640" w:firstLineChars="200"/>
        <w:rPr>
          <w:rStyle w:val="14"/>
          <w:rFonts w:ascii="仿宋" w:hAnsi="仿宋" w:eastAsia="仿宋" w:cs="仿宋_GB2312"/>
          <w:b w:val="0"/>
          <w:color w:val="000000"/>
          <w:sz w:val="32"/>
          <w:szCs w:val="32"/>
        </w:rPr>
      </w:pPr>
      <w:bookmarkStart w:id="48" w:name="_Toc15378460"/>
      <w:bookmarkStart w:id="49" w:name="_Toc15377213"/>
      <w:bookmarkStart w:id="50" w:name="_Toc15377444"/>
      <w:r>
        <w:rPr>
          <w:rFonts w:hint="eastAsia" w:ascii="仿宋" w:hAnsi="仿宋" w:eastAsia="仿宋" w:cs="仿宋_GB2312"/>
          <w:color w:val="000000" w:themeColor="text1"/>
          <w:sz w:val="32"/>
          <w:szCs w:val="32"/>
        </w:rPr>
        <w:t>2019年般公共预算支出决算数为147万元，</w:t>
      </w:r>
      <w:r>
        <w:rPr>
          <w:rStyle w:val="14"/>
          <w:rFonts w:hint="eastAsia" w:ascii="仿宋" w:hAnsi="仿宋" w:eastAsia="仿宋" w:cs="仿宋_GB2312"/>
          <w:b w:val="0"/>
          <w:color w:val="000000" w:themeColor="text1"/>
          <w:sz w:val="32"/>
          <w:szCs w:val="32"/>
        </w:rPr>
        <w:t>完成</w:t>
      </w:r>
      <w:r>
        <w:rPr>
          <w:rStyle w:val="14"/>
          <w:rFonts w:hint="eastAsia" w:ascii="仿宋" w:hAnsi="仿宋" w:eastAsia="仿宋" w:cs="仿宋_GB2312"/>
          <w:b w:val="0"/>
          <w:color w:val="000000"/>
          <w:sz w:val="32"/>
          <w:szCs w:val="32"/>
        </w:rPr>
        <w:t>预算100%。其中：</w:t>
      </w:r>
      <w:bookmarkEnd w:id="48"/>
      <w:bookmarkEnd w:id="49"/>
      <w:bookmarkEnd w:id="50"/>
    </w:p>
    <w:p>
      <w:pPr>
        <w:spacing w:line="600" w:lineRule="exact"/>
        <w:ind w:firstLine="640" w:firstLineChars="200"/>
        <w:outlineLvl w:val="2"/>
        <w:rPr>
          <w:rStyle w:val="14"/>
          <w:rFonts w:ascii="仿宋" w:hAnsi="仿宋" w:eastAsia="仿宋" w:cs="仿宋_GB2312"/>
          <w:b w:val="0"/>
          <w:sz w:val="32"/>
          <w:szCs w:val="32"/>
          <w:highlight w:val="yellow"/>
        </w:rPr>
      </w:pPr>
      <w:bookmarkStart w:id="51" w:name="_Toc72671125"/>
      <w:r>
        <w:rPr>
          <w:rStyle w:val="14"/>
          <w:rFonts w:hint="eastAsia" w:ascii="仿宋" w:hAnsi="仿宋" w:eastAsia="仿宋" w:cs="仿宋_GB2312"/>
          <w:b w:val="0"/>
          <w:color w:val="000000"/>
          <w:sz w:val="32"/>
          <w:szCs w:val="32"/>
        </w:rPr>
        <w:t>1.</w:t>
      </w:r>
      <w:r>
        <w:rPr>
          <w:rStyle w:val="14"/>
          <w:rFonts w:hint="eastAsia" w:ascii="仿宋" w:hAnsi="仿宋" w:eastAsia="仿宋"/>
          <w:b w:val="0"/>
          <w:color w:val="000000"/>
          <w:sz w:val="32"/>
          <w:szCs w:val="32"/>
        </w:rPr>
        <w:t>一般公共服务（类）政府办公厅（室）及相关机构事务（款）行政运行（项）</w:t>
      </w:r>
      <w:r>
        <w:rPr>
          <w:rStyle w:val="14"/>
          <w:rFonts w:ascii="仿宋" w:hAnsi="仿宋" w:eastAsia="仿宋"/>
          <w:b w:val="0"/>
          <w:color w:val="000000"/>
          <w:sz w:val="32"/>
          <w:szCs w:val="32"/>
        </w:rPr>
        <w:t xml:space="preserve">: </w:t>
      </w:r>
      <w:r>
        <w:rPr>
          <w:rStyle w:val="14"/>
          <w:rFonts w:hint="eastAsia" w:ascii="仿宋" w:hAnsi="仿宋" w:eastAsia="仿宋" w:cs="仿宋_GB2312"/>
          <w:b w:val="0"/>
          <w:color w:val="000000"/>
          <w:sz w:val="32"/>
          <w:szCs w:val="32"/>
        </w:rPr>
        <w:t>支出决算为123.23万元，完成</w:t>
      </w:r>
      <w:r>
        <w:rPr>
          <w:rStyle w:val="14"/>
          <w:rFonts w:hint="eastAsia" w:ascii="仿宋" w:hAnsi="仿宋" w:eastAsia="仿宋" w:cs="仿宋_GB2312"/>
          <w:b w:val="0"/>
          <w:sz w:val="32"/>
          <w:szCs w:val="32"/>
        </w:rPr>
        <w:t>预算100%。</w:t>
      </w:r>
      <w:bookmarkEnd w:id="51"/>
    </w:p>
    <w:p>
      <w:pPr>
        <w:spacing w:line="600" w:lineRule="exact"/>
        <w:ind w:firstLine="640" w:firstLineChars="200"/>
        <w:rPr>
          <w:rFonts w:ascii="仿宋" w:hAnsi="仿宋" w:eastAsia="仿宋" w:cs="仿宋_GB2312"/>
          <w:color w:val="000000"/>
          <w:sz w:val="32"/>
          <w:szCs w:val="32"/>
        </w:rPr>
      </w:pPr>
      <w:r>
        <w:rPr>
          <w:rStyle w:val="14"/>
          <w:rFonts w:ascii="仿宋" w:hAnsi="仿宋" w:eastAsia="仿宋"/>
          <w:b w:val="0"/>
          <w:color w:val="000000"/>
          <w:sz w:val="32"/>
          <w:szCs w:val="32"/>
        </w:rPr>
        <w:t>2.</w:t>
      </w:r>
      <w:r>
        <w:rPr>
          <w:rStyle w:val="14"/>
          <w:rFonts w:hint="eastAsia" w:ascii="仿宋" w:hAnsi="仿宋" w:eastAsia="仿宋"/>
          <w:b w:val="0"/>
          <w:color w:val="000000"/>
          <w:sz w:val="32"/>
          <w:szCs w:val="32"/>
        </w:rPr>
        <w:t xml:space="preserve">社会保障和就业（类）社会保障和就业支出（款）行政事业单位离退休（项）机关事业单位基本养老保险缴费支出: </w:t>
      </w:r>
      <w:r>
        <w:rPr>
          <w:rStyle w:val="14"/>
          <w:rFonts w:ascii="仿宋" w:hAnsi="仿宋" w:eastAsia="仿宋"/>
          <w:b w:val="0"/>
          <w:color w:val="000000"/>
          <w:sz w:val="32"/>
          <w:szCs w:val="32"/>
        </w:rPr>
        <w:t xml:space="preserve"> </w:t>
      </w:r>
      <w:r>
        <w:rPr>
          <w:rStyle w:val="14"/>
          <w:rFonts w:hint="eastAsia" w:ascii="仿宋" w:hAnsi="仿宋" w:eastAsia="仿宋" w:cs="仿宋_GB2312"/>
          <w:b w:val="0"/>
          <w:color w:val="000000"/>
          <w:sz w:val="32"/>
          <w:szCs w:val="32"/>
        </w:rPr>
        <w:t>支出决算为11.02万元，完成预算100%。</w:t>
      </w:r>
    </w:p>
    <w:p>
      <w:pPr>
        <w:spacing w:line="600" w:lineRule="exact"/>
        <w:ind w:firstLine="640" w:firstLineChars="200"/>
        <w:rPr>
          <w:rStyle w:val="14"/>
          <w:rFonts w:ascii="仿宋" w:hAnsi="仿宋" w:eastAsia="仿宋" w:cs="仿宋_GB2312"/>
          <w:b w:val="0"/>
          <w:color w:val="000000"/>
          <w:sz w:val="32"/>
          <w:szCs w:val="32"/>
          <w:highlight w:val="yellow"/>
        </w:rPr>
      </w:pPr>
      <w:r>
        <w:rPr>
          <w:rStyle w:val="14"/>
          <w:rFonts w:ascii="仿宋" w:hAnsi="仿宋" w:eastAsia="仿宋"/>
          <w:b w:val="0"/>
          <w:color w:val="000000"/>
          <w:sz w:val="32"/>
          <w:szCs w:val="32"/>
        </w:rPr>
        <w:t>3.</w:t>
      </w:r>
      <w:r>
        <w:rPr>
          <w:rStyle w:val="14"/>
          <w:rFonts w:hint="eastAsia" w:ascii="仿宋" w:hAnsi="仿宋" w:eastAsia="仿宋"/>
          <w:b w:val="0"/>
          <w:color w:val="000000"/>
          <w:sz w:val="32"/>
          <w:szCs w:val="32"/>
        </w:rPr>
        <w:t>医疗卫生与计划生育（类）医疗卫生与计划生育支出（款）行政事业单位医疗（项）行政单位医疗</w:t>
      </w:r>
      <w:r>
        <w:rPr>
          <w:rStyle w:val="14"/>
          <w:rFonts w:ascii="仿宋" w:hAnsi="仿宋" w:eastAsia="仿宋"/>
          <w:b w:val="0"/>
          <w:color w:val="000000"/>
          <w:sz w:val="32"/>
          <w:szCs w:val="32"/>
        </w:rPr>
        <w:t>:</w:t>
      </w:r>
      <w:r>
        <w:rPr>
          <w:rStyle w:val="14"/>
          <w:rFonts w:hint="eastAsia" w:ascii="仿宋" w:hAnsi="仿宋" w:eastAsia="仿宋" w:cs="仿宋_GB2312"/>
          <w:b w:val="0"/>
          <w:color w:val="000000"/>
          <w:sz w:val="32"/>
          <w:szCs w:val="32"/>
        </w:rPr>
        <w:t>支出决算为4.86万元，完成预算100%.</w:t>
      </w:r>
    </w:p>
    <w:p>
      <w:pPr>
        <w:spacing w:line="600" w:lineRule="exact"/>
        <w:ind w:firstLine="640"/>
        <w:rPr>
          <w:rFonts w:ascii="仿宋" w:hAnsi="仿宋" w:eastAsia="仿宋"/>
          <w:color w:val="000000"/>
          <w:sz w:val="32"/>
          <w:szCs w:val="32"/>
        </w:rPr>
      </w:pPr>
      <w:r>
        <w:rPr>
          <w:rStyle w:val="14"/>
          <w:rFonts w:ascii="仿宋" w:hAnsi="仿宋" w:eastAsia="仿宋"/>
          <w:b w:val="0"/>
          <w:color w:val="000000"/>
          <w:sz w:val="32"/>
          <w:szCs w:val="32"/>
        </w:rPr>
        <w:t>4</w:t>
      </w:r>
      <w:r>
        <w:rPr>
          <w:rStyle w:val="14"/>
          <w:rFonts w:hint="eastAsia" w:ascii="仿宋" w:hAnsi="仿宋" w:eastAsia="仿宋"/>
          <w:b w:val="0"/>
          <w:color w:val="000000"/>
          <w:sz w:val="32"/>
          <w:szCs w:val="32"/>
        </w:rPr>
        <w:t>.住房保障支出（类）住房改革支出（款）住房公积金（项）:</w:t>
      </w:r>
      <w:r>
        <w:rPr>
          <w:rFonts w:hint="eastAsia" w:ascii="仿宋" w:hAnsi="仿宋" w:eastAsia="仿宋"/>
          <w:color w:val="000000"/>
          <w:sz w:val="32"/>
          <w:szCs w:val="32"/>
        </w:rPr>
        <w:t>支出决算数为7.89万元，完成预算100%。</w:t>
      </w:r>
    </w:p>
    <w:p>
      <w:pPr>
        <w:tabs>
          <w:tab w:val="right" w:pos="8306"/>
        </w:tabs>
        <w:spacing w:line="600" w:lineRule="exact"/>
        <w:ind w:firstLine="640"/>
        <w:outlineLvl w:val="1"/>
        <w:rPr>
          <w:rStyle w:val="25"/>
          <w:rFonts w:ascii="黑体" w:hAnsi="黑体" w:eastAsia="黑体"/>
          <w:b w:val="0"/>
          <w:bCs w:val="0"/>
        </w:rPr>
      </w:pPr>
      <w:bookmarkStart w:id="52" w:name="_Toc15377214"/>
      <w:bookmarkStart w:id="53" w:name="_Toc15396608"/>
      <w:bookmarkStart w:id="54" w:name="_Toc72671126"/>
      <w:r>
        <w:rPr>
          <w:rFonts w:hint="eastAsia" w:ascii="黑体" w:hAnsi="黑体" w:eastAsia="黑体"/>
          <w:color w:val="000000"/>
          <w:sz w:val="32"/>
          <w:szCs w:val="32"/>
        </w:rPr>
        <w:t>六、一</w:t>
      </w:r>
      <w:r>
        <w:rPr>
          <w:rStyle w:val="25"/>
          <w:rFonts w:hint="eastAsia" w:ascii="黑体" w:hAnsi="黑体" w:eastAsia="黑体"/>
          <w:b w:val="0"/>
          <w:bCs w:val="0"/>
        </w:rPr>
        <w:t>般公共预算财政拨款基本支出决算情况说明</w:t>
      </w:r>
      <w:bookmarkEnd w:id="52"/>
      <w:bookmarkEnd w:id="53"/>
      <w:bookmarkEnd w:id="54"/>
      <w:r>
        <w:rPr>
          <w:rStyle w:val="25"/>
          <w:rFonts w:ascii="黑体" w:hAnsi="黑体" w:eastAsia="黑体"/>
          <w:b w:val="0"/>
          <w:bCs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9年一般公共预算财政拨款基本支出147万元，其中：</w:t>
      </w:r>
    </w:p>
    <w:p>
      <w:pPr>
        <w:spacing w:line="600" w:lineRule="exact"/>
        <w:rPr>
          <w:rFonts w:ascii="仿宋" w:hAnsi="仿宋" w:eastAsia="仿宋"/>
          <w:color w:val="000000"/>
          <w:sz w:val="32"/>
          <w:szCs w:val="32"/>
        </w:rPr>
      </w:pPr>
      <w:r>
        <w:rPr>
          <w:rFonts w:hint="eastAsia" w:ascii="仿宋" w:hAnsi="仿宋" w:eastAsia="仿宋"/>
          <w:color w:val="000000"/>
          <w:sz w:val="32"/>
          <w:szCs w:val="32"/>
        </w:rPr>
        <w:t>人员经费92.6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54.4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bCs w:val="0"/>
        </w:rPr>
      </w:pPr>
      <w:bookmarkStart w:id="55" w:name="_Toc72671127"/>
      <w:bookmarkStart w:id="56" w:name="_Toc15377215"/>
      <w:bookmarkStart w:id="57" w:name="_Toc15396609"/>
      <w:r>
        <w:rPr>
          <w:rFonts w:hint="eastAsia" w:ascii="黑体" w:hAnsi="黑体" w:eastAsia="黑体"/>
          <w:color w:val="000000"/>
          <w:sz w:val="32"/>
          <w:szCs w:val="32"/>
        </w:rPr>
        <w:t>七、</w:t>
      </w:r>
      <w:r>
        <w:rPr>
          <w:rStyle w:val="25"/>
          <w:rFonts w:hint="eastAsia" w:ascii="黑体" w:hAnsi="黑体" w:eastAsia="黑体"/>
          <w:b w:val="0"/>
          <w:bCs w:val="0"/>
        </w:rPr>
        <w:t>“三公”经费财政拨款支出决算情况说明</w:t>
      </w:r>
      <w:bookmarkEnd w:id="55"/>
      <w:bookmarkEnd w:id="56"/>
      <w:bookmarkEnd w:id="57"/>
    </w:p>
    <w:p>
      <w:pPr>
        <w:spacing w:line="600" w:lineRule="exact"/>
        <w:ind w:firstLine="640"/>
        <w:outlineLvl w:val="2"/>
        <w:rPr>
          <w:rFonts w:ascii="仿宋" w:hAnsi="仿宋" w:eastAsia="仿宋"/>
          <w:color w:val="000000"/>
          <w:sz w:val="32"/>
          <w:szCs w:val="32"/>
        </w:rPr>
      </w:pPr>
      <w:bookmarkStart w:id="58" w:name="_Toc15377216"/>
      <w:bookmarkStart w:id="59" w:name="_Toc72671128"/>
      <w:r>
        <w:rPr>
          <w:rFonts w:hint="eastAsia" w:ascii="仿宋" w:hAnsi="仿宋" w:eastAsia="仿宋"/>
          <w:color w:val="000000"/>
          <w:sz w:val="32"/>
          <w:szCs w:val="32"/>
        </w:rPr>
        <w:t>（一）“三公”经费财政拨款支出决算总体情况说明</w:t>
      </w:r>
      <w:bookmarkEnd w:id="58"/>
      <w:bookmarkEnd w:id="59"/>
    </w:p>
    <w:p>
      <w:pPr>
        <w:spacing w:line="600" w:lineRule="exact"/>
        <w:ind w:firstLine="640"/>
        <w:rPr>
          <w:rFonts w:hint="eastAsia" w:ascii="仿宋" w:hAnsi="仿宋" w:eastAsia="仿宋" w:cs="仿宋_GB2312"/>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9年“三公”经费财政拨款支出决算为1.47万元，完成预算100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s="仿宋_GB2312"/>
          <w:color w:val="000000"/>
          <w:sz w:val="32"/>
          <w:szCs w:val="32"/>
        </w:rPr>
        <w:t>决算数与预算数持平的原因是严格执行预算，厉行节约。</w:t>
      </w:r>
    </w:p>
    <w:p>
      <w:pPr>
        <w:spacing w:line="600" w:lineRule="exact"/>
        <w:ind w:firstLine="640"/>
        <w:outlineLvl w:val="2"/>
        <w:rPr>
          <w:rFonts w:ascii="仿宋" w:hAnsi="仿宋" w:eastAsia="仿宋"/>
          <w:color w:val="000000"/>
          <w:sz w:val="32"/>
          <w:szCs w:val="32"/>
        </w:rPr>
      </w:pPr>
      <w:bookmarkStart w:id="60" w:name="_Toc15377217"/>
      <w:bookmarkStart w:id="61" w:name="_Toc72671129"/>
      <w:r>
        <w:rPr>
          <w:rFonts w:hint="eastAsia" w:ascii="仿宋" w:hAnsi="仿宋" w:eastAsia="仿宋"/>
          <w:color w:val="000000"/>
          <w:sz w:val="32"/>
          <w:szCs w:val="32"/>
        </w:rPr>
        <w:t>（二）“三公”经费财政拨款支出决算具体情况说明</w:t>
      </w:r>
      <w:bookmarkEnd w:id="60"/>
      <w:bookmarkEnd w:id="61"/>
    </w:p>
    <w:p>
      <w:pPr>
        <w:spacing w:line="600" w:lineRule="exact"/>
        <w:ind w:firstLine="640"/>
        <w:rPr>
          <w:rFonts w:ascii="仿宋" w:hAnsi="仿宋" w:eastAsia="仿宋"/>
          <w:color w:val="000000"/>
          <w:sz w:val="32"/>
          <w:szCs w:val="32"/>
        </w:rPr>
      </w:pPr>
      <w:r>
        <w:rPr>
          <w:rFonts w:hint="eastAsia" w:ascii="仿宋" w:hAnsi="仿宋" w:eastAsia="仿宋" w:cs="仿宋_GB2312"/>
          <w:color w:val="000000"/>
          <w:sz w:val="32"/>
          <w:szCs w:val="32"/>
        </w:rPr>
        <w:t>2019年“三公”经费财政拨款支出决算中，因公出国（境）费支出决算0万元，占0%；公务用车购置及运行维护费支出决算0万元，占0%；公务接待费支出决算1.47万元，占100%。具体情况如下：</w:t>
      </w:r>
    </w:p>
    <w:p>
      <w:pPr>
        <w:numPr>
          <w:ilvl w:val="0"/>
          <w:numId w:val="2"/>
        </w:num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因公出国（境）经费支出0万元，</w:t>
      </w:r>
      <w:r>
        <w:rPr>
          <w:rStyle w:val="14"/>
          <w:rFonts w:hint="eastAsia" w:ascii="仿宋" w:hAnsi="仿宋" w:eastAsia="仿宋"/>
          <w:b w:val="0"/>
          <w:color w:val="000000"/>
          <w:sz w:val="32"/>
          <w:szCs w:val="32"/>
        </w:rPr>
        <w:t>完成预算0</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w:t>
      </w:r>
      <w:r>
        <w:rPr>
          <w:rFonts w:hint="eastAsia" w:ascii="仿宋" w:hAnsi="仿宋" w:eastAsia="仿宋"/>
          <w:color w:val="000000"/>
          <w:sz w:val="32"/>
          <w:szCs w:val="32"/>
        </w:rPr>
        <w:t>全年安排因公出国（境）团组0次，出国（境）0人。因公出国（境）支出决算与</w:t>
      </w:r>
      <w:r>
        <w:rPr>
          <w:rFonts w:ascii="仿宋" w:hAnsi="仿宋" w:eastAsia="仿宋"/>
          <w:color w:val="000000"/>
          <w:sz w:val="32"/>
          <w:szCs w:val="32"/>
        </w:rPr>
        <w:t>201</w:t>
      </w:r>
      <w:r>
        <w:rPr>
          <w:rFonts w:hint="eastAsia" w:ascii="仿宋" w:hAnsi="仿宋" w:eastAsia="仿宋"/>
          <w:color w:val="000000"/>
          <w:sz w:val="32"/>
          <w:szCs w:val="32"/>
        </w:rPr>
        <w:t xml:space="preserve">8年持平。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2.</w:t>
      </w:r>
      <w:r>
        <w:rPr>
          <w:rFonts w:hint="eastAsia" w:ascii="仿宋" w:hAnsi="仿宋" w:eastAsia="仿宋"/>
          <w:color w:val="000000"/>
          <w:sz w:val="32"/>
          <w:szCs w:val="32"/>
        </w:rPr>
        <w:t>公务用车购置及运行维护费支出0万元,</w:t>
      </w:r>
      <w:r>
        <w:rPr>
          <w:rStyle w:val="14"/>
          <w:rFonts w:hint="eastAsia" w:ascii="仿宋" w:hAnsi="仿宋" w:eastAsia="仿宋"/>
          <w:b w:val="0"/>
          <w:color w:val="000000"/>
          <w:sz w:val="32"/>
          <w:szCs w:val="32"/>
        </w:rPr>
        <w:t>完成预算0</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w:t>
      </w:r>
      <w:r>
        <w:rPr>
          <w:rFonts w:hint="eastAsia" w:ascii="仿宋" w:hAnsi="仿宋" w:eastAsia="仿宋"/>
          <w:color w:val="000000"/>
          <w:sz w:val="32"/>
          <w:szCs w:val="32"/>
        </w:rPr>
        <w:t>公务用车购置及运行维护费支出决算与</w:t>
      </w:r>
      <w:r>
        <w:rPr>
          <w:rFonts w:ascii="仿宋" w:hAnsi="仿宋" w:eastAsia="仿宋"/>
          <w:color w:val="000000"/>
          <w:sz w:val="32"/>
          <w:szCs w:val="32"/>
        </w:rPr>
        <w:t>201</w:t>
      </w:r>
      <w:r>
        <w:rPr>
          <w:rFonts w:hint="eastAsia" w:ascii="仿宋" w:hAnsi="仿宋" w:eastAsia="仿宋"/>
          <w:color w:val="000000"/>
          <w:sz w:val="32"/>
          <w:szCs w:val="32"/>
        </w:rPr>
        <w:t>8年持平。</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其中：公务用车购置支出0万元。全年按规定更新购置公务用车0辆，其中：轿车0辆、金额0万元，越野车0辆、金额0万元，载客汽车0辆、金额0万元。截至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月底，单位共有公务用车0辆，其中：轿车0辆、越野车0辆、载客汽车0辆。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公务用车运行维护费支出0万元。</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公务接待费支出1.47万元，</w:t>
      </w:r>
      <w:r>
        <w:rPr>
          <w:rStyle w:val="14"/>
          <w:rFonts w:hint="eastAsia" w:ascii="仿宋" w:hAnsi="仿宋" w:eastAsia="仿宋"/>
          <w:b w:val="0"/>
          <w:color w:val="000000"/>
          <w:sz w:val="32"/>
          <w:szCs w:val="32"/>
        </w:rPr>
        <w:t>完成预算100</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w:t>
      </w:r>
      <w:r>
        <w:rPr>
          <w:rFonts w:hint="eastAsia" w:ascii="仿宋" w:hAnsi="仿宋" w:eastAsia="仿宋"/>
          <w:color w:val="000000"/>
          <w:sz w:val="32"/>
          <w:szCs w:val="32"/>
        </w:rPr>
        <w:t>公务接待费支出决算与2018年相比减少0</w:t>
      </w:r>
      <w:r>
        <w:rPr>
          <w:rFonts w:ascii="仿宋" w:hAnsi="仿宋" w:eastAsia="仿宋"/>
          <w:color w:val="000000"/>
          <w:sz w:val="32"/>
          <w:szCs w:val="32"/>
        </w:rPr>
        <w:t>.03</w:t>
      </w:r>
      <w:r>
        <w:rPr>
          <w:rFonts w:hint="eastAsia" w:ascii="仿宋" w:hAnsi="仿宋" w:eastAsia="仿宋"/>
          <w:color w:val="000000"/>
          <w:sz w:val="32"/>
          <w:szCs w:val="32"/>
        </w:rPr>
        <w:t>万元，主要原因是严格执行中央八项规定，厉行节约。主要用于执行公务、开展业务活动开支的交通费、住宿费、用餐费等。国内公务接待27批次，147人次（包括陪同人员），共计支出1.47万元。</w:t>
      </w:r>
    </w:p>
    <w:p>
      <w:pPr>
        <w:spacing w:line="600" w:lineRule="exact"/>
        <w:ind w:firstLine="640"/>
        <w:rPr>
          <w:rFonts w:ascii="仿宋" w:hAnsi="仿宋" w:eastAsia="仿宋" w:cs="仿宋_GB2312"/>
          <w:color w:val="000000" w:themeColor="text1"/>
          <w:sz w:val="32"/>
          <w:szCs w:val="32"/>
        </w:rPr>
      </w:pPr>
      <w:r>
        <w:rPr>
          <w:rFonts w:hint="eastAsia" w:ascii="仿宋" w:hAnsi="仿宋" w:eastAsia="仿宋" w:cs="仿宋_GB2312"/>
          <w:color w:val="000000"/>
          <w:sz w:val="32"/>
          <w:szCs w:val="32"/>
        </w:rPr>
        <w:t>外事接待支出0万元</w:t>
      </w:r>
      <w:r>
        <w:rPr>
          <w:rFonts w:hint="eastAsia" w:ascii="仿宋" w:hAnsi="仿宋" w:eastAsia="仿宋" w:cs="仿宋_GB2312"/>
          <w:color w:val="000000" w:themeColor="text1"/>
          <w:sz w:val="32"/>
          <w:szCs w:val="32"/>
        </w:rPr>
        <w:t>，外事接待0批次，0人，共计支出0万元。</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其他国内公务接待支出0万元。</w:t>
      </w:r>
    </w:p>
    <w:p>
      <w:pPr>
        <w:spacing w:line="600" w:lineRule="exact"/>
        <w:ind w:firstLine="640"/>
        <w:outlineLvl w:val="1"/>
        <w:rPr>
          <w:rStyle w:val="25"/>
          <w:rFonts w:ascii="黑体" w:hAnsi="黑体" w:eastAsia="黑体"/>
          <w:b w:val="0"/>
          <w:bCs w:val="0"/>
        </w:rPr>
      </w:pPr>
      <w:bookmarkStart w:id="62" w:name="_Toc72671130"/>
      <w:bookmarkStart w:id="63" w:name="_Toc15377218"/>
      <w:bookmarkStart w:id="64" w:name="_Toc15396610"/>
      <w:r>
        <w:rPr>
          <w:rFonts w:hint="eastAsia" w:ascii="黑体" w:hAnsi="黑体" w:eastAsia="黑体"/>
          <w:color w:val="000000"/>
          <w:sz w:val="32"/>
          <w:szCs w:val="32"/>
        </w:rPr>
        <w:t>八、</w:t>
      </w:r>
      <w:r>
        <w:rPr>
          <w:rStyle w:val="25"/>
          <w:rFonts w:hint="eastAsia" w:ascii="黑体" w:hAnsi="黑体" w:eastAsia="黑体"/>
          <w:b w:val="0"/>
          <w:bCs w:val="0"/>
        </w:rPr>
        <w:t>政府性基金预算支出决算情况说明</w:t>
      </w:r>
      <w:bookmarkEnd w:id="62"/>
      <w:bookmarkEnd w:id="63"/>
      <w:bookmarkEnd w:id="6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9年政府性基金预算拨款支出0万元。</w:t>
      </w:r>
    </w:p>
    <w:p>
      <w:pPr>
        <w:numPr>
          <w:ilvl w:val="0"/>
          <w:numId w:val="3"/>
        </w:numPr>
        <w:spacing w:line="600" w:lineRule="exact"/>
        <w:ind w:firstLine="640" w:firstLineChars="200"/>
        <w:outlineLvl w:val="1"/>
        <w:rPr>
          <w:rStyle w:val="25"/>
          <w:rFonts w:ascii="黑体" w:hAnsi="黑体" w:eastAsia="黑体"/>
          <w:b w:val="0"/>
          <w:bCs w:val="0"/>
        </w:rPr>
      </w:pPr>
      <w:bookmarkStart w:id="65" w:name="_Toc72671131"/>
      <w:bookmarkStart w:id="66" w:name="_Toc15377219"/>
      <w:bookmarkStart w:id="67" w:name="_Toc15396611"/>
      <w:r>
        <w:rPr>
          <w:rStyle w:val="25"/>
          <w:rFonts w:hint="eastAsia" w:ascii="黑体" w:hAnsi="黑体" w:eastAsia="黑体"/>
          <w:b w:val="0"/>
          <w:bCs w:val="0"/>
        </w:rPr>
        <w:t>国有资本经营预算支出决算情况说明</w:t>
      </w:r>
      <w:bookmarkEnd w:id="65"/>
      <w:bookmarkEnd w:id="66"/>
      <w:bookmarkEnd w:id="67"/>
    </w:p>
    <w:p>
      <w:pPr>
        <w:spacing w:line="600" w:lineRule="exact"/>
        <w:ind w:firstLine="640" w:firstLineChars="200"/>
        <w:outlineLvl w:val="1"/>
        <w:rPr>
          <w:rFonts w:ascii="仿宋" w:hAnsi="仿宋" w:eastAsia="仿宋"/>
          <w:color w:val="000000"/>
          <w:sz w:val="32"/>
          <w:szCs w:val="32"/>
        </w:rPr>
      </w:pPr>
      <w:bookmarkStart w:id="68" w:name="_Toc72671132"/>
      <w:r>
        <w:rPr>
          <w:rFonts w:ascii="仿宋" w:hAnsi="仿宋" w:eastAsia="仿宋"/>
          <w:color w:val="000000"/>
          <w:sz w:val="32"/>
          <w:szCs w:val="32"/>
        </w:rPr>
        <w:t>201</w:t>
      </w:r>
      <w:r>
        <w:rPr>
          <w:rFonts w:hint="eastAsia" w:ascii="仿宋" w:hAnsi="仿宋" w:eastAsia="仿宋"/>
          <w:color w:val="000000"/>
          <w:sz w:val="32"/>
          <w:szCs w:val="32"/>
        </w:rPr>
        <w:t>9年国有资本经营预算拨款支出0万元。</w:t>
      </w:r>
      <w:bookmarkEnd w:id="68"/>
    </w:p>
    <w:p>
      <w:pPr>
        <w:spacing w:line="600" w:lineRule="exact"/>
        <w:ind w:firstLine="640" w:firstLineChars="200"/>
        <w:outlineLvl w:val="1"/>
        <w:rPr>
          <w:rStyle w:val="25"/>
          <w:rFonts w:ascii="黑体" w:hAnsi="黑体" w:eastAsia="黑体"/>
          <w:b w:val="0"/>
          <w:bCs w:val="0"/>
        </w:rPr>
      </w:pPr>
      <w:bookmarkStart w:id="69" w:name="_Toc15396612"/>
      <w:bookmarkStart w:id="70" w:name="_Toc15377221"/>
      <w:bookmarkStart w:id="71" w:name="_Toc72671133"/>
      <w:r>
        <w:rPr>
          <w:rFonts w:hint="eastAsia" w:ascii="黑体" w:hAnsi="黑体" w:eastAsia="黑体"/>
          <w:color w:val="000000"/>
          <w:sz w:val="32"/>
          <w:szCs w:val="32"/>
        </w:rPr>
        <w:t>十</w:t>
      </w:r>
      <w:r>
        <w:rPr>
          <w:rStyle w:val="25"/>
          <w:rFonts w:hint="eastAsia" w:ascii="黑体" w:hAnsi="黑体" w:eastAsia="黑体"/>
          <w:b w:val="0"/>
          <w:bCs w:val="0"/>
        </w:rPr>
        <w:t>、其他重要事项的情况说明</w:t>
      </w:r>
      <w:bookmarkEnd w:id="69"/>
      <w:bookmarkEnd w:id="70"/>
      <w:bookmarkEnd w:id="71"/>
    </w:p>
    <w:p>
      <w:pPr>
        <w:spacing w:line="600" w:lineRule="exact"/>
        <w:ind w:firstLine="640" w:firstLineChars="200"/>
        <w:outlineLvl w:val="2"/>
        <w:rPr>
          <w:rFonts w:ascii="仿宋" w:hAnsi="仿宋" w:eastAsia="仿宋"/>
          <w:color w:val="000000"/>
          <w:sz w:val="32"/>
          <w:szCs w:val="32"/>
        </w:rPr>
      </w:pPr>
      <w:bookmarkStart w:id="72" w:name="_Toc72671134"/>
      <w:bookmarkStart w:id="73" w:name="_Toc15377222"/>
      <w:r>
        <w:rPr>
          <w:rFonts w:hint="eastAsia" w:ascii="仿宋" w:hAnsi="仿宋" w:eastAsia="仿宋"/>
          <w:color w:val="000000"/>
          <w:sz w:val="32"/>
          <w:szCs w:val="32"/>
        </w:rPr>
        <w:t>（一）机关运行经费支出情况</w:t>
      </w:r>
      <w:bookmarkEnd w:id="72"/>
      <w:bookmarkEnd w:id="73"/>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w:t>
      </w:r>
      <w:r>
        <w:rPr>
          <w:rFonts w:hint="eastAsia" w:ascii="仿宋" w:hAnsi="仿宋" w:eastAsia="仿宋"/>
          <w:color w:val="000000" w:themeColor="text1"/>
          <w:sz w:val="32"/>
          <w:szCs w:val="32"/>
        </w:rPr>
        <w:t>中共广元市昭化区委机构编制委员会办公室</w:t>
      </w:r>
      <w:r>
        <w:rPr>
          <w:rFonts w:hint="eastAsia" w:ascii="仿宋" w:hAnsi="仿宋" w:eastAsia="仿宋"/>
          <w:color w:val="000000"/>
          <w:sz w:val="32"/>
          <w:szCs w:val="32"/>
        </w:rPr>
        <w:t>机关运行经费支出49.18万元，比</w:t>
      </w:r>
      <w:r>
        <w:rPr>
          <w:rFonts w:ascii="仿宋" w:hAnsi="仿宋" w:eastAsia="仿宋"/>
          <w:color w:val="000000"/>
          <w:sz w:val="32"/>
          <w:szCs w:val="32"/>
        </w:rPr>
        <w:t>201</w:t>
      </w:r>
      <w:r>
        <w:rPr>
          <w:rFonts w:hint="eastAsia" w:ascii="仿宋" w:hAnsi="仿宋" w:eastAsia="仿宋"/>
          <w:color w:val="000000"/>
          <w:sz w:val="32"/>
          <w:szCs w:val="32"/>
        </w:rPr>
        <w:t>8年增加12.86万元，增长35.4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主要原因是增加了职能职责和工作任务，同时增加了工作经费。</w:t>
      </w:r>
    </w:p>
    <w:p>
      <w:pPr>
        <w:autoSpaceDE w:val="0"/>
        <w:autoSpaceDN w:val="0"/>
        <w:adjustRightInd w:val="0"/>
        <w:spacing w:line="600" w:lineRule="exact"/>
        <w:ind w:firstLine="640" w:firstLineChars="200"/>
        <w:jc w:val="left"/>
        <w:outlineLvl w:val="2"/>
        <w:rPr>
          <w:rFonts w:ascii="仿宋" w:hAnsi="仿宋" w:eastAsia="仿宋"/>
          <w:color w:val="000000"/>
          <w:sz w:val="32"/>
          <w:szCs w:val="32"/>
        </w:rPr>
      </w:pPr>
      <w:bookmarkStart w:id="74" w:name="_Toc15377223"/>
      <w:bookmarkStart w:id="75" w:name="_Toc72671135"/>
      <w:r>
        <w:rPr>
          <w:rFonts w:hint="eastAsia" w:ascii="仿宋" w:hAnsi="仿宋" w:eastAsia="仿宋"/>
          <w:color w:val="000000"/>
          <w:sz w:val="32"/>
          <w:szCs w:val="32"/>
        </w:rPr>
        <w:t>（二）政府采购支出情况</w:t>
      </w:r>
      <w:bookmarkEnd w:id="74"/>
      <w:bookmarkEnd w:id="7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政府采购支出总额0万元，其中：政府采购货物支出0万元、政府采购工程支出0万元、政府采购服务支出0万元。主要用于采购办公桌椅、电脑、打印机、沙发、文件柜等。授予中小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，其中：授予小微企业合同金额0万元，占政府采购支出总额的0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color w:val="000000"/>
          <w:sz w:val="32"/>
          <w:szCs w:val="32"/>
        </w:rPr>
      </w:pPr>
      <w:bookmarkStart w:id="76" w:name="_Toc15377224"/>
      <w:bookmarkStart w:id="77" w:name="_Toc72671136"/>
      <w:r>
        <w:rPr>
          <w:rFonts w:hint="eastAsia" w:ascii="仿宋" w:hAnsi="仿宋" w:eastAsia="仿宋"/>
          <w:color w:val="000000"/>
          <w:sz w:val="32"/>
          <w:szCs w:val="32"/>
        </w:rPr>
        <w:t>（三）国有资产占有使用情况</w:t>
      </w:r>
      <w:bookmarkEnd w:id="76"/>
      <w:bookmarkEnd w:id="77"/>
    </w:p>
    <w:p>
      <w:pPr>
        <w:autoSpaceDE w:val="0"/>
        <w:autoSpaceDN w:val="0"/>
        <w:adjustRightInd w:val="0"/>
        <w:spacing w:line="600" w:lineRule="exact"/>
        <w:ind w:firstLine="640" w:firstLineChars="200"/>
        <w:jc w:val="left"/>
        <w:rPr>
          <w:rFonts w:ascii="仿宋" w:hAnsi="仿宋" w:eastAsia="仿宋"/>
          <w:color w:val="FF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日，共有车辆0辆，其中：部级领导干部用车0辆、一般公务用车0辆、一般执法执勤用车0辆、特种专业技术用车0辆、其他用车0辆，</w:t>
      </w:r>
      <w:r>
        <w:rPr>
          <w:rFonts w:hint="eastAsia" w:ascii="仿宋" w:hAnsi="仿宋" w:eastAsia="仿宋"/>
          <w:color w:val="000000" w:themeColor="text1"/>
          <w:sz w:val="32"/>
          <w:szCs w:val="32"/>
        </w:rPr>
        <w:t>单价</w:t>
      </w:r>
      <w:r>
        <w:rPr>
          <w:rFonts w:ascii="仿宋" w:hAnsi="仿宋" w:eastAsia="仿宋"/>
          <w:color w:val="000000" w:themeColor="text1"/>
          <w:sz w:val="32"/>
          <w:szCs w:val="32"/>
        </w:rPr>
        <w:t>50</w:t>
      </w:r>
      <w:r>
        <w:rPr>
          <w:rFonts w:hint="eastAsia" w:ascii="仿宋" w:hAnsi="仿宋" w:eastAsia="仿宋"/>
          <w:color w:val="000000" w:themeColor="text1"/>
          <w:sz w:val="32"/>
          <w:szCs w:val="32"/>
        </w:rPr>
        <w:t>万元以上通用设备0台（套），单价</w:t>
      </w:r>
      <w:r>
        <w:rPr>
          <w:rFonts w:ascii="仿宋" w:hAnsi="仿宋" w:eastAsia="仿宋"/>
          <w:color w:val="000000" w:themeColor="text1"/>
          <w:sz w:val="32"/>
          <w:szCs w:val="32"/>
        </w:rPr>
        <w:t>100</w:t>
      </w:r>
      <w:r>
        <w:rPr>
          <w:rFonts w:hint="eastAsia" w:ascii="仿宋" w:hAnsi="仿宋" w:eastAsia="仿宋"/>
          <w:color w:val="000000"/>
          <w:sz w:val="32"/>
          <w:szCs w:val="32"/>
        </w:rPr>
        <w:t>万元以上专用设备0台（套）。</w:t>
      </w:r>
    </w:p>
    <w:p>
      <w:pPr>
        <w:autoSpaceDE w:val="0"/>
        <w:autoSpaceDN w:val="0"/>
        <w:adjustRightInd w:val="0"/>
        <w:spacing w:line="600" w:lineRule="exact"/>
        <w:ind w:firstLine="640" w:firstLineChars="200"/>
        <w:jc w:val="left"/>
        <w:outlineLvl w:val="2"/>
        <w:rPr>
          <w:rFonts w:ascii="仿宋" w:hAnsi="仿宋" w:eastAsia="仿宋"/>
          <w:color w:val="000000"/>
          <w:sz w:val="32"/>
          <w:szCs w:val="32"/>
        </w:rPr>
      </w:pPr>
      <w:bookmarkStart w:id="78" w:name="_Toc72671137"/>
      <w:r>
        <w:rPr>
          <w:rFonts w:hint="eastAsia" w:ascii="仿宋" w:hAnsi="仿宋" w:eastAsia="仿宋"/>
          <w:color w:val="000000"/>
          <w:sz w:val="32"/>
          <w:szCs w:val="32"/>
        </w:rPr>
        <w:t>（四）预算绩效管理情况。</w:t>
      </w:r>
      <w:bookmarkEnd w:id="78"/>
    </w:p>
    <w:p>
      <w:pPr>
        <w:spacing w:line="600" w:lineRule="atLeast"/>
        <w:ind w:firstLine="640" w:firstLineChars="200"/>
        <w:rPr>
          <w:rFonts w:ascii="仿宋" w:hAnsi="仿宋" w:eastAsia="仿宋"/>
          <w:color w:val="000000"/>
          <w:sz w:val="32"/>
          <w:szCs w:val="32"/>
        </w:rPr>
      </w:pPr>
      <w:r>
        <w:rPr>
          <w:rFonts w:hint="eastAsia" w:ascii="仿宋" w:hAnsi="仿宋" w:eastAsia="仿宋" w:cs="仿宋_GB2312"/>
          <w:sz w:val="32"/>
          <w:szCs w:val="32"/>
        </w:rPr>
        <w:t>根据预算绩效管理要求，</w:t>
      </w:r>
      <w:r>
        <w:rPr>
          <w:rFonts w:hint="eastAsia" w:ascii="仿宋" w:hAnsi="仿宋" w:eastAsia="仿宋"/>
          <w:color w:val="000000"/>
          <w:sz w:val="32"/>
          <w:szCs w:val="32"/>
        </w:rPr>
        <w:t>本部门对2019年一般公共预算项目支出开展了绩效目标管理，共编制绩效目标0个，涉及财政资金0万元，覆盖率达到0%。</w:t>
      </w:r>
    </w:p>
    <w:p>
      <w:pPr>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本部门按要求对2019年部门整体支出开展绩效自评，从评价情况来看</w:t>
      </w:r>
      <w:r>
        <w:rPr>
          <w:rFonts w:hint="eastAsia" w:ascii="仿宋" w:hAnsi="仿宋" w:eastAsia="仿宋"/>
          <w:color w:val="000000"/>
          <w:sz w:val="32"/>
          <w:szCs w:val="32"/>
        </w:rPr>
        <w:t>自评得分90分，存在的问题：一是绩效目标动态监控实行的不到位；二是履职成效方面，由于单位特殊，在履职方面看不出成效；下一步改进措施：一是严格执行绩效目标管理和绩效目标动态监控。二是尽量做到履职有所成效。</w:t>
      </w:r>
    </w:p>
    <w:p>
      <w:pPr>
        <w:spacing w:line="58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1、项目绩效目标完成情况。</w:t>
      </w:r>
      <w:r>
        <w:rPr>
          <w:rFonts w:hint="eastAsia" w:ascii="仿宋" w:hAnsi="仿宋" w:eastAsia="仿宋" w:cs="楷体_GB2312"/>
          <w:sz w:val="32"/>
          <w:szCs w:val="32"/>
        </w:rPr>
        <w:br w:type="textWrapping"/>
      </w:r>
      <w:r>
        <w:rPr>
          <w:rFonts w:hint="eastAsia" w:ascii="仿宋" w:hAnsi="仿宋" w:eastAsia="仿宋" w:cs="仿宋_GB2312"/>
          <w:sz w:val="32"/>
          <w:szCs w:val="32"/>
        </w:rPr>
        <w:t xml:space="preserve">    本部门在2019年度部门决算中项目绩效目标实际完成情况，本部门开展1个项目绩效。（本单位部门项目绩效目标个数在5个以上的，选取5个项目进行公开，目标个数在5个以下的，全部进行公开，公开内容包括完成情况综述和完成情况表）。</w: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trPr>
        <w:tc>
          <w:tcPr>
            <w:tcW w:w="9960" w:type="dxa"/>
            <w:tcMar>
              <w:top w:w="15" w:type="dxa"/>
              <w:left w:w="15" w:type="dxa"/>
              <w:bottom w:w="0" w:type="dxa"/>
              <w:right w:w="15" w:type="dxa"/>
            </w:tcMar>
            <w:vAlign w:val="center"/>
          </w:tcPr>
          <w:tbl>
            <w:tblPr>
              <w:tblStyle w:val="12"/>
              <w:tblW w:w="10160" w:type="dxa"/>
              <w:tblInd w:w="0" w:type="dxa"/>
              <w:tblLayout w:type="fixed"/>
              <w:tblCellMar>
                <w:top w:w="0" w:type="dxa"/>
                <w:left w:w="0" w:type="dxa"/>
                <w:bottom w:w="0" w:type="dxa"/>
                <w:right w:w="0" w:type="dxa"/>
              </w:tblCellMar>
            </w:tblPr>
            <w:tblGrid>
              <w:gridCol w:w="20"/>
              <w:gridCol w:w="1455"/>
              <w:gridCol w:w="1080"/>
              <w:gridCol w:w="1770"/>
              <w:gridCol w:w="1275"/>
              <w:gridCol w:w="2115"/>
              <w:gridCol w:w="2425"/>
              <w:gridCol w:w="20"/>
            </w:tblGrid>
            <w:tr>
              <w:tblPrEx>
                <w:tblCellMar>
                  <w:top w:w="0" w:type="dxa"/>
                  <w:left w:w="0" w:type="dxa"/>
                  <w:bottom w:w="0" w:type="dxa"/>
                  <w:right w:w="0" w:type="dxa"/>
                </w:tblCellMar>
              </w:tblPrEx>
              <w:trPr>
                <w:gridAfter w:val="1"/>
                <w:wAfter w:w="20" w:type="dxa"/>
                <w:trHeight w:val="963" w:hRule="atLeast"/>
              </w:trPr>
              <w:tc>
                <w:tcPr>
                  <w:tcW w:w="10140" w:type="dxa"/>
                  <w:gridSpan w:val="7"/>
                  <w:tcBorders>
                    <w:top w:val="nil"/>
                    <w:left w:val="nil"/>
                    <w:bottom w:val="nil"/>
                    <w:right w:val="nil"/>
                  </w:tcBorders>
                  <w:shd w:val="clear" w:color="auto" w:fill="auto"/>
                  <w:tcMar>
                    <w:top w:w="15" w:type="dxa"/>
                    <w:left w:w="15" w:type="dxa"/>
                    <w:right w:w="15" w:type="dxa"/>
                  </w:tcMar>
                  <w:vAlign w:val="center"/>
                </w:tcPr>
                <w:p>
                  <w:pPr>
                    <w:widowControl/>
                    <w:ind w:firstLine="1500" w:firstLineChars="500"/>
                    <w:textAlignment w:val="center"/>
                    <w:rPr>
                      <w:rFonts w:ascii="仿宋" w:hAnsi="仿宋" w:eastAsia="仿宋" w:cs="仿宋_GB2312"/>
                      <w:color w:val="000000"/>
                      <w:sz w:val="30"/>
                      <w:szCs w:val="30"/>
                    </w:rPr>
                  </w:pPr>
                  <w:r>
                    <w:rPr>
                      <w:rStyle w:val="31"/>
                      <w:rFonts w:hint="default" w:ascii="仿宋" w:hAnsi="仿宋" w:eastAsia="仿宋"/>
                      <w:sz w:val="30"/>
                      <w:szCs w:val="30"/>
                      <w:lang w:bidi="ar"/>
                    </w:rPr>
                    <w:t>区委编办</w:t>
                  </w:r>
                  <w:r>
                    <w:rPr>
                      <w:rStyle w:val="32"/>
                      <w:rFonts w:hint="default" w:ascii="仿宋" w:hAnsi="仿宋" w:eastAsia="仿宋"/>
                      <w:sz w:val="30"/>
                      <w:szCs w:val="30"/>
                      <w:lang w:bidi="ar"/>
                    </w:rPr>
                    <w:t>中文域名注册费支出绩效目标完成情况表</w:t>
                  </w:r>
                </w:p>
              </w:tc>
            </w:tr>
            <w:tr>
              <w:tblPrEx>
                <w:tblCellMar>
                  <w:top w:w="0" w:type="dxa"/>
                  <w:left w:w="0" w:type="dxa"/>
                  <w:bottom w:w="0" w:type="dxa"/>
                  <w:right w:w="0" w:type="dxa"/>
                </w:tblCellMar>
              </w:tblPrEx>
              <w:trPr>
                <w:gridAfter w:val="1"/>
                <w:wAfter w:w="20" w:type="dxa"/>
                <w:trHeight w:val="420" w:hRule="atLeast"/>
              </w:trPr>
              <w:tc>
                <w:tcPr>
                  <w:tcW w:w="10140" w:type="dxa"/>
                  <w:gridSpan w:val="7"/>
                  <w:tcBorders>
                    <w:top w:val="nil"/>
                    <w:left w:val="nil"/>
                    <w:bottom w:val="single" w:color="000000" w:sz="8" w:space="0"/>
                    <w:right w:val="nil"/>
                  </w:tcBorders>
                  <w:shd w:val="clear" w:color="auto" w:fill="auto"/>
                  <w:tcMar>
                    <w:top w:w="15" w:type="dxa"/>
                    <w:left w:w="15" w:type="dxa"/>
                    <w:right w:w="15" w:type="dxa"/>
                  </w:tcMar>
                  <w:vAlign w:val="center"/>
                </w:tcPr>
                <w:p>
                  <w:pPr>
                    <w:widowControl/>
                    <w:textAlignment w:val="center"/>
                    <w:rPr>
                      <w:rFonts w:hint="eastAsia" w:ascii="仿宋" w:hAnsi="仿宋" w:eastAsia="仿宋" w:cs="仿宋_GB2312"/>
                      <w:color w:val="000000"/>
                      <w:kern w:val="0"/>
                      <w:sz w:val="24"/>
                      <w:lang w:bidi="ar"/>
                    </w:rPr>
                  </w:pPr>
                </w:p>
                <w:p>
                  <w:pPr>
                    <w:widowControl/>
                    <w:ind w:firstLine="2640" w:firstLineChars="1100"/>
                    <w:textAlignment w:val="center"/>
                    <w:rPr>
                      <w:rFonts w:ascii="仿宋" w:hAnsi="仿宋" w:eastAsia="仿宋" w:cs="仿宋_GB2312"/>
                      <w:color w:val="000000"/>
                      <w:sz w:val="24"/>
                    </w:rPr>
                  </w:pPr>
                  <w:r>
                    <w:rPr>
                      <w:rFonts w:hint="eastAsia" w:ascii="仿宋" w:hAnsi="仿宋" w:eastAsia="仿宋" w:cs="仿宋_GB2312"/>
                      <w:color w:val="000000"/>
                      <w:kern w:val="0"/>
                      <w:sz w:val="24"/>
                      <w:lang w:bidi="ar"/>
                    </w:rPr>
                    <w:t>(2019 年度)</w:t>
                  </w:r>
                </w:p>
              </w:tc>
            </w:tr>
            <w:tr>
              <w:tblPrEx>
                <w:tblCellMar>
                  <w:top w:w="0" w:type="dxa"/>
                  <w:left w:w="0" w:type="dxa"/>
                  <w:bottom w:w="0" w:type="dxa"/>
                  <w:right w:w="0" w:type="dxa"/>
                </w:tblCellMar>
              </w:tblPrEx>
              <w:trPr>
                <w:gridBefore w:val="1"/>
                <w:wBefore w:w="20" w:type="dxa"/>
                <w:trHeight w:val="300" w:hRule="atLeast"/>
              </w:trPr>
              <w:tc>
                <w:tcPr>
                  <w:tcW w:w="43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项目名称</w:t>
                  </w:r>
                </w:p>
              </w:tc>
              <w:tc>
                <w:tcPr>
                  <w:tcW w:w="583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中文域名注册费</w:t>
                  </w:r>
                </w:p>
              </w:tc>
            </w:tr>
            <w:tr>
              <w:tblPrEx>
                <w:tblCellMar>
                  <w:top w:w="0" w:type="dxa"/>
                  <w:left w:w="0" w:type="dxa"/>
                  <w:bottom w:w="0" w:type="dxa"/>
                  <w:right w:w="0" w:type="dxa"/>
                </w:tblCellMar>
              </w:tblPrEx>
              <w:trPr>
                <w:gridBefore w:val="1"/>
                <w:wBefore w:w="20" w:type="dxa"/>
                <w:trHeight w:val="300" w:hRule="atLeast"/>
              </w:trPr>
              <w:tc>
                <w:tcPr>
                  <w:tcW w:w="43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预算单位</w:t>
                  </w:r>
                </w:p>
              </w:tc>
              <w:tc>
                <w:tcPr>
                  <w:tcW w:w="583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区委编办</w:t>
                  </w:r>
                </w:p>
              </w:tc>
            </w:tr>
            <w:tr>
              <w:tblPrEx>
                <w:tblCellMar>
                  <w:top w:w="0" w:type="dxa"/>
                  <w:left w:w="0" w:type="dxa"/>
                  <w:bottom w:w="0" w:type="dxa"/>
                  <w:right w:w="0" w:type="dxa"/>
                </w:tblCellMar>
              </w:tblPrEx>
              <w:trPr>
                <w:gridBefore w:val="1"/>
                <w:wBefore w:w="20" w:type="dxa"/>
                <w:trHeight w:val="585" w:hRule="atLeast"/>
              </w:trPr>
              <w:tc>
                <w:tcPr>
                  <w:tcW w:w="14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预算执行情况(万元)</w:t>
                  </w:r>
                </w:p>
              </w:tc>
              <w:tc>
                <w:tcPr>
                  <w:tcW w:w="285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预算数:</w:t>
                  </w:r>
                </w:p>
              </w:tc>
              <w:tc>
                <w:tcPr>
                  <w:tcW w:w="12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52000</w:t>
                  </w:r>
                </w:p>
              </w:tc>
              <w:tc>
                <w:tcPr>
                  <w:tcW w:w="21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执行数:</w:t>
                  </w:r>
                </w:p>
              </w:tc>
              <w:tc>
                <w:tcPr>
                  <w:tcW w:w="244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52000</w:t>
                  </w:r>
                </w:p>
              </w:tc>
            </w:tr>
            <w:tr>
              <w:tblPrEx>
                <w:tblCellMar>
                  <w:top w:w="0" w:type="dxa"/>
                  <w:left w:w="0" w:type="dxa"/>
                  <w:bottom w:w="0" w:type="dxa"/>
                  <w:right w:w="0" w:type="dxa"/>
                </w:tblCellMar>
              </w:tblPrEx>
              <w:trPr>
                <w:gridBefore w:val="1"/>
                <w:wBefore w:w="20" w:type="dxa"/>
                <w:trHeight w:val="300" w:hRule="atLeast"/>
              </w:trPr>
              <w:tc>
                <w:tcPr>
                  <w:tcW w:w="14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宋体"/>
                      <w:color w:val="000000"/>
                      <w:sz w:val="24"/>
                    </w:rPr>
                  </w:pPr>
                </w:p>
              </w:tc>
              <w:tc>
                <w:tcPr>
                  <w:tcW w:w="285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其中-财政拨款:</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52000</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其中-财政拨款:</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52000</w:t>
                  </w:r>
                </w:p>
              </w:tc>
            </w:tr>
            <w:tr>
              <w:tblPrEx>
                <w:tblCellMar>
                  <w:top w:w="0" w:type="dxa"/>
                  <w:left w:w="0" w:type="dxa"/>
                  <w:bottom w:w="0" w:type="dxa"/>
                  <w:right w:w="0" w:type="dxa"/>
                </w:tblCellMar>
              </w:tblPrEx>
              <w:trPr>
                <w:gridBefore w:val="1"/>
                <w:wBefore w:w="20" w:type="dxa"/>
                <w:trHeight w:val="300" w:hRule="atLeast"/>
              </w:trPr>
              <w:tc>
                <w:tcPr>
                  <w:tcW w:w="14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宋体"/>
                      <w:color w:val="000000"/>
                      <w:sz w:val="24"/>
                    </w:rPr>
                  </w:pPr>
                </w:p>
              </w:tc>
              <w:tc>
                <w:tcPr>
                  <w:tcW w:w="285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其它资金:</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0</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其它资金:</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0</w:t>
                  </w:r>
                </w:p>
              </w:tc>
            </w:tr>
            <w:tr>
              <w:tblPrEx>
                <w:tblCellMar>
                  <w:top w:w="0" w:type="dxa"/>
                  <w:left w:w="0" w:type="dxa"/>
                  <w:bottom w:w="0" w:type="dxa"/>
                  <w:right w:w="0" w:type="dxa"/>
                </w:tblCellMar>
              </w:tblPrEx>
              <w:trPr>
                <w:gridBefore w:val="1"/>
                <w:wBefore w:w="20" w:type="dxa"/>
                <w:trHeight w:val="585" w:hRule="atLeast"/>
              </w:trPr>
              <w:tc>
                <w:tcPr>
                  <w:tcW w:w="14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年度目标完成情况</w:t>
                  </w:r>
                </w:p>
              </w:tc>
              <w:tc>
                <w:tcPr>
                  <w:tcW w:w="412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预期目标</w:t>
                  </w:r>
                </w:p>
              </w:tc>
              <w:tc>
                <w:tcPr>
                  <w:tcW w:w="456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实际完成目标</w:t>
                  </w:r>
                </w:p>
              </w:tc>
            </w:tr>
            <w:tr>
              <w:tblPrEx>
                <w:tblCellMar>
                  <w:top w:w="0" w:type="dxa"/>
                  <w:left w:w="0" w:type="dxa"/>
                  <w:bottom w:w="0" w:type="dxa"/>
                  <w:right w:w="0" w:type="dxa"/>
                </w:tblCellMar>
              </w:tblPrEx>
              <w:trPr>
                <w:gridBefore w:val="1"/>
                <w:wBefore w:w="20" w:type="dxa"/>
                <w:trHeight w:val="855" w:hRule="atLeast"/>
              </w:trPr>
              <w:tc>
                <w:tcPr>
                  <w:tcW w:w="14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412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全区所有党政群机关事业单位全覆盖。</w:t>
                  </w:r>
                </w:p>
              </w:tc>
              <w:tc>
                <w:tcPr>
                  <w:tcW w:w="456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全区所有党政群机关事业单位全覆盖。</w:t>
                  </w:r>
                </w:p>
              </w:tc>
            </w:tr>
            <w:tr>
              <w:tblPrEx>
                <w:tblCellMar>
                  <w:top w:w="0" w:type="dxa"/>
                  <w:left w:w="0" w:type="dxa"/>
                  <w:bottom w:w="0" w:type="dxa"/>
                  <w:right w:w="0" w:type="dxa"/>
                </w:tblCellMar>
              </w:tblPrEx>
              <w:trPr>
                <w:gridBefore w:val="1"/>
                <w:wBefore w:w="20" w:type="dxa"/>
                <w:trHeight w:val="585" w:hRule="atLeast"/>
              </w:trPr>
              <w:tc>
                <w:tcPr>
                  <w:tcW w:w="1455" w:type="dxa"/>
                  <w:vMerge w:val="restar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一级指标</w:t>
                  </w:r>
                </w:p>
              </w:tc>
              <w:tc>
                <w:tcPr>
                  <w:tcW w:w="17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二级指标</w:t>
                  </w:r>
                </w:p>
              </w:tc>
              <w:tc>
                <w:tcPr>
                  <w:tcW w:w="12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三级指标</w:t>
                  </w:r>
                </w:p>
              </w:tc>
              <w:tc>
                <w:tcPr>
                  <w:tcW w:w="21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预期指标值(包含数字及文字描述)</w:t>
                  </w:r>
                </w:p>
              </w:tc>
              <w:tc>
                <w:tcPr>
                  <w:tcW w:w="244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实际完成指标值(包含数字及文字描述)</w:t>
                  </w:r>
                </w:p>
              </w:tc>
            </w:tr>
            <w:tr>
              <w:tblPrEx>
                <w:tblCellMar>
                  <w:top w:w="0" w:type="dxa"/>
                  <w:left w:w="0" w:type="dxa"/>
                  <w:bottom w:w="0" w:type="dxa"/>
                  <w:right w:w="0" w:type="dxa"/>
                </w:tblCellMar>
              </w:tblPrEx>
              <w:trPr>
                <w:gridBefore w:val="1"/>
                <w:wBefore w:w="20" w:type="dxa"/>
                <w:trHeight w:val="495"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产出指标</w:t>
                  </w:r>
                </w:p>
              </w:tc>
              <w:tc>
                <w:tcPr>
                  <w:tcW w:w="177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数量指标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中文域名个数</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520个</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520个</w:t>
                  </w:r>
                </w:p>
              </w:tc>
            </w:tr>
            <w:tr>
              <w:tblPrEx>
                <w:tblCellMar>
                  <w:top w:w="0" w:type="dxa"/>
                  <w:left w:w="0" w:type="dxa"/>
                  <w:bottom w:w="0" w:type="dxa"/>
                  <w:right w:w="0" w:type="dxa"/>
                </w:tblCellMar>
              </w:tblPrEx>
              <w:trPr>
                <w:gridBefore w:val="1"/>
                <w:wBefore w:w="20" w:type="dxa"/>
                <w:trHeight w:val="690"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75个党政群机关，445个事业单位</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520个</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520个</w:t>
                  </w:r>
                </w:p>
              </w:tc>
            </w:tr>
            <w:tr>
              <w:tblPrEx>
                <w:tblCellMar>
                  <w:top w:w="0" w:type="dxa"/>
                  <w:left w:w="0" w:type="dxa"/>
                  <w:bottom w:w="0" w:type="dxa"/>
                  <w:right w:w="0" w:type="dxa"/>
                </w:tblCellMar>
              </w:tblPrEx>
              <w:trPr>
                <w:gridBefore w:val="1"/>
                <w:wBefore w:w="20" w:type="dxa"/>
                <w:trHeight w:val="585"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部门中文域名注册全覆盖</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100%</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gridBefore w:val="1"/>
                <w:wBefore w:w="20" w:type="dxa"/>
                <w:trHeight w:val="585"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质量指标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项目验收合格率</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100%</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gridBefore w:val="1"/>
                <w:wBefore w:w="20" w:type="dxa"/>
                <w:trHeight w:val="585"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时效指标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项目完成及时率</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100%</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gridBefore w:val="1"/>
                <w:wBefore w:w="20" w:type="dxa"/>
                <w:trHeight w:val="870"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成本指标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每个中文域名每年注册费</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100元</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100元</w:t>
                  </w:r>
                </w:p>
              </w:tc>
            </w:tr>
            <w:tr>
              <w:tblPrEx>
                <w:tblCellMar>
                  <w:top w:w="0" w:type="dxa"/>
                  <w:left w:w="0" w:type="dxa"/>
                  <w:bottom w:w="0" w:type="dxa"/>
                  <w:right w:w="0" w:type="dxa"/>
                </w:tblCellMar>
              </w:tblPrEx>
              <w:trPr>
                <w:gridBefore w:val="1"/>
                <w:wBefore w:w="20" w:type="dxa"/>
                <w:trHeight w:val="585"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社会效益指标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项目覆盖乡镇</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29个</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29个</w:t>
                  </w:r>
                </w:p>
              </w:tc>
            </w:tr>
            <w:tr>
              <w:tblPrEx>
                <w:tblCellMar>
                  <w:top w:w="0" w:type="dxa"/>
                  <w:left w:w="0" w:type="dxa"/>
                  <w:bottom w:w="0" w:type="dxa"/>
                  <w:right w:w="0" w:type="dxa"/>
                </w:tblCellMar>
              </w:tblPrEx>
              <w:trPr>
                <w:gridBefore w:val="1"/>
                <w:wBefore w:w="20" w:type="dxa"/>
                <w:trHeight w:val="585"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项目覆盖机关</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75个</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75个</w:t>
                  </w:r>
                </w:p>
              </w:tc>
            </w:tr>
            <w:tr>
              <w:tblPrEx>
                <w:tblCellMar>
                  <w:top w:w="0" w:type="dxa"/>
                  <w:left w:w="0" w:type="dxa"/>
                  <w:bottom w:w="0" w:type="dxa"/>
                  <w:right w:w="0" w:type="dxa"/>
                </w:tblCellMar>
              </w:tblPrEx>
              <w:trPr>
                <w:gridBefore w:val="1"/>
                <w:wBefore w:w="20" w:type="dxa"/>
                <w:trHeight w:val="300"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发挥作用</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明显发挥</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明显发挥</w:t>
                  </w:r>
                </w:p>
              </w:tc>
            </w:tr>
            <w:tr>
              <w:tblPrEx>
                <w:tblCellMar>
                  <w:top w:w="0" w:type="dxa"/>
                  <w:left w:w="0" w:type="dxa"/>
                  <w:bottom w:w="0" w:type="dxa"/>
                  <w:right w:w="0" w:type="dxa"/>
                </w:tblCellMar>
              </w:tblPrEx>
              <w:trPr>
                <w:gridBefore w:val="1"/>
                <w:wBefore w:w="20" w:type="dxa"/>
                <w:trHeight w:val="585"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可持续影响指标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项目使用年限</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永久</w:t>
                  </w: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永久</w:t>
                  </w:r>
                </w:p>
              </w:tc>
            </w:tr>
            <w:tr>
              <w:tblPrEx>
                <w:tblCellMar>
                  <w:top w:w="0" w:type="dxa"/>
                  <w:left w:w="0" w:type="dxa"/>
                  <w:bottom w:w="0" w:type="dxa"/>
                  <w:right w:w="0" w:type="dxa"/>
                </w:tblCellMar>
              </w:tblPrEx>
              <w:trPr>
                <w:gridBefore w:val="1"/>
                <w:wBefore w:w="20" w:type="dxa"/>
                <w:trHeight w:val="555"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满意度指标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服务对象满意度指标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收益单位满意度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s="宋体"/>
                      <w:color w:val="000000"/>
                      <w:kern w:val="0"/>
                      <w:sz w:val="24"/>
                      <w:lang w:bidi="ar"/>
                    </w:rPr>
                    <w:t>≥</w:t>
                  </w:r>
                  <w:r>
                    <w:rPr>
                      <w:rStyle w:val="33"/>
                      <w:rFonts w:ascii="仿宋" w:hAnsi="仿宋" w:eastAsia="仿宋"/>
                      <w:sz w:val="24"/>
                      <w:szCs w:val="24"/>
                      <w:lang w:bidi="ar"/>
                    </w:rPr>
                    <w:t>90%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s="宋体"/>
                      <w:color w:val="000000"/>
                      <w:kern w:val="0"/>
                      <w:sz w:val="24"/>
                      <w:lang w:bidi="ar"/>
                    </w:rPr>
                    <w:t>≥</w:t>
                  </w:r>
                  <w:r>
                    <w:rPr>
                      <w:rStyle w:val="33"/>
                      <w:rFonts w:ascii="仿宋" w:hAnsi="仿宋" w:eastAsia="仿宋"/>
                      <w:sz w:val="24"/>
                      <w:szCs w:val="24"/>
                      <w:lang w:bidi="ar"/>
                    </w:rPr>
                    <w:t>90%</w:t>
                  </w:r>
                </w:p>
              </w:tc>
            </w:tr>
            <w:tr>
              <w:tblPrEx>
                <w:tblCellMar>
                  <w:top w:w="0" w:type="dxa"/>
                  <w:left w:w="0" w:type="dxa"/>
                  <w:bottom w:w="0" w:type="dxa"/>
                  <w:right w:w="0" w:type="dxa"/>
                </w:tblCellMar>
              </w:tblPrEx>
              <w:trPr>
                <w:gridBefore w:val="1"/>
                <w:wBefore w:w="20" w:type="dxa"/>
                <w:trHeight w:val="555" w:hRule="atLeast"/>
              </w:trPr>
              <w:tc>
                <w:tcPr>
                  <w:tcW w:w="145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办事单位满意度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s="宋体"/>
                      <w:color w:val="000000"/>
                      <w:kern w:val="0"/>
                      <w:sz w:val="24"/>
                      <w:lang w:bidi="ar"/>
                    </w:rPr>
                    <w:t>≥</w:t>
                  </w:r>
                  <w:r>
                    <w:rPr>
                      <w:rStyle w:val="33"/>
                      <w:rFonts w:ascii="仿宋" w:hAnsi="仿宋" w:eastAsia="仿宋"/>
                      <w:sz w:val="24"/>
                      <w:szCs w:val="24"/>
                      <w:lang w:bidi="ar"/>
                    </w:rPr>
                    <w:t>90%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s="宋体"/>
                      <w:color w:val="000000"/>
                      <w:kern w:val="0"/>
                      <w:sz w:val="24"/>
                      <w:lang w:bidi="ar"/>
                    </w:rPr>
                    <w:t>≥</w:t>
                  </w:r>
                  <w:r>
                    <w:rPr>
                      <w:rStyle w:val="33"/>
                      <w:rFonts w:ascii="仿宋" w:hAnsi="仿宋" w:eastAsia="仿宋"/>
                      <w:sz w:val="24"/>
                      <w:szCs w:val="24"/>
                      <w:lang w:bidi="ar"/>
                    </w:rPr>
                    <w:t>90%</w:t>
                  </w:r>
                </w:p>
              </w:tc>
            </w:tr>
            <w:tr>
              <w:tblPrEx>
                <w:tblCellMar>
                  <w:top w:w="0" w:type="dxa"/>
                  <w:left w:w="0" w:type="dxa"/>
                  <w:bottom w:w="0" w:type="dxa"/>
                  <w:right w:w="0" w:type="dxa"/>
                </w:tblCellMar>
              </w:tblPrEx>
              <w:trPr>
                <w:gridBefore w:val="1"/>
                <w:wBefore w:w="20" w:type="dxa"/>
                <w:trHeight w:val="300" w:hRule="atLeast"/>
              </w:trPr>
              <w:tc>
                <w:tcPr>
                  <w:tcW w:w="14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宋体"/>
                      <w:color w:val="000000"/>
                      <w:sz w:val="24"/>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7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44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宋体"/>
                      <w:color w:val="000000"/>
                      <w:sz w:val="24"/>
                    </w:rPr>
                  </w:pPr>
                </w:p>
              </w:tc>
            </w:tr>
          </w:tbl>
          <w:p>
            <w:pPr>
              <w:pStyle w:val="23"/>
              <w:widowControl/>
              <w:ind w:left="3595" w:leftChars="912" w:hanging="1680" w:hangingChars="700"/>
              <w:textAlignment w:val="center"/>
              <w:rPr>
                <w:rFonts w:ascii="仿宋" w:hAnsi="仿宋" w:eastAsia="仿宋" w:cs="宋体"/>
                <w:color w:val="000000"/>
                <w:sz w:val="24"/>
              </w:rPr>
            </w:pPr>
          </w:p>
        </w:tc>
      </w:tr>
    </w:tbl>
    <w:p>
      <w:pPr>
        <w:rPr>
          <w:rFonts w:ascii="仿宋" w:hAnsi="仿宋" w:eastAsia="仿宋"/>
          <w:sz w:val="24"/>
        </w:rPr>
      </w:pPr>
    </w:p>
    <w:p>
      <w:pPr>
        <w:spacing w:line="58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2、部门开展绩效评价结果。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本部门按要求对2019年部门整体支出绩效评价情况开展自评，《中共广元市昭化区委机构编制委员会办公室2019年部门整体支出绩效评价报告》见附件。</w:t>
      </w:r>
    </w:p>
    <w:p>
      <w:pPr>
        <w:widowControl/>
        <w:jc w:val="left"/>
        <w:rPr>
          <w:rFonts w:ascii="仿宋" w:hAnsi="仿宋" w:eastAsia="仿宋"/>
          <w:color w:val="000000"/>
          <w:sz w:val="32"/>
          <w:szCs w:val="32"/>
        </w:rPr>
      </w:pPr>
      <w:r>
        <w:rPr>
          <w:rFonts w:ascii="仿宋" w:hAnsi="仿宋" w:eastAsia="仿宋"/>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bCs w:val="0"/>
        </w:rPr>
      </w:pPr>
      <w:bookmarkStart w:id="79" w:name="_Toc72671138"/>
      <w:bookmarkStart w:id="80" w:name="_Toc15377225"/>
      <w:bookmarkStart w:id="81" w:name="_Toc15396613"/>
      <w:r>
        <w:rPr>
          <w:rFonts w:hint="eastAsia" w:ascii="黑体" w:hAnsi="黑体" w:eastAsia="黑体"/>
          <w:color w:val="000000"/>
          <w:sz w:val="44"/>
          <w:szCs w:val="44"/>
        </w:rPr>
        <w:t>名</w:t>
      </w:r>
      <w:r>
        <w:rPr>
          <w:rStyle w:val="24"/>
          <w:rFonts w:hint="eastAsia" w:ascii="黑体" w:hAnsi="黑体" w:eastAsia="黑体"/>
          <w:b w:val="0"/>
          <w:bCs w:val="0"/>
        </w:rPr>
        <w:t>词解释</w:t>
      </w:r>
      <w:bookmarkEnd w:id="79"/>
      <w:bookmarkEnd w:id="80"/>
      <w:bookmarkEnd w:id="81"/>
    </w:p>
    <w:p>
      <w:pPr>
        <w:spacing w:line="600" w:lineRule="exact"/>
        <w:jc w:val="left"/>
        <w:rPr>
          <w:rFonts w:ascii="仿宋" w:hAnsi="仿宋" w:eastAsia="仿宋"/>
          <w:color w:val="000000"/>
          <w:sz w:val="32"/>
          <w:szCs w:val="32"/>
        </w:rPr>
      </w:pPr>
    </w:p>
    <w:p>
      <w:pPr>
        <w:pStyle w:val="22"/>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2"/>
        <w:spacing w:line="560" w:lineRule="exact"/>
        <w:ind w:firstLine="640" w:firstLineChars="200"/>
        <w:rPr>
          <w:rFonts w:hAnsi="仿宋"/>
          <w:sz w:val="32"/>
          <w:szCs w:val="32"/>
        </w:rPr>
      </w:pPr>
      <w:r>
        <w:rPr>
          <w:rFonts w:hint="eastAsia" w:hAnsi="仿宋"/>
          <w:sz w:val="32"/>
          <w:szCs w:val="32"/>
        </w:rPr>
        <w:t>2</w:t>
      </w:r>
      <w:r>
        <w:rPr>
          <w:rFonts w:hAnsi="仿宋"/>
          <w:sz w:val="32"/>
          <w:szCs w:val="32"/>
        </w:rPr>
        <w:t>.</w:t>
      </w:r>
      <w:r>
        <w:rPr>
          <w:rFonts w:hint="eastAsia" w:hAnsi="仿宋"/>
          <w:sz w:val="32"/>
          <w:szCs w:val="32"/>
        </w:rPr>
        <w:t>年初结转和结余：指以前年度尚未完成、结转到本年按有关规定继续使用的资金。</w:t>
      </w:r>
      <w:r>
        <w:rPr>
          <w:rFonts w:hAnsi="仿宋"/>
          <w:sz w:val="32"/>
          <w:szCs w:val="32"/>
        </w:rPr>
        <w:t xml:space="preserve"> </w:t>
      </w:r>
    </w:p>
    <w:p>
      <w:pPr>
        <w:pStyle w:val="22"/>
        <w:spacing w:line="560" w:lineRule="exact"/>
        <w:ind w:firstLine="640" w:firstLineChars="200"/>
        <w:rPr>
          <w:rFonts w:hAnsi="仿宋"/>
          <w:sz w:val="32"/>
          <w:szCs w:val="32"/>
        </w:rPr>
      </w:pPr>
      <w:r>
        <w:rPr>
          <w:rFonts w:hint="eastAsia" w:hAnsi="仿宋"/>
          <w:sz w:val="32"/>
          <w:szCs w:val="32"/>
        </w:rPr>
        <w:t>3、年末结转和结余：指单位按有关规定结转到下年或以后年度继续使用的资金。</w:t>
      </w:r>
    </w:p>
    <w:p>
      <w:pPr>
        <w:spacing w:line="600" w:lineRule="exact"/>
        <w:ind w:firstLine="640" w:firstLineChars="200"/>
        <w:outlineLvl w:val="2"/>
        <w:rPr>
          <w:rStyle w:val="14"/>
          <w:rFonts w:ascii="仿宋" w:hAnsi="仿宋" w:eastAsia="仿宋" w:cs="仿宋_GB2312"/>
          <w:b w:val="0"/>
          <w:sz w:val="32"/>
          <w:szCs w:val="32"/>
          <w:highlight w:val="yellow"/>
        </w:rPr>
      </w:pPr>
      <w:bookmarkStart w:id="82" w:name="_Toc72671139"/>
      <w:r>
        <w:rPr>
          <w:rStyle w:val="14"/>
          <w:rFonts w:hint="eastAsia" w:ascii="仿宋" w:hAnsi="仿宋" w:eastAsia="仿宋" w:cs="仿宋_GB2312"/>
          <w:b w:val="0"/>
          <w:color w:val="000000"/>
          <w:sz w:val="32"/>
          <w:szCs w:val="32"/>
        </w:rPr>
        <w:t>4.</w:t>
      </w:r>
      <w:r>
        <w:rPr>
          <w:rStyle w:val="14"/>
          <w:rFonts w:hint="eastAsia" w:ascii="仿宋" w:hAnsi="仿宋" w:eastAsia="仿宋"/>
          <w:b w:val="0"/>
          <w:color w:val="000000"/>
          <w:sz w:val="32"/>
          <w:szCs w:val="32"/>
        </w:rPr>
        <w:t>一般公共服务（类）政府办公厅（室）及相关机构事务（款）行政运行（项）</w:t>
      </w:r>
      <w:r>
        <w:rPr>
          <w:rStyle w:val="14"/>
          <w:rFonts w:ascii="仿宋" w:hAnsi="仿宋" w:eastAsia="仿宋"/>
          <w:b w:val="0"/>
          <w:color w:val="000000"/>
          <w:sz w:val="32"/>
          <w:szCs w:val="32"/>
        </w:rPr>
        <w:t xml:space="preserve">: </w:t>
      </w:r>
      <w:r>
        <w:rPr>
          <w:rStyle w:val="14"/>
          <w:rFonts w:hint="eastAsia" w:ascii="仿宋" w:hAnsi="仿宋" w:eastAsia="仿宋" w:cs="仿宋_GB2312"/>
          <w:b w:val="0"/>
          <w:color w:val="000000"/>
          <w:sz w:val="32"/>
          <w:szCs w:val="32"/>
        </w:rPr>
        <w:t>指区委编办的基本支出。</w:t>
      </w:r>
      <w:bookmarkEnd w:id="82"/>
    </w:p>
    <w:p>
      <w:pPr>
        <w:spacing w:line="600" w:lineRule="exact"/>
        <w:ind w:firstLine="640" w:firstLineChars="200"/>
        <w:rPr>
          <w:rFonts w:ascii="仿宋" w:hAnsi="仿宋" w:eastAsia="仿宋" w:cs="仿宋_GB2312"/>
          <w:color w:val="000000"/>
          <w:sz w:val="32"/>
          <w:szCs w:val="32"/>
        </w:rPr>
      </w:pPr>
      <w:r>
        <w:rPr>
          <w:rStyle w:val="14"/>
          <w:rFonts w:hint="eastAsia" w:ascii="仿宋" w:hAnsi="仿宋" w:eastAsia="仿宋"/>
          <w:b w:val="0"/>
          <w:color w:val="000000"/>
          <w:sz w:val="32"/>
          <w:szCs w:val="32"/>
        </w:rPr>
        <w:t>5</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社会保障和就业（类）社会保障和就业支出（款）行政事业单位离退休（项）：指区委编办为单位职工缴纳基本养老保险缴费支出。</w:t>
      </w:r>
    </w:p>
    <w:p>
      <w:pPr>
        <w:spacing w:line="600" w:lineRule="exact"/>
        <w:ind w:firstLine="640" w:firstLineChars="200"/>
        <w:rPr>
          <w:rStyle w:val="14"/>
          <w:rFonts w:ascii="仿宋" w:hAnsi="仿宋" w:eastAsia="仿宋" w:cs="仿宋_GB2312"/>
          <w:b w:val="0"/>
          <w:color w:val="000000"/>
          <w:sz w:val="32"/>
          <w:szCs w:val="32"/>
          <w:highlight w:val="yellow"/>
        </w:rPr>
      </w:pPr>
      <w:r>
        <w:rPr>
          <w:rStyle w:val="14"/>
          <w:rFonts w:hint="eastAsia" w:ascii="仿宋" w:hAnsi="仿宋" w:eastAsia="仿宋"/>
          <w:b w:val="0"/>
          <w:color w:val="000000"/>
          <w:sz w:val="32"/>
          <w:szCs w:val="32"/>
        </w:rPr>
        <w:t>6</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医疗卫生与计划生育（类）医疗卫生与计划生育支出（款）行政事业单位医疗（项）行政单位医疗：指区委编办为单位职工缴纳的医疗保险支出。</w:t>
      </w:r>
    </w:p>
    <w:p>
      <w:pPr>
        <w:spacing w:line="600" w:lineRule="exact"/>
        <w:ind w:firstLine="640"/>
        <w:rPr>
          <w:rFonts w:ascii="仿宋" w:hAnsi="仿宋" w:eastAsia="仿宋"/>
          <w:color w:val="000000"/>
          <w:sz w:val="32"/>
          <w:szCs w:val="32"/>
        </w:rPr>
      </w:pPr>
      <w:r>
        <w:rPr>
          <w:rStyle w:val="14"/>
          <w:rFonts w:hint="eastAsia" w:ascii="仿宋" w:hAnsi="仿宋" w:eastAsia="仿宋"/>
          <w:b w:val="0"/>
          <w:color w:val="000000"/>
          <w:sz w:val="32"/>
          <w:szCs w:val="32"/>
        </w:rPr>
        <w:t>7.住房保障支出（类）住房改革支出（款）住房公积金（项）:指区委编办为单位职工缴纳的住房公积金支出</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基本支出：指为保障机构正常运转、完成日常工作任务而发生的人员支出和公用支出。</w:t>
      </w:r>
    </w:p>
    <w:p>
      <w:pPr>
        <w:pStyle w:val="22"/>
        <w:spacing w:line="560" w:lineRule="exact"/>
        <w:ind w:firstLine="640" w:firstLineChars="200"/>
        <w:rPr>
          <w:rFonts w:hAnsi="仿宋"/>
          <w:sz w:val="32"/>
          <w:szCs w:val="32"/>
        </w:rPr>
      </w:pPr>
      <w:r>
        <w:rPr>
          <w:rFonts w:hint="eastAsia" w:hAnsi="仿宋"/>
          <w:sz w:val="32"/>
          <w:szCs w:val="32"/>
        </w:rPr>
        <w:t>9</w:t>
      </w:r>
      <w:r>
        <w:rPr>
          <w:rFonts w:hAnsi="仿宋"/>
          <w:sz w:val="32"/>
          <w:szCs w:val="32"/>
        </w:rPr>
        <w:t>.</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Ansi="仿宋"/>
          <w:sz w:val="32"/>
          <w:szCs w:val="32"/>
        </w:rPr>
      </w:pPr>
      <w:r>
        <w:rPr>
          <w:rFonts w:hint="eastAsia" w:hAnsi="仿宋"/>
          <w:sz w:val="32"/>
          <w:szCs w:val="32"/>
        </w:rPr>
        <w:t>10</w:t>
      </w:r>
      <w:r>
        <w:rPr>
          <w:rFonts w:hAnsi="仿宋"/>
          <w:sz w:val="32"/>
          <w:szCs w:val="32"/>
        </w:rPr>
        <w:t>.</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hAnsi="仿宋" w:cs="黑体"/>
          <w:sz w:val="32"/>
          <w:szCs w:val="32"/>
        </w:rPr>
      </w:pPr>
    </w:p>
    <w:p>
      <w:pPr>
        <w:widowControl/>
        <w:jc w:val="left"/>
        <w:rPr>
          <w:rFonts w:ascii="仿宋" w:hAnsi="仿宋" w:eastAsia="仿宋"/>
          <w:color w:val="000000"/>
          <w:sz w:val="32"/>
          <w:szCs w:val="32"/>
        </w:rPr>
      </w:pPr>
      <w:bookmarkStart w:id="83" w:name="_Toc15396614"/>
      <w:bookmarkStart w:id="84" w:name="_Toc15377226"/>
      <w:r>
        <w:rPr>
          <w:rFonts w:ascii="仿宋" w:hAnsi="仿宋" w:eastAsia="仿宋"/>
          <w:color w:val="000000"/>
          <w:sz w:val="32"/>
          <w:szCs w:val="32"/>
        </w:rPr>
        <w:br w:type="page"/>
      </w:r>
    </w:p>
    <w:p>
      <w:pPr>
        <w:spacing w:line="600" w:lineRule="exact"/>
        <w:jc w:val="center"/>
        <w:outlineLvl w:val="0"/>
        <w:rPr>
          <w:rStyle w:val="24"/>
          <w:rFonts w:ascii="黑体" w:hAnsi="黑体" w:eastAsia="黑体"/>
          <w:b w:val="0"/>
          <w:bCs w:val="0"/>
        </w:rPr>
      </w:pPr>
      <w:bookmarkStart w:id="85" w:name="_Toc72671140"/>
      <w:r>
        <w:rPr>
          <w:rFonts w:hint="eastAsia" w:ascii="黑体" w:hAnsi="黑体" w:eastAsia="黑体"/>
          <w:color w:val="000000"/>
          <w:sz w:val="44"/>
          <w:szCs w:val="44"/>
        </w:rPr>
        <w:t>第</w:t>
      </w:r>
      <w:r>
        <w:rPr>
          <w:rStyle w:val="24"/>
          <w:rFonts w:hint="eastAsia" w:ascii="黑体" w:hAnsi="黑体" w:eastAsia="黑体"/>
          <w:b w:val="0"/>
          <w:bCs w:val="0"/>
        </w:rPr>
        <w:t>四部分 附件</w:t>
      </w:r>
      <w:bookmarkEnd w:id="83"/>
      <w:bookmarkEnd w:id="85"/>
    </w:p>
    <w:p>
      <w:pPr>
        <w:spacing w:line="600" w:lineRule="exact"/>
        <w:jc w:val="left"/>
        <w:outlineLvl w:val="0"/>
        <w:rPr>
          <w:rFonts w:ascii="黑体" w:hAnsi="黑体" w:eastAsia="黑体" w:cs="方正小标宋简体"/>
          <w:sz w:val="32"/>
          <w:szCs w:val="32"/>
        </w:rPr>
      </w:pPr>
      <w:bookmarkStart w:id="86" w:name="_Toc72671141"/>
      <w:r>
        <w:rPr>
          <w:rFonts w:hint="eastAsia" w:ascii="黑体" w:hAnsi="黑体" w:eastAsia="黑体" w:cs="黑体"/>
          <w:sz w:val="32"/>
          <w:szCs w:val="32"/>
        </w:rPr>
        <w:t>附件1</w:t>
      </w:r>
      <w:bookmarkEnd w:id="86"/>
    </w:p>
    <w:p>
      <w:pPr>
        <w:spacing w:line="600" w:lineRule="exact"/>
        <w:jc w:val="center"/>
        <w:outlineLvl w:val="0"/>
        <w:rPr>
          <w:rFonts w:ascii="仿宋" w:hAnsi="仿宋" w:eastAsia="仿宋" w:cs="方正小标宋简体"/>
          <w:sz w:val="32"/>
          <w:szCs w:val="32"/>
        </w:rPr>
      </w:pPr>
      <w:bookmarkStart w:id="87" w:name="_Toc15396616"/>
      <w:bookmarkStart w:id="88" w:name="_Toc72671142"/>
      <w:r>
        <w:rPr>
          <w:rFonts w:hint="eastAsia" w:ascii="仿宋" w:hAnsi="仿宋" w:eastAsia="仿宋" w:cs="方正小标宋简体"/>
          <w:sz w:val="32"/>
          <w:szCs w:val="32"/>
        </w:rPr>
        <w:t>2019年部门整体支出绩效评价报告</w:t>
      </w:r>
      <w:bookmarkEnd w:id="87"/>
      <w:bookmarkEnd w:id="88"/>
    </w:p>
    <w:p>
      <w:pPr>
        <w:spacing w:line="580" w:lineRule="exact"/>
        <w:ind w:firstLine="640" w:firstLineChars="200"/>
        <w:rPr>
          <w:rFonts w:ascii="仿宋" w:hAnsi="仿宋" w:eastAsia="仿宋" w:cs="黑体"/>
          <w:sz w:val="32"/>
          <w:szCs w:val="32"/>
        </w:rPr>
      </w:pP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一、部门（单位）概况</w:t>
      </w:r>
    </w:p>
    <w:p>
      <w:pPr>
        <w:spacing w:line="560" w:lineRule="exact"/>
        <w:ind w:firstLine="480" w:firstLineChars="150"/>
        <w:rPr>
          <w:rFonts w:ascii="仿宋" w:hAnsi="仿宋" w:eastAsia="仿宋"/>
          <w:sz w:val="32"/>
          <w:szCs w:val="32"/>
        </w:rPr>
      </w:pPr>
      <w:r>
        <w:rPr>
          <w:rFonts w:ascii="仿宋" w:hAnsi="仿宋" w:eastAsia="仿宋" w:cs="仿宋_GB2312"/>
          <w:sz w:val="32"/>
          <w:szCs w:val="32"/>
        </w:rPr>
        <w:t>（一）机构组成。</w:t>
      </w:r>
      <w:r>
        <w:rPr>
          <w:rFonts w:hint="eastAsia" w:ascii="仿宋" w:hAnsi="仿宋" w:eastAsia="仿宋"/>
          <w:sz w:val="32"/>
          <w:szCs w:val="32"/>
        </w:rPr>
        <w:t xml:space="preserve"> </w:t>
      </w:r>
    </w:p>
    <w:p>
      <w:pPr>
        <w:spacing w:line="560" w:lineRule="exact"/>
        <w:ind w:firstLine="480" w:firstLineChars="150"/>
        <w:rPr>
          <w:rFonts w:ascii="仿宋" w:hAnsi="仿宋" w:eastAsia="仿宋" w:cs="仿宋_GB2312"/>
          <w:sz w:val="32"/>
          <w:szCs w:val="32"/>
        </w:rPr>
      </w:pPr>
      <w:r>
        <w:rPr>
          <w:rFonts w:hint="eastAsia" w:ascii="仿宋" w:hAnsi="仿宋" w:eastAsia="仿宋"/>
          <w:sz w:val="32"/>
          <w:szCs w:val="32"/>
        </w:rPr>
        <w:t>区委编办是一级预算单位，</w:t>
      </w:r>
      <w:r>
        <w:rPr>
          <w:rFonts w:hint="eastAsia" w:ascii="仿宋" w:hAnsi="仿宋" w:eastAsia="仿宋" w:cs="仿宋_GB2312"/>
          <w:sz w:val="32"/>
          <w:szCs w:val="32"/>
        </w:rPr>
        <w:t>下属2个事业单位，其中1个参公管理事业单位区事业单位登记服务中心，1个其他事业单位区机构编制信息中心。</w:t>
      </w:r>
    </w:p>
    <w:p>
      <w:pPr>
        <w:numPr>
          <w:ilvl w:val="0"/>
          <w:numId w:val="5"/>
        </w:numPr>
        <w:spacing w:line="560" w:lineRule="exact"/>
        <w:ind w:firstLine="600"/>
        <w:rPr>
          <w:rFonts w:ascii="仿宋" w:hAnsi="仿宋" w:eastAsia="仿宋"/>
          <w:color w:val="000000"/>
          <w:sz w:val="32"/>
          <w:szCs w:val="32"/>
        </w:rPr>
      </w:pPr>
      <w:r>
        <w:rPr>
          <w:rFonts w:ascii="仿宋" w:hAnsi="仿宋" w:eastAsia="仿宋" w:cs="仿宋_GB2312"/>
          <w:sz w:val="32"/>
          <w:szCs w:val="32"/>
        </w:rPr>
        <w:t>机构职能。</w:t>
      </w:r>
    </w:p>
    <w:p>
      <w:pPr>
        <w:spacing w:line="58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）贯彻执行中央关于行政管理体制改革和机构改革、事业单位改革及机构编制管理的方针政策、法律法规规章，研究起草规章草案、规范性文件，制定相关政策并监督实施。</w:t>
      </w:r>
    </w:p>
    <w:p>
      <w:pPr>
        <w:spacing w:line="58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研究拟订全区行政管理体制改革和机构改革方案，审核区级部门“三定”规定和乡镇（街道）机构改革方案，指导各乡镇（街道）、各部门行政管理体制改革和机构改革，评估改革效果，参与行政审批制度改革和行政区划调整的有关工作。</w:t>
      </w:r>
    </w:p>
    <w:p>
      <w:pPr>
        <w:spacing w:line="58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）拟订全区各级行政编制总额分配方案，分配政法专项编制。负责全区行政事业编制总量控制和机关事业单位机构编制实名制管理工作，对区直机关和区属事业单位使用空缺编制补充人员进行核批。</w:t>
      </w:r>
    </w:p>
    <w:p>
      <w:pPr>
        <w:spacing w:line="58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）负责区委、区政府各部门，区人大、区政协机关，区法院、区检察院机关，各民主党派区委机关、区人民团体机关的机构编制管理工作。协调区级部门之间的职责分工。</w:t>
      </w:r>
    </w:p>
    <w:p>
      <w:pPr>
        <w:spacing w:line="58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）给市委编委呈报副科级或按照副科级及以上规格管理机构的设置、调整。</w:t>
      </w:r>
    </w:p>
    <w:p>
      <w:pPr>
        <w:spacing w:line="58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）研究拟订全区事业单位改革方案和事业单位编制标准及实施意见，负责区属事业单位机构编制管理，审核区属事业单位的机构编制方案，负责参照《公务员法》管理事业单位职责的审核工作。</w:t>
      </w:r>
    </w:p>
    <w:p>
      <w:pPr>
        <w:spacing w:line="58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7</w:t>
      </w:r>
      <w:r>
        <w:rPr>
          <w:rFonts w:ascii="仿宋" w:hAnsi="仿宋" w:eastAsia="仿宋"/>
          <w:sz w:val="32"/>
          <w:szCs w:val="32"/>
        </w:rPr>
        <w:t>）监督检查全区行政管理体制改革和机构改革方案及机构编制规定执行情况，按照市委编委的要求，建立机构编制工作考核评估制度，会同有关部门查处机构编制违法违纪行为。</w:t>
      </w:r>
    </w:p>
    <w:p>
      <w:pPr>
        <w:spacing w:line="58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8</w:t>
      </w:r>
      <w:r>
        <w:rPr>
          <w:rFonts w:ascii="仿宋" w:hAnsi="仿宋" w:eastAsia="仿宋"/>
          <w:sz w:val="32"/>
          <w:szCs w:val="32"/>
        </w:rPr>
        <w:t>）负责全区事业单位登记管理工作。</w:t>
      </w:r>
    </w:p>
    <w:p>
      <w:pPr>
        <w:pStyle w:val="2"/>
        <w:adjustRightInd w:val="0"/>
        <w:snapToGrid w:val="0"/>
        <w:spacing w:before="93" w:line="600" w:lineRule="exact"/>
        <w:ind w:firstLine="672" w:firstLineChars="21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指导、协调、监督并推进全区深化行政审批制度改革工作。</w:t>
      </w:r>
    </w:p>
    <w:p>
      <w:pPr>
        <w:pStyle w:val="2"/>
        <w:adjustRightInd w:val="0"/>
        <w:snapToGrid w:val="0"/>
        <w:spacing w:before="93" w:line="600" w:lineRule="exact"/>
        <w:ind w:firstLine="672" w:firstLineChars="210"/>
        <w:rPr>
          <w:rFonts w:ascii="仿宋" w:hAnsi="仿宋" w:eastAsia="仿宋" w:cs="仿宋_GB2312"/>
          <w:color w:val="000000"/>
          <w:sz w:val="32"/>
          <w:szCs w:val="32"/>
        </w:rPr>
      </w:pPr>
      <w:r>
        <w:rPr>
          <w:rFonts w:hint="eastAsia" w:ascii="仿宋" w:hAnsi="仿宋" w:eastAsia="仿宋"/>
          <w:sz w:val="32"/>
          <w:szCs w:val="32"/>
        </w:rPr>
        <w:t>（10）</w:t>
      </w:r>
      <w:r>
        <w:rPr>
          <w:rFonts w:ascii="仿宋" w:hAnsi="仿宋" w:eastAsia="仿宋"/>
          <w:sz w:val="32"/>
          <w:szCs w:val="32"/>
        </w:rPr>
        <w:t>承办区委、区政府和区委编委交办的其他事项。</w:t>
      </w:r>
    </w:p>
    <w:p>
      <w:pPr>
        <w:spacing w:line="560" w:lineRule="exact"/>
        <w:ind w:firstLine="480" w:firstLineChars="150"/>
        <w:rPr>
          <w:rFonts w:ascii="仿宋" w:hAnsi="仿宋" w:eastAsia="仿宋" w:cs="仿宋_GB2312"/>
          <w:sz w:val="32"/>
          <w:szCs w:val="32"/>
        </w:rPr>
      </w:pPr>
      <w:r>
        <w:rPr>
          <w:rFonts w:ascii="仿宋" w:hAnsi="仿宋" w:eastAsia="仿宋" w:cs="仿宋_GB2312"/>
          <w:sz w:val="32"/>
          <w:szCs w:val="32"/>
        </w:rPr>
        <w:t>（三）人员概况。</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单位共有编制12名，实有人员10人。其中：行政编制5人，参公事业编制管理1人，其他事业编制4人。2019年预算实有在职编制内人员10人,其中：行政编制人员5人、参公事业编制管理人员1人、其他事业编制人员4人,均为财政全额供养人员。</w:t>
      </w:r>
    </w:p>
    <w:p>
      <w:pPr>
        <w:spacing w:line="580" w:lineRule="exact"/>
        <w:ind w:firstLine="640" w:firstLineChars="200"/>
        <w:rPr>
          <w:rFonts w:ascii="仿宋" w:hAnsi="仿宋" w:eastAsia="仿宋" w:cs="黑体"/>
          <w:sz w:val="32"/>
          <w:szCs w:val="32"/>
        </w:rPr>
      </w:pPr>
      <w:r>
        <w:rPr>
          <w:rFonts w:ascii="仿宋" w:hAnsi="仿宋" w:eastAsia="仿宋" w:cs="黑体"/>
          <w:sz w:val="32"/>
          <w:szCs w:val="32"/>
        </w:rPr>
        <w:t>二、部门财政资金收支情况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hint="eastAsia" w:ascii="仿宋" w:hAnsi="仿宋" w:eastAsia="仿宋"/>
          <w:color w:val="000000"/>
          <w:sz w:val="32"/>
          <w:szCs w:val="32"/>
        </w:rPr>
        <w:t>2019年全年收入合计149.02万元，其中：财政拨款收入149.02万元，占100%；年初结转结余0万元；事业收入0万元，占0%；经营收入0万元，占0%；附属单位上缴收入0万元，占0%；其他收入0万元，占0%。</w:t>
      </w:r>
    </w:p>
    <w:p>
      <w:pPr>
        <w:spacing w:line="580" w:lineRule="exact"/>
        <w:ind w:left="6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olor w:val="000000"/>
          <w:sz w:val="32"/>
          <w:szCs w:val="32"/>
        </w:rPr>
        <w:t>2019年全年支出合计147万元，其中：基本支出147万元，占100%；项目支出0万元，占0%；上缴上级支出0万元，占0%；经营支出0万元，占0%；对附属单位补助支出0万元，占0%。</w:t>
      </w:r>
    </w:p>
    <w:p>
      <w:pPr>
        <w:spacing w:line="580" w:lineRule="exact"/>
        <w:ind w:left="640"/>
        <w:rPr>
          <w:rFonts w:ascii="仿宋" w:hAnsi="仿宋" w:eastAsia="仿宋" w:cs="黑体"/>
          <w:sz w:val="32"/>
          <w:szCs w:val="32"/>
        </w:rPr>
      </w:pPr>
      <w:r>
        <w:rPr>
          <w:rFonts w:hint="eastAsia" w:ascii="仿宋" w:hAnsi="仿宋" w:eastAsia="仿宋" w:cs="黑体"/>
          <w:sz w:val="32"/>
          <w:szCs w:val="32"/>
        </w:rPr>
        <w:t>三、</w:t>
      </w:r>
      <w:r>
        <w:rPr>
          <w:rFonts w:ascii="仿宋" w:hAnsi="仿宋" w:eastAsia="仿宋" w:cs="黑体"/>
          <w:sz w:val="32"/>
          <w:szCs w:val="32"/>
        </w:rPr>
        <w:t>部门整体预算绩效管理情况</w:t>
      </w:r>
    </w:p>
    <w:p>
      <w:pPr>
        <w:spacing w:line="580" w:lineRule="exact"/>
        <w:ind w:left="64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执行国家有关财经法规，厉行节约，量入为出，降低行政事业成本，提高资金使用效益；合理编制预算，统筹安排，节约资金，以保障单位正常运转；严格预算执行，完整、准确、及时编制决算，真实反映单位财务状况和预算执行情况；定期单位编制财务报告，进行财务活动分析，建立健全财务管理制度，实施预算绩效管理，加强对单位财务活动的控制和监督；加强单位资产管理，合理配置、有效利用、规范处置资产，防止国有资产流失。创新财务管理制度，为行政事业单位成为市场主体，降低成本，合理配置资源，以实现社会效益和经济效益最大化，提高资金使用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区委编办所有基本经费支出严格按单位财务管理制度执行，对</w:t>
      </w:r>
      <w:r>
        <w:rPr>
          <w:rFonts w:hint="eastAsia" w:ascii="仿宋" w:hAnsi="仿宋" w:eastAsia="仿宋" w:cs="仿宋_GB2312"/>
          <w:color w:val="000000"/>
          <w:sz w:val="32"/>
          <w:szCs w:val="32"/>
        </w:rPr>
        <w:t>资金</w:t>
      </w:r>
      <w:r>
        <w:rPr>
          <w:rFonts w:hint="eastAsia" w:ascii="仿宋" w:hAnsi="仿宋" w:eastAsia="仿宋" w:cs="仿宋_GB2312"/>
          <w:sz w:val="32"/>
          <w:szCs w:val="32"/>
        </w:rPr>
        <w:t>的支付范围、支付标准、支付程序合规合法，支付依据充分，未发现有虚列、挤占、挪用情况。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区委编办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2019年基本完成，在保障机关运转、履行职能职责上整体情况良好。</w:t>
      </w:r>
    </w:p>
    <w:p>
      <w:pPr>
        <w:numPr>
          <w:ilvl w:val="0"/>
          <w:numId w:val="6"/>
        </w:numPr>
        <w:spacing w:line="600" w:lineRule="atLeast"/>
        <w:ind w:firstLine="640" w:firstLineChars="200"/>
        <w:rPr>
          <w:rFonts w:ascii="仿宋" w:hAnsi="仿宋" w:eastAsia="仿宋" w:cs="黑体"/>
          <w:sz w:val="32"/>
          <w:szCs w:val="32"/>
        </w:rPr>
      </w:pPr>
      <w:r>
        <w:rPr>
          <w:rFonts w:ascii="仿宋" w:hAnsi="仿宋" w:eastAsia="仿宋" w:cs="黑体"/>
          <w:sz w:val="32"/>
          <w:szCs w:val="32"/>
        </w:rPr>
        <w:t>评价结论及建议</w:t>
      </w:r>
    </w:p>
    <w:p>
      <w:pPr>
        <w:numPr>
          <w:ilvl w:val="0"/>
          <w:numId w:val="7"/>
        </w:numPr>
        <w:snapToGrid w:val="0"/>
        <w:spacing w:line="360" w:lineRule="auto"/>
        <w:ind w:firstLine="640" w:firstLineChars="200"/>
        <w:rPr>
          <w:rFonts w:ascii="仿宋" w:hAnsi="仿宋" w:eastAsia="仿宋"/>
          <w:sz w:val="32"/>
          <w:szCs w:val="32"/>
        </w:rPr>
      </w:pPr>
      <w:r>
        <w:rPr>
          <w:rFonts w:ascii="仿宋" w:hAnsi="仿宋" w:eastAsia="仿宋" w:cs="仿宋_GB2312"/>
          <w:sz w:val="32"/>
          <w:szCs w:val="32"/>
        </w:rPr>
        <w:t>评价结论</w:t>
      </w:r>
      <w:r>
        <w:rPr>
          <w:rFonts w:hint="eastAsia" w:ascii="仿宋" w:hAnsi="仿宋" w:eastAsia="仿宋" w:cs="仿宋_GB2312"/>
          <w:sz w:val="32"/>
          <w:szCs w:val="32"/>
        </w:rPr>
        <w:t>。</w:t>
      </w:r>
    </w:p>
    <w:p>
      <w:pPr>
        <w:snapToGrid w:val="0"/>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 xml:space="preserve">通过对区委编办2019年部门财务管理指标的分析考评，区委编办2019年部门财务管理绩效评价得分为90分，综合评价结果为良级。  </w:t>
      </w:r>
    </w:p>
    <w:p>
      <w:pPr>
        <w:numPr>
          <w:ilvl w:val="0"/>
          <w:numId w:val="7"/>
        </w:numPr>
        <w:snapToGrid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存在问题。</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color w:val="000000"/>
          <w:sz w:val="32"/>
          <w:szCs w:val="32"/>
        </w:rPr>
        <w:t>一是绩效目标动态监控实行的不到位；二是履职成效方面，由于单位特殊，在履职方面看不出成效；</w:t>
      </w:r>
    </w:p>
    <w:p>
      <w:pPr>
        <w:numPr>
          <w:ilvl w:val="0"/>
          <w:numId w:val="7"/>
        </w:numPr>
        <w:snapToGrid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改进建议。</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color w:val="000000"/>
          <w:sz w:val="32"/>
          <w:szCs w:val="32"/>
        </w:rPr>
        <w:t>下一步改进措施：一是严格执行绩效目标管理和绩效目标动态监控。二是尽量做到履职有所成效。</w:t>
      </w:r>
      <w:r>
        <w:rPr>
          <w:rFonts w:hint="eastAsia" w:ascii="仿宋" w:hAnsi="仿宋" w:eastAsia="仿宋" w:cs="仿宋_GB2312"/>
          <w:sz w:val="32"/>
          <w:szCs w:val="32"/>
        </w:rPr>
        <w:t>三是严格按《行政单位财务规则》和《行政单位会计制度》的规定准确核算财务收支、编制财务报表，同时加强资产管理，定期和不定期盘点资产，以保证资产账实相符、账表相符。</w:t>
      </w:r>
    </w:p>
    <w:p>
      <w:pPr>
        <w:widowControl/>
        <w:jc w:val="left"/>
        <w:rPr>
          <w:rFonts w:ascii="仿宋" w:hAnsi="仿宋" w:eastAsia="仿宋" w:cs="黑体"/>
          <w:sz w:val="32"/>
          <w:szCs w:val="32"/>
        </w:rPr>
      </w:pPr>
      <w:r>
        <w:rPr>
          <w:rFonts w:ascii="仿宋" w:hAnsi="仿宋" w:eastAsia="仿宋" w:cs="黑体"/>
          <w:sz w:val="32"/>
          <w:szCs w:val="32"/>
        </w:rPr>
        <w:br w:type="page"/>
      </w:r>
    </w:p>
    <w:p>
      <w:pPr>
        <w:spacing w:line="58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ascii="仿宋" w:hAnsi="仿宋" w:eastAsia="仿宋" w:cs="方正小标宋简体"/>
          <w:sz w:val="32"/>
          <w:szCs w:val="32"/>
        </w:rPr>
      </w:pPr>
      <w:r>
        <w:rPr>
          <w:rFonts w:hint="eastAsia" w:ascii="仿宋" w:hAnsi="仿宋" w:eastAsia="仿宋" w:cs="方正小标宋简体"/>
          <w:sz w:val="32"/>
          <w:szCs w:val="32"/>
        </w:rPr>
        <w:t>2019年中文域名注册费使用项目</w:t>
      </w:r>
    </w:p>
    <w:p>
      <w:pPr>
        <w:spacing w:line="580" w:lineRule="exact"/>
        <w:jc w:val="center"/>
        <w:rPr>
          <w:rFonts w:ascii="仿宋" w:hAnsi="仿宋" w:eastAsia="仿宋" w:cs="方正小标宋简体"/>
          <w:sz w:val="32"/>
          <w:szCs w:val="32"/>
        </w:rPr>
      </w:pPr>
      <w:r>
        <w:rPr>
          <w:rFonts w:hint="eastAsia" w:ascii="仿宋" w:hAnsi="仿宋" w:eastAsia="仿宋" w:cs="方正小标宋简体"/>
          <w:sz w:val="32"/>
          <w:szCs w:val="32"/>
        </w:rPr>
        <w:t>支出绩效评价报告</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_GB2312"/>
          <w:sz w:val="32"/>
          <w:szCs w:val="32"/>
        </w:rPr>
        <w:t>2019年中文域名注册费支付资金5.2万元纳入财政全额预算，主要用于</w:t>
      </w:r>
      <w:r>
        <w:rPr>
          <w:rFonts w:hint="eastAsia" w:ascii="仿宋" w:hAnsi="仿宋" w:eastAsia="仿宋" w:cs="仿宋"/>
          <w:sz w:val="32"/>
          <w:szCs w:val="32"/>
        </w:rPr>
        <w:t>全区75个党政群机关，445个事业单位的中文域名注册</w:t>
      </w:r>
      <w:r>
        <w:rPr>
          <w:rFonts w:hint="eastAsia" w:ascii="仿宋" w:hAnsi="仿宋" w:eastAsia="仿宋" w:cs="仿宋"/>
          <w:sz w:val="32"/>
          <w:szCs w:val="32"/>
          <w:lang w:val="zh-CN"/>
        </w:rPr>
        <w:t>。目前项目已实施完毕。</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项目申报内容与具体实施内容相符、申报目标合理可行。</w:t>
      </w:r>
    </w:p>
    <w:p>
      <w:pPr>
        <w:spacing w:line="580" w:lineRule="exact"/>
        <w:ind w:firstLine="640" w:firstLineChars="200"/>
        <w:rPr>
          <w:rFonts w:ascii="仿宋" w:hAnsi="仿宋" w:eastAsia="仿宋" w:cs="仿宋_GB2312"/>
          <w:sz w:val="32"/>
          <w:szCs w:val="32"/>
        </w:rPr>
      </w:pPr>
      <w:r>
        <w:rPr>
          <w:rFonts w:hint="eastAsia" w:ascii="仿宋" w:hAnsi="仿宋" w:eastAsia="仿宋" w:cs="楷体_GB2312"/>
          <w:color w:val="000000"/>
          <w:kern w:val="0"/>
          <w:sz w:val="32"/>
          <w:szCs w:val="32"/>
        </w:rPr>
        <w:t>项目支出绩效评价小组以相关资料为基础，经过认真审核和核对，分析得出自评结果，形成自评结论。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napToGrid w:val="0"/>
        <w:spacing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1、项目决策。</w:t>
      </w:r>
      <w:r>
        <w:rPr>
          <w:rFonts w:hint="eastAsia" w:ascii="仿宋" w:hAnsi="仿宋" w:eastAsia="仿宋" w:cs="仿宋"/>
          <w:sz w:val="32"/>
          <w:szCs w:val="32"/>
        </w:rPr>
        <w:t>中文域名注册费</w:t>
      </w:r>
      <w:r>
        <w:rPr>
          <w:rFonts w:hint="eastAsia" w:ascii="仿宋" w:hAnsi="仿宋" w:eastAsia="仿宋" w:cs="仿宋"/>
          <w:sz w:val="32"/>
          <w:szCs w:val="32"/>
          <w:lang w:val="zh-CN"/>
        </w:rPr>
        <w:t>于</w:t>
      </w:r>
      <w:r>
        <w:rPr>
          <w:rFonts w:hint="eastAsia" w:ascii="仿宋" w:hAnsi="仿宋" w:eastAsia="仿宋" w:cs="仿宋"/>
          <w:sz w:val="32"/>
          <w:szCs w:val="32"/>
        </w:rPr>
        <w:t>2019年全部及时到位，到位率 100%，全部由区财政全额预算</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color w:val="FF0000"/>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项目管理</w:t>
      </w:r>
      <w:r>
        <w:rPr>
          <w:rFonts w:hint="eastAsia" w:ascii="仿宋" w:hAnsi="仿宋" w:eastAsia="仿宋" w:cs="仿宋"/>
          <w:sz w:val="32"/>
          <w:szCs w:val="32"/>
        </w:rPr>
        <w:t>。2019年中文域名注册费实际支出5.2万元；</w:t>
      </w:r>
      <w:r>
        <w:rPr>
          <w:rFonts w:hint="eastAsia" w:ascii="仿宋" w:hAnsi="仿宋" w:eastAsia="仿宋" w:cs="仿宋"/>
          <w:sz w:val="32"/>
          <w:szCs w:val="32"/>
          <w:lang w:val="zh-CN"/>
        </w:rPr>
        <w:t>资金开支范围：</w:t>
      </w:r>
      <w:r>
        <w:rPr>
          <w:rFonts w:hint="eastAsia" w:ascii="仿宋" w:hAnsi="仿宋" w:eastAsia="仿宋" w:cs="仿宋"/>
          <w:sz w:val="32"/>
          <w:szCs w:val="32"/>
        </w:rPr>
        <w:t>全区75个党政群机关，445个事业单位</w:t>
      </w:r>
      <w:r>
        <w:rPr>
          <w:rFonts w:hint="eastAsia" w:ascii="仿宋" w:hAnsi="仿宋" w:eastAsia="仿宋" w:cs="仿宋"/>
          <w:sz w:val="32"/>
          <w:szCs w:val="32"/>
          <w:lang w:val="zh-CN"/>
        </w:rPr>
        <w:t>；支付依据合规合法，资金支付与预算相符。项目财务管理制度执行</w:t>
      </w:r>
      <w:r>
        <w:rPr>
          <w:rFonts w:hint="eastAsia" w:ascii="仿宋" w:hAnsi="仿宋" w:eastAsia="仿宋" w:cs="仿宋"/>
          <w:sz w:val="32"/>
          <w:szCs w:val="32"/>
        </w:rPr>
        <w:t>区委编办</w:t>
      </w:r>
      <w:r>
        <w:rPr>
          <w:rFonts w:hint="eastAsia" w:ascii="仿宋" w:hAnsi="仿宋" w:eastAsia="仿宋" w:cs="仿宋"/>
          <w:sz w:val="32"/>
          <w:szCs w:val="32"/>
          <w:lang w:val="zh-CN"/>
        </w:rPr>
        <w:t>财务管理制度，未设置项目管理机构，会计核算及账务处理统一纳入</w:t>
      </w:r>
      <w:r>
        <w:rPr>
          <w:rFonts w:hint="eastAsia" w:ascii="仿宋" w:hAnsi="仿宋" w:eastAsia="仿宋" w:cs="仿宋"/>
          <w:sz w:val="32"/>
          <w:szCs w:val="32"/>
        </w:rPr>
        <w:t>区委编办</w:t>
      </w:r>
      <w:r>
        <w:rPr>
          <w:rFonts w:hint="eastAsia" w:ascii="仿宋" w:hAnsi="仿宋" w:eastAsia="仿宋" w:cs="仿宋"/>
          <w:sz w:val="32"/>
          <w:szCs w:val="32"/>
          <w:lang w:val="zh-CN"/>
        </w:rPr>
        <w:t>管理核算。对照项目资金管理办法，项目严格执行了财务管理制度、财务处理及时、会计核算规范。截止</w:t>
      </w:r>
      <w:r>
        <w:rPr>
          <w:rFonts w:hint="eastAsia" w:ascii="仿宋" w:hAnsi="仿宋" w:eastAsia="仿宋" w:cs="仿宋"/>
          <w:sz w:val="32"/>
          <w:szCs w:val="32"/>
        </w:rPr>
        <w:t>2019年12月31日</w:t>
      </w:r>
      <w:r>
        <w:rPr>
          <w:rFonts w:hint="eastAsia" w:ascii="仿宋" w:hAnsi="仿宋" w:eastAsia="仿宋" w:cs="仿宋"/>
          <w:sz w:val="32"/>
          <w:szCs w:val="32"/>
          <w:lang w:val="zh-CN"/>
        </w:rPr>
        <w:t>实际投资完成额</w:t>
      </w:r>
      <w:r>
        <w:rPr>
          <w:rFonts w:hint="eastAsia" w:ascii="仿宋" w:hAnsi="仿宋" w:eastAsia="仿宋" w:cs="仿宋"/>
          <w:sz w:val="32"/>
          <w:szCs w:val="32"/>
        </w:rPr>
        <w:t>5.2万元，并全部完成绩效目标</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rPr>
        <w:t>3、项目绩效。</w:t>
      </w:r>
      <w:r>
        <w:rPr>
          <w:rFonts w:hint="eastAsia" w:ascii="仿宋" w:hAnsi="仿宋" w:eastAsia="仿宋" w:cs="仿宋"/>
          <w:sz w:val="32"/>
          <w:szCs w:val="32"/>
          <w:lang w:val="zh-CN"/>
        </w:rPr>
        <w:t>根据项目的顺利实施，</w:t>
      </w:r>
      <w:r>
        <w:rPr>
          <w:rFonts w:hint="eastAsia" w:ascii="仿宋" w:hAnsi="仿宋" w:eastAsia="仿宋" w:cs="仿宋"/>
          <w:sz w:val="32"/>
          <w:szCs w:val="32"/>
        </w:rPr>
        <w:t>全区75个党政群机关，445各事业单位实现了中文域名注册全覆盖，得到了受益单位的好评</w:t>
      </w:r>
      <w:r>
        <w:rPr>
          <w:rFonts w:hint="eastAsia" w:ascii="仿宋" w:hAnsi="仿宋" w:eastAsia="仿宋" w:cs="仿宋"/>
          <w:sz w:val="32"/>
          <w:szCs w:val="32"/>
          <w:lang w:val="zh-CN"/>
        </w:rPr>
        <w:t>。</w:t>
      </w:r>
    </w:p>
    <w:p>
      <w:pPr>
        <w:spacing w:line="580" w:lineRule="exact"/>
        <w:ind w:left="640"/>
        <w:rPr>
          <w:rFonts w:ascii="仿宋" w:hAnsi="仿宋" w:eastAsia="仿宋" w:cs="仿宋"/>
          <w:sz w:val="32"/>
          <w:szCs w:val="32"/>
        </w:rPr>
      </w:pPr>
      <w:r>
        <w:rPr>
          <w:rFonts w:hint="eastAsia" w:ascii="仿宋" w:hAnsi="仿宋" w:eastAsia="仿宋" w:cs="仿宋"/>
          <w:sz w:val="32"/>
          <w:szCs w:val="32"/>
        </w:rPr>
        <w:t>三、存在主要问题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由于机构改革的缘故，有些机构名称发生了变化，那么相应的注册名称也要变化，工作量大，导致资金重复缴纳费用。</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中文域名注册</w:t>
      </w:r>
      <w:r>
        <w:rPr>
          <w:rFonts w:hint="eastAsia" w:ascii="仿宋" w:hAnsi="仿宋" w:eastAsia="仿宋" w:cs="仿宋"/>
          <w:sz w:val="32"/>
          <w:szCs w:val="32"/>
          <w:lang w:val="zh-CN"/>
        </w:rPr>
        <w:t>工作是一项长期的任务，</w:t>
      </w:r>
      <w:r>
        <w:rPr>
          <w:rFonts w:hint="eastAsia" w:ascii="仿宋" w:hAnsi="仿宋" w:eastAsia="仿宋" w:cs="仿宋"/>
          <w:sz w:val="32"/>
          <w:szCs w:val="32"/>
        </w:rPr>
        <w:t>在单位名称发生变更时，需要提供相应的佐证资料，希望得到相关单位的理解支持。</w:t>
      </w:r>
    </w:p>
    <w:p>
      <w:pPr>
        <w:widowControl/>
        <w:jc w:val="left"/>
        <w:rPr>
          <w:rFonts w:ascii="仿宋" w:hAnsi="仿宋" w:eastAsia="仿宋"/>
          <w:color w:val="000000"/>
          <w:sz w:val="32"/>
          <w:szCs w:val="32"/>
        </w:rPr>
      </w:pPr>
      <w:bookmarkStart w:id="89" w:name="_Toc15396618"/>
      <w:r>
        <w:rPr>
          <w:rFonts w:ascii="仿宋" w:hAnsi="仿宋" w:eastAsia="仿宋"/>
          <w:color w:val="000000"/>
          <w:sz w:val="32"/>
          <w:szCs w:val="32"/>
        </w:rPr>
        <w:br w:type="page"/>
      </w:r>
    </w:p>
    <w:p>
      <w:pPr>
        <w:widowControl/>
        <w:jc w:val="left"/>
        <w:rPr>
          <w:rFonts w:ascii="仿宋" w:hAnsi="仿宋" w:eastAsia="仿宋"/>
          <w:color w:val="000000"/>
          <w:sz w:val="32"/>
          <w:szCs w:val="32"/>
        </w:rPr>
      </w:pPr>
    </w:p>
    <w:p>
      <w:pPr>
        <w:widowControl/>
        <w:ind w:firstLine="880" w:firstLineChars="200"/>
        <w:jc w:val="center"/>
        <w:rPr>
          <w:rStyle w:val="24"/>
          <w:rFonts w:ascii="黑体" w:hAnsi="黑体" w:eastAsia="黑体"/>
          <w:b w:val="0"/>
          <w:bCs w:val="0"/>
        </w:rPr>
      </w:pPr>
      <w:r>
        <w:rPr>
          <w:rFonts w:hint="eastAsia" w:ascii="黑体" w:hAnsi="黑体" w:eastAsia="黑体"/>
          <w:color w:val="000000"/>
          <w:sz w:val="44"/>
          <w:szCs w:val="44"/>
        </w:rPr>
        <w:t>第</w:t>
      </w:r>
      <w:r>
        <w:rPr>
          <w:rStyle w:val="24"/>
          <w:rFonts w:hint="eastAsia" w:ascii="黑体" w:hAnsi="黑体" w:eastAsia="黑体"/>
          <w:b w:val="0"/>
          <w:bCs w:val="0"/>
        </w:rPr>
        <w:t>五部分 附表</w:t>
      </w:r>
      <w:bookmarkEnd w:id="84"/>
      <w:bookmarkEnd w:id="89"/>
    </w:p>
    <w:p>
      <w:pPr>
        <w:pStyle w:val="4"/>
        <w:rPr>
          <w:rFonts w:ascii="仿宋" w:hAnsi="仿宋" w:eastAsia="仿宋"/>
          <w:b w:val="0"/>
          <w:bCs w:val="0"/>
          <w:color w:val="000000"/>
        </w:rPr>
      </w:pPr>
      <w:bookmarkStart w:id="90" w:name="_Toc72671143"/>
      <w:r>
        <w:rPr>
          <w:rFonts w:hint="eastAsia" w:ascii="仿宋" w:hAnsi="仿宋" w:eastAsia="仿宋"/>
          <w:b w:val="0"/>
          <w:bCs w:val="0"/>
          <w:color w:val="000000"/>
        </w:rPr>
        <w:t>一、收</w:t>
      </w:r>
      <w:r>
        <w:rPr>
          <w:rStyle w:val="25"/>
          <w:rFonts w:hint="eastAsia" w:ascii="仿宋" w:hAnsi="仿宋" w:eastAsia="仿宋"/>
          <w:b w:val="0"/>
          <w:bCs w:val="0"/>
        </w:rPr>
        <w:t>入支出决算总表</w:t>
      </w:r>
      <w:bookmarkEnd w:id="90"/>
    </w:p>
    <w:p>
      <w:pPr>
        <w:pStyle w:val="4"/>
        <w:rPr>
          <w:rFonts w:ascii="仿宋" w:hAnsi="仿宋" w:eastAsia="仿宋"/>
          <w:b w:val="0"/>
          <w:bCs w:val="0"/>
          <w:color w:val="000000"/>
        </w:rPr>
      </w:pPr>
      <w:bookmarkStart w:id="91" w:name="_Toc72671144"/>
      <w:r>
        <w:rPr>
          <w:rFonts w:hint="eastAsia" w:ascii="仿宋" w:hAnsi="仿宋" w:eastAsia="仿宋"/>
          <w:b w:val="0"/>
          <w:bCs w:val="0"/>
          <w:color w:val="000000"/>
        </w:rPr>
        <w:t>二、收</w:t>
      </w:r>
      <w:r>
        <w:rPr>
          <w:rStyle w:val="25"/>
          <w:rFonts w:hint="eastAsia" w:ascii="仿宋" w:hAnsi="仿宋" w:eastAsia="仿宋"/>
          <w:b w:val="0"/>
          <w:bCs w:val="0"/>
        </w:rPr>
        <w:t>入决算表</w:t>
      </w:r>
      <w:bookmarkEnd w:id="91"/>
    </w:p>
    <w:p>
      <w:pPr>
        <w:pStyle w:val="4"/>
        <w:rPr>
          <w:rFonts w:ascii="仿宋" w:hAnsi="仿宋" w:eastAsia="仿宋"/>
          <w:b w:val="0"/>
          <w:bCs w:val="0"/>
          <w:color w:val="000000"/>
        </w:rPr>
      </w:pPr>
      <w:bookmarkStart w:id="92" w:name="_Toc72671145"/>
      <w:r>
        <w:rPr>
          <w:rStyle w:val="25"/>
          <w:rFonts w:hint="eastAsia" w:ascii="仿宋" w:hAnsi="仿宋" w:eastAsia="仿宋"/>
          <w:b w:val="0"/>
          <w:bCs w:val="0"/>
        </w:rPr>
        <w:t>三、</w:t>
      </w:r>
      <w:r>
        <w:rPr>
          <w:rFonts w:hint="eastAsia" w:ascii="仿宋" w:hAnsi="仿宋" w:eastAsia="仿宋"/>
          <w:b w:val="0"/>
          <w:bCs w:val="0"/>
          <w:color w:val="000000"/>
        </w:rPr>
        <w:t>支</w:t>
      </w:r>
      <w:r>
        <w:rPr>
          <w:rStyle w:val="25"/>
          <w:rFonts w:hint="eastAsia" w:ascii="仿宋" w:hAnsi="仿宋" w:eastAsia="仿宋"/>
          <w:b w:val="0"/>
          <w:bCs w:val="0"/>
        </w:rPr>
        <w:t>出决算表</w:t>
      </w:r>
      <w:bookmarkEnd w:id="92"/>
    </w:p>
    <w:p>
      <w:pPr>
        <w:pStyle w:val="4"/>
        <w:rPr>
          <w:rFonts w:ascii="仿宋" w:hAnsi="仿宋" w:eastAsia="仿宋"/>
          <w:b w:val="0"/>
          <w:bCs w:val="0"/>
          <w:color w:val="000000"/>
        </w:rPr>
      </w:pPr>
      <w:bookmarkStart w:id="93" w:name="_Toc72671146"/>
      <w:r>
        <w:rPr>
          <w:rStyle w:val="25"/>
          <w:rFonts w:hint="eastAsia" w:ascii="仿宋" w:hAnsi="仿宋" w:eastAsia="仿宋"/>
          <w:b w:val="0"/>
          <w:bCs w:val="0"/>
        </w:rPr>
        <w:t>四、</w:t>
      </w:r>
      <w:r>
        <w:rPr>
          <w:rFonts w:hint="eastAsia" w:ascii="仿宋" w:hAnsi="仿宋" w:eastAsia="仿宋"/>
          <w:b w:val="0"/>
          <w:bCs w:val="0"/>
          <w:color w:val="000000"/>
        </w:rPr>
        <w:t>财</w:t>
      </w:r>
      <w:r>
        <w:rPr>
          <w:rStyle w:val="25"/>
          <w:rFonts w:hint="eastAsia" w:ascii="仿宋" w:hAnsi="仿宋" w:eastAsia="仿宋"/>
          <w:b w:val="0"/>
          <w:bCs w:val="0"/>
        </w:rPr>
        <w:t>政拨款收入支出决算总表</w:t>
      </w:r>
      <w:bookmarkEnd w:id="93"/>
    </w:p>
    <w:p>
      <w:pPr>
        <w:pStyle w:val="4"/>
        <w:rPr>
          <w:rStyle w:val="25"/>
          <w:rFonts w:ascii="仿宋" w:hAnsi="仿宋" w:eastAsia="仿宋"/>
          <w:b w:val="0"/>
          <w:bCs w:val="0"/>
        </w:rPr>
      </w:pPr>
      <w:bookmarkStart w:id="94" w:name="_Toc72671147"/>
      <w:r>
        <w:rPr>
          <w:rStyle w:val="25"/>
          <w:rFonts w:hint="eastAsia" w:ascii="仿宋" w:hAnsi="仿宋" w:eastAsia="仿宋"/>
          <w:b w:val="0"/>
          <w:bCs w:val="0"/>
        </w:rPr>
        <w:t>五、</w:t>
      </w:r>
      <w:r>
        <w:rPr>
          <w:rFonts w:hint="eastAsia" w:ascii="仿宋" w:hAnsi="仿宋" w:eastAsia="仿宋"/>
          <w:b w:val="0"/>
          <w:bCs w:val="0"/>
          <w:color w:val="000000"/>
        </w:rPr>
        <w:t>财</w:t>
      </w:r>
      <w:r>
        <w:rPr>
          <w:rStyle w:val="25"/>
          <w:rFonts w:hint="eastAsia" w:ascii="仿宋" w:hAnsi="仿宋" w:eastAsia="仿宋"/>
          <w:b w:val="0"/>
          <w:bCs w:val="0"/>
        </w:rPr>
        <w:t>政拨款支出决算明细表</w:t>
      </w:r>
      <w:bookmarkEnd w:id="94"/>
    </w:p>
    <w:p>
      <w:pPr>
        <w:pStyle w:val="4"/>
        <w:rPr>
          <w:rFonts w:ascii="仿宋" w:hAnsi="仿宋" w:eastAsia="仿宋"/>
          <w:b w:val="0"/>
          <w:bCs w:val="0"/>
          <w:color w:val="000000"/>
        </w:rPr>
      </w:pPr>
      <w:bookmarkStart w:id="95" w:name="_Toc72671148"/>
      <w:r>
        <w:rPr>
          <w:rStyle w:val="25"/>
          <w:rFonts w:hint="eastAsia" w:ascii="仿宋" w:hAnsi="仿宋" w:eastAsia="仿宋"/>
          <w:b w:val="0"/>
          <w:bCs w:val="0"/>
        </w:rPr>
        <w:t>六、</w:t>
      </w:r>
      <w:r>
        <w:rPr>
          <w:rFonts w:hint="eastAsia" w:ascii="仿宋" w:hAnsi="仿宋" w:eastAsia="仿宋"/>
          <w:b w:val="0"/>
          <w:bCs w:val="0"/>
          <w:color w:val="000000"/>
        </w:rPr>
        <w:t>一</w:t>
      </w:r>
      <w:r>
        <w:rPr>
          <w:rStyle w:val="25"/>
          <w:rFonts w:hint="eastAsia" w:ascii="仿宋" w:hAnsi="仿宋" w:eastAsia="仿宋"/>
          <w:b w:val="0"/>
          <w:bCs w:val="0"/>
        </w:rPr>
        <w:t>般公共预算财政拨款支出决算表</w:t>
      </w:r>
      <w:bookmarkEnd w:id="95"/>
    </w:p>
    <w:p>
      <w:pPr>
        <w:pStyle w:val="4"/>
        <w:rPr>
          <w:rFonts w:ascii="仿宋" w:hAnsi="仿宋" w:eastAsia="仿宋"/>
          <w:b w:val="0"/>
          <w:bCs w:val="0"/>
          <w:color w:val="000000"/>
        </w:rPr>
      </w:pPr>
      <w:bookmarkStart w:id="96" w:name="_Toc72671149"/>
      <w:r>
        <w:rPr>
          <w:rStyle w:val="25"/>
          <w:rFonts w:hint="eastAsia" w:ascii="仿宋" w:hAnsi="仿宋" w:eastAsia="仿宋"/>
          <w:b w:val="0"/>
          <w:bCs w:val="0"/>
        </w:rPr>
        <w:t>七、</w:t>
      </w:r>
      <w:r>
        <w:rPr>
          <w:rFonts w:hint="eastAsia" w:ascii="仿宋" w:hAnsi="仿宋" w:eastAsia="仿宋"/>
          <w:b w:val="0"/>
          <w:bCs w:val="0"/>
          <w:color w:val="000000"/>
        </w:rPr>
        <w:t>一</w:t>
      </w:r>
      <w:r>
        <w:rPr>
          <w:rStyle w:val="25"/>
          <w:rFonts w:hint="eastAsia" w:ascii="仿宋" w:hAnsi="仿宋" w:eastAsia="仿宋"/>
          <w:b w:val="0"/>
          <w:bCs w:val="0"/>
        </w:rPr>
        <w:t>般公共预算财政拨款支出决算明细表</w:t>
      </w:r>
      <w:bookmarkEnd w:id="96"/>
    </w:p>
    <w:p>
      <w:pPr>
        <w:pStyle w:val="4"/>
        <w:rPr>
          <w:rFonts w:ascii="仿宋" w:hAnsi="仿宋" w:eastAsia="仿宋"/>
          <w:b w:val="0"/>
          <w:bCs w:val="0"/>
          <w:color w:val="000000"/>
        </w:rPr>
      </w:pPr>
      <w:bookmarkStart w:id="97" w:name="_Toc72671150"/>
      <w:r>
        <w:rPr>
          <w:rStyle w:val="25"/>
          <w:rFonts w:hint="eastAsia" w:ascii="仿宋" w:hAnsi="仿宋" w:eastAsia="仿宋"/>
          <w:b w:val="0"/>
          <w:bCs w:val="0"/>
        </w:rPr>
        <w:t>八、</w:t>
      </w:r>
      <w:r>
        <w:rPr>
          <w:rFonts w:hint="eastAsia" w:ascii="仿宋" w:hAnsi="仿宋" w:eastAsia="仿宋"/>
          <w:b w:val="0"/>
          <w:bCs w:val="0"/>
          <w:color w:val="000000"/>
        </w:rPr>
        <w:t>一</w:t>
      </w:r>
      <w:r>
        <w:rPr>
          <w:rStyle w:val="25"/>
          <w:rFonts w:hint="eastAsia" w:ascii="仿宋" w:hAnsi="仿宋" w:eastAsia="仿宋"/>
          <w:b w:val="0"/>
          <w:bCs w:val="0"/>
        </w:rPr>
        <w:t>般公共预算财政拨款基本支出决算表</w:t>
      </w:r>
      <w:bookmarkEnd w:id="97"/>
    </w:p>
    <w:p>
      <w:pPr>
        <w:pStyle w:val="4"/>
        <w:rPr>
          <w:rFonts w:ascii="仿宋" w:hAnsi="仿宋" w:eastAsia="仿宋"/>
          <w:b w:val="0"/>
          <w:bCs w:val="0"/>
          <w:color w:val="000000"/>
        </w:rPr>
      </w:pPr>
      <w:bookmarkStart w:id="98" w:name="_Toc72671151"/>
      <w:r>
        <w:rPr>
          <w:rStyle w:val="25"/>
          <w:rFonts w:hint="eastAsia" w:ascii="仿宋" w:hAnsi="仿宋" w:eastAsia="仿宋"/>
          <w:b w:val="0"/>
          <w:bCs w:val="0"/>
        </w:rPr>
        <w:t>九、</w:t>
      </w:r>
      <w:r>
        <w:rPr>
          <w:rFonts w:hint="eastAsia" w:ascii="仿宋" w:hAnsi="仿宋" w:eastAsia="仿宋"/>
          <w:b w:val="0"/>
          <w:bCs w:val="0"/>
          <w:color w:val="000000"/>
        </w:rPr>
        <w:t>一</w:t>
      </w:r>
      <w:r>
        <w:rPr>
          <w:rStyle w:val="25"/>
          <w:rFonts w:hint="eastAsia" w:ascii="仿宋" w:hAnsi="仿宋" w:eastAsia="仿宋"/>
          <w:b w:val="0"/>
          <w:bCs w:val="0"/>
        </w:rPr>
        <w:t>般公共预算财政拨款项目支出决算表</w:t>
      </w:r>
      <w:bookmarkEnd w:id="98"/>
    </w:p>
    <w:p>
      <w:pPr>
        <w:pStyle w:val="4"/>
        <w:rPr>
          <w:rFonts w:ascii="仿宋" w:hAnsi="仿宋" w:eastAsia="仿宋"/>
          <w:b w:val="0"/>
          <w:bCs w:val="0"/>
          <w:color w:val="000000"/>
        </w:rPr>
      </w:pPr>
      <w:bookmarkStart w:id="99" w:name="_Toc72671152"/>
      <w:r>
        <w:rPr>
          <w:rStyle w:val="25"/>
          <w:rFonts w:hint="eastAsia" w:ascii="仿宋" w:hAnsi="仿宋" w:eastAsia="仿宋"/>
          <w:b w:val="0"/>
          <w:bCs w:val="0"/>
        </w:rPr>
        <w:t>十、</w:t>
      </w:r>
      <w:r>
        <w:rPr>
          <w:rFonts w:hint="eastAsia" w:ascii="仿宋" w:hAnsi="仿宋" w:eastAsia="仿宋"/>
          <w:b w:val="0"/>
          <w:bCs w:val="0"/>
          <w:color w:val="000000"/>
        </w:rPr>
        <w:t>一</w:t>
      </w:r>
      <w:r>
        <w:rPr>
          <w:rStyle w:val="25"/>
          <w:rFonts w:hint="eastAsia" w:ascii="仿宋" w:hAnsi="仿宋" w:eastAsia="仿宋"/>
          <w:b w:val="0"/>
          <w:bCs w:val="0"/>
        </w:rPr>
        <w:t>般公共预算财政拨款“三公”经费支出决算表</w:t>
      </w:r>
      <w:bookmarkEnd w:id="99"/>
    </w:p>
    <w:p>
      <w:pPr>
        <w:pStyle w:val="4"/>
        <w:rPr>
          <w:rFonts w:ascii="仿宋" w:hAnsi="仿宋" w:eastAsia="仿宋"/>
          <w:b w:val="0"/>
          <w:bCs w:val="0"/>
          <w:color w:val="000000"/>
        </w:rPr>
      </w:pPr>
      <w:bookmarkStart w:id="100" w:name="_Toc72671153"/>
      <w:r>
        <w:rPr>
          <w:rStyle w:val="25"/>
          <w:rFonts w:hint="eastAsia" w:ascii="仿宋" w:hAnsi="仿宋" w:eastAsia="仿宋"/>
          <w:b w:val="0"/>
          <w:bCs w:val="0"/>
        </w:rPr>
        <w:t>十一、</w:t>
      </w:r>
      <w:r>
        <w:rPr>
          <w:rFonts w:hint="eastAsia" w:ascii="仿宋" w:hAnsi="仿宋" w:eastAsia="仿宋"/>
          <w:b w:val="0"/>
          <w:bCs w:val="0"/>
          <w:color w:val="000000"/>
        </w:rPr>
        <w:t>政</w:t>
      </w:r>
      <w:r>
        <w:rPr>
          <w:rStyle w:val="25"/>
          <w:rFonts w:hint="eastAsia" w:ascii="仿宋" w:hAnsi="仿宋" w:eastAsia="仿宋"/>
          <w:b w:val="0"/>
          <w:bCs w:val="0"/>
        </w:rPr>
        <w:t>府性基金预算财政拨款收入支出决算表</w:t>
      </w:r>
      <w:bookmarkEnd w:id="100"/>
    </w:p>
    <w:p>
      <w:pPr>
        <w:pStyle w:val="4"/>
        <w:rPr>
          <w:rFonts w:ascii="仿宋" w:hAnsi="仿宋" w:eastAsia="仿宋"/>
          <w:b w:val="0"/>
          <w:bCs w:val="0"/>
          <w:color w:val="000000"/>
        </w:rPr>
      </w:pPr>
      <w:bookmarkStart w:id="101" w:name="_Toc72671154"/>
      <w:r>
        <w:rPr>
          <w:rStyle w:val="25"/>
          <w:rFonts w:hint="eastAsia" w:ascii="仿宋" w:hAnsi="仿宋" w:eastAsia="仿宋"/>
          <w:b w:val="0"/>
          <w:bCs w:val="0"/>
        </w:rPr>
        <w:t>十二、</w:t>
      </w:r>
      <w:r>
        <w:rPr>
          <w:rFonts w:hint="eastAsia" w:ascii="仿宋" w:hAnsi="仿宋" w:eastAsia="仿宋"/>
          <w:b w:val="0"/>
          <w:bCs w:val="0"/>
          <w:color w:val="000000"/>
        </w:rPr>
        <w:t>政</w:t>
      </w:r>
      <w:r>
        <w:rPr>
          <w:rStyle w:val="25"/>
          <w:rFonts w:hint="eastAsia" w:ascii="仿宋" w:hAnsi="仿宋" w:eastAsia="仿宋"/>
          <w:b w:val="0"/>
          <w:bCs w:val="0"/>
        </w:rPr>
        <w:t>府性基金预算财政拨款“三公”经费支出决算表</w:t>
      </w:r>
      <w:bookmarkEnd w:id="101"/>
    </w:p>
    <w:p>
      <w:pPr>
        <w:pStyle w:val="4"/>
        <w:rPr>
          <w:rFonts w:ascii="仿宋" w:hAnsi="仿宋" w:eastAsia="仿宋"/>
          <w:b w:val="0"/>
          <w:bCs w:val="0"/>
          <w:color w:val="000000" w:themeColor="text1"/>
        </w:rPr>
      </w:pPr>
      <w:bookmarkStart w:id="102" w:name="_Toc72671155"/>
      <w:r>
        <w:rPr>
          <w:rStyle w:val="25"/>
          <w:rFonts w:hint="eastAsia" w:ascii="仿宋" w:hAnsi="仿宋" w:eastAsia="仿宋"/>
          <w:b w:val="0"/>
          <w:bCs w:val="0"/>
        </w:rPr>
        <w:t>十三、</w:t>
      </w:r>
      <w:r>
        <w:rPr>
          <w:rFonts w:hint="eastAsia" w:ascii="仿宋" w:hAnsi="仿宋" w:eastAsia="仿宋"/>
          <w:b w:val="0"/>
          <w:bCs w:val="0"/>
          <w:color w:val="000000"/>
        </w:rPr>
        <w:t>国</w:t>
      </w:r>
      <w:r>
        <w:rPr>
          <w:rStyle w:val="25"/>
          <w:rFonts w:hint="eastAsia" w:ascii="仿宋" w:hAnsi="仿宋" w:eastAsia="仿宋"/>
          <w:b w:val="0"/>
          <w:bCs w:val="0"/>
        </w:rPr>
        <w:t>有资本经营预算支出决算表</w:t>
      </w:r>
      <w:bookmarkEnd w:id="102"/>
    </w:p>
    <w:p>
      <w:pPr>
        <w:pStyle w:val="4"/>
        <w:rPr>
          <w:rFonts w:hint="eastAsia" w:ascii="仿宋" w:hAnsi="仿宋" w:eastAsia="仿宋"/>
          <w:b w:val="0"/>
          <w:bCs w:val="0"/>
          <w:color w:val="000000" w:themeColor="text1"/>
        </w:rPr>
      </w:pP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B23F4"/>
    <w:multiLevelType w:val="singleLevel"/>
    <w:tmpl w:val="9E9B23F4"/>
    <w:lvl w:ilvl="0" w:tentative="0">
      <w:start w:val="9"/>
      <w:numFmt w:val="chineseCounting"/>
      <w:suff w:val="nothing"/>
      <w:lvlText w:val="%1、"/>
      <w:lvlJc w:val="left"/>
      <w:rPr>
        <w:rFonts w:hint="eastAsia" w:ascii="黑体" w:hAnsi="黑体" w:eastAsia="黑体"/>
      </w:rPr>
    </w:lvl>
  </w:abstractNum>
  <w:abstractNum w:abstractNumId="1">
    <w:nsid w:val="A04B0E62"/>
    <w:multiLevelType w:val="singleLevel"/>
    <w:tmpl w:val="A04B0E62"/>
    <w:lvl w:ilvl="0" w:tentative="0">
      <w:start w:val="2"/>
      <w:numFmt w:val="chineseCounting"/>
      <w:suff w:val="nothing"/>
      <w:lvlText w:val="（%1）"/>
      <w:lvlJc w:val="left"/>
      <w:rPr>
        <w:rFonts w:hint="eastAsia"/>
      </w:rPr>
    </w:lvl>
  </w:abstractNum>
  <w:abstractNum w:abstractNumId="2">
    <w:nsid w:val="B68A155A"/>
    <w:multiLevelType w:val="singleLevel"/>
    <w:tmpl w:val="B68A155A"/>
    <w:lvl w:ilvl="0" w:tentative="0">
      <w:start w:val="1"/>
      <w:numFmt w:val="decimal"/>
      <w:lvlText w:val="%1."/>
      <w:lvlJc w:val="left"/>
      <w:pPr>
        <w:tabs>
          <w:tab w:val="left" w:pos="312"/>
        </w:tabs>
      </w:pPr>
    </w:lvl>
  </w:abstractNum>
  <w:abstractNum w:abstractNumId="3">
    <w:nsid w:val="BBB8BC81"/>
    <w:multiLevelType w:val="singleLevel"/>
    <w:tmpl w:val="BBB8BC81"/>
    <w:lvl w:ilvl="0" w:tentative="0">
      <w:start w:val="1"/>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EC1E63E"/>
    <w:multiLevelType w:val="singleLevel"/>
    <w:tmpl w:val="1EC1E63E"/>
    <w:lvl w:ilvl="0" w:tentative="0">
      <w:start w:val="4"/>
      <w:numFmt w:val="chineseCounting"/>
      <w:suff w:val="nothing"/>
      <w:lvlText w:val="%1、"/>
      <w:lvlJc w:val="left"/>
      <w:rPr>
        <w:rFonts w:hint="eastAsia"/>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2750"/>
    <w:rsid w:val="00021485"/>
    <w:rsid w:val="000222C6"/>
    <w:rsid w:val="0002549F"/>
    <w:rsid w:val="000468DB"/>
    <w:rsid w:val="0006487A"/>
    <w:rsid w:val="00065F8F"/>
    <w:rsid w:val="00070A43"/>
    <w:rsid w:val="000768F2"/>
    <w:rsid w:val="0009184B"/>
    <w:rsid w:val="00094236"/>
    <w:rsid w:val="00095048"/>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620"/>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1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1716"/>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6CDC"/>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42B7"/>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354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2234"/>
    <w:rsid w:val="00B77EA6"/>
    <w:rsid w:val="00B81598"/>
    <w:rsid w:val="00B841F1"/>
    <w:rsid w:val="00B944D6"/>
    <w:rsid w:val="00B9474E"/>
    <w:rsid w:val="00BB4DF0"/>
    <w:rsid w:val="00BC1744"/>
    <w:rsid w:val="00BC19E6"/>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228"/>
    <w:rsid w:val="00C91CBB"/>
    <w:rsid w:val="00CB4E70"/>
    <w:rsid w:val="00CC09B6"/>
    <w:rsid w:val="00CC666F"/>
    <w:rsid w:val="00CD1E3F"/>
    <w:rsid w:val="00CE2678"/>
    <w:rsid w:val="00CE44F6"/>
    <w:rsid w:val="00CE49DA"/>
    <w:rsid w:val="00CE7B61"/>
    <w:rsid w:val="00D00095"/>
    <w:rsid w:val="00D114F0"/>
    <w:rsid w:val="00D20620"/>
    <w:rsid w:val="00D254F7"/>
    <w:rsid w:val="00D26091"/>
    <w:rsid w:val="00D2685C"/>
    <w:rsid w:val="00D34E7C"/>
    <w:rsid w:val="00D35489"/>
    <w:rsid w:val="00D36AFE"/>
    <w:rsid w:val="00D51276"/>
    <w:rsid w:val="00D564CC"/>
    <w:rsid w:val="00D7035F"/>
    <w:rsid w:val="00D803BF"/>
    <w:rsid w:val="00DA634F"/>
    <w:rsid w:val="00DA65AC"/>
    <w:rsid w:val="00DA7C5F"/>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08B"/>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04EF"/>
    <w:rsid w:val="00F81FD9"/>
    <w:rsid w:val="00F841AA"/>
    <w:rsid w:val="00F84A94"/>
    <w:rsid w:val="00F87E96"/>
    <w:rsid w:val="00FA0D4C"/>
    <w:rsid w:val="00FA23E8"/>
    <w:rsid w:val="00FD3CC1"/>
    <w:rsid w:val="00FF1E02"/>
    <w:rsid w:val="00FF30B4"/>
    <w:rsid w:val="017E713B"/>
    <w:rsid w:val="021000E2"/>
    <w:rsid w:val="054028E1"/>
    <w:rsid w:val="0AC56C58"/>
    <w:rsid w:val="0AEC0760"/>
    <w:rsid w:val="0C5535BF"/>
    <w:rsid w:val="0E2704B4"/>
    <w:rsid w:val="0EE0629F"/>
    <w:rsid w:val="0F436041"/>
    <w:rsid w:val="0F530902"/>
    <w:rsid w:val="0FF956BB"/>
    <w:rsid w:val="10C055FF"/>
    <w:rsid w:val="11BF6F52"/>
    <w:rsid w:val="136C5725"/>
    <w:rsid w:val="13FD2ECC"/>
    <w:rsid w:val="16BB723D"/>
    <w:rsid w:val="18C71B74"/>
    <w:rsid w:val="19BD4F13"/>
    <w:rsid w:val="19FB0DA6"/>
    <w:rsid w:val="1A643C09"/>
    <w:rsid w:val="1AAD7263"/>
    <w:rsid w:val="1D36450A"/>
    <w:rsid w:val="1FAA0335"/>
    <w:rsid w:val="21A06EA6"/>
    <w:rsid w:val="240371BF"/>
    <w:rsid w:val="25AF24B0"/>
    <w:rsid w:val="25B216BC"/>
    <w:rsid w:val="27226A87"/>
    <w:rsid w:val="28066B93"/>
    <w:rsid w:val="28266A25"/>
    <w:rsid w:val="29FD04D3"/>
    <w:rsid w:val="2A275389"/>
    <w:rsid w:val="2B342EBC"/>
    <w:rsid w:val="2E677DFC"/>
    <w:rsid w:val="2EE67682"/>
    <w:rsid w:val="301A1BA4"/>
    <w:rsid w:val="30ED32CA"/>
    <w:rsid w:val="319F7F4E"/>
    <w:rsid w:val="32A86066"/>
    <w:rsid w:val="32FE2602"/>
    <w:rsid w:val="338314B7"/>
    <w:rsid w:val="362B2E15"/>
    <w:rsid w:val="38505542"/>
    <w:rsid w:val="3ABD18B2"/>
    <w:rsid w:val="3B9C11A3"/>
    <w:rsid w:val="3D632A5D"/>
    <w:rsid w:val="426B363A"/>
    <w:rsid w:val="42B84AD2"/>
    <w:rsid w:val="438D6C37"/>
    <w:rsid w:val="4917390D"/>
    <w:rsid w:val="495C5ACE"/>
    <w:rsid w:val="4D70444A"/>
    <w:rsid w:val="4E1907E6"/>
    <w:rsid w:val="4EA461DE"/>
    <w:rsid w:val="4ECE2238"/>
    <w:rsid w:val="4F3D0184"/>
    <w:rsid w:val="521E6EC8"/>
    <w:rsid w:val="529C4372"/>
    <w:rsid w:val="53F76562"/>
    <w:rsid w:val="54C11692"/>
    <w:rsid w:val="560C7E23"/>
    <w:rsid w:val="57EC1AF9"/>
    <w:rsid w:val="5BEF2526"/>
    <w:rsid w:val="5D6465EF"/>
    <w:rsid w:val="5E337A31"/>
    <w:rsid w:val="62360518"/>
    <w:rsid w:val="6255257E"/>
    <w:rsid w:val="63ED6438"/>
    <w:rsid w:val="665F1675"/>
    <w:rsid w:val="666718F2"/>
    <w:rsid w:val="66AB54D8"/>
    <w:rsid w:val="67B866C8"/>
    <w:rsid w:val="69093F45"/>
    <w:rsid w:val="69794CBA"/>
    <w:rsid w:val="6A25612C"/>
    <w:rsid w:val="6C7D23E1"/>
    <w:rsid w:val="6FBB774B"/>
    <w:rsid w:val="706732DE"/>
    <w:rsid w:val="71BC3143"/>
    <w:rsid w:val="72734D90"/>
    <w:rsid w:val="734D4199"/>
    <w:rsid w:val="735F2CF4"/>
    <w:rsid w:val="758428A1"/>
    <w:rsid w:val="78F46659"/>
    <w:rsid w:val="79A50C47"/>
    <w:rsid w:val="79CE0443"/>
    <w:rsid w:val="7B6A78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Char"/>
    <w:basedOn w:val="13"/>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标题 2 字符"/>
    <w:basedOn w:val="13"/>
    <w:link w:val="4"/>
    <w:qFormat/>
    <w:uiPriority w:val="9"/>
    <w:rPr>
      <w:rFonts w:asciiTheme="majorHAnsi" w:hAnsiTheme="majorHAnsi" w:eastAsiaTheme="majorEastAsia" w:cstheme="majorBidi"/>
      <w:b/>
      <w:bCs/>
      <w:kern w:val="2"/>
      <w:sz w:val="32"/>
      <w:szCs w:val="32"/>
    </w:rPr>
  </w:style>
  <w:style w:type="character" w:customStyle="1" w:styleId="31">
    <w:name w:val="font41"/>
    <w:basedOn w:val="13"/>
    <w:qFormat/>
    <w:uiPriority w:val="0"/>
    <w:rPr>
      <w:rFonts w:hint="eastAsia" w:ascii="仿宋_GB2312" w:eastAsia="仿宋_GB2312" w:cs="仿宋_GB2312"/>
      <w:color w:val="000000"/>
      <w:sz w:val="32"/>
      <w:szCs w:val="32"/>
      <w:u w:val="none"/>
    </w:rPr>
  </w:style>
  <w:style w:type="character" w:customStyle="1" w:styleId="32">
    <w:name w:val="font01"/>
    <w:basedOn w:val="13"/>
    <w:qFormat/>
    <w:uiPriority w:val="0"/>
    <w:rPr>
      <w:rFonts w:hint="eastAsia" w:ascii="仿宋_GB2312" w:eastAsia="仿宋_GB2312" w:cs="仿宋_GB2312"/>
      <w:color w:val="000000"/>
      <w:sz w:val="32"/>
      <w:szCs w:val="32"/>
      <w:u w:val="none"/>
    </w:rPr>
  </w:style>
  <w:style w:type="character" w:customStyle="1" w:styleId="33">
    <w:name w:val="font81"/>
    <w:basedOn w:val="13"/>
    <w:qFormat/>
    <w:uiPriority w:val="0"/>
    <w:rPr>
      <w:rFonts w:hint="default" w:ascii="Times New Roman" w:hAnsi="Times New Roman" w:cs="Times New Roman"/>
      <w:color w:val="000000"/>
      <w:sz w:val="20"/>
      <w:szCs w:val="20"/>
      <w:u w:val="none"/>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1961</Words>
  <Characters>11182</Characters>
  <Lines>93</Lines>
  <Paragraphs>26</Paragraphs>
  <TotalTime>62</TotalTime>
  <ScaleCrop>false</ScaleCrop>
  <LinksUpToDate>false</LinksUpToDate>
  <CharactersWithSpaces>13117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DELL</cp:lastModifiedBy>
  <cp:lastPrinted>2020-07-23T02:58:00Z</cp:lastPrinted>
  <dcterms:modified xsi:type="dcterms:W3CDTF">2022-03-16T00:48:19Z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3EB762294E0E433C80C9C15022CD97D1</vt:lpwstr>
  </property>
</Properties>
</file>