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77425"/>
      <w:bookmarkStart w:id="4" w:name="_Toc15396475"/>
      <w:bookmarkStart w:id="5"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7194"/>
      <w:bookmarkStart w:id="8" w:name="_Toc15378442"/>
      <w:bookmarkStart w:id="9" w:name="_Toc1539647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广元市昭化区人民法院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公开时间：2020年9月3日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2"/>
        <w:adjustRightInd w:val="0"/>
        <w:snapToGrid w:val="0"/>
        <w:spacing w:line="440" w:lineRule="exact"/>
        <w:jc w:val="left"/>
        <w:rPr>
          <w:rFonts w:ascii="仿宋" w:hAnsi="仿宋" w:eastAsia="仿宋"/>
          <w:sz w:val="24"/>
        </w:rPr>
      </w:pPr>
      <w:r>
        <w:rPr>
          <w:rFonts w:hint="eastAsia"/>
          <w:sz w:val="24"/>
        </w:rPr>
        <w:t>一、基本职能及主要工作</w:t>
      </w:r>
    </w:p>
    <w:p>
      <w:pPr>
        <w:pStyle w:val="12"/>
        <w:adjustRightInd w:val="0"/>
        <w:snapToGrid w:val="0"/>
        <w:spacing w:line="440" w:lineRule="exact"/>
        <w:jc w:val="left"/>
        <w:rPr>
          <w:rFonts w:ascii="仿宋" w:hAnsi="仿宋" w:eastAsia="仿宋" w:cstheme="minorBidi"/>
          <w:sz w:val="24"/>
        </w:rPr>
      </w:pPr>
      <w:r>
        <w:rPr>
          <w:rFonts w:hint="eastAsia"/>
          <w:sz w:val="24"/>
        </w:rPr>
        <w:t>二、机构设置</w:t>
      </w:r>
    </w:p>
    <w:p>
      <w:pPr>
        <w:pStyle w:val="11"/>
        <w:adjustRightInd w:val="0"/>
        <w:snapToGrid w:val="0"/>
        <w:spacing w:before="0" w:line="440" w:lineRule="exact"/>
        <w:jc w:val="left"/>
        <w:rPr>
          <w:sz w:val="24"/>
          <w:szCs w:val="24"/>
        </w:rPr>
      </w:pPr>
      <w:r>
        <w:rPr>
          <w:rFonts w:hint="eastAsia"/>
          <w:sz w:val="24"/>
        </w:rPr>
        <w:t>第二部分度部门决算情况说明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2"/>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7"/>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2"/>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2"/>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依法审理法律规定由基层人民法院管辖、中级人民法院指定管辖或者认为应当由本法院审理的刑事、民事、行政等一审案件。</w:t>
      </w:r>
    </w:p>
    <w:p>
      <w:pPr>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依法审理中级人民法院指定再审的案件和市人民检察院抗诉的案件。受理当事人不服本院发生法律效力的判决、裁定并提起申诉的刑事、行政诉讼案件。</w:t>
      </w:r>
    </w:p>
    <w:p>
      <w:pPr>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依法行使执行权和司法决定权。</w:t>
      </w:r>
    </w:p>
    <w:p>
      <w:pPr>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对法律规定、规章等草案提出意见，对案件审理中发现的问题提出司法建议。</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指导基层法庭工作。</w:t>
      </w:r>
    </w:p>
    <w:p>
      <w:pPr>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负责全院的思想政治、教育培训工作和干部管理工作。</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负责全院财务、专项投资的计划管理及分配。</w:t>
      </w:r>
    </w:p>
    <w:p>
      <w:pPr>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负责全院的监察工作。</w:t>
      </w:r>
    </w:p>
    <w:p>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管理人民法院司法警察工作。</w:t>
      </w:r>
    </w:p>
    <w:p>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做好本院行政、后勤事业管理和服务工作。</w:t>
      </w:r>
    </w:p>
    <w:p>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宣传法制，教育公民忠于社会主义祖国，自觉遵守宪法、法律和社会公德。</w:t>
      </w:r>
    </w:p>
    <w:p>
      <w:pPr>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积极参与社会治安综合治理。</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承办其它应由基层人民法院负责的工作。</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ind w:firstLine="640" w:firstLineChars="200"/>
        <w:rPr>
          <w:rFonts w:ascii="仿宋_GB2312" w:eastAsia="仿宋_GB2312"/>
          <w:sz w:val="32"/>
          <w:szCs w:val="32"/>
        </w:rPr>
      </w:pPr>
      <w:r>
        <w:rPr>
          <w:rFonts w:hint="eastAsia" w:ascii="仿宋_GB2312" w:eastAsia="仿宋_GB2312"/>
          <w:sz w:val="32"/>
          <w:szCs w:val="32"/>
        </w:rPr>
        <w:t>坚持以习近平新时代中国特色社会主义思想为指引，全面学习贯彻落实党的十九大精神，紧紧围绕区七次党代会和区委七届五次全会的部署和工作目标，牢牢把握“司法为民、公正司法”工作主线，充分履职尽责，狠抓执法办案，继续推进司法改革，加快“智慧法院”建设步伐，努力回应群众对司法的新需求和新期待，为奋力实现脱贫攻坚与全面小康双重跨越，加快建设现代化产城一体城乡融合绿色发展的昭化新区提供坚强有力的司法服务和保障。</w:t>
      </w:r>
    </w:p>
    <w:p>
      <w:pPr>
        <w:ind w:firstLine="640" w:firstLineChars="200"/>
        <w:rPr>
          <w:rFonts w:ascii="仿宋_GB2312" w:eastAsia="仿宋_GB2312"/>
          <w:sz w:val="32"/>
          <w:szCs w:val="32"/>
        </w:rPr>
      </w:pPr>
      <w:r>
        <w:rPr>
          <w:rFonts w:hint="eastAsia" w:ascii="仿宋_GB2312" w:eastAsia="仿宋_GB2312"/>
          <w:sz w:val="32"/>
          <w:szCs w:val="32"/>
        </w:rPr>
        <w:t>一、更加主动地服务社会发展大局。自觉把思想和行动统一到区委对形势的分析判断和决策部署上来，不断提高贯彻落实的自觉性和坚定性。紧密结合审判工作实际，通过依法公正高效审理和执行涉及绿色发展、脱贫攻坚、项目投资、产业发展等相关案件，切实推动区委决策部署落地见效。</w:t>
      </w:r>
    </w:p>
    <w:p>
      <w:pPr>
        <w:ind w:firstLine="640" w:firstLineChars="200"/>
        <w:rPr>
          <w:rFonts w:ascii="仿宋_GB2312" w:eastAsia="仿宋_GB2312"/>
          <w:sz w:val="32"/>
          <w:szCs w:val="32"/>
        </w:rPr>
      </w:pPr>
      <w:r>
        <w:rPr>
          <w:rFonts w:hint="eastAsia" w:ascii="仿宋_GB2312" w:eastAsia="仿宋_GB2312"/>
          <w:sz w:val="32"/>
          <w:szCs w:val="32"/>
        </w:rPr>
        <w:t>二、更加坚定地抓好审判执行案件质量。结合市法院“两个一流”考核办法和我院绩效考核办法，进一步开展案件研讨、法律问题研究，切实加强业务交流学习。充分发挥专业法官会议作用，为法官提供法律咨询，确保案件质量。加强审判管理，严格时限和督办管理，提升审判执行案件效率。</w:t>
      </w:r>
    </w:p>
    <w:p>
      <w:pPr>
        <w:ind w:firstLine="640" w:firstLineChars="200"/>
        <w:rPr>
          <w:rFonts w:ascii="仿宋_GB2312" w:eastAsia="仿宋_GB2312"/>
          <w:sz w:val="32"/>
          <w:szCs w:val="32"/>
        </w:rPr>
      </w:pPr>
      <w:r>
        <w:rPr>
          <w:rFonts w:hint="eastAsia" w:ascii="仿宋_GB2312" w:eastAsia="仿宋_GB2312"/>
          <w:sz w:val="32"/>
          <w:szCs w:val="32"/>
        </w:rPr>
        <w:t>三、更加深入地推进司法改革工作。继续深化司法体制综合配套改革，确保改革政策落实到位、改革效果明显提升。及时研究解决审判团队运行、三类人员业绩考评等工作中出现的新情况新问题，健全完善更加科学合理的人员管理机制，确保司法改革各项政策精准落地，进一步巩固和完善司法体制改革成果。</w:t>
      </w:r>
    </w:p>
    <w:p>
      <w:pPr>
        <w:ind w:firstLine="640" w:firstLineChars="200"/>
        <w:rPr>
          <w:rFonts w:ascii="仿宋_GB2312" w:eastAsia="仿宋_GB2312"/>
          <w:sz w:val="32"/>
          <w:szCs w:val="32"/>
        </w:rPr>
      </w:pPr>
      <w:r>
        <w:rPr>
          <w:rFonts w:hint="eastAsia" w:ascii="仿宋_GB2312" w:eastAsia="仿宋_GB2312"/>
          <w:sz w:val="32"/>
          <w:szCs w:val="32"/>
        </w:rPr>
        <w:t>四、更加有效地落实司法为民。创新工作方法，积极回应社会关切，满足人民群众对司法的新需求。依法高效审理各类涉民生案件，加大涉民生案件执行力度，切实维护弱势群体合法权益。不断加快“智慧法院”建设，加大案件庭审直播力度，增加当事人和社会各界了解法院的渠道。</w:t>
      </w:r>
    </w:p>
    <w:p>
      <w:pPr>
        <w:ind w:firstLine="640" w:firstLineChars="200"/>
        <w:rPr>
          <w:rFonts w:ascii="仿宋_GB2312" w:eastAsia="仿宋_GB2312"/>
          <w:sz w:val="32"/>
          <w:szCs w:val="32"/>
        </w:rPr>
      </w:pPr>
      <w:r>
        <w:rPr>
          <w:rFonts w:hint="eastAsia" w:ascii="仿宋_GB2312" w:eastAsia="仿宋_GB2312"/>
          <w:sz w:val="32"/>
          <w:szCs w:val="32"/>
        </w:rPr>
        <w:t>五、更加严格地抓好队伍建设。深入学习贯彻党的十九大精神，开展“不忘初心</w:t>
      </w:r>
      <w:r>
        <w:rPr>
          <w:rFonts w:hint="eastAsia" w:ascii="仿宋_GB2312" w:eastAsia="仿宋_GB2312"/>
          <w:sz w:val="32"/>
          <w:szCs w:val="32"/>
          <w:lang w:eastAsia="zh-CN"/>
        </w:rPr>
        <w:t>、</w:t>
      </w:r>
      <w:r>
        <w:rPr>
          <w:rFonts w:hint="eastAsia" w:ascii="仿宋_GB2312" w:eastAsia="仿宋_GB2312"/>
          <w:sz w:val="32"/>
          <w:szCs w:val="32"/>
        </w:rPr>
        <w:t>牢记使命”主题教育，强化职能培训，着力提升干警的政治素质和履职能力。持之以恒正风肃纪，坚决惩治司法腐败，进一步加强对党员干部的监督管理，全方位向社会展示法院在改革中的成效，树立良好的法院形象。</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4"/>
        <w:rPr>
          <w:rStyle w:val="27"/>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区法院下属部门</w:t>
      </w:r>
      <w:r>
        <w:rPr>
          <w:rFonts w:hint="eastAsia" w:ascii="仿宋" w:hAnsi="仿宋" w:eastAsia="仿宋" w:cs="仿宋"/>
          <w:sz w:val="32"/>
          <w:szCs w:val="32"/>
          <w:lang w:val="en-US" w:eastAsia="zh-CN"/>
        </w:rPr>
        <w:t>13个，其中院机关部门十个，基层法庭三个，主要包括：政治处、机关党委、办公室、刑庭、民庭、行政庭、立案庭、卫子法庭、昭化法庭等。</w:t>
      </w:r>
    </w:p>
    <w:p>
      <w:pPr>
        <w:pStyle w:val="6"/>
        <w:ind w:firstLine="640" w:firstLineChars="200"/>
        <w:rPr>
          <w:rFonts w:hint="eastAsia"/>
          <w:lang w:val="en-US" w:eastAsia="zh-CN"/>
        </w:rPr>
      </w:pPr>
      <w:r>
        <w:rPr>
          <w:rFonts w:hint="eastAsia" w:ascii="仿宋" w:hAnsi="仿宋" w:eastAsia="仿宋" w:cs="仿宋"/>
          <w:sz w:val="32"/>
          <w:szCs w:val="32"/>
          <w:lang w:val="en-US" w:eastAsia="zh-CN"/>
        </w:rPr>
        <w:t>无下属二级单位。</w:t>
      </w:r>
    </w:p>
    <w:p>
      <w:pPr>
        <w:widowControl/>
        <w:jc w:val="left"/>
        <w:rPr>
          <w:rFonts w:ascii="仿宋" w:hAnsi="仿宋" w:eastAsia="仿宋"/>
          <w:color w:val="000000"/>
          <w:kern w:val="0"/>
          <w:sz w:val="32"/>
          <w:szCs w:val="32"/>
        </w:rPr>
      </w:pPr>
      <w:r>
        <w:rPr>
          <w:rFonts w:hint="eastAsia" w:ascii="仿宋" w:hAnsi="仿宋" w:eastAsia="仿宋"/>
          <w:color w:val="000000"/>
          <w:sz w:val="32"/>
          <w:szCs w:val="32"/>
          <w:lang w:val="en-US" w:eastAsia="zh-CN"/>
        </w:rPr>
        <w:t xml:space="preserve">     </w:t>
      </w:r>
      <w:r>
        <w:rPr>
          <w:rFonts w:ascii="仿宋" w:hAnsi="仿宋" w:eastAsia="仿宋"/>
          <w:color w:val="000000"/>
          <w:sz w:val="32"/>
          <w:szCs w:val="32"/>
        </w:rPr>
        <w:br w:type="page"/>
      </w:r>
    </w:p>
    <w:p>
      <w:pPr>
        <w:pStyle w:val="3"/>
        <w:ind w:right="440"/>
        <w:jc w:val="right"/>
        <w:rPr>
          <w:rStyle w:val="26"/>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2019年度部门决算情况说明</w:t>
      </w:r>
      <w:bookmarkEnd w:id="22"/>
      <w:bookmarkEnd w:id="23"/>
    </w:p>
    <w:p/>
    <w:p>
      <w:pPr>
        <w:pStyle w:val="25"/>
        <w:numPr>
          <w:ilvl w:val="0"/>
          <w:numId w:val="1"/>
        </w:numPr>
        <w:spacing w:line="600" w:lineRule="exact"/>
        <w:ind w:firstLineChars="0"/>
        <w:outlineLvl w:val="1"/>
        <w:rPr>
          <w:rStyle w:val="2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1413.87</w:t>
      </w:r>
      <w:r>
        <w:rPr>
          <w:rFonts w:hint="eastAsia" w:ascii="仿宋" w:hAnsi="仿宋" w:eastAsia="仿宋"/>
          <w:color w:val="000000"/>
          <w:sz w:val="32"/>
          <w:szCs w:val="32"/>
        </w:rPr>
        <w:t>万元。与2018年相比，收、支总计各减少</w:t>
      </w:r>
      <w:r>
        <w:rPr>
          <w:rFonts w:hint="eastAsia" w:ascii="仿宋" w:hAnsi="仿宋" w:eastAsia="仿宋"/>
          <w:color w:val="000000"/>
          <w:sz w:val="32"/>
          <w:szCs w:val="32"/>
          <w:lang w:val="en-US" w:eastAsia="zh-CN"/>
        </w:rPr>
        <w:t>22.58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1.57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eastAsia="仿宋_GB2312"/>
          <w:sz w:val="32"/>
          <w:szCs w:val="32"/>
        </w:rPr>
        <w:t>人员</w:t>
      </w:r>
      <w:r>
        <w:rPr>
          <w:rFonts w:hint="eastAsia" w:ascii="仿宋_GB2312" w:eastAsia="仿宋_GB2312"/>
          <w:sz w:val="32"/>
          <w:szCs w:val="32"/>
          <w:lang w:eastAsia="zh-CN"/>
        </w:rPr>
        <w:t>减少及资金缩减</w:t>
      </w:r>
      <w:r>
        <w:rPr>
          <w:rFonts w:hint="eastAsia" w:ascii="仿宋_GB2312" w:eastAsia="仿宋_GB2312"/>
          <w:sz w:val="32"/>
          <w:szCs w:val="32"/>
        </w:rPr>
        <w:t>，基本工资、津贴补贴、奖金、伙食补助费、绩效工资、机关事业单位基本养老保险缴费、职业年金缴费、其他社会保障缴费、其他工资福利支出、退休费、生活补助、医疗费、奖励金、住房公积金、其他对个人和家庭的补助支出。</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pStyle w:val="6"/>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6"/>
        <w:rPr>
          <w:rFonts w:hint="eastAsia" w:ascii="仿宋" w:hAnsi="仿宋" w:eastAsia="仿宋"/>
          <w:color w:val="000000" w:themeColor="text1"/>
          <w:sz w:val="32"/>
          <w:szCs w:val="32"/>
        </w:rPr>
      </w:pPr>
    </w:p>
    <w:p>
      <w:pPr>
        <w:pStyle w:val="6"/>
        <w:rPr>
          <w:rFonts w:hint="eastAsia" w:ascii="仿宋" w:hAnsi="仿宋" w:eastAsia="仿宋"/>
          <w:color w:val="000000" w:themeColor="text1"/>
          <w:sz w:val="32"/>
          <w:szCs w:val="32"/>
        </w:rPr>
      </w:pPr>
    </w:p>
    <w:p>
      <w:pPr>
        <w:spacing w:line="600" w:lineRule="exact"/>
        <w:ind w:firstLine="640" w:firstLineChars="200"/>
        <w:jc w:val="left"/>
        <w:rPr>
          <w:rFonts w:ascii="仿宋_GB2312" w:eastAsia="仿宋_GB2312"/>
          <w:color w:val="000000"/>
          <w:sz w:val="32"/>
          <w:szCs w:val="32"/>
        </w:rPr>
      </w:pPr>
    </w:p>
    <w:p>
      <w:pPr>
        <w:pStyle w:val="25"/>
        <w:numPr>
          <w:ilvl w:val="0"/>
          <w:numId w:val="1"/>
        </w:numPr>
        <w:spacing w:line="600" w:lineRule="exact"/>
        <w:ind w:firstLineChars="0"/>
        <w:outlineLvl w:val="1"/>
        <w:rPr>
          <w:rStyle w:val="27"/>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1413.87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1413.87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pStyle w:val="6"/>
        <w:rPr>
          <w:rFonts w:hint="eastAsia" w:ascii="仿宋" w:hAnsi="仿宋" w:eastAsia="仿宋"/>
          <w:color w:val="000000" w:themeColor="text1"/>
          <w:sz w:val="32"/>
          <w:szCs w:val="32"/>
        </w:rPr>
      </w:pPr>
    </w:p>
    <w:p>
      <w:pPr>
        <w:pStyle w:val="6"/>
        <w:rPr>
          <w:rFonts w:hint="eastAsia" w:ascii="仿宋" w:hAnsi="仿宋" w:eastAsia="仿宋"/>
          <w:color w:val="000000" w:themeColor="text1"/>
          <w:sz w:val="32"/>
          <w:szCs w:val="32"/>
        </w:rPr>
      </w:pPr>
      <w:r>
        <w:rPr>
          <w:rFonts w:ascii="仿宋_GB2312" w:eastAsia="仿宋_GB2312"/>
          <w:sz w:val="32"/>
          <w:szCs w:val="32"/>
        </w:rPr>
        <w:drawing>
          <wp:inline distT="0" distB="0" distL="0" distR="0">
            <wp:extent cx="4469765" cy="2327275"/>
            <wp:effectExtent l="4445" t="5080" r="21590"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color w:val="FF0000"/>
          <w:sz w:val="32"/>
          <w:szCs w:val="32"/>
        </w:rPr>
      </w:pPr>
    </w:p>
    <w:p>
      <w:pPr>
        <w:pStyle w:val="25"/>
        <w:numPr>
          <w:ilvl w:val="0"/>
          <w:numId w:val="1"/>
        </w:numPr>
        <w:spacing w:line="600" w:lineRule="exact"/>
        <w:ind w:firstLineChars="0"/>
        <w:outlineLvl w:val="1"/>
        <w:rPr>
          <w:rStyle w:val="27"/>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1413.87</w:t>
      </w:r>
      <w:r>
        <w:rPr>
          <w:rFonts w:hint="eastAsia" w:ascii="仿宋" w:hAnsi="仿宋" w:eastAsia="仿宋"/>
          <w:color w:val="000000"/>
          <w:sz w:val="32"/>
          <w:szCs w:val="32"/>
        </w:rPr>
        <w:t>万元，其中：基本支出1</w:t>
      </w:r>
      <w:r>
        <w:rPr>
          <w:rFonts w:hint="eastAsia" w:ascii="仿宋" w:hAnsi="仿宋" w:eastAsia="仿宋"/>
          <w:color w:val="000000"/>
          <w:sz w:val="32"/>
          <w:szCs w:val="32"/>
          <w:lang w:val="en-US" w:eastAsia="zh-CN"/>
        </w:rPr>
        <w:t>130.93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282.94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25</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pStyle w:val="6"/>
        <w:rPr>
          <w:rFonts w:hint="eastAsia"/>
        </w:rPr>
      </w:pPr>
    </w:p>
    <w:p>
      <w:pPr>
        <w:pStyle w:val="6"/>
        <w:rPr>
          <w:rFonts w:hint="eastAsia" w:ascii="仿宋" w:hAnsi="仿宋" w:eastAsia="仿宋"/>
          <w:color w:val="000000" w:themeColor="text1"/>
          <w:sz w:val="32"/>
          <w:szCs w:val="32"/>
        </w:rPr>
      </w:pPr>
      <w:r>
        <w:rPr>
          <w:rFonts w:ascii="仿宋_GB2312" w:eastAsia="仿宋_GB2312"/>
          <w:sz w:val="32"/>
          <w:szCs w:val="32"/>
        </w:rPr>
        <w:drawing>
          <wp:inline distT="0" distB="0" distL="0" distR="0">
            <wp:extent cx="4572000" cy="2743200"/>
            <wp:effectExtent l="4445" t="4445" r="14605" b="14605"/>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6"/>
        <w:rPr>
          <w:rFonts w:hint="eastAsia" w:ascii="仿宋" w:hAnsi="仿宋" w:eastAsia="仿宋"/>
          <w:color w:val="000000" w:themeColor="text1"/>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1413.87</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22.58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1.57</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w:t>
      </w:r>
      <w:r>
        <w:rPr>
          <w:rFonts w:hint="eastAsia" w:ascii="仿宋_GB2312" w:eastAsia="仿宋_GB2312"/>
          <w:sz w:val="32"/>
          <w:szCs w:val="32"/>
        </w:rPr>
        <w:t>人员</w:t>
      </w:r>
      <w:r>
        <w:rPr>
          <w:rFonts w:hint="eastAsia" w:ascii="仿宋_GB2312" w:eastAsia="仿宋_GB2312"/>
          <w:sz w:val="32"/>
          <w:szCs w:val="32"/>
          <w:lang w:eastAsia="zh-CN"/>
        </w:rPr>
        <w:t>减少及资金缩减。</w:t>
      </w:r>
    </w:p>
    <w:p>
      <w:pPr>
        <w:spacing w:line="600" w:lineRule="exact"/>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w:t>
      </w:r>
      <w:bookmarkStart w:id="73" w:name="_GoBack"/>
      <w:bookmarkEnd w:id="73"/>
      <w:r>
        <w:rPr>
          <w:rFonts w:hint="eastAsia" w:ascii="仿宋" w:hAnsi="仿宋" w:eastAsia="仿宋"/>
          <w:color w:val="000000" w:themeColor="text1"/>
          <w:sz w:val="32"/>
          <w:szCs w:val="32"/>
        </w:rPr>
        <w:t>状图）</w:t>
      </w:r>
    </w:p>
    <w:p>
      <w:pPr>
        <w:pStyle w:val="6"/>
        <w:rPr>
          <w:rFonts w:hint="eastAsia" w:ascii="仿宋" w:hAnsi="仿宋" w:eastAsia="仿宋"/>
          <w:color w:val="000000" w:themeColor="text1"/>
          <w:sz w:val="32"/>
          <w:szCs w:val="32"/>
        </w:rPr>
      </w:pPr>
      <w:r>
        <w:rPr>
          <w:rFonts w:hint="eastAsia" w:ascii="仿宋" w:hAnsi="仿宋" w:eastAsia="仿宋"/>
          <w:color w:val="000000" w:themeColor="text1"/>
          <w:sz w:val="32"/>
          <w:szCs w:val="32"/>
          <w:lang w:eastAsia="zh-CN"/>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6"/>
        <w:rPr>
          <w:rFonts w:hint="eastAsia" w:ascii="仿宋" w:hAnsi="仿宋" w:eastAsia="仿宋"/>
          <w:color w:val="000000" w:themeColor="text1"/>
          <w:sz w:val="32"/>
          <w:szCs w:val="32"/>
        </w:rPr>
      </w:pPr>
    </w:p>
    <w:p>
      <w:pPr>
        <w:pStyle w:val="6"/>
        <w:rPr>
          <w:rFonts w:hint="eastAsia" w:ascii="仿宋" w:hAnsi="仿宋" w:eastAsia="仿宋"/>
          <w:color w:val="000000" w:themeColor="text1"/>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7"/>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1413.87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22.58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1.57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eastAsia="仿宋_GB2312"/>
          <w:sz w:val="32"/>
          <w:szCs w:val="32"/>
        </w:rPr>
        <w:t>人员</w:t>
      </w:r>
      <w:r>
        <w:rPr>
          <w:rFonts w:hint="eastAsia" w:ascii="仿宋_GB2312" w:eastAsia="仿宋_GB2312"/>
          <w:sz w:val="32"/>
          <w:szCs w:val="32"/>
          <w:lang w:eastAsia="zh-CN"/>
        </w:rPr>
        <w:t>减少及资金缩减。</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pStyle w:val="6"/>
        <w:rPr>
          <w:rFonts w:hint="eastAsia" w:ascii="仿宋" w:hAnsi="仿宋" w:eastAsia="仿宋"/>
          <w:color w:val="000000" w:themeColor="text1"/>
          <w:sz w:val="32"/>
          <w:szCs w:val="32"/>
        </w:rPr>
      </w:pPr>
      <w:r>
        <w:rPr>
          <w:rFonts w:hint="eastAsia" w:ascii="仿宋" w:hAnsi="仿宋" w:eastAsia="仿宋"/>
          <w:color w:val="000000" w:themeColor="text1"/>
          <w:sz w:val="32"/>
          <w:szCs w:val="32"/>
          <w:lang w:eastAsia="zh-CN"/>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6"/>
        <w:rPr>
          <w:rFonts w:hint="eastAsia" w:ascii="仿宋" w:hAnsi="仿宋" w:eastAsia="仿宋"/>
          <w:color w:val="000000" w:themeColor="text1"/>
          <w:sz w:val="32"/>
          <w:szCs w:val="32"/>
        </w:rPr>
      </w:pPr>
    </w:p>
    <w:p>
      <w:pPr>
        <w:pStyle w:val="6"/>
        <w:rPr>
          <w:rFonts w:hint="eastAsia"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b/>
          <w:color w:val="000000" w:themeColor="text1"/>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1413.87</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1255.01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88.7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b/>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w:t>
      </w:r>
      <w:r>
        <w:rPr>
          <w:rFonts w:hint="eastAsia" w:ascii="仿宋" w:hAnsi="仿宋" w:eastAsia="仿宋"/>
          <w:b/>
          <w:bCs/>
          <w:color w:val="000000" w:themeColor="text1"/>
          <w:sz w:val="32"/>
          <w:szCs w:val="32"/>
          <w:lang w:val="en-US" w:eastAsia="zh-CN"/>
        </w:rPr>
        <w:t>0</w:t>
      </w:r>
      <w:r>
        <w:rPr>
          <w:rFonts w:hint="eastAsia" w:ascii="仿宋" w:hAnsi="仿宋" w:eastAsia="仿宋"/>
          <w:b/>
          <w:bCs/>
          <w:color w:val="000000" w:themeColor="text1"/>
          <w:sz w:val="32"/>
          <w:szCs w:val="32"/>
        </w:rPr>
        <w:t>万元，占</w:t>
      </w:r>
      <w:r>
        <w:rPr>
          <w:rFonts w:hint="eastAsia" w:ascii="仿宋" w:hAnsi="仿宋" w:eastAsia="仿宋"/>
          <w:b/>
          <w:bCs/>
          <w:color w:val="000000" w:themeColor="text1"/>
          <w:sz w:val="32"/>
          <w:szCs w:val="32"/>
          <w:lang w:val="en-US" w:eastAsia="zh-CN"/>
        </w:rPr>
        <w:t>0</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支出74.10万元，占</w:t>
      </w:r>
      <w:r>
        <w:rPr>
          <w:rFonts w:hint="eastAsia" w:ascii="仿宋" w:hAnsi="仿宋" w:eastAsia="仿宋"/>
          <w:color w:val="000000" w:themeColor="text1"/>
          <w:sz w:val="32"/>
          <w:szCs w:val="32"/>
          <w:lang w:val="en-US" w:eastAsia="zh-CN"/>
        </w:rPr>
        <w:t>5.2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32.51万元，占</w:t>
      </w:r>
      <w:r>
        <w:rPr>
          <w:rFonts w:hint="eastAsia" w:ascii="仿宋" w:hAnsi="仿宋" w:eastAsia="仿宋"/>
          <w:color w:val="000000" w:themeColor="text1"/>
          <w:sz w:val="32"/>
          <w:szCs w:val="32"/>
          <w:lang w:val="en-US" w:eastAsia="zh-CN"/>
        </w:rPr>
        <w:t>2.3</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；住房保障支出52.25万元，占</w:t>
      </w:r>
      <w:r>
        <w:rPr>
          <w:rFonts w:hint="eastAsia" w:ascii="仿宋" w:hAnsi="仿宋" w:eastAsia="仿宋"/>
          <w:color w:val="000000" w:themeColor="text1"/>
          <w:sz w:val="32"/>
          <w:szCs w:val="32"/>
          <w:lang w:val="en-US" w:eastAsia="zh-CN"/>
        </w:rPr>
        <w:t>3.8</w:t>
      </w:r>
      <w:r>
        <w:rPr>
          <w:rFonts w:ascii="仿宋" w:hAnsi="仿宋" w:eastAsia="仿宋"/>
          <w:color w:val="000000" w:themeColor="text1"/>
          <w:sz w:val="32"/>
          <w:szCs w:val="32"/>
        </w:rPr>
        <w:t>%</w:t>
      </w:r>
      <w:r>
        <w:rPr>
          <w:rFonts w:hint="eastAsia" w:ascii="仿宋" w:hAnsi="仿宋" w:eastAsia="仿宋"/>
          <w:color w:val="000000" w:themeColor="text1"/>
          <w:sz w:val="32"/>
          <w:szCs w:val="32"/>
          <w:lang w:eastAsia="zh-CN"/>
        </w:rPr>
        <w:t>。</w:t>
      </w:r>
    </w:p>
    <w:p>
      <w:pPr>
        <w:spacing w:line="600" w:lineRule="exact"/>
        <w:ind w:firstLine="640"/>
        <w:rPr>
          <w:rFonts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pStyle w:val="6"/>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611495" cy="3970655"/>
            <wp:effectExtent l="5080" t="4445" r="22225" b="63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6"/>
        <w:rPr>
          <w:rFonts w:hint="eastAsia" w:ascii="仿宋" w:hAnsi="仿宋" w:eastAsia="仿宋"/>
          <w:color w:val="000000"/>
          <w:sz w:val="32"/>
          <w:szCs w:val="32"/>
        </w:rPr>
      </w:pPr>
    </w:p>
    <w:p>
      <w:pPr>
        <w:pStyle w:val="6"/>
        <w:rPr>
          <w:rFonts w:hint="eastAsia"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Style w:val="16"/>
          <w:rFonts w:hint="eastAsia" w:ascii="仿宋" w:hAnsi="仿宋" w:eastAsia="仿宋"/>
          <w:bCs/>
          <w:color w:val="00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rPr>
        <w:t>2019年般公共预算支出决算数为</w:t>
      </w:r>
      <w:r>
        <w:rPr>
          <w:rFonts w:hint="eastAsia" w:ascii="仿宋" w:hAnsi="仿宋" w:eastAsia="仿宋"/>
          <w:color w:val="000000" w:themeColor="text1"/>
          <w:sz w:val="32"/>
          <w:szCs w:val="32"/>
          <w:lang w:val="en-US" w:eastAsia="zh-CN"/>
        </w:rPr>
        <w:t>1413.87万元</w:t>
      </w:r>
      <w:r>
        <w:rPr>
          <w:rFonts w:hint="eastAsia" w:ascii="仿宋" w:hAnsi="仿宋" w:eastAsia="仿宋"/>
          <w:color w:val="000000" w:themeColor="text1"/>
          <w:sz w:val="32"/>
          <w:szCs w:val="32"/>
        </w:rPr>
        <w:t>，</w:t>
      </w:r>
      <w:r>
        <w:rPr>
          <w:rStyle w:val="16"/>
          <w:rFonts w:hint="eastAsia" w:ascii="仿宋" w:hAnsi="仿宋" w:eastAsia="仿宋"/>
          <w:bCs/>
          <w:color w:val="000000" w:themeColor="text1"/>
          <w:sz w:val="32"/>
          <w:szCs w:val="32"/>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7"/>
      <w:bookmarkEnd w:id="38"/>
      <w:bookmarkEnd w:id="39"/>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公共安全支出（类）法院支出（款）行政运行（项）: 支出决算为9</w:t>
      </w:r>
      <w:r>
        <w:rPr>
          <w:rFonts w:hint="eastAsia" w:ascii="仿宋_GB2312" w:hAnsi="仿宋_GB2312" w:eastAsia="仿宋_GB2312" w:cs="仿宋_GB2312"/>
          <w:b/>
          <w:bCs/>
          <w:sz w:val="32"/>
          <w:szCs w:val="32"/>
          <w:lang w:val="en-US" w:eastAsia="zh-CN"/>
        </w:rPr>
        <w:t>72.07</w:t>
      </w:r>
      <w:r>
        <w:rPr>
          <w:rFonts w:hint="eastAsia" w:ascii="仿宋_GB2312" w:hAnsi="仿宋_GB2312" w:eastAsia="仿宋_GB2312" w:cs="仿宋_GB2312"/>
          <w:b/>
          <w:bCs/>
          <w:sz w:val="32"/>
          <w:szCs w:val="32"/>
        </w:rPr>
        <w:t>万元，完成预算100%。</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公共安全支出（类）法院支出（款）</w:t>
      </w:r>
      <w:r>
        <w:rPr>
          <w:rFonts w:hint="eastAsia" w:ascii="仿宋_GB2312" w:hAnsi="仿宋_GB2312" w:eastAsia="仿宋_GB2312" w:cs="仿宋_GB2312"/>
          <w:b/>
          <w:bCs/>
          <w:sz w:val="32"/>
          <w:szCs w:val="32"/>
          <w:lang w:eastAsia="zh-CN"/>
        </w:rPr>
        <w:t>其他法院支出</w:t>
      </w:r>
      <w:r>
        <w:rPr>
          <w:rFonts w:hint="eastAsia" w:ascii="仿宋_GB2312" w:hAnsi="仿宋_GB2312" w:eastAsia="仿宋_GB2312" w:cs="仿宋_GB2312"/>
          <w:b/>
          <w:bCs/>
          <w:sz w:val="32"/>
          <w:szCs w:val="32"/>
        </w:rPr>
        <w:t>（项）支出决算为282.94万元，完成预算100%</w:t>
      </w:r>
      <w:r>
        <w:rPr>
          <w:rFonts w:hint="eastAsia" w:ascii="仿宋_GB2312" w:hAnsi="仿宋_GB2312" w:eastAsia="仿宋_GB2312" w:cs="仿宋_GB2312"/>
          <w:sz w:val="32"/>
          <w:szCs w:val="32"/>
        </w:rPr>
        <w:t>。</w:t>
      </w:r>
    </w:p>
    <w:p>
      <w:pPr>
        <w:numPr>
          <w:ilvl w:val="0"/>
          <w:numId w:val="2"/>
        </w:numPr>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社会保障和就业（类）行政事业单位离退休（款）  机关事业单位基本养老保险缴费支出（项）:支出决算为74.10万元，完成预算100%。</w:t>
      </w:r>
    </w:p>
    <w:p>
      <w:pPr>
        <w:numPr>
          <w:ilvl w:val="0"/>
          <w:numId w:val="2"/>
        </w:numPr>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社会保障和就业（类）抚恤（款）死亡抚恤（项）: 支出决算为0万元，</w:t>
      </w:r>
      <w:r>
        <w:rPr>
          <w:rFonts w:hint="eastAsia" w:ascii="仿宋_GB2312" w:hAnsi="仿宋_GB2312" w:eastAsia="仿宋_GB2312" w:cs="仿宋_GB2312"/>
          <w:sz w:val="32"/>
          <w:szCs w:val="32"/>
        </w:rPr>
        <w:t>完成预算0%</w:t>
      </w:r>
      <w:r>
        <w:rPr>
          <w:rStyle w:val="16"/>
          <w:rFonts w:hint="eastAsia" w:ascii="仿宋_GB2312" w:hAnsi="仿宋_GB2312" w:eastAsia="仿宋_GB2312" w:cs="仿宋_GB2312"/>
          <w:bCs/>
          <w:sz w:val="32"/>
          <w:szCs w:val="32"/>
        </w:rPr>
        <w:t>。</w:t>
      </w:r>
    </w:p>
    <w:p>
      <w:pPr>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5.</w:t>
      </w:r>
      <w:r>
        <w:rPr>
          <w:rStyle w:val="16"/>
          <w:rFonts w:hint="eastAsia" w:ascii="仿宋_GB2312" w:hAnsi="仿宋_GB2312" w:eastAsia="仿宋_GB2312" w:cs="仿宋_GB2312"/>
          <w:bCs/>
          <w:sz w:val="32"/>
          <w:szCs w:val="32"/>
          <w:lang w:eastAsia="zh-CN"/>
        </w:rPr>
        <w:t>卫生健康支出</w:t>
      </w:r>
      <w:r>
        <w:rPr>
          <w:rStyle w:val="16"/>
          <w:rFonts w:hint="eastAsia" w:ascii="仿宋_GB2312" w:hAnsi="仿宋_GB2312" w:eastAsia="仿宋_GB2312" w:cs="仿宋_GB2312"/>
          <w:bCs/>
          <w:sz w:val="32"/>
          <w:szCs w:val="32"/>
        </w:rPr>
        <w:t>（类）行政事业单位医疗（款）行政单位医疗（项）:支出决算为32.51万元，完成预算100%</w:t>
      </w:r>
      <w:r>
        <w:rPr>
          <w:rStyle w:val="16"/>
          <w:rFonts w:hint="eastAsia" w:ascii="仿宋_GB2312" w:hAnsi="仿宋_GB2312" w:eastAsia="仿宋_GB2312" w:cs="仿宋_GB2312"/>
          <w:b w:val="0"/>
          <w:bCs/>
          <w:sz w:val="32"/>
          <w:szCs w:val="32"/>
        </w:rPr>
        <w:t>。</w:t>
      </w:r>
    </w:p>
    <w:p>
      <w:pPr>
        <w:ind w:firstLine="643" w:firstLineChars="200"/>
        <w:rPr>
          <w:rFonts w:ascii="仿宋" w:hAnsi="仿宋" w:eastAsia="仿宋"/>
          <w:b/>
          <w:color w:val="FF0000"/>
          <w:sz w:val="32"/>
          <w:szCs w:val="32"/>
        </w:rPr>
      </w:pPr>
      <w:r>
        <w:rPr>
          <w:rStyle w:val="16"/>
          <w:rFonts w:hint="eastAsia" w:ascii="仿宋_GB2312" w:hAnsi="仿宋_GB2312" w:eastAsia="仿宋_GB2312" w:cs="仿宋_GB2312"/>
          <w:bCs/>
          <w:sz w:val="32"/>
          <w:szCs w:val="32"/>
        </w:rPr>
        <w:t>6.住房保障支出（类）住房改革支出（款）住房公积金（项）:支出决算为52.25万元，完成预算100%。</w:t>
      </w:r>
      <w:r>
        <w:rPr>
          <w:rFonts w:ascii="仿宋_GB2312" w:hAnsi="仿宋_GB2312" w:eastAsia="仿宋_GB2312" w:cs="仿宋_GB2312"/>
          <w:b/>
          <w:sz w:val="32"/>
          <w:szCs w:val="32"/>
        </w:rPr>
        <w:t xml:space="preserve"> </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7"/>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1130.93</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855.92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275.01</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ind w:firstLine="640"/>
        <w:rPr>
          <w:rFonts w:ascii="仿宋_GB2312" w:hAnsi="仿宋_GB2312" w:eastAsia="仿宋_GB2312" w:cs="仿宋_GB2312"/>
          <w:b/>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35.22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_GB2312" w:hAnsi="仿宋_GB2312" w:eastAsia="仿宋_GB2312" w:cs="仿宋_GB2312"/>
          <w:sz w:val="32"/>
          <w:szCs w:val="32"/>
        </w:rPr>
        <w:t>决算数预算数持平，主要原因是严格执行预算，厉行节约。</w:t>
      </w:r>
    </w:p>
    <w:p>
      <w:pPr>
        <w:spacing w:line="600" w:lineRule="exact"/>
        <w:ind w:firstLine="643" w:firstLineChars="20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27.22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77.3</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22.7</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pStyle w:val="2"/>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rPr>
          <w:rFonts w:hint="eastAsia" w:ascii="仿宋" w:hAnsi="仿宋" w:eastAsia="仿宋"/>
          <w:color w:val="000000"/>
          <w:sz w:val="32"/>
          <w:szCs w:val="32"/>
        </w:rPr>
      </w:pPr>
    </w:p>
    <w:p>
      <w:pPr>
        <w:pStyle w:val="2"/>
      </w:pPr>
    </w:p>
    <w:p>
      <w:pPr>
        <w:spacing w:line="600" w:lineRule="exact"/>
        <w:ind w:firstLine="640"/>
        <w:rPr>
          <w:rFonts w:hint="default" w:ascii="仿宋_GB2312" w:eastAsia="仿宋_GB2312"/>
          <w:b/>
          <w:color w:val="000000"/>
          <w:sz w:val="32"/>
          <w:szCs w:val="32"/>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和</w:t>
      </w:r>
      <w:r>
        <w:rPr>
          <w:rFonts w:hint="eastAsia" w:ascii="仿宋_GB2312" w:eastAsia="仿宋_GB2312"/>
          <w:color w:val="000000"/>
          <w:sz w:val="32"/>
          <w:szCs w:val="32"/>
          <w:lang w:val="en-US" w:eastAsia="zh-CN"/>
        </w:rPr>
        <w:t>2018年相同，无支出。</w:t>
      </w:r>
    </w:p>
    <w:p>
      <w:pPr>
        <w:spacing w:line="600" w:lineRule="exact"/>
        <w:ind w:firstLine="640"/>
        <w:rPr>
          <w:rFonts w:hint="default" w:ascii="仿宋_GB2312" w:eastAsia="仿宋_GB2312"/>
          <w:b/>
          <w:color w:val="000000"/>
          <w:sz w:val="32"/>
          <w:szCs w:val="32"/>
          <w:lang w:val="en-US"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27.22</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32.56</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54.5</w:t>
      </w:r>
      <w:r>
        <w:rPr>
          <w:rFonts w:ascii="仿宋_GB2312" w:eastAsia="仿宋_GB2312"/>
          <w:color w:val="000000"/>
          <w:sz w:val="32"/>
          <w:szCs w:val="32"/>
        </w:rPr>
        <w:t>%</w:t>
      </w:r>
      <w:r>
        <w:rPr>
          <w:rFonts w:hint="eastAsia" w:ascii="仿宋_GB2312" w:eastAsia="仿宋_GB2312"/>
          <w:color w:val="000000"/>
          <w:sz w:val="32"/>
          <w:szCs w:val="32"/>
        </w:rPr>
        <w:t>。主要原因</w:t>
      </w:r>
      <w:r>
        <w:rPr>
          <w:rFonts w:hint="eastAsia" w:ascii="仿宋_GB2312" w:eastAsia="仿宋_GB2312"/>
          <w:color w:val="000000"/>
          <w:sz w:val="32"/>
          <w:szCs w:val="32"/>
          <w:lang w:eastAsia="zh-CN"/>
        </w:rPr>
        <w:t>是</w:t>
      </w:r>
      <w:r>
        <w:rPr>
          <w:rFonts w:hint="eastAsia" w:ascii="仿宋_GB2312" w:eastAsia="仿宋_GB2312"/>
          <w:color w:val="000000"/>
          <w:sz w:val="32"/>
          <w:szCs w:val="32"/>
          <w:lang w:val="en-US" w:eastAsia="zh-CN"/>
        </w:rPr>
        <w:t>2019年无公务用车采购。</w:t>
      </w:r>
    </w:p>
    <w:p>
      <w:pPr>
        <w:spacing w:line="60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11辆。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27.22</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办案、执行</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8</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相比持平。</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b/>
          <w:color w:val="000000"/>
          <w:sz w:val="32"/>
          <w:szCs w:val="32"/>
          <w:lang w:val="en-US" w:eastAsia="zh-CN"/>
        </w:rPr>
        <w:t>8</w:t>
      </w:r>
      <w:r>
        <w:rPr>
          <w:rFonts w:hint="eastAsia" w:ascii="仿宋_GB2312" w:eastAsia="仿宋_GB2312"/>
          <w:color w:val="000000"/>
          <w:sz w:val="32"/>
          <w:szCs w:val="32"/>
        </w:rPr>
        <w:t>万元，主要用于执行公务、开展业务活动开支的交通费、住宿费、用餐费等。</w:t>
      </w:r>
      <w:r>
        <w:rPr>
          <w:rFonts w:hint="eastAsia" w:ascii="仿宋_GB2312" w:hAnsi="仿宋_GB2312" w:eastAsia="仿宋_GB2312" w:cs="仿宋_GB2312"/>
          <w:bCs/>
          <w:sz w:val="32"/>
          <w:szCs w:val="32"/>
        </w:rPr>
        <w:t>国内公务接待</w:t>
      </w:r>
      <w:r>
        <w:rPr>
          <w:rFonts w:hint="eastAsia" w:ascii="仿宋_GB2312" w:hAnsi="仿宋_GB2312" w:eastAsia="仿宋_GB2312" w:cs="仿宋_GB2312"/>
          <w:bCs/>
          <w:sz w:val="32"/>
          <w:szCs w:val="32"/>
          <w:lang w:val="en-US" w:eastAsia="zh-CN"/>
        </w:rPr>
        <w:t>287</w:t>
      </w:r>
      <w:r>
        <w:rPr>
          <w:rFonts w:hint="eastAsia" w:ascii="仿宋_GB2312" w:hAnsi="仿宋_GB2312" w:eastAsia="仿宋_GB2312" w:cs="仿宋_GB2312"/>
          <w:bCs/>
          <w:sz w:val="32"/>
          <w:szCs w:val="32"/>
        </w:rPr>
        <w:t>批次，</w:t>
      </w:r>
      <w:r>
        <w:rPr>
          <w:rFonts w:hint="eastAsia" w:ascii="仿宋_GB2312" w:hAnsi="仿宋_GB2312" w:eastAsia="仿宋_GB2312" w:cs="仿宋_GB2312"/>
          <w:bCs/>
          <w:sz w:val="32"/>
          <w:szCs w:val="32"/>
          <w:lang w:val="en-US" w:eastAsia="zh-CN"/>
        </w:rPr>
        <w:t>1650</w:t>
      </w:r>
      <w:r>
        <w:rPr>
          <w:rFonts w:hint="eastAsia" w:ascii="仿宋_GB2312" w:hAnsi="仿宋_GB2312" w:eastAsia="仿宋_GB2312" w:cs="仿宋_GB2312"/>
          <w:sz w:val="32"/>
          <w:szCs w:val="32"/>
        </w:rPr>
        <w:t>人次（不包括陪同人员），共计支出8万元，具体内容包括：外地以及上级法院到我院刑事案件开庭，接待参与诉讼的法官、书记员、人民陪审员、值庭法警、接待外地法院到我区执行案件、接待其它公务活动开支。</w:t>
      </w:r>
    </w:p>
    <w:p>
      <w:pPr>
        <w:spacing w:line="600" w:lineRule="exact"/>
        <w:ind w:firstLine="643" w:firstLineChars="200"/>
        <w:rPr>
          <w:rFonts w:hint="eastAsia" w:ascii="仿宋_GB2312" w:eastAsia="仿宋_GB2312"/>
          <w:color w:val="000000" w:themeColor="text1"/>
          <w:sz w:val="32"/>
          <w:szCs w:val="32"/>
          <w:lang w:eastAsia="zh-CN"/>
        </w:rPr>
      </w:pPr>
      <w:r>
        <w:rPr>
          <w:rFonts w:hint="eastAsia" w:ascii="仿宋" w:hAnsi="仿宋" w:eastAsia="仿宋"/>
          <w:b/>
          <w:color w:val="000000"/>
          <w:sz w:val="32"/>
          <w:szCs w:val="32"/>
        </w:rPr>
        <w:t>外事接待支出</w:t>
      </w:r>
      <w:r>
        <w:rPr>
          <w:rFonts w:hint="eastAsia" w:ascii="仿宋" w:hAnsi="仿宋" w:eastAsia="仿宋"/>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7"/>
          <w:rFonts w:ascii="黑体" w:hAnsi="黑体" w:eastAsia="黑体"/>
          <w:b w:val="0"/>
        </w:rPr>
      </w:pPr>
      <w:bookmarkStart w:id="48" w:name="_Toc15396611"/>
      <w:bookmarkStart w:id="49" w:name="_Toc15377219"/>
      <w:r>
        <w:rPr>
          <w:rStyle w:val="27"/>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7"/>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9年，机关运行经费支出</w:t>
      </w:r>
      <w:r>
        <w:rPr>
          <w:rFonts w:hint="eastAsia" w:ascii="仿宋_GB2312" w:eastAsia="仿宋_GB2312"/>
          <w:color w:val="000000"/>
          <w:sz w:val="32"/>
          <w:szCs w:val="32"/>
          <w:lang w:val="en-US" w:eastAsia="zh-CN"/>
        </w:rPr>
        <w:t>275.01</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83.42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43.5</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w:t>
      </w:r>
      <w:r>
        <w:rPr>
          <w:rFonts w:hint="eastAsia" w:ascii="仿宋_GB2312" w:eastAsia="仿宋_GB2312"/>
          <w:color w:val="000000" w:themeColor="text1"/>
          <w:sz w:val="32"/>
          <w:szCs w:val="32"/>
          <w:lang w:eastAsia="zh-CN"/>
        </w:rPr>
        <w:t>是人员增加及案件数量激增，办公成本增加。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广元市昭化区人民法院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执法执勤用车</w:t>
      </w:r>
      <w:r>
        <w:rPr>
          <w:rFonts w:hint="eastAsia" w:ascii="仿宋_GB2312" w:eastAsia="仿宋_GB2312"/>
          <w:color w:val="000000"/>
          <w:sz w:val="32"/>
          <w:szCs w:val="32"/>
          <w:lang w:val="en-US" w:eastAsia="zh-CN"/>
        </w:rPr>
        <w:t>11辆，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年中央和省政法转移支付</w:t>
      </w:r>
      <w:r>
        <w:rPr>
          <w:rFonts w:hint="eastAsia" w:ascii="仿宋_GB2312" w:hAnsi="宋体" w:eastAsia="仿宋_GB2312"/>
          <w:sz w:val="32"/>
          <w:szCs w:val="32"/>
        </w:rPr>
        <w:t>办案业务和业务装备经费</w:t>
      </w:r>
      <w:r>
        <w:rPr>
          <w:rFonts w:hint="eastAsia" w:ascii="仿宋_GB2312" w:hAnsi="仿宋_GB2312" w:eastAsia="仿宋_GB2312" w:cs="仿宋_GB2312"/>
          <w:sz w:val="32"/>
          <w:szCs w:val="32"/>
        </w:rPr>
        <w:t>开展了预算事前绩效评估，对201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年中央和省政法转移支付</w:t>
      </w:r>
      <w:r>
        <w:rPr>
          <w:rFonts w:hint="eastAsia" w:ascii="仿宋_GB2312" w:hAnsi="宋体" w:eastAsia="仿宋_GB2312"/>
          <w:sz w:val="32"/>
          <w:szCs w:val="32"/>
        </w:rPr>
        <w:t>办案业务和业务装备经费</w:t>
      </w:r>
      <w:r>
        <w:rPr>
          <w:rFonts w:hint="eastAsia" w:ascii="仿宋_GB2312" w:hAnsi="仿宋_GB2312" w:eastAsia="仿宋_GB2312" w:cs="仿宋_GB2312"/>
          <w:sz w:val="32"/>
          <w:szCs w:val="32"/>
        </w:rPr>
        <w:t>编制了绩效目标，预算执行过程中，选取201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年中央和省政法转移支付</w:t>
      </w:r>
      <w:r>
        <w:rPr>
          <w:rFonts w:hint="eastAsia" w:ascii="仿宋_GB2312" w:hAnsi="宋体" w:eastAsia="仿宋_GB2312"/>
          <w:sz w:val="32"/>
          <w:szCs w:val="32"/>
        </w:rPr>
        <w:t>办案业务和业务装备经费</w:t>
      </w:r>
      <w:r>
        <w:rPr>
          <w:rFonts w:hint="eastAsia" w:ascii="仿宋_GB2312" w:hAnsi="仿宋_GB2312" w:eastAsia="仿宋_GB2312" w:cs="仿宋_GB2312"/>
          <w:sz w:val="32"/>
          <w:szCs w:val="32"/>
        </w:rPr>
        <w:t>开展绩效监控，年终执行完毕后，对201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年中央和省政法转移支付</w:t>
      </w:r>
      <w:r>
        <w:rPr>
          <w:rFonts w:hint="eastAsia" w:ascii="仿宋_GB2312" w:hAnsi="宋体" w:eastAsia="仿宋_GB2312"/>
          <w:sz w:val="32"/>
          <w:szCs w:val="32"/>
        </w:rPr>
        <w:t>办案业务和业务装备经费</w:t>
      </w:r>
      <w:r>
        <w:rPr>
          <w:rFonts w:hint="eastAsia" w:ascii="仿宋_GB2312" w:hAnsi="仿宋_GB2312" w:eastAsia="仿宋_GB2312" w:cs="仿宋_GB2312"/>
          <w:sz w:val="32"/>
          <w:szCs w:val="32"/>
        </w:rPr>
        <w:t>开展了绩效目标完成情况自评。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我院</w:t>
      </w:r>
      <w:r>
        <w:rPr>
          <w:rFonts w:hint="eastAsia" w:ascii="仿宋_GB2312" w:hAnsi="仿宋_GB2312" w:eastAsia="仿宋_GB2312" w:cs="仿宋_GB2312"/>
          <w:sz w:val="32"/>
          <w:szCs w:val="32"/>
        </w:rPr>
        <w:t>积极参与维护社会和谐稳定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依法办理刑事案件。依法办理民商事案件，解决人民内部矛盾，为昭化区社会和谐，经济健康发展起到保驾护航作用。本部门还自行组织了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个项目支出绩效评价，从评价情况来</w:t>
      </w:r>
      <w:r>
        <w:rPr>
          <w:rFonts w:hint="eastAsia" w:ascii="仿宋_GB2312" w:hAnsi="仿宋_GB2312" w:eastAsia="仿宋_GB2312" w:cs="仿宋_GB2312"/>
          <w:sz w:val="32"/>
          <w:szCs w:val="32"/>
          <w:lang w:eastAsia="zh-CN"/>
        </w:rPr>
        <w:t>看</w:t>
      </w:r>
      <w:r>
        <w:rPr>
          <w:rFonts w:hint="eastAsia" w:ascii="仿宋_GB2312" w:hAnsi="仿宋_GB2312" w:eastAsia="仿宋_GB2312" w:cs="仿宋_GB2312"/>
          <w:sz w:val="32"/>
          <w:szCs w:val="32"/>
        </w:rPr>
        <w:t>加强调解工作可以有效化解社会矛盾，达到案结事了的良好社会效果，而人民陪审员参与庭审的整个过程，可以更大的公开透明的审理案件的过程，增加群众了解案件办理的过程，增加司法公信力。</w:t>
      </w:r>
    </w:p>
    <w:p>
      <w:pPr>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1.项目绩效目标完成情况。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办案业务费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业务装备费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办案业务费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eastAsia="仿宋_GB2312"/>
          <w:sz w:val="28"/>
          <w:szCs w:val="28"/>
        </w:rPr>
        <w:t>满足</w:t>
      </w:r>
      <w:r>
        <w:rPr>
          <w:rFonts w:hint="eastAsia" w:ascii="仿宋_GB2312" w:eastAsia="仿宋_GB2312"/>
          <w:sz w:val="28"/>
          <w:szCs w:val="28"/>
          <w:lang w:eastAsia="zh-CN"/>
        </w:rPr>
        <w:t>了</w:t>
      </w:r>
      <w:r>
        <w:rPr>
          <w:rFonts w:hint="eastAsia" w:ascii="仿宋_GB2312" w:eastAsia="仿宋_GB2312"/>
          <w:sz w:val="28"/>
          <w:szCs w:val="28"/>
        </w:rPr>
        <w:t>人民群众对司法的新需求。</w:t>
      </w:r>
      <w:r>
        <w:rPr>
          <w:rFonts w:hint="eastAsia" w:ascii="仿宋_GB2312" w:eastAsia="仿宋_GB2312"/>
          <w:sz w:val="28"/>
          <w:szCs w:val="28"/>
          <w:lang w:eastAsia="zh-CN"/>
        </w:rPr>
        <w:t>我院</w:t>
      </w:r>
      <w:r>
        <w:rPr>
          <w:rFonts w:hint="eastAsia" w:ascii="仿宋_GB2312" w:eastAsia="仿宋_GB2312"/>
          <w:sz w:val="28"/>
          <w:szCs w:val="28"/>
        </w:rPr>
        <w:t>依法高效审理各类涉民生案件，加大涉民生案件执行力度，切实维护弱势群体合法权益。不断加快“智慧法院”建设，加大案件庭审直播力度，增加当事人和社会各界了解法院的渠道。</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业务装备费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我院审判、执行工作的顺利进行，满足了当事人的司法诉求，彰显了法律公信力。</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办案业务和业务装备经费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昭化区人民法院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238</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238</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仿宋" w:hAnsi="仿宋" w:eastAsia="仿宋" w:cs="仿宋"/>
                <w:sz w:val="24"/>
                <w:szCs w:val="24"/>
              </w:rPr>
              <w:t>办案业务和业务装备经费</w:t>
            </w:r>
            <w:r>
              <w:rPr>
                <w:rFonts w:hint="eastAsia" w:ascii="仿宋" w:hAnsi="仿宋" w:eastAsia="仿宋" w:cs="仿宋"/>
                <w:sz w:val="24"/>
                <w:szCs w:val="24"/>
                <w:lang w:val="zh-CN"/>
              </w:rPr>
              <w:t>车辆运行维护费、差旅费、资料费、办案装备、办案车辆等；支付依据是否合规合法，资金支付与预算相符</w:t>
            </w:r>
            <w:r>
              <w:rPr>
                <w:rFonts w:hint="eastAsia" w:ascii="仿宋" w:hAnsi="仿宋" w:eastAsia="仿宋" w:cs="仿宋"/>
                <w:sz w:val="24"/>
                <w:szCs w:val="24"/>
              </w:rPr>
              <w:t>创新工作方法，积极回应社会关切，满足人民群众对司法的新需求。依法高效审理各类涉民生案件，加大涉民生案件执行力度，切实维护弱势群体合法权益。不断加快“智慧法院”建设，加大案件庭审直播力度，增加当事人和社会各界了解法院的渠道。</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仿宋_GB2312" w:hAnsi="宋体"/>
                <w:lang w:val="en-US" w:eastAsia="zh-CN"/>
              </w:rPr>
              <w:t xml:space="preserve">   </w:t>
            </w:r>
            <w:r>
              <w:rPr>
                <w:rFonts w:hint="eastAsia" w:ascii="仿宋_GB2312" w:hAnsi="宋体"/>
                <w:lang w:val="zh-CN"/>
              </w:rPr>
              <w:t>截止</w:t>
            </w:r>
            <w:r>
              <w:rPr>
                <w:rFonts w:hint="eastAsia" w:ascii="仿宋_GB2312" w:hAnsi="宋体"/>
              </w:rPr>
              <w:t>201</w:t>
            </w:r>
            <w:r>
              <w:rPr>
                <w:rFonts w:hint="eastAsia" w:ascii="仿宋_GB2312" w:hAnsi="宋体"/>
                <w:lang w:val="en-US" w:eastAsia="zh-CN"/>
              </w:rPr>
              <w:t>9</w:t>
            </w:r>
            <w:r>
              <w:rPr>
                <w:rFonts w:hint="eastAsia" w:ascii="仿宋_GB2312" w:hAnsi="宋体"/>
              </w:rPr>
              <w:t>年12月31日</w:t>
            </w:r>
            <w:r>
              <w:rPr>
                <w:rFonts w:hint="eastAsia" w:ascii="仿宋_GB2312" w:hAnsi="宋体"/>
                <w:lang w:val="zh-CN"/>
              </w:rPr>
              <w:t>实际完成额</w:t>
            </w:r>
            <w:r>
              <w:rPr>
                <w:rFonts w:hint="eastAsia" w:ascii="仿宋_GB2312" w:hAnsi="宋体"/>
                <w:lang w:val="en-US" w:eastAsia="zh-CN"/>
              </w:rPr>
              <w:t>238</w:t>
            </w:r>
            <w:r>
              <w:rPr>
                <w:rFonts w:hint="eastAsia" w:ascii="仿宋_GB2312" w:hAnsi="宋体"/>
              </w:rPr>
              <w:t>万元，并全部完成绩效目标</w:t>
            </w:r>
            <w:r>
              <w:rPr>
                <w:rFonts w:hint="eastAsia" w:ascii="仿宋_GB2312" w:hAnsi="宋体"/>
                <w:lang w:val="zh-CN"/>
              </w:rPr>
              <w:t>。</w:t>
            </w:r>
            <w:r>
              <w:rPr>
                <w:rFonts w:hint="eastAsia" w:ascii="仿宋_GB2312"/>
                <w:bCs/>
                <w:color w:val="000000"/>
              </w:rPr>
              <w:t>全年共受理各类案件2</w:t>
            </w:r>
            <w:r>
              <w:rPr>
                <w:rFonts w:hint="eastAsia" w:ascii="仿宋_GB2312"/>
                <w:bCs/>
                <w:color w:val="000000"/>
                <w:lang w:val="en-US" w:eastAsia="zh-CN"/>
              </w:rPr>
              <w:t>898</w:t>
            </w:r>
            <w:r>
              <w:rPr>
                <w:rFonts w:hint="eastAsia" w:ascii="仿宋_GB2312"/>
                <w:bCs/>
                <w:color w:val="000000"/>
              </w:rPr>
              <w:t>件，结案2</w:t>
            </w:r>
            <w:r>
              <w:rPr>
                <w:rFonts w:hint="eastAsia" w:ascii="仿宋_GB2312"/>
                <w:bCs/>
                <w:color w:val="000000"/>
                <w:lang w:val="en-US" w:eastAsia="zh-CN"/>
              </w:rPr>
              <w:t>747</w:t>
            </w:r>
            <w:r>
              <w:rPr>
                <w:rFonts w:hint="eastAsia" w:ascii="仿宋_GB2312"/>
                <w:bCs/>
                <w:color w:val="000000"/>
              </w:rPr>
              <w:t>件，同比分别上升26.05%、24.11%。刑事犯罪</w:t>
            </w:r>
            <w:r>
              <w:rPr>
                <w:rFonts w:hint="eastAsia" w:ascii="仿宋_GB2312"/>
                <w:bCs/>
                <w:color w:val="000000"/>
                <w:lang w:val="en-US" w:eastAsia="zh-CN"/>
              </w:rPr>
              <w:t>,</w:t>
            </w:r>
            <w:r>
              <w:rPr>
                <w:rFonts w:hint="eastAsia" w:ascii="仿宋_GB2312"/>
                <w:bCs/>
                <w:color w:val="000000"/>
              </w:rPr>
              <w:t>受理刑事案件6</w:t>
            </w:r>
            <w:r>
              <w:rPr>
                <w:rFonts w:hint="eastAsia" w:ascii="仿宋_GB2312"/>
                <w:bCs/>
                <w:color w:val="000000"/>
                <w:lang w:val="en-US" w:eastAsia="zh-CN"/>
              </w:rPr>
              <w:t>7</w:t>
            </w:r>
            <w:r>
              <w:rPr>
                <w:rFonts w:hint="eastAsia" w:ascii="仿宋_GB2312"/>
                <w:bCs/>
                <w:color w:val="000000"/>
              </w:rPr>
              <w:t>件，审结55件。民商事纠纷</w:t>
            </w:r>
            <w:r>
              <w:rPr>
                <w:rFonts w:hint="eastAsia" w:ascii="仿宋_GB2312"/>
                <w:bCs/>
                <w:color w:val="000000"/>
                <w:lang w:val="en-US" w:eastAsia="zh-CN"/>
              </w:rPr>
              <w:t>,</w:t>
            </w:r>
            <w:r>
              <w:rPr>
                <w:rFonts w:hint="eastAsia" w:ascii="仿宋_GB2312"/>
                <w:bCs/>
                <w:color w:val="000000"/>
              </w:rPr>
              <w:t>受理民商事案件</w:t>
            </w:r>
            <w:r>
              <w:rPr>
                <w:rFonts w:hint="eastAsia" w:ascii="仿宋_GB2312"/>
                <w:bCs/>
                <w:color w:val="000000"/>
                <w:lang w:val="en-US" w:eastAsia="zh-CN"/>
              </w:rPr>
              <w:t>1811</w:t>
            </w:r>
            <w:r>
              <w:rPr>
                <w:rFonts w:hint="eastAsia" w:ascii="仿宋_GB2312"/>
                <w:bCs/>
                <w:color w:val="000000"/>
              </w:rPr>
              <w:t>件，审结1</w:t>
            </w:r>
            <w:r>
              <w:rPr>
                <w:rFonts w:hint="eastAsia" w:ascii="仿宋_GB2312"/>
                <w:bCs/>
                <w:color w:val="000000"/>
                <w:lang w:val="en-US" w:eastAsia="zh-CN"/>
              </w:rPr>
              <w:t>717</w:t>
            </w:r>
            <w:r>
              <w:rPr>
                <w:rFonts w:hint="eastAsia" w:ascii="仿宋_GB2312"/>
                <w:bCs/>
                <w:color w:val="000000"/>
              </w:rPr>
              <w:t>件。依法行政</w:t>
            </w:r>
            <w:r>
              <w:rPr>
                <w:rFonts w:hint="eastAsia" w:ascii="仿宋_GB2312"/>
                <w:bCs/>
                <w:color w:val="000000"/>
                <w:lang w:val="en-US" w:eastAsia="zh-CN"/>
              </w:rPr>
              <w:t>,</w:t>
            </w:r>
            <w:r>
              <w:rPr>
                <w:rFonts w:hint="eastAsia" w:ascii="仿宋_GB2312"/>
                <w:bCs/>
                <w:color w:val="000000"/>
              </w:rPr>
              <w:t>受理行政案件1</w:t>
            </w:r>
            <w:r>
              <w:rPr>
                <w:rFonts w:hint="eastAsia" w:ascii="仿宋_GB2312"/>
                <w:bCs/>
                <w:color w:val="000000"/>
                <w:lang w:val="en-US" w:eastAsia="zh-CN"/>
              </w:rPr>
              <w:t>0</w:t>
            </w:r>
            <w:r>
              <w:rPr>
                <w:rFonts w:hint="eastAsia" w:ascii="仿宋_GB2312"/>
                <w:bCs/>
                <w:color w:val="000000"/>
              </w:rPr>
              <w:t>件，审结1</w:t>
            </w:r>
            <w:r>
              <w:rPr>
                <w:rFonts w:hint="eastAsia" w:ascii="仿宋_GB2312"/>
                <w:bCs/>
                <w:color w:val="000000"/>
                <w:lang w:val="en-US" w:eastAsia="zh-CN"/>
              </w:rPr>
              <w:t>0</w:t>
            </w:r>
            <w:r>
              <w:rPr>
                <w:rFonts w:hint="eastAsia" w:ascii="仿宋_GB2312"/>
                <w:bCs/>
                <w:color w:val="000000"/>
              </w:rPr>
              <w:t>件。审查非诉</w:t>
            </w:r>
            <w:r>
              <w:rPr>
                <w:rFonts w:hint="eastAsia" w:ascii="仿宋_GB2312"/>
                <w:bCs/>
                <w:color w:val="000000"/>
                <w:lang w:eastAsia="zh-CN"/>
              </w:rPr>
              <w:t>保全</w:t>
            </w:r>
            <w:r>
              <w:rPr>
                <w:rFonts w:hint="eastAsia" w:ascii="仿宋_GB2312"/>
                <w:bCs/>
                <w:color w:val="000000"/>
              </w:rPr>
              <w:t>案件</w:t>
            </w:r>
            <w:r>
              <w:rPr>
                <w:rFonts w:hint="eastAsia" w:ascii="仿宋_GB2312"/>
                <w:bCs/>
                <w:color w:val="000000"/>
                <w:lang w:val="en-US" w:eastAsia="zh-CN"/>
              </w:rPr>
              <w:t>26</w:t>
            </w:r>
            <w:r>
              <w:rPr>
                <w:rFonts w:hint="eastAsia" w:ascii="仿宋_GB2312"/>
                <w:bCs/>
                <w:color w:val="000000"/>
              </w:rPr>
              <w:t>件，结案</w:t>
            </w:r>
            <w:r>
              <w:rPr>
                <w:rFonts w:hint="eastAsia" w:ascii="仿宋_GB2312"/>
                <w:bCs/>
                <w:color w:val="000000"/>
                <w:lang w:val="en-US" w:eastAsia="zh-CN"/>
              </w:rPr>
              <w:t>2</w:t>
            </w:r>
            <w:r>
              <w:rPr>
                <w:rFonts w:hint="eastAsia" w:ascii="仿宋_GB2312"/>
                <w:bCs/>
                <w:color w:val="000000"/>
              </w:rPr>
              <w:t>6件。执行案件</w:t>
            </w:r>
            <w:r>
              <w:rPr>
                <w:rFonts w:hint="eastAsia" w:ascii="仿宋_GB2312"/>
                <w:bCs/>
                <w:color w:val="000000"/>
                <w:lang w:val="en-US" w:eastAsia="zh-CN"/>
              </w:rPr>
              <w:t>,</w:t>
            </w:r>
            <w:r>
              <w:rPr>
                <w:rFonts w:hint="eastAsia" w:ascii="仿宋_GB2312"/>
                <w:bCs/>
                <w:color w:val="000000"/>
              </w:rPr>
              <w:t>共受理执行案件</w:t>
            </w:r>
            <w:r>
              <w:rPr>
                <w:rFonts w:hint="eastAsia" w:ascii="仿宋_GB2312"/>
                <w:bCs/>
                <w:color w:val="000000"/>
                <w:lang w:val="en-US" w:eastAsia="zh-CN"/>
              </w:rPr>
              <w:t>890</w:t>
            </w:r>
            <w:r>
              <w:rPr>
                <w:rFonts w:hint="eastAsia" w:ascii="仿宋_GB2312"/>
                <w:bCs/>
                <w:color w:val="000000"/>
              </w:rPr>
              <w:t>件，结案</w:t>
            </w:r>
            <w:r>
              <w:rPr>
                <w:rFonts w:hint="eastAsia" w:ascii="仿宋_GB2312"/>
                <w:bCs/>
                <w:color w:val="000000"/>
                <w:lang w:val="en-US" w:eastAsia="zh-CN"/>
              </w:rPr>
              <w:t>848</w:t>
            </w:r>
            <w:r>
              <w:rPr>
                <w:rFonts w:hint="eastAsia" w:ascii="仿宋_GB2312"/>
                <w:bCs/>
                <w:color w:val="000000"/>
              </w:rPr>
              <w:t>件，到位标的1.6亿元。</w:t>
            </w:r>
            <w:r>
              <w:rPr>
                <w:rFonts w:hint="eastAsia" w:ascii="仿宋_GB2312"/>
                <w:bCs/>
                <w:color w:val="000000"/>
                <w:lang w:eastAsia="zh-CN"/>
              </w:rPr>
              <w:t>服判息诉率达到了</w:t>
            </w:r>
            <w:r>
              <w:rPr>
                <w:rFonts w:hint="eastAsia" w:ascii="仿宋_GB2312"/>
                <w:bCs/>
                <w:color w:val="000000"/>
                <w:lang w:val="en-US" w:eastAsia="zh-CN"/>
              </w:rPr>
              <w:t>90%以上。</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55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color w:val="000000"/>
                <w:sz w:val="28"/>
                <w:szCs w:val="28"/>
              </w:rPr>
              <w:t>完成201</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年保障水平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eastAsia="仿宋_GB2312"/>
                <w:sz w:val="24"/>
                <w:szCs w:val="24"/>
              </w:rPr>
              <w:t>加快“智慧法院”建设，审理全县刑事、民事、行政案件，确保社会稳定、经济行为诚信。加强执行工作、使生效法律文书得到落实,到案发地开展巡回审判，以案讲法，进行法制宣传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eastAsia="仿宋_GB2312"/>
                <w:sz w:val="24"/>
                <w:szCs w:val="24"/>
              </w:rPr>
              <w:t>保障社会经济稳定，促进社会和谐平安,加快“智慧法院”建设，加大案件庭审直播力度。审理全县刑事、民事、行政案件，确保社会稳定、经济行为诚信。加强执行工作、使生效法律文书得到落实,到案发地开展巡回审判，以案讲法，进行法制宣传。网络直播案件，增加庭审社会透明度</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社会效益</w:t>
            </w:r>
          </w:p>
          <w:p>
            <w:pPr>
              <w:widowControl/>
              <w:jc w:val="center"/>
              <w:textAlignment w:val="center"/>
              <w:rPr>
                <w:rFonts w:ascii="宋体" w:hAnsi="宋体" w:cs="宋体"/>
                <w:color w:val="000000"/>
                <w:sz w:val="24"/>
              </w:rPr>
            </w:pPr>
            <w:r>
              <w:rPr>
                <w:rFonts w:hint="eastAsia" w:ascii="仿宋_GB2312" w:hAnsi="仿宋_GB2312" w:eastAsia="仿宋_GB2312" w:cs="仿宋_GB2312"/>
                <w:color w:val="00000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诉讼服务提档升级</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eastAsia="仿宋_GB2312"/>
                <w:sz w:val="24"/>
                <w:szCs w:val="24"/>
              </w:rPr>
              <w:t>加快“智慧法院”建设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≥2000件</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color w:val="000000"/>
                <w:sz w:val="24"/>
                <w:szCs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eastAsia="仿宋_GB2312"/>
                <w:sz w:val="28"/>
                <w:szCs w:val="28"/>
              </w:rPr>
              <w:t>“智慧法院”建设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color w:val="000000"/>
                <w:sz w:val="28"/>
                <w:szCs w:val="28"/>
              </w:rPr>
              <w:t>≥5年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color w:val="000000"/>
                <w:sz w:val="28"/>
                <w:szCs w:val="28"/>
              </w:rPr>
              <w:t>≥5年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宋体"/>
                <w:lang w:eastAsia="zh-CN"/>
              </w:rPr>
            </w:pPr>
            <w:r>
              <w:rPr>
                <w:rFonts w:hint="eastAsia"/>
              </w:rPr>
              <w:t>社会效益</w:t>
            </w:r>
          </w:p>
          <w:p>
            <w:pPr>
              <w:widowControl/>
              <w:jc w:val="center"/>
              <w:textAlignment w:val="center"/>
              <w:rPr>
                <w:rFonts w:ascii="宋体" w:hAnsi="宋体" w:cs="宋体"/>
                <w:color w:val="000000"/>
                <w:sz w:val="24"/>
              </w:rPr>
            </w:pPr>
            <w:r>
              <w:rPr>
                <w:rFonts w:hint="eastAsia"/>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sz w:val="24"/>
                <w:szCs w:val="24"/>
              </w:rPr>
              <w:t>案件审判、案件执行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促进全县政治社会经济发展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sz w:val="24"/>
                <w:szCs w:val="24"/>
              </w:rPr>
            </w:pPr>
            <w:r>
              <w:rPr>
                <w:rFonts w:hint="eastAsia"/>
              </w:rPr>
              <w:t>保障社会经济稳定，促进社会和谐平安</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rPr>
              <w:t>满意度指标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color w:val="000000"/>
                <w:sz w:val="24"/>
                <w:szCs w:val="24"/>
              </w:rPr>
              <w:t>社会群众满意度</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color w:val="000000"/>
                <w:sz w:val="28"/>
                <w:szCs w:val="28"/>
              </w:rPr>
              <w:t>社会群众满意度</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color w:val="000000"/>
                <w:sz w:val="28"/>
                <w:szCs w:val="28"/>
              </w:rPr>
              <w:t>≥90%</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color w:val="000000"/>
                <w:sz w:val="28"/>
                <w:szCs w:val="28"/>
              </w:rPr>
              <w:t>≥90%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昭化区人民法院</w:t>
      </w:r>
      <w:r>
        <w:rPr>
          <w:rFonts w:hint="eastAsia" w:ascii="仿宋_GB2312" w:hAnsi="仿宋_GB2312" w:eastAsia="仿宋_GB2312" w:cs="仿宋_GB2312"/>
          <w:sz w:val="32"/>
          <w:szCs w:val="32"/>
        </w:rPr>
        <w:t>部门2019年部门整体支出绩效评价报告》见附件（附件1）。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年中央和省政法转移支付</w:t>
      </w:r>
      <w:r>
        <w:rPr>
          <w:rFonts w:hint="eastAsia" w:ascii="仿宋_GB2312" w:hAnsi="宋体" w:eastAsia="仿宋_GB2312"/>
          <w:sz w:val="32"/>
          <w:szCs w:val="32"/>
        </w:rPr>
        <w:t>办案业务和业务装备经费</w:t>
      </w:r>
      <w:r>
        <w:rPr>
          <w:rFonts w:hint="eastAsia" w:ascii="仿宋_GB2312" w:hAnsi="仿宋_GB2312" w:eastAsia="仿宋_GB2312" w:cs="仿宋_GB2312"/>
          <w:sz w:val="32"/>
          <w:szCs w:val="32"/>
        </w:rPr>
        <w:t>开展绩效评价，《201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年中央和省政法转移支付</w:t>
      </w:r>
      <w:r>
        <w:rPr>
          <w:rFonts w:hint="eastAsia" w:ascii="仿宋_GB2312" w:hAnsi="宋体" w:eastAsia="仿宋_GB2312"/>
          <w:sz w:val="32"/>
          <w:szCs w:val="32"/>
        </w:rPr>
        <w:t>办案业务和业务装备经费</w:t>
      </w:r>
      <w:r>
        <w:rPr>
          <w:rFonts w:hint="eastAsia" w:ascii="仿宋_GB2312" w:hAnsi="仿宋_GB2312" w:eastAsia="仿宋_GB2312" w:cs="仿宋_GB2312"/>
          <w:sz w:val="32"/>
          <w:szCs w:val="32"/>
        </w:rPr>
        <w:t>》见附件（附件2）。（非涉密部门均需公开部门整体支出评价报告，部门自行组织的绩效评价情况根据部门实际公开，若未组织项目绩效评价，则只需说明部门整体支出绩效评价情况）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6"/>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6"/>
          <w:rFonts w:hint="eastAsia" w:ascii="黑体" w:hAnsi="黑体" w:eastAsia="黑体"/>
          <w:b w:val="0"/>
        </w:rPr>
        <w:t>词解释</w:t>
      </w:r>
      <w:bookmarkEnd w:id="55"/>
      <w:bookmarkEnd w:id="56"/>
    </w:p>
    <w:p>
      <w:pPr>
        <w:pStyle w:val="2"/>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公共安全（类）法院（款）行政运行（项）：指法院机关的基本支出。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公共安全（类）法院（款）一般行政管理事务（项）：指法院机关未单独设置项级科目的其他项目支出。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公共安全（类）法院（款）案件审判（项）：指对刑事、民事、行政、涉外等案件审判活动的支出。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.公共安全（类）法院（款）案件执行（项）：指对刑事、民事、行政、涉外等案件执行活动对务种非诉执行活动的支出。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.公共安全（类）法院（款）“两庭”建设（项）指法院审判用房人民法庭用房、刑场建设维修和设备购置，以及审判庭安全监控设备购置及运行管理等支出。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社会保障和就业（类）行政事业单位离退休（款）归口管理的单位离退休（项）：指实行归口管理管理的行政单位开支的离退休经费。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社会保障和就业（类）行政事业单位离退休（款）行政事业单位基本养老保险缴费（项）：指机关事业单位实施养老保险制度由单位缴纳的基本养老保险费支出。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行政事业单位医疗（款）行政单位医疗（项）：指财政部门安排的行政单位基本医疗保险缴费经费，未参加医疗保险的行政单位的公费医疗经费，按国家规定享受离休人员、红军老战士待遇人员的医疗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住房保障（类）住房改革支出（款）住房公积金（项）：指反映行政事业单位按人力资源和社会保障部、财政部规定的基本工资和津贴补贴以及规定比例为职工缴纳的住房公积金。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spacing w:line="600" w:lineRule="exact"/>
        <w:jc w:val="left"/>
        <w:rPr>
          <w:rFonts w:ascii="宋体"/>
          <w:b/>
          <w:color w:val="000000"/>
          <w:sz w:val="44"/>
          <w:szCs w:val="44"/>
        </w:rPr>
      </w:pPr>
    </w:p>
    <w:p>
      <w:pPr>
        <w:spacing w:line="600" w:lineRule="exact"/>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hint="eastAsia" w:ascii="仿宋" w:hAnsi="仿宋" w:eastAsia="仿宋"/>
          <w:b/>
          <w:color w:val="000000"/>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6"/>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广元市昭化区人民法院</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napToGrid w:val="0"/>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olor w:val="000000"/>
          <w:sz w:val="32"/>
          <w:szCs w:val="32"/>
        </w:rPr>
        <w:t>201</w:t>
      </w:r>
      <w:r>
        <w:rPr>
          <w:rFonts w:hint="eastAsia" w:ascii="仿宋_GB2312" w:hAnsi="仿宋" w:eastAsia="仿宋_GB2312"/>
          <w:color w:val="000000"/>
          <w:sz w:val="32"/>
          <w:szCs w:val="32"/>
          <w:lang w:val="en-US" w:eastAsia="zh-CN"/>
        </w:rPr>
        <w:t>9</w:t>
      </w:r>
      <w:r>
        <w:rPr>
          <w:rFonts w:hint="eastAsia" w:ascii="仿宋_GB2312" w:hAnsi="仿宋" w:eastAsia="仿宋_GB2312" w:cs="仿宋"/>
          <w:color w:val="000000"/>
          <w:sz w:val="32"/>
          <w:szCs w:val="32"/>
        </w:rPr>
        <w:t>年度，纳入本部门决算汇编范围的独立核算单位共1个</w:t>
      </w:r>
      <w:r>
        <w:rPr>
          <w:rFonts w:hint="eastAsia" w:ascii="仿宋_GB2312" w:hAnsi="仿宋" w:eastAsia="仿宋_GB2312"/>
          <w:color w:val="000000"/>
          <w:sz w:val="32"/>
          <w:szCs w:val="32"/>
        </w:rPr>
        <w:t>。</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pStyle w:val="25"/>
        <w:ind w:left="0" w:leftChars="0" w:firstLine="640" w:firstLineChars="200"/>
        <w:rPr>
          <w:rFonts w:ascii="仿宋_GB2312" w:eastAsia="仿宋_GB2312"/>
          <w:sz w:val="32"/>
          <w:szCs w:val="32"/>
        </w:rPr>
      </w:pPr>
      <w:r>
        <w:rPr>
          <w:rFonts w:hint="eastAsia" w:ascii="仿宋_GB2312" w:eastAsia="仿宋_GB2312"/>
          <w:sz w:val="32"/>
          <w:szCs w:val="32"/>
        </w:rPr>
        <w:t>1.依法审理法律规定由基层人民法院管辖、中级人民法院指定管辖或者认为应当由本法院审理的刑事、民事、行政等一审案件。</w:t>
      </w:r>
    </w:p>
    <w:p>
      <w:pPr>
        <w:pStyle w:val="25"/>
        <w:ind w:left="420" w:firstLine="640"/>
        <w:rPr>
          <w:rFonts w:ascii="仿宋_GB2312" w:eastAsia="仿宋_GB2312"/>
          <w:sz w:val="32"/>
          <w:szCs w:val="32"/>
        </w:rPr>
      </w:pPr>
      <w:r>
        <w:rPr>
          <w:rFonts w:hint="eastAsia" w:ascii="仿宋_GB2312" w:eastAsia="仿宋_GB2312"/>
          <w:sz w:val="32"/>
          <w:szCs w:val="32"/>
        </w:rPr>
        <w:t>2.依法审理中级人民法院指定再审的案件和市人民检察院抗诉的案件。受理当事人不服本院发生法律效力的判决、裁定并提起申诉的刑事、行政诉讼案件。</w:t>
      </w:r>
    </w:p>
    <w:p>
      <w:pPr>
        <w:ind w:firstLine="1120" w:firstLineChars="350"/>
        <w:rPr>
          <w:rFonts w:ascii="仿宋_GB2312" w:eastAsia="仿宋_GB2312"/>
          <w:sz w:val="32"/>
          <w:szCs w:val="32"/>
        </w:rPr>
      </w:pPr>
      <w:r>
        <w:rPr>
          <w:rFonts w:hint="eastAsia" w:ascii="仿宋_GB2312" w:eastAsia="仿宋_GB2312"/>
          <w:sz w:val="32"/>
          <w:szCs w:val="32"/>
        </w:rPr>
        <w:t>3.依法行使执行权和司法决定权。</w:t>
      </w:r>
    </w:p>
    <w:p>
      <w:pPr>
        <w:ind w:firstLine="1120" w:firstLineChars="350"/>
        <w:rPr>
          <w:rFonts w:ascii="仿宋_GB2312" w:eastAsia="仿宋_GB2312"/>
          <w:sz w:val="32"/>
          <w:szCs w:val="32"/>
        </w:rPr>
      </w:pPr>
      <w:r>
        <w:rPr>
          <w:rFonts w:hint="eastAsia" w:ascii="仿宋_GB2312" w:eastAsia="仿宋_GB2312"/>
          <w:sz w:val="32"/>
          <w:szCs w:val="32"/>
        </w:rPr>
        <w:t>4.对法律规定、规章等草案提出意见，对案件审理中发现的问题提出司法建议。</w:t>
      </w:r>
    </w:p>
    <w:p>
      <w:pPr>
        <w:ind w:firstLine="1120" w:firstLineChars="350"/>
        <w:rPr>
          <w:rFonts w:ascii="仿宋_GB2312" w:eastAsia="仿宋_GB2312"/>
          <w:sz w:val="32"/>
          <w:szCs w:val="32"/>
        </w:rPr>
      </w:pPr>
      <w:r>
        <w:rPr>
          <w:rFonts w:hint="eastAsia" w:ascii="仿宋_GB2312" w:eastAsia="仿宋_GB2312"/>
          <w:sz w:val="32"/>
          <w:szCs w:val="32"/>
        </w:rPr>
        <w:t>5.指导基层法庭工作。</w:t>
      </w:r>
    </w:p>
    <w:p>
      <w:pPr>
        <w:ind w:firstLine="1120" w:firstLineChars="350"/>
        <w:rPr>
          <w:rFonts w:ascii="仿宋_GB2312" w:eastAsia="仿宋_GB2312"/>
          <w:sz w:val="32"/>
          <w:szCs w:val="32"/>
        </w:rPr>
      </w:pPr>
      <w:r>
        <w:rPr>
          <w:rFonts w:hint="eastAsia" w:ascii="仿宋_GB2312" w:eastAsia="仿宋_GB2312"/>
          <w:sz w:val="32"/>
          <w:szCs w:val="32"/>
        </w:rPr>
        <w:t>6.负责全院的思想政治、教育培训工作和干部管理工作。</w:t>
      </w:r>
    </w:p>
    <w:p>
      <w:pPr>
        <w:ind w:firstLine="1120" w:firstLineChars="350"/>
        <w:rPr>
          <w:rFonts w:ascii="仿宋_GB2312" w:eastAsia="仿宋_GB2312"/>
          <w:sz w:val="32"/>
          <w:szCs w:val="32"/>
        </w:rPr>
      </w:pPr>
      <w:r>
        <w:rPr>
          <w:rFonts w:hint="eastAsia" w:ascii="仿宋_GB2312" w:eastAsia="仿宋_GB2312"/>
          <w:sz w:val="32"/>
          <w:szCs w:val="32"/>
        </w:rPr>
        <w:t>7.负责全院财务、专项投资的计划管理及分配。</w:t>
      </w:r>
    </w:p>
    <w:p>
      <w:pPr>
        <w:ind w:firstLine="1120" w:firstLineChars="350"/>
        <w:rPr>
          <w:rFonts w:ascii="仿宋_GB2312" w:eastAsia="仿宋_GB2312"/>
          <w:sz w:val="32"/>
          <w:szCs w:val="32"/>
        </w:rPr>
      </w:pPr>
      <w:r>
        <w:rPr>
          <w:rFonts w:hint="eastAsia" w:ascii="仿宋_GB2312" w:eastAsia="仿宋_GB2312"/>
          <w:sz w:val="32"/>
          <w:szCs w:val="32"/>
        </w:rPr>
        <w:t>8.负责全院的监察工作。</w:t>
      </w:r>
    </w:p>
    <w:p>
      <w:pPr>
        <w:ind w:firstLine="1120" w:firstLineChars="350"/>
        <w:rPr>
          <w:rFonts w:ascii="仿宋_GB2312" w:eastAsia="仿宋_GB2312"/>
          <w:sz w:val="32"/>
          <w:szCs w:val="32"/>
        </w:rPr>
      </w:pPr>
      <w:r>
        <w:rPr>
          <w:rFonts w:hint="eastAsia" w:ascii="仿宋_GB2312" w:eastAsia="仿宋_GB2312"/>
          <w:sz w:val="32"/>
          <w:szCs w:val="32"/>
        </w:rPr>
        <w:t>9.管理人民法院司法警察工作。</w:t>
      </w:r>
    </w:p>
    <w:p>
      <w:pPr>
        <w:ind w:firstLine="1120" w:firstLineChars="350"/>
        <w:rPr>
          <w:rFonts w:ascii="仿宋_GB2312" w:eastAsia="仿宋_GB2312"/>
          <w:sz w:val="32"/>
          <w:szCs w:val="32"/>
        </w:rPr>
      </w:pPr>
      <w:r>
        <w:rPr>
          <w:rFonts w:hint="eastAsia" w:ascii="仿宋_GB2312" w:eastAsia="仿宋_GB2312"/>
          <w:sz w:val="32"/>
          <w:szCs w:val="32"/>
        </w:rPr>
        <w:t>10.做好本院行政、后勤事业管理和服务工作。</w:t>
      </w:r>
    </w:p>
    <w:p>
      <w:pPr>
        <w:ind w:firstLine="1120" w:firstLineChars="350"/>
        <w:rPr>
          <w:rFonts w:ascii="仿宋_GB2312" w:eastAsia="仿宋_GB2312"/>
          <w:sz w:val="32"/>
          <w:szCs w:val="32"/>
        </w:rPr>
      </w:pPr>
      <w:r>
        <w:rPr>
          <w:rFonts w:hint="eastAsia" w:ascii="仿宋_GB2312" w:eastAsia="仿宋_GB2312"/>
          <w:sz w:val="32"/>
          <w:szCs w:val="32"/>
        </w:rPr>
        <w:t>11.宣传法制，教育公民忠于社会主义祖国，自觉遵守宪法、法律和社会公德。</w:t>
      </w:r>
    </w:p>
    <w:p>
      <w:pPr>
        <w:ind w:firstLine="1120" w:firstLineChars="350"/>
        <w:rPr>
          <w:rFonts w:ascii="仿宋_GB2312" w:eastAsia="仿宋_GB2312"/>
          <w:sz w:val="32"/>
          <w:szCs w:val="32"/>
        </w:rPr>
      </w:pPr>
      <w:r>
        <w:rPr>
          <w:rFonts w:hint="eastAsia" w:ascii="仿宋_GB2312" w:eastAsia="仿宋_GB2312"/>
          <w:sz w:val="32"/>
          <w:szCs w:val="32"/>
        </w:rPr>
        <w:t>12.积极参与社会治安综合治理。</w:t>
      </w:r>
    </w:p>
    <w:p>
      <w:pPr>
        <w:ind w:firstLine="1120" w:firstLineChars="350"/>
        <w:rPr>
          <w:rFonts w:hint="eastAsia" w:ascii="仿宋_GB2312" w:eastAsia="仿宋_GB2312"/>
          <w:sz w:val="32"/>
          <w:szCs w:val="32"/>
        </w:rPr>
      </w:pPr>
      <w:r>
        <w:rPr>
          <w:rFonts w:hint="eastAsia" w:ascii="仿宋_GB2312" w:eastAsia="仿宋_GB2312"/>
          <w:sz w:val="32"/>
          <w:szCs w:val="32"/>
        </w:rPr>
        <w:t>13.承办其它应由基层人民法院负责的工作。</w:t>
      </w:r>
    </w:p>
    <w:p>
      <w:pPr>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区法院下属部门</w:t>
      </w:r>
      <w:r>
        <w:rPr>
          <w:rFonts w:hint="eastAsia" w:ascii="仿宋" w:hAnsi="仿宋" w:eastAsia="仿宋" w:cs="仿宋"/>
          <w:sz w:val="32"/>
          <w:szCs w:val="32"/>
          <w:lang w:val="en-US" w:eastAsia="zh-CN"/>
        </w:rPr>
        <w:t>13个，其中院机关部门十个，基层法庭三个，主要包括：政治处、机关党委、办公室、刑庭、民庭、行政庭、立案庭、卫子法庭、昭化法庭等。</w:t>
      </w:r>
    </w:p>
    <w:p>
      <w:pPr>
        <w:ind w:firstLine="640" w:firstLineChars="200"/>
        <w:rPr>
          <w:rFonts w:ascii="仿宋_GB2312" w:eastAsia="仿宋_GB2312"/>
          <w:sz w:val="32"/>
          <w:szCs w:val="32"/>
        </w:rPr>
      </w:pPr>
      <w:r>
        <w:rPr>
          <w:rFonts w:hint="eastAsia" w:ascii="仿宋_GB2312" w:eastAsia="仿宋_GB2312"/>
          <w:sz w:val="32"/>
          <w:szCs w:val="32"/>
        </w:rPr>
        <w:t>人员情况：区法院共有编制6</w:t>
      </w:r>
      <w:r>
        <w:rPr>
          <w:rFonts w:hint="eastAsia" w:ascii="仿宋_GB2312" w:eastAsia="仿宋_GB2312"/>
          <w:sz w:val="32"/>
          <w:szCs w:val="32"/>
          <w:lang w:val="en-US" w:eastAsia="zh-CN"/>
        </w:rPr>
        <w:t>7</w:t>
      </w:r>
      <w:r>
        <w:rPr>
          <w:rFonts w:hint="eastAsia" w:ascii="仿宋_GB2312" w:eastAsia="仿宋_GB2312"/>
          <w:sz w:val="32"/>
          <w:szCs w:val="32"/>
        </w:rPr>
        <w:t>名，其中：政法编制</w:t>
      </w:r>
      <w:r>
        <w:rPr>
          <w:rFonts w:hint="eastAsia" w:ascii="仿宋_GB2312" w:eastAsia="仿宋_GB2312"/>
          <w:sz w:val="32"/>
          <w:szCs w:val="32"/>
          <w:lang w:val="en-US" w:eastAsia="zh-CN"/>
        </w:rPr>
        <w:t>59</w:t>
      </w:r>
      <w:r>
        <w:rPr>
          <w:rFonts w:hint="eastAsia" w:ascii="仿宋_GB2312" w:eastAsia="仿宋_GB2312"/>
          <w:sz w:val="32"/>
          <w:szCs w:val="32"/>
        </w:rPr>
        <w:t>人，工勤编制1人，事业编制7人。201</w:t>
      </w:r>
      <w:r>
        <w:rPr>
          <w:rFonts w:hint="eastAsia" w:ascii="仿宋_GB2312" w:eastAsia="仿宋_GB2312"/>
          <w:sz w:val="32"/>
          <w:szCs w:val="32"/>
          <w:lang w:val="en-US" w:eastAsia="zh-CN"/>
        </w:rPr>
        <w:t>9</w:t>
      </w:r>
      <w:r>
        <w:rPr>
          <w:rFonts w:hint="eastAsia" w:ascii="仿宋_GB2312" w:eastAsia="仿宋_GB2312"/>
          <w:sz w:val="32"/>
          <w:szCs w:val="32"/>
        </w:rPr>
        <w:t>年预算实有在职编制内人员</w:t>
      </w:r>
      <w:r>
        <w:rPr>
          <w:rFonts w:hint="eastAsia" w:ascii="仿宋_GB2312" w:eastAsia="仿宋_GB2312"/>
          <w:sz w:val="32"/>
          <w:szCs w:val="32"/>
          <w:lang w:val="en-US" w:eastAsia="zh-CN"/>
        </w:rPr>
        <w:t>62</w:t>
      </w:r>
      <w:r>
        <w:rPr>
          <w:rFonts w:hint="eastAsia" w:ascii="仿宋_GB2312" w:eastAsia="仿宋_GB2312"/>
          <w:sz w:val="32"/>
          <w:szCs w:val="32"/>
        </w:rPr>
        <w:t>人，较去年6</w:t>
      </w:r>
      <w:r>
        <w:rPr>
          <w:rFonts w:hint="eastAsia" w:ascii="仿宋_GB2312" w:eastAsia="仿宋_GB2312"/>
          <w:sz w:val="32"/>
          <w:szCs w:val="32"/>
          <w:lang w:val="en-US" w:eastAsia="zh-CN"/>
        </w:rPr>
        <w:t>3</w:t>
      </w:r>
      <w:r>
        <w:rPr>
          <w:rFonts w:hint="eastAsia" w:ascii="仿宋_GB2312" w:eastAsia="仿宋_GB2312"/>
          <w:sz w:val="32"/>
          <w:szCs w:val="32"/>
        </w:rPr>
        <w:t>人</w:t>
      </w:r>
      <w:r>
        <w:rPr>
          <w:rFonts w:hint="eastAsia" w:ascii="仿宋_GB2312" w:eastAsia="仿宋_GB2312"/>
          <w:sz w:val="32"/>
          <w:szCs w:val="32"/>
          <w:lang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1</w:t>
      </w:r>
      <w:r>
        <w:rPr>
          <w:rFonts w:hint="eastAsia" w:ascii="仿宋_GB2312" w:eastAsia="仿宋_GB2312"/>
          <w:sz w:val="32"/>
          <w:szCs w:val="32"/>
        </w:rPr>
        <w:t>人，其中：政法编制5</w:t>
      </w:r>
      <w:r>
        <w:rPr>
          <w:rFonts w:hint="eastAsia" w:ascii="仿宋_GB2312" w:eastAsia="仿宋_GB2312"/>
          <w:sz w:val="32"/>
          <w:szCs w:val="32"/>
          <w:lang w:val="en-US" w:eastAsia="zh-CN"/>
        </w:rPr>
        <w:t>4</w:t>
      </w:r>
      <w:r>
        <w:rPr>
          <w:rFonts w:hint="eastAsia" w:ascii="仿宋_GB2312" w:eastAsia="仿宋_GB2312"/>
          <w:sz w:val="32"/>
          <w:szCs w:val="32"/>
        </w:rPr>
        <w:t>人，工勤编制1人，事业编制7人，退休人员2</w:t>
      </w:r>
      <w:r>
        <w:rPr>
          <w:rFonts w:hint="eastAsia" w:ascii="仿宋_GB2312" w:eastAsia="仿宋_GB2312"/>
          <w:sz w:val="32"/>
          <w:szCs w:val="32"/>
          <w:lang w:val="en-US" w:eastAsia="zh-CN"/>
        </w:rPr>
        <w:t>2</w:t>
      </w:r>
      <w:r>
        <w:rPr>
          <w:rFonts w:hint="eastAsia" w:ascii="仿宋_GB2312" w:eastAsia="仿宋_GB2312"/>
          <w:sz w:val="32"/>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556" w:lineRule="exact"/>
        <w:ind w:firstLine="640" w:firstLineChars="200"/>
        <w:rPr>
          <w:rFonts w:ascii="仿宋_GB2312" w:hAnsi="仿宋" w:eastAsia="仿宋_GB2312" w:cs="楷体_GB2312"/>
          <w:color w:val="000000"/>
          <w:sz w:val="32"/>
          <w:szCs w:val="32"/>
        </w:rPr>
      </w:pPr>
      <w:r>
        <w:rPr>
          <w:rFonts w:hint="eastAsia" w:ascii="仿宋_GB2312" w:hAnsi="仿宋" w:eastAsia="仿宋_GB2312" w:cs="楷体_GB2312"/>
          <w:color w:val="000000"/>
          <w:sz w:val="32"/>
          <w:szCs w:val="32"/>
        </w:rPr>
        <w:t>201</w:t>
      </w:r>
      <w:r>
        <w:rPr>
          <w:rFonts w:hint="eastAsia" w:ascii="仿宋_GB2312" w:hAnsi="仿宋" w:eastAsia="仿宋_GB2312" w:cs="楷体_GB2312"/>
          <w:color w:val="000000"/>
          <w:sz w:val="32"/>
          <w:szCs w:val="32"/>
          <w:lang w:val="en-US" w:eastAsia="zh-CN"/>
        </w:rPr>
        <w:t>9</w:t>
      </w:r>
      <w:r>
        <w:rPr>
          <w:rFonts w:hint="eastAsia" w:ascii="仿宋_GB2312" w:hAnsi="仿宋" w:eastAsia="仿宋_GB2312" w:cs="楷体_GB2312"/>
          <w:color w:val="000000"/>
          <w:sz w:val="32"/>
          <w:szCs w:val="32"/>
        </w:rPr>
        <w:t>年，我单位预算收入</w:t>
      </w:r>
      <w:r>
        <w:rPr>
          <w:rFonts w:hint="eastAsia" w:ascii="仿宋_GB2312" w:hAnsi="仿宋" w:eastAsia="仿宋_GB2312"/>
          <w:color w:val="000000"/>
          <w:sz w:val="32"/>
          <w:szCs w:val="32"/>
        </w:rPr>
        <w:t>14</w:t>
      </w:r>
      <w:r>
        <w:rPr>
          <w:rFonts w:hint="eastAsia" w:ascii="仿宋_GB2312" w:hAnsi="仿宋" w:eastAsia="仿宋_GB2312"/>
          <w:color w:val="000000"/>
          <w:sz w:val="32"/>
          <w:szCs w:val="32"/>
          <w:lang w:val="en-US" w:eastAsia="zh-CN"/>
        </w:rPr>
        <w:t>13</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87</w:t>
      </w:r>
      <w:r>
        <w:rPr>
          <w:rFonts w:hint="eastAsia" w:ascii="仿宋_GB2312" w:hAnsi="仿宋" w:eastAsia="仿宋_GB2312" w:cs="楷体_GB2312"/>
          <w:color w:val="000000"/>
          <w:sz w:val="32"/>
          <w:szCs w:val="32"/>
        </w:rPr>
        <w:t>万元,其中：公共预算收入</w:t>
      </w:r>
      <w:r>
        <w:rPr>
          <w:rFonts w:hint="eastAsia" w:ascii="仿宋_GB2312" w:hAnsi="仿宋" w:eastAsia="仿宋_GB2312"/>
          <w:color w:val="000000"/>
          <w:sz w:val="32"/>
          <w:szCs w:val="32"/>
        </w:rPr>
        <w:t>14</w:t>
      </w:r>
      <w:r>
        <w:rPr>
          <w:rFonts w:hint="eastAsia" w:ascii="仿宋_GB2312" w:hAnsi="仿宋" w:eastAsia="仿宋_GB2312"/>
          <w:color w:val="000000"/>
          <w:sz w:val="32"/>
          <w:szCs w:val="32"/>
          <w:lang w:val="en-US" w:eastAsia="zh-CN"/>
        </w:rPr>
        <w:t>13</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87</w:t>
      </w:r>
      <w:r>
        <w:rPr>
          <w:rFonts w:hint="eastAsia" w:ascii="仿宋_GB2312" w:hAnsi="仿宋" w:eastAsia="仿宋_GB2312" w:cs="楷体_GB2312"/>
          <w:color w:val="000000"/>
          <w:sz w:val="32"/>
          <w:szCs w:val="32"/>
        </w:rPr>
        <w:t xml:space="preserve">万元。 </w:t>
      </w:r>
    </w:p>
    <w:p>
      <w:pPr>
        <w:pStyle w:val="2"/>
        <w:rPr>
          <w:lang w:val="zh-CN"/>
        </w:rPr>
      </w:pPr>
    </w:p>
    <w:p>
      <w:pPr>
        <w:widowControl/>
        <w:numPr>
          <w:ilvl w:val="0"/>
          <w:numId w:val="0"/>
        </w:numPr>
        <w:adjustRightInd w:val="0"/>
        <w:snapToGrid w:val="0"/>
        <w:spacing w:line="580" w:lineRule="exact"/>
        <w:ind w:leftChars="200" w:firstLine="320" w:firstLineChars="1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 xml:space="preserve">（二） </w:t>
      </w:r>
      <w:r>
        <w:rPr>
          <w:rFonts w:hint="eastAsia" w:ascii="仿宋_GB2312" w:hAnsi="宋体" w:eastAsia="仿宋_GB2312" w:cs="宋体"/>
          <w:color w:val="000000"/>
          <w:kern w:val="0"/>
          <w:sz w:val="32"/>
          <w:szCs w:val="32"/>
          <w:shd w:val="clear" w:color="auto" w:fill="FFFFFF"/>
          <w:lang w:val="zh-CN"/>
        </w:rPr>
        <w:t>部门财政资金支出情况。</w:t>
      </w:r>
    </w:p>
    <w:p>
      <w:pPr>
        <w:pStyle w:val="2"/>
        <w:widowControl w:val="0"/>
        <w:numPr>
          <w:ilvl w:val="0"/>
          <w:numId w:val="0"/>
        </w:numPr>
        <w:jc w:val="both"/>
        <w:rPr>
          <w:rFonts w:hint="eastAsia"/>
          <w:lang w:val="zh-CN"/>
        </w:rPr>
      </w:pPr>
    </w:p>
    <w:p>
      <w:pPr>
        <w:pStyle w:val="2"/>
        <w:ind w:firstLine="640" w:firstLineChars="200"/>
        <w:rPr>
          <w:lang w:val="zh-CN"/>
        </w:rPr>
      </w:pPr>
      <w:r>
        <w:rPr>
          <w:rFonts w:hint="eastAsia" w:ascii="仿宋_GB2312" w:hAnsi="仿宋" w:eastAsia="仿宋_GB2312" w:cs="楷体_GB2312"/>
          <w:color w:val="000000"/>
          <w:sz w:val="32"/>
          <w:szCs w:val="32"/>
          <w:lang w:val="en-US" w:eastAsia="zh-CN"/>
        </w:rPr>
        <w:t>2</w:t>
      </w:r>
      <w:r>
        <w:rPr>
          <w:rFonts w:hint="eastAsia" w:ascii="仿宋_GB2312" w:hAnsi="仿宋" w:eastAsia="仿宋_GB2312" w:cs="楷体_GB2312"/>
          <w:color w:val="000000"/>
          <w:sz w:val="32"/>
          <w:szCs w:val="32"/>
        </w:rPr>
        <w:t>01</w:t>
      </w:r>
      <w:r>
        <w:rPr>
          <w:rFonts w:hint="eastAsia" w:ascii="仿宋_GB2312" w:hAnsi="仿宋" w:eastAsia="仿宋_GB2312" w:cs="楷体_GB2312"/>
          <w:color w:val="000000"/>
          <w:sz w:val="32"/>
          <w:szCs w:val="32"/>
          <w:lang w:val="en-US" w:eastAsia="zh-CN"/>
        </w:rPr>
        <w:t>9</w:t>
      </w:r>
      <w:r>
        <w:rPr>
          <w:rFonts w:hint="eastAsia" w:ascii="仿宋_GB2312" w:hAnsi="仿宋" w:eastAsia="仿宋_GB2312" w:cs="楷体_GB2312"/>
          <w:color w:val="000000"/>
          <w:sz w:val="32"/>
          <w:szCs w:val="32"/>
        </w:rPr>
        <w:t>年，我单位预算收入</w:t>
      </w:r>
      <w:r>
        <w:rPr>
          <w:rFonts w:hint="eastAsia" w:ascii="仿宋_GB2312" w:hAnsi="仿宋" w:eastAsia="仿宋_GB2312"/>
          <w:color w:val="000000"/>
          <w:sz w:val="32"/>
          <w:szCs w:val="32"/>
        </w:rPr>
        <w:t>14</w:t>
      </w:r>
      <w:r>
        <w:rPr>
          <w:rFonts w:hint="eastAsia" w:ascii="仿宋_GB2312" w:hAnsi="仿宋" w:eastAsia="仿宋_GB2312"/>
          <w:color w:val="000000"/>
          <w:sz w:val="32"/>
          <w:szCs w:val="32"/>
          <w:lang w:val="en-US" w:eastAsia="zh-CN"/>
        </w:rPr>
        <w:t>13</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87</w:t>
      </w:r>
      <w:r>
        <w:rPr>
          <w:rFonts w:hint="eastAsia" w:ascii="仿宋_GB2312" w:hAnsi="仿宋" w:eastAsia="仿宋_GB2312" w:cs="楷体_GB2312"/>
          <w:color w:val="000000"/>
          <w:sz w:val="32"/>
          <w:szCs w:val="32"/>
        </w:rPr>
        <w:t>万元,其中：公共预算基本支出</w:t>
      </w:r>
      <w:r>
        <w:rPr>
          <w:rFonts w:hint="eastAsia" w:ascii="仿宋_GB2312" w:hAnsi="仿宋" w:eastAsia="仿宋_GB2312"/>
          <w:color w:val="000000"/>
          <w:sz w:val="32"/>
          <w:szCs w:val="32"/>
          <w:lang w:val="en-US" w:eastAsia="zh-CN"/>
        </w:rPr>
        <w:t>1130.93</w:t>
      </w:r>
      <w:r>
        <w:rPr>
          <w:rFonts w:hint="eastAsia" w:ascii="仿宋_GB2312" w:hAnsi="仿宋" w:eastAsia="仿宋_GB2312" w:cs="楷体_GB2312"/>
          <w:color w:val="000000"/>
          <w:sz w:val="32"/>
          <w:szCs w:val="32"/>
        </w:rPr>
        <w:t>万元、项目支出2</w:t>
      </w:r>
      <w:r>
        <w:rPr>
          <w:rFonts w:hint="eastAsia" w:ascii="仿宋_GB2312" w:hAnsi="仿宋" w:eastAsia="仿宋_GB2312" w:cs="楷体_GB2312"/>
          <w:color w:val="000000"/>
          <w:sz w:val="32"/>
          <w:szCs w:val="32"/>
          <w:lang w:val="en-US" w:eastAsia="zh-CN"/>
        </w:rPr>
        <w:t>82.94万</w:t>
      </w:r>
      <w:r>
        <w:rPr>
          <w:rFonts w:hint="eastAsia" w:ascii="仿宋_GB2312" w:hAnsi="仿宋" w:eastAsia="仿宋_GB2312" w:cs="楷体_GB2312"/>
          <w:color w:val="000000"/>
          <w:sz w:val="32"/>
          <w:szCs w:val="32"/>
        </w:rPr>
        <w:t>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56" w:lineRule="exact"/>
        <w:ind w:firstLine="640" w:firstLineChars="200"/>
        <w:rPr>
          <w:rFonts w:ascii="仿宋_GB2312" w:hAnsi="仿宋" w:eastAsia="仿宋_GB2312" w:cs="楷体_GB2312"/>
          <w:color w:val="000000"/>
          <w:sz w:val="32"/>
          <w:szCs w:val="32"/>
        </w:rPr>
      </w:pPr>
      <w:r>
        <w:rPr>
          <w:rFonts w:hint="eastAsia" w:ascii="仿宋_GB2312" w:hAnsi="仿宋" w:eastAsia="仿宋_GB2312" w:cs="楷体_GB2312"/>
          <w:color w:val="000000"/>
          <w:sz w:val="32"/>
          <w:szCs w:val="32"/>
        </w:rPr>
        <w:t>1、部门预算编制情况。我院严格按照规定编制收入预算、支出预算（含基本支出、项目支出）、三公经费预算等。编制准确，正确使用功能科目和经济科目、准确编列资金性质和资金级次、按政府审定的方案规范编制项目支出，不漏报、错报，及时报送区财政局。20</w:t>
      </w:r>
      <w:r>
        <w:rPr>
          <w:rFonts w:hint="eastAsia" w:ascii="仿宋_GB2312" w:hAnsi="仿宋" w:eastAsia="仿宋_GB2312" w:cs="楷体_GB2312"/>
          <w:color w:val="000000"/>
          <w:sz w:val="32"/>
          <w:szCs w:val="32"/>
          <w:lang w:val="en-US" w:eastAsia="zh-CN"/>
        </w:rPr>
        <w:t>19</w:t>
      </w:r>
      <w:r>
        <w:rPr>
          <w:rFonts w:hint="eastAsia" w:ascii="仿宋_GB2312" w:hAnsi="仿宋" w:eastAsia="仿宋_GB2312" w:cs="楷体_GB2312"/>
          <w:color w:val="000000"/>
          <w:sz w:val="32"/>
          <w:szCs w:val="32"/>
        </w:rPr>
        <w:t>年，我院预算收入</w:t>
      </w:r>
      <w:r>
        <w:rPr>
          <w:rFonts w:hint="eastAsia" w:ascii="仿宋_GB2312" w:hAnsi="仿宋" w:eastAsia="仿宋_GB2312"/>
          <w:color w:val="000000"/>
          <w:sz w:val="32"/>
          <w:szCs w:val="32"/>
        </w:rPr>
        <w:t>14</w:t>
      </w:r>
      <w:r>
        <w:rPr>
          <w:rFonts w:hint="eastAsia" w:ascii="仿宋_GB2312" w:hAnsi="仿宋" w:eastAsia="仿宋_GB2312"/>
          <w:color w:val="000000"/>
          <w:sz w:val="32"/>
          <w:szCs w:val="32"/>
          <w:lang w:val="en-US" w:eastAsia="zh-CN"/>
        </w:rPr>
        <w:t>13</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87</w:t>
      </w:r>
      <w:r>
        <w:rPr>
          <w:rFonts w:hint="eastAsia" w:ascii="仿宋_GB2312" w:hAnsi="仿宋" w:eastAsia="仿宋_GB2312" w:cs="楷体_GB2312"/>
          <w:color w:val="000000"/>
          <w:sz w:val="32"/>
          <w:szCs w:val="32"/>
        </w:rPr>
        <w:t>万元,其中：公共预算基本支出</w:t>
      </w:r>
      <w:r>
        <w:rPr>
          <w:rFonts w:hint="eastAsia" w:ascii="仿宋_GB2312" w:hAnsi="仿宋" w:eastAsia="仿宋_GB2312"/>
          <w:color w:val="000000"/>
          <w:sz w:val="32"/>
          <w:szCs w:val="32"/>
        </w:rPr>
        <w:t>11</w:t>
      </w:r>
      <w:r>
        <w:rPr>
          <w:rFonts w:hint="eastAsia" w:ascii="仿宋_GB2312" w:hAnsi="仿宋" w:eastAsia="仿宋_GB2312"/>
          <w:color w:val="000000"/>
          <w:sz w:val="32"/>
          <w:szCs w:val="32"/>
          <w:lang w:val="en-US" w:eastAsia="zh-CN"/>
        </w:rPr>
        <w:t>30</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93</w:t>
      </w:r>
      <w:r>
        <w:rPr>
          <w:rFonts w:hint="eastAsia" w:ascii="仿宋_GB2312" w:hAnsi="仿宋" w:eastAsia="仿宋_GB2312" w:cs="楷体_GB2312"/>
          <w:color w:val="000000"/>
          <w:sz w:val="32"/>
          <w:szCs w:val="32"/>
        </w:rPr>
        <w:t>万元、项目支出</w:t>
      </w:r>
      <w:r>
        <w:rPr>
          <w:rFonts w:hint="eastAsia" w:ascii="仿宋_GB2312" w:hAnsi="仿宋" w:eastAsia="仿宋_GB2312" w:cs="楷体_GB2312"/>
          <w:color w:val="000000"/>
          <w:sz w:val="32"/>
          <w:szCs w:val="32"/>
          <w:lang w:val="en-US" w:eastAsia="zh-CN"/>
        </w:rPr>
        <w:t>282.84万</w:t>
      </w:r>
      <w:r>
        <w:rPr>
          <w:rFonts w:hint="eastAsia" w:ascii="仿宋_GB2312" w:hAnsi="仿宋" w:eastAsia="仿宋_GB2312" w:cs="楷体_GB2312"/>
          <w:color w:val="000000"/>
          <w:sz w:val="32"/>
          <w:szCs w:val="32"/>
        </w:rPr>
        <w:t xml:space="preserve">元。 </w:t>
      </w:r>
    </w:p>
    <w:p>
      <w:pPr>
        <w:spacing w:line="556" w:lineRule="exact"/>
        <w:rPr>
          <w:rFonts w:ascii="仿宋_GB2312" w:hAnsi="仿宋" w:eastAsia="仿宋_GB2312" w:cs="楷体_GB2312"/>
          <w:color w:val="000000"/>
          <w:sz w:val="32"/>
          <w:szCs w:val="32"/>
        </w:rPr>
      </w:pPr>
      <w:r>
        <w:rPr>
          <w:rFonts w:hint="eastAsia" w:ascii="仿宋_GB2312" w:hAnsi="仿宋" w:eastAsia="仿宋_GB2312" w:cs="楷体_GB2312"/>
          <w:color w:val="000000"/>
          <w:sz w:val="32"/>
          <w:szCs w:val="32"/>
        </w:rPr>
        <w:t xml:space="preserve">    2、预算执行情况。一是规章制度建立健全，制度执行严格合规，会计核算符合相关规定。二是严格按照有关规定，加强对财政对财政各项资金的监督管理，确保资金及时、足额到位，专款专用，资金支付依据和开支标准合法合规，未出现截留和挤占挪作他用的现象。三是严格执行财政集中支付制度，按规定使用公务卡，严格控制现金支付方式。四是按时上交账户年检表。五是按规定对财政拨付的专项资金进行自检自查，做好资金的项目和资金使用效益工作，充分发挥各项资金的使用效益，财政各项专项工作按时高质量的完成。</w:t>
      </w:r>
    </w:p>
    <w:p>
      <w:pPr>
        <w:pStyle w:val="2"/>
        <w:rPr>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580" w:lineRule="exact"/>
        <w:ind w:firstLine="640" w:firstLineChars="200"/>
        <w:rPr>
          <w:rFonts w:ascii="仿宋_GB2312" w:hAnsi="仿宋" w:eastAsia="仿宋_GB2312" w:cs="楷体_GB2312"/>
          <w:color w:val="000000"/>
          <w:sz w:val="32"/>
          <w:szCs w:val="32"/>
        </w:rPr>
      </w:pPr>
      <w:r>
        <w:rPr>
          <w:rFonts w:hint="eastAsia" w:ascii="仿宋_GB2312" w:hAnsi="仿宋" w:eastAsia="仿宋_GB2312" w:cs="楷体_GB2312"/>
          <w:color w:val="000000"/>
          <w:sz w:val="32"/>
          <w:szCs w:val="32"/>
        </w:rPr>
        <w:t>评价结果作为年终部门评优及推选先进集体和公务员考核的依据。</w:t>
      </w:r>
    </w:p>
    <w:p>
      <w:pPr>
        <w:pStyle w:val="2"/>
        <w:rPr>
          <w:rFonts w:hint="eastAsia"/>
          <w:lang w:val="zh-CN"/>
        </w:rPr>
      </w:pPr>
    </w:p>
    <w:p>
      <w:pPr>
        <w:pStyle w:val="2"/>
        <w:rPr>
          <w:lang w:val="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pStyle w:val="2"/>
        <w:ind w:firstLine="640" w:firstLineChars="200"/>
        <w:rPr>
          <w:rFonts w:hint="eastAsia" w:eastAsia="仿宋_GB2312"/>
          <w:lang w:val="en-US" w:eastAsia="zh-CN"/>
        </w:rPr>
      </w:pPr>
      <w:r>
        <w:rPr>
          <w:rFonts w:hint="eastAsia" w:ascii="仿宋_GB2312" w:hAnsi="仿宋" w:eastAsia="仿宋_GB2312" w:cs="仿宋"/>
          <w:bCs/>
          <w:sz w:val="32"/>
          <w:szCs w:val="32"/>
        </w:rPr>
        <w:t>本部门基本完成了201</w:t>
      </w:r>
      <w:r>
        <w:rPr>
          <w:rFonts w:hint="eastAsia" w:ascii="仿宋_GB2312" w:hAnsi="仿宋" w:eastAsia="仿宋_GB2312" w:cs="仿宋"/>
          <w:bCs/>
          <w:sz w:val="32"/>
          <w:szCs w:val="32"/>
          <w:lang w:val="en-US" w:eastAsia="zh-CN"/>
        </w:rPr>
        <w:t>9</w:t>
      </w:r>
      <w:r>
        <w:rPr>
          <w:rFonts w:hint="eastAsia" w:ascii="仿宋_GB2312" w:hAnsi="仿宋" w:eastAsia="仿宋_GB2312" w:cs="仿宋"/>
          <w:bCs/>
          <w:sz w:val="32"/>
          <w:szCs w:val="32"/>
        </w:rPr>
        <w:t>年目标管理任务</w:t>
      </w:r>
      <w:r>
        <w:rPr>
          <w:rFonts w:hint="eastAsia" w:ascii="仿宋_GB2312" w:hAnsi="仿宋" w:eastAsia="仿宋_GB2312" w:cs="仿宋"/>
          <w:bCs/>
          <w:sz w:val="32"/>
          <w:szCs w:val="32"/>
          <w:lang w:eastAsia="zh-CN"/>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spacing w:line="580" w:lineRule="exact"/>
        <w:ind w:left="420" w:leftChars="200" w:firstLine="320" w:firstLineChars="100"/>
        <w:rPr>
          <w:rFonts w:ascii="仿宋_GB2312" w:hAnsi="仿宋" w:eastAsia="仿宋_GB2312" w:cs="仿宋"/>
          <w:bCs/>
          <w:sz w:val="32"/>
          <w:szCs w:val="32"/>
        </w:rPr>
      </w:pPr>
      <w:r>
        <w:rPr>
          <w:rFonts w:hint="eastAsia" w:ascii="仿宋_GB2312" w:hAnsi="仿宋" w:eastAsia="仿宋_GB2312" w:cs="仿宋"/>
          <w:bCs/>
          <w:sz w:val="32"/>
          <w:szCs w:val="32"/>
        </w:rPr>
        <w:t>1、经济科目支出和收入不匹配；</w:t>
      </w:r>
    </w:p>
    <w:p>
      <w:pPr>
        <w:spacing w:line="580" w:lineRule="exact"/>
        <w:ind w:left="420" w:leftChars="200" w:firstLine="320" w:firstLineChars="100"/>
        <w:rPr>
          <w:rFonts w:ascii="仿宋_GB2312" w:hAnsi="仿宋" w:eastAsia="仿宋_GB2312" w:cs="仿宋"/>
          <w:bCs/>
          <w:sz w:val="32"/>
          <w:szCs w:val="32"/>
        </w:rPr>
      </w:pPr>
      <w:r>
        <w:rPr>
          <w:rFonts w:hint="eastAsia" w:ascii="仿宋_GB2312" w:hAnsi="仿宋" w:eastAsia="仿宋_GB2312" w:cs="仿宋"/>
          <w:bCs/>
          <w:sz w:val="32"/>
          <w:szCs w:val="32"/>
        </w:rPr>
        <w:t>2、公务卡使用不达标；</w:t>
      </w:r>
    </w:p>
    <w:p>
      <w:pPr>
        <w:spacing w:line="580" w:lineRule="exact"/>
        <w:ind w:left="420" w:leftChars="200" w:firstLine="320" w:firstLineChars="100"/>
        <w:rPr>
          <w:rFonts w:ascii="仿宋_GB2312" w:hAnsi="仿宋" w:eastAsia="仿宋_GB2312" w:cs="仿宋"/>
          <w:bCs/>
          <w:sz w:val="32"/>
          <w:szCs w:val="32"/>
        </w:rPr>
      </w:pPr>
      <w:r>
        <w:rPr>
          <w:rFonts w:hint="eastAsia" w:ascii="仿宋_GB2312" w:hAnsi="仿宋" w:eastAsia="仿宋_GB2312" w:cs="仿宋"/>
          <w:bCs/>
          <w:sz w:val="32"/>
          <w:szCs w:val="32"/>
        </w:rPr>
        <w:t>3、财务内部管理不完善。</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left="210" w:leftChars="100"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1、加强预算收入和支付管理，力争预算收入和支付的经济科目相匹配；</w:t>
      </w:r>
    </w:p>
    <w:p>
      <w:pPr>
        <w:spacing w:line="580" w:lineRule="exact"/>
        <w:ind w:left="210" w:leftChars="100"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2、加强公务卡的使用，能够使用公务卡支付的尽量使用公务卡支付；</w:t>
      </w:r>
    </w:p>
    <w:p>
      <w:pPr>
        <w:spacing w:line="580" w:lineRule="exact"/>
        <w:ind w:firstLine="960" w:firstLineChars="300"/>
        <w:rPr>
          <w:rFonts w:ascii="仿宋_GB2312" w:hAnsi="仿宋" w:eastAsia="仿宋_GB2312" w:cs="仿宋"/>
          <w:bCs/>
          <w:sz w:val="32"/>
          <w:szCs w:val="32"/>
        </w:rPr>
      </w:pPr>
      <w:r>
        <w:rPr>
          <w:rFonts w:hint="eastAsia" w:ascii="仿宋_GB2312" w:hAnsi="仿宋" w:eastAsia="仿宋_GB2312" w:cs="仿宋"/>
          <w:bCs/>
          <w:sz w:val="32"/>
          <w:szCs w:val="32"/>
        </w:rPr>
        <w:t>3、进一步完善单位财务管理制度，并做到严格执行。</w:t>
      </w:r>
    </w:p>
    <w:p>
      <w:pPr>
        <w:spacing w:line="580" w:lineRule="exact"/>
        <w:ind w:firstLine="640" w:firstLineChars="200"/>
        <w:rPr>
          <w:rFonts w:ascii="仿宋_GB2312" w:hAnsi="仿宋" w:eastAsia="仿宋_GB2312" w:cs="仿宋"/>
          <w:bCs/>
          <w:sz w:val="32"/>
          <w:szCs w:val="32"/>
        </w:rPr>
      </w:pPr>
    </w:p>
    <w:p>
      <w:pPr>
        <w:pStyle w:val="2"/>
        <w:rPr>
          <w:lang w:val="zh-CN"/>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pStyle w:val="32"/>
        <w:spacing w:line="560" w:lineRule="exact"/>
        <w:jc w:val="center"/>
        <w:rPr>
          <w:rFonts w:ascii="仿宋_GB2312" w:hAnsi="宋体" w:eastAsia="仿宋_GB2312"/>
          <w:b/>
          <w:sz w:val="36"/>
          <w:szCs w:val="36"/>
        </w:rPr>
      </w:pPr>
      <w:r>
        <w:rPr>
          <w:rFonts w:hint="eastAsia" w:ascii="仿宋_GB2312" w:hAnsi="宋体" w:eastAsia="仿宋_GB2312"/>
          <w:b/>
          <w:sz w:val="36"/>
          <w:szCs w:val="36"/>
        </w:rPr>
        <w:t>广元市昭化区人民法院</w:t>
      </w:r>
    </w:p>
    <w:p>
      <w:pPr>
        <w:pStyle w:val="32"/>
        <w:spacing w:line="560" w:lineRule="exact"/>
        <w:jc w:val="center"/>
        <w:rPr>
          <w:rFonts w:ascii="仿宋_GB2312" w:hAnsi="宋体" w:eastAsia="仿宋_GB2312"/>
          <w:color w:val="auto"/>
          <w:kern w:val="2"/>
          <w:sz w:val="36"/>
          <w:szCs w:val="36"/>
        </w:rPr>
      </w:pPr>
      <w:r>
        <w:rPr>
          <w:rFonts w:hint="eastAsia" w:ascii="仿宋_GB2312" w:hAnsi="宋体" w:eastAsia="仿宋_GB2312"/>
          <w:b/>
          <w:sz w:val="36"/>
          <w:szCs w:val="36"/>
        </w:rPr>
        <w:t>项目支出绩效评价自评报告</w:t>
      </w:r>
    </w:p>
    <w:p>
      <w:pPr>
        <w:spacing w:line="560" w:lineRule="exact"/>
        <w:jc w:val="center"/>
        <w:rPr>
          <w:rFonts w:ascii="仿宋_GB2312" w:hAnsi="宋体" w:eastAsia="仿宋_GB2312"/>
          <w:sz w:val="32"/>
          <w:szCs w:val="32"/>
        </w:rPr>
      </w:pPr>
      <w:r>
        <w:rPr>
          <w:rFonts w:hint="eastAsia" w:ascii="仿宋_GB2312" w:hAnsi="宋体" w:eastAsia="仿宋_GB2312"/>
          <w:sz w:val="32"/>
          <w:szCs w:val="32"/>
        </w:rPr>
        <w:t>（办案业务和业务装备经费）</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1．项目财务管理制度执行法院财务管理制度，未设置项目管理机构，会计核算及账务处理统一纳入法院管理核算。对照项目资金管理办法，项目严格执行了财务管理制度、财务处理及时、会计核算规范。</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2．办案业务费及业务装备费是法院运行保障所必须经费，有利于案件审判及案件执行，项目申报内容与具体实施内容相符、申报目标合理可行。</w:t>
      </w:r>
    </w:p>
    <w:p>
      <w:pPr>
        <w:adjustRightInd w:val="0"/>
        <w:snapToGrid w:val="0"/>
        <w:spacing w:line="560" w:lineRule="exact"/>
        <w:ind w:firstLine="720"/>
        <w:rPr>
          <w:rFonts w:ascii="仿宋_GB2312" w:hAnsi="仿宋" w:eastAsia="仿宋_GB2312" w:cs="仿宋"/>
          <w:bCs/>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rPr>
        <w:t>办案业务和业务装备经费</w:t>
      </w:r>
      <w:r>
        <w:rPr>
          <w:rFonts w:hint="eastAsia" w:ascii="仿宋_GB2312" w:hAnsi="仿宋" w:eastAsia="仿宋_GB2312" w:cs="仿宋"/>
          <w:bCs/>
          <w:sz w:val="32"/>
          <w:szCs w:val="32"/>
          <w:lang w:val="zh-CN"/>
        </w:rPr>
        <w:t>主要用于法院办理各类案件所需的经费开支，用于案件审判、案件执行。</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4．资金分配开支范围：车辆运行维护费、差旅费、资料费、办案装备、办案车辆等。</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1．项目内容主要为办案业务费和业务装备费。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2．办案数量2000件；7个科技法庭设备升级；组织全院干警培训40人次；印刷法制宣传资料40000份；诉讼服务提档升级；扫黑专项工作；车辆运行维护费、差旅费、资料费、办案装备、办案车辆购置等。</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3．项目申报内容与具体实施内容相符、申报目标合理可行。</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2"/>
        <w:ind w:firstLine="640" w:firstLineChars="200"/>
        <w:rPr>
          <w:b w:val="0"/>
          <w:bCs/>
          <w:lang w:val="zh-CN"/>
        </w:rPr>
      </w:pPr>
      <w:r>
        <w:rPr>
          <w:rFonts w:hint="eastAsia" w:ascii="仿宋" w:hAnsi="仿宋" w:eastAsia="仿宋" w:cs="仿宋"/>
          <w:b w:val="0"/>
          <w:bCs/>
          <w:sz w:val="32"/>
          <w:szCs w:val="32"/>
          <w:lang w:val="zh-CN"/>
        </w:rPr>
        <w:t>统计年初绩效目标数据，确保数据真实，开展自评分析。</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60" w:lineRule="exact"/>
        <w:ind w:firstLine="720"/>
        <w:rPr>
          <w:rFonts w:ascii="仿宋_GB2312" w:hAnsi="仿宋" w:eastAsia="仿宋_GB2312" w:cs="仿宋"/>
          <w:bCs/>
          <w:sz w:val="32"/>
          <w:szCs w:val="32"/>
        </w:rPr>
      </w:pPr>
      <w:r>
        <w:rPr>
          <w:rFonts w:hint="eastAsia" w:ascii="仿宋_GB2312" w:hAnsi="宋体" w:eastAsia="仿宋_GB2312"/>
          <w:sz w:val="32"/>
          <w:szCs w:val="32"/>
        </w:rPr>
        <w:t>办案业务和业务装备经费</w:t>
      </w:r>
      <w:r>
        <w:rPr>
          <w:rFonts w:hint="eastAsia" w:ascii="仿宋_GB2312" w:hAnsi="仿宋" w:eastAsia="仿宋_GB2312" w:cs="仿宋"/>
          <w:bCs/>
          <w:sz w:val="32"/>
          <w:szCs w:val="32"/>
          <w:lang w:val="zh-CN"/>
        </w:rPr>
        <w:t>项目于</w:t>
      </w:r>
      <w:r>
        <w:rPr>
          <w:rFonts w:hint="eastAsia" w:ascii="仿宋_GB2312" w:hAnsi="仿宋" w:eastAsia="仿宋_GB2312" w:cs="仿宋"/>
          <w:bCs/>
          <w:sz w:val="32"/>
          <w:szCs w:val="32"/>
        </w:rPr>
        <w:t>201</w:t>
      </w:r>
      <w:r>
        <w:rPr>
          <w:rFonts w:hint="eastAsia" w:ascii="仿宋_GB2312" w:hAnsi="仿宋" w:eastAsia="仿宋_GB2312" w:cs="仿宋"/>
          <w:bCs/>
          <w:sz w:val="32"/>
          <w:szCs w:val="32"/>
          <w:lang w:val="en-US" w:eastAsia="zh-CN"/>
        </w:rPr>
        <w:t>9</w:t>
      </w:r>
      <w:r>
        <w:rPr>
          <w:rFonts w:hint="eastAsia" w:ascii="仿宋_GB2312" w:hAnsi="仿宋" w:eastAsia="仿宋_GB2312" w:cs="仿宋"/>
          <w:bCs/>
          <w:sz w:val="32"/>
          <w:szCs w:val="32"/>
        </w:rPr>
        <w:t>年年初通过预算申报，由财政预算下达指标，共计2</w:t>
      </w:r>
      <w:r>
        <w:rPr>
          <w:rFonts w:hint="eastAsia" w:ascii="仿宋_GB2312" w:hAnsi="仿宋" w:eastAsia="仿宋_GB2312" w:cs="仿宋"/>
          <w:bCs/>
          <w:sz w:val="32"/>
          <w:szCs w:val="32"/>
          <w:lang w:val="en-US" w:eastAsia="zh-CN"/>
        </w:rPr>
        <w:t>38</w:t>
      </w:r>
      <w:r>
        <w:rPr>
          <w:rFonts w:hint="eastAsia" w:ascii="仿宋_GB2312" w:hAnsi="仿宋" w:eastAsia="仿宋_GB2312" w:cs="仿宋"/>
          <w:bCs/>
          <w:sz w:val="32"/>
          <w:szCs w:val="32"/>
        </w:rPr>
        <w:t>万元。</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1．资金计划及到位情况。</w:t>
      </w:r>
      <w:r>
        <w:rPr>
          <w:rFonts w:hint="eastAsia" w:ascii="仿宋_GB2312" w:hAnsi="宋体" w:eastAsia="仿宋_GB2312"/>
          <w:sz w:val="32"/>
          <w:szCs w:val="32"/>
        </w:rPr>
        <w:t>办案业务和业务装备经费</w:t>
      </w:r>
      <w:r>
        <w:rPr>
          <w:rFonts w:hint="eastAsia" w:ascii="仿宋_GB2312" w:hAnsi="宋体" w:eastAsia="仿宋_GB2312"/>
          <w:sz w:val="32"/>
          <w:szCs w:val="32"/>
          <w:lang w:eastAsia="zh-CN"/>
        </w:rPr>
        <w:t>总计</w:t>
      </w:r>
      <w:r>
        <w:rPr>
          <w:rFonts w:hint="eastAsia" w:ascii="仿宋_GB2312" w:hAnsi="宋体" w:eastAsia="仿宋_GB2312"/>
          <w:sz w:val="32"/>
          <w:szCs w:val="32"/>
          <w:lang w:val="en-US" w:eastAsia="zh-CN"/>
        </w:rPr>
        <w:t>238万元</w:t>
      </w:r>
      <w:r>
        <w:rPr>
          <w:rFonts w:hint="eastAsia" w:ascii="仿宋_GB2312" w:hAnsi="宋体" w:eastAsia="仿宋_GB2312"/>
          <w:bCs/>
          <w:sz w:val="32"/>
          <w:szCs w:val="32"/>
          <w:lang w:val="zh-CN"/>
        </w:rPr>
        <w:t>于</w:t>
      </w:r>
      <w:r>
        <w:rPr>
          <w:rFonts w:hint="eastAsia" w:ascii="仿宋_GB2312" w:hAnsi="宋体" w:eastAsia="仿宋_GB2312"/>
          <w:bCs/>
          <w:sz w:val="32"/>
          <w:szCs w:val="32"/>
        </w:rPr>
        <w:t>201</w:t>
      </w:r>
      <w:r>
        <w:rPr>
          <w:rFonts w:hint="eastAsia" w:ascii="仿宋_GB2312" w:hAnsi="宋体" w:eastAsia="仿宋_GB2312"/>
          <w:bCs/>
          <w:sz w:val="32"/>
          <w:szCs w:val="32"/>
          <w:lang w:val="en-US" w:eastAsia="zh-CN"/>
        </w:rPr>
        <w:t>9</w:t>
      </w:r>
      <w:r>
        <w:rPr>
          <w:rFonts w:hint="eastAsia" w:ascii="仿宋_GB2312" w:hAnsi="宋体" w:eastAsia="仿宋_GB2312"/>
          <w:bCs/>
          <w:sz w:val="32"/>
          <w:szCs w:val="32"/>
        </w:rPr>
        <w:t>年全部及时到位，到位率100%，全部由区财政全额预算</w:t>
      </w:r>
      <w:r>
        <w:rPr>
          <w:rFonts w:hint="eastAsia" w:ascii="仿宋_GB2312" w:hAnsi="宋体" w:eastAsia="仿宋_GB2312"/>
          <w:bCs/>
          <w:sz w:val="32"/>
          <w:szCs w:val="32"/>
          <w:lang w:val="zh-CN"/>
        </w:rPr>
        <w:t>。</w:t>
      </w:r>
      <w:r>
        <w:rPr>
          <w:rFonts w:hint="eastAsia" w:ascii="仿宋_GB2312" w:hAnsi="宋体" w:eastAsia="仿宋_GB2312"/>
          <w:sz w:val="32"/>
          <w:szCs w:val="32"/>
          <w:lang w:val="zh-CN"/>
        </w:rPr>
        <w:t>。</w:t>
      </w:r>
    </w:p>
    <w:p>
      <w:pPr>
        <w:adjustRightInd w:val="0"/>
        <w:snapToGrid w:val="0"/>
        <w:spacing w:line="560" w:lineRule="exact"/>
        <w:ind w:firstLine="720"/>
        <w:jc w:val="both"/>
        <w:rPr>
          <w:rFonts w:ascii="仿宋_GB2312" w:hAnsi="宋体" w:eastAsia="仿宋_GB2312"/>
          <w:sz w:val="32"/>
          <w:szCs w:val="32"/>
          <w:lang w:val="zh-CN"/>
        </w:rPr>
      </w:pPr>
      <w:r>
        <w:rPr>
          <w:rFonts w:hint="eastAsia" w:ascii="楷体_GB2312" w:hAnsi="宋体" w:eastAsia="楷体_GB2312"/>
          <w:sz w:val="32"/>
          <w:szCs w:val="32"/>
          <w:lang w:val="en-US" w:eastAsia="zh-CN"/>
        </w:rPr>
        <w:t>2</w:t>
      </w:r>
      <w:r>
        <w:rPr>
          <w:rFonts w:hint="eastAsia" w:ascii="楷体_GB2312" w:hAnsi="宋体" w:eastAsia="楷体_GB2312"/>
          <w:sz w:val="32"/>
          <w:szCs w:val="32"/>
          <w:lang w:val="zh-CN"/>
        </w:rPr>
        <w:t>．资金使用。</w:t>
      </w:r>
      <w:r>
        <w:rPr>
          <w:rFonts w:hint="eastAsia" w:ascii="仿宋_GB2312" w:hAnsi="宋体" w:eastAsia="仿宋_GB2312"/>
          <w:sz w:val="32"/>
          <w:szCs w:val="32"/>
        </w:rPr>
        <w:t>办案业务和业务装备经费</w:t>
      </w:r>
      <w:r>
        <w:rPr>
          <w:rFonts w:hint="eastAsia" w:ascii="仿宋_GB2312" w:hAnsi="宋体" w:eastAsia="仿宋_GB2312"/>
          <w:bCs/>
          <w:sz w:val="32"/>
          <w:szCs w:val="32"/>
        </w:rPr>
        <w:t>实际支出2</w:t>
      </w:r>
      <w:r>
        <w:rPr>
          <w:rFonts w:hint="eastAsia" w:ascii="仿宋_GB2312" w:hAnsi="宋体" w:eastAsia="仿宋_GB2312"/>
          <w:bCs/>
          <w:sz w:val="32"/>
          <w:szCs w:val="32"/>
          <w:lang w:val="en-US" w:eastAsia="zh-CN"/>
        </w:rPr>
        <w:t>38</w:t>
      </w:r>
      <w:r>
        <w:rPr>
          <w:rFonts w:hint="eastAsia" w:ascii="仿宋_GB2312" w:hAnsi="宋体" w:eastAsia="仿宋_GB2312"/>
          <w:bCs/>
          <w:sz w:val="32"/>
          <w:szCs w:val="32"/>
        </w:rPr>
        <w:t>万元</w:t>
      </w:r>
      <w:r>
        <w:rPr>
          <w:rFonts w:hint="eastAsia" w:ascii="仿宋_GB2312" w:hAnsi="宋体" w:eastAsia="仿宋_GB2312"/>
          <w:b/>
          <w:sz w:val="32"/>
          <w:szCs w:val="32"/>
        </w:rPr>
        <w:t>；</w:t>
      </w:r>
      <w:r>
        <w:rPr>
          <w:rFonts w:hint="eastAsia" w:ascii="仿宋_GB2312" w:hAnsi="宋体" w:eastAsia="仿宋_GB2312"/>
          <w:sz w:val="32"/>
          <w:szCs w:val="32"/>
          <w:lang w:val="zh-CN"/>
        </w:rPr>
        <w:t>资金开支范围：车辆运行维护费、差旅费、资料费、办案装备、办案车辆等；支付依据是否合规合法，资金支付与预算相符。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项目财务管理制度执行法院财务管理制度，未设置项目管理机构，会计核算及账务处理统一纳入法院管理核算。对照项目资金管理办法，项目严格执行了财务管理制度、财务处理及时、会计核算规范。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numPr>
          <w:ilvl w:val="0"/>
          <w:numId w:val="6"/>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sz w:val="32"/>
          <w:szCs w:val="32"/>
          <w:lang w:val="zh-CN"/>
        </w:rPr>
        <w:t>对于中央及省级政法转移支付资金的使用</w:t>
      </w:r>
      <w:r>
        <w:rPr>
          <w:rFonts w:hint="eastAsia" w:ascii="仿宋" w:hAnsi="仿宋" w:eastAsia="仿宋" w:cs="仿宋"/>
          <w:sz w:val="32"/>
          <w:szCs w:val="32"/>
          <w:lang w:val="en-US" w:eastAsia="zh-CN"/>
        </w:rPr>
        <w:t>先审请，后审批，并加强事后监管。</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我院对于中央及省级政法转移支付资金设立了严格的管理审批制度，禁止跨范围使用。</w:t>
      </w:r>
    </w:p>
    <w:p>
      <w:pPr>
        <w:numPr>
          <w:ilvl w:val="0"/>
          <w:numId w:val="5"/>
        </w:numPr>
        <w:adjustRightInd w:val="0"/>
        <w:snapToGrid w:val="0"/>
        <w:spacing w:line="600" w:lineRule="exact"/>
        <w:ind w:left="0" w:leftChars="0"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pStyle w:val="2"/>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我院对于</w:t>
      </w:r>
      <w:r>
        <w:rPr>
          <w:rFonts w:hint="eastAsia" w:ascii="仿宋" w:hAnsi="仿宋" w:eastAsia="仿宋" w:cs="仿宋"/>
          <w:b w:val="0"/>
          <w:bCs/>
          <w:sz w:val="32"/>
          <w:szCs w:val="32"/>
          <w:lang w:val="zh-CN"/>
        </w:rPr>
        <w:t>中央及省级政法转移支付资金的使用审批程序严格，监管及时到位。</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 w:hAnsi="仿宋" w:eastAsia="仿宋" w:cs="仿宋"/>
          <w:bCs/>
          <w:color w:val="000000"/>
          <w:sz w:val="32"/>
          <w:szCs w:val="32"/>
          <w:lang w:val="en-US" w:eastAsia="zh-CN"/>
        </w:rPr>
      </w:pPr>
      <w:r>
        <w:rPr>
          <w:rFonts w:hint="eastAsia" w:ascii="仿宋" w:hAnsi="仿宋" w:eastAsia="仿宋" w:cs="仿宋"/>
          <w:sz w:val="32"/>
          <w:szCs w:val="32"/>
          <w:lang w:val="zh-CN"/>
        </w:rPr>
        <w:t>截止</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年12月31日</w:t>
      </w:r>
      <w:r>
        <w:rPr>
          <w:rFonts w:hint="eastAsia" w:ascii="仿宋" w:hAnsi="仿宋" w:eastAsia="仿宋" w:cs="仿宋"/>
          <w:sz w:val="32"/>
          <w:szCs w:val="32"/>
          <w:lang w:val="zh-CN"/>
        </w:rPr>
        <w:t>实际完成额</w:t>
      </w:r>
      <w:r>
        <w:rPr>
          <w:rFonts w:hint="eastAsia" w:ascii="仿宋" w:hAnsi="仿宋" w:eastAsia="仿宋" w:cs="仿宋"/>
          <w:sz w:val="32"/>
          <w:szCs w:val="32"/>
          <w:lang w:val="en-US" w:eastAsia="zh-CN"/>
        </w:rPr>
        <w:t>238</w:t>
      </w:r>
      <w:r>
        <w:rPr>
          <w:rFonts w:hint="eastAsia" w:ascii="仿宋" w:hAnsi="仿宋" w:eastAsia="仿宋" w:cs="仿宋"/>
          <w:sz w:val="32"/>
          <w:szCs w:val="32"/>
        </w:rPr>
        <w:t>万元，并全部完成绩效目标</w:t>
      </w:r>
      <w:r>
        <w:rPr>
          <w:rFonts w:hint="eastAsia" w:ascii="仿宋" w:hAnsi="仿宋" w:eastAsia="仿宋" w:cs="仿宋"/>
          <w:sz w:val="32"/>
          <w:szCs w:val="32"/>
          <w:lang w:val="zh-CN"/>
        </w:rPr>
        <w:t>。</w:t>
      </w:r>
      <w:r>
        <w:rPr>
          <w:rFonts w:hint="eastAsia" w:ascii="仿宋" w:hAnsi="仿宋" w:eastAsia="仿宋" w:cs="仿宋"/>
          <w:bCs/>
          <w:color w:val="000000"/>
          <w:sz w:val="32"/>
          <w:szCs w:val="32"/>
        </w:rPr>
        <w:t>全年共受理各类案件2</w:t>
      </w:r>
      <w:r>
        <w:rPr>
          <w:rFonts w:hint="eastAsia" w:ascii="仿宋" w:hAnsi="仿宋" w:eastAsia="仿宋" w:cs="仿宋"/>
          <w:bCs/>
          <w:color w:val="000000"/>
          <w:sz w:val="32"/>
          <w:szCs w:val="32"/>
          <w:lang w:val="en-US" w:eastAsia="zh-CN"/>
        </w:rPr>
        <w:t>898</w:t>
      </w:r>
      <w:r>
        <w:rPr>
          <w:rFonts w:hint="eastAsia" w:ascii="仿宋" w:hAnsi="仿宋" w:eastAsia="仿宋" w:cs="仿宋"/>
          <w:bCs/>
          <w:color w:val="000000"/>
          <w:sz w:val="32"/>
          <w:szCs w:val="32"/>
        </w:rPr>
        <w:t>件，结案2</w:t>
      </w:r>
      <w:r>
        <w:rPr>
          <w:rFonts w:hint="eastAsia" w:ascii="仿宋" w:hAnsi="仿宋" w:eastAsia="仿宋" w:cs="仿宋"/>
          <w:bCs/>
          <w:color w:val="000000"/>
          <w:sz w:val="32"/>
          <w:szCs w:val="32"/>
          <w:lang w:val="en-US" w:eastAsia="zh-CN"/>
        </w:rPr>
        <w:t>747</w:t>
      </w:r>
      <w:r>
        <w:rPr>
          <w:rFonts w:hint="eastAsia" w:ascii="仿宋" w:hAnsi="仿宋" w:eastAsia="仿宋" w:cs="仿宋"/>
          <w:bCs/>
          <w:color w:val="000000"/>
          <w:sz w:val="32"/>
          <w:szCs w:val="32"/>
        </w:rPr>
        <w:t>件，同比分别上升26.05%、24.11%。刑事犯罪</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rPr>
        <w:t>受理刑事案件6</w:t>
      </w:r>
      <w:r>
        <w:rPr>
          <w:rFonts w:hint="eastAsia" w:ascii="仿宋" w:hAnsi="仿宋" w:eastAsia="仿宋" w:cs="仿宋"/>
          <w:bCs/>
          <w:color w:val="000000"/>
          <w:sz w:val="32"/>
          <w:szCs w:val="32"/>
          <w:lang w:val="en-US" w:eastAsia="zh-CN"/>
        </w:rPr>
        <w:t>7</w:t>
      </w:r>
      <w:r>
        <w:rPr>
          <w:rFonts w:hint="eastAsia" w:ascii="仿宋" w:hAnsi="仿宋" w:eastAsia="仿宋" w:cs="仿宋"/>
          <w:bCs/>
          <w:color w:val="000000"/>
          <w:sz w:val="32"/>
          <w:szCs w:val="32"/>
        </w:rPr>
        <w:t>件，审结55件。民商事纠纷</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rPr>
        <w:t>受理民商事案件</w:t>
      </w:r>
      <w:r>
        <w:rPr>
          <w:rFonts w:hint="eastAsia" w:ascii="仿宋" w:hAnsi="仿宋" w:eastAsia="仿宋" w:cs="仿宋"/>
          <w:bCs/>
          <w:color w:val="000000"/>
          <w:sz w:val="32"/>
          <w:szCs w:val="32"/>
          <w:lang w:val="en-US" w:eastAsia="zh-CN"/>
        </w:rPr>
        <w:t>1811</w:t>
      </w:r>
      <w:r>
        <w:rPr>
          <w:rFonts w:hint="eastAsia" w:ascii="仿宋" w:hAnsi="仿宋" w:eastAsia="仿宋" w:cs="仿宋"/>
          <w:bCs/>
          <w:color w:val="000000"/>
          <w:sz w:val="32"/>
          <w:szCs w:val="32"/>
        </w:rPr>
        <w:t>件，审结1</w:t>
      </w:r>
      <w:r>
        <w:rPr>
          <w:rFonts w:hint="eastAsia" w:ascii="仿宋" w:hAnsi="仿宋" w:eastAsia="仿宋" w:cs="仿宋"/>
          <w:bCs/>
          <w:color w:val="000000"/>
          <w:sz w:val="32"/>
          <w:szCs w:val="32"/>
          <w:lang w:val="en-US" w:eastAsia="zh-CN"/>
        </w:rPr>
        <w:t>717</w:t>
      </w:r>
      <w:r>
        <w:rPr>
          <w:rFonts w:hint="eastAsia" w:ascii="仿宋" w:hAnsi="仿宋" w:eastAsia="仿宋" w:cs="仿宋"/>
          <w:bCs/>
          <w:color w:val="000000"/>
          <w:sz w:val="32"/>
          <w:szCs w:val="32"/>
        </w:rPr>
        <w:t>件。依法行政</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rPr>
        <w:t>受理行政案件1</w:t>
      </w:r>
      <w:r>
        <w:rPr>
          <w:rFonts w:hint="eastAsia" w:ascii="仿宋" w:hAnsi="仿宋" w:eastAsia="仿宋" w:cs="仿宋"/>
          <w:bCs/>
          <w:color w:val="000000"/>
          <w:sz w:val="32"/>
          <w:szCs w:val="32"/>
          <w:lang w:val="en-US" w:eastAsia="zh-CN"/>
        </w:rPr>
        <w:t>0</w:t>
      </w:r>
      <w:r>
        <w:rPr>
          <w:rFonts w:hint="eastAsia" w:ascii="仿宋" w:hAnsi="仿宋" w:eastAsia="仿宋" w:cs="仿宋"/>
          <w:bCs/>
          <w:color w:val="000000"/>
          <w:sz w:val="32"/>
          <w:szCs w:val="32"/>
        </w:rPr>
        <w:t>件，审结1</w:t>
      </w:r>
      <w:r>
        <w:rPr>
          <w:rFonts w:hint="eastAsia" w:ascii="仿宋" w:hAnsi="仿宋" w:eastAsia="仿宋" w:cs="仿宋"/>
          <w:bCs/>
          <w:color w:val="000000"/>
          <w:sz w:val="32"/>
          <w:szCs w:val="32"/>
          <w:lang w:val="en-US" w:eastAsia="zh-CN"/>
        </w:rPr>
        <w:t>0</w:t>
      </w:r>
      <w:r>
        <w:rPr>
          <w:rFonts w:hint="eastAsia" w:ascii="仿宋" w:hAnsi="仿宋" w:eastAsia="仿宋" w:cs="仿宋"/>
          <w:bCs/>
          <w:color w:val="000000"/>
          <w:sz w:val="32"/>
          <w:szCs w:val="32"/>
        </w:rPr>
        <w:t>件。审查非诉</w:t>
      </w:r>
      <w:r>
        <w:rPr>
          <w:rFonts w:hint="eastAsia" w:ascii="仿宋" w:hAnsi="仿宋" w:eastAsia="仿宋" w:cs="仿宋"/>
          <w:bCs/>
          <w:color w:val="000000"/>
          <w:sz w:val="32"/>
          <w:szCs w:val="32"/>
          <w:lang w:eastAsia="zh-CN"/>
        </w:rPr>
        <w:t>保全</w:t>
      </w:r>
      <w:r>
        <w:rPr>
          <w:rFonts w:hint="eastAsia" w:ascii="仿宋" w:hAnsi="仿宋" w:eastAsia="仿宋" w:cs="仿宋"/>
          <w:bCs/>
          <w:color w:val="000000"/>
          <w:sz w:val="32"/>
          <w:szCs w:val="32"/>
        </w:rPr>
        <w:t>案件</w:t>
      </w:r>
      <w:r>
        <w:rPr>
          <w:rFonts w:hint="eastAsia" w:ascii="仿宋" w:hAnsi="仿宋" w:eastAsia="仿宋" w:cs="仿宋"/>
          <w:bCs/>
          <w:color w:val="000000"/>
          <w:sz w:val="32"/>
          <w:szCs w:val="32"/>
          <w:lang w:val="en-US" w:eastAsia="zh-CN"/>
        </w:rPr>
        <w:t>26</w:t>
      </w:r>
      <w:r>
        <w:rPr>
          <w:rFonts w:hint="eastAsia" w:ascii="仿宋" w:hAnsi="仿宋" w:eastAsia="仿宋" w:cs="仿宋"/>
          <w:bCs/>
          <w:color w:val="000000"/>
          <w:sz w:val="32"/>
          <w:szCs w:val="32"/>
        </w:rPr>
        <w:t>件，结案</w:t>
      </w: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6件。执行案件</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rPr>
        <w:t>共受理执行案件</w:t>
      </w:r>
      <w:r>
        <w:rPr>
          <w:rFonts w:hint="eastAsia" w:ascii="仿宋" w:hAnsi="仿宋" w:eastAsia="仿宋" w:cs="仿宋"/>
          <w:bCs/>
          <w:color w:val="000000"/>
          <w:sz w:val="32"/>
          <w:szCs w:val="32"/>
          <w:lang w:val="en-US" w:eastAsia="zh-CN"/>
        </w:rPr>
        <w:t>890</w:t>
      </w:r>
      <w:r>
        <w:rPr>
          <w:rFonts w:hint="eastAsia" w:ascii="仿宋" w:hAnsi="仿宋" w:eastAsia="仿宋" w:cs="仿宋"/>
          <w:bCs/>
          <w:color w:val="000000"/>
          <w:sz w:val="32"/>
          <w:szCs w:val="32"/>
        </w:rPr>
        <w:t>件，结案</w:t>
      </w:r>
      <w:r>
        <w:rPr>
          <w:rFonts w:hint="eastAsia" w:ascii="仿宋" w:hAnsi="仿宋" w:eastAsia="仿宋" w:cs="仿宋"/>
          <w:bCs/>
          <w:color w:val="000000"/>
          <w:sz w:val="32"/>
          <w:szCs w:val="32"/>
          <w:lang w:val="en-US" w:eastAsia="zh-CN"/>
        </w:rPr>
        <w:t>848</w:t>
      </w:r>
      <w:r>
        <w:rPr>
          <w:rFonts w:hint="eastAsia" w:ascii="仿宋" w:hAnsi="仿宋" w:eastAsia="仿宋" w:cs="仿宋"/>
          <w:bCs/>
          <w:color w:val="000000"/>
          <w:sz w:val="32"/>
          <w:szCs w:val="32"/>
        </w:rPr>
        <w:t>件，到位标的1.6亿元。</w:t>
      </w:r>
      <w:r>
        <w:rPr>
          <w:rFonts w:hint="eastAsia" w:ascii="仿宋" w:hAnsi="仿宋" w:eastAsia="仿宋" w:cs="仿宋"/>
          <w:bCs/>
          <w:color w:val="000000"/>
          <w:sz w:val="32"/>
          <w:szCs w:val="32"/>
          <w:lang w:eastAsia="zh-CN"/>
        </w:rPr>
        <w:t>服判息诉率达到了</w:t>
      </w:r>
      <w:r>
        <w:rPr>
          <w:rFonts w:hint="eastAsia" w:ascii="仿宋" w:hAnsi="仿宋" w:eastAsia="仿宋" w:cs="仿宋"/>
          <w:bCs/>
          <w:color w:val="000000"/>
          <w:sz w:val="32"/>
          <w:szCs w:val="32"/>
          <w:lang w:val="en-US" w:eastAsia="zh-CN"/>
        </w:rPr>
        <w:t>90%以上。</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5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通过上级资金支持，切实解决了人员经费、业务装备等实际困难，充分保障了我院执法办案工作开展，为昭化经济社会健康发展提供了强有力的支撑。</w:t>
      </w: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60" w:lineRule="exact"/>
        <w:ind w:firstLine="720"/>
        <w:rPr>
          <w:rFonts w:ascii="仿宋_GB2312" w:hAnsi="宋体" w:eastAsia="仿宋_GB2312"/>
          <w:b/>
          <w:sz w:val="32"/>
          <w:szCs w:val="32"/>
          <w:lang w:val="zh-CN"/>
        </w:rPr>
      </w:pPr>
      <w:r>
        <w:rPr>
          <w:rFonts w:hint="eastAsia" w:ascii="仿宋_GB2312" w:hAnsi="仿宋" w:eastAsia="仿宋_GB2312" w:cs="仿宋"/>
          <w:bCs/>
          <w:sz w:val="32"/>
          <w:szCs w:val="32"/>
          <w:lang w:val="en-US" w:eastAsia="zh-CN"/>
        </w:rPr>
        <w:t>1.</w:t>
      </w:r>
      <w:r>
        <w:rPr>
          <w:rFonts w:hint="eastAsia" w:ascii="仿宋_GB2312" w:hAnsi="仿宋" w:eastAsia="仿宋_GB2312" w:cs="仿宋"/>
          <w:bCs/>
          <w:sz w:val="32"/>
          <w:szCs w:val="32"/>
          <w:lang w:val="zh-CN"/>
        </w:rPr>
        <w:t>我院内部应加强管理，明确项目资金使用范围及界限。</w:t>
      </w:r>
      <w:r>
        <w:rPr>
          <w:rFonts w:hint="eastAsia" w:ascii="仿宋_GB2312" w:hAnsi="仿宋" w:eastAsia="仿宋_GB2312" w:cs="仿宋"/>
          <w:bCs/>
          <w:sz w:val="32"/>
          <w:szCs w:val="32"/>
          <w:lang w:val="en-US" w:eastAsia="zh-CN"/>
        </w:rPr>
        <w:t>2.</w:t>
      </w:r>
      <w:r>
        <w:rPr>
          <w:rFonts w:hint="eastAsia" w:ascii="仿宋_GB2312" w:hAnsi="仿宋" w:eastAsia="仿宋_GB2312" w:cs="仿宋"/>
          <w:bCs/>
          <w:sz w:val="32"/>
          <w:szCs w:val="32"/>
          <w:lang w:val="zh-CN"/>
        </w:rPr>
        <w:t>业务办案经费</w:t>
      </w:r>
      <w:r>
        <w:rPr>
          <w:rFonts w:hint="eastAsia" w:ascii="仿宋_GB2312" w:hAnsi="宋体" w:eastAsia="仿宋_GB2312"/>
          <w:sz w:val="32"/>
          <w:szCs w:val="32"/>
          <w:lang w:val="zh-CN"/>
        </w:rPr>
        <w:t>，建议政府财政给予相关政策性支持，并适当增加项目经费。</w:t>
      </w:r>
    </w:p>
    <w:p>
      <w:pPr>
        <w:widowControl/>
        <w:jc w:val="left"/>
        <w:rPr>
          <w:rStyle w:val="26"/>
          <w:rFonts w:ascii="黑体" w:hAnsi="黑体" w:eastAsia="黑体"/>
          <w:b w:val="0"/>
        </w:rPr>
      </w:pPr>
    </w:p>
    <w:p>
      <w:pPr>
        <w:widowControl/>
        <w:jc w:val="left"/>
        <w:rPr>
          <w:rStyle w:val="26"/>
          <w:rFonts w:ascii="黑体" w:hAnsi="黑体" w:eastAsia="黑体"/>
          <w:b w:val="0"/>
        </w:rPr>
      </w:pPr>
      <w:r>
        <w:rPr>
          <w:rStyle w:val="26"/>
          <w:rFonts w:ascii="黑体" w:hAnsi="黑体" w:eastAsia="黑体"/>
          <w:b w:val="0"/>
        </w:rPr>
        <w:br w:type="page"/>
      </w: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bookmarkStart w:id="59"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0"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0"/>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61"/>
    </w:p>
    <w:p>
      <w:pPr>
        <w:pStyle w:val="4"/>
        <w:rPr>
          <w:rFonts w:ascii="仿宋" w:hAnsi="仿宋" w:eastAsia="仿宋"/>
          <w:color w:val="000000"/>
        </w:rPr>
      </w:pPr>
      <w:bookmarkStart w:id="62"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62"/>
    </w:p>
    <w:p>
      <w:pPr>
        <w:pStyle w:val="4"/>
        <w:rPr>
          <w:rFonts w:ascii="仿宋" w:hAnsi="仿宋" w:eastAsia="仿宋"/>
          <w:b w:val="0"/>
          <w:color w:val="000000"/>
        </w:rPr>
      </w:pPr>
      <w:bookmarkStart w:id="63"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3"/>
    </w:p>
    <w:p>
      <w:pPr>
        <w:pStyle w:val="4"/>
        <w:rPr>
          <w:rStyle w:val="27"/>
          <w:rFonts w:ascii="仿宋" w:hAnsi="仿宋" w:eastAsia="仿宋"/>
          <w:b w:val="0"/>
          <w:bCs w:val="0"/>
        </w:rPr>
      </w:pPr>
      <w:bookmarkStart w:id="64"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4"/>
      <w:bookmarkStart w:id="65" w:name="_Toc15396624"/>
    </w:p>
    <w:p>
      <w:pPr>
        <w:pStyle w:val="4"/>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0"/>
    </w:p>
    <w:p>
      <w:pPr>
        <w:pStyle w:val="4"/>
        <w:rPr>
          <w:rFonts w:ascii="仿宋" w:hAnsi="仿宋" w:eastAsia="仿宋"/>
          <w:color w:val="000000"/>
        </w:rPr>
      </w:pPr>
      <w:bookmarkStart w:id="71"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1"/>
    </w:p>
    <w:p>
      <w:pPr>
        <w:pStyle w:val="4"/>
        <w:rPr>
          <w:rFonts w:ascii="仿宋" w:hAnsi="仿宋" w:eastAsia="仿宋"/>
          <w:color w:val="000000" w:themeColor="text1"/>
        </w:rPr>
      </w:pPr>
      <w:bookmarkStart w:id="72"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30A6A9B"/>
    <w:multiLevelType w:val="singleLevel"/>
    <w:tmpl w:val="030A6A9B"/>
    <w:lvl w:ilvl="0" w:tentative="0">
      <w:start w:val="2"/>
      <w:numFmt w:val="decimal"/>
      <w:lvlText w:val="%1."/>
      <w:lvlJc w:val="left"/>
      <w:pPr>
        <w:tabs>
          <w:tab w:val="left" w:pos="312"/>
        </w:tabs>
      </w:pPr>
    </w:lvl>
  </w:abstractNum>
  <w:abstractNum w:abstractNumId="3">
    <w:nsid w:val="09BB913C"/>
    <w:multiLevelType w:val="singleLevel"/>
    <w:tmpl w:val="09BB913C"/>
    <w:lvl w:ilvl="0" w:tentative="0">
      <w:start w:val="2"/>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2F82FFD"/>
    <w:multiLevelType w:val="singleLevel"/>
    <w:tmpl w:val="52F82FFD"/>
    <w:lvl w:ilvl="0" w:tentative="0">
      <w:start w:val="1"/>
      <w:numFmt w:val="chineseCounting"/>
      <w:suff w:val="nothing"/>
      <w:lvlText w:val="（%1）"/>
      <w:lvlJc w:val="left"/>
      <w:rPr>
        <w:rFonts w:hint="eastAsia"/>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hYTg4NGNkZWJkODFjNzcyZDRjM2M4Y2UzNjI5Z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B87936"/>
    <w:rsid w:val="08495515"/>
    <w:rsid w:val="10C055FF"/>
    <w:rsid w:val="16BB723D"/>
    <w:rsid w:val="190C34E9"/>
    <w:rsid w:val="1E523A97"/>
    <w:rsid w:val="1EBC261E"/>
    <w:rsid w:val="1EC262DF"/>
    <w:rsid w:val="240371BF"/>
    <w:rsid w:val="246B29B0"/>
    <w:rsid w:val="26CA0DD1"/>
    <w:rsid w:val="28924A96"/>
    <w:rsid w:val="29FD04D3"/>
    <w:rsid w:val="2B0D651A"/>
    <w:rsid w:val="2B8B0D0A"/>
    <w:rsid w:val="2D635AFB"/>
    <w:rsid w:val="319F7F4E"/>
    <w:rsid w:val="31C5556B"/>
    <w:rsid w:val="359C48DA"/>
    <w:rsid w:val="3ABB177B"/>
    <w:rsid w:val="3E460AB2"/>
    <w:rsid w:val="3E873CD7"/>
    <w:rsid w:val="48866143"/>
    <w:rsid w:val="4B412BED"/>
    <w:rsid w:val="4C773D40"/>
    <w:rsid w:val="4DC55D73"/>
    <w:rsid w:val="4E841BE8"/>
    <w:rsid w:val="4ECE2238"/>
    <w:rsid w:val="51116FA7"/>
    <w:rsid w:val="53376A42"/>
    <w:rsid w:val="536E1616"/>
    <w:rsid w:val="53EE50FD"/>
    <w:rsid w:val="54B046DB"/>
    <w:rsid w:val="56961582"/>
    <w:rsid w:val="56DB4B73"/>
    <w:rsid w:val="5D30075A"/>
    <w:rsid w:val="5F4D6CD8"/>
    <w:rsid w:val="60764E28"/>
    <w:rsid w:val="60D23950"/>
    <w:rsid w:val="641A6A62"/>
    <w:rsid w:val="652400E1"/>
    <w:rsid w:val="65261615"/>
    <w:rsid w:val="68766F98"/>
    <w:rsid w:val="6AF66961"/>
    <w:rsid w:val="6B5571D7"/>
    <w:rsid w:val="6EA84312"/>
    <w:rsid w:val="72734D90"/>
    <w:rsid w:val="72EE73D1"/>
    <w:rsid w:val="7A0B31D6"/>
    <w:rsid w:val="7BE26AB2"/>
    <w:rsid w:val="7C056B39"/>
    <w:rsid w:val="7CBF16BF"/>
    <w:rsid w:val="7E9E78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99"/>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2">
    <w:name w:val="四号正文"/>
    <w:basedOn w:val="1"/>
    <w:qFormat/>
    <w:uiPriority w:val="0"/>
    <w:pPr>
      <w:spacing w:line="360" w:lineRule="auto"/>
    </w:pPr>
    <w:rPr>
      <w:rFonts w:ascii="??" w:hAnsi="??" w:eastAsia="宋体" w:cs="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收支总计（单位：万元）</a:t>
            </a:r>
          </a:p>
        </c:rich>
      </c:tx>
      <c:layout>
        <c:manualLayout>
          <c:xMode val="edge"/>
          <c:yMode val="edge"/>
          <c:x val="0.308625"/>
          <c:y val="0.025"/>
        </c:manualLayout>
      </c:layout>
      <c:overlay val="0"/>
      <c:spPr>
        <a:noFill/>
        <a:ln>
          <a:noFill/>
        </a:ln>
        <a:effectLst/>
      </c:spPr>
    </c:title>
    <c:autoTitleDeleted val="0"/>
    <c:plotArea>
      <c:layout/>
      <c:barChart>
        <c:barDir val="col"/>
        <c:grouping val="stacked"/>
        <c:varyColors val="0"/>
        <c:ser>
          <c:idx val="0"/>
          <c:order val="0"/>
          <c:tx>
            <c:strRef>
              <c:f>Sheet1!$B$3</c:f>
              <c:strCache>
                <c:ptCount val="1"/>
                <c:pt idx="0">
                  <c:v>1413.87</c:v>
                </c:pt>
              </c:strCache>
            </c:strRef>
          </c:tx>
          <c:spPr>
            <a:solidFill>
              <a:schemeClr val="tx2"/>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1436.45</c:v>
                </c:pt>
                <c:pt idx="1">
                  <c:v>1413.87</c:v>
                </c:pt>
              </c:numCache>
            </c:numRef>
          </c:val>
        </c:ser>
        <c:ser>
          <c:idx val="1"/>
          <c:order val="1"/>
          <c:tx>
            <c:strRef>
              <c:f>Sheet1!$C$1</c:f>
              <c:strCache>
                <c:ptCount val="1"/>
                <c:pt idx="0">
                  <c:v/>
                </c:pt>
              </c:strCache>
            </c:strRef>
          </c:tx>
          <c:spPr>
            <a:solidFill>
              <a:schemeClr val="tx2"/>
            </a:solidFill>
            <a:ln>
              <a:noFill/>
            </a:ln>
            <a:effectLst/>
          </c:spPr>
          <c:invertIfNegative val="0"/>
          <c:dLbls>
            <c:delete val="1"/>
          </c:dLbls>
          <c:cat>
            <c:strRef>
              <c:f>Sheet1!$A$2:$A$3</c:f>
              <c:strCache>
                <c:ptCount val="2"/>
                <c:pt idx="0">
                  <c:v>2018年</c:v>
                </c:pt>
                <c:pt idx="1">
                  <c:v>2019年</c:v>
                </c:pt>
              </c:strCache>
            </c:strRef>
          </c:cat>
          <c:val>
            <c:numRef>
              <c:f>Sheet1!$C$2:$C$3</c:f>
              <c:numCache>
                <c:formatCode>General</c:formatCode>
                <c:ptCount val="2"/>
              </c:numCache>
            </c:numRef>
          </c:val>
        </c:ser>
        <c:ser>
          <c:idx val="2"/>
          <c:order val="2"/>
          <c:tx>
            <c:strRef>
              <c:f>Sheet1!$D$1</c:f>
              <c:strCache>
                <c:ptCount val="1"/>
                <c:pt idx="0">
                  <c:v/>
                </c:pt>
              </c:strCache>
            </c:strRef>
          </c:tx>
          <c:spPr>
            <a:solidFill>
              <a:schemeClr val="tx2"/>
            </a:solidFill>
            <a:ln>
              <a:noFill/>
            </a:ln>
            <a:effectLst/>
          </c:spPr>
          <c:invertIfNegative val="0"/>
          <c:dLbls>
            <c:delete val="1"/>
          </c:dLbls>
          <c:cat>
            <c:strRef>
              <c:f>Sheet1!$A$2:$A$3</c:f>
              <c:strCache>
                <c:ptCount val="2"/>
                <c:pt idx="0">
                  <c:v>2018年</c:v>
                </c:pt>
                <c:pt idx="1">
                  <c:v>2019年</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500886813"/>
        <c:axId val="279404283"/>
      </c:barChart>
      <c:catAx>
        <c:axId val="5008868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9404283"/>
        <c:crosses val="autoZero"/>
        <c:auto val="1"/>
        <c:lblAlgn val="ctr"/>
        <c:lblOffset val="100"/>
        <c:noMultiLvlLbl val="0"/>
      </c:catAx>
      <c:valAx>
        <c:axId val="279404283"/>
        <c:scaling>
          <c:orientation val="minMax"/>
          <c:max val="1500"/>
          <c:min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08868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800" b="0" i="0" u="none" strike="noStrike" kern="1200" baseline="0">
                <a:solidFill>
                  <a:schemeClr val="tx1"/>
                </a:solidFill>
                <a:latin typeface="+mn-lt"/>
                <a:ea typeface="+mn-ea"/>
                <a:cs typeface="+mn-cs"/>
              </a:defRPr>
            </a:pPr>
            <a:r>
              <a:rPr lang="zh-CN" b="0"/>
              <a:t>收入比重</a:t>
            </a:r>
            <a:endParaRPr lang="zh-CN" b="0"/>
          </a:p>
        </c:rich>
      </c:tx>
      <c:layout>
        <c:manualLayout>
          <c:xMode val="edge"/>
          <c:yMode val="edge"/>
          <c:x val="0.388500000000001"/>
          <c:y val="0.0231481481481481"/>
        </c:manualLayout>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Sheet1!$A$3:$A$9</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Sheet1!$B$3:$B$9</c:f>
              <c:numCache>
                <c:formatCode>General</c:formatCode>
                <c:ptCount val="7"/>
                <c:pt idx="0">
                  <c:v>1436.45</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800" b="0" i="0" u="none" strike="noStrike" kern="1200" baseline="0">
                <a:solidFill>
                  <a:schemeClr val="tx1"/>
                </a:solidFill>
                <a:latin typeface="+mn-lt"/>
                <a:ea typeface="+mn-ea"/>
                <a:cs typeface="+mn-cs"/>
              </a:defRPr>
            </a:pPr>
            <a:r>
              <a:rPr lang="zh-CN" altLang="en-US" b="0"/>
              <a:t>支出占比图</a:t>
            </a:r>
            <a:endParaRPr lang="zh-CN" altLang="en-US" b="0"/>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Sheet1!$A$16:$A$20</c:f>
              <c:strCache>
                <c:ptCount val="5"/>
                <c:pt idx="0">
                  <c:v>基本支出</c:v>
                </c:pt>
                <c:pt idx="1">
                  <c:v>项目支出</c:v>
                </c:pt>
                <c:pt idx="2">
                  <c:v>上缴上级支出</c:v>
                </c:pt>
                <c:pt idx="3">
                  <c:v>经营支出</c:v>
                </c:pt>
                <c:pt idx="4">
                  <c:v>对附属单位补助支出</c:v>
                </c:pt>
              </c:strCache>
            </c:strRef>
          </c:cat>
          <c:val>
            <c:numRef>
              <c:f>Sheet1!$B$16:$B$20</c:f>
              <c:numCache>
                <c:formatCode>General</c:formatCode>
                <c:ptCount val="5"/>
                <c:pt idx="0">
                  <c:v>1166.7</c:v>
                </c:pt>
                <c:pt idx="1">
                  <c:v>379.15</c:v>
                </c:pt>
                <c:pt idx="2">
                  <c:v>0</c:v>
                </c:pt>
                <c:pt idx="3">
                  <c:v>0</c:v>
                </c:pt>
                <c:pt idx="4">
                  <c:v>0</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收支总计（单位：万元）</a:t>
            </a:r>
          </a:p>
        </c:rich>
      </c:tx>
      <c:layout>
        <c:manualLayout>
          <c:xMode val="edge"/>
          <c:yMode val="edge"/>
          <c:x val="0.308625"/>
          <c:y val="0.025"/>
        </c:manualLayout>
      </c:layout>
      <c:overlay val="0"/>
      <c:spPr>
        <a:noFill/>
        <a:ln>
          <a:noFill/>
        </a:ln>
        <a:effectLst/>
      </c:spPr>
    </c:title>
    <c:autoTitleDeleted val="0"/>
    <c:plotArea>
      <c:layout/>
      <c:barChart>
        <c:barDir val="col"/>
        <c:grouping val="stacked"/>
        <c:varyColors val="0"/>
        <c:ser>
          <c:idx val="0"/>
          <c:order val="0"/>
          <c:tx>
            <c:strRef>
              <c:f>Sheet1!$B$3</c:f>
              <c:strCache>
                <c:ptCount val="1"/>
                <c:pt idx="0">
                  <c:v>1413.87</c:v>
                </c:pt>
              </c:strCache>
            </c:strRef>
          </c:tx>
          <c:spPr>
            <a:solidFill>
              <a:schemeClr val="tx2"/>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1436.45</c:v>
                </c:pt>
                <c:pt idx="1">
                  <c:v>1413.87</c:v>
                </c:pt>
              </c:numCache>
            </c:numRef>
          </c:val>
        </c:ser>
        <c:ser>
          <c:idx val="1"/>
          <c:order val="1"/>
          <c:tx>
            <c:strRef>
              <c:f>Sheet1!$C$1</c:f>
              <c:strCache>
                <c:ptCount val="1"/>
                <c:pt idx="0">
                  <c:v/>
                </c:pt>
              </c:strCache>
            </c:strRef>
          </c:tx>
          <c:spPr>
            <a:solidFill>
              <a:schemeClr val="tx2"/>
            </a:solidFill>
            <a:ln>
              <a:noFill/>
            </a:ln>
            <a:effectLst/>
          </c:spPr>
          <c:invertIfNegative val="0"/>
          <c:dLbls>
            <c:delete val="1"/>
          </c:dLbls>
          <c:cat>
            <c:strRef>
              <c:f>Sheet1!$A$2:$A$3</c:f>
              <c:strCache>
                <c:ptCount val="2"/>
                <c:pt idx="0">
                  <c:v>2018年</c:v>
                </c:pt>
                <c:pt idx="1">
                  <c:v>2019年</c:v>
                </c:pt>
              </c:strCache>
            </c:strRef>
          </c:cat>
          <c:val>
            <c:numRef>
              <c:f>Sheet1!$C$2:$C$3</c:f>
              <c:numCache>
                <c:formatCode>General</c:formatCode>
                <c:ptCount val="2"/>
              </c:numCache>
            </c:numRef>
          </c:val>
        </c:ser>
        <c:ser>
          <c:idx val="2"/>
          <c:order val="2"/>
          <c:tx>
            <c:strRef>
              <c:f>Sheet1!$D$1</c:f>
              <c:strCache>
                <c:ptCount val="1"/>
                <c:pt idx="0">
                  <c:v/>
                </c:pt>
              </c:strCache>
            </c:strRef>
          </c:tx>
          <c:spPr>
            <a:solidFill>
              <a:schemeClr val="tx2"/>
            </a:solidFill>
            <a:ln>
              <a:noFill/>
            </a:ln>
            <a:effectLst/>
          </c:spPr>
          <c:invertIfNegative val="0"/>
          <c:dLbls>
            <c:delete val="1"/>
          </c:dLbls>
          <c:cat>
            <c:strRef>
              <c:f>Sheet1!$A$2:$A$3</c:f>
              <c:strCache>
                <c:ptCount val="2"/>
                <c:pt idx="0">
                  <c:v>2018年</c:v>
                </c:pt>
                <c:pt idx="1">
                  <c:v>2019年</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500886813"/>
        <c:axId val="279404283"/>
      </c:barChart>
      <c:catAx>
        <c:axId val="5008868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9404283"/>
        <c:crosses val="autoZero"/>
        <c:auto val="1"/>
        <c:lblAlgn val="ctr"/>
        <c:lblOffset val="100"/>
        <c:noMultiLvlLbl val="0"/>
      </c:catAx>
      <c:valAx>
        <c:axId val="279404283"/>
        <c:scaling>
          <c:orientation val="minMax"/>
          <c:max val="1500"/>
          <c:min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08868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一般公共预算财政拨款支出（单位：万元）</a:t>
            </a:r>
          </a:p>
        </c:rich>
      </c:tx>
      <c:layout>
        <c:manualLayout>
          <c:xMode val="edge"/>
          <c:yMode val="edge"/>
          <c:x val="0.181125"/>
          <c:y val="0.035"/>
        </c:manualLayout>
      </c:layout>
      <c:overlay val="0"/>
      <c:spPr>
        <a:noFill/>
        <a:ln>
          <a:noFill/>
        </a:ln>
        <a:effectLst/>
      </c:spPr>
    </c:title>
    <c:autoTitleDeleted val="0"/>
    <c:plotArea>
      <c:layout/>
      <c:barChart>
        <c:barDir val="col"/>
        <c:grouping val="stacked"/>
        <c:varyColors val="0"/>
        <c:ser>
          <c:idx val="0"/>
          <c:order val="0"/>
          <c:tx>
            <c:strRef>
              <c:f>Sheet1!$B$3</c:f>
              <c:strCache>
                <c:ptCount val="1"/>
                <c:pt idx="0">
                  <c:v>1413.87</c:v>
                </c:pt>
              </c:strCache>
            </c:strRef>
          </c:tx>
          <c:spPr>
            <a:solidFill>
              <a:schemeClr val="tx2"/>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1436.45</c:v>
                </c:pt>
                <c:pt idx="1">
                  <c:v>1413.87</c:v>
                </c:pt>
              </c:numCache>
            </c:numRef>
          </c:val>
        </c:ser>
        <c:ser>
          <c:idx val="1"/>
          <c:order val="1"/>
          <c:tx>
            <c:strRef>
              <c:f>Sheet1!$C$1</c:f>
              <c:strCache>
                <c:ptCount val="1"/>
                <c:pt idx="0">
                  <c:v/>
                </c:pt>
              </c:strCache>
            </c:strRef>
          </c:tx>
          <c:spPr>
            <a:solidFill>
              <a:schemeClr val="tx2"/>
            </a:solidFill>
            <a:ln>
              <a:noFill/>
            </a:ln>
            <a:effectLst/>
          </c:spPr>
          <c:invertIfNegative val="0"/>
          <c:dLbls>
            <c:delete val="1"/>
          </c:dLbls>
          <c:cat>
            <c:strRef>
              <c:f>Sheet1!$A$2:$A$3</c:f>
              <c:strCache>
                <c:ptCount val="2"/>
                <c:pt idx="0">
                  <c:v>2018年</c:v>
                </c:pt>
                <c:pt idx="1">
                  <c:v>2019年</c:v>
                </c:pt>
              </c:strCache>
            </c:strRef>
          </c:cat>
          <c:val>
            <c:numRef>
              <c:f>Sheet1!$C$2:$C$3</c:f>
              <c:numCache>
                <c:formatCode>General</c:formatCode>
                <c:ptCount val="2"/>
              </c:numCache>
            </c:numRef>
          </c:val>
        </c:ser>
        <c:ser>
          <c:idx val="2"/>
          <c:order val="2"/>
          <c:tx>
            <c:strRef>
              <c:f>Sheet1!$D$1</c:f>
              <c:strCache>
                <c:ptCount val="1"/>
                <c:pt idx="0">
                  <c:v/>
                </c:pt>
              </c:strCache>
            </c:strRef>
          </c:tx>
          <c:spPr>
            <a:solidFill>
              <a:schemeClr val="tx2"/>
            </a:solidFill>
            <a:ln>
              <a:noFill/>
            </a:ln>
            <a:effectLst/>
          </c:spPr>
          <c:invertIfNegative val="0"/>
          <c:dLbls>
            <c:delete val="1"/>
          </c:dLbls>
          <c:cat>
            <c:strRef>
              <c:f>Sheet1!$A$2:$A$3</c:f>
              <c:strCache>
                <c:ptCount val="2"/>
                <c:pt idx="0">
                  <c:v>2018年</c:v>
                </c:pt>
                <c:pt idx="1">
                  <c:v>2019年</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500886813"/>
        <c:axId val="279404283"/>
      </c:barChart>
      <c:catAx>
        <c:axId val="5008868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9404283"/>
        <c:crosses val="autoZero"/>
        <c:auto val="1"/>
        <c:lblAlgn val="ctr"/>
        <c:lblOffset val="100"/>
        <c:noMultiLvlLbl val="0"/>
      </c:catAx>
      <c:valAx>
        <c:axId val="279404283"/>
        <c:scaling>
          <c:orientation val="minMax"/>
          <c:max val="1500"/>
          <c:min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08868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explosion val="3"/>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6">
                  <a:lumMod val="20000"/>
                  <a:lumOff val="80000"/>
                </a:schemeClr>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 89%</a:t>
                    </a:r>
                  </a:p>
                </c:rich>
              </c:tx>
              <c:dLblPos val="bestFit"/>
              <c:showLegendKey val="0"/>
              <c:showVal val="1"/>
              <c:showCatName val="0"/>
              <c:showSerName val="0"/>
              <c:showPercent val="1"/>
              <c:showBubbleSize val="0"/>
              <c:extLst>
                <c:ext xmlns:c15="http://schemas.microsoft.com/office/drawing/2012/chart" uri="{CE6537A1-D6FC-4f65-9D91-7224C49458BB}">
                  <c15:layout>
                    <c:manualLayout>
                      <c:w val="0.207875976009958"/>
                      <c:h val="0.0460578922117384"/>
                    </c:manualLayout>
                  </c15:layout>
                </c:ext>
              </c:extLst>
            </c:dLbl>
            <c:dLbl>
              <c:idx val="5"/>
              <c:layout>
                <c:manualLayout>
                  <c:x val="0.0154761727431699"/>
                  <c:y val="0.077701568543505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0118443504218173"/>
                  <c:y val="0.087429171860259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Sheet1!$A$2:$A$8</c:f>
              <c:strCache>
                <c:ptCount val="7"/>
                <c:pt idx="0">
                  <c:v>一般公共服务（类）支出</c:v>
                </c:pt>
                <c:pt idx="1">
                  <c:v>教育支出（类）</c:v>
                </c:pt>
                <c:pt idx="2">
                  <c:v>科学技术（类）支出</c:v>
                </c:pt>
                <c:pt idx="3">
                  <c:v>文化旅游体育与传媒（类）支出</c:v>
                </c:pt>
                <c:pt idx="4">
                  <c:v>社会保障和就业（类）支出</c:v>
                </c:pt>
                <c:pt idx="5">
                  <c:v>卫生健康支出</c:v>
                </c:pt>
                <c:pt idx="6">
                  <c:v>住房保障支出</c:v>
                </c:pt>
              </c:strCache>
            </c:strRef>
          </c:cat>
          <c:val>
            <c:numRef>
              <c:f>Sheet1!$B$2:$B$8</c:f>
              <c:numCache>
                <c:formatCode>General</c:formatCode>
                <c:ptCount val="7"/>
                <c:pt idx="0">
                  <c:v>1255.01</c:v>
                </c:pt>
                <c:pt idx="1">
                  <c:v>0</c:v>
                </c:pt>
                <c:pt idx="2">
                  <c:v>0</c:v>
                </c:pt>
                <c:pt idx="3">
                  <c:v>0</c:v>
                </c:pt>
                <c:pt idx="4">
                  <c:v>74.1</c:v>
                </c:pt>
                <c:pt idx="5">
                  <c:v>32.51</c:v>
                </c:pt>
                <c:pt idx="6">
                  <c:v>52.25</c:v>
                </c:pt>
              </c:numCache>
            </c:numRef>
          </c:val>
        </c:ser>
        <c:ser>
          <c:idx val="1"/>
          <c:order val="1"/>
          <c:tx>
            <c:strRef>
              <c:f>Sheet1!$C$1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Sheet1!$A$2:$A$8</c:f>
              <c:strCache>
                <c:ptCount val="7"/>
                <c:pt idx="0">
                  <c:v>一般公共服务（类）支出</c:v>
                </c:pt>
                <c:pt idx="1">
                  <c:v>教育支出（类）</c:v>
                </c:pt>
                <c:pt idx="2">
                  <c:v>科学技术（类）支出</c:v>
                </c:pt>
                <c:pt idx="3">
                  <c:v>文化旅游体育与传媒（类）支出</c:v>
                </c:pt>
                <c:pt idx="4">
                  <c:v>社会保障和就业（类）支出</c:v>
                </c:pt>
                <c:pt idx="5">
                  <c:v>卫生健康支出</c:v>
                </c:pt>
                <c:pt idx="6">
                  <c:v>住房保障支出</c:v>
                </c:pt>
              </c:strCache>
            </c:strRef>
          </c:cat>
          <c:val>
            <c:numRef>
              <c:f>Sheet1!$C$2:$C$8</c:f>
              <c:numCache>
                <c:formatCode>General</c:formatCode>
                <c:ptCount val="7"/>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73"/>
          <c:y val="0.86373910235712"/>
          <c:w val="0.84575"/>
          <c:h val="0.13125605424604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delete val="1"/>
            </c:dLbl>
            <c:dLbl>
              <c:idx val="1"/>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27.22</c:v>
                </c:pt>
                <c:pt idx="2">
                  <c:v>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33</Pages>
  <Words>10279</Words>
  <Characters>10947</Characters>
  <Lines>7</Lines>
  <Paragraphs>17</Paragraphs>
  <TotalTime>0</TotalTime>
  <ScaleCrop>false</ScaleCrop>
  <LinksUpToDate>false</LinksUpToDate>
  <CharactersWithSpaces>10990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DELL</cp:lastModifiedBy>
  <cp:lastPrinted>2020-07-23T02:58:00Z</cp:lastPrinted>
  <dcterms:modified xsi:type="dcterms:W3CDTF">2022-07-20T04:31:21Z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9C56845509A64AC29AE34DDE5A269895</vt:lpwstr>
  </property>
</Properties>
</file>