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300" w:afterAutospacing="0"/>
        <w:ind w:left="0" w:right="0" w:firstLine="0"/>
        <w:jc w:val="center"/>
        <w:rPr>
          <w:rFonts w:hint="eastAsia" w:ascii="微软雅黑" w:hAnsi="微软雅黑" w:eastAsia="微软雅黑" w:cs="微软雅黑"/>
          <w:i w:val="0"/>
          <w:iCs w:val="0"/>
          <w:caps w:val="0"/>
          <w:color w:val="333333"/>
          <w:spacing w:val="0"/>
          <w:kern w:val="0"/>
          <w:sz w:val="36"/>
          <w:szCs w:val="36"/>
          <w:shd w:val="clear" w:fill="FFFFFF"/>
          <w:lang w:val="en-US" w:eastAsia="zh-CN" w:bidi="ar"/>
        </w:rPr>
      </w:pPr>
      <w:r>
        <w:rPr>
          <w:rFonts w:hint="eastAsia" w:ascii="微软雅黑" w:hAnsi="微软雅黑" w:eastAsia="微软雅黑" w:cs="微软雅黑"/>
          <w:i w:val="0"/>
          <w:iCs w:val="0"/>
          <w:caps w:val="0"/>
          <w:color w:val="333333"/>
          <w:spacing w:val="0"/>
          <w:kern w:val="0"/>
          <w:sz w:val="36"/>
          <w:szCs w:val="36"/>
          <w:shd w:val="clear" w:fill="FFFFFF"/>
          <w:lang w:val="en-US" w:eastAsia="zh-CN" w:bidi="ar"/>
        </w:rPr>
        <w:t>四川省广元市昭化区公路养护段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300" w:afterAutospacing="0"/>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kern w:val="0"/>
          <w:sz w:val="36"/>
          <w:szCs w:val="36"/>
          <w:shd w:val="clear" w:fill="FFFFFF"/>
          <w:lang w:val="en-US" w:eastAsia="zh-CN" w:bidi="ar"/>
        </w:rPr>
        <w:t>2021年预算公开</w:t>
      </w:r>
    </w:p>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4"/>
        <w:tabs>
          <w:tab w:val="right" w:leader="dot" w:pos="8845"/>
        </w:tabs>
        <w:rPr>
          <w:rFonts w:hint="eastAsia" w:ascii="仿宋" w:hAnsi="仿宋" w:eastAsia="仿宋" w:cs="仿宋"/>
          <w:sz w:val="32"/>
          <w:szCs w:val="32"/>
        </w:rPr>
      </w:pPr>
      <w:r>
        <w:rPr>
          <w:rFonts w:hint="eastAsia" w:ascii="仿宋" w:hAnsi="仿宋" w:eastAsia="仿宋" w:cs="仿宋"/>
          <w:b w:val="0"/>
          <w:bCs w:val="0"/>
          <w:i w:val="0"/>
          <w:caps w:val="0"/>
          <w:color w:val="333333"/>
          <w:spacing w:val="0"/>
          <w:kern w:val="0"/>
          <w:sz w:val="44"/>
          <w:szCs w:val="44"/>
          <w:shd w:val="clear" w:color="auto" w:fill="FFFFFF"/>
          <w:lang w:val="en-US" w:eastAsia="zh-CN" w:bidi="ar"/>
        </w:rPr>
        <w:fldChar w:fldCharType="begin"/>
      </w:r>
      <w:r>
        <w:rPr>
          <w:rFonts w:hint="eastAsia" w:ascii="仿宋" w:hAnsi="仿宋" w:eastAsia="仿宋" w:cs="仿宋"/>
          <w:b w:val="0"/>
          <w:bCs w:val="0"/>
          <w:i w:val="0"/>
          <w:caps w:val="0"/>
          <w:color w:val="333333"/>
          <w:spacing w:val="0"/>
          <w:kern w:val="0"/>
          <w:sz w:val="44"/>
          <w:szCs w:val="44"/>
          <w:shd w:val="clear" w:color="auto" w:fill="FFFFFF"/>
          <w:lang w:val="en-US" w:eastAsia="zh-CN" w:bidi="ar"/>
        </w:rPr>
        <w:instrText xml:space="preserve">TOC \o "1-1" \h \u </w:instrText>
      </w:r>
      <w:r>
        <w:rPr>
          <w:rFonts w:hint="eastAsia" w:ascii="仿宋" w:hAnsi="仿宋" w:eastAsia="仿宋" w:cs="仿宋"/>
          <w:b w:val="0"/>
          <w:bCs w:val="0"/>
          <w:i w:val="0"/>
          <w:caps w:val="0"/>
          <w:color w:val="333333"/>
          <w:spacing w:val="0"/>
          <w:kern w:val="0"/>
          <w:sz w:val="44"/>
          <w:szCs w:val="44"/>
          <w:shd w:val="clear" w:color="auto" w:fill="FFFFFF"/>
          <w:lang w:val="en-US" w:eastAsia="zh-CN" w:bidi="ar"/>
        </w:rPr>
        <w:fldChar w:fldCharType="separate"/>
      </w:r>
      <w:r>
        <w:rPr>
          <w:rFonts w:hint="eastAsia" w:ascii="仿宋" w:hAnsi="仿宋" w:eastAsia="仿宋" w:cs="仿宋"/>
          <w:bCs w:val="0"/>
          <w:i w:val="0"/>
          <w:caps w:val="0"/>
          <w:color w:val="333333"/>
          <w:spacing w:val="0"/>
          <w:kern w:val="0"/>
          <w:sz w:val="32"/>
          <w:szCs w:val="32"/>
          <w:shd w:val="clear" w:color="auto" w:fill="FFFFFF"/>
          <w:lang w:val="en-US" w:eastAsia="zh-CN" w:bidi="ar"/>
        </w:rPr>
        <w:fldChar w:fldCharType="begin"/>
      </w:r>
      <w:r>
        <w:rPr>
          <w:rFonts w:hint="eastAsia" w:ascii="仿宋" w:hAnsi="仿宋" w:eastAsia="仿宋" w:cs="仿宋"/>
          <w:bCs w:val="0"/>
          <w:i w:val="0"/>
          <w:caps w:val="0"/>
          <w:spacing w:val="0"/>
          <w:kern w:val="0"/>
          <w:sz w:val="32"/>
          <w:szCs w:val="32"/>
          <w:shd w:val="clear" w:color="auto" w:fill="FFFFFF"/>
          <w:lang w:val="en-US" w:eastAsia="zh-CN" w:bidi="ar"/>
        </w:rPr>
        <w:instrText xml:space="preserve"> HYPERLINK \l _Toc27902 </w:instrText>
      </w:r>
      <w:r>
        <w:rPr>
          <w:rFonts w:hint="eastAsia" w:ascii="仿宋" w:hAnsi="仿宋" w:eastAsia="仿宋" w:cs="仿宋"/>
          <w:bCs w:val="0"/>
          <w:i w:val="0"/>
          <w:caps w:val="0"/>
          <w:spacing w:val="0"/>
          <w:kern w:val="0"/>
          <w:sz w:val="32"/>
          <w:szCs w:val="32"/>
          <w:shd w:val="clear" w:color="auto" w:fill="FFFFFF"/>
          <w:lang w:val="en-US" w:eastAsia="zh-CN" w:bidi="ar"/>
        </w:rPr>
        <w:fldChar w:fldCharType="separate"/>
      </w:r>
      <w:r>
        <w:rPr>
          <w:rFonts w:hint="eastAsia" w:ascii="仿宋" w:hAnsi="仿宋" w:eastAsia="仿宋" w:cs="仿宋"/>
          <w:sz w:val="32"/>
          <w:szCs w:val="32"/>
          <w:lang w:val="en-US" w:eastAsia="zh-CN"/>
        </w:rPr>
        <w:t>一、基本职能及主要工作</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bCs w:val="0"/>
          <w:i w:val="0"/>
          <w:caps w:val="0"/>
          <w:color w:val="333333"/>
          <w:spacing w:val="0"/>
          <w:kern w:val="0"/>
          <w:sz w:val="32"/>
          <w:szCs w:val="32"/>
          <w:shd w:val="clear" w:color="auto" w:fill="FFFFFF"/>
          <w:lang w:val="en-US" w:eastAsia="zh-CN" w:bidi="ar"/>
        </w:rPr>
        <w:fldChar w:fldCharType="end"/>
      </w:r>
    </w:p>
    <w:p>
      <w:pPr>
        <w:pStyle w:val="4"/>
        <w:tabs>
          <w:tab w:val="right" w:leader="dot" w:pos="8845"/>
        </w:tabs>
        <w:rPr>
          <w:rFonts w:hint="eastAsia" w:ascii="仿宋" w:hAnsi="仿宋" w:eastAsia="仿宋" w:cs="仿宋"/>
          <w:sz w:val="32"/>
          <w:szCs w:val="32"/>
        </w:rPr>
      </w:pPr>
      <w:r>
        <w:rPr>
          <w:rFonts w:hint="eastAsia" w:ascii="仿宋" w:hAnsi="仿宋" w:eastAsia="仿宋" w:cs="仿宋"/>
          <w:bCs w:val="0"/>
          <w:i w:val="0"/>
          <w:caps w:val="0"/>
          <w:color w:val="333333"/>
          <w:spacing w:val="0"/>
          <w:kern w:val="0"/>
          <w:sz w:val="32"/>
          <w:szCs w:val="32"/>
          <w:shd w:val="clear" w:color="auto" w:fill="FFFFFF"/>
          <w:lang w:val="en-US" w:eastAsia="zh-CN" w:bidi="ar"/>
        </w:rPr>
        <w:fldChar w:fldCharType="begin"/>
      </w:r>
      <w:r>
        <w:rPr>
          <w:rFonts w:hint="eastAsia" w:ascii="仿宋" w:hAnsi="仿宋" w:eastAsia="仿宋" w:cs="仿宋"/>
          <w:bCs w:val="0"/>
          <w:i w:val="0"/>
          <w:caps w:val="0"/>
          <w:spacing w:val="0"/>
          <w:kern w:val="0"/>
          <w:sz w:val="32"/>
          <w:szCs w:val="32"/>
          <w:shd w:val="clear" w:color="auto" w:fill="FFFFFF"/>
          <w:lang w:val="en-US" w:eastAsia="zh-CN" w:bidi="ar"/>
        </w:rPr>
        <w:instrText xml:space="preserve"> HYPERLINK \l _Toc11570 </w:instrText>
      </w:r>
      <w:r>
        <w:rPr>
          <w:rFonts w:hint="eastAsia" w:ascii="仿宋" w:hAnsi="仿宋" w:eastAsia="仿宋" w:cs="仿宋"/>
          <w:bCs w:val="0"/>
          <w:i w:val="0"/>
          <w:caps w:val="0"/>
          <w:spacing w:val="0"/>
          <w:kern w:val="0"/>
          <w:sz w:val="32"/>
          <w:szCs w:val="32"/>
          <w:shd w:val="clear" w:color="auto" w:fill="FFFFFF"/>
          <w:lang w:val="en-US" w:eastAsia="zh-CN" w:bidi="ar"/>
        </w:rPr>
        <w:fldChar w:fldCharType="separate"/>
      </w:r>
      <w:r>
        <w:rPr>
          <w:rFonts w:hint="eastAsia" w:ascii="仿宋" w:hAnsi="仿宋" w:eastAsia="仿宋" w:cs="仿宋"/>
          <w:sz w:val="32"/>
          <w:szCs w:val="32"/>
          <w:lang w:val="en-US" w:eastAsia="zh-CN"/>
        </w:rPr>
        <w:t>二、部门预算单位构成</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bCs w:val="0"/>
          <w:i w:val="0"/>
          <w:caps w:val="0"/>
          <w:color w:val="333333"/>
          <w:spacing w:val="0"/>
          <w:kern w:val="0"/>
          <w:sz w:val="32"/>
          <w:szCs w:val="32"/>
          <w:shd w:val="clear" w:color="auto" w:fill="FFFFFF"/>
          <w:lang w:val="en-US" w:eastAsia="zh-CN" w:bidi="ar"/>
        </w:rPr>
        <w:fldChar w:fldCharType="end"/>
      </w:r>
    </w:p>
    <w:p>
      <w:pPr>
        <w:pStyle w:val="4"/>
        <w:tabs>
          <w:tab w:val="right" w:leader="dot" w:pos="8845"/>
        </w:tabs>
        <w:rPr>
          <w:rFonts w:hint="eastAsia" w:ascii="仿宋" w:hAnsi="仿宋" w:eastAsia="仿宋" w:cs="仿宋"/>
          <w:sz w:val="32"/>
          <w:szCs w:val="32"/>
        </w:rPr>
      </w:pPr>
      <w:r>
        <w:rPr>
          <w:rFonts w:hint="eastAsia" w:ascii="仿宋" w:hAnsi="仿宋" w:eastAsia="仿宋" w:cs="仿宋"/>
          <w:bCs w:val="0"/>
          <w:i w:val="0"/>
          <w:caps w:val="0"/>
          <w:color w:val="333333"/>
          <w:spacing w:val="0"/>
          <w:kern w:val="0"/>
          <w:sz w:val="32"/>
          <w:szCs w:val="32"/>
          <w:shd w:val="clear" w:color="auto" w:fill="FFFFFF"/>
          <w:lang w:val="en-US" w:eastAsia="zh-CN" w:bidi="ar"/>
        </w:rPr>
        <w:fldChar w:fldCharType="begin"/>
      </w:r>
      <w:r>
        <w:rPr>
          <w:rFonts w:hint="eastAsia" w:ascii="仿宋" w:hAnsi="仿宋" w:eastAsia="仿宋" w:cs="仿宋"/>
          <w:bCs w:val="0"/>
          <w:i w:val="0"/>
          <w:caps w:val="0"/>
          <w:spacing w:val="0"/>
          <w:kern w:val="0"/>
          <w:sz w:val="32"/>
          <w:szCs w:val="32"/>
          <w:shd w:val="clear" w:color="auto" w:fill="FFFFFF"/>
          <w:lang w:val="en-US" w:eastAsia="zh-CN" w:bidi="ar"/>
        </w:rPr>
        <w:instrText xml:space="preserve"> HYPERLINK \l _Toc28606 </w:instrText>
      </w:r>
      <w:r>
        <w:rPr>
          <w:rFonts w:hint="eastAsia" w:ascii="仿宋" w:hAnsi="仿宋" w:eastAsia="仿宋" w:cs="仿宋"/>
          <w:bCs w:val="0"/>
          <w:i w:val="0"/>
          <w:caps w:val="0"/>
          <w:spacing w:val="0"/>
          <w:kern w:val="0"/>
          <w:sz w:val="32"/>
          <w:szCs w:val="32"/>
          <w:shd w:val="clear" w:color="auto" w:fill="FFFFFF"/>
          <w:lang w:val="en-US" w:eastAsia="zh-CN" w:bidi="ar"/>
        </w:rPr>
        <w:fldChar w:fldCharType="separate"/>
      </w:r>
      <w:r>
        <w:rPr>
          <w:rFonts w:hint="eastAsia" w:ascii="仿宋" w:hAnsi="仿宋" w:eastAsia="仿宋" w:cs="仿宋"/>
          <w:sz w:val="32"/>
          <w:szCs w:val="32"/>
          <w:lang w:val="en-US" w:eastAsia="zh-CN"/>
        </w:rPr>
        <w:t>三、收支预算情况说明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bCs w:val="0"/>
          <w:i w:val="0"/>
          <w:caps w:val="0"/>
          <w:color w:val="333333"/>
          <w:spacing w:val="0"/>
          <w:kern w:val="0"/>
          <w:sz w:val="32"/>
          <w:szCs w:val="32"/>
          <w:shd w:val="clear" w:color="auto" w:fill="FFFFFF"/>
          <w:lang w:val="en-US" w:eastAsia="zh-CN" w:bidi="ar"/>
        </w:rPr>
        <w:fldChar w:fldCharType="end"/>
      </w:r>
    </w:p>
    <w:p>
      <w:pPr>
        <w:pStyle w:val="4"/>
        <w:tabs>
          <w:tab w:val="right" w:leader="dot" w:pos="8845"/>
        </w:tabs>
        <w:rPr>
          <w:rFonts w:hint="eastAsia" w:ascii="仿宋" w:hAnsi="仿宋" w:eastAsia="仿宋" w:cs="仿宋"/>
          <w:sz w:val="32"/>
          <w:szCs w:val="32"/>
        </w:rPr>
      </w:pPr>
      <w:r>
        <w:rPr>
          <w:rFonts w:hint="eastAsia" w:ascii="仿宋" w:hAnsi="仿宋" w:eastAsia="仿宋" w:cs="仿宋"/>
          <w:bCs w:val="0"/>
          <w:i w:val="0"/>
          <w:caps w:val="0"/>
          <w:color w:val="333333"/>
          <w:spacing w:val="0"/>
          <w:kern w:val="0"/>
          <w:sz w:val="32"/>
          <w:szCs w:val="32"/>
          <w:shd w:val="clear" w:color="auto" w:fill="FFFFFF"/>
          <w:lang w:val="en-US" w:eastAsia="zh-CN" w:bidi="ar"/>
        </w:rPr>
        <w:fldChar w:fldCharType="begin"/>
      </w:r>
      <w:r>
        <w:rPr>
          <w:rFonts w:hint="eastAsia" w:ascii="仿宋" w:hAnsi="仿宋" w:eastAsia="仿宋" w:cs="仿宋"/>
          <w:bCs w:val="0"/>
          <w:i w:val="0"/>
          <w:caps w:val="0"/>
          <w:spacing w:val="0"/>
          <w:kern w:val="0"/>
          <w:sz w:val="32"/>
          <w:szCs w:val="32"/>
          <w:shd w:val="clear" w:color="auto" w:fill="FFFFFF"/>
          <w:lang w:val="en-US" w:eastAsia="zh-CN" w:bidi="ar"/>
        </w:rPr>
        <w:instrText xml:space="preserve"> HYPERLINK \l _Toc30095 </w:instrText>
      </w:r>
      <w:r>
        <w:rPr>
          <w:rFonts w:hint="eastAsia" w:ascii="仿宋" w:hAnsi="仿宋" w:eastAsia="仿宋" w:cs="仿宋"/>
          <w:bCs w:val="0"/>
          <w:i w:val="0"/>
          <w:caps w:val="0"/>
          <w:spacing w:val="0"/>
          <w:kern w:val="0"/>
          <w:sz w:val="32"/>
          <w:szCs w:val="32"/>
          <w:shd w:val="clear" w:color="auto" w:fill="FFFFFF"/>
          <w:lang w:val="en-US" w:eastAsia="zh-CN" w:bidi="ar"/>
        </w:rPr>
        <w:fldChar w:fldCharType="separate"/>
      </w:r>
      <w:r>
        <w:rPr>
          <w:rFonts w:hint="eastAsia" w:ascii="仿宋" w:hAnsi="仿宋" w:eastAsia="仿宋" w:cs="仿宋"/>
          <w:sz w:val="32"/>
          <w:szCs w:val="32"/>
          <w:lang w:val="en-US" w:eastAsia="zh-CN"/>
        </w:rPr>
        <w:t>四、财政拨款收支预算情况说明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bCs w:val="0"/>
          <w:i w:val="0"/>
          <w:caps w:val="0"/>
          <w:color w:val="333333"/>
          <w:spacing w:val="0"/>
          <w:kern w:val="0"/>
          <w:sz w:val="32"/>
          <w:szCs w:val="32"/>
          <w:shd w:val="clear" w:color="auto" w:fill="FFFFFF"/>
          <w:lang w:val="en-US" w:eastAsia="zh-CN" w:bidi="ar"/>
        </w:rPr>
        <w:fldChar w:fldCharType="end"/>
      </w:r>
    </w:p>
    <w:p>
      <w:pPr>
        <w:pStyle w:val="4"/>
        <w:tabs>
          <w:tab w:val="right" w:leader="dot" w:pos="8845"/>
        </w:tabs>
        <w:rPr>
          <w:rFonts w:hint="eastAsia" w:ascii="仿宋" w:hAnsi="仿宋" w:eastAsia="仿宋" w:cs="仿宋"/>
          <w:sz w:val="32"/>
          <w:szCs w:val="32"/>
        </w:rPr>
      </w:pPr>
      <w:r>
        <w:rPr>
          <w:rFonts w:hint="eastAsia" w:ascii="仿宋" w:hAnsi="仿宋" w:eastAsia="仿宋" w:cs="仿宋"/>
          <w:bCs w:val="0"/>
          <w:i w:val="0"/>
          <w:caps w:val="0"/>
          <w:color w:val="333333"/>
          <w:spacing w:val="0"/>
          <w:kern w:val="0"/>
          <w:sz w:val="32"/>
          <w:szCs w:val="32"/>
          <w:shd w:val="clear" w:color="auto" w:fill="FFFFFF"/>
          <w:lang w:val="en-US" w:eastAsia="zh-CN" w:bidi="ar"/>
        </w:rPr>
        <w:fldChar w:fldCharType="begin"/>
      </w:r>
      <w:r>
        <w:rPr>
          <w:rFonts w:hint="eastAsia" w:ascii="仿宋" w:hAnsi="仿宋" w:eastAsia="仿宋" w:cs="仿宋"/>
          <w:bCs w:val="0"/>
          <w:i w:val="0"/>
          <w:caps w:val="0"/>
          <w:spacing w:val="0"/>
          <w:kern w:val="0"/>
          <w:sz w:val="32"/>
          <w:szCs w:val="32"/>
          <w:shd w:val="clear" w:color="auto" w:fill="FFFFFF"/>
          <w:lang w:val="en-US" w:eastAsia="zh-CN" w:bidi="ar"/>
        </w:rPr>
        <w:instrText xml:space="preserve"> HYPERLINK \l _Toc14060 </w:instrText>
      </w:r>
      <w:r>
        <w:rPr>
          <w:rFonts w:hint="eastAsia" w:ascii="仿宋" w:hAnsi="仿宋" w:eastAsia="仿宋" w:cs="仿宋"/>
          <w:bCs w:val="0"/>
          <w:i w:val="0"/>
          <w:caps w:val="0"/>
          <w:spacing w:val="0"/>
          <w:kern w:val="0"/>
          <w:sz w:val="32"/>
          <w:szCs w:val="32"/>
          <w:shd w:val="clear" w:color="auto" w:fill="FFFFFF"/>
          <w:lang w:val="en-US" w:eastAsia="zh-CN" w:bidi="ar"/>
        </w:rPr>
        <w:fldChar w:fldCharType="separate"/>
      </w:r>
      <w:r>
        <w:rPr>
          <w:rFonts w:hint="eastAsia" w:ascii="仿宋" w:hAnsi="仿宋" w:eastAsia="仿宋" w:cs="仿宋"/>
          <w:sz w:val="32"/>
          <w:szCs w:val="32"/>
          <w:lang w:val="en-US" w:eastAsia="zh-CN"/>
        </w:rPr>
        <w:t>五、一般公共预算当年拨款情况说明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_Toc14060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bCs w:val="0"/>
          <w:i w:val="0"/>
          <w:caps w:val="0"/>
          <w:color w:val="333333"/>
          <w:spacing w:val="0"/>
          <w:kern w:val="0"/>
          <w:sz w:val="32"/>
          <w:szCs w:val="32"/>
          <w:shd w:val="clear" w:color="auto" w:fill="FFFFFF"/>
          <w:lang w:val="en-US" w:eastAsia="zh-CN" w:bidi="ar"/>
        </w:rPr>
        <w:fldChar w:fldCharType="end"/>
      </w:r>
    </w:p>
    <w:p>
      <w:pPr>
        <w:pStyle w:val="4"/>
        <w:tabs>
          <w:tab w:val="right" w:leader="dot" w:pos="8845"/>
        </w:tabs>
        <w:rPr>
          <w:rFonts w:hint="eastAsia" w:ascii="仿宋" w:hAnsi="仿宋" w:eastAsia="仿宋" w:cs="仿宋"/>
          <w:sz w:val="32"/>
          <w:szCs w:val="32"/>
        </w:rPr>
      </w:pPr>
      <w:r>
        <w:rPr>
          <w:rFonts w:hint="eastAsia" w:ascii="仿宋" w:hAnsi="仿宋" w:eastAsia="仿宋" w:cs="仿宋"/>
          <w:bCs w:val="0"/>
          <w:i w:val="0"/>
          <w:caps w:val="0"/>
          <w:color w:val="333333"/>
          <w:spacing w:val="0"/>
          <w:kern w:val="0"/>
          <w:sz w:val="32"/>
          <w:szCs w:val="32"/>
          <w:shd w:val="clear" w:color="auto" w:fill="FFFFFF"/>
          <w:lang w:val="en-US" w:eastAsia="zh-CN" w:bidi="ar"/>
        </w:rPr>
        <w:fldChar w:fldCharType="begin"/>
      </w:r>
      <w:r>
        <w:rPr>
          <w:rFonts w:hint="eastAsia" w:ascii="仿宋" w:hAnsi="仿宋" w:eastAsia="仿宋" w:cs="仿宋"/>
          <w:bCs w:val="0"/>
          <w:i w:val="0"/>
          <w:caps w:val="0"/>
          <w:spacing w:val="0"/>
          <w:kern w:val="0"/>
          <w:sz w:val="32"/>
          <w:szCs w:val="32"/>
          <w:shd w:val="clear" w:color="auto" w:fill="FFFFFF"/>
          <w:lang w:val="en-US" w:eastAsia="zh-CN" w:bidi="ar"/>
        </w:rPr>
        <w:instrText xml:space="preserve"> HYPERLINK \l _Toc2260 </w:instrText>
      </w:r>
      <w:r>
        <w:rPr>
          <w:rFonts w:hint="eastAsia" w:ascii="仿宋" w:hAnsi="仿宋" w:eastAsia="仿宋" w:cs="仿宋"/>
          <w:bCs w:val="0"/>
          <w:i w:val="0"/>
          <w:caps w:val="0"/>
          <w:spacing w:val="0"/>
          <w:kern w:val="0"/>
          <w:sz w:val="32"/>
          <w:szCs w:val="32"/>
          <w:shd w:val="clear" w:color="auto" w:fill="FFFFFF"/>
          <w:lang w:val="en-US" w:eastAsia="zh-CN" w:bidi="ar"/>
        </w:rPr>
        <w:fldChar w:fldCharType="separate"/>
      </w:r>
      <w:r>
        <w:rPr>
          <w:rFonts w:hint="eastAsia" w:ascii="仿宋" w:hAnsi="仿宋" w:eastAsia="仿宋" w:cs="仿宋"/>
          <w:sz w:val="32"/>
          <w:szCs w:val="32"/>
          <w:lang w:val="en-US" w:eastAsia="zh-CN"/>
        </w:rPr>
        <w:t>六、一般公共预算基本支出情况说明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_Toc2260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bCs w:val="0"/>
          <w:i w:val="0"/>
          <w:caps w:val="0"/>
          <w:color w:val="333333"/>
          <w:spacing w:val="0"/>
          <w:kern w:val="0"/>
          <w:sz w:val="32"/>
          <w:szCs w:val="32"/>
          <w:shd w:val="clear" w:color="auto" w:fill="FFFFFF"/>
          <w:lang w:val="en-US" w:eastAsia="zh-CN" w:bidi="ar"/>
        </w:rPr>
        <w:fldChar w:fldCharType="end"/>
      </w:r>
    </w:p>
    <w:p>
      <w:pPr>
        <w:pStyle w:val="4"/>
        <w:tabs>
          <w:tab w:val="right" w:leader="dot" w:pos="8845"/>
        </w:tabs>
        <w:rPr>
          <w:rFonts w:hint="eastAsia" w:ascii="仿宋" w:hAnsi="仿宋" w:eastAsia="仿宋" w:cs="仿宋"/>
          <w:sz w:val="32"/>
          <w:szCs w:val="32"/>
        </w:rPr>
      </w:pPr>
      <w:r>
        <w:rPr>
          <w:rFonts w:hint="eastAsia" w:ascii="仿宋" w:hAnsi="仿宋" w:eastAsia="仿宋" w:cs="仿宋"/>
          <w:bCs w:val="0"/>
          <w:i w:val="0"/>
          <w:caps w:val="0"/>
          <w:color w:val="333333"/>
          <w:spacing w:val="0"/>
          <w:kern w:val="0"/>
          <w:sz w:val="32"/>
          <w:szCs w:val="32"/>
          <w:shd w:val="clear" w:color="auto" w:fill="FFFFFF"/>
          <w:lang w:val="en-US" w:eastAsia="zh-CN" w:bidi="ar"/>
        </w:rPr>
        <w:fldChar w:fldCharType="begin"/>
      </w:r>
      <w:r>
        <w:rPr>
          <w:rFonts w:hint="eastAsia" w:ascii="仿宋" w:hAnsi="仿宋" w:eastAsia="仿宋" w:cs="仿宋"/>
          <w:bCs w:val="0"/>
          <w:i w:val="0"/>
          <w:caps w:val="0"/>
          <w:spacing w:val="0"/>
          <w:kern w:val="0"/>
          <w:sz w:val="32"/>
          <w:szCs w:val="32"/>
          <w:shd w:val="clear" w:color="auto" w:fill="FFFFFF"/>
          <w:lang w:val="en-US" w:eastAsia="zh-CN" w:bidi="ar"/>
        </w:rPr>
        <w:instrText xml:space="preserve"> HYPERLINK \l _Toc26069 </w:instrText>
      </w:r>
      <w:r>
        <w:rPr>
          <w:rFonts w:hint="eastAsia" w:ascii="仿宋" w:hAnsi="仿宋" w:eastAsia="仿宋" w:cs="仿宋"/>
          <w:bCs w:val="0"/>
          <w:i w:val="0"/>
          <w:caps w:val="0"/>
          <w:spacing w:val="0"/>
          <w:kern w:val="0"/>
          <w:sz w:val="32"/>
          <w:szCs w:val="32"/>
          <w:shd w:val="clear" w:color="auto" w:fill="FFFFFF"/>
          <w:lang w:val="en-US" w:eastAsia="zh-CN" w:bidi="ar"/>
        </w:rPr>
        <w:fldChar w:fldCharType="separate"/>
      </w:r>
      <w:r>
        <w:rPr>
          <w:rFonts w:hint="eastAsia" w:ascii="仿宋" w:hAnsi="仿宋" w:eastAsia="仿宋" w:cs="仿宋"/>
          <w:sz w:val="32"/>
          <w:szCs w:val="32"/>
          <w:lang w:val="en-US" w:eastAsia="zh-CN"/>
        </w:rPr>
        <w:t>七、“三公”经费财政拨款预算安排情况说明</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bCs w:val="0"/>
          <w:i w:val="0"/>
          <w:caps w:val="0"/>
          <w:color w:val="333333"/>
          <w:spacing w:val="0"/>
          <w:kern w:val="0"/>
          <w:sz w:val="32"/>
          <w:szCs w:val="32"/>
          <w:shd w:val="clear" w:color="auto" w:fill="FFFFFF"/>
          <w:lang w:val="en-US" w:eastAsia="zh-CN" w:bidi="ar"/>
        </w:rPr>
        <w:fldChar w:fldCharType="end"/>
      </w:r>
    </w:p>
    <w:p>
      <w:pPr>
        <w:pStyle w:val="4"/>
        <w:tabs>
          <w:tab w:val="right" w:leader="dot" w:pos="8845"/>
        </w:tabs>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bCs w:val="0"/>
          <w:i w:val="0"/>
          <w:caps w:val="0"/>
          <w:color w:val="333333"/>
          <w:spacing w:val="0"/>
          <w:kern w:val="0"/>
          <w:sz w:val="32"/>
          <w:szCs w:val="32"/>
          <w:shd w:val="clear" w:color="auto" w:fill="FFFFFF"/>
          <w:lang w:val="en-US" w:eastAsia="zh-CN" w:bidi="ar"/>
        </w:rPr>
        <w:fldChar w:fldCharType="begin"/>
      </w:r>
      <w:r>
        <w:rPr>
          <w:rFonts w:hint="eastAsia" w:ascii="仿宋" w:hAnsi="仿宋" w:eastAsia="仿宋" w:cs="仿宋"/>
          <w:bCs w:val="0"/>
          <w:i w:val="0"/>
          <w:caps w:val="0"/>
          <w:spacing w:val="0"/>
          <w:kern w:val="0"/>
          <w:sz w:val="32"/>
          <w:szCs w:val="32"/>
          <w:shd w:val="clear" w:color="auto" w:fill="FFFFFF"/>
          <w:lang w:val="en-US" w:eastAsia="zh-CN" w:bidi="ar"/>
        </w:rPr>
        <w:instrText xml:space="preserve"> HYPERLINK \l _Toc22682 </w:instrText>
      </w:r>
      <w:r>
        <w:rPr>
          <w:rFonts w:hint="eastAsia" w:ascii="仿宋" w:hAnsi="仿宋" w:eastAsia="仿宋" w:cs="仿宋"/>
          <w:bCs w:val="0"/>
          <w:i w:val="0"/>
          <w:caps w:val="0"/>
          <w:spacing w:val="0"/>
          <w:kern w:val="0"/>
          <w:sz w:val="32"/>
          <w:szCs w:val="32"/>
          <w:shd w:val="clear" w:color="auto" w:fill="FFFFFF"/>
          <w:lang w:val="en-US" w:eastAsia="zh-CN" w:bidi="ar"/>
        </w:rPr>
        <w:fldChar w:fldCharType="separate"/>
      </w:r>
      <w:r>
        <w:rPr>
          <w:rFonts w:hint="eastAsia" w:ascii="仿宋" w:hAnsi="仿宋" w:eastAsia="仿宋" w:cs="仿宋"/>
          <w:i w:val="0"/>
          <w:iCs w:val="0"/>
          <w:caps w:val="0"/>
          <w:color w:val="333333"/>
          <w:spacing w:val="0"/>
          <w:sz w:val="32"/>
          <w:szCs w:val="32"/>
          <w:shd w:val="clear" w:fill="FFFFFF"/>
        </w:rPr>
        <w:t>八、政府性基金预算支出情况说明</w:t>
      </w:r>
      <w:r>
        <w:rPr>
          <w:rFonts w:hint="eastAsia" w:ascii="仿宋" w:hAnsi="仿宋" w:eastAsia="仿宋" w:cs="仿宋"/>
          <w:sz w:val="32"/>
          <w:szCs w:val="32"/>
        </w:rPr>
        <w:tab/>
      </w:r>
      <w:r>
        <w:rPr>
          <w:rFonts w:hint="eastAsia" w:ascii="仿宋" w:hAnsi="仿宋" w:eastAsia="仿宋" w:cs="仿宋"/>
          <w:sz w:val="32"/>
          <w:szCs w:val="32"/>
          <w:lang w:val="en-US" w:eastAsia="zh-CN"/>
        </w:rPr>
        <w:t>6</w:t>
      </w:r>
    </w:p>
    <w:p>
      <w:pPr>
        <w:pStyle w:val="4"/>
        <w:tabs>
          <w:tab w:val="right" w:leader="dot" w:pos="8845"/>
        </w:tabs>
        <w:rPr>
          <w:rFonts w:hint="eastAsia" w:ascii="仿宋" w:hAnsi="仿宋" w:eastAsia="仿宋" w:cs="仿宋"/>
          <w:sz w:val="32"/>
          <w:szCs w:val="32"/>
        </w:rPr>
      </w:pPr>
      <w:r>
        <w:rPr>
          <w:rFonts w:hint="eastAsia" w:ascii="仿宋" w:hAnsi="仿宋" w:eastAsia="仿宋" w:cs="仿宋"/>
          <w:sz w:val="32"/>
          <w:szCs w:val="32"/>
          <w:lang w:val="en-US" w:eastAsia="zh-CN"/>
        </w:rPr>
        <w:t>九</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sz w:val="32"/>
          <w:szCs w:val="32"/>
          <w:lang w:val="en-US" w:eastAsia="zh-CN"/>
        </w:rPr>
        <w:t>国有资本经营预算支出情况说明</w:t>
      </w:r>
      <w:r>
        <w:rPr>
          <w:rFonts w:hint="eastAsia" w:ascii="仿宋" w:hAnsi="仿宋" w:eastAsia="仿宋" w:cs="仿宋"/>
          <w:sz w:val="32"/>
          <w:szCs w:val="32"/>
        </w:rPr>
        <w:tab/>
      </w:r>
      <w:r>
        <w:rPr>
          <w:rFonts w:hint="eastAsia" w:ascii="仿宋" w:hAnsi="仿宋" w:eastAsia="仿宋" w:cs="仿宋"/>
          <w:sz w:val="32"/>
          <w:szCs w:val="32"/>
          <w:lang w:val="en-US" w:eastAsia="zh-CN"/>
        </w:rPr>
        <w:t>6</w:t>
      </w:r>
      <w:r>
        <w:rPr>
          <w:rFonts w:hint="eastAsia" w:ascii="仿宋" w:hAnsi="仿宋" w:eastAsia="仿宋" w:cs="仿宋"/>
          <w:bCs w:val="0"/>
          <w:i w:val="0"/>
          <w:caps w:val="0"/>
          <w:color w:val="333333"/>
          <w:spacing w:val="0"/>
          <w:kern w:val="0"/>
          <w:sz w:val="32"/>
          <w:szCs w:val="32"/>
          <w:shd w:val="clear" w:color="auto" w:fill="FFFFFF"/>
          <w:lang w:val="en-US" w:eastAsia="zh-CN" w:bidi="ar"/>
        </w:rPr>
        <w:fldChar w:fldCharType="end"/>
      </w:r>
    </w:p>
    <w:p>
      <w:pPr>
        <w:pStyle w:val="4"/>
        <w:tabs>
          <w:tab w:val="right" w:leader="dot" w:pos="8845"/>
        </w:tabs>
        <w:rPr>
          <w:rFonts w:hint="eastAsia" w:ascii="仿宋" w:hAnsi="仿宋" w:eastAsia="仿宋" w:cs="仿宋"/>
          <w:sz w:val="32"/>
          <w:szCs w:val="32"/>
        </w:rPr>
      </w:pPr>
      <w:r>
        <w:rPr>
          <w:rFonts w:hint="eastAsia" w:ascii="仿宋" w:hAnsi="仿宋" w:eastAsia="仿宋" w:cs="仿宋"/>
          <w:bCs w:val="0"/>
          <w:i w:val="0"/>
          <w:caps w:val="0"/>
          <w:color w:val="333333"/>
          <w:spacing w:val="0"/>
          <w:kern w:val="0"/>
          <w:sz w:val="32"/>
          <w:szCs w:val="32"/>
          <w:shd w:val="clear" w:color="auto" w:fill="FFFFFF"/>
          <w:lang w:val="en-US" w:eastAsia="zh-CN" w:bidi="ar"/>
        </w:rPr>
        <w:fldChar w:fldCharType="begin"/>
      </w:r>
      <w:r>
        <w:rPr>
          <w:rFonts w:hint="eastAsia" w:ascii="仿宋" w:hAnsi="仿宋" w:eastAsia="仿宋" w:cs="仿宋"/>
          <w:bCs w:val="0"/>
          <w:i w:val="0"/>
          <w:caps w:val="0"/>
          <w:spacing w:val="0"/>
          <w:kern w:val="0"/>
          <w:sz w:val="32"/>
          <w:szCs w:val="32"/>
          <w:shd w:val="clear" w:color="auto" w:fill="FFFFFF"/>
          <w:lang w:val="en-US" w:eastAsia="zh-CN" w:bidi="ar"/>
        </w:rPr>
        <w:instrText xml:space="preserve"> HYPERLINK \l _Toc7457 </w:instrText>
      </w:r>
      <w:r>
        <w:rPr>
          <w:rFonts w:hint="eastAsia" w:ascii="仿宋" w:hAnsi="仿宋" w:eastAsia="仿宋" w:cs="仿宋"/>
          <w:bCs w:val="0"/>
          <w:i w:val="0"/>
          <w:caps w:val="0"/>
          <w:spacing w:val="0"/>
          <w:kern w:val="0"/>
          <w:sz w:val="32"/>
          <w:szCs w:val="32"/>
          <w:shd w:val="clear" w:color="auto" w:fill="FFFFFF"/>
          <w:lang w:val="en-US" w:eastAsia="zh-CN" w:bidi="ar"/>
        </w:rPr>
        <w:fldChar w:fldCharType="separate"/>
      </w:r>
      <w:r>
        <w:rPr>
          <w:rFonts w:hint="eastAsia" w:ascii="仿宋" w:hAnsi="仿宋" w:eastAsia="仿宋" w:cs="仿宋"/>
          <w:sz w:val="32"/>
          <w:szCs w:val="32"/>
          <w:lang w:val="en-US" w:eastAsia="zh-CN"/>
        </w:rPr>
        <w:t>十、其他重要事项的情况说明</w:t>
      </w:r>
      <w:r>
        <w:rPr>
          <w:rFonts w:hint="eastAsia" w:ascii="仿宋" w:hAnsi="仿宋" w:eastAsia="仿宋" w:cs="仿宋"/>
          <w:sz w:val="32"/>
          <w:szCs w:val="32"/>
        </w:rPr>
        <w:tab/>
      </w:r>
      <w:r>
        <w:rPr>
          <w:rFonts w:hint="eastAsia" w:ascii="仿宋" w:hAnsi="仿宋" w:eastAsia="仿宋" w:cs="仿宋"/>
          <w:sz w:val="32"/>
          <w:szCs w:val="32"/>
          <w:lang w:val="en-US" w:eastAsia="zh-CN"/>
        </w:rPr>
        <w:t>6</w:t>
      </w:r>
      <w:r>
        <w:rPr>
          <w:rFonts w:hint="eastAsia" w:ascii="仿宋" w:hAnsi="仿宋" w:eastAsia="仿宋" w:cs="仿宋"/>
          <w:bCs w:val="0"/>
          <w:i w:val="0"/>
          <w:caps w:val="0"/>
          <w:color w:val="333333"/>
          <w:spacing w:val="0"/>
          <w:kern w:val="0"/>
          <w:sz w:val="32"/>
          <w:szCs w:val="32"/>
          <w:shd w:val="clear" w:color="auto" w:fill="FFFFFF"/>
          <w:lang w:val="en-US" w:eastAsia="zh-CN" w:bidi="ar"/>
        </w:rPr>
        <w:fldChar w:fldCharType="end"/>
      </w:r>
    </w:p>
    <w:p>
      <w:pPr>
        <w:pStyle w:val="4"/>
        <w:tabs>
          <w:tab w:val="right" w:leader="dot" w:pos="8845"/>
        </w:tabs>
        <w:rPr>
          <w:rFonts w:hint="eastAsia" w:ascii="仿宋" w:hAnsi="仿宋" w:eastAsia="仿宋" w:cs="仿宋"/>
        </w:rPr>
      </w:pPr>
      <w:r>
        <w:rPr>
          <w:rFonts w:hint="eastAsia" w:ascii="仿宋" w:hAnsi="仿宋" w:eastAsia="仿宋" w:cs="仿宋"/>
          <w:bCs w:val="0"/>
          <w:i w:val="0"/>
          <w:caps w:val="0"/>
          <w:color w:val="333333"/>
          <w:spacing w:val="0"/>
          <w:kern w:val="0"/>
          <w:sz w:val="32"/>
          <w:szCs w:val="32"/>
          <w:shd w:val="clear" w:color="auto" w:fill="FFFFFF"/>
          <w:lang w:val="en-US" w:eastAsia="zh-CN" w:bidi="ar"/>
        </w:rPr>
        <w:fldChar w:fldCharType="begin"/>
      </w:r>
      <w:r>
        <w:rPr>
          <w:rFonts w:hint="eastAsia" w:ascii="仿宋" w:hAnsi="仿宋" w:eastAsia="仿宋" w:cs="仿宋"/>
          <w:bCs w:val="0"/>
          <w:i w:val="0"/>
          <w:caps w:val="0"/>
          <w:spacing w:val="0"/>
          <w:kern w:val="0"/>
          <w:sz w:val="32"/>
          <w:szCs w:val="32"/>
          <w:shd w:val="clear" w:color="auto" w:fill="FFFFFF"/>
          <w:lang w:val="en-US" w:eastAsia="zh-CN" w:bidi="ar"/>
        </w:rPr>
        <w:instrText xml:space="preserve"> HYPERLINK \l _Toc2681 </w:instrText>
      </w:r>
      <w:r>
        <w:rPr>
          <w:rFonts w:hint="eastAsia" w:ascii="仿宋" w:hAnsi="仿宋" w:eastAsia="仿宋" w:cs="仿宋"/>
          <w:bCs w:val="0"/>
          <w:i w:val="0"/>
          <w:caps w:val="0"/>
          <w:spacing w:val="0"/>
          <w:kern w:val="0"/>
          <w:sz w:val="32"/>
          <w:szCs w:val="32"/>
          <w:shd w:val="clear" w:color="auto" w:fill="FFFFFF"/>
          <w:lang w:val="en-US" w:eastAsia="zh-CN" w:bidi="ar"/>
        </w:rPr>
        <w:fldChar w:fldCharType="separate"/>
      </w:r>
      <w:r>
        <w:rPr>
          <w:rFonts w:hint="eastAsia" w:ascii="仿宋" w:hAnsi="仿宋" w:eastAsia="仿宋" w:cs="仿宋"/>
          <w:sz w:val="32"/>
          <w:szCs w:val="32"/>
          <w:lang w:val="en-US" w:eastAsia="zh-CN"/>
        </w:rPr>
        <w:t>十一、名词解释</w:t>
      </w:r>
      <w:r>
        <w:rPr>
          <w:rFonts w:hint="eastAsia" w:ascii="仿宋" w:hAnsi="仿宋" w:eastAsia="仿宋" w:cs="仿宋"/>
          <w:sz w:val="32"/>
          <w:szCs w:val="32"/>
        </w:rPr>
        <w:tab/>
      </w:r>
      <w:r>
        <w:rPr>
          <w:rFonts w:hint="eastAsia" w:ascii="仿宋" w:hAnsi="仿宋" w:eastAsia="仿宋" w:cs="仿宋"/>
          <w:sz w:val="32"/>
          <w:szCs w:val="32"/>
          <w:lang w:val="en-US" w:eastAsia="zh-CN"/>
        </w:rPr>
        <w:t>6</w:t>
      </w:r>
      <w:r>
        <w:rPr>
          <w:rFonts w:hint="eastAsia" w:ascii="仿宋" w:hAnsi="仿宋" w:eastAsia="仿宋" w:cs="仿宋"/>
          <w:bCs w:val="0"/>
          <w:i w:val="0"/>
          <w:caps w:val="0"/>
          <w:color w:val="333333"/>
          <w:spacing w:val="0"/>
          <w:kern w:val="0"/>
          <w:sz w:val="32"/>
          <w:szCs w:val="32"/>
          <w:shd w:val="clear" w:color="auto"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bCs w:val="0"/>
          <w:i w:val="0"/>
          <w:caps w:val="0"/>
          <w:color w:val="333333"/>
          <w:spacing w:val="0"/>
          <w:kern w:val="0"/>
          <w:szCs w:val="44"/>
          <w:shd w:val="clear" w:color="auto" w:fill="FFFFFF"/>
          <w:lang w:val="en-US" w:eastAsia="zh-CN" w:bidi="ar"/>
        </w:rPr>
        <w:fldChar w:fldCharType="end"/>
      </w:r>
      <w:r>
        <w:rPr>
          <w:rFonts w:ascii="socialshare" w:hAnsi="socialshare" w:eastAsia="socialshare" w:cs="socialshare"/>
          <w:i w:val="0"/>
          <w:iCs w:val="0"/>
          <w:caps w:val="0"/>
          <w:color w:val="FDBE3D"/>
          <w:spacing w:val="0"/>
          <w:kern w:val="0"/>
          <w:sz w:val="24"/>
          <w:szCs w:val="24"/>
          <w:u w:val="none"/>
          <w:bdr w:val="single" w:color="FDBE3D" w:sz="6" w:space="0"/>
          <w:shd w:val="clear" w:fill="FFFFFF"/>
          <w:lang w:val="en-US" w:eastAsia="zh-CN" w:bidi="ar"/>
        </w:rPr>
        <w:fldChar w:fldCharType="begin"/>
      </w:r>
      <w:r>
        <w:rPr>
          <w:rFonts w:ascii="socialshare" w:hAnsi="socialshare" w:eastAsia="socialshare" w:cs="socialshare"/>
          <w:i w:val="0"/>
          <w:iCs w:val="0"/>
          <w:caps w:val="0"/>
          <w:color w:val="FDBE3D"/>
          <w:spacing w:val="0"/>
          <w:kern w:val="0"/>
          <w:sz w:val="24"/>
          <w:szCs w:val="24"/>
          <w:u w:val="none"/>
          <w:bdr w:val="single" w:color="FDBE3D" w:sz="6" w:space="0"/>
          <w:shd w:val="clear" w:fill="FFFFFF"/>
          <w:lang w:val="en-US" w:eastAsia="zh-CN" w:bidi="ar"/>
        </w:rPr>
        <w:instrText xml:space="preserve"> HYPERLINK "http://sns.qzone.qq.com/cgi-bin/qzshare/cgi_qzshare_onekey?url=http://www.cnzh.gov.cn/Open/Detail/20210521124109-33830-00-000.html&amp;title=%E5%9B%9B%E5%B7%9D%E7%9C%81%E5%B9%BF%E5%85%83%E5%B8%82%E6%98%AD%E5%8C%96%E5%8C%BA%E5%85%AC%E8%B7%AF%E5%85%BB%E6%8A%A4%E6%AE%B52021%E5%B9%B4%E9%A2%84%E7%AE%97%E5%85%AC%E5%BC%80-%E6%94%BF%E5%BA%9C%E4%BF%A1%E6%81%AF%E5%85%AC%E5%BC%80%E7%9B%AE%E5%BD%95-%E5%B9%BF%E5%85%83%E5%B8%82%E6%98%AD%E5%8C%96%E5%8C%BA%E4%BA%BA%E6%B0%91%E6%94%BF%E5%BA%9C&amp;desc=%E6%98%AD%E5%8C%96%E5%8C%BA%E6%98%AF%E9%9A%B6%E5%B1%9E%E5%9B%9B%E5%B7%9D%E7%9C%81%E5%B9%BF%E5%85%83%E5%B8%82%E7%9A%84%E4%B8%80%E4%B8%AA%E5%B8%82%E8%BE%96%E5%8C%BA%EF%BC%8C%E4%BD%8D%E4%BA%8E%E5%9B%9B%E5%B7%9D%E7%9B%86%E5%9C%B0%E5%8C%97%E9%83%A8%EF%BC%8C%E5%B9%BF%E5%85%83%E5%B8%82%E4%B8%AD%E9%83%A8%EF%BC%8C%E6%80%BB%E9%9D%A2%E7%A7%AF1434.71%E5%B9%B3%E6%96%B9%E5%85%AC%E9%87%8C%EF%BC%8C%E8%BE%9611%E4%B8%AA%E9%95%87%E3%80%8117%E4%B8%AA%E4%B9%A1%E5%92%8C1%E4%B8%AA%E8%A1%97%E9%81%93%EF%BC%8C%E5%8C%BA%E6%94%BF%E5%BA%9C%E9%A9%BB%E5%85%83%E5%9D%9D%E9%95%87%E3%80%82&amp;summary=%E6%98%AD%E5%8C%96%E5%8C%BA%E6%98%AF%E9%9A%B6%E5%B1%9E%E5%9B%9B%E5%B7%9D%E7%9C%81%E5%B9%BF%E5%85%83%E5%B8%82%E7%9A%84%E4%B8%80%E4%B8%AA%E5%B8%82%E8%BE%96%E5%8C%BA%EF%BC%8C%E4%BD%8D%E4%BA%8E%E5%9B%9B%E5%B7%9D%E7%9B%86%E5%9C%B0%E5%8C%97%E9%83%A8%EF%BC%8C%E5%B9%BF%E5%85%83%E5%B8%82%E4%B8%AD%E9%83%A8%EF%BC%8C%E6%80%BB%E9%9D%A2%E7%A7%AF1434.71%E5%B9%B3%E6%96%B9%E5%85%AC%E9%87%8C%EF%BC%8C%E8%BE%9611%E4%B8%AA%E9%95%87%E3%80%8117%E4%B8%AA%E4%B9%A1%E5%92%8C1%E4%B8%AA%E8%A1%97%E9%81%93%EF%BC%8C%E5%8C%BA%E6%94%BF%E5%BA%9C%E9%A9%BB%E5%85%83%E5%9D%9D%E9%95%87%E3%80%82&amp;site=%E5%9B%9B%E5%B7%9D%E7%9C%81%E5%B9%BF%E5%85%83%E5%B8%82%E6%98%AD%E5%8C%96%E5%8C%BA%E5%85%AC%E8%B7%AF%E5%85%BB%E6%8A%A4%E6%AE%B52021%E5%B9%B4%E9%A2%84%E7%AE%97%E5%85%AC%E5%BC%80-%E6%94%BF%E5%BA%9C%E4%BF%A1%E6%81%AF%E5%85%AC%E5%BC%80%E7%9B%AE%E5%BD%95-%E5%B9%BF%E5%85%83%E5%B8%82%E6%98%AD%E5%8C%96%E5%8C%BA%E4%BA%BA%E6%B0%91%E6%94%BF%E5%BA%9C" \t "http://www.cnzh.gov.cn/Open/Detail/_blank" </w:instrText>
      </w:r>
      <w:r>
        <w:rPr>
          <w:rFonts w:ascii="socialshare" w:hAnsi="socialshare" w:eastAsia="socialshare" w:cs="socialshare"/>
          <w:i w:val="0"/>
          <w:iCs w:val="0"/>
          <w:caps w:val="0"/>
          <w:color w:val="FDBE3D"/>
          <w:spacing w:val="0"/>
          <w:kern w:val="0"/>
          <w:sz w:val="24"/>
          <w:szCs w:val="24"/>
          <w:u w:val="none"/>
          <w:bdr w:val="single" w:color="FDBE3D" w:sz="6" w:space="0"/>
          <w:shd w:val="clear" w:fill="FFFFFF"/>
          <w:lang w:val="en-US" w:eastAsia="zh-CN" w:bidi="ar"/>
        </w:rPr>
        <w:fldChar w:fldCharType="separate"/>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FFFFFF"/>
          <w:lang w:val="en-US" w:eastAsia="zh-CN" w:bidi="ar"/>
        </w:rPr>
        <w:fldChar w:fldCharType="end"/>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FFFFFF"/>
          <w:lang w:val="en-US" w:eastAsia="zh-CN" w:bidi="ar"/>
        </w:rPr>
        <w:fldChar w:fldCharType="begin"/>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FFFFFF"/>
          <w:lang w:val="en-US" w:eastAsia="zh-CN" w:bidi="ar"/>
        </w:rPr>
        <w:instrText xml:space="preserve"> HYPERLINK "http://connect.qq.com/widget/shareqq/index.html?url=http://www.cnzh.gov.cn/Open/Detail/20210521124109-33830-00-000.html&amp;title=%E5%9B%9B%E5%B7%9D%E7%9C%81%E5%B9%BF%E5%85%83%E5%B8%82%E6%98%AD%E5%8C%96%E5%8C%BA%E5%85%AC%E8%B7%AF%E5%85%BB%E6%8A%A4%E6%AE%B52021%E5%B9%B4%E9%A2%84%E7%AE%97%E5%85%AC%E5%BC%80-%E6%94%BF%E5%BA%9C%E4%BF%A1%E6%81%AF%E5%85%AC%E5%BC%80%E7%9B%AE%E5%BD%95-%E5%B9%BF%E5%85%83%E5%B8%82%E6%98%AD%E5%8C%96%E5%8C%BA%E4%BA%BA%E6%B0%91%E6%94%BF%E5%BA%9C&amp;source=%E5%9B%9B%E5%B7%9D%E7%9C%81%E5%B9%BF%E5%85%83%E5%B8%82%E6%98%AD%E5%8C%96%E5%8C%BA%E5%85%AC%E8%B7%AF%E5%85%BB%E6%8A%A4%E6%AE%B52021%E5%B9%B4%E9%A2%84%E7%AE%97%E5%85%AC%E5%BC%80-%E6%94%BF%E5%BA%9C%E4%BF%A1%E6%81%AF%E5%85%AC%E5%BC%80%E7%9B%AE%E5%BD%95-%E5%B9%BF%E5%85%83%E5%B8%82%E6%98%AD%E5%8C%96%E5%8C%BA%E4%BA%BA%E6%B0%91%E6%94%BF%E5%BA%9C&amp;desc=%E6%98%AD%E5%8C%96%E5%8C%BA%E6%98%AF%E9%9A%B6%E5%B1%9E%E5%9B%9B%E5%B7%9D%E7%9C%81%E5%B9%BF%E5%85%83%E5%B8%82%E7%9A%84%E4%B8%80%E4%B8%AA%E5%B8%82%E8%BE%96%E5%8C%BA%EF%BC%8C%E4%BD%8D%E4%BA%8E%E5%9B%9B%E5%B7%9D%E7%9B%86%E5%9C%B0%E5%8C%97%E9%83%A8%EF%BC%8C%E5%B9%BF%E5%85%83%E5%B8%82%E4%B8%AD%E9%83%A8%EF%BC%8C%E6%80%BB%E9%9D%A2%E7%A7%AF1434.71%E5%B9%B3%E6%96%B9%E5%85%AC%E9%87%8C%EF%BC%8C%E8%BE%9611%E4%B8%AA%E9%95%87%E3%80%8117%E4%B8%AA%E4%B9%A1%E5%92%8C1%E4%B8%AA%E8%A1%97%E9%81%93%EF%BC%8C%E5%8C%BA%E6%94%BF%E5%BA%9C%E9%A9%BB%E5%85%83%E5%9D%9D%E9%95%87%E3%80%82&amp;pics=http://www.cnzh.gov.cn/images/logo.png" \t "http://www.cnzh.gov.cn/Open/Detail/_blank" </w:instrText>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FFFFFF"/>
          <w:lang w:val="en-US" w:eastAsia="zh-CN" w:bidi="ar"/>
        </w:rPr>
        <w:fldChar w:fldCharType="separate"/>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FFFFFF"/>
          <w:lang w:val="en-US" w:eastAsia="zh-CN" w:bidi="ar"/>
        </w:rPr>
        <w:fldChar w:fldCharType="end"/>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FFFFFF"/>
          <w:lang w:val="en-US" w:eastAsia="zh-CN" w:bidi="ar"/>
        </w:rPr>
        <w:fldChar w:fldCharType="begin"/>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FFFFFF"/>
          <w:lang w:val="en-US" w:eastAsia="zh-CN" w:bidi="ar"/>
        </w:rPr>
        <w:instrText xml:space="preserve"> HYPERLINK "http://service.weibo.com/share/share.php?url=http://www.cnzh.gov.cn/Open/Detail/20210521124109-33830-00-000.html&amp;title=%E5%9B%9B%E5%B7%9D%E7%9C%81%E5%B9%BF%E5%85%83%E5%B8%82%E6%98%AD%E5%8C%96%E5%8C%BA%E5%85%AC%E8%B7%AF%E5%85%BB%E6%8A%A4%E6%AE%B52021%E5%B9%B4%E9%A2%84%E7%AE%97%E5%85%AC%E5%BC%80-%E6%94%BF%E5%BA%9C%E4%BF%A1%E6%81%AF%E5%85%AC%E5%BC%80%E7%9B%AE%E5%BD%95-%E5%B9%BF%E5%85%83%E5%B8%82%E6%98%AD%E5%8C%96%E5%8C%BA%E4%BA%BA%E6%B0%91%E6%94%BF%E5%BA%9C&amp;pic=http://www.cnzh.gov.cn/images/logo.png&amp;appkey=" \t "http://www.cnzh.gov.cn/Open/Detail/_blank" </w:instrText>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FFFFFF"/>
          <w:lang w:val="en-US" w:eastAsia="zh-CN" w:bidi="ar"/>
        </w:rPr>
        <w:fldChar w:fldCharType="separate"/>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FFFFFF"/>
          <w:lang w:val="en-US" w:eastAsia="zh-CN" w:bidi="ar"/>
        </w:rPr>
        <w:fldChar w:fldCharType="end"/>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fldChar w:fldCharType="begin"/>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instrText xml:space="preserve"> HYPERLINK "javascript:;" </w:instrText>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fldChar w:fldCharType="separate"/>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一、基本职能及主要工作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（一）养护段职能简介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主要职能职责如下：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（一）贯彻执行国家有关交通运输行业的方针、政策和法律、法规。组织拟订并监督实施公路规划、政策和标准，会同相关部门组织编制综合运输体系规划;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（二）拟定本段政策规定，负责本段依法行政工作，落实行政执法责任制。指导公路行业有关体制改革工作;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（三）承担道路养护有关政策并监督实施，指导水毁维护等;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（四）承担公路、安全生产和应急管理工作;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（五）全区所有国省县乡道的水毁维修及养护，满足群众不同时段出行需求和方便，确保行业安全稳定有序;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（六）承担区政府公布的有关审批事项。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b/>
          <w:bCs/>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fill="FFFFFF"/>
        </w:rPr>
        <w:t>二、部门预算单位构成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区养护段共有编制111名，其中：行政编制0人，其他事业编制人111人。2021年预算实有在职编制内人员69人，较去年减少了12人，其中：行政人员0人，其他事业人员69人。按财政供给率分，财政全额供给69人，差额0人，自筹0人。区养护段退休98人，行政人员0人，其他事业人员98人。固定资产865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三、收支预算情况说明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按照综合预算的原则，收入包括：一般公共预算拨款收入；支出包括：一般公共服务支出、社会保障和就业支出、住房保障支出，隧道电费，乡村道路养护及灾损道路维修。2021年收支总预算1361.23万元,比2020年收支预算总数减少125.93万元，主要原因退休人员的增加和事业人员调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（一）收入预算情况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养护段2021年收入预算1361.23万元，一般公共预算拨款收入1361.23万元，占100%。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（二）支出预算情况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2021年支出预算1361.23万元，其中：基本支出1361.23万元，占100%。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四、财政拨款收支预算情况说明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2021年财政拨款收支总预算1361.23万元,比2020年财政拨款收支总预算减少125.93万元，主要原因是退休人员和事业人员调出。收入包括：本年一般公共预算拨款收入1361.23万元；支出包括：工资福利支出981.9万元、社会保障和就业支出112.49万元、住房保障支出73.84万元，商品和服务支出193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五、一般公共预算当年拨款情况说明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（一）一般公共预算当年拨款规模变化情况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2021年一般公共预算当年拨款1361.23万元，比2020年预算数减少125.93万元，主要原因是退休人员和事业人员调出的增加。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（二）一般公共预算当年拨款结构情况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总支出1361.23万元，社会保障和就业支出112.49万元，占8.3%；工资福利支出981.9万元，占72.13%；住房保障支出73.84万元，占5.4%。商品和服务支出193万元，占14.17%。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（三）一般公共预算当年拨款具体使用情况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1.一般公共服务（类）2021年预算数为981.9万元，主要用于：基本支出，包括基本工资、津贴补贴、养老保险、医疗保险等人员经费。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2.社会保障费2021年预算数为112.49万元，主要用于：保障事业单位离退休人员经费支出、失业保险、工伤保险、生育保险等。</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  3.社会保障住房公积金费2021年预算数为73.84万元，主要用于：保证职工住房公积金。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4.商品和服务支出193万元主要用于：办公经费，印刷费，水电气，差旅费，水毁维修费，隧道电费等服务支出。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六、一般公共预算基本支出情况说明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2021年一般公共预算基本支出1361.23万元，其中：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人员经费1168.23万元，主要包括：基本工资、津贴补贴、奖金、社会保险缴费、离休费、住房公积金等支出。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公用经费193万元，主要包括：办公费、水费、电费、邮电费、印刷费、差旅费、维修（护）费、物业管理费、劳务费、会议费、培训费、公务用车运行维护费、接待费、出国（境）费、其他交通费等支出。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color w:val="0000FF"/>
          <w:sz w:val="32"/>
          <w:szCs w:val="32"/>
        </w:rPr>
      </w:pPr>
      <w:r>
        <w:rPr>
          <w:rFonts w:hint="eastAsia" w:ascii="仿宋" w:hAnsi="仿宋" w:eastAsia="仿宋" w:cs="仿宋"/>
          <w:i w:val="0"/>
          <w:iCs w:val="0"/>
          <w:caps w:val="0"/>
          <w:color w:val="0000FF"/>
          <w:spacing w:val="0"/>
          <w:sz w:val="32"/>
          <w:szCs w:val="32"/>
          <w:shd w:val="clear" w:fill="FFFFFF"/>
        </w:rPr>
        <w:t>七、“三公”经费财政拨款预算安排情况说明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color w:val="0000FF"/>
          <w:sz w:val="32"/>
          <w:szCs w:val="32"/>
        </w:rPr>
      </w:pPr>
      <w:r>
        <w:rPr>
          <w:rFonts w:hint="eastAsia" w:ascii="仿宋" w:hAnsi="仿宋" w:eastAsia="仿宋" w:cs="仿宋"/>
          <w:i w:val="0"/>
          <w:iCs w:val="0"/>
          <w:caps w:val="0"/>
          <w:color w:val="0000FF"/>
          <w:spacing w:val="0"/>
          <w:sz w:val="32"/>
          <w:szCs w:val="32"/>
          <w:shd w:val="clear" w:fill="FFFFFF"/>
        </w:rPr>
        <w:t>财政厅2021年“三公”经费财政拨款预算数12.34万元，其中：因公出国（境）经费0万元，公务接待费0.79万元，公务用车购置及运行维护费11.55万元。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color w:val="0000FF"/>
          <w:sz w:val="32"/>
          <w:szCs w:val="32"/>
        </w:rPr>
      </w:pPr>
      <w:r>
        <w:rPr>
          <w:rFonts w:hint="eastAsia" w:ascii="仿宋" w:hAnsi="仿宋" w:eastAsia="仿宋" w:cs="仿宋"/>
          <w:i w:val="0"/>
          <w:iCs w:val="0"/>
          <w:caps w:val="0"/>
          <w:color w:val="0000FF"/>
          <w:spacing w:val="0"/>
          <w:sz w:val="32"/>
          <w:szCs w:val="32"/>
          <w:shd w:val="clear" w:fill="FFFFFF"/>
        </w:rPr>
        <w:t>（一）公务接待费较2020年预算下降</w:t>
      </w:r>
      <w:r>
        <w:rPr>
          <w:rFonts w:hint="eastAsia" w:ascii="仿宋" w:hAnsi="仿宋" w:eastAsia="仿宋" w:cs="仿宋"/>
          <w:i w:val="0"/>
          <w:iCs w:val="0"/>
          <w:caps w:val="0"/>
          <w:color w:val="0000FF"/>
          <w:spacing w:val="0"/>
          <w:sz w:val="32"/>
          <w:szCs w:val="32"/>
          <w:shd w:val="clear" w:fill="FFFFFF"/>
          <w:lang w:val="en-US" w:eastAsia="zh-CN"/>
        </w:rPr>
        <w:t>6.2%</w:t>
      </w:r>
      <w:r>
        <w:rPr>
          <w:rFonts w:hint="eastAsia" w:ascii="仿宋" w:hAnsi="仿宋" w:eastAsia="仿宋" w:cs="仿宋"/>
          <w:i w:val="0"/>
          <w:iCs w:val="0"/>
          <w:caps w:val="0"/>
          <w:color w:val="0000FF"/>
          <w:spacing w:val="0"/>
          <w:sz w:val="32"/>
          <w:szCs w:val="32"/>
          <w:shd w:val="clear" w:fill="FFFFFF"/>
        </w:rPr>
        <w:t>。主要原因是按照党中央、国务院关于过“紧日子”和坚持厉行节约反对浪费的要求，进一步减少公务接待费支出。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color w:val="0000FF"/>
          <w:sz w:val="32"/>
          <w:szCs w:val="32"/>
        </w:rPr>
      </w:pPr>
      <w:r>
        <w:rPr>
          <w:rFonts w:hint="eastAsia" w:ascii="仿宋" w:hAnsi="仿宋" w:eastAsia="仿宋" w:cs="仿宋"/>
          <w:i w:val="0"/>
          <w:iCs w:val="0"/>
          <w:caps w:val="0"/>
          <w:color w:val="0000FF"/>
          <w:spacing w:val="0"/>
          <w:sz w:val="32"/>
          <w:szCs w:val="32"/>
          <w:shd w:val="clear" w:fill="FFFFFF"/>
        </w:rPr>
        <w:t>2021年公务接待费计划用于检查指导等公务活动开支的交通费、住宿费、用餐费等。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color w:val="0000FF"/>
          <w:sz w:val="32"/>
          <w:szCs w:val="32"/>
        </w:rPr>
      </w:pPr>
      <w:r>
        <w:rPr>
          <w:rFonts w:hint="eastAsia" w:ascii="仿宋" w:hAnsi="仿宋" w:eastAsia="仿宋" w:cs="仿宋"/>
          <w:i w:val="0"/>
          <w:iCs w:val="0"/>
          <w:caps w:val="0"/>
          <w:color w:val="0000FF"/>
          <w:spacing w:val="0"/>
          <w:sz w:val="32"/>
          <w:szCs w:val="32"/>
          <w:shd w:val="clear" w:fill="FFFFFF"/>
        </w:rPr>
        <w:t>（</w:t>
      </w:r>
      <w:r>
        <w:rPr>
          <w:rFonts w:hint="eastAsia" w:ascii="仿宋" w:hAnsi="仿宋" w:eastAsia="仿宋" w:cs="仿宋"/>
          <w:i w:val="0"/>
          <w:iCs w:val="0"/>
          <w:caps w:val="0"/>
          <w:color w:val="0000FF"/>
          <w:spacing w:val="0"/>
          <w:sz w:val="32"/>
          <w:szCs w:val="32"/>
          <w:shd w:val="clear" w:fill="FFFFFF"/>
          <w:lang w:eastAsia="zh-CN"/>
        </w:rPr>
        <w:t>二</w:t>
      </w:r>
      <w:r>
        <w:rPr>
          <w:rFonts w:hint="eastAsia" w:ascii="仿宋" w:hAnsi="仿宋" w:eastAsia="仿宋" w:cs="仿宋"/>
          <w:i w:val="0"/>
          <w:iCs w:val="0"/>
          <w:caps w:val="0"/>
          <w:color w:val="0000FF"/>
          <w:spacing w:val="0"/>
          <w:sz w:val="32"/>
          <w:szCs w:val="32"/>
          <w:shd w:val="clear" w:fill="FFFFFF"/>
        </w:rPr>
        <w:t>）公务用车购置及运行维护费与2020年预算持平。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color w:val="0000FF"/>
          <w:sz w:val="32"/>
          <w:szCs w:val="32"/>
        </w:rPr>
      </w:pPr>
      <w:r>
        <w:rPr>
          <w:rFonts w:hint="eastAsia" w:ascii="仿宋" w:hAnsi="仿宋" w:eastAsia="仿宋" w:cs="仿宋"/>
          <w:i w:val="0"/>
          <w:iCs w:val="0"/>
          <w:caps w:val="0"/>
          <w:color w:val="0000FF"/>
          <w:spacing w:val="0"/>
          <w:sz w:val="32"/>
          <w:szCs w:val="32"/>
          <w:shd w:val="clear" w:fill="FFFFFF"/>
        </w:rPr>
        <w:t>单位现有公务用车1辆，越野车1辆。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color w:val="0000FF"/>
          <w:sz w:val="32"/>
          <w:szCs w:val="32"/>
        </w:rPr>
      </w:pPr>
      <w:r>
        <w:rPr>
          <w:rFonts w:hint="eastAsia" w:ascii="仿宋" w:hAnsi="仿宋" w:eastAsia="仿宋" w:cs="仿宋"/>
          <w:i w:val="0"/>
          <w:iCs w:val="0"/>
          <w:caps w:val="0"/>
          <w:color w:val="0000FF"/>
          <w:spacing w:val="0"/>
          <w:sz w:val="32"/>
          <w:szCs w:val="32"/>
          <w:shd w:val="clear" w:fill="FFFFFF"/>
        </w:rPr>
        <w:t>2021年未安排公务用车购置费。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color w:val="0000FF"/>
          <w:sz w:val="32"/>
          <w:szCs w:val="32"/>
        </w:rPr>
      </w:pPr>
      <w:r>
        <w:rPr>
          <w:rFonts w:hint="eastAsia" w:ascii="仿宋" w:hAnsi="仿宋" w:eastAsia="仿宋" w:cs="仿宋"/>
          <w:i w:val="0"/>
          <w:iCs w:val="0"/>
          <w:caps w:val="0"/>
          <w:color w:val="0000FF"/>
          <w:spacing w:val="0"/>
          <w:sz w:val="32"/>
          <w:szCs w:val="32"/>
          <w:shd w:val="clear" w:fill="FFFFFF"/>
          <w:lang w:eastAsia="zh-CN"/>
        </w:rPr>
        <w:t>（三）</w:t>
      </w:r>
      <w:r>
        <w:rPr>
          <w:rFonts w:hint="eastAsia" w:ascii="仿宋" w:hAnsi="仿宋" w:eastAsia="仿宋" w:cs="仿宋"/>
          <w:i w:val="0"/>
          <w:iCs w:val="0"/>
          <w:caps w:val="0"/>
          <w:color w:val="0000FF"/>
          <w:spacing w:val="0"/>
          <w:sz w:val="32"/>
          <w:szCs w:val="32"/>
          <w:shd w:val="clear" w:fill="FFFFFF"/>
        </w:rPr>
        <w:t>2021年安排公务用车运行维护费11.55万元</w:t>
      </w:r>
      <w:r>
        <w:rPr>
          <w:rFonts w:hint="eastAsia" w:ascii="仿宋" w:hAnsi="仿宋" w:eastAsia="仿宋" w:cs="仿宋"/>
          <w:i w:val="0"/>
          <w:iCs w:val="0"/>
          <w:caps w:val="0"/>
          <w:color w:val="0000FF"/>
          <w:spacing w:val="0"/>
          <w:sz w:val="32"/>
          <w:szCs w:val="32"/>
          <w:shd w:val="clear" w:fill="FFFFFF"/>
          <w:lang w:eastAsia="zh-CN"/>
        </w:rPr>
        <w:t>与</w:t>
      </w:r>
      <w:r>
        <w:rPr>
          <w:rFonts w:hint="eastAsia" w:ascii="仿宋" w:hAnsi="仿宋" w:eastAsia="仿宋" w:cs="仿宋"/>
          <w:i w:val="0"/>
          <w:iCs w:val="0"/>
          <w:caps w:val="0"/>
          <w:color w:val="0000FF"/>
          <w:spacing w:val="0"/>
          <w:sz w:val="32"/>
          <w:szCs w:val="32"/>
          <w:shd w:val="clear" w:fill="FFFFFF"/>
        </w:rPr>
        <w:t>2020年预算</w:t>
      </w:r>
      <w:r>
        <w:rPr>
          <w:rFonts w:hint="eastAsia" w:ascii="仿宋" w:hAnsi="仿宋" w:eastAsia="仿宋" w:cs="仿宋"/>
          <w:i w:val="0"/>
          <w:iCs w:val="0"/>
          <w:caps w:val="0"/>
          <w:color w:val="0000FF"/>
          <w:spacing w:val="0"/>
          <w:sz w:val="32"/>
          <w:szCs w:val="32"/>
          <w:shd w:val="clear" w:fill="FFFFFF"/>
          <w:lang w:eastAsia="zh-CN"/>
        </w:rPr>
        <w:t>减少</w:t>
      </w:r>
      <w:r>
        <w:rPr>
          <w:rFonts w:hint="eastAsia" w:ascii="仿宋" w:hAnsi="仿宋" w:eastAsia="仿宋" w:cs="仿宋"/>
          <w:i w:val="0"/>
          <w:iCs w:val="0"/>
          <w:caps w:val="0"/>
          <w:color w:val="0000FF"/>
          <w:spacing w:val="0"/>
          <w:sz w:val="32"/>
          <w:szCs w:val="32"/>
          <w:shd w:val="clear" w:fill="FFFFFF"/>
          <w:lang w:val="en-US" w:eastAsia="zh-CN"/>
        </w:rPr>
        <w:t>4500元</w:t>
      </w:r>
      <w:r>
        <w:rPr>
          <w:rFonts w:hint="eastAsia" w:ascii="仿宋" w:hAnsi="仿宋" w:eastAsia="仿宋" w:cs="仿宋"/>
          <w:i w:val="0"/>
          <w:iCs w:val="0"/>
          <w:caps w:val="0"/>
          <w:color w:val="0000FF"/>
          <w:spacing w:val="0"/>
          <w:sz w:val="32"/>
          <w:szCs w:val="32"/>
          <w:shd w:val="clear" w:fill="FFFFFF"/>
        </w:rPr>
        <w:t>，用于1辆公务用车燃油、过路（桥）、维修、保险等方面支出，主要保障路面保通应急抢险，项目进度等其他交通支出。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八、政府性基金预算支出情况说明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2021年</w:t>
      </w:r>
      <w:r>
        <w:rPr>
          <w:rFonts w:hint="eastAsia" w:ascii="仿宋" w:hAnsi="仿宋" w:eastAsia="仿宋" w:cs="仿宋"/>
          <w:i w:val="0"/>
          <w:iCs w:val="0"/>
          <w:caps w:val="0"/>
          <w:color w:val="333333"/>
          <w:spacing w:val="0"/>
          <w:sz w:val="32"/>
          <w:szCs w:val="32"/>
          <w:shd w:val="clear" w:fill="FFFFFF"/>
          <w:lang w:val="en-US" w:eastAsia="zh-CN"/>
        </w:rPr>
        <w:t>本单位未在</w:t>
      </w:r>
      <w:r>
        <w:rPr>
          <w:rFonts w:hint="eastAsia" w:ascii="仿宋" w:hAnsi="仿宋" w:eastAsia="仿宋" w:cs="仿宋"/>
          <w:i w:val="0"/>
          <w:iCs w:val="0"/>
          <w:caps w:val="0"/>
          <w:color w:val="333333"/>
          <w:spacing w:val="0"/>
          <w:sz w:val="32"/>
          <w:szCs w:val="32"/>
          <w:shd w:val="clear" w:fill="FFFFFF"/>
        </w:rPr>
        <w:t>政府性基金预算拨款安排</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三公经费”</w:t>
      </w:r>
      <w:r>
        <w:rPr>
          <w:rFonts w:hint="eastAsia" w:ascii="仿宋" w:hAnsi="仿宋" w:eastAsia="仿宋" w:cs="仿宋"/>
          <w:i w:val="0"/>
          <w:iCs w:val="0"/>
          <w:caps w:val="0"/>
          <w:color w:val="333333"/>
          <w:spacing w:val="0"/>
          <w:sz w:val="32"/>
          <w:szCs w:val="32"/>
          <w:shd w:val="clear" w:fill="FFFFFF"/>
        </w:rPr>
        <w:t>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九、国有资本经营预算支出情况说明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2021年没有使用国有资本经营预算拨款安排的支出。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十、其他重要事项的情况说明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（一）国有资产占有使用情况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截至2020年底，共有车辆1辆，其中，保障用车1辆、执法执勤用车0辆。单位价值200万元以上大型设备0台（套）。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2021年部门预算未安排购置车辆及单位价值200万元以上大型设备。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二</w:t>
      </w:r>
      <w:r>
        <w:rPr>
          <w:rFonts w:hint="eastAsia" w:ascii="仿宋" w:hAnsi="仿宋" w:eastAsia="仿宋" w:cs="仿宋"/>
          <w:i w:val="0"/>
          <w:iCs w:val="0"/>
          <w:caps w:val="0"/>
          <w:color w:val="333333"/>
          <w:spacing w:val="0"/>
          <w:sz w:val="32"/>
          <w:szCs w:val="32"/>
          <w:shd w:val="clear" w:fill="FFFFFF"/>
        </w:rPr>
        <w:t>）政府采购情况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2021年，区养护段</w:t>
      </w:r>
      <w:r>
        <w:rPr>
          <w:rFonts w:hint="eastAsia" w:ascii="仿宋" w:hAnsi="仿宋" w:eastAsia="仿宋" w:cs="仿宋"/>
          <w:i w:val="0"/>
          <w:iCs w:val="0"/>
          <w:caps w:val="0"/>
          <w:color w:val="333333"/>
          <w:spacing w:val="0"/>
          <w:sz w:val="32"/>
          <w:szCs w:val="32"/>
          <w:shd w:val="clear" w:fill="FFFFFF"/>
          <w:lang w:eastAsia="zh-CN"/>
        </w:rPr>
        <w:t>本年度</w:t>
      </w:r>
      <w:r>
        <w:rPr>
          <w:rFonts w:hint="eastAsia" w:ascii="仿宋" w:hAnsi="仿宋" w:eastAsia="仿宋" w:cs="仿宋"/>
          <w:i w:val="0"/>
          <w:iCs w:val="0"/>
          <w:caps w:val="0"/>
          <w:color w:val="333333"/>
          <w:spacing w:val="0"/>
          <w:sz w:val="32"/>
          <w:szCs w:val="32"/>
          <w:shd w:val="clear" w:fill="FFFFFF"/>
        </w:rPr>
        <w:t>未安排政府采购预算。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三</w:t>
      </w:r>
      <w:r>
        <w:rPr>
          <w:rFonts w:hint="eastAsia" w:ascii="仿宋" w:hAnsi="仿宋" w:eastAsia="仿宋" w:cs="仿宋"/>
          <w:i w:val="0"/>
          <w:iCs w:val="0"/>
          <w:caps w:val="0"/>
          <w:color w:val="333333"/>
          <w:spacing w:val="0"/>
          <w:sz w:val="32"/>
          <w:szCs w:val="32"/>
          <w:shd w:val="clear" w:fill="FFFFFF"/>
        </w:rPr>
        <w:t>）绩效目标设置情况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绩效目标是预算编制的前提和基础，按照“费随事定”的原则，2021年两个基本项目按要求编制了绩效目标,从项目完成、项目效益、满意度等方面设置了绩效指标，综合反映项目预期完成的数量、成本、时效、质量，预期达到的社会效益、经济效益、生态效益、可持续影响以及服务对象满意度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十一、名词解释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（一）一般公共预算拨款收入：指省级财政当年拨付的资金。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  （二）上年结转：指以前年度尚未完成，结转到本年仍按原规定用途继续使用的资金。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  （三）一般公共服务（类）财政事务（款）行政运行（项）：指厅机关及参公管理事业单位用于保障机构正常运行、开展日常工作的基本支出。</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  （四）一般公共服务（类）财政事务（款）一般行政管理事务（项）：指厅机关及参公管理事业单位开展财政综合业务、预决算编审等未单独设置项级科目的专门性财政管理工作的项目支出。</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  （五）一般公共服务（类）财政事务（款）机关服务（项）：指后勤服务中心、信息中心为本部门各单位正常运行提供服务的基本支出。</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  （六）一般公共服务（类）财政事务（款）信息化建设（项）：指财政厅用于业务软件开发、硬件购置、系统升级等信息化建设方面的项目支出。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七）一般公共服务（类）财政事务（款）事业运行（项）：指四川省财政科学研究所、四川省财政信息中心、四川省政府和社会资本合作中心、四川省财政厅政府债券发行管理中心、四川省国有金融资本运营评价中心、四川省财政厅社会保险基金中心、四川省注册会计师事务中心、四川省资产评估事务中心用于保障机构正常运行、开展日常工作的基本支出。</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  （八）一般公共服务（类）财政事务（款）其他财政事务支出（项）：指财政厅除上述项目外，开展其他财政事务方面专门性工作任务的项目支出，如高级会计师评审工作的相关支出。</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  （九）教育（类）进修及培训（款）培训支出（项）：指为配合财政业务开展，用于部门在职人员参加相关业务培训及举办财政管理业务培训的经费支出。</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  （十）社会保障和就业（类）行政事业单位养老支出（款）事业单位离退休（项）：指财政科学研究所的离退休人员的支出。</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  （十一）社会保障和就业（类）行政事业单位养老支出（款）行政单位离退休（项）：指厅机关离退休人员的支出。</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  （十二）社会保障和就业（类）行政事业单位养老支出（款）机关事业单位基本养老保险缴费支出（项）：指部门实施养老保险制度由单位缴纳的养老保险费的支出。</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  （十三）社会保障和就业（类）行政事业单位养老支出（款）机关事业单位职业年金缴费支出（项）：指部门实施养老保险制度由单位缴纳的职业年金的支出。</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  （十四）卫生健康（类）行政事业单位医疗（款）行政单位医疗（项）：指厅机关及参公管理事业单位用于单位应缴纳基本医疗保险支出。</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  （十五）卫生健康（类）行政事业单位医疗（款）事业单位医疗（项）：指事业单位用于单位应缴纳基本医疗保险支出。</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  （十六）卫生健康（类）行政事业单位医疗（款）公务员医疗补助（项）：指厅机关及参公管理事业单位用于集中缴纳公务员医疗补助支出。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（十七）住房保障（类）住房改革支出（款）住房公积金（项）：指按照《住房公积金管理条例》的规定，由单位及其在职职工缴存的长期住房储金。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  （十八）住房保障（类）住房改革支出（款）购房补贴（项）：指按房改政策规定的标准，向符合条件职工发放的用于购买住房的补贴。</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  （十九）基本支出：指为保证机构正常运转，完成日常工作任务而发生的人员支出和公用支出。</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  （二十）项目支出：指在基本支出之外为完成特定行政任务和事业发展目标所发生的支出。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二十一）“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十二）机关运行经费：为保障行政单位（包括参照公务员法管理的事业单位）运行用于购买货物和服务的各项资金，包括办公及印刷费、邮电费、差旅费、会议费、培训费、福利费、日常维修费、专用材料及一般设备购置费、办公用房水电费</w:t>
      </w:r>
      <w:bookmarkStart w:id="0" w:name="_GoBack"/>
      <w:bookmarkEnd w:id="0"/>
      <w:r>
        <w:rPr>
          <w:rFonts w:hint="eastAsia" w:ascii="仿宋" w:hAnsi="仿宋" w:eastAsia="仿宋" w:cs="仿宋"/>
          <w:i w:val="0"/>
          <w:iCs w:val="0"/>
          <w:caps w:val="0"/>
          <w:color w:val="333333"/>
          <w:spacing w:val="0"/>
          <w:sz w:val="32"/>
          <w:szCs w:val="32"/>
          <w:shd w:val="clear" w:fill="FFFFFF"/>
        </w:rPr>
        <w:t>、办公用房物业管理费、公务用车运行维护费以及其他费用。</w:t>
      </w:r>
    </w:p>
    <w:p>
      <w:pPr>
        <w:rPr>
          <w:rFonts w:hint="eastAsia" w:ascii="仿宋" w:hAnsi="仿宋" w:eastAsia="仿宋" w:cs="仿宋"/>
          <w:sz w:val="32"/>
          <w:szCs w:val="3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MTJiODYzZmNlMDVkODJmMjc0YjkyZjg2ODAyOWYifQ=="/>
  </w:docVars>
  <w:rsids>
    <w:rsidRoot w:val="00000000"/>
    <w:rsid w:val="088D67FC"/>
    <w:rsid w:val="13B47C2E"/>
    <w:rsid w:val="1C9D24FF"/>
    <w:rsid w:val="32ED2028"/>
    <w:rsid w:val="35A1573A"/>
    <w:rsid w:val="38EB47B4"/>
    <w:rsid w:val="3B5E3148"/>
    <w:rsid w:val="522370F6"/>
    <w:rsid w:val="56C339BA"/>
    <w:rsid w:val="5FFC147C"/>
    <w:rsid w:val="6FBB69F9"/>
    <w:rsid w:val="7D58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uiPriority w:val="0"/>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3809</Words>
  <Characters>4101</Characters>
  <Lines>0</Lines>
  <Paragraphs>0</Paragraphs>
  <TotalTime>3</TotalTime>
  <ScaleCrop>false</ScaleCrop>
  <LinksUpToDate>false</LinksUpToDate>
  <CharactersWithSpaces>4114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2022-07-13T03:06:00Z</dcterms:created>
  <dc:creator>Administrator</dc:creator>
  <cp:lastModifiedBy>Toujours1420341078</cp:lastModifiedBy>
  <dcterms:modified xsi:type="dcterms:W3CDTF">2022-09-24T12:57:48Z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2ECC43B5A9D3418F827DECB55392BD36</vt:lpwstr>
  </property>
</Properties>
</file>