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7425"/>
      <w:bookmarkStart w:id="5"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7194"/>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广元市昭化区职业高级中学部门决算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7"/>
      </w:pPr>
      <w:r>
        <w:rPr>
          <w:rFonts w:hint="eastAsia"/>
        </w:rPr>
        <w:t>公开时间：2021年9月30日</w:t>
      </w:r>
    </w:p>
    <w:p/>
    <w:p>
      <w:pPr>
        <w:pStyle w:val="7"/>
        <w:rPr>
          <w:rFonts w:cs="黑体"/>
        </w:rPr>
      </w:pPr>
      <w:r>
        <w:fldChar w:fldCharType="begin"/>
      </w:r>
      <w:r>
        <w:instrText xml:space="preserve"> HYPERLINK \l "_Toc15396599" </w:instrText>
      </w:r>
      <w:r>
        <w:fldChar w:fldCharType="separate"/>
      </w:r>
      <w:r>
        <w:rPr>
          <w:rStyle w:val="12"/>
          <w:rFonts w:hint="eastAsia"/>
        </w:rPr>
        <w:t>第一部分部门概况</w:t>
      </w:r>
      <w:r>
        <w:tab/>
      </w:r>
      <w:r>
        <w:rPr>
          <w:rFonts w:hint="eastAsia"/>
        </w:rPr>
        <w:t>4</w:t>
      </w:r>
      <w:r>
        <w:rPr>
          <w:rFonts w:hint="eastAsia"/>
        </w:rPr>
        <w:fldChar w:fldCharType="end"/>
      </w:r>
    </w:p>
    <w:p>
      <w:pPr>
        <w:pStyle w:val="8"/>
        <w:rPr>
          <w:rFonts w:ascii="仿宋" w:hAnsi="仿宋" w:eastAsia="仿宋" w:cs="黑体"/>
          <w:sz w:val="28"/>
          <w:szCs w:val="28"/>
        </w:rPr>
      </w:pPr>
      <w:r>
        <w:fldChar w:fldCharType="begin"/>
      </w:r>
      <w:r>
        <w:instrText xml:space="preserve"> HYPERLINK \l "_Toc15396600" </w:instrText>
      </w:r>
      <w:r>
        <w:fldChar w:fldCharType="separate"/>
      </w:r>
      <w:r>
        <w:rPr>
          <w:rStyle w:val="12"/>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"_Toc15396601" </w:instrText>
      </w:r>
      <w:r>
        <w:fldChar w:fldCharType="separate"/>
      </w:r>
      <w:r>
        <w:rPr>
          <w:rStyle w:val="12"/>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7"/>
      </w:pPr>
      <w:r>
        <w:fldChar w:fldCharType="begin"/>
      </w:r>
      <w:r>
        <w:instrText xml:space="preserve"> HYPERLINK \l "_Toc15396602" </w:instrText>
      </w:r>
      <w:r>
        <w:fldChar w:fldCharType="separate"/>
      </w:r>
      <w:r>
        <w:rPr>
          <w:rStyle w:val="12"/>
          <w:rFonts w:hint="eastAsia"/>
        </w:rPr>
        <w:t>第二部分</w:t>
      </w:r>
      <w:r>
        <w:rPr>
          <w:rStyle w:val="12"/>
        </w:rPr>
        <w:t xml:space="preserve"> 20</w:t>
      </w:r>
      <w:r>
        <w:rPr>
          <w:rStyle w:val="12"/>
          <w:rFonts w:hint="eastAsia"/>
        </w:rPr>
        <w:t>20年度部门决算情况说明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8"/>
        <w:rPr>
          <w:rFonts w:ascii="仿宋" w:hAnsi="仿宋" w:eastAsia="仿宋" w:cs="黑体"/>
          <w:sz w:val="28"/>
          <w:szCs w:val="28"/>
        </w:rPr>
      </w:pPr>
      <w:r>
        <w:fldChar w:fldCharType="begin"/>
      </w:r>
      <w:r>
        <w:instrText xml:space="preserve"> HYPERLINK \l "_Toc15396603" </w:instrText>
      </w:r>
      <w:r>
        <w:fldChar w:fldCharType="separate"/>
      </w:r>
      <w:r>
        <w:rPr>
          <w:rStyle w:val="12"/>
          <w:rFonts w:hint="eastAsia" w:ascii="仿宋" w:hAnsi="仿宋" w:eastAsia="仿宋" w:cs="黑体"/>
          <w:bCs/>
          <w:sz w:val="28"/>
          <w:szCs w:val="28"/>
        </w:rPr>
        <w:t>一、</w:t>
      </w:r>
      <w:r>
        <w:rPr>
          <w:rStyle w:val="12"/>
          <w:rFonts w:hint="eastAsia" w:ascii="仿宋" w:hAnsi="仿宋" w:eastAsia="仿宋"/>
          <w:sz w:val="28"/>
          <w:szCs w:val="28"/>
        </w:rPr>
        <w:t>收</w:t>
      </w:r>
      <w:r>
        <w:rPr>
          <w:rStyle w:val="12"/>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"_Toc15396604" </w:instrText>
      </w:r>
      <w:r>
        <w:fldChar w:fldCharType="separate"/>
      </w:r>
      <w:r>
        <w:rPr>
          <w:rStyle w:val="12"/>
          <w:rFonts w:hint="eastAsia" w:ascii="仿宋" w:hAnsi="仿宋" w:eastAsia="仿宋" w:cs="黑体"/>
          <w:bCs/>
          <w:sz w:val="28"/>
          <w:szCs w:val="28"/>
        </w:rPr>
        <w:t>二、</w:t>
      </w:r>
      <w:r>
        <w:rPr>
          <w:rStyle w:val="12"/>
          <w:rFonts w:hint="eastAsia" w:ascii="仿宋" w:hAnsi="仿宋" w:eastAsia="仿宋"/>
          <w:sz w:val="28"/>
          <w:szCs w:val="28"/>
        </w:rPr>
        <w:t>收</w:t>
      </w:r>
      <w:r>
        <w:rPr>
          <w:rStyle w:val="12"/>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6</w:t>
      </w:r>
    </w:p>
    <w:p>
      <w:pPr>
        <w:pStyle w:val="8"/>
        <w:rPr>
          <w:rFonts w:ascii="仿宋" w:hAnsi="仿宋" w:eastAsia="仿宋" w:cs="黑体"/>
          <w:sz w:val="28"/>
          <w:szCs w:val="28"/>
        </w:rPr>
      </w:pPr>
      <w:r>
        <w:fldChar w:fldCharType="begin"/>
      </w:r>
      <w:r>
        <w:instrText xml:space="preserve"> HYPERLINK \l "_Toc15396605" </w:instrText>
      </w:r>
      <w:r>
        <w:fldChar w:fldCharType="separate"/>
      </w:r>
      <w:r>
        <w:rPr>
          <w:rStyle w:val="12"/>
          <w:rFonts w:hint="eastAsia" w:ascii="仿宋" w:hAnsi="仿宋" w:eastAsia="仿宋" w:cs="黑体"/>
          <w:bCs/>
          <w:sz w:val="28"/>
          <w:szCs w:val="28"/>
        </w:rPr>
        <w:t>三、</w:t>
      </w:r>
      <w:r>
        <w:rPr>
          <w:rStyle w:val="12"/>
          <w:rFonts w:hint="eastAsia" w:ascii="仿宋" w:hAnsi="仿宋" w:eastAsia="仿宋"/>
          <w:sz w:val="28"/>
          <w:szCs w:val="28"/>
        </w:rPr>
        <w:t>支</w:t>
      </w:r>
      <w:r>
        <w:rPr>
          <w:rStyle w:val="12"/>
          <w:rFonts w:hint="eastAsia" w:ascii="仿宋" w:hAnsi="仿宋" w:eastAsia="仿宋" w:cs="黑体"/>
          <w:bCs/>
          <w:sz w:val="28"/>
          <w:szCs w:val="28"/>
        </w:rPr>
        <w:t>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"_Toc15396606" </w:instrText>
      </w:r>
      <w:r>
        <w:fldChar w:fldCharType="separate"/>
      </w:r>
      <w:r>
        <w:rPr>
          <w:rStyle w:val="12"/>
          <w:rFonts w:hint="eastAsia" w:ascii="仿宋" w:hAnsi="仿宋" w:eastAsia="仿宋"/>
          <w:sz w:val="28"/>
          <w:szCs w:val="28"/>
        </w:rPr>
        <w:t>四、财</w:t>
      </w:r>
      <w:r>
        <w:rPr>
          <w:rStyle w:val="12"/>
          <w:rFonts w:hint="eastAsia" w:ascii="仿宋" w:hAnsi="仿宋" w:eastAsia="仿宋" w:cs="黑体"/>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"_Toc15396607" </w:instrText>
      </w:r>
      <w:r>
        <w:fldChar w:fldCharType="separate"/>
      </w:r>
      <w:r>
        <w:rPr>
          <w:rStyle w:val="12"/>
          <w:rFonts w:hint="eastAsia" w:ascii="仿宋" w:hAnsi="仿宋" w:eastAsia="仿宋"/>
          <w:sz w:val="28"/>
          <w:szCs w:val="28"/>
        </w:rPr>
        <w:t>五、一</w:t>
      </w:r>
      <w:r>
        <w:rPr>
          <w:rStyle w:val="12"/>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"_Toc15396608" </w:instrText>
      </w:r>
      <w:r>
        <w:fldChar w:fldCharType="separate"/>
      </w:r>
      <w:r>
        <w:rPr>
          <w:rStyle w:val="12"/>
          <w:rFonts w:hint="eastAsia" w:ascii="仿宋" w:hAnsi="仿宋" w:eastAsia="仿宋"/>
          <w:sz w:val="28"/>
          <w:szCs w:val="28"/>
        </w:rPr>
        <w:t>六、一</w:t>
      </w:r>
      <w:r>
        <w:rPr>
          <w:rStyle w:val="12"/>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"_Toc15396609" </w:instrText>
      </w:r>
      <w:r>
        <w:fldChar w:fldCharType="separate"/>
      </w:r>
      <w:r>
        <w:rPr>
          <w:rStyle w:val="12"/>
          <w:rFonts w:hint="eastAsia" w:ascii="仿宋" w:hAnsi="仿宋" w:eastAsia="仿宋"/>
          <w:sz w:val="28"/>
          <w:szCs w:val="28"/>
        </w:rPr>
        <w:t>七、</w:t>
      </w:r>
      <w:r>
        <w:rPr>
          <w:rStyle w:val="12"/>
          <w:rFonts w:ascii="仿宋" w:hAnsi="仿宋" w:eastAsia="仿宋"/>
          <w:sz w:val="28"/>
          <w:szCs w:val="28"/>
        </w:rPr>
        <w:t>“</w:t>
      </w:r>
      <w:r>
        <w:rPr>
          <w:rStyle w:val="12"/>
          <w:rFonts w:hint="eastAsia" w:ascii="仿宋" w:hAnsi="仿宋" w:eastAsia="仿宋" w:cs="黑体"/>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"_Toc15396610" </w:instrText>
      </w:r>
      <w:r>
        <w:fldChar w:fldCharType="separate"/>
      </w:r>
      <w:r>
        <w:rPr>
          <w:rStyle w:val="12"/>
          <w:rFonts w:hint="eastAsia" w:ascii="仿宋" w:hAnsi="仿宋" w:eastAsia="仿宋"/>
          <w:sz w:val="28"/>
          <w:szCs w:val="28"/>
        </w:rPr>
        <w:t>八、</w:t>
      </w:r>
      <w:r>
        <w:rPr>
          <w:rStyle w:val="12"/>
          <w:rFonts w:hint="eastAsia" w:ascii="仿宋" w:hAnsi="仿宋" w:eastAsia="仿宋" w:cs="黑体"/>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8"/>
        <w:rPr>
          <w:rFonts w:ascii="仿宋" w:hAnsi="仿宋" w:eastAsia="仿宋"/>
          <w:sz w:val="28"/>
          <w:szCs w:val="28"/>
        </w:rPr>
      </w:pPr>
      <w:r>
        <w:fldChar w:fldCharType="begin"/>
      </w:r>
      <w:r>
        <w:instrText xml:space="preserve"> HYPERLINK \l "_Toc15396611" </w:instrText>
      </w:r>
      <w:r>
        <w:fldChar w:fldCharType="separate"/>
      </w:r>
      <w:r>
        <w:rPr>
          <w:rStyle w:val="12"/>
          <w:rFonts w:hint="eastAsia" w:ascii="仿宋" w:hAnsi="仿宋" w:eastAsia="仿宋" w:cs="黑体"/>
          <w:bCs/>
          <w:sz w:val="28"/>
          <w:szCs w:val="28"/>
        </w:rPr>
        <w:t>九、</w:t>
      </w:r>
      <w:r>
        <w:rPr>
          <w:rStyle w:val="12"/>
          <w:rFonts w:hint="eastAsia" w:ascii="仿宋" w:hAnsi="仿宋" w:eastAsia="仿宋"/>
          <w:sz w:val="28"/>
          <w:szCs w:val="28"/>
        </w:rPr>
        <w:t xml:space="preserve"> 国</w:t>
      </w:r>
      <w:r>
        <w:rPr>
          <w:rStyle w:val="12"/>
          <w:rFonts w:hint="eastAsia" w:ascii="仿宋" w:hAnsi="仿宋" w:eastAsia="仿宋" w:cs="黑体"/>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8"/>
        <w:rPr>
          <w:rFonts w:ascii="仿宋" w:hAnsi="仿宋" w:eastAsia="仿宋" w:cs="黑体"/>
          <w:sz w:val="28"/>
          <w:szCs w:val="28"/>
        </w:rPr>
      </w:pPr>
      <w:r>
        <w:fldChar w:fldCharType="begin"/>
      </w:r>
      <w:r>
        <w:instrText xml:space="preserve"> HYPERLINK \l "_Toc15396612" </w:instrText>
      </w:r>
      <w:r>
        <w:fldChar w:fldCharType="separate"/>
      </w:r>
      <w:r>
        <w:rPr>
          <w:rStyle w:val="12"/>
          <w:rFonts w:hint="eastAsia" w:ascii="仿宋" w:hAnsi="仿宋" w:eastAsia="仿宋"/>
          <w:sz w:val="28"/>
          <w:szCs w:val="28"/>
        </w:rPr>
        <w:t>十</w:t>
      </w:r>
      <w:r>
        <w:rPr>
          <w:rStyle w:val="12"/>
          <w:rFonts w:hint="eastAsia" w:ascii="仿宋" w:hAnsi="仿宋" w:eastAsia="仿宋" w:cs="黑体"/>
          <w:bCs/>
          <w:sz w:val="28"/>
          <w:szCs w:val="28"/>
        </w:rPr>
        <w:t>、其他重要事项的情况说明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11</w:t>
      </w:r>
    </w:p>
    <w:p>
      <w:pPr>
        <w:pStyle w:val="7"/>
        <w:rPr>
          <w:rFonts w:cs="黑体"/>
        </w:rPr>
      </w:pPr>
      <w:r>
        <w:fldChar w:fldCharType="begin"/>
      </w:r>
      <w:r>
        <w:instrText xml:space="preserve"> HYPERLINK \l "_Toc15396613" </w:instrText>
      </w:r>
      <w:r>
        <w:fldChar w:fldCharType="separate"/>
      </w:r>
      <w:r>
        <w:rPr>
          <w:rStyle w:val="12"/>
          <w:rFonts w:hint="eastAsia"/>
          <w:bCs/>
          <w:kern w:val="44"/>
        </w:rPr>
        <w:t>第三部分</w:t>
      </w:r>
      <w:r>
        <w:rPr>
          <w:rStyle w:val="12"/>
          <w:rFonts w:hint="eastAsia"/>
        </w:rPr>
        <w:t xml:space="preserve"> 名</w:t>
      </w:r>
      <w:r>
        <w:rPr>
          <w:rStyle w:val="12"/>
          <w:rFonts w:hint="eastAsia"/>
          <w:bCs/>
          <w:kern w:val="44"/>
        </w:rPr>
        <w:t>词解释</w:t>
      </w:r>
      <w:r>
        <w:tab/>
      </w:r>
      <w:r>
        <w:fldChar w:fldCharType="begin"/>
      </w:r>
      <w:r>
        <w:instrText xml:space="preserve"> PAGEREF _Toc15396613 \h </w:instrText>
      </w:r>
      <w:r>
        <w:fldChar w:fldCharType="separate"/>
      </w:r>
      <w:r>
        <w:t>1</w:t>
      </w:r>
      <w:r>
        <w:fldChar w:fldCharType="end"/>
      </w:r>
      <w:r>
        <w:fldChar w:fldCharType="end"/>
      </w:r>
      <w:r>
        <w:rPr>
          <w:rFonts w:hint="eastAsia"/>
        </w:rPr>
        <w:t>4</w:t>
      </w:r>
    </w:p>
    <w:p>
      <w:pPr>
        <w:pStyle w:val="7"/>
      </w:pPr>
      <w:r>
        <w:fldChar w:fldCharType="begin"/>
      </w:r>
      <w:r>
        <w:instrText xml:space="preserve"> HYPERLINK \l "_Toc15396614" </w:instrText>
      </w:r>
      <w:r>
        <w:fldChar w:fldCharType="separate"/>
      </w:r>
      <w:r>
        <w:rPr>
          <w:rStyle w:val="12"/>
          <w:rFonts w:hint="eastAsia"/>
        </w:rPr>
        <w:t>第</w:t>
      </w:r>
      <w:r>
        <w:rPr>
          <w:rStyle w:val="12"/>
          <w:rFonts w:hint="eastAsia"/>
          <w:bCs/>
          <w:kern w:val="44"/>
        </w:rPr>
        <w:t>四部分附件</w:t>
      </w:r>
      <w:r>
        <w:tab/>
      </w:r>
      <w:r>
        <w:rPr>
          <w:rFonts w:hint="eastAsia"/>
        </w:rPr>
        <w:t>15</w:t>
      </w:r>
      <w:r>
        <w:rPr>
          <w:rFonts w:hint="eastAsia"/>
        </w:rPr>
        <w:fldChar w:fldCharType="end"/>
      </w:r>
    </w:p>
    <w:p>
      <w:pPr>
        <w:pStyle w:val="7"/>
      </w:pPr>
      <w:r>
        <w:fldChar w:fldCharType="begin"/>
      </w:r>
      <w:r>
        <w:instrText xml:space="preserve"> HYPERLINK \l "_Toc15396615" </w:instrText>
      </w:r>
      <w:r>
        <w:fldChar w:fldCharType="separate"/>
      </w:r>
      <w:r>
        <w:rPr>
          <w:rStyle w:val="12"/>
          <w:rFonts w:hint="eastAsia"/>
          <w:kern w:val="44"/>
        </w:rPr>
        <w:t>附件</w:t>
      </w:r>
      <w:r>
        <w:rPr>
          <w:rStyle w:val="12"/>
          <w:kern w:val="44"/>
        </w:rPr>
        <w:t>1</w:t>
      </w:r>
      <w:r>
        <w:tab/>
      </w:r>
      <w:r>
        <w:fldChar w:fldCharType="end"/>
      </w:r>
      <w:r>
        <w:rPr>
          <w:rFonts w:hint="eastAsia"/>
        </w:rPr>
        <w:t>15</w:t>
      </w:r>
    </w:p>
    <w:p>
      <w:pPr>
        <w:pStyle w:val="7"/>
        <w:rPr>
          <w:rFonts w:cs="黑体"/>
        </w:rPr>
      </w:pPr>
      <w:r>
        <w:fldChar w:fldCharType="begin"/>
      </w:r>
      <w:r>
        <w:instrText xml:space="preserve"> HYPERLINK \l "_Toc15396617" </w:instrText>
      </w:r>
      <w:r>
        <w:fldChar w:fldCharType="separate"/>
      </w:r>
      <w:r>
        <w:rPr>
          <w:rStyle w:val="12"/>
          <w:rFonts w:hint="eastAsia"/>
          <w:kern w:val="44"/>
        </w:rPr>
        <w:t>附件</w:t>
      </w:r>
      <w:r>
        <w:rPr>
          <w:rStyle w:val="12"/>
          <w:kern w:val="44"/>
        </w:rPr>
        <w:t>2</w:t>
      </w:r>
      <w:r>
        <w:tab/>
      </w:r>
      <w:r>
        <w:fldChar w:fldCharType="begin"/>
      </w:r>
      <w:r>
        <w:instrText xml:space="preserve"> PAGEREF _Toc15396617 \h </w:instrText>
      </w:r>
      <w:r>
        <w:fldChar w:fldCharType="separate"/>
      </w:r>
      <w:r>
        <w:t>19</w:t>
      </w:r>
      <w:r>
        <w:fldChar w:fldCharType="end"/>
      </w:r>
      <w:r>
        <w:fldChar w:fldCharType="end"/>
      </w:r>
    </w:p>
    <w:p>
      <w:pPr>
        <w:pStyle w:val="7"/>
        <w:rPr>
          <w:rFonts w:cs="黑体"/>
        </w:rPr>
      </w:pPr>
      <w:r>
        <w:fldChar w:fldCharType="begin"/>
      </w:r>
      <w:r>
        <w:instrText xml:space="preserve"> HYPERLINK \l "_Toc15396618" </w:instrText>
      </w:r>
      <w:r>
        <w:fldChar w:fldCharType="separate"/>
      </w:r>
      <w:r>
        <w:rPr>
          <w:rStyle w:val="12"/>
          <w:rFonts w:hint="eastAsia"/>
        </w:rPr>
        <w:t>第</w:t>
      </w:r>
      <w:r>
        <w:rPr>
          <w:rStyle w:val="12"/>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8"/>
        <w:rPr>
          <w:rFonts w:ascii="仿宋" w:hAnsi="仿宋" w:eastAsia="仿宋" w:cs="黑体"/>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2"/>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22</w:t>
      </w:r>
    </w:p>
    <w:p>
      <w:pPr>
        <w:pStyle w:val="8"/>
        <w:rPr>
          <w:rFonts w:ascii="仿宋" w:hAnsi="仿宋" w:eastAsia="仿宋" w:cs="黑体"/>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2"/>
          <w:rFonts w:hint="eastAsia" w:ascii="仿宋" w:hAnsi="仿宋" w:eastAsia="仿宋"/>
          <w:sz w:val="28"/>
          <w:szCs w:val="28"/>
        </w:rPr>
        <w:t>收入决算表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2"/>
          <w:rFonts w:hint="eastAsia" w:ascii="仿宋" w:hAnsi="仿宋" w:eastAsia="仿宋"/>
          <w:sz w:val="28"/>
          <w:szCs w:val="28"/>
        </w:rPr>
        <w:t>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2"/>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2"/>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2"/>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2"/>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2"/>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2"/>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2"/>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十二、</w:t>
      </w:r>
      <w:r>
        <w:fldChar w:fldCharType="begin"/>
      </w:r>
      <w:r>
        <w:instrText xml:space="preserve"> HYPERLINK \l "_Toc15396629" </w:instrText>
      </w:r>
      <w:r>
        <w:fldChar w:fldCharType="separate"/>
      </w:r>
      <w:r>
        <w:rPr>
          <w:rStyle w:val="12"/>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黑体"/>
          <w:sz w:val="28"/>
          <w:szCs w:val="28"/>
        </w:rPr>
      </w:pPr>
      <w:r>
        <w:rPr>
          <w:rFonts w:hint="eastAsia" w:ascii="仿宋" w:hAnsi="仿宋" w:eastAsia="仿宋"/>
          <w:sz w:val="28"/>
          <w:szCs w:val="28"/>
        </w:rPr>
        <w:t>十三、</w:t>
      </w:r>
      <w:r>
        <w:fldChar w:fldCharType="begin"/>
      </w:r>
      <w:r>
        <w:instrText xml:space="preserve"> HYPERLINK \l "_Toc15396630" </w:instrText>
      </w:r>
      <w:r>
        <w:fldChar w:fldCharType="separate"/>
      </w:r>
      <w:r>
        <w:rPr>
          <w:rStyle w:val="12"/>
          <w:rFonts w:hint="eastAsia" w:ascii="仿宋" w:hAnsi="仿宋" w:eastAsia="仿宋"/>
          <w:sz w:val="28"/>
          <w:szCs w:val="28"/>
        </w:rPr>
        <w:t>国有资本经营预算财政拨款收入支出决算表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8"/>
      </w:pPr>
      <w:r>
        <w:rPr>
          <w:rFonts w:hint="eastAsia" w:ascii="仿宋" w:hAnsi="仿宋" w:eastAsia="仿宋"/>
          <w:sz w:val="28"/>
          <w:szCs w:val="28"/>
        </w:rPr>
        <w:t>十四、</w:t>
      </w:r>
      <w:r>
        <w:fldChar w:fldCharType="begin"/>
      </w:r>
      <w:r>
        <w:instrText xml:space="preserve"> HYPERLINK \l "_Toc15396631" </w:instrText>
      </w:r>
      <w:r>
        <w:fldChar w:fldCharType="separate"/>
      </w:r>
      <w:r>
        <w:rPr>
          <w:rStyle w:val="12"/>
          <w:rFonts w:hint="eastAsia" w:ascii="仿宋" w:hAnsi="仿宋" w:eastAsia="仿宋"/>
          <w:sz w:val="28"/>
          <w:szCs w:val="28"/>
        </w:rPr>
        <w:t>国有资本经营预算财政拨款支出决算表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黑体" w:hAnsi="黑体" w:eastAsia="黑体"/>
          <w:bCs/>
          <w:kern w:val="44"/>
          <w:sz w:val="44"/>
          <w:szCs w:val="44"/>
        </w:rPr>
      </w:pPr>
      <w:r>
        <w:rPr>
          <w:rFonts w:ascii="仿宋" w:hAnsi="仿宋" w:eastAsia="仿宋"/>
          <w:color w:val="000000"/>
          <w:sz w:val="24"/>
        </w:rPr>
        <w:fldChar w:fldCharType="end"/>
      </w:r>
      <w:bookmarkStart w:id="12" w:name="_Toc15377196"/>
      <w:bookmarkStart w:id="13" w:name="_Toc15396599"/>
      <w:r>
        <w:rPr>
          <w:rFonts w:ascii="黑体" w:hAnsi="黑体" w:eastAsia="黑体"/>
          <w:b/>
        </w:rPr>
        <w:br w:type="page"/>
      </w:r>
    </w:p>
    <w:p>
      <w:pPr>
        <w:pStyle w:val="3"/>
        <w:jc w:val="center"/>
        <w:rPr>
          <w:rStyle w:val="13"/>
          <w:rFonts w:ascii="黑体" w:hAnsi="黑体" w:eastAsia="黑体"/>
          <w:b/>
          <w:bCs w:val="0"/>
        </w:rPr>
      </w:pPr>
      <w:r>
        <w:rPr>
          <w:rFonts w:hint="eastAsia" w:ascii="黑体" w:hAnsi="黑体" w:eastAsia="黑体"/>
          <w:b w:val="0"/>
        </w:rPr>
        <w:t xml:space="preserve">第一部分 </w:t>
      </w:r>
      <w:r>
        <w:rPr>
          <w:rStyle w:val="13"/>
          <w:rFonts w:hint="eastAsia" w:ascii="黑体" w:hAnsi="黑体" w:eastAsia="黑体"/>
          <w:b w:val="0"/>
          <w:bCs w:val="0"/>
        </w:rPr>
        <w:t>部门概况</w:t>
      </w:r>
      <w:bookmarkEnd w:id="12"/>
      <w:bookmarkEnd w:id="13"/>
    </w:p>
    <w:p>
      <w:pPr>
        <w:pStyle w:val="4"/>
        <w:rPr>
          <w:rStyle w:val="14"/>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4"/>
          <w:rFonts w:hint="eastAsia" w:ascii="黑体" w:hAnsi="黑体" w:eastAsia="黑体"/>
          <w:b w:val="0"/>
          <w:bCs w:val="0"/>
        </w:rPr>
        <w:t>本职能及主要工作</w:t>
      </w:r>
      <w:bookmarkEnd w:id="14"/>
      <w:bookmarkEnd w:id="15"/>
    </w:p>
    <w:p>
      <w:pPr>
        <w:pStyle w:val="2"/>
        <w:adjustRightInd w:val="0"/>
        <w:snapToGrid w:val="0"/>
        <w:spacing w:beforeLines="0" w:line="5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bookmarkStart w:id="18" w:name="_Toc15378446"/>
      <w:bookmarkStart w:id="19" w:name="_Toc15377199"/>
    </w:p>
    <w:p>
      <w:pPr>
        <w:pStyle w:val="2"/>
        <w:adjustRightInd w:val="0"/>
        <w:snapToGrid w:val="0"/>
        <w:spacing w:beforeLines="0" w:line="5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广元市昭化区职业高级中学是由四川省教育厅批准成立，由广元市昭化区人民政府主办的全日制国办中等职业学校，主要培养高中、初中学历技术应用人才，提高社会职业素质；文秘、财会等专业学历教育与相关职业培训。</w:t>
      </w:r>
    </w:p>
    <w:p>
      <w:pPr>
        <w:pStyle w:val="2"/>
        <w:adjustRightInd w:val="0"/>
        <w:snapToGrid w:val="0"/>
        <w:spacing w:beforeLines="0" w:line="5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8"/>
      <w:bookmarkEnd w:id="19"/>
    </w:p>
    <w:p>
      <w:pPr>
        <w:pStyle w:val="2"/>
        <w:numPr>
          <w:ilvl w:val="0"/>
          <w:numId w:val="1"/>
        </w:numPr>
        <w:adjustRightInd w:val="0"/>
        <w:snapToGrid w:val="0"/>
        <w:spacing w:beforeLines="0" w:line="5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以党员队伍为抓手，带动干部队伍的建设；学校班子成员分工明确，责任落实；各处室各司其职，充分的发挥了职能作用；班子团结勤奋，作风民主，凝聚力强。全面贯彻了“谁主管，谁负责，责、权高度统一”的原则；全面落实了“块线结合，以块为主，分校分区包干，分年级管理”的管理策略，实现了“规范管理、阳光行政、民主监督”的管理要求。</w:t>
      </w:r>
    </w:p>
    <w:p>
      <w:pPr>
        <w:pStyle w:val="2"/>
        <w:numPr>
          <w:ilvl w:val="0"/>
          <w:numId w:val="1"/>
        </w:numPr>
        <w:adjustRightInd w:val="0"/>
        <w:snapToGrid w:val="0"/>
        <w:spacing w:beforeLines="0" w:line="5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学校教研工作重点围绕促进教师专业化发展这一中心任务，广泛开展校本教研活动，提高教师的教育科研能力。充分利用多媒体教学提升教师的教育教学水平和业务能力。</w:t>
      </w:r>
    </w:p>
    <w:p>
      <w:pPr>
        <w:pStyle w:val="2"/>
        <w:numPr>
          <w:ilvl w:val="0"/>
          <w:numId w:val="1"/>
        </w:numPr>
        <w:adjustRightInd w:val="0"/>
        <w:snapToGrid w:val="0"/>
        <w:spacing w:beforeLines="0" w:line="5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学校始终把“养成”教育放在首位，以精细管理推动养成教育；以学习引导和氛围营造为主线，致力于学生自律意识的培养；围绕“感恩教育</w:t>
      </w:r>
      <w:r>
        <w:rPr>
          <w:rFonts w:hint="eastAsia" w:ascii="仿宋" w:hAnsi="仿宋" w:eastAsia="仿宋" w:cs="仿宋"/>
          <w:bCs/>
          <w:color w:val="000000"/>
          <w:sz w:val="32"/>
          <w:szCs w:val="32"/>
        </w:rPr>
        <w:t>·生命教育</w:t>
      </w:r>
      <w:r>
        <w:rPr>
          <w:rFonts w:hint="eastAsia" w:ascii="仿宋" w:hAnsi="仿宋" w:eastAsia="仿宋"/>
          <w:bCs/>
          <w:color w:val="000000"/>
          <w:sz w:val="32"/>
          <w:szCs w:val="32"/>
        </w:rPr>
        <w:t>”的德育主题，深入开展爱国主义教育、感恩教育、礼仪教育和生命教育，切实提高德育工作的针对性、主动性和实效性。</w:t>
      </w:r>
    </w:p>
    <w:p>
      <w:pPr>
        <w:pStyle w:val="2"/>
        <w:numPr>
          <w:ilvl w:val="0"/>
          <w:numId w:val="1"/>
        </w:numPr>
        <w:adjustRightInd w:val="0"/>
        <w:snapToGrid w:val="0"/>
        <w:spacing w:beforeLines="0" w:line="5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学校坚持以人为本，牢固树立“安全第一，预防为主”思想，明确责任，强化措施，常抓不懈，确保不发生安全责任事故。</w:t>
      </w:r>
    </w:p>
    <w:p>
      <w:pPr>
        <w:pStyle w:val="4"/>
        <w:spacing w:line="500" w:lineRule="exact"/>
        <w:rPr>
          <w:rStyle w:val="14"/>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4"/>
          <w:rFonts w:hint="eastAsia" w:ascii="黑体" w:hAnsi="黑体" w:eastAsia="黑体"/>
          <w:b w:val="0"/>
          <w:bCs w:val="0"/>
        </w:rPr>
        <w:t>构设置</w:t>
      </w:r>
      <w:bookmarkEnd w:id="20"/>
      <w:bookmarkEnd w:id="21"/>
    </w:p>
    <w:p>
      <w:pPr>
        <w:spacing w:line="500" w:lineRule="exact"/>
        <w:ind w:firstLine="800" w:firstLineChars="250"/>
        <w:rPr>
          <w:rFonts w:ascii="仿宋" w:hAnsi="仿宋" w:eastAsia="仿宋"/>
          <w:sz w:val="32"/>
          <w:szCs w:val="32"/>
        </w:rPr>
      </w:pPr>
      <w:r>
        <w:rPr>
          <w:rFonts w:hint="eastAsia" w:ascii="仿宋" w:hAnsi="仿宋" w:eastAsia="仿宋"/>
          <w:sz w:val="32"/>
          <w:szCs w:val="32"/>
        </w:rPr>
        <w:t>广元市昭化区职业高级中学下属二级单位0个，其中行政单位0个，参照公务员法管理的事业单位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Lines="0" w:line="5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纳入广元市昭化区职业高级中学2020年度部门决算编制范围的二级预算单位无。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13"/>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3"/>
          <w:rFonts w:hint="eastAsia" w:ascii="黑体" w:hAnsi="黑体" w:eastAsia="黑体"/>
          <w:b w:val="0"/>
          <w:bCs w:val="0"/>
        </w:rPr>
        <w:t>2020年度部门决算情况说明</w:t>
      </w:r>
      <w:bookmarkEnd w:id="22"/>
      <w:bookmarkEnd w:id="23"/>
    </w:p>
    <w:p>
      <w:pPr>
        <w:pStyle w:val="15"/>
        <w:numPr>
          <w:ilvl w:val="0"/>
          <w:numId w:val="2"/>
        </w:numPr>
        <w:spacing w:line="600" w:lineRule="exact"/>
        <w:ind w:firstLineChars="0"/>
        <w:outlineLvl w:val="1"/>
        <w:rPr>
          <w:rStyle w:val="14"/>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4"/>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2020年度收、支总计1152.6万元。与2019年相比，收、支总计各减少119.22万元，减少10.17%。主要变动原因是:2020年学生人数减少，中职免学费减少。</w:t>
      </w: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drawing>
          <wp:anchor distT="0" distB="0" distL="114300" distR="114300" simplePos="0" relativeHeight="251659264" behindDoc="0" locked="0" layoutInCell="1" allowOverlap="1">
            <wp:simplePos x="0" y="0"/>
            <wp:positionH relativeFrom="column">
              <wp:posOffset>175895</wp:posOffset>
            </wp:positionH>
            <wp:positionV relativeFrom="paragraph">
              <wp:posOffset>165735</wp:posOffset>
            </wp:positionV>
            <wp:extent cx="5080000" cy="2296795"/>
            <wp:effectExtent l="5080" t="4445" r="20320" b="2286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s="黑体"/>
          <w:color w:val="000000"/>
          <w:sz w:val="32"/>
          <w:szCs w:val="32"/>
        </w:rPr>
        <w:t xml:space="preserve">    二、收入决算情况说明</w:t>
      </w:r>
    </w:p>
    <w:p>
      <w:pPr>
        <w:spacing w:line="600" w:lineRule="exact"/>
        <w:ind w:firstLine="420" w:firstLineChars="200"/>
        <w:outlineLvl w:val="1"/>
        <w:rPr>
          <w:rFonts w:ascii="仿宋" w:hAnsi="仿宋" w:eastAsia="仿宋"/>
          <w:color w:val="000000"/>
          <w:sz w:val="32"/>
          <w:szCs w:val="32"/>
        </w:rPr>
      </w:pPr>
      <w:r>
        <w:rPr>
          <w:rFonts w:hint="eastAsia" w:eastAsia="仿宋"/>
        </w:rPr>
        <w:drawing>
          <wp:anchor distT="0" distB="0" distL="114300" distR="114300" simplePos="0" relativeHeight="251660288" behindDoc="0" locked="0" layoutInCell="1" allowOverlap="1">
            <wp:simplePos x="0" y="0"/>
            <wp:positionH relativeFrom="column">
              <wp:posOffset>42545</wp:posOffset>
            </wp:positionH>
            <wp:positionV relativeFrom="paragraph">
              <wp:posOffset>2455545</wp:posOffset>
            </wp:positionV>
            <wp:extent cx="5080000" cy="1144270"/>
            <wp:effectExtent l="5080" t="4445" r="20320" b="1333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w:t>
      </w:r>
      <w:r>
        <w:rPr>
          <w:rFonts w:hint="eastAsia" w:ascii="仿宋" w:hAnsi="仿宋" w:eastAsia="仿宋"/>
          <w:color w:val="000000"/>
          <w:sz w:val="32"/>
          <w:szCs w:val="32"/>
        </w:rPr>
        <w:t>20年本年收入合计1152.6万元，其中：一般公共预算财政拨款收入1152.6万元，占100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15"/>
        <w:spacing w:line="600" w:lineRule="exact"/>
        <w:ind w:firstLine="0" w:firstLineChars="0"/>
        <w:outlineLvl w:val="1"/>
        <w:rPr>
          <w:rStyle w:val="14"/>
          <w:rFonts w:ascii="黑体" w:hAnsi="黑体" w:eastAsia="黑体"/>
          <w:b w:val="0"/>
          <w:highlight w:val="yellow"/>
        </w:rPr>
      </w:pPr>
      <w:bookmarkStart w:id="26" w:name="_Toc15396605"/>
      <w:bookmarkStart w:id="27" w:name="_Toc15377207"/>
      <w:r>
        <w:rPr>
          <w:rFonts w:hint="eastAsia" w:ascii="黑体" w:hAnsi="黑体" w:eastAsia="黑体"/>
          <w:color w:val="000000"/>
          <w:sz w:val="32"/>
          <w:szCs w:val="32"/>
        </w:rPr>
        <w:t>三、支</w:t>
      </w:r>
      <w:r>
        <w:rPr>
          <w:rStyle w:val="14"/>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20年本年支出合计1029.56万元，其中：基本支出847.51万元，占82.32</w:t>
      </w:r>
      <w:r>
        <w:rPr>
          <w:rFonts w:ascii="仿宋" w:hAnsi="仿宋" w:eastAsia="仿宋"/>
          <w:color w:val="000000"/>
          <w:sz w:val="32"/>
          <w:szCs w:val="32"/>
        </w:rPr>
        <w:t>%</w:t>
      </w:r>
      <w:r>
        <w:rPr>
          <w:rFonts w:hint="eastAsia" w:ascii="仿宋" w:hAnsi="仿宋" w:eastAsia="仿宋"/>
          <w:color w:val="000000"/>
          <w:sz w:val="32"/>
          <w:szCs w:val="32"/>
        </w:rPr>
        <w:t>；项目支出182.05万元，占17.68</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5080000" cy="1562735"/>
            <wp:effectExtent l="4445" t="4445" r="2095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Style w:val="14"/>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14"/>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bookmarkStart w:id="30" w:name="_Toc15377209"/>
      <w:bookmarkStart w:id="31" w:name="_Toc15396607"/>
      <w:r>
        <w:rPr>
          <w:rFonts w:hint="eastAsia" w:ascii="仿宋" w:hAnsi="仿宋" w:eastAsia="仿宋"/>
          <w:color w:val="000000"/>
          <w:sz w:val="32"/>
          <w:szCs w:val="32"/>
        </w:rPr>
        <w:t>2020年度收、支总计1152.6万元。与2019年相比，收、支总计各减少119.22万元，减少10.17</w:t>
      </w:r>
      <w:r>
        <w:rPr>
          <w:rFonts w:ascii="仿宋" w:hAnsi="仿宋" w:eastAsia="仿宋"/>
          <w:color w:val="000000"/>
          <w:sz w:val="32"/>
          <w:szCs w:val="32"/>
        </w:rPr>
        <w:t>%</w:t>
      </w:r>
      <w:r>
        <w:rPr>
          <w:rFonts w:hint="eastAsia" w:ascii="仿宋" w:hAnsi="仿宋" w:eastAsia="仿宋"/>
          <w:color w:val="000000"/>
          <w:sz w:val="32"/>
          <w:szCs w:val="32"/>
        </w:rPr>
        <w:t>。主要变动原因是:2020年学生人数减少，中职免学费减少。</w:t>
      </w:r>
    </w:p>
    <w:p>
      <w:pPr>
        <w:pStyle w:val="2"/>
        <w:rPr>
          <w:rStyle w:val="14"/>
          <w:rFonts w:ascii="黑体" w:hAnsi="黑体" w:eastAsia="黑体"/>
          <w:b w:val="0"/>
        </w:rPr>
      </w:pPr>
      <w:r>
        <w:rPr>
          <w:rFonts w:hint="eastAsia" w:ascii="黑体" w:hAnsi="黑体" w:eastAsia="黑体" w:cs="黑体"/>
          <w:color w:val="000000"/>
          <w:sz w:val="32"/>
          <w:szCs w:val="32"/>
        </w:rPr>
        <w:drawing>
          <wp:anchor distT="0" distB="0" distL="114300" distR="114300" simplePos="0" relativeHeight="251661312" behindDoc="0" locked="0" layoutInCell="1" allowOverlap="1">
            <wp:simplePos x="0" y="0"/>
            <wp:positionH relativeFrom="column">
              <wp:posOffset>52705</wp:posOffset>
            </wp:positionH>
            <wp:positionV relativeFrom="paragraph">
              <wp:posOffset>121920</wp:posOffset>
            </wp:positionV>
            <wp:extent cx="5080000" cy="2296795"/>
            <wp:effectExtent l="5080" t="4445" r="20320" b="2286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4"/>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20年一般公共预算财政拨款支出1029.56万元，占本年支出合计的100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19年相比，一般公共预算财政拨款增加272.53万元，增加36</w:t>
      </w:r>
      <w:r>
        <w:rPr>
          <w:rFonts w:ascii="仿宋" w:hAnsi="仿宋" w:eastAsia="仿宋"/>
          <w:color w:val="000000"/>
          <w:sz w:val="32"/>
          <w:szCs w:val="32"/>
        </w:rPr>
        <w:t>%</w:t>
      </w:r>
      <w:r>
        <w:rPr>
          <w:rFonts w:hint="eastAsia" w:ascii="仿宋" w:hAnsi="仿宋" w:eastAsia="仿宋"/>
          <w:color w:val="000000"/>
          <w:sz w:val="32"/>
          <w:szCs w:val="32"/>
        </w:rPr>
        <w:t>。主要变动原因:2020年</w:t>
      </w:r>
      <w:bookmarkStart w:id="33" w:name="_Toc15377211"/>
      <w:r>
        <w:rPr>
          <w:rFonts w:hint="eastAsia" w:ascii="仿宋" w:hAnsi="仿宋" w:eastAsia="仿宋"/>
          <w:color w:val="000000"/>
          <w:sz w:val="32"/>
          <w:szCs w:val="32"/>
        </w:rPr>
        <w:t>增加项目支出182.05万元，基本支出增加90.48万元。</w:t>
      </w:r>
    </w:p>
    <w:p>
      <w:pPr>
        <w:pStyle w:val="2"/>
      </w:pPr>
    </w:p>
    <w:p>
      <w:pPr>
        <w:spacing w:line="600" w:lineRule="exact"/>
        <w:ind w:firstLine="640" w:firstLineChars="200"/>
        <w:outlineLvl w:val="1"/>
        <w:rPr>
          <w:rFonts w:ascii="仿宋" w:hAnsi="仿宋" w:eastAsia="仿宋"/>
          <w:b/>
          <w:color w:val="000000"/>
          <w:sz w:val="32"/>
          <w:szCs w:val="32"/>
        </w:rPr>
      </w:pPr>
      <w:r>
        <w:rPr>
          <w:rFonts w:hint="eastAsia" w:ascii="黑体" w:hAnsi="黑体" w:eastAsia="黑体" w:cs="黑体"/>
          <w:color w:val="000000"/>
          <w:sz w:val="32"/>
          <w:szCs w:val="32"/>
        </w:rPr>
        <w:drawing>
          <wp:anchor distT="0" distB="0" distL="114300" distR="114300" simplePos="0" relativeHeight="251662336" behindDoc="0" locked="0" layoutInCell="1" allowOverlap="1">
            <wp:simplePos x="0" y="0"/>
            <wp:positionH relativeFrom="column">
              <wp:posOffset>62230</wp:posOffset>
            </wp:positionH>
            <wp:positionV relativeFrom="paragraph">
              <wp:posOffset>3810</wp:posOffset>
            </wp:positionV>
            <wp:extent cx="5080000" cy="2296795"/>
            <wp:effectExtent l="5080" t="4445" r="20320" b="2286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20年一般公共预算财政拨款支出1029.56万元，主要用于以下方面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w:t>
      </w:r>
      <w:r>
        <w:rPr>
          <w:rFonts w:hint="eastAsia" w:ascii="仿宋" w:hAnsi="仿宋" w:eastAsia="仿宋"/>
          <w:color w:val="000000"/>
          <w:sz w:val="32"/>
          <w:szCs w:val="32"/>
        </w:rPr>
        <w:t>1029.56万元，占100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ascii="仿宋" w:hAnsi="仿宋" w:eastAsia="仿宋"/>
          <w:b/>
          <w:color w:val="000000"/>
          <w:sz w:val="32"/>
          <w:szCs w:val="32"/>
        </w:rPr>
      </w:pPr>
      <w:r>
        <w:rPr>
          <w:rFonts w:hint="eastAsia" w:eastAsia="仿宋"/>
        </w:rPr>
        <w:drawing>
          <wp:anchor distT="0" distB="0" distL="114300" distR="114300" simplePos="0" relativeHeight="251663360" behindDoc="0" locked="0" layoutInCell="1" allowOverlap="1">
            <wp:simplePos x="0" y="0"/>
            <wp:positionH relativeFrom="column">
              <wp:posOffset>43180</wp:posOffset>
            </wp:positionH>
            <wp:positionV relativeFrom="paragraph">
              <wp:posOffset>79375</wp:posOffset>
            </wp:positionV>
            <wp:extent cx="5080000" cy="1144270"/>
            <wp:effectExtent l="5080" t="4445" r="20320" b="1333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4" w:name="_Toc15377212"/>
      <w:r>
        <w:rPr>
          <w:rFonts w:hint="eastAsia" w:eastAsia="仿宋"/>
        </w:rPr>
        <w:t xml:space="preserve">    </w:t>
      </w:r>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444"/>
      <w:bookmarkStart w:id="36" w:name="_Toc15378460"/>
      <w:bookmarkStart w:id="37" w:name="_Toc15377213"/>
      <w:r>
        <w:rPr>
          <w:rFonts w:hint="eastAsia" w:ascii="仿宋" w:hAnsi="仿宋" w:eastAsia="仿宋"/>
          <w:b/>
          <w:color w:val="000000"/>
          <w:sz w:val="32"/>
          <w:szCs w:val="32"/>
        </w:rPr>
        <w:t>2020年般公共预算支出决算数为1029.56</w:t>
      </w:r>
      <w:r>
        <w:rPr>
          <w:rFonts w:hint="eastAsia" w:ascii="仿宋" w:hAnsi="仿宋" w:eastAsia="仿宋"/>
          <w:color w:val="000000"/>
          <w:sz w:val="32"/>
          <w:szCs w:val="32"/>
        </w:rPr>
        <w:t>，</w:t>
      </w:r>
      <w:r>
        <w:rPr>
          <w:rStyle w:val="11"/>
          <w:rFonts w:hint="eastAsia" w:ascii="仿宋" w:hAnsi="仿宋" w:eastAsia="仿宋"/>
          <w:bCs/>
          <w:color w:val="000000"/>
          <w:sz w:val="32"/>
          <w:szCs w:val="32"/>
        </w:rPr>
        <w:t>完成预算100</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1"/>
          <w:rFonts w:hint="eastAsia" w:ascii="仿宋" w:hAnsi="仿宋" w:eastAsia="仿宋"/>
          <w:bCs/>
          <w:color w:val="000000"/>
          <w:sz w:val="32"/>
          <w:szCs w:val="32"/>
        </w:rPr>
        <w:t>教育支出205（类）职业教育03（款）职业高中教育02（项）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支出决算为1029.56万元，完成预算100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，决算数不等于预算数的主要原因是项目未实施完成。</w:t>
      </w:r>
    </w:p>
    <w:p>
      <w:pPr>
        <w:tabs>
          <w:tab w:val="right" w:pos="8306"/>
        </w:tabs>
        <w:spacing w:line="600" w:lineRule="exact"/>
        <w:ind w:firstLine="640"/>
        <w:outlineLvl w:val="1"/>
        <w:rPr>
          <w:rStyle w:val="14"/>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4"/>
          <w:rFonts w:hint="eastAsia" w:ascii="黑体" w:hAnsi="黑体" w:eastAsia="黑体"/>
          <w:b w:val="0"/>
        </w:rPr>
        <w:t>般公共预算财政拨款基本支出决算情况说明</w:t>
      </w:r>
      <w:bookmarkEnd w:id="38"/>
      <w:bookmarkEnd w:id="39"/>
      <w:r>
        <w:rPr>
          <w:rStyle w:val="14"/>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20年一般公共预算财政拨款基本支出847.51万元，其中：</w:t>
      </w:r>
    </w:p>
    <w:p>
      <w:pPr>
        <w:spacing w:line="600" w:lineRule="exact"/>
        <w:ind w:firstLine="645"/>
        <w:jc w:val="left"/>
        <w:rPr>
          <w:rFonts w:ascii="仿宋" w:hAnsi="仿宋" w:eastAsia="仿宋"/>
          <w:color w:val="000000"/>
          <w:sz w:val="32"/>
          <w:szCs w:val="32"/>
        </w:rPr>
      </w:pPr>
      <w:r>
        <w:rPr>
          <w:rFonts w:hint="eastAsia" w:ascii="仿宋" w:hAnsi="仿宋" w:eastAsia="仿宋"/>
          <w:b/>
          <w:bCs/>
          <w:color w:val="000000"/>
          <w:sz w:val="32"/>
          <w:szCs w:val="32"/>
        </w:rPr>
        <w:t>人员经费645.7万元，</w:t>
      </w:r>
      <w:r>
        <w:rPr>
          <w:rFonts w:hint="eastAsia" w:ascii="仿宋" w:hAnsi="仿宋" w:eastAsia="仿宋"/>
          <w:color w:val="000000"/>
          <w:sz w:val="32"/>
          <w:szCs w:val="32"/>
        </w:rPr>
        <w:t>主要包括：基本工资、津贴补贴、绩效工资、机关事业单位基本养老保险缴费、职业年金缴费、其他社会保障缴费、其他工资福利支出、抚恤金、生活补助、医疗费、奖助学金。</w:t>
      </w:r>
      <w:r>
        <w:rPr>
          <w:rFonts w:ascii="仿宋" w:hAnsi="仿宋" w:eastAsia="仿宋"/>
          <w:color w:val="000000"/>
          <w:sz w:val="32"/>
          <w:szCs w:val="32"/>
        </w:rPr>
        <w:br w:type="textWrapping"/>
      </w:r>
      <w:r>
        <w:rPr>
          <w:rFonts w:hint="eastAsia" w:ascii="仿宋" w:hAnsi="仿宋" w:eastAsia="仿宋"/>
          <w:color w:val="000000"/>
          <w:sz w:val="32"/>
          <w:szCs w:val="32"/>
        </w:rPr>
        <w:t>　　</w:t>
      </w:r>
      <w:r>
        <w:rPr>
          <w:rFonts w:hint="eastAsia" w:ascii="仿宋" w:hAnsi="仿宋" w:eastAsia="仿宋"/>
          <w:b/>
          <w:bCs/>
          <w:color w:val="000000"/>
          <w:sz w:val="32"/>
          <w:szCs w:val="32"/>
        </w:rPr>
        <w:t>公用经费201.81万元，</w:t>
      </w:r>
      <w:r>
        <w:rPr>
          <w:rFonts w:hint="eastAsia" w:ascii="仿宋" w:hAnsi="仿宋" w:eastAsia="仿宋"/>
          <w:color w:val="000000"/>
          <w:sz w:val="32"/>
          <w:szCs w:val="32"/>
        </w:rPr>
        <w:t>主要包括：办公费、印刷费、手续费、水费、电费、邮电费、物业管理费、差旅费、维修（护）费、租赁费、培训费、公务接待费、劳务费、委托业务费、工会经费、其他交通费、税金及附加费用、其他商品和服务支出、办公设备购置、专用设备购置、信息网络及软件购置更新、其他资本性支出等。</w:t>
      </w:r>
    </w:p>
    <w:p>
      <w:pPr>
        <w:spacing w:line="600" w:lineRule="exact"/>
        <w:ind w:firstLine="640"/>
        <w:outlineLvl w:val="1"/>
        <w:rPr>
          <w:rStyle w:val="14"/>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14"/>
          <w:rFonts w:hint="eastAsia" w:ascii="黑体" w:hAnsi="黑体" w:eastAsia="黑体"/>
        </w:rPr>
        <w:t>“</w:t>
      </w:r>
      <w:r>
        <w:rPr>
          <w:rStyle w:val="14"/>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20年“三公”经费财政拨款支出决算为2.8万元，完成预算100</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，决算数小于预算数（或与预算数持平）主要原因严格按预算执行。</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hint="eastAsia" w:eastAsia="仿宋"/>
        </w:rPr>
        <w:drawing>
          <wp:anchor distT="0" distB="0" distL="114300" distR="114300" simplePos="0" relativeHeight="251664384" behindDoc="0" locked="0" layoutInCell="1" allowOverlap="1">
            <wp:simplePos x="0" y="0"/>
            <wp:positionH relativeFrom="column">
              <wp:posOffset>43180</wp:posOffset>
            </wp:positionH>
            <wp:positionV relativeFrom="paragraph">
              <wp:posOffset>1569720</wp:posOffset>
            </wp:positionV>
            <wp:extent cx="5080000" cy="1020445"/>
            <wp:effectExtent l="4445" t="4445" r="20955" b="2286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20年“三公”经费财政拨款支出决算中，本单位未发生因公出国（境）费，当年未安排；本单位未发生公务用车购置及运行维护费支出，当年款安排；公务接待费支出决算2.8万元，占100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numPr>
          <w:ilvl w:val="0"/>
          <w:numId w:val="3"/>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因公出国（境）经费支出0元，</w:t>
      </w:r>
      <w:r>
        <w:rPr>
          <w:rFonts w:hint="eastAsia" w:ascii="仿宋_GB2312" w:eastAsia="仿宋_GB2312"/>
          <w:color w:val="000000"/>
          <w:sz w:val="32"/>
          <w:szCs w:val="32"/>
        </w:rPr>
        <w:t>年初未安排预算。</w:t>
      </w:r>
    </w:p>
    <w:p>
      <w:pPr>
        <w:spacing w:line="600" w:lineRule="exact"/>
        <w:ind w:firstLine="643" w:firstLineChars="200"/>
        <w:rPr>
          <w:rFonts w:hint="eastAsia"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公务用车购置及运行维护费支出0元，</w:t>
      </w:r>
      <w:r>
        <w:rPr>
          <w:rFonts w:hint="eastAsia" w:ascii="仿宋_GB2312" w:eastAsia="仿宋_GB2312"/>
          <w:color w:val="000000"/>
          <w:sz w:val="32"/>
          <w:szCs w:val="32"/>
        </w:rPr>
        <w:t>年初未安排预算。公务</w:t>
      </w:r>
      <w:r>
        <w:rPr>
          <w:rFonts w:ascii="仿宋_GB2312" w:eastAsia="仿宋_GB2312"/>
          <w:color w:val="000000"/>
          <w:sz w:val="32"/>
          <w:szCs w:val="32"/>
        </w:rPr>
        <w:t>用车购置及运行维护支出决算与</w:t>
      </w:r>
      <w:r>
        <w:rPr>
          <w:rFonts w:hint="eastAsia" w:ascii="仿宋_GB2312" w:eastAsia="仿宋_GB2312"/>
          <w:color w:val="000000"/>
          <w:sz w:val="32"/>
          <w:szCs w:val="32"/>
        </w:rPr>
        <w:t>2019年</w:t>
      </w:r>
      <w:r>
        <w:rPr>
          <w:rFonts w:ascii="仿宋_GB2312" w:eastAsia="仿宋_GB2312"/>
          <w:color w:val="000000"/>
          <w:sz w:val="32"/>
          <w:szCs w:val="32"/>
        </w:rPr>
        <w:t>持平</w:t>
      </w:r>
      <w:r>
        <w:rPr>
          <w:rFonts w:hint="eastAsia" w:ascii="仿宋_GB2312" w:eastAsia="仿宋_GB2312"/>
          <w:color w:val="000000"/>
          <w:sz w:val="32"/>
          <w:szCs w:val="32"/>
        </w:rPr>
        <w:t>，</w:t>
      </w:r>
      <w:r>
        <w:rPr>
          <w:rFonts w:ascii="仿宋_GB2312" w:eastAsia="仿宋_GB2312"/>
          <w:color w:val="000000"/>
          <w:sz w:val="32"/>
          <w:szCs w:val="32"/>
        </w:rPr>
        <w:t>其中：</w:t>
      </w:r>
      <w:r>
        <w:rPr>
          <w:rFonts w:hint="eastAsia" w:ascii="仿宋_GB2312" w:eastAsia="仿宋_GB2312"/>
          <w:color w:val="000000"/>
          <w:sz w:val="32"/>
          <w:szCs w:val="32"/>
        </w:rPr>
        <w:t>公务</w:t>
      </w:r>
      <w:r>
        <w:rPr>
          <w:rFonts w:ascii="仿宋_GB2312" w:eastAsia="仿宋_GB2312"/>
          <w:color w:val="000000"/>
          <w:sz w:val="32"/>
          <w:szCs w:val="32"/>
        </w:rPr>
        <w:t>用车购置支出</w:t>
      </w:r>
      <w:r>
        <w:rPr>
          <w:rFonts w:hint="eastAsia" w:ascii="仿宋_GB2312" w:eastAsia="仿宋_GB2312"/>
          <w:color w:val="000000"/>
          <w:sz w:val="32"/>
          <w:szCs w:val="32"/>
        </w:rPr>
        <w:t>0万</w:t>
      </w:r>
      <w:r>
        <w:rPr>
          <w:rFonts w:ascii="仿宋_GB2312" w:eastAsia="仿宋_GB2312"/>
          <w:color w:val="000000"/>
          <w:sz w:val="32"/>
          <w:szCs w:val="32"/>
        </w:rPr>
        <w:t>元</w:t>
      </w:r>
      <w:r>
        <w:rPr>
          <w:rFonts w:hint="eastAsia" w:ascii="仿宋_GB2312" w:eastAsia="仿宋_GB2312"/>
          <w:color w:val="000000"/>
          <w:sz w:val="32"/>
          <w:szCs w:val="32"/>
        </w:rPr>
        <w:t>，</w:t>
      </w:r>
      <w:r>
        <w:rPr>
          <w:rFonts w:ascii="仿宋_GB2312" w:eastAsia="仿宋_GB2312"/>
          <w:color w:val="000000"/>
          <w:sz w:val="32"/>
          <w:szCs w:val="32"/>
        </w:rPr>
        <w:t>公务用车运行维护</w:t>
      </w:r>
      <w:r>
        <w:rPr>
          <w:rFonts w:hint="eastAsia" w:ascii="仿宋_GB2312" w:eastAsia="仿宋_GB2312"/>
          <w:color w:val="000000"/>
          <w:sz w:val="32"/>
          <w:szCs w:val="32"/>
        </w:rPr>
        <w:t>费</w:t>
      </w:r>
      <w:r>
        <w:rPr>
          <w:rFonts w:ascii="仿宋_GB2312" w:eastAsia="仿宋_GB2312"/>
          <w:color w:val="000000"/>
          <w:sz w:val="32"/>
          <w:szCs w:val="32"/>
        </w:rPr>
        <w:t>支出</w:t>
      </w:r>
      <w:r>
        <w:rPr>
          <w:rFonts w:hint="eastAsia" w:ascii="仿宋_GB2312" w:eastAsia="仿宋_GB2312"/>
          <w:color w:val="000000"/>
          <w:sz w:val="32"/>
          <w:szCs w:val="32"/>
        </w:rPr>
        <w:t>0万</w:t>
      </w:r>
      <w:r>
        <w:rPr>
          <w:rFonts w:ascii="仿宋_GB2312" w:eastAsia="仿宋_GB2312"/>
          <w:color w:val="000000"/>
          <w:sz w:val="32"/>
          <w:szCs w:val="32"/>
        </w:rPr>
        <w:t>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公务接待费支出：年初预算</w:t>
      </w:r>
      <w:r>
        <w:rPr>
          <w:rFonts w:hint="eastAsia" w:ascii="仿宋_GB2312" w:eastAsia="仿宋_GB2312"/>
          <w:color w:val="000000"/>
          <w:sz w:val="32"/>
          <w:szCs w:val="32"/>
        </w:rPr>
        <w:t>2.8万元，</w:t>
      </w:r>
      <w:r>
        <w:rPr>
          <w:rStyle w:val="11"/>
          <w:rFonts w:hint="eastAsia" w:ascii="仿宋" w:hAnsi="仿宋" w:eastAsia="仿宋"/>
          <w:b w:val="0"/>
          <w:bCs/>
          <w:color w:val="000000"/>
          <w:sz w:val="32"/>
          <w:szCs w:val="32"/>
        </w:rPr>
        <w:t>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9年减少0万元，下降0</w:t>
      </w:r>
      <w:r>
        <w:rPr>
          <w:rFonts w:ascii="仿宋_GB2312" w:eastAsia="仿宋_GB2312"/>
          <w:color w:val="000000"/>
          <w:sz w:val="32"/>
          <w:szCs w:val="32"/>
        </w:rPr>
        <w:t>%</w:t>
      </w:r>
      <w:r>
        <w:rPr>
          <w:rFonts w:hint="eastAsia" w:ascii="仿宋_GB2312" w:eastAsia="仿宋_GB2312"/>
          <w:color w:val="000000"/>
          <w:sz w:val="32"/>
          <w:szCs w:val="32"/>
        </w:rPr>
        <w:t>。主要原因是严格按照预算执行。</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主要用于执行公务、开展业务活动开支的交通费、住宿费、用餐费等。国内公务接待77批次，536人次（不包括陪同人员），共计支出2.8万元，</w:t>
      </w:r>
      <w:r>
        <w:rPr>
          <w:rFonts w:hint="eastAsia" w:ascii="仿宋_GB2312" w:eastAsia="仿宋_GB2312"/>
          <w:sz w:val="32"/>
          <w:szCs w:val="32"/>
        </w:rPr>
        <w:t>具体内容包括：教师下乡招生宣传接待费用1.3万元、教师到外县区及外地招生接待费用1.5万元.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pPr>
        <w:spacing w:line="600" w:lineRule="exact"/>
        <w:ind w:firstLine="640"/>
        <w:outlineLvl w:val="1"/>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4" w:name="_Toc15396610"/>
      <w:bookmarkStart w:id="45" w:name="_Toc15377218"/>
      <w:r>
        <w:rPr>
          <w:rFonts w:hint="eastAsia" w:ascii="仿宋_GB2312" w:eastAsia="仿宋_GB2312"/>
          <w:color w:val="000000"/>
          <w:sz w:val="32"/>
          <w:szCs w:val="32"/>
        </w:rPr>
        <w:t>。</w:t>
      </w:r>
    </w:p>
    <w:p>
      <w:pPr>
        <w:spacing w:line="600" w:lineRule="exact"/>
        <w:ind w:firstLine="640"/>
        <w:outlineLvl w:val="1"/>
        <w:rPr>
          <w:rStyle w:val="14"/>
          <w:rFonts w:ascii="黑体" w:hAnsi="黑体" w:eastAsia="黑体"/>
        </w:rPr>
      </w:pPr>
      <w:r>
        <w:rPr>
          <w:rFonts w:hint="eastAsia" w:ascii="黑体" w:eastAsia="黑体"/>
          <w:color w:val="000000"/>
          <w:sz w:val="32"/>
          <w:szCs w:val="32"/>
        </w:rPr>
        <w:t>八、</w:t>
      </w:r>
      <w:r>
        <w:rPr>
          <w:rStyle w:val="14"/>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20年政府性基金预算拨款支出0万元，</w:t>
      </w:r>
      <w:r>
        <w:rPr>
          <w:rFonts w:hint="eastAsia" w:ascii="楷体_GB2312" w:hAnsi="楷体_GB2312" w:eastAsia="楷体_GB2312" w:cs="楷体_GB2312"/>
          <w:color w:val="000000"/>
          <w:kern w:val="0"/>
          <w:sz w:val="32"/>
          <w:szCs w:val="32"/>
          <w:shd w:val="clear" w:color="auto" w:fill="FFFFFF"/>
          <w:lang w:bidi="ar"/>
        </w:rPr>
        <w:t>2020年本单位未在政府性基金预算拨款安排“三公”经费支出。</w:t>
      </w:r>
      <w:r>
        <w:rPr>
          <w:rFonts w:hint="eastAsia" w:ascii="仿宋_GB2312" w:eastAsia="仿宋_GB2312"/>
          <w:color w:val="000000"/>
          <w:sz w:val="32"/>
          <w:szCs w:val="32"/>
        </w:rPr>
        <w:t>。</w:t>
      </w:r>
    </w:p>
    <w:p>
      <w:pPr>
        <w:numPr>
          <w:ilvl w:val="0"/>
          <w:numId w:val="4"/>
        </w:numPr>
        <w:spacing w:line="600" w:lineRule="exact"/>
        <w:ind w:firstLine="640"/>
        <w:outlineLvl w:val="1"/>
        <w:rPr>
          <w:rStyle w:val="14"/>
          <w:rFonts w:ascii="黑体" w:hAnsi="黑体" w:eastAsia="黑体"/>
          <w:b w:val="0"/>
        </w:rPr>
      </w:pPr>
      <w:bookmarkStart w:id="46" w:name="_Toc15377219"/>
      <w:bookmarkStart w:id="47" w:name="_Toc15396611"/>
      <w:r>
        <w:rPr>
          <w:rStyle w:val="14"/>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spacing w:line="580" w:lineRule="exact"/>
        <w:ind w:firstLine="640" w:firstLineChars="200"/>
        <w:rPr>
          <w:rFonts w:ascii="仿宋" w:hAnsi="仿宋" w:eastAsia="仿宋" w:cs="楷体_GB2312"/>
          <w:b/>
          <w:bCs/>
          <w:sz w:val="32"/>
          <w:szCs w:val="32"/>
        </w:rPr>
      </w:pPr>
      <w:r>
        <w:rPr>
          <w:rStyle w:val="14"/>
          <w:rFonts w:hint="eastAsia" w:ascii="黑体" w:hAnsi="黑体" w:eastAsia="黑体"/>
          <w:b w:val="0"/>
        </w:rPr>
        <w:t>十、其他重要事项的情况说明</w:t>
      </w:r>
    </w:p>
    <w:p>
      <w:pPr>
        <w:spacing w:line="580" w:lineRule="exact"/>
        <w:ind w:firstLine="640" w:firstLineChars="200"/>
        <w:rPr>
          <w:rStyle w:val="14"/>
          <w:rFonts w:ascii="黑体" w:hAnsi="黑体" w:eastAsia="黑体"/>
          <w:b w:val="0"/>
        </w:rPr>
      </w:pPr>
      <w:r>
        <w:rPr>
          <w:rStyle w:val="14"/>
          <w:rFonts w:hint="eastAsia" w:ascii="黑体" w:hAnsi="黑体" w:eastAsia="黑体"/>
          <w:b w:val="0"/>
        </w:rPr>
        <w:t>(一)机关运行经费支出情况</w:t>
      </w:r>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20年未发生机关运行经费支出，与2019年决算数持平。</w:t>
      </w:r>
    </w:p>
    <w:p>
      <w:pPr>
        <w:spacing w:line="580" w:lineRule="exact"/>
        <w:ind w:firstLine="640" w:firstLineChars="200"/>
        <w:rPr>
          <w:rStyle w:val="14"/>
          <w:rFonts w:ascii="黑体" w:hAnsi="黑体" w:eastAsia="黑体"/>
          <w:b w:val="0"/>
        </w:rPr>
      </w:pPr>
      <w:r>
        <w:rPr>
          <w:rStyle w:val="14"/>
          <w:rFonts w:hint="eastAsia" w:ascii="黑体" w:hAnsi="黑体" w:eastAsia="黑体"/>
          <w:b w:val="0"/>
        </w:rPr>
        <w:t>（二）政府采购支出情况</w:t>
      </w:r>
    </w:p>
    <w:p>
      <w:pPr>
        <w:spacing w:line="600" w:lineRule="exact"/>
        <w:ind w:firstLine="420" w:firstLineChars="200"/>
        <w:rPr>
          <w:rFonts w:ascii="仿宋_GB2312" w:eastAsia="仿宋_GB2312"/>
          <w:sz w:val="32"/>
          <w:szCs w:val="32"/>
        </w:rPr>
      </w:pPr>
      <w:r>
        <w:rPr>
          <w:rFonts w:hint="eastAsia"/>
        </w:rPr>
        <w:t xml:space="preserve">    </w:t>
      </w:r>
      <w:r>
        <w:rPr>
          <w:rFonts w:ascii="仿宋_GB2312" w:eastAsia="仿宋_GB2312"/>
          <w:sz w:val="32"/>
          <w:szCs w:val="32"/>
        </w:rPr>
        <w:t>20</w:t>
      </w:r>
      <w:r>
        <w:rPr>
          <w:rFonts w:hint="eastAsia" w:ascii="仿宋_GB2312" w:eastAsia="仿宋_GB2312"/>
          <w:sz w:val="32"/>
          <w:szCs w:val="32"/>
        </w:rPr>
        <w:t>20年，昭化职中政府采购支出总额0万元，年初未安排预算。</w:t>
      </w:r>
    </w:p>
    <w:p>
      <w:pPr>
        <w:spacing w:line="580" w:lineRule="exact"/>
        <w:ind w:firstLine="640" w:firstLineChars="200"/>
        <w:rPr>
          <w:rStyle w:val="14"/>
          <w:rFonts w:ascii="黑体" w:hAnsi="黑体" w:eastAsia="黑体"/>
          <w:b w:val="0"/>
        </w:rPr>
      </w:pPr>
      <w:r>
        <w:rPr>
          <w:rStyle w:val="14"/>
          <w:rFonts w:hint="eastAsia" w:ascii="黑体" w:hAnsi="黑体" w:eastAsia="黑体"/>
          <w:b w:val="0"/>
        </w:rPr>
        <w:t>（三）国有资产占有使用情况</w:t>
      </w:r>
    </w:p>
    <w:p>
      <w:pPr>
        <w:autoSpaceDE w:val="0"/>
        <w:autoSpaceDN w:val="0"/>
        <w:adjustRightInd w:val="0"/>
        <w:spacing w:line="600" w:lineRule="exact"/>
        <w:ind w:firstLine="420" w:firstLineChars="200"/>
        <w:jc w:val="left"/>
        <w:rPr>
          <w:rFonts w:hint="eastAsia" w:ascii="仿宋_GB2312" w:eastAsia="仿宋_GB2312"/>
          <w:sz w:val="32"/>
          <w:szCs w:val="32"/>
        </w:rPr>
      </w:pPr>
      <w:r>
        <w:rPr>
          <w:rFonts w:hint="eastAsia"/>
        </w:rPr>
        <w:t xml:space="preserve">    </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日，昭化职中共</w:t>
      </w:r>
      <w:r>
        <w:rPr>
          <w:rFonts w:ascii="仿宋_GB2312" w:eastAsia="仿宋_GB2312"/>
          <w:sz w:val="32"/>
          <w:szCs w:val="32"/>
        </w:rPr>
        <w:t>有</w:t>
      </w:r>
      <w:r>
        <w:rPr>
          <w:rFonts w:hint="eastAsia" w:ascii="仿宋_GB2312" w:eastAsia="仿宋_GB2312"/>
          <w:sz w:val="32"/>
          <w:szCs w:val="32"/>
        </w:rPr>
        <w:t>车辆0辆</w:t>
      </w:r>
      <w:r>
        <w:rPr>
          <w:rFonts w:ascii="仿宋_GB2312" w:eastAsia="仿宋_GB2312"/>
          <w:sz w:val="32"/>
          <w:szCs w:val="32"/>
        </w:rPr>
        <w:t>，其中：主</w:t>
      </w:r>
      <w:r>
        <w:rPr>
          <w:rFonts w:hint="eastAsia" w:ascii="仿宋_GB2312" w:eastAsia="仿宋_GB2312"/>
          <w:sz w:val="32"/>
          <w:szCs w:val="32"/>
        </w:rPr>
        <w:t>要</w:t>
      </w:r>
      <w:r>
        <w:rPr>
          <w:rFonts w:ascii="仿宋_GB2312" w:eastAsia="仿宋_GB2312"/>
          <w:sz w:val="32"/>
          <w:szCs w:val="32"/>
        </w:rPr>
        <w:t>领导干部用车</w:t>
      </w:r>
      <w:r>
        <w:rPr>
          <w:rFonts w:hint="eastAsia" w:ascii="仿宋_GB2312" w:eastAsia="仿宋_GB2312"/>
          <w:sz w:val="32"/>
          <w:szCs w:val="32"/>
        </w:rPr>
        <w:t>0辆</w:t>
      </w:r>
      <w:r>
        <w:rPr>
          <w:rFonts w:ascii="仿宋_GB2312" w:eastAsia="仿宋_GB2312"/>
          <w:sz w:val="32"/>
          <w:szCs w:val="32"/>
        </w:rPr>
        <w:t>、机要通信用车</w:t>
      </w:r>
      <w:r>
        <w:rPr>
          <w:rFonts w:hint="eastAsia" w:ascii="仿宋_GB2312" w:eastAsia="仿宋_GB2312"/>
          <w:sz w:val="32"/>
          <w:szCs w:val="32"/>
        </w:rPr>
        <w:t>0辆</w:t>
      </w:r>
      <w:r>
        <w:rPr>
          <w:rFonts w:ascii="仿宋_GB2312" w:eastAsia="仿宋_GB2312"/>
          <w:sz w:val="32"/>
          <w:szCs w:val="32"/>
        </w:rPr>
        <w:t>、应急保障用车</w:t>
      </w:r>
      <w:r>
        <w:rPr>
          <w:rFonts w:hint="eastAsia" w:ascii="仿宋_GB2312" w:eastAsia="仿宋_GB2312"/>
          <w:sz w:val="32"/>
          <w:szCs w:val="32"/>
        </w:rPr>
        <w:t>0辆</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用车</w:t>
      </w:r>
      <w:r>
        <w:rPr>
          <w:rFonts w:hint="eastAsia" w:ascii="仿宋_GB2312" w:eastAsia="仿宋_GB2312"/>
          <w:sz w:val="32"/>
          <w:szCs w:val="32"/>
        </w:rPr>
        <w:t>0辆。单价100万元</w:t>
      </w:r>
      <w:r>
        <w:rPr>
          <w:rFonts w:ascii="仿宋_GB2312" w:eastAsia="仿宋_GB2312"/>
          <w:sz w:val="32"/>
          <w:szCs w:val="32"/>
        </w:rPr>
        <w:t>以上</w:t>
      </w:r>
      <w:r>
        <w:rPr>
          <w:rFonts w:hint="eastAsia" w:ascii="仿宋_GB2312" w:eastAsia="仿宋_GB2312"/>
          <w:sz w:val="32"/>
          <w:szCs w:val="32"/>
        </w:rPr>
        <w:t>专用</w:t>
      </w:r>
      <w:r>
        <w:rPr>
          <w:rFonts w:ascii="仿宋_GB2312" w:eastAsia="仿宋_GB2312"/>
          <w:sz w:val="32"/>
          <w:szCs w:val="32"/>
        </w:rPr>
        <w:t>设备</w:t>
      </w:r>
      <w:r>
        <w:rPr>
          <w:rFonts w:hint="eastAsia" w:ascii="仿宋_GB2312" w:eastAsia="仿宋_GB2312"/>
          <w:sz w:val="32"/>
          <w:szCs w:val="32"/>
        </w:rPr>
        <w:t>0台(套)</w:t>
      </w:r>
      <w:r>
        <w:rPr>
          <w:rFonts w:ascii="仿宋_GB2312" w:eastAsia="仿宋_GB2312"/>
          <w:sz w:val="32"/>
          <w:szCs w:val="32"/>
        </w:rPr>
        <w:t>。</w:t>
      </w:r>
    </w:p>
    <w:p>
      <w:pPr>
        <w:spacing w:line="580" w:lineRule="exact"/>
        <w:ind w:firstLine="640" w:firstLineChars="200"/>
        <w:rPr>
          <w:rStyle w:val="14"/>
          <w:rFonts w:ascii="黑体" w:hAnsi="黑体" w:eastAsia="黑体"/>
          <w:b w:val="0"/>
        </w:rPr>
      </w:pPr>
      <w:r>
        <w:rPr>
          <w:rStyle w:val="14"/>
          <w:rFonts w:hint="eastAsia" w:ascii="黑体" w:hAnsi="黑体" w:eastAsia="黑体"/>
          <w:b w:val="0"/>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中职生助学金项目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本部门按要求对2020年部门整体支出开展绩效自评，从评价情况来看整体效果为优秀。本部门还自行组织了1个项目绩效评价。</w:t>
      </w:r>
    </w:p>
    <w:p>
      <w:pPr>
        <w:numPr>
          <w:ilvl w:val="0"/>
          <w:numId w:val="5"/>
        </w:numPr>
        <w:spacing w:line="580" w:lineRule="exact"/>
        <w:ind w:firstLine="643" w:firstLineChars="200"/>
        <w:jc w:val="left"/>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本部门在2020年度部门决算中反映“中职生助学金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中职生助学金项目绩效目标完成情况综述。项目全年预算数57.88万元，执行数为50.96万元，完成预算的88.04%。通过项目实施，保障了贫困家庭学生能正常就读，提高了贫困家庭学生的就读率。</w:t>
      </w:r>
    </w:p>
    <w:p>
      <w:pPr>
        <w:tabs>
          <w:tab w:val="left" w:pos="312"/>
        </w:tabs>
        <w:spacing w:line="580" w:lineRule="exact"/>
        <w:rPr>
          <w:rFonts w:ascii="仿宋_GB2312" w:hAnsi="仿宋_GB2312" w:eastAsia="仿宋_GB2312" w:cs="仿宋_GB2312"/>
          <w:sz w:val="32"/>
          <w:szCs w:val="32"/>
          <w:highlight w:val="red"/>
        </w:rPr>
      </w:pPr>
    </w:p>
    <w:tbl>
      <w:tblPr>
        <w:tblStyle w:val="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trPr>
        <w:tc>
          <w:tcPr>
            <w:tcW w:w="9960" w:type="dxa"/>
            <w:gridSpan w:val="6"/>
            <w:tcMar>
              <w:top w:w="15" w:type="dxa"/>
              <w:left w:w="15" w:type="dxa"/>
              <w:bottom w:w="0" w:type="dxa"/>
              <w:right w:w="15" w:type="dxa"/>
            </w:tcMar>
            <w:vAlign w:val="center"/>
          </w:tcPr>
          <w:p>
            <w:pPr>
              <w:pStyle w:val="15"/>
              <w:widowControl/>
              <w:ind w:left="4173" w:leftChars="1310" w:hanging="1422" w:hangingChars="395"/>
              <w:jc w:val="left"/>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中等职业高中学生助学金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广元市昭化区职业高级中学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57.88万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50.96万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57.88万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50.96万</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 w:val="24"/>
              </w:rPr>
            </w:pPr>
            <w:r>
              <w:rPr>
                <w:rFonts w:hint="eastAsia"/>
                <w:sz w:val="24"/>
              </w:rPr>
              <w:t>目标1：按四川省助学管理文件完成学生助学信息的报送、审核、公示。</w:t>
            </w:r>
            <w:r>
              <w:rPr>
                <w:rFonts w:hint="eastAsia"/>
                <w:sz w:val="24"/>
              </w:rPr>
              <w:br w:type="textWrapping"/>
            </w:r>
            <w:r>
              <w:rPr>
                <w:rFonts w:hint="eastAsia"/>
                <w:sz w:val="24"/>
              </w:rPr>
              <w:t>目标2：做好建档立卡贫困户、低保户、残疾学生、家庭困难学生的台账及入户调查核实工作。</w:t>
            </w:r>
            <w:r>
              <w:rPr>
                <w:rFonts w:hint="eastAsia"/>
                <w:sz w:val="24"/>
              </w:rPr>
              <w:br w:type="textWrapping"/>
            </w:r>
            <w:r>
              <w:rPr>
                <w:rFonts w:hint="eastAsia"/>
                <w:sz w:val="24"/>
              </w:rPr>
              <w:t>目标3：按时间节点及时发放助学。</w:t>
            </w:r>
            <w:r>
              <w:rPr>
                <w:rFonts w:hint="eastAsia"/>
                <w:sz w:val="24"/>
              </w:rPr>
              <w:br w:type="textWrapping"/>
            </w:r>
            <w:r>
              <w:rPr>
                <w:rFonts w:hint="eastAsia"/>
                <w:sz w:val="24"/>
              </w:rPr>
              <w:t xml:space="preserve"> ……</w:t>
            </w:r>
          </w:p>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对289名在籍在校中职生全员及时发放了助学金</w:t>
            </w:r>
          </w:p>
        </w:tc>
      </w:tr>
      <w:tr>
        <w:tblPrEx>
          <w:tblCellMar>
            <w:top w:w="0" w:type="dxa"/>
            <w:left w:w="0" w:type="dxa"/>
            <w:bottom w:w="0" w:type="dxa"/>
            <w:right w:w="0" w:type="dxa"/>
          </w:tblCellMar>
        </w:tblPrEx>
        <w:trPr>
          <w:trHeight w:val="284"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2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产出目标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享受中职助学金人数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2890人次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2548人次</w:t>
            </w:r>
          </w:p>
        </w:tc>
      </w:tr>
      <w:tr>
        <w:tblPrEx>
          <w:tblCellMar>
            <w:top w:w="0" w:type="dxa"/>
            <w:left w:w="0" w:type="dxa"/>
            <w:bottom w:w="0" w:type="dxa"/>
            <w:right w:w="0" w:type="dxa"/>
          </w:tblCellMar>
        </w:tblPrEx>
        <w:trPr>
          <w:trHeight w:val="8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享受中职助学金人数比例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7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资助经费及时发放率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8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全校中职助学金已发放金额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57.88万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50.96万</w:t>
            </w:r>
          </w:p>
        </w:tc>
      </w:tr>
      <w:tr>
        <w:tblPrEx>
          <w:tblCellMar>
            <w:top w:w="0" w:type="dxa"/>
            <w:left w:w="0" w:type="dxa"/>
            <w:bottom w:w="0" w:type="dxa"/>
            <w:right w:w="0" w:type="dxa"/>
          </w:tblCellMar>
        </w:tblPrEx>
        <w:trPr>
          <w:trHeight w:val="8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p>
            <w:pPr>
              <w:jc w:val="center"/>
              <w:textAlignment w:val="center"/>
              <w:rPr>
                <w:rFonts w:ascii="宋体" w:hAnsi="宋体" w:cs="宋体"/>
                <w:color w:val="000000"/>
                <w:sz w:val="24"/>
              </w:rPr>
            </w:pPr>
            <w:r>
              <w:rPr>
                <w:rFonts w:hint="eastAsia" w:ascii="宋体" w:hAnsi="宋体" w:cs="宋体"/>
                <w:color w:val="000000"/>
                <w:sz w:val="24"/>
              </w:rPr>
              <w:t>……</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受助学生满意度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受助学生家长满意度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rPr>
          <w:rFonts w:ascii="Calibri" w:hAnsi="Calibri"/>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本部门按要求对2020年部门整体支出绩效评价情况开展自评，《广元市昭化区职业高级中学2020年部门整体支出绩效评价报告》见附件1。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本部门自行组织对1项目开展了绩效评价，《中职学生助学金项目2020年绩效评价报告》见附件2。</w:t>
      </w:r>
    </w:p>
    <w:p>
      <w:pPr>
        <w:widowControl/>
        <w:jc w:val="left"/>
        <w:rPr>
          <w:rFonts w:ascii="仿宋_GB2312" w:eastAsia="仿宋_GB2312"/>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pStyle w:val="2"/>
        <w:rPr>
          <w:b/>
          <w:color w:val="000000"/>
          <w:sz w:val="32"/>
          <w:szCs w:val="32"/>
        </w:rPr>
      </w:pPr>
    </w:p>
    <w:p>
      <w:pPr>
        <w:numPr>
          <w:ilvl w:val="0"/>
          <w:numId w:val="6"/>
        </w:numPr>
        <w:spacing w:line="600" w:lineRule="exact"/>
        <w:ind w:firstLine="660" w:firstLineChars="150"/>
        <w:jc w:val="center"/>
        <w:outlineLvl w:val="0"/>
        <w:rPr>
          <w:rStyle w:val="13"/>
          <w:rFonts w:ascii="黑体" w:hAnsi="黑体" w:eastAsia="黑体"/>
          <w:b w:val="0"/>
        </w:rPr>
      </w:pPr>
      <w:bookmarkStart w:id="48" w:name="_Toc15377225"/>
      <w:bookmarkStart w:id="49" w:name="_Toc15396613"/>
      <w:r>
        <w:rPr>
          <w:rStyle w:val="13"/>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1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highlight w:val="yellow"/>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教育支出205（类）职业教育03（款）02（项）：中等职业教育，指教育部门举办的职业中学支出及补助费。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1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“三公”经费：指部门用财政拨款安排的公务接待费。其中，公务接待费反映单位按规定开支的各类公务接待支出。</w:t>
      </w:r>
    </w:p>
    <w:p>
      <w:pPr>
        <w:spacing w:line="600" w:lineRule="exact"/>
        <w:jc w:val="center"/>
        <w:outlineLvl w:val="0"/>
        <w:rPr>
          <w:rFonts w:ascii="黑体" w:hAnsi="黑体" w:eastAsia="黑体"/>
          <w:color w:val="000000"/>
          <w:sz w:val="44"/>
          <w:szCs w:val="44"/>
        </w:rPr>
      </w:pPr>
      <w:bookmarkStart w:id="50" w:name="_Toc15396614"/>
      <w:bookmarkStart w:id="51" w:name="_Toc15377226"/>
    </w:p>
    <w:p>
      <w:pPr>
        <w:pStyle w:val="2"/>
        <w:rPr>
          <w:rFonts w:ascii="黑体" w:hAnsi="黑体" w:eastAsia="黑体"/>
          <w:color w:val="000000"/>
          <w:sz w:val="44"/>
          <w:szCs w:val="44"/>
        </w:rPr>
      </w:pPr>
    </w:p>
    <w:p>
      <w:pPr>
        <w:pStyle w:val="2"/>
        <w:rPr>
          <w:rFonts w:ascii="黑体" w:hAnsi="黑体" w:eastAsia="黑体"/>
          <w:color w:val="000000"/>
          <w:sz w:val="44"/>
          <w:szCs w:val="44"/>
        </w:rPr>
      </w:pPr>
    </w:p>
    <w:p>
      <w:pPr>
        <w:pStyle w:val="2"/>
        <w:rPr>
          <w:rFonts w:ascii="黑体" w:hAnsi="黑体" w:eastAsia="黑体"/>
          <w:color w:val="000000"/>
          <w:sz w:val="44"/>
          <w:szCs w:val="44"/>
        </w:rPr>
      </w:pPr>
    </w:p>
    <w:p>
      <w:pPr>
        <w:pStyle w:val="2"/>
        <w:rPr>
          <w:rFonts w:ascii="黑体" w:hAnsi="黑体" w:eastAsia="黑体"/>
          <w:color w:val="000000"/>
          <w:sz w:val="44"/>
          <w:szCs w:val="44"/>
        </w:rPr>
      </w:pPr>
    </w:p>
    <w:p>
      <w:pPr>
        <w:pStyle w:val="2"/>
        <w:rPr>
          <w:rFonts w:ascii="黑体" w:hAnsi="黑体" w:eastAsia="黑体"/>
          <w:color w:val="000000"/>
          <w:sz w:val="44"/>
          <w:szCs w:val="44"/>
        </w:rPr>
      </w:pPr>
    </w:p>
    <w:p>
      <w:pPr>
        <w:spacing w:line="600" w:lineRule="exact"/>
        <w:jc w:val="center"/>
        <w:outlineLvl w:val="0"/>
        <w:rPr>
          <w:rStyle w:val="13"/>
          <w:rFonts w:ascii="黑体" w:hAnsi="黑体" w:eastAsia="黑体"/>
          <w:b w:val="0"/>
        </w:rPr>
      </w:pPr>
      <w:r>
        <w:rPr>
          <w:rFonts w:hint="eastAsia" w:ascii="黑体" w:hAnsi="黑体" w:eastAsia="黑体"/>
          <w:color w:val="000000"/>
          <w:sz w:val="44"/>
          <w:szCs w:val="44"/>
        </w:rPr>
        <w:t>第</w:t>
      </w:r>
      <w:r>
        <w:rPr>
          <w:rStyle w:val="13"/>
          <w:rFonts w:hint="eastAsia" w:ascii="黑体" w:hAnsi="黑体" w:eastAsia="黑体"/>
          <w:b w:val="0"/>
        </w:rPr>
        <w:t>四部分 附件</w:t>
      </w:r>
      <w:bookmarkEnd w:id="50"/>
    </w:p>
    <w:p>
      <w:pPr>
        <w:spacing w:line="600" w:lineRule="exact"/>
        <w:jc w:val="center"/>
        <w:outlineLvl w:val="0"/>
        <w:rPr>
          <w:rStyle w:val="13"/>
        </w:rPr>
      </w:pPr>
    </w:p>
    <w:p>
      <w:pPr>
        <w:pStyle w:val="4"/>
        <w:rPr>
          <w:rStyle w:val="13"/>
          <w:rFonts w:ascii="仿宋" w:hAnsi="仿宋" w:eastAsia="仿宋"/>
          <w:b w:val="0"/>
          <w:bCs w:val="0"/>
          <w:sz w:val="32"/>
          <w:szCs w:val="32"/>
        </w:rPr>
      </w:pPr>
      <w:bookmarkStart w:id="52" w:name="_Toc15396615"/>
      <w:r>
        <w:rPr>
          <w:rStyle w:val="13"/>
          <w:rFonts w:hint="eastAsia" w:ascii="仿宋" w:hAnsi="仿宋" w:eastAsia="仿宋"/>
          <w:b w:val="0"/>
          <w:bCs w:val="0"/>
          <w:sz w:val="32"/>
          <w:szCs w:val="32"/>
        </w:rPr>
        <w:t>附件1</w:t>
      </w:r>
      <w:bookmarkEnd w:id="52"/>
    </w:p>
    <w:p>
      <w:pPr>
        <w:spacing w:line="600" w:lineRule="exact"/>
        <w:jc w:val="center"/>
        <w:outlineLvl w:val="0"/>
        <w:rPr>
          <w:rFonts w:ascii="黑体" w:hAnsi="黑体" w:eastAsia="黑体" w:cs="方正小标宋简体"/>
          <w:sz w:val="36"/>
          <w:szCs w:val="36"/>
        </w:rPr>
      </w:pPr>
      <w:bookmarkStart w:id="53" w:name="_Toc15396616"/>
      <w:r>
        <w:rPr>
          <w:rFonts w:hint="eastAsia" w:ascii="黑体" w:hAnsi="黑体" w:eastAsia="黑体" w:cs="方正小标宋简体"/>
          <w:sz w:val="36"/>
          <w:szCs w:val="36"/>
        </w:rPr>
        <w:t>广元市昭化区职业高级中学2020年部门整体支出绩效评价报告</w:t>
      </w:r>
      <w:bookmarkEnd w:id="5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ind w:firstLine="800" w:firstLineChars="250"/>
        <w:rPr>
          <w:rFonts w:ascii="仿宋" w:hAnsi="仿宋" w:eastAsia="仿宋"/>
          <w:sz w:val="32"/>
          <w:szCs w:val="32"/>
        </w:rPr>
      </w:pPr>
      <w:r>
        <w:rPr>
          <w:rFonts w:hint="eastAsia" w:ascii="仿宋" w:hAnsi="仿宋" w:eastAsia="仿宋"/>
          <w:sz w:val="32"/>
          <w:szCs w:val="32"/>
        </w:rPr>
        <w:t>广元市昭化区职业高级中学下属二级单位0个，其中行政单位0个，参照公务员法管理的事业单位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pStyle w:val="2"/>
        <w:adjustRightInd w:val="0"/>
        <w:snapToGrid w:val="0"/>
        <w:spacing w:beforeLines="0"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广元市昭化区职业高级中学是由四川省教育厅批准成立，由广元市昭化区人民政府主办的全日制公办中等职业学校，主要培养高中、初中学历技术应用人才，提高社会职业素质；文秘、财会等专业学历教育与相关职业培训。</w:t>
      </w:r>
    </w:p>
    <w:p>
      <w:pPr>
        <w:spacing w:line="600"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（三）人员概况。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bCs/>
          <w:color w:val="000000"/>
          <w:kern w:val="0"/>
          <w:sz w:val="32"/>
          <w:szCs w:val="32"/>
        </w:rPr>
        <w:t>广元市昭化区职业高级中学</w:t>
      </w:r>
      <w:r>
        <w:rPr>
          <w:rFonts w:hint="eastAsia" w:ascii="仿宋" w:hAnsi="仿宋" w:eastAsia="仿宋"/>
          <w:sz w:val="28"/>
          <w:szCs w:val="28"/>
        </w:rPr>
        <w:t>定编人数</w:t>
      </w:r>
      <w:r>
        <w:rPr>
          <w:rFonts w:hint="eastAsia" w:ascii="仿宋" w:hAnsi="仿宋" w:eastAsia="仿宋"/>
          <w:sz w:val="32"/>
          <w:szCs w:val="32"/>
        </w:rPr>
        <w:t>51人。年末实际在编在职人员50人，其中高级职称14人,中级职称20人,初级职称16人。退休11人。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广元市昭化区职业高级中学2020年部门预算收入总数1152.6万元。</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（二）部门财政资金支出情况。</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广元市昭化区职业高级中学2020年部门预算支出总数1029.56万元，部门基本支出预算847.51万元，其中：人员支出645.7万元，公用支出201.81万元。财政拨款安排“三公”经费预算2.8万元。其中：公务接待费预算2.8万元，公务用车运行维护费预算0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1、部门预决算编制</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按照区财政局“人员经费按标准，公用经费按学生人数”的预算原则，编制2020年本级部门年初预算742.06万元，结转上年家具设计与制作专业建设项目资金400万元，追加人员经费10.54共计1152.6万元。</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　根据区财政局关于做好2020年财务工作决算的通知要求，客观真实编制了2020年部门决算，2020年财政资金总支出为1029.56万元。</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部门预决算编制内容基本真实、完整，部门决算按规定口径填列，表内表间数据衔接一致，上下年度衔接一致，部门决算与其他上报报表或者决算基本一致，项目及资金结转清晰、科目填报准确合理。能够按要求的时间报送部门预算、部门预算编制说明以及部门决算；报送后发现有错、漏及时修改完善，并于当天报送区财政。</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2、预算执行</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（1）预算收入方面。单位的各项收入做到应收尽收，所有收入均纳入账簿，各项收入无虚挂往来现象，并做到了及时入账。</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预算支出方面。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（3）内控制度管理</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广元市昭化区职业高级中学分别建立了相关内部控制制度，包括《财务管理制度》、《财务收支管理制度》、《公务接待管理制度》、《办公用品采购使用制度》、《固定资产清查制度》、《公务车辆管理制度》、《现金管理制度》、《合同控制》、《会计档案管理制度》、《财务内部稽核制度》等内控制度，并基本执行有效。</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napToGrid w:val="0"/>
        <w:spacing w:line="600" w:lineRule="exact"/>
        <w:ind w:firstLine="960" w:firstLineChars="300"/>
        <w:outlineLvl w:val="0"/>
        <w:rPr>
          <w:rFonts w:ascii="仿宋" w:hAnsi="仿宋" w:eastAsia="仿宋"/>
          <w:sz w:val="28"/>
          <w:szCs w:val="28"/>
        </w:rPr>
      </w:pPr>
      <w:bookmarkStart w:id="54" w:name="_Toc26926"/>
      <w:r>
        <w:rPr>
          <w:rFonts w:hint="eastAsia" w:ascii="仿宋" w:hAnsi="仿宋" w:eastAsia="仿宋" w:cs="仿宋_GB2312"/>
          <w:sz w:val="32"/>
          <w:szCs w:val="32"/>
        </w:rPr>
        <w:t>2020年本部门无专项预算。</w:t>
      </w:r>
      <w:bookmarkEnd w:id="54"/>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对部门预算绩效管理工作开展情况认真进行了自查自评。绩效评价自查开展覆盖基本支出和助学金支出，将评价结果作为预算安排的重要依据，参照项目年度预算执行情况、项目支出需求，保障基本支出，调整支出结构，优化财政资金配置，不断强化绩效理念，推动我单位整体绩效管理水平不断提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我单位部整体支出绩效评价自查自评结果优秀，全年基本支了保证了部门的正常运行和日常工作的正常开展，项目支出保险了工作的开展，达到预期绩效目标。按照《财政厅关于开展2020年部门整体支出结交评价工作的通知》新出台的绩效评价指标体系自评为优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绩效目标设定有待更科学更合理。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针对存在的问题，我们将进一步科学设定绩效目标，加强预算执行管理。一是改进部门收支预算编制，夯实预算基础工作，提高预算编制质量；二是认真研究政策，加强项目绩效审核，力求科学合理。</w:t>
      </w:r>
      <w:r>
        <w:rPr>
          <w:rFonts w:ascii="仿宋_GB2312" w:hAnsi="仿宋_GB2312" w:eastAsia="仿宋_GB2312" w:cs="仿宋_GB2312"/>
          <w:sz w:val="32"/>
          <w:szCs w:val="32"/>
        </w:rPr>
        <w:br w:type="page"/>
      </w:r>
    </w:p>
    <w:p>
      <w:pPr>
        <w:pStyle w:val="4"/>
        <w:rPr>
          <w:rStyle w:val="13"/>
          <w:rFonts w:ascii="仿宋" w:hAnsi="仿宋" w:eastAsia="仿宋"/>
          <w:b w:val="0"/>
          <w:bCs w:val="0"/>
          <w:sz w:val="32"/>
          <w:szCs w:val="32"/>
        </w:rPr>
      </w:pPr>
      <w:bookmarkStart w:id="55" w:name="_Toc15396617"/>
      <w:r>
        <w:rPr>
          <w:rStyle w:val="13"/>
          <w:rFonts w:hint="eastAsia" w:ascii="仿宋" w:hAnsi="仿宋" w:eastAsia="仿宋"/>
          <w:b w:val="0"/>
          <w:bCs w:val="0"/>
          <w:sz w:val="32"/>
          <w:szCs w:val="32"/>
        </w:rPr>
        <w:t>附件2</w:t>
      </w:r>
      <w:bookmarkEnd w:id="5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2020年广元市昭化区职业高级中学学生助学金项目支出绩效评价报告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560" w:firstLineChars="200"/>
        <w:rPr>
          <w:rFonts w:ascii="仿宋" w:hAnsi="仿宋" w:eastAsia="仿宋" w:cs="仿宋_GB2312"/>
          <w:sz w:val="32"/>
          <w:szCs w:val="32"/>
        </w:rPr>
      </w:pPr>
      <w:r>
        <w:rPr>
          <w:rFonts w:hint="eastAsia" w:ascii="仿宋" w:hAnsi="仿宋" w:eastAsia="仿宋"/>
          <w:sz w:val="28"/>
          <w:szCs w:val="28"/>
        </w:rPr>
        <w:t>2020年12月对广元市昭化区职业高级中学以下简称“昭化职中”）2020年度部门财务管理及中职生助学金项目进行绩效评价。综合运用了成本效益分析法、比较法、因素分析法、最低成本法、问卷调查法、访谈法、抽样调查、调阅资料、实地调查等方法开展项目支出绩效评价和政策评估，通过对项目所涉及的部门预算、部门决算、收入、支出、项目支出凭证、项目计划、项目实施等资料进行检查、审阅、整理、分析、汇总。全面预算资助人次为2890，助学金57.88万元,实际完成50.96万元。2548人次受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通过对该项目三级指标的分析考评，该项目的绩效评价得分为95分(具体指标分值见附件)，综合评价结果为优级。</w:t>
      </w:r>
    </w:p>
    <w:p>
      <w:pPr>
        <w:snapToGrid w:val="0"/>
        <w:spacing w:line="600" w:lineRule="exact"/>
        <w:ind w:firstLine="560" w:firstLineChars="200"/>
        <w:rPr>
          <w:rFonts w:ascii="仿宋" w:hAnsi="仿宋" w:eastAsia="仿宋"/>
          <w:sz w:val="28"/>
          <w:szCs w:val="28"/>
        </w:rPr>
      </w:pPr>
    </w:p>
    <w:p>
      <w:pPr>
        <w:pStyle w:val="2"/>
      </w:pPr>
    </w:p>
    <w:p>
      <w:pPr>
        <w:pStyle w:val="2"/>
      </w:pPr>
    </w:p>
    <w:p>
      <w:pPr>
        <w:pStyle w:val="2"/>
      </w:pPr>
    </w:p>
    <w:p>
      <w:pPr>
        <w:pStyle w:val="2"/>
      </w:pPr>
    </w:p>
    <w:p>
      <w:pPr>
        <w:pStyle w:val="2"/>
      </w:pPr>
    </w:p>
    <w:p>
      <w:pPr>
        <w:pStyle w:val="2"/>
        <w:rPr>
          <w:rFonts w:hint="eastAsia"/>
        </w:rPr>
      </w:pPr>
    </w:p>
    <w:tbl>
      <w:tblPr>
        <w:tblStyle w:val="9"/>
        <w:tblpPr w:leftFromText="180" w:rightFromText="180" w:vertAnchor="text" w:horzAnchor="page" w:tblpX="1792" w:tblpY="233"/>
        <w:tblW w:w="8472" w:type="dxa"/>
        <w:tblInd w:w="0" w:type="dxa"/>
        <w:tblLayout w:type="fixed"/>
        <w:tblCellMar>
          <w:top w:w="0" w:type="dxa"/>
          <w:left w:w="108" w:type="dxa"/>
          <w:bottom w:w="0" w:type="dxa"/>
          <w:right w:w="108" w:type="dxa"/>
        </w:tblCellMar>
      </w:tblPr>
      <w:tblGrid>
        <w:gridCol w:w="534"/>
        <w:gridCol w:w="708"/>
        <w:gridCol w:w="993"/>
        <w:gridCol w:w="1701"/>
        <w:gridCol w:w="850"/>
        <w:gridCol w:w="2693"/>
        <w:gridCol w:w="993"/>
      </w:tblGrid>
      <w:tr>
        <w:tblPrEx>
          <w:tblCellMar>
            <w:top w:w="0" w:type="dxa"/>
            <w:left w:w="108" w:type="dxa"/>
            <w:bottom w:w="0" w:type="dxa"/>
            <w:right w:w="108" w:type="dxa"/>
          </w:tblCellMar>
        </w:tblPrEx>
        <w:trPr>
          <w:trHeight w:val="956" w:hRule="atLeast"/>
        </w:trPr>
        <w:tc>
          <w:tcPr>
            <w:tcW w:w="5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szCs w:val="22"/>
              </w:rPr>
            </w:pPr>
          </w:p>
          <w:p>
            <w:pPr>
              <w:widowControl/>
              <w:jc w:val="center"/>
              <w:rPr>
                <w:rFonts w:ascii="宋体" w:hAnsi="宋体" w:cs="宋体"/>
                <w:b/>
                <w:bCs/>
                <w:color w:val="000000"/>
                <w:kern w:val="0"/>
                <w:sz w:val="22"/>
                <w:szCs w:val="22"/>
              </w:rPr>
            </w:pPr>
          </w:p>
        </w:tc>
        <w:tc>
          <w:tcPr>
            <w:tcW w:w="70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一级指标</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二级指标</w:t>
            </w:r>
          </w:p>
        </w:tc>
        <w:tc>
          <w:tcPr>
            <w:tcW w:w="1701" w:type="dxa"/>
            <w:tcBorders>
              <w:top w:val="single" w:color="auto" w:sz="4" w:space="0"/>
              <w:left w:val="single" w:color="auto" w:sz="4" w:space="0"/>
              <w:right w:val="single" w:color="auto" w:sz="4" w:space="0"/>
            </w:tcBorders>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分值</w:t>
            </w:r>
          </w:p>
        </w:tc>
        <w:tc>
          <w:tcPr>
            <w:tcW w:w="2693"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指标评价内容</w:t>
            </w:r>
          </w:p>
        </w:tc>
        <w:tc>
          <w:tcPr>
            <w:tcW w:w="993"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得分</w:t>
            </w:r>
          </w:p>
        </w:tc>
      </w:tr>
      <w:tr>
        <w:tblPrEx>
          <w:tblCellMar>
            <w:top w:w="0" w:type="dxa"/>
            <w:left w:w="108" w:type="dxa"/>
            <w:bottom w:w="0" w:type="dxa"/>
            <w:right w:w="108" w:type="dxa"/>
          </w:tblCellMar>
        </w:tblPrEx>
        <w:trPr>
          <w:trHeight w:val="990" w:hRule="atLeast"/>
        </w:trPr>
        <w:tc>
          <w:tcPr>
            <w:tcW w:w="5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项目绩效（100分）</w:t>
            </w:r>
          </w:p>
        </w:tc>
        <w:tc>
          <w:tcPr>
            <w:tcW w:w="70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享受中职助学金人数</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实际完成人数为在校就读高一高二学生人数。</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99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享受中职助学金人数比例</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 </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实际完成受助学生人数/在校高一高二学生人数x100%</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99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资助经费及时发放率</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（实际完成时间-目标设定完成时间）/目标设定完成时间×100%</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99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left w:val="single" w:color="auto" w:sz="4" w:space="0"/>
              <w:bottom w:val="single" w:color="000000" w:sz="4" w:space="0"/>
              <w:right w:val="single" w:color="auto" w:sz="4" w:space="0"/>
            </w:tcBorders>
          </w:tcPr>
          <w:p>
            <w:pPr>
              <w:widowControl/>
              <w:jc w:val="left"/>
              <w:rPr>
                <w:rFonts w:ascii="宋体" w:hAnsi="宋体" w:cs="宋体"/>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普通职业高中高一、高二学生发放助学金标准</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发放标准为2000元/人年</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全校中职助学金已发放金额</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按月发放高一高二实际人数及金额</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left w:val="single" w:color="auto" w:sz="4" w:space="0"/>
              <w:bottom w:val="single" w:color="000000" w:sz="4" w:space="0"/>
              <w:right w:val="single" w:color="auto" w:sz="4" w:space="0"/>
            </w:tcBorders>
          </w:tcPr>
          <w:p>
            <w:pPr>
              <w:widowControl/>
              <w:jc w:val="left"/>
              <w:rPr>
                <w:rFonts w:ascii="宋体" w:hAnsi="宋体" w:cs="宋体"/>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享受中职助学金学生的比例</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实际完成受助学生人数/在校高一高二学生人数x100%</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993" w:type="dxa"/>
            <w:vMerge w:val="restart"/>
            <w:tcBorders>
              <w:top w:val="nil"/>
              <w:left w:val="nil"/>
              <w:right w:val="single" w:color="auto" w:sz="4" w:space="0"/>
            </w:tcBorders>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服务对象满意对指标</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受助学生满意度</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（实际受助人数/计划受助人数资）×100%</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08" w:type="dxa"/>
            <w:vMerge w:val="continue"/>
            <w:tcBorders>
              <w:left w:val="single" w:color="auto" w:sz="4" w:space="0"/>
              <w:bottom w:val="single" w:color="000000" w:sz="4" w:space="0"/>
              <w:right w:val="single" w:color="auto" w:sz="4" w:space="0"/>
            </w:tcBorders>
          </w:tcPr>
          <w:p>
            <w:pPr>
              <w:widowControl/>
              <w:jc w:val="left"/>
              <w:rPr>
                <w:rFonts w:ascii="宋体" w:hAnsi="宋体" w:cs="宋体"/>
                <w:color w:val="000000"/>
                <w:kern w:val="0"/>
                <w:sz w:val="20"/>
                <w:szCs w:val="20"/>
              </w:rPr>
            </w:pPr>
          </w:p>
        </w:tc>
        <w:tc>
          <w:tcPr>
            <w:tcW w:w="993"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受助学生家长满意度</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693"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实际受助学生家长人数/计划受助学生家长数×100%</w:t>
            </w:r>
          </w:p>
        </w:tc>
        <w:tc>
          <w:tcPr>
            <w:tcW w:w="99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bl>
    <w:p>
      <w:pPr>
        <w:snapToGrid w:val="0"/>
        <w:spacing w:line="600" w:lineRule="exact"/>
        <w:ind w:firstLine="560" w:firstLineChars="200"/>
        <w:rPr>
          <w:rFonts w:ascii="仿宋" w:hAnsi="仿宋" w:eastAsia="仿宋"/>
          <w:sz w:val="28"/>
          <w:szCs w:val="28"/>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该项目在决策方面，决策依据基本充分。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560" w:firstLineChars="200"/>
        <w:rPr>
          <w:rFonts w:ascii="仿宋" w:hAnsi="仿宋" w:eastAsia="仿宋" w:cs="仿宋_GB2312"/>
          <w:sz w:val="32"/>
          <w:szCs w:val="32"/>
        </w:rPr>
      </w:pPr>
      <w:r>
        <w:rPr>
          <w:rFonts w:hint="eastAsia" w:ascii="仿宋" w:hAnsi="仿宋" w:eastAsia="仿宋"/>
          <w:sz w:val="28"/>
          <w:szCs w:val="28"/>
        </w:rPr>
        <w:t>资金分配合理；在项目管理方面，资金到位及时、资金支出的依据、使用范围、开支标准基本符合规定，财务制度、会计核算健全规范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560" w:firstLineChars="200"/>
        <w:rPr>
          <w:rFonts w:ascii="仿宋" w:hAnsi="仿宋" w:eastAsia="仿宋" w:cs="仿宋_GB2312"/>
          <w:sz w:val="32"/>
          <w:szCs w:val="32"/>
        </w:rPr>
      </w:pPr>
      <w:r>
        <w:rPr>
          <w:rFonts w:hint="eastAsia" w:ascii="仿宋" w:hAnsi="仿宋" w:eastAsia="仿宋"/>
          <w:sz w:val="28"/>
          <w:szCs w:val="28"/>
        </w:rPr>
        <w:t>在项目完成方面，实现计划目标；在项目效果方面，项目的开展，取得了良好效果。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由于秋季入学学生学籍变动较大，对中职生助学金9月份的发放不及时。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1、鉴于该项目保证家庭经济困难学生就学，促进中等职业教育健康协调发展具有重要意义，建议保留该项目。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2、建议加快项目进度，加快秋季新生资助卡的办理，加强资金的跟踪管理。</w:t>
      </w:r>
    </w:p>
    <w:p>
      <w:pPr>
        <w:spacing w:line="580" w:lineRule="exact"/>
        <w:ind w:firstLine="640" w:firstLineChars="200"/>
        <w:rPr>
          <w:rStyle w:val="13"/>
          <w:rFonts w:ascii="仿宋" w:hAnsi="仿宋" w:eastAsia="仿宋" w:cs="仿宋_GB2312"/>
          <w:b w:val="0"/>
          <w:bCs w:val="0"/>
          <w:kern w:val="2"/>
          <w:sz w:val="32"/>
          <w:szCs w:val="32"/>
        </w:rPr>
      </w:pPr>
    </w:p>
    <w:p>
      <w:pPr>
        <w:spacing w:line="600" w:lineRule="exact"/>
        <w:jc w:val="center"/>
        <w:outlineLvl w:val="0"/>
        <w:rPr>
          <w:rFonts w:ascii="黑体" w:hAnsi="黑体" w:eastAsia="黑体"/>
          <w:color w:val="000000"/>
          <w:sz w:val="44"/>
          <w:szCs w:val="44"/>
        </w:rPr>
      </w:pPr>
      <w:bookmarkStart w:id="56"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3"/>
          <w:rFonts w:ascii="黑体" w:hAnsi="黑体" w:eastAsia="黑体"/>
          <w:b w:val="0"/>
        </w:rPr>
      </w:pPr>
      <w:r>
        <w:rPr>
          <w:rFonts w:hint="eastAsia" w:ascii="黑体" w:hAnsi="黑体" w:eastAsia="黑体"/>
          <w:color w:val="000000"/>
          <w:sz w:val="44"/>
          <w:szCs w:val="44"/>
        </w:rPr>
        <w:t>第</w:t>
      </w:r>
      <w:r>
        <w:rPr>
          <w:rStyle w:val="13"/>
          <w:rFonts w:hint="eastAsia" w:ascii="黑体" w:hAnsi="黑体" w:eastAsia="黑体"/>
          <w:b w:val="0"/>
        </w:rPr>
        <w:t>五部分 附表</w:t>
      </w:r>
      <w:bookmarkEnd w:id="51"/>
      <w:bookmarkEnd w:id="56"/>
    </w:p>
    <w:p>
      <w:pPr>
        <w:pStyle w:val="4"/>
        <w:rPr>
          <w:rFonts w:ascii="仿宋" w:hAnsi="仿宋" w:eastAsia="仿宋"/>
          <w:color w:val="000000"/>
        </w:rPr>
      </w:pPr>
      <w:bookmarkStart w:id="57" w:name="_Toc15396619"/>
      <w:r>
        <w:rPr>
          <w:rFonts w:hint="eastAsia" w:ascii="仿宋" w:hAnsi="仿宋" w:eastAsia="仿宋"/>
          <w:b w:val="0"/>
          <w:color w:val="000000"/>
        </w:rPr>
        <w:t>一、收</w:t>
      </w:r>
      <w:r>
        <w:rPr>
          <w:rStyle w:val="14"/>
          <w:rFonts w:hint="eastAsia" w:ascii="仿宋" w:hAnsi="仿宋" w:eastAsia="仿宋"/>
          <w:b w:val="0"/>
          <w:bCs w:val="0"/>
        </w:rPr>
        <w:t>入支出决算总表</w:t>
      </w:r>
      <w:bookmarkEnd w:id="57"/>
    </w:p>
    <w:p>
      <w:pPr>
        <w:pStyle w:val="4"/>
        <w:rPr>
          <w:rFonts w:ascii="仿宋" w:hAnsi="仿宋" w:eastAsia="仿宋"/>
          <w:color w:val="000000"/>
        </w:rPr>
      </w:pPr>
      <w:bookmarkStart w:id="58" w:name="_Toc15396620"/>
      <w:r>
        <w:rPr>
          <w:rFonts w:hint="eastAsia" w:ascii="仿宋" w:hAnsi="仿宋" w:eastAsia="仿宋"/>
          <w:b w:val="0"/>
          <w:color w:val="000000"/>
        </w:rPr>
        <w:t>二、收</w:t>
      </w:r>
      <w:r>
        <w:rPr>
          <w:rStyle w:val="14"/>
          <w:rFonts w:hint="eastAsia" w:ascii="仿宋" w:hAnsi="仿宋" w:eastAsia="仿宋"/>
          <w:b w:val="0"/>
          <w:bCs w:val="0"/>
        </w:rPr>
        <w:t>入总表</w:t>
      </w:r>
      <w:bookmarkEnd w:id="58"/>
    </w:p>
    <w:p>
      <w:pPr>
        <w:pStyle w:val="4"/>
        <w:rPr>
          <w:rFonts w:ascii="仿宋" w:hAnsi="仿宋" w:eastAsia="仿宋"/>
          <w:color w:val="000000"/>
        </w:rPr>
      </w:pPr>
      <w:bookmarkStart w:id="59" w:name="_Toc15396621"/>
      <w:r>
        <w:rPr>
          <w:rStyle w:val="14"/>
          <w:rFonts w:hint="eastAsia" w:ascii="仿宋" w:hAnsi="仿宋" w:eastAsia="仿宋"/>
          <w:b w:val="0"/>
          <w:bCs w:val="0"/>
        </w:rPr>
        <w:t>三、</w:t>
      </w:r>
      <w:r>
        <w:rPr>
          <w:rFonts w:hint="eastAsia" w:ascii="仿宋" w:hAnsi="仿宋" w:eastAsia="仿宋"/>
          <w:b w:val="0"/>
          <w:color w:val="000000"/>
        </w:rPr>
        <w:t>支</w:t>
      </w:r>
      <w:r>
        <w:rPr>
          <w:rStyle w:val="14"/>
          <w:rFonts w:hint="eastAsia" w:ascii="仿宋" w:hAnsi="仿宋" w:eastAsia="仿宋"/>
          <w:b w:val="0"/>
          <w:bCs w:val="0"/>
        </w:rPr>
        <w:t>出总表</w:t>
      </w:r>
      <w:bookmarkEnd w:id="59"/>
    </w:p>
    <w:p>
      <w:pPr>
        <w:pStyle w:val="4"/>
        <w:rPr>
          <w:rFonts w:ascii="仿宋" w:hAnsi="仿宋" w:eastAsia="仿宋"/>
          <w:b w:val="0"/>
          <w:color w:val="000000"/>
        </w:rPr>
      </w:pPr>
      <w:bookmarkStart w:id="60" w:name="_Toc15396622"/>
      <w:r>
        <w:rPr>
          <w:rStyle w:val="14"/>
          <w:rFonts w:hint="eastAsia" w:ascii="仿宋" w:hAnsi="仿宋" w:eastAsia="仿宋"/>
          <w:b w:val="0"/>
          <w:bCs w:val="0"/>
        </w:rPr>
        <w:t>四、</w:t>
      </w:r>
      <w:r>
        <w:rPr>
          <w:rFonts w:hint="eastAsia" w:ascii="仿宋" w:hAnsi="仿宋" w:eastAsia="仿宋"/>
          <w:b w:val="0"/>
          <w:color w:val="000000"/>
        </w:rPr>
        <w:t>财</w:t>
      </w:r>
      <w:r>
        <w:rPr>
          <w:rStyle w:val="14"/>
          <w:rFonts w:hint="eastAsia" w:ascii="仿宋" w:hAnsi="仿宋" w:eastAsia="仿宋"/>
          <w:b w:val="0"/>
          <w:bCs w:val="0"/>
        </w:rPr>
        <w:t>政拨款收入支出决算总表</w:t>
      </w:r>
      <w:bookmarkEnd w:id="60"/>
    </w:p>
    <w:p>
      <w:pPr>
        <w:pStyle w:val="4"/>
        <w:rPr>
          <w:rFonts w:ascii="仿宋" w:hAnsi="仿宋" w:eastAsia="仿宋"/>
          <w:color w:val="000000"/>
        </w:rPr>
      </w:pPr>
      <w:bookmarkStart w:id="61" w:name="_Toc15396623"/>
      <w:r>
        <w:rPr>
          <w:rStyle w:val="14"/>
          <w:rFonts w:hint="eastAsia" w:ascii="仿宋" w:hAnsi="仿宋" w:eastAsia="仿宋"/>
          <w:b w:val="0"/>
          <w:bCs w:val="0"/>
        </w:rPr>
        <w:t>五、</w:t>
      </w:r>
      <w:r>
        <w:rPr>
          <w:rFonts w:hint="eastAsia" w:ascii="仿宋" w:hAnsi="仿宋" w:eastAsia="仿宋"/>
          <w:b w:val="0"/>
          <w:color w:val="000000"/>
        </w:rPr>
        <w:t>财</w:t>
      </w:r>
      <w:r>
        <w:rPr>
          <w:rStyle w:val="14"/>
          <w:rFonts w:hint="eastAsia" w:ascii="仿宋" w:hAnsi="仿宋" w:eastAsia="仿宋"/>
          <w:b w:val="0"/>
          <w:bCs w:val="0"/>
        </w:rPr>
        <w:t>政拨款支出决算明细表（政府经济分类科目）</w:t>
      </w:r>
      <w:bookmarkEnd w:id="61"/>
    </w:p>
    <w:p>
      <w:pPr>
        <w:pStyle w:val="4"/>
        <w:rPr>
          <w:rFonts w:ascii="仿宋" w:hAnsi="仿宋" w:eastAsia="仿宋"/>
          <w:color w:val="000000"/>
        </w:rPr>
      </w:pPr>
      <w:bookmarkStart w:id="62" w:name="_Toc15396624"/>
      <w:r>
        <w:rPr>
          <w:rStyle w:val="14"/>
          <w:rFonts w:hint="eastAsia" w:ascii="仿宋" w:hAnsi="仿宋" w:eastAsia="仿宋"/>
          <w:b w:val="0"/>
          <w:bCs w:val="0"/>
        </w:rPr>
        <w:t>六、</w:t>
      </w:r>
      <w:r>
        <w:rPr>
          <w:rFonts w:hint="eastAsia" w:ascii="仿宋" w:hAnsi="仿宋" w:eastAsia="仿宋"/>
          <w:b w:val="0"/>
          <w:color w:val="000000"/>
        </w:rPr>
        <w:t>一</w:t>
      </w:r>
      <w:r>
        <w:rPr>
          <w:rStyle w:val="14"/>
          <w:rFonts w:hint="eastAsia" w:ascii="仿宋" w:hAnsi="仿宋" w:eastAsia="仿宋"/>
          <w:b w:val="0"/>
          <w:bCs w:val="0"/>
        </w:rPr>
        <w:t>般公共预算财政拨款支出决算表</w:t>
      </w:r>
      <w:bookmarkEnd w:id="62"/>
    </w:p>
    <w:p>
      <w:pPr>
        <w:pStyle w:val="4"/>
        <w:rPr>
          <w:rFonts w:ascii="仿宋" w:hAnsi="仿宋" w:eastAsia="仿宋"/>
          <w:color w:val="000000"/>
        </w:rPr>
      </w:pPr>
      <w:bookmarkStart w:id="63" w:name="_Toc15396625"/>
      <w:r>
        <w:rPr>
          <w:rStyle w:val="14"/>
          <w:rFonts w:hint="eastAsia" w:ascii="仿宋" w:hAnsi="仿宋" w:eastAsia="仿宋"/>
          <w:b w:val="0"/>
          <w:bCs w:val="0"/>
        </w:rPr>
        <w:t>七、</w:t>
      </w:r>
      <w:r>
        <w:rPr>
          <w:rFonts w:hint="eastAsia" w:ascii="仿宋" w:hAnsi="仿宋" w:eastAsia="仿宋"/>
          <w:b w:val="0"/>
          <w:color w:val="000000"/>
        </w:rPr>
        <w:t>一</w:t>
      </w:r>
      <w:r>
        <w:rPr>
          <w:rStyle w:val="14"/>
          <w:rFonts w:hint="eastAsia" w:ascii="仿宋" w:hAnsi="仿宋" w:eastAsia="仿宋"/>
          <w:b w:val="0"/>
          <w:bCs w:val="0"/>
        </w:rPr>
        <w:t>般公共预算财政拨款支出决算明细表</w:t>
      </w:r>
      <w:bookmarkEnd w:id="63"/>
    </w:p>
    <w:p>
      <w:pPr>
        <w:pStyle w:val="4"/>
        <w:rPr>
          <w:rFonts w:ascii="仿宋" w:hAnsi="仿宋" w:eastAsia="仿宋"/>
          <w:color w:val="000000"/>
        </w:rPr>
      </w:pPr>
      <w:bookmarkStart w:id="64" w:name="_Toc15396626"/>
      <w:r>
        <w:rPr>
          <w:rStyle w:val="14"/>
          <w:rFonts w:hint="eastAsia" w:ascii="仿宋" w:hAnsi="仿宋" w:eastAsia="仿宋"/>
          <w:b w:val="0"/>
          <w:bCs w:val="0"/>
        </w:rPr>
        <w:t>八、</w:t>
      </w:r>
      <w:r>
        <w:rPr>
          <w:rFonts w:hint="eastAsia" w:ascii="仿宋" w:hAnsi="仿宋" w:eastAsia="仿宋"/>
          <w:b w:val="0"/>
          <w:color w:val="000000"/>
        </w:rPr>
        <w:t>一</w:t>
      </w:r>
      <w:r>
        <w:rPr>
          <w:rStyle w:val="14"/>
          <w:rFonts w:hint="eastAsia" w:ascii="仿宋" w:hAnsi="仿宋" w:eastAsia="仿宋"/>
          <w:b w:val="0"/>
          <w:bCs w:val="0"/>
        </w:rPr>
        <w:t>般公共预算财政拨款基本支出决算表</w:t>
      </w:r>
      <w:bookmarkEnd w:id="64"/>
    </w:p>
    <w:p>
      <w:pPr>
        <w:pStyle w:val="4"/>
        <w:rPr>
          <w:rFonts w:ascii="仿宋" w:hAnsi="仿宋" w:eastAsia="仿宋"/>
          <w:color w:val="000000"/>
        </w:rPr>
      </w:pPr>
      <w:bookmarkStart w:id="65" w:name="_Toc15396627"/>
      <w:r>
        <w:rPr>
          <w:rStyle w:val="14"/>
          <w:rFonts w:hint="eastAsia" w:ascii="仿宋" w:hAnsi="仿宋" w:eastAsia="仿宋"/>
          <w:b w:val="0"/>
          <w:bCs w:val="0"/>
        </w:rPr>
        <w:t>九、</w:t>
      </w:r>
      <w:r>
        <w:rPr>
          <w:rFonts w:hint="eastAsia" w:ascii="仿宋" w:hAnsi="仿宋" w:eastAsia="仿宋"/>
          <w:b w:val="0"/>
          <w:color w:val="000000"/>
        </w:rPr>
        <w:t>一</w:t>
      </w:r>
      <w:r>
        <w:rPr>
          <w:rStyle w:val="14"/>
          <w:rFonts w:hint="eastAsia" w:ascii="仿宋" w:hAnsi="仿宋" w:eastAsia="仿宋"/>
          <w:b w:val="0"/>
          <w:bCs w:val="0"/>
        </w:rPr>
        <w:t>般公共预算财政拨款项目支出决算表</w:t>
      </w:r>
      <w:bookmarkEnd w:id="65"/>
    </w:p>
    <w:p>
      <w:pPr>
        <w:pStyle w:val="4"/>
        <w:rPr>
          <w:rFonts w:ascii="仿宋" w:hAnsi="仿宋" w:eastAsia="仿宋"/>
          <w:color w:val="000000"/>
        </w:rPr>
      </w:pPr>
      <w:bookmarkStart w:id="66" w:name="_Toc15396628"/>
      <w:r>
        <w:rPr>
          <w:rStyle w:val="14"/>
          <w:rFonts w:hint="eastAsia" w:ascii="仿宋" w:hAnsi="仿宋" w:eastAsia="仿宋"/>
          <w:b w:val="0"/>
          <w:bCs w:val="0"/>
        </w:rPr>
        <w:t>十、</w:t>
      </w:r>
      <w:r>
        <w:rPr>
          <w:rFonts w:hint="eastAsia" w:ascii="仿宋" w:hAnsi="仿宋" w:eastAsia="仿宋"/>
          <w:b w:val="0"/>
          <w:color w:val="000000"/>
        </w:rPr>
        <w:t>一</w:t>
      </w:r>
      <w:r>
        <w:rPr>
          <w:rStyle w:val="14"/>
          <w:rFonts w:hint="eastAsia" w:ascii="仿宋" w:hAnsi="仿宋" w:eastAsia="仿宋"/>
          <w:b w:val="0"/>
          <w:bCs w:val="0"/>
        </w:rPr>
        <w:t>般公共预算财政拨款“三公”经费支出决算表</w:t>
      </w:r>
      <w:bookmarkEnd w:id="66"/>
    </w:p>
    <w:p>
      <w:pPr>
        <w:pStyle w:val="4"/>
        <w:rPr>
          <w:rFonts w:ascii="仿宋" w:hAnsi="仿宋" w:eastAsia="仿宋"/>
          <w:color w:val="000000"/>
        </w:rPr>
      </w:pPr>
      <w:bookmarkStart w:id="67" w:name="_Toc15396629"/>
      <w:r>
        <w:rPr>
          <w:rStyle w:val="14"/>
          <w:rFonts w:hint="eastAsia" w:ascii="仿宋" w:hAnsi="仿宋" w:eastAsia="仿宋"/>
          <w:b w:val="0"/>
          <w:bCs w:val="0"/>
        </w:rPr>
        <w:t>十一、</w:t>
      </w:r>
      <w:r>
        <w:rPr>
          <w:rFonts w:hint="eastAsia" w:ascii="仿宋" w:hAnsi="仿宋" w:eastAsia="仿宋"/>
          <w:b w:val="0"/>
          <w:color w:val="000000"/>
        </w:rPr>
        <w:t>政</w:t>
      </w:r>
      <w:r>
        <w:rPr>
          <w:rStyle w:val="14"/>
          <w:rFonts w:hint="eastAsia" w:ascii="仿宋" w:hAnsi="仿宋" w:eastAsia="仿宋"/>
          <w:b w:val="0"/>
          <w:bCs w:val="0"/>
        </w:rPr>
        <w:t>府性基金预算财政拨款收入支出决算表</w:t>
      </w:r>
      <w:bookmarkEnd w:id="67"/>
    </w:p>
    <w:p>
      <w:pPr>
        <w:pStyle w:val="4"/>
        <w:rPr>
          <w:rFonts w:ascii="仿宋" w:hAnsi="仿宋" w:eastAsia="仿宋"/>
          <w:color w:val="000000"/>
        </w:rPr>
      </w:pPr>
      <w:bookmarkStart w:id="68" w:name="_Toc15396630"/>
      <w:r>
        <w:rPr>
          <w:rStyle w:val="14"/>
          <w:rFonts w:hint="eastAsia" w:ascii="仿宋" w:hAnsi="仿宋" w:eastAsia="仿宋"/>
          <w:b w:val="0"/>
          <w:bCs w:val="0"/>
        </w:rPr>
        <w:t>十二、</w:t>
      </w:r>
      <w:r>
        <w:rPr>
          <w:rFonts w:hint="eastAsia" w:ascii="仿宋" w:hAnsi="仿宋" w:eastAsia="仿宋"/>
          <w:b w:val="0"/>
          <w:color w:val="000000"/>
        </w:rPr>
        <w:t>政</w:t>
      </w:r>
      <w:r>
        <w:rPr>
          <w:rStyle w:val="14"/>
          <w:rFonts w:hint="eastAsia" w:ascii="仿宋" w:hAnsi="仿宋" w:eastAsia="仿宋"/>
          <w:b w:val="0"/>
          <w:bCs w:val="0"/>
        </w:rPr>
        <w:t>府性基金预算财政拨款“三公”经费支出决算表</w:t>
      </w:r>
      <w:bookmarkEnd w:id="68"/>
    </w:p>
    <w:p>
      <w:pPr>
        <w:pStyle w:val="4"/>
        <w:rPr>
          <w:rFonts w:ascii="仿宋" w:hAnsi="仿宋" w:eastAsia="仿宋"/>
          <w:color w:val="000000"/>
        </w:rPr>
      </w:pPr>
      <w:bookmarkStart w:id="69" w:name="_Toc15396631"/>
      <w:r>
        <w:rPr>
          <w:rStyle w:val="14"/>
          <w:rFonts w:hint="eastAsia" w:ascii="仿宋" w:hAnsi="仿宋" w:eastAsia="仿宋"/>
          <w:b w:val="0"/>
          <w:bCs w:val="0"/>
        </w:rPr>
        <w:t>十三、</w:t>
      </w:r>
      <w:bookmarkEnd w:id="69"/>
      <w:r>
        <w:rPr>
          <w:rFonts w:hint="eastAsia" w:ascii="仿宋" w:hAnsi="仿宋" w:eastAsia="仿宋"/>
          <w:b w:val="0"/>
          <w:color w:val="000000"/>
        </w:rPr>
        <w:t>国有资本经营预算财政拨款收入支出决算表</w:t>
      </w:r>
      <w:bookmarkStart w:id="70" w:name="_GoBack"/>
      <w:bookmarkEnd w:id="70"/>
    </w:p>
    <w:p>
      <w:pPr>
        <w:pStyle w:val="4"/>
        <w:rPr>
          <w:rFonts w:ascii="仿宋" w:hAnsi="仿宋" w:eastAsia="仿宋"/>
          <w:color w:val="000000"/>
        </w:rPr>
      </w:pPr>
      <w:r>
        <w:rPr>
          <w:rStyle w:val="14"/>
          <w:rFonts w:hint="eastAsia" w:ascii="仿宋" w:hAnsi="仿宋" w:eastAsia="仿宋"/>
          <w:b w:val="0"/>
          <w:bCs w:val="0"/>
        </w:rPr>
        <w:t>十四、</w:t>
      </w:r>
      <w:r>
        <w:rPr>
          <w:rFonts w:hint="eastAsia" w:ascii="仿宋" w:hAnsi="仿宋" w:eastAsia="仿宋"/>
          <w:b w:val="0"/>
          <w:color w:val="000000"/>
        </w:rPr>
        <w:t>国</w:t>
      </w:r>
      <w:r>
        <w:rPr>
          <w:rStyle w:val="14"/>
          <w:rFonts w:hint="eastAsia" w:ascii="仿宋" w:hAnsi="仿宋" w:eastAsia="仿宋"/>
          <w:b w:val="0"/>
          <w:bCs w:val="0"/>
        </w:rPr>
        <w:t>有资本经营预算财政拨款支出决算表</w:t>
      </w:r>
    </w:p>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C53CB"/>
    <w:multiLevelType w:val="singleLevel"/>
    <w:tmpl w:val="A46C53CB"/>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3"/>
      <w:numFmt w:val="chineseCounting"/>
      <w:suff w:val="space"/>
      <w:lvlText w:val="第%1部分"/>
      <w:lvlJc w:val="left"/>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0000008"/>
    <w:multiLevelType w:val="multilevel"/>
    <w:tmpl w:val="00000008"/>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00000C"/>
    <w:multiLevelType w:val="singleLevel"/>
    <w:tmpl w:val="0000000C"/>
    <w:lvl w:ilvl="0" w:tentative="0">
      <w:start w:val="1"/>
      <w:numFmt w:val="decimal"/>
      <w:suff w:val="nothing"/>
      <w:lvlText w:val="%1、"/>
      <w:lvlJc w:val="left"/>
    </w:lvl>
  </w:abstractNum>
  <w:abstractNum w:abstractNumId="5">
    <w:nsid w:val="00000010"/>
    <w:multiLevelType w:val="singleLevel"/>
    <w:tmpl w:val="00000010"/>
    <w:lvl w:ilvl="0" w:tentative="0">
      <w:start w:val="9"/>
      <w:numFmt w:val="chineseCounting"/>
      <w:suff w:val="nothing"/>
      <w:lvlText w:val="%1、"/>
      <w:lvlJc w:val="left"/>
      <w:rPr>
        <w:rFonts w:hint="eastAsia"/>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mMyNGFjNGUzMTVlYWU2YjdjZDdmNDI1NjA1NGIifQ=="/>
  </w:docVars>
  <w:rsids>
    <w:rsidRoot w:val="49526872"/>
    <w:rsid w:val="00037838"/>
    <w:rsid w:val="00674ED5"/>
    <w:rsid w:val="00882819"/>
    <w:rsid w:val="0D103A45"/>
    <w:rsid w:val="1DFF3747"/>
    <w:rsid w:val="279A0E7F"/>
    <w:rsid w:val="2B181B3C"/>
    <w:rsid w:val="2D17253C"/>
    <w:rsid w:val="3F5C29C2"/>
    <w:rsid w:val="49526872"/>
    <w:rsid w:val="502C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uiPriority w:val="0"/>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6" w:lineRule="auto"/>
      <w:outlineLvl w:val="1"/>
    </w:pPr>
    <w:rPr>
      <w:rFonts w:ascii="Cambria" w:hAnsi="Cambria" w:cs="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8">
    <w:name w:val="toc 2"/>
    <w:basedOn w:val="1"/>
    <w:next w:val="1"/>
    <w:qFormat/>
    <w:uiPriority w:val="0"/>
    <w:pPr>
      <w:tabs>
        <w:tab w:val="right" w:leader="dot" w:pos="8296"/>
      </w:tabs>
      <w:ind w:left="420" w:left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字符"/>
    <w:basedOn w:val="10"/>
    <w:link w:val="3"/>
    <w:qFormat/>
    <w:uiPriority w:val="0"/>
    <w:rPr>
      <w:rFonts w:ascii="Times New Roman" w:hAnsi="Times New Roman"/>
      <w:b/>
      <w:bCs/>
      <w:kern w:val="44"/>
      <w:sz w:val="44"/>
      <w:szCs w:val="44"/>
    </w:rPr>
  </w:style>
  <w:style w:type="character" w:customStyle="1" w:styleId="14">
    <w:name w:val="标题 2 字符"/>
    <w:basedOn w:val="10"/>
    <w:link w:val="4"/>
    <w:qFormat/>
    <w:uiPriority w:val="0"/>
    <w:rPr>
      <w:rFonts w:ascii="Cambria" w:hAnsi="Cambria" w:eastAsia="宋体" w:cs="黑体"/>
      <w:b/>
      <w:bCs/>
      <w:kern w:val="2"/>
      <w:sz w:val="32"/>
      <w:szCs w:val="32"/>
    </w:rPr>
  </w:style>
  <w:style w:type="paragraph" w:customStyle="1" w:styleId="15">
    <w:name w:val="列出段落1"/>
    <w:basedOn w:val="1"/>
    <w:qFormat/>
    <w:uiPriority w:val="0"/>
    <w:pPr>
      <w:ind w:firstLine="420" w:firstLineChars="200"/>
    </w:p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7"/>
          <c:y val="0.2345"/>
          <c:w val="0.91655"/>
          <c:h val="0.716566666666667"/>
        </c:manualLayout>
      </c:layout>
      <c:barChart>
        <c:barDir val="col"/>
        <c:grouping val="stacked"/>
        <c:varyColors val="0"/>
        <c:ser>
          <c:idx val="0"/>
          <c:order val="0"/>
          <c:tx>
            <c:strRef>
              <c:f>Sheet1!$B$1</c:f>
              <c:strCache>
                <c:ptCount val="1"/>
                <c:pt idx="0">
                  <c:v>单位：万元</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1271.81</c:v>
                </c:pt>
                <c:pt idx="1">
                  <c:v>1152.6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810664421"/>
        <c:axId val="126828624"/>
      </c:barChart>
      <c:catAx>
        <c:axId val="8106644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828624"/>
        <c:crosses val="autoZero"/>
        <c:auto val="1"/>
        <c:lblAlgn val="ctr"/>
        <c:lblOffset val="100"/>
        <c:noMultiLvlLbl val="0"/>
      </c:catAx>
      <c:valAx>
        <c:axId val="12682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66442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2020年</c:v>
                </c:pt>
              </c:strCache>
            </c:strRef>
          </c:cat>
          <c:val>
            <c:numRef>
              <c:f>Sheet1!$B$2</c:f>
              <c:numCache>
                <c:formatCode>General</c:formatCode>
                <c:ptCount val="1"/>
                <c:pt idx="0">
                  <c:v>1152.6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196695701572"/>
          <c:y val="0.0121901665989435"/>
          <c:w val="0.5485"/>
          <c:h val="0.830903238023102"/>
        </c:manualLayout>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c:v>
                </c:pt>
                <c:pt idx="1">
                  <c:v>项目支出</c:v>
                </c:pt>
              </c:strCache>
            </c:strRef>
          </c:cat>
          <c:val>
            <c:numRef>
              <c:f>Sheet1!$B$2:$B$5</c:f>
              <c:numCache>
                <c:formatCode>0.00%</c:formatCode>
                <c:ptCount val="4"/>
                <c:pt idx="0">
                  <c:v>0.8232</c:v>
                </c:pt>
                <c:pt idx="1">
                  <c:v>0.1768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27225"/>
          <c:y val="0.8614384396586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7"/>
          <c:y val="0.2345"/>
          <c:w val="0.91655"/>
          <c:h val="0.716566666666667"/>
        </c:manualLayout>
      </c:layout>
      <c:barChart>
        <c:barDir val="col"/>
        <c:grouping val="stacked"/>
        <c:varyColors val="0"/>
        <c:ser>
          <c:idx val="0"/>
          <c:order val="0"/>
          <c:tx>
            <c:strRef>
              <c:f>Sheet1!$B$1</c:f>
              <c:strCache>
                <c:ptCount val="1"/>
                <c:pt idx="0">
                  <c:v>单位：万元</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1271.81</c:v>
                </c:pt>
                <c:pt idx="1">
                  <c:v>1152.6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810664421"/>
        <c:axId val="126828624"/>
      </c:barChart>
      <c:catAx>
        <c:axId val="8106644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828624"/>
        <c:crosses val="autoZero"/>
        <c:auto val="1"/>
        <c:lblAlgn val="ctr"/>
        <c:lblOffset val="100"/>
        <c:noMultiLvlLbl val="0"/>
      </c:catAx>
      <c:valAx>
        <c:axId val="12682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66442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7"/>
          <c:y val="0.2345"/>
          <c:w val="0.91655"/>
          <c:h val="0.716566666666667"/>
        </c:manualLayout>
      </c:layout>
      <c:barChart>
        <c:barDir val="col"/>
        <c:grouping val="stacked"/>
        <c:varyColors val="0"/>
        <c:ser>
          <c:idx val="0"/>
          <c:order val="0"/>
          <c:tx>
            <c:strRef>
              <c:f>Sheet1!$B$1</c:f>
              <c:strCache>
                <c:ptCount val="1"/>
                <c:pt idx="0">
                  <c:v>单位：万元</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756.03</c:v>
                </c:pt>
                <c:pt idx="1">
                  <c:v>1029.56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810664421"/>
        <c:axId val="126828624"/>
      </c:barChart>
      <c:catAx>
        <c:axId val="8106644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828624"/>
        <c:crosses val="autoZero"/>
        <c:auto val="1"/>
        <c:lblAlgn val="ctr"/>
        <c:lblOffset val="100"/>
        <c:noMultiLvlLbl val="0"/>
      </c:catAx>
      <c:valAx>
        <c:axId val="12682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66442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2020年</c:v>
                </c:pt>
              </c:strCache>
            </c:strRef>
          </c:cat>
          <c:val>
            <c:numRef>
              <c:f>Sheet1!$B$2</c:f>
              <c:numCache>
                <c:formatCode>General</c:formatCode>
                <c:ptCount val="1"/>
                <c:pt idx="0">
                  <c:v>1029.56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2020年公务接待支出</c:v>
                </c:pt>
              </c:strCache>
            </c:strRef>
          </c:cat>
          <c:val>
            <c:numRef>
              <c:f>Sheet1!$B$2</c:f>
              <c:numCache>
                <c:formatCode>General</c:formatCode>
                <c:ptCount val="1"/>
                <c:pt idx="0">
                  <c:v>1029.56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7625"/>
          <c:y val="0.707529558182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6824</Words>
  <Characters>7374</Characters>
  <Lines>67</Lines>
  <Paragraphs>18</Paragraphs>
  <TotalTime>11</TotalTime>
  <ScaleCrop>false</ScaleCrop>
  <LinksUpToDate>false</LinksUpToDate>
  <CharactersWithSpaces>7439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2022-09-23T08:13:00Z</dcterms:created>
  <dc:creator>志哥</dc:creator>
  <cp:lastModifiedBy>Lenovo</cp:lastModifiedBy>
  <dcterms:modified xsi:type="dcterms:W3CDTF">2022-09-25T04:45:58Z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FB61C10B662D4563A8A390ECC299B664</vt:lpwstr>
  </property>
</Properties>
</file>