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7BB4BD">
      <w:pPr>
        <w:spacing w:line="600" w:lineRule="exact"/>
        <w:jc w:val="center"/>
        <w:rPr>
          <w:rFonts w:eastAsia="方正小标宋简体"/>
          <w:sz w:val="72"/>
          <w:szCs w:val="72"/>
        </w:rPr>
      </w:pPr>
      <w:bookmarkStart w:id="104" w:name="_GoBack"/>
      <w:bookmarkEnd w:id="104"/>
      <w:bookmarkStart w:id="0" w:name="_Toc15306267"/>
    </w:p>
    <w:p w14:paraId="1949609F">
      <w:pPr>
        <w:spacing w:line="600" w:lineRule="exact"/>
        <w:jc w:val="center"/>
        <w:rPr>
          <w:rFonts w:eastAsia="方正小标宋简体"/>
          <w:sz w:val="72"/>
          <w:szCs w:val="72"/>
        </w:rPr>
      </w:pPr>
    </w:p>
    <w:p w14:paraId="16B1E7A4">
      <w:pPr>
        <w:spacing w:line="600" w:lineRule="exact"/>
        <w:jc w:val="center"/>
        <w:rPr>
          <w:rFonts w:eastAsia="方正小标宋简体"/>
          <w:sz w:val="72"/>
          <w:szCs w:val="72"/>
        </w:rPr>
      </w:pPr>
    </w:p>
    <w:p w14:paraId="1BE54134">
      <w:pPr>
        <w:spacing w:line="600" w:lineRule="exact"/>
        <w:jc w:val="center"/>
        <w:rPr>
          <w:rFonts w:eastAsia="方正小标宋简体"/>
          <w:sz w:val="72"/>
          <w:szCs w:val="72"/>
        </w:rPr>
      </w:pPr>
    </w:p>
    <w:p w14:paraId="34E2B293">
      <w:pPr>
        <w:adjustRightInd w:val="0"/>
        <w:snapToGrid w:val="0"/>
        <w:spacing w:line="360" w:lineRule="auto"/>
        <w:jc w:val="center"/>
        <w:rPr>
          <w:rFonts w:eastAsia="方正小标宋简体"/>
          <w:sz w:val="72"/>
          <w:szCs w:val="72"/>
        </w:rPr>
      </w:pPr>
      <w:bookmarkStart w:id="1" w:name="_Toc15377425"/>
      <w:bookmarkStart w:id="2" w:name="_Toc15396597"/>
      <w:bookmarkStart w:id="3" w:name="_Toc15377193"/>
      <w:bookmarkStart w:id="4" w:name="_Toc15378441"/>
      <w:bookmarkStart w:id="5" w:name="_Toc16326"/>
      <w:bookmarkStart w:id="6" w:name="_Toc15396475"/>
      <w:r>
        <w:rPr>
          <w:rFonts w:eastAsia="方正小标宋简体"/>
          <w:sz w:val="72"/>
          <w:szCs w:val="72"/>
        </w:rPr>
        <w:t>2021</w:t>
      </w:r>
      <w:r>
        <w:rPr>
          <w:rFonts w:hAnsi="方正小标宋简体" w:eastAsia="方正小标宋简体"/>
          <w:sz w:val="72"/>
          <w:szCs w:val="72"/>
        </w:rPr>
        <w:t>年度</w:t>
      </w:r>
      <w:bookmarkEnd w:id="1"/>
      <w:bookmarkEnd w:id="2"/>
      <w:bookmarkEnd w:id="3"/>
      <w:bookmarkEnd w:id="4"/>
      <w:bookmarkEnd w:id="5"/>
      <w:bookmarkEnd w:id="6"/>
    </w:p>
    <w:p w14:paraId="5298A4AC">
      <w:pPr>
        <w:adjustRightInd w:val="0"/>
        <w:snapToGrid w:val="0"/>
        <w:spacing w:line="360" w:lineRule="auto"/>
        <w:jc w:val="center"/>
        <w:rPr>
          <w:rFonts w:eastAsia="方正小标宋简体"/>
          <w:sz w:val="72"/>
          <w:szCs w:val="72"/>
        </w:rPr>
      </w:pPr>
      <w:bookmarkStart w:id="7" w:name="_Toc32606"/>
      <w:bookmarkStart w:id="8" w:name="_Toc15396598"/>
      <w:bookmarkStart w:id="9" w:name="_Toc15377194"/>
      <w:bookmarkStart w:id="10" w:name="_Toc15396476"/>
      <w:bookmarkStart w:id="11" w:name="_Toc15378442"/>
      <w:bookmarkStart w:id="12" w:name="_Toc15377426"/>
      <w:r>
        <w:rPr>
          <w:rFonts w:hAnsi="方正小标宋简体" w:eastAsia="方正小标宋简体"/>
          <w:sz w:val="72"/>
          <w:szCs w:val="72"/>
        </w:rPr>
        <w:t>四川省</w:t>
      </w:r>
      <w:bookmarkEnd w:id="0"/>
      <w:bookmarkStart w:id="13" w:name="_Toc15306268"/>
      <w:r>
        <w:rPr>
          <w:rFonts w:hAnsi="方正小标宋简体" w:eastAsia="方正小标宋简体"/>
          <w:sz w:val="72"/>
          <w:szCs w:val="72"/>
        </w:rPr>
        <w:t>广元市昭化区工商业联合会单位决算</w:t>
      </w:r>
      <w:bookmarkEnd w:id="7"/>
      <w:bookmarkEnd w:id="8"/>
      <w:bookmarkEnd w:id="9"/>
      <w:bookmarkEnd w:id="10"/>
      <w:bookmarkEnd w:id="11"/>
      <w:bookmarkEnd w:id="12"/>
      <w:bookmarkEnd w:id="13"/>
    </w:p>
    <w:p w14:paraId="48725B9D">
      <w:pPr>
        <w:spacing w:line="576" w:lineRule="exact"/>
        <w:jc w:val="center"/>
        <w:rPr>
          <w:rFonts w:eastAsia="黑体"/>
          <w:sz w:val="48"/>
          <w:szCs w:val="48"/>
        </w:rPr>
      </w:pPr>
      <w:r>
        <w:rPr>
          <w:rFonts w:eastAsia="方正小标宋简体"/>
          <w:sz w:val="36"/>
          <w:szCs w:val="36"/>
        </w:rPr>
        <w:br w:type="page"/>
      </w:r>
      <w:bookmarkStart w:id="14" w:name="_Toc15396599"/>
      <w:bookmarkStart w:id="15" w:name="_Toc15377196"/>
      <w:r>
        <w:rPr>
          <w:rFonts w:hAnsi="黑体" w:eastAsia="黑体"/>
          <w:sz w:val="48"/>
          <w:szCs w:val="48"/>
        </w:rPr>
        <w:t>目录</w:t>
      </w:r>
    </w:p>
    <w:p w14:paraId="1FAFE43C">
      <w:pPr>
        <w:spacing w:line="576" w:lineRule="exact"/>
        <w:rPr>
          <w:rFonts w:eastAsia="仿宋_GB2312"/>
          <w:sz w:val="32"/>
          <w:szCs w:val="32"/>
        </w:rPr>
      </w:pPr>
    </w:p>
    <w:sdt>
      <w:sdtPr>
        <w:rPr>
          <w:rFonts w:ascii="宋体" w:hAnsi="宋体"/>
        </w:rPr>
        <w:id w:val="147480245"/>
        <w:docPartObj>
          <w:docPartGallery w:val="Table of Contents"/>
          <w:docPartUnique/>
        </w:docPartObj>
      </w:sdtPr>
      <w:sdtEndPr>
        <w:rPr>
          <w:rFonts w:ascii="Times New Roman" w:hAnsi="Times New Roman"/>
          <w:b/>
        </w:rPr>
      </w:sdtEndPr>
      <w:sdtContent>
        <w:p w14:paraId="3E665C9D">
          <w:pPr>
            <w:jc w:val="center"/>
          </w:pPr>
        </w:p>
        <w:p w14:paraId="4EEA71A1">
          <w:pPr>
            <w:pStyle w:val="11"/>
            <w:jc w:val="distribute"/>
            <w:rPr>
              <w:rFonts w:ascii="Times New Roman" w:hAnsi="Times New Roman" w:eastAsia="楷体_GB2312"/>
              <w:sz w:val="32"/>
              <w:szCs w:val="32"/>
            </w:rPr>
          </w:pPr>
          <w:r>
            <w:rPr>
              <w:rFonts w:ascii="Times New Roman" w:hAnsi="Times New Roman" w:eastAsia="楷体_GB2312"/>
              <w:kern w:val="0"/>
              <w:sz w:val="32"/>
              <w:szCs w:val="32"/>
            </w:rPr>
            <w:fldChar w:fldCharType="begin"/>
          </w:r>
          <w:r>
            <w:rPr>
              <w:rFonts w:ascii="Times New Roman" w:hAnsi="Times New Roman" w:eastAsia="楷体_GB2312"/>
              <w:sz w:val="32"/>
              <w:szCs w:val="32"/>
            </w:rPr>
            <w:instrText xml:space="preserve">TOC \o "1-2" \h \u </w:instrText>
          </w:r>
          <w:r>
            <w:rPr>
              <w:rFonts w:ascii="Times New Roman" w:hAnsi="Times New Roman" w:eastAsia="楷体_GB2312"/>
              <w:kern w:val="0"/>
              <w:sz w:val="32"/>
              <w:szCs w:val="32"/>
            </w:rPr>
            <w:fldChar w:fldCharType="separate"/>
          </w:r>
          <w:r>
            <w:fldChar w:fldCharType="begin"/>
          </w:r>
          <w:r>
            <w:instrText xml:space="preserve"> HYPERLINK \l "_Toc144821695" </w:instrText>
          </w:r>
          <w:r>
            <w:fldChar w:fldCharType="separate"/>
          </w:r>
          <w:r>
            <w:rPr>
              <w:rStyle w:val="19"/>
              <w:rFonts w:ascii="黑体" w:hAnsi="黑体" w:eastAsia="黑体"/>
              <w:sz w:val="32"/>
              <w:szCs w:val="32"/>
            </w:rPr>
            <w:t>第一部分 单位概况</w:t>
          </w:r>
          <w:r>
            <w:rPr>
              <w:rFonts w:ascii="Times New Roman" w:hAnsi="Times New Roman" w:eastAsia="楷体_GB2312"/>
              <w:sz w:val="32"/>
              <w:szCs w:val="32"/>
            </w:rPr>
            <w:tab/>
          </w:r>
          <w:r>
            <w:rPr>
              <w:rFonts w:ascii="Times New Roman" w:hAnsi="Times New Roman" w:eastAsia="楷体_GB2312"/>
              <w:sz w:val="32"/>
              <w:szCs w:val="32"/>
            </w:rPr>
            <w:fldChar w:fldCharType="begin"/>
          </w:r>
          <w:r>
            <w:rPr>
              <w:rFonts w:ascii="Times New Roman" w:hAnsi="Times New Roman" w:eastAsia="楷体_GB2312"/>
              <w:sz w:val="32"/>
              <w:szCs w:val="32"/>
            </w:rPr>
            <w:instrText xml:space="preserve"> PAGEREF _Toc144821695 \h </w:instrText>
          </w:r>
          <w:r>
            <w:rPr>
              <w:rFonts w:ascii="Times New Roman" w:hAnsi="Times New Roman" w:eastAsia="楷体_GB2312"/>
              <w:sz w:val="32"/>
              <w:szCs w:val="32"/>
            </w:rPr>
            <w:fldChar w:fldCharType="separate"/>
          </w:r>
          <w:r>
            <w:rPr>
              <w:rFonts w:ascii="Times New Roman" w:hAnsi="Times New Roman" w:eastAsia="楷体_GB2312"/>
              <w:sz w:val="32"/>
              <w:szCs w:val="32"/>
            </w:rPr>
            <w:t>1</w:t>
          </w:r>
          <w:r>
            <w:rPr>
              <w:rFonts w:ascii="Times New Roman" w:hAnsi="Times New Roman" w:eastAsia="楷体_GB2312"/>
              <w:sz w:val="32"/>
              <w:szCs w:val="32"/>
            </w:rPr>
            <w:fldChar w:fldCharType="end"/>
          </w:r>
          <w:r>
            <w:rPr>
              <w:rFonts w:ascii="Times New Roman" w:hAnsi="Times New Roman" w:eastAsia="楷体_GB2312"/>
              <w:sz w:val="32"/>
              <w:szCs w:val="32"/>
            </w:rPr>
            <w:fldChar w:fldCharType="end"/>
          </w:r>
        </w:p>
        <w:p w14:paraId="12AA9BA1">
          <w:pPr>
            <w:pStyle w:val="13"/>
            <w:tabs>
              <w:tab w:val="left" w:pos="1260"/>
              <w:tab w:val="right" w:leader="dot" w:pos="8385"/>
              <w:tab w:val="clear" w:pos="8296"/>
            </w:tabs>
            <w:jc w:val="distribute"/>
            <w:rPr>
              <w:rFonts w:eastAsia="楷体_GB2312"/>
              <w:sz w:val="32"/>
              <w:szCs w:val="32"/>
            </w:rPr>
          </w:pPr>
          <w:r>
            <w:fldChar w:fldCharType="begin"/>
          </w:r>
          <w:r>
            <w:instrText xml:space="preserve"> HYPERLINK \l "_Toc144821696" </w:instrText>
          </w:r>
          <w:r>
            <w:fldChar w:fldCharType="separate"/>
          </w:r>
          <w:r>
            <w:rPr>
              <w:rStyle w:val="19"/>
              <w:rFonts w:eastAsia="楷体_GB2312"/>
              <w:sz w:val="32"/>
              <w:szCs w:val="32"/>
            </w:rPr>
            <w:t>一、职能简介</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_Toc144821696 \h </w:instrText>
          </w:r>
          <w:r>
            <w:rPr>
              <w:rFonts w:eastAsia="楷体_GB2312"/>
              <w:sz w:val="32"/>
              <w:szCs w:val="32"/>
            </w:rPr>
            <w:fldChar w:fldCharType="separate"/>
          </w:r>
          <w:r>
            <w:rPr>
              <w:rFonts w:eastAsia="楷体_GB2312"/>
              <w:sz w:val="32"/>
              <w:szCs w:val="32"/>
            </w:rPr>
            <w:t>1</w:t>
          </w:r>
          <w:r>
            <w:rPr>
              <w:rFonts w:eastAsia="楷体_GB2312"/>
              <w:sz w:val="32"/>
              <w:szCs w:val="32"/>
            </w:rPr>
            <w:fldChar w:fldCharType="end"/>
          </w:r>
          <w:r>
            <w:rPr>
              <w:rFonts w:eastAsia="楷体_GB2312"/>
              <w:sz w:val="32"/>
              <w:szCs w:val="32"/>
            </w:rPr>
            <w:fldChar w:fldCharType="end"/>
          </w:r>
        </w:p>
        <w:p w14:paraId="054CC6F6">
          <w:pPr>
            <w:pStyle w:val="13"/>
            <w:jc w:val="distribute"/>
            <w:rPr>
              <w:rFonts w:eastAsia="楷体_GB2312"/>
              <w:sz w:val="32"/>
              <w:szCs w:val="32"/>
            </w:rPr>
          </w:pPr>
          <w:r>
            <w:fldChar w:fldCharType="begin"/>
          </w:r>
          <w:r>
            <w:instrText xml:space="preserve"> HYPERLINK \l "_Toc144821697" </w:instrText>
          </w:r>
          <w:r>
            <w:fldChar w:fldCharType="separate"/>
          </w:r>
          <w:r>
            <w:rPr>
              <w:rStyle w:val="19"/>
              <w:rFonts w:eastAsia="楷体_GB2312"/>
              <w:sz w:val="32"/>
              <w:szCs w:val="32"/>
            </w:rPr>
            <w:t>二、机构设置</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_Toc144821697 \h </w:instrText>
          </w:r>
          <w:r>
            <w:rPr>
              <w:rFonts w:eastAsia="楷体_GB2312"/>
              <w:sz w:val="32"/>
              <w:szCs w:val="32"/>
            </w:rPr>
            <w:fldChar w:fldCharType="separate"/>
          </w:r>
          <w:r>
            <w:rPr>
              <w:rFonts w:eastAsia="楷体_GB2312"/>
              <w:sz w:val="32"/>
              <w:szCs w:val="32"/>
            </w:rPr>
            <w:t>2</w:t>
          </w:r>
          <w:r>
            <w:rPr>
              <w:rFonts w:eastAsia="楷体_GB2312"/>
              <w:sz w:val="32"/>
              <w:szCs w:val="32"/>
            </w:rPr>
            <w:fldChar w:fldCharType="end"/>
          </w:r>
          <w:r>
            <w:rPr>
              <w:rFonts w:eastAsia="楷体_GB2312"/>
              <w:sz w:val="32"/>
              <w:szCs w:val="32"/>
            </w:rPr>
            <w:fldChar w:fldCharType="end"/>
          </w:r>
        </w:p>
        <w:p w14:paraId="64BB57E9">
          <w:pPr>
            <w:pStyle w:val="13"/>
            <w:jc w:val="distribute"/>
            <w:rPr>
              <w:rFonts w:eastAsia="楷体_GB2312"/>
              <w:sz w:val="32"/>
              <w:szCs w:val="32"/>
            </w:rPr>
          </w:pPr>
          <w:r>
            <w:fldChar w:fldCharType="begin"/>
          </w:r>
          <w:r>
            <w:instrText xml:space="preserve"> HYPERLINK \l "_Toc144821698" </w:instrText>
          </w:r>
          <w:r>
            <w:fldChar w:fldCharType="separate"/>
          </w:r>
          <w:r>
            <w:rPr>
              <w:rStyle w:val="19"/>
              <w:rFonts w:eastAsia="楷体_GB2312"/>
              <w:sz w:val="32"/>
              <w:szCs w:val="32"/>
            </w:rPr>
            <w:t>三、2021年重点工作完成情况</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_Toc144821698 \h </w:instrText>
          </w:r>
          <w:r>
            <w:rPr>
              <w:rFonts w:eastAsia="楷体_GB2312"/>
              <w:sz w:val="32"/>
              <w:szCs w:val="32"/>
            </w:rPr>
            <w:fldChar w:fldCharType="separate"/>
          </w:r>
          <w:r>
            <w:rPr>
              <w:rFonts w:eastAsia="楷体_GB2312"/>
              <w:sz w:val="32"/>
              <w:szCs w:val="32"/>
            </w:rPr>
            <w:t>2</w:t>
          </w:r>
          <w:r>
            <w:rPr>
              <w:rFonts w:eastAsia="楷体_GB2312"/>
              <w:sz w:val="32"/>
              <w:szCs w:val="32"/>
            </w:rPr>
            <w:fldChar w:fldCharType="end"/>
          </w:r>
          <w:r>
            <w:rPr>
              <w:rFonts w:eastAsia="楷体_GB2312"/>
              <w:sz w:val="32"/>
              <w:szCs w:val="32"/>
            </w:rPr>
            <w:fldChar w:fldCharType="end"/>
          </w:r>
        </w:p>
        <w:p w14:paraId="121FDF01">
          <w:pPr>
            <w:pStyle w:val="11"/>
            <w:jc w:val="distribute"/>
            <w:rPr>
              <w:rFonts w:ascii="Times New Roman" w:hAnsi="Times New Roman" w:eastAsia="楷体_GB2312"/>
              <w:sz w:val="32"/>
              <w:szCs w:val="32"/>
            </w:rPr>
          </w:pPr>
          <w:r>
            <w:fldChar w:fldCharType="begin"/>
          </w:r>
          <w:r>
            <w:instrText xml:space="preserve"> HYPERLINK \l "_Toc144821699" </w:instrText>
          </w:r>
          <w:r>
            <w:fldChar w:fldCharType="separate"/>
          </w:r>
          <w:r>
            <w:rPr>
              <w:rStyle w:val="19"/>
              <w:rFonts w:ascii="黑体" w:hAnsi="黑体" w:eastAsia="黑体"/>
              <w:sz w:val="32"/>
              <w:szCs w:val="32"/>
            </w:rPr>
            <w:t>第二部分 2021年度单位决算情况说明</w:t>
          </w:r>
          <w:r>
            <w:rPr>
              <w:rFonts w:ascii="Times New Roman" w:hAnsi="Times New Roman" w:eastAsia="楷体_GB2312"/>
              <w:sz w:val="32"/>
              <w:szCs w:val="32"/>
            </w:rPr>
            <w:tab/>
          </w:r>
          <w:r>
            <w:rPr>
              <w:rFonts w:ascii="Times New Roman" w:hAnsi="Times New Roman" w:eastAsia="楷体_GB2312"/>
              <w:sz w:val="32"/>
              <w:szCs w:val="32"/>
            </w:rPr>
            <w:fldChar w:fldCharType="begin"/>
          </w:r>
          <w:r>
            <w:rPr>
              <w:rFonts w:ascii="Times New Roman" w:hAnsi="Times New Roman" w:eastAsia="楷体_GB2312"/>
              <w:sz w:val="32"/>
              <w:szCs w:val="32"/>
            </w:rPr>
            <w:instrText xml:space="preserve"> PAGEREF _Toc144821699 \h </w:instrText>
          </w:r>
          <w:r>
            <w:rPr>
              <w:rFonts w:ascii="Times New Roman" w:hAnsi="Times New Roman" w:eastAsia="楷体_GB2312"/>
              <w:sz w:val="32"/>
              <w:szCs w:val="32"/>
            </w:rPr>
            <w:fldChar w:fldCharType="separate"/>
          </w:r>
          <w:r>
            <w:rPr>
              <w:rFonts w:ascii="Times New Roman" w:hAnsi="Times New Roman" w:eastAsia="楷体_GB2312"/>
              <w:sz w:val="32"/>
              <w:szCs w:val="32"/>
            </w:rPr>
            <w:t>9</w:t>
          </w:r>
          <w:r>
            <w:rPr>
              <w:rFonts w:ascii="Times New Roman" w:hAnsi="Times New Roman" w:eastAsia="楷体_GB2312"/>
              <w:sz w:val="32"/>
              <w:szCs w:val="32"/>
            </w:rPr>
            <w:fldChar w:fldCharType="end"/>
          </w:r>
          <w:r>
            <w:rPr>
              <w:rFonts w:ascii="Times New Roman" w:hAnsi="Times New Roman" w:eastAsia="楷体_GB2312"/>
              <w:sz w:val="32"/>
              <w:szCs w:val="32"/>
            </w:rPr>
            <w:fldChar w:fldCharType="end"/>
          </w:r>
        </w:p>
        <w:p w14:paraId="729F6E4B">
          <w:pPr>
            <w:pStyle w:val="13"/>
            <w:tabs>
              <w:tab w:val="left" w:pos="1260"/>
            </w:tabs>
            <w:jc w:val="distribute"/>
            <w:rPr>
              <w:rFonts w:eastAsia="楷体_GB2312"/>
              <w:sz w:val="32"/>
              <w:szCs w:val="32"/>
            </w:rPr>
          </w:pPr>
          <w:r>
            <w:fldChar w:fldCharType="begin"/>
          </w:r>
          <w:r>
            <w:instrText xml:space="preserve"> HYPERLINK \l "_Toc144821700" </w:instrText>
          </w:r>
          <w:r>
            <w:fldChar w:fldCharType="separate"/>
          </w:r>
          <w:r>
            <w:rPr>
              <w:rStyle w:val="19"/>
              <w:rFonts w:eastAsia="楷体_GB2312"/>
              <w:bCs/>
              <w:sz w:val="32"/>
              <w:szCs w:val="32"/>
            </w:rPr>
            <w:t>一、</w:t>
          </w:r>
          <w:r>
            <w:rPr>
              <w:rFonts w:eastAsia="楷体_GB2312"/>
              <w:sz w:val="32"/>
              <w:szCs w:val="32"/>
            </w:rPr>
            <w:tab/>
          </w:r>
          <w:r>
            <w:rPr>
              <w:rStyle w:val="19"/>
              <w:rFonts w:eastAsia="楷体_GB2312"/>
              <w:sz w:val="32"/>
              <w:szCs w:val="32"/>
            </w:rPr>
            <w:t>收</w:t>
          </w:r>
          <w:r>
            <w:rPr>
              <w:rStyle w:val="19"/>
              <w:rFonts w:eastAsia="楷体_GB2312"/>
              <w:bCs/>
              <w:sz w:val="32"/>
              <w:szCs w:val="32"/>
            </w:rPr>
            <w:t>入支出决算总体情况说明</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_Toc144821700 \h </w:instrText>
          </w:r>
          <w:r>
            <w:rPr>
              <w:rFonts w:eastAsia="楷体_GB2312"/>
              <w:sz w:val="32"/>
              <w:szCs w:val="32"/>
            </w:rPr>
            <w:fldChar w:fldCharType="separate"/>
          </w:r>
          <w:r>
            <w:rPr>
              <w:rFonts w:eastAsia="楷体_GB2312"/>
              <w:sz w:val="32"/>
              <w:szCs w:val="32"/>
            </w:rPr>
            <w:t>9</w:t>
          </w:r>
          <w:r>
            <w:rPr>
              <w:rFonts w:eastAsia="楷体_GB2312"/>
              <w:sz w:val="32"/>
              <w:szCs w:val="32"/>
            </w:rPr>
            <w:fldChar w:fldCharType="end"/>
          </w:r>
          <w:r>
            <w:rPr>
              <w:rFonts w:eastAsia="楷体_GB2312"/>
              <w:sz w:val="32"/>
              <w:szCs w:val="32"/>
            </w:rPr>
            <w:fldChar w:fldCharType="end"/>
          </w:r>
        </w:p>
        <w:p w14:paraId="61FF44BF">
          <w:pPr>
            <w:pStyle w:val="13"/>
            <w:tabs>
              <w:tab w:val="left" w:pos="1260"/>
            </w:tabs>
            <w:jc w:val="distribute"/>
            <w:rPr>
              <w:rFonts w:eastAsia="楷体_GB2312"/>
              <w:sz w:val="32"/>
              <w:szCs w:val="32"/>
            </w:rPr>
          </w:pPr>
          <w:r>
            <w:fldChar w:fldCharType="begin"/>
          </w:r>
          <w:r>
            <w:instrText xml:space="preserve"> HYPERLINK \l "_Toc144821701" </w:instrText>
          </w:r>
          <w:r>
            <w:fldChar w:fldCharType="separate"/>
          </w:r>
          <w:r>
            <w:rPr>
              <w:rStyle w:val="19"/>
              <w:rFonts w:eastAsia="楷体_GB2312"/>
              <w:bCs/>
              <w:sz w:val="32"/>
              <w:szCs w:val="32"/>
            </w:rPr>
            <w:t>二、</w:t>
          </w:r>
          <w:r>
            <w:rPr>
              <w:rFonts w:eastAsia="楷体_GB2312"/>
              <w:sz w:val="32"/>
              <w:szCs w:val="32"/>
            </w:rPr>
            <w:tab/>
          </w:r>
          <w:r>
            <w:rPr>
              <w:rStyle w:val="19"/>
              <w:rFonts w:eastAsia="楷体_GB2312"/>
              <w:sz w:val="32"/>
              <w:szCs w:val="32"/>
            </w:rPr>
            <w:t>收</w:t>
          </w:r>
          <w:r>
            <w:rPr>
              <w:rStyle w:val="19"/>
              <w:rFonts w:eastAsia="楷体_GB2312"/>
              <w:bCs/>
              <w:sz w:val="32"/>
              <w:szCs w:val="32"/>
            </w:rPr>
            <w:t>入决算情况说明</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_Toc144821701 \h </w:instrText>
          </w:r>
          <w:r>
            <w:rPr>
              <w:rFonts w:eastAsia="楷体_GB2312"/>
              <w:sz w:val="32"/>
              <w:szCs w:val="32"/>
            </w:rPr>
            <w:fldChar w:fldCharType="separate"/>
          </w:r>
          <w:r>
            <w:rPr>
              <w:rFonts w:eastAsia="楷体_GB2312"/>
              <w:sz w:val="32"/>
              <w:szCs w:val="32"/>
            </w:rPr>
            <w:t>9</w:t>
          </w:r>
          <w:r>
            <w:rPr>
              <w:rFonts w:eastAsia="楷体_GB2312"/>
              <w:sz w:val="32"/>
              <w:szCs w:val="32"/>
            </w:rPr>
            <w:fldChar w:fldCharType="end"/>
          </w:r>
          <w:r>
            <w:rPr>
              <w:rFonts w:eastAsia="楷体_GB2312"/>
              <w:sz w:val="32"/>
              <w:szCs w:val="32"/>
            </w:rPr>
            <w:fldChar w:fldCharType="end"/>
          </w:r>
        </w:p>
        <w:p w14:paraId="4296FF5F">
          <w:pPr>
            <w:pStyle w:val="13"/>
            <w:tabs>
              <w:tab w:val="left" w:pos="1260"/>
            </w:tabs>
            <w:jc w:val="distribute"/>
            <w:rPr>
              <w:rFonts w:eastAsia="楷体_GB2312"/>
              <w:sz w:val="32"/>
              <w:szCs w:val="32"/>
            </w:rPr>
          </w:pPr>
          <w:r>
            <w:fldChar w:fldCharType="begin"/>
          </w:r>
          <w:r>
            <w:instrText xml:space="preserve"> HYPERLINK \l "_Toc144821702" </w:instrText>
          </w:r>
          <w:r>
            <w:fldChar w:fldCharType="separate"/>
          </w:r>
          <w:r>
            <w:rPr>
              <w:rStyle w:val="19"/>
              <w:rFonts w:eastAsia="楷体_GB2312"/>
              <w:bCs/>
              <w:sz w:val="32"/>
              <w:szCs w:val="32"/>
            </w:rPr>
            <w:t>三、</w:t>
          </w:r>
          <w:r>
            <w:rPr>
              <w:rFonts w:eastAsia="楷体_GB2312"/>
              <w:sz w:val="32"/>
              <w:szCs w:val="32"/>
            </w:rPr>
            <w:tab/>
          </w:r>
          <w:r>
            <w:rPr>
              <w:rStyle w:val="19"/>
              <w:rFonts w:eastAsia="楷体_GB2312"/>
              <w:sz w:val="32"/>
              <w:szCs w:val="32"/>
            </w:rPr>
            <w:t>支</w:t>
          </w:r>
          <w:r>
            <w:rPr>
              <w:rStyle w:val="19"/>
              <w:rFonts w:eastAsia="楷体_GB2312"/>
              <w:bCs/>
              <w:sz w:val="32"/>
              <w:szCs w:val="32"/>
            </w:rPr>
            <w:t>出决算情况说明</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_Toc144821702 \h </w:instrText>
          </w:r>
          <w:r>
            <w:rPr>
              <w:rFonts w:eastAsia="楷体_GB2312"/>
              <w:sz w:val="32"/>
              <w:szCs w:val="32"/>
            </w:rPr>
            <w:fldChar w:fldCharType="separate"/>
          </w:r>
          <w:r>
            <w:rPr>
              <w:rFonts w:eastAsia="楷体_GB2312"/>
              <w:sz w:val="32"/>
              <w:szCs w:val="32"/>
            </w:rPr>
            <w:t>10</w:t>
          </w:r>
          <w:r>
            <w:rPr>
              <w:rFonts w:eastAsia="楷体_GB2312"/>
              <w:sz w:val="32"/>
              <w:szCs w:val="32"/>
            </w:rPr>
            <w:fldChar w:fldCharType="end"/>
          </w:r>
          <w:r>
            <w:rPr>
              <w:rFonts w:eastAsia="楷体_GB2312"/>
              <w:sz w:val="32"/>
              <w:szCs w:val="32"/>
            </w:rPr>
            <w:fldChar w:fldCharType="end"/>
          </w:r>
        </w:p>
        <w:p w14:paraId="175C8E0B">
          <w:pPr>
            <w:pStyle w:val="13"/>
            <w:jc w:val="distribute"/>
            <w:rPr>
              <w:rFonts w:eastAsia="楷体_GB2312"/>
              <w:sz w:val="32"/>
              <w:szCs w:val="32"/>
            </w:rPr>
          </w:pPr>
          <w:r>
            <w:fldChar w:fldCharType="begin"/>
          </w:r>
          <w:r>
            <w:instrText xml:space="preserve"> HYPERLINK \l "_Toc144821703" </w:instrText>
          </w:r>
          <w:r>
            <w:fldChar w:fldCharType="separate"/>
          </w:r>
          <w:r>
            <w:rPr>
              <w:rStyle w:val="19"/>
              <w:rFonts w:eastAsia="楷体_GB2312"/>
              <w:sz w:val="32"/>
              <w:szCs w:val="32"/>
            </w:rPr>
            <w:t>四、财</w:t>
          </w:r>
          <w:r>
            <w:rPr>
              <w:rStyle w:val="19"/>
              <w:rFonts w:eastAsia="楷体_GB2312"/>
              <w:bCs/>
              <w:sz w:val="32"/>
              <w:szCs w:val="32"/>
            </w:rPr>
            <w:t>政拨款收入支出决算总体情况说明</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_Toc144821703 \h </w:instrText>
          </w:r>
          <w:r>
            <w:rPr>
              <w:rFonts w:eastAsia="楷体_GB2312"/>
              <w:sz w:val="32"/>
              <w:szCs w:val="32"/>
            </w:rPr>
            <w:fldChar w:fldCharType="separate"/>
          </w:r>
          <w:r>
            <w:rPr>
              <w:rFonts w:eastAsia="楷体_GB2312"/>
              <w:sz w:val="32"/>
              <w:szCs w:val="32"/>
            </w:rPr>
            <w:t>10</w:t>
          </w:r>
          <w:r>
            <w:rPr>
              <w:rFonts w:eastAsia="楷体_GB2312"/>
              <w:sz w:val="32"/>
              <w:szCs w:val="32"/>
            </w:rPr>
            <w:fldChar w:fldCharType="end"/>
          </w:r>
          <w:r>
            <w:rPr>
              <w:rFonts w:eastAsia="楷体_GB2312"/>
              <w:sz w:val="32"/>
              <w:szCs w:val="32"/>
            </w:rPr>
            <w:fldChar w:fldCharType="end"/>
          </w:r>
        </w:p>
        <w:p w14:paraId="38807D84">
          <w:pPr>
            <w:pStyle w:val="13"/>
            <w:jc w:val="distribute"/>
            <w:rPr>
              <w:rFonts w:eastAsia="楷体_GB2312"/>
              <w:sz w:val="32"/>
              <w:szCs w:val="32"/>
            </w:rPr>
          </w:pPr>
          <w:r>
            <w:fldChar w:fldCharType="begin"/>
          </w:r>
          <w:r>
            <w:instrText xml:space="preserve"> HYPERLINK \l "_Toc144821704" </w:instrText>
          </w:r>
          <w:r>
            <w:fldChar w:fldCharType="separate"/>
          </w:r>
          <w:r>
            <w:rPr>
              <w:rStyle w:val="19"/>
              <w:rFonts w:eastAsia="楷体_GB2312"/>
              <w:sz w:val="32"/>
              <w:szCs w:val="32"/>
            </w:rPr>
            <w:t>五、</w:t>
          </w:r>
          <w:r>
            <w:rPr>
              <w:rStyle w:val="19"/>
              <w:rFonts w:eastAsia="楷体_GB2312"/>
              <w:b/>
              <w:sz w:val="32"/>
              <w:szCs w:val="32"/>
            </w:rPr>
            <w:t>一</w:t>
          </w:r>
          <w:r>
            <w:rPr>
              <w:rStyle w:val="19"/>
              <w:rFonts w:eastAsia="楷体_GB2312"/>
              <w:bCs/>
              <w:sz w:val="32"/>
              <w:szCs w:val="32"/>
            </w:rPr>
            <w:t>般公共预算财政拨款支出决算情况说明</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_Toc144821704 \h </w:instrText>
          </w:r>
          <w:r>
            <w:rPr>
              <w:rFonts w:eastAsia="楷体_GB2312"/>
              <w:sz w:val="32"/>
              <w:szCs w:val="32"/>
            </w:rPr>
            <w:fldChar w:fldCharType="separate"/>
          </w:r>
          <w:r>
            <w:rPr>
              <w:rFonts w:eastAsia="楷体_GB2312"/>
              <w:sz w:val="32"/>
              <w:szCs w:val="32"/>
            </w:rPr>
            <w:t>11</w:t>
          </w:r>
          <w:r>
            <w:rPr>
              <w:rFonts w:eastAsia="楷体_GB2312"/>
              <w:sz w:val="32"/>
              <w:szCs w:val="32"/>
            </w:rPr>
            <w:fldChar w:fldCharType="end"/>
          </w:r>
          <w:r>
            <w:rPr>
              <w:rFonts w:eastAsia="楷体_GB2312"/>
              <w:sz w:val="32"/>
              <w:szCs w:val="32"/>
            </w:rPr>
            <w:fldChar w:fldCharType="end"/>
          </w:r>
        </w:p>
        <w:p w14:paraId="57BA0952">
          <w:pPr>
            <w:pStyle w:val="13"/>
            <w:jc w:val="distribute"/>
            <w:rPr>
              <w:rFonts w:eastAsia="楷体_GB2312"/>
              <w:sz w:val="32"/>
              <w:szCs w:val="32"/>
            </w:rPr>
          </w:pPr>
          <w:r>
            <w:fldChar w:fldCharType="begin"/>
          </w:r>
          <w:r>
            <w:instrText xml:space="preserve"> HYPERLINK \l "_Toc144821705" </w:instrText>
          </w:r>
          <w:r>
            <w:fldChar w:fldCharType="separate"/>
          </w:r>
          <w:r>
            <w:rPr>
              <w:rStyle w:val="19"/>
              <w:rFonts w:eastAsia="楷体_GB2312"/>
              <w:sz w:val="32"/>
              <w:szCs w:val="32"/>
            </w:rPr>
            <w:t>七、</w:t>
          </w:r>
          <w:r>
            <w:rPr>
              <w:rStyle w:val="19"/>
              <w:rFonts w:eastAsia="楷体_GB2312"/>
              <w:b/>
              <w:bCs/>
              <w:sz w:val="32"/>
              <w:szCs w:val="32"/>
            </w:rPr>
            <w:t>“</w:t>
          </w:r>
          <w:r>
            <w:rPr>
              <w:rStyle w:val="19"/>
              <w:rFonts w:eastAsia="楷体_GB2312"/>
              <w:bCs/>
              <w:sz w:val="32"/>
              <w:szCs w:val="32"/>
            </w:rPr>
            <w:t>三公”经费财政拨款支出决算情况说明</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_Toc144821705 \h </w:instrText>
          </w:r>
          <w:r>
            <w:rPr>
              <w:rFonts w:eastAsia="楷体_GB2312"/>
              <w:sz w:val="32"/>
              <w:szCs w:val="32"/>
            </w:rPr>
            <w:fldChar w:fldCharType="separate"/>
          </w:r>
          <w:r>
            <w:rPr>
              <w:rFonts w:eastAsia="楷体_GB2312"/>
              <w:sz w:val="32"/>
              <w:szCs w:val="32"/>
            </w:rPr>
            <w:t>13</w:t>
          </w:r>
          <w:r>
            <w:rPr>
              <w:rFonts w:eastAsia="楷体_GB2312"/>
              <w:sz w:val="32"/>
              <w:szCs w:val="32"/>
            </w:rPr>
            <w:fldChar w:fldCharType="end"/>
          </w:r>
          <w:r>
            <w:rPr>
              <w:rFonts w:eastAsia="楷体_GB2312"/>
              <w:sz w:val="32"/>
              <w:szCs w:val="32"/>
            </w:rPr>
            <w:fldChar w:fldCharType="end"/>
          </w:r>
        </w:p>
        <w:p w14:paraId="6CE96784">
          <w:pPr>
            <w:pStyle w:val="13"/>
            <w:jc w:val="distribute"/>
            <w:rPr>
              <w:rFonts w:eastAsia="楷体_GB2312"/>
              <w:sz w:val="32"/>
              <w:szCs w:val="32"/>
            </w:rPr>
          </w:pPr>
          <w:r>
            <w:fldChar w:fldCharType="begin"/>
          </w:r>
          <w:r>
            <w:instrText xml:space="preserve"> HYPERLINK \l "_Toc144821706" </w:instrText>
          </w:r>
          <w:r>
            <w:fldChar w:fldCharType="separate"/>
          </w:r>
          <w:r>
            <w:rPr>
              <w:rStyle w:val="19"/>
              <w:rFonts w:eastAsia="楷体_GB2312"/>
              <w:sz w:val="32"/>
              <w:szCs w:val="32"/>
            </w:rPr>
            <w:t>八、</w:t>
          </w:r>
          <w:r>
            <w:rPr>
              <w:rStyle w:val="19"/>
              <w:rFonts w:eastAsia="楷体_GB2312"/>
              <w:bCs/>
              <w:sz w:val="32"/>
              <w:szCs w:val="32"/>
            </w:rPr>
            <w:t>政府性基金预算支出决算情况说明</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_Toc144821706 \h </w:instrText>
          </w:r>
          <w:r>
            <w:rPr>
              <w:rFonts w:eastAsia="楷体_GB2312"/>
              <w:sz w:val="32"/>
              <w:szCs w:val="32"/>
            </w:rPr>
            <w:fldChar w:fldCharType="separate"/>
          </w:r>
          <w:r>
            <w:rPr>
              <w:rFonts w:eastAsia="楷体_GB2312"/>
              <w:sz w:val="32"/>
              <w:szCs w:val="32"/>
            </w:rPr>
            <w:t>15</w:t>
          </w:r>
          <w:r>
            <w:rPr>
              <w:rFonts w:eastAsia="楷体_GB2312"/>
              <w:sz w:val="32"/>
              <w:szCs w:val="32"/>
            </w:rPr>
            <w:fldChar w:fldCharType="end"/>
          </w:r>
          <w:r>
            <w:rPr>
              <w:rFonts w:eastAsia="楷体_GB2312"/>
              <w:sz w:val="32"/>
              <w:szCs w:val="32"/>
            </w:rPr>
            <w:fldChar w:fldCharType="end"/>
          </w:r>
        </w:p>
        <w:p w14:paraId="20CCDA8E">
          <w:pPr>
            <w:pStyle w:val="13"/>
            <w:jc w:val="distribute"/>
            <w:rPr>
              <w:rFonts w:eastAsia="楷体_GB2312"/>
              <w:sz w:val="32"/>
              <w:szCs w:val="32"/>
            </w:rPr>
          </w:pPr>
          <w:r>
            <w:fldChar w:fldCharType="begin"/>
          </w:r>
          <w:r>
            <w:instrText xml:space="preserve"> HYPERLINK \l "_Toc144821707" </w:instrText>
          </w:r>
          <w:r>
            <w:fldChar w:fldCharType="separate"/>
          </w:r>
          <w:r>
            <w:rPr>
              <w:rStyle w:val="19"/>
              <w:rFonts w:eastAsia="楷体_GB2312"/>
              <w:bCs/>
              <w:sz w:val="32"/>
              <w:szCs w:val="32"/>
            </w:rPr>
            <w:t>九、 国有资本经营预算支出决算情况说明</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_Toc144821707 \h </w:instrText>
          </w:r>
          <w:r>
            <w:rPr>
              <w:rFonts w:eastAsia="楷体_GB2312"/>
              <w:sz w:val="32"/>
              <w:szCs w:val="32"/>
            </w:rPr>
            <w:fldChar w:fldCharType="separate"/>
          </w:r>
          <w:r>
            <w:rPr>
              <w:rFonts w:eastAsia="楷体_GB2312"/>
              <w:sz w:val="32"/>
              <w:szCs w:val="32"/>
            </w:rPr>
            <w:t>15</w:t>
          </w:r>
          <w:r>
            <w:rPr>
              <w:rFonts w:eastAsia="楷体_GB2312"/>
              <w:sz w:val="32"/>
              <w:szCs w:val="32"/>
            </w:rPr>
            <w:fldChar w:fldCharType="end"/>
          </w:r>
          <w:r>
            <w:rPr>
              <w:rFonts w:eastAsia="楷体_GB2312"/>
              <w:sz w:val="32"/>
              <w:szCs w:val="32"/>
            </w:rPr>
            <w:fldChar w:fldCharType="end"/>
          </w:r>
        </w:p>
        <w:p w14:paraId="4F27D710">
          <w:pPr>
            <w:pStyle w:val="13"/>
            <w:jc w:val="distribute"/>
            <w:rPr>
              <w:rFonts w:eastAsia="楷体_GB2312"/>
              <w:sz w:val="32"/>
              <w:szCs w:val="32"/>
            </w:rPr>
          </w:pPr>
          <w:r>
            <w:fldChar w:fldCharType="begin"/>
          </w:r>
          <w:r>
            <w:instrText xml:space="preserve"> HYPERLINK \l "_Toc144821708" </w:instrText>
          </w:r>
          <w:r>
            <w:fldChar w:fldCharType="separate"/>
          </w:r>
          <w:r>
            <w:rPr>
              <w:rStyle w:val="19"/>
              <w:rFonts w:eastAsia="楷体_GB2312"/>
              <w:bCs/>
              <w:sz w:val="32"/>
              <w:szCs w:val="32"/>
            </w:rPr>
            <w:t>十、 预算绩效管理情况</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_Toc144821708 \h </w:instrText>
          </w:r>
          <w:r>
            <w:rPr>
              <w:rFonts w:eastAsia="楷体_GB2312"/>
              <w:sz w:val="32"/>
              <w:szCs w:val="32"/>
            </w:rPr>
            <w:fldChar w:fldCharType="separate"/>
          </w:r>
          <w:r>
            <w:rPr>
              <w:rFonts w:eastAsia="楷体_GB2312"/>
              <w:sz w:val="32"/>
              <w:szCs w:val="32"/>
            </w:rPr>
            <w:t>15</w:t>
          </w:r>
          <w:r>
            <w:rPr>
              <w:rFonts w:eastAsia="楷体_GB2312"/>
              <w:sz w:val="32"/>
              <w:szCs w:val="32"/>
            </w:rPr>
            <w:fldChar w:fldCharType="end"/>
          </w:r>
          <w:r>
            <w:rPr>
              <w:rFonts w:eastAsia="楷体_GB2312"/>
              <w:sz w:val="32"/>
              <w:szCs w:val="32"/>
            </w:rPr>
            <w:fldChar w:fldCharType="end"/>
          </w:r>
        </w:p>
        <w:p w14:paraId="6E9B59DC">
          <w:pPr>
            <w:pStyle w:val="13"/>
            <w:jc w:val="distribute"/>
            <w:rPr>
              <w:rFonts w:eastAsia="楷体_GB2312"/>
              <w:sz w:val="32"/>
              <w:szCs w:val="32"/>
            </w:rPr>
          </w:pPr>
          <w:r>
            <w:fldChar w:fldCharType="begin"/>
          </w:r>
          <w:r>
            <w:instrText xml:space="preserve"> HYPERLINK \l "_Toc144821709" </w:instrText>
          </w:r>
          <w:r>
            <w:fldChar w:fldCharType="separate"/>
          </w:r>
          <w:r>
            <w:rPr>
              <w:rStyle w:val="19"/>
              <w:rFonts w:eastAsia="楷体_GB2312"/>
              <w:b/>
              <w:sz w:val="32"/>
              <w:szCs w:val="32"/>
            </w:rPr>
            <w:t>十一、 其他重要事项的情况说明</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_Toc144821709 \h </w:instrText>
          </w:r>
          <w:r>
            <w:rPr>
              <w:rFonts w:eastAsia="楷体_GB2312"/>
              <w:sz w:val="32"/>
              <w:szCs w:val="32"/>
            </w:rPr>
            <w:fldChar w:fldCharType="separate"/>
          </w:r>
          <w:r>
            <w:rPr>
              <w:rFonts w:eastAsia="楷体_GB2312"/>
              <w:sz w:val="32"/>
              <w:szCs w:val="32"/>
            </w:rPr>
            <w:t>15</w:t>
          </w:r>
          <w:r>
            <w:rPr>
              <w:rFonts w:eastAsia="楷体_GB2312"/>
              <w:sz w:val="32"/>
              <w:szCs w:val="32"/>
            </w:rPr>
            <w:fldChar w:fldCharType="end"/>
          </w:r>
          <w:r>
            <w:rPr>
              <w:rFonts w:eastAsia="楷体_GB2312"/>
              <w:sz w:val="32"/>
              <w:szCs w:val="32"/>
            </w:rPr>
            <w:fldChar w:fldCharType="end"/>
          </w:r>
        </w:p>
        <w:p w14:paraId="7589A216">
          <w:pPr>
            <w:pStyle w:val="11"/>
            <w:jc w:val="distribute"/>
            <w:rPr>
              <w:rFonts w:ascii="Times New Roman" w:hAnsi="Times New Roman" w:eastAsia="楷体_GB2312"/>
              <w:sz w:val="32"/>
              <w:szCs w:val="32"/>
            </w:rPr>
          </w:pPr>
          <w:r>
            <w:fldChar w:fldCharType="begin"/>
          </w:r>
          <w:r>
            <w:instrText xml:space="preserve"> HYPERLINK \l "_Toc144821710" </w:instrText>
          </w:r>
          <w:r>
            <w:fldChar w:fldCharType="separate"/>
          </w:r>
          <w:r>
            <w:rPr>
              <w:rStyle w:val="19"/>
              <w:rFonts w:hint="eastAsia" w:ascii="黑体" w:hAnsi="黑体" w:eastAsia="黑体"/>
              <w:sz w:val="32"/>
              <w:szCs w:val="32"/>
            </w:rPr>
            <w:t>第三部分 名</w:t>
          </w:r>
          <w:r>
            <w:rPr>
              <w:rStyle w:val="19"/>
              <w:rFonts w:hint="eastAsia" w:ascii="黑体" w:hAnsi="黑体" w:eastAsia="黑体"/>
              <w:bCs/>
              <w:kern w:val="44"/>
              <w:sz w:val="32"/>
              <w:szCs w:val="32"/>
            </w:rPr>
            <w:t>词解释</w:t>
          </w:r>
          <w:r>
            <w:rPr>
              <w:rFonts w:ascii="Times New Roman" w:hAnsi="Times New Roman" w:eastAsia="楷体_GB2312"/>
              <w:sz w:val="32"/>
              <w:szCs w:val="32"/>
            </w:rPr>
            <w:tab/>
          </w:r>
          <w:r>
            <w:rPr>
              <w:rFonts w:ascii="Times New Roman" w:hAnsi="Times New Roman" w:eastAsia="楷体_GB2312"/>
              <w:sz w:val="32"/>
              <w:szCs w:val="32"/>
            </w:rPr>
            <w:fldChar w:fldCharType="begin"/>
          </w:r>
          <w:r>
            <w:rPr>
              <w:rFonts w:ascii="Times New Roman" w:hAnsi="Times New Roman" w:eastAsia="楷体_GB2312"/>
              <w:sz w:val="32"/>
              <w:szCs w:val="32"/>
            </w:rPr>
            <w:instrText xml:space="preserve"> PAGEREF _Toc144821710 \h </w:instrText>
          </w:r>
          <w:r>
            <w:rPr>
              <w:rFonts w:ascii="Times New Roman" w:hAnsi="Times New Roman" w:eastAsia="楷体_GB2312"/>
              <w:sz w:val="32"/>
              <w:szCs w:val="32"/>
            </w:rPr>
            <w:fldChar w:fldCharType="separate"/>
          </w:r>
          <w:r>
            <w:rPr>
              <w:rFonts w:ascii="Times New Roman" w:hAnsi="Times New Roman" w:eastAsia="楷体_GB2312"/>
              <w:sz w:val="32"/>
              <w:szCs w:val="32"/>
            </w:rPr>
            <w:t>16</w:t>
          </w:r>
          <w:r>
            <w:rPr>
              <w:rFonts w:ascii="Times New Roman" w:hAnsi="Times New Roman" w:eastAsia="楷体_GB2312"/>
              <w:sz w:val="32"/>
              <w:szCs w:val="32"/>
            </w:rPr>
            <w:fldChar w:fldCharType="end"/>
          </w:r>
          <w:r>
            <w:rPr>
              <w:rFonts w:ascii="Times New Roman" w:hAnsi="Times New Roman" w:eastAsia="楷体_GB2312"/>
              <w:sz w:val="32"/>
              <w:szCs w:val="32"/>
            </w:rPr>
            <w:fldChar w:fldCharType="end"/>
          </w:r>
        </w:p>
        <w:p w14:paraId="78B9697E">
          <w:pPr>
            <w:pStyle w:val="11"/>
            <w:jc w:val="distribute"/>
            <w:rPr>
              <w:rFonts w:ascii="Times New Roman" w:hAnsi="Times New Roman" w:eastAsia="楷体_GB2312"/>
              <w:sz w:val="32"/>
              <w:szCs w:val="32"/>
            </w:rPr>
          </w:pPr>
          <w:r>
            <w:fldChar w:fldCharType="begin"/>
          </w:r>
          <w:r>
            <w:instrText xml:space="preserve"> HYPERLINK \l "_Toc144821711" </w:instrText>
          </w:r>
          <w:r>
            <w:fldChar w:fldCharType="separate"/>
          </w:r>
          <w:r>
            <w:rPr>
              <w:rStyle w:val="19"/>
              <w:rFonts w:ascii="黑体" w:hAnsi="黑体" w:eastAsia="黑体"/>
              <w:sz w:val="32"/>
              <w:szCs w:val="32"/>
            </w:rPr>
            <w:t>第四部分附件</w:t>
          </w:r>
          <w:r>
            <w:rPr>
              <w:rFonts w:ascii="Times New Roman" w:hAnsi="Times New Roman" w:eastAsia="楷体_GB2312"/>
              <w:sz w:val="32"/>
              <w:szCs w:val="32"/>
            </w:rPr>
            <w:tab/>
          </w:r>
          <w:r>
            <w:rPr>
              <w:rFonts w:ascii="Times New Roman" w:hAnsi="Times New Roman" w:eastAsia="楷体_GB2312"/>
              <w:sz w:val="32"/>
              <w:szCs w:val="32"/>
            </w:rPr>
            <w:fldChar w:fldCharType="begin"/>
          </w:r>
          <w:r>
            <w:rPr>
              <w:rFonts w:ascii="Times New Roman" w:hAnsi="Times New Roman" w:eastAsia="楷体_GB2312"/>
              <w:sz w:val="32"/>
              <w:szCs w:val="32"/>
            </w:rPr>
            <w:instrText xml:space="preserve"> PAGEREF _Toc144821711 \h </w:instrText>
          </w:r>
          <w:r>
            <w:rPr>
              <w:rFonts w:ascii="Times New Roman" w:hAnsi="Times New Roman" w:eastAsia="楷体_GB2312"/>
              <w:sz w:val="32"/>
              <w:szCs w:val="32"/>
            </w:rPr>
            <w:fldChar w:fldCharType="separate"/>
          </w:r>
          <w:r>
            <w:rPr>
              <w:rFonts w:ascii="Times New Roman" w:hAnsi="Times New Roman" w:eastAsia="楷体_GB2312"/>
              <w:sz w:val="32"/>
              <w:szCs w:val="32"/>
            </w:rPr>
            <w:t>18</w:t>
          </w:r>
          <w:r>
            <w:rPr>
              <w:rFonts w:ascii="Times New Roman" w:hAnsi="Times New Roman" w:eastAsia="楷体_GB2312"/>
              <w:sz w:val="32"/>
              <w:szCs w:val="32"/>
            </w:rPr>
            <w:fldChar w:fldCharType="end"/>
          </w:r>
          <w:r>
            <w:rPr>
              <w:rFonts w:ascii="Times New Roman" w:hAnsi="Times New Roman" w:eastAsia="楷体_GB2312"/>
              <w:sz w:val="32"/>
              <w:szCs w:val="32"/>
            </w:rPr>
            <w:fldChar w:fldCharType="end"/>
          </w:r>
        </w:p>
        <w:p w14:paraId="6695FA71">
          <w:pPr>
            <w:pStyle w:val="11"/>
            <w:jc w:val="distribute"/>
            <w:rPr>
              <w:rFonts w:ascii="Times New Roman" w:hAnsi="Times New Roman" w:eastAsia="楷体_GB2312"/>
              <w:sz w:val="32"/>
              <w:szCs w:val="32"/>
            </w:rPr>
          </w:pPr>
          <w:r>
            <w:fldChar w:fldCharType="begin"/>
          </w:r>
          <w:r>
            <w:instrText xml:space="preserve"> HYPERLINK \l "_Toc144821712" </w:instrText>
          </w:r>
          <w:r>
            <w:fldChar w:fldCharType="separate"/>
          </w:r>
          <w:r>
            <w:rPr>
              <w:rStyle w:val="19"/>
              <w:rFonts w:ascii="黑体" w:hAnsi="黑体" w:eastAsia="黑体"/>
              <w:sz w:val="32"/>
              <w:szCs w:val="32"/>
            </w:rPr>
            <w:t>第五部分 附表</w:t>
          </w:r>
          <w:r>
            <w:rPr>
              <w:rFonts w:ascii="Times New Roman" w:hAnsi="Times New Roman" w:eastAsia="楷体_GB2312"/>
              <w:sz w:val="32"/>
              <w:szCs w:val="32"/>
            </w:rPr>
            <w:tab/>
          </w:r>
          <w:r>
            <w:rPr>
              <w:rFonts w:ascii="Times New Roman" w:hAnsi="Times New Roman" w:eastAsia="楷体_GB2312"/>
              <w:sz w:val="32"/>
              <w:szCs w:val="32"/>
            </w:rPr>
            <w:fldChar w:fldCharType="begin"/>
          </w:r>
          <w:r>
            <w:rPr>
              <w:rFonts w:ascii="Times New Roman" w:hAnsi="Times New Roman" w:eastAsia="楷体_GB2312"/>
              <w:sz w:val="32"/>
              <w:szCs w:val="32"/>
            </w:rPr>
            <w:instrText xml:space="preserve"> PAGEREF _Toc144821712 \h </w:instrText>
          </w:r>
          <w:r>
            <w:rPr>
              <w:rFonts w:ascii="Times New Roman" w:hAnsi="Times New Roman" w:eastAsia="楷体_GB2312"/>
              <w:sz w:val="32"/>
              <w:szCs w:val="32"/>
            </w:rPr>
            <w:fldChar w:fldCharType="separate"/>
          </w:r>
          <w:r>
            <w:rPr>
              <w:rFonts w:ascii="Times New Roman" w:hAnsi="Times New Roman" w:eastAsia="楷体_GB2312"/>
              <w:sz w:val="32"/>
              <w:szCs w:val="32"/>
            </w:rPr>
            <w:t>19</w:t>
          </w:r>
          <w:r>
            <w:rPr>
              <w:rFonts w:ascii="Times New Roman" w:hAnsi="Times New Roman" w:eastAsia="楷体_GB2312"/>
              <w:sz w:val="32"/>
              <w:szCs w:val="32"/>
            </w:rPr>
            <w:fldChar w:fldCharType="end"/>
          </w:r>
          <w:r>
            <w:rPr>
              <w:rFonts w:ascii="Times New Roman" w:hAnsi="Times New Roman" w:eastAsia="楷体_GB2312"/>
              <w:sz w:val="32"/>
              <w:szCs w:val="32"/>
            </w:rPr>
            <w:fldChar w:fldCharType="end"/>
          </w:r>
        </w:p>
        <w:p w14:paraId="153CAE67">
          <w:pPr>
            <w:pStyle w:val="13"/>
            <w:jc w:val="distribute"/>
            <w:rPr>
              <w:rFonts w:eastAsia="楷体_GB2312"/>
              <w:sz w:val="32"/>
              <w:szCs w:val="32"/>
            </w:rPr>
          </w:pPr>
          <w:r>
            <w:fldChar w:fldCharType="begin"/>
          </w:r>
          <w:r>
            <w:instrText xml:space="preserve"> HYPERLINK \l "_Toc144821713" </w:instrText>
          </w:r>
          <w:r>
            <w:fldChar w:fldCharType="separate"/>
          </w:r>
          <w:r>
            <w:rPr>
              <w:rStyle w:val="19"/>
              <w:rFonts w:eastAsia="楷体_GB2312"/>
              <w:sz w:val="32"/>
              <w:szCs w:val="32"/>
            </w:rPr>
            <w:t>一、收入支出决算总表</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_Toc144821713 \h </w:instrText>
          </w:r>
          <w:r>
            <w:rPr>
              <w:rFonts w:eastAsia="楷体_GB2312"/>
              <w:sz w:val="32"/>
              <w:szCs w:val="32"/>
            </w:rPr>
            <w:fldChar w:fldCharType="separate"/>
          </w:r>
          <w:r>
            <w:rPr>
              <w:rFonts w:eastAsia="楷体_GB2312"/>
              <w:sz w:val="32"/>
              <w:szCs w:val="32"/>
            </w:rPr>
            <w:t>19</w:t>
          </w:r>
          <w:r>
            <w:rPr>
              <w:rFonts w:eastAsia="楷体_GB2312"/>
              <w:sz w:val="32"/>
              <w:szCs w:val="32"/>
            </w:rPr>
            <w:fldChar w:fldCharType="end"/>
          </w:r>
          <w:r>
            <w:rPr>
              <w:rFonts w:eastAsia="楷体_GB2312"/>
              <w:sz w:val="32"/>
              <w:szCs w:val="32"/>
            </w:rPr>
            <w:fldChar w:fldCharType="end"/>
          </w:r>
        </w:p>
        <w:p w14:paraId="7D686898">
          <w:pPr>
            <w:pStyle w:val="13"/>
            <w:jc w:val="distribute"/>
            <w:rPr>
              <w:rFonts w:eastAsia="楷体_GB2312"/>
              <w:sz w:val="32"/>
              <w:szCs w:val="32"/>
            </w:rPr>
          </w:pPr>
          <w:r>
            <w:fldChar w:fldCharType="begin"/>
          </w:r>
          <w:r>
            <w:instrText xml:space="preserve"> HYPERLINK \l "_Toc144821714" </w:instrText>
          </w:r>
          <w:r>
            <w:fldChar w:fldCharType="separate"/>
          </w:r>
          <w:r>
            <w:rPr>
              <w:rStyle w:val="19"/>
              <w:rFonts w:eastAsia="楷体_GB2312"/>
              <w:sz w:val="32"/>
              <w:szCs w:val="32"/>
            </w:rPr>
            <w:t>二、收入决算表</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_Toc144821714 \h </w:instrText>
          </w:r>
          <w:r>
            <w:rPr>
              <w:rFonts w:eastAsia="楷体_GB2312"/>
              <w:sz w:val="32"/>
              <w:szCs w:val="32"/>
            </w:rPr>
            <w:fldChar w:fldCharType="separate"/>
          </w:r>
          <w:r>
            <w:rPr>
              <w:rFonts w:eastAsia="楷体_GB2312"/>
              <w:sz w:val="32"/>
              <w:szCs w:val="32"/>
            </w:rPr>
            <w:t>19</w:t>
          </w:r>
          <w:r>
            <w:rPr>
              <w:rFonts w:eastAsia="楷体_GB2312"/>
              <w:sz w:val="32"/>
              <w:szCs w:val="32"/>
            </w:rPr>
            <w:fldChar w:fldCharType="end"/>
          </w:r>
          <w:r>
            <w:rPr>
              <w:rFonts w:eastAsia="楷体_GB2312"/>
              <w:sz w:val="32"/>
              <w:szCs w:val="32"/>
            </w:rPr>
            <w:fldChar w:fldCharType="end"/>
          </w:r>
        </w:p>
        <w:p w14:paraId="44D571E4">
          <w:pPr>
            <w:pStyle w:val="13"/>
            <w:jc w:val="distribute"/>
            <w:rPr>
              <w:rFonts w:eastAsia="楷体_GB2312"/>
              <w:sz w:val="32"/>
              <w:szCs w:val="32"/>
            </w:rPr>
          </w:pPr>
          <w:r>
            <w:fldChar w:fldCharType="begin"/>
          </w:r>
          <w:r>
            <w:instrText xml:space="preserve"> HYPERLINK \l "_Toc144821715" </w:instrText>
          </w:r>
          <w:r>
            <w:fldChar w:fldCharType="separate"/>
          </w:r>
          <w:r>
            <w:rPr>
              <w:rStyle w:val="19"/>
              <w:rFonts w:eastAsia="楷体_GB2312"/>
              <w:sz w:val="32"/>
              <w:szCs w:val="32"/>
            </w:rPr>
            <w:t>三、支出决算表</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_Toc144821715 \h </w:instrText>
          </w:r>
          <w:r>
            <w:rPr>
              <w:rFonts w:eastAsia="楷体_GB2312"/>
              <w:sz w:val="32"/>
              <w:szCs w:val="32"/>
            </w:rPr>
            <w:fldChar w:fldCharType="separate"/>
          </w:r>
          <w:r>
            <w:rPr>
              <w:rFonts w:eastAsia="楷体_GB2312"/>
              <w:sz w:val="32"/>
              <w:szCs w:val="32"/>
            </w:rPr>
            <w:t>19</w:t>
          </w:r>
          <w:r>
            <w:rPr>
              <w:rFonts w:eastAsia="楷体_GB2312"/>
              <w:sz w:val="32"/>
              <w:szCs w:val="32"/>
            </w:rPr>
            <w:fldChar w:fldCharType="end"/>
          </w:r>
          <w:r>
            <w:rPr>
              <w:rFonts w:eastAsia="楷体_GB2312"/>
              <w:sz w:val="32"/>
              <w:szCs w:val="32"/>
            </w:rPr>
            <w:fldChar w:fldCharType="end"/>
          </w:r>
        </w:p>
        <w:p w14:paraId="1D2DF238">
          <w:pPr>
            <w:pStyle w:val="13"/>
            <w:jc w:val="distribute"/>
            <w:rPr>
              <w:rFonts w:eastAsia="楷体_GB2312"/>
              <w:sz w:val="32"/>
              <w:szCs w:val="32"/>
            </w:rPr>
          </w:pPr>
          <w:r>
            <w:fldChar w:fldCharType="begin"/>
          </w:r>
          <w:r>
            <w:instrText xml:space="preserve"> HYPERLINK \l "_Toc144821716" </w:instrText>
          </w:r>
          <w:r>
            <w:fldChar w:fldCharType="separate"/>
          </w:r>
          <w:r>
            <w:rPr>
              <w:rStyle w:val="19"/>
              <w:rFonts w:eastAsia="楷体_GB2312"/>
              <w:sz w:val="32"/>
              <w:szCs w:val="32"/>
            </w:rPr>
            <w:t>四、财政拨款收入支出决算总表</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_Toc144821716 \h </w:instrText>
          </w:r>
          <w:r>
            <w:rPr>
              <w:rFonts w:eastAsia="楷体_GB2312"/>
              <w:sz w:val="32"/>
              <w:szCs w:val="32"/>
            </w:rPr>
            <w:fldChar w:fldCharType="separate"/>
          </w:r>
          <w:r>
            <w:rPr>
              <w:rFonts w:eastAsia="楷体_GB2312"/>
              <w:sz w:val="32"/>
              <w:szCs w:val="32"/>
            </w:rPr>
            <w:t>19</w:t>
          </w:r>
          <w:r>
            <w:rPr>
              <w:rFonts w:eastAsia="楷体_GB2312"/>
              <w:sz w:val="32"/>
              <w:szCs w:val="32"/>
            </w:rPr>
            <w:fldChar w:fldCharType="end"/>
          </w:r>
          <w:r>
            <w:rPr>
              <w:rFonts w:eastAsia="楷体_GB2312"/>
              <w:sz w:val="32"/>
              <w:szCs w:val="32"/>
            </w:rPr>
            <w:fldChar w:fldCharType="end"/>
          </w:r>
        </w:p>
        <w:p w14:paraId="6F57E17C">
          <w:pPr>
            <w:pStyle w:val="13"/>
            <w:jc w:val="distribute"/>
            <w:rPr>
              <w:rFonts w:eastAsia="楷体_GB2312"/>
              <w:sz w:val="32"/>
              <w:szCs w:val="32"/>
            </w:rPr>
          </w:pPr>
          <w:r>
            <w:fldChar w:fldCharType="begin"/>
          </w:r>
          <w:r>
            <w:instrText xml:space="preserve"> HYPERLINK \l "_Toc144821717" </w:instrText>
          </w:r>
          <w:r>
            <w:fldChar w:fldCharType="separate"/>
          </w:r>
          <w:r>
            <w:rPr>
              <w:rStyle w:val="19"/>
              <w:rFonts w:eastAsia="楷体_GB2312"/>
              <w:sz w:val="32"/>
              <w:szCs w:val="32"/>
            </w:rPr>
            <w:t>五、财政拨款支出决算明细表</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_Toc144821717 \h </w:instrText>
          </w:r>
          <w:r>
            <w:rPr>
              <w:rFonts w:eastAsia="楷体_GB2312"/>
              <w:sz w:val="32"/>
              <w:szCs w:val="32"/>
            </w:rPr>
            <w:fldChar w:fldCharType="separate"/>
          </w:r>
          <w:r>
            <w:rPr>
              <w:rFonts w:eastAsia="楷体_GB2312"/>
              <w:sz w:val="32"/>
              <w:szCs w:val="32"/>
            </w:rPr>
            <w:t>19</w:t>
          </w:r>
          <w:r>
            <w:rPr>
              <w:rFonts w:eastAsia="楷体_GB2312"/>
              <w:sz w:val="32"/>
              <w:szCs w:val="32"/>
            </w:rPr>
            <w:fldChar w:fldCharType="end"/>
          </w:r>
          <w:r>
            <w:rPr>
              <w:rFonts w:eastAsia="楷体_GB2312"/>
              <w:sz w:val="32"/>
              <w:szCs w:val="32"/>
            </w:rPr>
            <w:fldChar w:fldCharType="end"/>
          </w:r>
        </w:p>
        <w:p w14:paraId="2E04EEC4">
          <w:pPr>
            <w:pStyle w:val="13"/>
            <w:jc w:val="distribute"/>
            <w:rPr>
              <w:rFonts w:eastAsia="楷体_GB2312"/>
              <w:sz w:val="32"/>
              <w:szCs w:val="32"/>
            </w:rPr>
          </w:pPr>
          <w:r>
            <w:fldChar w:fldCharType="begin"/>
          </w:r>
          <w:r>
            <w:instrText xml:space="preserve"> HYPERLINK \l "_Toc144821718" </w:instrText>
          </w:r>
          <w:r>
            <w:fldChar w:fldCharType="separate"/>
          </w:r>
          <w:r>
            <w:rPr>
              <w:rStyle w:val="19"/>
              <w:rFonts w:eastAsia="楷体_GB2312"/>
              <w:sz w:val="32"/>
              <w:szCs w:val="32"/>
            </w:rPr>
            <w:t>六、一般公共预算财政拨款支出决算表</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_Toc144821718 \h </w:instrText>
          </w:r>
          <w:r>
            <w:rPr>
              <w:rFonts w:eastAsia="楷体_GB2312"/>
              <w:sz w:val="32"/>
              <w:szCs w:val="32"/>
            </w:rPr>
            <w:fldChar w:fldCharType="separate"/>
          </w:r>
          <w:r>
            <w:rPr>
              <w:rFonts w:eastAsia="楷体_GB2312"/>
              <w:sz w:val="32"/>
              <w:szCs w:val="32"/>
            </w:rPr>
            <w:t>19</w:t>
          </w:r>
          <w:r>
            <w:rPr>
              <w:rFonts w:eastAsia="楷体_GB2312"/>
              <w:sz w:val="32"/>
              <w:szCs w:val="32"/>
            </w:rPr>
            <w:fldChar w:fldCharType="end"/>
          </w:r>
          <w:r>
            <w:rPr>
              <w:rFonts w:eastAsia="楷体_GB2312"/>
              <w:sz w:val="32"/>
              <w:szCs w:val="32"/>
            </w:rPr>
            <w:fldChar w:fldCharType="end"/>
          </w:r>
        </w:p>
        <w:p w14:paraId="3FE4D944">
          <w:pPr>
            <w:pStyle w:val="13"/>
            <w:jc w:val="distribute"/>
            <w:rPr>
              <w:rFonts w:eastAsia="楷体_GB2312"/>
              <w:sz w:val="32"/>
              <w:szCs w:val="32"/>
            </w:rPr>
          </w:pPr>
          <w:r>
            <w:fldChar w:fldCharType="begin"/>
          </w:r>
          <w:r>
            <w:instrText xml:space="preserve"> HYPERLINK \l "_Toc144821719" </w:instrText>
          </w:r>
          <w:r>
            <w:fldChar w:fldCharType="separate"/>
          </w:r>
          <w:r>
            <w:rPr>
              <w:rStyle w:val="19"/>
              <w:rFonts w:eastAsia="楷体_GB2312"/>
              <w:sz w:val="32"/>
              <w:szCs w:val="32"/>
            </w:rPr>
            <w:t>七、一般公共预算财政拨款支出决算明细表</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_Toc144821719 \h </w:instrText>
          </w:r>
          <w:r>
            <w:rPr>
              <w:rFonts w:eastAsia="楷体_GB2312"/>
              <w:sz w:val="32"/>
              <w:szCs w:val="32"/>
            </w:rPr>
            <w:fldChar w:fldCharType="separate"/>
          </w:r>
          <w:r>
            <w:rPr>
              <w:rFonts w:eastAsia="楷体_GB2312"/>
              <w:sz w:val="32"/>
              <w:szCs w:val="32"/>
            </w:rPr>
            <w:t>19</w:t>
          </w:r>
          <w:r>
            <w:rPr>
              <w:rFonts w:eastAsia="楷体_GB2312"/>
              <w:sz w:val="32"/>
              <w:szCs w:val="32"/>
            </w:rPr>
            <w:fldChar w:fldCharType="end"/>
          </w:r>
          <w:r>
            <w:rPr>
              <w:rFonts w:eastAsia="楷体_GB2312"/>
              <w:sz w:val="32"/>
              <w:szCs w:val="32"/>
            </w:rPr>
            <w:fldChar w:fldCharType="end"/>
          </w:r>
        </w:p>
        <w:p w14:paraId="28B3E071">
          <w:pPr>
            <w:pStyle w:val="13"/>
            <w:jc w:val="distribute"/>
            <w:rPr>
              <w:rFonts w:eastAsia="楷体_GB2312"/>
              <w:sz w:val="32"/>
              <w:szCs w:val="32"/>
            </w:rPr>
          </w:pPr>
          <w:r>
            <w:fldChar w:fldCharType="begin"/>
          </w:r>
          <w:r>
            <w:instrText xml:space="preserve"> HYPERLINK \l "_Toc144821720" </w:instrText>
          </w:r>
          <w:r>
            <w:fldChar w:fldCharType="separate"/>
          </w:r>
          <w:r>
            <w:rPr>
              <w:rStyle w:val="19"/>
              <w:rFonts w:eastAsia="楷体_GB2312"/>
              <w:sz w:val="32"/>
              <w:szCs w:val="32"/>
            </w:rPr>
            <w:t>八、一般公共预算财政拨款基本支出决算表</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_Toc144821720 \h </w:instrText>
          </w:r>
          <w:r>
            <w:rPr>
              <w:rFonts w:eastAsia="楷体_GB2312"/>
              <w:sz w:val="32"/>
              <w:szCs w:val="32"/>
            </w:rPr>
            <w:fldChar w:fldCharType="separate"/>
          </w:r>
          <w:r>
            <w:rPr>
              <w:rFonts w:eastAsia="楷体_GB2312"/>
              <w:sz w:val="32"/>
              <w:szCs w:val="32"/>
            </w:rPr>
            <w:t>19</w:t>
          </w:r>
          <w:r>
            <w:rPr>
              <w:rFonts w:eastAsia="楷体_GB2312"/>
              <w:sz w:val="32"/>
              <w:szCs w:val="32"/>
            </w:rPr>
            <w:fldChar w:fldCharType="end"/>
          </w:r>
          <w:r>
            <w:rPr>
              <w:rFonts w:eastAsia="楷体_GB2312"/>
              <w:sz w:val="32"/>
              <w:szCs w:val="32"/>
            </w:rPr>
            <w:fldChar w:fldCharType="end"/>
          </w:r>
        </w:p>
        <w:p w14:paraId="2963D13C">
          <w:pPr>
            <w:pStyle w:val="13"/>
            <w:jc w:val="distribute"/>
            <w:rPr>
              <w:rFonts w:eastAsia="楷体_GB2312"/>
              <w:sz w:val="32"/>
              <w:szCs w:val="32"/>
            </w:rPr>
          </w:pPr>
          <w:r>
            <w:fldChar w:fldCharType="begin"/>
          </w:r>
          <w:r>
            <w:instrText xml:space="preserve"> HYPERLINK \l "_Toc144821721" </w:instrText>
          </w:r>
          <w:r>
            <w:fldChar w:fldCharType="separate"/>
          </w:r>
          <w:r>
            <w:rPr>
              <w:rStyle w:val="19"/>
              <w:rFonts w:eastAsia="楷体_GB2312"/>
              <w:sz w:val="32"/>
              <w:szCs w:val="32"/>
            </w:rPr>
            <w:t>九、一般公共预算财政拨款项目支出决算表</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_Toc144821721 \h </w:instrText>
          </w:r>
          <w:r>
            <w:rPr>
              <w:rFonts w:eastAsia="楷体_GB2312"/>
              <w:sz w:val="32"/>
              <w:szCs w:val="32"/>
            </w:rPr>
            <w:fldChar w:fldCharType="separate"/>
          </w:r>
          <w:r>
            <w:rPr>
              <w:rFonts w:eastAsia="楷体_GB2312"/>
              <w:sz w:val="32"/>
              <w:szCs w:val="32"/>
            </w:rPr>
            <w:t>19</w:t>
          </w:r>
          <w:r>
            <w:rPr>
              <w:rFonts w:eastAsia="楷体_GB2312"/>
              <w:sz w:val="32"/>
              <w:szCs w:val="32"/>
            </w:rPr>
            <w:fldChar w:fldCharType="end"/>
          </w:r>
          <w:r>
            <w:rPr>
              <w:rFonts w:eastAsia="楷体_GB2312"/>
              <w:sz w:val="32"/>
              <w:szCs w:val="32"/>
            </w:rPr>
            <w:fldChar w:fldCharType="end"/>
          </w:r>
        </w:p>
        <w:p w14:paraId="45D65987">
          <w:pPr>
            <w:pStyle w:val="13"/>
            <w:jc w:val="distribute"/>
            <w:rPr>
              <w:rFonts w:eastAsia="楷体_GB2312"/>
              <w:sz w:val="32"/>
              <w:szCs w:val="32"/>
            </w:rPr>
          </w:pPr>
          <w:r>
            <w:fldChar w:fldCharType="begin"/>
          </w:r>
          <w:r>
            <w:instrText xml:space="preserve"> HYPERLINK \l "_Toc144821722" </w:instrText>
          </w:r>
          <w:r>
            <w:fldChar w:fldCharType="separate"/>
          </w:r>
          <w:r>
            <w:rPr>
              <w:rStyle w:val="19"/>
              <w:rFonts w:eastAsia="楷体_GB2312"/>
              <w:sz w:val="32"/>
              <w:szCs w:val="32"/>
            </w:rPr>
            <w:t>十、一般公共预算财政拨款“三公”经费支出决算表</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_Toc144821722 \h </w:instrText>
          </w:r>
          <w:r>
            <w:rPr>
              <w:rFonts w:eastAsia="楷体_GB2312"/>
              <w:sz w:val="32"/>
              <w:szCs w:val="32"/>
            </w:rPr>
            <w:fldChar w:fldCharType="separate"/>
          </w:r>
          <w:r>
            <w:rPr>
              <w:rFonts w:eastAsia="楷体_GB2312"/>
              <w:sz w:val="32"/>
              <w:szCs w:val="32"/>
            </w:rPr>
            <w:t>19</w:t>
          </w:r>
          <w:r>
            <w:rPr>
              <w:rFonts w:eastAsia="楷体_GB2312"/>
              <w:sz w:val="32"/>
              <w:szCs w:val="32"/>
            </w:rPr>
            <w:fldChar w:fldCharType="end"/>
          </w:r>
          <w:r>
            <w:rPr>
              <w:rFonts w:eastAsia="楷体_GB2312"/>
              <w:sz w:val="32"/>
              <w:szCs w:val="32"/>
            </w:rPr>
            <w:fldChar w:fldCharType="end"/>
          </w:r>
        </w:p>
        <w:p w14:paraId="1DEE86F5">
          <w:pPr>
            <w:pStyle w:val="13"/>
            <w:jc w:val="distribute"/>
            <w:rPr>
              <w:rFonts w:eastAsia="楷体_GB2312"/>
              <w:sz w:val="32"/>
              <w:szCs w:val="32"/>
            </w:rPr>
          </w:pPr>
          <w:r>
            <w:fldChar w:fldCharType="begin"/>
          </w:r>
          <w:r>
            <w:instrText xml:space="preserve"> HYPERLINK \l "_Toc144821723" </w:instrText>
          </w:r>
          <w:r>
            <w:fldChar w:fldCharType="separate"/>
          </w:r>
          <w:r>
            <w:rPr>
              <w:rStyle w:val="19"/>
              <w:rFonts w:eastAsia="楷体_GB2312"/>
              <w:sz w:val="32"/>
              <w:szCs w:val="32"/>
            </w:rPr>
            <w:t>十一、政府性基金预算财政拨款收入支出决算表</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_Toc144821723 \h </w:instrText>
          </w:r>
          <w:r>
            <w:rPr>
              <w:rFonts w:eastAsia="楷体_GB2312"/>
              <w:sz w:val="32"/>
              <w:szCs w:val="32"/>
            </w:rPr>
            <w:fldChar w:fldCharType="separate"/>
          </w:r>
          <w:r>
            <w:rPr>
              <w:rFonts w:eastAsia="楷体_GB2312"/>
              <w:sz w:val="32"/>
              <w:szCs w:val="32"/>
            </w:rPr>
            <w:t>19</w:t>
          </w:r>
          <w:r>
            <w:rPr>
              <w:rFonts w:eastAsia="楷体_GB2312"/>
              <w:sz w:val="32"/>
              <w:szCs w:val="32"/>
            </w:rPr>
            <w:fldChar w:fldCharType="end"/>
          </w:r>
          <w:r>
            <w:rPr>
              <w:rFonts w:eastAsia="楷体_GB2312"/>
              <w:sz w:val="32"/>
              <w:szCs w:val="32"/>
            </w:rPr>
            <w:fldChar w:fldCharType="end"/>
          </w:r>
        </w:p>
        <w:p w14:paraId="16BB5B30">
          <w:pPr>
            <w:pStyle w:val="13"/>
            <w:jc w:val="distribute"/>
            <w:rPr>
              <w:rFonts w:eastAsia="楷体_GB2312"/>
              <w:sz w:val="32"/>
              <w:szCs w:val="32"/>
            </w:rPr>
          </w:pPr>
          <w:r>
            <w:fldChar w:fldCharType="begin"/>
          </w:r>
          <w:r>
            <w:instrText xml:space="preserve"> HYPERLINK \l "_Toc144821724" </w:instrText>
          </w:r>
          <w:r>
            <w:fldChar w:fldCharType="separate"/>
          </w:r>
          <w:r>
            <w:rPr>
              <w:rStyle w:val="19"/>
              <w:rFonts w:eastAsia="楷体_GB2312"/>
              <w:sz w:val="32"/>
              <w:szCs w:val="32"/>
            </w:rPr>
            <w:t>十二、政府性基金预算财政拨款“三公”经费支出决算表</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_Toc144821724 \h </w:instrText>
          </w:r>
          <w:r>
            <w:rPr>
              <w:rFonts w:eastAsia="楷体_GB2312"/>
              <w:sz w:val="32"/>
              <w:szCs w:val="32"/>
            </w:rPr>
            <w:fldChar w:fldCharType="separate"/>
          </w:r>
          <w:r>
            <w:rPr>
              <w:rFonts w:eastAsia="楷体_GB2312"/>
              <w:sz w:val="32"/>
              <w:szCs w:val="32"/>
            </w:rPr>
            <w:t>19</w:t>
          </w:r>
          <w:r>
            <w:rPr>
              <w:rFonts w:eastAsia="楷体_GB2312"/>
              <w:sz w:val="32"/>
              <w:szCs w:val="32"/>
            </w:rPr>
            <w:fldChar w:fldCharType="end"/>
          </w:r>
          <w:r>
            <w:rPr>
              <w:rFonts w:eastAsia="楷体_GB2312"/>
              <w:sz w:val="32"/>
              <w:szCs w:val="32"/>
            </w:rPr>
            <w:fldChar w:fldCharType="end"/>
          </w:r>
        </w:p>
        <w:p w14:paraId="11B4C5BF">
          <w:pPr>
            <w:pStyle w:val="13"/>
            <w:jc w:val="distribute"/>
            <w:rPr>
              <w:rFonts w:eastAsia="楷体_GB2312"/>
              <w:sz w:val="32"/>
              <w:szCs w:val="32"/>
            </w:rPr>
          </w:pPr>
          <w:r>
            <w:fldChar w:fldCharType="begin"/>
          </w:r>
          <w:r>
            <w:instrText xml:space="preserve"> HYPERLINK \l "_Toc144821725" </w:instrText>
          </w:r>
          <w:r>
            <w:fldChar w:fldCharType="separate"/>
          </w:r>
          <w:r>
            <w:rPr>
              <w:rStyle w:val="19"/>
              <w:rFonts w:eastAsia="楷体_GB2312"/>
              <w:sz w:val="32"/>
              <w:szCs w:val="32"/>
            </w:rPr>
            <w:t>十三、国有资本经营预算财政拨款收入支出决算表</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_Toc144821725 \h </w:instrText>
          </w:r>
          <w:r>
            <w:rPr>
              <w:rFonts w:eastAsia="楷体_GB2312"/>
              <w:sz w:val="32"/>
              <w:szCs w:val="32"/>
            </w:rPr>
            <w:fldChar w:fldCharType="separate"/>
          </w:r>
          <w:r>
            <w:rPr>
              <w:rFonts w:eastAsia="楷体_GB2312"/>
              <w:sz w:val="32"/>
              <w:szCs w:val="32"/>
            </w:rPr>
            <w:t>19</w:t>
          </w:r>
          <w:r>
            <w:rPr>
              <w:rFonts w:eastAsia="楷体_GB2312"/>
              <w:sz w:val="32"/>
              <w:szCs w:val="32"/>
            </w:rPr>
            <w:fldChar w:fldCharType="end"/>
          </w:r>
          <w:r>
            <w:rPr>
              <w:rFonts w:eastAsia="楷体_GB2312"/>
              <w:sz w:val="32"/>
              <w:szCs w:val="32"/>
            </w:rPr>
            <w:fldChar w:fldCharType="end"/>
          </w:r>
        </w:p>
        <w:p w14:paraId="44BDB6AF">
          <w:pPr>
            <w:pStyle w:val="13"/>
            <w:jc w:val="distribute"/>
            <w:rPr>
              <w:rFonts w:eastAsia="楷体_GB2312"/>
              <w:sz w:val="32"/>
              <w:szCs w:val="32"/>
            </w:rPr>
          </w:pPr>
          <w:r>
            <w:fldChar w:fldCharType="begin"/>
          </w:r>
          <w:r>
            <w:instrText xml:space="preserve"> HYPERLINK \l "_Toc144821726" </w:instrText>
          </w:r>
          <w:r>
            <w:fldChar w:fldCharType="separate"/>
          </w:r>
          <w:r>
            <w:rPr>
              <w:rStyle w:val="19"/>
              <w:rFonts w:eastAsia="楷体_GB2312"/>
              <w:sz w:val="32"/>
              <w:szCs w:val="32"/>
            </w:rPr>
            <w:t>十四、国有资本经营预算财政拨款支出决算表</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_Toc144821726 \h </w:instrText>
          </w:r>
          <w:r>
            <w:rPr>
              <w:rFonts w:eastAsia="楷体_GB2312"/>
              <w:sz w:val="32"/>
              <w:szCs w:val="32"/>
            </w:rPr>
            <w:fldChar w:fldCharType="separate"/>
          </w:r>
          <w:r>
            <w:rPr>
              <w:rFonts w:eastAsia="楷体_GB2312"/>
              <w:sz w:val="32"/>
              <w:szCs w:val="32"/>
            </w:rPr>
            <w:t>19</w:t>
          </w:r>
          <w:r>
            <w:rPr>
              <w:rFonts w:eastAsia="楷体_GB2312"/>
              <w:sz w:val="32"/>
              <w:szCs w:val="32"/>
            </w:rPr>
            <w:fldChar w:fldCharType="end"/>
          </w:r>
          <w:r>
            <w:rPr>
              <w:rFonts w:eastAsia="楷体_GB2312"/>
              <w:sz w:val="32"/>
              <w:szCs w:val="32"/>
            </w:rPr>
            <w:fldChar w:fldCharType="end"/>
          </w:r>
        </w:p>
        <w:p w14:paraId="27D1626E">
          <w:r>
            <w:rPr>
              <w:rFonts w:eastAsia="楷体_GB2312"/>
              <w:b/>
              <w:sz w:val="32"/>
              <w:szCs w:val="32"/>
            </w:rPr>
            <w:fldChar w:fldCharType="end"/>
          </w:r>
        </w:p>
      </w:sdtContent>
    </w:sdt>
    <w:p w14:paraId="0C8ADE99">
      <w:pPr>
        <w:spacing w:line="576" w:lineRule="exact"/>
        <w:jc w:val="center"/>
        <w:rPr>
          <w:sz w:val="24"/>
        </w:rPr>
      </w:pPr>
    </w:p>
    <w:p w14:paraId="7D03A5D2">
      <w:pPr>
        <w:pStyle w:val="13"/>
        <w:adjustRightInd w:val="0"/>
        <w:snapToGrid w:val="0"/>
        <w:spacing w:line="576" w:lineRule="exact"/>
        <w:jc w:val="left"/>
        <w:rPr>
          <w:rFonts w:eastAsia="仿宋"/>
          <w:b/>
          <w:sz w:val="24"/>
        </w:rPr>
        <w:sectPr>
          <w:headerReference r:id="rId3" w:type="default"/>
          <w:footerReference r:id="rId4" w:type="default"/>
          <w:pgSz w:w="11906" w:h="16838"/>
          <w:pgMar w:top="2098" w:right="1474" w:bottom="1985" w:left="1588" w:header="851" w:footer="1531" w:gutter="0"/>
          <w:pgNumType w:start="1"/>
          <w:cols w:space="425" w:num="1"/>
          <w:titlePg/>
          <w:docGrid w:type="lines" w:linePitch="312" w:charSpace="0"/>
        </w:sectPr>
      </w:pPr>
    </w:p>
    <w:p w14:paraId="76170ED1">
      <w:pPr>
        <w:pStyle w:val="3"/>
        <w:spacing w:before="0" w:after="0" w:line="576" w:lineRule="exact"/>
        <w:jc w:val="center"/>
        <w:rPr>
          <w:rStyle w:val="28"/>
          <w:rFonts w:hAnsi="黑体" w:eastAsia="黑体"/>
          <w:b w:val="0"/>
          <w:bCs w:val="0"/>
        </w:rPr>
      </w:pPr>
      <w:bookmarkStart w:id="16" w:name="_Toc144821695"/>
      <w:r>
        <w:rPr>
          <w:rFonts w:hAnsi="黑体" w:eastAsia="黑体"/>
          <w:b w:val="0"/>
        </w:rPr>
        <w:t>第一部分</w:t>
      </w:r>
      <w:r>
        <w:rPr>
          <w:rFonts w:eastAsia="黑体"/>
          <w:b w:val="0"/>
        </w:rPr>
        <w:t xml:space="preserve"> </w:t>
      </w:r>
      <w:r>
        <w:rPr>
          <w:rFonts w:hAnsi="黑体" w:eastAsia="黑体"/>
          <w:b w:val="0"/>
        </w:rPr>
        <w:t>单位</w:t>
      </w:r>
      <w:r>
        <w:rPr>
          <w:rStyle w:val="28"/>
          <w:rFonts w:hAnsi="黑体" w:eastAsia="黑体"/>
          <w:b w:val="0"/>
          <w:bCs w:val="0"/>
        </w:rPr>
        <w:t>概况</w:t>
      </w:r>
      <w:bookmarkEnd w:id="14"/>
      <w:bookmarkEnd w:id="15"/>
      <w:bookmarkEnd w:id="16"/>
    </w:p>
    <w:p w14:paraId="52154286"/>
    <w:p w14:paraId="292D1004">
      <w:pPr>
        <w:pStyle w:val="4"/>
        <w:numPr>
          <w:ilvl w:val="0"/>
          <w:numId w:val="1"/>
        </w:numPr>
        <w:spacing w:before="0" w:after="0" w:line="576" w:lineRule="exact"/>
        <w:ind w:left="0" w:firstLine="640" w:firstLineChars="200"/>
        <w:rPr>
          <w:rStyle w:val="29"/>
          <w:rFonts w:ascii="Times New Roman" w:hAnsi="Times New Roman" w:eastAsia="黑体" w:cs="Times New Roman"/>
          <w:b w:val="0"/>
          <w:bCs w:val="0"/>
        </w:rPr>
      </w:pPr>
      <w:bookmarkStart w:id="17" w:name="_Toc144821696"/>
      <w:bookmarkStart w:id="18" w:name="_Toc15377197"/>
      <w:bookmarkStart w:id="19" w:name="_Toc15396600"/>
      <w:r>
        <w:rPr>
          <w:rStyle w:val="29"/>
          <w:rFonts w:ascii="Times New Roman" w:hAnsi="黑体" w:eastAsia="黑体" w:cs="Times New Roman"/>
          <w:b w:val="0"/>
          <w:bCs w:val="0"/>
        </w:rPr>
        <w:t>职能简介</w:t>
      </w:r>
      <w:bookmarkEnd w:id="17"/>
    </w:p>
    <w:p w14:paraId="021A98C6">
      <w:pPr>
        <w:pStyle w:val="14"/>
        <w:spacing w:before="0" w:beforeAutospacing="0" w:after="0" w:afterAutospacing="0" w:line="576" w:lineRule="exact"/>
        <w:ind w:firstLine="640" w:firstLineChars="200"/>
        <w:jc w:val="both"/>
        <w:rPr>
          <w:rFonts w:ascii="Times New Roman" w:hAnsi="Times New Roman" w:eastAsia="仿宋_GB2312"/>
          <w:color w:val="000000"/>
          <w:kern w:val="2"/>
          <w:sz w:val="32"/>
          <w:szCs w:val="32"/>
        </w:rPr>
      </w:pPr>
      <w:r>
        <w:rPr>
          <w:rFonts w:ascii="Times New Roman" w:hAnsi="Times New Roman" w:eastAsia="仿宋_GB2312"/>
          <w:color w:val="000000"/>
          <w:kern w:val="2"/>
          <w:sz w:val="32"/>
          <w:szCs w:val="32"/>
        </w:rPr>
        <w:t>（一）参政议政。参与我区经济、社会事务的重大决策和政治协商，发挥民主监督。做好非公有制经济代表人士的政治安排的推荐工作。对我区重大决策的制定提出建议，并协助贯彻执行。</w:t>
      </w:r>
    </w:p>
    <w:p w14:paraId="2790D598">
      <w:pPr>
        <w:pStyle w:val="14"/>
        <w:spacing w:before="0" w:beforeAutospacing="0" w:after="0" w:afterAutospacing="0" w:line="576" w:lineRule="exact"/>
        <w:ind w:firstLine="640" w:firstLineChars="200"/>
        <w:jc w:val="both"/>
        <w:rPr>
          <w:rFonts w:ascii="Times New Roman" w:hAnsi="Times New Roman" w:eastAsia="仿宋_GB2312"/>
          <w:color w:val="000000"/>
          <w:kern w:val="2"/>
          <w:sz w:val="32"/>
          <w:szCs w:val="32"/>
        </w:rPr>
      </w:pPr>
      <w:r>
        <w:rPr>
          <w:rFonts w:ascii="Times New Roman" w:hAnsi="Times New Roman" w:eastAsia="仿宋_GB2312"/>
          <w:color w:val="000000"/>
          <w:kern w:val="2"/>
          <w:sz w:val="32"/>
          <w:szCs w:val="32"/>
        </w:rPr>
        <w:t>（二）发扬自我教育的优良传统，宣传党和国家的方针政策，加强和改进思想政治工作。对会员进行“团结、帮助、服务、教育”提倡爱国、敬业、守法，提高会员素质，培养骨干分子队伍。</w:t>
      </w:r>
    </w:p>
    <w:p w14:paraId="69541FED">
      <w:pPr>
        <w:pStyle w:val="14"/>
        <w:spacing w:before="0" w:beforeAutospacing="0" w:after="0" w:afterAutospacing="0" w:line="576" w:lineRule="exact"/>
        <w:ind w:firstLine="640" w:firstLineChars="200"/>
        <w:jc w:val="both"/>
        <w:rPr>
          <w:rFonts w:ascii="Times New Roman" w:hAnsi="Times New Roman" w:eastAsia="仿宋_GB2312"/>
          <w:color w:val="000000"/>
          <w:kern w:val="2"/>
          <w:sz w:val="32"/>
          <w:szCs w:val="32"/>
        </w:rPr>
      </w:pPr>
      <w:r>
        <w:rPr>
          <w:rFonts w:ascii="Times New Roman" w:hAnsi="Times New Roman" w:eastAsia="仿宋_GB2312"/>
          <w:color w:val="000000"/>
          <w:kern w:val="2"/>
          <w:sz w:val="32"/>
          <w:szCs w:val="32"/>
        </w:rPr>
        <w:t>（三）维护会员的合法权益。反映会员的意见、要求和建议，在会员与政府之间发挥桥梁纽带作用，当好政府管理非公有制经济的助手。</w:t>
      </w:r>
    </w:p>
    <w:p w14:paraId="64BD43DC">
      <w:pPr>
        <w:pStyle w:val="14"/>
        <w:spacing w:before="0" w:beforeAutospacing="0" w:after="0" w:afterAutospacing="0" w:line="576" w:lineRule="exact"/>
        <w:ind w:firstLine="640" w:firstLineChars="200"/>
        <w:jc w:val="both"/>
        <w:rPr>
          <w:rFonts w:ascii="Times New Roman" w:hAnsi="Times New Roman" w:eastAsia="仿宋_GB2312"/>
          <w:color w:val="000000"/>
          <w:kern w:val="2"/>
          <w:sz w:val="32"/>
          <w:szCs w:val="32"/>
        </w:rPr>
      </w:pPr>
      <w:r>
        <w:rPr>
          <w:rFonts w:ascii="Times New Roman" w:hAnsi="Times New Roman" w:eastAsia="仿宋_GB2312"/>
          <w:color w:val="000000"/>
          <w:kern w:val="2"/>
          <w:sz w:val="32"/>
          <w:szCs w:val="32"/>
        </w:rPr>
        <w:t>（四）为会员和社会提供市场、技术、商品等信息。按照国家有关规定为会员提供管理、会计、审计、融资等咨询服务。</w:t>
      </w:r>
    </w:p>
    <w:p w14:paraId="5E263755">
      <w:pPr>
        <w:pStyle w:val="14"/>
        <w:spacing w:before="0" w:beforeAutospacing="0" w:after="0" w:afterAutospacing="0" w:line="576" w:lineRule="exact"/>
        <w:ind w:firstLine="640" w:firstLineChars="200"/>
        <w:jc w:val="both"/>
        <w:rPr>
          <w:rFonts w:ascii="Times New Roman" w:hAnsi="Times New Roman" w:eastAsia="仿宋_GB2312"/>
          <w:color w:val="000000"/>
          <w:kern w:val="2"/>
          <w:sz w:val="32"/>
          <w:szCs w:val="32"/>
        </w:rPr>
      </w:pPr>
      <w:r>
        <w:rPr>
          <w:rFonts w:ascii="Times New Roman" w:hAnsi="Times New Roman" w:eastAsia="仿宋_GB2312"/>
          <w:color w:val="000000"/>
          <w:kern w:val="2"/>
          <w:sz w:val="32"/>
          <w:szCs w:val="32"/>
        </w:rPr>
        <w:t>（五）对会员开展专业培训。帮助会员改善经营管理，提高生产技术水平和产品质量。</w:t>
      </w:r>
    </w:p>
    <w:p w14:paraId="6CF3F58C">
      <w:pPr>
        <w:pStyle w:val="14"/>
        <w:spacing w:before="0" w:beforeAutospacing="0" w:after="0" w:afterAutospacing="0" w:line="576" w:lineRule="exact"/>
        <w:ind w:firstLine="640" w:firstLineChars="200"/>
        <w:jc w:val="both"/>
        <w:rPr>
          <w:rFonts w:ascii="Times New Roman" w:hAnsi="Times New Roman" w:eastAsia="仿宋_GB2312"/>
          <w:color w:val="000000"/>
          <w:kern w:val="2"/>
          <w:sz w:val="32"/>
          <w:szCs w:val="32"/>
        </w:rPr>
      </w:pPr>
      <w:r>
        <w:rPr>
          <w:rFonts w:ascii="Times New Roman" w:hAnsi="Times New Roman" w:eastAsia="仿宋_GB2312"/>
          <w:color w:val="000000"/>
          <w:kern w:val="2"/>
          <w:sz w:val="32"/>
          <w:szCs w:val="32"/>
        </w:rPr>
        <w:t>（六）按照国家规定和有关政策，组织会员举办和参加各种展销会、交易会。组织出国考察、访问，帮助会员开拓国内、国际市场。</w:t>
      </w:r>
    </w:p>
    <w:p w14:paraId="24A3180E">
      <w:pPr>
        <w:pStyle w:val="14"/>
        <w:spacing w:before="0" w:beforeAutospacing="0" w:after="0" w:afterAutospacing="0" w:line="576" w:lineRule="exact"/>
        <w:ind w:firstLine="640" w:firstLineChars="200"/>
        <w:jc w:val="both"/>
        <w:rPr>
          <w:rFonts w:ascii="Times New Roman" w:hAnsi="Times New Roman" w:eastAsia="仿宋_GB2312"/>
          <w:color w:val="000000"/>
          <w:kern w:val="2"/>
          <w:sz w:val="32"/>
          <w:szCs w:val="32"/>
        </w:rPr>
      </w:pPr>
      <w:r>
        <w:rPr>
          <w:rFonts w:ascii="Times New Roman" w:hAnsi="Times New Roman" w:eastAsia="仿宋_GB2312"/>
          <w:color w:val="000000"/>
          <w:kern w:val="2"/>
          <w:sz w:val="32"/>
          <w:szCs w:val="32"/>
        </w:rPr>
        <w:t>（七）为会员提供必要的证明，协调会员间的关系，为会员和民间企业调解纠纷。</w:t>
      </w:r>
    </w:p>
    <w:p w14:paraId="4516EC3D">
      <w:pPr>
        <w:pStyle w:val="14"/>
        <w:spacing w:before="0" w:beforeAutospacing="0" w:after="0" w:afterAutospacing="0" w:line="576" w:lineRule="exact"/>
        <w:ind w:firstLine="640" w:firstLineChars="200"/>
        <w:jc w:val="both"/>
        <w:rPr>
          <w:rFonts w:ascii="Times New Roman" w:hAnsi="Times New Roman" w:eastAsia="仿宋_GB2312"/>
          <w:color w:val="000000"/>
          <w:kern w:val="2"/>
          <w:sz w:val="32"/>
          <w:szCs w:val="32"/>
        </w:rPr>
      </w:pPr>
      <w:r>
        <w:rPr>
          <w:rFonts w:ascii="Times New Roman" w:hAnsi="Times New Roman" w:eastAsia="仿宋_GB2312"/>
          <w:color w:val="000000"/>
          <w:kern w:val="2"/>
          <w:sz w:val="32"/>
          <w:szCs w:val="32"/>
        </w:rPr>
        <w:t>（八）增进与台、港、澳地区和世界各国工商社团及工商经济界人士的联系和友谊，促进经济、技术和贸易合作的发展，协助引进资金、技术、人才。</w:t>
      </w:r>
    </w:p>
    <w:p w14:paraId="65EDA959">
      <w:pPr>
        <w:pStyle w:val="14"/>
        <w:spacing w:before="0" w:beforeAutospacing="0" w:after="0" w:afterAutospacing="0" w:line="576" w:lineRule="exact"/>
        <w:ind w:firstLine="640" w:firstLineChars="200"/>
        <w:jc w:val="both"/>
        <w:rPr>
          <w:rFonts w:ascii="Times New Roman" w:hAnsi="Times New Roman" w:eastAsia="仿宋_GB2312"/>
          <w:color w:val="000000"/>
          <w:kern w:val="2"/>
          <w:sz w:val="32"/>
          <w:szCs w:val="32"/>
        </w:rPr>
      </w:pPr>
      <w:r>
        <w:rPr>
          <w:rFonts w:ascii="Times New Roman" w:hAnsi="Times New Roman" w:eastAsia="仿宋_GB2312"/>
          <w:color w:val="000000"/>
          <w:kern w:val="2"/>
          <w:sz w:val="32"/>
          <w:szCs w:val="32"/>
        </w:rPr>
        <w:t>（九）积极办好会办服务事业和经济实体。</w:t>
      </w:r>
    </w:p>
    <w:p w14:paraId="7471C65B">
      <w:pPr>
        <w:pStyle w:val="14"/>
        <w:spacing w:before="0" w:beforeAutospacing="0" w:after="0" w:afterAutospacing="0" w:line="576" w:lineRule="exact"/>
        <w:ind w:firstLine="640" w:firstLineChars="200"/>
        <w:jc w:val="both"/>
        <w:rPr>
          <w:rFonts w:ascii="Times New Roman" w:hAnsi="Times New Roman" w:eastAsia="仿宋_GB2312"/>
          <w:color w:val="000000"/>
          <w:kern w:val="2"/>
          <w:sz w:val="32"/>
          <w:szCs w:val="32"/>
        </w:rPr>
      </w:pPr>
      <w:r>
        <w:rPr>
          <w:rFonts w:ascii="Times New Roman" w:hAnsi="Times New Roman" w:eastAsia="仿宋_GB2312"/>
          <w:color w:val="000000"/>
          <w:kern w:val="2"/>
          <w:sz w:val="32"/>
          <w:szCs w:val="32"/>
        </w:rPr>
        <w:t>（十）承办党委或政府交办的其他事项。</w:t>
      </w:r>
    </w:p>
    <w:p w14:paraId="34656FD7">
      <w:pPr>
        <w:pStyle w:val="4"/>
        <w:spacing w:before="0" w:after="0" w:line="576" w:lineRule="exact"/>
        <w:ind w:firstLine="640" w:firstLineChars="200"/>
        <w:rPr>
          <w:rFonts w:hint="eastAsia" w:ascii="Times New Roman" w:hAnsi="黑体" w:eastAsia="黑体" w:cs="Times New Roman"/>
          <w:b w:val="0"/>
        </w:rPr>
      </w:pPr>
      <w:bookmarkStart w:id="20" w:name="_Toc144821697"/>
      <w:r>
        <w:rPr>
          <w:rFonts w:ascii="Times New Roman" w:hAnsi="黑体" w:eastAsia="黑体" w:cs="Times New Roman"/>
          <w:b w:val="0"/>
        </w:rPr>
        <w:t>二、</w:t>
      </w:r>
      <w:r>
        <w:rPr>
          <w:rFonts w:hint="eastAsia" w:ascii="Times New Roman" w:hAnsi="黑体" w:eastAsia="黑体" w:cs="Times New Roman"/>
          <w:b w:val="0"/>
        </w:rPr>
        <w:t>机构设置</w:t>
      </w:r>
      <w:bookmarkEnd w:id="20"/>
    </w:p>
    <w:p w14:paraId="2C5F1ACF">
      <w:pPr>
        <w:pStyle w:val="14"/>
        <w:spacing w:before="0" w:beforeAutospacing="0" w:after="0" w:afterAutospacing="0" w:line="576" w:lineRule="exact"/>
        <w:ind w:firstLine="640" w:firstLineChars="200"/>
        <w:jc w:val="both"/>
        <w:rPr>
          <w:rFonts w:hint="eastAsia" w:ascii="Times New Roman" w:hAnsi="Times New Roman" w:eastAsia="仿宋_GB2312"/>
          <w:color w:val="000000"/>
          <w:kern w:val="2"/>
          <w:sz w:val="32"/>
          <w:szCs w:val="32"/>
        </w:rPr>
      </w:pPr>
      <w:r>
        <w:rPr>
          <w:rFonts w:hint="eastAsia" w:ascii="Times New Roman" w:hAnsi="Times New Roman" w:eastAsia="仿宋_GB2312"/>
          <w:color w:val="000000"/>
          <w:kern w:val="2"/>
          <w:sz w:val="32"/>
          <w:szCs w:val="32"/>
        </w:rPr>
        <w:t>区工商联无下属单位。</w:t>
      </w:r>
    </w:p>
    <w:p w14:paraId="4BC2ACE5">
      <w:pPr>
        <w:pStyle w:val="4"/>
        <w:spacing w:before="0" w:after="0" w:line="576" w:lineRule="exact"/>
        <w:ind w:firstLine="640" w:firstLineChars="200"/>
        <w:rPr>
          <w:rFonts w:ascii="Times New Roman" w:hAnsi="Times New Roman" w:eastAsia="黑体" w:cs="Times New Roman"/>
          <w:b w:val="0"/>
        </w:rPr>
      </w:pPr>
      <w:bookmarkStart w:id="21" w:name="_Toc144821698"/>
      <w:r>
        <w:rPr>
          <w:rFonts w:hint="eastAsia" w:ascii="Times New Roman" w:hAnsi="Times New Roman" w:eastAsia="黑体" w:cs="Times New Roman"/>
          <w:b w:val="0"/>
        </w:rPr>
        <w:t>三、</w:t>
      </w:r>
      <w:r>
        <w:rPr>
          <w:rFonts w:ascii="Times New Roman" w:hAnsi="Times New Roman" w:eastAsia="黑体" w:cs="Times New Roman"/>
          <w:b w:val="0"/>
        </w:rPr>
        <w:t>2021</w:t>
      </w:r>
      <w:r>
        <w:rPr>
          <w:rFonts w:ascii="Times New Roman" w:hAnsi="黑体" w:eastAsia="黑体" w:cs="Times New Roman"/>
          <w:b w:val="0"/>
        </w:rPr>
        <w:t>年重点工作</w:t>
      </w:r>
      <w:bookmarkEnd w:id="18"/>
      <w:bookmarkEnd w:id="19"/>
      <w:r>
        <w:rPr>
          <w:rFonts w:ascii="Times New Roman" w:hAnsi="黑体" w:eastAsia="黑体" w:cs="Times New Roman"/>
          <w:b w:val="0"/>
        </w:rPr>
        <w:t>完成情况</w:t>
      </w:r>
      <w:bookmarkEnd w:id="21"/>
    </w:p>
    <w:p w14:paraId="068EC0DD">
      <w:pPr>
        <w:spacing w:line="576" w:lineRule="exact"/>
        <w:ind w:firstLine="640" w:firstLineChars="200"/>
        <w:rPr>
          <w:rFonts w:eastAsia="仿宋_GB2312"/>
          <w:sz w:val="32"/>
          <w:szCs w:val="32"/>
        </w:rPr>
      </w:pPr>
      <w:r>
        <w:rPr>
          <w:rFonts w:eastAsia="楷体_GB2312"/>
          <w:sz w:val="32"/>
          <w:szCs w:val="32"/>
        </w:rPr>
        <w:t>（一）</w:t>
      </w:r>
      <w:r>
        <w:rPr>
          <w:rFonts w:eastAsia="楷体_GB2312"/>
          <w:b/>
          <w:bCs/>
          <w:sz w:val="32"/>
          <w:szCs w:val="32"/>
        </w:rPr>
        <w:t>抓思想提升聚共识。</w:t>
      </w:r>
      <w:r>
        <w:rPr>
          <w:rFonts w:eastAsia="黑体"/>
          <w:sz w:val="32"/>
          <w:szCs w:val="32"/>
        </w:rPr>
        <w:t>一是</w:t>
      </w:r>
      <w:r>
        <w:rPr>
          <w:rFonts w:eastAsia="仿宋_GB2312"/>
          <w:sz w:val="32"/>
          <w:szCs w:val="32"/>
        </w:rPr>
        <w:t>坚持理论武装头脑。采取个人自学、主席（会长）会集体学等方式，深入学习习近平总书记在十九届六中全会、民营企业座谈会、企业家座谈会上的重要讲话和对民营经济统战工作及工商联工作的重要指示精神。教育引导新一届班子进一步增强“四个意识”、坚定“四个自信”、做到“两个维护”。</w:t>
      </w:r>
      <w:r>
        <w:rPr>
          <w:rFonts w:eastAsia="黑体"/>
          <w:sz w:val="32"/>
          <w:szCs w:val="32"/>
        </w:rPr>
        <w:t>二是</w:t>
      </w:r>
      <w:r>
        <w:rPr>
          <w:rFonts w:eastAsia="仿宋_GB2312"/>
          <w:sz w:val="32"/>
          <w:szCs w:val="32"/>
        </w:rPr>
        <w:t>扎实开展党史教育。</w:t>
      </w:r>
      <w:r>
        <w:rPr>
          <w:rFonts w:eastAsia="仿宋_GB2312"/>
          <w:color w:val="000000"/>
          <w:sz w:val="32"/>
          <w:szCs w:val="32"/>
        </w:rPr>
        <w:t>区工商联将“每日悦读”活动作为党史学习教育理论的第一课，通过联机关工作群、企业家联盟等微信工作群每日推送深入学习党史、新中国史等精典内容，带领党员干部及民营经济人士共同学习革命先烈的革命精神和斗争精神，帮助党员干部及民营经济人士在学习党史中不断深化对“不忘初心</w:t>
      </w:r>
      <w:r>
        <w:rPr>
          <w:rFonts w:hint="eastAsia" w:eastAsia="仿宋_GB2312"/>
          <w:color w:val="000000"/>
          <w:sz w:val="32"/>
          <w:szCs w:val="32"/>
        </w:rPr>
        <w:t>、</w:t>
      </w:r>
      <w:r>
        <w:rPr>
          <w:rFonts w:eastAsia="仿宋_GB2312"/>
          <w:color w:val="000000"/>
          <w:sz w:val="32"/>
          <w:szCs w:val="32"/>
        </w:rPr>
        <w:t>牢记使命”的认识和理解。党组书记带头作了《守住底线，筑牢防线，以铁的纪律作风促进工商联再上新台阶》的党课宣讲。</w:t>
      </w:r>
      <w:r>
        <w:rPr>
          <w:rFonts w:eastAsia="仿宋_GB2312"/>
          <w:b/>
          <w:bCs/>
          <w:color w:val="000000"/>
          <w:sz w:val="32"/>
          <w:szCs w:val="32"/>
        </w:rPr>
        <w:t>三是</w:t>
      </w:r>
      <w:r>
        <w:rPr>
          <w:rFonts w:eastAsia="仿宋_GB2312"/>
          <w:b/>
          <w:bCs/>
          <w:sz w:val="32"/>
          <w:szCs w:val="32"/>
        </w:rPr>
        <w:t>迅速学习市区党代会及“两会”精神。</w:t>
      </w:r>
      <w:r>
        <w:rPr>
          <w:rFonts w:eastAsia="仿宋_GB2312"/>
          <w:sz w:val="32"/>
          <w:szCs w:val="32"/>
        </w:rPr>
        <w:t>组织班子成员开展专题讨论2次，围绕市委、区委确定的奋斗目标和发展战略，联系工作实际谈认识、谈体会、谈发展，推动党中央和省委、市委、区委决策部署在工商联系统落地生根。</w:t>
      </w:r>
      <w:r>
        <w:rPr>
          <w:rFonts w:eastAsia="仿宋_GB2312"/>
          <w:b/>
          <w:bCs/>
          <w:sz w:val="32"/>
          <w:szCs w:val="32"/>
        </w:rPr>
        <w:t>四</w:t>
      </w:r>
      <w:r>
        <w:rPr>
          <w:rFonts w:eastAsia="黑体"/>
          <w:sz w:val="32"/>
          <w:szCs w:val="32"/>
        </w:rPr>
        <w:t>是</w:t>
      </w:r>
      <w:r>
        <w:rPr>
          <w:rFonts w:eastAsia="仿宋_GB2312"/>
          <w:sz w:val="32"/>
          <w:szCs w:val="32"/>
        </w:rPr>
        <w:t>灵活方式加强思想引导。通过上门走访、座谈交流、线上引领等形式，常态化开展民营经济人士理想信念教育。组织部分班子成员和会员代表参观全市工商联系统庆祝建党100周年栖凤廊桥图片展，感悟初心使命、汲取奋进力量。下发《致全区民营经济人士的倡议书》，引导民营企业家在加快建设“四城新区”新征程中展现新作为、彰显新担当。用好用活企业家联盟群，高频次发布政策信息，大力宣传昭化籍抗美援朝老兵李化武事迹，以党的好声音和社会正能量引导民营经济人士健康成长。</w:t>
      </w:r>
    </w:p>
    <w:p w14:paraId="75AE1C62">
      <w:pPr>
        <w:spacing w:line="576" w:lineRule="exact"/>
        <w:ind w:firstLine="640" w:firstLineChars="200"/>
        <w:rPr>
          <w:rFonts w:eastAsia="仿宋_GB2312"/>
          <w:sz w:val="32"/>
          <w:szCs w:val="32"/>
        </w:rPr>
      </w:pPr>
      <w:r>
        <w:rPr>
          <w:rFonts w:eastAsia="楷体_GB2312"/>
          <w:b/>
          <w:bCs/>
          <w:sz w:val="32"/>
          <w:szCs w:val="32"/>
        </w:rPr>
        <w:t>（二）抓参政议政献良策。</w:t>
      </w:r>
      <w:r>
        <w:rPr>
          <w:rFonts w:eastAsia="黑体"/>
          <w:sz w:val="32"/>
          <w:szCs w:val="32"/>
        </w:rPr>
        <w:t>一是</w:t>
      </w:r>
      <w:r>
        <w:rPr>
          <w:rFonts w:eastAsia="仿宋_GB2312"/>
          <w:sz w:val="32"/>
          <w:szCs w:val="32"/>
        </w:rPr>
        <w:t>做好非公人士的政治推荐。在市区换届中工作中，工商联会员53人（含工商联主席和党组书记）人进行了政治推荐，其中市人大代表3人，市政协委员3人，区人大代表9人（常委1人），区政协委员41人（常委5人），工商联界别代表委员比例持续提高。引导政协委员、人大代表向市区两会提交提案、意见和建议50余件，其中《关于加强昭化造产品的消费扶持》列为了区政协重点督办提案。</w:t>
      </w:r>
      <w:r>
        <w:rPr>
          <w:rFonts w:hAnsi="仿宋_GB2312" w:eastAsia="仿宋_GB2312"/>
          <w:sz w:val="32"/>
          <w:szCs w:val="32"/>
        </w:rPr>
        <w:t>撰写的《关于昭化区</w:t>
      </w:r>
      <w:r>
        <w:rPr>
          <w:rFonts w:eastAsia="仿宋_GB2312"/>
          <w:sz w:val="32"/>
          <w:szCs w:val="32"/>
        </w:rPr>
        <w:t>“</w:t>
      </w:r>
      <w:r>
        <w:rPr>
          <w:rFonts w:hAnsi="仿宋_GB2312" w:eastAsia="仿宋_GB2312"/>
          <w:sz w:val="32"/>
          <w:szCs w:val="32"/>
        </w:rPr>
        <w:t>十四五</w:t>
      </w:r>
      <w:r>
        <w:rPr>
          <w:rFonts w:eastAsia="仿宋_GB2312"/>
          <w:sz w:val="32"/>
          <w:szCs w:val="32"/>
        </w:rPr>
        <w:t>”</w:t>
      </w:r>
      <w:r>
        <w:rPr>
          <w:rFonts w:hAnsi="仿宋_GB2312" w:eastAsia="仿宋_GB2312"/>
          <w:sz w:val="32"/>
          <w:szCs w:val="32"/>
        </w:rPr>
        <w:t>现代服务业高质量发展的建议》等</w:t>
      </w:r>
      <w:r>
        <w:rPr>
          <w:rFonts w:eastAsia="仿宋_GB2312"/>
          <w:sz w:val="32"/>
          <w:szCs w:val="32"/>
        </w:rPr>
        <w:t>4</w:t>
      </w:r>
      <w:r>
        <w:rPr>
          <w:rFonts w:hAnsi="仿宋_GB2312" w:eastAsia="仿宋_GB2312"/>
          <w:sz w:val="32"/>
          <w:szCs w:val="32"/>
        </w:rPr>
        <w:t>条建议得到采纳并写入全区</w:t>
      </w:r>
      <w:r>
        <w:rPr>
          <w:rFonts w:eastAsia="仿宋_GB2312"/>
          <w:sz w:val="32"/>
          <w:szCs w:val="32"/>
        </w:rPr>
        <w:t>“</w:t>
      </w:r>
      <w:r>
        <w:rPr>
          <w:rFonts w:hAnsi="仿宋_GB2312" w:eastAsia="仿宋_GB2312"/>
          <w:sz w:val="32"/>
          <w:szCs w:val="32"/>
        </w:rPr>
        <w:t>十四五</w:t>
      </w:r>
      <w:r>
        <w:rPr>
          <w:rFonts w:eastAsia="仿宋_GB2312"/>
          <w:sz w:val="32"/>
          <w:szCs w:val="32"/>
        </w:rPr>
        <w:t>”</w:t>
      </w:r>
      <w:r>
        <w:rPr>
          <w:rFonts w:hAnsi="仿宋_GB2312" w:eastAsia="仿宋_GB2312"/>
          <w:sz w:val="32"/>
          <w:szCs w:val="32"/>
        </w:rPr>
        <w:t>发展规划。</w:t>
      </w:r>
      <w:r>
        <w:rPr>
          <w:rFonts w:eastAsia="仿宋_GB2312"/>
          <w:sz w:val="32"/>
          <w:szCs w:val="32"/>
        </w:rPr>
        <w:t>深入开展调查研究，围绕区委、区政府中心工作和市联确定的年度调研重点和目标任务，组织班子成员深入基层和企业掌握第一手资料，集中分析研究，形成《关于发挥乡镇商会作用促进乡村振兴的建议》《关于做好新时期工商联工作的思考》和《关于昭化区民营企业家队伍建设的建议》等3篇调研报告分别上报市工商联和市委统战部，《昭化区创新推行企业家座谈会制度助力民营经济高质量发展》上报省工商联。</w:t>
      </w:r>
      <w:r>
        <w:rPr>
          <w:rFonts w:eastAsia="黑体"/>
          <w:sz w:val="32"/>
          <w:szCs w:val="32"/>
        </w:rPr>
        <w:t>二是</w:t>
      </w:r>
      <w:r>
        <w:rPr>
          <w:rFonts w:hAnsi="仿宋_GB2312" w:eastAsia="仿宋_GB2312"/>
          <w:sz w:val="32"/>
          <w:szCs w:val="32"/>
        </w:rPr>
        <w:t>积极发挥</w:t>
      </w:r>
      <w:r>
        <w:rPr>
          <w:rFonts w:eastAsia="仿宋_GB2312"/>
          <w:sz w:val="32"/>
          <w:szCs w:val="32"/>
        </w:rPr>
        <w:t>“</w:t>
      </w:r>
      <w:r>
        <w:rPr>
          <w:rFonts w:hAnsi="仿宋_GB2312" w:eastAsia="仿宋_GB2312"/>
          <w:sz w:val="32"/>
          <w:szCs w:val="32"/>
        </w:rPr>
        <w:t>有事来协商</w:t>
      </w:r>
      <w:r>
        <w:rPr>
          <w:rFonts w:eastAsia="仿宋_GB2312"/>
          <w:sz w:val="32"/>
          <w:szCs w:val="32"/>
        </w:rPr>
        <w:t>”</w:t>
      </w:r>
      <w:r>
        <w:rPr>
          <w:rFonts w:hAnsi="仿宋_GB2312" w:eastAsia="仿宋_GB2312"/>
          <w:sz w:val="32"/>
          <w:szCs w:val="32"/>
        </w:rPr>
        <w:t>作用。创</w:t>
      </w:r>
      <w:r>
        <w:rPr>
          <w:rFonts w:hAnsi="仿宋" w:eastAsia="仿宋"/>
          <w:color w:val="000000"/>
          <w:kern w:val="0"/>
          <w:sz w:val="32"/>
          <w:szCs w:val="32"/>
        </w:rPr>
        <w:t>新成立政协工商联系统</w:t>
      </w:r>
      <w:r>
        <w:rPr>
          <w:rFonts w:eastAsia="仿宋"/>
          <w:color w:val="000000"/>
          <w:kern w:val="0"/>
          <w:sz w:val="32"/>
          <w:szCs w:val="32"/>
        </w:rPr>
        <w:t>“</w:t>
      </w:r>
      <w:r>
        <w:rPr>
          <w:rFonts w:hAnsi="仿宋" w:eastAsia="仿宋"/>
          <w:color w:val="000000"/>
          <w:kern w:val="0"/>
          <w:sz w:val="32"/>
          <w:szCs w:val="32"/>
        </w:rPr>
        <w:t>有事来协商</w:t>
      </w:r>
      <w:r>
        <w:rPr>
          <w:rFonts w:eastAsia="仿宋"/>
          <w:color w:val="000000"/>
          <w:kern w:val="0"/>
          <w:sz w:val="32"/>
          <w:szCs w:val="32"/>
        </w:rPr>
        <w:t>”</w:t>
      </w:r>
      <w:r>
        <w:rPr>
          <w:rFonts w:hAnsi="仿宋" w:eastAsia="仿宋"/>
          <w:color w:val="000000"/>
          <w:kern w:val="0"/>
          <w:sz w:val="32"/>
          <w:szCs w:val="32"/>
        </w:rPr>
        <w:t>委员之家，联党组书记担任委员之家主任，</w:t>
      </w:r>
      <w:r>
        <w:rPr>
          <w:rFonts w:eastAsia="仿宋"/>
          <w:color w:val="000000"/>
          <w:kern w:val="0"/>
          <w:sz w:val="32"/>
          <w:szCs w:val="32"/>
        </w:rPr>
        <w:t>17</w:t>
      </w:r>
      <w:r>
        <w:rPr>
          <w:rFonts w:hAnsi="仿宋" w:eastAsia="仿宋"/>
          <w:color w:val="000000"/>
          <w:kern w:val="0"/>
          <w:sz w:val="32"/>
          <w:szCs w:val="32"/>
        </w:rPr>
        <w:t>名企业政协委员担任副主任和成员，协助政协经济委组织企业委员联谊活动</w:t>
      </w:r>
      <w:r>
        <w:rPr>
          <w:rFonts w:eastAsia="仿宋"/>
          <w:color w:val="000000"/>
          <w:kern w:val="0"/>
          <w:sz w:val="32"/>
          <w:szCs w:val="32"/>
        </w:rPr>
        <w:t>2</w:t>
      </w:r>
      <w:r>
        <w:rPr>
          <w:rFonts w:hAnsi="仿宋" w:eastAsia="仿宋"/>
          <w:color w:val="000000"/>
          <w:kern w:val="0"/>
          <w:sz w:val="32"/>
          <w:szCs w:val="32"/>
        </w:rPr>
        <w:t>次，将委员之家真正打造成</w:t>
      </w:r>
      <w:r>
        <w:rPr>
          <w:rFonts w:eastAsia="仿宋"/>
          <w:color w:val="000000"/>
          <w:kern w:val="0"/>
          <w:sz w:val="32"/>
          <w:szCs w:val="32"/>
        </w:rPr>
        <w:t>“</w:t>
      </w:r>
      <w:r>
        <w:rPr>
          <w:rFonts w:hAnsi="仿宋" w:eastAsia="仿宋"/>
          <w:color w:val="000000"/>
          <w:kern w:val="0"/>
          <w:sz w:val="32"/>
          <w:szCs w:val="32"/>
        </w:rPr>
        <w:t>企业发展之家</w:t>
      </w:r>
      <w:r>
        <w:rPr>
          <w:rFonts w:eastAsia="仿宋"/>
          <w:color w:val="000000"/>
          <w:kern w:val="0"/>
          <w:sz w:val="32"/>
          <w:szCs w:val="32"/>
        </w:rPr>
        <w:t>”</w:t>
      </w:r>
      <w:r>
        <w:rPr>
          <w:rFonts w:hAnsi="仿宋" w:eastAsia="仿宋"/>
          <w:color w:val="000000"/>
          <w:kern w:val="0"/>
          <w:sz w:val="32"/>
          <w:szCs w:val="32"/>
        </w:rPr>
        <w:t>。</w:t>
      </w:r>
      <w:r>
        <w:rPr>
          <w:rFonts w:eastAsia="黑体"/>
          <w:sz w:val="32"/>
          <w:szCs w:val="32"/>
        </w:rPr>
        <w:t>三是</w:t>
      </w:r>
      <w:r>
        <w:rPr>
          <w:rFonts w:eastAsia="仿宋_GB2312"/>
          <w:sz w:val="32"/>
          <w:szCs w:val="32"/>
        </w:rPr>
        <w:t>提升建言献策质效。今年市“两会”我区工商联界市人大代表、市政协委员开展专题调研，提出具有针对性的建议、提案4件；“区两会”工商界“两代表一委员”共提出关于经济发展、农产品销售、商贸服务业发展等意见建议10余条。主动搞好“区两会”涉及联机关工作建议提案办理，高质量完成1件重点提案，办理满意率100%。</w:t>
      </w:r>
    </w:p>
    <w:p w14:paraId="22D1476C">
      <w:pPr>
        <w:spacing w:line="576" w:lineRule="exact"/>
        <w:ind w:firstLine="640" w:firstLineChars="200"/>
        <w:rPr>
          <w:rFonts w:eastAsia="仿宋_GB2312"/>
          <w:sz w:val="32"/>
          <w:szCs w:val="32"/>
        </w:rPr>
      </w:pPr>
      <w:r>
        <w:rPr>
          <w:rFonts w:eastAsia="楷体_GB2312"/>
          <w:b/>
          <w:bCs/>
          <w:sz w:val="32"/>
          <w:szCs w:val="32"/>
        </w:rPr>
        <w:t>（三）抓环境优化强服务。</w:t>
      </w:r>
      <w:r>
        <w:rPr>
          <w:rFonts w:eastAsia="黑体"/>
          <w:sz w:val="32"/>
          <w:szCs w:val="32"/>
        </w:rPr>
        <w:t>一是</w:t>
      </w:r>
      <w:r>
        <w:rPr>
          <w:rFonts w:eastAsia="仿宋_GB2312"/>
          <w:sz w:val="32"/>
          <w:szCs w:val="32"/>
        </w:rPr>
        <w:t>健全常态化联系服务机制。在常态推行企业家座谈会制度基础上，创新建立区四大班子主要领导联系异地商会制度，联机关同步建立班子成员、兼职副主席、副会长联系异地商会、民营企业制度，每季度深入联系企业、异地商会调研不少于1次，每月至少通过电话联系了解情况1次。全年召开企业家座谈会4次，集中协调解决问题110余个。</w:t>
      </w:r>
      <w:r>
        <w:rPr>
          <w:rFonts w:eastAsia="黑体"/>
          <w:sz w:val="32"/>
          <w:szCs w:val="32"/>
        </w:rPr>
        <w:t>二是</w:t>
      </w:r>
      <w:r>
        <w:rPr>
          <w:rFonts w:eastAsia="仿宋_GB2312"/>
          <w:sz w:val="32"/>
          <w:szCs w:val="32"/>
        </w:rPr>
        <w:t>开展企业“大走访”活动。工商联主席刘江先后深入中纺粮油、雨润集团等食品加工龙头企业以及昌禾食品、万农合创、天垠农业、家福门业等10多家民营企业与企业负责人开展座谈调研。撰写了《关于欠发达地区增值税一般纳税人与小规模纳税人原料增值税抵扣问题建议》《关于在广元东部布局农产品交易分中心和加快物流园区建设的建议》等社情民意3条，《关于进一步加大“广元造”产品的销售扶持、搭建企业免费广告宣传的平台》等需求建议10余条，提出行政部门执法过程要进一步规范、扶持企业政策要有持续性等工作建议20余条纳入第十六次企业家座谈会专题研究。</w:t>
      </w:r>
      <w:r>
        <w:rPr>
          <w:rFonts w:eastAsia="黑体"/>
          <w:sz w:val="32"/>
          <w:szCs w:val="32"/>
        </w:rPr>
        <w:t>三是</w:t>
      </w:r>
      <w:r>
        <w:rPr>
          <w:rFonts w:eastAsia="仿宋_GB2312"/>
          <w:sz w:val="32"/>
          <w:szCs w:val="32"/>
        </w:rPr>
        <w:t>实施企业家素质提升工程。将民营企业家培训纳入到全区党员干部教育培训计划，择优推荐23名民营企业负责同志，参加在上海财大举办的企业经营管理人才能力提升专题培训班，帮助企业更好发展。</w:t>
      </w:r>
    </w:p>
    <w:p w14:paraId="1A6C48DD">
      <w:pPr>
        <w:spacing w:line="576" w:lineRule="exact"/>
        <w:ind w:firstLine="640" w:firstLineChars="200"/>
        <w:rPr>
          <w:rFonts w:eastAsia="仿宋_GB2312"/>
          <w:sz w:val="32"/>
          <w:szCs w:val="32"/>
        </w:rPr>
      </w:pPr>
      <w:r>
        <w:rPr>
          <w:rFonts w:eastAsia="黑体"/>
          <w:sz w:val="32"/>
          <w:szCs w:val="32"/>
        </w:rPr>
        <w:t>一是</w:t>
      </w:r>
      <w:r>
        <w:rPr>
          <w:rFonts w:eastAsia="仿宋_GB2312"/>
          <w:sz w:val="32"/>
          <w:szCs w:val="32"/>
        </w:rPr>
        <w:t>健全常态化联系服务机制。在推行企业家座谈会制度基础上，建立联领导班子成员、兼职副主席（副会长）联系执委企业制度，每季度深入联系企业调研不少于1次，每月至少通过电话联系了解情况1次。</w:t>
      </w:r>
      <w:r>
        <w:rPr>
          <w:rFonts w:eastAsia="黑体"/>
          <w:b/>
          <w:bCs/>
          <w:sz w:val="32"/>
          <w:szCs w:val="32"/>
        </w:rPr>
        <w:t>二是</w:t>
      </w:r>
      <w:r>
        <w:rPr>
          <w:rFonts w:eastAsia="仿宋_GB2312"/>
          <w:sz w:val="32"/>
          <w:szCs w:val="32"/>
        </w:rPr>
        <w:t>将民营企业家培训纳入到全区党员干部教育培训计划，择优推荐23名民营企业负责同志，参加在上海财大举办的企业经营管理人才能力提升专题培训班，帮助企业更好发展。</w:t>
      </w:r>
    </w:p>
    <w:p w14:paraId="4BE65708">
      <w:pPr>
        <w:pStyle w:val="14"/>
        <w:spacing w:before="0" w:beforeAutospacing="0" w:after="0" w:afterAutospacing="0" w:line="576" w:lineRule="exact"/>
        <w:ind w:firstLine="640" w:firstLineChars="200"/>
        <w:jc w:val="both"/>
        <w:rPr>
          <w:rFonts w:ascii="Times New Roman" w:hAnsi="Times New Roman" w:eastAsia="仿宋_GB2312"/>
          <w:sz w:val="32"/>
          <w:szCs w:val="32"/>
        </w:rPr>
      </w:pPr>
      <w:r>
        <w:rPr>
          <w:rFonts w:ascii="Times New Roman" w:hAnsi="Times New Roman" w:eastAsia="楷体_GB2312"/>
          <w:b/>
          <w:bCs/>
          <w:sz w:val="32"/>
          <w:szCs w:val="32"/>
        </w:rPr>
        <w:t>（四）抓作用发挥促发展。</w:t>
      </w:r>
      <w:r>
        <w:rPr>
          <w:rFonts w:ascii="Times New Roman" w:hAnsi="Times New Roman" w:eastAsia="黑体"/>
          <w:sz w:val="32"/>
          <w:szCs w:val="32"/>
        </w:rPr>
        <w:t>一是</w:t>
      </w:r>
      <w:r>
        <w:rPr>
          <w:rFonts w:ascii="Times New Roman" w:hAnsi="Times New Roman" w:eastAsia="仿宋_GB2312"/>
          <w:sz w:val="32"/>
          <w:szCs w:val="32"/>
        </w:rPr>
        <w:t>全力以赴开展招商引资。积极推进以商招商、以情引商，对接全国工商联扶贫工作委员会委员、中华龙集团有限公司董事局主席周柏洁一行，到青牛镇考察投资青牛峡文旅综合开发项目1个，拟第一期投资5000万（共分三期建设，总投资约2亿），目前该项目即将签约。同时中华龙集团酒业公司与天垠农业公司合作事宜正在洽谈。大力发挥异地商会作用，先后向区级相关部门提供招商信息50余条。专门派驻机关1名干部，长期驻扎浙江，协助区委区政府开展招商工作。</w:t>
      </w:r>
      <w:r>
        <w:rPr>
          <w:rFonts w:ascii="Times New Roman" w:hAnsi="Times New Roman" w:eastAsia="黑体"/>
          <w:sz w:val="32"/>
          <w:szCs w:val="32"/>
        </w:rPr>
        <w:t>二是</w:t>
      </w:r>
      <w:r>
        <w:rPr>
          <w:rFonts w:ascii="Times New Roman" w:hAnsi="Times New Roman" w:eastAsia="仿宋_GB2312"/>
          <w:sz w:val="32"/>
          <w:szCs w:val="32"/>
        </w:rPr>
        <w:t>接续做好帮扶工作。主动与结对帮扶的太公镇黄金村加强对接，联机关全体干部职工深入实地掌握情况，全面开展脱贫攻坚成效“回头看”，与村“两委”会商发展思路、帮扶计划，为助力巩固拓展脱贫攻坚成果同乡村振兴有效衔接打下基础。</w:t>
      </w:r>
      <w:r>
        <w:rPr>
          <w:rFonts w:ascii="Times New Roman" w:hAnsi="Times New Roman" w:eastAsia="黑体"/>
          <w:sz w:val="32"/>
          <w:szCs w:val="32"/>
        </w:rPr>
        <w:t>三是</w:t>
      </w:r>
      <w:r>
        <w:rPr>
          <w:rFonts w:ascii="Times New Roman" w:hAnsi="Times New Roman" w:eastAsia="仿宋_GB2312"/>
          <w:sz w:val="32"/>
          <w:szCs w:val="32"/>
        </w:rPr>
        <w:t>引导民营企业参与乡村振兴。鼓励支持民营企业积极参与各类经贸活动，引导多家副主席（副会长）企业、会员企业参加西博会，吸引更多外商到昭化区投资，副主席企业万农合创公司青年创业项目荣获2021川渝青年乡村振兴创新创业大赛二等奖，副主席周俊英被共青团四川省委、四川省青年联合会授予“四川青年五四奖章”。大力开展“万企兴万村”工作，积极对接拱墅区工商联，联系12家企业帮扶我区乡村振兴村12个，签订帮扶协议；有效发挥区内会员企业作用，继续帮扶支持一批示范村建设，2022年拟创建卫子新荣村乡村振兴粮油示范基地、人才基地和实践基地；支持副会长企业宏祥福生态农业公司在虎跳镇湖溪村发展软籽石榴，并成功举办2021年农民丰收节暨软籽石榴推介品鉴会，进一步扩大民营企业参与乡村振兴影响力，更好助力乡村振兴。</w:t>
      </w:r>
      <w:r>
        <w:rPr>
          <w:rFonts w:ascii="Times New Roman" w:hAnsi="Times New Roman" w:eastAsia="仿宋_GB2312"/>
          <w:b/>
          <w:bCs/>
          <w:sz w:val="32"/>
          <w:szCs w:val="32"/>
        </w:rPr>
        <w:t>四是抓好光彩事业。</w:t>
      </w:r>
      <w:r>
        <w:rPr>
          <w:rFonts w:ascii="Times New Roman" w:hAnsi="Times New Roman" w:eastAsia="仿宋_GB2312"/>
          <w:sz w:val="32"/>
          <w:szCs w:val="32"/>
        </w:rPr>
        <w:t>6月3日，区工商联牵头组织重庆北部宽仁医院10余名退役军医组成的医护团队走进昭化区虎跳镇开展“献礼建党百年·关爱退役老兵”大型义诊活动，为全区近100名退役老兵和200余名村民进行了义诊，与广元市昭化区人民医院举行医疗技术“传帮带”活动；为虎跳镇3家村卫生所赠送价值10000多元的常用药品和急救包，使困难群众享受到暖心的健康服务，让老兵们感受到了党和政府以及社会各界的关怀，增强了退役军人荣誉感、归属感、获得感。</w:t>
      </w:r>
    </w:p>
    <w:p w14:paraId="27FD8922">
      <w:pPr>
        <w:spacing w:line="576" w:lineRule="exact"/>
        <w:ind w:firstLine="640" w:firstLineChars="200"/>
        <w:rPr>
          <w:rFonts w:eastAsia="仿宋"/>
          <w:sz w:val="32"/>
          <w:szCs w:val="48"/>
        </w:rPr>
      </w:pPr>
      <w:r>
        <w:rPr>
          <w:rFonts w:eastAsia="楷体_GB2312"/>
          <w:b/>
          <w:bCs/>
          <w:sz w:val="32"/>
          <w:szCs w:val="32"/>
        </w:rPr>
        <w:t>（五）抓活力提升夯基础。</w:t>
      </w:r>
      <w:r>
        <w:rPr>
          <w:rFonts w:hAnsi="黑体" w:eastAsia="黑体"/>
          <w:sz w:val="32"/>
          <w:szCs w:val="32"/>
        </w:rPr>
        <w:t>一是</w:t>
      </w:r>
      <w:r>
        <w:rPr>
          <w:rFonts w:eastAsia="仿宋_GB2312"/>
          <w:sz w:val="32"/>
          <w:szCs w:val="32"/>
        </w:rPr>
        <w:t>高质量完成班子换届选举任务。9月17日圆满召开区工商联第六次代表大会，成功选举产生新一届领导机构和领导班子，新增配专职副主席1名，秘书长1名，49名执委、20名班子成员均高票当选，整个换届过程程序规范、风清气正。</w:t>
      </w:r>
      <w:r>
        <w:rPr>
          <w:rFonts w:eastAsia="黑体"/>
          <w:sz w:val="32"/>
          <w:szCs w:val="32"/>
        </w:rPr>
        <w:t>二是</w:t>
      </w:r>
      <w:r>
        <w:rPr>
          <w:rFonts w:eastAsia="仿宋_GB2312"/>
          <w:sz w:val="32"/>
          <w:szCs w:val="32"/>
        </w:rPr>
        <w:t>推进商会改革发展。每月与异地商会至少进行1次电话联系，动态掌握运转情况。根据年度工作计划及完成情况，制发《季度工作提示单》。按照“四好”商会认定标准，指导商会从建章立制入手，加强自身建设，10月中旬区工商联主席刘江带队赴成都指导异地商会换届筹备工作，与商会班子开展集中谈心谈话。</w:t>
      </w:r>
      <w:r>
        <w:rPr>
          <w:rFonts w:eastAsia="黑体"/>
          <w:sz w:val="32"/>
          <w:szCs w:val="32"/>
        </w:rPr>
        <w:t>三是</w:t>
      </w:r>
      <w:r>
        <w:rPr>
          <w:rFonts w:eastAsia="仿宋_GB2312"/>
          <w:sz w:val="32"/>
          <w:szCs w:val="32"/>
        </w:rPr>
        <w:t>加强会员队伍建设。坚持量质并重，突出标准发展会员，</w:t>
      </w:r>
      <w:r>
        <w:rPr>
          <w:rFonts w:hAnsi="仿宋" w:eastAsia="仿宋"/>
          <w:sz w:val="32"/>
          <w:szCs w:val="48"/>
        </w:rPr>
        <w:t>新发展广元市宏祥福生态农业开发有限公司、广元市宇汇农业开发有限公司等</w:t>
      </w:r>
      <w:r>
        <w:rPr>
          <w:rFonts w:eastAsia="仿宋"/>
          <w:sz w:val="32"/>
          <w:szCs w:val="48"/>
        </w:rPr>
        <w:t>10</w:t>
      </w:r>
      <w:r>
        <w:rPr>
          <w:rFonts w:hAnsi="仿宋" w:eastAsia="仿宋"/>
          <w:sz w:val="32"/>
          <w:szCs w:val="48"/>
        </w:rPr>
        <w:t>家会员企业，完成目标任务的</w:t>
      </w:r>
      <w:r>
        <w:rPr>
          <w:rFonts w:eastAsia="仿宋"/>
          <w:sz w:val="32"/>
          <w:szCs w:val="48"/>
        </w:rPr>
        <w:t xml:space="preserve">100% </w:t>
      </w:r>
      <w:r>
        <w:rPr>
          <w:rFonts w:hAnsi="仿宋" w:eastAsia="仿宋"/>
          <w:sz w:val="32"/>
          <w:szCs w:val="48"/>
        </w:rPr>
        <w:t>，会员企业坚持依法管理、诚信经营、重视品牌建设和技术创新，企业队伍持续壮大健康发展。</w:t>
      </w:r>
      <w:r>
        <w:rPr>
          <w:rFonts w:eastAsia="仿宋_GB2312"/>
          <w:sz w:val="32"/>
          <w:szCs w:val="32"/>
        </w:rPr>
        <w:t>同时，对异地商会壮大会员队伍提出指导性要求，确保12月底前有一批新鲜血液注入。</w:t>
      </w:r>
      <w:r>
        <w:rPr>
          <w:rFonts w:eastAsia="黑体"/>
          <w:sz w:val="32"/>
          <w:szCs w:val="32"/>
        </w:rPr>
        <w:t>四是</w:t>
      </w:r>
      <w:r>
        <w:rPr>
          <w:rFonts w:eastAsia="仿宋_GB2312"/>
          <w:sz w:val="32"/>
          <w:szCs w:val="32"/>
        </w:rPr>
        <w:t>提升机关工作效能。换届后，赓即修订完善机关内部制度7项，做到以制度管权管事管人。切实履行主体责任，扎实开展干部纪律作风整顿，聚焦班子查摆出的四个方面5个具体问题，从严从实开展整改，推动干部作风持续转变提升。坚持把党史学习教育融入日常、抓在经常，以开展“我为群众办实事”活动为抓手，努力把学习成果转化为推动高质量发展的生动实践。</w:t>
      </w:r>
      <w:r>
        <w:rPr>
          <w:rFonts w:eastAsia="黑体"/>
          <w:sz w:val="32"/>
          <w:szCs w:val="32"/>
        </w:rPr>
        <w:t>五是</w:t>
      </w:r>
      <w:r>
        <w:rPr>
          <w:rFonts w:eastAsia="仿宋"/>
          <w:sz w:val="32"/>
          <w:szCs w:val="48"/>
        </w:rPr>
        <w:t>扎实抓好信息宣传工作。全年共上报各类信息31条，其中市工商联采用20条，市政协网站采用1条，广元统一战线采用2条，四川省工商联网站采用8条。</w:t>
      </w:r>
    </w:p>
    <w:p w14:paraId="71AF3C7E">
      <w:pPr>
        <w:spacing w:line="576" w:lineRule="exact"/>
        <w:jc w:val="left"/>
        <w:rPr>
          <w:rFonts w:eastAsia="仿宋"/>
          <w:kern w:val="0"/>
          <w:sz w:val="32"/>
          <w:szCs w:val="32"/>
        </w:rPr>
      </w:pPr>
      <w:r>
        <w:rPr>
          <w:rFonts w:eastAsia="仿宋"/>
          <w:sz w:val="32"/>
          <w:szCs w:val="32"/>
        </w:rPr>
        <w:br w:type="page"/>
      </w:r>
    </w:p>
    <w:p w14:paraId="0A6A526B">
      <w:pPr>
        <w:pStyle w:val="3"/>
        <w:spacing w:before="0" w:after="0" w:line="576" w:lineRule="exact"/>
        <w:ind w:right="440"/>
        <w:jc w:val="center"/>
        <w:rPr>
          <w:rStyle w:val="28"/>
          <w:rFonts w:hAnsi="黑体" w:eastAsia="黑体"/>
          <w:b w:val="0"/>
          <w:bCs/>
        </w:rPr>
      </w:pPr>
      <w:bookmarkStart w:id="22" w:name="_Toc15396602"/>
      <w:bookmarkStart w:id="23" w:name="_Toc144821699"/>
      <w:bookmarkStart w:id="24" w:name="_Toc15377204"/>
      <w:r>
        <w:rPr>
          <w:rFonts w:hAnsi="黑体" w:eastAsia="黑体"/>
          <w:b w:val="0"/>
        </w:rPr>
        <w:t>第二部分</w:t>
      </w:r>
      <w:r>
        <w:rPr>
          <w:rFonts w:eastAsia="黑体"/>
          <w:b w:val="0"/>
        </w:rPr>
        <w:t xml:space="preserve"> 2021</w:t>
      </w:r>
      <w:r>
        <w:rPr>
          <w:rFonts w:hAnsi="黑体" w:eastAsia="黑体"/>
          <w:b w:val="0"/>
        </w:rPr>
        <w:t>年度</w:t>
      </w:r>
      <w:r>
        <w:rPr>
          <w:rStyle w:val="28"/>
          <w:rFonts w:hAnsi="黑体" w:eastAsia="黑体"/>
          <w:b w:val="0"/>
          <w:bCs/>
        </w:rPr>
        <w:t>单位决算情况说明</w:t>
      </w:r>
      <w:bookmarkEnd w:id="22"/>
      <w:bookmarkEnd w:id="23"/>
      <w:bookmarkEnd w:id="24"/>
    </w:p>
    <w:p w14:paraId="08CCBD94"/>
    <w:p w14:paraId="48052994">
      <w:pPr>
        <w:pStyle w:val="27"/>
        <w:numPr>
          <w:ilvl w:val="0"/>
          <w:numId w:val="2"/>
        </w:numPr>
        <w:spacing w:line="576" w:lineRule="exact"/>
        <w:ind w:firstLineChars="0"/>
        <w:outlineLvl w:val="1"/>
        <w:rPr>
          <w:rStyle w:val="29"/>
          <w:rFonts w:ascii="Times New Roman" w:hAnsi="Times New Roman" w:eastAsia="黑体" w:cs="Times New Roman"/>
          <w:b w:val="0"/>
        </w:rPr>
      </w:pPr>
      <w:bookmarkStart w:id="25" w:name="_Toc15396603"/>
      <w:bookmarkStart w:id="26" w:name="_Toc144821700"/>
      <w:bookmarkStart w:id="27" w:name="_Toc15377205"/>
      <w:r>
        <w:rPr>
          <w:rFonts w:hAnsi="黑体" w:eastAsia="黑体"/>
          <w:sz w:val="32"/>
          <w:szCs w:val="32"/>
        </w:rPr>
        <w:t>收</w:t>
      </w:r>
      <w:r>
        <w:rPr>
          <w:rStyle w:val="29"/>
          <w:rFonts w:ascii="Times New Roman" w:hAnsi="黑体" w:eastAsia="黑体" w:cs="Times New Roman"/>
          <w:b w:val="0"/>
        </w:rPr>
        <w:t>入支出决算总体情况说明</w:t>
      </w:r>
      <w:bookmarkEnd w:id="25"/>
      <w:bookmarkEnd w:id="26"/>
      <w:bookmarkEnd w:id="27"/>
    </w:p>
    <w:p w14:paraId="6C6E0B31">
      <w:pPr>
        <w:spacing w:line="576" w:lineRule="exact"/>
        <w:ind w:firstLine="640" w:firstLineChars="200"/>
        <w:rPr>
          <w:rFonts w:hAnsi="仿宋" w:eastAsia="仿宋"/>
          <w:sz w:val="32"/>
          <w:szCs w:val="32"/>
        </w:rPr>
      </w:pPr>
      <w:r>
        <w:rPr>
          <w:rFonts w:eastAsia="仿宋"/>
          <w:sz w:val="32"/>
          <w:szCs w:val="32"/>
        </w:rPr>
        <w:t>2021</w:t>
      </w:r>
      <w:r>
        <w:rPr>
          <w:rFonts w:hAnsi="仿宋" w:eastAsia="仿宋"/>
          <w:sz w:val="32"/>
          <w:szCs w:val="32"/>
        </w:rPr>
        <w:t>年度收、支总计</w:t>
      </w:r>
      <w:r>
        <w:rPr>
          <w:rFonts w:eastAsia="仿宋"/>
          <w:sz w:val="32"/>
          <w:szCs w:val="32"/>
        </w:rPr>
        <w:t>98.74</w:t>
      </w:r>
      <w:r>
        <w:rPr>
          <w:rFonts w:hAnsi="仿宋" w:eastAsia="仿宋"/>
          <w:sz w:val="32"/>
          <w:szCs w:val="32"/>
        </w:rPr>
        <w:t>万元。与</w:t>
      </w:r>
      <w:r>
        <w:rPr>
          <w:rFonts w:eastAsia="仿宋"/>
          <w:sz w:val="32"/>
          <w:szCs w:val="32"/>
        </w:rPr>
        <w:t>2020</w:t>
      </w:r>
      <w:r>
        <w:rPr>
          <w:rFonts w:hAnsi="仿宋" w:eastAsia="仿宋"/>
          <w:sz w:val="32"/>
          <w:szCs w:val="32"/>
        </w:rPr>
        <w:t>年相比，收、支总计各增加</w:t>
      </w:r>
      <w:r>
        <w:rPr>
          <w:rFonts w:eastAsia="仿宋"/>
          <w:sz w:val="32"/>
          <w:szCs w:val="32"/>
        </w:rPr>
        <w:t>0.18</w:t>
      </w:r>
      <w:r>
        <w:rPr>
          <w:rFonts w:hAnsi="仿宋" w:eastAsia="仿宋"/>
          <w:sz w:val="32"/>
          <w:szCs w:val="32"/>
        </w:rPr>
        <w:t>万元，增长</w:t>
      </w:r>
      <w:r>
        <w:rPr>
          <w:rFonts w:eastAsia="仿宋"/>
          <w:sz w:val="32"/>
          <w:szCs w:val="32"/>
        </w:rPr>
        <w:t>0.1%</w:t>
      </w:r>
      <w:r>
        <w:rPr>
          <w:rFonts w:hAnsi="仿宋" w:eastAsia="仿宋"/>
          <w:sz w:val="32"/>
          <w:szCs w:val="32"/>
        </w:rPr>
        <w:t>。</w:t>
      </w:r>
    </w:p>
    <w:p w14:paraId="4817C766">
      <w:pPr>
        <w:pStyle w:val="15"/>
        <w:spacing w:after="0"/>
        <w:ind w:left="0" w:leftChars="0" w:firstLine="0"/>
        <w:jc w:val="center"/>
      </w:pPr>
      <w:r>
        <w:drawing>
          <wp:inline distT="0" distB="0" distL="0" distR="0">
            <wp:extent cx="4572000" cy="2743200"/>
            <wp:effectExtent l="4445" t="4445" r="10795" b="1079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pict>
          <v:shape id="_x0000_s1026" o:spid="_x0000_s1026" o:spt="202" type="#_x0000_t202" style="position:absolute;left:0pt;margin-left:37.9pt;margin-top:12.15pt;height:22.6pt;width:62.8pt;z-index:251659264;mso-width-relative:page;mso-height-relative:page;" filled="f" stroked="f" coordsize="21600,21600" o:gfxdata="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KlLsl1gAAAAgB&#10;AAAPAAAAAAAAAAEAIAAAACIAAABkcnMvZG93bnJldi54bWxQSwECFAAUAAAACACHTuJAtU1agKsB&#10;AABNAwAADgAAAAAAAAABACAAAAAlAQAAZHJzL2Uyb0RvYy54bWxQSwUGAAAAAAYABgBZAQAAQgUA&#10;AAAA&#10;">
            <v:path/>
            <v:fill on="f" focussize="0,0"/>
            <v:stroke on="f" joinstyle="miter"/>
            <v:imagedata o:title=""/>
            <o:lock v:ext="edit"/>
            <v:textbox>
              <w:txbxContent>
                <w:p w14:paraId="2C3841BD">
                  <w:r>
                    <w:rPr>
                      <w:rFonts w:hint="eastAsia"/>
                    </w:rPr>
                    <w:t>单位：万元</w:t>
                  </w:r>
                </w:p>
              </w:txbxContent>
            </v:textbox>
          </v:shape>
        </w:pict>
      </w:r>
    </w:p>
    <w:p w14:paraId="4E8097F9">
      <w:pPr>
        <w:pStyle w:val="27"/>
        <w:numPr>
          <w:ilvl w:val="0"/>
          <w:numId w:val="2"/>
        </w:numPr>
        <w:spacing w:line="576" w:lineRule="exact"/>
        <w:ind w:firstLineChars="0"/>
        <w:outlineLvl w:val="1"/>
        <w:rPr>
          <w:rStyle w:val="29"/>
          <w:rFonts w:ascii="Times New Roman" w:hAnsi="Times New Roman" w:eastAsia="黑体" w:cs="Times New Roman"/>
          <w:b w:val="0"/>
        </w:rPr>
      </w:pPr>
      <w:bookmarkStart w:id="28" w:name="_Toc144821701"/>
      <w:bookmarkStart w:id="29" w:name="_Toc15396604"/>
      <w:bookmarkStart w:id="30" w:name="_Toc15377206"/>
      <w:r>
        <w:rPr>
          <w:rFonts w:hAnsi="黑体" w:eastAsia="黑体"/>
          <w:sz w:val="32"/>
          <w:szCs w:val="32"/>
        </w:rPr>
        <w:t>收</w:t>
      </w:r>
      <w:r>
        <w:rPr>
          <w:rStyle w:val="29"/>
          <w:rFonts w:ascii="Times New Roman" w:hAnsi="黑体" w:eastAsia="黑体" w:cs="Times New Roman"/>
          <w:b w:val="0"/>
        </w:rPr>
        <w:t>入决算情况说明</w:t>
      </w:r>
      <w:bookmarkEnd w:id="28"/>
      <w:bookmarkEnd w:id="29"/>
      <w:bookmarkEnd w:id="30"/>
    </w:p>
    <w:p w14:paraId="5C4C923A">
      <w:pPr>
        <w:spacing w:line="576" w:lineRule="exact"/>
        <w:ind w:firstLine="640" w:firstLineChars="200"/>
        <w:rPr>
          <w:rFonts w:hAnsi="仿宋" w:eastAsia="仿宋"/>
          <w:sz w:val="32"/>
          <w:szCs w:val="32"/>
        </w:rPr>
      </w:pPr>
      <w:bookmarkStart w:id="31" w:name="_Toc21802"/>
      <w:r>
        <w:rPr>
          <w:rFonts w:eastAsia="仿宋"/>
          <w:sz w:val="32"/>
          <w:szCs w:val="32"/>
        </w:rPr>
        <w:t>2021</w:t>
      </w:r>
      <w:r>
        <w:rPr>
          <w:rFonts w:hAnsi="仿宋" w:eastAsia="仿宋"/>
          <w:sz w:val="32"/>
          <w:szCs w:val="32"/>
        </w:rPr>
        <w:t>年本年收入合计</w:t>
      </w:r>
      <w:r>
        <w:rPr>
          <w:rFonts w:eastAsia="仿宋"/>
          <w:sz w:val="32"/>
          <w:szCs w:val="32"/>
        </w:rPr>
        <w:t>98.74</w:t>
      </w:r>
      <w:r>
        <w:rPr>
          <w:rFonts w:hAnsi="仿宋" w:eastAsia="仿宋"/>
          <w:sz w:val="32"/>
          <w:szCs w:val="32"/>
        </w:rPr>
        <w:t>万元，其中：一般公共预算财政拨款收入</w:t>
      </w:r>
      <w:r>
        <w:rPr>
          <w:rFonts w:eastAsia="仿宋"/>
          <w:sz w:val="32"/>
          <w:szCs w:val="32"/>
        </w:rPr>
        <w:t>98.74</w:t>
      </w:r>
      <w:r>
        <w:rPr>
          <w:rFonts w:hAnsi="仿宋" w:eastAsia="仿宋"/>
          <w:sz w:val="32"/>
          <w:szCs w:val="32"/>
        </w:rPr>
        <w:t>万元，占</w:t>
      </w:r>
      <w:r>
        <w:rPr>
          <w:rFonts w:eastAsia="仿宋"/>
          <w:sz w:val="32"/>
          <w:szCs w:val="32"/>
        </w:rPr>
        <w:t>100%</w:t>
      </w:r>
      <w:r>
        <w:rPr>
          <w:rFonts w:hAnsi="仿宋" w:eastAsia="仿宋"/>
          <w:sz w:val="32"/>
          <w:szCs w:val="32"/>
        </w:rPr>
        <w:t>；</w:t>
      </w:r>
      <w:bookmarkEnd w:id="31"/>
    </w:p>
    <w:p w14:paraId="1C29F085">
      <w:pPr>
        <w:pStyle w:val="15"/>
        <w:ind w:left="0" w:leftChars="0" w:firstLine="0"/>
        <w:jc w:val="both"/>
      </w:pPr>
      <w:r>
        <w:rPr>
          <w:rFonts w:hint="eastAsia"/>
        </w:rPr>
        <w:t xml:space="preserve">      </w:t>
      </w:r>
      <w:r>
        <w:drawing>
          <wp:inline distT="0" distB="0" distL="0" distR="0">
            <wp:extent cx="4149090" cy="2446020"/>
            <wp:effectExtent l="4445" t="4445" r="6985" b="1841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F18ADE3">
      <w:pPr>
        <w:pStyle w:val="27"/>
        <w:numPr>
          <w:ilvl w:val="0"/>
          <w:numId w:val="2"/>
        </w:numPr>
        <w:spacing w:line="576" w:lineRule="exact"/>
        <w:ind w:firstLineChars="0"/>
        <w:outlineLvl w:val="1"/>
        <w:rPr>
          <w:rStyle w:val="29"/>
          <w:rFonts w:ascii="Times New Roman" w:hAnsi="Times New Roman" w:eastAsia="黑体" w:cs="Times New Roman"/>
          <w:b w:val="0"/>
        </w:rPr>
      </w:pPr>
      <w:bookmarkStart w:id="32" w:name="_Toc144821702"/>
      <w:bookmarkStart w:id="33" w:name="_Toc15377207"/>
      <w:bookmarkStart w:id="34" w:name="_Toc15396605"/>
      <w:r>
        <w:rPr>
          <w:rFonts w:hAnsi="黑体" w:eastAsia="黑体"/>
          <w:sz w:val="32"/>
          <w:szCs w:val="32"/>
        </w:rPr>
        <w:t>支</w:t>
      </w:r>
      <w:r>
        <w:rPr>
          <w:rStyle w:val="29"/>
          <w:rFonts w:ascii="Times New Roman" w:hAnsi="黑体" w:eastAsia="黑体" w:cs="Times New Roman"/>
          <w:b w:val="0"/>
        </w:rPr>
        <w:t>出决算情况说明</w:t>
      </w:r>
      <w:bookmarkEnd w:id="32"/>
      <w:bookmarkEnd w:id="33"/>
      <w:bookmarkEnd w:id="34"/>
    </w:p>
    <w:p w14:paraId="0DE7857E">
      <w:pPr>
        <w:spacing w:line="576" w:lineRule="exact"/>
        <w:ind w:firstLine="640" w:firstLineChars="200"/>
        <w:rPr>
          <w:rFonts w:hAnsi="仿宋" w:eastAsia="仿宋"/>
          <w:sz w:val="32"/>
          <w:szCs w:val="32"/>
        </w:rPr>
      </w:pPr>
      <w:bookmarkStart w:id="35" w:name="_Toc1638"/>
      <w:r>
        <w:rPr>
          <w:rFonts w:eastAsia="仿宋"/>
          <w:sz w:val="32"/>
          <w:szCs w:val="32"/>
        </w:rPr>
        <w:t>2021</w:t>
      </w:r>
      <w:r>
        <w:rPr>
          <w:rFonts w:hAnsi="仿宋" w:eastAsia="仿宋"/>
          <w:sz w:val="32"/>
          <w:szCs w:val="32"/>
        </w:rPr>
        <w:t>年本年支出合计</w:t>
      </w:r>
      <w:r>
        <w:rPr>
          <w:rFonts w:eastAsia="仿宋"/>
          <w:sz w:val="32"/>
          <w:szCs w:val="32"/>
        </w:rPr>
        <w:t>98.74</w:t>
      </w:r>
      <w:r>
        <w:rPr>
          <w:rFonts w:hAnsi="仿宋" w:eastAsia="仿宋"/>
          <w:sz w:val="32"/>
          <w:szCs w:val="32"/>
        </w:rPr>
        <w:t>万元，其中：基本支出</w:t>
      </w:r>
      <w:r>
        <w:rPr>
          <w:rFonts w:eastAsia="仿宋"/>
          <w:sz w:val="32"/>
          <w:szCs w:val="32"/>
        </w:rPr>
        <w:t>98.74</w:t>
      </w:r>
      <w:r>
        <w:rPr>
          <w:rFonts w:hAnsi="仿宋" w:eastAsia="仿宋"/>
          <w:sz w:val="32"/>
          <w:szCs w:val="32"/>
        </w:rPr>
        <w:t>万元，占</w:t>
      </w:r>
      <w:r>
        <w:rPr>
          <w:rFonts w:eastAsia="仿宋"/>
          <w:sz w:val="32"/>
          <w:szCs w:val="32"/>
        </w:rPr>
        <w:t>100%</w:t>
      </w:r>
      <w:r>
        <w:rPr>
          <w:rFonts w:hAnsi="仿宋" w:eastAsia="仿宋"/>
          <w:sz w:val="32"/>
          <w:szCs w:val="32"/>
        </w:rPr>
        <w:t>；</w:t>
      </w:r>
      <w:bookmarkEnd w:id="35"/>
    </w:p>
    <w:p w14:paraId="1C76876F">
      <w:pPr>
        <w:pStyle w:val="15"/>
        <w:ind w:left="0" w:leftChars="0" w:firstLine="0"/>
        <w:jc w:val="center"/>
      </w:pPr>
      <w:r>
        <w:drawing>
          <wp:inline distT="0" distB="0" distL="0" distR="0">
            <wp:extent cx="4572000" cy="2743200"/>
            <wp:effectExtent l="4445" t="4445" r="10795" b="1079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A0E4EC3">
      <w:pPr>
        <w:spacing w:line="576" w:lineRule="exact"/>
        <w:ind w:firstLine="640" w:firstLineChars="200"/>
        <w:outlineLvl w:val="1"/>
        <w:rPr>
          <w:rStyle w:val="29"/>
          <w:rFonts w:ascii="Times New Roman" w:hAnsi="Times New Roman" w:eastAsia="黑体" w:cs="Times New Roman"/>
          <w:b w:val="0"/>
        </w:rPr>
      </w:pPr>
      <w:bookmarkStart w:id="36" w:name="_Toc144821703"/>
      <w:bookmarkStart w:id="37" w:name="_Toc15396606"/>
      <w:bookmarkStart w:id="38" w:name="_Toc15377208"/>
      <w:r>
        <w:rPr>
          <w:rFonts w:hAnsi="黑体" w:eastAsia="黑体"/>
          <w:sz w:val="32"/>
          <w:szCs w:val="32"/>
        </w:rPr>
        <w:t>四、财</w:t>
      </w:r>
      <w:r>
        <w:rPr>
          <w:rStyle w:val="29"/>
          <w:rFonts w:ascii="Times New Roman" w:hAnsi="黑体" w:eastAsia="黑体" w:cs="Times New Roman"/>
          <w:b w:val="0"/>
        </w:rPr>
        <w:t>政拨款收入支出决算总体情况说明</w:t>
      </w:r>
      <w:bookmarkEnd w:id="36"/>
      <w:bookmarkEnd w:id="37"/>
      <w:bookmarkEnd w:id="38"/>
    </w:p>
    <w:p w14:paraId="0709E578">
      <w:pPr>
        <w:spacing w:line="576" w:lineRule="exact"/>
        <w:ind w:firstLine="640"/>
        <w:rPr>
          <w:rFonts w:hAnsi="仿宋" w:eastAsia="仿宋"/>
          <w:sz w:val="32"/>
          <w:szCs w:val="32"/>
        </w:rPr>
      </w:pPr>
      <w:r>
        <w:rPr>
          <w:rFonts w:eastAsia="仿宋"/>
          <w:sz w:val="32"/>
          <w:szCs w:val="32"/>
        </w:rPr>
        <w:t>2021</w:t>
      </w:r>
      <w:r>
        <w:rPr>
          <w:rFonts w:hAnsi="仿宋" w:eastAsia="仿宋"/>
          <w:sz w:val="32"/>
          <w:szCs w:val="32"/>
        </w:rPr>
        <w:t>年财政拨款收、支总计</w:t>
      </w:r>
      <w:r>
        <w:rPr>
          <w:rFonts w:eastAsia="仿宋"/>
          <w:sz w:val="32"/>
          <w:szCs w:val="32"/>
        </w:rPr>
        <w:t>98.74</w:t>
      </w:r>
      <w:r>
        <w:rPr>
          <w:rFonts w:hAnsi="仿宋" w:eastAsia="仿宋"/>
          <w:sz w:val="32"/>
          <w:szCs w:val="32"/>
        </w:rPr>
        <w:t>万元。与</w:t>
      </w:r>
      <w:r>
        <w:rPr>
          <w:rFonts w:eastAsia="仿宋"/>
          <w:sz w:val="32"/>
          <w:szCs w:val="32"/>
        </w:rPr>
        <w:t>2020</w:t>
      </w:r>
      <w:r>
        <w:rPr>
          <w:rFonts w:hAnsi="仿宋" w:eastAsia="仿宋"/>
          <w:sz w:val="32"/>
          <w:szCs w:val="32"/>
        </w:rPr>
        <w:t>年相比，财政拨款收、支总计各增加</w:t>
      </w:r>
      <w:r>
        <w:rPr>
          <w:rFonts w:eastAsia="仿宋"/>
          <w:sz w:val="32"/>
          <w:szCs w:val="32"/>
        </w:rPr>
        <w:t>0.18</w:t>
      </w:r>
      <w:r>
        <w:rPr>
          <w:rFonts w:hAnsi="仿宋" w:eastAsia="仿宋"/>
          <w:sz w:val="32"/>
          <w:szCs w:val="32"/>
        </w:rPr>
        <w:t>万元，增长</w:t>
      </w:r>
      <w:r>
        <w:rPr>
          <w:rFonts w:eastAsia="仿宋"/>
          <w:sz w:val="32"/>
          <w:szCs w:val="32"/>
        </w:rPr>
        <w:t>0.1%</w:t>
      </w:r>
      <w:r>
        <w:rPr>
          <w:rFonts w:hAnsi="仿宋" w:eastAsia="仿宋"/>
          <w:sz w:val="32"/>
          <w:szCs w:val="32"/>
        </w:rPr>
        <w:t>。</w:t>
      </w:r>
    </w:p>
    <w:p w14:paraId="09B9EAC3">
      <w:pPr>
        <w:pStyle w:val="15"/>
        <w:ind w:left="0" w:leftChars="0" w:firstLine="0"/>
        <w:jc w:val="center"/>
      </w:pPr>
      <w:r>
        <w:rPr>
          <w:rFonts w:eastAsia="仿宋"/>
        </w:rPr>
        <w:pict>
          <v:shape id="文本框 3" o:spid="_x0000_s2051" o:spt="202" type="#_x0000_t202" style="position:absolute;left:0pt;margin-left:40.7pt;margin-top:14.45pt;height:22.6pt;width:62.8pt;z-index:251660288;mso-width-relative:page;mso-height-relative:page;" filled="f" stroked="f" coordsize="21600,21600" o:gfxdata="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3AeYn9UAAAAI&#10;AQAADwAAAAAAAAABACAAAAAiAAAAZHJzL2Rvd25yZXYueG1sUEsBAhQAFAAAAAgAh07iQDFMqKit&#10;AQAATQMAAA4AAAAAAAAAAQAgAAAAJAEAAGRycy9lMm9Eb2MueG1sUEsFBgAAAAAGAAYAWQEAAEMF&#10;AAAAAA==&#10;">
            <v:path/>
            <v:fill on="f" focussize="0,0"/>
            <v:stroke on="f" joinstyle="miter"/>
            <v:imagedata o:title=""/>
            <o:lock v:ext="edit"/>
            <v:textbox>
              <w:txbxContent>
                <w:p w14:paraId="662AB9D5">
                  <w:r>
                    <w:rPr>
                      <w:rFonts w:hint="eastAsia"/>
                    </w:rPr>
                    <w:t>单位：万元</w:t>
                  </w:r>
                </w:p>
              </w:txbxContent>
            </v:textbox>
          </v:shape>
        </w:pict>
      </w:r>
      <w:r>
        <w:drawing>
          <wp:inline distT="0" distB="0" distL="0" distR="0">
            <wp:extent cx="4572000" cy="2876550"/>
            <wp:effectExtent l="19050" t="0" r="1905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03DC0A0">
      <w:pPr>
        <w:spacing w:line="576" w:lineRule="exact"/>
        <w:ind w:firstLine="640" w:firstLineChars="200"/>
        <w:outlineLvl w:val="1"/>
        <w:rPr>
          <w:rStyle w:val="29"/>
          <w:rFonts w:ascii="Times New Roman" w:hAnsi="Times New Roman" w:eastAsia="黑体" w:cs="Times New Roman"/>
          <w:b w:val="0"/>
        </w:rPr>
      </w:pPr>
      <w:bookmarkStart w:id="39" w:name="_Toc15396607"/>
      <w:bookmarkStart w:id="40" w:name="_Toc144821704"/>
      <w:bookmarkStart w:id="41" w:name="_Toc15377209"/>
      <w:r>
        <w:rPr>
          <w:rFonts w:hAnsi="黑体" w:eastAsia="黑体"/>
          <w:sz w:val="32"/>
          <w:szCs w:val="32"/>
        </w:rPr>
        <w:t>五、</w:t>
      </w:r>
      <w:r>
        <w:rPr>
          <w:rFonts w:hAnsi="黑体" w:eastAsia="黑体"/>
          <w:b/>
          <w:sz w:val="32"/>
          <w:szCs w:val="32"/>
        </w:rPr>
        <w:t>一</w:t>
      </w:r>
      <w:r>
        <w:rPr>
          <w:rStyle w:val="29"/>
          <w:rFonts w:ascii="Times New Roman" w:hAnsi="黑体" w:eastAsia="黑体" w:cs="Times New Roman"/>
          <w:b w:val="0"/>
        </w:rPr>
        <w:t>般公共预算财政拨款支出决算情况说明</w:t>
      </w:r>
      <w:bookmarkEnd w:id="39"/>
      <w:bookmarkEnd w:id="40"/>
      <w:bookmarkEnd w:id="41"/>
    </w:p>
    <w:p w14:paraId="15D4B040">
      <w:pPr>
        <w:spacing w:line="576" w:lineRule="exact"/>
        <w:ind w:firstLine="640" w:firstLineChars="200"/>
        <w:outlineLvl w:val="2"/>
        <w:rPr>
          <w:rFonts w:eastAsia="仿宋"/>
          <w:b/>
          <w:sz w:val="32"/>
          <w:szCs w:val="32"/>
        </w:rPr>
      </w:pPr>
      <w:bookmarkStart w:id="42" w:name="_Toc15377210"/>
      <w:r>
        <w:rPr>
          <w:rFonts w:hAnsi="仿宋" w:eastAsia="仿宋"/>
          <w:b/>
          <w:sz w:val="32"/>
          <w:szCs w:val="32"/>
        </w:rPr>
        <w:t>（一）一般公共预算财政拨款支出决算总体情况</w:t>
      </w:r>
      <w:bookmarkEnd w:id="42"/>
    </w:p>
    <w:p w14:paraId="16598697">
      <w:pPr>
        <w:spacing w:line="576" w:lineRule="exact"/>
        <w:ind w:firstLine="640" w:firstLineChars="200"/>
        <w:rPr>
          <w:rFonts w:hAnsi="仿宋" w:eastAsia="仿宋"/>
          <w:sz w:val="32"/>
          <w:szCs w:val="32"/>
        </w:rPr>
      </w:pPr>
      <w:r>
        <w:rPr>
          <w:rFonts w:eastAsia="仿宋"/>
          <w:sz w:val="32"/>
          <w:szCs w:val="32"/>
        </w:rPr>
        <w:t>2021</w:t>
      </w:r>
      <w:r>
        <w:rPr>
          <w:rFonts w:hAnsi="仿宋" w:eastAsia="仿宋"/>
          <w:sz w:val="32"/>
          <w:szCs w:val="32"/>
        </w:rPr>
        <w:t>年一般公共预算财政拨款支出</w:t>
      </w:r>
      <w:r>
        <w:rPr>
          <w:rFonts w:eastAsia="仿宋"/>
          <w:sz w:val="32"/>
          <w:szCs w:val="32"/>
        </w:rPr>
        <w:t>98.74</w:t>
      </w:r>
      <w:r>
        <w:rPr>
          <w:rFonts w:hAnsi="仿宋" w:eastAsia="仿宋"/>
          <w:sz w:val="32"/>
          <w:szCs w:val="32"/>
        </w:rPr>
        <w:t>万元，占本年支出合计的</w:t>
      </w:r>
      <w:r>
        <w:rPr>
          <w:rFonts w:eastAsia="仿宋"/>
          <w:sz w:val="32"/>
          <w:szCs w:val="32"/>
        </w:rPr>
        <w:t>100%</w:t>
      </w:r>
      <w:r>
        <w:rPr>
          <w:rFonts w:hAnsi="仿宋" w:eastAsia="仿宋"/>
          <w:sz w:val="32"/>
          <w:szCs w:val="32"/>
        </w:rPr>
        <w:t>。与</w:t>
      </w:r>
      <w:r>
        <w:rPr>
          <w:rFonts w:eastAsia="仿宋"/>
          <w:sz w:val="32"/>
          <w:szCs w:val="32"/>
        </w:rPr>
        <w:t>2020</w:t>
      </w:r>
      <w:r>
        <w:rPr>
          <w:rFonts w:hAnsi="仿宋" w:eastAsia="仿宋"/>
          <w:sz w:val="32"/>
          <w:szCs w:val="32"/>
        </w:rPr>
        <w:t>年相比，一般公共预算财政拨款支出增加</w:t>
      </w:r>
      <w:r>
        <w:rPr>
          <w:rFonts w:eastAsia="仿宋"/>
          <w:sz w:val="32"/>
          <w:szCs w:val="32"/>
        </w:rPr>
        <w:t>0.18</w:t>
      </w:r>
      <w:r>
        <w:rPr>
          <w:rFonts w:hAnsi="仿宋" w:eastAsia="仿宋"/>
          <w:sz w:val="32"/>
          <w:szCs w:val="32"/>
        </w:rPr>
        <w:t>万元，增长</w:t>
      </w:r>
      <w:r>
        <w:rPr>
          <w:rFonts w:eastAsia="仿宋"/>
          <w:sz w:val="32"/>
          <w:szCs w:val="32"/>
        </w:rPr>
        <w:t>0.1%</w:t>
      </w:r>
      <w:r>
        <w:rPr>
          <w:rFonts w:hAnsi="仿宋" w:eastAsia="仿宋"/>
          <w:sz w:val="32"/>
          <w:szCs w:val="32"/>
        </w:rPr>
        <w:t>。</w:t>
      </w:r>
    </w:p>
    <w:p w14:paraId="2AF00330">
      <w:pPr>
        <w:pStyle w:val="15"/>
        <w:ind w:left="0" w:leftChars="0" w:firstLine="0"/>
        <w:jc w:val="center"/>
      </w:pPr>
      <w:r>
        <w:rPr>
          <w:rFonts w:eastAsia="仿宋"/>
        </w:rPr>
        <w:pict>
          <v:shape id="文本框 4" o:spid="_x0000_s2050" o:spt="202" type="#_x0000_t202" style="position:absolute;left:0pt;margin-left:37.6pt;margin-top:15.65pt;height:22.6pt;width:62.8pt;z-index:251661312;mso-width-relative:page;mso-height-relative:page;" filled="f" stroked="f" coordsize="21600,21600" o:gfxdata="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wLsPZ1AAAAAgB&#10;AAAPAAAAAAAAAAEAIAAAACIAAABkcnMvZG93bnJldi54bWxQSwECFAAUAAAACACHTuJA8iZcLq0B&#10;AABNAwAADgAAAAAAAAABACAAAAAjAQAAZHJzL2Uyb0RvYy54bWxQSwUGAAAAAAYABgBZAQAAQgUA&#10;AAAA&#10;">
            <v:path/>
            <v:fill on="f" focussize="0,0"/>
            <v:stroke on="f" joinstyle="miter"/>
            <v:imagedata o:title=""/>
            <o:lock v:ext="edit"/>
            <v:textbox>
              <w:txbxContent>
                <w:p w14:paraId="0C9F2431">
                  <w:r>
                    <w:rPr>
                      <w:rFonts w:hint="eastAsia"/>
                    </w:rPr>
                    <w:t>单位：万元</w:t>
                  </w:r>
                </w:p>
              </w:txbxContent>
            </v:textbox>
          </v:shape>
        </w:pict>
      </w:r>
      <w:r>
        <w:drawing>
          <wp:inline distT="0" distB="0" distL="0" distR="0">
            <wp:extent cx="4572000" cy="2876550"/>
            <wp:effectExtent l="19050" t="0" r="19050"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364F0F1">
      <w:pPr>
        <w:spacing w:line="576" w:lineRule="exact"/>
        <w:ind w:firstLine="640" w:firstLineChars="200"/>
        <w:outlineLvl w:val="2"/>
        <w:rPr>
          <w:rFonts w:eastAsia="仿宋"/>
          <w:b/>
          <w:sz w:val="32"/>
          <w:szCs w:val="32"/>
        </w:rPr>
      </w:pPr>
      <w:bookmarkStart w:id="43" w:name="_Toc15377211"/>
      <w:r>
        <w:rPr>
          <w:rFonts w:hAnsi="仿宋" w:eastAsia="仿宋"/>
          <w:b/>
          <w:sz w:val="32"/>
          <w:szCs w:val="32"/>
        </w:rPr>
        <w:t>（二）一般公共预算财政拨款支出决算结构情况</w:t>
      </w:r>
      <w:bookmarkEnd w:id="43"/>
    </w:p>
    <w:p w14:paraId="2086D10A">
      <w:pPr>
        <w:spacing w:line="576" w:lineRule="exact"/>
        <w:ind w:firstLine="640"/>
        <w:rPr>
          <w:rFonts w:hAnsi="仿宋" w:eastAsia="仿宋"/>
          <w:sz w:val="32"/>
          <w:szCs w:val="32"/>
        </w:rPr>
      </w:pPr>
      <w:r>
        <w:rPr>
          <w:rFonts w:eastAsia="仿宋"/>
          <w:sz w:val="32"/>
          <w:szCs w:val="32"/>
        </w:rPr>
        <w:t>2021</w:t>
      </w:r>
      <w:r>
        <w:rPr>
          <w:rFonts w:hAnsi="仿宋" w:eastAsia="仿宋"/>
          <w:sz w:val="32"/>
          <w:szCs w:val="32"/>
        </w:rPr>
        <w:t>年一般公共预算财政拨款支出</w:t>
      </w:r>
      <w:r>
        <w:rPr>
          <w:rFonts w:eastAsia="仿宋"/>
          <w:sz w:val="32"/>
          <w:szCs w:val="32"/>
        </w:rPr>
        <w:t>98.74</w:t>
      </w:r>
      <w:r>
        <w:rPr>
          <w:rFonts w:hAnsi="仿宋" w:eastAsia="仿宋"/>
          <w:sz w:val="32"/>
          <w:szCs w:val="32"/>
        </w:rPr>
        <w:t>万元，主要用于以下方面</w:t>
      </w:r>
      <w:r>
        <w:rPr>
          <w:rFonts w:eastAsia="仿宋"/>
          <w:sz w:val="32"/>
          <w:szCs w:val="32"/>
        </w:rPr>
        <w:t>:</w:t>
      </w:r>
      <w:r>
        <w:rPr>
          <w:rFonts w:hAnsi="仿宋" w:eastAsia="仿宋"/>
          <w:b/>
          <w:sz w:val="32"/>
          <w:szCs w:val="32"/>
        </w:rPr>
        <w:t>一般公共服务（类）</w:t>
      </w:r>
      <w:r>
        <w:rPr>
          <w:rFonts w:hAnsi="仿宋" w:eastAsia="仿宋"/>
          <w:sz w:val="32"/>
          <w:szCs w:val="32"/>
        </w:rPr>
        <w:t>支出</w:t>
      </w:r>
      <w:r>
        <w:rPr>
          <w:rFonts w:eastAsia="仿宋"/>
          <w:sz w:val="32"/>
          <w:szCs w:val="32"/>
        </w:rPr>
        <w:t>86.18</w:t>
      </w:r>
      <w:r>
        <w:rPr>
          <w:rFonts w:hAnsi="仿宋" w:eastAsia="仿宋"/>
          <w:sz w:val="32"/>
          <w:szCs w:val="32"/>
        </w:rPr>
        <w:t>万元，占</w:t>
      </w:r>
      <w:r>
        <w:rPr>
          <w:rFonts w:eastAsia="仿宋"/>
          <w:sz w:val="32"/>
          <w:szCs w:val="32"/>
        </w:rPr>
        <w:t>87%</w:t>
      </w:r>
      <w:r>
        <w:rPr>
          <w:rFonts w:hAnsi="仿宋" w:eastAsia="仿宋"/>
          <w:sz w:val="32"/>
          <w:szCs w:val="32"/>
        </w:rPr>
        <w:t>；</w:t>
      </w:r>
      <w:r>
        <w:rPr>
          <w:rFonts w:hAnsi="仿宋" w:eastAsia="仿宋"/>
          <w:b/>
          <w:sz w:val="32"/>
          <w:szCs w:val="32"/>
        </w:rPr>
        <w:t>社会保障和就业（类）</w:t>
      </w:r>
      <w:r>
        <w:rPr>
          <w:rFonts w:hAnsi="仿宋" w:eastAsia="仿宋"/>
          <w:sz w:val="32"/>
          <w:szCs w:val="32"/>
        </w:rPr>
        <w:t>支出</w:t>
      </w:r>
      <w:r>
        <w:rPr>
          <w:rFonts w:eastAsia="仿宋"/>
          <w:sz w:val="32"/>
          <w:szCs w:val="32"/>
        </w:rPr>
        <w:t>4.96</w:t>
      </w:r>
      <w:r>
        <w:rPr>
          <w:rFonts w:hAnsi="仿宋" w:eastAsia="仿宋"/>
          <w:sz w:val="32"/>
          <w:szCs w:val="32"/>
        </w:rPr>
        <w:t>万元，占</w:t>
      </w:r>
      <w:r>
        <w:rPr>
          <w:rFonts w:eastAsia="仿宋"/>
          <w:sz w:val="32"/>
          <w:szCs w:val="32"/>
        </w:rPr>
        <w:t>5%</w:t>
      </w:r>
      <w:r>
        <w:rPr>
          <w:rFonts w:hAnsi="仿宋" w:eastAsia="仿宋"/>
          <w:sz w:val="32"/>
          <w:szCs w:val="32"/>
        </w:rPr>
        <w:t>；</w:t>
      </w:r>
      <w:r>
        <w:rPr>
          <w:rFonts w:hAnsi="仿宋" w:eastAsia="仿宋"/>
          <w:b/>
          <w:bCs/>
          <w:sz w:val="32"/>
          <w:szCs w:val="32"/>
        </w:rPr>
        <w:t>卫生健康</w:t>
      </w:r>
      <w:r>
        <w:rPr>
          <w:rFonts w:hAnsi="仿宋" w:eastAsia="仿宋"/>
          <w:b/>
          <w:sz w:val="32"/>
          <w:szCs w:val="32"/>
        </w:rPr>
        <w:t>（类）</w:t>
      </w:r>
      <w:r>
        <w:rPr>
          <w:rFonts w:hAnsi="仿宋" w:eastAsia="仿宋"/>
          <w:b/>
          <w:bCs/>
          <w:sz w:val="32"/>
          <w:szCs w:val="32"/>
        </w:rPr>
        <w:t>支出</w:t>
      </w:r>
      <w:r>
        <w:rPr>
          <w:rFonts w:eastAsia="仿宋"/>
          <w:sz w:val="32"/>
          <w:szCs w:val="32"/>
        </w:rPr>
        <w:t>2.69</w:t>
      </w:r>
      <w:r>
        <w:rPr>
          <w:rFonts w:hAnsi="仿宋" w:eastAsia="仿宋"/>
          <w:sz w:val="32"/>
          <w:szCs w:val="32"/>
        </w:rPr>
        <w:t>万元，占</w:t>
      </w:r>
      <w:r>
        <w:rPr>
          <w:rFonts w:eastAsia="仿宋"/>
          <w:sz w:val="32"/>
          <w:szCs w:val="32"/>
        </w:rPr>
        <w:t>3%</w:t>
      </w:r>
      <w:r>
        <w:rPr>
          <w:rFonts w:hAnsi="仿宋" w:eastAsia="仿宋"/>
          <w:sz w:val="32"/>
          <w:szCs w:val="32"/>
        </w:rPr>
        <w:t>；</w:t>
      </w:r>
      <w:r>
        <w:rPr>
          <w:rFonts w:hAnsi="仿宋" w:eastAsia="仿宋"/>
          <w:b/>
          <w:bCs/>
          <w:sz w:val="32"/>
          <w:szCs w:val="32"/>
        </w:rPr>
        <w:t>住房保障</w:t>
      </w:r>
      <w:r>
        <w:rPr>
          <w:rFonts w:hAnsi="仿宋" w:eastAsia="仿宋"/>
          <w:b/>
          <w:sz w:val="32"/>
          <w:szCs w:val="32"/>
        </w:rPr>
        <w:t>（类）</w:t>
      </w:r>
      <w:r>
        <w:rPr>
          <w:rFonts w:hAnsi="仿宋" w:eastAsia="仿宋"/>
          <w:b/>
          <w:bCs/>
          <w:sz w:val="32"/>
          <w:szCs w:val="32"/>
        </w:rPr>
        <w:t>支出</w:t>
      </w:r>
      <w:r>
        <w:rPr>
          <w:rFonts w:eastAsia="仿宋"/>
          <w:sz w:val="32"/>
          <w:szCs w:val="32"/>
        </w:rPr>
        <w:t>4.91</w:t>
      </w:r>
      <w:r>
        <w:rPr>
          <w:rFonts w:hAnsi="仿宋" w:eastAsia="仿宋"/>
          <w:sz w:val="32"/>
          <w:szCs w:val="32"/>
        </w:rPr>
        <w:t>万元，占</w:t>
      </w:r>
      <w:r>
        <w:rPr>
          <w:rFonts w:eastAsia="仿宋"/>
          <w:sz w:val="32"/>
          <w:szCs w:val="32"/>
        </w:rPr>
        <w:t>5%</w:t>
      </w:r>
      <w:r>
        <w:rPr>
          <w:rFonts w:hAnsi="仿宋" w:eastAsia="仿宋"/>
          <w:sz w:val="32"/>
          <w:szCs w:val="32"/>
        </w:rPr>
        <w:t>；</w:t>
      </w:r>
    </w:p>
    <w:p w14:paraId="64DA77BF">
      <w:pPr>
        <w:pStyle w:val="15"/>
        <w:ind w:left="0" w:leftChars="0" w:firstLine="0"/>
      </w:pPr>
      <w:r>
        <w:drawing>
          <wp:inline distT="0" distB="0" distL="0" distR="0">
            <wp:extent cx="5753100" cy="2909570"/>
            <wp:effectExtent l="0" t="0" r="0"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2"/>
                    <a:srcRect/>
                    <a:stretch>
                      <a:fillRect/>
                    </a:stretch>
                  </pic:blipFill>
                  <pic:spPr>
                    <a:xfrm>
                      <a:off x="0" y="0"/>
                      <a:ext cx="5753100" cy="2909718"/>
                    </a:xfrm>
                    <a:prstGeom prst="rect">
                      <a:avLst/>
                    </a:prstGeom>
                    <a:noFill/>
                    <a:ln w="9525">
                      <a:noFill/>
                      <a:miter lim="800000"/>
                      <a:headEnd/>
                      <a:tailEnd/>
                    </a:ln>
                  </pic:spPr>
                </pic:pic>
              </a:graphicData>
            </a:graphic>
          </wp:inline>
        </w:drawing>
      </w:r>
    </w:p>
    <w:p w14:paraId="3BD1C6F0">
      <w:pPr>
        <w:spacing w:line="576" w:lineRule="exact"/>
        <w:ind w:firstLine="640" w:firstLineChars="200"/>
        <w:outlineLvl w:val="2"/>
        <w:rPr>
          <w:rFonts w:eastAsia="仿宋"/>
          <w:b/>
          <w:sz w:val="32"/>
          <w:szCs w:val="32"/>
        </w:rPr>
      </w:pPr>
      <w:bookmarkStart w:id="44" w:name="_Toc15377212"/>
      <w:r>
        <w:rPr>
          <w:rFonts w:hAnsi="仿宋" w:eastAsia="仿宋"/>
          <w:b/>
          <w:sz w:val="32"/>
          <w:szCs w:val="32"/>
        </w:rPr>
        <w:t>（三）一般公共预算财政拨款支出决算具体情况</w:t>
      </w:r>
      <w:bookmarkEnd w:id="44"/>
    </w:p>
    <w:p w14:paraId="07CBD6C0">
      <w:pPr>
        <w:spacing w:line="576" w:lineRule="exact"/>
        <w:ind w:firstLine="640" w:firstLineChars="200"/>
        <w:rPr>
          <w:rStyle w:val="18"/>
          <w:rFonts w:eastAsia="仿宋"/>
          <w:bCs/>
          <w:sz w:val="32"/>
          <w:szCs w:val="32"/>
        </w:rPr>
      </w:pPr>
      <w:bookmarkStart w:id="45" w:name="_Toc15377213"/>
      <w:bookmarkStart w:id="46" w:name="_Toc15378460"/>
      <w:bookmarkStart w:id="47" w:name="_Toc15377444"/>
      <w:bookmarkStart w:id="48" w:name="_Toc4372"/>
      <w:r>
        <w:rPr>
          <w:rStyle w:val="18"/>
          <w:rFonts w:eastAsia="仿宋"/>
          <w:bCs/>
          <w:sz w:val="32"/>
          <w:szCs w:val="32"/>
        </w:rPr>
        <w:t>2021年一般公共预算支出决算数为98.74，完成预算100%。其中：</w:t>
      </w:r>
      <w:bookmarkEnd w:id="45"/>
      <w:bookmarkEnd w:id="46"/>
      <w:bookmarkEnd w:id="47"/>
      <w:bookmarkEnd w:id="48"/>
    </w:p>
    <w:p w14:paraId="2C6E1EEF">
      <w:pPr>
        <w:spacing w:line="576" w:lineRule="exact"/>
        <w:ind w:firstLine="640" w:firstLineChars="200"/>
        <w:rPr>
          <w:rStyle w:val="18"/>
          <w:rFonts w:eastAsia="仿宋"/>
          <w:bCs/>
          <w:sz w:val="32"/>
          <w:szCs w:val="32"/>
        </w:rPr>
      </w:pPr>
      <w:r>
        <w:rPr>
          <w:rStyle w:val="18"/>
          <w:rFonts w:eastAsia="仿宋"/>
          <w:bCs/>
          <w:sz w:val="32"/>
          <w:szCs w:val="32"/>
        </w:rPr>
        <w:t>1.一般公共服务（</w:t>
      </w:r>
      <w:r>
        <w:rPr>
          <w:rStyle w:val="18"/>
          <w:rFonts w:hint="eastAsia" w:eastAsia="仿宋"/>
          <w:bCs/>
          <w:sz w:val="32"/>
          <w:szCs w:val="32"/>
        </w:rPr>
        <w:t>类</w:t>
      </w:r>
      <w:r>
        <w:rPr>
          <w:rStyle w:val="18"/>
          <w:rFonts w:eastAsia="仿宋"/>
          <w:bCs/>
          <w:sz w:val="32"/>
          <w:szCs w:val="32"/>
        </w:rPr>
        <w:t>）一般公共服务支出（</w:t>
      </w:r>
      <w:r>
        <w:rPr>
          <w:rStyle w:val="18"/>
          <w:rFonts w:hint="eastAsia" w:eastAsia="仿宋"/>
          <w:bCs/>
          <w:sz w:val="32"/>
          <w:szCs w:val="32"/>
        </w:rPr>
        <w:t>款</w:t>
      </w:r>
      <w:r>
        <w:rPr>
          <w:rStyle w:val="18"/>
          <w:rFonts w:eastAsia="仿宋"/>
          <w:bCs/>
          <w:sz w:val="32"/>
          <w:szCs w:val="32"/>
        </w:rPr>
        <w:t>）民主党派及工商联事务（</w:t>
      </w:r>
      <w:r>
        <w:rPr>
          <w:rStyle w:val="18"/>
          <w:rFonts w:hint="eastAsia" w:eastAsia="仿宋"/>
          <w:bCs/>
          <w:sz w:val="32"/>
          <w:szCs w:val="32"/>
        </w:rPr>
        <w:t>项</w:t>
      </w:r>
      <w:r>
        <w:rPr>
          <w:rStyle w:val="18"/>
          <w:rFonts w:eastAsia="仿宋"/>
          <w:bCs/>
          <w:sz w:val="32"/>
          <w:szCs w:val="32"/>
        </w:rPr>
        <w:t>）行政运行: 支出决算为86.18万元，完成预算100%。</w:t>
      </w:r>
    </w:p>
    <w:p w14:paraId="1D16F799">
      <w:pPr>
        <w:spacing w:line="576" w:lineRule="exact"/>
        <w:ind w:firstLine="640" w:firstLineChars="200"/>
        <w:rPr>
          <w:rStyle w:val="18"/>
          <w:b w:val="0"/>
          <w:bCs/>
        </w:rPr>
      </w:pPr>
      <w:r>
        <w:rPr>
          <w:rStyle w:val="18"/>
          <w:rFonts w:hint="eastAsia" w:eastAsia="仿宋"/>
          <w:bCs/>
          <w:sz w:val="32"/>
          <w:szCs w:val="32"/>
        </w:rPr>
        <w:t>2</w:t>
      </w:r>
      <w:r>
        <w:rPr>
          <w:rStyle w:val="18"/>
          <w:rFonts w:eastAsia="仿宋"/>
          <w:bCs/>
          <w:sz w:val="32"/>
          <w:szCs w:val="32"/>
        </w:rPr>
        <w:t>.社会保障和就业（</w:t>
      </w:r>
      <w:r>
        <w:rPr>
          <w:rStyle w:val="18"/>
          <w:rFonts w:hint="eastAsia" w:eastAsia="仿宋"/>
          <w:bCs/>
          <w:sz w:val="32"/>
          <w:szCs w:val="32"/>
        </w:rPr>
        <w:t>类</w:t>
      </w:r>
      <w:r>
        <w:rPr>
          <w:rStyle w:val="18"/>
          <w:rFonts w:eastAsia="仿宋"/>
          <w:bCs/>
          <w:sz w:val="32"/>
          <w:szCs w:val="32"/>
        </w:rPr>
        <w:t>）社会保障和就业支出（</w:t>
      </w:r>
      <w:r>
        <w:rPr>
          <w:rStyle w:val="18"/>
          <w:rFonts w:hint="eastAsia" w:eastAsia="仿宋"/>
          <w:bCs/>
          <w:sz w:val="32"/>
          <w:szCs w:val="32"/>
        </w:rPr>
        <w:t>款</w:t>
      </w:r>
      <w:r>
        <w:rPr>
          <w:rStyle w:val="18"/>
          <w:rFonts w:eastAsia="仿宋"/>
          <w:bCs/>
          <w:sz w:val="32"/>
          <w:szCs w:val="32"/>
        </w:rPr>
        <w:t>）行政事业单位养老支出（</w:t>
      </w:r>
      <w:r>
        <w:rPr>
          <w:rStyle w:val="18"/>
          <w:rFonts w:hint="eastAsia" w:eastAsia="仿宋"/>
          <w:bCs/>
          <w:sz w:val="32"/>
          <w:szCs w:val="32"/>
        </w:rPr>
        <w:t>项</w:t>
      </w:r>
      <w:r>
        <w:rPr>
          <w:rStyle w:val="18"/>
          <w:rFonts w:eastAsia="仿宋"/>
          <w:bCs/>
          <w:sz w:val="32"/>
          <w:szCs w:val="32"/>
        </w:rPr>
        <w:t>）机关事业单位基本养老保险缴费支出: 支出决算为4.96万元，完成预算100%。</w:t>
      </w:r>
    </w:p>
    <w:p w14:paraId="679E1B7C">
      <w:pPr>
        <w:spacing w:line="576" w:lineRule="exact"/>
        <w:ind w:firstLine="640" w:firstLineChars="200"/>
        <w:rPr>
          <w:rStyle w:val="18"/>
          <w:rFonts w:eastAsia="仿宋"/>
          <w:bCs/>
          <w:sz w:val="32"/>
          <w:szCs w:val="32"/>
        </w:rPr>
      </w:pPr>
      <w:r>
        <w:rPr>
          <w:rStyle w:val="18"/>
          <w:rFonts w:hint="eastAsia" w:eastAsia="仿宋"/>
          <w:bCs/>
          <w:sz w:val="32"/>
          <w:szCs w:val="32"/>
        </w:rPr>
        <w:t>3</w:t>
      </w:r>
      <w:r>
        <w:rPr>
          <w:rStyle w:val="18"/>
          <w:rFonts w:eastAsia="仿宋"/>
          <w:bCs/>
          <w:sz w:val="32"/>
          <w:szCs w:val="32"/>
        </w:rPr>
        <w:t>.卫生健康（</w:t>
      </w:r>
      <w:r>
        <w:rPr>
          <w:rStyle w:val="18"/>
          <w:rFonts w:hint="eastAsia" w:eastAsia="仿宋"/>
          <w:bCs/>
          <w:sz w:val="32"/>
          <w:szCs w:val="32"/>
        </w:rPr>
        <w:t>类</w:t>
      </w:r>
      <w:r>
        <w:rPr>
          <w:rStyle w:val="18"/>
          <w:rFonts w:eastAsia="仿宋"/>
          <w:bCs/>
          <w:sz w:val="32"/>
          <w:szCs w:val="32"/>
        </w:rPr>
        <w:t>）卫生健康支出（</w:t>
      </w:r>
      <w:r>
        <w:rPr>
          <w:rStyle w:val="18"/>
          <w:rFonts w:hint="eastAsia" w:eastAsia="仿宋"/>
          <w:bCs/>
          <w:sz w:val="32"/>
          <w:szCs w:val="32"/>
        </w:rPr>
        <w:t>款</w:t>
      </w:r>
      <w:r>
        <w:rPr>
          <w:rStyle w:val="18"/>
          <w:rFonts w:eastAsia="仿宋"/>
          <w:bCs/>
          <w:sz w:val="32"/>
          <w:szCs w:val="32"/>
        </w:rPr>
        <w:t>）行政事业单位医疗（</w:t>
      </w:r>
      <w:r>
        <w:rPr>
          <w:rStyle w:val="18"/>
          <w:rFonts w:hint="eastAsia" w:eastAsia="仿宋"/>
          <w:bCs/>
          <w:sz w:val="32"/>
          <w:szCs w:val="32"/>
        </w:rPr>
        <w:t>项</w:t>
      </w:r>
      <w:r>
        <w:rPr>
          <w:rStyle w:val="18"/>
          <w:rFonts w:eastAsia="仿宋"/>
          <w:bCs/>
          <w:sz w:val="32"/>
          <w:szCs w:val="32"/>
        </w:rPr>
        <w:t>）行政单位医疗:支出决算为2.69万元，完成预算100%。</w:t>
      </w:r>
    </w:p>
    <w:p w14:paraId="58BDBAE6">
      <w:pPr>
        <w:spacing w:line="576" w:lineRule="exact"/>
        <w:ind w:firstLine="640" w:firstLineChars="200"/>
        <w:rPr>
          <w:rStyle w:val="18"/>
          <w:b w:val="0"/>
          <w:bCs/>
        </w:rPr>
      </w:pPr>
      <w:r>
        <w:rPr>
          <w:rStyle w:val="18"/>
          <w:rFonts w:hint="eastAsia" w:eastAsia="仿宋"/>
          <w:bCs/>
          <w:sz w:val="32"/>
          <w:szCs w:val="32"/>
        </w:rPr>
        <w:t>4.住房保障支出（类）住房改革支出(款)住房公积金（项）：</w:t>
      </w:r>
      <w:r>
        <w:rPr>
          <w:rStyle w:val="18"/>
          <w:rFonts w:eastAsia="仿宋"/>
          <w:bCs/>
          <w:sz w:val="32"/>
          <w:szCs w:val="32"/>
        </w:rPr>
        <w:t>支出决算为4.9</w:t>
      </w:r>
      <w:r>
        <w:rPr>
          <w:rStyle w:val="18"/>
          <w:rFonts w:hint="eastAsia" w:eastAsia="仿宋"/>
          <w:bCs/>
          <w:sz w:val="32"/>
          <w:szCs w:val="32"/>
        </w:rPr>
        <w:t>1</w:t>
      </w:r>
      <w:r>
        <w:rPr>
          <w:rStyle w:val="18"/>
          <w:rFonts w:eastAsia="仿宋"/>
          <w:bCs/>
          <w:sz w:val="32"/>
          <w:szCs w:val="32"/>
        </w:rPr>
        <w:t>万元，完成预算100%。</w:t>
      </w:r>
    </w:p>
    <w:p w14:paraId="2C202784">
      <w:pPr>
        <w:pStyle w:val="2"/>
        <w:spacing w:before="93"/>
      </w:pPr>
    </w:p>
    <w:p w14:paraId="551FACD5">
      <w:pPr>
        <w:tabs>
          <w:tab w:val="right" w:pos="8306"/>
        </w:tabs>
        <w:spacing w:line="576" w:lineRule="exact"/>
        <w:ind w:firstLine="640"/>
        <w:rPr>
          <w:rStyle w:val="29"/>
          <w:rFonts w:ascii="Times New Roman" w:hAnsi="Times New Roman" w:cs="Times New Roman"/>
        </w:rPr>
      </w:pPr>
      <w:bookmarkStart w:id="49" w:name="_Toc15396608"/>
      <w:bookmarkStart w:id="50" w:name="_Toc15377214"/>
      <w:r>
        <w:rPr>
          <w:rFonts w:eastAsia="黑体"/>
          <w:sz w:val="32"/>
          <w:szCs w:val="32"/>
        </w:rPr>
        <w:t>六</w:t>
      </w:r>
      <w:r>
        <w:rPr>
          <w:rFonts w:eastAsia="黑体"/>
          <w:b/>
          <w:sz w:val="32"/>
          <w:szCs w:val="32"/>
        </w:rPr>
        <w:t>、</w:t>
      </w:r>
      <w:r>
        <w:rPr>
          <w:rFonts w:hAnsi="黑体" w:eastAsia="黑体"/>
          <w:b/>
          <w:sz w:val="32"/>
          <w:szCs w:val="32"/>
        </w:rPr>
        <w:t>一</w:t>
      </w:r>
      <w:r>
        <w:rPr>
          <w:rStyle w:val="29"/>
          <w:rFonts w:ascii="Times New Roman" w:hAnsi="黑体" w:eastAsia="黑体" w:cs="Times New Roman"/>
          <w:b w:val="0"/>
        </w:rPr>
        <w:t>般公共预算财政拨款基本支出决算情况说明</w:t>
      </w:r>
      <w:bookmarkEnd w:id="49"/>
      <w:bookmarkEnd w:id="50"/>
    </w:p>
    <w:p w14:paraId="576E3CD6">
      <w:pPr>
        <w:spacing w:line="576" w:lineRule="exact"/>
        <w:ind w:firstLine="645"/>
        <w:rPr>
          <w:rFonts w:eastAsia="仿宋"/>
          <w:sz w:val="32"/>
          <w:szCs w:val="32"/>
        </w:rPr>
      </w:pPr>
      <w:r>
        <w:rPr>
          <w:rFonts w:eastAsia="仿宋"/>
          <w:sz w:val="32"/>
          <w:szCs w:val="32"/>
        </w:rPr>
        <w:t>2021</w:t>
      </w:r>
      <w:r>
        <w:rPr>
          <w:rFonts w:hAnsi="仿宋" w:eastAsia="仿宋"/>
          <w:sz w:val="32"/>
          <w:szCs w:val="32"/>
        </w:rPr>
        <w:t>年一般公共预算财政拨款基本支出</w:t>
      </w:r>
      <w:r>
        <w:rPr>
          <w:rFonts w:eastAsia="仿宋"/>
          <w:sz w:val="32"/>
          <w:szCs w:val="32"/>
        </w:rPr>
        <w:t>98.74</w:t>
      </w:r>
      <w:r>
        <w:rPr>
          <w:rFonts w:hAnsi="仿宋" w:eastAsia="仿宋"/>
          <w:sz w:val="32"/>
          <w:szCs w:val="32"/>
        </w:rPr>
        <w:t>万元，其中：</w:t>
      </w:r>
    </w:p>
    <w:p w14:paraId="71ECA3C5">
      <w:pPr>
        <w:spacing w:line="576" w:lineRule="exact"/>
        <w:ind w:firstLine="645"/>
        <w:rPr>
          <w:rFonts w:eastAsia="仿宋"/>
          <w:sz w:val="32"/>
          <w:szCs w:val="32"/>
        </w:rPr>
      </w:pPr>
      <w:r>
        <w:rPr>
          <w:rFonts w:hAnsi="仿宋" w:eastAsia="仿宋"/>
          <w:sz w:val="32"/>
          <w:szCs w:val="32"/>
        </w:rPr>
        <w:t>人员经费</w:t>
      </w:r>
      <w:r>
        <w:rPr>
          <w:rFonts w:eastAsia="仿宋"/>
          <w:sz w:val="32"/>
          <w:szCs w:val="32"/>
        </w:rPr>
        <w:t>56.87</w:t>
      </w:r>
      <w:r>
        <w:rPr>
          <w:rFonts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59132359">
      <w:pPr>
        <w:spacing w:line="576" w:lineRule="exact"/>
        <w:ind w:firstLine="645"/>
        <w:rPr>
          <w:rFonts w:eastAsia="仿宋"/>
          <w:sz w:val="32"/>
          <w:szCs w:val="32"/>
        </w:rPr>
      </w:pPr>
      <w:r>
        <w:rPr>
          <w:rFonts w:hAnsi="仿宋" w:eastAsia="仿宋"/>
          <w:sz w:val="32"/>
          <w:szCs w:val="32"/>
        </w:rPr>
        <w:t>公用经费</w:t>
      </w:r>
      <w:r>
        <w:rPr>
          <w:rFonts w:eastAsia="仿宋"/>
          <w:sz w:val="32"/>
          <w:szCs w:val="32"/>
        </w:rPr>
        <w:t>41.87</w:t>
      </w:r>
      <w:r>
        <w:rPr>
          <w:rFonts w:hAnsi="仿宋" w:eastAsia="仿宋"/>
          <w:sz w:val="32"/>
          <w:szCs w:val="32"/>
        </w:rPr>
        <w:t>万元，主要包括：办公费、印刷费、咨询费、手续费、水费、电费、邮电费</w:t>
      </w:r>
      <w:r>
        <w:rPr>
          <w:rFonts w:hint="eastAsia" w:hAnsi="仿宋" w:eastAsia="仿宋"/>
          <w:sz w:val="32"/>
          <w:szCs w:val="32"/>
        </w:rPr>
        <w:t>、</w:t>
      </w:r>
      <w:r>
        <w:rPr>
          <w:rFonts w:hAnsi="仿宋" w:eastAsia="仿宋"/>
          <w:sz w:val="32"/>
          <w:szCs w:val="32"/>
        </w:rPr>
        <w:t>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4A15D248">
      <w:pPr>
        <w:spacing w:line="576" w:lineRule="exact"/>
        <w:ind w:firstLine="640"/>
        <w:outlineLvl w:val="1"/>
        <w:rPr>
          <w:rStyle w:val="29"/>
          <w:rFonts w:ascii="Times New Roman" w:hAnsi="Times New Roman" w:eastAsia="黑体" w:cs="Times New Roman"/>
          <w:b w:val="0"/>
        </w:rPr>
      </w:pPr>
      <w:bookmarkStart w:id="51" w:name="_Toc15377215"/>
      <w:bookmarkStart w:id="52" w:name="_Toc144821705"/>
      <w:bookmarkStart w:id="53" w:name="_Toc15396609"/>
      <w:r>
        <w:rPr>
          <w:rFonts w:eastAsia="黑体"/>
          <w:sz w:val="32"/>
          <w:szCs w:val="32"/>
        </w:rPr>
        <w:t>七、</w:t>
      </w:r>
      <w:r>
        <w:rPr>
          <w:rStyle w:val="29"/>
          <w:rFonts w:ascii="Times New Roman" w:hAnsi="Times New Roman" w:eastAsia="黑体" w:cs="Times New Roman"/>
        </w:rPr>
        <w:t>“</w:t>
      </w:r>
      <w:r>
        <w:rPr>
          <w:rStyle w:val="29"/>
          <w:rFonts w:ascii="Times New Roman" w:hAnsi="黑体" w:eastAsia="黑体" w:cs="Times New Roman"/>
          <w:b w:val="0"/>
        </w:rPr>
        <w:t>三公</w:t>
      </w:r>
      <w:r>
        <w:rPr>
          <w:rStyle w:val="29"/>
          <w:rFonts w:ascii="Times New Roman" w:hAnsi="Times New Roman" w:eastAsia="黑体" w:cs="Times New Roman"/>
          <w:b w:val="0"/>
        </w:rPr>
        <w:t>”</w:t>
      </w:r>
      <w:r>
        <w:rPr>
          <w:rStyle w:val="29"/>
          <w:rFonts w:ascii="Times New Roman" w:hAnsi="黑体" w:eastAsia="黑体" w:cs="Times New Roman"/>
          <w:b w:val="0"/>
        </w:rPr>
        <w:t>经费财政拨款支出决算情况说明</w:t>
      </w:r>
      <w:bookmarkEnd w:id="51"/>
      <w:bookmarkEnd w:id="52"/>
      <w:bookmarkEnd w:id="53"/>
    </w:p>
    <w:p w14:paraId="7C515502">
      <w:pPr>
        <w:spacing w:line="576" w:lineRule="exact"/>
        <w:ind w:firstLine="640"/>
        <w:outlineLvl w:val="2"/>
        <w:rPr>
          <w:rFonts w:eastAsia="仿宋"/>
          <w:b/>
          <w:sz w:val="32"/>
          <w:szCs w:val="32"/>
        </w:rPr>
      </w:pPr>
      <w:bookmarkStart w:id="54" w:name="_Toc15377216"/>
      <w:r>
        <w:rPr>
          <w:rFonts w:hAnsi="仿宋" w:eastAsia="仿宋"/>
          <w:b/>
          <w:sz w:val="32"/>
          <w:szCs w:val="32"/>
        </w:rPr>
        <w:t>（一）</w:t>
      </w:r>
      <w:r>
        <w:rPr>
          <w:rFonts w:eastAsia="仿宋"/>
          <w:b/>
          <w:sz w:val="32"/>
          <w:szCs w:val="32"/>
        </w:rPr>
        <w:t>“</w:t>
      </w:r>
      <w:r>
        <w:rPr>
          <w:rFonts w:hAnsi="仿宋" w:eastAsia="仿宋"/>
          <w:b/>
          <w:sz w:val="32"/>
          <w:szCs w:val="32"/>
        </w:rPr>
        <w:t>三公</w:t>
      </w:r>
      <w:r>
        <w:rPr>
          <w:rFonts w:eastAsia="仿宋"/>
          <w:b/>
          <w:sz w:val="32"/>
          <w:szCs w:val="32"/>
        </w:rPr>
        <w:t>”</w:t>
      </w:r>
      <w:r>
        <w:rPr>
          <w:rFonts w:hAnsi="仿宋" w:eastAsia="仿宋"/>
          <w:b/>
          <w:sz w:val="32"/>
          <w:szCs w:val="32"/>
        </w:rPr>
        <w:t>经费财政拨款支出决算总体情况说明</w:t>
      </w:r>
      <w:bookmarkEnd w:id="54"/>
    </w:p>
    <w:p w14:paraId="18252F9B">
      <w:pPr>
        <w:spacing w:line="576" w:lineRule="exact"/>
        <w:ind w:firstLine="640"/>
        <w:rPr>
          <w:rFonts w:eastAsia="仿宋"/>
          <w:sz w:val="32"/>
          <w:szCs w:val="32"/>
        </w:rPr>
      </w:pPr>
      <w:r>
        <w:rPr>
          <w:rFonts w:eastAsia="仿宋"/>
          <w:sz w:val="32"/>
          <w:szCs w:val="32"/>
        </w:rPr>
        <w:t>2021</w:t>
      </w:r>
      <w:r>
        <w:rPr>
          <w:rFonts w:hAnsi="仿宋" w:eastAsia="仿宋"/>
          <w:sz w:val="32"/>
          <w:szCs w:val="32"/>
        </w:rPr>
        <w:t>年</w:t>
      </w:r>
      <w:r>
        <w:rPr>
          <w:rFonts w:eastAsia="仿宋"/>
          <w:sz w:val="32"/>
          <w:szCs w:val="32"/>
        </w:rPr>
        <w:t>“</w:t>
      </w:r>
      <w:r>
        <w:rPr>
          <w:rFonts w:hAnsi="仿宋" w:eastAsia="仿宋"/>
          <w:sz w:val="32"/>
          <w:szCs w:val="32"/>
        </w:rPr>
        <w:t>三公</w:t>
      </w:r>
      <w:r>
        <w:rPr>
          <w:rFonts w:eastAsia="仿宋"/>
          <w:sz w:val="32"/>
          <w:szCs w:val="32"/>
        </w:rPr>
        <w:t>”</w:t>
      </w:r>
      <w:r>
        <w:rPr>
          <w:rFonts w:hAnsi="仿宋" w:eastAsia="仿宋"/>
          <w:sz w:val="32"/>
          <w:szCs w:val="32"/>
        </w:rPr>
        <w:t>经费财政拨款支出决算为</w:t>
      </w:r>
      <w:r>
        <w:rPr>
          <w:rFonts w:eastAsia="仿宋"/>
          <w:sz w:val="32"/>
          <w:szCs w:val="32"/>
        </w:rPr>
        <w:t>1.4</w:t>
      </w:r>
      <w:r>
        <w:rPr>
          <w:rFonts w:hAnsi="仿宋" w:eastAsia="仿宋"/>
          <w:sz w:val="32"/>
          <w:szCs w:val="32"/>
        </w:rPr>
        <w:t>万元，完成预算</w:t>
      </w:r>
      <w:r>
        <w:rPr>
          <w:rFonts w:eastAsia="仿宋"/>
          <w:sz w:val="32"/>
          <w:szCs w:val="32"/>
        </w:rPr>
        <w:t>100%</w:t>
      </w:r>
      <w:r>
        <w:rPr>
          <w:rFonts w:hAnsi="仿宋" w:eastAsia="仿宋"/>
          <w:sz w:val="32"/>
          <w:szCs w:val="32"/>
        </w:rPr>
        <w:t>。</w:t>
      </w:r>
    </w:p>
    <w:p w14:paraId="6F24167C">
      <w:pPr>
        <w:spacing w:line="576" w:lineRule="exact"/>
        <w:ind w:firstLine="640"/>
        <w:outlineLvl w:val="2"/>
        <w:rPr>
          <w:rFonts w:eastAsia="仿宋"/>
          <w:b/>
          <w:sz w:val="32"/>
          <w:szCs w:val="32"/>
        </w:rPr>
      </w:pPr>
      <w:bookmarkStart w:id="55" w:name="_Toc15377217"/>
      <w:r>
        <w:rPr>
          <w:rFonts w:hAnsi="仿宋" w:eastAsia="仿宋"/>
          <w:b/>
          <w:sz w:val="32"/>
          <w:szCs w:val="32"/>
        </w:rPr>
        <w:t>（二）</w:t>
      </w:r>
      <w:r>
        <w:rPr>
          <w:rFonts w:eastAsia="仿宋"/>
          <w:b/>
          <w:sz w:val="32"/>
          <w:szCs w:val="32"/>
        </w:rPr>
        <w:t>“</w:t>
      </w:r>
      <w:r>
        <w:rPr>
          <w:rFonts w:hAnsi="仿宋" w:eastAsia="仿宋"/>
          <w:b/>
          <w:sz w:val="32"/>
          <w:szCs w:val="32"/>
        </w:rPr>
        <w:t>三公</w:t>
      </w:r>
      <w:r>
        <w:rPr>
          <w:rFonts w:eastAsia="仿宋"/>
          <w:b/>
          <w:sz w:val="32"/>
          <w:szCs w:val="32"/>
        </w:rPr>
        <w:t>”</w:t>
      </w:r>
      <w:r>
        <w:rPr>
          <w:rFonts w:hAnsi="仿宋" w:eastAsia="仿宋"/>
          <w:b/>
          <w:sz w:val="32"/>
          <w:szCs w:val="32"/>
        </w:rPr>
        <w:t>经费财政拨款支出决算具体情况说明</w:t>
      </w:r>
      <w:bookmarkEnd w:id="55"/>
    </w:p>
    <w:p w14:paraId="354EAA97">
      <w:pPr>
        <w:spacing w:line="576" w:lineRule="exact"/>
        <w:ind w:firstLine="640"/>
        <w:rPr>
          <w:rFonts w:hAnsi="仿宋" w:eastAsia="仿宋"/>
          <w:sz w:val="32"/>
          <w:szCs w:val="32"/>
        </w:rPr>
      </w:pPr>
      <w:r>
        <w:rPr>
          <w:rFonts w:eastAsia="仿宋"/>
          <w:sz w:val="32"/>
          <w:szCs w:val="32"/>
        </w:rPr>
        <w:t>2021</w:t>
      </w:r>
      <w:r>
        <w:rPr>
          <w:rFonts w:hAnsi="仿宋" w:eastAsia="仿宋"/>
          <w:sz w:val="32"/>
          <w:szCs w:val="32"/>
        </w:rPr>
        <w:t>年</w:t>
      </w:r>
      <w:r>
        <w:rPr>
          <w:rFonts w:eastAsia="仿宋"/>
          <w:sz w:val="32"/>
          <w:szCs w:val="32"/>
        </w:rPr>
        <w:t>“</w:t>
      </w:r>
      <w:r>
        <w:rPr>
          <w:rFonts w:hAnsi="仿宋" w:eastAsia="仿宋"/>
          <w:sz w:val="32"/>
          <w:szCs w:val="32"/>
        </w:rPr>
        <w:t>三公</w:t>
      </w:r>
      <w:r>
        <w:rPr>
          <w:rFonts w:eastAsia="仿宋"/>
          <w:sz w:val="32"/>
          <w:szCs w:val="32"/>
        </w:rPr>
        <w:t>”</w:t>
      </w:r>
      <w:r>
        <w:rPr>
          <w:rFonts w:hAnsi="仿宋" w:eastAsia="仿宋"/>
          <w:sz w:val="32"/>
          <w:szCs w:val="32"/>
        </w:rPr>
        <w:t>经费财政拨款支出决算中，因公出国（境）费支出决算</w:t>
      </w:r>
      <w:r>
        <w:rPr>
          <w:rFonts w:eastAsia="仿宋"/>
          <w:sz w:val="32"/>
          <w:szCs w:val="32"/>
        </w:rPr>
        <w:t>0</w:t>
      </w:r>
      <w:r>
        <w:rPr>
          <w:rFonts w:hAnsi="仿宋" w:eastAsia="仿宋"/>
          <w:sz w:val="32"/>
          <w:szCs w:val="32"/>
        </w:rPr>
        <w:t>万元，占</w:t>
      </w:r>
      <w:r>
        <w:rPr>
          <w:rFonts w:eastAsia="仿宋"/>
          <w:sz w:val="32"/>
          <w:szCs w:val="32"/>
        </w:rPr>
        <w:t>0%</w:t>
      </w:r>
      <w:r>
        <w:rPr>
          <w:rFonts w:hAnsi="仿宋" w:eastAsia="仿宋"/>
          <w:sz w:val="32"/>
          <w:szCs w:val="32"/>
        </w:rPr>
        <w:t>；公务用车购置及运行维护费支出决算</w:t>
      </w:r>
      <w:r>
        <w:rPr>
          <w:rFonts w:eastAsia="仿宋"/>
          <w:sz w:val="32"/>
          <w:szCs w:val="32"/>
        </w:rPr>
        <w:t>0</w:t>
      </w:r>
      <w:r>
        <w:rPr>
          <w:rFonts w:hAnsi="仿宋" w:eastAsia="仿宋"/>
          <w:sz w:val="32"/>
          <w:szCs w:val="32"/>
        </w:rPr>
        <w:t>万元，占</w:t>
      </w:r>
      <w:r>
        <w:rPr>
          <w:rFonts w:eastAsia="仿宋"/>
          <w:sz w:val="32"/>
          <w:szCs w:val="32"/>
        </w:rPr>
        <w:t>0%</w:t>
      </w:r>
      <w:r>
        <w:rPr>
          <w:rFonts w:hAnsi="仿宋" w:eastAsia="仿宋"/>
          <w:sz w:val="32"/>
          <w:szCs w:val="32"/>
        </w:rPr>
        <w:t>；公务接待费支出决算</w:t>
      </w:r>
      <w:r>
        <w:rPr>
          <w:rFonts w:eastAsia="仿宋"/>
          <w:sz w:val="32"/>
          <w:szCs w:val="32"/>
        </w:rPr>
        <w:t>1.4</w:t>
      </w:r>
      <w:r>
        <w:rPr>
          <w:rFonts w:hAnsi="仿宋" w:eastAsia="仿宋"/>
          <w:sz w:val="32"/>
          <w:szCs w:val="32"/>
        </w:rPr>
        <w:t>万元，占</w:t>
      </w:r>
      <w:r>
        <w:rPr>
          <w:rFonts w:eastAsia="仿宋"/>
          <w:sz w:val="32"/>
          <w:szCs w:val="32"/>
        </w:rPr>
        <w:t>100%</w:t>
      </w:r>
      <w:r>
        <w:rPr>
          <w:rFonts w:hAnsi="仿宋" w:eastAsia="仿宋"/>
          <w:sz w:val="32"/>
          <w:szCs w:val="32"/>
        </w:rPr>
        <w:t>。具体情况如下：</w:t>
      </w:r>
    </w:p>
    <w:p w14:paraId="42130A90">
      <w:pPr>
        <w:pStyle w:val="15"/>
        <w:ind w:left="0" w:leftChars="0" w:firstLine="0"/>
      </w:pPr>
      <w:r>
        <w:drawing>
          <wp:inline distT="0" distB="0" distL="0" distR="0">
            <wp:extent cx="5615940" cy="2902585"/>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3"/>
                    <a:srcRect/>
                    <a:stretch>
                      <a:fillRect/>
                    </a:stretch>
                  </pic:blipFill>
                  <pic:spPr>
                    <a:xfrm>
                      <a:off x="0" y="0"/>
                      <a:ext cx="5615940" cy="2902858"/>
                    </a:xfrm>
                    <a:prstGeom prst="rect">
                      <a:avLst/>
                    </a:prstGeom>
                    <a:noFill/>
                    <a:ln w="9525">
                      <a:noFill/>
                      <a:miter lim="800000"/>
                      <a:headEnd/>
                      <a:tailEnd/>
                    </a:ln>
                  </pic:spPr>
                </pic:pic>
              </a:graphicData>
            </a:graphic>
          </wp:inline>
        </w:drawing>
      </w:r>
    </w:p>
    <w:p w14:paraId="766470C2">
      <w:pPr>
        <w:spacing w:line="576" w:lineRule="exact"/>
        <w:ind w:firstLine="640"/>
        <w:rPr>
          <w:rFonts w:eastAsia="仿宋_GB2312"/>
          <w:b/>
          <w:sz w:val="32"/>
          <w:szCs w:val="32"/>
        </w:rPr>
      </w:pPr>
      <w:r>
        <w:rPr>
          <w:rFonts w:eastAsia="仿宋_GB2312"/>
          <w:b/>
          <w:sz w:val="32"/>
          <w:szCs w:val="32"/>
        </w:rPr>
        <w:t>1.因公出国（境）经费支出</w:t>
      </w:r>
      <w:r>
        <w:rPr>
          <w:rFonts w:eastAsia="仿宋_GB2312"/>
          <w:sz w:val="32"/>
          <w:szCs w:val="32"/>
        </w:rPr>
        <w:t>0万元，</w:t>
      </w:r>
      <w:r>
        <w:rPr>
          <w:rStyle w:val="18"/>
          <w:rFonts w:hAnsi="仿宋" w:eastAsia="仿宋"/>
          <w:b w:val="0"/>
          <w:bCs/>
          <w:sz w:val="32"/>
          <w:szCs w:val="32"/>
        </w:rPr>
        <w:t>年初未安排预算</w:t>
      </w:r>
      <w:r>
        <w:rPr>
          <w:rStyle w:val="18"/>
          <w:rFonts w:hint="eastAsia" w:hAnsi="仿宋" w:eastAsia="仿宋"/>
          <w:b w:val="0"/>
          <w:bCs/>
          <w:sz w:val="32"/>
          <w:szCs w:val="32"/>
        </w:rPr>
        <w:t>，</w:t>
      </w:r>
      <w:r>
        <w:rPr>
          <w:rFonts w:eastAsia="仿宋_GB2312"/>
          <w:sz w:val="32"/>
          <w:szCs w:val="32"/>
        </w:rPr>
        <w:t>因公出国（境）支出决算比2020年无变化。</w:t>
      </w:r>
    </w:p>
    <w:p w14:paraId="51574F66">
      <w:pPr>
        <w:spacing w:line="576" w:lineRule="exact"/>
        <w:ind w:firstLine="640" w:firstLineChars="200"/>
        <w:rPr>
          <w:rFonts w:eastAsia="仿宋_GB2312"/>
          <w:b/>
          <w:sz w:val="32"/>
          <w:szCs w:val="32"/>
        </w:rPr>
      </w:pPr>
      <w:r>
        <w:rPr>
          <w:rFonts w:eastAsia="仿宋_GB2312"/>
          <w:b/>
          <w:sz w:val="32"/>
          <w:szCs w:val="32"/>
        </w:rPr>
        <w:t>2.公务用车购置及运行维护费支出</w:t>
      </w:r>
      <w:r>
        <w:rPr>
          <w:rFonts w:eastAsia="仿宋_GB2312"/>
          <w:sz w:val="32"/>
          <w:szCs w:val="32"/>
        </w:rPr>
        <w:t>0万元,</w:t>
      </w:r>
      <w:r>
        <w:rPr>
          <w:rStyle w:val="18"/>
          <w:rFonts w:hAnsi="仿宋" w:eastAsia="仿宋"/>
          <w:b w:val="0"/>
          <w:bCs/>
          <w:sz w:val="32"/>
          <w:szCs w:val="32"/>
        </w:rPr>
        <w:t>年初未安排预算。</w:t>
      </w:r>
      <w:r>
        <w:rPr>
          <w:rFonts w:eastAsia="仿宋_GB2312"/>
          <w:sz w:val="32"/>
          <w:szCs w:val="32"/>
        </w:rPr>
        <w:t>在公务用车制度改革后，不允许单位购买公务用车。因公出差向机关事务局申请公务用车，公务用车有保障。</w:t>
      </w:r>
    </w:p>
    <w:p w14:paraId="1E6310B5">
      <w:pPr>
        <w:spacing w:line="576" w:lineRule="exact"/>
        <w:ind w:firstLine="640"/>
        <w:rPr>
          <w:rFonts w:eastAsia="仿宋_GB2312"/>
          <w:sz w:val="32"/>
          <w:szCs w:val="32"/>
        </w:rPr>
      </w:pPr>
      <w:r>
        <w:rPr>
          <w:rFonts w:eastAsia="仿宋_GB2312"/>
          <w:b/>
          <w:sz w:val="32"/>
          <w:szCs w:val="32"/>
        </w:rPr>
        <w:t>3.公务接待费支出</w:t>
      </w:r>
      <w:r>
        <w:rPr>
          <w:rFonts w:eastAsia="仿宋_GB2312"/>
          <w:sz w:val="32"/>
          <w:szCs w:val="32"/>
        </w:rPr>
        <w:t>1.4万元，</w:t>
      </w:r>
      <w:r>
        <w:rPr>
          <w:rStyle w:val="18"/>
          <w:rFonts w:hAnsi="仿宋" w:eastAsia="仿宋"/>
          <w:b w:val="0"/>
          <w:bCs/>
          <w:sz w:val="32"/>
          <w:szCs w:val="32"/>
        </w:rPr>
        <w:t>完成预算</w:t>
      </w:r>
      <w:r>
        <w:rPr>
          <w:rStyle w:val="18"/>
          <w:rFonts w:eastAsia="仿宋"/>
          <w:b w:val="0"/>
          <w:bCs/>
          <w:sz w:val="32"/>
          <w:szCs w:val="32"/>
        </w:rPr>
        <w:t>100%</w:t>
      </w:r>
      <w:r>
        <w:rPr>
          <w:rStyle w:val="18"/>
          <w:rFonts w:hAnsi="仿宋" w:eastAsia="仿宋"/>
          <w:b w:val="0"/>
          <w:bCs/>
          <w:sz w:val="32"/>
          <w:szCs w:val="32"/>
        </w:rPr>
        <w:t>。</w:t>
      </w:r>
      <w:r>
        <w:rPr>
          <w:rFonts w:eastAsia="仿宋_GB2312"/>
          <w:sz w:val="32"/>
          <w:szCs w:val="32"/>
        </w:rPr>
        <w:t>公务接待费支出决算比2020年减少0.1万元，下降6%。主要原因是</w:t>
      </w:r>
      <w:r>
        <w:rPr>
          <w:rFonts w:hint="eastAsia" w:eastAsia="仿宋_GB2312"/>
          <w:sz w:val="32"/>
          <w:szCs w:val="32"/>
          <w:lang w:eastAsia="zh-CN"/>
        </w:rPr>
        <w:t>厉行节约</w:t>
      </w:r>
      <w:r>
        <w:rPr>
          <w:rFonts w:eastAsia="仿宋_GB2312"/>
          <w:sz w:val="32"/>
          <w:szCs w:val="32"/>
        </w:rPr>
        <w:t>，减少不必要的接待。</w:t>
      </w:r>
    </w:p>
    <w:p w14:paraId="5EF4EBEA">
      <w:pPr>
        <w:spacing w:line="576" w:lineRule="exact"/>
        <w:ind w:firstLine="640"/>
        <w:rPr>
          <w:rFonts w:eastAsia="仿宋_GB2312"/>
          <w:sz w:val="32"/>
          <w:szCs w:val="32"/>
        </w:rPr>
      </w:pPr>
      <w:r>
        <w:rPr>
          <w:rFonts w:hAnsi="仿宋" w:eastAsia="仿宋"/>
          <w:b/>
          <w:sz w:val="32"/>
          <w:szCs w:val="32"/>
        </w:rPr>
        <w:t>国内公务接待支出</w:t>
      </w:r>
      <w:r>
        <w:rPr>
          <w:rFonts w:eastAsia="仿宋"/>
          <w:sz w:val="32"/>
          <w:szCs w:val="32"/>
        </w:rPr>
        <w:t>1.4</w:t>
      </w:r>
      <w:r>
        <w:rPr>
          <w:rFonts w:eastAsia="仿宋_GB2312"/>
          <w:sz w:val="32"/>
          <w:szCs w:val="32"/>
        </w:rPr>
        <w:t>万元，主要用于执行公务、开展业务活动开支的交通费、住宿费、用餐费等。国内公务接待29批次，282人次，共计支出1.4万元。</w:t>
      </w:r>
    </w:p>
    <w:p w14:paraId="1AD11355">
      <w:pPr>
        <w:spacing w:line="576" w:lineRule="exact"/>
        <w:ind w:firstLine="640"/>
        <w:outlineLvl w:val="1"/>
        <w:rPr>
          <w:rStyle w:val="29"/>
          <w:rFonts w:ascii="Times New Roman" w:hAnsi="Times New Roman" w:eastAsia="黑体" w:cs="Times New Roman"/>
        </w:rPr>
      </w:pPr>
      <w:bookmarkStart w:id="56" w:name="_Toc144821706"/>
      <w:bookmarkStart w:id="57" w:name="_Toc15396610"/>
      <w:bookmarkStart w:id="58" w:name="_Toc15377218"/>
      <w:r>
        <w:rPr>
          <w:rFonts w:eastAsia="黑体"/>
          <w:sz w:val="32"/>
          <w:szCs w:val="32"/>
        </w:rPr>
        <w:t>八、</w:t>
      </w:r>
      <w:r>
        <w:rPr>
          <w:rStyle w:val="29"/>
          <w:rFonts w:ascii="Times New Roman" w:hAnsi="黑体" w:eastAsia="黑体" w:cs="Times New Roman"/>
          <w:b w:val="0"/>
        </w:rPr>
        <w:t>政府性基金预算支出决算情况说明</w:t>
      </w:r>
      <w:bookmarkEnd w:id="56"/>
      <w:bookmarkEnd w:id="57"/>
      <w:bookmarkEnd w:id="58"/>
    </w:p>
    <w:p w14:paraId="49A5A8DB">
      <w:pPr>
        <w:spacing w:line="576" w:lineRule="exact"/>
        <w:ind w:firstLine="640"/>
        <w:rPr>
          <w:rFonts w:eastAsia="仿宋_GB2312"/>
          <w:sz w:val="32"/>
          <w:szCs w:val="32"/>
        </w:rPr>
      </w:pPr>
      <w:r>
        <w:rPr>
          <w:rFonts w:eastAsia="仿宋_GB2312"/>
          <w:sz w:val="32"/>
          <w:szCs w:val="32"/>
        </w:rPr>
        <w:t>2021年政府性基金预算财政拨款支出0万元。</w:t>
      </w:r>
    </w:p>
    <w:p w14:paraId="0A0EABA6">
      <w:pPr>
        <w:numPr>
          <w:ilvl w:val="0"/>
          <w:numId w:val="3"/>
        </w:numPr>
        <w:spacing w:line="576" w:lineRule="exact"/>
        <w:ind w:firstLine="640"/>
        <w:outlineLvl w:val="1"/>
        <w:rPr>
          <w:rStyle w:val="29"/>
          <w:rFonts w:ascii="Times New Roman" w:hAnsi="Times New Roman" w:eastAsia="黑体" w:cs="Times New Roman"/>
          <w:b w:val="0"/>
        </w:rPr>
      </w:pPr>
      <w:bookmarkStart w:id="59" w:name="_Toc15396611"/>
      <w:bookmarkStart w:id="60" w:name="_Toc15377219"/>
      <w:bookmarkStart w:id="61" w:name="_Toc144821707"/>
      <w:r>
        <w:rPr>
          <w:rStyle w:val="29"/>
          <w:rFonts w:ascii="Times New Roman" w:hAnsi="黑体" w:eastAsia="黑体" w:cs="Times New Roman"/>
          <w:b w:val="0"/>
        </w:rPr>
        <w:t>国有资本经营预算支出决算情况说明</w:t>
      </w:r>
      <w:bookmarkEnd w:id="59"/>
      <w:bookmarkEnd w:id="60"/>
      <w:bookmarkEnd w:id="61"/>
    </w:p>
    <w:p w14:paraId="665A15D4">
      <w:pPr>
        <w:spacing w:line="576" w:lineRule="exact"/>
        <w:ind w:firstLine="640"/>
        <w:rPr>
          <w:rFonts w:eastAsia="仿宋_GB2312"/>
          <w:sz w:val="32"/>
          <w:szCs w:val="32"/>
        </w:rPr>
      </w:pPr>
      <w:r>
        <w:rPr>
          <w:rFonts w:eastAsia="仿宋_GB2312"/>
          <w:sz w:val="32"/>
          <w:szCs w:val="32"/>
        </w:rPr>
        <w:t>2021年国有资本经营预算财政拨款支出0万元。</w:t>
      </w:r>
    </w:p>
    <w:p w14:paraId="1DD833EB">
      <w:pPr>
        <w:numPr>
          <w:ilvl w:val="0"/>
          <w:numId w:val="3"/>
        </w:numPr>
        <w:spacing w:line="576" w:lineRule="exact"/>
        <w:ind w:firstLine="640"/>
        <w:outlineLvl w:val="1"/>
        <w:rPr>
          <w:rStyle w:val="29"/>
          <w:rFonts w:ascii="Times New Roman" w:hAnsi="Times New Roman" w:eastAsia="黑体" w:cs="Times New Roman"/>
          <w:b w:val="0"/>
        </w:rPr>
      </w:pPr>
      <w:bookmarkStart w:id="62" w:name="_Toc144821708"/>
      <w:bookmarkStart w:id="63" w:name="_Toc15377221"/>
      <w:bookmarkStart w:id="64" w:name="_Toc15396612"/>
      <w:r>
        <w:rPr>
          <w:rStyle w:val="29"/>
          <w:rFonts w:ascii="Times New Roman" w:hAnsi="黑体" w:eastAsia="黑体" w:cs="Times New Roman"/>
          <w:b w:val="0"/>
        </w:rPr>
        <w:t>预算绩效管理情况</w:t>
      </w:r>
      <w:bookmarkEnd w:id="62"/>
    </w:p>
    <w:p w14:paraId="1AB4A4C0">
      <w:pPr>
        <w:spacing w:line="576" w:lineRule="exact"/>
        <w:ind w:firstLine="640" w:firstLineChars="200"/>
        <w:rPr>
          <w:rFonts w:eastAsia="仿宋_GB2312"/>
          <w:sz w:val="32"/>
          <w:szCs w:val="32"/>
        </w:rPr>
      </w:pPr>
      <w:r>
        <w:rPr>
          <w:rFonts w:eastAsia="仿宋_GB2312"/>
          <w:sz w:val="32"/>
          <w:szCs w:val="32"/>
        </w:rPr>
        <w:t>根据预算绩效管理要求，本单位在2021年度预算编制阶段，组织对招商引资等1个项目开展了预算事前绩效评估，对1个项目编制了绩效目标，预算执行过程中，选取1个项目开展绩效监控，年终执行完毕后，对1个项目开展了绩效自评，2021年部门预算项目绩效目标自评表见附件（第四部分）。</w:t>
      </w:r>
    </w:p>
    <w:p w14:paraId="686CE38F">
      <w:pPr>
        <w:numPr>
          <w:ilvl w:val="0"/>
          <w:numId w:val="3"/>
        </w:numPr>
        <w:spacing w:line="576" w:lineRule="exact"/>
        <w:ind w:firstLine="640"/>
        <w:outlineLvl w:val="1"/>
        <w:rPr>
          <w:rStyle w:val="29"/>
          <w:rFonts w:ascii="Times New Roman" w:hAnsi="Times New Roman" w:eastAsia="黑体" w:cs="Times New Roman"/>
          <w:bCs w:val="0"/>
        </w:rPr>
      </w:pPr>
      <w:bookmarkStart w:id="65" w:name="_Toc144821709"/>
      <w:r>
        <w:rPr>
          <w:rStyle w:val="29"/>
          <w:rFonts w:ascii="Times New Roman" w:hAnsi="黑体" w:eastAsia="黑体" w:cs="Times New Roman"/>
          <w:bCs w:val="0"/>
        </w:rPr>
        <w:t>其他重要事项的情况说明</w:t>
      </w:r>
      <w:bookmarkEnd w:id="63"/>
      <w:bookmarkEnd w:id="64"/>
      <w:bookmarkEnd w:id="65"/>
    </w:p>
    <w:p w14:paraId="6AC5FF9D">
      <w:pPr>
        <w:spacing w:line="576" w:lineRule="exact"/>
        <w:ind w:firstLine="640" w:firstLineChars="200"/>
        <w:outlineLvl w:val="2"/>
        <w:rPr>
          <w:rFonts w:eastAsia="仿宋"/>
          <w:sz w:val="32"/>
          <w:szCs w:val="32"/>
        </w:rPr>
      </w:pPr>
      <w:bookmarkStart w:id="66" w:name="_Toc15377222"/>
      <w:r>
        <w:rPr>
          <w:rFonts w:hAnsi="仿宋" w:eastAsia="仿宋"/>
          <w:b/>
          <w:sz w:val="32"/>
          <w:szCs w:val="32"/>
        </w:rPr>
        <w:t>（一）机关运行经费支出情况</w:t>
      </w:r>
      <w:bookmarkEnd w:id="66"/>
    </w:p>
    <w:p w14:paraId="063D46B4">
      <w:pPr>
        <w:spacing w:line="576" w:lineRule="exact"/>
        <w:ind w:firstLine="640" w:firstLineChars="200"/>
        <w:rPr>
          <w:rFonts w:eastAsia="仿宋_GB2312"/>
          <w:sz w:val="32"/>
          <w:szCs w:val="32"/>
        </w:rPr>
      </w:pPr>
      <w:r>
        <w:rPr>
          <w:rFonts w:eastAsia="仿宋_GB2312"/>
          <w:sz w:val="32"/>
          <w:szCs w:val="32"/>
        </w:rPr>
        <w:t>2021年，区工商联机关运行经费支出41.87万元，比2020年增加17万元，增长68%。主要原因是单位人员增加</w:t>
      </w:r>
    </w:p>
    <w:p w14:paraId="166B9223">
      <w:pPr>
        <w:autoSpaceDE w:val="0"/>
        <w:autoSpaceDN w:val="0"/>
        <w:adjustRightInd w:val="0"/>
        <w:spacing w:line="576" w:lineRule="exact"/>
        <w:ind w:firstLine="640" w:firstLineChars="200"/>
        <w:outlineLvl w:val="2"/>
        <w:rPr>
          <w:rFonts w:eastAsia="仿宋"/>
          <w:b/>
          <w:sz w:val="32"/>
          <w:szCs w:val="32"/>
        </w:rPr>
      </w:pPr>
      <w:bookmarkStart w:id="67" w:name="_Toc15377223"/>
      <w:r>
        <w:rPr>
          <w:rFonts w:hAnsi="仿宋" w:eastAsia="仿宋"/>
          <w:b/>
          <w:sz w:val="32"/>
          <w:szCs w:val="32"/>
        </w:rPr>
        <w:t>（二）政府采购支出情况</w:t>
      </w:r>
      <w:bookmarkEnd w:id="67"/>
    </w:p>
    <w:p w14:paraId="3A5017D9">
      <w:pPr>
        <w:spacing w:line="576" w:lineRule="exact"/>
        <w:ind w:firstLine="640" w:firstLineChars="200"/>
        <w:rPr>
          <w:rFonts w:eastAsia="仿宋_GB2312"/>
          <w:sz w:val="32"/>
          <w:szCs w:val="32"/>
        </w:rPr>
      </w:pPr>
      <w:r>
        <w:rPr>
          <w:rFonts w:ascii="仿宋_GB2312" w:eastAsia="仿宋_GB2312"/>
          <w:sz w:val="32"/>
          <w:szCs w:val="32"/>
        </w:rPr>
        <w:t>20</w:t>
      </w:r>
      <w:r>
        <w:rPr>
          <w:rFonts w:hint="eastAsia" w:ascii="仿宋_GB2312" w:eastAsia="仿宋_GB2312"/>
          <w:sz w:val="32"/>
          <w:szCs w:val="32"/>
        </w:rPr>
        <w:t>21年，广元市昭化区工商联政府采购支出总额0万元，其中：政府采购货物支出0万元、政府采购工程支出0万元、政府采购服务支出0万元。授予中小企业合同金额0万元，占政府采购支出总额的0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14:paraId="7D092E97">
      <w:pPr>
        <w:autoSpaceDE w:val="0"/>
        <w:autoSpaceDN w:val="0"/>
        <w:adjustRightInd w:val="0"/>
        <w:spacing w:line="576" w:lineRule="exact"/>
        <w:ind w:firstLine="640" w:firstLineChars="200"/>
        <w:outlineLvl w:val="2"/>
        <w:rPr>
          <w:rFonts w:eastAsia="仿宋"/>
          <w:b/>
          <w:sz w:val="32"/>
          <w:szCs w:val="32"/>
        </w:rPr>
      </w:pPr>
      <w:bookmarkStart w:id="68" w:name="_Toc15377224"/>
      <w:r>
        <w:rPr>
          <w:rFonts w:hAnsi="仿宋" w:eastAsia="仿宋"/>
          <w:b/>
          <w:sz w:val="32"/>
          <w:szCs w:val="32"/>
        </w:rPr>
        <w:t>（三）国有资产占有使用情况</w:t>
      </w:r>
      <w:bookmarkEnd w:id="68"/>
    </w:p>
    <w:p w14:paraId="0D2D49EE">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日，广元市昭化工商联共有车辆0辆，其中：主要领导干部用车0辆、机要通信用车0辆、应急保障用车0辆、其他用车0辆单价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14:paraId="090110C5">
      <w:pPr>
        <w:autoSpaceDE w:val="0"/>
        <w:autoSpaceDN w:val="0"/>
        <w:adjustRightInd w:val="0"/>
        <w:spacing w:line="576" w:lineRule="exact"/>
        <w:ind w:firstLine="640" w:firstLineChars="200"/>
        <w:jc w:val="left"/>
        <w:rPr>
          <w:rFonts w:eastAsia="仿宋_GB2312"/>
          <w:sz w:val="32"/>
          <w:szCs w:val="32"/>
        </w:rPr>
      </w:pPr>
    </w:p>
    <w:p w14:paraId="10DA4E1F">
      <w:pPr>
        <w:autoSpaceDE w:val="0"/>
        <w:autoSpaceDN w:val="0"/>
        <w:adjustRightInd w:val="0"/>
        <w:spacing w:line="576" w:lineRule="exact"/>
        <w:jc w:val="center"/>
        <w:outlineLvl w:val="0"/>
        <w:rPr>
          <w:rStyle w:val="28"/>
          <w:rFonts w:eastAsia="黑体"/>
          <w:b w:val="0"/>
        </w:rPr>
      </w:pPr>
      <w:bookmarkStart w:id="69" w:name="_Toc15396613"/>
      <w:bookmarkStart w:id="70" w:name="_Toc15377225"/>
      <w:bookmarkStart w:id="71" w:name="_Toc144821710"/>
      <w:r>
        <w:rPr>
          <w:rFonts w:hint="eastAsia" w:hAnsi="黑体" w:eastAsia="黑体"/>
          <w:sz w:val="44"/>
          <w:szCs w:val="44"/>
        </w:rPr>
        <w:t xml:space="preserve">第三部分 </w:t>
      </w:r>
      <w:r>
        <w:rPr>
          <w:rFonts w:hAnsi="黑体" w:eastAsia="黑体"/>
          <w:sz w:val="44"/>
          <w:szCs w:val="44"/>
        </w:rPr>
        <w:t>名</w:t>
      </w:r>
      <w:r>
        <w:rPr>
          <w:rStyle w:val="28"/>
          <w:rFonts w:hAnsi="黑体" w:eastAsia="黑体"/>
          <w:b w:val="0"/>
        </w:rPr>
        <w:t>词解释</w:t>
      </w:r>
      <w:bookmarkEnd w:id="69"/>
      <w:bookmarkEnd w:id="70"/>
      <w:bookmarkEnd w:id="71"/>
    </w:p>
    <w:p w14:paraId="36F6F2C0">
      <w:pPr>
        <w:pStyle w:val="26"/>
        <w:spacing w:line="576" w:lineRule="exact"/>
        <w:ind w:firstLine="640" w:firstLineChars="200"/>
        <w:rPr>
          <w:rFonts w:ascii="Times New Roman" w:hAnsi="Times New Roman" w:eastAsia="仿宋_GB2312" w:cs="Times New Roman"/>
          <w:color w:val="auto"/>
          <w:sz w:val="32"/>
          <w:szCs w:val="32"/>
        </w:rPr>
      </w:pPr>
    </w:p>
    <w:p w14:paraId="549894B9">
      <w:pPr>
        <w:pStyle w:val="26"/>
        <w:spacing w:line="576"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1.财政拨款收入：指单位从同级财政部门取得的财政预算资金。</w:t>
      </w:r>
    </w:p>
    <w:p w14:paraId="3423DA1B">
      <w:pPr>
        <w:pStyle w:val="26"/>
        <w:spacing w:line="576"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2.事业收入：指事业单位开展专业业务活动及辅助活动取得的收入。如（二级预算单位事业收入情况）等。</w:t>
      </w:r>
    </w:p>
    <w:p w14:paraId="0465ACB3">
      <w:pPr>
        <w:pStyle w:val="26"/>
        <w:spacing w:line="576"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3.经营收入：指事业单位在专业业务活动及其辅助活动之外开展非独立核算经营活动取得的收入。如（二级预算单位经营收入情况）等。</w:t>
      </w:r>
    </w:p>
    <w:p w14:paraId="3291F108">
      <w:pPr>
        <w:pStyle w:val="26"/>
        <w:spacing w:line="576"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4.其他收入：指单位取得的除上述收入以外的各项收入。主要是（收入类型）等。 </w:t>
      </w:r>
    </w:p>
    <w:p w14:paraId="28156A77">
      <w:pPr>
        <w:pStyle w:val="26"/>
        <w:spacing w:line="576"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5.使用非财政拨款结余：指事业单位使用以前年度积累的非财政拨款结余弥补当年收支差额的金额。 </w:t>
      </w:r>
    </w:p>
    <w:p w14:paraId="3E850074">
      <w:pPr>
        <w:pStyle w:val="26"/>
        <w:spacing w:line="576"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6.年初结转和结余：指以前年度尚未完成、结转到本年按有关规定继续使用的资金。 </w:t>
      </w:r>
    </w:p>
    <w:p w14:paraId="13EDEF2E">
      <w:pPr>
        <w:pStyle w:val="26"/>
        <w:spacing w:line="576"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7.结余分配：指事业单位按照会计制度规定缴纳的所得税、提取的专用结余以及转入非财政拨款结余的金额等。</w:t>
      </w:r>
    </w:p>
    <w:p w14:paraId="759E0DDA">
      <w:pPr>
        <w:pStyle w:val="26"/>
        <w:spacing w:line="576"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8、年末结转和结余：指单位按有关规定结转到下年或以后年度继续使用的资金。</w:t>
      </w:r>
    </w:p>
    <w:p w14:paraId="6A08A1AE">
      <w:pPr>
        <w:spacing w:line="576" w:lineRule="exact"/>
        <w:ind w:firstLine="640" w:firstLineChars="200"/>
        <w:rPr>
          <w:rFonts w:eastAsia="仿宋_GB2312"/>
          <w:sz w:val="32"/>
          <w:szCs w:val="32"/>
        </w:rPr>
      </w:pPr>
      <w:r>
        <w:rPr>
          <w:rFonts w:eastAsia="仿宋_GB2312"/>
          <w:sz w:val="32"/>
          <w:szCs w:val="32"/>
        </w:rPr>
        <w:t>9.基本支出：指为保障机构正常运转、完成日常工作任务而发生的人员支出和公用支出。</w:t>
      </w:r>
    </w:p>
    <w:p w14:paraId="5EE50B20">
      <w:pPr>
        <w:spacing w:line="576" w:lineRule="exact"/>
        <w:ind w:firstLine="640" w:firstLineChars="200"/>
        <w:rPr>
          <w:rFonts w:eastAsia="仿宋_GB2312"/>
          <w:sz w:val="32"/>
          <w:szCs w:val="32"/>
        </w:rPr>
      </w:pPr>
      <w:r>
        <w:rPr>
          <w:rFonts w:eastAsia="仿宋_GB2312"/>
          <w:sz w:val="32"/>
          <w:szCs w:val="32"/>
        </w:rPr>
        <w:t xml:space="preserve">10.项目支出：指在基本支出之外为完成特定行政任务和事业发展目标所发生的支出。 </w:t>
      </w:r>
    </w:p>
    <w:p w14:paraId="55B714F7">
      <w:pPr>
        <w:spacing w:line="576" w:lineRule="exact"/>
        <w:ind w:firstLine="640" w:firstLineChars="200"/>
        <w:rPr>
          <w:rFonts w:eastAsia="仿宋_GB2312"/>
          <w:sz w:val="32"/>
          <w:szCs w:val="32"/>
        </w:rPr>
      </w:pPr>
      <w:r>
        <w:rPr>
          <w:rFonts w:eastAsia="仿宋_GB2312"/>
          <w:sz w:val="32"/>
          <w:szCs w:val="32"/>
        </w:rPr>
        <w:t>11.经营支出：指事业单位在专业业务活动及其辅助活动之外开展非独立核算经营活动发生的支出。</w:t>
      </w:r>
    </w:p>
    <w:p w14:paraId="0E3328CA">
      <w:pPr>
        <w:pStyle w:val="26"/>
        <w:spacing w:line="576"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12.“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1DBF681">
      <w:pPr>
        <w:pStyle w:val="26"/>
        <w:spacing w:line="576"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C0B3DAD">
      <w:pPr>
        <w:pStyle w:val="26"/>
        <w:spacing w:line="560" w:lineRule="exact"/>
        <w:ind w:firstLine="640" w:firstLineChars="200"/>
        <w:rPr>
          <w:rFonts w:ascii="Times New Roman" w:hAnsi="Times New Roman" w:eastAsia="仿宋_GB2312" w:cs="Times New Roman"/>
          <w:color w:val="auto"/>
          <w:sz w:val="32"/>
          <w:szCs w:val="32"/>
        </w:rPr>
      </w:pPr>
    </w:p>
    <w:p w14:paraId="4BC946D3">
      <w:pPr>
        <w:ind w:firstLine="640" w:firstLineChars="200"/>
        <w:rPr>
          <w:rFonts w:eastAsia="仿宋"/>
          <w:b/>
          <w:sz w:val="32"/>
          <w:szCs w:val="32"/>
        </w:rPr>
      </w:pPr>
    </w:p>
    <w:p w14:paraId="4C36782A">
      <w:pPr>
        <w:numPr>
          <w:ilvl w:val="0"/>
          <w:numId w:val="4"/>
        </w:numPr>
        <w:spacing w:line="600" w:lineRule="exact"/>
        <w:ind w:firstLine="660" w:firstLineChars="150"/>
        <w:outlineLvl w:val="0"/>
        <w:rPr>
          <w:rStyle w:val="28"/>
          <w:rFonts w:hAnsi="黑体" w:eastAsia="黑体"/>
          <w:b w:val="0"/>
        </w:rPr>
      </w:pPr>
      <w:bookmarkStart w:id="72" w:name="_Toc15377226"/>
      <w:r>
        <w:rPr>
          <w:b/>
          <w:sz w:val="44"/>
          <w:szCs w:val="44"/>
        </w:rPr>
        <w:br w:type="page"/>
      </w:r>
    </w:p>
    <w:p w14:paraId="02D58FD3">
      <w:pPr>
        <w:pStyle w:val="2"/>
        <w:spacing w:before="93"/>
        <w:jc w:val="center"/>
        <w:outlineLvl w:val="0"/>
        <w:rPr>
          <w:rFonts w:ascii="Times New Roman" w:hAnsi="黑体" w:eastAsia="黑体"/>
          <w:kern w:val="2"/>
          <w:sz w:val="44"/>
          <w:szCs w:val="44"/>
        </w:rPr>
      </w:pPr>
      <w:bookmarkStart w:id="73" w:name="_Toc144821711"/>
      <w:r>
        <w:rPr>
          <w:rFonts w:hint="eastAsia" w:ascii="Times New Roman" w:hAnsi="黑体" w:eastAsia="黑体"/>
          <w:kern w:val="2"/>
          <w:sz w:val="44"/>
          <w:szCs w:val="44"/>
        </w:rPr>
        <w:t>第四部分附件</w:t>
      </w:r>
      <w:bookmarkEnd w:id="73"/>
    </w:p>
    <w:p w14:paraId="6ACC9B06">
      <w:pPr>
        <w:spacing w:line="572" w:lineRule="exact"/>
        <w:jc w:val="left"/>
      </w:pPr>
      <w:bookmarkStart w:id="74" w:name="_Toc10993"/>
      <w:r>
        <w:rPr>
          <w:rFonts w:hint="eastAsia" w:ascii="黑体" w:hAnsi="黑体" w:eastAsia="黑体" w:cs="黑体"/>
          <w:sz w:val="32"/>
          <w:szCs w:val="32"/>
        </w:rPr>
        <w:t>附件</w:t>
      </w:r>
      <w:bookmarkEnd w:id="74"/>
    </w:p>
    <w:p w14:paraId="6D3466E4">
      <w:pPr>
        <w:widowControl/>
        <w:tabs>
          <w:tab w:val="left" w:pos="9575"/>
        </w:tabs>
        <w:spacing w:beforeLines="50" w:afterLines="50"/>
        <w:jc w:val="center"/>
        <w:textAlignment w:val="center"/>
        <w:rPr>
          <w:b/>
          <w:kern w:val="0"/>
          <w:sz w:val="32"/>
          <w:szCs w:val="32"/>
        </w:rPr>
      </w:pPr>
      <w:bookmarkStart w:id="75" w:name="_Toc15396618"/>
      <w:r>
        <w:rPr>
          <w:rFonts w:eastAsiaTheme="majorEastAsia"/>
          <w:b/>
          <w:sz w:val="32"/>
          <w:szCs w:val="32"/>
        </w:rPr>
        <w:t>2021</w:t>
      </w:r>
      <w:r>
        <w:rPr>
          <w:rFonts w:hAnsiTheme="majorEastAsia" w:eastAsiaTheme="majorEastAsia"/>
          <w:b/>
          <w:sz w:val="32"/>
          <w:szCs w:val="32"/>
        </w:rPr>
        <w:t>年部门预算项目绩效目标自评</w:t>
      </w:r>
    </w:p>
    <w:tbl>
      <w:tblPr>
        <w:tblStyle w:val="16"/>
        <w:tblW w:w="8927" w:type="dxa"/>
        <w:jc w:val="center"/>
        <w:tblLayout w:type="fixed"/>
        <w:tblCellMar>
          <w:top w:w="0" w:type="dxa"/>
          <w:left w:w="28" w:type="dxa"/>
          <w:bottom w:w="0" w:type="dxa"/>
          <w:right w:w="28" w:type="dxa"/>
        </w:tblCellMar>
      </w:tblPr>
      <w:tblGrid>
        <w:gridCol w:w="1618"/>
        <w:gridCol w:w="1170"/>
        <w:gridCol w:w="1257"/>
        <w:gridCol w:w="1636"/>
        <w:gridCol w:w="1545"/>
        <w:gridCol w:w="1701"/>
      </w:tblGrid>
      <w:tr w14:paraId="4A58DAC6">
        <w:tblPrEx>
          <w:tblCellMar>
            <w:top w:w="0" w:type="dxa"/>
            <w:left w:w="28" w:type="dxa"/>
            <w:bottom w:w="0" w:type="dxa"/>
            <w:right w:w="28" w:type="dxa"/>
          </w:tblCellMar>
        </w:tblPrEx>
        <w:trPr>
          <w:trHeight w:val="680" w:hRule="atLeast"/>
          <w:jc w:val="center"/>
        </w:trPr>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74F2F">
            <w:pPr>
              <w:spacing w:line="300" w:lineRule="exact"/>
              <w:jc w:val="center"/>
              <w:textAlignment w:val="center"/>
              <w:rPr>
                <w:rFonts w:eastAsiaTheme="majorEastAsia"/>
                <w:sz w:val="24"/>
              </w:rPr>
            </w:pPr>
            <w:r>
              <w:rPr>
                <w:rFonts w:hAnsiTheme="majorEastAsia" w:eastAsiaTheme="majorEastAsia"/>
                <w:kern w:val="0"/>
                <w:sz w:val="24"/>
              </w:rPr>
              <w:t>主管部门及代码</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0ED91">
            <w:pPr>
              <w:spacing w:line="300" w:lineRule="exact"/>
              <w:jc w:val="center"/>
              <w:textAlignment w:val="center"/>
              <w:rPr>
                <w:rFonts w:eastAsiaTheme="majorEastAsia"/>
                <w:sz w:val="24"/>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9539">
            <w:pPr>
              <w:spacing w:line="300" w:lineRule="exact"/>
              <w:jc w:val="center"/>
              <w:textAlignment w:val="center"/>
              <w:rPr>
                <w:rFonts w:eastAsiaTheme="majorEastAsia"/>
                <w:sz w:val="24"/>
              </w:rPr>
            </w:pPr>
            <w:r>
              <w:rPr>
                <w:rFonts w:hAnsiTheme="majorEastAsia" w:eastAsiaTheme="majorEastAsia"/>
                <w:kern w:val="0"/>
                <w:sz w:val="24"/>
              </w:rPr>
              <w:t>实施单位</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098B">
            <w:pPr>
              <w:spacing w:line="300" w:lineRule="exact"/>
              <w:jc w:val="center"/>
              <w:textAlignment w:val="center"/>
              <w:rPr>
                <w:rFonts w:eastAsiaTheme="majorEastAsia"/>
                <w:sz w:val="24"/>
              </w:rPr>
            </w:pPr>
            <w:r>
              <w:rPr>
                <w:rFonts w:hAnsiTheme="majorEastAsia" w:eastAsiaTheme="majorEastAsia"/>
                <w:sz w:val="24"/>
              </w:rPr>
              <w:t>区工商联</w:t>
            </w:r>
          </w:p>
        </w:tc>
      </w:tr>
      <w:tr w14:paraId="579943EF">
        <w:tblPrEx>
          <w:tblCellMar>
            <w:top w:w="0" w:type="dxa"/>
            <w:left w:w="28" w:type="dxa"/>
            <w:bottom w:w="0" w:type="dxa"/>
            <w:right w:w="28" w:type="dxa"/>
          </w:tblCellMar>
        </w:tblPrEx>
        <w:trPr>
          <w:trHeight w:val="680" w:hRule="atLeast"/>
          <w:jc w:val="center"/>
        </w:trPr>
        <w:tc>
          <w:tcPr>
            <w:tcW w:w="27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953853">
            <w:pPr>
              <w:spacing w:line="300" w:lineRule="exact"/>
              <w:jc w:val="center"/>
              <w:textAlignment w:val="center"/>
              <w:rPr>
                <w:rFonts w:eastAsiaTheme="majorEastAsia"/>
                <w:kern w:val="0"/>
                <w:sz w:val="24"/>
              </w:rPr>
            </w:pPr>
            <w:r>
              <w:rPr>
                <w:rFonts w:hAnsiTheme="majorEastAsia" w:eastAsiaTheme="majorEastAsia"/>
                <w:kern w:val="0"/>
                <w:sz w:val="24"/>
              </w:rPr>
              <w:t>项目预算</w:t>
            </w:r>
          </w:p>
          <w:p w14:paraId="4A81F305">
            <w:pPr>
              <w:spacing w:line="300" w:lineRule="exact"/>
              <w:jc w:val="center"/>
              <w:textAlignment w:val="center"/>
              <w:rPr>
                <w:rFonts w:eastAsiaTheme="majorEastAsia"/>
                <w:kern w:val="0"/>
                <w:sz w:val="24"/>
              </w:rPr>
            </w:pPr>
            <w:r>
              <w:rPr>
                <w:rFonts w:hAnsiTheme="majorEastAsia" w:eastAsiaTheme="majorEastAsia"/>
                <w:kern w:val="0"/>
                <w:sz w:val="24"/>
              </w:rPr>
              <w:t>执行情况</w:t>
            </w:r>
          </w:p>
          <w:p w14:paraId="0239D919">
            <w:pPr>
              <w:spacing w:line="300" w:lineRule="exact"/>
              <w:jc w:val="center"/>
              <w:textAlignment w:val="center"/>
              <w:rPr>
                <w:rFonts w:eastAsiaTheme="majorEastAsia"/>
                <w:sz w:val="24"/>
              </w:rPr>
            </w:pPr>
            <w:r>
              <w:rPr>
                <w:rFonts w:hAnsiTheme="majorEastAsia" w:eastAsiaTheme="majorEastAsia"/>
                <w:kern w:val="0"/>
                <w:sz w:val="24"/>
              </w:rPr>
              <w:t>（万元）</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5027">
            <w:pPr>
              <w:spacing w:line="300" w:lineRule="exact"/>
              <w:jc w:val="center"/>
              <w:textAlignment w:val="center"/>
              <w:rPr>
                <w:rFonts w:eastAsiaTheme="majorEastAsia"/>
                <w:sz w:val="24"/>
              </w:rPr>
            </w:pPr>
            <w:r>
              <w:rPr>
                <w:rFonts w:hAnsiTheme="majorEastAsia" w:eastAsiaTheme="majorEastAsia"/>
                <w:kern w:val="0"/>
                <w:sz w:val="24"/>
              </w:rPr>
              <w:t>预算数：</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107C">
            <w:pPr>
              <w:spacing w:line="300" w:lineRule="exact"/>
              <w:jc w:val="center"/>
              <w:textAlignment w:val="center"/>
              <w:rPr>
                <w:rFonts w:eastAsiaTheme="majorEastAsia"/>
                <w:sz w:val="24"/>
              </w:rPr>
            </w:pPr>
            <w:r>
              <w:rPr>
                <w:rFonts w:eastAsiaTheme="majorEastAsia"/>
                <w:sz w:val="24"/>
              </w:rPr>
              <w:t>5</w:t>
            </w:r>
            <w:r>
              <w:rPr>
                <w:rFonts w:hAnsiTheme="majorEastAsia" w:eastAsiaTheme="majorEastAsia"/>
                <w:sz w:val="24"/>
              </w:rPr>
              <w:t>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A87E">
            <w:pPr>
              <w:spacing w:line="300" w:lineRule="exact"/>
              <w:jc w:val="center"/>
              <w:textAlignment w:val="center"/>
              <w:rPr>
                <w:rFonts w:eastAsiaTheme="majorEastAsia"/>
                <w:sz w:val="24"/>
              </w:rPr>
            </w:pPr>
            <w:r>
              <w:rPr>
                <w:rFonts w:hAnsiTheme="majorEastAsia" w:eastAsiaTheme="majorEastAsia"/>
                <w:kern w:val="0"/>
                <w:sz w:val="24"/>
              </w:rPr>
              <w:t>执行数：</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DC32">
            <w:pPr>
              <w:spacing w:line="300" w:lineRule="exact"/>
              <w:jc w:val="center"/>
              <w:textAlignment w:val="center"/>
              <w:rPr>
                <w:rFonts w:eastAsiaTheme="majorEastAsia"/>
                <w:sz w:val="24"/>
              </w:rPr>
            </w:pPr>
            <w:r>
              <w:rPr>
                <w:rFonts w:eastAsiaTheme="majorEastAsia"/>
                <w:sz w:val="24"/>
              </w:rPr>
              <w:t>5</w:t>
            </w:r>
            <w:r>
              <w:rPr>
                <w:rFonts w:hAnsiTheme="majorEastAsia" w:eastAsiaTheme="majorEastAsia"/>
                <w:sz w:val="24"/>
              </w:rPr>
              <w:t>万</w:t>
            </w:r>
          </w:p>
        </w:tc>
      </w:tr>
      <w:tr w14:paraId="1AF98A42">
        <w:tblPrEx>
          <w:tblCellMar>
            <w:top w:w="0" w:type="dxa"/>
            <w:left w:w="28" w:type="dxa"/>
            <w:bottom w:w="0" w:type="dxa"/>
            <w:right w:w="28" w:type="dxa"/>
          </w:tblCellMar>
        </w:tblPrEx>
        <w:trPr>
          <w:trHeight w:val="680" w:hRule="atLeast"/>
          <w:jc w:val="center"/>
        </w:trPr>
        <w:tc>
          <w:tcPr>
            <w:tcW w:w="2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F408B">
            <w:pPr>
              <w:spacing w:line="300" w:lineRule="exact"/>
              <w:jc w:val="center"/>
              <w:rPr>
                <w:rFonts w:eastAsiaTheme="majorEastAsia"/>
                <w:sz w:val="24"/>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607B">
            <w:pPr>
              <w:spacing w:line="300" w:lineRule="exact"/>
              <w:jc w:val="center"/>
              <w:textAlignment w:val="center"/>
              <w:rPr>
                <w:rFonts w:eastAsiaTheme="majorEastAsia"/>
                <w:kern w:val="0"/>
                <w:sz w:val="24"/>
              </w:rPr>
            </w:pPr>
            <w:r>
              <w:rPr>
                <w:rFonts w:hAnsiTheme="majorEastAsia" w:eastAsiaTheme="majorEastAsia"/>
                <w:kern w:val="0"/>
                <w:sz w:val="24"/>
              </w:rPr>
              <w:t>其中：</w:t>
            </w:r>
          </w:p>
          <w:p w14:paraId="3355088E">
            <w:pPr>
              <w:spacing w:line="300" w:lineRule="exact"/>
              <w:jc w:val="center"/>
              <w:textAlignment w:val="center"/>
              <w:rPr>
                <w:rFonts w:eastAsiaTheme="majorEastAsia"/>
                <w:sz w:val="24"/>
              </w:rPr>
            </w:pPr>
            <w:r>
              <w:rPr>
                <w:rFonts w:hAnsiTheme="majorEastAsia" w:eastAsiaTheme="majorEastAsia"/>
                <w:kern w:val="0"/>
                <w:sz w:val="24"/>
              </w:rPr>
              <w:t>财政拨款</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7721">
            <w:pPr>
              <w:spacing w:line="300" w:lineRule="exact"/>
              <w:jc w:val="center"/>
              <w:textAlignment w:val="center"/>
              <w:rPr>
                <w:rFonts w:eastAsiaTheme="majorEastAsia"/>
                <w:sz w:val="24"/>
              </w:rPr>
            </w:pPr>
            <w:r>
              <w:rPr>
                <w:rFonts w:eastAsiaTheme="majorEastAsia"/>
                <w:sz w:val="24"/>
              </w:rPr>
              <w:t>5</w:t>
            </w:r>
            <w:r>
              <w:rPr>
                <w:rFonts w:hAnsiTheme="majorEastAsia" w:eastAsiaTheme="majorEastAsia"/>
                <w:sz w:val="24"/>
              </w:rPr>
              <w:t>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4FBF">
            <w:pPr>
              <w:spacing w:line="300" w:lineRule="exact"/>
              <w:jc w:val="center"/>
              <w:textAlignment w:val="center"/>
              <w:rPr>
                <w:rFonts w:eastAsiaTheme="majorEastAsia"/>
                <w:kern w:val="0"/>
                <w:sz w:val="24"/>
              </w:rPr>
            </w:pPr>
            <w:r>
              <w:rPr>
                <w:rFonts w:hAnsiTheme="majorEastAsia" w:eastAsiaTheme="majorEastAsia"/>
                <w:kern w:val="0"/>
                <w:sz w:val="24"/>
              </w:rPr>
              <w:t>其中：</w:t>
            </w:r>
          </w:p>
          <w:p w14:paraId="6F1E9EB2">
            <w:pPr>
              <w:spacing w:line="300" w:lineRule="exact"/>
              <w:jc w:val="center"/>
              <w:textAlignment w:val="center"/>
              <w:rPr>
                <w:rFonts w:eastAsiaTheme="majorEastAsia"/>
                <w:sz w:val="24"/>
              </w:rPr>
            </w:pPr>
            <w:r>
              <w:rPr>
                <w:rFonts w:hAnsiTheme="majorEastAsia" w:eastAsiaTheme="majorEastAsia"/>
                <w:kern w:val="0"/>
                <w:sz w:val="24"/>
              </w:rPr>
              <w:t>财政拨款</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87E5">
            <w:pPr>
              <w:spacing w:line="300" w:lineRule="exact"/>
              <w:jc w:val="center"/>
              <w:textAlignment w:val="center"/>
              <w:rPr>
                <w:rFonts w:eastAsiaTheme="majorEastAsia"/>
                <w:sz w:val="24"/>
              </w:rPr>
            </w:pPr>
            <w:r>
              <w:rPr>
                <w:rFonts w:eastAsiaTheme="majorEastAsia"/>
                <w:sz w:val="24"/>
              </w:rPr>
              <w:t>5</w:t>
            </w:r>
            <w:r>
              <w:rPr>
                <w:rFonts w:hAnsiTheme="majorEastAsia" w:eastAsiaTheme="majorEastAsia"/>
                <w:sz w:val="24"/>
              </w:rPr>
              <w:t>万</w:t>
            </w:r>
          </w:p>
        </w:tc>
      </w:tr>
      <w:tr w14:paraId="6DD39682">
        <w:tblPrEx>
          <w:tblCellMar>
            <w:top w:w="0" w:type="dxa"/>
            <w:left w:w="28" w:type="dxa"/>
            <w:bottom w:w="0" w:type="dxa"/>
            <w:right w:w="28" w:type="dxa"/>
          </w:tblCellMar>
        </w:tblPrEx>
        <w:trPr>
          <w:trHeight w:val="680" w:hRule="atLeast"/>
          <w:jc w:val="center"/>
        </w:trPr>
        <w:tc>
          <w:tcPr>
            <w:tcW w:w="2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F45A2">
            <w:pPr>
              <w:spacing w:line="300" w:lineRule="exact"/>
              <w:jc w:val="center"/>
              <w:rPr>
                <w:rFonts w:eastAsiaTheme="majorEastAsia"/>
                <w:sz w:val="24"/>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8878">
            <w:pPr>
              <w:spacing w:line="300" w:lineRule="exact"/>
              <w:jc w:val="center"/>
              <w:textAlignment w:val="center"/>
              <w:rPr>
                <w:rFonts w:eastAsiaTheme="majorEastAsia"/>
                <w:sz w:val="24"/>
              </w:rPr>
            </w:pPr>
            <w:r>
              <w:rPr>
                <w:rFonts w:hAnsiTheme="majorEastAsia" w:eastAsiaTheme="majorEastAsia"/>
                <w:kern w:val="0"/>
                <w:sz w:val="24"/>
              </w:rPr>
              <w:t>其他资金</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5A47">
            <w:pPr>
              <w:spacing w:line="300" w:lineRule="exact"/>
              <w:jc w:val="center"/>
              <w:textAlignment w:val="center"/>
              <w:rPr>
                <w:rFonts w:eastAsiaTheme="majorEastAsia"/>
                <w:sz w:val="24"/>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BE11">
            <w:pPr>
              <w:spacing w:line="300" w:lineRule="exact"/>
              <w:jc w:val="center"/>
              <w:textAlignment w:val="center"/>
              <w:rPr>
                <w:rFonts w:eastAsiaTheme="majorEastAsia"/>
                <w:sz w:val="24"/>
              </w:rPr>
            </w:pPr>
            <w:r>
              <w:rPr>
                <w:rFonts w:hAnsiTheme="majorEastAsia" w:eastAsiaTheme="majorEastAsia"/>
                <w:kern w:val="0"/>
                <w:sz w:val="24"/>
              </w:rPr>
              <w:t>其他资金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7F4F">
            <w:pPr>
              <w:spacing w:line="300" w:lineRule="exact"/>
              <w:jc w:val="center"/>
              <w:textAlignment w:val="center"/>
              <w:rPr>
                <w:rFonts w:eastAsiaTheme="majorEastAsia"/>
                <w:sz w:val="24"/>
              </w:rPr>
            </w:pPr>
          </w:p>
        </w:tc>
      </w:tr>
      <w:tr w14:paraId="4D834060">
        <w:tblPrEx>
          <w:tblCellMar>
            <w:top w:w="0" w:type="dxa"/>
            <w:left w:w="28" w:type="dxa"/>
            <w:bottom w:w="0" w:type="dxa"/>
            <w:right w:w="28" w:type="dxa"/>
          </w:tblCellMar>
        </w:tblPrEx>
        <w:trPr>
          <w:trHeight w:val="680" w:hRule="atLeast"/>
          <w:jc w:val="center"/>
        </w:trPr>
        <w:tc>
          <w:tcPr>
            <w:tcW w:w="1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568811">
            <w:pPr>
              <w:spacing w:line="300" w:lineRule="exact"/>
              <w:jc w:val="center"/>
              <w:textAlignment w:val="center"/>
              <w:rPr>
                <w:rFonts w:eastAsiaTheme="majorEastAsia"/>
                <w:kern w:val="0"/>
                <w:sz w:val="24"/>
              </w:rPr>
            </w:pPr>
            <w:r>
              <w:rPr>
                <w:rFonts w:hAnsiTheme="majorEastAsia" w:eastAsiaTheme="majorEastAsia"/>
                <w:kern w:val="0"/>
                <w:sz w:val="24"/>
              </w:rPr>
              <w:t>年度总体目标</w:t>
            </w:r>
          </w:p>
          <w:p w14:paraId="7A657EDD">
            <w:pPr>
              <w:spacing w:line="300" w:lineRule="exact"/>
              <w:jc w:val="center"/>
              <w:textAlignment w:val="center"/>
              <w:rPr>
                <w:rFonts w:eastAsiaTheme="majorEastAsia"/>
                <w:sz w:val="24"/>
              </w:rPr>
            </w:pPr>
            <w:r>
              <w:rPr>
                <w:rFonts w:hAnsiTheme="majorEastAsia" w:eastAsiaTheme="majorEastAsia"/>
                <w:kern w:val="0"/>
                <w:sz w:val="24"/>
              </w:rPr>
              <w:t>完成情况</w:t>
            </w:r>
          </w:p>
        </w:tc>
        <w:tc>
          <w:tcPr>
            <w:tcW w:w="40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43B0F6">
            <w:pPr>
              <w:spacing w:line="300" w:lineRule="exact"/>
              <w:jc w:val="center"/>
              <w:textAlignment w:val="center"/>
              <w:rPr>
                <w:rFonts w:eastAsiaTheme="majorEastAsia"/>
                <w:sz w:val="24"/>
              </w:rPr>
            </w:pPr>
            <w:r>
              <w:rPr>
                <w:rFonts w:hAnsiTheme="majorEastAsia" w:eastAsiaTheme="majorEastAsia"/>
                <w:kern w:val="0"/>
                <w:sz w:val="24"/>
              </w:rPr>
              <w:t>预期目标</w:t>
            </w:r>
          </w:p>
        </w:tc>
        <w:tc>
          <w:tcPr>
            <w:tcW w:w="3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029FA">
            <w:pPr>
              <w:spacing w:line="300" w:lineRule="exact"/>
              <w:jc w:val="center"/>
              <w:textAlignment w:val="center"/>
              <w:rPr>
                <w:rFonts w:eastAsiaTheme="majorEastAsia"/>
                <w:sz w:val="24"/>
              </w:rPr>
            </w:pPr>
            <w:r>
              <w:rPr>
                <w:rFonts w:hAnsiTheme="majorEastAsia" w:eastAsiaTheme="majorEastAsia"/>
                <w:kern w:val="0"/>
                <w:sz w:val="24"/>
              </w:rPr>
              <w:t>目标实际完成情况</w:t>
            </w:r>
          </w:p>
        </w:tc>
      </w:tr>
      <w:tr w14:paraId="28DF0E17">
        <w:tblPrEx>
          <w:tblCellMar>
            <w:top w:w="0" w:type="dxa"/>
            <w:left w:w="28" w:type="dxa"/>
            <w:bottom w:w="0" w:type="dxa"/>
            <w:right w:w="28" w:type="dxa"/>
          </w:tblCellMar>
        </w:tblPrEx>
        <w:trPr>
          <w:trHeight w:val="680" w:hRule="atLeast"/>
          <w:jc w:val="center"/>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29B41">
            <w:pPr>
              <w:spacing w:line="300" w:lineRule="exact"/>
              <w:jc w:val="center"/>
              <w:rPr>
                <w:rFonts w:eastAsiaTheme="majorEastAsia"/>
                <w:sz w:val="24"/>
              </w:rPr>
            </w:pPr>
          </w:p>
        </w:tc>
        <w:tc>
          <w:tcPr>
            <w:tcW w:w="40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4E24A9">
            <w:pPr>
              <w:spacing w:line="300" w:lineRule="exact"/>
              <w:jc w:val="center"/>
              <w:textAlignment w:val="top"/>
              <w:rPr>
                <w:rFonts w:eastAsiaTheme="majorEastAsia"/>
                <w:sz w:val="24"/>
              </w:rPr>
            </w:pPr>
            <w:r>
              <w:rPr>
                <w:rFonts w:hAnsiTheme="majorEastAsia" w:eastAsiaTheme="majorEastAsia"/>
                <w:sz w:val="24"/>
              </w:rPr>
              <w:t>加大招商引资力度，完成区委区政府下达的</w:t>
            </w:r>
            <w:r>
              <w:rPr>
                <w:rFonts w:eastAsiaTheme="majorEastAsia"/>
                <w:sz w:val="24"/>
              </w:rPr>
              <w:t>2021</w:t>
            </w:r>
            <w:r>
              <w:rPr>
                <w:rFonts w:hAnsiTheme="majorEastAsia" w:eastAsiaTheme="majorEastAsia"/>
                <w:sz w:val="24"/>
              </w:rPr>
              <w:t>年招商任务</w:t>
            </w:r>
            <w:r>
              <w:rPr>
                <w:rFonts w:eastAsiaTheme="majorEastAsia"/>
                <w:sz w:val="24"/>
              </w:rPr>
              <w:t>2000</w:t>
            </w:r>
            <w:r>
              <w:rPr>
                <w:rFonts w:hAnsiTheme="majorEastAsia" w:eastAsiaTheme="majorEastAsia"/>
                <w:sz w:val="24"/>
              </w:rPr>
              <w:t>万</w:t>
            </w:r>
          </w:p>
        </w:tc>
        <w:tc>
          <w:tcPr>
            <w:tcW w:w="3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F0244">
            <w:pPr>
              <w:spacing w:line="300" w:lineRule="exact"/>
              <w:jc w:val="center"/>
              <w:textAlignment w:val="top"/>
              <w:rPr>
                <w:rFonts w:eastAsiaTheme="majorEastAsia"/>
                <w:sz w:val="24"/>
              </w:rPr>
            </w:pPr>
            <w:r>
              <w:rPr>
                <w:rFonts w:hAnsiTheme="majorEastAsia" w:eastAsiaTheme="majorEastAsia"/>
                <w:sz w:val="24"/>
              </w:rPr>
              <w:t>未完成招商引资任务，该项目资金收回</w:t>
            </w:r>
          </w:p>
        </w:tc>
      </w:tr>
      <w:tr w14:paraId="3A4E463A">
        <w:tblPrEx>
          <w:tblCellMar>
            <w:top w:w="0" w:type="dxa"/>
            <w:left w:w="28" w:type="dxa"/>
            <w:bottom w:w="0" w:type="dxa"/>
            <w:right w:w="28" w:type="dxa"/>
          </w:tblCellMar>
        </w:tblPrEx>
        <w:trPr>
          <w:trHeight w:val="680" w:hRule="atLeast"/>
          <w:jc w:val="center"/>
        </w:trPr>
        <w:tc>
          <w:tcPr>
            <w:tcW w:w="1618" w:type="dxa"/>
            <w:vMerge w:val="restart"/>
            <w:tcBorders>
              <w:top w:val="single" w:color="000000" w:sz="4" w:space="0"/>
              <w:left w:val="single" w:color="000000" w:sz="4" w:space="0"/>
              <w:right w:val="single" w:color="000000" w:sz="4" w:space="0"/>
            </w:tcBorders>
            <w:shd w:val="clear" w:color="auto" w:fill="auto"/>
            <w:vAlign w:val="center"/>
          </w:tcPr>
          <w:p w14:paraId="3B8FD113">
            <w:pPr>
              <w:spacing w:line="300" w:lineRule="exact"/>
              <w:jc w:val="center"/>
              <w:textAlignment w:val="center"/>
              <w:rPr>
                <w:rFonts w:eastAsiaTheme="majorEastAsia"/>
                <w:sz w:val="24"/>
              </w:rPr>
            </w:pPr>
            <w:r>
              <w:rPr>
                <w:rFonts w:hAnsiTheme="majorEastAsia" w:eastAsiaTheme="majorEastAsia"/>
                <w:kern w:val="0"/>
                <w:sz w:val="24"/>
              </w:rPr>
              <w:t>年度绩效指标完成情况</w:t>
            </w:r>
          </w:p>
        </w:tc>
        <w:tc>
          <w:tcPr>
            <w:tcW w:w="1170" w:type="dxa"/>
            <w:tcBorders>
              <w:top w:val="single" w:color="000000" w:sz="4" w:space="0"/>
              <w:left w:val="nil"/>
              <w:bottom w:val="single" w:color="000000" w:sz="4" w:space="0"/>
              <w:right w:val="single" w:color="000000" w:sz="4" w:space="0"/>
            </w:tcBorders>
            <w:shd w:val="clear" w:color="auto" w:fill="auto"/>
            <w:vAlign w:val="center"/>
          </w:tcPr>
          <w:p w14:paraId="67594F6F">
            <w:pPr>
              <w:spacing w:line="300" w:lineRule="exact"/>
              <w:jc w:val="center"/>
              <w:textAlignment w:val="center"/>
              <w:rPr>
                <w:rFonts w:eastAsiaTheme="majorEastAsia"/>
                <w:kern w:val="0"/>
                <w:sz w:val="24"/>
              </w:rPr>
            </w:pPr>
            <w:r>
              <w:rPr>
                <w:rFonts w:hAnsiTheme="majorEastAsia" w:eastAsiaTheme="majorEastAsia"/>
                <w:kern w:val="0"/>
                <w:sz w:val="24"/>
              </w:rPr>
              <w:t>一级</w:t>
            </w:r>
          </w:p>
          <w:p w14:paraId="2D5858FC">
            <w:pPr>
              <w:spacing w:line="300" w:lineRule="exact"/>
              <w:jc w:val="center"/>
              <w:textAlignment w:val="center"/>
              <w:rPr>
                <w:rFonts w:eastAsiaTheme="majorEastAsia"/>
                <w:sz w:val="24"/>
              </w:rPr>
            </w:pPr>
            <w:r>
              <w:rPr>
                <w:rFonts w:hAnsiTheme="majorEastAsia" w:eastAsiaTheme="majorEastAsia"/>
                <w:kern w:val="0"/>
                <w:sz w:val="24"/>
              </w:rPr>
              <w:t>指标</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616E">
            <w:pPr>
              <w:spacing w:line="300" w:lineRule="exact"/>
              <w:jc w:val="center"/>
              <w:textAlignment w:val="center"/>
              <w:rPr>
                <w:rFonts w:eastAsiaTheme="majorEastAsia"/>
                <w:kern w:val="0"/>
                <w:sz w:val="24"/>
              </w:rPr>
            </w:pPr>
            <w:r>
              <w:rPr>
                <w:rFonts w:hAnsiTheme="majorEastAsia" w:eastAsiaTheme="majorEastAsia"/>
                <w:kern w:val="0"/>
                <w:sz w:val="24"/>
              </w:rPr>
              <w:t>二级</w:t>
            </w:r>
          </w:p>
          <w:p w14:paraId="5A34814F">
            <w:pPr>
              <w:spacing w:line="300" w:lineRule="exact"/>
              <w:jc w:val="center"/>
              <w:textAlignment w:val="center"/>
              <w:rPr>
                <w:rFonts w:eastAsiaTheme="majorEastAsia"/>
                <w:sz w:val="24"/>
              </w:rPr>
            </w:pPr>
            <w:r>
              <w:rPr>
                <w:rFonts w:hAnsiTheme="majorEastAsia" w:eastAsiaTheme="majorEastAsia"/>
                <w:kern w:val="0"/>
                <w:sz w:val="24"/>
              </w:rPr>
              <w:t>指标</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432A">
            <w:pPr>
              <w:spacing w:line="300" w:lineRule="exact"/>
              <w:jc w:val="center"/>
              <w:textAlignment w:val="center"/>
              <w:rPr>
                <w:rFonts w:eastAsiaTheme="majorEastAsia"/>
                <w:kern w:val="0"/>
                <w:sz w:val="24"/>
              </w:rPr>
            </w:pPr>
            <w:r>
              <w:rPr>
                <w:rFonts w:hAnsiTheme="majorEastAsia" w:eastAsiaTheme="majorEastAsia"/>
                <w:kern w:val="0"/>
                <w:sz w:val="24"/>
              </w:rPr>
              <w:t>三级</w:t>
            </w:r>
          </w:p>
          <w:p w14:paraId="38F48AB4">
            <w:pPr>
              <w:spacing w:line="300" w:lineRule="exact"/>
              <w:jc w:val="center"/>
              <w:textAlignment w:val="center"/>
              <w:rPr>
                <w:rFonts w:eastAsiaTheme="majorEastAsia"/>
                <w:sz w:val="24"/>
              </w:rPr>
            </w:pPr>
            <w:r>
              <w:rPr>
                <w:rFonts w:hAnsiTheme="majorEastAsia" w:eastAsiaTheme="majorEastAsia"/>
                <w:kern w:val="0"/>
                <w:sz w:val="24"/>
              </w:rPr>
              <w:t>指标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80C3">
            <w:pPr>
              <w:spacing w:line="300" w:lineRule="exact"/>
              <w:jc w:val="center"/>
              <w:textAlignment w:val="center"/>
              <w:rPr>
                <w:rFonts w:eastAsiaTheme="majorEastAsia"/>
                <w:sz w:val="24"/>
              </w:rPr>
            </w:pPr>
            <w:r>
              <w:rPr>
                <w:rFonts w:hAnsiTheme="majorEastAsia" w:eastAsiaTheme="majorEastAsia"/>
                <w:kern w:val="0"/>
                <w:sz w:val="24"/>
              </w:rPr>
              <w:t>预期指标值</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B218">
            <w:pPr>
              <w:spacing w:line="300" w:lineRule="exact"/>
              <w:jc w:val="center"/>
              <w:textAlignment w:val="center"/>
              <w:rPr>
                <w:rFonts w:eastAsiaTheme="majorEastAsia"/>
                <w:kern w:val="0"/>
                <w:sz w:val="24"/>
              </w:rPr>
            </w:pPr>
            <w:r>
              <w:rPr>
                <w:rFonts w:hAnsiTheme="majorEastAsia" w:eastAsiaTheme="majorEastAsia"/>
                <w:kern w:val="0"/>
                <w:sz w:val="24"/>
              </w:rPr>
              <w:t>实际完成</w:t>
            </w:r>
          </w:p>
          <w:p w14:paraId="5D2AED4E">
            <w:pPr>
              <w:spacing w:line="300" w:lineRule="exact"/>
              <w:jc w:val="center"/>
              <w:textAlignment w:val="center"/>
              <w:rPr>
                <w:rFonts w:eastAsiaTheme="majorEastAsia"/>
                <w:sz w:val="24"/>
              </w:rPr>
            </w:pPr>
            <w:r>
              <w:rPr>
                <w:rFonts w:hAnsiTheme="majorEastAsia" w:eastAsiaTheme="majorEastAsia"/>
                <w:kern w:val="0"/>
                <w:sz w:val="24"/>
              </w:rPr>
              <w:t>指标值</w:t>
            </w:r>
          </w:p>
        </w:tc>
      </w:tr>
      <w:tr w14:paraId="50756EE2">
        <w:tblPrEx>
          <w:tblCellMar>
            <w:top w:w="0" w:type="dxa"/>
            <w:left w:w="28" w:type="dxa"/>
            <w:bottom w:w="0" w:type="dxa"/>
            <w:right w:w="28" w:type="dxa"/>
          </w:tblCellMar>
        </w:tblPrEx>
        <w:trPr>
          <w:trHeight w:val="680" w:hRule="atLeast"/>
          <w:jc w:val="center"/>
        </w:trPr>
        <w:tc>
          <w:tcPr>
            <w:tcW w:w="1618" w:type="dxa"/>
            <w:vMerge w:val="continue"/>
            <w:tcBorders>
              <w:left w:val="single" w:color="000000" w:sz="4" w:space="0"/>
              <w:right w:val="single" w:color="000000" w:sz="4" w:space="0"/>
            </w:tcBorders>
            <w:shd w:val="clear" w:color="auto" w:fill="auto"/>
            <w:vAlign w:val="center"/>
          </w:tcPr>
          <w:p w14:paraId="600A4585">
            <w:pPr>
              <w:spacing w:line="300" w:lineRule="exact"/>
              <w:jc w:val="center"/>
              <w:rPr>
                <w:rFonts w:eastAsiaTheme="majorEastAsia"/>
                <w:sz w:val="24"/>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836416">
            <w:pPr>
              <w:spacing w:line="300" w:lineRule="exact"/>
              <w:jc w:val="center"/>
              <w:textAlignment w:val="bottom"/>
              <w:rPr>
                <w:rFonts w:eastAsiaTheme="majorEastAsia"/>
                <w:kern w:val="0"/>
                <w:sz w:val="24"/>
              </w:rPr>
            </w:pPr>
            <w:r>
              <w:rPr>
                <w:rFonts w:hAnsiTheme="majorEastAsia" w:eastAsiaTheme="majorEastAsia"/>
                <w:kern w:val="0"/>
                <w:sz w:val="24"/>
              </w:rPr>
              <w:t>完成</w:t>
            </w:r>
          </w:p>
          <w:p w14:paraId="721AF635">
            <w:pPr>
              <w:spacing w:line="300" w:lineRule="exact"/>
              <w:jc w:val="center"/>
              <w:textAlignment w:val="bottom"/>
              <w:rPr>
                <w:rFonts w:eastAsiaTheme="majorEastAsia"/>
                <w:sz w:val="24"/>
              </w:rPr>
            </w:pPr>
            <w:r>
              <w:rPr>
                <w:rFonts w:hAnsiTheme="majorEastAsia" w:eastAsiaTheme="majorEastAsia"/>
                <w:kern w:val="0"/>
                <w:sz w:val="24"/>
              </w:rPr>
              <w:t>指标</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F32A">
            <w:pPr>
              <w:spacing w:line="300" w:lineRule="exact"/>
              <w:jc w:val="center"/>
              <w:textAlignment w:val="bottom"/>
              <w:rPr>
                <w:rFonts w:eastAsiaTheme="majorEastAsia"/>
                <w:sz w:val="24"/>
              </w:rPr>
            </w:pPr>
            <w:r>
              <w:rPr>
                <w:rFonts w:hAnsiTheme="majorEastAsia" w:eastAsiaTheme="majorEastAsia"/>
                <w:kern w:val="0"/>
                <w:sz w:val="24"/>
              </w:rPr>
              <w:t>数量指标</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0A3F">
            <w:pPr>
              <w:spacing w:line="300" w:lineRule="exact"/>
              <w:jc w:val="center"/>
              <w:textAlignment w:val="bottom"/>
              <w:rPr>
                <w:rFonts w:eastAsiaTheme="majorEastAsia"/>
                <w:sz w:val="24"/>
              </w:rPr>
            </w:pPr>
            <w:r>
              <w:rPr>
                <w:rFonts w:hAnsiTheme="majorEastAsia" w:eastAsiaTheme="majorEastAsia"/>
                <w:sz w:val="24"/>
              </w:rPr>
              <w:t>项目签约金额</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A107">
            <w:pPr>
              <w:spacing w:line="300" w:lineRule="exact"/>
              <w:jc w:val="center"/>
              <w:textAlignment w:val="bottom"/>
              <w:rPr>
                <w:rFonts w:eastAsiaTheme="majorEastAsia"/>
                <w:sz w:val="24"/>
              </w:rPr>
            </w:pPr>
            <w:r>
              <w:rPr>
                <w:rFonts w:eastAsiaTheme="majorEastAsia"/>
                <w:sz w:val="24"/>
              </w:rPr>
              <w:t>2000</w:t>
            </w:r>
            <w:r>
              <w:rPr>
                <w:rFonts w:hAnsiTheme="majorEastAsia" w:eastAsiaTheme="majorEastAsia"/>
                <w:sz w:val="24"/>
              </w:rPr>
              <w:t>万</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25CD">
            <w:pPr>
              <w:spacing w:line="300" w:lineRule="exact"/>
              <w:jc w:val="center"/>
              <w:textAlignment w:val="bottom"/>
              <w:rPr>
                <w:rFonts w:eastAsiaTheme="majorEastAsia"/>
                <w:sz w:val="24"/>
              </w:rPr>
            </w:pPr>
            <w:r>
              <w:rPr>
                <w:rFonts w:hAnsiTheme="majorEastAsia" w:eastAsiaTheme="majorEastAsia"/>
                <w:sz w:val="24"/>
              </w:rPr>
              <w:t>未完成</w:t>
            </w:r>
          </w:p>
        </w:tc>
      </w:tr>
      <w:tr w14:paraId="5AE96367">
        <w:tblPrEx>
          <w:tblCellMar>
            <w:top w:w="0" w:type="dxa"/>
            <w:left w:w="28" w:type="dxa"/>
            <w:bottom w:w="0" w:type="dxa"/>
            <w:right w:w="28" w:type="dxa"/>
          </w:tblCellMar>
        </w:tblPrEx>
        <w:trPr>
          <w:trHeight w:val="680" w:hRule="atLeast"/>
          <w:jc w:val="center"/>
        </w:trPr>
        <w:tc>
          <w:tcPr>
            <w:tcW w:w="1618" w:type="dxa"/>
            <w:vMerge w:val="continue"/>
            <w:tcBorders>
              <w:left w:val="single" w:color="000000" w:sz="4" w:space="0"/>
              <w:right w:val="single" w:color="000000" w:sz="4" w:space="0"/>
            </w:tcBorders>
            <w:shd w:val="clear" w:color="auto" w:fill="auto"/>
            <w:vAlign w:val="center"/>
          </w:tcPr>
          <w:p w14:paraId="4ADB6023">
            <w:pPr>
              <w:spacing w:line="300" w:lineRule="exact"/>
              <w:jc w:val="center"/>
              <w:rPr>
                <w:rFonts w:eastAsiaTheme="majorEastAsia"/>
                <w:sz w:val="24"/>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94232">
            <w:pPr>
              <w:spacing w:line="300" w:lineRule="exact"/>
              <w:jc w:val="center"/>
              <w:rPr>
                <w:rFonts w:eastAsiaTheme="majorEastAsia"/>
                <w:sz w:val="24"/>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73C4">
            <w:pPr>
              <w:spacing w:line="300" w:lineRule="exact"/>
              <w:jc w:val="center"/>
              <w:textAlignment w:val="bottom"/>
              <w:rPr>
                <w:rFonts w:eastAsiaTheme="majorEastAsia"/>
                <w:sz w:val="24"/>
              </w:rPr>
            </w:pPr>
            <w:r>
              <w:rPr>
                <w:rFonts w:hAnsiTheme="majorEastAsia" w:eastAsiaTheme="majorEastAsia"/>
                <w:kern w:val="0"/>
                <w:sz w:val="24"/>
              </w:rPr>
              <w:t>质量指标</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7B45">
            <w:pPr>
              <w:spacing w:line="300" w:lineRule="exact"/>
              <w:jc w:val="center"/>
              <w:textAlignment w:val="bottom"/>
              <w:rPr>
                <w:rFonts w:eastAsiaTheme="majorEastAsia"/>
                <w:sz w:val="24"/>
              </w:rPr>
            </w:pPr>
            <w:r>
              <w:rPr>
                <w:rFonts w:hAnsiTheme="majorEastAsia" w:eastAsiaTheme="majorEastAsia"/>
                <w:sz w:val="24"/>
              </w:rPr>
              <w:t>完成项目履约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C065">
            <w:pPr>
              <w:spacing w:line="300" w:lineRule="exact"/>
              <w:jc w:val="center"/>
              <w:textAlignment w:val="bottom"/>
              <w:rPr>
                <w:rFonts w:eastAsiaTheme="majorEastAsia"/>
                <w:sz w:val="24"/>
              </w:rPr>
            </w:pPr>
            <w:r>
              <w:rPr>
                <w:rFonts w:hAnsiTheme="majorEastAsia" w:eastAsiaTheme="majorEastAsia"/>
                <w:sz w:val="24"/>
              </w:rPr>
              <w:t>完成所有手续</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9D2A">
            <w:pPr>
              <w:spacing w:line="300" w:lineRule="exact"/>
              <w:jc w:val="center"/>
              <w:textAlignment w:val="bottom"/>
              <w:rPr>
                <w:rFonts w:eastAsiaTheme="majorEastAsia"/>
                <w:sz w:val="24"/>
              </w:rPr>
            </w:pPr>
            <w:r>
              <w:rPr>
                <w:rFonts w:hAnsiTheme="majorEastAsia" w:eastAsiaTheme="majorEastAsia"/>
                <w:sz w:val="24"/>
              </w:rPr>
              <w:t>未完成</w:t>
            </w:r>
          </w:p>
        </w:tc>
      </w:tr>
      <w:tr w14:paraId="2B450B68">
        <w:tblPrEx>
          <w:tblCellMar>
            <w:top w:w="0" w:type="dxa"/>
            <w:left w:w="28" w:type="dxa"/>
            <w:bottom w:w="0" w:type="dxa"/>
            <w:right w:w="28" w:type="dxa"/>
          </w:tblCellMar>
        </w:tblPrEx>
        <w:trPr>
          <w:trHeight w:val="606" w:hRule="atLeast"/>
          <w:jc w:val="center"/>
        </w:trPr>
        <w:tc>
          <w:tcPr>
            <w:tcW w:w="1618" w:type="dxa"/>
            <w:vMerge w:val="continue"/>
            <w:tcBorders>
              <w:left w:val="single" w:color="000000" w:sz="4" w:space="0"/>
              <w:right w:val="single" w:color="000000" w:sz="4" w:space="0"/>
            </w:tcBorders>
            <w:shd w:val="clear" w:color="auto" w:fill="auto"/>
            <w:vAlign w:val="center"/>
          </w:tcPr>
          <w:p w14:paraId="092E1AA7">
            <w:pPr>
              <w:spacing w:line="300" w:lineRule="exact"/>
              <w:jc w:val="center"/>
              <w:rPr>
                <w:rFonts w:eastAsiaTheme="majorEastAsia"/>
                <w:sz w:val="24"/>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27ACE">
            <w:pPr>
              <w:spacing w:line="300" w:lineRule="exact"/>
              <w:jc w:val="center"/>
              <w:rPr>
                <w:rFonts w:eastAsiaTheme="majorEastAsia"/>
                <w:sz w:val="24"/>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2FD9">
            <w:pPr>
              <w:spacing w:line="300" w:lineRule="exact"/>
              <w:jc w:val="center"/>
              <w:textAlignment w:val="bottom"/>
              <w:rPr>
                <w:rFonts w:eastAsiaTheme="majorEastAsia"/>
                <w:sz w:val="24"/>
              </w:rPr>
            </w:pPr>
            <w:r>
              <w:rPr>
                <w:rFonts w:hAnsiTheme="majorEastAsia" w:eastAsiaTheme="majorEastAsia"/>
                <w:kern w:val="0"/>
                <w:sz w:val="24"/>
              </w:rPr>
              <w:t>时效指标</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3D2E">
            <w:pPr>
              <w:spacing w:line="300" w:lineRule="exact"/>
              <w:jc w:val="center"/>
              <w:textAlignment w:val="bottom"/>
              <w:rPr>
                <w:rFonts w:eastAsiaTheme="majorEastAsia"/>
                <w:sz w:val="24"/>
              </w:rPr>
            </w:pPr>
            <w:r>
              <w:rPr>
                <w:rFonts w:hAnsiTheme="majorEastAsia" w:eastAsiaTheme="majorEastAsia"/>
                <w:sz w:val="24"/>
              </w:rPr>
              <w:t>完成项目进度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6765">
            <w:pPr>
              <w:spacing w:line="300" w:lineRule="exact"/>
              <w:jc w:val="center"/>
              <w:textAlignment w:val="bottom"/>
              <w:rPr>
                <w:rFonts w:eastAsiaTheme="majorEastAsia"/>
                <w:sz w:val="24"/>
              </w:rPr>
            </w:pPr>
            <w:r>
              <w:rPr>
                <w:rFonts w:hAnsiTheme="majorEastAsia" w:eastAsiaTheme="majorEastAsia"/>
                <w:sz w:val="24"/>
              </w:rPr>
              <w:t>年底完成项目开工</w:t>
            </w:r>
            <w:r>
              <w:rPr>
                <w:rFonts w:eastAsiaTheme="majorEastAsia"/>
                <w:sz w:val="24"/>
              </w:rPr>
              <w:t>30%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D6DD">
            <w:pPr>
              <w:spacing w:line="300" w:lineRule="exact"/>
              <w:jc w:val="center"/>
              <w:textAlignment w:val="bottom"/>
              <w:rPr>
                <w:rFonts w:eastAsiaTheme="majorEastAsia"/>
                <w:sz w:val="24"/>
              </w:rPr>
            </w:pPr>
            <w:r>
              <w:rPr>
                <w:rFonts w:hAnsiTheme="majorEastAsia" w:eastAsiaTheme="majorEastAsia"/>
                <w:sz w:val="24"/>
              </w:rPr>
              <w:t>未完成</w:t>
            </w:r>
          </w:p>
        </w:tc>
      </w:tr>
      <w:tr w14:paraId="060AF5C5">
        <w:tblPrEx>
          <w:tblCellMar>
            <w:top w:w="0" w:type="dxa"/>
            <w:left w:w="28" w:type="dxa"/>
            <w:bottom w:w="0" w:type="dxa"/>
            <w:right w:w="28" w:type="dxa"/>
          </w:tblCellMar>
        </w:tblPrEx>
        <w:trPr>
          <w:trHeight w:val="558" w:hRule="atLeast"/>
          <w:jc w:val="center"/>
        </w:trPr>
        <w:tc>
          <w:tcPr>
            <w:tcW w:w="1618" w:type="dxa"/>
            <w:vMerge w:val="continue"/>
            <w:tcBorders>
              <w:left w:val="single" w:color="000000" w:sz="4" w:space="0"/>
              <w:right w:val="single" w:color="000000" w:sz="4" w:space="0"/>
            </w:tcBorders>
            <w:shd w:val="clear" w:color="auto" w:fill="auto"/>
            <w:vAlign w:val="center"/>
          </w:tcPr>
          <w:p w14:paraId="2DA2457C">
            <w:pPr>
              <w:spacing w:line="300" w:lineRule="exact"/>
              <w:jc w:val="center"/>
              <w:rPr>
                <w:rFonts w:eastAsiaTheme="majorEastAsia"/>
                <w:sz w:val="24"/>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57CA1">
            <w:pPr>
              <w:spacing w:line="300" w:lineRule="exact"/>
              <w:jc w:val="center"/>
              <w:rPr>
                <w:rFonts w:eastAsiaTheme="majorEastAsia"/>
                <w:sz w:val="24"/>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DCE9">
            <w:pPr>
              <w:spacing w:line="300" w:lineRule="exact"/>
              <w:jc w:val="center"/>
              <w:textAlignment w:val="bottom"/>
              <w:rPr>
                <w:rFonts w:eastAsiaTheme="majorEastAsia"/>
                <w:sz w:val="24"/>
              </w:rPr>
            </w:pPr>
            <w:r>
              <w:rPr>
                <w:rFonts w:hAnsiTheme="majorEastAsia" w:eastAsiaTheme="majorEastAsia"/>
                <w:kern w:val="0"/>
                <w:sz w:val="24"/>
              </w:rPr>
              <w:t>成本指标</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E867">
            <w:pPr>
              <w:spacing w:line="300" w:lineRule="exact"/>
              <w:jc w:val="center"/>
              <w:textAlignment w:val="bottom"/>
              <w:rPr>
                <w:rFonts w:eastAsiaTheme="majorEastAsia"/>
                <w:sz w:val="24"/>
              </w:rPr>
            </w:pPr>
            <w:r>
              <w:rPr>
                <w:rFonts w:hAnsiTheme="majorEastAsia" w:eastAsiaTheme="majorEastAsia"/>
                <w:sz w:val="24"/>
              </w:rPr>
              <w:t>开展招商活动经费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FFBE">
            <w:pPr>
              <w:spacing w:line="300" w:lineRule="exact"/>
              <w:jc w:val="center"/>
              <w:textAlignment w:val="bottom"/>
              <w:rPr>
                <w:rFonts w:eastAsiaTheme="majorEastAsia"/>
                <w:sz w:val="24"/>
              </w:rPr>
            </w:pPr>
            <w:r>
              <w:rPr>
                <w:rFonts w:eastAsiaTheme="majorEastAsia"/>
                <w:sz w:val="24"/>
              </w:rPr>
              <w:t>5</w:t>
            </w:r>
            <w:r>
              <w:rPr>
                <w:rFonts w:hAnsiTheme="majorEastAsia" w:eastAsiaTheme="majorEastAsia"/>
                <w:sz w:val="24"/>
              </w:rPr>
              <w:t>万元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31BA">
            <w:pPr>
              <w:spacing w:line="300" w:lineRule="exact"/>
              <w:jc w:val="center"/>
              <w:textAlignment w:val="bottom"/>
              <w:rPr>
                <w:rFonts w:eastAsiaTheme="majorEastAsia"/>
                <w:sz w:val="24"/>
              </w:rPr>
            </w:pPr>
            <w:r>
              <w:rPr>
                <w:rFonts w:hAnsiTheme="majorEastAsia" w:eastAsiaTheme="majorEastAsia"/>
                <w:sz w:val="24"/>
              </w:rPr>
              <w:t>未完成</w:t>
            </w:r>
          </w:p>
        </w:tc>
      </w:tr>
      <w:tr w14:paraId="5ABEA818">
        <w:tblPrEx>
          <w:tblCellMar>
            <w:top w:w="0" w:type="dxa"/>
            <w:left w:w="28" w:type="dxa"/>
            <w:bottom w:w="0" w:type="dxa"/>
            <w:right w:w="28" w:type="dxa"/>
          </w:tblCellMar>
        </w:tblPrEx>
        <w:trPr>
          <w:trHeight w:val="606" w:hRule="atLeast"/>
          <w:jc w:val="center"/>
        </w:trPr>
        <w:tc>
          <w:tcPr>
            <w:tcW w:w="1618" w:type="dxa"/>
            <w:vMerge w:val="continue"/>
            <w:tcBorders>
              <w:left w:val="single" w:color="000000" w:sz="4" w:space="0"/>
              <w:right w:val="single" w:color="000000" w:sz="4" w:space="0"/>
            </w:tcBorders>
            <w:shd w:val="clear" w:color="auto" w:fill="auto"/>
            <w:vAlign w:val="center"/>
          </w:tcPr>
          <w:p w14:paraId="4E378AF8">
            <w:pPr>
              <w:spacing w:line="300" w:lineRule="exact"/>
              <w:jc w:val="center"/>
              <w:rPr>
                <w:rFonts w:eastAsiaTheme="majorEastAsia"/>
                <w:sz w:val="24"/>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ACE06F">
            <w:pPr>
              <w:spacing w:line="300" w:lineRule="exact"/>
              <w:jc w:val="center"/>
              <w:textAlignment w:val="bottom"/>
              <w:rPr>
                <w:rFonts w:eastAsiaTheme="majorEastAsia"/>
                <w:kern w:val="0"/>
                <w:sz w:val="24"/>
              </w:rPr>
            </w:pPr>
            <w:r>
              <w:rPr>
                <w:rFonts w:hAnsiTheme="majorEastAsia" w:eastAsiaTheme="majorEastAsia"/>
                <w:kern w:val="0"/>
                <w:sz w:val="24"/>
              </w:rPr>
              <w:t>效益</w:t>
            </w:r>
          </w:p>
          <w:p w14:paraId="07415B91">
            <w:pPr>
              <w:spacing w:line="300" w:lineRule="exact"/>
              <w:jc w:val="center"/>
              <w:textAlignment w:val="bottom"/>
              <w:rPr>
                <w:rFonts w:eastAsiaTheme="majorEastAsia"/>
                <w:sz w:val="24"/>
              </w:rPr>
            </w:pPr>
            <w:r>
              <w:rPr>
                <w:rFonts w:hAnsiTheme="majorEastAsia" w:eastAsiaTheme="majorEastAsia"/>
                <w:kern w:val="0"/>
                <w:sz w:val="24"/>
              </w:rPr>
              <w:t>指标</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8288">
            <w:pPr>
              <w:spacing w:line="300" w:lineRule="exact"/>
              <w:jc w:val="center"/>
              <w:textAlignment w:val="bottom"/>
              <w:rPr>
                <w:rFonts w:eastAsiaTheme="majorEastAsia"/>
                <w:sz w:val="24"/>
              </w:rPr>
            </w:pPr>
            <w:r>
              <w:rPr>
                <w:rFonts w:hAnsiTheme="majorEastAsia" w:eastAsiaTheme="majorEastAsia"/>
                <w:kern w:val="0"/>
                <w:sz w:val="24"/>
              </w:rPr>
              <w:t>经济效益</w:t>
            </w:r>
            <w:r>
              <w:rPr>
                <w:rFonts w:eastAsiaTheme="majorEastAsia"/>
                <w:kern w:val="0"/>
                <w:sz w:val="24"/>
              </w:rPr>
              <w:t xml:space="preserve">  </w:t>
            </w:r>
            <w:r>
              <w:rPr>
                <w:rFonts w:hAnsiTheme="majorEastAsia" w:eastAsiaTheme="majorEastAsia"/>
                <w:kern w:val="0"/>
                <w:sz w:val="24"/>
              </w:rPr>
              <w:t>指标</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B8C5">
            <w:pPr>
              <w:spacing w:line="300" w:lineRule="exact"/>
              <w:jc w:val="center"/>
              <w:textAlignment w:val="bottom"/>
              <w:rPr>
                <w:rFonts w:eastAsiaTheme="majorEastAsia"/>
                <w:sz w:val="24"/>
              </w:rPr>
            </w:pPr>
            <w:r>
              <w:rPr>
                <w:rFonts w:hAnsiTheme="majorEastAsia" w:eastAsiaTheme="majorEastAsia"/>
                <w:sz w:val="24"/>
              </w:rPr>
              <w:t>实现创税</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FCE6">
            <w:pPr>
              <w:spacing w:line="300" w:lineRule="exact"/>
              <w:jc w:val="center"/>
              <w:textAlignment w:val="bottom"/>
              <w:rPr>
                <w:rFonts w:eastAsiaTheme="majorEastAsia"/>
                <w:sz w:val="24"/>
              </w:rPr>
            </w:pPr>
            <w:r>
              <w:rPr>
                <w:rFonts w:eastAsiaTheme="majorEastAsia"/>
                <w:sz w:val="24"/>
              </w:rPr>
              <w:t>30</w:t>
            </w:r>
            <w:r>
              <w:rPr>
                <w:rFonts w:hAnsiTheme="majorEastAsia" w:eastAsiaTheme="majorEastAsia"/>
                <w:sz w:val="24"/>
              </w:rPr>
              <w:t>万</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35E2">
            <w:pPr>
              <w:spacing w:line="300" w:lineRule="exact"/>
              <w:jc w:val="center"/>
              <w:textAlignment w:val="bottom"/>
              <w:rPr>
                <w:rFonts w:eastAsiaTheme="majorEastAsia"/>
                <w:sz w:val="24"/>
              </w:rPr>
            </w:pPr>
            <w:r>
              <w:rPr>
                <w:rFonts w:hAnsiTheme="majorEastAsia" w:eastAsiaTheme="majorEastAsia"/>
                <w:sz w:val="24"/>
              </w:rPr>
              <w:t>未完成</w:t>
            </w:r>
          </w:p>
        </w:tc>
      </w:tr>
      <w:tr w14:paraId="7BBB2D2E">
        <w:tblPrEx>
          <w:tblCellMar>
            <w:top w:w="0" w:type="dxa"/>
            <w:left w:w="28" w:type="dxa"/>
            <w:bottom w:w="0" w:type="dxa"/>
            <w:right w:w="28" w:type="dxa"/>
          </w:tblCellMar>
        </w:tblPrEx>
        <w:trPr>
          <w:trHeight w:val="606" w:hRule="atLeast"/>
          <w:jc w:val="center"/>
        </w:trPr>
        <w:tc>
          <w:tcPr>
            <w:tcW w:w="1618" w:type="dxa"/>
            <w:vMerge w:val="continue"/>
            <w:tcBorders>
              <w:left w:val="single" w:color="000000" w:sz="4" w:space="0"/>
              <w:right w:val="single" w:color="000000" w:sz="4" w:space="0"/>
            </w:tcBorders>
            <w:shd w:val="clear" w:color="auto" w:fill="auto"/>
            <w:vAlign w:val="center"/>
          </w:tcPr>
          <w:p w14:paraId="431BF732">
            <w:pPr>
              <w:spacing w:line="300" w:lineRule="exact"/>
              <w:jc w:val="center"/>
              <w:rPr>
                <w:rFonts w:eastAsiaTheme="majorEastAsia"/>
                <w:sz w:val="24"/>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02541">
            <w:pPr>
              <w:spacing w:line="300" w:lineRule="exact"/>
              <w:jc w:val="center"/>
              <w:rPr>
                <w:rFonts w:eastAsiaTheme="majorEastAsia"/>
                <w:sz w:val="24"/>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0BD2">
            <w:pPr>
              <w:spacing w:line="300" w:lineRule="exact"/>
              <w:jc w:val="center"/>
              <w:textAlignment w:val="bottom"/>
              <w:rPr>
                <w:rFonts w:eastAsiaTheme="majorEastAsia"/>
                <w:sz w:val="24"/>
              </w:rPr>
            </w:pPr>
            <w:r>
              <w:rPr>
                <w:rFonts w:hAnsiTheme="majorEastAsia" w:eastAsiaTheme="majorEastAsia"/>
                <w:kern w:val="0"/>
                <w:sz w:val="24"/>
              </w:rPr>
              <w:t>社会效益</w:t>
            </w:r>
            <w:r>
              <w:rPr>
                <w:rFonts w:eastAsiaTheme="majorEastAsia"/>
                <w:kern w:val="0"/>
                <w:sz w:val="24"/>
              </w:rPr>
              <w:t xml:space="preserve">  </w:t>
            </w:r>
            <w:r>
              <w:rPr>
                <w:rFonts w:hAnsiTheme="majorEastAsia" w:eastAsiaTheme="majorEastAsia"/>
                <w:kern w:val="0"/>
                <w:sz w:val="24"/>
              </w:rPr>
              <w:t>指标</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D1B7">
            <w:pPr>
              <w:spacing w:line="300" w:lineRule="exact"/>
              <w:jc w:val="center"/>
              <w:textAlignment w:val="bottom"/>
              <w:rPr>
                <w:rFonts w:eastAsiaTheme="majorEastAsia"/>
                <w:sz w:val="24"/>
              </w:rPr>
            </w:pPr>
            <w:r>
              <w:rPr>
                <w:rFonts w:hAnsiTheme="majorEastAsia" w:eastAsiaTheme="majorEastAsia"/>
                <w:sz w:val="24"/>
              </w:rPr>
              <w:t>解决就业</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0CB6">
            <w:pPr>
              <w:spacing w:line="300" w:lineRule="exact"/>
              <w:jc w:val="center"/>
              <w:textAlignment w:val="bottom"/>
              <w:rPr>
                <w:rFonts w:eastAsiaTheme="majorEastAsia"/>
                <w:sz w:val="24"/>
              </w:rPr>
            </w:pPr>
            <w:r>
              <w:rPr>
                <w:rFonts w:eastAsiaTheme="majorEastAsia"/>
                <w:sz w:val="24"/>
              </w:rPr>
              <w:t>50</w:t>
            </w:r>
            <w:r>
              <w:rPr>
                <w:rFonts w:hAnsiTheme="majorEastAsia" w:eastAsiaTheme="majorEastAsia"/>
                <w:sz w:val="24"/>
              </w:rPr>
              <w:t>人</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D444">
            <w:pPr>
              <w:spacing w:line="300" w:lineRule="exact"/>
              <w:jc w:val="center"/>
              <w:textAlignment w:val="bottom"/>
              <w:rPr>
                <w:rFonts w:eastAsiaTheme="majorEastAsia"/>
                <w:sz w:val="24"/>
              </w:rPr>
            </w:pPr>
            <w:r>
              <w:rPr>
                <w:rFonts w:hAnsiTheme="majorEastAsia" w:eastAsiaTheme="majorEastAsia"/>
                <w:sz w:val="24"/>
              </w:rPr>
              <w:t>未完成</w:t>
            </w:r>
          </w:p>
        </w:tc>
      </w:tr>
      <w:tr w14:paraId="251271C5">
        <w:tblPrEx>
          <w:tblCellMar>
            <w:top w:w="0" w:type="dxa"/>
            <w:left w:w="28" w:type="dxa"/>
            <w:bottom w:w="0" w:type="dxa"/>
            <w:right w:w="28" w:type="dxa"/>
          </w:tblCellMar>
        </w:tblPrEx>
        <w:trPr>
          <w:trHeight w:val="570" w:hRule="atLeast"/>
          <w:jc w:val="center"/>
        </w:trPr>
        <w:tc>
          <w:tcPr>
            <w:tcW w:w="1618" w:type="dxa"/>
            <w:vMerge w:val="continue"/>
            <w:tcBorders>
              <w:left w:val="single" w:color="000000" w:sz="4" w:space="0"/>
              <w:right w:val="single" w:color="000000" w:sz="4" w:space="0"/>
            </w:tcBorders>
            <w:shd w:val="clear" w:color="auto" w:fill="auto"/>
            <w:vAlign w:val="center"/>
          </w:tcPr>
          <w:p w14:paraId="2ABD6FB6">
            <w:pPr>
              <w:spacing w:line="300" w:lineRule="exact"/>
              <w:jc w:val="center"/>
              <w:rPr>
                <w:rFonts w:eastAsiaTheme="majorEastAsia"/>
                <w:sz w:val="24"/>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999D4">
            <w:pPr>
              <w:spacing w:line="300" w:lineRule="exact"/>
              <w:jc w:val="center"/>
              <w:rPr>
                <w:rFonts w:eastAsiaTheme="majorEastAsia"/>
                <w:sz w:val="24"/>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C43B">
            <w:pPr>
              <w:spacing w:line="300" w:lineRule="exact"/>
              <w:jc w:val="center"/>
              <w:textAlignment w:val="bottom"/>
              <w:rPr>
                <w:rFonts w:eastAsiaTheme="majorEastAsia"/>
                <w:sz w:val="24"/>
              </w:rPr>
            </w:pPr>
            <w:r>
              <w:rPr>
                <w:rFonts w:hAnsiTheme="majorEastAsia" w:eastAsiaTheme="majorEastAsia"/>
                <w:kern w:val="0"/>
                <w:sz w:val="24"/>
              </w:rPr>
              <w:t>生态效益</w:t>
            </w:r>
            <w:r>
              <w:rPr>
                <w:rFonts w:eastAsiaTheme="majorEastAsia"/>
                <w:kern w:val="0"/>
                <w:sz w:val="24"/>
              </w:rPr>
              <w:t xml:space="preserve">  </w:t>
            </w:r>
            <w:r>
              <w:rPr>
                <w:rFonts w:hAnsiTheme="majorEastAsia" w:eastAsiaTheme="majorEastAsia"/>
                <w:kern w:val="0"/>
                <w:sz w:val="24"/>
              </w:rPr>
              <w:t>指标</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C3CF">
            <w:pPr>
              <w:spacing w:line="300" w:lineRule="exact"/>
              <w:jc w:val="center"/>
              <w:textAlignment w:val="bottom"/>
              <w:rPr>
                <w:rFonts w:eastAsiaTheme="majorEastAsia"/>
                <w:sz w:val="24"/>
              </w:rPr>
            </w:pPr>
            <w:r>
              <w:rPr>
                <w:rFonts w:hAnsiTheme="majorEastAsia" w:eastAsiaTheme="majorEastAsia"/>
                <w:sz w:val="24"/>
              </w:rPr>
              <w:t>符合环保要求</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9B17">
            <w:pPr>
              <w:spacing w:line="300" w:lineRule="exact"/>
              <w:jc w:val="center"/>
              <w:textAlignment w:val="bottom"/>
              <w:rPr>
                <w:rFonts w:eastAsiaTheme="majorEastAsia"/>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A26B">
            <w:pPr>
              <w:spacing w:line="300" w:lineRule="exact"/>
              <w:jc w:val="center"/>
              <w:textAlignment w:val="bottom"/>
              <w:rPr>
                <w:rFonts w:eastAsiaTheme="majorEastAsia"/>
                <w:sz w:val="24"/>
              </w:rPr>
            </w:pPr>
            <w:r>
              <w:rPr>
                <w:rFonts w:hAnsiTheme="majorEastAsia" w:eastAsiaTheme="majorEastAsia"/>
                <w:sz w:val="24"/>
              </w:rPr>
              <w:t>未完成</w:t>
            </w:r>
          </w:p>
        </w:tc>
      </w:tr>
      <w:tr w14:paraId="0C7825FD">
        <w:tblPrEx>
          <w:tblCellMar>
            <w:top w:w="0" w:type="dxa"/>
            <w:left w:w="28" w:type="dxa"/>
            <w:bottom w:w="0" w:type="dxa"/>
            <w:right w:w="28" w:type="dxa"/>
          </w:tblCellMar>
        </w:tblPrEx>
        <w:trPr>
          <w:trHeight w:val="570" w:hRule="atLeast"/>
          <w:jc w:val="center"/>
        </w:trPr>
        <w:tc>
          <w:tcPr>
            <w:tcW w:w="1618" w:type="dxa"/>
            <w:vMerge w:val="continue"/>
            <w:tcBorders>
              <w:left w:val="single" w:color="000000" w:sz="4" w:space="0"/>
              <w:right w:val="single" w:color="000000" w:sz="4" w:space="0"/>
            </w:tcBorders>
            <w:shd w:val="clear" w:color="auto" w:fill="auto"/>
            <w:vAlign w:val="center"/>
          </w:tcPr>
          <w:p w14:paraId="05F65070">
            <w:pPr>
              <w:spacing w:line="300" w:lineRule="exact"/>
              <w:jc w:val="center"/>
              <w:rPr>
                <w:rFonts w:eastAsiaTheme="majorEastAsia"/>
                <w:sz w:val="24"/>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B34E1">
            <w:pPr>
              <w:spacing w:line="300" w:lineRule="exact"/>
              <w:jc w:val="center"/>
              <w:rPr>
                <w:rFonts w:eastAsiaTheme="majorEastAsia"/>
                <w:sz w:val="24"/>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0FC1">
            <w:pPr>
              <w:spacing w:line="300" w:lineRule="exact"/>
              <w:jc w:val="center"/>
              <w:textAlignment w:val="bottom"/>
              <w:rPr>
                <w:rFonts w:eastAsiaTheme="majorEastAsia"/>
                <w:sz w:val="24"/>
              </w:rPr>
            </w:pPr>
            <w:r>
              <w:rPr>
                <w:rFonts w:hAnsiTheme="majorEastAsia" w:eastAsiaTheme="majorEastAsia"/>
                <w:kern w:val="0"/>
                <w:sz w:val="24"/>
              </w:rPr>
              <w:t>可持续影响</w:t>
            </w:r>
            <w:r>
              <w:rPr>
                <w:rFonts w:eastAsiaTheme="majorEastAsia"/>
                <w:kern w:val="0"/>
                <w:sz w:val="24"/>
              </w:rPr>
              <w:t xml:space="preserve"> </w:t>
            </w:r>
            <w:r>
              <w:rPr>
                <w:rFonts w:hAnsiTheme="majorEastAsia" w:eastAsiaTheme="majorEastAsia"/>
                <w:kern w:val="0"/>
                <w:sz w:val="24"/>
              </w:rPr>
              <w:t>指标</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8990">
            <w:pPr>
              <w:spacing w:line="300" w:lineRule="exact"/>
              <w:jc w:val="center"/>
              <w:textAlignment w:val="bottom"/>
              <w:rPr>
                <w:rFonts w:eastAsiaTheme="majorEastAsia"/>
                <w:sz w:val="24"/>
              </w:rPr>
            </w:pPr>
            <w:r>
              <w:rPr>
                <w:rFonts w:hAnsiTheme="majorEastAsia" w:eastAsiaTheme="majorEastAsia"/>
                <w:sz w:val="24"/>
              </w:rPr>
              <w:t>企业良性发展</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2418">
            <w:pPr>
              <w:spacing w:line="300" w:lineRule="exact"/>
              <w:jc w:val="center"/>
              <w:textAlignment w:val="bottom"/>
              <w:rPr>
                <w:rFonts w:eastAsiaTheme="majorEastAsia"/>
                <w:sz w:val="24"/>
              </w:rPr>
            </w:pPr>
            <w:r>
              <w:rPr>
                <w:rFonts w:hAnsiTheme="majorEastAsia" w:eastAsiaTheme="majorEastAsia"/>
                <w:sz w:val="24"/>
              </w:rPr>
              <w:t>吸引两家以上企业入驻</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DDE3">
            <w:pPr>
              <w:spacing w:line="300" w:lineRule="exact"/>
              <w:jc w:val="center"/>
              <w:textAlignment w:val="bottom"/>
              <w:rPr>
                <w:rFonts w:eastAsiaTheme="majorEastAsia"/>
                <w:sz w:val="24"/>
              </w:rPr>
            </w:pPr>
            <w:r>
              <w:rPr>
                <w:rFonts w:hAnsiTheme="majorEastAsia" w:eastAsiaTheme="majorEastAsia"/>
                <w:sz w:val="24"/>
              </w:rPr>
              <w:t>未完成</w:t>
            </w:r>
          </w:p>
        </w:tc>
      </w:tr>
      <w:tr w14:paraId="693BF43A">
        <w:tblPrEx>
          <w:tblCellMar>
            <w:top w:w="0" w:type="dxa"/>
            <w:left w:w="28" w:type="dxa"/>
            <w:bottom w:w="0" w:type="dxa"/>
            <w:right w:w="28" w:type="dxa"/>
          </w:tblCellMar>
        </w:tblPrEx>
        <w:trPr>
          <w:trHeight w:val="680" w:hRule="atLeast"/>
          <w:jc w:val="center"/>
        </w:trPr>
        <w:tc>
          <w:tcPr>
            <w:tcW w:w="1618" w:type="dxa"/>
            <w:vMerge w:val="continue"/>
            <w:tcBorders>
              <w:left w:val="single" w:color="000000" w:sz="4" w:space="0"/>
              <w:bottom w:val="single" w:color="000000" w:sz="4" w:space="0"/>
              <w:right w:val="single" w:color="000000" w:sz="4" w:space="0"/>
            </w:tcBorders>
            <w:shd w:val="clear" w:color="auto" w:fill="auto"/>
            <w:vAlign w:val="center"/>
          </w:tcPr>
          <w:p w14:paraId="1D4D6FDB">
            <w:pPr>
              <w:spacing w:line="300" w:lineRule="exact"/>
              <w:jc w:val="center"/>
              <w:rPr>
                <w:rFonts w:eastAsiaTheme="majorEastAsia"/>
                <w:sz w:val="24"/>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E54D">
            <w:pPr>
              <w:spacing w:line="300" w:lineRule="exact"/>
              <w:jc w:val="center"/>
              <w:textAlignment w:val="bottom"/>
              <w:rPr>
                <w:rFonts w:eastAsiaTheme="majorEastAsia"/>
                <w:kern w:val="0"/>
                <w:sz w:val="24"/>
              </w:rPr>
            </w:pPr>
            <w:r>
              <w:rPr>
                <w:rFonts w:hAnsiTheme="majorEastAsia" w:eastAsiaTheme="majorEastAsia"/>
                <w:kern w:val="0"/>
                <w:sz w:val="24"/>
              </w:rPr>
              <w:t>满意</w:t>
            </w:r>
          </w:p>
          <w:p w14:paraId="25B82859">
            <w:pPr>
              <w:spacing w:line="300" w:lineRule="exact"/>
              <w:jc w:val="center"/>
              <w:textAlignment w:val="bottom"/>
              <w:rPr>
                <w:rFonts w:eastAsiaTheme="majorEastAsia"/>
                <w:sz w:val="24"/>
              </w:rPr>
            </w:pPr>
            <w:r>
              <w:rPr>
                <w:rFonts w:hAnsiTheme="majorEastAsia" w:eastAsiaTheme="majorEastAsia"/>
                <w:kern w:val="0"/>
                <w:sz w:val="24"/>
              </w:rPr>
              <w:t>度指标</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24DA">
            <w:pPr>
              <w:spacing w:line="300" w:lineRule="exact"/>
              <w:jc w:val="center"/>
              <w:textAlignment w:val="bottom"/>
              <w:rPr>
                <w:rFonts w:eastAsiaTheme="majorEastAsia"/>
                <w:kern w:val="0"/>
                <w:sz w:val="24"/>
              </w:rPr>
            </w:pPr>
            <w:r>
              <w:rPr>
                <w:rFonts w:hAnsiTheme="majorEastAsia" w:eastAsiaTheme="majorEastAsia"/>
                <w:kern w:val="0"/>
                <w:sz w:val="24"/>
              </w:rPr>
              <w:t>满意度</w:t>
            </w:r>
          </w:p>
          <w:p w14:paraId="6043C65C">
            <w:pPr>
              <w:spacing w:line="300" w:lineRule="exact"/>
              <w:jc w:val="center"/>
              <w:textAlignment w:val="bottom"/>
              <w:rPr>
                <w:rFonts w:eastAsiaTheme="majorEastAsia"/>
                <w:sz w:val="24"/>
              </w:rPr>
            </w:pPr>
            <w:r>
              <w:rPr>
                <w:rFonts w:hAnsiTheme="majorEastAsia" w:eastAsiaTheme="majorEastAsia"/>
                <w:kern w:val="0"/>
                <w:sz w:val="24"/>
              </w:rPr>
              <w:t>指标</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84EA">
            <w:pPr>
              <w:spacing w:line="300" w:lineRule="exact"/>
              <w:jc w:val="center"/>
              <w:textAlignment w:val="bottom"/>
              <w:rPr>
                <w:rFonts w:eastAsiaTheme="majorEastAsia"/>
                <w:sz w:val="24"/>
              </w:rPr>
            </w:pPr>
            <w:r>
              <w:rPr>
                <w:rFonts w:hAnsiTheme="majorEastAsia" w:eastAsiaTheme="majorEastAsia"/>
                <w:sz w:val="24"/>
              </w:rPr>
              <w:t>企业满意</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9F07">
            <w:pPr>
              <w:spacing w:line="300" w:lineRule="exact"/>
              <w:jc w:val="center"/>
              <w:textAlignment w:val="bottom"/>
              <w:rPr>
                <w:rFonts w:eastAsiaTheme="majorEastAsia"/>
                <w:sz w:val="24"/>
              </w:rPr>
            </w:pPr>
            <w:r>
              <w:rPr>
                <w:rFonts w:eastAsiaTheme="majorEastAsia"/>
                <w:sz w:val="24"/>
              </w:rPr>
              <w:t>100%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FA46">
            <w:pPr>
              <w:spacing w:line="300" w:lineRule="exact"/>
              <w:jc w:val="center"/>
              <w:textAlignment w:val="bottom"/>
              <w:rPr>
                <w:rFonts w:eastAsiaTheme="majorEastAsia"/>
                <w:sz w:val="24"/>
              </w:rPr>
            </w:pPr>
            <w:r>
              <w:rPr>
                <w:rFonts w:hAnsiTheme="majorEastAsia" w:eastAsiaTheme="majorEastAsia"/>
                <w:sz w:val="24"/>
              </w:rPr>
              <w:t>未完成</w:t>
            </w:r>
          </w:p>
        </w:tc>
      </w:tr>
    </w:tbl>
    <w:p w14:paraId="68701796">
      <w:pPr>
        <w:spacing w:line="600" w:lineRule="exact"/>
        <w:jc w:val="center"/>
        <w:outlineLvl w:val="0"/>
        <w:rPr>
          <w:rFonts w:hAnsi="黑体" w:eastAsia="黑体"/>
          <w:sz w:val="44"/>
          <w:szCs w:val="44"/>
        </w:rPr>
      </w:pPr>
      <w:bookmarkStart w:id="76" w:name="_Toc144821712"/>
      <w:r>
        <w:rPr>
          <w:rFonts w:hAnsi="黑体" w:eastAsia="黑体"/>
          <w:sz w:val="44"/>
          <w:szCs w:val="44"/>
        </w:rPr>
        <w:t>第五部分 附表</w:t>
      </w:r>
      <w:bookmarkEnd w:id="72"/>
      <w:bookmarkEnd w:id="75"/>
      <w:bookmarkEnd w:id="76"/>
      <w:bookmarkStart w:id="77" w:name="_Toc15396619"/>
    </w:p>
    <w:p w14:paraId="42711AFE">
      <w:pPr>
        <w:spacing w:line="600" w:lineRule="exact"/>
        <w:outlineLvl w:val="1"/>
        <w:rPr>
          <w:rStyle w:val="29"/>
          <w:rFonts w:ascii="仿宋" w:hAnsi="仿宋" w:eastAsia="仿宋"/>
          <w:b w:val="0"/>
          <w:bCs w:val="0"/>
        </w:rPr>
      </w:pPr>
      <w:bookmarkStart w:id="78" w:name="_Toc144821713"/>
      <w:r>
        <w:rPr>
          <w:rStyle w:val="29"/>
          <w:rFonts w:hint="eastAsia" w:ascii="仿宋" w:hAnsi="仿宋" w:eastAsia="仿宋"/>
          <w:b w:val="0"/>
          <w:bCs w:val="0"/>
        </w:rPr>
        <w:t>一、收入支出决算总表</w:t>
      </w:r>
      <w:bookmarkEnd w:id="77"/>
      <w:bookmarkEnd w:id="78"/>
    </w:p>
    <w:p w14:paraId="5BF6178F">
      <w:pPr>
        <w:pStyle w:val="4"/>
        <w:rPr>
          <w:rStyle w:val="29"/>
          <w:rFonts w:ascii="仿宋" w:hAnsi="仿宋" w:eastAsia="仿宋"/>
          <w:b w:val="0"/>
          <w:bCs w:val="0"/>
        </w:rPr>
      </w:pPr>
      <w:bookmarkStart w:id="79" w:name="_Toc144821714"/>
      <w:bookmarkStart w:id="80" w:name="_Toc15396620"/>
      <w:r>
        <w:rPr>
          <w:rStyle w:val="29"/>
          <w:rFonts w:hint="eastAsia" w:ascii="仿宋" w:hAnsi="仿宋" w:eastAsia="仿宋"/>
          <w:b w:val="0"/>
          <w:bCs w:val="0"/>
        </w:rPr>
        <w:t>二、收入决算表</w:t>
      </w:r>
      <w:bookmarkEnd w:id="79"/>
      <w:bookmarkEnd w:id="80"/>
    </w:p>
    <w:p w14:paraId="4C1798CC">
      <w:pPr>
        <w:pStyle w:val="4"/>
        <w:rPr>
          <w:rStyle w:val="29"/>
          <w:rFonts w:ascii="仿宋" w:hAnsi="仿宋" w:eastAsia="仿宋"/>
          <w:b w:val="0"/>
          <w:bCs w:val="0"/>
        </w:rPr>
      </w:pPr>
      <w:bookmarkStart w:id="81" w:name="_Toc144821715"/>
      <w:bookmarkStart w:id="82" w:name="_Toc15396621"/>
      <w:r>
        <w:rPr>
          <w:rStyle w:val="29"/>
          <w:rFonts w:hint="eastAsia" w:ascii="仿宋" w:hAnsi="仿宋" w:eastAsia="仿宋"/>
          <w:b w:val="0"/>
          <w:bCs w:val="0"/>
        </w:rPr>
        <w:t>三、支出决算表</w:t>
      </w:r>
      <w:bookmarkEnd w:id="81"/>
      <w:bookmarkEnd w:id="82"/>
    </w:p>
    <w:p w14:paraId="6C3AE298">
      <w:pPr>
        <w:pStyle w:val="4"/>
        <w:rPr>
          <w:rStyle w:val="29"/>
          <w:rFonts w:ascii="仿宋" w:hAnsi="仿宋" w:eastAsia="仿宋"/>
          <w:b w:val="0"/>
          <w:bCs w:val="0"/>
        </w:rPr>
      </w:pPr>
      <w:bookmarkStart w:id="83" w:name="_Toc144821716"/>
      <w:bookmarkStart w:id="84" w:name="_Toc15396622"/>
      <w:r>
        <w:rPr>
          <w:rStyle w:val="29"/>
          <w:rFonts w:hint="eastAsia" w:ascii="仿宋" w:hAnsi="仿宋" w:eastAsia="仿宋"/>
          <w:b w:val="0"/>
          <w:bCs w:val="0"/>
        </w:rPr>
        <w:t>四、财政拨款收入支出决算总表</w:t>
      </w:r>
      <w:bookmarkEnd w:id="83"/>
      <w:bookmarkEnd w:id="84"/>
    </w:p>
    <w:p w14:paraId="14FB2532">
      <w:pPr>
        <w:pStyle w:val="4"/>
        <w:rPr>
          <w:rStyle w:val="29"/>
          <w:rFonts w:ascii="仿宋" w:hAnsi="仿宋" w:eastAsia="仿宋"/>
          <w:b w:val="0"/>
          <w:bCs w:val="0"/>
        </w:rPr>
      </w:pPr>
      <w:bookmarkStart w:id="85" w:name="_Toc15396623"/>
      <w:bookmarkStart w:id="86" w:name="_Toc144821717"/>
      <w:r>
        <w:rPr>
          <w:rStyle w:val="29"/>
          <w:rFonts w:hint="eastAsia" w:ascii="仿宋" w:hAnsi="仿宋" w:eastAsia="仿宋"/>
          <w:b w:val="0"/>
          <w:bCs w:val="0"/>
        </w:rPr>
        <w:t>五、财政拨款支出决算明细表</w:t>
      </w:r>
      <w:bookmarkEnd w:id="85"/>
      <w:bookmarkEnd w:id="86"/>
      <w:bookmarkStart w:id="87" w:name="_Toc15396624"/>
    </w:p>
    <w:p w14:paraId="1714610F">
      <w:pPr>
        <w:pStyle w:val="4"/>
        <w:rPr>
          <w:rStyle w:val="29"/>
          <w:rFonts w:ascii="仿宋" w:hAnsi="仿宋" w:eastAsia="仿宋"/>
          <w:b w:val="0"/>
          <w:bCs w:val="0"/>
        </w:rPr>
      </w:pPr>
      <w:bookmarkStart w:id="88" w:name="_Toc144821718"/>
      <w:r>
        <w:rPr>
          <w:rStyle w:val="29"/>
          <w:rFonts w:hint="eastAsia" w:ascii="仿宋" w:hAnsi="仿宋" w:eastAsia="仿宋"/>
          <w:b w:val="0"/>
          <w:bCs w:val="0"/>
        </w:rPr>
        <w:t>六、一般公共预算财政拨款支出决算表</w:t>
      </w:r>
      <w:bookmarkEnd w:id="87"/>
      <w:bookmarkEnd w:id="88"/>
    </w:p>
    <w:p w14:paraId="617F8FF3">
      <w:pPr>
        <w:pStyle w:val="4"/>
        <w:rPr>
          <w:rStyle w:val="29"/>
          <w:rFonts w:ascii="仿宋" w:hAnsi="仿宋" w:eastAsia="仿宋"/>
          <w:b w:val="0"/>
          <w:bCs w:val="0"/>
        </w:rPr>
      </w:pPr>
      <w:bookmarkStart w:id="89" w:name="_Toc15396625"/>
      <w:bookmarkStart w:id="90" w:name="_Toc144821719"/>
      <w:r>
        <w:rPr>
          <w:rStyle w:val="29"/>
          <w:rFonts w:hint="eastAsia" w:ascii="仿宋" w:hAnsi="仿宋" w:eastAsia="仿宋"/>
          <w:b w:val="0"/>
          <w:bCs w:val="0"/>
        </w:rPr>
        <w:t>七、一般公共预算财政拨款支出决算明细表</w:t>
      </w:r>
      <w:bookmarkEnd w:id="89"/>
      <w:bookmarkEnd w:id="90"/>
    </w:p>
    <w:p w14:paraId="74C7F400">
      <w:pPr>
        <w:pStyle w:val="4"/>
        <w:rPr>
          <w:rStyle w:val="29"/>
          <w:rFonts w:ascii="仿宋" w:hAnsi="仿宋" w:eastAsia="仿宋"/>
          <w:b w:val="0"/>
          <w:bCs w:val="0"/>
        </w:rPr>
      </w:pPr>
      <w:bookmarkStart w:id="91" w:name="_Toc144821720"/>
      <w:bookmarkStart w:id="92" w:name="_Toc15396626"/>
      <w:r>
        <w:rPr>
          <w:rStyle w:val="29"/>
          <w:rFonts w:hint="eastAsia" w:ascii="仿宋" w:hAnsi="仿宋" w:eastAsia="仿宋"/>
          <w:b w:val="0"/>
          <w:bCs w:val="0"/>
        </w:rPr>
        <w:t>八、一般公共预算财政拨款基本支出决算表</w:t>
      </w:r>
      <w:bookmarkEnd w:id="91"/>
      <w:bookmarkEnd w:id="92"/>
    </w:p>
    <w:p w14:paraId="1DBA8846">
      <w:pPr>
        <w:pStyle w:val="4"/>
        <w:rPr>
          <w:rStyle w:val="29"/>
          <w:rFonts w:ascii="仿宋" w:hAnsi="仿宋" w:eastAsia="仿宋"/>
          <w:b w:val="0"/>
          <w:bCs w:val="0"/>
        </w:rPr>
      </w:pPr>
      <w:bookmarkStart w:id="93" w:name="_Toc15396627"/>
      <w:bookmarkStart w:id="94" w:name="_Toc144821721"/>
      <w:r>
        <w:rPr>
          <w:rStyle w:val="29"/>
          <w:rFonts w:hint="eastAsia" w:ascii="仿宋" w:hAnsi="仿宋" w:eastAsia="仿宋"/>
          <w:b w:val="0"/>
          <w:bCs w:val="0"/>
        </w:rPr>
        <w:t>九、一般公共预算财政拨款项目支出决算表</w:t>
      </w:r>
      <w:bookmarkEnd w:id="93"/>
      <w:bookmarkEnd w:id="94"/>
    </w:p>
    <w:p w14:paraId="524B0B72">
      <w:pPr>
        <w:pStyle w:val="4"/>
        <w:rPr>
          <w:rStyle w:val="29"/>
          <w:rFonts w:ascii="仿宋" w:hAnsi="仿宋" w:eastAsia="仿宋"/>
          <w:b w:val="0"/>
          <w:bCs w:val="0"/>
        </w:rPr>
      </w:pPr>
      <w:bookmarkStart w:id="95" w:name="_Toc144821722"/>
      <w:bookmarkStart w:id="96" w:name="_Toc15396628"/>
      <w:r>
        <w:rPr>
          <w:rStyle w:val="29"/>
          <w:rFonts w:hint="eastAsia" w:ascii="仿宋" w:hAnsi="仿宋" w:eastAsia="仿宋"/>
          <w:b w:val="0"/>
          <w:bCs w:val="0"/>
        </w:rPr>
        <w:t>十、一般公共预算财政拨款“三公”经费支出决算表</w:t>
      </w:r>
      <w:bookmarkEnd w:id="95"/>
      <w:bookmarkEnd w:id="96"/>
    </w:p>
    <w:p w14:paraId="54443B61">
      <w:pPr>
        <w:pStyle w:val="4"/>
        <w:rPr>
          <w:rStyle w:val="29"/>
          <w:rFonts w:ascii="仿宋" w:hAnsi="仿宋" w:eastAsia="仿宋"/>
          <w:b w:val="0"/>
          <w:bCs w:val="0"/>
        </w:rPr>
      </w:pPr>
      <w:bookmarkStart w:id="97" w:name="_Toc15396629"/>
      <w:bookmarkStart w:id="98" w:name="_Toc144821723"/>
      <w:r>
        <w:rPr>
          <w:rStyle w:val="29"/>
          <w:rFonts w:hint="eastAsia" w:ascii="仿宋" w:hAnsi="仿宋" w:eastAsia="仿宋"/>
          <w:b w:val="0"/>
          <w:bCs w:val="0"/>
        </w:rPr>
        <w:t>十一、政府性基金预算财政拨款收入支出决算表</w:t>
      </w:r>
      <w:bookmarkEnd w:id="97"/>
      <w:bookmarkEnd w:id="98"/>
    </w:p>
    <w:p w14:paraId="2CEA59C4">
      <w:pPr>
        <w:pStyle w:val="4"/>
        <w:rPr>
          <w:rStyle w:val="29"/>
          <w:rFonts w:ascii="仿宋" w:hAnsi="仿宋" w:eastAsia="仿宋"/>
          <w:b w:val="0"/>
          <w:bCs w:val="0"/>
        </w:rPr>
      </w:pPr>
      <w:bookmarkStart w:id="99" w:name="_Toc15396630"/>
      <w:bookmarkStart w:id="100" w:name="_Toc144821724"/>
      <w:r>
        <w:rPr>
          <w:rStyle w:val="29"/>
          <w:rFonts w:hint="eastAsia" w:ascii="仿宋" w:hAnsi="仿宋" w:eastAsia="仿宋"/>
          <w:b w:val="0"/>
          <w:bCs w:val="0"/>
        </w:rPr>
        <w:t>十二、政府性基金预算财政拨款“三公”经费支出决算表</w:t>
      </w:r>
      <w:bookmarkEnd w:id="99"/>
      <w:bookmarkEnd w:id="100"/>
    </w:p>
    <w:p w14:paraId="21BD7415">
      <w:pPr>
        <w:pStyle w:val="4"/>
        <w:rPr>
          <w:rStyle w:val="29"/>
          <w:rFonts w:ascii="仿宋" w:hAnsi="仿宋" w:eastAsia="仿宋"/>
          <w:b w:val="0"/>
          <w:bCs w:val="0"/>
        </w:rPr>
      </w:pPr>
      <w:bookmarkStart w:id="101" w:name="_Toc144821725"/>
      <w:bookmarkStart w:id="102" w:name="_Toc15396631"/>
      <w:r>
        <w:rPr>
          <w:rStyle w:val="29"/>
          <w:rFonts w:hint="eastAsia" w:ascii="仿宋" w:hAnsi="仿宋" w:eastAsia="仿宋"/>
          <w:b w:val="0"/>
          <w:bCs w:val="0"/>
        </w:rPr>
        <w:t>十三、国有资本经营预算财政拨款收入支出决算表</w:t>
      </w:r>
      <w:bookmarkEnd w:id="101"/>
      <w:bookmarkEnd w:id="102"/>
    </w:p>
    <w:p w14:paraId="2C3A0563">
      <w:pPr>
        <w:pStyle w:val="4"/>
        <w:rPr>
          <w:rStyle w:val="29"/>
          <w:rFonts w:ascii="仿宋" w:hAnsi="仿宋" w:eastAsia="仿宋"/>
          <w:b w:val="0"/>
          <w:bCs w:val="0"/>
        </w:rPr>
      </w:pPr>
      <w:bookmarkStart w:id="103" w:name="_Toc144821726"/>
      <w:r>
        <w:rPr>
          <w:rStyle w:val="29"/>
          <w:rFonts w:hint="eastAsia" w:ascii="仿宋" w:hAnsi="仿宋" w:eastAsia="仿宋"/>
          <w:b w:val="0"/>
          <w:bCs w:val="0"/>
        </w:rPr>
        <w:t>十四、国有资本经营预算财政拨款支出决算表</w:t>
      </w:r>
      <w:bookmarkEnd w:id="103"/>
    </w:p>
    <w:sectPr>
      <w:footerReference r:id="rId5" w:type="default"/>
      <w:pgSz w:w="11906" w:h="16838"/>
      <w:pgMar w:top="2098" w:right="1474" w:bottom="1985" w:left="1588" w:header="851" w:footer="1531"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954A15-9D59-406C-963F-DDA5E692D1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B9B9771-B3B5-4486-9F07-A1CBF226E699}"/>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embedRegular r:id="rId3" w:fontKey="{0FF040EB-49D0-4353-8F20-0FB1BF2814F8}"/>
  </w:font>
  <w:font w:name="仿宋">
    <w:panose1 w:val="02010609060101010101"/>
    <w:charset w:val="86"/>
    <w:family w:val="modern"/>
    <w:pitch w:val="default"/>
    <w:sig w:usb0="800002BF" w:usb1="38CF7CFA" w:usb2="00000016" w:usb3="00000000" w:csb0="00040001" w:csb1="00000000"/>
    <w:embedRegular r:id="rId4" w:fontKey="{9AB327D7-0A3C-4D6A-AD14-DF1BBE07B97E}"/>
  </w:font>
  <w:font w:name="方正小标宋简体">
    <w:panose1 w:val="02000000000000000000"/>
    <w:charset w:val="86"/>
    <w:family w:val="auto"/>
    <w:pitch w:val="default"/>
    <w:sig w:usb0="00000001" w:usb1="08000000" w:usb2="00000000" w:usb3="00000000" w:csb0="00040000" w:csb1="00000000"/>
    <w:embedRegular r:id="rId5" w:fontKey="{756CEEC2-44F0-4D71-89B6-D2C03C429A68}"/>
  </w:font>
  <w:font w:name="楷体_GB2312">
    <w:panose1 w:val="02010609030101010101"/>
    <w:charset w:val="86"/>
    <w:family w:val="modern"/>
    <w:pitch w:val="default"/>
    <w:sig w:usb0="00000001" w:usb1="080E0000" w:usb2="00000000" w:usb3="00000000" w:csb0="00040000" w:csb1="00000000"/>
    <w:embedRegular r:id="rId6" w:fontKey="{2E4D7483-3195-4477-A4E1-97D4CA9422C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BDFDE">
    <w:pPr>
      <w:pStyle w:val="9"/>
      <w:jc w:val="center"/>
    </w:pPr>
  </w:p>
  <w:p w14:paraId="2474673E">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32854"/>
    </w:sdtPr>
    <w:sdtContent>
      <w:p w14:paraId="7C86BA67">
        <w:pPr>
          <w:pStyle w:val="9"/>
          <w:jc w:val="center"/>
        </w:pPr>
        <w:r>
          <w:fldChar w:fldCharType="begin"/>
        </w:r>
        <w:r>
          <w:instrText xml:space="preserve">PAGE   \* MERGEFORMAT</w:instrText>
        </w:r>
        <w:r>
          <w:fldChar w:fldCharType="separate"/>
        </w:r>
        <w:r>
          <w:rPr>
            <w:lang w:val="zh-CN"/>
          </w:rPr>
          <w:t>3</w:t>
        </w:r>
        <w:r>
          <w:rPr>
            <w:lang w:val="zh-CN"/>
          </w:rPr>
          <w:fldChar w:fldCharType="end"/>
        </w:r>
      </w:p>
    </w:sdtContent>
  </w:sdt>
  <w:p w14:paraId="66273A91">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AAFB3">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EA4059E"/>
    <w:multiLevelType w:val="multilevel"/>
    <w:tmpl w:val="2EA4059E"/>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VhYTg4NGNkZWJkODFjNzcyZDRjM2M4Y2UzNjI5Zm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866"/>
    <w:rsid w:val="000B6FF3"/>
    <w:rsid w:val="000C3467"/>
    <w:rsid w:val="000C3CA6"/>
    <w:rsid w:val="000D1267"/>
    <w:rsid w:val="000D1D50"/>
    <w:rsid w:val="000D5782"/>
    <w:rsid w:val="000E6613"/>
    <w:rsid w:val="000E7119"/>
    <w:rsid w:val="000F5597"/>
    <w:rsid w:val="00114E9B"/>
    <w:rsid w:val="00141E47"/>
    <w:rsid w:val="00142216"/>
    <w:rsid w:val="00144D6A"/>
    <w:rsid w:val="0014729F"/>
    <w:rsid w:val="00157BAB"/>
    <w:rsid w:val="001654D1"/>
    <w:rsid w:val="001722D1"/>
    <w:rsid w:val="00174518"/>
    <w:rsid w:val="0018106D"/>
    <w:rsid w:val="001877A7"/>
    <w:rsid w:val="00191536"/>
    <w:rsid w:val="00196687"/>
    <w:rsid w:val="001A0F32"/>
    <w:rsid w:val="001C0962"/>
    <w:rsid w:val="001C52E9"/>
    <w:rsid w:val="001D7531"/>
    <w:rsid w:val="001E737D"/>
    <w:rsid w:val="001F0592"/>
    <w:rsid w:val="001F0EF5"/>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C4F7D"/>
    <w:rsid w:val="002D6D05"/>
    <w:rsid w:val="002E2F70"/>
    <w:rsid w:val="002F1818"/>
    <w:rsid w:val="002F567B"/>
    <w:rsid w:val="003216A9"/>
    <w:rsid w:val="00325AC5"/>
    <w:rsid w:val="00335A74"/>
    <w:rsid w:val="0036561B"/>
    <w:rsid w:val="0037013F"/>
    <w:rsid w:val="003748DC"/>
    <w:rsid w:val="00380C92"/>
    <w:rsid w:val="0039312F"/>
    <w:rsid w:val="003A2697"/>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0841"/>
    <w:rsid w:val="004223DE"/>
    <w:rsid w:val="004237B2"/>
    <w:rsid w:val="00434489"/>
    <w:rsid w:val="00437085"/>
    <w:rsid w:val="00440BFC"/>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75C39"/>
    <w:rsid w:val="0058486E"/>
    <w:rsid w:val="00585B33"/>
    <w:rsid w:val="0059014D"/>
    <w:rsid w:val="00596A02"/>
    <w:rsid w:val="005B5C64"/>
    <w:rsid w:val="005C5337"/>
    <w:rsid w:val="005C6BD0"/>
    <w:rsid w:val="005D1C8B"/>
    <w:rsid w:val="005D468D"/>
    <w:rsid w:val="005D5CED"/>
    <w:rsid w:val="005F1A4C"/>
    <w:rsid w:val="00601923"/>
    <w:rsid w:val="00605688"/>
    <w:rsid w:val="006070AF"/>
    <w:rsid w:val="00607E6C"/>
    <w:rsid w:val="006101B1"/>
    <w:rsid w:val="00614E44"/>
    <w:rsid w:val="0062270A"/>
    <w:rsid w:val="00622830"/>
    <w:rsid w:val="00623DA0"/>
    <w:rsid w:val="00630AEF"/>
    <w:rsid w:val="006325F8"/>
    <w:rsid w:val="00633463"/>
    <w:rsid w:val="00634C9A"/>
    <w:rsid w:val="006440E4"/>
    <w:rsid w:val="006604F5"/>
    <w:rsid w:val="0066343B"/>
    <w:rsid w:val="00664777"/>
    <w:rsid w:val="006748A4"/>
    <w:rsid w:val="00681A31"/>
    <w:rsid w:val="00683E73"/>
    <w:rsid w:val="006A3141"/>
    <w:rsid w:val="006A4A2C"/>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3A5A"/>
    <w:rsid w:val="0079426B"/>
    <w:rsid w:val="007D1682"/>
    <w:rsid w:val="007D312A"/>
    <w:rsid w:val="007D3F19"/>
    <w:rsid w:val="007E23B0"/>
    <w:rsid w:val="007E23E5"/>
    <w:rsid w:val="007F1991"/>
    <w:rsid w:val="007F2796"/>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089B"/>
    <w:rsid w:val="00946945"/>
    <w:rsid w:val="009509C0"/>
    <w:rsid w:val="00951248"/>
    <w:rsid w:val="0095152F"/>
    <w:rsid w:val="00954C49"/>
    <w:rsid w:val="00955E37"/>
    <w:rsid w:val="0097025D"/>
    <w:rsid w:val="0097099F"/>
    <w:rsid w:val="00971997"/>
    <w:rsid w:val="00971FFC"/>
    <w:rsid w:val="0098660A"/>
    <w:rsid w:val="009931C3"/>
    <w:rsid w:val="009A41E6"/>
    <w:rsid w:val="009B2C43"/>
    <w:rsid w:val="009B4EAE"/>
    <w:rsid w:val="009B7573"/>
    <w:rsid w:val="009C22F4"/>
    <w:rsid w:val="009C2A4B"/>
    <w:rsid w:val="009C2E98"/>
    <w:rsid w:val="009D0AE0"/>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1216"/>
    <w:rsid w:val="00AC3C6A"/>
    <w:rsid w:val="00AC4F83"/>
    <w:rsid w:val="00AC6A07"/>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97CB7"/>
    <w:rsid w:val="00BB4DF0"/>
    <w:rsid w:val="00BC289F"/>
    <w:rsid w:val="00BC2D50"/>
    <w:rsid w:val="00BC5361"/>
    <w:rsid w:val="00BC5460"/>
    <w:rsid w:val="00BC590F"/>
    <w:rsid w:val="00BC6B50"/>
    <w:rsid w:val="00BD0E25"/>
    <w:rsid w:val="00BF26E0"/>
    <w:rsid w:val="00BF5BD6"/>
    <w:rsid w:val="00C03E31"/>
    <w:rsid w:val="00C33E72"/>
    <w:rsid w:val="00C354B2"/>
    <w:rsid w:val="00C35554"/>
    <w:rsid w:val="00C42709"/>
    <w:rsid w:val="00C533CC"/>
    <w:rsid w:val="00C5751C"/>
    <w:rsid w:val="00C60DF1"/>
    <w:rsid w:val="00C61BFC"/>
    <w:rsid w:val="00C62B85"/>
    <w:rsid w:val="00C6382D"/>
    <w:rsid w:val="00C65438"/>
    <w:rsid w:val="00C661E0"/>
    <w:rsid w:val="00C87FD8"/>
    <w:rsid w:val="00C91381"/>
    <w:rsid w:val="00C91CBB"/>
    <w:rsid w:val="00C925D9"/>
    <w:rsid w:val="00C959F4"/>
    <w:rsid w:val="00CB4E70"/>
    <w:rsid w:val="00CC09B6"/>
    <w:rsid w:val="00CC666F"/>
    <w:rsid w:val="00CD1E3F"/>
    <w:rsid w:val="00CD5D61"/>
    <w:rsid w:val="00CE44F6"/>
    <w:rsid w:val="00CE49DA"/>
    <w:rsid w:val="00CE7B61"/>
    <w:rsid w:val="00D00095"/>
    <w:rsid w:val="00D114F0"/>
    <w:rsid w:val="00D20620"/>
    <w:rsid w:val="00D254F7"/>
    <w:rsid w:val="00D26091"/>
    <w:rsid w:val="00D2685C"/>
    <w:rsid w:val="00D34E7C"/>
    <w:rsid w:val="00D35489"/>
    <w:rsid w:val="00D36AFE"/>
    <w:rsid w:val="00D36CDE"/>
    <w:rsid w:val="00D51276"/>
    <w:rsid w:val="00D527B5"/>
    <w:rsid w:val="00D7035F"/>
    <w:rsid w:val="00DA634F"/>
    <w:rsid w:val="00DA65AC"/>
    <w:rsid w:val="00DB1913"/>
    <w:rsid w:val="00DC410D"/>
    <w:rsid w:val="00DC5A81"/>
    <w:rsid w:val="00DC68CA"/>
    <w:rsid w:val="00DC7CBA"/>
    <w:rsid w:val="00DD09A5"/>
    <w:rsid w:val="00DD73B7"/>
    <w:rsid w:val="00DF28BC"/>
    <w:rsid w:val="00DF34B9"/>
    <w:rsid w:val="00E01053"/>
    <w:rsid w:val="00E07ACF"/>
    <w:rsid w:val="00E331A1"/>
    <w:rsid w:val="00E33202"/>
    <w:rsid w:val="00E336A9"/>
    <w:rsid w:val="00E472B1"/>
    <w:rsid w:val="00E50624"/>
    <w:rsid w:val="00E53DC8"/>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4FE1"/>
    <w:rsid w:val="00F45853"/>
    <w:rsid w:val="00F602DF"/>
    <w:rsid w:val="00F754A1"/>
    <w:rsid w:val="00F81FD9"/>
    <w:rsid w:val="00F841AA"/>
    <w:rsid w:val="00F84A94"/>
    <w:rsid w:val="00F87E96"/>
    <w:rsid w:val="00F920E9"/>
    <w:rsid w:val="00F94D14"/>
    <w:rsid w:val="00F94E82"/>
    <w:rsid w:val="00FA23E8"/>
    <w:rsid w:val="00FD3CC1"/>
    <w:rsid w:val="00FF1E02"/>
    <w:rsid w:val="00FF30B4"/>
    <w:rsid w:val="01FF633B"/>
    <w:rsid w:val="028727E0"/>
    <w:rsid w:val="031E7D16"/>
    <w:rsid w:val="0A2032A3"/>
    <w:rsid w:val="0B8A37D8"/>
    <w:rsid w:val="10C055FF"/>
    <w:rsid w:val="118107EC"/>
    <w:rsid w:val="11DD6519"/>
    <w:rsid w:val="16BB723D"/>
    <w:rsid w:val="18015F3F"/>
    <w:rsid w:val="190343D3"/>
    <w:rsid w:val="1938013B"/>
    <w:rsid w:val="1BE8440E"/>
    <w:rsid w:val="1D155CEE"/>
    <w:rsid w:val="1DB10B7B"/>
    <w:rsid w:val="1DBF6902"/>
    <w:rsid w:val="20F57F95"/>
    <w:rsid w:val="240371BF"/>
    <w:rsid w:val="25C741E6"/>
    <w:rsid w:val="27842671"/>
    <w:rsid w:val="29FD04D3"/>
    <w:rsid w:val="2ABE7A3E"/>
    <w:rsid w:val="2ACE621E"/>
    <w:rsid w:val="2EFA178C"/>
    <w:rsid w:val="30B46D73"/>
    <w:rsid w:val="319F7F4E"/>
    <w:rsid w:val="39AE70AB"/>
    <w:rsid w:val="3C0C0783"/>
    <w:rsid w:val="3F795B0E"/>
    <w:rsid w:val="3F9F3A96"/>
    <w:rsid w:val="493C27E9"/>
    <w:rsid w:val="496F39ED"/>
    <w:rsid w:val="49FF41D3"/>
    <w:rsid w:val="4A185DC8"/>
    <w:rsid w:val="4BE068DB"/>
    <w:rsid w:val="4BF6002B"/>
    <w:rsid w:val="4ECE2238"/>
    <w:rsid w:val="51DB4B86"/>
    <w:rsid w:val="55333C3E"/>
    <w:rsid w:val="64CA39A1"/>
    <w:rsid w:val="6C4A05C8"/>
    <w:rsid w:val="72734D90"/>
    <w:rsid w:val="74E366CA"/>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qFormat/>
    <w:uiPriority w:val="99"/>
    <w:pPr>
      <w:ind w:firstLine="630"/>
      <w:jc w:val="left"/>
    </w:pPr>
    <w:rPr>
      <w:rFonts w:eastAsia="黑体"/>
      <w:sz w:val="3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able of figures"/>
    <w:basedOn w:val="1"/>
    <w:next w:val="1"/>
    <w:unhideWhenUsed/>
    <w:qFormat/>
    <w:uiPriority w:val="99"/>
    <w:pPr>
      <w:suppressAutoHyphens/>
      <w:ind w:left="200" w:leftChars="200" w:hanging="200" w:hangingChars="200"/>
    </w:pPr>
    <w:rPr>
      <w:rFonts w:ascii="Calibri" w:hAnsi="Calibri"/>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99"/>
    <w:pPr>
      <w:spacing w:before="100" w:beforeAutospacing="1" w:after="100" w:afterAutospacing="1"/>
      <w:jc w:val="left"/>
    </w:pPr>
    <w:rPr>
      <w:rFonts w:ascii="Calibri" w:hAnsi="Calibri"/>
      <w:kern w:val="0"/>
      <w:sz w:val="24"/>
    </w:rPr>
  </w:style>
  <w:style w:type="paragraph" w:styleId="15">
    <w:name w:val="Body Text First Indent 2"/>
    <w:basedOn w:val="6"/>
    <w:qFormat/>
    <w:uiPriority w:val="99"/>
    <w:pPr>
      <w:spacing w:after="120"/>
      <w:ind w:left="420" w:leftChars="200" w:firstLine="42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0"/>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9"/>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17"/>
    <w:link w:val="8"/>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4">
    <w:name w:val="WPSOffice手动目录 1"/>
    <w:qFormat/>
    <w:uiPriority w:val="0"/>
    <w:rPr>
      <w:rFonts w:asciiTheme="minorHAnsi" w:hAnsiTheme="minorHAnsi" w:eastAsiaTheme="minorEastAsia" w:cstheme="minorBidi"/>
      <w:lang w:val="en-US" w:eastAsia="zh-CN" w:bidi="ar-SA"/>
    </w:rPr>
  </w:style>
  <w:style w:type="paragraph" w:customStyle="1" w:styleId="35">
    <w:name w:val="WPSOffice手动目录 2"/>
    <w:qFormat/>
    <w:uiPriority w:val="0"/>
    <w:pPr>
      <w:ind w:left="200" w:leftChars="2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emf"/><Relationship Id="rId12" Type="http://schemas.openxmlformats.org/officeDocument/2006/relationships/image" Target="media/image1.emf"/><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t>收、支决算总计变动情况图</a:t>
            </a:r>
          </a:p>
        </c:rich>
      </c:tx>
      <c:layout/>
      <c:overlay val="0"/>
    </c:title>
    <c:autoTitleDeleted val="0"/>
    <c:plotArea>
      <c:layout/>
      <c:barChart>
        <c:barDir val="col"/>
        <c:grouping val="clustered"/>
        <c:varyColors val="0"/>
        <c:ser>
          <c:idx val="0"/>
          <c:order val="0"/>
          <c:tx>
            <c:strRef>
              <c:f>Sheet1!$B$2</c:f>
              <c:strCache>
                <c:ptCount val="1"/>
                <c:pt idx="0">
                  <c:v>一般公共预算财政拨款支出</c:v>
                </c:pt>
              </c:strCache>
            </c:strRef>
          </c:tx>
          <c:invertIfNegative val="0"/>
          <c:dLbls>
            <c:delete val="1"/>
          </c:dLbls>
          <c:cat>
            <c:strRef>
              <c:f>Sheet1!$A$3:$A$4</c:f>
              <c:strCache>
                <c:ptCount val="2"/>
                <c:pt idx="0">
                  <c:v>2020年</c:v>
                </c:pt>
                <c:pt idx="1">
                  <c:v>2021年</c:v>
                </c:pt>
              </c:strCache>
            </c:strRef>
          </c:cat>
          <c:val>
            <c:numRef>
              <c:f>Sheet1!$B$3:$B$4</c:f>
              <c:numCache>
                <c:formatCode>General</c:formatCode>
                <c:ptCount val="2"/>
                <c:pt idx="0">
                  <c:v>98.56</c:v>
                </c:pt>
                <c:pt idx="1">
                  <c:v>98.74</c:v>
                </c:pt>
              </c:numCache>
            </c:numRef>
          </c:val>
        </c:ser>
        <c:dLbls>
          <c:showLegendKey val="0"/>
          <c:showVal val="0"/>
          <c:showCatName val="0"/>
          <c:showSerName val="0"/>
          <c:showPercent val="0"/>
          <c:showBubbleSize val="0"/>
        </c:dLbls>
        <c:gapWidth val="150"/>
        <c:axId val="380205312"/>
        <c:axId val="380585856"/>
      </c:barChart>
      <c:catAx>
        <c:axId val="38020531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80585856"/>
        <c:crosses val="autoZero"/>
        <c:auto val="1"/>
        <c:lblAlgn val="ctr"/>
        <c:lblOffset val="100"/>
        <c:noMultiLvlLbl val="0"/>
      </c:catAx>
      <c:valAx>
        <c:axId val="38058585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8020531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t>收入决算结构图</a:t>
            </a:r>
          </a:p>
        </c:rich>
      </c:tx>
      <c:layout>
        <c:manualLayout>
          <c:xMode val="edge"/>
          <c:yMode val="edge"/>
          <c:x val="0.337312519130702"/>
          <c:y val="0.0591900311526481"/>
        </c:manualLayout>
      </c:layout>
      <c:overlay val="0"/>
    </c:title>
    <c:autoTitleDeleted val="0"/>
    <c:plotArea>
      <c:layout/>
      <c:pieChart>
        <c:varyColors val="1"/>
        <c:ser>
          <c:idx val="0"/>
          <c:order val="0"/>
          <c:tx>
            <c:strRef>
              <c:f>Sheet1!$A$15</c:f>
              <c:strCache>
                <c:ptCount val="1"/>
                <c:pt idx="0">
                  <c:v>基本支出占本年支出比例</c:v>
                </c:pt>
              </c:strCache>
            </c:strRef>
          </c:tx>
          <c:explosion val="0"/>
          <c:dPt>
            <c:idx val="0"/>
            <c:bubble3D val="0"/>
          </c:dPt>
          <c:dLbls>
            <c:dLbl>
              <c:idx val="0"/>
              <c:layout>
                <c:manualLayout>
                  <c:x val="-0.00382042869641295"/>
                  <c:y val="-0.31528215223097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val>
            <c:numRef>
              <c:f>Sheet1!$B$15</c:f>
              <c:numCache>
                <c:formatCode>0%</c:formatCode>
                <c:ptCount val="1"/>
                <c:pt idx="0">
                  <c:v>1</c:v>
                </c:pt>
              </c:numCache>
            </c:numRef>
          </c:val>
        </c:ser>
        <c:dLbls>
          <c:showLegendKey val="0"/>
          <c:showVal val="0"/>
          <c:showCatName val="0"/>
          <c:showSerName val="0"/>
          <c:showPercent val="0"/>
          <c:showBubbleSize val="0"/>
          <c:showLeaderLines val="1"/>
        </c:dLbls>
        <c:firstSliceAng val="0"/>
      </c:pieChart>
    </c:plotArea>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t>收入支出结构图</a:t>
            </a:r>
          </a:p>
        </c:rich>
      </c:tx>
      <c:layout>
        <c:manualLayout>
          <c:xMode val="edge"/>
          <c:yMode val="edge"/>
          <c:x val="0.300694444444444"/>
          <c:y val="0.0305555555555556"/>
        </c:manualLayout>
      </c:layout>
      <c:overlay val="0"/>
    </c:title>
    <c:autoTitleDeleted val="0"/>
    <c:plotArea>
      <c:layout/>
      <c:pieChart>
        <c:varyColors val="1"/>
        <c:ser>
          <c:idx val="0"/>
          <c:order val="0"/>
          <c:tx>
            <c:strRef>
              <c:f>Sheet1!$A$15</c:f>
              <c:strCache>
                <c:ptCount val="1"/>
                <c:pt idx="0">
                  <c:v>基本支出占本年支出比例</c:v>
                </c:pt>
              </c:strCache>
            </c:strRef>
          </c:tx>
          <c:explosion val="0"/>
          <c:dPt>
            <c:idx val="0"/>
            <c:bubble3D val="0"/>
          </c:dPt>
          <c:dLbls>
            <c:dLbl>
              <c:idx val="0"/>
              <c:layout>
                <c:manualLayout>
                  <c:x val="-0.00382042869641295"/>
                  <c:y val="-0.31528215223097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val>
            <c:numRef>
              <c:f>Sheet1!$B$15</c:f>
              <c:numCache>
                <c:formatCode>0%</c:formatCode>
                <c:ptCount val="1"/>
                <c:pt idx="0">
                  <c:v>1</c:v>
                </c:pt>
              </c:numCache>
            </c:numRef>
          </c:val>
        </c:ser>
        <c:dLbls>
          <c:showLegendKey val="0"/>
          <c:showVal val="0"/>
          <c:showCatName val="0"/>
          <c:showSerName val="0"/>
          <c:showPercent val="0"/>
          <c:showBubbleSize val="0"/>
          <c:showLeaderLines val="1"/>
        </c:dLbls>
        <c:firstSliceAng val="0"/>
      </c:pieChart>
    </c:plotArea>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t>财政拨款收、支决算总计变动情况</a:t>
            </a:r>
          </a:p>
        </c:rich>
      </c:tx>
      <c:layout>
        <c:manualLayout>
          <c:xMode val="edge"/>
          <c:yMode val="edge"/>
          <c:x val="0.165416666666667"/>
          <c:y val="0.0291390728476821"/>
        </c:manualLayout>
      </c:layout>
      <c:overlay val="0"/>
    </c:title>
    <c:autoTitleDeleted val="0"/>
    <c:plotArea>
      <c:layout/>
      <c:barChart>
        <c:barDir val="col"/>
        <c:grouping val="clustered"/>
        <c:varyColors val="0"/>
        <c:ser>
          <c:idx val="0"/>
          <c:order val="0"/>
          <c:tx>
            <c:strRef>
              <c:f>Sheet1!$B$2</c:f>
              <c:strCache>
                <c:ptCount val="1"/>
                <c:pt idx="0">
                  <c:v>一般公共预算财政拨款支出</c:v>
                </c:pt>
              </c:strCache>
            </c:strRef>
          </c:tx>
          <c:invertIfNegative val="0"/>
          <c:dLbls>
            <c:delete val="1"/>
          </c:dLbls>
          <c:cat>
            <c:strRef>
              <c:f>Sheet1!$A$3:$A$4</c:f>
              <c:strCache>
                <c:ptCount val="2"/>
                <c:pt idx="0">
                  <c:v>2020年</c:v>
                </c:pt>
                <c:pt idx="1">
                  <c:v>2021年</c:v>
                </c:pt>
              </c:strCache>
            </c:strRef>
          </c:cat>
          <c:val>
            <c:numRef>
              <c:f>Sheet1!$B$3:$B$4</c:f>
              <c:numCache>
                <c:formatCode>General</c:formatCode>
                <c:ptCount val="2"/>
                <c:pt idx="0">
                  <c:v>98.56</c:v>
                </c:pt>
                <c:pt idx="1">
                  <c:v>98.74</c:v>
                </c:pt>
              </c:numCache>
            </c:numRef>
          </c:val>
        </c:ser>
        <c:dLbls>
          <c:showLegendKey val="0"/>
          <c:showVal val="0"/>
          <c:showCatName val="0"/>
          <c:showSerName val="0"/>
          <c:showPercent val="0"/>
          <c:showBubbleSize val="0"/>
        </c:dLbls>
        <c:gapWidth val="150"/>
        <c:axId val="357460992"/>
        <c:axId val="357466880"/>
      </c:barChart>
      <c:catAx>
        <c:axId val="35746099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57466880"/>
        <c:crosses val="autoZero"/>
        <c:auto val="1"/>
        <c:lblAlgn val="ctr"/>
        <c:lblOffset val="100"/>
        <c:noMultiLvlLbl val="0"/>
      </c:catAx>
      <c:valAx>
        <c:axId val="3574668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5746099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t>一般公共预算财政拨款支出决算变动情况</a:t>
            </a:r>
          </a:p>
        </c:rich>
      </c:tx>
      <c:layout/>
      <c:overlay val="0"/>
    </c:title>
    <c:autoTitleDeleted val="0"/>
    <c:plotArea>
      <c:layout/>
      <c:barChart>
        <c:barDir val="col"/>
        <c:grouping val="clustered"/>
        <c:varyColors val="0"/>
        <c:ser>
          <c:idx val="0"/>
          <c:order val="0"/>
          <c:tx>
            <c:strRef>
              <c:f>Sheet1!$B$2</c:f>
              <c:strCache>
                <c:ptCount val="1"/>
                <c:pt idx="0">
                  <c:v>一般公共预算财政拨款支出</c:v>
                </c:pt>
              </c:strCache>
            </c:strRef>
          </c:tx>
          <c:invertIfNegative val="0"/>
          <c:dLbls>
            <c:delete val="1"/>
          </c:dLbls>
          <c:cat>
            <c:strRef>
              <c:f>Sheet1!$A$3:$A$4</c:f>
              <c:strCache>
                <c:ptCount val="2"/>
                <c:pt idx="0">
                  <c:v>2020年</c:v>
                </c:pt>
                <c:pt idx="1">
                  <c:v>2021年</c:v>
                </c:pt>
              </c:strCache>
            </c:strRef>
          </c:cat>
          <c:val>
            <c:numRef>
              <c:f>Sheet1!$B$3:$B$4</c:f>
              <c:numCache>
                <c:formatCode>General</c:formatCode>
                <c:ptCount val="2"/>
                <c:pt idx="0">
                  <c:v>98.56</c:v>
                </c:pt>
                <c:pt idx="1">
                  <c:v>98.74</c:v>
                </c:pt>
              </c:numCache>
            </c:numRef>
          </c:val>
        </c:ser>
        <c:dLbls>
          <c:showLegendKey val="0"/>
          <c:showVal val="0"/>
          <c:showCatName val="0"/>
          <c:showSerName val="0"/>
          <c:showPercent val="0"/>
          <c:showBubbleSize val="0"/>
        </c:dLbls>
        <c:gapWidth val="150"/>
        <c:axId val="357474688"/>
        <c:axId val="357476224"/>
      </c:barChart>
      <c:catAx>
        <c:axId val="35747468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57476224"/>
        <c:crosses val="autoZero"/>
        <c:auto val="1"/>
        <c:lblAlgn val="ctr"/>
        <c:lblOffset val="100"/>
        <c:noMultiLvlLbl val="0"/>
      </c:catAx>
      <c:valAx>
        <c:axId val="3574762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57474688"/>
        <c:crosses val="autoZero"/>
        <c:crossBetween val="between"/>
      </c:valAx>
    </c:plotArea>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2281C9-3302-46D9-B97B-9260C12A233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7944</Words>
  <Characters>8310</Characters>
  <Lines>76</Lines>
  <Paragraphs>21</Paragraphs>
  <TotalTime>16</TotalTime>
  <ScaleCrop>false</ScaleCrop>
  <LinksUpToDate>false</LinksUpToDate>
  <CharactersWithSpaces>8446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昭化融媒体</cp:lastModifiedBy>
  <cp:lastPrinted>2022-08-06T02:23:00Z</cp:lastPrinted>
  <dcterms:modified xsi:type="dcterms:W3CDTF">2024-08-02T06:40:52Z</dcterms:modified>
  <dc:title>四川省***</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C477875E0C5649AD8330A23B4C2221A1</vt:lpwstr>
  </property>
</Properties>
</file>