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_GBK" w:hAnsi="方正小标宋_GBK" w:eastAsia="方正小标宋_GBK" w:cs="方正小标宋_GBK"/>
          <w:color w:val="auto"/>
          <w:sz w:val="72"/>
          <w:szCs w:val="72"/>
          <w:highlight w:val="none"/>
        </w:rPr>
      </w:pPr>
      <w:bookmarkStart w:id="1" w:name="_Toc15377193"/>
      <w:bookmarkStart w:id="2" w:name="_Toc15396597"/>
      <w:bookmarkStart w:id="3" w:name="_Toc15377425"/>
      <w:bookmarkStart w:id="4" w:name="_Toc15396475"/>
      <w:bookmarkStart w:id="5" w:name="_Toc15378441"/>
      <w:r>
        <w:rPr>
          <w:rFonts w:hint="eastAsia" w:ascii="方正小标宋_GBK" w:hAnsi="方正小标宋_GBK" w:eastAsia="方正小标宋_GBK" w:cs="方正小标宋_GBK"/>
          <w:color w:val="auto"/>
          <w:sz w:val="72"/>
          <w:szCs w:val="72"/>
          <w:highlight w:val="none"/>
        </w:rPr>
        <w:t>20</w:t>
      </w:r>
      <w:r>
        <w:rPr>
          <w:rFonts w:hint="eastAsia" w:ascii="方正小标宋_GBK" w:hAnsi="方正小标宋_GBK" w:eastAsia="方正小标宋_GBK" w:cs="方正小标宋_GBK"/>
          <w:color w:val="auto"/>
          <w:sz w:val="72"/>
          <w:szCs w:val="72"/>
          <w:highlight w:val="none"/>
          <w:lang w:val="en-US" w:eastAsia="zh-CN"/>
        </w:rPr>
        <w:t>21</w:t>
      </w:r>
      <w:r>
        <w:rPr>
          <w:rFonts w:hint="eastAsia" w:ascii="方正小标宋_GBK" w:hAnsi="方正小标宋_GBK" w:eastAsia="方正小标宋_GBK" w:cs="方正小标宋_GBK"/>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_GBK" w:hAnsi="方正小标宋_GBK" w:eastAsia="方正小标宋_GBK" w:cs="方正小标宋_GBK"/>
          <w:color w:val="auto"/>
          <w:sz w:val="72"/>
          <w:szCs w:val="72"/>
          <w:highlight w:val="none"/>
          <w:lang w:eastAsia="zh-CN"/>
        </w:rPr>
      </w:pPr>
      <w:bookmarkStart w:id="6" w:name="_Toc15378442"/>
      <w:bookmarkStart w:id="7" w:name="_Toc15396598"/>
      <w:bookmarkStart w:id="8" w:name="_Toc15396476"/>
      <w:bookmarkStart w:id="9" w:name="_Toc15377426"/>
      <w:bookmarkStart w:id="10" w:name="_Toc15377194"/>
      <w:r>
        <w:rPr>
          <w:rFonts w:hint="eastAsia" w:ascii="方正小标宋_GBK" w:hAnsi="方正小标宋_GBK" w:eastAsia="方正小标宋_GBK" w:cs="方正小标宋_GBK"/>
          <w:color w:val="auto"/>
          <w:sz w:val="72"/>
          <w:szCs w:val="72"/>
          <w:highlight w:val="none"/>
        </w:rPr>
        <w:t>四川省</w:t>
      </w:r>
      <w:bookmarkEnd w:id="0"/>
      <w:bookmarkStart w:id="11" w:name="_Toc15306268"/>
      <w:r>
        <w:rPr>
          <w:rFonts w:hint="eastAsia" w:ascii="方正小标宋_GBK" w:hAnsi="方正小标宋_GBK" w:eastAsia="方正小标宋_GBK" w:cs="方正小标宋_GBK"/>
          <w:color w:val="auto"/>
          <w:sz w:val="72"/>
          <w:szCs w:val="72"/>
          <w:highlight w:val="none"/>
          <w:lang w:eastAsia="zh-CN"/>
        </w:rPr>
        <w:t>广元市昭化区委</w:t>
      </w:r>
    </w:p>
    <w:p>
      <w:pPr>
        <w:adjustRightInd w:val="0"/>
        <w:snapToGrid w:val="0"/>
        <w:spacing w:line="360" w:lineRule="auto"/>
        <w:jc w:val="center"/>
        <w:outlineLvl w:val="0"/>
        <w:rPr>
          <w:rFonts w:hint="eastAsia" w:ascii="方正小标宋_GBK" w:hAnsi="方正小标宋_GBK" w:eastAsia="方正小标宋_GBK" w:cs="方正小标宋_GBK"/>
          <w:color w:val="auto"/>
          <w:sz w:val="72"/>
          <w:szCs w:val="72"/>
          <w:highlight w:val="none"/>
        </w:rPr>
      </w:pPr>
      <w:r>
        <w:rPr>
          <w:rFonts w:hint="eastAsia" w:ascii="方正小标宋_GBK" w:hAnsi="方正小标宋_GBK" w:eastAsia="方正小标宋_GBK" w:cs="方正小标宋_GBK"/>
          <w:color w:val="auto"/>
          <w:sz w:val="72"/>
          <w:szCs w:val="72"/>
          <w:highlight w:val="none"/>
          <w:lang w:eastAsia="zh-CN"/>
        </w:rPr>
        <w:t>组织部单位</w:t>
      </w:r>
      <w:r>
        <w:rPr>
          <w:rFonts w:hint="eastAsia" w:ascii="方正小标宋_GBK" w:hAnsi="方正小标宋_GBK" w:eastAsia="方正小标宋_GBK" w:cs="方正小标宋_GBK"/>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pStyle w:val="12"/>
        <w:jc w:val="both"/>
        <w:rPr>
          <w:color w:val="auto"/>
          <w:highlight w:val="none"/>
        </w:rPr>
      </w:pPr>
    </w:p>
    <w:p>
      <w:pPr>
        <w:rPr>
          <w:color w:val="auto"/>
          <w:highlight w:val="none"/>
        </w:rPr>
      </w:pPr>
    </w:p>
    <w:p>
      <w:pPr>
        <w:pStyle w:val="12"/>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asciiTheme="minorEastAsia" w:hAnsiTheme="minorEastAsia" w:eastAsiaTheme="minorEastAsia" w:cstheme="minorEastAsia"/>
          <w:color w:val="auto"/>
          <w:sz w:val="24"/>
          <w:highlight w:val="none"/>
          <w:lang w:val="en-US" w:eastAsia="zh-CN"/>
        </w:rPr>
        <w:t>................................................04</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一、职能</w:t>
      </w:r>
      <w:r>
        <w:rPr>
          <w:rFonts w:hint="eastAsia"/>
          <w:color w:val="auto"/>
          <w:sz w:val="24"/>
          <w:highlight w:val="none"/>
          <w:lang w:eastAsia="zh-CN"/>
        </w:rPr>
        <w:t>简介</w:t>
      </w:r>
      <w:r>
        <w:rPr>
          <w:rFonts w:hint="eastAsia" w:asciiTheme="minorEastAsia" w:hAnsiTheme="minorEastAsia" w:eastAsiaTheme="minorEastAsia" w:cstheme="minorEastAsia"/>
          <w:color w:val="auto"/>
          <w:sz w:val="24"/>
          <w:highlight w:val="none"/>
          <w:lang w:val="en-US" w:eastAsia="zh-CN"/>
        </w:rPr>
        <w:t>.................................................04</w:t>
      </w:r>
    </w:p>
    <w:p>
      <w:pPr>
        <w:pStyle w:val="13"/>
        <w:adjustRightInd w:val="0"/>
        <w:snapToGrid w:val="0"/>
        <w:spacing w:line="440" w:lineRule="exact"/>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完成情况</w:t>
      </w:r>
      <w:r>
        <w:rPr>
          <w:rFonts w:hint="eastAsia" w:asciiTheme="minorEastAsia" w:hAnsiTheme="minorEastAsia" w:eastAsiaTheme="minorEastAsia" w:cstheme="minorEastAsia"/>
          <w:color w:val="auto"/>
          <w:sz w:val="24"/>
          <w:highlight w:val="none"/>
          <w:lang w:val="en-US" w:eastAsia="zh-CN"/>
        </w:rPr>
        <w:t>...................................05</w:t>
      </w:r>
    </w:p>
    <w:p>
      <w:pPr>
        <w:pStyle w:val="12"/>
        <w:adjustRightInd w:val="0"/>
        <w:snapToGrid w:val="0"/>
        <w:spacing w:before="0" w:line="440" w:lineRule="exact"/>
        <w:jc w:val="left"/>
        <w:rPr>
          <w:rFonts w:hint="default"/>
          <w:color w:val="auto"/>
          <w:sz w:val="24"/>
          <w:szCs w:val="24"/>
          <w:highlight w:val="none"/>
          <w:lang w:val="en-US"/>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r>
        <w:rPr>
          <w:rFonts w:hint="eastAsia" w:asciiTheme="minorEastAsia" w:hAnsiTheme="minorEastAsia" w:eastAsiaTheme="minorEastAsia" w:cstheme="minorEastAsia"/>
          <w:color w:val="auto"/>
          <w:sz w:val="24"/>
          <w:highlight w:val="none"/>
          <w:lang w:val="en-US" w:eastAsia="zh-CN"/>
        </w:rPr>
        <w:t>...............................06</w:t>
      </w:r>
    </w:p>
    <w:p>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asciiTheme="minorEastAsia" w:hAnsiTheme="minorEastAsia" w:eastAsiaTheme="minorEastAsia" w:cstheme="minorEastAsia"/>
          <w:color w:val="auto"/>
          <w:sz w:val="24"/>
          <w:highlight w:val="none"/>
          <w:lang w:val="en-US" w:eastAsia="zh-CN"/>
        </w:rPr>
        <w:t>.................................06</w:t>
      </w:r>
    </w:p>
    <w:p>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二、收入决算情况说明</w:t>
      </w:r>
      <w:r>
        <w:rPr>
          <w:rFonts w:hint="eastAsia" w:asciiTheme="minorEastAsia" w:hAnsiTheme="minorEastAsia" w:eastAsiaTheme="minorEastAsia" w:cstheme="minorEastAsia"/>
          <w:color w:val="auto"/>
          <w:sz w:val="24"/>
          <w:highlight w:val="none"/>
          <w:lang w:val="en-US" w:eastAsia="zh-CN"/>
        </w:rPr>
        <w:t>.........................................06</w:t>
      </w:r>
    </w:p>
    <w:p>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三、支出决算情况说明</w:t>
      </w:r>
      <w:r>
        <w:rPr>
          <w:rFonts w:hint="eastAsia" w:asciiTheme="minorEastAsia" w:hAnsiTheme="minorEastAsia" w:eastAsiaTheme="minorEastAsia" w:cstheme="minorEastAsia"/>
          <w:color w:val="auto"/>
          <w:sz w:val="24"/>
          <w:highlight w:val="none"/>
          <w:lang w:val="en-US" w:eastAsia="zh-CN"/>
        </w:rPr>
        <w:t>.........................................07</w:t>
      </w:r>
    </w:p>
    <w:p>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四、财政拨款收入支出决算总体情况说明</w:t>
      </w:r>
      <w:r>
        <w:rPr>
          <w:rFonts w:hint="eastAsia" w:asciiTheme="minorEastAsia" w:hAnsiTheme="minorEastAsia" w:eastAsiaTheme="minorEastAsia" w:cstheme="minorEastAsia"/>
          <w:color w:val="auto"/>
          <w:sz w:val="24"/>
          <w:highlight w:val="none"/>
          <w:lang w:val="en-US" w:eastAsia="zh-CN"/>
        </w:rPr>
        <w:t>.........................08</w:t>
      </w:r>
    </w:p>
    <w:p>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五、一般公共预算财政拨款支出决算情况说明</w:t>
      </w:r>
      <w:r>
        <w:rPr>
          <w:rFonts w:hint="eastAsia" w:asciiTheme="minorEastAsia" w:hAnsiTheme="minorEastAsia" w:eastAsiaTheme="minorEastAsia" w:cstheme="minorEastAsia"/>
          <w:color w:val="auto"/>
          <w:sz w:val="24"/>
          <w:highlight w:val="none"/>
          <w:lang w:val="en-US" w:eastAsia="zh-CN"/>
        </w:rPr>
        <w:t>.....................08</w:t>
      </w:r>
    </w:p>
    <w:p>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六、一般公共预算财政拨款基本支出决算情况说明</w:t>
      </w:r>
      <w:r>
        <w:rPr>
          <w:rFonts w:hint="eastAsia" w:asciiTheme="minorEastAsia" w:hAnsiTheme="minorEastAsia" w:eastAsiaTheme="minorEastAsia" w:cstheme="minorEastAsia"/>
          <w:color w:val="auto"/>
          <w:sz w:val="24"/>
          <w:highlight w:val="none"/>
          <w:lang w:val="en-US" w:eastAsia="zh-CN"/>
        </w:rPr>
        <w:t>.................10</w:t>
      </w:r>
    </w:p>
    <w:p>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asciiTheme="minorEastAsia" w:hAnsiTheme="minorEastAsia" w:eastAsiaTheme="minorEastAsia" w:cstheme="minorEastAsia"/>
          <w:color w:val="auto"/>
          <w:sz w:val="24"/>
          <w:highlight w:val="none"/>
          <w:lang w:val="en-US" w:eastAsia="zh-CN"/>
        </w:rPr>
        <w:t>......................11</w:t>
      </w:r>
    </w:p>
    <w:p>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八、政府性基金预算支出决算情况说明</w:t>
      </w:r>
      <w:r>
        <w:rPr>
          <w:rFonts w:hint="eastAsia" w:asciiTheme="minorEastAsia" w:hAnsiTheme="minorEastAsia" w:eastAsiaTheme="minorEastAsia" w:cstheme="minorEastAsia"/>
          <w:color w:val="auto"/>
          <w:sz w:val="24"/>
          <w:highlight w:val="none"/>
          <w:lang w:val="en-US" w:eastAsia="zh-CN"/>
        </w:rPr>
        <w:t>...........................13</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九、国有资本经营预算支出决算情况说明</w:t>
      </w:r>
      <w:r>
        <w:rPr>
          <w:rFonts w:hint="eastAsia" w:asciiTheme="minorEastAsia" w:hAnsiTheme="minorEastAsia" w:eastAsiaTheme="minorEastAsia" w:cstheme="minorEastAsia"/>
          <w:color w:val="auto"/>
          <w:sz w:val="24"/>
          <w:highlight w:val="none"/>
          <w:lang w:val="en-US" w:eastAsia="zh-CN"/>
        </w:rPr>
        <w:t>.........................13</w:t>
      </w:r>
    </w:p>
    <w:p>
      <w:pPr>
        <w:pStyle w:val="13"/>
        <w:adjustRightInd w:val="0"/>
        <w:snapToGrid w:val="0"/>
        <w:spacing w:line="440" w:lineRule="exact"/>
        <w:jc w:val="left"/>
        <w:rPr>
          <w:rFonts w:hint="default" w:asciiTheme="minorEastAsia" w:hAnsiTheme="minorEastAsia" w:eastAsiaTheme="minorEastAsia" w:cstheme="minorEastAsia"/>
          <w:color w:val="auto"/>
          <w:sz w:val="24"/>
          <w:highlight w:val="none"/>
          <w:lang w:val="en-US" w:eastAsia="zh-CN"/>
        </w:rPr>
      </w:pPr>
      <w:r>
        <w:rPr>
          <w:rFonts w:hint="eastAsia"/>
          <w:color w:val="auto"/>
          <w:sz w:val="24"/>
          <w:highlight w:val="none"/>
        </w:rPr>
        <w:t>十、</w:t>
      </w:r>
      <w:r>
        <w:rPr>
          <w:rFonts w:hint="eastAsia" w:asciiTheme="minorEastAsia" w:hAnsiTheme="minorEastAsia" w:eastAsiaTheme="minorEastAsia" w:cstheme="minorEastAsia"/>
          <w:color w:val="auto"/>
          <w:sz w:val="24"/>
          <w:highlight w:val="none"/>
          <w:lang w:val="en-US" w:eastAsia="zh-CN"/>
        </w:rPr>
        <w:t>预算绩效管理情况.........................................13</w:t>
      </w:r>
    </w:p>
    <w:p>
      <w:pPr>
        <w:pStyle w:val="13"/>
        <w:adjustRightInd w:val="0"/>
        <w:snapToGrid w:val="0"/>
        <w:spacing w:line="440" w:lineRule="exact"/>
        <w:jc w:val="left"/>
        <w:rPr>
          <w:rFonts w:hint="default" w:eastAsia="宋体"/>
          <w:lang w:val="en-US" w:eastAsia="zh-CN"/>
        </w:rPr>
      </w:pPr>
      <w:r>
        <w:rPr>
          <w:rFonts w:hint="eastAsia"/>
          <w:color w:val="auto"/>
          <w:sz w:val="24"/>
          <w:highlight w:val="none"/>
          <w:lang w:val="en-US" w:eastAsia="zh-CN"/>
        </w:rPr>
        <w:t>十一、</w:t>
      </w:r>
      <w:r>
        <w:rPr>
          <w:rFonts w:hint="eastAsia"/>
          <w:color w:val="auto"/>
          <w:sz w:val="24"/>
          <w:highlight w:val="none"/>
        </w:rPr>
        <w:t>其他重要事项的情况说明</w:t>
      </w:r>
      <w:r>
        <w:rPr>
          <w:rFonts w:hint="eastAsia" w:asciiTheme="minorEastAsia" w:hAnsiTheme="minorEastAsia" w:eastAsiaTheme="minorEastAsia" w:cstheme="minorEastAsia"/>
          <w:color w:val="auto"/>
          <w:sz w:val="24"/>
          <w:highlight w:val="none"/>
          <w:lang w:val="en-US" w:eastAsia="zh-CN"/>
        </w:rPr>
        <w:t>.................................13</w:t>
      </w:r>
    </w:p>
    <w:p>
      <w:pPr>
        <w:pStyle w:val="12"/>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asciiTheme="minorEastAsia" w:hAnsiTheme="minorEastAsia" w:eastAsiaTheme="minorEastAsia" w:cstheme="minorEastAsia"/>
          <w:color w:val="auto"/>
          <w:sz w:val="24"/>
          <w:highlight w:val="none"/>
          <w:lang w:val="en-US" w:eastAsia="zh-CN"/>
        </w:rPr>
        <w:t>................................................14</w:t>
      </w:r>
    </w:p>
    <w:p>
      <w:pPr>
        <w:pStyle w:val="12"/>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asciiTheme="minorEastAsia" w:hAnsiTheme="minorEastAsia" w:eastAsiaTheme="minorEastAsia" w:cstheme="minorEastAsia"/>
          <w:color w:val="auto"/>
          <w:sz w:val="24"/>
          <w:highlight w:val="none"/>
          <w:lang w:val="en-US" w:eastAsia="zh-CN"/>
        </w:rPr>
        <w:t>....................................................16</w:t>
      </w:r>
    </w:p>
    <w:p>
      <w:pPr>
        <w:pStyle w:val="12"/>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asciiTheme="minorEastAsia" w:hAnsiTheme="minorEastAsia" w:eastAsiaTheme="minorEastAsia" w:cstheme="minorEastAsia"/>
          <w:color w:val="auto"/>
          <w:sz w:val="24"/>
          <w:highlight w:val="none"/>
          <w:lang w:val="en-US" w:eastAsia="zh-CN"/>
        </w:rPr>
        <w:t>....................................................17</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一、收入支出决算总表</w:t>
      </w:r>
      <w:r>
        <w:rPr>
          <w:rFonts w:hint="eastAsia" w:asciiTheme="minorEastAsia" w:hAnsiTheme="minorEastAsia" w:eastAsiaTheme="minorEastAsia" w:cstheme="minorEastAsia"/>
          <w:color w:val="auto"/>
          <w:sz w:val="24"/>
          <w:highlight w:val="none"/>
          <w:lang w:val="en-US" w:eastAsia="zh-CN"/>
        </w:rPr>
        <w:t>..........................................17</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二、收入决算表</w:t>
      </w:r>
      <w:r>
        <w:rPr>
          <w:rFonts w:hint="eastAsia" w:asciiTheme="minorEastAsia" w:hAnsiTheme="minorEastAsia" w:eastAsiaTheme="minorEastAsia" w:cstheme="minorEastAsia"/>
          <w:color w:val="auto"/>
          <w:sz w:val="24"/>
          <w:highlight w:val="none"/>
          <w:lang w:val="en-US" w:eastAsia="zh-CN"/>
        </w:rPr>
        <w:t>................................................17</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三、支出决算表</w:t>
      </w:r>
      <w:r>
        <w:rPr>
          <w:rFonts w:hint="eastAsia" w:asciiTheme="minorEastAsia" w:hAnsiTheme="minorEastAsia" w:eastAsiaTheme="minorEastAsia" w:cstheme="minorEastAsia"/>
          <w:color w:val="auto"/>
          <w:sz w:val="24"/>
          <w:highlight w:val="none"/>
          <w:lang w:val="en-US" w:eastAsia="zh-CN"/>
        </w:rPr>
        <w:t>................................................17</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四、财政拨款收入支出决算总表</w:t>
      </w:r>
      <w:r>
        <w:rPr>
          <w:rFonts w:hint="eastAsia" w:asciiTheme="minorEastAsia" w:hAnsiTheme="minorEastAsia" w:eastAsiaTheme="minorEastAsia" w:cstheme="minorEastAsia"/>
          <w:color w:val="auto"/>
          <w:sz w:val="24"/>
          <w:highlight w:val="none"/>
          <w:lang w:val="en-US" w:eastAsia="zh-CN"/>
        </w:rPr>
        <w:t>..................................17</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五、财政拨款支出决算明细表</w:t>
      </w:r>
      <w:r>
        <w:rPr>
          <w:rFonts w:hint="eastAsia" w:asciiTheme="minorEastAsia" w:hAnsiTheme="minorEastAsia" w:eastAsiaTheme="minorEastAsia" w:cstheme="minorEastAsia"/>
          <w:color w:val="auto"/>
          <w:sz w:val="24"/>
          <w:highlight w:val="none"/>
          <w:lang w:val="en-US" w:eastAsia="zh-CN"/>
        </w:rPr>
        <w:t>....................................17</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六、一般公共预算财政拨款支出决算表</w:t>
      </w:r>
      <w:r>
        <w:rPr>
          <w:rFonts w:hint="eastAsia" w:asciiTheme="minorEastAsia" w:hAnsiTheme="minorEastAsia" w:eastAsiaTheme="minorEastAsia" w:cstheme="minorEastAsia"/>
          <w:color w:val="auto"/>
          <w:sz w:val="24"/>
          <w:highlight w:val="none"/>
          <w:lang w:val="en-US" w:eastAsia="zh-CN"/>
        </w:rPr>
        <w:t>............................17</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七、一般公共预算财政拨款支出决算明细表</w:t>
      </w:r>
      <w:r>
        <w:rPr>
          <w:rFonts w:hint="eastAsia" w:asciiTheme="minorEastAsia" w:hAnsiTheme="minorEastAsia" w:eastAsiaTheme="minorEastAsia" w:cstheme="minorEastAsia"/>
          <w:color w:val="auto"/>
          <w:sz w:val="24"/>
          <w:highlight w:val="none"/>
          <w:lang w:val="en-US" w:eastAsia="zh-CN"/>
        </w:rPr>
        <w:t>........................17</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八、一般公共预算财政拨款基本支出决算表</w:t>
      </w:r>
      <w:r>
        <w:rPr>
          <w:rFonts w:hint="eastAsia" w:asciiTheme="minorEastAsia" w:hAnsiTheme="minorEastAsia" w:eastAsiaTheme="minorEastAsia" w:cstheme="minorEastAsia"/>
          <w:color w:val="auto"/>
          <w:sz w:val="24"/>
          <w:highlight w:val="none"/>
          <w:lang w:val="en-US" w:eastAsia="zh-CN"/>
        </w:rPr>
        <w:t>........................17</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九、一般公共预算财政拨款项目支出决算表</w:t>
      </w:r>
      <w:r>
        <w:rPr>
          <w:rFonts w:hint="eastAsia" w:asciiTheme="minorEastAsia" w:hAnsiTheme="minorEastAsia" w:eastAsiaTheme="minorEastAsia" w:cstheme="minorEastAsia"/>
          <w:color w:val="auto"/>
          <w:sz w:val="24"/>
          <w:highlight w:val="none"/>
          <w:lang w:val="en-US" w:eastAsia="zh-CN"/>
        </w:rPr>
        <w:t>........................17</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十、一般公共预算财政拨款“三公”经费支出决算表</w:t>
      </w:r>
      <w:r>
        <w:rPr>
          <w:rFonts w:hint="eastAsia" w:asciiTheme="minorEastAsia" w:hAnsiTheme="minorEastAsia" w:eastAsiaTheme="minorEastAsia" w:cstheme="minorEastAsia"/>
          <w:color w:val="auto"/>
          <w:sz w:val="24"/>
          <w:highlight w:val="none"/>
          <w:lang w:val="en-US" w:eastAsia="zh-CN"/>
        </w:rPr>
        <w:t>................17</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十一、政府性基金预算财政拨款收入支出决算表</w:t>
      </w:r>
      <w:r>
        <w:rPr>
          <w:rFonts w:hint="eastAsia" w:asciiTheme="minorEastAsia" w:hAnsiTheme="minorEastAsia" w:eastAsiaTheme="minorEastAsia" w:cstheme="minorEastAsia"/>
          <w:color w:val="auto"/>
          <w:sz w:val="24"/>
          <w:highlight w:val="none"/>
          <w:lang w:val="en-US" w:eastAsia="zh-CN"/>
        </w:rPr>
        <w:t>....................17</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十二、政府性基金预算财政拨款“三公”经费支出决算表</w:t>
      </w:r>
      <w:r>
        <w:rPr>
          <w:rFonts w:hint="eastAsia" w:asciiTheme="minorEastAsia" w:hAnsiTheme="minorEastAsia" w:eastAsiaTheme="minorEastAsia" w:cstheme="minorEastAsia"/>
          <w:color w:val="auto"/>
          <w:sz w:val="24"/>
          <w:highlight w:val="none"/>
          <w:lang w:val="en-US" w:eastAsia="zh-CN"/>
        </w:rPr>
        <w:t>............17</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r>
        <w:rPr>
          <w:rFonts w:hint="eastAsia" w:asciiTheme="minorEastAsia" w:hAnsiTheme="minorEastAsia" w:eastAsiaTheme="minorEastAsia" w:cstheme="minorEastAsia"/>
          <w:color w:val="auto"/>
          <w:sz w:val="24"/>
          <w:highlight w:val="none"/>
          <w:lang w:val="en-US" w:eastAsia="zh-CN"/>
        </w:rPr>
        <w:t>..................17</w:t>
      </w:r>
    </w:p>
    <w:p>
      <w:pPr>
        <w:pStyle w:val="13"/>
        <w:adjustRightInd w:val="0"/>
        <w:snapToGrid w:val="0"/>
        <w:spacing w:line="440" w:lineRule="exact"/>
        <w:jc w:val="left"/>
        <w:rPr>
          <w:rFonts w:ascii="仿宋" w:hAnsi="仿宋" w:eastAsia="仿宋"/>
          <w:bCs/>
          <w:color w:val="auto"/>
          <w:kern w:val="44"/>
          <w:sz w:val="24"/>
          <w:highlight w:val="none"/>
        </w:rPr>
      </w:pPr>
      <w:r>
        <w:rPr>
          <w:rFonts w:hint="eastAsia"/>
          <w:color w:val="auto"/>
          <w:sz w:val="24"/>
          <w:highlight w:val="none"/>
          <w:lang w:val="en-US" w:eastAsia="zh-CN"/>
        </w:rPr>
        <w:t>十四、国有资本经营预算财政拨款支出决算表</w:t>
      </w:r>
      <w:bookmarkStart w:id="12" w:name="_Toc15377196"/>
      <w:bookmarkStart w:id="13" w:name="_Toc15396599"/>
      <w:r>
        <w:rPr>
          <w:rFonts w:hint="eastAsia" w:asciiTheme="minorEastAsia" w:hAnsiTheme="minorEastAsia" w:eastAsiaTheme="minorEastAsia" w:cstheme="minorEastAsia"/>
          <w:color w:val="auto"/>
          <w:sz w:val="24"/>
          <w:highlight w:val="none"/>
          <w:lang w:val="en-US" w:eastAsia="zh-CN"/>
        </w:rPr>
        <w:t>......................17</w:t>
      </w:r>
      <w:r>
        <w:rPr>
          <w:rFonts w:ascii="仿宋" w:hAnsi="仿宋" w:eastAsia="仿宋"/>
          <w:b/>
          <w:color w:val="auto"/>
          <w:sz w:val="24"/>
          <w:highlight w:val="none"/>
        </w:rPr>
        <w:br w:type="page"/>
      </w:r>
    </w:p>
    <w:p>
      <w:pPr>
        <w:pStyle w:val="3"/>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7"/>
          <w:rFonts w:hint="eastAsia" w:ascii="黑体" w:hAnsi="黑体" w:eastAsia="黑体"/>
          <w:b w:val="0"/>
          <w:bCs w:val="0"/>
          <w:color w:val="auto"/>
          <w:highlight w:val="none"/>
        </w:rPr>
        <w:t>概况</w:t>
      </w:r>
      <w:bookmarkEnd w:id="12"/>
      <w:bookmarkEnd w:id="13"/>
    </w:p>
    <w:p>
      <w:pPr>
        <w:pStyle w:val="4"/>
        <w:numPr>
          <w:ilvl w:val="0"/>
          <w:numId w:val="1"/>
        </w:numPr>
        <w:rPr>
          <w:rFonts w:hint="default" w:ascii="仿宋" w:hAnsi="仿宋" w:eastAsia="仿宋"/>
          <w:bCs/>
          <w:color w:val="000000"/>
          <w:sz w:val="32"/>
          <w:szCs w:val="32"/>
          <w:lang w:val="en-US" w:eastAsia="zh-CN"/>
        </w:rPr>
      </w:pPr>
      <w:bookmarkStart w:id="14" w:name="_Toc15396600"/>
      <w:bookmarkStart w:id="15" w:name="_Toc15377197"/>
      <w:r>
        <w:rPr>
          <w:rStyle w:val="28"/>
          <w:rFonts w:hint="eastAsia" w:ascii="黑体" w:hAnsi="黑体" w:eastAsia="黑体"/>
          <w:b w:val="0"/>
          <w:bCs w:val="0"/>
          <w:color w:val="auto"/>
          <w:highlight w:val="none"/>
        </w:rPr>
        <w:t>职能</w:t>
      </w:r>
      <w:r>
        <w:rPr>
          <w:rStyle w:val="28"/>
          <w:rFonts w:hint="eastAsia" w:ascii="黑体" w:hAnsi="黑体" w:eastAsia="黑体"/>
          <w:b w:val="0"/>
          <w:bCs w:val="0"/>
          <w:color w:val="auto"/>
          <w:highlight w:val="none"/>
          <w:lang w:eastAsia="zh-CN"/>
        </w:rPr>
        <w:t>简介</w:t>
      </w:r>
    </w:p>
    <w:p>
      <w:pPr>
        <w:pStyle w:val="4"/>
        <w:numPr>
          <w:ilvl w:val="0"/>
          <w:numId w:val="0"/>
        </w:numPr>
        <w:ind w:firstLine="640" w:firstLineChars="200"/>
        <w:rPr>
          <w:rFonts w:hint="default" w:ascii="仿宋" w:hAnsi="仿宋" w:eastAsia="仿宋"/>
          <w:b w:val="0"/>
          <w:bCs w:val="0"/>
          <w:color w:val="000000"/>
          <w:sz w:val="32"/>
          <w:szCs w:val="32"/>
          <w:lang w:val="en-US" w:eastAsia="zh-CN"/>
        </w:rPr>
      </w:pPr>
      <w:r>
        <w:rPr>
          <w:rFonts w:hint="eastAsia" w:ascii="仿宋" w:hAnsi="仿宋" w:eastAsia="仿宋"/>
          <w:b w:val="0"/>
          <w:bCs w:val="0"/>
          <w:color w:val="000000"/>
          <w:sz w:val="32"/>
          <w:szCs w:val="32"/>
        </w:rPr>
        <w:t>主要职能。</w:t>
      </w:r>
      <w:r>
        <w:rPr>
          <w:rFonts w:hint="eastAsia" w:ascii="仿宋" w:hAnsi="仿宋" w:eastAsia="仿宋"/>
          <w:b w:val="0"/>
          <w:bCs w:val="0"/>
          <w:color w:val="000000"/>
          <w:sz w:val="32"/>
          <w:szCs w:val="32"/>
          <w:lang w:eastAsia="zh-CN"/>
        </w:rPr>
        <w:t>贯彻新时代党的建设总要求和新时代党的组织路线，落实区委相关决策部署。</w:t>
      </w:r>
      <w:r>
        <w:rPr>
          <w:rFonts w:hint="eastAsia" w:ascii="仿宋" w:hAnsi="仿宋" w:eastAsia="仿宋"/>
          <w:b w:val="0"/>
          <w:bCs w:val="0"/>
          <w:color w:val="000000"/>
          <w:sz w:val="32"/>
          <w:szCs w:val="32"/>
          <w:lang w:val="en-US" w:eastAsia="zh-CN"/>
        </w:rPr>
        <w:t>1.负责全区党的组织体系、组织制度建设，负责基层党组织建设规划指导和党员队伍管理，指导开展党员教育工作。2.负责全区领导班子和干部队伍建设的总体规划和管理。3.负责管理全区公务员工作。4.负责全区人才工作的指导、组织协调和督促检查等。5.负责全区干部教育培训工作的指导、政策规划、组织协调和督查检查，负责区重点培训项目的策划、实施和管理。6.负责全区干部监督工作的指导和综合协调。7.归口管理区委机构编制委员会办公室，统一管理区直属机关党建和老干部工作。8.负责全区非公有制经济组织和社会组织党建工作。承担区委党建工作领导小组、区人才工作领导小组的日常工作。9.完成区委交办的其他任务。</w:t>
      </w:r>
    </w:p>
    <w:p>
      <w:pPr>
        <w:pStyle w:val="4"/>
        <w:numPr>
          <w:ilvl w:val="0"/>
          <w:numId w:val="0"/>
        </w:numPr>
        <w:ind w:firstLine="640" w:firstLineChars="200"/>
        <w:rPr>
          <w:rFonts w:hint="eastAsia" w:ascii="黑体" w:hAnsi="黑体" w:eastAsia="黑体"/>
          <w:b w:val="0"/>
          <w:color w:val="auto"/>
          <w:highlight w:val="none"/>
          <w:lang w:val="en-US" w:eastAsia="zh-CN"/>
        </w:rPr>
      </w:pPr>
    </w:p>
    <w:p>
      <w:pPr>
        <w:pStyle w:val="4"/>
        <w:numPr>
          <w:ilvl w:val="0"/>
          <w:numId w:val="0"/>
        </w:numPr>
        <w:ind w:firstLine="640" w:firstLineChars="200"/>
        <w:rPr>
          <w:rFonts w:hint="eastAsia" w:ascii="黑体" w:hAnsi="黑体" w:eastAsia="黑体"/>
          <w:b w:val="0"/>
          <w:color w:val="auto"/>
          <w:highlight w:val="none"/>
          <w:lang w:val="en-US" w:eastAsia="zh-CN"/>
        </w:rPr>
      </w:pPr>
    </w:p>
    <w:p>
      <w:pPr>
        <w:pStyle w:val="4"/>
        <w:numPr>
          <w:ilvl w:val="0"/>
          <w:numId w:val="0"/>
        </w:numPr>
        <w:ind w:firstLine="640" w:firstLineChars="200"/>
        <w:rPr>
          <w:rFonts w:hint="eastAsia" w:ascii="黑体" w:hAnsi="黑体" w:eastAsia="黑体"/>
          <w:b w:val="0"/>
          <w:color w:val="auto"/>
          <w:highlight w:val="none"/>
          <w:lang w:val="en-US" w:eastAsia="zh-CN"/>
        </w:rPr>
      </w:pPr>
    </w:p>
    <w:p>
      <w:pPr>
        <w:pStyle w:val="4"/>
        <w:numPr>
          <w:ilvl w:val="0"/>
          <w:numId w:val="0"/>
        </w:numPr>
        <w:rPr>
          <w:rFonts w:hint="eastAsia" w:ascii="黑体" w:hAnsi="黑体" w:eastAsia="黑体"/>
          <w:b w:val="0"/>
          <w:color w:val="auto"/>
          <w:highlight w:val="none"/>
          <w:lang w:val="en-US" w:eastAsia="zh-CN"/>
        </w:rPr>
      </w:pPr>
    </w:p>
    <w:p>
      <w:pPr>
        <w:pStyle w:val="4"/>
        <w:numPr>
          <w:ilvl w:val="0"/>
          <w:numId w:val="0"/>
        </w:numPr>
        <w:ind w:firstLine="640" w:firstLineChars="200"/>
        <w:rPr>
          <w:rFonts w:hint="eastAsia" w:ascii="黑体" w:hAnsi="黑体" w:eastAsia="黑体"/>
          <w:b w:val="0"/>
          <w:color w:val="auto"/>
          <w:highlight w:val="none"/>
          <w:lang w:eastAsia="zh-CN"/>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4"/>
      <w:bookmarkEnd w:id="15"/>
      <w:r>
        <w:rPr>
          <w:rFonts w:hint="eastAsia" w:ascii="黑体" w:hAnsi="黑体" w:eastAsia="黑体"/>
          <w:b w:val="0"/>
          <w:color w:val="auto"/>
          <w:highlight w:val="none"/>
          <w:lang w:eastAsia="zh-CN"/>
        </w:rPr>
        <w:t>完成情况。</w:t>
      </w:r>
    </w:p>
    <w:p>
      <w:pPr>
        <w:pStyle w:val="4"/>
        <w:numPr>
          <w:ilvl w:val="0"/>
          <w:numId w:val="0"/>
        </w:numPr>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认真贯彻落实中央和省市区委对组织工作新要求新期待，紧扣中心打好“攻坚战”，聚焦主业深耕“责任田”，守正创新奋勇“争一流”，组织工作更具生机活力、“三个之家”更富力度温度。一是坚定贯穿“一条主线”，举旗护核筑牢政治根基。把学习贯彻习近平新时代中国特色社会主义思想作为做好组织工作的“根”与“魂”，全面提升党员干部理论实践能力。二是圆满完成“两件大事”，精准精细体现担当作为。区镇村换届圆满收官，研制“村岗回引”目录，建立区镇村三级会审机制。百年庆祝活动有声有色。</w:t>
      </w:r>
      <w:r>
        <w:rPr>
          <w:rFonts w:hint="default" w:ascii="仿宋_GB2312" w:hAnsi="仿宋_GB2312" w:eastAsia="仿宋_GB2312" w:cs="仿宋_GB2312"/>
          <w:b w:val="0"/>
          <w:bCs w:val="0"/>
          <w:color w:val="auto"/>
          <w:kern w:val="2"/>
          <w:sz w:val="32"/>
          <w:szCs w:val="32"/>
          <w:lang w:val="en-US" w:eastAsia="zh-CN" w:bidi="ar-SA"/>
        </w:rPr>
        <w:t>精心组织</w:t>
      </w:r>
      <w:r>
        <w:rPr>
          <w:rFonts w:hint="eastAsia" w:ascii="仿宋_GB2312" w:hAnsi="仿宋_GB2312" w:eastAsia="仿宋_GB2312" w:cs="仿宋_GB2312"/>
          <w:b w:val="0"/>
          <w:bCs w:val="0"/>
          <w:color w:val="auto"/>
          <w:kern w:val="2"/>
          <w:sz w:val="32"/>
          <w:szCs w:val="32"/>
          <w:lang w:val="en-US" w:eastAsia="zh-CN" w:bidi="ar-SA"/>
        </w:rPr>
        <w:t>庆祝表彰大会。三是用心答好“三篇文章”，夯基固本释放改革效应。做优两项改革“后半篇”，续写基层治理“提升篇”，引领乡村振兴“开新篇”。四是抓实抓细“四项重点”，蓄势聚力谋定发展后劲。锻造</w:t>
      </w:r>
      <w:r>
        <w:rPr>
          <w:rFonts w:hint="eastAsia" w:ascii="仿宋_GB2312" w:hAnsi="仿宋_GB2312" w:eastAsia="仿宋_GB2312" w:cs="仿宋_GB2312"/>
          <w:b w:val="0"/>
          <w:bCs w:val="0"/>
          <w:color w:val="auto"/>
          <w:kern w:val="2"/>
          <w:sz w:val="32"/>
          <w:szCs w:val="32"/>
          <w:lang w:val="zh-CN" w:eastAsia="zh-CN" w:bidi="ar-SA"/>
        </w:rPr>
        <w:t>高素质执政骨干，</w:t>
      </w:r>
      <w:r>
        <w:rPr>
          <w:rFonts w:hint="eastAsia" w:ascii="仿宋_GB2312" w:hAnsi="仿宋_GB2312" w:eastAsia="仿宋_GB2312" w:cs="仿宋_GB2312"/>
          <w:b w:val="0"/>
          <w:bCs w:val="0"/>
          <w:color w:val="auto"/>
          <w:kern w:val="2"/>
          <w:sz w:val="32"/>
          <w:szCs w:val="32"/>
          <w:lang w:val="en-US" w:eastAsia="zh-CN" w:bidi="ar-SA"/>
        </w:rPr>
        <w:t>凝聚各领域党建合力，构建人才创新发展高地</w:t>
      </w:r>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建设模范部门过硬队伍。</w:t>
      </w:r>
    </w:p>
    <w:p>
      <w:pPr>
        <w:pageBreakBefore w:val="0"/>
        <w:kinsoku/>
        <w:wordWrap/>
        <w:overflowPunct/>
        <w:topLinePunct w:val="0"/>
        <w:autoSpaceDE/>
        <w:autoSpaceDN/>
        <w:bidi w:val="0"/>
        <w:adjustRightInd/>
        <w:snapToGrid/>
        <w:spacing w:line="576" w:lineRule="exact"/>
        <w:textAlignment w:val="auto"/>
        <w:rPr>
          <w:rFonts w:hint="eastAsia"/>
          <w:b w:val="0"/>
          <w:bCs w:val="0"/>
        </w:rPr>
      </w:pPr>
    </w:p>
    <w:p>
      <w:pPr>
        <w:pageBreakBefore w:val="0"/>
        <w:widowControl/>
        <w:kinsoku/>
        <w:wordWrap/>
        <w:overflowPunct/>
        <w:topLinePunct w:val="0"/>
        <w:autoSpaceDE/>
        <w:autoSpaceDN/>
        <w:bidi w:val="0"/>
        <w:adjustRightInd/>
        <w:snapToGrid/>
        <w:spacing w:line="576" w:lineRule="exact"/>
        <w:jc w:val="left"/>
        <w:textAlignment w:val="auto"/>
        <w:rPr>
          <w:rFonts w:ascii="仿宋" w:hAnsi="仿宋" w:eastAsia="仿宋"/>
          <w:b w:val="0"/>
          <w:bCs w:val="0"/>
          <w:color w:val="auto"/>
          <w:kern w:val="0"/>
          <w:sz w:val="32"/>
          <w:szCs w:val="32"/>
          <w:highlight w:val="none"/>
        </w:rPr>
      </w:pPr>
      <w:r>
        <w:rPr>
          <w:rFonts w:ascii="仿宋" w:hAnsi="仿宋" w:eastAsia="仿宋"/>
          <w:b w:val="0"/>
          <w:bCs w:val="0"/>
          <w:color w:val="auto"/>
          <w:sz w:val="32"/>
          <w:szCs w:val="32"/>
          <w:highlight w:val="none"/>
        </w:rPr>
        <w:br w:type="page"/>
      </w:r>
    </w:p>
    <w:p>
      <w:pPr>
        <w:pStyle w:val="3"/>
        <w:ind w:right="440"/>
        <w:jc w:val="center"/>
        <w:rPr>
          <w:rStyle w:val="27"/>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lang w:val="en-US" w:eastAsia="zh-CN"/>
        </w:rPr>
        <w:t xml:space="preserve">  </w:t>
      </w: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7"/>
          <w:rFonts w:hint="eastAsia" w:ascii="黑体" w:hAnsi="黑体" w:eastAsia="黑体"/>
          <w:b w:val="0"/>
          <w:bCs/>
          <w:color w:val="auto"/>
          <w:highlight w:val="none"/>
          <w:lang w:eastAsia="zh-CN"/>
        </w:rPr>
        <w:t>单位</w:t>
      </w:r>
      <w:r>
        <w:rPr>
          <w:rStyle w:val="27"/>
          <w:rFonts w:hint="eastAsia" w:ascii="黑体" w:hAnsi="黑体" w:eastAsia="黑体"/>
          <w:b w:val="0"/>
          <w:bCs/>
          <w:color w:val="auto"/>
          <w:highlight w:val="none"/>
        </w:rPr>
        <w:t>决算情况说明</w:t>
      </w:r>
      <w:bookmarkEnd w:id="16"/>
      <w:bookmarkEnd w:id="17"/>
    </w:p>
    <w:p>
      <w:pPr>
        <w:rPr>
          <w:color w:val="auto"/>
          <w:highlight w:val="none"/>
        </w:rPr>
      </w:pPr>
    </w:p>
    <w:p>
      <w:pPr>
        <w:pStyle w:val="26"/>
        <w:numPr>
          <w:ilvl w:val="0"/>
          <w:numId w:val="2"/>
        </w:numPr>
        <w:spacing w:line="600" w:lineRule="exact"/>
        <w:ind w:firstLineChars="0"/>
        <w:outlineLvl w:val="1"/>
        <w:rPr>
          <w:rStyle w:val="28"/>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lang w:val="en-US" w:eastAsia="zh-CN"/>
        </w:rPr>
        <w:t>587.44万元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w:t>
      </w:r>
      <w:r>
        <w:rPr>
          <w:rFonts w:hint="eastAsia" w:ascii="仿宋" w:hAnsi="仿宋" w:eastAsia="仿宋"/>
          <w:color w:val="auto"/>
          <w:sz w:val="32"/>
          <w:szCs w:val="32"/>
          <w:highlight w:val="none"/>
          <w:lang w:eastAsia="zh-CN"/>
        </w:rPr>
        <w:t>均</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83.5</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12.44%</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2021年下半年人员减少，导致人员经费支出减少。</w:t>
      </w:r>
    </w:p>
    <w:p>
      <w:pPr>
        <w:spacing w:line="600" w:lineRule="exact"/>
        <w:ind w:firstLine="420" w:firstLineChars="200"/>
        <w:jc w:val="center"/>
        <w:rPr>
          <w:rFonts w:hint="eastAsia"/>
          <w:lang w:eastAsia="zh-CN"/>
        </w:rPr>
      </w:pPr>
    </w:p>
    <w:p>
      <w:pPr>
        <w:pStyle w:val="3"/>
        <w:bidi w:val="0"/>
        <w:rPr>
          <w:rFonts w:hint="eastAsia" w:ascii="黑体" w:hAnsi="黑体" w:eastAsia="黑体"/>
          <w:color w:val="auto"/>
          <w:sz w:val="32"/>
          <w:szCs w:val="32"/>
          <w:highlight w:val="none"/>
          <w:lang w:eastAsia="zh-CN"/>
        </w:rPr>
      </w:pPr>
      <w:bookmarkStart w:id="20" w:name="_Toc15396604"/>
      <w:bookmarkStart w:id="21" w:name="_Toc15377206"/>
      <w:r>
        <w:rPr>
          <w:sz w:val="22"/>
        </w:rPr>
        <mc:AlternateContent>
          <mc:Choice Requires="wps">
            <w:drawing>
              <wp:anchor distT="0" distB="0" distL="114300" distR="114300" simplePos="0" relativeHeight="251661312" behindDoc="0" locked="0" layoutInCell="1" allowOverlap="1">
                <wp:simplePos x="0" y="0"/>
                <wp:positionH relativeFrom="column">
                  <wp:posOffset>4148455</wp:posOffset>
                </wp:positionH>
                <wp:positionV relativeFrom="paragraph">
                  <wp:posOffset>389890</wp:posOffset>
                </wp:positionV>
                <wp:extent cx="780415" cy="313690"/>
                <wp:effectExtent l="0" t="0" r="635" b="48260"/>
                <wp:wrapNone/>
                <wp:docPr id="10" name="矩形标注 10"/>
                <wp:cNvGraphicFramePr/>
                <a:graphic xmlns:a="http://schemas.openxmlformats.org/drawingml/2006/main">
                  <a:graphicData uri="http://schemas.microsoft.com/office/word/2010/wordprocessingShape">
                    <wps:wsp>
                      <wps:cNvSpPr/>
                      <wps:spPr>
                        <a:xfrm>
                          <a:off x="5681345" y="4415155"/>
                          <a:ext cx="780415" cy="313690"/>
                        </a:xfrm>
                        <a:prstGeom prst="wedgeRectCallou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sz w:val="18"/>
                                <w:szCs w:val="21"/>
                                <w:lang w:eastAsia="zh-CN"/>
                              </w:rPr>
                            </w:pPr>
                            <w:r>
                              <w:rPr>
                                <w:rFonts w:hint="eastAsia"/>
                                <w:sz w:val="16"/>
                                <w:szCs w:val="20"/>
                                <w:lang w:eastAsia="zh-CN"/>
                              </w:rPr>
                              <w:t>单位：万元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326.65pt;margin-top:30.7pt;height:24.7pt;width:61.45pt;z-index:251661312;v-text-anchor:middle;mso-width-relative:page;mso-height-relative:page;" fillcolor="#FFFFFF [3201]" filled="t" stroked="f" coordsize="21600,21600" o:gfxdata="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XnmIbZAAAACgEAAA8A&#10;AAAAAAAAAQAgAAAAIgAAAGRycy9kb3ducmV2LnhtbFBLAQIUABQAAAAIAIdO4kC/b1YZiAIAAN4E&#10;AAAOAAAAAAAAAAEAIAAAACgBAABkcnMvZTJvRG9jLnhtbFBLBQYAAAAABgAGAFkBAAAiBgAAAAA=&#10;" adj="6300,24300">
                <v:fill on="t" focussize="0,0"/>
                <v:stroke on="f" weight="2pt"/>
                <v:imagedata o:title=""/>
                <o:lock v:ext="edit" aspectratio="f"/>
                <v:textbox>
                  <w:txbxContent>
                    <w:p>
                      <w:pPr>
                        <w:jc w:val="center"/>
                        <w:rPr>
                          <w:rFonts w:hint="eastAsia" w:eastAsia="宋体"/>
                          <w:sz w:val="18"/>
                          <w:szCs w:val="21"/>
                          <w:lang w:eastAsia="zh-CN"/>
                        </w:rPr>
                      </w:pPr>
                      <w:r>
                        <w:rPr>
                          <w:rFonts w:hint="eastAsia"/>
                          <w:sz w:val="16"/>
                          <w:szCs w:val="20"/>
                          <w:lang w:eastAsia="zh-CN"/>
                        </w:rPr>
                        <w:t>单位：万元</w:t>
                      </w:r>
                    </w:p>
                  </w:txbxContent>
                </v:textbox>
              </v:shape>
            </w:pict>
          </mc:Fallback>
        </mc:AlternateContent>
      </w:r>
      <w:r>
        <w:rPr>
          <w:rFonts w:hint="eastAsia"/>
          <w:lang w:eastAsia="zh-CN"/>
        </w:rPr>
        <w:drawing>
          <wp:inline distT="0" distB="0" distL="114300" distR="114300">
            <wp:extent cx="5080000" cy="3058160"/>
            <wp:effectExtent l="4445" t="4445" r="20955" b="234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6"/>
        <w:numPr>
          <w:ilvl w:val="0"/>
          <w:numId w:val="0"/>
        </w:numPr>
        <w:spacing w:line="600" w:lineRule="exact"/>
        <w:outlineLvl w:val="1"/>
        <w:rPr>
          <w:rStyle w:val="28"/>
          <w:rFonts w:ascii="黑体" w:hAnsi="黑体" w:eastAsia="黑体"/>
          <w:b w:val="0"/>
          <w:color w:val="auto"/>
          <w:highlight w:val="none"/>
        </w:rPr>
      </w:pPr>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587.44</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587.44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3"/>
        <w:bidi w:val="0"/>
        <w:rPr>
          <w:rFonts w:hint="eastAsia" w:ascii="黑体" w:hAnsi="黑体" w:eastAsia="黑体"/>
          <w:color w:val="auto"/>
          <w:sz w:val="32"/>
          <w:szCs w:val="32"/>
          <w:highlight w:val="none"/>
          <w:lang w:eastAsia="zh-CN"/>
        </w:rPr>
      </w:pPr>
      <w:bookmarkStart w:id="22" w:name="_Toc15377207"/>
      <w:bookmarkStart w:id="23" w:name="_Toc15396605"/>
      <w:r>
        <w:rPr>
          <w:rFonts w:hint="eastAsia"/>
          <w:lang w:eastAsia="zh-CN"/>
        </w:rPr>
        <w:drawing>
          <wp:inline distT="0" distB="0" distL="114300" distR="114300">
            <wp:extent cx="5231130" cy="3056890"/>
            <wp:effectExtent l="4445" t="4445" r="22225" b="571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6"/>
        <w:numPr>
          <w:ilvl w:val="0"/>
          <w:numId w:val="0"/>
        </w:numPr>
        <w:spacing w:line="600" w:lineRule="exact"/>
        <w:ind w:firstLine="640" w:firstLineChars="200"/>
        <w:outlineLvl w:val="1"/>
        <w:rPr>
          <w:rStyle w:val="28"/>
          <w:rFonts w:ascii="黑体" w:hAnsi="黑体" w:eastAsia="黑体"/>
          <w:b w:val="0"/>
          <w:color w:val="auto"/>
          <w:highlight w:val="none"/>
        </w:rPr>
      </w:pPr>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28"/>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shd w:val="pct10" w:color="auto" w:fill="FFFFFF"/>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570.44</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525.44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92</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45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hint="eastAsia" w:ascii="黑体" w:hAnsi="黑体" w:eastAsia="黑体"/>
          <w:color w:val="auto"/>
          <w:sz w:val="32"/>
          <w:szCs w:val="32"/>
          <w:highlight w:val="none"/>
        </w:rPr>
      </w:pPr>
      <w:r>
        <w:rPr>
          <w:sz w:val="30"/>
        </w:rPr>
        <mc:AlternateContent>
          <mc:Choice Requires="wps">
            <w:drawing>
              <wp:anchor distT="0" distB="0" distL="114300" distR="114300" simplePos="0" relativeHeight="251659264" behindDoc="0" locked="0" layoutInCell="1" allowOverlap="1">
                <wp:simplePos x="0" y="0"/>
                <wp:positionH relativeFrom="column">
                  <wp:posOffset>3919220</wp:posOffset>
                </wp:positionH>
                <wp:positionV relativeFrom="paragraph">
                  <wp:posOffset>346075</wp:posOffset>
                </wp:positionV>
                <wp:extent cx="885825" cy="333375"/>
                <wp:effectExtent l="0" t="0" r="9525" b="47625"/>
                <wp:wrapNone/>
                <wp:docPr id="7" name="矩形标注 7"/>
                <wp:cNvGraphicFramePr/>
                <a:graphic xmlns:a="http://schemas.openxmlformats.org/drawingml/2006/main">
                  <a:graphicData uri="http://schemas.microsoft.com/office/word/2010/wordprocessingShape">
                    <wps:wsp>
                      <wps:cNvSpPr/>
                      <wps:spPr>
                        <a:xfrm>
                          <a:off x="5243195" y="5380990"/>
                          <a:ext cx="885825" cy="333375"/>
                        </a:xfrm>
                        <a:prstGeom prst="wedgeRectCallout">
                          <a:avLst/>
                        </a:prstGeom>
                        <a:ln>
                          <a:no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eastAsia="宋体"/>
                                <w:sz w:val="16"/>
                                <w:szCs w:val="20"/>
                                <w:lang w:eastAsia="zh-CN"/>
                              </w:rPr>
                            </w:pPr>
                            <w:r>
                              <w:rPr>
                                <w:rFonts w:hint="eastAsia"/>
                                <w:sz w:val="16"/>
                                <w:szCs w:val="20"/>
                                <w:lang w:eastAsia="zh-CN"/>
                              </w:rPr>
                              <w:t>单位：万元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308.6pt;margin-top:27.25pt;height:26.25pt;width:69.75pt;z-index:251659264;v-text-anchor:middle;mso-width-relative:page;mso-height-relative:page;" fillcolor="#FFFFFF [3201]" filled="t" stroked="f" coordsize="21600,21600" o:gfxdata="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XXAD8toAAAAKAQAADwAAAAAA&#10;AAABACAAAAAiAAAAZHJzL2Rvd25yZXYueG1sUEsBAhQAFAAAAAgAh07iQF4hy0mDAgAA3AQAAA4A&#10;AAAAAAAAAQAgAAAAKQEAAGRycy9lMm9Eb2MueG1sUEsFBgAAAAAGAAYAWQEAAB4GAAAAAA==&#10;" adj="6300,24300">
                <v:fill on="t" focussize="0,0"/>
                <v:stroke on="f" weight="2pt"/>
                <v:imagedata o:title=""/>
                <o:lock v:ext="edit" aspectratio="f"/>
                <v:textbox>
                  <w:txbxContent>
                    <w:p>
                      <w:pPr>
                        <w:jc w:val="both"/>
                        <w:rPr>
                          <w:rFonts w:hint="eastAsia" w:eastAsia="宋体"/>
                          <w:sz w:val="16"/>
                          <w:szCs w:val="20"/>
                          <w:lang w:eastAsia="zh-CN"/>
                        </w:rPr>
                      </w:pPr>
                      <w:r>
                        <w:rPr>
                          <w:rFonts w:hint="eastAsia"/>
                          <w:sz w:val="16"/>
                          <w:szCs w:val="20"/>
                          <w:lang w:eastAsia="zh-CN"/>
                        </w:rPr>
                        <w:t>单位：万元</w:t>
                      </w:r>
                    </w:p>
                  </w:txbxContent>
                </v:textbox>
              </v:shape>
            </w:pict>
          </mc:Fallback>
        </mc:AlternateContent>
      </w:r>
      <w:bookmarkStart w:id="24" w:name="_Toc15396606"/>
      <w:bookmarkStart w:id="25" w:name="_Toc15377208"/>
      <w:r>
        <w:rPr>
          <w:rFonts w:hint="eastAsia" w:eastAsia="仿宋"/>
          <w:lang w:eastAsia="zh-CN"/>
        </w:rPr>
        <w:drawing>
          <wp:inline distT="0" distB="0" distL="114300" distR="114300">
            <wp:extent cx="4928235" cy="2859405"/>
            <wp:effectExtent l="4445" t="4445" r="20320" b="1270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Style w:val="28"/>
          <w:rFonts w:ascii="黑体" w:hAnsi="黑体" w:eastAsia="黑体"/>
          <w:b w:val="0"/>
          <w:color w:val="auto"/>
          <w:highlight w:val="none"/>
        </w:rPr>
      </w:pPr>
      <w:r>
        <w:rPr>
          <w:rFonts w:hint="eastAsia" w:ascii="黑体" w:hAnsi="黑体" w:eastAsia="黑体"/>
          <w:color w:val="auto"/>
          <w:sz w:val="32"/>
          <w:szCs w:val="32"/>
          <w:highlight w:val="none"/>
        </w:rPr>
        <w:t>四、财</w:t>
      </w:r>
      <w:r>
        <w:rPr>
          <w:rStyle w:val="28"/>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lang w:val="en-US" w:eastAsia="zh-CN"/>
        </w:rPr>
        <w:t>587.44</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w:t>
      </w:r>
      <w:r>
        <w:rPr>
          <w:rFonts w:hint="eastAsia" w:ascii="仿宋" w:hAnsi="仿宋" w:eastAsia="仿宋"/>
          <w:color w:val="auto"/>
          <w:sz w:val="32"/>
          <w:szCs w:val="32"/>
          <w:highlight w:val="none"/>
          <w:lang w:eastAsia="zh-CN"/>
        </w:rPr>
        <w:t>均</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83.5</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12.44%</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2021年下半年人员减少，导致工资福利支出减少。</w:t>
      </w:r>
    </w:p>
    <w:p>
      <w:pPr>
        <w:pStyle w:val="3"/>
        <w:bidi w:val="0"/>
        <w:rPr>
          <w:rFonts w:hint="eastAsia" w:ascii="黑体" w:hAnsi="黑体" w:eastAsia="黑体"/>
          <w:color w:val="auto"/>
          <w:sz w:val="32"/>
          <w:szCs w:val="32"/>
          <w:highlight w:val="none"/>
        </w:rPr>
      </w:pPr>
      <w:r>
        <w:rPr>
          <w:rFonts w:hint="eastAsia"/>
          <w:lang w:eastAsia="zh-CN"/>
        </w:rPr>
        <w:drawing>
          <wp:inline distT="0" distB="0" distL="114300" distR="114300">
            <wp:extent cx="5080000" cy="2788920"/>
            <wp:effectExtent l="4445" t="4445" r="20955" b="69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sz w:val="44"/>
        </w:rPr>
        <mc:AlternateContent>
          <mc:Choice Requires="wps">
            <w:drawing>
              <wp:anchor distT="0" distB="0" distL="114300" distR="114300" simplePos="0" relativeHeight="251660288" behindDoc="0" locked="0" layoutInCell="1" allowOverlap="1">
                <wp:simplePos x="0" y="0"/>
                <wp:positionH relativeFrom="column">
                  <wp:posOffset>4033520</wp:posOffset>
                </wp:positionH>
                <wp:positionV relativeFrom="paragraph">
                  <wp:posOffset>332740</wp:posOffset>
                </wp:positionV>
                <wp:extent cx="828675" cy="323850"/>
                <wp:effectExtent l="0" t="0" r="9525" b="57150"/>
                <wp:wrapNone/>
                <wp:docPr id="9" name="矩形标注 9"/>
                <wp:cNvGraphicFramePr/>
                <a:graphic xmlns:a="http://schemas.openxmlformats.org/drawingml/2006/main">
                  <a:graphicData uri="http://schemas.microsoft.com/office/word/2010/wordprocessingShape">
                    <wps:wsp>
                      <wps:cNvSpPr/>
                      <wps:spPr>
                        <a:xfrm>
                          <a:off x="5176520" y="3533140"/>
                          <a:ext cx="828675" cy="323850"/>
                        </a:xfrm>
                        <a:prstGeom prst="wedgeRectCallout">
                          <a:avLst/>
                        </a:prstGeom>
                        <a:ln>
                          <a:no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eastAsia="宋体"/>
                                <w:lang w:val="en-US" w:eastAsia="zh-CN"/>
                              </w:rPr>
                            </w:pPr>
                            <w:r>
                              <w:rPr>
                                <w:rFonts w:hint="eastAsia"/>
                                <w:sz w:val="18"/>
                                <w:szCs w:val="21"/>
                                <w:lang w:val="en-US" w:eastAsia="zh-CN"/>
                              </w:rPr>
                              <w:t>单位：万元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317.6pt;margin-top:26.2pt;height:25.5pt;width:65.25pt;z-index:251660288;v-text-anchor:middle;mso-width-relative:page;mso-height-relative:page;" fillcolor="#FFFFFF [3201]" filled="t" stroked="f" coordsize="21600,21600" o:gfxdata="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r+5ugtoAAAAKAQAADwAA&#10;AAAAAAABACAAAAAiAAAAZHJzL2Rvd25yZXYueG1sUEsBAhQAFAAAAAgAh07iQJLDmd+GAgAA3AQA&#10;AA4AAAAAAAAAAQAgAAAAKQEAAGRycy9lMm9Eb2MueG1sUEsFBgAAAAAGAAYAWQEAACEGAAAAAA==&#10;" adj="6300,24300">
                <v:fill on="t" focussize="0,0"/>
                <v:stroke on="f" weight="2pt"/>
                <v:imagedata o:title=""/>
                <o:lock v:ext="edit" aspectratio="f"/>
                <v:textbox>
                  <w:txbxContent>
                    <w:p>
                      <w:pPr>
                        <w:jc w:val="both"/>
                        <w:rPr>
                          <w:rFonts w:hint="eastAsia" w:eastAsia="宋体"/>
                          <w:lang w:val="en-US" w:eastAsia="zh-CN"/>
                        </w:rPr>
                      </w:pPr>
                      <w:r>
                        <w:rPr>
                          <w:rFonts w:hint="eastAsia"/>
                          <w:sz w:val="18"/>
                          <w:szCs w:val="21"/>
                          <w:lang w:val="en-US" w:eastAsia="zh-CN"/>
                        </w:rPr>
                        <w:t>单位：万元</w:t>
                      </w:r>
                    </w:p>
                  </w:txbxContent>
                </v:textbox>
              </v:shape>
            </w:pict>
          </mc:Fallback>
        </mc:AlternateContent>
      </w:r>
      <w:bookmarkStart w:id="26" w:name="_Toc15377209"/>
      <w:bookmarkStart w:id="27" w:name="_Toc15396607"/>
    </w:p>
    <w:p>
      <w:pPr>
        <w:spacing w:line="600" w:lineRule="exact"/>
        <w:ind w:firstLine="640" w:firstLineChars="200"/>
        <w:outlineLvl w:val="1"/>
        <w:rPr>
          <w:rStyle w:val="28"/>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570.44</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100.5</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有两个方面：一</w:t>
      </w:r>
      <w:r>
        <w:rPr>
          <w:rFonts w:hint="eastAsia" w:ascii="仿宋" w:hAnsi="仿宋" w:eastAsia="仿宋"/>
          <w:color w:val="auto"/>
          <w:sz w:val="32"/>
          <w:szCs w:val="32"/>
          <w:highlight w:val="none"/>
        </w:rPr>
        <w:t>是</w:t>
      </w:r>
      <w:r>
        <w:rPr>
          <w:rFonts w:hint="eastAsia" w:ascii="仿宋" w:hAnsi="仿宋" w:eastAsia="仿宋"/>
          <w:color w:val="auto"/>
          <w:sz w:val="32"/>
          <w:szCs w:val="32"/>
          <w:highlight w:val="none"/>
          <w:lang w:val="en-US" w:eastAsia="zh-CN"/>
        </w:rPr>
        <w:t>2021年下半年人员减少，导致工资福利支出减少；二是</w:t>
      </w:r>
      <w:r>
        <w:rPr>
          <w:rStyle w:val="17"/>
          <w:rFonts w:hint="eastAsia" w:ascii="仿宋" w:hAnsi="仿宋" w:eastAsia="仿宋"/>
          <w:b w:val="0"/>
          <w:bCs/>
          <w:color w:val="auto"/>
          <w:sz w:val="32"/>
          <w:szCs w:val="32"/>
          <w:highlight w:val="none"/>
          <w:lang w:val="en-US" w:eastAsia="zh-CN"/>
        </w:rPr>
        <w:t>因项目支出实施内容与年初原定计划有所调整，截止2021年12月时未完结</w:t>
      </w:r>
      <w:r>
        <w:rPr>
          <w:rFonts w:hint="eastAsia" w:ascii="仿宋" w:hAnsi="仿宋" w:eastAsia="仿宋"/>
          <w:color w:val="auto"/>
          <w:sz w:val="32"/>
          <w:szCs w:val="32"/>
          <w:highlight w:val="none"/>
          <w:lang w:val="en-US" w:eastAsia="zh-CN"/>
        </w:rPr>
        <w:t>。</w:t>
      </w:r>
    </w:p>
    <w:p>
      <w:pPr>
        <w:pStyle w:val="3"/>
        <w:bidi w:val="0"/>
        <w:rPr>
          <w:rFonts w:hint="eastAsia" w:ascii="仿宋" w:hAnsi="仿宋" w:eastAsia="仿宋"/>
          <w:b/>
          <w:color w:val="auto"/>
          <w:sz w:val="32"/>
          <w:szCs w:val="32"/>
          <w:highlight w:val="none"/>
        </w:rPr>
      </w:pPr>
      <w:r>
        <w:rPr>
          <w:rFonts w:hint="eastAsia"/>
          <w:lang w:eastAsia="zh-CN"/>
        </w:rPr>
        <w:drawing>
          <wp:inline distT="0" distB="0" distL="114300" distR="114300">
            <wp:extent cx="5013960" cy="2609215"/>
            <wp:effectExtent l="4445" t="4445" r="10795" b="1524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sz w:val="44"/>
        </w:rPr>
        <mc:AlternateContent>
          <mc:Choice Requires="wps">
            <w:drawing>
              <wp:anchor distT="0" distB="0" distL="114300" distR="114300" simplePos="0" relativeHeight="251662336" behindDoc="0" locked="0" layoutInCell="1" allowOverlap="1">
                <wp:simplePos x="0" y="0"/>
                <wp:positionH relativeFrom="column">
                  <wp:posOffset>4043045</wp:posOffset>
                </wp:positionH>
                <wp:positionV relativeFrom="paragraph">
                  <wp:posOffset>302260</wp:posOffset>
                </wp:positionV>
                <wp:extent cx="923925" cy="390525"/>
                <wp:effectExtent l="0" t="0" r="9525" b="66675"/>
                <wp:wrapNone/>
                <wp:docPr id="13" name="矩形标注 13"/>
                <wp:cNvGraphicFramePr/>
                <a:graphic xmlns:a="http://schemas.openxmlformats.org/drawingml/2006/main">
                  <a:graphicData uri="http://schemas.microsoft.com/office/word/2010/wordprocessingShape">
                    <wps:wsp>
                      <wps:cNvSpPr/>
                      <wps:spPr>
                        <a:xfrm>
                          <a:off x="5186045" y="1216660"/>
                          <a:ext cx="923925" cy="390525"/>
                        </a:xfrm>
                        <a:prstGeom prst="wedgeRectCallout">
                          <a:avLst/>
                        </a:prstGeom>
                        <a:ln>
                          <a:no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eastAsia="宋体"/>
                                <w:sz w:val="18"/>
                                <w:szCs w:val="21"/>
                                <w:lang w:val="en-US" w:eastAsia="zh-CN"/>
                              </w:rPr>
                            </w:pPr>
                            <w:r>
                              <w:rPr>
                                <w:rFonts w:hint="eastAsia"/>
                                <w:sz w:val="18"/>
                                <w:szCs w:val="21"/>
                                <w:lang w:val="en-US" w:eastAsia="zh-CN"/>
                              </w:rPr>
                              <w:t>单位：万元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318.35pt;margin-top:23.8pt;height:30.75pt;width:72.75pt;z-index:251662336;v-text-anchor:middle;mso-width-relative:page;mso-height-relative:page;" fillcolor="#FFFFFF [3201]" filled="t" stroked="f" coordsize="21600,21600" o:gfxdata="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7m+Yt2gAAAAoBAAAPAAAA&#10;AAAAAAEAIAAAACIAAABkcnMvZG93bnJldi54bWxQSwECFAAUAAAACACHTuJA6Cq/jYUCAADeBAAA&#10;DgAAAAAAAAABACAAAAApAQAAZHJzL2Uyb0RvYy54bWxQSwUGAAAAAAYABgBZAQAAIAYAAAAA&#10;" adj="6300,24300">
                <v:fill on="t" focussize="0,0"/>
                <v:stroke on="f" weight="2pt"/>
                <v:imagedata o:title=""/>
                <o:lock v:ext="edit" aspectratio="f"/>
                <v:textbox>
                  <w:txbxContent>
                    <w:p>
                      <w:pPr>
                        <w:jc w:val="both"/>
                        <w:rPr>
                          <w:rFonts w:hint="eastAsia" w:eastAsia="宋体"/>
                          <w:sz w:val="18"/>
                          <w:szCs w:val="21"/>
                          <w:lang w:val="en-US" w:eastAsia="zh-CN"/>
                        </w:rPr>
                      </w:pPr>
                      <w:r>
                        <w:rPr>
                          <w:rFonts w:hint="eastAsia"/>
                          <w:sz w:val="18"/>
                          <w:szCs w:val="21"/>
                          <w:lang w:val="en-US" w:eastAsia="zh-CN"/>
                        </w:rPr>
                        <w:t>单位：万元</w:t>
                      </w:r>
                    </w:p>
                  </w:txbxContent>
                </v:textbox>
              </v:shape>
            </w:pict>
          </mc:Fallback>
        </mc:AlternateContent>
      </w:r>
      <w:bookmarkStart w:id="29" w:name="_Toc15377211"/>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570.44</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460.32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25.94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color w:val="auto"/>
          <w:sz w:val="32"/>
          <w:szCs w:val="32"/>
          <w:highlight w:val="none"/>
        </w:rPr>
        <w:t>（类）</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12.82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bCs/>
          <w:color w:val="auto"/>
          <w:sz w:val="32"/>
          <w:szCs w:val="32"/>
          <w:highlight w:val="none"/>
          <w:lang w:eastAsia="zh-CN"/>
        </w:rPr>
        <w:t>住房保障</w:t>
      </w:r>
      <w:r>
        <w:rPr>
          <w:rFonts w:hint="eastAsia" w:ascii="仿宋" w:hAnsi="仿宋" w:eastAsia="仿宋"/>
          <w:b/>
          <w:color w:val="auto"/>
          <w:sz w:val="32"/>
          <w:szCs w:val="32"/>
          <w:highlight w:val="none"/>
        </w:rPr>
        <w:t>（类）</w:t>
      </w:r>
      <w:r>
        <w:rPr>
          <w:rFonts w:hint="eastAsia" w:ascii="仿宋" w:hAnsi="仿宋" w:eastAsia="仿宋" w:cs="Times New Roman"/>
          <w:b/>
          <w:bCs/>
          <w:color w:val="auto"/>
          <w:sz w:val="32"/>
          <w:szCs w:val="32"/>
          <w:highlight w:val="none"/>
          <w:lang w:eastAsia="zh-CN"/>
        </w:rPr>
        <w:t>支出</w:t>
      </w:r>
      <w:r>
        <w:rPr>
          <w:rFonts w:hint="eastAsia" w:ascii="仿宋" w:hAnsi="仿宋" w:eastAsia="仿宋"/>
          <w:color w:val="auto"/>
          <w:sz w:val="32"/>
          <w:szCs w:val="32"/>
          <w:highlight w:val="none"/>
          <w:lang w:val="en-US" w:eastAsia="zh-CN"/>
        </w:rPr>
        <w:t>26.35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bCs/>
          <w:color w:val="auto"/>
          <w:sz w:val="32"/>
          <w:szCs w:val="32"/>
          <w:highlight w:val="none"/>
          <w:lang w:eastAsia="zh-CN"/>
        </w:rPr>
        <w:t>农林水</w:t>
      </w:r>
      <w:r>
        <w:rPr>
          <w:rFonts w:hint="eastAsia" w:ascii="仿宋" w:hAnsi="仿宋" w:eastAsia="仿宋"/>
          <w:b/>
          <w:color w:val="auto"/>
          <w:sz w:val="32"/>
          <w:szCs w:val="32"/>
          <w:highlight w:val="none"/>
        </w:rPr>
        <w:t>（类）</w:t>
      </w:r>
      <w:r>
        <w:rPr>
          <w:rFonts w:hint="eastAsia" w:ascii="仿宋" w:hAnsi="仿宋" w:eastAsia="仿宋" w:cs="Times New Roman"/>
          <w:b/>
          <w:bCs/>
          <w:color w:val="auto"/>
          <w:sz w:val="32"/>
          <w:szCs w:val="32"/>
          <w:highlight w:val="none"/>
          <w:lang w:eastAsia="zh-CN"/>
        </w:rPr>
        <w:t>支出</w:t>
      </w:r>
      <w:r>
        <w:rPr>
          <w:rFonts w:hint="eastAsia" w:ascii="仿宋" w:hAnsi="仿宋" w:eastAsia="仿宋"/>
          <w:color w:val="auto"/>
          <w:sz w:val="32"/>
          <w:szCs w:val="32"/>
          <w:highlight w:val="none"/>
          <w:lang w:val="en-US" w:eastAsia="zh-CN"/>
        </w:rPr>
        <w:t>45万元，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hint="eastAsia" w:ascii="仿宋" w:hAnsi="仿宋" w:eastAsia="仿宋"/>
          <w:b/>
          <w:color w:val="auto"/>
          <w:sz w:val="32"/>
          <w:szCs w:val="32"/>
          <w:highlight w:val="none"/>
        </w:rPr>
      </w:pPr>
      <w:r>
        <w:rPr>
          <w:rFonts w:hint="eastAsia" w:eastAsia="仿宋"/>
          <w:lang w:eastAsia="zh-CN"/>
        </w:rPr>
        <w:drawing>
          <wp:inline distT="0" distB="0" distL="114300" distR="114300">
            <wp:extent cx="5051425" cy="3021330"/>
            <wp:effectExtent l="4445" t="4445" r="11430" b="2222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30" w:name="_Toc15377212"/>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8460"/>
      <w:bookmarkStart w:id="32" w:name="_Toc15377444"/>
      <w:bookmarkStart w:id="33"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570.44万元</w:t>
      </w:r>
      <w:r>
        <w:rPr>
          <w:rFonts w:hint="eastAsia" w:ascii="仿宋" w:hAnsi="仿宋" w:eastAsia="仿宋"/>
          <w:color w:val="auto"/>
          <w:sz w:val="32"/>
          <w:szCs w:val="32"/>
          <w:highlight w:val="none"/>
        </w:rPr>
        <w:t>，</w:t>
      </w:r>
      <w:r>
        <w:rPr>
          <w:rStyle w:val="17"/>
          <w:rFonts w:hint="eastAsia" w:ascii="仿宋" w:hAnsi="仿宋" w:eastAsia="仿宋"/>
          <w:bCs/>
          <w:color w:val="auto"/>
          <w:sz w:val="32"/>
          <w:szCs w:val="32"/>
          <w:highlight w:val="none"/>
        </w:rPr>
        <w:t>完成预算</w:t>
      </w:r>
      <w:r>
        <w:rPr>
          <w:rStyle w:val="17"/>
          <w:rFonts w:hint="eastAsia" w:ascii="仿宋" w:hAnsi="仿宋" w:eastAsia="仿宋"/>
          <w:bCs/>
          <w:color w:val="auto"/>
          <w:sz w:val="32"/>
          <w:szCs w:val="32"/>
          <w:highlight w:val="none"/>
          <w:lang w:val="en-US" w:eastAsia="zh-CN"/>
        </w:rPr>
        <w:t>97</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。其中：</w:t>
      </w:r>
      <w:bookmarkEnd w:id="31"/>
      <w:bookmarkEnd w:id="32"/>
      <w:bookmarkEnd w:id="33"/>
    </w:p>
    <w:p>
      <w:pPr>
        <w:numPr>
          <w:ilvl w:val="0"/>
          <w:numId w:val="0"/>
        </w:numPr>
        <w:spacing w:line="600" w:lineRule="exact"/>
        <w:ind w:firstLine="643" w:firstLineChars="200"/>
        <w:jc w:val="left"/>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1.</w:t>
      </w:r>
      <w:r>
        <w:rPr>
          <w:rStyle w:val="17"/>
          <w:rFonts w:hint="eastAsia" w:ascii="仿宋" w:hAnsi="仿宋" w:eastAsia="仿宋"/>
          <w:bCs/>
          <w:color w:val="auto"/>
          <w:sz w:val="32"/>
          <w:szCs w:val="32"/>
          <w:highlight w:val="none"/>
        </w:rPr>
        <w:t>一般公共服务（类）</w:t>
      </w:r>
      <w:r>
        <w:rPr>
          <w:rStyle w:val="17"/>
          <w:rFonts w:hint="eastAsia" w:ascii="仿宋" w:hAnsi="仿宋" w:eastAsia="仿宋"/>
          <w:bCs/>
          <w:color w:val="auto"/>
          <w:sz w:val="32"/>
          <w:szCs w:val="32"/>
          <w:highlight w:val="none"/>
          <w:lang w:eastAsia="zh-CN"/>
        </w:rPr>
        <w:t>组织事务</w:t>
      </w:r>
      <w:r>
        <w:rPr>
          <w:rStyle w:val="17"/>
          <w:rFonts w:hint="eastAsia" w:ascii="仿宋" w:hAnsi="仿宋" w:eastAsia="仿宋"/>
          <w:bCs/>
          <w:color w:val="auto"/>
          <w:sz w:val="32"/>
          <w:szCs w:val="32"/>
          <w:highlight w:val="none"/>
        </w:rPr>
        <w:t>（款）行政运行（项）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418.44</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numPr>
          <w:ilvl w:val="0"/>
          <w:numId w:val="0"/>
        </w:numPr>
        <w:spacing w:line="600" w:lineRule="exact"/>
        <w:ind w:firstLine="643" w:firstLineChars="200"/>
        <w:jc w:val="both"/>
        <w:rPr>
          <w:rStyle w:val="17"/>
          <w:rFonts w:hint="eastAsia" w:ascii="仿宋" w:hAnsi="仿宋" w:eastAsia="仿宋"/>
          <w:b w:val="0"/>
          <w:bCs/>
          <w:color w:val="auto"/>
          <w:sz w:val="32"/>
          <w:szCs w:val="32"/>
          <w:highlight w:val="none"/>
        </w:rPr>
      </w:pPr>
      <w:r>
        <w:rPr>
          <w:rStyle w:val="17"/>
          <w:rFonts w:hint="eastAsia" w:ascii="仿宋" w:hAnsi="仿宋" w:eastAsia="仿宋" w:cstheme="minorBidi"/>
          <w:bCs/>
          <w:color w:val="auto"/>
          <w:sz w:val="32"/>
          <w:szCs w:val="32"/>
          <w:highlight w:val="none"/>
          <w:lang w:val="en-US" w:eastAsia="zh-CN"/>
        </w:rPr>
        <w:t>2.</w:t>
      </w:r>
      <w:r>
        <w:rPr>
          <w:rStyle w:val="17"/>
          <w:rFonts w:hint="eastAsia" w:ascii="仿宋" w:hAnsi="仿宋" w:eastAsia="仿宋" w:cstheme="minorBidi"/>
          <w:bCs/>
          <w:color w:val="auto"/>
          <w:sz w:val="32"/>
          <w:szCs w:val="32"/>
          <w:highlight w:val="none"/>
        </w:rPr>
        <w:t>一般</w:t>
      </w:r>
      <w:r>
        <w:rPr>
          <w:rStyle w:val="17"/>
          <w:rFonts w:hint="eastAsia" w:ascii="仿宋" w:hAnsi="仿宋" w:eastAsia="仿宋"/>
          <w:bCs/>
          <w:color w:val="auto"/>
          <w:sz w:val="32"/>
          <w:szCs w:val="32"/>
          <w:highlight w:val="none"/>
        </w:rPr>
        <w:t>公共服务（类）</w:t>
      </w:r>
      <w:r>
        <w:rPr>
          <w:rStyle w:val="17"/>
          <w:rFonts w:hint="eastAsia" w:ascii="仿宋" w:hAnsi="仿宋" w:eastAsia="仿宋"/>
          <w:bCs/>
          <w:color w:val="auto"/>
          <w:sz w:val="32"/>
          <w:szCs w:val="32"/>
          <w:highlight w:val="none"/>
          <w:lang w:eastAsia="zh-CN"/>
        </w:rPr>
        <w:t>组织事务</w:t>
      </w:r>
      <w:r>
        <w:rPr>
          <w:rStyle w:val="17"/>
          <w:rFonts w:hint="eastAsia" w:ascii="仿宋" w:hAnsi="仿宋" w:eastAsia="仿宋"/>
          <w:bCs/>
          <w:color w:val="auto"/>
          <w:sz w:val="32"/>
          <w:szCs w:val="32"/>
          <w:highlight w:val="none"/>
        </w:rPr>
        <w:t>（款）其他组织事务支出（项）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41.88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spacing w:line="600" w:lineRule="exact"/>
        <w:ind w:firstLine="643" w:firstLineChars="20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3</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社会保障和就业（类）行政事业单位养老支出（款）机关事业单位基本养老保险缴费支出（项）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23.31</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pStyle w:val="14"/>
        <w:ind w:firstLine="643" w:firstLineChars="200"/>
      </w:pPr>
      <w:r>
        <w:rPr>
          <w:rStyle w:val="17"/>
          <w:rFonts w:hint="eastAsia" w:ascii="仿宋" w:hAnsi="仿宋" w:eastAsia="仿宋"/>
          <w:bCs/>
          <w:color w:val="auto"/>
          <w:sz w:val="32"/>
          <w:szCs w:val="32"/>
          <w:highlight w:val="none"/>
          <w:lang w:val="en-US" w:eastAsia="zh-CN"/>
        </w:rPr>
        <w:t>4.</w:t>
      </w:r>
      <w:r>
        <w:rPr>
          <w:rStyle w:val="17"/>
          <w:rFonts w:hint="eastAsia" w:ascii="仿宋" w:hAnsi="仿宋" w:eastAsia="仿宋"/>
          <w:bCs/>
          <w:color w:val="auto"/>
          <w:sz w:val="32"/>
          <w:szCs w:val="32"/>
          <w:highlight w:val="none"/>
        </w:rPr>
        <w:t>社会保障和就业（类）其他社会保障和就业支出（款）其他社会保障和就业支出（项）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2.63</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5</w:t>
      </w:r>
      <w:r>
        <w:rPr>
          <w:rStyle w:val="17"/>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7"/>
          <w:rFonts w:hint="eastAsia" w:ascii="仿宋" w:hAnsi="仿宋" w:eastAsia="仿宋"/>
          <w:bCs/>
          <w:color w:val="auto"/>
          <w:sz w:val="32"/>
          <w:szCs w:val="32"/>
          <w:highlight w:val="none"/>
        </w:rPr>
        <w:t>（类）行政事业单位医疗（款）行政单位医疗（项）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12.82</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spacing w:line="600" w:lineRule="exact"/>
        <w:ind w:firstLine="640" w:firstLineChars="200"/>
        <w:rPr>
          <w:rStyle w:val="17"/>
          <w:rFonts w:hint="eastAsia" w:ascii="仿宋" w:hAnsi="仿宋" w:eastAsia="仿宋"/>
          <w:b w:val="0"/>
          <w:bCs/>
          <w:color w:val="auto"/>
          <w:sz w:val="32"/>
          <w:szCs w:val="32"/>
          <w:highlight w:val="none"/>
        </w:rPr>
      </w:pPr>
      <w:r>
        <w:rPr>
          <w:rFonts w:hint="eastAsia" w:ascii="仿宋" w:hAnsi="仿宋" w:eastAsia="仿宋"/>
          <w:color w:val="auto"/>
          <w:sz w:val="32"/>
          <w:szCs w:val="32"/>
          <w:highlight w:val="none"/>
          <w:lang w:val="en-US" w:eastAsia="zh-CN"/>
        </w:rPr>
        <w:t>6.</w:t>
      </w:r>
      <w:r>
        <w:rPr>
          <w:rStyle w:val="17"/>
          <w:rFonts w:hint="eastAsia" w:ascii="仿宋" w:hAnsi="仿宋" w:eastAsia="仿宋"/>
          <w:bCs/>
          <w:color w:val="auto"/>
          <w:sz w:val="32"/>
          <w:szCs w:val="32"/>
          <w:highlight w:val="none"/>
        </w:rPr>
        <w:t>农林水支出（类）扶贫（款）其他扶贫支出（项）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45</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72.58</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val="en-US" w:eastAsia="zh-CN"/>
        </w:rPr>
        <w:t>，决算小于预算的主要原因是东西协作人才交流项目因项目实施内容与年初原定计划有所调整，截止12月时未完结</w:t>
      </w:r>
      <w:r>
        <w:rPr>
          <w:rStyle w:val="17"/>
          <w:rFonts w:hint="eastAsia" w:ascii="仿宋" w:hAnsi="仿宋" w:eastAsia="仿宋"/>
          <w:b w:val="0"/>
          <w:bCs/>
          <w:color w:val="auto"/>
          <w:sz w:val="32"/>
          <w:szCs w:val="32"/>
          <w:highlight w:val="none"/>
        </w:rPr>
        <w:t>。</w:t>
      </w: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lang w:val="en-US" w:eastAsia="zh-CN"/>
        </w:rPr>
        <w:t>7.</w:t>
      </w:r>
      <w:r>
        <w:rPr>
          <w:rStyle w:val="17"/>
          <w:rFonts w:hint="eastAsia" w:ascii="仿宋" w:hAnsi="仿宋" w:eastAsia="仿宋"/>
          <w:bCs/>
          <w:color w:val="auto"/>
          <w:sz w:val="32"/>
          <w:szCs w:val="32"/>
          <w:highlight w:val="none"/>
        </w:rPr>
        <w:t>住房保障支出（类）住房改革支出（款）住房公积金（项）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26.35</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tabs>
          <w:tab w:val="right" w:pos="8306"/>
        </w:tabs>
        <w:spacing w:line="600" w:lineRule="exact"/>
        <w:ind w:firstLine="640" w:firstLineChars="200"/>
        <w:outlineLvl w:val="1"/>
        <w:rPr>
          <w:rStyle w:val="28"/>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般公共预算财政拨款基本支出决算情况说明</w:t>
      </w:r>
      <w:bookmarkEnd w:id="34"/>
      <w:bookmarkEnd w:id="35"/>
      <w:r>
        <w:rPr>
          <w:rStyle w:val="28"/>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525.44</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278.03</w:t>
      </w:r>
      <w:r>
        <w:rPr>
          <w:rFonts w:hint="eastAsia" w:ascii="仿宋" w:hAnsi="仿宋" w:eastAsia="仿宋"/>
          <w:color w:val="auto"/>
          <w:sz w:val="32"/>
          <w:szCs w:val="32"/>
          <w:highlight w:val="none"/>
        </w:rPr>
        <w:t>万元，主要包括：基本工资、津贴补贴、奖金、绩效工资、机关事业单位基本养老保险缴费、职工基本医疗保险缴费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其他社会保障缴费、住房公积金、</w:t>
      </w:r>
      <w:r>
        <w:rPr>
          <w:rFonts w:hint="eastAsia" w:ascii="仿宋" w:hAnsi="仿宋" w:eastAsia="仿宋"/>
          <w:color w:val="auto"/>
          <w:sz w:val="32"/>
          <w:szCs w:val="32"/>
          <w:highlight w:val="none"/>
          <w:lang w:eastAsia="zh-CN"/>
        </w:rPr>
        <w:t>其他工资福利支出、生活补助、奖励金</w:t>
      </w:r>
      <w:r>
        <w:rPr>
          <w:rFonts w:hint="eastAsia" w:ascii="仿宋" w:hAnsi="仿宋" w:eastAsia="仿宋"/>
          <w:color w:val="auto"/>
          <w:sz w:val="32"/>
          <w:szCs w:val="32"/>
          <w:highlight w:val="none"/>
        </w:rPr>
        <w:t>等。</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247.42</w:t>
      </w:r>
      <w:r>
        <w:rPr>
          <w:rFonts w:hint="eastAsia" w:ascii="仿宋" w:hAnsi="仿宋" w:eastAsia="仿宋"/>
          <w:color w:val="auto"/>
          <w:sz w:val="32"/>
          <w:szCs w:val="32"/>
          <w:highlight w:val="none"/>
        </w:rPr>
        <w:t>万元，主要包括：办公费、印刷费、手续费、水费、邮电费、差旅费、维修（护）费、会议费、培训费、公务接待费、劳务费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工会经费、其他交通费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其他商品和服务支出等。</w:t>
      </w:r>
    </w:p>
    <w:p>
      <w:pPr>
        <w:spacing w:line="600" w:lineRule="exact"/>
        <w:ind w:firstLine="640" w:firstLineChars="200"/>
        <w:outlineLvl w:val="1"/>
        <w:rPr>
          <w:rStyle w:val="28"/>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8"/>
          <w:rFonts w:hint="eastAsia" w:ascii="黑体" w:hAnsi="黑体" w:eastAsia="黑体"/>
          <w:color w:val="auto"/>
          <w:highlight w:val="none"/>
        </w:rPr>
        <w:t>“</w:t>
      </w:r>
      <w:r>
        <w:rPr>
          <w:rStyle w:val="28"/>
          <w:rFonts w:hint="eastAsia" w:ascii="黑体" w:hAnsi="黑体" w:eastAsia="黑体"/>
          <w:b w:val="0"/>
          <w:color w:val="auto"/>
          <w:highlight w:val="none"/>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9.45</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w:t>
      </w:r>
      <w:r>
        <w:rPr>
          <w:rFonts w:hint="eastAsia" w:ascii="仿宋" w:hAnsi="仿宋" w:eastAsia="仿宋"/>
          <w:color w:val="auto"/>
          <w:sz w:val="32"/>
          <w:szCs w:val="32"/>
          <w:highlight w:val="none"/>
          <w:lang w:eastAsia="zh-CN"/>
        </w:rPr>
        <w:t>与</w:t>
      </w:r>
      <w:r>
        <w:rPr>
          <w:rFonts w:hint="eastAsia" w:ascii="仿宋" w:hAnsi="仿宋" w:eastAsia="仿宋"/>
          <w:color w:val="auto"/>
          <w:sz w:val="32"/>
          <w:szCs w:val="32"/>
          <w:highlight w:val="none"/>
        </w:rPr>
        <w:t>预算数持平。</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万元；公务接待费支出决算</w:t>
      </w:r>
      <w:r>
        <w:rPr>
          <w:rFonts w:hint="eastAsia" w:ascii="仿宋" w:hAnsi="仿宋" w:eastAsia="仿宋"/>
          <w:color w:val="auto"/>
          <w:sz w:val="32"/>
          <w:szCs w:val="32"/>
          <w:highlight w:val="none"/>
          <w:lang w:val="en-US" w:eastAsia="zh-CN"/>
        </w:rPr>
        <w:t>9.45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rPr>
          <w:rFonts w:hint="eastAsia" w:eastAsia="仿宋"/>
          <w:lang w:eastAsia="zh-CN"/>
        </w:rPr>
      </w:pPr>
      <w:r>
        <w:rPr>
          <w:rFonts w:hint="eastAsia" w:eastAsia="仿宋"/>
          <w:lang w:eastAsia="zh-CN"/>
        </w:rPr>
        <w:drawing>
          <wp:inline distT="0" distB="0" distL="114300" distR="114300">
            <wp:extent cx="4850765" cy="2715895"/>
            <wp:effectExtent l="4445" t="4445" r="21590" b="2286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5"/>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lang w:eastAsia="zh-CN"/>
        </w:rPr>
        <w:t>年初未安排预算，与上年持平。</w:t>
      </w:r>
    </w:p>
    <w:p>
      <w:pPr>
        <w:spacing w:line="600" w:lineRule="exact"/>
        <w:ind w:firstLine="643" w:firstLineChars="200"/>
        <w:rPr>
          <w:rFonts w:hint="eastAsia" w:ascii="仿宋_GB2312" w:eastAsia="仿宋_GB2312"/>
          <w:b/>
          <w:color w:val="auto"/>
          <w:sz w:val="32"/>
          <w:szCs w:val="32"/>
          <w:highlight w:val="none"/>
          <w:lang w:eastAsia="zh-CN"/>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，年初未安排预算，与上年持平。</w:t>
      </w:r>
      <w:r>
        <w:rPr>
          <w:rFonts w:hint="eastAsia" w:ascii="仿宋_GB2312" w:eastAsia="仿宋_GB2312"/>
          <w:color w:val="000000"/>
          <w:sz w:val="32"/>
          <w:szCs w:val="32"/>
          <w:lang w:eastAsia="zh-CN"/>
        </w:rPr>
        <w:t>我单位是公务用车改革单位，公务用车保有量为</w:t>
      </w:r>
      <w:r>
        <w:rPr>
          <w:rFonts w:hint="eastAsia" w:ascii="仿宋_GB2312" w:eastAsia="仿宋_GB2312"/>
          <w:color w:val="000000"/>
          <w:sz w:val="32"/>
          <w:szCs w:val="32"/>
          <w:lang w:val="en-US" w:eastAsia="zh-CN"/>
        </w:rPr>
        <w:t>0，</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9.45</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r>
        <w:rPr>
          <w:rFonts w:hint="eastAsia" w:ascii="仿宋_GB2312" w:eastAsia="仿宋_GB2312"/>
          <w:color w:val="auto"/>
          <w:sz w:val="32"/>
          <w:szCs w:val="32"/>
          <w:highlight w:val="none"/>
          <w:lang w:eastAsia="zh-CN"/>
        </w:rPr>
        <w:t>与上年基本持平</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9.45</w:t>
      </w:r>
      <w:r>
        <w:rPr>
          <w:rFonts w:hint="eastAsia" w:ascii="仿宋_GB2312" w:eastAsia="仿宋_GB2312"/>
          <w:color w:val="auto"/>
          <w:sz w:val="32"/>
          <w:szCs w:val="32"/>
          <w:highlight w:val="none"/>
        </w:rPr>
        <w:t>万元，主要用于开展业务活动开支的</w:t>
      </w:r>
      <w:r>
        <w:rPr>
          <w:rFonts w:hint="eastAsia" w:ascii="仿宋_GB2312" w:eastAsia="仿宋_GB2312"/>
          <w:color w:val="auto"/>
          <w:sz w:val="32"/>
          <w:szCs w:val="32"/>
          <w:highlight w:val="none"/>
          <w:lang w:eastAsia="zh-CN"/>
        </w:rPr>
        <w:t>交通费、</w:t>
      </w:r>
      <w:r>
        <w:rPr>
          <w:rFonts w:hint="eastAsia" w:ascii="仿宋_GB2312" w:eastAsia="仿宋_GB2312"/>
          <w:color w:val="auto"/>
          <w:sz w:val="32"/>
          <w:szCs w:val="32"/>
          <w:highlight w:val="none"/>
        </w:rPr>
        <w:t>住宿费、用餐费等。国内公务接待</w:t>
      </w:r>
      <w:r>
        <w:rPr>
          <w:rFonts w:hint="eastAsia" w:ascii="仿宋_GB2312" w:eastAsia="仿宋_GB2312"/>
          <w:color w:val="auto"/>
          <w:sz w:val="32"/>
          <w:szCs w:val="32"/>
          <w:highlight w:val="none"/>
          <w:lang w:val="en-US" w:eastAsia="zh-CN"/>
        </w:rPr>
        <w:t>92</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646</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9.45</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市委老干部局来昭调研老干部工作</w:t>
      </w:r>
      <w:r>
        <w:rPr>
          <w:rFonts w:hint="eastAsia" w:ascii="仿宋_GB2312" w:eastAsia="仿宋_GB2312"/>
          <w:color w:val="auto"/>
          <w:sz w:val="32"/>
          <w:szCs w:val="32"/>
          <w:highlight w:val="none"/>
          <w:lang w:val="en-US" w:eastAsia="zh-CN"/>
        </w:rPr>
        <w:t>934元，市委工作组开展领导班子思想政治建设调研996元、青川县委老干部局来昭考察2606元、市委组织部来昭考察干部1286元等</w:t>
      </w:r>
      <w:r>
        <w:rPr>
          <w:rFonts w:hint="eastAsia" w:ascii="仿宋_GB2312" w:eastAsia="仿宋_GB2312"/>
          <w:color w:val="auto"/>
          <w:sz w:val="32"/>
          <w:szCs w:val="32"/>
          <w:highlight w:val="none"/>
        </w:rPr>
        <w:t>。</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40" w:name="_Toc15396610"/>
      <w:bookmarkStart w:id="41" w:name="_Toc15377218"/>
    </w:p>
    <w:p>
      <w:pPr>
        <w:spacing w:line="600" w:lineRule="exact"/>
        <w:ind w:firstLine="640"/>
        <w:outlineLvl w:val="1"/>
        <w:rPr>
          <w:rStyle w:val="28"/>
          <w:rFonts w:ascii="黑体" w:hAnsi="黑体" w:eastAsia="黑体"/>
          <w:color w:val="auto"/>
          <w:highlight w:val="none"/>
        </w:rPr>
      </w:pPr>
      <w:r>
        <w:rPr>
          <w:rFonts w:hint="eastAsia" w:ascii="黑体" w:eastAsia="黑体"/>
          <w:color w:val="auto"/>
          <w:sz w:val="32"/>
          <w:szCs w:val="32"/>
          <w:highlight w:val="none"/>
        </w:rPr>
        <w:t>八、</w:t>
      </w:r>
      <w:r>
        <w:rPr>
          <w:rStyle w:val="28"/>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8"/>
          <w:rFonts w:ascii="黑体" w:hAnsi="黑体" w:eastAsia="黑体"/>
          <w:b w:val="0"/>
          <w:color w:val="auto"/>
          <w:highlight w:val="none"/>
        </w:rPr>
      </w:pPr>
      <w:bookmarkStart w:id="42" w:name="_Toc15396611"/>
      <w:bookmarkStart w:id="43" w:name="_Toc15377219"/>
      <w:r>
        <w:rPr>
          <w:rStyle w:val="28"/>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8"/>
          <w:rFonts w:hint="eastAsia" w:ascii="黑体" w:hAnsi="黑体" w:eastAsia="黑体"/>
          <w:b w:val="0"/>
          <w:color w:val="auto"/>
          <w:highlight w:val="none"/>
        </w:rPr>
      </w:pPr>
      <w:bookmarkStart w:id="44" w:name="_Toc15396612"/>
      <w:bookmarkStart w:id="45" w:name="_Toc15377221"/>
      <w:r>
        <w:rPr>
          <w:rStyle w:val="28"/>
          <w:rFonts w:hint="eastAsia" w:ascii="黑体" w:hAnsi="黑体" w:eastAsia="黑体"/>
          <w:b w:val="0"/>
          <w:color w:val="auto"/>
          <w:highlight w:val="none"/>
          <w:lang w:val="en-US" w:eastAsia="zh-CN"/>
        </w:rPr>
        <w:t>预算绩效管理情况</w:t>
      </w:r>
    </w:p>
    <w:p>
      <w:pPr>
        <w:spacing w:line="580" w:lineRule="exact"/>
        <w:ind w:firstLine="640" w:firstLineChars="200"/>
        <w:rPr>
          <w:rFonts w:hint="eastAsia"/>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eastAsia="zh-CN"/>
        </w:rPr>
        <w:t>东西部协作人才交流项目</w:t>
      </w:r>
      <w:r>
        <w:rPr>
          <w:rFonts w:hint="eastAsia" w:ascii="仿宋_GB2312" w:hAnsi="仿宋_GB2312" w:eastAsia="仿宋_GB2312" w:cs="仿宋_GB2312"/>
          <w:color w:val="auto"/>
          <w:sz w:val="32"/>
          <w:szCs w:val="32"/>
          <w:highlight w:val="none"/>
          <w:lang w:val="en-US" w:eastAsia="zh-CN"/>
        </w:rPr>
        <w:t>1个项目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该</w:t>
      </w:r>
      <w:r>
        <w:rPr>
          <w:rFonts w:hint="eastAsia" w:ascii="仿宋_GB2312" w:hAnsi="仿宋_GB2312" w:eastAsia="仿宋_GB2312" w:cs="仿宋_GB2312"/>
          <w:color w:val="auto"/>
          <w:sz w:val="32"/>
          <w:szCs w:val="32"/>
          <w:highlight w:val="none"/>
        </w:rPr>
        <w:t>项目编制了绩效目标，预算执行过程中，选取</w:t>
      </w:r>
      <w:r>
        <w:rPr>
          <w:rFonts w:hint="eastAsia" w:ascii="仿宋_GB2312" w:hAnsi="仿宋_GB2312" w:eastAsia="仿宋_GB2312" w:cs="仿宋_GB2312"/>
          <w:color w:val="auto"/>
          <w:sz w:val="32"/>
          <w:szCs w:val="32"/>
          <w:highlight w:val="none"/>
          <w:lang w:val="en-US" w:eastAsia="zh-CN"/>
        </w:rPr>
        <w:t>该</w:t>
      </w:r>
      <w:r>
        <w:rPr>
          <w:rFonts w:hint="eastAsia" w:ascii="仿宋_GB2312" w:hAnsi="仿宋_GB2312" w:eastAsia="仿宋_GB2312" w:cs="仿宋_GB2312"/>
          <w:color w:val="auto"/>
          <w:sz w:val="32"/>
          <w:szCs w:val="32"/>
          <w:highlight w:val="none"/>
        </w:rPr>
        <w:t>项目开展绩效监控，年终执行完毕后，对</w:t>
      </w:r>
      <w:r>
        <w:rPr>
          <w:rFonts w:hint="eastAsia" w:ascii="仿宋_GB2312" w:hAnsi="仿宋_GB2312" w:eastAsia="仿宋_GB2312" w:cs="仿宋_GB2312"/>
          <w:color w:val="auto"/>
          <w:sz w:val="32"/>
          <w:szCs w:val="32"/>
          <w:highlight w:val="none"/>
          <w:lang w:val="en-US" w:eastAsia="zh-CN"/>
        </w:rPr>
        <w:t>该</w:t>
      </w:r>
      <w:r>
        <w:rPr>
          <w:rFonts w:hint="eastAsia" w:ascii="仿宋_GB2312" w:hAnsi="仿宋_GB2312" w:eastAsia="仿宋_GB2312" w:cs="仿宋_GB2312"/>
          <w:color w:val="auto"/>
          <w:sz w:val="32"/>
          <w:szCs w:val="32"/>
          <w:highlight w:val="none"/>
        </w:rPr>
        <w:t>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2021年部门预算项目绩效目标自评表见附件（第四部分）</w:t>
      </w:r>
      <w:r>
        <w:rPr>
          <w:rFonts w:hint="eastAsia" w:ascii="仿宋_GB2312" w:hAnsi="仿宋_GB2312" w:eastAsia="仿宋_GB2312" w:cs="仿宋_GB2312"/>
          <w:color w:val="auto"/>
          <w:sz w:val="32"/>
          <w:szCs w:val="32"/>
          <w:highlight w:val="none"/>
        </w:rPr>
        <w:t>。</w:t>
      </w:r>
    </w:p>
    <w:p>
      <w:pPr>
        <w:numPr>
          <w:ilvl w:val="0"/>
          <w:numId w:val="3"/>
        </w:numPr>
        <w:spacing w:line="600" w:lineRule="exact"/>
        <w:ind w:firstLine="640"/>
        <w:outlineLvl w:val="1"/>
        <w:rPr>
          <w:rStyle w:val="28"/>
          <w:rFonts w:hint="eastAsia" w:ascii="黑体" w:hAnsi="黑体" w:eastAsia="黑体"/>
          <w:b w:val="0"/>
          <w:color w:val="auto"/>
          <w:highlight w:val="none"/>
        </w:rPr>
      </w:pPr>
      <w:r>
        <w:rPr>
          <w:rStyle w:val="28"/>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昭化区委组织部</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247.42</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2.25</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0.9</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，主要变动原因是因人员减少，公用经费支出减少。</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昭化区委组织部</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昭化区委组织部</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default" w:ascii="仿宋_GB2312" w:eastAsia="仿宋_GB2312"/>
          <w:color w:val="auto"/>
          <w:sz w:val="32"/>
          <w:szCs w:val="32"/>
          <w:highlight w:val="none"/>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ascii="仿宋_GB2312" w:eastAsia="仿宋_GB2312"/>
          <w:color w:val="auto"/>
          <w:sz w:val="32"/>
          <w:szCs w:val="32"/>
          <w:highlight w:val="none"/>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ascii="仿宋_GB2312" w:eastAsia="仿宋_GB2312"/>
          <w:color w:val="auto"/>
          <w:sz w:val="32"/>
          <w:szCs w:val="32"/>
          <w:highlight w:val="none"/>
        </w:rPr>
        <w:t>0</w:t>
      </w:r>
      <w:r>
        <w:rPr>
          <w:rFonts w:hint="eastAsia" w:ascii="仿宋_GB2312" w:eastAsia="仿宋_GB2312"/>
          <w:color w:val="auto"/>
          <w:sz w:val="32"/>
          <w:szCs w:val="32"/>
          <w:highlight w:val="none"/>
        </w:rPr>
        <w:t>台（套）。</w:t>
      </w:r>
    </w:p>
    <w:p>
      <w:pPr>
        <w:pStyle w:val="2"/>
        <w:rPr>
          <w:highlight w:val="yellow"/>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7"/>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27"/>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5"/>
        <w:spacing w:line="560" w:lineRule="exact"/>
        <w:ind w:firstLine="640" w:firstLineChars="200"/>
        <w:rPr>
          <w:rFonts w:ascii="仿宋_GB2312" w:eastAsia="仿宋_GB2312"/>
          <w:sz w:val="32"/>
          <w:szCs w:val="32"/>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年末结转和结余：指单位按有关规定结转到下年或以后年度继续使用的资金。</w:t>
      </w:r>
    </w:p>
    <w:p>
      <w:pPr>
        <w:pStyle w:val="25"/>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一般公共服务（类）</w:t>
      </w:r>
      <w:r>
        <w:rPr>
          <w:rFonts w:hint="eastAsia" w:ascii="仿宋_GB2312" w:eastAsia="仿宋_GB2312"/>
          <w:sz w:val="32"/>
          <w:szCs w:val="32"/>
          <w:lang w:eastAsia="zh-CN"/>
        </w:rPr>
        <w:t>组织事务</w:t>
      </w:r>
      <w:r>
        <w:rPr>
          <w:rFonts w:hint="eastAsia" w:ascii="仿宋_GB2312" w:eastAsia="仿宋_GB2312"/>
          <w:sz w:val="32"/>
          <w:szCs w:val="32"/>
        </w:rPr>
        <w:t>（款）</w:t>
      </w:r>
      <w:r>
        <w:rPr>
          <w:rFonts w:hint="eastAsia" w:ascii="仿宋_GB2312" w:eastAsia="仿宋_GB2312"/>
          <w:sz w:val="32"/>
          <w:szCs w:val="32"/>
          <w:lang w:eastAsia="zh-CN"/>
        </w:rPr>
        <w:t>行政运行</w:t>
      </w:r>
      <w:r>
        <w:rPr>
          <w:rFonts w:hint="eastAsia" w:ascii="仿宋_GB2312" w:eastAsia="仿宋_GB2312"/>
          <w:sz w:val="32"/>
          <w:szCs w:val="32"/>
        </w:rPr>
        <w:t xml:space="preserve">（项）: </w:t>
      </w:r>
      <w:r>
        <w:rPr>
          <w:rFonts w:hint="eastAsia" w:ascii="仿宋_GB2312" w:eastAsia="仿宋_GB2312"/>
          <w:sz w:val="32"/>
          <w:szCs w:val="32"/>
          <w:lang w:val="en-US" w:eastAsia="zh-CN"/>
        </w:rPr>
        <w:t>指行政单位的基本支出。</w:t>
      </w:r>
    </w:p>
    <w:p>
      <w:pPr>
        <w:pStyle w:val="25"/>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rPr>
        <w:t>一般公共服务（类）</w:t>
      </w:r>
      <w:r>
        <w:rPr>
          <w:rFonts w:hint="eastAsia" w:ascii="仿宋_GB2312" w:eastAsia="仿宋_GB2312"/>
          <w:sz w:val="32"/>
          <w:szCs w:val="32"/>
          <w:lang w:eastAsia="zh-CN"/>
        </w:rPr>
        <w:t>组织事务</w:t>
      </w:r>
      <w:r>
        <w:rPr>
          <w:rFonts w:hint="eastAsia" w:ascii="仿宋_GB2312" w:eastAsia="仿宋_GB2312"/>
          <w:sz w:val="32"/>
          <w:szCs w:val="32"/>
        </w:rPr>
        <w:t>（款）</w:t>
      </w:r>
      <w:r>
        <w:rPr>
          <w:rFonts w:hint="eastAsia" w:ascii="仿宋_GB2312" w:eastAsia="仿宋_GB2312"/>
          <w:sz w:val="32"/>
          <w:szCs w:val="32"/>
          <w:lang w:eastAsia="zh-CN"/>
        </w:rPr>
        <w:t>其他组织事务支出</w:t>
      </w:r>
      <w:r>
        <w:rPr>
          <w:rFonts w:hint="eastAsia" w:ascii="仿宋_GB2312" w:eastAsia="仿宋_GB2312"/>
          <w:sz w:val="32"/>
          <w:szCs w:val="32"/>
        </w:rPr>
        <w:t xml:space="preserve">（项）: </w:t>
      </w:r>
      <w:r>
        <w:rPr>
          <w:rFonts w:hint="eastAsia" w:ascii="仿宋_GB2312" w:eastAsia="仿宋_GB2312"/>
          <w:sz w:val="32"/>
          <w:szCs w:val="32"/>
          <w:lang w:val="en-US" w:eastAsia="zh-CN"/>
        </w:rPr>
        <w:t>指其他用于中国共产党组织部门的事务支出。</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社会保障和就业（类）行政事业单位离退休（款）机关事业单位基本养老保险缴费支出（项）:</w:t>
      </w:r>
      <w:r>
        <w:rPr>
          <w:rFonts w:hint="eastAsia" w:ascii="仿宋_GB2312" w:eastAsia="仿宋_GB2312"/>
          <w:sz w:val="32"/>
          <w:szCs w:val="32"/>
          <w:lang w:val="en-US" w:eastAsia="zh-CN"/>
        </w:rPr>
        <w:t>指机关事业单位实施养老保险制度由单位缴纳的基本养老保险费支出。</w:t>
      </w:r>
      <w:r>
        <w:rPr>
          <w:rFonts w:hint="eastAsia" w:ascii="仿宋_GB2312" w:eastAsia="仿宋_GB2312"/>
          <w:sz w:val="32"/>
          <w:szCs w:val="32"/>
        </w:rPr>
        <w:t xml:space="preserve"> </w:t>
      </w:r>
    </w:p>
    <w:p>
      <w:pPr>
        <w:pStyle w:val="25"/>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6.</w:t>
      </w:r>
      <w:r>
        <w:rPr>
          <w:rFonts w:hint="eastAsia" w:ascii="仿宋_GB2312" w:eastAsia="仿宋_GB2312"/>
          <w:sz w:val="32"/>
          <w:szCs w:val="32"/>
        </w:rPr>
        <w:t>卫生健康（类）行政事业单位医疗（款）行政单位医疗（项）:</w:t>
      </w:r>
      <w:r>
        <w:rPr>
          <w:rFonts w:hint="eastAsia" w:ascii="仿宋_GB2312" w:eastAsia="仿宋_GB2312"/>
          <w:sz w:val="32"/>
          <w:szCs w:val="32"/>
          <w:lang w:val="en-US" w:eastAsia="zh-CN"/>
        </w:rPr>
        <w:t>指财政部门安排的行政单位基本医疗保险缴费经费。</w:t>
      </w:r>
    </w:p>
    <w:p>
      <w:pPr>
        <w:pStyle w:val="25"/>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7.</w:t>
      </w:r>
      <w:r>
        <w:rPr>
          <w:rFonts w:hint="eastAsia" w:ascii="仿宋_GB2312" w:eastAsia="仿宋_GB2312"/>
          <w:sz w:val="32"/>
          <w:szCs w:val="32"/>
          <w:lang w:eastAsia="zh-CN"/>
        </w:rPr>
        <w:t>农林水支出</w:t>
      </w:r>
      <w:r>
        <w:rPr>
          <w:rFonts w:hint="eastAsia" w:ascii="仿宋_GB2312" w:eastAsia="仿宋_GB2312"/>
          <w:sz w:val="32"/>
          <w:szCs w:val="32"/>
        </w:rPr>
        <w:t>（类）</w:t>
      </w:r>
      <w:r>
        <w:rPr>
          <w:rFonts w:hint="eastAsia" w:ascii="仿宋_GB2312" w:eastAsia="仿宋_GB2312"/>
          <w:sz w:val="32"/>
          <w:szCs w:val="32"/>
          <w:lang w:eastAsia="zh-CN"/>
        </w:rPr>
        <w:t>扶贫</w:t>
      </w:r>
      <w:r>
        <w:rPr>
          <w:rFonts w:hint="eastAsia" w:ascii="仿宋_GB2312" w:eastAsia="仿宋_GB2312"/>
          <w:sz w:val="32"/>
          <w:szCs w:val="32"/>
        </w:rPr>
        <w:t>（款）</w:t>
      </w:r>
      <w:r>
        <w:rPr>
          <w:rFonts w:hint="eastAsia" w:ascii="仿宋_GB2312" w:eastAsia="仿宋_GB2312"/>
          <w:sz w:val="32"/>
          <w:szCs w:val="32"/>
          <w:lang w:eastAsia="zh-CN"/>
        </w:rPr>
        <w:t>其他扶贫支出</w:t>
      </w:r>
      <w:r>
        <w:rPr>
          <w:rFonts w:hint="eastAsia" w:ascii="仿宋_GB2312" w:eastAsia="仿宋_GB2312"/>
          <w:sz w:val="32"/>
          <w:szCs w:val="32"/>
        </w:rPr>
        <w:t>（项）:</w:t>
      </w:r>
      <w:r>
        <w:rPr>
          <w:rFonts w:hint="eastAsia" w:ascii="仿宋_GB2312" w:eastAsia="仿宋_GB2312"/>
          <w:sz w:val="32"/>
          <w:szCs w:val="32"/>
          <w:lang w:val="en-US" w:eastAsia="zh-CN"/>
        </w:rPr>
        <w:t>指用于其他扶贫方面的支出。</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lang w:eastAsia="zh-CN"/>
        </w:rPr>
        <w:t>住房保障支出</w:t>
      </w:r>
      <w:r>
        <w:rPr>
          <w:rFonts w:hint="eastAsia" w:ascii="仿宋_GB2312" w:eastAsia="仿宋_GB2312"/>
          <w:sz w:val="32"/>
          <w:szCs w:val="32"/>
        </w:rPr>
        <w:t>（类）</w:t>
      </w:r>
      <w:r>
        <w:rPr>
          <w:rFonts w:hint="eastAsia" w:ascii="仿宋_GB2312" w:eastAsia="仿宋_GB2312"/>
          <w:sz w:val="32"/>
          <w:szCs w:val="32"/>
          <w:lang w:eastAsia="zh-CN"/>
        </w:rPr>
        <w:t>住房改革支出</w:t>
      </w:r>
      <w:r>
        <w:rPr>
          <w:rFonts w:hint="eastAsia" w:ascii="仿宋_GB2312" w:eastAsia="仿宋_GB2312"/>
          <w:sz w:val="32"/>
          <w:szCs w:val="32"/>
        </w:rPr>
        <w:t>（款）</w:t>
      </w:r>
      <w:r>
        <w:rPr>
          <w:rFonts w:hint="eastAsia" w:ascii="仿宋_GB2312" w:eastAsia="仿宋_GB2312"/>
          <w:sz w:val="32"/>
          <w:szCs w:val="32"/>
          <w:lang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指行政事业单位按人力资源和社会保障部、财政部规定的基本工资和津贴补贴以及规定比例为职工缴纳的住房公积金。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s="黑体"/>
          <w:color w:val="auto"/>
          <w:sz w:val="32"/>
          <w:szCs w:val="32"/>
          <w:highlight w:val="none"/>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7"/>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附件</w:t>
      </w:r>
    </w:p>
    <w:tbl>
      <w:tblPr>
        <w:tblStyle w:val="15"/>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0"/>
        <w:gridCol w:w="1200"/>
        <w:gridCol w:w="1740"/>
        <w:gridCol w:w="1603"/>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bookmarkStart w:id="53" w:name="_Toc15396618"/>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90" w:hRule="atLeast"/>
        </w:trPr>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3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区委组织部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区委组织部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11" w:hRule="atLeast"/>
        </w:trPr>
        <w:tc>
          <w:tcPr>
            <w:tcW w:w="2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62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2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62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11" w:hRule="atLeast"/>
        </w:trPr>
        <w:tc>
          <w:tcPr>
            <w:tcW w:w="2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9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4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454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auto"/>
                <w:sz w:val="24"/>
                <w:szCs w:val="24"/>
                <w:u w:val="none"/>
                <w:lang w:val="en-US" w:eastAsia="zh-CN"/>
              </w:rPr>
            </w:pPr>
            <w:r>
              <w:rPr>
                <w:rFonts w:hint="eastAsia" w:ascii="宋体" w:hAnsi="宋体" w:cs="宋体"/>
                <w:sz w:val="24"/>
                <w:szCs w:val="24"/>
                <w:lang w:eastAsia="zh-CN"/>
              </w:rPr>
              <w:t>选派</w:t>
            </w:r>
            <w:r>
              <w:rPr>
                <w:rFonts w:hint="eastAsia" w:ascii="宋体" w:hAnsi="宋体" w:cs="宋体"/>
                <w:sz w:val="24"/>
                <w:szCs w:val="24"/>
              </w:rPr>
              <w:t>30名村（社区）干部赴拱墅区跟班学习</w:t>
            </w:r>
            <w:r>
              <w:rPr>
                <w:rFonts w:hint="eastAsia" w:ascii="宋体" w:hAnsi="宋体" w:cs="宋体"/>
                <w:sz w:val="24"/>
                <w:szCs w:val="24"/>
                <w:lang w:eastAsia="zh-CN"/>
              </w:rPr>
              <w:t>、</w:t>
            </w:r>
            <w:r>
              <w:rPr>
                <w:rFonts w:hint="eastAsia" w:ascii="宋体" w:hAnsi="宋体" w:cs="宋体"/>
                <w:sz w:val="24"/>
                <w:szCs w:val="24"/>
              </w:rPr>
              <w:t>柔性引进</w:t>
            </w:r>
            <w:r>
              <w:rPr>
                <w:rFonts w:hint="eastAsia" w:ascii="宋体" w:hAnsi="宋体" w:cs="宋体"/>
                <w:sz w:val="24"/>
                <w:szCs w:val="24"/>
                <w:lang w:val="en-US" w:eastAsia="zh-CN"/>
              </w:rPr>
              <w:t>9</w:t>
            </w:r>
            <w:r>
              <w:rPr>
                <w:rFonts w:hint="eastAsia" w:ascii="宋体" w:hAnsi="宋体" w:cs="宋体"/>
                <w:sz w:val="24"/>
                <w:szCs w:val="24"/>
              </w:rPr>
              <w:t>名专家人才</w:t>
            </w:r>
            <w:r>
              <w:rPr>
                <w:rFonts w:hint="eastAsia" w:ascii="宋体" w:hAnsi="宋体" w:cs="宋体"/>
                <w:sz w:val="24"/>
                <w:szCs w:val="24"/>
                <w:lang w:eastAsia="zh-CN"/>
              </w:rPr>
              <w:t>及其团队、人才教育培训项目</w:t>
            </w:r>
            <w:r>
              <w:rPr>
                <w:rFonts w:hint="eastAsia" w:ascii="宋体" w:hAnsi="宋体" w:cs="宋体"/>
                <w:sz w:val="24"/>
                <w:szCs w:val="24"/>
                <w:lang w:val="en-US" w:eastAsia="zh-CN"/>
              </w:rPr>
              <w:t>1个</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cs="宋体"/>
                <w:sz w:val="24"/>
                <w:szCs w:val="24"/>
                <w:lang w:eastAsia="zh-CN"/>
              </w:rPr>
              <w:t>选派</w:t>
            </w:r>
            <w:r>
              <w:rPr>
                <w:rFonts w:hint="eastAsia" w:ascii="宋体" w:hAnsi="宋体" w:cs="宋体"/>
                <w:sz w:val="24"/>
                <w:szCs w:val="24"/>
              </w:rPr>
              <w:t>30名村（社区）干部赴拱墅区跟班学习</w:t>
            </w:r>
            <w:r>
              <w:rPr>
                <w:rFonts w:hint="eastAsia" w:ascii="宋体" w:hAnsi="宋体" w:cs="宋体"/>
                <w:sz w:val="24"/>
                <w:szCs w:val="24"/>
                <w:lang w:eastAsia="zh-CN"/>
              </w:rPr>
              <w:t>、</w:t>
            </w:r>
            <w:r>
              <w:rPr>
                <w:rFonts w:hint="eastAsia" w:ascii="宋体" w:hAnsi="宋体" w:cs="宋体"/>
                <w:sz w:val="24"/>
                <w:szCs w:val="24"/>
              </w:rPr>
              <w:t>柔性引进9名专家人才</w:t>
            </w:r>
            <w:r>
              <w:rPr>
                <w:rFonts w:hint="eastAsia" w:ascii="宋体" w:hAnsi="宋体" w:cs="宋体"/>
                <w:sz w:val="24"/>
                <w:szCs w:val="24"/>
                <w:lang w:eastAsia="zh-CN"/>
              </w:rPr>
              <w:t>及其团队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4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40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村（社区）干部跟班学习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30名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30名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40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柔性引进专家人才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35" w:hRule="atLeast"/>
        </w:trPr>
        <w:tc>
          <w:tcPr>
            <w:tcW w:w="140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人才教育培训项目</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1个</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35" w:hRule="atLeast"/>
        </w:trPr>
        <w:tc>
          <w:tcPr>
            <w:tcW w:w="140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任务完成率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65" w:hRule="atLeast"/>
        </w:trPr>
        <w:tc>
          <w:tcPr>
            <w:tcW w:w="140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完成时限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12月底前</w:t>
            </w:r>
            <w:bookmarkStart w:id="67" w:name="_GoBack"/>
            <w:bookmarkEnd w:id="67"/>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12底前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25" w:hRule="atLeast"/>
        </w:trPr>
        <w:tc>
          <w:tcPr>
            <w:tcW w:w="140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62万元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45万元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830" w:hRule="atLeast"/>
        </w:trPr>
        <w:tc>
          <w:tcPr>
            <w:tcW w:w="140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提升基层服务能力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40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可持续影响 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助力全区产业发展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4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度指标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w:t>
            </w:r>
          </w:p>
        </w:tc>
      </w:tr>
    </w:tbl>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8"/>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8"/>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bookmarkEnd w:id="57"/>
    </w:p>
    <w:p>
      <w:pPr>
        <w:pStyle w:val="4"/>
        <w:rPr>
          <w:rStyle w:val="28"/>
          <w:rFonts w:ascii="仿宋" w:hAnsi="仿宋" w:eastAsia="仿宋"/>
          <w:b w:val="0"/>
          <w:bCs w:val="0"/>
          <w:color w:val="auto"/>
          <w:highlight w:val="none"/>
        </w:rPr>
      </w:pPr>
      <w:bookmarkStart w:id="58" w:name="_Toc15396623"/>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8"/>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般公共预算财政拨款“三公”经费支出决算表</w:t>
      </w:r>
      <w:bookmarkEnd w:id="63"/>
    </w:p>
    <w:p>
      <w:pPr>
        <w:pStyle w:val="4"/>
        <w:rPr>
          <w:rFonts w:ascii="仿宋" w:hAnsi="仿宋" w:eastAsia="仿宋"/>
          <w:color w:val="auto"/>
          <w:highlight w:val="none"/>
        </w:rPr>
      </w:pPr>
      <w:bookmarkStart w:id="64" w:name="_Toc15396629"/>
      <w:r>
        <w:rPr>
          <w:rStyle w:val="28"/>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bookmarkEnd w:id="64"/>
    </w:p>
    <w:p>
      <w:pPr>
        <w:pStyle w:val="4"/>
        <w:rPr>
          <w:rFonts w:ascii="仿宋" w:hAnsi="仿宋" w:eastAsia="仿宋"/>
          <w:color w:val="auto"/>
          <w:highlight w:val="none"/>
        </w:rPr>
      </w:pPr>
      <w:bookmarkStart w:id="65" w:name="_Toc15396630"/>
      <w:r>
        <w:rPr>
          <w:rStyle w:val="28"/>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府性基金预算财政拨款“三公”经费支出决算表</w:t>
      </w:r>
      <w:bookmarkEnd w:id="65"/>
    </w:p>
    <w:p>
      <w:pPr>
        <w:pStyle w:val="4"/>
        <w:rPr>
          <w:rStyle w:val="28"/>
          <w:rFonts w:hint="eastAsia" w:ascii="仿宋" w:hAnsi="仿宋" w:eastAsia="仿宋"/>
          <w:b w:val="0"/>
          <w:bCs w:val="0"/>
          <w:color w:val="auto"/>
          <w:highlight w:val="none"/>
        </w:rPr>
      </w:pPr>
      <w:bookmarkStart w:id="66" w:name="_Toc15396631"/>
      <w:r>
        <w:rPr>
          <w:rStyle w:val="28"/>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bookmarkEnd w:id="66"/>
    </w:p>
    <w:p>
      <w:pPr>
        <w:rPr>
          <w:rFonts w:hint="eastAsia" w:eastAsia="仿宋"/>
          <w:color w:val="auto"/>
          <w:highlight w:val="none"/>
          <w:lang w:eastAsia="zh-CN"/>
        </w:rPr>
      </w:pPr>
      <w:r>
        <w:rPr>
          <w:rStyle w:val="28"/>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27E3547"/>
    <w:multiLevelType w:val="singleLevel"/>
    <w:tmpl w:val="327E3547"/>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wZjg4NjdlMjg4MzNmNWQ0ZDkxMTY4YzMwZGRhZj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A2032A3"/>
    <w:rsid w:val="0B8A37D8"/>
    <w:rsid w:val="0C43088F"/>
    <w:rsid w:val="0F021A65"/>
    <w:rsid w:val="10C055FF"/>
    <w:rsid w:val="118107EC"/>
    <w:rsid w:val="11DD6519"/>
    <w:rsid w:val="14456124"/>
    <w:rsid w:val="15EA64E1"/>
    <w:rsid w:val="16BB723D"/>
    <w:rsid w:val="18015F3F"/>
    <w:rsid w:val="1BE8440E"/>
    <w:rsid w:val="1D155CEE"/>
    <w:rsid w:val="20F57F95"/>
    <w:rsid w:val="240371BF"/>
    <w:rsid w:val="25942601"/>
    <w:rsid w:val="25C741E6"/>
    <w:rsid w:val="26BD1891"/>
    <w:rsid w:val="27842671"/>
    <w:rsid w:val="29FD04D3"/>
    <w:rsid w:val="2ABE7A3E"/>
    <w:rsid w:val="2BF33CA3"/>
    <w:rsid w:val="2EFA178C"/>
    <w:rsid w:val="30B46D73"/>
    <w:rsid w:val="30E52B71"/>
    <w:rsid w:val="319F7F4E"/>
    <w:rsid w:val="39AE70AB"/>
    <w:rsid w:val="3C0C0783"/>
    <w:rsid w:val="3F795B0E"/>
    <w:rsid w:val="3F9F3A96"/>
    <w:rsid w:val="41F9144B"/>
    <w:rsid w:val="436317CA"/>
    <w:rsid w:val="44CB2913"/>
    <w:rsid w:val="47131F53"/>
    <w:rsid w:val="4899701E"/>
    <w:rsid w:val="493C27E9"/>
    <w:rsid w:val="496F39ED"/>
    <w:rsid w:val="49FF41D3"/>
    <w:rsid w:val="4A185DC8"/>
    <w:rsid w:val="4A9C22F6"/>
    <w:rsid w:val="4BE068DB"/>
    <w:rsid w:val="4BF6002B"/>
    <w:rsid w:val="4ECE2238"/>
    <w:rsid w:val="51800001"/>
    <w:rsid w:val="51DB4B86"/>
    <w:rsid w:val="55333C3E"/>
    <w:rsid w:val="553D6EEF"/>
    <w:rsid w:val="64CA39A1"/>
    <w:rsid w:val="6C4A05C8"/>
    <w:rsid w:val="6C571AB9"/>
    <w:rsid w:val="72734D90"/>
    <w:rsid w:val="74E366CA"/>
    <w:rsid w:val="79E7B28D"/>
    <w:rsid w:val="7AD3297E"/>
    <w:rsid w:val="7BAF49B7"/>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next w:val="7"/>
    <w:qFormat/>
    <w:uiPriority w:val="0"/>
    <w:pPr>
      <w:ind w:left="420" w:leftChars="200"/>
    </w:pPr>
  </w:style>
  <w:style w:type="paragraph" w:styleId="7">
    <w:name w:val="Body Text First Indent 2"/>
    <w:basedOn w:val="6"/>
    <w:next w:val="1"/>
    <w:qFormat/>
    <w:uiPriority w:val="0"/>
    <w:pPr>
      <w:ind w:firstLine="420" w:firstLineChars="200"/>
    </w:pPr>
    <w:rPr>
      <w:sz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BodyText1I2"/>
    <w:basedOn w:val="34"/>
    <w:next w:val="1"/>
    <w:qFormat/>
    <w:uiPriority w:val="0"/>
    <w:pPr>
      <w:spacing w:after="0"/>
      <w:ind w:left="420" w:leftChars="200" w:firstLine="420" w:firstLineChars="200"/>
      <w:jc w:val="both"/>
      <w:textAlignment w:val="baseline"/>
    </w:pPr>
    <w:rPr>
      <w:sz w:val="32"/>
    </w:rPr>
  </w:style>
  <w:style w:type="paragraph" w:customStyle="1" w:styleId="34">
    <w:name w:val="BodyTextIndent"/>
    <w:basedOn w:val="1"/>
    <w:qFormat/>
    <w:uiPriority w:val="0"/>
    <w:pPr>
      <w:spacing w:after="120"/>
      <w:ind w:left="42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收入支出总体情况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2020年</c:v>
                </c:pt>
                <c:pt idx="1">
                  <c:v>2021年</c:v>
                </c:pt>
              </c:strCache>
            </c:strRef>
          </c:cat>
          <c:val>
            <c:numRef>
              <c:f>Sheet1!$B$2:$B$3</c:f>
              <c:numCache>
                <c:formatCode>General</c:formatCode>
                <c:ptCount val="2"/>
                <c:pt idx="0">
                  <c:v>670.94</c:v>
                </c:pt>
                <c:pt idx="1">
                  <c:v>587.44</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2020年</c:v>
                </c:pt>
                <c:pt idx="1">
                  <c:v>2021年</c:v>
                </c:pt>
              </c:strCache>
            </c:strRef>
          </c:cat>
          <c:val>
            <c:numRef>
              <c:f>Sheet1!$C$2:$C$3</c:f>
              <c:numCache>
                <c:formatCode>General</c:formatCode>
                <c:ptCount val="2"/>
                <c:pt idx="0">
                  <c:v>670.94</c:v>
                </c:pt>
                <c:pt idx="1">
                  <c:v>587.44</c:v>
                </c:pt>
              </c:numCache>
            </c:numRef>
          </c:val>
        </c:ser>
        <c:dLbls>
          <c:showLegendKey val="0"/>
          <c:showVal val="1"/>
          <c:showCatName val="0"/>
          <c:showSerName val="0"/>
          <c:showPercent val="0"/>
          <c:showBubbleSize val="0"/>
        </c:dLbls>
        <c:gapWidth val="444"/>
        <c:overlap val="-90"/>
        <c:axId val="757675178"/>
        <c:axId val="166737371"/>
      </c:barChart>
      <c:catAx>
        <c:axId val="75767517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166737371"/>
        <c:crosses val="autoZero"/>
        <c:auto val="1"/>
        <c:lblAlgn val="ctr"/>
        <c:lblOffset val="100"/>
        <c:noMultiLvlLbl val="0"/>
      </c:catAx>
      <c:valAx>
        <c:axId val="16673737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7675178"/>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72763174133037"/>
          <c:y val="0.0720135554927986"/>
        </c:manualLayout>
      </c:layout>
      <c:overlay val="0"/>
      <c:spPr>
        <a:noFill/>
        <a:ln>
          <a:noFill/>
        </a:ln>
        <a:effectLst/>
      </c:spPr>
      <c:txPr>
        <a:bodyPr rot="0" spcFirstLastPara="0" vertOverflow="ellipsis" vert="horz" wrap="square" anchor="ctr" anchorCtr="1"/>
        <a:lstStyle/>
        <a:p>
          <a:pPr>
            <a:defRPr lang="zh-CN" sz="8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Sheet1!$A$2</c:f>
              <c:strCache>
                <c:ptCount val="1"/>
                <c:pt idx="0">
                  <c:v>一般公共预算财政拨款收入</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本年收入合计</c:v>
                </c:pt>
              </c:strCache>
            </c:strRef>
          </c:cat>
          <c:val>
            <c:numRef>
              <c:f>Sheet1!$B$2</c:f>
              <c:numCache>
                <c:formatCode>General</c:formatCode>
                <c:ptCount val="1"/>
                <c:pt idx="0">
                  <c:v>587.44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00"/>
              <a:t>本年支出合计</a:t>
            </a:r>
            <a:endParaRPr sz="1000"/>
          </a:p>
        </c:rich>
      </c:tx>
      <c:layout/>
      <c:overlay val="0"/>
      <c:spPr>
        <a:noFill/>
        <a:ln>
          <a:noFill/>
        </a:ln>
        <a:effectLst/>
      </c:spPr>
    </c:title>
    <c:autoTitleDeleted val="0"/>
    <c:plotArea>
      <c:layout/>
      <c:pieChart>
        <c:varyColors val="1"/>
        <c:ser>
          <c:idx val="0"/>
          <c:order val="0"/>
          <c:tx>
            <c:strRef>
              <c:f>Sheet1!$B$1</c:f>
              <c:strCache>
                <c:ptCount val="1"/>
                <c:pt idx="0">
                  <c:v>本年支出合计</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214861555480304"/>
                  <c:y val="-0.13836579686291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525.44</c:v>
                </c:pt>
                <c:pt idx="1">
                  <c:v>45</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收入支出总体情况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2020年</c:v>
                </c:pt>
                <c:pt idx="1">
                  <c:v>2021年</c:v>
                </c:pt>
              </c:strCache>
            </c:strRef>
          </c:cat>
          <c:val>
            <c:numRef>
              <c:f>Sheet1!$B$2:$B$3</c:f>
              <c:numCache>
                <c:formatCode>General</c:formatCode>
                <c:ptCount val="2"/>
                <c:pt idx="0">
                  <c:v>670.94</c:v>
                </c:pt>
                <c:pt idx="1">
                  <c:v>587.44</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2020年</c:v>
                </c:pt>
                <c:pt idx="1">
                  <c:v>2021年</c:v>
                </c:pt>
              </c:strCache>
            </c:strRef>
          </c:cat>
          <c:val>
            <c:numRef>
              <c:f>Sheet1!$C$2:$C$3</c:f>
              <c:numCache>
                <c:formatCode>General</c:formatCode>
                <c:ptCount val="2"/>
                <c:pt idx="0">
                  <c:v>670.94</c:v>
                </c:pt>
                <c:pt idx="1">
                  <c:v>587.44</c:v>
                </c:pt>
              </c:numCache>
            </c:numRef>
          </c:val>
        </c:ser>
        <c:dLbls>
          <c:showLegendKey val="0"/>
          <c:showVal val="1"/>
          <c:showCatName val="0"/>
          <c:showSerName val="0"/>
          <c:showPercent val="0"/>
          <c:showBubbleSize val="0"/>
        </c:dLbls>
        <c:gapWidth val="444"/>
        <c:overlap val="-90"/>
        <c:axId val="757675178"/>
        <c:axId val="166737371"/>
      </c:barChart>
      <c:catAx>
        <c:axId val="75767517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166737371"/>
        <c:crosses val="autoZero"/>
        <c:auto val="1"/>
        <c:lblAlgn val="ctr"/>
        <c:lblOffset val="100"/>
        <c:noMultiLvlLbl val="0"/>
      </c:catAx>
      <c:valAx>
        <c:axId val="16673737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7675178"/>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12886269137625"/>
          <c:y val="0.0940756508546348"/>
          <c:w val="0.945"/>
          <c:h val="0.76824163969795"/>
        </c:manualLayout>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2020年</c:v>
                </c:pt>
                <c:pt idx="1">
                  <c:v>2021年</c:v>
                </c:pt>
              </c:strCache>
            </c:strRef>
          </c:cat>
          <c:val>
            <c:numRef>
              <c:f>Sheet1!$B$2:$B$3</c:f>
              <c:numCache>
                <c:formatCode>General</c:formatCode>
                <c:ptCount val="2"/>
                <c:pt idx="0">
                  <c:v>670.94</c:v>
                </c:pt>
                <c:pt idx="1">
                  <c:v>570.44</c:v>
                </c:pt>
              </c:numCache>
            </c:numRef>
          </c:val>
        </c:ser>
        <c:dLbls>
          <c:showLegendKey val="0"/>
          <c:showVal val="1"/>
          <c:showCatName val="0"/>
          <c:showSerName val="0"/>
          <c:showPercent val="0"/>
          <c:showBubbleSize val="0"/>
        </c:dLbls>
        <c:gapWidth val="444"/>
        <c:overlap val="-90"/>
        <c:axId val="645224627"/>
        <c:axId val="350112315"/>
      </c:barChart>
      <c:catAx>
        <c:axId val="645224627"/>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350112315"/>
        <c:crosses val="autoZero"/>
        <c:auto val="1"/>
        <c:lblAlgn val="ctr"/>
        <c:lblOffset val="100"/>
        <c:noMultiLvlLbl val="0"/>
      </c:catAx>
      <c:valAx>
        <c:axId val="350112315"/>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5224627"/>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一般公共服务（类）支出</c:v>
                </c:pt>
                <c:pt idx="1">
                  <c:v>社会保障和就业（类）支出</c:v>
                </c:pt>
                <c:pt idx="2">
                  <c:v>卫生健康支出</c:v>
                </c:pt>
                <c:pt idx="3">
                  <c:v>住房保障支出</c:v>
                </c:pt>
                <c:pt idx="4">
                  <c:v>农林水支出</c:v>
                </c:pt>
              </c:strCache>
            </c:strRef>
          </c:cat>
          <c:val>
            <c:numRef>
              <c:f>Sheet1!$B$2:$B$6</c:f>
              <c:numCache>
                <c:formatCode>General</c:formatCode>
                <c:ptCount val="5"/>
                <c:pt idx="0">
                  <c:v>460.32</c:v>
                </c:pt>
                <c:pt idx="1">
                  <c:v>25.94</c:v>
                </c:pt>
                <c:pt idx="2">
                  <c:v>12.82</c:v>
                </c:pt>
                <c:pt idx="3">
                  <c:v>26.35</c:v>
                </c:pt>
                <c:pt idx="4">
                  <c:v>45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80" b="0" i="0" u="none" strike="noStrike" kern="1200" spc="0" baseline="0">
                <a:solidFill>
                  <a:schemeClr val="tx1">
                    <a:lumMod val="65000"/>
                    <a:lumOff val="35000"/>
                  </a:schemeClr>
                </a:solidFill>
                <a:latin typeface="+mn-lt"/>
                <a:ea typeface="+mn-ea"/>
                <a:cs typeface="+mn-cs"/>
              </a:defRPr>
            </a:pPr>
            <a:r>
              <a:rPr lang="en-US" altLang="zh-CN" sz="1080"/>
              <a:t>“</a:t>
            </a:r>
            <a:r>
              <a:rPr sz="1080"/>
              <a:t>三公</a:t>
            </a:r>
            <a:r>
              <a:rPr lang="en-US" altLang="zh-CN" sz="1080"/>
              <a:t>”</a:t>
            </a:r>
            <a:r>
              <a:rPr sz="1080"/>
              <a:t>经费</a:t>
            </a:r>
            <a:r>
              <a:rPr altLang="zh-CN" sz="1080"/>
              <a:t>财政拨款</a:t>
            </a:r>
            <a:r>
              <a:rPr sz="1080"/>
              <a:t>支出</a:t>
            </a:r>
            <a:endParaRPr sz="1080"/>
          </a:p>
        </c:rich>
      </c:tx>
      <c:layout>
        <c:manualLayout>
          <c:xMode val="edge"/>
          <c:yMode val="edge"/>
          <c:x val="0.364209115281501"/>
          <c:y val="0.0256355479598376"/>
        </c:manualLayout>
      </c:layout>
      <c:overlay val="0"/>
      <c:spPr>
        <a:noFill/>
        <a:ln>
          <a:noFill/>
        </a:ln>
        <a:effectLst/>
      </c:spPr>
    </c:title>
    <c:autoTitleDeleted val="0"/>
    <c:plotArea>
      <c:layout/>
      <c:pieChart>
        <c:varyColors val="1"/>
        <c:ser>
          <c:idx val="0"/>
          <c:order val="0"/>
          <c:tx>
            <c:strRef>
              <c:f>Sheet1!$B$1</c:f>
              <c:strCache>
                <c:ptCount val="1"/>
                <c:pt idx="0">
                  <c:v>三公经费支出</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公务接待费</c:v>
                </c:pt>
              </c:strCache>
            </c:strRef>
          </c:cat>
          <c:val>
            <c:numRef>
              <c:f>Sheet1!$B$2</c:f>
              <c:numCache>
                <c:formatCode>General</c:formatCode>
                <c:ptCount val="1"/>
                <c:pt idx="0">
                  <c:v>9.45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9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4727</Words>
  <Characters>6172</Characters>
  <Lines>61</Lines>
  <Paragraphs>17</Paragraphs>
  <TotalTime>233</TotalTime>
  <ScaleCrop>false</ScaleCrop>
  <LinksUpToDate>false</LinksUpToDate>
  <CharactersWithSpaces>6197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余安</cp:lastModifiedBy>
  <cp:lastPrinted>2022-08-06T02:23:00Z</cp:lastPrinted>
  <dcterms:modified xsi:type="dcterms:W3CDTF">2023-04-23T02:01:56Z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18C4299B72334D3095585539B3212D20</vt:lpwstr>
  </property>
</Properties>
</file>