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425"/>
      <w:bookmarkStart w:id="3" w:name="_Toc15378441"/>
      <w:bookmarkStart w:id="4" w:name="_Toc15396597"/>
      <w:bookmarkStart w:id="5" w:name="_Toc15377193"/>
    </w:p>
    <w:p>
      <w:pPr>
        <w:adjustRightInd w:val="0"/>
        <w:snapToGrid w:val="0"/>
        <w:spacing w:line="360" w:lineRule="auto"/>
        <w:jc w:val="center"/>
        <w:outlineLvl w:val="0"/>
        <w:rPr>
          <w:rFonts w:hint="eastAsia" w:ascii="方正舒体" w:hAnsi="方正舒体" w:eastAsia="方正舒体" w:cs="方正舒体"/>
          <w:color w:val="auto"/>
          <w:sz w:val="72"/>
          <w:szCs w:val="72"/>
          <w:highlight w:val="none"/>
        </w:rPr>
      </w:pPr>
      <w:r>
        <w:rPr>
          <w:rFonts w:hint="eastAsia" w:ascii="方正舒体" w:hAnsi="方正舒体" w:eastAsia="方正舒体" w:cs="方正舒体"/>
          <w:color w:val="auto"/>
          <w:sz w:val="72"/>
          <w:szCs w:val="72"/>
          <w:highlight w:val="none"/>
        </w:rPr>
        <w:t>20</w:t>
      </w:r>
      <w:r>
        <w:rPr>
          <w:rFonts w:hint="eastAsia" w:ascii="方正舒体" w:hAnsi="方正舒体" w:eastAsia="方正舒体" w:cs="方正舒体"/>
          <w:color w:val="auto"/>
          <w:sz w:val="72"/>
          <w:szCs w:val="72"/>
          <w:highlight w:val="none"/>
          <w:lang w:val="en-US" w:eastAsia="zh-CN"/>
        </w:rPr>
        <w:t>21</w:t>
      </w:r>
      <w:r>
        <w:rPr>
          <w:rFonts w:hint="eastAsia" w:ascii="方正舒体" w:hAnsi="方正舒体" w:eastAsia="方正舒体" w:cs="方正舒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舒体" w:hAnsi="方正舒体" w:eastAsia="方正舒体" w:cs="方正舒体"/>
          <w:color w:val="auto"/>
          <w:sz w:val="72"/>
          <w:szCs w:val="72"/>
          <w:highlight w:val="none"/>
          <w:lang w:val="en-US" w:eastAsia="zh-CN"/>
        </w:rPr>
      </w:pPr>
      <w:bookmarkStart w:id="6" w:name="_Toc15396598"/>
      <w:bookmarkStart w:id="7" w:name="_Toc15377194"/>
      <w:bookmarkStart w:id="8" w:name="_Toc15396476"/>
      <w:bookmarkStart w:id="9" w:name="_Toc15377426"/>
      <w:bookmarkStart w:id="10" w:name="_Toc15378442"/>
      <w:bookmarkStart w:id="11" w:name="_Toc15306268"/>
      <w:r>
        <w:rPr>
          <w:rFonts w:hint="eastAsia" w:ascii="方正舒体" w:hAnsi="方正舒体" w:eastAsia="方正舒体" w:cs="方正舒体"/>
          <w:color w:val="auto"/>
          <w:sz w:val="72"/>
          <w:szCs w:val="72"/>
          <w:highlight w:val="none"/>
          <w:lang w:eastAsia="zh-CN"/>
        </w:rPr>
        <w:t>政协广元市昭化区委员会办公室</w:t>
      </w:r>
      <w:r>
        <w:rPr>
          <w:rFonts w:hint="eastAsia" w:ascii="方正舒体" w:hAnsi="方正舒体" w:eastAsia="方正舒体" w:cs="方正舒体"/>
          <w:color w:val="auto"/>
          <w:sz w:val="72"/>
          <w:szCs w:val="72"/>
          <w:highlight w:val="none"/>
        </w:rPr>
        <w:t>决算</w:t>
      </w:r>
      <w:bookmarkEnd w:id="6"/>
      <w:bookmarkEnd w:id="7"/>
      <w:bookmarkEnd w:id="8"/>
      <w:bookmarkEnd w:id="9"/>
      <w:bookmarkEnd w:id="10"/>
      <w:bookmarkEnd w:id="11"/>
      <w:r>
        <w:rPr>
          <w:rFonts w:hint="eastAsia" w:ascii="方正舒体" w:hAnsi="方正舒体" w:eastAsia="方正舒体" w:cs="方正舒体"/>
          <w:color w:val="auto"/>
          <w:sz w:val="72"/>
          <w:szCs w:val="72"/>
          <w:highlight w:val="none"/>
          <w:lang w:eastAsia="zh-CN"/>
        </w:rPr>
        <w:t>公开说明</w:t>
      </w:r>
    </w:p>
    <w:p>
      <w:pPr>
        <w:keepNext w:val="0"/>
        <w:keepLines w:val="0"/>
        <w:pageBreakBefore w:val="0"/>
        <w:widowControl/>
        <w:kinsoku/>
        <w:wordWrap/>
        <w:overflowPunct/>
        <w:topLinePunct w:val="0"/>
        <w:autoSpaceDE/>
        <w:autoSpaceDN/>
        <w:bidi w:val="0"/>
        <w:spacing w:line="576" w:lineRule="exact"/>
        <w:jc w:val="center"/>
        <w:textAlignment w:val="auto"/>
        <w:rPr>
          <w:color w:val="auto"/>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32"/>
          <w:szCs w:val="32"/>
          <w:highlight w:val="none"/>
        </w:rPr>
        <w:t>目</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录</w:t>
      </w:r>
    </w:p>
    <w:p>
      <w:pPr>
        <w:keepNext w:val="0"/>
        <w:keepLines w:val="0"/>
        <w:pageBreakBefore w:val="0"/>
        <w:kinsoku/>
        <w:wordWrap/>
        <w:overflowPunct/>
        <w:topLinePunct w:val="0"/>
        <w:autoSpaceDE/>
        <w:autoSpaceDN/>
        <w:bidi w:val="0"/>
        <w:spacing w:line="576" w:lineRule="exact"/>
        <w:textAlignment w:val="auto"/>
        <w:rPr>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default" w:ascii="楷体_GB2312" w:hAnsi="楷体_GB2312" w:eastAsia="楷体_GB2312" w:cs="楷体_GB2312"/>
          <w:color w:val="auto"/>
          <w:sz w:val="28"/>
          <w:szCs w:val="28"/>
          <w:highlight w:val="none"/>
          <w:lang w:val="en-US"/>
        </w:rPr>
      </w:pPr>
      <w:r>
        <w:rPr>
          <w:rFonts w:hint="eastAsia" w:ascii="楷体_GB2312" w:hAnsi="楷体_GB2312" w:eastAsia="楷体_GB2312" w:cs="楷体_GB2312"/>
          <w:color w:val="auto"/>
          <w:sz w:val="28"/>
          <w:szCs w:val="28"/>
          <w:highlight w:val="none"/>
        </w:rPr>
        <w:t xml:space="preserve">第一部分 </w:t>
      </w:r>
      <w:r>
        <w:rPr>
          <w:rFonts w:hint="eastAsia" w:ascii="楷体_GB2312" w:hAnsi="楷体_GB2312" w:eastAsia="楷体_GB2312" w:cs="楷体_GB2312"/>
          <w:color w:val="auto"/>
          <w:sz w:val="28"/>
          <w:szCs w:val="28"/>
          <w:highlight w:val="none"/>
          <w:lang w:eastAsia="zh-CN"/>
        </w:rPr>
        <w:t>单位</w:t>
      </w:r>
      <w:r>
        <w:rPr>
          <w:rFonts w:hint="eastAsia" w:ascii="楷体_GB2312" w:hAnsi="楷体_GB2312" w:eastAsia="楷体_GB2312" w:cs="楷体_GB2312"/>
          <w:color w:val="auto"/>
          <w:sz w:val="28"/>
          <w:szCs w:val="28"/>
          <w:highlight w:val="none"/>
        </w:rPr>
        <w:t>概况</w:t>
      </w:r>
      <w:r>
        <w:rPr>
          <w:rFonts w:hint="eastAsia" w:asciiTheme="minorEastAsia" w:hAnsiTheme="minorEastAsia" w:eastAsiaTheme="minorEastAsia" w:cstheme="minorEastAsia"/>
          <w:color w:val="auto"/>
          <w:sz w:val="28"/>
          <w:szCs w:val="28"/>
          <w:highlight w:val="none"/>
          <w:lang w:val="en-US" w:eastAsia="zh-CN"/>
        </w:rPr>
        <w:t>.....................................1</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一、职能</w:t>
      </w:r>
      <w:r>
        <w:rPr>
          <w:rFonts w:hint="eastAsia" w:asciiTheme="minorEastAsia" w:hAnsiTheme="minorEastAsia" w:eastAsiaTheme="minorEastAsia" w:cstheme="minorEastAsia"/>
          <w:color w:val="auto"/>
          <w:sz w:val="28"/>
          <w:szCs w:val="28"/>
          <w:highlight w:val="none"/>
          <w:lang w:eastAsia="zh-CN"/>
        </w:rPr>
        <w:t>简介</w:t>
      </w:r>
      <w:r>
        <w:rPr>
          <w:rFonts w:hint="eastAsia" w:asciiTheme="minorEastAsia" w:hAnsiTheme="minorEastAsia" w:eastAsiaTheme="minorEastAsia" w:cstheme="minorEastAsia"/>
          <w:color w:val="auto"/>
          <w:sz w:val="28"/>
          <w:szCs w:val="28"/>
          <w:highlight w:val="none"/>
          <w:lang w:val="en-US" w:eastAsia="zh-CN"/>
        </w:rPr>
        <w:t>...........................................1</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二、</w:t>
      </w:r>
      <w:r>
        <w:rPr>
          <w:rFonts w:hint="eastAsia" w:asciiTheme="minorEastAsia" w:hAnsiTheme="minorEastAsia" w:eastAsiaTheme="minorEastAsia" w:cstheme="minorEastAsia"/>
          <w:color w:val="auto"/>
          <w:sz w:val="28"/>
          <w:szCs w:val="28"/>
          <w:highlight w:val="none"/>
          <w:lang w:val="en-US" w:eastAsia="zh-CN"/>
        </w:rPr>
        <w:t>2021年重点</w:t>
      </w:r>
      <w:r>
        <w:rPr>
          <w:rFonts w:hint="eastAsia" w:asciiTheme="minorEastAsia" w:hAnsiTheme="minorEastAsia" w:eastAsiaTheme="minorEastAsia" w:cstheme="minorEastAsia"/>
          <w:color w:val="auto"/>
          <w:sz w:val="28"/>
          <w:szCs w:val="28"/>
          <w:highlight w:val="none"/>
        </w:rPr>
        <w:t>工作</w:t>
      </w:r>
      <w:r>
        <w:rPr>
          <w:rFonts w:hint="eastAsia" w:asciiTheme="minorEastAsia" w:hAnsiTheme="minorEastAsia" w:eastAsiaTheme="minorEastAsia" w:cstheme="minorEastAsia"/>
          <w:color w:val="auto"/>
          <w:sz w:val="28"/>
          <w:szCs w:val="28"/>
          <w:highlight w:val="none"/>
          <w:lang w:eastAsia="zh-CN"/>
        </w:rPr>
        <w:t>完成情况</w:t>
      </w:r>
      <w:r>
        <w:rPr>
          <w:rFonts w:hint="eastAsia" w:asciiTheme="minorEastAsia" w:hAnsiTheme="minorEastAsia" w:eastAsiaTheme="minorEastAsia" w:cstheme="minorEastAsia"/>
          <w:color w:val="auto"/>
          <w:sz w:val="28"/>
          <w:szCs w:val="28"/>
          <w:highlight w:val="none"/>
          <w:lang w:val="en-US" w:eastAsia="zh-CN"/>
        </w:rPr>
        <w:t>............................2</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楷体_GB2312" w:hAnsi="楷体_GB2312" w:eastAsia="楷体_GB2312" w:cs="楷体_GB2312"/>
          <w:color w:val="auto"/>
          <w:sz w:val="28"/>
          <w:szCs w:val="28"/>
          <w:highlight w:val="none"/>
          <w:lang w:val="en-US"/>
        </w:rPr>
      </w:pPr>
      <w:r>
        <w:rPr>
          <w:rFonts w:hint="eastAsia" w:ascii="楷体_GB2312" w:hAnsi="楷体_GB2312" w:eastAsia="楷体_GB2312" w:cs="楷体_GB2312"/>
          <w:color w:val="auto"/>
          <w:sz w:val="28"/>
          <w:szCs w:val="28"/>
          <w:highlight w:val="none"/>
        </w:rPr>
        <w:t>第二部分</w:t>
      </w:r>
      <w:r>
        <w:rPr>
          <w:rFonts w:hint="eastAsia" w:ascii="楷体_GB2312" w:hAnsi="楷体_GB2312" w:eastAsia="楷体_GB2312" w:cs="楷体_GB2312"/>
          <w:color w:val="auto"/>
          <w:sz w:val="28"/>
          <w:szCs w:val="28"/>
          <w:highlight w:val="none"/>
          <w:lang w:val="en-US" w:eastAsia="zh-CN"/>
        </w:rPr>
        <w:t xml:space="preserve"> 2021年度</w:t>
      </w:r>
      <w:r>
        <w:rPr>
          <w:rFonts w:hint="eastAsia" w:ascii="楷体_GB2312" w:hAnsi="楷体_GB2312" w:eastAsia="楷体_GB2312" w:cs="楷体_GB2312"/>
          <w:color w:val="auto"/>
          <w:sz w:val="28"/>
          <w:szCs w:val="28"/>
          <w:highlight w:val="none"/>
          <w:lang w:eastAsia="zh-CN"/>
        </w:rPr>
        <w:t>单位</w:t>
      </w:r>
      <w:r>
        <w:rPr>
          <w:rFonts w:hint="eastAsia" w:ascii="楷体_GB2312" w:hAnsi="楷体_GB2312" w:eastAsia="楷体_GB2312" w:cs="楷体_GB2312"/>
          <w:color w:val="auto"/>
          <w:sz w:val="28"/>
          <w:szCs w:val="28"/>
          <w:highlight w:val="none"/>
        </w:rPr>
        <w:t>决算情况说明</w:t>
      </w:r>
      <w:r>
        <w:rPr>
          <w:rFonts w:hint="eastAsia" w:asciiTheme="minorEastAsia" w:hAnsiTheme="minorEastAsia" w:eastAsiaTheme="minorEastAsia" w:cstheme="minorEastAsia"/>
          <w:color w:val="auto"/>
          <w:sz w:val="28"/>
          <w:szCs w:val="28"/>
          <w:highlight w:val="none"/>
          <w:lang w:val="en-US" w:eastAsia="zh-CN"/>
        </w:rPr>
        <w:t>....................11</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一、收入支出决算总体情况说明</w:t>
      </w:r>
      <w:r>
        <w:rPr>
          <w:rFonts w:hint="eastAsia" w:asciiTheme="minorEastAsia" w:hAnsiTheme="minorEastAsia" w:eastAsiaTheme="minorEastAsia" w:cstheme="minorEastAsia"/>
          <w:color w:val="auto"/>
          <w:sz w:val="28"/>
          <w:szCs w:val="28"/>
          <w:highlight w:val="none"/>
          <w:lang w:val="en-US" w:eastAsia="zh-CN"/>
        </w:rPr>
        <w:t>..........................11</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二、收入决算情况说明</w:t>
      </w:r>
      <w:r>
        <w:rPr>
          <w:rFonts w:hint="eastAsia" w:asciiTheme="minorEastAsia" w:hAnsiTheme="minorEastAsia" w:eastAsiaTheme="minorEastAsia" w:cstheme="minorEastAsia"/>
          <w:color w:val="auto"/>
          <w:sz w:val="28"/>
          <w:szCs w:val="28"/>
          <w:highlight w:val="none"/>
          <w:lang w:val="en-US" w:eastAsia="zh-CN"/>
        </w:rPr>
        <w:t>..................................11</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三、支出决算情况说明</w:t>
      </w:r>
      <w:r>
        <w:rPr>
          <w:rFonts w:hint="eastAsia" w:asciiTheme="minorEastAsia" w:hAnsiTheme="minorEastAsia" w:eastAsiaTheme="minorEastAsia" w:cstheme="minorEastAsia"/>
          <w:color w:val="auto"/>
          <w:sz w:val="28"/>
          <w:szCs w:val="28"/>
          <w:highlight w:val="none"/>
          <w:lang w:val="en-US" w:eastAsia="zh-CN"/>
        </w:rPr>
        <w:t>..................................12</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四、财政拨款收入支出决算总体情况说明</w:t>
      </w:r>
      <w:r>
        <w:rPr>
          <w:rFonts w:hint="eastAsia" w:asciiTheme="minorEastAsia" w:hAnsiTheme="minorEastAsia" w:eastAsiaTheme="minorEastAsia" w:cstheme="minorEastAsia"/>
          <w:color w:val="auto"/>
          <w:sz w:val="28"/>
          <w:szCs w:val="28"/>
          <w:highlight w:val="none"/>
          <w:lang w:val="en-US" w:eastAsia="zh-CN"/>
        </w:rPr>
        <w:t>..................13</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五、一般公共预算财政拨款支出决算情况说明</w:t>
      </w:r>
      <w:r>
        <w:rPr>
          <w:rFonts w:hint="eastAsia" w:asciiTheme="minorEastAsia" w:hAnsiTheme="minorEastAsia" w:eastAsiaTheme="minorEastAsia" w:cstheme="minorEastAsia"/>
          <w:color w:val="auto"/>
          <w:sz w:val="28"/>
          <w:szCs w:val="28"/>
          <w:highlight w:val="none"/>
          <w:lang w:val="en-US" w:eastAsia="zh-CN"/>
        </w:rPr>
        <w:t>..............14</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六、一般公共预算财政拨款基本支出决算情况说明</w:t>
      </w:r>
      <w:r>
        <w:rPr>
          <w:rFonts w:hint="eastAsia" w:asciiTheme="minorEastAsia" w:hAnsiTheme="minorEastAsia" w:eastAsiaTheme="minorEastAsia" w:cstheme="minorEastAsia"/>
          <w:color w:val="auto"/>
          <w:sz w:val="28"/>
          <w:szCs w:val="28"/>
          <w:highlight w:val="none"/>
          <w:lang w:val="en-US" w:eastAsia="zh-CN"/>
        </w:rPr>
        <w:t>..........16</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七、</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三公”经费财政拨款支出决算情况说明</w:t>
      </w:r>
      <w:r>
        <w:rPr>
          <w:rFonts w:hint="eastAsia" w:asciiTheme="minorEastAsia" w:hAnsiTheme="minorEastAsia" w:eastAsiaTheme="minorEastAsia" w:cstheme="minorEastAsia"/>
          <w:color w:val="auto"/>
          <w:sz w:val="28"/>
          <w:szCs w:val="28"/>
          <w:highlight w:val="none"/>
          <w:lang w:val="en-US" w:eastAsia="zh-CN"/>
        </w:rPr>
        <w:t>................17</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八、政府性基金预算支出决算情况说明</w:t>
      </w:r>
      <w:r>
        <w:rPr>
          <w:rFonts w:hint="eastAsia" w:asciiTheme="minorEastAsia" w:hAnsiTheme="minorEastAsia" w:eastAsiaTheme="minorEastAsia" w:cstheme="minorEastAsia"/>
          <w:color w:val="auto"/>
          <w:sz w:val="28"/>
          <w:szCs w:val="28"/>
          <w:highlight w:val="none"/>
          <w:lang w:val="en-US" w:eastAsia="zh-CN"/>
        </w:rPr>
        <w:t>....................19</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九、国有资本经营预算支出决算情况说明</w:t>
      </w:r>
      <w:r>
        <w:rPr>
          <w:rFonts w:hint="eastAsia" w:asciiTheme="minorEastAsia" w:hAnsiTheme="minorEastAsia" w:eastAsiaTheme="minorEastAsia" w:cstheme="minorEastAsia"/>
          <w:color w:val="auto"/>
          <w:sz w:val="28"/>
          <w:szCs w:val="28"/>
          <w:highlight w:val="none"/>
          <w:lang w:val="en-US" w:eastAsia="zh-CN"/>
        </w:rPr>
        <w:t>..................19</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预算绩效管理情况..................................19</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lang w:val="en-US" w:eastAsia="zh-CN"/>
        </w:rPr>
        <w:t>十一、</w:t>
      </w:r>
      <w:r>
        <w:rPr>
          <w:rFonts w:hint="eastAsia" w:asciiTheme="minorEastAsia" w:hAnsiTheme="minorEastAsia" w:eastAsiaTheme="minorEastAsia" w:cstheme="minorEastAsia"/>
          <w:color w:val="auto"/>
          <w:sz w:val="28"/>
          <w:szCs w:val="28"/>
          <w:highlight w:val="none"/>
        </w:rPr>
        <w:t>其他重要事项的情况说明</w:t>
      </w:r>
      <w:r>
        <w:rPr>
          <w:rFonts w:hint="eastAsia" w:asciiTheme="minorEastAsia" w:hAnsiTheme="minorEastAsia" w:eastAsiaTheme="minorEastAsia" w:cstheme="minorEastAsia"/>
          <w:color w:val="auto"/>
          <w:sz w:val="28"/>
          <w:szCs w:val="28"/>
          <w:highlight w:val="none"/>
          <w:lang w:val="en-US" w:eastAsia="zh-CN"/>
        </w:rPr>
        <w:t>..........................19</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default" w:ascii="楷体_GB2312" w:hAnsi="楷体_GB2312" w:eastAsia="楷体_GB2312" w:cs="楷体_GB2312"/>
          <w:color w:val="auto"/>
          <w:sz w:val="28"/>
          <w:szCs w:val="28"/>
          <w:highlight w:val="none"/>
          <w:lang w:val="en-US"/>
        </w:rPr>
      </w:pPr>
      <w:r>
        <w:rPr>
          <w:rFonts w:hint="eastAsia" w:ascii="楷体_GB2312" w:hAnsi="楷体_GB2312" w:eastAsia="楷体_GB2312" w:cs="楷体_GB2312"/>
          <w:color w:val="auto"/>
          <w:sz w:val="28"/>
          <w:szCs w:val="28"/>
          <w:highlight w:val="none"/>
        </w:rPr>
        <w:t>第三部分 名词解释</w:t>
      </w:r>
      <w:r>
        <w:rPr>
          <w:rFonts w:hint="eastAsia" w:asciiTheme="minorEastAsia" w:hAnsiTheme="minorEastAsia" w:eastAsiaTheme="minorEastAsia" w:cstheme="minorEastAsia"/>
          <w:color w:val="auto"/>
          <w:sz w:val="28"/>
          <w:szCs w:val="28"/>
          <w:highlight w:val="none"/>
          <w:lang w:val="en-US" w:eastAsia="zh-CN"/>
        </w:rPr>
        <w:t>....................................21</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default" w:ascii="楷体_GB2312" w:hAnsi="楷体_GB2312" w:eastAsia="楷体_GB2312" w:cs="楷体_GB2312"/>
          <w:color w:val="auto"/>
          <w:sz w:val="28"/>
          <w:szCs w:val="28"/>
          <w:highlight w:val="none"/>
          <w:lang w:val="en-US"/>
        </w:rPr>
      </w:pPr>
      <w:r>
        <w:rPr>
          <w:rFonts w:hint="eastAsia" w:ascii="楷体_GB2312" w:hAnsi="楷体_GB2312" w:eastAsia="楷体_GB2312" w:cs="楷体_GB2312"/>
          <w:color w:val="auto"/>
          <w:sz w:val="28"/>
          <w:szCs w:val="28"/>
          <w:highlight w:val="none"/>
        </w:rPr>
        <w:t>第四部分 附件</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default" w:ascii="楷体_GB2312" w:hAnsi="楷体_GB2312" w:eastAsia="楷体_GB2312" w:cs="楷体_GB2312"/>
          <w:color w:val="auto"/>
          <w:sz w:val="28"/>
          <w:szCs w:val="28"/>
          <w:highlight w:val="none"/>
          <w:lang w:val="en-US"/>
        </w:rPr>
      </w:pPr>
      <w:r>
        <w:rPr>
          <w:rFonts w:hint="eastAsia" w:ascii="楷体_GB2312" w:hAnsi="楷体_GB2312" w:eastAsia="楷体_GB2312" w:cs="楷体_GB2312"/>
          <w:color w:val="auto"/>
          <w:sz w:val="28"/>
          <w:szCs w:val="28"/>
          <w:highlight w:val="none"/>
        </w:rPr>
        <w:t>第五部分 附表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一、收入支出决算总表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left="559" w:leftChars="266" w:firstLine="0" w:firstLineChars="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二、收入决算表</w:t>
      </w:r>
      <w:r>
        <w:rPr>
          <w:rFonts w:hint="eastAsia" w:asciiTheme="minorEastAsia" w:hAnsiTheme="minorEastAsia" w:eastAsiaTheme="minorEastAsia" w:cstheme="minorEastAsia"/>
          <w:color w:val="auto"/>
          <w:sz w:val="28"/>
          <w:szCs w:val="28"/>
          <w:highlight w:val="none"/>
          <w:lang w:val="en-US" w:eastAsia="zh-CN"/>
        </w:rPr>
        <w:t>........................................24</w:t>
      </w:r>
      <w:r>
        <w:rPr>
          <w:rFonts w:hint="eastAsia" w:asciiTheme="minorEastAsia" w:hAnsiTheme="minorEastAsia" w:eastAsiaTheme="minorEastAsia" w:cstheme="minorEastAsia"/>
          <w:color w:val="auto"/>
          <w:sz w:val="28"/>
          <w:szCs w:val="28"/>
          <w:highlight w:val="none"/>
        </w:rPr>
        <w:t>三、支出决算表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default" w:ascii="楷体_GB2312" w:hAnsi="楷体_GB2312" w:eastAsia="楷体_GB2312" w:cs="楷体_GB2312"/>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四、财政拨款收入支出决算总表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五、财政拨款支出决算明细表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六、一般公共预算财政拨款支出决算表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七、一般公共预算财政拨款支出决算明细表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八、一般公共预算财政拨款基本支出决算表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九、一般公共预算财政拨款项目支出决算表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十、一般公共预算财政拨款“三公”经费支出决算表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十一、政府性基金预算财政拨款收入支出决算表</w:t>
      </w:r>
      <w:r>
        <w:rPr>
          <w:rFonts w:hint="eastAsia" w:asciiTheme="minorEastAsia" w:hAnsiTheme="minorEastAsia" w:eastAsiaTheme="minorEastAsia" w:cstheme="minorEastAsia"/>
          <w:color w:val="auto"/>
          <w:sz w:val="28"/>
          <w:szCs w:val="28"/>
          <w:highlight w:val="none"/>
          <w:lang w:val="en-US" w:eastAsia="zh-CN"/>
        </w:rPr>
        <w:t>...........24</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十二、政府性基金预算财政拨款“三公”经费支出决算表</w:t>
      </w:r>
      <w:r>
        <w:rPr>
          <w:rFonts w:hint="eastAsia" w:asciiTheme="minorEastAsia" w:hAnsiTheme="minorEastAsia" w:eastAsiaTheme="minorEastAsia" w:cstheme="minorEastAsia"/>
          <w:color w:val="auto"/>
          <w:sz w:val="28"/>
          <w:szCs w:val="28"/>
          <w:highlight w:val="none"/>
          <w:lang w:val="en-US" w:eastAsia="zh-CN"/>
        </w:rPr>
        <w:t>...24</w:t>
      </w:r>
    </w:p>
    <w:p>
      <w:pPr>
        <w:pStyle w:val="12"/>
        <w:keepNext w:val="0"/>
        <w:keepLines w:val="0"/>
        <w:pageBreakBefore w:val="0"/>
        <w:kinsoku/>
        <w:wordWrap/>
        <w:overflowPunct/>
        <w:topLinePunct w:val="0"/>
        <w:autoSpaceDE/>
        <w:autoSpaceDN/>
        <w:bidi w:val="0"/>
        <w:adjustRightInd w:val="0"/>
        <w:snapToGrid w:val="0"/>
        <w:spacing w:before="0" w:line="576"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十三、国有资本经营预算</w:t>
      </w:r>
      <w:r>
        <w:rPr>
          <w:rFonts w:hint="eastAsia" w:asciiTheme="minorEastAsia" w:hAnsiTheme="minorEastAsia" w:eastAsiaTheme="minorEastAsia" w:cstheme="minorEastAsia"/>
          <w:color w:val="auto"/>
          <w:sz w:val="28"/>
          <w:szCs w:val="28"/>
          <w:highlight w:val="none"/>
          <w:lang w:eastAsia="zh-CN"/>
        </w:rPr>
        <w:t>财政拨款收入</w:t>
      </w:r>
      <w:r>
        <w:rPr>
          <w:rFonts w:hint="eastAsia" w:asciiTheme="minorEastAsia" w:hAnsiTheme="minorEastAsia" w:eastAsiaTheme="minorEastAsia" w:cstheme="minorEastAsia"/>
          <w:color w:val="auto"/>
          <w:sz w:val="28"/>
          <w:szCs w:val="28"/>
          <w:highlight w:val="none"/>
        </w:rPr>
        <w:t>支出决算表</w:t>
      </w:r>
      <w:r>
        <w:rPr>
          <w:rFonts w:hint="eastAsia" w:asciiTheme="minorEastAsia" w:hAnsiTheme="minorEastAsia" w:eastAsiaTheme="minorEastAsia" w:cstheme="minorEastAsia"/>
          <w:color w:val="auto"/>
          <w:sz w:val="28"/>
          <w:szCs w:val="28"/>
          <w:highlight w:val="none"/>
          <w:lang w:val="en-US" w:eastAsia="zh-CN"/>
        </w:rPr>
        <w:t>.........24</w:t>
      </w:r>
    </w:p>
    <w:p>
      <w:pPr>
        <w:pStyle w:val="14"/>
        <w:keepNext w:val="0"/>
        <w:keepLines w:val="0"/>
        <w:pageBreakBefore w:val="0"/>
        <w:kinsoku/>
        <w:wordWrap/>
        <w:overflowPunct/>
        <w:topLinePunct w:val="0"/>
        <w:autoSpaceDE/>
        <w:autoSpaceDN/>
        <w:bidi w:val="0"/>
        <w:adjustRightInd w:val="0"/>
        <w:snapToGrid w:val="0"/>
        <w:spacing w:line="576" w:lineRule="exact"/>
        <w:ind w:left="0" w:leftChars="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十四、国有资本经营预算财政拨款支出决算表</w:t>
      </w:r>
      <w:bookmarkStart w:id="12" w:name="_Toc15396599"/>
      <w:bookmarkStart w:id="13" w:name="_Toc15377196"/>
      <w:r>
        <w:rPr>
          <w:rFonts w:hint="eastAsia" w:asciiTheme="minorEastAsia" w:hAnsiTheme="minorEastAsia" w:eastAsiaTheme="minorEastAsia" w:cstheme="minorEastAsia"/>
          <w:color w:val="auto"/>
          <w:sz w:val="28"/>
          <w:szCs w:val="28"/>
          <w:highlight w:val="none"/>
          <w:lang w:val="en-US" w:eastAsia="zh-CN"/>
        </w:rPr>
        <w:t>.............24</w:t>
      </w:r>
    </w:p>
    <w:p>
      <w:pPr>
        <w:pStyle w:val="3"/>
        <w:pageBreakBefore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color w:val="auto"/>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p>
    <w:p>
      <w:pPr>
        <w:pStyle w:val="3"/>
        <w:pageBreakBefore w:val="0"/>
        <w:kinsoku/>
        <w:wordWrap/>
        <w:overflowPunct/>
        <w:topLinePunct w:val="0"/>
        <w:autoSpaceDE/>
        <w:autoSpaceDN/>
        <w:bidi w:val="0"/>
        <w:adjustRightInd/>
        <w:snapToGrid/>
        <w:spacing w:before="0" w:after="0" w:line="576" w:lineRule="exact"/>
        <w:jc w:val="center"/>
        <w:textAlignment w:val="auto"/>
        <w:rPr>
          <w:rStyle w:val="27"/>
          <w:rFonts w:hint="eastAsia" w:ascii="方正小标宋简体" w:hAnsi="方正小标宋简体" w:eastAsia="方正小标宋简体" w:cs="方正小标宋简体"/>
          <w:b w:val="0"/>
          <w:bCs w:val="0"/>
          <w:color w:val="auto"/>
          <w:highlight w:val="none"/>
        </w:rPr>
      </w:pPr>
      <w:r>
        <w:rPr>
          <w:rFonts w:hint="eastAsia" w:ascii="方正小标宋简体" w:hAnsi="方正小标宋简体" w:eastAsia="方正小标宋简体" w:cs="方正小标宋简体"/>
          <w:b w:val="0"/>
          <w:color w:val="auto"/>
          <w:highlight w:val="none"/>
        </w:rPr>
        <w:t xml:space="preserve">第一部分 </w:t>
      </w:r>
      <w:r>
        <w:rPr>
          <w:rFonts w:hint="eastAsia" w:ascii="方正小标宋简体" w:hAnsi="方正小标宋简体" w:eastAsia="方正小标宋简体" w:cs="方正小标宋简体"/>
          <w:b w:val="0"/>
          <w:color w:val="auto"/>
          <w:highlight w:val="none"/>
          <w:lang w:eastAsia="zh-CN"/>
        </w:rPr>
        <w:t>单位</w:t>
      </w:r>
      <w:r>
        <w:rPr>
          <w:rStyle w:val="27"/>
          <w:rFonts w:hint="eastAsia" w:ascii="方正小标宋简体" w:hAnsi="方正小标宋简体" w:eastAsia="方正小标宋简体" w:cs="方正小标宋简体"/>
          <w:b w:val="0"/>
          <w:bCs w:val="0"/>
          <w:color w:val="auto"/>
          <w:highlight w:val="none"/>
        </w:rPr>
        <w:t>概况</w:t>
      </w:r>
      <w:bookmarkEnd w:id="12"/>
      <w:bookmarkEnd w:id="13"/>
    </w:p>
    <w:p/>
    <w:p>
      <w:pPr>
        <w:pStyle w:val="4"/>
        <w:pageBreakBefore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Theme="minorEastAsia" w:hAnsiTheme="minorEastAsia" w:eastAsiaTheme="minorEastAsia"/>
          <w:color w:val="000000"/>
          <w:sz w:val="32"/>
          <w:szCs w:val="32"/>
        </w:rPr>
      </w:pPr>
      <w:bookmarkStart w:id="14" w:name="_Toc15396600"/>
      <w:bookmarkStart w:id="15" w:name="_Toc15377197"/>
      <w:r>
        <w:rPr>
          <w:rStyle w:val="28"/>
          <w:rFonts w:hint="eastAsia" w:ascii="黑体" w:hAnsi="黑体" w:eastAsia="黑体"/>
          <w:b w:val="0"/>
          <w:bCs w:val="0"/>
          <w:color w:val="auto"/>
          <w:highlight w:val="none"/>
          <w:lang w:eastAsia="zh-CN"/>
        </w:rPr>
        <w:t>一、</w:t>
      </w:r>
      <w:r>
        <w:rPr>
          <w:rStyle w:val="28"/>
          <w:rFonts w:hint="eastAsia" w:ascii="黑体" w:hAnsi="黑体" w:eastAsia="黑体"/>
          <w:b w:val="0"/>
          <w:bCs w:val="0"/>
          <w:color w:val="auto"/>
          <w:highlight w:val="none"/>
        </w:rPr>
        <w:t>职能</w:t>
      </w:r>
      <w:r>
        <w:rPr>
          <w:rStyle w:val="28"/>
          <w:rFonts w:hint="eastAsia" w:ascii="黑体" w:hAnsi="黑体" w:eastAsia="黑体"/>
          <w:b w:val="0"/>
          <w:bCs w:val="0"/>
          <w:color w:val="auto"/>
          <w:highlight w:val="none"/>
          <w:lang w:eastAsia="zh-CN"/>
        </w:rPr>
        <w:t>简介</w:t>
      </w:r>
    </w:p>
    <w:p>
      <w:pPr>
        <w:pStyle w:val="4"/>
        <w:pageBreakBefore w:val="0"/>
        <w:numPr>
          <w:ilvl w:val="0"/>
          <w:numId w:val="0"/>
        </w:numPr>
        <w:kinsoku/>
        <w:wordWrap/>
        <w:overflowPunct/>
        <w:topLinePunct w:val="0"/>
        <w:autoSpaceDE/>
        <w:autoSpaceDN/>
        <w:bidi w:val="0"/>
        <w:adjustRightInd/>
        <w:snapToGrid/>
        <w:spacing w:before="0" w:after="0" w:line="576" w:lineRule="exact"/>
        <w:ind w:left="630" w:leftChars="0"/>
        <w:textAlignment w:val="auto"/>
        <w:rPr>
          <w:rFonts w:hint="eastAsia" w:ascii="楷体_GB2312" w:hAnsi="楷体_GB2312" w:eastAsia="楷体_GB2312" w:cs="楷体_GB2312"/>
          <w:b w:val="0"/>
          <w:bCs w:val="0"/>
          <w:color w:val="000000"/>
          <w:sz w:val="32"/>
          <w:szCs w:val="32"/>
        </w:rPr>
      </w:pPr>
      <w:r>
        <w:rPr>
          <w:rFonts w:hint="eastAsia" w:ascii="仿宋_GB2312" w:hAnsi="仿宋_GB2312" w:eastAsia="仿宋_GB2312" w:cs="仿宋_GB2312"/>
          <w:b w:val="0"/>
          <w:bCs w:val="0"/>
          <w:kern w:val="2"/>
          <w:sz w:val="32"/>
          <w:szCs w:val="32"/>
          <w:lang w:val="en-US" w:eastAsia="zh-CN"/>
        </w:rPr>
        <w:t>(一）</w:t>
      </w:r>
      <w:r>
        <w:rPr>
          <w:rFonts w:hint="eastAsia" w:ascii="楷体_GB2312" w:hAnsi="楷体_GB2312" w:eastAsia="楷体_GB2312" w:cs="楷体_GB2312"/>
          <w:b w:val="0"/>
          <w:bCs w:val="0"/>
          <w:color w:val="000000"/>
          <w:sz w:val="32"/>
          <w:szCs w:val="32"/>
        </w:rPr>
        <w:t>主要职能</w:t>
      </w:r>
    </w:p>
    <w:p>
      <w:pPr>
        <w:pStyle w:val="4"/>
        <w:pageBreakBefore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政协广元市昭化区委员会办公室是政协广元市昭化区委员会的工作机构，承担为区政协履行政治协商、民主监督、参政议政职能服务的各项工作。主要负责政协广元市昭化区委员会全体会议、常务委员会会议、主席会议和其他重要会议的会务工作；组织实施区委、区政府、区政协年度协商计划和政协广元市昭化区委员会全体会议、常务委员会会议、主席会议决议决定；负责委员视察、调研、座谈、研讨、反映社情民意等日常活动以及专门委员会履行职能的服务保障和具体组织工作；负责政协工作情况的对内对外宣传；收集反映各族各界的意见和建议；负责区政协委员提案办理的协调和服务工作；负责区政协开展活动的后勤保障工作、经费管理、基本建设等工作；负责权限范围内的人事任免和机构调整；负责区政协委员和政协干部培训工作；承担区委、区政府、区政协交办的其他事项。</w:t>
      </w:r>
    </w:p>
    <w:p>
      <w:pPr>
        <w:pageBreakBefore w:val="0"/>
        <w:kinsoku/>
        <w:wordWrap/>
        <w:overflowPunct/>
        <w:topLinePunct w:val="0"/>
        <w:autoSpaceDE/>
        <w:autoSpaceDN/>
        <w:bidi w:val="0"/>
        <w:adjustRightInd/>
        <w:snapToGrid/>
        <w:spacing w:line="576" w:lineRule="exact"/>
        <w:textAlignment w:val="auto"/>
        <w:rPr>
          <w:rFonts w:hint="eastAsia" w:asciiTheme="minorEastAsia" w:hAnsiTheme="minorEastAsia"/>
          <w:sz w:val="32"/>
          <w:szCs w:val="32"/>
        </w:rPr>
      </w:pPr>
      <w:r>
        <w:rPr>
          <w:rFonts w:hint="eastAsia" w:asciiTheme="minorEastAsia" w:hAnsiTheme="minorEastAsia"/>
          <w:sz w:val="32"/>
          <w:szCs w:val="32"/>
        </w:rPr>
        <w:t xml:space="preserve">  </w:t>
      </w:r>
      <w:r>
        <w:rPr>
          <w:rFonts w:hint="eastAsia" w:ascii="楷体_GB2312" w:hAnsi="楷体_GB2312" w:eastAsia="楷体_GB2312" w:cs="楷体_GB2312"/>
          <w:b w:val="0"/>
          <w:bCs w:val="0"/>
          <w:color w:val="00000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rPr>
        <w:t>(二）</w:t>
      </w:r>
      <w:r>
        <w:rPr>
          <w:rFonts w:hint="eastAsia" w:ascii="楷体_GB2312" w:hAnsi="楷体_GB2312" w:eastAsia="楷体_GB2312" w:cs="楷体_GB2312"/>
          <w:b w:val="0"/>
          <w:bCs w:val="0"/>
          <w:color w:val="000000"/>
          <w:kern w:val="2"/>
          <w:sz w:val="32"/>
          <w:szCs w:val="32"/>
          <w:lang w:val="en-US" w:eastAsia="zh-CN" w:bidi="ar-SA"/>
        </w:rPr>
        <w:t>机构情况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昭化区政协设有六委一室，</w:t>
      </w:r>
      <w:r>
        <w:rPr>
          <w:rFonts w:hint="eastAsia" w:ascii="仿宋_GB2312" w:hAnsi="仿宋_GB2312" w:eastAsia="仿宋_GB2312" w:cs="仿宋_GB2312"/>
          <w:color w:val="000000"/>
          <w:sz w:val="32"/>
          <w:szCs w:val="32"/>
        </w:rPr>
        <w:t>即办公室、农业</w:t>
      </w:r>
      <w:r>
        <w:rPr>
          <w:rFonts w:hint="eastAsia" w:ascii="仿宋_GB2312" w:hAnsi="仿宋_GB2312" w:eastAsia="仿宋_GB2312" w:cs="仿宋_GB2312"/>
          <w:color w:val="000000"/>
          <w:sz w:val="32"/>
          <w:szCs w:val="32"/>
          <w:lang w:eastAsia="zh-CN"/>
        </w:rPr>
        <w:t>农村</w:t>
      </w:r>
      <w:r>
        <w:rPr>
          <w:rFonts w:hint="eastAsia" w:ascii="仿宋_GB2312" w:hAnsi="仿宋_GB2312" w:eastAsia="仿宋_GB2312" w:cs="仿宋_GB2312"/>
          <w:color w:val="000000"/>
          <w:sz w:val="32"/>
          <w:szCs w:val="32"/>
        </w:rPr>
        <w:t>委、提案法制委、人口资源环境委、经济委、科教文卫体委、学习文史与社会联谊委。</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仿宋_GB2312" w:hAnsi="仿宋_GB2312" w:eastAsia="仿宋_GB2312" w:cs="仿宋_GB2312"/>
          <w:b w:val="0"/>
          <w:bCs w:val="0"/>
          <w:kern w:val="2"/>
          <w:sz w:val="32"/>
          <w:szCs w:val="32"/>
          <w:lang w:val="en-US" w:eastAsia="zh-CN"/>
        </w:rPr>
        <w:t>(三）</w:t>
      </w:r>
      <w:r>
        <w:rPr>
          <w:rFonts w:hint="eastAsia" w:ascii="楷体_GB2312" w:hAnsi="楷体_GB2312" w:eastAsia="楷体_GB2312" w:cs="楷体_GB2312"/>
          <w:b w:val="0"/>
          <w:bCs w:val="0"/>
          <w:color w:val="000000"/>
          <w:sz w:val="32"/>
          <w:szCs w:val="32"/>
        </w:rPr>
        <w:t>人员情况</w:t>
      </w:r>
    </w:p>
    <w:p>
      <w:pPr>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Theme="minorEastAsia" w:hAnsiTheme="minorEastAsia"/>
          <w:sz w:val="32"/>
          <w:szCs w:val="32"/>
        </w:rPr>
        <w:t xml:space="preserve"> </w:t>
      </w:r>
      <w:r>
        <w:rPr>
          <w:rFonts w:hint="eastAsia" w:ascii="仿宋_GB2312" w:hAnsi="仿宋_GB2312" w:eastAsia="仿宋_GB2312" w:cs="仿宋_GB2312"/>
          <w:sz w:val="32"/>
          <w:szCs w:val="32"/>
        </w:rPr>
        <w:t xml:space="preserve">   核定行政编制人数7人，单列管理的行政编制人数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人。2021年未在编在岗35人，实有人数48人（换届进入10人未办理工资人事关系），其中：行政编制人数45人，志</w:t>
      </w:r>
      <w:r>
        <w:rPr>
          <w:rFonts w:hint="eastAsia" w:ascii="仿宋_GB2312" w:hAnsi="仿宋_GB2312" w:eastAsia="仿宋_GB2312" w:cs="仿宋_GB2312"/>
          <w:sz w:val="32"/>
          <w:szCs w:val="32"/>
          <w:lang w:eastAsia="zh-CN"/>
        </w:rPr>
        <w:t>愿</w:t>
      </w:r>
      <w:bookmarkStart w:id="67" w:name="_GoBack"/>
      <w:bookmarkEnd w:id="67"/>
      <w:r>
        <w:rPr>
          <w:rFonts w:hint="eastAsia" w:ascii="仿宋_GB2312" w:hAnsi="仿宋_GB2312" w:eastAsia="仿宋_GB2312" w:cs="仿宋_GB2312"/>
          <w:sz w:val="32"/>
          <w:szCs w:val="32"/>
        </w:rPr>
        <w:t>者1人，劳务派遣2人。</w:t>
      </w:r>
    </w:p>
    <w:p>
      <w:pPr>
        <w:pStyle w:val="4"/>
        <w:pageBreakBefore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楷体_GB2312" w:hAnsi="楷体_GB2312" w:eastAsia="楷体_GB2312" w:cs="楷体_GB2312"/>
          <w:b w:val="0"/>
          <w:bCs w:val="0"/>
          <w:kern w:val="10"/>
          <w:sz w:val="32"/>
          <w:szCs w:val="32"/>
          <w:lang w:val="en-US" w:eastAsia="zh-CN"/>
        </w:rPr>
      </w:pPr>
      <w:r>
        <w:rPr>
          <w:rFonts w:hint="eastAsia" w:ascii="仿宋_GB2312" w:hAnsi="仿宋_GB2312" w:eastAsia="仿宋_GB2312" w:cs="仿宋_GB2312"/>
          <w:b w:val="0"/>
          <w:bCs w:val="0"/>
          <w:kern w:val="2"/>
          <w:sz w:val="32"/>
          <w:szCs w:val="32"/>
          <w:lang w:val="en-US" w:eastAsia="zh-CN"/>
        </w:rPr>
        <w:t>(一）</w:t>
      </w:r>
      <w:r>
        <w:rPr>
          <w:rFonts w:hint="eastAsia" w:ascii="楷体_GB2312" w:hAnsi="楷体_GB2312" w:eastAsia="楷体_GB2312" w:cs="楷体_GB2312"/>
          <w:b w:val="0"/>
          <w:bCs w:val="0"/>
          <w:kern w:val="10"/>
          <w:sz w:val="32"/>
          <w:szCs w:val="32"/>
          <w:lang w:val="en-US" w:eastAsia="zh-CN"/>
        </w:rPr>
        <w:t>强化理论武装，凝心铸魂，团结奋斗的思想政治基础进一步夯实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区政协及其常委会牢牢把握思想政治引领、广泛凝聚共识这一中心环节，持续强化党的创新理论武装，团结引导广大委员和各族各界人士筑牢坚决拥护“两个确立”、做到“两个维护”的思想政治根基。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坚决扛牢政治责任。</w:t>
      </w:r>
      <w:r>
        <w:rPr>
          <w:rFonts w:hint="default" w:ascii="Times New Roman" w:hAnsi="Times New Roman" w:eastAsia="仿宋_GB2312" w:cs="Times New Roman"/>
          <w:b w:val="0"/>
          <w:bCs w:val="0"/>
          <w:sz w:val="32"/>
          <w:szCs w:val="32"/>
          <w:lang w:eastAsia="zh-CN"/>
        </w:rPr>
        <w:t>始终把坚持党的全面领导作为最高政治原则，旗帜鲜明讲政治，把学习宣传贯彻中共十九届六中全会精神和习近平总书记“七一”重要讲话精神作为重大政治任务，团结引导各党派团体、各族各界人士深刻认识“两个确立”的决定性意义，不断增强“四个意识”，坚定“四个自信”，做到“两个维护”，自觉在思想上、政治上、行动上同以习近平同志为核心的党中央保持高度一致。充分发挥政协党组把方向、管大局、保落实的核心领导作用，推动政协工作服务区委中心大局，认真学习中央、省、市、区委相关会议精神，把区委具体要求及时转化为政协履职成果，主动接受和争取区委对政协工作的领导，严格落实重大事项请示报告制度，全年共向区委报告重大活动、重要工作</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eastAsia="zh-CN"/>
        </w:rPr>
        <w:t>次，确保政协工作在区委的坚强领导下开创新局面。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扎实开展党史学习教育。</w:t>
      </w:r>
      <w:r>
        <w:rPr>
          <w:rFonts w:hint="default" w:ascii="Times New Roman" w:hAnsi="Times New Roman" w:eastAsia="仿宋_GB2312" w:cs="Times New Roman"/>
          <w:b w:val="0"/>
          <w:bCs w:val="0"/>
          <w:sz w:val="32"/>
          <w:szCs w:val="32"/>
          <w:lang w:val="en-US" w:eastAsia="zh-CN"/>
        </w:rPr>
        <w:t>围绕党的百年光辉历程这条主线，开展读书学史、致敬先烈、宣讲体验系列活动，主席会成员发挥头雁效应，开展中心组学习6次，撰写发言材料心得体会21篇，各专委会组织界别委员开展“学党史·筑同心”主题读书活动120余人次，把党史学习覆盖到全体政协委员和民主党派。班子成员主动深入联系镇和机关支部开展党史学习教育宣讲活动，赴太公红军山、张明秀事迹陈列馆等红色教育基地学习先烈精神，继承光荣革命传统。举办政协机关庆祝中国共产党成立100周年党史知识竞赛和歌咏比赛活动。为老干部宣讲区第八次党代会精神，组织老干部开展“弘扬伟大长征精神，不忘初心永远跟党走”学习考察。把党史学习与“为民办实事”有机结合，班子成员为民办实事12件，政协委员办实事好事207件次。</w:t>
      </w:r>
      <w:r>
        <w:rPr>
          <w:rFonts w:hint="default" w:ascii="Times New Roman" w:hAnsi="Times New Roman" w:eastAsia="仿宋_GB2312" w:cs="Times New Roman"/>
          <w:b w:val="0"/>
          <w:bCs w:val="0"/>
          <w:sz w:val="32"/>
          <w:szCs w:val="32"/>
        </w:rPr>
        <w:t>广大委员为能亲历中国共产党百年华诞重大历史时刻而倍感光荣，为党领导人民取得的伟大成就而无比自豪，为中华民族伟大复兴光明前景而深受鼓舞，精神更加振奋，履职更加有效，交出了更多优秀的“委员作业”和“政协答卷”，更加坚定了维护核心、永跟党走的信仰信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深入学习贯彻习近平总书记关于加强和改进人民政协工作的重要思想。</w:t>
      </w:r>
      <w:r>
        <w:rPr>
          <w:rFonts w:hint="default" w:ascii="Times New Roman" w:hAnsi="Times New Roman" w:eastAsia="仿宋_GB2312" w:cs="Times New Roman"/>
          <w:b w:val="0"/>
          <w:bCs w:val="0"/>
          <w:sz w:val="32"/>
          <w:szCs w:val="32"/>
          <w:lang w:val="en-US" w:eastAsia="zh-CN"/>
        </w:rPr>
        <w:t>认真学习贯彻习近平总书记对人民政协工作的新论述新思想，</w:t>
      </w:r>
      <w:r>
        <w:rPr>
          <w:rFonts w:hint="default" w:ascii="Times New Roman" w:hAnsi="Times New Roman" w:eastAsia="仿宋_GB2312" w:cs="Times New Roman"/>
          <w:b w:val="0"/>
          <w:bCs w:val="0"/>
          <w:color w:val="auto"/>
          <w:kern w:val="2"/>
          <w:sz w:val="32"/>
          <w:szCs w:val="32"/>
          <w:lang w:val="en-US" w:eastAsia="zh-CN" w:bidi="ar-SA"/>
        </w:rPr>
        <w:t>深</w:t>
      </w:r>
      <w:r>
        <w:rPr>
          <w:rFonts w:hint="default" w:ascii="Times New Roman" w:hAnsi="Times New Roman" w:eastAsia="仿宋_GB2312" w:cs="Times New Roman"/>
          <w:b w:val="0"/>
          <w:bCs w:val="0"/>
          <w:kern w:val="2"/>
          <w:sz w:val="32"/>
          <w:szCs w:val="32"/>
          <w:lang w:val="en-US" w:eastAsia="zh-CN" w:bidi="ar-SA"/>
        </w:rPr>
        <w:t>入贯彻落实中央、省委、市委和区委政协工作会议精神。</w:t>
      </w:r>
      <w:r>
        <w:rPr>
          <w:rFonts w:hint="default" w:ascii="Times New Roman" w:hAnsi="Times New Roman" w:eastAsia="仿宋_GB2312" w:cs="Times New Roman"/>
          <w:b w:val="0"/>
          <w:bCs w:val="0"/>
          <w:sz w:val="32"/>
          <w:szCs w:val="32"/>
          <w:lang w:val="en-US" w:eastAsia="zh-CN"/>
        </w:rPr>
        <w:t>着力完善协商的制度机制，改进协商的方式方法，丰富协商的内容载体，提升协商的质量水平，不断推进政协协商向制度化程序化规范化发展，形成了合法依章、理性有度、生动活泼的工作格局。全年开展全体会议协商2次，专题协商5次，视察监督6次，重点提案办理协商10次，提交协商成果5篇，其中3篇协商报告得到区委刘自强书记肯定性签批。主席会议成员深入部门、镇、社区开展调研视察、小微协商，近600余人次参与协商议政活动，全区政协工作的整体效能显著提升。</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楷体_GB2312" w:hAnsi="楷体_GB2312" w:eastAsia="楷体_GB2312" w:cs="楷体_GB2312"/>
          <w:b w:val="0"/>
          <w:bCs w:val="0"/>
          <w:kern w:val="10"/>
          <w:sz w:val="32"/>
          <w:szCs w:val="32"/>
          <w:lang w:val="en-US" w:eastAsia="zh-CN"/>
        </w:rPr>
      </w:pPr>
      <w:r>
        <w:rPr>
          <w:rFonts w:hint="eastAsia" w:ascii="仿宋_GB2312" w:hAnsi="仿宋_GB2312" w:eastAsia="仿宋_GB2312" w:cs="仿宋_GB2312"/>
          <w:b w:val="0"/>
          <w:bCs w:val="0"/>
          <w:kern w:val="2"/>
          <w:sz w:val="32"/>
          <w:szCs w:val="32"/>
          <w:lang w:val="en-US" w:eastAsia="zh-CN"/>
        </w:rPr>
        <w:t>(二）</w:t>
      </w:r>
      <w:r>
        <w:rPr>
          <w:rFonts w:hint="default" w:ascii="楷体_GB2312" w:hAnsi="楷体_GB2312" w:eastAsia="楷体_GB2312" w:cs="楷体_GB2312"/>
          <w:b w:val="0"/>
          <w:bCs w:val="0"/>
          <w:kern w:val="10"/>
          <w:sz w:val="32"/>
          <w:szCs w:val="32"/>
          <w:lang w:val="en-US" w:eastAsia="zh-CN"/>
        </w:rPr>
        <w:t>服务中心大局，履职尽责，专门协商机构的价值作用进一步彰显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区政协及其常委会立足新发展阶段、贯彻新发展理念、融入新发展格局，积极开展前瞻研究、深度协商、有效监督，广集良策助力加快“四城新区”建设。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lang w:val="en-US" w:eastAsia="zh-CN"/>
        </w:rPr>
      </w:pPr>
      <w:r>
        <w:rPr>
          <w:rFonts w:hint="default" w:ascii="Times New Roman" w:hAnsi="Times New Roman" w:eastAsia="楷体_GB2312" w:cs="Times New Roman"/>
          <w:b w:val="0"/>
          <w:bCs w:val="0"/>
          <w:sz w:val="32"/>
          <w:szCs w:val="32"/>
          <w:lang w:val="en-US" w:eastAsia="zh-CN"/>
        </w:rPr>
        <w:t>建诤言，全体会议协商务实高效。</w:t>
      </w:r>
      <w:r>
        <w:rPr>
          <w:rFonts w:hint="default" w:ascii="Times New Roman" w:hAnsi="Times New Roman" w:eastAsia="仿宋_GB2312" w:cs="Times New Roman"/>
          <w:b w:val="0"/>
          <w:bCs w:val="0"/>
          <w:sz w:val="32"/>
          <w:szCs w:val="32"/>
          <w:lang w:val="en-US" w:eastAsia="zh-CN"/>
        </w:rPr>
        <w:t>精心筹备和召开区政协六届六次会议和七届一次会议，选举产生新一届政协委员会和政协领导班子，圆满完成换届任务。委员们牢记殷殷叮嘱，胸怀“国之大者”，聚焦市区第八次党代会精神，满怀激情热议“四城新区”美好蓝图，围绕“一府两院”工作报告和“十四五”规划纲要开展全体会议协商，踊跃建言献策，提出意见建议130条，全</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eastAsia="zh-CN"/>
        </w:rPr>
        <w:t>提交</w:t>
      </w:r>
      <w:r>
        <w:rPr>
          <w:rFonts w:hint="default" w:ascii="Times New Roman" w:hAnsi="Times New Roman" w:eastAsia="仿宋_GB2312" w:cs="Times New Roman"/>
          <w:b w:val="0"/>
          <w:bCs w:val="0"/>
          <w:sz w:val="32"/>
          <w:szCs w:val="32"/>
          <w:lang w:val="en-US" w:eastAsia="zh-CN"/>
        </w:rPr>
        <w:t>大会、联组会议发言材料24篇，累计讨论发言360人次，提出各项建议450余条，撰写</w:t>
      </w:r>
      <w:r>
        <w:rPr>
          <w:rFonts w:hint="default" w:ascii="Times New Roman" w:hAnsi="Times New Roman" w:eastAsia="仿宋_GB2312" w:cs="Times New Roman"/>
          <w:b w:val="0"/>
          <w:bCs w:val="0"/>
          <w:sz w:val="32"/>
          <w:szCs w:val="32"/>
        </w:rPr>
        <w:t>提案197件</w:t>
      </w:r>
      <w:r>
        <w:rPr>
          <w:rFonts w:hint="default" w:ascii="Times New Roman" w:hAnsi="Times New Roman" w:eastAsia="仿宋_GB2312" w:cs="Times New Roman"/>
          <w:b w:val="0"/>
          <w:bCs w:val="0"/>
          <w:sz w:val="32"/>
          <w:szCs w:val="32"/>
          <w:lang w:val="en-US" w:eastAsia="zh-CN"/>
        </w:rPr>
        <w:t>，推动建言资政与凝聚共识双向发力，从昭化精神中汲取自强奋进的力量，</w:t>
      </w:r>
      <w:r>
        <w:rPr>
          <w:rFonts w:hint="default" w:ascii="Times New Roman" w:hAnsi="Times New Roman" w:eastAsia="仿宋_GB2312" w:cs="Times New Roman"/>
          <w:b w:val="0"/>
          <w:bCs w:val="0"/>
          <w:i w:val="0"/>
          <w:iCs w:val="0"/>
          <w:caps w:val="0"/>
          <w:color w:val="000000"/>
          <w:spacing w:val="0"/>
          <w:sz w:val="32"/>
          <w:szCs w:val="32"/>
          <w:lang w:val="en-US" w:eastAsia="zh-CN"/>
        </w:rPr>
        <w:t>为党政科学决策、有效施政提供有价值的参考意见。</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仿宋_GB2312" w:cs="Times New Roman"/>
          <w:b w:val="0"/>
          <w:bCs w:val="0"/>
          <w:i w:val="0"/>
          <w:iCs w:val="0"/>
          <w:caps w:val="0"/>
          <w:color w:val="191919"/>
          <w:spacing w:val="0"/>
          <w:sz w:val="32"/>
          <w:szCs w:val="32"/>
        </w:rPr>
      </w:pPr>
      <w:r>
        <w:rPr>
          <w:rFonts w:hint="default" w:ascii="Times New Roman" w:hAnsi="Times New Roman" w:eastAsia="楷体_GB2312" w:cs="Times New Roman"/>
          <w:b w:val="0"/>
          <w:bCs w:val="0"/>
          <w:sz w:val="32"/>
          <w:szCs w:val="32"/>
          <w:lang w:val="en-US" w:eastAsia="zh-CN"/>
        </w:rPr>
        <w:t>谋良策，聚力昭化高质量发展。</w:t>
      </w:r>
      <w:r>
        <w:rPr>
          <w:rFonts w:hint="default" w:ascii="Times New Roman" w:hAnsi="Times New Roman" w:eastAsia="仿宋_GB2312" w:cs="Times New Roman"/>
          <w:b w:val="0"/>
          <w:bCs w:val="0"/>
          <w:sz w:val="32"/>
          <w:szCs w:val="32"/>
          <w:lang w:val="en-US" w:eastAsia="zh-CN"/>
        </w:rPr>
        <w:t>聚焦优化营商环境，通过深入调研，提出建立包容审慎监管机制，为市场主体纠错减负，报送《关于全面落实“首违不罚”优化营商环境的建议》，得到市委书记邹自景签批，全市出台“首违不罚”清单。围绕市场监督管理开展专项调研视察，形成《关于我区市场监管行政执法工作的调查和建议》，推荐23名委员担任营商环境观察员、政务公开义务监督员。以助推国有企业健康发展为切入点，到省内外6个市县和20家企业实地调研，召开专题协商会，为更好发挥政府主导作用、企业主体作用、强化金融服务功能等提出20多条意见建议，助力“绿色家居产业优城”建设步伐。</w:t>
      </w:r>
      <w:r>
        <w:rPr>
          <w:rFonts w:hint="default" w:ascii="Times New Roman" w:hAnsi="Times New Roman" w:eastAsia="仿宋_GB2312" w:cs="Times New Roman"/>
          <w:b w:val="0"/>
          <w:bCs w:val="0"/>
          <w:i w:val="0"/>
          <w:iCs w:val="0"/>
          <w:caps w:val="0"/>
          <w:color w:val="191919"/>
          <w:spacing w:val="0"/>
          <w:sz w:val="32"/>
          <w:szCs w:val="32"/>
          <w:shd w:val="clear" w:color="auto" w:fill="FFFFFF"/>
        </w:rPr>
        <w:t>围绕推动巩固脱贫攻坚成果同乡村振兴有序衔接，开展加强农旅融合助推乡村振兴专题协商，就</w:t>
      </w:r>
      <w:r>
        <w:rPr>
          <w:rFonts w:hint="default" w:ascii="Times New Roman" w:hAnsi="Times New Roman" w:eastAsia="仿宋_GB2312" w:cs="Times New Roman"/>
          <w:b w:val="0"/>
          <w:bCs w:val="0"/>
          <w:i w:val="0"/>
          <w:iCs w:val="0"/>
          <w:caps w:val="0"/>
          <w:color w:val="191919"/>
          <w:spacing w:val="0"/>
          <w:sz w:val="32"/>
          <w:szCs w:val="32"/>
          <w:shd w:val="clear" w:color="auto" w:fill="FFFFFF"/>
          <w:lang w:eastAsia="zh-CN"/>
        </w:rPr>
        <w:t>健全</w:t>
      </w:r>
      <w:r>
        <w:rPr>
          <w:rFonts w:hint="default" w:ascii="Times New Roman" w:hAnsi="Times New Roman" w:eastAsia="仿宋_GB2312" w:cs="Times New Roman"/>
          <w:b w:val="0"/>
          <w:bCs w:val="0"/>
          <w:i w:val="0"/>
          <w:iCs w:val="0"/>
          <w:caps w:val="0"/>
          <w:color w:val="191919"/>
          <w:spacing w:val="0"/>
          <w:sz w:val="32"/>
          <w:szCs w:val="32"/>
          <w:shd w:val="clear" w:color="auto" w:fill="FFFFFF"/>
        </w:rPr>
        <w:t>联动发展机制、推进制度规则对接、基础设施联通、产业链融合发展等方面提出</w:t>
      </w:r>
      <w:r>
        <w:rPr>
          <w:rFonts w:hint="default" w:ascii="Times New Roman" w:hAnsi="Times New Roman" w:eastAsia="仿宋_GB2312" w:cs="Times New Roman"/>
          <w:b w:val="0"/>
          <w:bCs w:val="0"/>
          <w:i w:val="0"/>
          <w:iCs w:val="0"/>
          <w:caps w:val="0"/>
          <w:color w:val="191919"/>
          <w:spacing w:val="0"/>
          <w:sz w:val="32"/>
          <w:szCs w:val="32"/>
          <w:shd w:val="clear" w:color="auto" w:fill="FFFFFF"/>
          <w:lang w:val="en-US" w:eastAsia="zh-CN"/>
        </w:rPr>
        <w:t>9</w:t>
      </w:r>
      <w:r>
        <w:rPr>
          <w:rFonts w:hint="default" w:ascii="Times New Roman" w:hAnsi="Times New Roman" w:eastAsia="仿宋_GB2312" w:cs="Times New Roman"/>
          <w:b w:val="0"/>
          <w:bCs w:val="0"/>
          <w:i w:val="0"/>
          <w:iCs w:val="0"/>
          <w:caps w:val="0"/>
          <w:color w:val="191919"/>
          <w:spacing w:val="0"/>
          <w:sz w:val="32"/>
          <w:szCs w:val="32"/>
          <w:shd w:val="clear" w:color="auto" w:fill="FFFFFF"/>
        </w:rPr>
        <w:t>条意见建议，推动</w:t>
      </w:r>
      <w:r>
        <w:rPr>
          <w:rFonts w:hint="default" w:ascii="Times New Roman" w:hAnsi="Times New Roman" w:eastAsia="仿宋_GB2312" w:cs="Times New Roman"/>
          <w:b w:val="0"/>
          <w:bCs w:val="0"/>
          <w:sz w:val="32"/>
          <w:szCs w:val="32"/>
          <w:lang w:val="en-US" w:eastAsia="zh-CN"/>
        </w:rPr>
        <w:t>产业发展补短板，</w:t>
      </w:r>
      <w:r>
        <w:rPr>
          <w:rFonts w:hint="default" w:ascii="Times New Roman" w:hAnsi="Times New Roman" w:eastAsia="仿宋_GB2312" w:cs="Times New Roman"/>
          <w:b w:val="0"/>
          <w:bCs w:val="0"/>
          <w:i w:val="0"/>
          <w:iCs w:val="0"/>
          <w:caps w:val="0"/>
          <w:color w:val="191919"/>
          <w:spacing w:val="0"/>
          <w:sz w:val="32"/>
          <w:szCs w:val="32"/>
          <w:shd w:val="clear" w:color="auto" w:fill="FFFFFF"/>
        </w:rPr>
        <w:t>更好释放国家重大战略的叠加效应。</w:t>
      </w:r>
    </w:p>
    <w:p>
      <w:pPr>
        <w:pStyle w:val="13"/>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i w:val="0"/>
          <w:iCs w:val="0"/>
          <w:caps w:val="0"/>
          <w:color w:val="191919"/>
          <w:spacing w:val="0"/>
          <w:sz w:val="32"/>
          <w:szCs w:val="32"/>
        </w:rPr>
      </w:pPr>
      <w:r>
        <w:rPr>
          <w:rFonts w:hint="default" w:ascii="Times New Roman" w:hAnsi="Times New Roman" w:eastAsia="楷体_GB2312" w:cs="Times New Roman"/>
          <w:b w:val="0"/>
          <w:bCs w:val="0"/>
          <w:kern w:val="2"/>
          <w:sz w:val="32"/>
          <w:szCs w:val="32"/>
          <w:lang w:val="en-US" w:eastAsia="zh-CN" w:bidi="ar-SA"/>
        </w:rPr>
        <w:t>出实招，深入践行“两山”理论。</w:t>
      </w:r>
      <w:r>
        <w:rPr>
          <w:rFonts w:hint="default" w:ascii="Times New Roman" w:hAnsi="Times New Roman" w:eastAsia="仿宋_GB2312" w:cs="Times New Roman"/>
          <w:b w:val="0"/>
          <w:bCs w:val="0"/>
          <w:sz w:val="32"/>
          <w:szCs w:val="32"/>
          <w:lang w:val="en-US" w:eastAsia="zh-CN"/>
        </w:rPr>
        <w:t>围绕省委、市委、区委全会精神，深入践行“绿水青山就是金山银山”发展理念，开展嘉陵江生态环境保护与绿色发展专题协商，提交高质量协商报告，</w:t>
      </w:r>
      <w:r>
        <w:rPr>
          <w:rFonts w:hint="default" w:ascii="Times New Roman" w:hAnsi="Times New Roman" w:eastAsia="仿宋_GB2312" w:cs="Times New Roman"/>
          <w:b w:val="0"/>
          <w:bCs w:val="0"/>
          <w:i w:val="0"/>
          <w:iCs w:val="0"/>
          <w:caps w:val="0"/>
          <w:color w:val="191919"/>
          <w:spacing w:val="0"/>
          <w:sz w:val="32"/>
          <w:szCs w:val="32"/>
          <w:shd w:val="clear" w:color="auto" w:fill="FFFFFF"/>
        </w:rPr>
        <w:t>提出5个方面18条建议</w:t>
      </w:r>
      <w:r>
        <w:rPr>
          <w:rFonts w:hint="default" w:ascii="Times New Roman" w:hAnsi="Times New Roman" w:eastAsia="仿宋_GB2312" w:cs="Times New Roman"/>
          <w:b w:val="0"/>
          <w:bCs w:val="0"/>
          <w:i w:val="0"/>
          <w:iCs w:val="0"/>
          <w:caps w:val="0"/>
          <w:color w:val="191919"/>
          <w:spacing w:val="0"/>
          <w:sz w:val="32"/>
          <w:szCs w:val="32"/>
          <w:shd w:val="clear" w:color="auto" w:fill="FFFFFF"/>
          <w:lang w:eastAsia="zh-CN"/>
        </w:rPr>
        <w:t>，为建设具有昭化特色的“诗和远方”献计出力。</w:t>
      </w:r>
      <w:r>
        <w:rPr>
          <w:rFonts w:hint="default" w:ascii="Times New Roman" w:hAnsi="Times New Roman" w:eastAsia="仿宋_GB2312" w:cs="Times New Roman"/>
          <w:b w:val="0"/>
          <w:bCs w:val="0"/>
          <w:sz w:val="32"/>
          <w:szCs w:val="32"/>
          <w:lang w:val="en-US" w:eastAsia="zh-CN"/>
        </w:rPr>
        <w:t>组织委员赴嘉陵江沿线开展深度调研，倡导在嘉陵江昭化沿线打造“一道三廊”，厚植“千里嘉陵首善港城”生态底色，调研成果在市政协常委会作交流发言。</w:t>
      </w:r>
      <w:r>
        <w:rPr>
          <w:rFonts w:hint="default" w:ascii="Times New Roman" w:hAnsi="Times New Roman" w:eastAsia="仿宋_GB2312" w:cs="Times New Roman"/>
          <w:b w:val="0"/>
          <w:bCs w:val="0"/>
          <w:i w:val="0"/>
          <w:iCs w:val="0"/>
          <w:caps w:val="0"/>
          <w:color w:val="191919"/>
          <w:spacing w:val="0"/>
          <w:sz w:val="32"/>
          <w:szCs w:val="32"/>
          <w:shd w:val="clear" w:color="auto" w:fill="FFFFFF"/>
          <w:lang w:eastAsia="zh-CN"/>
        </w:rPr>
        <w:t>围绕</w:t>
      </w:r>
      <w:r>
        <w:rPr>
          <w:rFonts w:hint="default" w:ascii="Times New Roman" w:hAnsi="Times New Roman" w:eastAsia="仿宋_GB2312" w:cs="Times New Roman"/>
          <w:b w:val="0"/>
          <w:bCs w:val="0"/>
          <w:i w:val="0"/>
          <w:iCs w:val="0"/>
          <w:caps w:val="0"/>
          <w:color w:val="191919"/>
          <w:spacing w:val="0"/>
          <w:sz w:val="32"/>
          <w:szCs w:val="32"/>
          <w:shd w:val="clear" w:color="auto" w:fill="FFFFFF"/>
        </w:rPr>
        <w:t>落实</w:t>
      </w:r>
      <w:r>
        <w:rPr>
          <w:rFonts w:hint="default" w:ascii="Times New Roman" w:hAnsi="Times New Roman" w:eastAsia="仿宋_GB2312" w:cs="Times New Roman"/>
          <w:b w:val="0"/>
          <w:bCs w:val="0"/>
          <w:i w:val="0"/>
          <w:iCs w:val="0"/>
          <w:caps w:val="0"/>
          <w:color w:val="191919"/>
          <w:spacing w:val="0"/>
          <w:sz w:val="32"/>
          <w:szCs w:val="32"/>
          <w:shd w:val="clear" w:color="auto" w:fill="FFFFFF"/>
          <w:lang w:eastAsia="zh-CN"/>
        </w:rPr>
        <w:t>省委、市委和区委加快推动绿色低碳产业高质量发展进行调研、组织座谈，</w:t>
      </w:r>
      <w:r>
        <w:rPr>
          <w:rFonts w:hint="default" w:ascii="Times New Roman" w:hAnsi="Times New Roman" w:eastAsia="仿宋_GB2312" w:cs="Times New Roman"/>
          <w:b w:val="0"/>
          <w:bCs w:val="0"/>
          <w:i w:val="0"/>
          <w:iCs w:val="0"/>
          <w:caps w:val="0"/>
          <w:color w:val="191919"/>
          <w:spacing w:val="0"/>
          <w:sz w:val="32"/>
          <w:szCs w:val="32"/>
          <w:shd w:val="clear" w:color="auto" w:fill="FFFFFF"/>
        </w:rPr>
        <w:t>提出</w:t>
      </w:r>
      <w:r>
        <w:rPr>
          <w:rFonts w:hint="default" w:ascii="Times New Roman" w:hAnsi="Times New Roman" w:eastAsia="仿宋_GB2312" w:cs="Times New Roman"/>
          <w:b w:val="0"/>
          <w:bCs w:val="0"/>
          <w:i w:val="0"/>
          <w:iCs w:val="0"/>
          <w:caps w:val="0"/>
          <w:color w:val="191919"/>
          <w:spacing w:val="0"/>
          <w:sz w:val="32"/>
          <w:szCs w:val="32"/>
          <w:shd w:val="clear" w:color="auto" w:fill="FFFFFF"/>
          <w:lang w:eastAsia="zh-CN"/>
        </w:rPr>
        <w:t>东部新城构建清洁、低碳、安全、高效产业体系的建议</w:t>
      </w:r>
      <w:r>
        <w:rPr>
          <w:rFonts w:hint="default" w:ascii="Times New Roman" w:hAnsi="Times New Roman" w:eastAsia="仿宋_GB2312" w:cs="Times New Roman"/>
          <w:b w:val="0"/>
          <w:bCs w:val="0"/>
          <w:i w:val="0"/>
          <w:iCs w:val="0"/>
          <w:caps w:val="0"/>
          <w:color w:val="191919"/>
          <w:spacing w:val="0"/>
          <w:sz w:val="32"/>
          <w:szCs w:val="32"/>
          <w:shd w:val="clear" w:color="auto" w:fill="FFFFFF"/>
        </w:rPr>
        <w:t>，为实现“双碳”目标提供参考。持续关注污染防治攻坚战，围绕农村生活污水治理、协同推进减污降碳</w:t>
      </w:r>
      <w:r>
        <w:rPr>
          <w:rFonts w:hint="default" w:ascii="Times New Roman" w:hAnsi="Times New Roman" w:eastAsia="仿宋_GB2312" w:cs="Times New Roman"/>
          <w:b w:val="0"/>
          <w:bCs w:val="0"/>
          <w:i w:val="0"/>
          <w:iCs w:val="0"/>
          <w:caps w:val="0"/>
          <w:color w:val="191919"/>
          <w:spacing w:val="0"/>
          <w:sz w:val="32"/>
          <w:szCs w:val="32"/>
          <w:shd w:val="clear" w:color="auto" w:fill="FFFFFF"/>
          <w:lang w:eastAsia="zh-CN"/>
        </w:rPr>
        <w:t>工作</w:t>
      </w:r>
      <w:r>
        <w:rPr>
          <w:rFonts w:hint="default" w:ascii="Times New Roman" w:hAnsi="Times New Roman" w:eastAsia="仿宋_GB2312" w:cs="Times New Roman"/>
          <w:b w:val="0"/>
          <w:bCs w:val="0"/>
          <w:i w:val="0"/>
          <w:iCs w:val="0"/>
          <w:caps w:val="0"/>
          <w:color w:val="191919"/>
          <w:spacing w:val="0"/>
          <w:sz w:val="32"/>
          <w:szCs w:val="32"/>
          <w:shd w:val="clear" w:color="auto" w:fill="FFFFFF"/>
        </w:rPr>
        <w:t>，深入企业、建设工地、河道治理现场开展监督视察，广泛听取</w:t>
      </w:r>
      <w:r>
        <w:rPr>
          <w:rFonts w:hint="default" w:ascii="Times New Roman" w:hAnsi="Times New Roman" w:eastAsia="仿宋_GB2312" w:cs="Times New Roman"/>
          <w:b w:val="0"/>
          <w:bCs w:val="0"/>
          <w:i w:val="0"/>
          <w:iCs w:val="0"/>
          <w:caps w:val="0"/>
          <w:color w:val="191919"/>
          <w:spacing w:val="0"/>
          <w:sz w:val="32"/>
          <w:szCs w:val="32"/>
          <w:shd w:val="clear" w:color="auto" w:fill="FFFFFF"/>
          <w:lang w:eastAsia="zh-CN"/>
        </w:rPr>
        <w:t>群众</w:t>
      </w:r>
      <w:r>
        <w:rPr>
          <w:rFonts w:hint="default" w:ascii="Times New Roman" w:hAnsi="Times New Roman" w:eastAsia="仿宋_GB2312" w:cs="Times New Roman"/>
          <w:b w:val="0"/>
          <w:bCs w:val="0"/>
          <w:i w:val="0"/>
          <w:iCs w:val="0"/>
          <w:caps w:val="0"/>
          <w:color w:val="191919"/>
          <w:spacing w:val="0"/>
          <w:sz w:val="32"/>
          <w:szCs w:val="32"/>
          <w:shd w:val="clear" w:color="auto" w:fill="FFFFFF"/>
        </w:rPr>
        <w:t>心声，回应关切解疑释惑，引导</w:t>
      </w:r>
      <w:r>
        <w:rPr>
          <w:rFonts w:hint="default" w:ascii="Times New Roman" w:hAnsi="Times New Roman" w:eastAsia="仿宋_GB2312" w:cs="Times New Roman"/>
          <w:b w:val="0"/>
          <w:bCs w:val="0"/>
          <w:i w:val="0"/>
          <w:iCs w:val="0"/>
          <w:caps w:val="0"/>
          <w:color w:val="191919"/>
          <w:spacing w:val="0"/>
          <w:sz w:val="32"/>
          <w:szCs w:val="32"/>
          <w:shd w:val="clear" w:color="auto" w:fill="FFFFFF"/>
          <w:lang w:eastAsia="zh-CN"/>
        </w:rPr>
        <w:t>广大群众增强</w:t>
      </w:r>
      <w:r>
        <w:rPr>
          <w:rFonts w:hint="default" w:ascii="Times New Roman" w:hAnsi="Times New Roman" w:eastAsia="仿宋_GB2312" w:cs="Times New Roman"/>
          <w:b w:val="0"/>
          <w:bCs w:val="0"/>
          <w:i w:val="0"/>
          <w:iCs w:val="0"/>
          <w:caps w:val="0"/>
          <w:color w:val="191919"/>
          <w:spacing w:val="0"/>
          <w:sz w:val="32"/>
          <w:szCs w:val="32"/>
          <w:shd w:val="clear" w:color="auto" w:fill="FFFFFF"/>
        </w:rPr>
        <w:t>建设美丽</w:t>
      </w:r>
      <w:r>
        <w:rPr>
          <w:rFonts w:hint="default" w:ascii="Times New Roman" w:hAnsi="Times New Roman" w:eastAsia="仿宋_GB2312" w:cs="Times New Roman"/>
          <w:b w:val="0"/>
          <w:bCs w:val="0"/>
          <w:i w:val="0"/>
          <w:iCs w:val="0"/>
          <w:caps w:val="0"/>
          <w:color w:val="191919"/>
          <w:spacing w:val="0"/>
          <w:sz w:val="32"/>
          <w:szCs w:val="32"/>
          <w:shd w:val="clear" w:color="auto" w:fill="FFFFFF"/>
          <w:lang w:eastAsia="zh-CN"/>
        </w:rPr>
        <w:t>昭化的自觉性，助力打造最干净城市</w:t>
      </w:r>
      <w:r>
        <w:rPr>
          <w:rFonts w:hint="default" w:ascii="Times New Roman" w:hAnsi="Times New Roman" w:eastAsia="仿宋_GB2312" w:cs="Times New Roman"/>
          <w:b w:val="0"/>
          <w:bCs w:val="0"/>
          <w:i w:val="0"/>
          <w:iCs w:val="0"/>
          <w:caps w:val="0"/>
          <w:color w:val="191919"/>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sz w:val="32"/>
          <w:szCs w:val="32"/>
          <w:lang w:val="en-US" w:eastAsia="zh-CN"/>
        </w:rPr>
        <w:t>守初心，持续助力增进民生福祉。</w:t>
      </w:r>
      <w:r>
        <w:rPr>
          <w:rFonts w:hint="default" w:ascii="Times New Roman" w:hAnsi="Times New Roman" w:eastAsia="仿宋_GB2312" w:cs="Times New Roman"/>
          <w:b w:val="0"/>
          <w:bCs w:val="0"/>
          <w:sz w:val="32"/>
          <w:szCs w:val="32"/>
          <w:lang w:val="en-US" w:eastAsia="zh-CN"/>
        </w:rPr>
        <w:t>持续关注疫情防控，围绕公共卫生应急体系建设进行专题协商，形成高质量协商报告，筑牢人民健康防护网。聚焦昭化公共文化发展进行专题协商，倡议大力发掘昭化丰富历史文化资源，共建“千年蜀道宜居名城”。</w:t>
      </w:r>
      <w:r>
        <w:rPr>
          <w:rFonts w:hint="default" w:ascii="Times New Roman" w:hAnsi="Times New Roman" w:eastAsia="仿宋_GB2312" w:cs="Times New Roman"/>
          <w:b w:val="0"/>
          <w:bCs w:val="0"/>
          <w:kern w:val="2"/>
          <w:sz w:val="32"/>
          <w:szCs w:val="32"/>
          <w:lang w:val="en-US" w:eastAsia="zh-CN" w:bidi="ar-SA"/>
        </w:rPr>
        <w:t>围绕推进加强青少年心理健康教育、推动康养产业发展、促进城乡义务教育优质资源均等化等议题，组织市、区政协委员开展专家协商，把专家人才带到群众身边，深受群众欢迎。</w:t>
      </w:r>
      <w:r>
        <w:rPr>
          <w:rFonts w:hint="default" w:ascii="Times New Roman" w:hAnsi="Times New Roman" w:eastAsia="仿宋_GB2312" w:cs="Times New Roman"/>
          <w:b w:val="0"/>
          <w:bCs w:val="0"/>
          <w:color w:val="000000"/>
          <w:sz w:val="32"/>
          <w:szCs w:val="32"/>
          <w:lang w:val="en-US" w:eastAsia="zh-CN"/>
        </w:rPr>
        <w:t>助力</w:t>
      </w:r>
      <w:r>
        <w:rPr>
          <w:rFonts w:hint="default" w:ascii="Times New Roman" w:hAnsi="Times New Roman" w:eastAsia="仿宋_GB2312" w:cs="Times New Roman"/>
          <w:b w:val="0"/>
          <w:bCs w:val="0"/>
          <w:color w:val="000000"/>
          <w:sz w:val="32"/>
          <w:szCs w:val="32"/>
          <w:lang w:eastAsia="zh-CN"/>
        </w:rPr>
        <w:t>平安中国示范县创建和依法治区工作</w:t>
      </w:r>
      <w:r>
        <w:rPr>
          <w:rFonts w:hint="default" w:ascii="Times New Roman" w:hAnsi="Times New Roman" w:eastAsia="仿宋_GB2312" w:cs="Times New Roman"/>
          <w:b w:val="0"/>
          <w:bCs w:val="0"/>
          <w:color w:val="000000"/>
          <w:sz w:val="32"/>
          <w:szCs w:val="32"/>
          <w:lang w:val="en-US" w:eastAsia="zh-CN"/>
        </w:rPr>
        <w:t>，开展深度调研，提出</w:t>
      </w:r>
      <w:r>
        <w:rPr>
          <w:rFonts w:hint="default" w:ascii="Times New Roman" w:hAnsi="Times New Roman" w:eastAsia="仿宋_GB2312" w:cs="Times New Roman"/>
          <w:b w:val="0"/>
          <w:bCs w:val="0"/>
          <w:color w:val="000000"/>
          <w:sz w:val="32"/>
          <w:szCs w:val="32"/>
          <w:lang w:eastAsia="zh-CN"/>
        </w:rPr>
        <w:t>《关于基层社会治理现代化创新的建议》，在市政协八届一次会议上进行大会发言，为巩固平安创建成果拓展思路。</w:t>
      </w:r>
      <w:r>
        <w:rPr>
          <w:rFonts w:hint="default" w:ascii="Times New Roman" w:hAnsi="Times New Roman" w:eastAsia="仿宋_GB2312" w:cs="Times New Roman"/>
          <w:b w:val="0"/>
          <w:bCs w:val="0"/>
          <w:color w:val="000000"/>
          <w:sz w:val="32"/>
          <w:szCs w:val="32"/>
          <w:lang w:val="en-US" w:eastAsia="zh-CN"/>
        </w:rPr>
        <w:t>组织政协委员参加区法院、区检察院、区公安分局政法队伍教育整顿征求意见座谈会，推进依法履职和司法公正</w:t>
      </w:r>
      <w:r>
        <w:rPr>
          <w:rFonts w:hint="default" w:ascii="Times New Roman" w:hAnsi="Times New Roman" w:eastAsia="仿宋_GB2312" w:cs="Times New Roman"/>
          <w:b w:val="0"/>
          <w:bCs w:val="0"/>
          <w:color w:val="000000"/>
          <w:sz w:val="32"/>
          <w:szCs w:val="32"/>
          <w:lang w:eastAsia="zh-CN"/>
        </w:rPr>
        <w:t>，群众幸福感、获得感、安全感不断增强</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楷体_GB2312" w:hAnsi="楷体_GB2312" w:eastAsia="楷体_GB2312" w:cs="楷体_GB2312"/>
          <w:b w:val="0"/>
          <w:bCs w:val="0"/>
          <w:kern w:val="10"/>
          <w:sz w:val="32"/>
          <w:szCs w:val="32"/>
          <w:lang w:val="en-US" w:eastAsia="zh-CN"/>
        </w:rPr>
      </w:pPr>
      <w:r>
        <w:rPr>
          <w:rFonts w:hint="eastAsia" w:ascii="仿宋_GB2312" w:hAnsi="仿宋_GB2312" w:eastAsia="仿宋_GB2312" w:cs="仿宋_GB2312"/>
          <w:b w:val="0"/>
          <w:bCs w:val="0"/>
          <w:kern w:val="2"/>
          <w:sz w:val="32"/>
          <w:szCs w:val="32"/>
          <w:lang w:val="en-US" w:eastAsia="zh-CN"/>
        </w:rPr>
        <w:t>(三）</w:t>
      </w:r>
      <w:r>
        <w:rPr>
          <w:rFonts w:hint="default" w:ascii="楷体_GB2312" w:hAnsi="楷体_GB2312" w:eastAsia="楷体_GB2312" w:cs="楷体_GB2312"/>
          <w:b w:val="0"/>
          <w:bCs w:val="0"/>
          <w:kern w:val="10"/>
          <w:sz w:val="32"/>
          <w:szCs w:val="32"/>
          <w:lang w:val="en-US" w:eastAsia="zh-CN"/>
        </w:rPr>
        <w:t>广泛凝聚共识，团结联谊，爱国统一战线的职能优势进一步发挥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区政协及其常委会牢牢把握政协在统战工作中的职责任务，坚持一致性和多样性相统一，切实肩负起大团结大联合的政治责任，为区委决策找到最大公约数、画出最大同心圆。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sz w:val="32"/>
          <w:szCs w:val="32"/>
          <w:lang w:val="en-US" w:eastAsia="zh-CN"/>
        </w:rPr>
        <w:t>强化引领、增进共识。</w:t>
      </w:r>
      <w:r>
        <w:rPr>
          <w:rFonts w:hint="default" w:ascii="Times New Roman" w:hAnsi="Times New Roman" w:eastAsia="仿宋_GB2312" w:cs="Times New Roman"/>
          <w:b w:val="0"/>
          <w:bCs w:val="0"/>
          <w:color w:val="000000"/>
          <w:sz w:val="32"/>
          <w:szCs w:val="32"/>
          <w:lang w:val="en-US" w:eastAsia="zh-CN"/>
        </w:rPr>
        <w:t>认真落实政协党组成员联系民主党派、主席会成员联系界别群众等制度，定期召开各民主党派、工商联、无党派人士座谈会，进一步畅通党派团体和无党派人士在政协的履职渠道，做到重要议题共同协商，重点调研共同开展，重大活动共同参与，健全沟通交流机制，不断深化党派团结合作。在学习培训、视察调研等活动中强化政治引领，启迪思想感悟，深刻认识中国共产党的百年奋斗史，包含着与各党派团体肝胆相照、荣辱与共的同心奋斗史，进一步激励各党派团体共享百年荣光，不断增进政治认同、思想认同、理论认同、情感认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sz w:val="32"/>
          <w:szCs w:val="32"/>
          <w:lang w:val="en-US" w:eastAsia="zh-CN"/>
        </w:rPr>
        <w:t>搭建平台、知情明政。</w:t>
      </w:r>
      <w:r>
        <w:rPr>
          <w:rFonts w:hint="default" w:ascii="Times New Roman" w:hAnsi="Times New Roman" w:eastAsia="仿宋_GB2312" w:cs="Times New Roman"/>
          <w:b w:val="0"/>
          <w:bCs w:val="0"/>
          <w:color w:val="000000"/>
          <w:sz w:val="32"/>
          <w:szCs w:val="32"/>
        </w:rPr>
        <w:t>组织委员及时学习中央、省委、市委和区委的重要文件，传达会议精神，适时举行座谈会，邀请区委区政府领导向委员通报经济社会发展、重大项目推进和民生工作落实情况，增进委员了解区情</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回应关切、沟通思想、凝聚共识</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i w:val="0"/>
          <w:iCs w:val="0"/>
          <w:caps w:val="0"/>
          <w:color w:val="000000"/>
          <w:spacing w:val="0"/>
          <w:sz w:val="32"/>
          <w:szCs w:val="32"/>
        </w:rPr>
        <w:t>汇聚</w:t>
      </w:r>
      <w:r>
        <w:rPr>
          <w:rFonts w:hint="default" w:ascii="Times New Roman" w:hAnsi="Times New Roman" w:eastAsia="仿宋_GB2312" w:cs="Times New Roman"/>
          <w:b w:val="0"/>
          <w:bCs w:val="0"/>
          <w:color w:val="000000"/>
          <w:sz w:val="32"/>
          <w:szCs w:val="32"/>
        </w:rPr>
        <w:t>力量</w:t>
      </w:r>
      <w:r>
        <w:rPr>
          <w:rFonts w:hint="default" w:ascii="Times New Roman" w:hAnsi="Times New Roman" w:eastAsia="仿宋_GB2312" w:cs="Times New Roman"/>
          <w:b w:val="0"/>
          <w:bCs w:val="0"/>
          <w:color w:val="000000"/>
          <w:sz w:val="32"/>
          <w:szCs w:val="32"/>
          <w:lang w:eastAsia="zh-CN"/>
        </w:rPr>
        <w:t>。充分发挥社情民意信息“直通车”功能，向市、区报送社情民意</w:t>
      </w:r>
      <w:r>
        <w:rPr>
          <w:rFonts w:hint="default" w:ascii="Times New Roman" w:hAnsi="Times New Roman" w:eastAsia="仿宋_GB2312" w:cs="Times New Roman"/>
          <w:b w:val="0"/>
          <w:bCs w:val="0"/>
          <w:color w:val="000000"/>
          <w:sz w:val="32"/>
          <w:szCs w:val="32"/>
          <w:lang w:val="en-US" w:eastAsia="zh-CN"/>
        </w:rPr>
        <w:t>40</w:t>
      </w:r>
      <w:r>
        <w:rPr>
          <w:rFonts w:hint="default" w:ascii="Times New Roman" w:hAnsi="Times New Roman" w:eastAsia="仿宋_GB2312" w:cs="Times New Roman"/>
          <w:b w:val="0"/>
          <w:bCs w:val="0"/>
          <w:color w:val="000000"/>
          <w:sz w:val="32"/>
          <w:szCs w:val="32"/>
          <w:lang w:eastAsia="zh-CN"/>
        </w:rPr>
        <w:t>余条，其中，《进一步完善电子公文交换系统功能设置的建议》《关于加强货运车辆超载管理的建议》等</w:t>
      </w:r>
      <w:r>
        <w:rPr>
          <w:rFonts w:hint="default" w:ascii="Times New Roman" w:hAnsi="Times New Roman" w:eastAsia="仿宋_GB2312" w:cs="Times New Roman"/>
          <w:b w:val="0"/>
          <w:bCs w:val="0"/>
          <w:color w:val="000000"/>
          <w:sz w:val="32"/>
          <w:szCs w:val="32"/>
          <w:lang w:val="en-US" w:eastAsia="zh-CN"/>
        </w:rPr>
        <w:t>5条</w:t>
      </w:r>
      <w:r>
        <w:rPr>
          <w:rFonts w:hint="default" w:ascii="Times New Roman" w:hAnsi="Times New Roman" w:eastAsia="仿宋_GB2312" w:cs="Times New Roman"/>
          <w:b w:val="0"/>
          <w:bCs w:val="0"/>
          <w:color w:val="000000"/>
          <w:sz w:val="32"/>
          <w:szCs w:val="32"/>
          <w:lang w:eastAsia="zh-CN"/>
        </w:rPr>
        <w:t>得到市委市政府、区委区政府领导签批。</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sz w:val="32"/>
          <w:szCs w:val="32"/>
          <w:lang w:val="en-US" w:eastAsia="zh-CN"/>
        </w:rPr>
        <w:t>发挥优势、团结联谊。</w:t>
      </w:r>
      <w:r>
        <w:rPr>
          <w:rFonts w:hint="default" w:ascii="Times New Roman" w:hAnsi="Times New Roman" w:eastAsia="仿宋_GB2312" w:cs="Times New Roman"/>
          <w:b w:val="0"/>
          <w:bCs w:val="0"/>
          <w:color w:val="000000"/>
          <w:sz w:val="32"/>
          <w:szCs w:val="32"/>
          <w:lang w:val="en-US" w:eastAsia="zh-CN"/>
        </w:rPr>
        <w:t>加强与上级政协的沟通联系，认真协助省、市政协到昭化调研，热情做好省内外政协到我区考察学习接洽工作。主动开展东西部协作、融入成渝双城经济圈等方面联谊活动，做大政协“朋友圈”，宣传昭化优势，推介昭化经验，展示昭化形象。重视文史资料存史资政作用，广泛收集整理昭化历史文化资料，涵盖脱贫攻坚典型事迹、返乡创业典型、抗击新冠肺炎疫情等“三亲”资料。</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楷体_GB2312" w:hAnsi="楷体_GB2312" w:eastAsia="楷体_GB2312" w:cs="楷体_GB2312"/>
          <w:b w:val="0"/>
          <w:bCs w:val="0"/>
          <w:kern w:val="10"/>
          <w:sz w:val="32"/>
          <w:szCs w:val="32"/>
          <w:lang w:val="en-US" w:eastAsia="zh-CN"/>
        </w:rPr>
      </w:pPr>
      <w:r>
        <w:rPr>
          <w:rFonts w:hint="eastAsia" w:ascii="仿宋_GB2312" w:hAnsi="仿宋_GB2312" w:eastAsia="仿宋_GB2312" w:cs="仿宋_GB2312"/>
          <w:b w:val="0"/>
          <w:bCs w:val="0"/>
          <w:kern w:val="2"/>
          <w:sz w:val="32"/>
          <w:szCs w:val="32"/>
          <w:lang w:val="en-US" w:eastAsia="zh-CN"/>
        </w:rPr>
        <w:t>(四）</w:t>
      </w:r>
      <w:r>
        <w:rPr>
          <w:rFonts w:hint="default" w:ascii="楷体_GB2312" w:hAnsi="楷体_GB2312" w:eastAsia="楷体_GB2312" w:cs="楷体_GB2312"/>
          <w:b w:val="0"/>
          <w:bCs w:val="0"/>
          <w:kern w:val="10"/>
          <w:sz w:val="32"/>
          <w:szCs w:val="32"/>
          <w:lang w:val="en-US" w:eastAsia="zh-CN"/>
        </w:rPr>
        <w:t>树牢宗旨意识，履职为民，“两项重点工作”广度深度进一步拓展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区政协及其常委会按照省、市政协统一部署，在区委的关心支持下，紧扣党政工作重点和民生改善难点，深入推进“有事来协商”和“三联三促”助力脱贫攻坚、助推乡村振兴专项活动。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lang w:val="en-US" w:eastAsia="zh-CN"/>
        </w:rPr>
        <w:t>积极推进“有事来协商”工作。</w:t>
      </w:r>
      <w:r>
        <w:rPr>
          <w:rFonts w:hint="default" w:ascii="Times New Roman" w:hAnsi="Times New Roman" w:eastAsia="仿宋_GB2312" w:cs="Times New Roman"/>
          <w:b w:val="0"/>
          <w:bCs w:val="0"/>
          <w:i w:val="0"/>
          <w:caps w:val="0"/>
          <w:color w:val="000000"/>
          <w:spacing w:val="0"/>
          <w:w w:val="100"/>
          <w:sz w:val="32"/>
          <w:szCs w:val="32"/>
          <w:lang w:eastAsia="zh-CN"/>
        </w:rPr>
        <w:t>通过</w:t>
      </w:r>
      <w:r>
        <w:rPr>
          <w:rFonts w:hint="default" w:ascii="Times New Roman" w:hAnsi="Times New Roman" w:eastAsia="仿宋_GB2312" w:cs="Times New Roman"/>
          <w:b w:val="0"/>
          <w:bCs w:val="0"/>
          <w:i w:val="0"/>
          <w:caps w:val="0"/>
          <w:color w:val="000000"/>
          <w:spacing w:val="0"/>
          <w:w w:val="100"/>
          <w:sz w:val="32"/>
          <w:szCs w:val="32"/>
          <w:lang w:val="en-US" w:eastAsia="zh-CN"/>
        </w:rPr>
        <w:t>全区上下联动</w:t>
      </w:r>
      <w:r>
        <w:rPr>
          <w:rFonts w:hint="default" w:ascii="Times New Roman" w:hAnsi="Times New Roman" w:eastAsia="仿宋_GB2312" w:cs="Times New Roman"/>
          <w:b w:val="0"/>
          <w:bCs w:val="0"/>
          <w:i w:val="0"/>
          <w:caps w:val="0"/>
          <w:color w:val="000000"/>
          <w:spacing w:val="0"/>
          <w:w w:val="100"/>
          <w:sz w:val="32"/>
          <w:szCs w:val="32"/>
          <w:lang w:eastAsia="zh-CN"/>
        </w:rPr>
        <w:t>，有效推动平台的建设和运行</w:t>
      </w:r>
      <w:r>
        <w:rPr>
          <w:rFonts w:hint="default" w:ascii="Times New Roman" w:hAnsi="Times New Roman" w:eastAsia="仿宋_GB2312" w:cs="Times New Roman"/>
          <w:b w:val="0"/>
          <w:bCs w:val="0"/>
          <w:i w:val="0"/>
          <w:caps w:val="0"/>
          <w:color w:val="000000"/>
          <w:spacing w:val="0"/>
          <w:w w:val="100"/>
          <w:sz w:val="32"/>
          <w:szCs w:val="32"/>
          <w:lang w:val="en-US" w:eastAsia="zh-CN"/>
        </w:rPr>
        <w:t>，促进协商成果转化，取得了明显实效。区委高度重视，把“有事来协商”工作写入第八次党代会报告，</w:t>
      </w:r>
      <w:r>
        <w:rPr>
          <w:rFonts w:hint="default" w:ascii="Times New Roman" w:hAnsi="Times New Roman" w:eastAsia="仿宋_GB2312" w:cs="Times New Roman"/>
          <w:b w:val="0"/>
          <w:bCs w:val="0"/>
          <w:i w:val="0"/>
          <w:caps w:val="0"/>
          <w:spacing w:val="0"/>
          <w:w w:val="100"/>
          <w:sz w:val="32"/>
          <w:szCs w:val="32"/>
        </w:rPr>
        <w:t>印发</w:t>
      </w:r>
      <w:r>
        <w:rPr>
          <w:rFonts w:hint="default" w:ascii="Times New Roman" w:hAnsi="Times New Roman" w:eastAsia="仿宋_GB2312" w:cs="Times New Roman"/>
          <w:b w:val="0"/>
          <w:bCs w:val="0"/>
          <w:i w:val="0"/>
          <w:caps w:val="0"/>
          <w:spacing w:val="0"/>
          <w:w w:val="100"/>
          <w:sz w:val="32"/>
          <w:szCs w:val="32"/>
          <w:lang w:eastAsia="zh-CN"/>
        </w:rPr>
        <w:t>工作</w:t>
      </w:r>
      <w:r>
        <w:rPr>
          <w:rFonts w:hint="default" w:ascii="Times New Roman" w:hAnsi="Times New Roman" w:eastAsia="仿宋_GB2312" w:cs="Times New Roman"/>
          <w:b w:val="0"/>
          <w:bCs w:val="0"/>
          <w:i w:val="0"/>
          <w:caps w:val="0"/>
          <w:spacing w:val="0"/>
          <w:w w:val="100"/>
          <w:sz w:val="32"/>
          <w:szCs w:val="32"/>
          <w:lang w:val="en-US" w:eastAsia="zh-CN"/>
        </w:rPr>
        <w:t>实施意见，</w:t>
      </w:r>
      <w:r>
        <w:rPr>
          <w:rFonts w:hint="default" w:ascii="Times New Roman" w:hAnsi="Times New Roman" w:eastAsia="仿宋_GB2312" w:cs="Times New Roman"/>
          <w:b w:val="0"/>
          <w:bCs w:val="0"/>
          <w:i w:val="0"/>
          <w:caps w:val="0"/>
          <w:spacing w:val="0"/>
          <w:w w:val="100"/>
          <w:sz w:val="32"/>
          <w:szCs w:val="32"/>
        </w:rPr>
        <w:t>区政府解决</w:t>
      </w:r>
      <w:r>
        <w:rPr>
          <w:rFonts w:hint="default" w:ascii="Times New Roman" w:hAnsi="Times New Roman" w:eastAsia="仿宋_GB2312" w:cs="Times New Roman"/>
          <w:b w:val="0"/>
          <w:bCs w:val="0"/>
          <w:i w:val="0"/>
          <w:caps w:val="0"/>
          <w:spacing w:val="0"/>
          <w:w w:val="100"/>
          <w:sz w:val="32"/>
          <w:szCs w:val="32"/>
          <w:lang w:val="en-US" w:eastAsia="zh-CN"/>
        </w:rPr>
        <w:t>专项</w:t>
      </w:r>
      <w:r>
        <w:rPr>
          <w:rFonts w:hint="default" w:ascii="Times New Roman" w:hAnsi="Times New Roman" w:eastAsia="仿宋_GB2312" w:cs="Times New Roman"/>
          <w:b w:val="0"/>
          <w:bCs w:val="0"/>
          <w:i w:val="0"/>
          <w:caps w:val="0"/>
          <w:spacing w:val="0"/>
          <w:w w:val="100"/>
          <w:sz w:val="32"/>
          <w:szCs w:val="32"/>
        </w:rPr>
        <w:t>工作经费</w:t>
      </w:r>
      <w:r>
        <w:rPr>
          <w:rFonts w:hint="default" w:ascii="Times New Roman" w:hAnsi="Times New Roman" w:eastAsia="仿宋_GB2312" w:cs="Times New Roman"/>
          <w:b w:val="0"/>
          <w:bCs w:val="0"/>
          <w:i w:val="0"/>
          <w:caps w:val="0"/>
          <w:spacing w:val="0"/>
          <w:w w:val="100"/>
          <w:sz w:val="32"/>
          <w:szCs w:val="32"/>
          <w:u w:val="none"/>
        </w:rPr>
        <w:t>34万元</w:t>
      </w:r>
      <w:r>
        <w:rPr>
          <w:rFonts w:hint="default" w:ascii="Times New Roman" w:hAnsi="Times New Roman" w:eastAsia="仿宋_GB2312" w:cs="Times New Roman"/>
          <w:b w:val="0"/>
          <w:bCs w:val="0"/>
          <w:i w:val="0"/>
          <w:caps w:val="0"/>
          <w:spacing w:val="0"/>
          <w:w w:val="100"/>
          <w:sz w:val="32"/>
          <w:szCs w:val="32"/>
          <w:lang w:eastAsia="zh-CN"/>
        </w:rPr>
        <w:t>，区政协成立</w:t>
      </w:r>
      <w:r>
        <w:rPr>
          <w:rFonts w:hint="default" w:ascii="Times New Roman" w:hAnsi="Times New Roman" w:eastAsia="仿宋_GB2312" w:cs="Times New Roman"/>
          <w:b w:val="0"/>
          <w:bCs w:val="0"/>
          <w:i w:val="0"/>
          <w:caps w:val="0"/>
          <w:spacing w:val="0"/>
          <w:w w:val="100"/>
          <w:sz w:val="32"/>
          <w:szCs w:val="32"/>
          <w:lang w:val="en-US" w:eastAsia="zh-CN"/>
        </w:rPr>
        <w:t>7个工作组加强业务指导，</w:t>
      </w:r>
      <w:r>
        <w:rPr>
          <w:rFonts w:hint="default" w:ascii="Times New Roman" w:hAnsi="Times New Roman" w:eastAsia="仿宋_GB2312" w:cs="Times New Roman"/>
          <w:b w:val="0"/>
          <w:bCs w:val="0"/>
          <w:i w:val="0"/>
          <w:caps w:val="0"/>
          <w:color w:val="000000"/>
          <w:spacing w:val="0"/>
          <w:w w:val="100"/>
          <w:sz w:val="32"/>
          <w:szCs w:val="32"/>
          <w:lang w:val="en-US" w:eastAsia="zh-CN"/>
        </w:rPr>
        <w:t>主席会成员主动靠前，带头到联系镇开展现场指导</w:t>
      </w:r>
      <w:r>
        <w:rPr>
          <w:rFonts w:hint="default" w:ascii="Times New Roman" w:hAnsi="Times New Roman" w:eastAsia="仿宋_GB2312" w:cs="Times New Roman"/>
          <w:b w:val="0"/>
          <w:bCs w:val="0"/>
          <w:i w:val="0"/>
          <w:caps w:val="0"/>
          <w:spacing w:val="0"/>
          <w:w w:val="100"/>
          <w:sz w:val="32"/>
          <w:szCs w:val="32"/>
          <w:lang w:val="en-US" w:eastAsia="zh-CN"/>
        </w:rPr>
        <w:t>，各镇党委、政府精心</w:t>
      </w:r>
      <w:r>
        <w:rPr>
          <w:rFonts w:hint="default" w:ascii="Times New Roman" w:hAnsi="Times New Roman" w:eastAsia="仿宋_GB2312" w:cs="Times New Roman"/>
          <w:b w:val="0"/>
          <w:bCs w:val="0"/>
          <w:i w:val="0"/>
          <w:caps w:val="0"/>
          <w:color w:val="000000"/>
          <w:spacing w:val="0"/>
          <w:w w:val="100"/>
          <w:sz w:val="32"/>
          <w:szCs w:val="32"/>
          <w:lang w:val="en-US" w:eastAsia="zh-CN"/>
        </w:rPr>
        <w:t>选题推动协商见成效。</w:t>
      </w:r>
      <w:r>
        <w:rPr>
          <w:rFonts w:hint="default" w:ascii="Times New Roman" w:hAnsi="Times New Roman" w:eastAsia="仿宋_GB2312" w:cs="Times New Roman"/>
          <w:b w:val="0"/>
          <w:bCs w:val="0"/>
          <w:i w:val="0"/>
          <w:caps w:val="0"/>
          <w:spacing w:val="0"/>
          <w:w w:val="100"/>
          <w:sz w:val="32"/>
          <w:szCs w:val="32"/>
        </w:rPr>
        <w:t>全区共建立各类</w:t>
      </w:r>
      <w:r>
        <w:rPr>
          <w:rFonts w:hint="default" w:ascii="Times New Roman" w:hAnsi="Times New Roman" w:eastAsia="仿宋_GB2312" w:cs="Times New Roman"/>
          <w:b w:val="0"/>
          <w:bCs w:val="0"/>
          <w:i w:val="0"/>
          <w:caps w:val="0"/>
          <w:spacing w:val="0"/>
          <w:w w:val="100"/>
          <w:sz w:val="32"/>
          <w:szCs w:val="32"/>
          <w:lang w:val="en-US" w:eastAsia="zh-CN"/>
        </w:rPr>
        <w:t>小微</w:t>
      </w:r>
      <w:r>
        <w:rPr>
          <w:rFonts w:hint="default" w:ascii="Times New Roman" w:hAnsi="Times New Roman" w:eastAsia="仿宋_GB2312" w:cs="Times New Roman"/>
          <w:b w:val="0"/>
          <w:bCs w:val="0"/>
          <w:i w:val="0"/>
          <w:caps w:val="0"/>
          <w:spacing w:val="0"/>
          <w:w w:val="100"/>
          <w:sz w:val="32"/>
          <w:szCs w:val="32"/>
        </w:rPr>
        <w:t>协商平台41个，开展协商议事活动37次，解决实际问题3</w:t>
      </w:r>
      <w:r>
        <w:rPr>
          <w:rFonts w:hint="default" w:ascii="Times New Roman" w:hAnsi="Times New Roman" w:eastAsia="仿宋_GB2312" w:cs="Times New Roman"/>
          <w:b w:val="0"/>
          <w:bCs w:val="0"/>
          <w:i w:val="0"/>
          <w:caps w:val="0"/>
          <w:spacing w:val="0"/>
          <w:w w:val="100"/>
          <w:sz w:val="32"/>
          <w:szCs w:val="32"/>
          <w:lang w:val="en-US" w:eastAsia="zh-CN"/>
        </w:rPr>
        <w:t>3</w:t>
      </w:r>
      <w:r>
        <w:rPr>
          <w:rFonts w:hint="default" w:ascii="Times New Roman" w:hAnsi="Times New Roman" w:eastAsia="仿宋_GB2312" w:cs="Times New Roman"/>
          <w:b w:val="0"/>
          <w:bCs w:val="0"/>
          <w:i w:val="0"/>
          <w:caps w:val="0"/>
          <w:spacing w:val="0"/>
          <w:w w:val="100"/>
          <w:sz w:val="32"/>
          <w:szCs w:val="32"/>
        </w:rPr>
        <w:t>个，收集意见建议166条，委员参与184人次，形成典型案例6篇</w:t>
      </w:r>
      <w:r>
        <w:rPr>
          <w:rFonts w:hint="default" w:ascii="Times New Roman" w:hAnsi="Times New Roman" w:eastAsia="仿宋_GB2312" w:cs="Times New Roman"/>
          <w:b w:val="0"/>
          <w:bCs w:val="0"/>
          <w:i w:val="0"/>
          <w:caps w:val="0"/>
          <w:spacing w:val="0"/>
          <w:w w:val="100"/>
          <w:sz w:val="32"/>
          <w:szCs w:val="32"/>
          <w:lang w:eastAsia="zh-CN"/>
        </w:rPr>
        <w:t>。如青梅路社区开展的“老旧小区改造和</w:t>
      </w:r>
      <w:r>
        <w:rPr>
          <w:rFonts w:hint="default" w:ascii="Times New Roman" w:hAnsi="Times New Roman" w:eastAsia="仿宋_GB2312" w:cs="Times New Roman"/>
          <w:b w:val="0"/>
          <w:bCs w:val="0"/>
          <w:color w:val="auto"/>
          <w:sz w:val="32"/>
          <w:szCs w:val="32"/>
          <w:lang w:eastAsia="zh-CN"/>
        </w:rPr>
        <w:t>空调冷凝水室外</w:t>
      </w:r>
      <w:r>
        <w:rPr>
          <w:rFonts w:hint="default" w:ascii="Times New Roman" w:hAnsi="Times New Roman" w:eastAsia="仿宋_GB2312" w:cs="Times New Roman"/>
          <w:b w:val="0"/>
          <w:bCs w:val="0"/>
          <w:i w:val="0"/>
          <w:caps w:val="0"/>
          <w:strike w:val="0"/>
          <w:dstrike w:val="0"/>
          <w:color w:val="auto"/>
          <w:spacing w:val="0"/>
          <w:w w:val="100"/>
          <w:sz w:val="32"/>
          <w:szCs w:val="32"/>
          <w:lang w:val="en-US" w:eastAsia="zh-CN"/>
        </w:rPr>
        <w:t>规范</w:t>
      </w:r>
      <w:r>
        <w:rPr>
          <w:rFonts w:hint="default" w:ascii="Times New Roman" w:hAnsi="Times New Roman" w:eastAsia="仿宋_GB2312" w:cs="Times New Roman"/>
          <w:b w:val="0"/>
          <w:bCs w:val="0"/>
          <w:color w:val="auto"/>
          <w:sz w:val="32"/>
          <w:szCs w:val="32"/>
          <w:lang w:eastAsia="zh-CN"/>
        </w:rPr>
        <w:t>排放”问题协商、虎跳镇亭子湖社区开展的“场镇基础设施建设更新升级”协商议事会，切实解决了群众所急所盼等民生问题，</w:t>
      </w:r>
      <w:r>
        <w:rPr>
          <w:rFonts w:hint="default" w:ascii="Times New Roman" w:hAnsi="Times New Roman" w:eastAsia="仿宋_GB2312" w:cs="Times New Roman"/>
          <w:b w:val="0"/>
          <w:bCs w:val="0"/>
          <w:i w:val="0"/>
          <w:caps w:val="0"/>
          <w:color w:val="000000"/>
          <w:spacing w:val="0"/>
          <w:w w:val="100"/>
          <w:kern w:val="0"/>
          <w:sz w:val="32"/>
          <w:szCs w:val="32"/>
          <w:lang w:val="en-US" w:eastAsia="zh-CN"/>
        </w:rPr>
        <w:t>先后被《四川日报》《四川观察》《四川政协报》《广元日报》等媒体报道。</w:t>
      </w:r>
      <w:r>
        <w:rPr>
          <w:rFonts w:hint="default" w:ascii="Times New Roman" w:hAnsi="Times New Roman" w:eastAsia="仿宋_GB2312" w:cs="Times New Roman"/>
          <w:b w:val="0"/>
          <w:bCs w:val="0"/>
          <w:sz w:val="32"/>
          <w:szCs w:val="32"/>
          <w:lang w:eastAsia="zh-CN"/>
        </w:rPr>
        <w:t>我区“有事来协商”工作</w:t>
      </w:r>
      <w:r>
        <w:rPr>
          <w:rFonts w:hint="default" w:ascii="Times New Roman" w:hAnsi="Times New Roman" w:eastAsia="仿宋_GB2312" w:cs="Times New Roman"/>
          <w:b w:val="0"/>
          <w:bCs w:val="0"/>
          <w:i w:val="0"/>
          <w:caps w:val="0"/>
          <w:color w:val="000000"/>
          <w:spacing w:val="0"/>
          <w:w w:val="100"/>
          <w:kern w:val="0"/>
          <w:sz w:val="32"/>
          <w:szCs w:val="32"/>
          <w:lang w:val="en-US" w:eastAsia="zh-CN"/>
        </w:rPr>
        <w:t>在全市召开的</w:t>
      </w:r>
      <w:r>
        <w:rPr>
          <w:rFonts w:hint="default" w:ascii="Times New Roman" w:hAnsi="Times New Roman" w:eastAsia="仿宋_GB2312" w:cs="Times New Roman"/>
          <w:b w:val="0"/>
          <w:bCs w:val="0"/>
          <w:sz w:val="32"/>
          <w:szCs w:val="32"/>
        </w:rPr>
        <w:t>推进会议</w:t>
      </w:r>
      <w:r>
        <w:rPr>
          <w:rFonts w:hint="default" w:ascii="Times New Roman" w:hAnsi="Times New Roman" w:eastAsia="仿宋_GB2312" w:cs="Times New Roman"/>
          <w:b w:val="0"/>
          <w:bCs w:val="0"/>
          <w:sz w:val="32"/>
          <w:szCs w:val="32"/>
          <w:lang w:eastAsia="zh-CN"/>
        </w:rPr>
        <w:t>上作交流发言，得到市委市政协领导充分肯定。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default" w:ascii="Times New Roman" w:hAnsi="Times New Roman" w:eastAsia="楷体_GB2312" w:cs="Times New Roman"/>
          <w:b w:val="0"/>
          <w:bCs w:val="0"/>
          <w:sz w:val="32"/>
          <w:szCs w:val="32"/>
          <w:lang w:val="en-US" w:eastAsia="zh-CN"/>
        </w:rPr>
        <w:t>深入开展“三联三促”双助活动。</w:t>
      </w:r>
      <w:r>
        <w:rPr>
          <w:rFonts w:hint="default" w:ascii="Times New Roman" w:hAnsi="Times New Roman" w:eastAsia="仿宋_GB2312" w:cs="Times New Roman"/>
          <w:b w:val="0"/>
          <w:bCs w:val="0"/>
          <w:i w:val="0"/>
          <w:caps w:val="0"/>
          <w:spacing w:val="0"/>
          <w:w w:val="100"/>
          <w:sz w:val="32"/>
          <w:szCs w:val="32"/>
          <w:lang w:eastAsia="zh-CN"/>
        </w:rPr>
        <w:t>认真落实省委部署和彭清华书记指示精神，扎实开展委员联户促巩固、专委会联产业促发展、政协组织联村促振兴，助力巩固脱贫、助推乡村振兴“三联三促”双助活动。全区政协委员分别联系脱贫不稳定户、返贫致贫风险监测户</w:t>
      </w:r>
      <w:r>
        <w:rPr>
          <w:rFonts w:hint="default" w:ascii="Times New Roman" w:hAnsi="Times New Roman" w:eastAsia="仿宋_GB2312" w:cs="Times New Roman"/>
          <w:b w:val="0"/>
          <w:bCs w:val="0"/>
          <w:i w:val="0"/>
          <w:caps w:val="0"/>
          <w:spacing w:val="0"/>
          <w:w w:val="100"/>
          <w:sz w:val="32"/>
          <w:szCs w:val="32"/>
          <w:lang w:val="en-US" w:eastAsia="zh-CN"/>
        </w:rPr>
        <w:t>160余户，深入开展入户指导、技术培训、产业规划、产品销售、政策宣传等工作。政协各专委会发挥界别行业优势和专家人才优势，分别联系一个产业，培养致富增收门路。区政协领导班子成员定点联系1个乡村振兴示范村，定期协调指导、研究破解发展难题。企业界委员真情回馈，为联系户广搭就业平台。活动开展以来，区政协委员全员参与，协商落实项目资金375万元，开展劳动技能培训450人次，帮助群众就业200人次，为群众开展济危解困、捐资助学等好事实事100余件，带动销售农产品600余万元。</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楷体_GB2312" w:hAnsi="楷体_GB2312" w:eastAsia="楷体_GB2312" w:cs="楷体_GB2312"/>
          <w:b w:val="0"/>
          <w:bCs w:val="0"/>
          <w:kern w:val="10"/>
          <w:sz w:val="32"/>
          <w:szCs w:val="32"/>
          <w:lang w:val="en-US" w:eastAsia="zh-CN"/>
        </w:rPr>
      </w:pPr>
      <w:r>
        <w:rPr>
          <w:rFonts w:hint="eastAsia" w:ascii="仿宋_GB2312" w:hAnsi="仿宋_GB2312" w:eastAsia="仿宋_GB2312" w:cs="仿宋_GB2312"/>
          <w:b w:val="0"/>
          <w:bCs w:val="0"/>
          <w:kern w:val="2"/>
          <w:sz w:val="32"/>
          <w:szCs w:val="32"/>
          <w:lang w:val="en-US" w:eastAsia="zh-CN"/>
        </w:rPr>
        <w:t>(六）</w:t>
      </w:r>
      <w:r>
        <w:rPr>
          <w:rFonts w:hint="default" w:ascii="楷体_GB2312" w:hAnsi="楷体_GB2312" w:eastAsia="楷体_GB2312" w:cs="楷体_GB2312"/>
          <w:b w:val="0"/>
          <w:bCs w:val="0"/>
          <w:kern w:val="10"/>
          <w:sz w:val="32"/>
          <w:szCs w:val="32"/>
          <w:lang w:val="en-US" w:eastAsia="zh-CN"/>
        </w:rPr>
        <w:t>着力固本强基，守正创新，政协组织的自身建设进一步加强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区政协及其常委会始终坚持主动适应新时代新要求，着力完善工作机制，激励引导广大委员和机关干部强化担当、扎实履职，充分展现新时代政协组织和政协委员的良好风貌。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default" w:ascii="Times New Roman" w:hAnsi="Times New Roman" w:eastAsia="楷体_GB2312" w:cs="Times New Roman"/>
          <w:b w:val="0"/>
          <w:bCs w:val="0"/>
          <w:sz w:val="32"/>
          <w:szCs w:val="32"/>
          <w:lang w:val="en-US" w:eastAsia="zh-CN"/>
        </w:rPr>
        <w:t>政协党的建设切实加强。</w:t>
      </w:r>
      <w:r>
        <w:rPr>
          <w:rFonts w:hint="default" w:ascii="Times New Roman" w:hAnsi="Times New Roman" w:eastAsia="仿宋_GB2312" w:cs="Times New Roman"/>
          <w:b w:val="0"/>
          <w:bCs w:val="0"/>
          <w:i w:val="0"/>
          <w:caps w:val="0"/>
          <w:spacing w:val="0"/>
          <w:w w:val="100"/>
          <w:sz w:val="32"/>
          <w:szCs w:val="32"/>
          <w:lang w:val="en-US" w:eastAsia="zh-CN"/>
        </w:rPr>
        <w:t>政协党组切实担负起全面从严治党的主体责任，认真贯彻落实《关于加强新时代人民政协党的建设工作的若干意见》，全面加强政协系统党的建设，全年召开党组会议12次，专题研究部署党建工作。牢牢把握意识形态工作领导权、话语权，强化政协系统宣传思想工作，不断提升政协宣传信息的工作质效。一年来，区政协向各级媒体报送新闻稿件60篇，被省政协评为报刊发行和征订先进单位，被市政协评为新闻宣传先进单位。严格落实党风廉政建设责任制，扎实开展付健案以案促改，深入开展干部作风纪律教育整顿，营造良好干事创业氛围，干部作风明显好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政协履职水平明显提升。</w:t>
      </w:r>
      <w:r>
        <w:rPr>
          <w:rFonts w:hint="default" w:ascii="Times New Roman" w:hAnsi="Times New Roman" w:eastAsia="仿宋_GB2312" w:cs="Times New Roman"/>
          <w:b w:val="0"/>
          <w:bCs w:val="0"/>
          <w:sz w:val="32"/>
          <w:szCs w:val="32"/>
          <w:lang w:val="en-US" w:eastAsia="zh-CN"/>
        </w:rPr>
        <w:t>按照“懂政协、会协商、善议政”和“守纪律、讲规矩、重品行”要求，注重发挥委员主体作用，制定委员培训方案，把理论学习、履职方式、“有事来协商”和“三联三促”双助活动作为重点，各专委会按界别开展委员履职专题培训，实现委员培训全覆盖，参政议政协商能力得到提升。建立完善《委员履职管理考核评价办法》，推动委员主动履职、有序履职、依规履职。加强专门委员会队伍建设，及时任命专委会主任、副主任，配齐配强专委会组成人员，进一步厘清工作职责，明确人员分工，形成通力协作的工作局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b w:val="0"/>
          <w:bCs w:val="0"/>
          <w:sz w:val="32"/>
          <w:szCs w:val="32"/>
          <w:lang w:val="en-US" w:eastAsia="zh-CN"/>
        </w:rPr>
        <w:t>政协运行机制不断完善。</w:t>
      </w:r>
      <w:r>
        <w:rPr>
          <w:rFonts w:hint="default" w:ascii="Times New Roman" w:hAnsi="Times New Roman" w:eastAsia="仿宋_GB2312" w:cs="Times New Roman"/>
          <w:b w:val="0"/>
          <w:bCs w:val="0"/>
          <w:sz w:val="32"/>
          <w:szCs w:val="32"/>
          <w:lang w:val="en-US" w:eastAsia="zh-CN"/>
        </w:rPr>
        <w:t>从全面从严治党、履</w:t>
      </w:r>
      <w:r>
        <w:rPr>
          <w:rFonts w:hint="default" w:ascii="Times New Roman" w:hAnsi="Times New Roman" w:eastAsia="仿宋_GB2312" w:cs="Times New Roman"/>
          <w:b w:val="0"/>
          <w:bCs w:val="0"/>
          <w:i w:val="0"/>
          <w:caps w:val="0"/>
          <w:spacing w:val="0"/>
          <w:w w:val="100"/>
          <w:sz w:val="32"/>
          <w:szCs w:val="32"/>
          <w:lang w:val="en-US" w:eastAsia="zh-CN"/>
        </w:rPr>
        <w:t>行政协职能、机关自身建设等方面修订完善工作</w:t>
      </w:r>
      <w:r>
        <w:rPr>
          <w:rFonts w:hint="default" w:ascii="Times New Roman" w:hAnsi="Times New Roman" w:eastAsia="仿宋_GB2312" w:cs="Times New Roman"/>
          <w:b w:val="0"/>
          <w:i w:val="0"/>
          <w:caps w:val="0"/>
          <w:spacing w:val="0"/>
          <w:w w:val="100"/>
          <w:sz w:val="32"/>
          <w:szCs w:val="32"/>
          <w:lang w:val="en-US" w:eastAsia="zh-CN"/>
        </w:rPr>
        <w:t>规则和管理制度61项，形成了权责清晰、程序规范、关系顺畅、运行有效的制度体系，为推进人民政协提升履职质量提供了制度保障。</w:t>
      </w:r>
      <w:r>
        <w:rPr>
          <w:rFonts w:hint="default" w:ascii="Times New Roman" w:hAnsi="Times New Roman" w:eastAsia="仿宋_GB2312" w:cs="Times New Roman"/>
          <w:sz w:val="32"/>
          <w:szCs w:val="32"/>
          <w:lang w:val="en-US" w:eastAsia="zh-CN"/>
        </w:rPr>
        <w:t>加强学习型机关建设，先后组织机关干部到北京大学、中国人民大学、井冈山干部学院等院校进行学习培训，全面提高机关干部的政治素养、业务素质、纪律意识和执行能力。</w:t>
      </w:r>
      <w:r>
        <w:rPr>
          <w:rFonts w:hint="default" w:ascii="Times New Roman" w:hAnsi="Times New Roman" w:eastAsia="仿宋_GB2312" w:cs="Times New Roman"/>
          <w:b w:val="0"/>
          <w:bCs w:val="0"/>
          <w:color w:val="000000"/>
          <w:kern w:val="2"/>
          <w:sz w:val="32"/>
          <w:szCs w:val="32"/>
          <w:lang w:val="en-US" w:eastAsia="zh-CN" w:bidi="ar-SA"/>
        </w:rPr>
        <w:t>提高办文、办会、办事和履职效能，</w:t>
      </w:r>
      <w:r>
        <w:rPr>
          <w:rFonts w:hint="default" w:ascii="Times New Roman" w:hAnsi="Times New Roman" w:eastAsia="仿宋_GB2312" w:cs="Times New Roman"/>
          <w:sz w:val="32"/>
          <w:szCs w:val="32"/>
          <w:lang w:val="en-US" w:eastAsia="zh-CN"/>
        </w:rPr>
        <w:t>大力倡导机关干部爱岗敬业、忠诚服务、立足本职、敢于担当，</w:t>
      </w:r>
      <w:r>
        <w:rPr>
          <w:rFonts w:hint="default" w:ascii="Times New Roman" w:hAnsi="Times New Roman" w:eastAsia="仿宋_GB2312" w:cs="Times New Roman"/>
          <w:b w:val="0"/>
          <w:bCs w:val="0"/>
          <w:color w:val="000000"/>
          <w:kern w:val="2"/>
          <w:sz w:val="32"/>
          <w:szCs w:val="32"/>
          <w:lang w:eastAsia="zh-CN" w:bidi="ar-SA"/>
        </w:rPr>
        <w:t>营造崇学善思、</w:t>
      </w:r>
      <w:r>
        <w:rPr>
          <w:rFonts w:hint="default" w:ascii="Times New Roman" w:hAnsi="Times New Roman" w:eastAsia="仿宋_GB2312" w:cs="Times New Roman"/>
          <w:b w:val="0"/>
          <w:bCs w:val="0"/>
          <w:color w:val="000000"/>
          <w:kern w:val="2"/>
          <w:sz w:val="32"/>
          <w:szCs w:val="32"/>
          <w:lang w:val="en-US" w:eastAsia="zh-CN" w:bidi="ar-SA"/>
        </w:rPr>
        <w:t>生动活泼</w:t>
      </w:r>
      <w:r>
        <w:rPr>
          <w:rFonts w:hint="default" w:ascii="Times New Roman" w:hAnsi="Times New Roman" w:eastAsia="仿宋_GB2312" w:cs="Times New Roman"/>
          <w:b w:val="0"/>
          <w:bCs w:val="0"/>
          <w:color w:val="000000"/>
          <w:kern w:val="2"/>
          <w:sz w:val="32"/>
          <w:szCs w:val="32"/>
          <w:lang w:eastAsia="zh-CN" w:bidi="ar-SA"/>
        </w:rPr>
        <w:t>的</w:t>
      </w:r>
      <w:r>
        <w:rPr>
          <w:rFonts w:hint="default" w:ascii="Times New Roman" w:hAnsi="Times New Roman" w:eastAsia="仿宋_GB2312" w:cs="Times New Roman"/>
          <w:b w:val="0"/>
          <w:bCs w:val="0"/>
          <w:color w:val="000000"/>
          <w:kern w:val="2"/>
          <w:sz w:val="32"/>
          <w:szCs w:val="32"/>
          <w:lang w:val="en-US" w:eastAsia="zh-CN" w:bidi="ar-SA"/>
        </w:rPr>
        <w:t>工作</w:t>
      </w:r>
      <w:r>
        <w:rPr>
          <w:rFonts w:hint="default" w:ascii="Times New Roman" w:hAnsi="Times New Roman" w:eastAsia="仿宋_GB2312" w:cs="Times New Roman"/>
          <w:b w:val="0"/>
          <w:bCs w:val="0"/>
          <w:color w:val="000000"/>
          <w:kern w:val="2"/>
          <w:sz w:val="32"/>
          <w:szCs w:val="32"/>
          <w:lang w:eastAsia="zh-CN" w:bidi="ar-SA"/>
        </w:rPr>
        <w:t>氛围，</w:t>
      </w:r>
      <w:r>
        <w:rPr>
          <w:rFonts w:hint="default" w:ascii="Times New Roman" w:hAnsi="Times New Roman" w:eastAsia="仿宋_GB2312" w:cs="Times New Roman"/>
          <w:b w:val="0"/>
          <w:bCs w:val="0"/>
          <w:color w:val="000000"/>
          <w:kern w:val="2"/>
          <w:sz w:val="32"/>
          <w:szCs w:val="32"/>
          <w:lang w:val="en-US" w:eastAsia="zh-CN" w:bidi="ar-SA"/>
        </w:rPr>
        <w:t>政协机关</w:t>
      </w:r>
      <w:r>
        <w:rPr>
          <w:rFonts w:hint="default" w:ascii="Times New Roman" w:hAnsi="Times New Roman" w:eastAsia="仿宋_GB2312" w:cs="Times New Roman"/>
          <w:b w:val="0"/>
          <w:bCs w:val="0"/>
          <w:color w:val="000000"/>
          <w:sz w:val="32"/>
          <w:szCs w:val="32"/>
        </w:rPr>
        <w:t>各项工作更加科学规范、机关运转更加有序高效</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sz w:val="32"/>
          <w:szCs w:val="32"/>
          <w:lang w:val="en-US" w:eastAsia="zh-CN"/>
        </w:rPr>
        <w:t>服务保障水平不断提升。</w:t>
      </w:r>
    </w:p>
    <w:p>
      <w:pPr>
        <w:pageBreakBefore w:val="0"/>
        <w:widowControl/>
        <w:kinsoku/>
        <w:wordWrap/>
        <w:overflowPunct/>
        <w:topLinePunct w:val="0"/>
        <w:autoSpaceDE/>
        <w:autoSpaceDN/>
        <w:bidi w:val="0"/>
        <w:adjustRightInd/>
        <w:snapToGrid/>
        <w:spacing w:line="576" w:lineRule="exact"/>
        <w:jc w:val="left"/>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color w:val="auto"/>
          <w:highlight w:val="none"/>
          <w:lang w:eastAsia="zh-CN"/>
        </w:rPr>
      </w:pPr>
      <w:bookmarkStart w:id="16" w:name="_Toc15377204"/>
      <w:bookmarkStart w:id="17" w:name="_Toc15396602"/>
      <w:r>
        <w:rPr>
          <w:rFonts w:hint="eastAsia" w:ascii="方正小标宋简体" w:hAnsi="方正小标宋简体" w:eastAsia="方正小标宋简体" w:cs="方正小标宋简体"/>
          <w:b w:val="0"/>
          <w:color w:val="auto"/>
          <w:highlight w:val="none"/>
          <w:lang w:eastAsia="zh-CN"/>
        </w:rPr>
        <w:t xml:space="preserve">第二部分 </w:t>
      </w:r>
      <w:r>
        <w:rPr>
          <w:rFonts w:hint="eastAsia" w:ascii="方正小标宋简体" w:hAnsi="方正小标宋简体" w:eastAsia="方正小标宋简体" w:cs="方正小标宋简体"/>
          <w:b w:val="0"/>
          <w:color w:val="auto"/>
          <w:highlight w:val="none"/>
          <w:lang w:val="en-US" w:eastAsia="zh-CN"/>
        </w:rPr>
        <w:t>2021年度</w:t>
      </w:r>
      <w:r>
        <w:rPr>
          <w:rFonts w:hint="eastAsia" w:ascii="方正小标宋简体" w:hAnsi="方正小标宋简体" w:eastAsia="方正小标宋简体" w:cs="方正小标宋简体"/>
          <w:b w:val="0"/>
          <w:color w:val="auto"/>
          <w:highlight w:val="none"/>
          <w:lang w:eastAsia="zh-CN"/>
        </w:rPr>
        <w:t>单位决算情况说明</w:t>
      </w:r>
      <w:bookmarkEnd w:id="16"/>
      <w:bookmarkEnd w:id="17"/>
    </w:p>
    <w:p>
      <w:pPr>
        <w:pStyle w:val="3"/>
        <w:pageBreakBefore w:val="0"/>
        <w:widowControl w:val="0"/>
        <w:kinsoku/>
        <w:wordWrap/>
        <w:overflowPunct/>
        <w:topLinePunct w:val="0"/>
        <w:autoSpaceDE/>
        <w:autoSpaceDN/>
        <w:bidi w:val="0"/>
        <w:adjustRightInd/>
        <w:snapToGrid/>
        <w:spacing w:before="0" w:after="0" w:line="576" w:lineRule="exact"/>
        <w:jc w:val="center"/>
        <w:textAlignment w:val="auto"/>
        <w:rPr>
          <w:color w:val="auto"/>
          <w:highlight w:val="none"/>
        </w:rPr>
      </w:pPr>
    </w:p>
    <w:p>
      <w:pPr>
        <w:pStyle w:val="26"/>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28"/>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8"/>
      <w:bookmarkEnd w:id="19"/>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1200.97</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年相比，收、支总计增加</w:t>
      </w:r>
      <w:r>
        <w:rPr>
          <w:rFonts w:hint="eastAsia" w:ascii="仿宋_GB2312" w:hAnsi="仿宋_GB2312" w:eastAsia="仿宋_GB2312" w:cs="仿宋_GB2312"/>
          <w:color w:val="auto"/>
          <w:sz w:val="32"/>
          <w:szCs w:val="32"/>
          <w:highlight w:val="none"/>
          <w:lang w:val="en-US" w:eastAsia="zh-CN"/>
        </w:rPr>
        <w:t>126.92</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10.57</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人员增加。</w:t>
      </w:r>
    </w:p>
    <w:p>
      <w:pPr>
        <w:pStyle w:val="2"/>
        <w:jc w:val="center"/>
        <w:rPr>
          <w:rFonts w:hint="eastAsia" w:eastAsia="仿宋_GB2312"/>
          <w:lang w:eastAsia="zh-CN"/>
        </w:rPr>
      </w:pPr>
      <w:r>
        <w:rPr>
          <w:rFonts w:hint="eastAsia"/>
          <w:lang w:eastAsia="zh-CN"/>
        </w:rPr>
        <w:drawing>
          <wp:inline distT="0" distB="0" distL="114300" distR="114300">
            <wp:extent cx="5080000" cy="3810000"/>
            <wp:effectExtent l="0" t="0" r="63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1195.36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1195.36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1196.82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1196.82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pPr>
      <w:r>
        <w:rPr>
          <w:rFonts w:hint="eastAsia" w:eastAsia="仿宋"/>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8"/>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1200.97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年相比，财政拨款收、支总计增加</w:t>
      </w:r>
      <w:r>
        <w:rPr>
          <w:rFonts w:hint="eastAsia" w:ascii="仿宋" w:hAnsi="仿宋" w:eastAsia="仿宋"/>
          <w:color w:val="auto"/>
          <w:sz w:val="32"/>
          <w:szCs w:val="32"/>
          <w:highlight w:val="none"/>
          <w:lang w:val="en-US" w:eastAsia="zh-CN"/>
        </w:rPr>
        <w:t>126.92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人员增加。</w:t>
      </w:r>
    </w:p>
    <w:p>
      <w:pPr>
        <w:pStyle w:val="2"/>
        <w:jc w:val="center"/>
      </w:pPr>
      <w:r>
        <w:rPr>
          <w:rFonts w:hint="eastAsia"/>
          <w:lang w:eastAsia="zh-CN"/>
        </w:rPr>
        <w:drawing>
          <wp:inline distT="0" distB="0" distL="114300" distR="114300">
            <wp:extent cx="5080000" cy="3810000"/>
            <wp:effectExtent l="0" t="0" r="63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8"/>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1200.97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126.92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人员增加。</w:t>
      </w:r>
    </w:p>
    <w:p>
      <w:pPr>
        <w:pStyle w:val="2"/>
        <w:rPr>
          <w:rFonts w:hint="eastAsia"/>
          <w:lang w:eastAsia="zh-CN"/>
        </w:rPr>
      </w:pPr>
    </w:p>
    <w:p>
      <w:pPr>
        <w:pStyle w:val="2"/>
      </w:pPr>
      <w:r>
        <w:rPr>
          <w:rFonts w:hint="eastAsia"/>
          <w:lang w:eastAsia="zh-CN"/>
        </w:rPr>
        <w:drawing>
          <wp:inline distT="0" distB="0" distL="114300" distR="114300">
            <wp:extent cx="5417820" cy="3746500"/>
            <wp:effectExtent l="0" t="0" r="11430"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1196.82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1042.94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87.14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77.34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20.43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1.71</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56.11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rPr>
          <w:rFonts w:hint="eastAsia" w:eastAsia="仿宋_GB2312"/>
          <w:lang w:eastAsia="zh-CN"/>
        </w:rPr>
      </w:pPr>
      <w:r>
        <w:rPr>
          <w:rFonts w:hint="eastAsia" w:eastAsia="仿宋_GB2312"/>
          <w:lang w:eastAsia="zh-CN"/>
        </w:rPr>
        <w:drawing>
          <wp:inline distT="0" distB="0" distL="114300" distR="114300">
            <wp:extent cx="5080000" cy="3810000"/>
            <wp:effectExtent l="4445" t="4445" r="20955" b="146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1196.82</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1.</w:t>
      </w:r>
      <w:r>
        <w:rPr>
          <w:rStyle w:val="17"/>
          <w:rFonts w:hint="eastAsia" w:ascii="仿宋" w:hAnsi="仿宋" w:eastAsia="仿宋"/>
          <w:bCs/>
          <w:color w:val="auto"/>
          <w:sz w:val="32"/>
          <w:szCs w:val="32"/>
          <w:highlight w:val="none"/>
        </w:rPr>
        <w:t>一般公共服务（类）</w:t>
      </w:r>
      <w:r>
        <w:rPr>
          <w:rFonts w:hint="eastAsia" w:ascii="仿宋_GB2312" w:hAnsi="仿宋_GB2312" w:eastAsia="仿宋_GB2312" w:cs="仿宋_GB2312"/>
          <w:color w:val="000000" w:themeColor="text1"/>
          <w:sz w:val="32"/>
          <w:szCs w:val="32"/>
          <w14:textFill>
            <w14:solidFill>
              <w14:schemeClr w14:val="tx1"/>
            </w14:solidFill>
          </w14:textFill>
        </w:rPr>
        <w:t>政协事务</w:t>
      </w:r>
      <w:r>
        <w:rPr>
          <w:rStyle w:val="17"/>
          <w:rFonts w:hint="eastAsia" w:ascii="仿宋" w:hAnsi="仿宋" w:eastAsia="仿宋"/>
          <w:bCs/>
          <w:color w:val="auto"/>
          <w:sz w:val="32"/>
          <w:szCs w:val="32"/>
          <w:highlight w:val="none"/>
        </w:rPr>
        <w:t>（款）</w:t>
      </w:r>
      <w:r>
        <w:rPr>
          <w:rFonts w:hint="eastAsia" w:ascii="仿宋_GB2312" w:hAnsi="仿宋_GB2312" w:eastAsia="仿宋_GB2312" w:cs="仿宋_GB2312"/>
          <w:color w:val="000000" w:themeColor="text1"/>
          <w:sz w:val="32"/>
          <w:szCs w:val="32"/>
          <w14:textFill>
            <w14:solidFill>
              <w14:schemeClr w14:val="tx1"/>
            </w14:solidFill>
          </w14:textFill>
        </w:rPr>
        <w:t>行政运行</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1042.93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w:t>
      </w:r>
      <w:r>
        <w:rPr>
          <w:rStyle w:val="17"/>
          <w:rFonts w:hint="eastAsia" w:ascii="仿宋" w:hAnsi="仿宋" w:eastAsia="仿宋"/>
          <w:bCs/>
          <w:color w:val="auto"/>
          <w:sz w:val="32"/>
          <w:szCs w:val="32"/>
          <w:highlight w:val="none"/>
          <w:lang w:eastAsia="zh-CN"/>
        </w:rPr>
        <w:t>行政事业单位养老</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机关事业单位养老保险、机关事业单位职业年金</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77.34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eastAsia="zh-CN"/>
        </w:rPr>
        <w:t>行政事业单位医疗</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行政单位医疗</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20.43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8"/>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34"/>
      <w:bookmarkEnd w:id="35"/>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1196.82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794.58</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退休费、抚恤金、生活补助、奖励金、住房公积金、其他对个人和家庭的补助支出等。</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402.24</w:t>
      </w:r>
      <w:r>
        <w:rPr>
          <w:rFonts w:hint="eastAsia" w:ascii="仿宋" w:hAnsi="仿宋" w:eastAsia="仿宋"/>
          <w:color w:val="auto"/>
          <w:sz w:val="32"/>
          <w:szCs w:val="32"/>
          <w:highlight w:val="none"/>
        </w:rPr>
        <w:t>万元，主要包括：办公费、印刷费、手续费、邮电费、差旅费、维修（护）费、租赁费、会议费、培训费、公务接待费、劳务费、委托业务费、工会经费、福利费、其他交通费、其他商品和服务支出、办公设备购置、信息网络及软件购置更新等。</w:t>
      </w:r>
    </w:p>
    <w:p>
      <w:pPr>
        <w:spacing w:line="600" w:lineRule="exact"/>
        <w:ind w:firstLine="640"/>
        <w:outlineLvl w:val="1"/>
        <w:rPr>
          <w:rStyle w:val="28"/>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年“三公”经费财政拨款支出决算为</w:t>
      </w:r>
      <w:r>
        <w:rPr>
          <w:rFonts w:hint="eastAsia" w:ascii="仿宋" w:hAnsi="仿宋" w:eastAsia="仿宋"/>
          <w:color w:val="000000" w:themeColor="text1"/>
          <w:sz w:val="32"/>
          <w:szCs w:val="32"/>
          <w:highlight w:val="none"/>
          <w:lang w:val="en-US" w:eastAsia="zh-CN"/>
          <w14:textFill>
            <w14:solidFill>
              <w14:schemeClr w14:val="tx1"/>
            </w14:solidFill>
          </w14:textFill>
        </w:rPr>
        <w:t>4.41</w:t>
      </w:r>
      <w:r>
        <w:rPr>
          <w:rFonts w:hint="eastAsia" w:ascii="仿宋" w:hAnsi="仿宋" w:eastAsia="仿宋"/>
          <w:color w:val="000000" w:themeColor="text1"/>
          <w:sz w:val="32"/>
          <w:szCs w:val="32"/>
          <w:highlight w:val="none"/>
          <w14:textFill>
            <w14:solidFill>
              <w14:schemeClr w14:val="tx1"/>
            </w14:solidFill>
          </w14:textFill>
        </w:rPr>
        <w:t>万元，完成预算</w:t>
      </w:r>
      <w:r>
        <w:rPr>
          <w:rFonts w:hint="eastAsia" w:ascii="仿宋" w:hAnsi="仿宋" w:eastAsia="仿宋"/>
          <w:color w:val="000000" w:themeColor="text1"/>
          <w:sz w:val="32"/>
          <w:szCs w:val="32"/>
          <w:highlight w:val="none"/>
          <w:lang w:val="en-US" w:eastAsia="zh-CN"/>
          <w14:textFill>
            <w14:solidFill>
              <w14:schemeClr w14:val="tx1"/>
            </w14:solidFill>
          </w14:textFill>
        </w:rPr>
        <w:t>42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auto"/>
          <w:sz w:val="32"/>
          <w:szCs w:val="32"/>
          <w:highlight w:val="none"/>
        </w:rPr>
        <w:t>决算数小于预算数的主要原因</w:t>
      </w:r>
      <w:r>
        <w:rPr>
          <w:rFonts w:hint="eastAsia" w:ascii="仿宋" w:hAnsi="仿宋" w:eastAsia="仿宋"/>
          <w:color w:val="auto"/>
          <w:sz w:val="32"/>
          <w:szCs w:val="32"/>
          <w:highlight w:val="none"/>
          <w:lang w:eastAsia="zh-CN"/>
        </w:rPr>
        <w:t>是厉行节约及疫情接待减少</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eastAsia="仿宋"/>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4.41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无变化</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pageBreakBefore w:val="0"/>
        <w:kinsoku/>
        <w:wordWrap/>
        <w:overflowPunct/>
        <w:topLinePunct w:val="0"/>
        <w:bidi w:val="0"/>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在公务用车制度改革后，不允许单位购买公务用车。因公出差向机关事务局申请公务用车，公务用车有保障。</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7"/>
        <w:keepNext w:val="0"/>
        <w:keepLines w:val="0"/>
        <w:pageBreakBefore w:val="0"/>
        <w:widowControl w:val="0"/>
        <w:kinsoku/>
        <w:wordWrap/>
        <w:overflowPunct/>
        <w:topLinePunct w:val="0"/>
        <w:autoSpaceDE/>
        <w:autoSpaceDN/>
        <w:bidi w:val="0"/>
        <w:adjustRightInd/>
        <w:snapToGrid/>
        <w:spacing w:before="0" w:beforeAutospacing="0" w:after="0"/>
        <w:ind w:left="0" w:leftChars="0" w:firstLine="640" w:firstLineChars="200"/>
        <w:textAlignment w:val="auto"/>
        <w:rPr>
          <w:rFonts w:hint="eastAsia" w:eastAsia="仿宋_GB2312"/>
          <w:lang w:eastAsia="zh-CN"/>
        </w:rPr>
      </w:pPr>
      <w:r>
        <w:rPr>
          <w:rFonts w:hint="eastAsia" w:ascii="仿宋_GB2312" w:eastAsia="仿宋_GB2312"/>
          <w:color w:val="auto"/>
          <w:sz w:val="32"/>
          <w:szCs w:val="32"/>
          <w:highlight w:val="none"/>
          <w:lang w:eastAsia="zh-CN"/>
        </w:rPr>
        <w:t>未购置公务用车。</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4.41</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42</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1.47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eastAsia="zh-CN"/>
        </w:rPr>
        <w:t>厉行节约及疫情接待减少</w:t>
      </w:r>
      <w:r>
        <w:rPr>
          <w:rFonts w:hint="eastAsia" w:ascii="仿宋_GB2312" w:eastAsia="仿宋_GB2312"/>
          <w:color w:val="auto"/>
          <w:sz w:val="32"/>
          <w:szCs w:val="32"/>
          <w:highlight w:val="none"/>
        </w:rPr>
        <w:t>。其中：</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4.41</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80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700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4.41</w:t>
      </w:r>
      <w:r>
        <w:rPr>
          <w:rFonts w:hint="eastAsia" w:ascii="仿宋_GB2312" w:eastAsia="仿宋_GB2312"/>
          <w:color w:val="auto"/>
          <w:sz w:val="32"/>
          <w:szCs w:val="32"/>
          <w:highlight w:val="none"/>
        </w:rPr>
        <w:t>万元，具体内容包括：</w:t>
      </w:r>
      <w:r>
        <w:rPr>
          <w:rFonts w:hint="eastAsia" w:ascii="仿宋_GB2312" w:hAnsi="仿宋_GB2312" w:eastAsia="仿宋_GB2312" w:cs="仿宋_GB2312"/>
          <w:color w:val="000000" w:themeColor="text1"/>
          <w:sz w:val="32"/>
          <w:szCs w:val="32"/>
          <w14:textFill>
            <w14:solidFill>
              <w14:schemeClr w14:val="tx1"/>
            </w14:solidFill>
          </w14:textFill>
        </w:rPr>
        <w:t>省、市、区政协来川检查指导、考察调研、学习交流及招商引资等服务保障。</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p>
    <w:p>
      <w:pPr>
        <w:spacing w:line="600" w:lineRule="exact"/>
        <w:ind w:firstLine="640"/>
        <w:outlineLvl w:val="1"/>
        <w:rPr>
          <w:rStyle w:val="28"/>
          <w:rFonts w:ascii="黑体" w:hAnsi="黑体" w:eastAsia="黑体"/>
          <w:color w:val="auto"/>
          <w:highlight w:val="none"/>
        </w:rPr>
      </w:pPr>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2"/>
        </w:numPr>
        <w:spacing w:line="600" w:lineRule="exact"/>
        <w:ind w:firstLine="640"/>
        <w:outlineLvl w:val="1"/>
        <w:rPr>
          <w:rStyle w:val="28"/>
          <w:rFonts w:ascii="黑体" w:hAnsi="黑体" w:eastAsia="黑体"/>
          <w:b w:val="0"/>
          <w:color w:val="auto"/>
          <w:highlight w:val="none"/>
        </w:rPr>
      </w:pPr>
      <w:bookmarkStart w:id="42" w:name="_Toc15377219"/>
      <w:bookmarkStart w:id="43" w:name="_Toc15396611"/>
      <w:r>
        <w:rPr>
          <w:rStyle w:val="28"/>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28"/>
          <w:rFonts w:hint="eastAsia" w:ascii="黑体" w:hAnsi="黑体" w:eastAsia="黑体"/>
          <w:b w:val="0"/>
          <w:color w:val="000000" w:themeColor="text1"/>
          <w:highlight w:val="none"/>
          <w14:textFill>
            <w14:solidFill>
              <w14:schemeClr w14:val="tx1"/>
            </w14:solidFill>
          </w14:textFill>
        </w:rPr>
      </w:pPr>
      <w:bookmarkStart w:id="44" w:name="_Toc15377221"/>
      <w:bookmarkStart w:id="45" w:name="_Toc15396612"/>
      <w:r>
        <w:rPr>
          <w:rStyle w:val="28"/>
          <w:rFonts w:hint="eastAsia" w:ascii="黑体" w:hAnsi="黑体" w:eastAsia="黑体"/>
          <w:b w:val="0"/>
          <w:color w:val="000000" w:themeColor="text1"/>
          <w:highlight w:val="none"/>
          <w:lang w:val="en-US" w:eastAsia="zh-CN"/>
          <w14:textFill>
            <w14:solidFill>
              <w14:schemeClr w14:val="tx1"/>
            </w14:solidFill>
          </w14:textFill>
        </w:rPr>
        <w:t>预算绩效管理情况</w:t>
      </w:r>
    </w:p>
    <w:p>
      <w:pPr>
        <w:spacing w:line="580" w:lineRule="exact"/>
        <w:ind w:firstLine="640" w:firstLineChars="200"/>
        <w:rPr>
          <w:rFonts w:hint="eastAsia"/>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信息平台维护使用费等</w:t>
      </w:r>
      <w:r>
        <w:rPr>
          <w:rFonts w:hint="eastAsia" w:ascii="仿宋_GB2312" w:hAnsi="仿宋_GB2312" w:eastAsia="仿宋_GB2312" w:cs="仿宋_GB2312"/>
          <w:color w:val="auto"/>
          <w:sz w:val="32"/>
          <w:szCs w:val="32"/>
          <w:highlight w:val="none"/>
          <w:lang w:val="en-US" w:eastAsia="zh-CN"/>
        </w:rPr>
        <w:t>1个项目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2"/>
        </w:numPr>
        <w:spacing w:line="600" w:lineRule="exact"/>
        <w:ind w:firstLine="640"/>
        <w:outlineLvl w:val="1"/>
        <w:rPr>
          <w:rStyle w:val="28"/>
          <w:rFonts w:hint="eastAsia" w:ascii="黑体" w:hAnsi="黑体" w:eastAsia="黑体"/>
          <w:b w:val="0"/>
          <w:color w:val="auto"/>
          <w:highlight w:val="none"/>
        </w:rPr>
      </w:pPr>
      <w:r>
        <w:rPr>
          <w:rStyle w:val="28"/>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区政协</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1042.93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222.26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21.31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人员增加。</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区政协</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区政协</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Style w:val="2"/>
        <w:rPr>
          <w:rFonts w:hint="eastAsia" w:eastAsia="仿宋_GB2312"/>
          <w:highlight w:val="yellow"/>
          <w:lang w:eastAsia="zh-CN"/>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0"/>
        </w:numPr>
        <w:spacing w:line="600" w:lineRule="exact"/>
        <w:jc w:val="center"/>
        <w:outlineLvl w:val="0"/>
        <w:rPr>
          <w:rStyle w:val="27"/>
          <w:rFonts w:hint="eastAsia" w:ascii="方正小标宋简体" w:hAnsi="方正小标宋简体" w:eastAsia="方正小标宋简体" w:cs="方正小标宋简体"/>
          <w:b w:val="0"/>
          <w:color w:val="auto"/>
          <w:highlight w:val="none"/>
        </w:rPr>
      </w:pPr>
      <w:bookmarkStart w:id="49" w:name="_Toc15377225"/>
      <w:bookmarkStart w:id="50" w:name="_Toc15396613"/>
      <w:r>
        <w:rPr>
          <w:rFonts w:hint="eastAsia" w:ascii="方正小标宋简体" w:hAnsi="方正小标宋简体" w:eastAsia="方正小标宋简体" w:cs="方正小标宋简体"/>
          <w:color w:val="auto"/>
          <w:sz w:val="44"/>
          <w:szCs w:val="44"/>
          <w:highlight w:val="none"/>
          <w:lang w:eastAsia="zh-CN"/>
        </w:rPr>
        <w:t>第三部分</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名</w:t>
      </w:r>
      <w:r>
        <w:rPr>
          <w:rStyle w:val="27"/>
          <w:rFonts w:hint="eastAsia" w:ascii="方正小标宋简体" w:hAnsi="方正小标宋简体" w:eastAsia="方正小标宋简体" w:cs="方正小标宋简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51" w:name="_Toc15396614"/>
      <w:bookmarkStart w:id="52" w:name="_Toc15377226"/>
      <w:r>
        <w:rPr>
          <w:rFonts w:hint="eastAsia" w:ascii="仿宋_GB2312" w:hAnsi="仿宋_GB2312" w:eastAsia="仿宋_GB2312" w:cs="仿宋_GB2312"/>
          <w:color w:val="000000" w:themeColor="text1"/>
          <w:sz w:val="32"/>
          <w:szCs w:val="32"/>
          <w14:textFill>
            <w14:solidFill>
              <w14:schemeClr w14:val="tx1"/>
            </w14:solidFill>
          </w14:textFill>
        </w:rPr>
        <w:t>1.财政拨款收入：指单位从同级财政部门取得的财政预算资金。</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.年初结转和结余：指以前年度尚未完成、结转到本年仍按原规定用途继续使用的资金。</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年末结转和结余：指单位按有关规定结转到下年或以后年度继续使用的资金。</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4.一般公共服务支出（类）政协事务（款）行政运行（项）：指政协四川省广元市昭化区委员会办公室行政单位用于保障机构正常运行、开展日常工作的基本支出。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.社会保障和就业（类）行政事业单位离退休（款）机关事业单位基本养老保险缴费支出（项）：指政协四川省广元市昭化区委员会办公室为机关事业单位职工缴纳基本养老保险支出。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.社会保障和就业（类）行政事业单位离退休（款）机关事业单位职业年金缴费支出（项）：指政协四川省广元市昭化区委员会办公室为机关事业单位职工缴纳职业年金支出。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.卫生健康支出（类）行政事业单位医疗（款）行政单位医疗（项）：指政协四川省广元市昭化区委员会办公室为机关职工缴纳的基本医疗保险。</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.住房保障支出（类）住房改革支出（款）住房公积金（项）：指按照《住房公积金管理条例》的规定，由政协四川省委员会办公厅缴存的在职职工住房公积金。</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.住房保障支出（类）住房改革支出（款）购房补贴（项）：指政协四川省广元市昭化区委员会办公室支付符合政策规定的在职职工的住房公积金。</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.基本支出：指为保障机构正常运转、完成日常工作任务而发生的人员支出和公用支出。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以及其他费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600" w:lineRule="exact"/>
        <w:jc w:val="center"/>
        <w:outlineLvl w:val="0"/>
        <w:rPr>
          <w:rStyle w:val="27"/>
          <w:rFonts w:ascii="黑体" w:hAnsi="黑体" w:eastAsia="黑体"/>
          <w:b w:val="0"/>
          <w:color w:val="auto"/>
          <w:highlight w:val="none"/>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51"/>
    </w:p>
    <w:tbl>
      <w:tblPr>
        <w:tblStyle w:val="15"/>
        <w:tblpPr w:leftFromText="180" w:rightFromText="180" w:vertAnchor="text" w:horzAnchor="page" w:tblpX="1281" w:tblpY="660"/>
        <w:tblOverlap w:val="never"/>
        <w:tblW w:w="9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1219"/>
        <w:gridCol w:w="1322"/>
        <w:gridCol w:w="1323"/>
        <w:gridCol w:w="2234"/>
        <w:gridCol w:w="168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83"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highlight w:val="none"/>
                <w:u w:val="none"/>
                <w:lang w:val="en-US" w:eastAsia="zh-CN"/>
              </w:rPr>
              <w:t>2021年部门预算项目绩效目标自评</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131101</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昭化区政协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28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18万元</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2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18万元</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2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年度总体目标完成情况</w:t>
            </w:r>
          </w:p>
        </w:tc>
        <w:tc>
          <w:tcPr>
            <w:tcW w:w="3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该项预算经费为信息平台使用费1</w:t>
            </w:r>
            <w:r>
              <w:rPr>
                <w:rFonts w:hint="eastAsia" w:ascii="宋体" w:hAnsi="宋体" w:cs="宋体"/>
                <w:i w:val="0"/>
                <w:color w:val="auto"/>
                <w:sz w:val="24"/>
                <w:szCs w:val="24"/>
                <w:u w:val="none"/>
                <w:lang w:val="en-US" w:eastAsia="zh-CN"/>
              </w:rPr>
              <w:t>8</w:t>
            </w:r>
            <w:r>
              <w:rPr>
                <w:rFonts w:hint="eastAsia" w:ascii="宋体" w:hAnsi="宋体" w:eastAsia="宋体" w:cs="宋体"/>
                <w:i w:val="0"/>
                <w:color w:val="auto"/>
                <w:sz w:val="24"/>
                <w:szCs w:val="24"/>
                <w:u w:val="none"/>
              </w:rPr>
              <w:t>万元，主要用于保障区政协信息平台使用工作经费，使信息平台使用正常运转，提高工作效率。</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达到预期目标，信息平台使用率达</w:t>
            </w:r>
            <w:r>
              <w:rPr>
                <w:rFonts w:hint="eastAsia" w:ascii="宋体" w:hAnsi="宋体" w:cs="宋体"/>
                <w:i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16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年度绩效指标完成情况</w:t>
            </w:r>
          </w:p>
        </w:tc>
        <w:tc>
          <w:tcPr>
            <w:tcW w:w="12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预期指标值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数量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覆盖</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对象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覆盖所有政协委员和工作人员，通知信息及时下达，保障工作顺利开展</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信息到达率</w:t>
            </w:r>
            <w:r>
              <w:rPr>
                <w:rFonts w:hint="eastAsia" w:ascii="宋体" w:hAnsi="宋体" w:eastAsia="宋体" w:cs="宋体"/>
                <w:i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质量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系统维护及时</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对系统故障及正常维护都能及时维护，确保不影响工作开展</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系统使用正常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时效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正常运转</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及时下发通知信息，及时维护系统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信息发送及时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成本</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控制成本，及时兑付工作经费</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严格控制，平台使用费及时到位，按时支付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经济效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益指标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设备利用率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设备利用率高，利用率100%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设备利用率</w:t>
            </w:r>
            <w:r>
              <w:rPr>
                <w:rFonts w:hint="eastAsia" w:ascii="宋体" w:hAnsi="宋体" w:eastAsia="宋体" w:cs="宋体"/>
                <w:i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社会效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益指标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系统正常运行率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系统正常运转，长期使用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eastAsia="zh-CN"/>
              </w:rPr>
              <w:t>系统长期运行正常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生态效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益指标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可持续影响指标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系统正常运行时间</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系统正常运行，长期运行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系统长期运行正常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度指标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公众满意度(%)</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满意率100%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满意率100%</w:t>
            </w:r>
          </w:p>
        </w:tc>
      </w:tr>
    </w:tbl>
    <w:p>
      <w:pPr>
        <w:spacing w:line="600" w:lineRule="exact"/>
        <w:jc w:val="left"/>
        <w:outlineLvl w:val="0"/>
        <w:rPr>
          <w:rFonts w:hint="eastAsia" w:ascii="黑体" w:hAnsi="黑体" w:eastAsia="黑体"/>
          <w:color w:val="auto"/>
          <w:sz w:val="44"/>
          <w:szCs w:val="44"/>
          <w:highlight w:val="none"/>
          <w:lang w:eastAsia="zh-CN"/>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52"/>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57"/>
    </w:p>
    <w:p>
      <w:pPr>
        <w:pStyle w:val="4"/>
        <w:rPr>
          <w:rStyle w:val="28"/>
          <w:rFonts w:ascii="仿宋" w:hAnsi="仿宋" w:eastAsia="仿宋"/>
          <w:b w:val="0"/>
          <w:bCs w:val="0"/>
          <w:color w:val="auto"/>
          <w:highlight w:val="none"/>
        </w:rPr>
      </w:pPr>
      <w:bookmarkStart w:id="58"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8"/>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府性基金预算财政拨款“三公”经费支出决算表</w:t>
      </w:r>
      <w:bookmarkEnd w:id="65"/>
    </w:p>
    <w:p>
      <w:pPr>
        <w:pStyle w:val="4"/>
        <w:rPr>
          <w:rStyle w:val="28"/>
          <w:rFonts w:hint="eastAsia" w:ascii="仿宋" w:hAnsi="仿宋" w:eastAsia="仿宋"/>
          <w:b w:val="0"/>
          <w:bCs w:val="0"/>
          <w:color w:val="auto"/>
          <w:highlight w:val="none"/>
        </w:rPr>
      </w:pPr>
      <w:bookmarkStart w:id="66" w:name="_Toc15396631"/>
      <w:r>
        <w:rPr>
          <w:rStyle w:val="28"/>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8"/>
          <w:rFonts w:hint="eastAsia" w:ascii="仿宋" w:hAnsi="仿宋" w:eastAsia="仿宋"/>
          <w:b w:val="0"/>
          <w:bCs w:val="0"/>
          <w:color w:val="auto"/>
          <w:highlight w:val="none"/>
          <w:lang w:eastAsia="zh-CN"/>
        </w:rPr>
        <w:t>十四、国有资本经营预算财政拨款支出决算表</w:t>
      </w:r>
    </w:p>
    <w:sectPr>
      <w:footerReference r:id="rId5" w:type="firs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DJmNzQxNmRiYWM5NGU5NjI1YWI1NWM3OWRlMG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8F1DE5"/>
    <w:rsid w:val="043266CF"/>
    <w:rsid w:val="04700DA8"/>
    <w:rsid w:val="04D40195"/>
    <w:rsid w:val="05B179FC"/>
    <w:rsid w:val="0648193A"/>
    <w:rsid w:val="09221B15"/>
    <w:rsid w:val="09493B12"/>
    <w:rsid w:val="0A2032A3"/>
    <w:rsid w:val="0ADE46E3"/>
    <w:rsid w:val="0AE0593C"/>
    <w:rsid w:val="0B8A37D8"/>
    <w:rsid w:val="0B9C23C4"/>
    <w:rsid w:val="0E9D60FF"/>
    <w:rsid w:val="10C055FF"/>
    <w:rsid w:val="118107EC"/>
    <w:rsid w:val="11DD6519"/>
    <w:rsid w:val="16BB723D"/>
    <w:rsid w:val="17386F39"/>
    <w:rsid w:val="18015F3F"/>
    <w:rsid w:val="191E60EB"/>
    <w:rsid w:val="19935AE9"/>
    <w:rsid w:val="1BE8440E"/>
    <w:rsid w:val="1CE12119"/>
    <w:rsid w:val="1D155CEE"/>
    <w:rsid w:val="1E481C11"/>
    <w:rsid w:val="1EDB712F"/>
    <w:rsid w:val="202D3B9A"/>
    <w:rsid w:val="20F57F95"/>
    <w:rsid w:val="21A62E31"/>
    <w:rsid w:val="21B759E7"/>
    <w:rsid w:val="23D15EC8"/>
    <w:rsid w:val="240371BF"/>
    <w:rsid w:val="24EE1B49"/>
    <w:rsid w:val="25C741E6"/>
    <w:rsid w:val="265E0B0C"/>
    <w:rsid w:val="27842671"/>
    <w:rsid w:val="27DC390C"/>
    <w:rsid w:val="29617175"/>
    <w:rsid w:val="29FD04D3"/>
    <w:rsid w:val="2A341702"/>
    <w:rsid w:val="2ABE7A3E"/>
    <w:rsid w:val="2BA2191C"/>
    <w:rsid w:val="2BFA09B4"/>
    <w:rsid w:val="2D847331"/>
    <w:rsid w:val="2EFA178C"/>
    <w:rsid w:val="2F0957D2"/>
    <w:rsid w:val="2F8F575F"/>
    <w:rsid w:val="30B46D73"/>
    <w:rsid w:val="319A50E3"/>
    <w:rsid w:val="319F7F4E"/>
    <w:rsid w:val="349C4610"/>
    <w:rsid w:val="34D643A8"/>
    <w:rsid w:val="3646224F"/>
    <w:rsid w:val="37F06B06"/>
    <w:rsid w:val="38426BDF"/>
    <w:rsid w:val="387B7C13"/>
    <w:rsid w:val="39AE70AB"/>
    <w:rsid w:val="3C0C0783"/>
    <w:rsid w:val="3F795B0E"/>
    <w:rsid w:val="3F9F3A96"/>
    <w:rsid w:val="44286E9F"/>
    <w:rsid w:val="444A2031"/>
    <w:rsid w:val="451726A2"/>
    <w:rsid w:val="452A6AEB"/>
    <w:rsid w:val="4583704D"/>
    <w:rsid w:val="493C27E9"/>
    <w:rsid w:val="496F39ED"/>
    <w:rsid w:val="49FF41D3"/>
    <w:rsid w:val="4A185DC8"/>
    <w:rsid w:val="4BE068DB"/>
    <w:rsid w:val="4BF6002B"/>
    <w:rsid w:val="4D573446"/>
    <w:rsid w:val="4ECE2238"/>
    <w:rsid w:val="4F7A0D60"/>
    <w:rsid w:val="50674548"/>
    <w:rsid w:val="51DB4B86"/>
    <w:rsid w:val="51EA2D7A"/>
    <w:rsid w:val="527B16B2"/>
    <w:rsid w:val="5391450A"/>
    <w:rsid w:val="54CC42D7"/>
    <w:rsid w:val="55333C3E"/>
    <w:rsid w:val="57581590"/>
    <w:rsid w:val="5B652778"/>
    <w:rsid w:val="5CD711E9"/>
    <w:rsid w:val="5DF8710D"/>
    <w:rsid w:val="63E15DFA"/>
    <w:rsid w:val="64CA39A1"/>
    <w:rsid w:val="67EC4289"/>
    <w:rsid w:val="6ADA20D7"/>
    <w:rsid w:val="6C4A05C8"/>
    <w:rsid w:val="70C115F5"/>
    <w:rsid w:val="72734D90"/>
    <w:rsid w:val="72F80279"/>
    <w:rsid w:val="747F7AC9"/>
    <w:rsid w:val="74E366CA"/>
    <w:rsid w:val="74F12D31"/>
    <w:rsid w:val="76B333FC"/>
    <w:rsid w:val="79E7B28D"/>
    <w:rsid w:val="7A726A8C"/>
    <w:rsid w:val="7B0A2559"/>
    <w:rsid w:val="7B304A24"/>
    <w:rsid w:val="7F492E62"/>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beforeLines="30"/>
    </w:pPr>
    <w:rPr>
      <w:rFonts w:ascii="仿宋_GB2312" w:eastAsia="仿宋_GB2312"/>
      <w:kern w:val="0"/>
      <w:sz w:val="30"/>
    </w:rPr>
  </w:style>
  <w:style w:type="paragraph" w:styleId="6">
    <w:name w:val="Body Text Indent"/>
    <w:basedOn w:val="1"/>
    <w:next w:val="7"/>
    <w:qFormat/>
    <w:uiPriority w:val="99"/>
    <w:pPr>
      <w:spacing w:after="120"/>
      <w:ind w:left="420" w:leftChars="200"/>
    </w:pPr>
  </w:style>
  <w:style w:type="paragraph" w:styleId="7">
    <w:name w:val="Body Text First Indent 2"/>
    <w:basedOn w:val="6"/>
    <w:next w:val="1"/>
    <w:qFormat/>
    <w:uiPriority w:val="99"/>
    <w:pPr>
      <w:spacing w:before="100" w:beforeAutospacing="1"/>
      <w:ind w:left="0"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unhideWhenUsed/>
    <w:qFormat/>
    <w:uiPriority w:val="99"/>
    <w:pPr>
      <w:ind w:left="400" w:leftChars="200" w:hanging="200" w:hangingChars="200"/>
    </w:pPr>
    <w:rPr>
      <w:rFonts w:ascii="Times New Roman" w:hAnsi="Times New Roman" w:eastAsia="宋体" w:cs="Times New Roman"/>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solidFill>
                  <a:schemeClr val="tx1"/>
                </a:solidFill>
                <a:latin typeface="黑体" panose="02010609060101010101" charset="-122"/>
                <a:ea typeface="黑体" panose="02010609060101010101" charset="-122"/>
              </a:rPr>
              <a:t>收、支决算总计变动情况图</a:t>
            </a:r>
            <a:endParaRPr sz="1600">
              <a:latin typeface="黑体" panose="02010609060101010101" charset="-122"/>
              <a:ea typeface="黑体" panose="0201060906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en-US" sz="1200">
                <a:solidFill>
                  <a:schemeClr val="tx1"/>
                </a:solidFill>
                <a:latin typeface="+mn-ea"/>
                <a:cs typeface="+mn-ea"/>
              </a:rPr>
              <a:t>单位：万元</a:t>
            </a:r>
            <a:endParaRPr altLang="en-US" sz="1200">
              <a:solidFill>
                <a:schemeClr val="tx1"/>
              </a:solidFill>
              <a:latin typeface="+mn-ea"/>
              <a:cs typeface="+mn-ea"/>
            </a:endParaRPr>
          </a:p>
        </c:rich>
      </c:tx>
      <c:layout/>
      <c:overlay val="0"/>
      <c:spPr>
        <a:noFill/>
        <a:ln>
          <a:noFill/>
        </a:ln>
        <a:effectLst/>
      </c:spPr>
    </c:title>
    <c:autoTitleDeleted val="0"/>
    <c:plotArea>
      <c:layout>
        <c:manualLayout>
          <c:layoutTarget val="inner"/>
          <c:xMode val="edge"/>
          <c:yMode val="edge"/>
          <c:x val="0.0787"/>
          <c:y val="0.196166666666667"/>
          <c:w val="0.891675"/>
          <c:h val="0.6469"/>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02125"/>
                  <c:y val="-0.2548333333333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30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c:v>
                </c:pt>
                <c:pt idx="1">
                  <c:v>2021年度</c:v>
                </c:pt>
              </c:strCache>
            </c:strRef>
          </c:cat>
          <c:val>
            <c:numRef>
              <c:f>Sheet1!$B$2:$B$3</c:f>
              <c:numCache>
                <c:formatCode>General</c:formatCode>
                <c:ptCount val="2"/>
                <c:pt idx="0">
                  <c:v>1074.05</c:v>
                </c:pt>
                <c:pt idx="1">
                  <c:v>1200.97</c:v>
                </c:pt>
              </c:numCache>
            </c:numRef>
          </c:val>
        </c:ser>
        <c:dLbls>
          <c:showLegendKey val="0"/>
          <c:showVal val="0"/>
          <c:showCatName val="0"/>
          <c:showSerName val="0"/>
          <c:showPercent val="0"/>
          <c:showBubbleSize val="0"/>
        </c:dLbls>
        <c:gapWidth val="150"/>
        <c:overlap val="100"/>
        <c:axId val="369374510"/>
        <c:axId val="226841436"/>
      </c:barChart>
      <c:catAx>
        <c:axId val="369374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41436"/>
        <c:crosses val="autoZero"/>
        <c:auto val="1"/>
        <c:lblAlgn val="ctr"/>
        <c:lblOffset val="100"/>
        <c:noMultiLvlLbl val="0"/>
      </c:catAx>
      <c:valAx>
        <c:axId val="226841436"/>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374510"/>
        <c:crosses val="autoZero"/>
        <c:crossBetween val="between"/>
      </c:valAx>
      <c:spPr>
        <a:noFill/>
        <a:ln>
          <a:noFill/>
        </a:ln>
        <a:effectLst/>
      </c:spPr>
    </c:plotArea>
    <c:legend>
      <c:legendPos val="b"/>
      <c:layout>
        <c:manualLayout>
          <c:xMode val="edge"/>
          <c:yMode val="edge"/>
          <c:x val="0.075125"/>
          <c:y val="0.924166666666667"/>
          <c:w val="0.69187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收入决算结构图</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176244211628545"/>
                  <c:y val="-0.3677874999991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lt1"/>
                        </a:solidFill>
                        <a:latin typeface="+mn-lt"/>
                        <a:ea typeface="+mn-ea"/>
                        <a:cs typeface="+mn-cs"/>
                      </a:defRPr>
                    </a:pPr>
                    <a:r>
                      <a:rPr lang="en-US" altLang="zh-CN">
                        <a:solidFill>
                          <a:schemeClr val="lt1"/>
                        </a:solidFill>
                        <a:latin typeface="+mn-lt"/>
                        <a:ea typeface="+mn-ea"/>
                        <a:cs typeface="+mn-cs"/>
                      </a:rPr>
                      <a:t>1195.36</a:t>
                    </a:r>
                    <a:r>
                      <a:rPr altLang="en-US">
                        <a:solidFill>
                          <a:schemeClr val="lt1"/>
                        </a:solidFill>
                        <a:latin typeface="+mn-lt"/>
                        <a:ea typeface="+mn-ea"/>
                        <a:cs typeface="+mn-cs"/>
                      </a:rPr>
                      <a:t>万元（占比</a:t>
                    </a:r>
                    <a:r>
                      <a:rPr lang="en-US" altLang="zh-CN">
                        <a:solidFill>
                          <a:schemeClr val="lt1"/>
                        </a:solidFill>
                        <a:latin typeface="+mn-lt"/>
                        <a:ea typeface="+mn-ea"/>
                        <a:cs typeface="+mn-cs"/>
                      </a:rPr>
                      <a:t>100%</a:t>
                    </a:r>
                    <a:r>
                      <a:rPr altLang="en-US">
                        <a:solidFill>
                          <a:schemeClr val="lt1"/>
                        </a:solidFill>
                        <a:latin typeface="+mn-lt"/>
                        <a:ea typeface="+mn-ea"/>
                        <a:cs typeface="+mn-cs"/>
                      </a:rPr>
                      <a:t>）</a:t>
                    </a:r>
                    <a:endParaRPr altLang="en-US">
                      <a:solidFill>
                        <a:schemeClr val="lt1"/>
                      </a:solidFill>
                      <a:latin typeface="+mn-lt"/>
                      <a:ea typeface="+mn-ea"/>
                      <a:cs typeface="+mn-cs"/>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33275"/>
                      <c:h val="0.3115"/>
                    </c:manualLayout>
                  </c15:layout>
                </c:ext>
              </c:extLst>
            </c:dLbl>
            <c:dLbl>
              <c:idx val="1"/>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dLbl>
              <c:idx val="2"/>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dLbl>
              <c:idx val="3"/>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dLbl>
              <c:idx val="4"/>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dLbl>
              <c:idx val="5"/>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dLbl>
              <c:idx val="6"/>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dLbl>
              <c:idx val="7"/>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支出决算结构图</a:t>
            </a:r>
          </a:p>
        </c:rich>
      </c:tx>
      <c:layout>
        <c:manualLayout>
          <c:xMode val="edge"/>
          <c:yMode val="edge"/>
          <c:x val="0.325125"/>
          <c:y val="0.02"/>
        </c:manualLayout>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098744211628545"/>
                  <c:y val="-0.2894541666657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lt1"/>
                        </a:solidFill>
                        <a:latin typeface="+mn-lt"/>
                        <a:ea typeface="+mn-ea"/>
                        <a:cs typeface="+mn-cs"/>
                      </a:defRPr>
                    </a:pPr>
                    <a:r>
                      <a:rPr lang="en-US" altLang="zh-CN">
                        <a:solidFill>
                          <a:schemeClr val="lt1"/>
                        </a:solidFill>
                        <a:latin typeface="+mn-lt"/>
                        <a:ea typeface="+mn-ea"/>
                        <a:cs typeface="+mn-cs"/>
                      </a:rPr>
                      <a:t>1196.82</a:t>
                    </a:r>
                    <a:r>
                      <a:rPr altLang="en-US">
                        <a:solidFill>
                          <a:schemeClr val="lt1"/>
                        </a:solidFill>
                        <a:latin typeface="+mn-lt"/>
                        <a:ea typeface="+mn-ea"/>
                        <a:cs typeface="+mn-cs"/>
                      </a:rPr>
                      <a:t>万元（占比</a:t>
                    </a:r>
                    <a:r>
                      <a:rPr lang="en-US" altLang="zh-CN">
                        <a:solidFill>
                          <a:schemeClr val="lt1"/>
                        </a:solidFill>
                        <a:latin typeface="+mn-lt"/>
                        <a:ea typeface="+mn-ea"/>
                        <a:cs typeface="+mn-cs"/>
                      </a:rPr>
                      <a:t>100%</a:t>
                    </a:r>
                    <a:r>
                      <a:rPr altLang="en-US">
                        <a:solidFill>
                          <a:schemeClr val="lt1"/>
                        </a:solidFill>
                        <a:latin typeface="+mn-lt"/>
                        <a:ea typeface="+mn-ea"/>
                        <a:cs typeface="+mn-cs"/>
                      </a:rPr>
                      <a:t>）</a:t>
                    </a:r>
                    <a:endParaRPr altLang="en-US">
                      <a:solidFill>
                        <a:schemeClr val="lt1"/>
                      </a:solidFill>
                      <a:latin typeface="+mn-lt"/>
                      <a:ea typeface="+mn-ea"/>
                      <a:cs typeface="+mn-cs"/>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404375"/>
                      <c:h val="0.360666666666667"/>
                    </c:manualLayout>
                  </c15:layout>
                </c:ext>
              </c:extLst>
            </c:dLbl>
            <c:dLbl>
              <c:idx val="1"/>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dLbl>
              <c:idx val="2"/>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dLbl>
              <c:idx val="3"/>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dLbl>
              <c:idx val="4"/>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extLst>
                <c:ext xmlns:c15="http://schemas.microsoft.com/office/drawing/2012/chart" uri="{CE6537A1-D6FC-4f65-9D91-7224C49458BB}"/>
              </c:extLst>
            </c:dLbl>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c:formatCode>
                <c:ptCount val="5"/>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solidFill>
                  <a:schemeClr val="tx1"/>
                </a:solidFill>
                <a:latin typeface="黑体" panose="02010609060101010101" charset="-122"/>
                <a:ea typeface="黑体" panose="02010609060101010101" charset="-122"/>
              </a:rPr>
              <a:t>财政拨款收、支决算总计变动情况</a:t>
            </a:r>
            <a:endParaRPr sz="1600">
              <a:latin typeface="黑体" panose="02010609060101010101" charset="-122"/>
              <a:ea typeface="黑体" panose="0201060906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en-US" sz="1200">
                <a:solidFill>
                  <a:schemeClr val="tx1"/>
                </a:solidFill>
                <a:latin typeface="+mn-ea"/>
                <a:cs typeface="+mn-ea"/>
              </a:rPr>
              <a:t>单位：万元</a:t>
            </a:r>
            <a:endParaRPr altLang="en-US" sz="1200">
              <a:solidFill>
                <a:schemeClr val="tx1"/>
              </a:solidFill>
              <a:latin typeface="+mn-ea"/>
              <a:cs typeface="+mn-ea"/>
            </a:endParaRPr>
          </a:p>
        </c:rich>
      </c:tx>
      <c:layout/>
      <c:overlay val="0"/>
      <c:spPr>
        <a:noFill/>
        <a:ln>
          <a:noFill/>
        </a:ln>
        <a:effectLst/>
      </c:spPr>
    </c:title>
    <c:autoTitleDeleted val="0"/>
    <c:plotArea>
      <c:layout>
        <c:manualLayout>
          <c:layoutTarget val="inner"/>
          <c:xMode val="edge"/>
          <c:yMode val="edge"/>
          <c:x val="0.0787"/>
          <c:y val="0.196166666666667"/>
          <c:w val="0.891675"/>
          <c:h val="0.6469"/>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02125"/>
                  <c:y val="-0.2548333333333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30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c:v>
                </c:pt>
                <c:pt idx="1">
                  <c:v>2021年度</c:v>
                </c:pt>
              </c:strCache>
            </c:strRef>
          </c:cat>
          <c:val>
            <c:numRef>
              <c:f>Sheet1!$B$2:$B$3</c:f>
              <c:numCache>
                <c:formatCode>General</c:formatCode>
                <c:ptCount val="2"/>
                <c:pt idx="0">
                  <c:v>1074.05</c:v>
                </c:pt>
                <c:pt idx="1">
                  <c:v>1200.97</c:v>
                </c:pt>
              </c:numCache>
            </c:numRef>
          </c:val>
        </c:ser>
        <c:dLbls>
          <c:showLegendKey val="0"/>
          <c:showVal val="0"/>
          <c:showCatName val="0"/>
          <c:showSerName val="0"/>
          <c:showPercent val="0"/>
          <c:showBubbleSize val="0"/>
        </c:dLbls>
        <c:gapWidth val="150"/>
        <c:overlap val="100"/>
        <c:axId val="369374510"/>
        <c:axId val="226841436"/>
      </c:barChart>
      <c:catAx>
        <c:axId val="369374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41436"/>
        <c:crosses val="autoZero"/>
        <c:auto val="1"/>
        <c:lblAlgn val="ctr"/>
        <c:lblOffset val="100"/>
        <c:noMultiLvlLbl val="0"/>
      </c:catAx>
      <c:valAx>
        <c:axId val="226841436"/>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374510"/>
        <c:crosses val="autoZero"/>
        <c:crossBetween val="between"/>
      </c:valAx>
      <c:spPr>
        <a:noFill/>
        <a:ln>
          <a:noFill/>
        </a:ln>
        <a:effectLst/>
      </c:spPr>
    </c:plotArea>
    <c:legend>
      <c:legendPos val="b"/>
      <c:layout>
        <c:manualLayout>
          <c:xMode val="edge"/>
          <c:yMode val="edge"/>
          <c:x val="0.075125"/>
          <c:y val="0.924166666666667"/>
          <c:w val="0.69187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solidFill>
                  <a:schemeClr val="tx1"/>
                </a:solidFill>
                <a:latin typeface="黑体" panose="02010609060101010101" charset="-122"/>
                <a:ea typeface="黑体" panose="02010609060101010101" charset="-122"/>
              </a:rPr>
              <a:t>一般公共预算财政拨款支出决算变动情况</a:t>
            </a:r>
            <a:endParaRPr sz="1600">
              <a:latin typeface="黑体" panose="02010609060101010101" charset="-122"/>
              <a:ea typeface="黑体" panose="0201060906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en-US" sz="1200">
                <a:solidFill>
                  <a:schemeClr val="tx1"/>
                </a:solidFill>
                <a:latin typeface="+mn-ea"/>
                <a:cs typeface="+mn-ea"/>
              </a:rPr>
              <a:t>单位：万元</a:t>
            </a:r>
            <a:endParaRPr altLang="en-US" sz="1200">
              <a:solidFill>
                <a:schemeClr val="tx1"/>
              </a:solidFill>
              <a:latin typeface="+mn-ea"/>
              <a:cs typeface="+mn-ea"/>
            </a:endParaRPr>
          </a:p>
        </c:rich>
      </c:tx>
      <c:layout/>
      <c:overlay val="0"/>
      <c:spPr>
        <a:noFill/>
        <a:ln>
          <a:noFill/>
        </a:ln>
        <a:effectLst/>
      </c:spPr>
    </c:title>
    <c:autoTitleDeleted val="0"/>
    <c:plotArea>
      <c:layout>
        <c:manualLayout>
          <c:layoutTarget val="inner"/>
          <c:xMode val="edge"/>
          <c:yMode val="edge"/>
          <c:x val="0.0787"/>
          <c:y val="0.196166666666667"/>
          <c:w val="0.891675"/>
          <c:h val="0.6469"/>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02125"/>
                  <c:y val="-0.2548333333333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30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c:v>
                </c:pt>
                <c:pt idx="1">
                  <c:v>2021年度</c:v>
                </c:pt>
              </c:strCache>
            </c:strRef>
          </c:cat>
          <c:val>
            <c:numRef>
              <c:f>Sheet1!$B$2:$B$3</c:f>
              <c:numCache>
                <c:formatCode>General</c:formatCode>
                <c:ptCount val="2"/>
                <c:pt idx="0">
                  <c:v>1074.05</c:v>
                </c:pt>
                <c:pt idx="1">
                  <c:v>1200.97</c:v>
                </c:pt>
              </c:numCache>
            </c:numRef>
          </c:val>
        </c:ser>
        <c:dLbls>
          <c:showLegendKey val="0"/>
          <c:showVal val="0"/>
          <c:showCatName val="0"/>
          <c:showSerName val="0"/>
          <c:showPercent val="0"/>
          <c:showBubbleSize val="0"/>
        </c:dLbls>
        <c:gapWidth val="150"/>
        <c:overlap val="100"/>
        <c:axId val="369374510"/>
        <c:axId val="226841436"/>
      </c:barChart>
      <c:catAx>
        <c:axId val="369374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41436"/>
        <c:crosses val="autoZero"/>
        <c:auto val="1"/>
        <c:lblAlgn val="ctr"/>
        <c:lblOffset val="100"/>
        <c:noMultiLvlLbl val="0"/>
      </c:catAx>
      <c:valAx>
        <c:axId val="226841436"/>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374510"/>
        <c:crosses val="autoZero"/>
        <c:crossBetween val="between"/>
      </c:valAx>
      <c:spPr>
        <a:noFill/>
        <a:ln>
          <a:noFill/>
        </a:ln>
        <a:effectLst/>
      </c:spPr>
    </c:plotArea>
    <c:legend>
      <c:legendPos val="b"/>
      <c:layout>
        <c:manualLayout>
          <c:xMode val="edge"/>
          <c:yMode val="edge"/>
          <c:x val="0.075125"/>
          <c:y val="0.924166666666667"/>
          <c:w val="0.69187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manualLayout>
          <c:xMode val="edge"/>
          <c:yMode val="edge"/>
          <c:x val="0.19125"/>
          <c:y val="0.005"/>
        </c:manualLayout>
      </c:layout>
      <c:overlay val="0"/>
      <c:spPr>
        <a:noFill/>
        <a:ln>
          <a:noFill/>
        </a:ln>
        <a:effectLst/>
      </c:spPr>
    </c:title>
    <c:autoTitleDeleted val="0"/>
    <c:plotArea>
      <c:layout>
        <c:manualLayout>
          <c:layoutTarget val="inner"/>
          <c:xMode val="edge"/>
          <c:yMode val="edge"/>
          <c:x val="0.248925"/>
          <c:y val="0.169983333333333"/>
          <c:w val="0.50215"/>
          <c:h val="0.669533333333333"/>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42359302167215"/>
                  <c:y val="-0.2167600210898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1042.94</a:t>
                    </a:r>
                    <a:r>
                      <a:rPr altLang="en-US"/>
                      <a:t>万元（占比</a:t>
                    </a:r>
                    <a:r>
                      <a:rPr lang="en-US" altLang="zh-CN"/>
                      <a:t>87.14%</a:t>
                    </a:r>
                    <a:r>
                      <a:rPr altLang="en-US"/>
                      <a:t>）</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835"/>
                      <c:h val="0.0728333333333333"/>
                    </c:manualLayout>
                  </c15:layout>
                </c:ext>
              </c:extLst>
            </c:dLbl>
            <c:dLbl>
              <c:idx val="1"/>
              <c:layout>
                <c:manualLayout>
                  <c:x val="-0.126800846800193"/>
                  <c:y val="0.0585871523897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77.34</a:t>
                    </a:r>
                    <a:r>
                      <a:rPr altLang="en-US"/>
                      <a:t>万元（占比</a:t>
                    </a:r>
                    <a:r>
                      <a:rPr lang="en-US" altLang="zh-CN"/>
                      <a:t>6.46%</a:t>
                    </a:r>
                    <a:r>
                      <a:rPr altLang="en-US"/>
                      <a:t>）</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12753977385198"/>
                  <c:y val="-0.016032065627427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20.43</a:t>
                    </a:r>
                    <a:r>
                      <a:rPr altLang="en-US"/>
                      <a:t>万元（占比</a:t>
                    </a:r>
                    <a:r>
                      <a:rPr lang="en-US" altLang="zh-CN"/>
                      <a:t>1.71%</a:t>
                    </a:r>
                    <a:r>
                      <a:rPr altLang="en-US"/>
                      <a:t>）</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20625"/>
                      <c:h val="0.0896666666666667"/>
                    </c:manualLayout>
                  </c15:layout>
                </c:ext>
              </c:extLst>
            </c:dLbl>
            <c:dLbl>
              <c:idx val="3"/>
              <c:layout>
                <c:manualLayout>
                  <c:x val="0.201875"/>
                  <c:y val="-0.005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56.11</a:t>
                    </a:r>
                    <a:r>
                      <a:rPr altLang="en-US"/>
                      <a:t>万元（占比</a:t>
                    </a:r>
                    <a:r>
                      <a:rPr lang="en-US" altLang="zh-CN"/>
                      <a:t>4.69%</a:t>
                    </a:r>
                    <a:r>
                      <a:rPr altLang="en-US"/>
                      <a:t>）</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3425"/>
                      <c:h val="0.09133333333333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0.00%</c:formatCode>
                <c:ptCount val="4"/>
                <c:pt idx="0">
                  <c:v>0.8714</c:v>
                </c:pt>
                <c:pt idx="1">
                  <c:v>0.0646</c:v>
                </c:pt>
                <c:pt idx="2">
                  <c:v>0.0171</c:v>
                </c:pt>
                <c:pt idx="3">
                  <c:v>0.0469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10068</Words>
  <Characters>11303</Characters>
  <Lines>61</Lines>
  <Paragraphs>17</Paragraphs>
  <TotalTime>2</TotalTime>
  <ScaleCrop>false</ScaleCrop>
  <LinksUpToDate>false</LinksUpToDate>
  <CharactersWithSpaces>11330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A7</cp:lastModifiedBy>
  <cp:lastPrinted>2022-09-23T01:31:00Z</cp:lastPrinted>
  <dcterms:modified xsi:type="dcterms:W3CDTF">2022-09-29T08:14:06Z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97DB19CF76E14587924EB77857E35B53</vt:lpwstr>
  </property>
</Properties>
</file>