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hint="default" w:ascii="方正小标宋简体" w:hAnsi="宋体" w:eastAsia="方正小标宋简体"/>
          <w:color w:val="auto"/>
          <w:sz w:val="72"/>
          <w:szCs w:val="72"/>
          <w:highlight w:val="none"/>
          <w:lang w:val="en-US" w:eastAsia="zh-CN"/>
        </w:rPr>
      </w:pPr>
      <w:bookmarkStart w:id="0" w:name="_Toc15306267"/>
      <w:r>
        <w:rPr>
          <w:rFonts w:hint="eastAsia" w:ascii="方正小标宋简体" w:hAnsi="宋体" w:eastAsia="方正小标宋简体"/>
          <w:color w:val="auto"/>
          <w:sz w:val="72"/>
          <w:szCs w:val="72"/>
          <w:highlight w:val="none"/>
          <w:lang w:val="en-US" w:eastAsia="zh-CN"/>
        </w:rPr>
        <w:t xml:space="preserve"> </w:t>
      </w:r>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96475"/>
      <w:bookmarkStart w:id="2" w:name="_Toc16390"/>
      <w:bookmarkStart w:id="3" w:name="_Toc15377425"/>
      <w:bookmarkStart w:id="4" w:name="_Toc15396597"/>
      <w:bookmarkStart w:id="5" w:name="_Toc15377193"/>
      <w:bookmarkStart w:id="6" w:name="_Toc15378441"/>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bookmarkEnd w:id="6"/>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7" w:name="_Toc15377194"/>
      <w:bookmarkStart w:id="8" w:name="_Toc22008"/>
      <w:bookmarkStart w:id="9" w:name="_Toc15378442"/>
      <w:bookmarkStart w:id="10" w:name="_Toc15396598"/>
      <w:bookmarkStart w:id="11" w:name="_Toc15396476"/>
      <w:bookmarkStart w:id="12" w:name="_Toc15377426"/>
      <w:r>
        <w:rPr>
          <w:rFonts w:hint="eastAsia" w:ascii="方正小标宋简体" w:hAnsi="方正小标宋简体" w:eastAsia="方正小标宋简体" w:cs="方正小标宋简体"/>
          <w:color w:val="auto"/>
          <w:sz w:val="72"/>
          <w:szCs w:val="72"/>
          <w:highlight w:val="none"/>
        </w:rPr>
        <w:t>四川省</w:t>
      </w:r>
      <w:bookmarkEnd w:id="0"/>
      <w:bookmarkStart w:id="13" w:name="_Toc15306268"/>
      <w:r>
        <w:rPr>
          <w:rFonts w:hint="eastAsia" w:ascii="方正小标宋简体" w:hAnsi="方正小标宋简体" w:eastAsia="方正小标宋简体" w:cs="方正小标宋简体"/>
          <w:color w:val="auto"/>
          <w:sz w:val="72"/>
          <w:szCs w:val="72"/>
          <w:highlight w:val="none"/>
          <w:lang w:eastAsia="zh-CN"/>
        </w:rPr>
        <w:t>广元市昭化区妇女联合会单位</w:t>
      </w:r>
      <w:r>
        <w:rPr>
          <w:rFonts w:hint="eastAsia" w:ascii="方正小标宋简体" w:hAnsi="方正小标宋简体" w:eastAsia="方正小标宋简体" w:cs="方正小标宋简体"/>
          <w:color w:val="auto"/>
          <w:sz w:val="72"/>
          <w:szCs w:val="72"/>
          <w:highlight w:val="none"/>
        </w:rPr>
        <w:t>决算</w:t>
      </w:r>
      <w:bookmarkEnd w:id="7"/>
      <w:bookmarkEnd w:id="8"/>
      <w:bookmarkEnd w:id="9"/>
      <w:bookmarkEnd w:id="10"/>
      <w:bookmarkEnd w:id="11"/>
      <w:bookmarkEnd w:id="12"/>
      <w:bookmarkEnd w:id="13"/>
    </w:p>
    <w:p>
      <w:pPr>
        <w:widowControl/>
        <w:jc w:val="center"/>
        <w:rPr>
          <w:color w:val="auto"/>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rPr>
          <w:color w:val="auto"/>
          <w:highlight w:val="none"/>
        </w:rPr>
      </w:pPr>
    </w:p>
    <w:sdt>
      <w:sdtPr>
        <w:rPr>
          <w:rFonts w:ascii="宋体" w:hAnsi="宋体" w:eastAsia="宋体" w:cs="Times New Roman"/>
          <w:kern w:val="2"/>
          <w:sz w:val="21"/>
          <w:szCs w:val="24"/>
          <w:lang w:val="en-US" w:eastAsia="zh-CN" w:bidi="ar-SA"/>
        </w:rPr>
        <w:id w:val="147465898"/>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bookmarkStart w:id="14" w:name="_Toc15396599"/>
          <w:bookmarkStart w:id="15" w:name="_Toc15377196"/>
        </w:p>
        <w:p>
          <w:pPr>
            <w:pStyle w:val="35"/>
            <w:tabs>
              <w:tab w:val="right" w:leader="dot" w:pos="8306"/>
            </w:tabs>
            <w:rPr>
              <w:b/>
            </w:rPr>
          </w:pPr>
          <w:r>
            <w:fldChar w:fldCharType="begin"/>
          </w:r>
          <w:r>
            <w:instrText xml:space="preserve">TOC \o "1-2" \h \u </w:instrText>
          </w:r>
          <w:r>
            <w:fldChar w:fldCharType="separate"/>
          </w:r>
        </w:p>
        <w:p>
          <w:pPr>
            <w:pStyle w:val="13"/>
            <w:adjustRightInd w:val="0"/>
            <w:snapToGrid w:val="0"/>
            <w:spacing w:before="0"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_Toc26068 </w:instrText>
          </w:r>
          <w:r>
            <w:rPr>
              <w:rFonts w:hint="eastAsia"/>
              <w:color w:val="auto"/>
              <w:sz w:val="24"/>
              <w:highlight w:val="none"/>
            </w:rPr>
            <w:fldChar w:fldCharType="separate"/>
          </w:r>
          <w:r>
            <w:rPr>
              <w:rFonts w:hint="eastAsia"/>
              <w:color w:val="auto"/>
              <w:sz w:val="24"/>
              <w:highlight w:val="none"/>
            </w:rPr>
            <w:t xml:space="preserve">第一部分 </w:t>
          </w:r>
          <w:r>
            <w:rPr>
              <w:rFonts w:hint="eastAsia"/>
              <w:color w:val="auto"/>
              <w:sz w:val="24"/>
              <w:highlight w:val="none"/>
              <w:lang w:eastAsia="zh-CN"/>
            </w:rPr>
            <w:t>单位</w:t>
          </w:r>
          <w:r>
            <w:rPr>
              <w:rFonts w:hint="eastAsia"/>
              <w:color w:val="auto"/>
              <w:sz w:val="24"/>
              <w:highlight w:val="none"/>
            </w:rPr>
            <w:t>概况</w:t>
          </w:r>
          <w:r>
            <w:rPr>
              <w:rFonts w:hint="eastAsia" w:asciiTheme="minorHAnsi" w:hAnsiTheme="minorHAnsi" w:eastAsiaTheme="minorEastAsia" w:cstheme="minorBidi"/>
              <w:sz w:val="20"/>
              <w:szCs w:val="20"/>
              <w:lang w:eastAsia="zh-CN"/>
            </w:rPr>
            <w:tab/>
          </w:r>
          <w:r>
            <w:rPr>
              <w:rFonts w:hint="eastAsia"/>
              <w:color w:val="auto"/>
              <w:sz w:val="24"/>
              <w:highlight w:val="none"/>
            </w:rPr>
            <w:fldChar w:fldCharType="begin"/>
          </w:r>
          <w:r>
            <w:rPr>
              <w:rFonts w:hint="eastAsia"/>
              <w:color w:val="auto"/>
              <w:sz w:val="24"/>
              <w:highlight w:val="none"/>
            </w:rPr>
            <w:instrText xml:space="preserve"> PAGEREF _Toc26068 \h </w:instrText>
          </w:r>
          <w:r>
            <w:rPr>
              <w:rFonts w:hint="eastAsia"/>
              <w:color w:val="auto"/>
              <w:sz w:val="24"/>
              <w:highlight w:val="none"/>
            </w:rPr>
            <w:fldChar w:fldCharType="separate"/>
          </w:r>
          <w:r>
            <w:rPr>
              <w:rFonts w:hint="eastAsia"/>
              <w:color w:val="auto"/>
              <w:sz w:val="24"/>
              <w:highlight w:val="none"/>
            </w:rPr>
            <w:t>4</w:t>
          </w:r>
          <w:r>
            <w:rPr>
              <w:rFonts w:hint="eastAsia"/>
              <w:color w:val="auto"/>
              <w:sz w:val="24"/>
              <w:highlight w:val="none"/>
            </w:rPr>
            <w:fldChar w:fldCharType="end"/>
          </w:r>
          <w:r>
            <w:rPr>
              <w:rFonts w:hint="eastAsia"/>
              <w:color w:val="auto"/>
              <w:sz w:val="24"/>
              <w:highlight w:val="none"/>
            </w:rPr>
            <w:fldChar w:fldCharType="end"/>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_Toc16408 </w:instrText>
          </w:r>
          <w:r>
            <w:rPr>
              <w:rFonts w:hint="eastAsia"/>
              <w:color w:val="auto"/>
              <w:sz w:val="24"/>
              <w:highlight w:val="none"/>
            </w:rPr>
            <w:fldChar w:fldCharType="separate"/>
          </w:r>
          <w:r>
            <w:rPr>
              <w:rFonts w:hint="eastAsia"/>
              <w:color w:val="auto"/>
              <w:sz w:val="24"/>
              <w:highlight w:val="none"/>
              <w:lang w:eastAsia="zh-CN"/>
            </w:rPr>
            <w:t xml:space="preserve">一、 </w:t>
          </w:r>
          <w:r>
            <w:rPr>
              <w:rFonts w:hint="eastAsia"/>
              <w:color w:val="auto"/>
              <w:sz w:val="24"/>
              <w:highlight w:val="none"/>
            </w:rPr>
            <w:t>职能</w:t>
          </w:r>
          <w:r>
            <w:rPr>
              <w:rFonts w:hint="eastAsia"/>
              <w:color w:val="auto"/>
              <w:sz w:val="24"/>
              <w:highlight w:val="none"/>
              <w:lang w:eastAsia="zh-CN"/>
            </w:rPr>
            <w:t>简介及主要工作</w:t>
          </w:r>
          <w:r>
            <w:rPr>
              <w:rFonts w:hint="eastAsia" w:asciiTheme="minorHAnsi" w:hAnsiTheme="minorHAnsi" w:eastAsiaTheme="minorEastAsia" w:cstheme="minorBidi"/>
              <w:kern w:val="2"/>
              <w:sz w:val="20"/>
              <w:szCs w:val="20"/>
              <w:lang w:val="en-US" w:eastAsia="zh-CN" w:bidi="ar-SA"/>
            </w:rPr>
            <w:tab/>
          </w:r>
          <w:r>
            <w:rPr>
              <w:rFonts w:hint="eastAsia"/>
              <w:color w:val="auto"/>
              <w:sz w:val="24"/>
              <w:highlight w:val="none"/>
            </w:rPr>
            <w:fldChar w:fldCharType="begin"/>
          </w:r>
          <w:r>
            <w:rPr>
              <w:rFonts w:hint="eastAsia"/>
              <w:color w:val="auto"/>
              <w:sz w:val="24"/>
              <w:highlight w:val="none"/>
            </w:rPr>
            <w:instrText xml:space="preserve"> PAGEREF _Toc16408 \h </w:instrText>
          </w:r>
          <w:r>
            <w:rPr>
              <w:rFonts w:hint="eastAsia"/>
              <w:color w:val="auto"/>
              <w:sz w:val="24"/>
              <w:highlight w:val="none"/>
            </w:rPr>
            <w:fldChar w:fldCharType="separate"/>
          </w:r>
          <w:r>
            <w:rPr>
              <w:rFonts w:hint="eastAsia"/>
              <w:color w:val="auto"/>
              <w:sz w:val="24"/>
              <w:highlight w:val="none"/>
            </w:rPr>
            <w:t>4</w:t>
          </w:r>
          <w:r>
            <w:rPr>
              <w:rFonts w:hint="eastAsia"/>
              <w:color w:val="auto"/>
              <w:sz w:val="24"/>
              <w:highlight w:val="none"/>
            </w:rPr>
            <w:fldChar w:fldCharType="end"/>
          </w:r>
          <w:r>
            <w:rPr>
              <w:rFonts w:hint="eastAsia"/>
              <w:color w:val="auto"/>
              <w:sz w:val="24"/>
              <w:highlight w:val="none"/>
            </w:rPr>
            <w:fldChar w:fldCharType="end"/>
          </w:r>
        </w:p>
        <w:p>
          <w:pPr>
            <w:pStyle w:val="14"/>
            <w:adjustRightInd w:val="0"/>
            <w:snapToGrid w:val="0"/>
            <w:spacing w:line="440" w:lineRule="exact"/>
            <w:jc w:val="left"/>
          </w:pPr>
          <w:r>
            <w:rPr>
              <w:rFonts w:hint="eastAsia"/>
              <w:color w:val="auto"/>
              <w:sz w:val="24"/>
              <w:highlight w:val="none"/>
            </w:rPr>
            <w:fldChar w:fldCharType="begin"/>
          </w:r>
          <w:r>
            <w:rPr>
              <w:rFonts w:hint="eastAsia"/>
              <w:color w:val="auto"/>
              <w:sz w:val="24"/>
              <w:highlight w:val="none"/>
            </w:rPr>
            <w:instrText xml:space="preserve"> HYPERLINK \l _Toc22262 </w:instrText>
          </w:r>
          <w:r>
            <w:rPr>
              <w:rFonts w:hint="eastAsia"/>
              <w:color w:val="auto"/>
              <w:sz w:val="24"/>
              <w:highlight w:val="none"/>
            </w:rPr>
            <w:fldChar w:fldCharType="separate"/>
          </w:r>
          <w:r>
            <w:rPr>
              <w:rFonts w:hint="eastAsia"/>
              <w:color w:val="auto"/>
              <w:sz w:val="24"/>
              <w:highlight w:val="none"/>
              <w:lang w:val="en-US" w:eastAsia="zh-CN"/>
            </w:rPr>
            <w:t>二、机构设置</w:t>
          </w:r>
          <w:r>
            <w:rPr>
              <w:rFonts w:hint="eastAsia" w:asciiTheme="minorHAnsi" w:hAnsiTheme="minorHAnsi" w:eastAsiaTheme="minorEastAsia" w:cstheme="minorBidi"/>
              <w:kern w:val="2"/>
              <w:sz w:val="20"/>
              <w:szCs w:val="20"/>
              <w:lang w:val="en-US" w:eastAsia="zh-CN" w:bidi="ar-SA"/>
            </w:rPr>
            <w:tab/>
          </w:r>
          <w:r>
            <w:rPr>
              <w:rFonts w:hint="eastAsia"/>
              <w:color w:val="auto"/>
              <w:sz w:val="24"/>
              <w:highlight w:val="none"/>
            </w:rPr>
            <w:fldChar w:fldCharType="begin"/>
          </w:r>
          <w:r>
            <w:rPr>
              <w:rFonts w:hint="eastAsia"/>
              <w:color w:val="auto"/>
              <w:sz w:val="24"/>
              <w:highlight w:val="none"/>
            </w:rPr>
            <w:instrText xml:space="preserve"> PAGEREF _Toc22262 \h </w:instrText>
          </w:r>
          <w:r>
            <w:rPr>
              <w:rFonts w:hint="eastAsia"/>
              <w:color w:val="auto"/>
              <w:sz w:val="24"/>
              <w:highlight w:val="none"/>
            </w:rPr>
            <w:fldChar w:fldCharType="separate"/>
          </w:r>
          <w:r>
            <w:rPr>
              <w:rFonts w:hint="eastAsia"/>
              <w:color w:val="auto"/>
              <w:sz w:val="24"/>
              <w:highlight w:val="none"/>
            </w:rPr>
            <w:t>4</w:t>
          </w:r>
          <w:r>
            <w:rPr>
              <w:rFonts w:hint="eastAsia"/>
              <w:color w:val="auto"/>
              <w:sz w:val="24"/>
              <w:highlight w:val="none"/>
            </w:rPr>
            <w:fldChar w:fldCharType="end"/>
          </w:r>
          <w:r>
            <w:rPr>
              <w:rFonts w:hint="eastAsia"/>
              <w:color w:val="auto"/>
              <w:sz w:val="24"/>
              <w:highlight w:val="none"/>
            </w:rPr>
            <w:fldChar w:fldCharType="end"/>
          </w:r>
        </w:p>
        <w:p>
          <w:pPr>
            <w:pStyle w:val="35"/>
            <w:tabs>
              <w:tab w:val="right" w:leader="dot" w:pos="8306"/>
            </w:tabs>
            <w:rPr>
              <w:b/>
            </w:rPr>
          </w:pPr>
          <w:r>
            <w:rPr>
              <w:rFonts w:hint="eastAsia" w:ascii="仿宋" w:hAnsi="仿宋" w:eastAsia="仿宋" w:cs="Times New Roman"/>
              <w:color w:val="auto"/>
              <w:kern w:val="2"/>
              <w:sz w:val="24"/>
              <w:szCs w:val="28"/>
              <w:highlight w:val="none"/>
              <w:lang w:val="en-US" w:eastAsia="zh-CN" w:bidi="ar-SA"/>
            </w:rPr>
            <w:fldChar w:fldCharType="begin"/>
          </w:r>
          <w:r>
            <w:rPr>
              <w:rFonts w:hint="eastAsia" w:ascii="仿宋" w:hAnsi="仿宋" w:eastAsia="仿宋" w:cs="Times New Roman"/>
              <w:color w:val="auto"/>
              <w:kern w:val="2"/>
              <w:sz w:val="24"/>
              <w:szCs w:val="28"/>
              <w:highlight w:val="none"/>
              <w:lang w:val="en-US" w:eastAsia="zh-CN" w:bidi="ar-SA"/>
            </w:rPr>
            <w:instrText xml:space="preserve"> HYPERLINK \l _Toc6092 </w:instrText>
          </w:r>
          <w:r>
            <w:rPr>
              <w:rFonts w:hint="eastAsia" w:ascii="仿宋" w:hAnsi="仿宋" w:eastAsia="仿宋" w:cs="Times New Roman"/>
              <w:color w:val="auto"/>
              <w:kern w:val="2"/>
              <w:sz w:val="24"/>
              <w:szCs w:val="28"/>
              <w:highlight w:val="none"/>
              <w:lang w:val="en-US" w:eastAsia="zh-CN" w:bidi="ar-SA"/>
            </w:rPr>
            <w:fldChar w:fldCharType="separate"/>
          </w:r>
          <w:r>
            <w:rPr>
              <w:rFonts w:hint="eastAsia" w:ascii="仿宋" w:hAnsi="仿宋" w:eastAsia="仿宋" w:cs="Times New Roman"/>
              <w:color w:val="auto"/>
              <w:kern w:val="2"/>
              <w:sz w:val="24"/>
              <w:szCs w:val="28"/>
              <w:highlight w:val="none"/>
              <w:lang w:val="en-US" w:eastAsia="zh-CN" w:bidi="ar-SA"/>
            </w:rPr>
            <w:t>第二部分 2021年度单位决算情况说明</w:t>
          </w:r>
          <w:r>
            <w:rPr>
              <w:rFonts w:hint="eastAsia" w:asciiTheme="minorHAnsi" w:hAnsiTheme="minorHAnsi" w:eastAsiaTheme="minorEastAsia" w:cstheme="minorBidi"/>
              <w:kern w:val="2"/>
              <w:sz w:val="20"/>
              <w:szCs w:val="20"/>
              <w:lang w:val="en-US" w:eastAsia="zh-CN" w:bidi="ar-SA"/>
            </w:rPr>
            <w:tab/>
          </w:r>
          <w:r>
            <w:rPr>
              <w:rFonts w:hint="eastAsia" w:ascii="仿宋" w:hAnsi="仿宋" w:eastAsia="仿宋" w:cs="Times New Roman"/>
              <w:color w:val="auto"/>
              <w:kern w:val="2"/>
              <w:sz w:val="24"/>
              <w:szCs w:val="28"/>
              <w:highlight w:val="none"/>
              <w:lang w:val="en-US" w:eastAsia="zh-CN" w:bidi="ar-SA"/>
            </w:rPr>
            <w:fldChar w:fldCharType="begin"/>
          </w:r>
          <w:r>
            <w:rPr>
              <w:rFonts w:hint="eastAsia" w:ascii="仿宋" w:hAnsi="仿宋" w:eastAsia="仿宋" w:cs="Times New Roman"/>
              <w:color w:val="auto"/>
              <w:kern w:val="2"/>
              <w:sz w:val="24"/>
              <w:szCs w:val="28"/>
              <w:highlight w:val="none"/>
              <w:lang w:val="en-US" w:eastAsia="zh-CN" w:bidi="ar-SA"/>
            </w:rPr>
            <w:instrText xml:space="preserve"> PAGEREF _Toc6092 \h </w:instrText>
          </w:r>
          <w:r>
            <w:rPr>
              <w:rFonts w:hint="eastAsia" w:ascii="仿宋" w:hAnsi="仿宋" w:eastAsia="仿宋" w:cs="Times New Roman"/>
              <w:color w:val="auto"/>
              <w:kern w:val="2"/>
              <w:sz w:val="24"/>
              <w:szCs w:val="28"/>
              <w:highlight w:val="none"/>
              <w:lang w:val="en-US" w:eastAsia="zh-CN" w:bidi="ar-SA"/>
            </w:rPr>
            <w:fldChar w:fldCharType="separate"/>
          </w:r>
          <w:r>
            <w:rPr>
              <w:rFonts w:hint="eastAsia" w:ascii="仿宋" w:hAnsi="仿宋" w:eastAsia="仿宋" w:cs="Times New Roman"/>
              <w:color w:val="auto"/>
              <w:kern w:val="2"/>
              <w:sz w:val="24"/>
              <w:szCs w:val="28"/>
              <w:highlight w:val="none"/>
              <w:lang w:val="en-US" w:eastAsia="zh-CN" w:bidi="ar-SA"/>
            </w:rPr>
            <w:t>9</w:t>
          </w:r>
          <w:r>
            <w:rPr>
              <w:rFonts w:hint="eastAsia" w:ascii="仿宋" w:hAnsi="仿宋" w:eastAsia="仿宋" w:cs="Times New Roman"/>
              <w:color w:val="auto"/>
              <w:kern w:val="2"/>
              <w:sz w:val="24"/>
              <w:szCs w:val="28"/>
              <w:highlight w:val="none"/>
              <w:lang w:val="en-US" w:eastAsia="zh-CN" w:bidi="ar-SA"/>
            </w:rPr>
            <w:fldChar w:fldCharType="end"/>
          </w:r>
          <w:r>
            <w:rPr>
              <w:rFonts w:hint="eastAsia" w:ascii="仿宋" w:hAnsi="仿宋" w:eastAsia="仿宋" w:cs="Times New Roman"/>
              <w:color w:val="auto"/>
              <w:kern w:val="2"/>
              <w:sz w:val="24"/>
              <w:szCs w:val="28"/>
              <w:highlight w:val="none"/>
              <w:lang w:val="en-US" w:eastAsia="zh-CN" w:bidi="ar-SA"/>
            </w:rPr>
            <w:fldChar w:fldCharType="end"/>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_Toc8620 </w:instrText>
          </w:r>
          <w:r>
            <w:rPr>
              <w:rFonts w:hint="eastAsia"/>
              <w:color w:val="auto"/>
              <w:sz w:val="24"/>
              <w:highlight w:val="none"/>
            </w:rPr>
            <w:fldChar w:fldCharType="separate"/>
          </w:r>
          <w:r>
            <w:rPr>
              <w:rFonts w:hint="default"/>
              <w:color w:val="auto"/>
              <w:sz w:val="24"/>
              <w:highlight w:val="none"/>
            </w:rPr>
            <w:t xml:space="preserve">一、 </w:t>
          </w:r>
          <w:r>
            <w:rPr>
              <w:rFonts w:hint="eastAsia"/>
              <w:color w:val="auto"/>
              <w:sz w:val="24"/>
              <w:highlight w:val="none"/>
            </w:rPr>
            <w:t>收入支出决算总体情况说明</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_Toc8620 \h </w:instrText>
          </w:r>
          <w:r>
            <w:rPr>
              <w:rFonts w:hint="eastAsia"/>
              <w:color w:val="auto"/>
              <w:sz w:val="24"/>
              <w:highlight w:val="none"/>
            </w:rPr>
            <w:fldChar w:fldCharType="separate"/>
          </w:r>
          <w:r>
            <w:rPr>
              <w:rFonts w:hint="eastAsia"/>
              <w:color w:val="auto"/>
              <w:sz w:val="24"/>
              <w:highlight w:val="none"/>
            </w:rPr>
            <w:t>9</w:t>
          </w:r>
          <w:r>
            <w:rPr>
              <w:rFonts w:hint="eastAsia"/>
              <w:color w:val="auto"/>
              <w:sz w:val="24"/>
              <w:highlight w:val="none"/>
            </w:rPr>
            <w:fldChar w:fldCharType="end"/>
          </w:r>
          <w:r>
            <w:rPr>
              <w:rFonts w:hint="eastAsia"/>
              <w:color w:val="auto"/>
              <w:sz w:val="24"/>
              <w:highlight w:val="none"/>
            </w:rPr>
            <w:fldChar w:fldCharType="end"/>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_Toc18646 </w:instrText>
          </w:r>
          <w:r>
            <w:rPr>
              <w:rFonts w:hint="eastAsia"/>
              <w:color w:val="auto"/>
              <w:sz w:val="24"/>
              <w:highlight w:val="none"/>
            </w:rPr>
            <w:fldChar w:fldCharType="separate"/>
          </w:r>
          <w:r>
            <w:rPr>
              <w:rFonts w:hint="default"/>
              <w:color w:val="auto"/>
              <w:sz w:val="24"/>
              <w:highlight w:val="none"/>
            </w:rPr>
            <w:t xml:space="preserve">二、 </w:t>
          </w:r>
          <w:r>
            <w:rPr>
              <w:rFonts w:hint="eastAsia"/>
              <w:color w:val="auto"/>
              <w:sz w:val="24"/>
              <w:highlight w:val="none"/>
            </w:rPr>
            <w:t>收入决算情况说明</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_Toc18646 \h </w:instrText>
          </w:r>
          <w:r>
            <w:rPr>
              <w:rFonts w:hint="eastAsia"/>
              <w:color w:val="auto"/>
              <w:sz w:val="24"/>
              <w:highlight w:val="none"/>
            </w:rPr>
            <w:fldChar w:fldCharType="separate"/>
          </w:r>
          <w:r>
            <w:rPr>
              <w:rFonts w:hint="eastAsia"/>
              <w:color w:val="auto"/>
              <w:sz w:val="24"/>
              <w:highlight w:val="none"/>
            </w:rPr>
            <w:t>9</w:t>
          </w:r>
          <w:r>
            <w:rPr>
              <w:rFonts w:hint="eastAsia"/>
              <w:color w:val="auto"/>
              <w:sz w:val="24"/>
              <w:highlight w:val="none"/>
            </w:rPr>
            <w:fldChar w:fldCharType="end"/>
          </w:r>
          <w:r>
            <w:rPr>
              <w:rFonts w:hint="eastAsia"/>
              <w:color w:val="auto"/>
              <w:sz w:val="24"/>
              <w:highlight w:val="none"/>
            </w:rPr>
            <w:fldChar w:fldCharType="end"/>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_Toc27189 </w:instrText>
          </w:r>
          <w:r>
            <w:rPr>
              <w:rFonts w:hint="eastAsia"/>
              <w:color w:val="auto"/>
              <w:sz w:val="24"/>
              <w:highlight w:val="none"/>
            </w:rPr>
            <w:fldChar w:fldCharType="separate"/>
          </w:r>
          <w:r>
            <w:rPr>
              <w:rFonts w:hint="default"/>
              <w:color w:val="auto"/>
              <w:sz w:val="24"/>
              <w:highlight w:val="none"/>
            </w:rPr>
            <w:t xml:space="preserve">三、 </w:t>
          </w:r>
          <w:r>
            <w:rPr>
              <w:rFonts w:hint="eastAsia"/>
              <w:color w:val="auto"/>
              <w:sz w:val="24"/>
              <w:highlight w:val="none"/>
            </w:rPr>
            <w:t>支出决算情况说明</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_Toc27189 \h </w:instrText>
          </w:r>
          <w:r>
            <w:rPr>
              <w:rFonts w:hint="eastAsia"/>
              <w:color w:val="auto"/>
              <w:sz w:val="24"/>
              <w:highlight w:val="none"/>
            </w:rPr>
            <w:fldChar w:fldCharType="separate"/>
          </w:r>
          <w:r>
            <w:rPr>
              <w:rFonts w:hint="eastAsia"/>
              <w:color w:val="auto"/>
              <w:sz w:val="24"/>
              <w:highlight w:val="none"/>
            </w:rPr>
            <w:t>10</w:t>
          </w:r>
          <w:r>
            <w:rPr>
              <w:rFonts w:hint="eastAsia"/>
              <w:color w:val="auto"/>
              <w:sz w:val="24"/>
              <w:highlight w:val="none"/>
            </w:rPr>
            <w:fldChar w:fldCharType="end"/>
          </w:r>
          <w:r>
            <w:rPr>
              <w:rFonts w:hint="eastAsia"/>
              <w:color w:val="auto"/>
              <w:sz w:val="24"/>
              <w:highlight w:val="none"/>
            </w:rPr>
            <w:fldChar w:fldCharType="end"/>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_Toc6003 </w:instrText>
          </w:r>
          <w:r>
            <w:rPr>
              <w:rFonts w:hint="eastAsia"/>
              <w:color w:val="auto"/>
              <w:sz w:val="24"/>
              <w:highlight w:val="none"/>
            </w:rPr>
            <w:fldChar w:fldCharType="separate"/>
          </w:r>
          <w:r>
            <w:rPr>
              <w:rFonts w:hint="eastAsia"/>
              <w:color w:val="auto"/>
              <w:sz w:val="24"/>
              <w:highlight w:val="none"/>
            </w:rPr>
            <w:t>四、财政拨款收入支出决算总体情况说明</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_Toc6003 \h </w:instrText>
          </w:r>
          <w:r>
            <w:rPr>
              <w:rFonts w:hint="eastAsia"/>
              <w:color w:val="auto"/>
              <w:sz w:val="24"/>
              <w:highlight w:val="none"/>
            </w:rPr>
            <w:fldChar w:fldCharType="separate"/>
          </w:r>
          <w:r>
            <w:rPr>
              <w:rFonts w:hint="eastAsia"/>
              <w:color w:val="auto"/>
              <w:sz w:val="24"/>
              <w:highlight w:val="none"/>
            </w:rPr>
            <w:t>11</w:t>
          </w:r>
          <w:r>
            <w:rPr>
              <w:rFonts w:hint="eastAsia"/>
              <w:color w:val="auto"/>
              <w:sz w:val="24"/>
              <w:highlight w:val="none"/>
            </w:rPr>
            <w:fldChar w:fldCharType="end"/>
          </w:r>
          <w:r>
            <w:rPr>
              <w:rFonts w:hint="eastAsia"/>
              <w:color w:val="auto"/>
              <w:sz w:val="24"/>
              <w:highlight w:val="none"/>
            </w:rPr>
            <w:fldChar w:fldCharType="end"/>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_Toc25720 </w:instrText>
          </w:r>
          <w:r>
            <w:rPr>
              <w:rFonts w:hint="eastAsia"/>
              <w:color w:val="auto"/>
              <w:sz w:val="24"/>
              <w:highlight w:val="none"/>
            </w:rPr>
            <w:fldChar w:fldCharType="separate"/>
          </w:r>
          <w:r>
            <w:rPr>
              <w:rFonts w:hint="eastAsia"/>
              <w:color w:val="auto"/>
              <w:sz w:val="24"/>
              <w:highlight w:val="none"/>
            </w:rPr>
            <w:t>五、一般公共预算财政拨款支出决算情况说明</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_Toc25720 \h </w:instrText>
          </w:r>
          <w:r>
            <w:rPr>
              <w:rFonts w:hint="eastAsia"/>
              <w:color w:val="auto"/>
              <w:sz w:val="24"/>
              <w:highlight w:val="none"/>
            </w:rPr>
            <w:fldChar w:fldCharType="separate"/>
          </w:r>
          <w:r>
            <w:rPr>
              <w:rFonts w:hint="eastAsia"/>
              <w:color w:val="auto"/>
              <w:sz w:val="24"/>
              <w:highlight w:val="none"/>
            </w:rPr>
            <w:t>11</w:t>
          </w:r>
          <w:r>
            <w:rPr>
              <w:rFonts w:hint="eastAsia"/>
              <w:color w:val="auto"/>
              <w:sz w:val="24"/>
              <w:highlight w:val="none"/>
            </w:rPr>
            <w:fldChar w:fldCharType="end"/>
          </w:r>
          <w:r>
            <w:rPr>
              <w:rFonts w:hint="eastAsia"/>
              <w:color w:val="auto"/>
              <w:sz w:val="24"/>
              <w:highlight w:val="none"/>
            </w:rPr>
            <w:fldChar w:fldCharType="end"/>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_Toc28394 </w:instrText>
          </w:r>
          <w:r>
            <w:rPr>
              <w:rFonts w:hint="eastAsia"/>
              <w:color w:val="auto"/>
              <w:sz w:val="24"/>
              <w:highlight w:val="none"/>
            </w:rPr>
            <w:fldChar w:fldCharType="separate"/>
          </w:r>
          <w:r>
            <w:rPr>
              <w:rFonts w:hint="eastAsia"/>
              <w:color w:val="auto"/>
              <w:sz w:val="24"/>
              <w:highlight w:val="none"/>
            </w:rPr>
            <w:t>六、一般公共预算财政拨款基本支出决算情况说明</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_Toc28394 \h </w:instrText>
          </w:r>
          <w:r>
            <w:rPr>
              <w:rFonts w:hint="eastAsia"/>
              <w:color w:val="auto"/>
              <w:sz w:val="24"/>
              <w:highlight w:val="none"/>
            </w:rPr>
            <w:fldChar w:fldCharType="separate"/>
          </w:r>
          <w:r>
            <w:rPr>
              <w:rFonts w:hint="eastAsia"/>
              <w:color w:val="auto"/>
              <w:sz w:val="24"/>
              <w:highlight w:val="none"/>
            </w:rPr>
            <w:t>13</w:t>
          </w:r>
          <w:r>
            <w:rPr>
              <w:rFonts w:hint="eastAsia"/>
              <w:color w:val="auto"/>
              <w:sz w:val="24"/>
              <w:highlight w:val="none"/>
            </w:rPr>
            <w:fldChar w:fldCharType="end"/>
          </w:r>
          <w:r>
            <w:rPr>
              <w:rFonts w:hint="eastAsia"/>
              <w:color w:val="auto"/>
              <w:sz w:val="24"/>
              <w:highlight w:val="none"/>
            </w:rPr>
            <w:fldChar w:fldCharType="end"/>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_Toc30377 </w:instrText>
          </w:r>
          <w:r>
            <w:rPr>
              <w:rFonts w:hint="eastAsia"/>
              <w:color w:val="auto"/>
              <w:sz w:val="24"/>
              <w:highlight w:val="none"/>
            </w:rPr>
            <w:fldChar w:fldCharType="separate"/>
          </w:r>
          <w:r>
            <w:rPr>
              <w:rFonts w:hint="eastAsia"/>
              <w:color w:val="auto"/>
              <w:sz w:val="24"/>
              <w:highlight w:val="none"/>
            </w:rPr>
            <w:t>七、“三公”经费财政拨款支出决算情况说明</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_Toc30377 \h </w:instrText>
          </w:r>
          <w:r>
            <w:rPr>
              <w:rFonts w:hint="eastAsia"/>
              <w:color w:val="auto"/>
              <w:sz w:val="24"/>
              <w:highlight w:val="none"/>
            </w:rPr>
            <w:fldChar w:fldCharType="separate"/>
          </w:r>
          <w:r>
            <w:rPr>
              <w:rFonts w:hint="eastAsia"/>
              <w:color w:val="auto"/>
              <w:sz w:val="24"/>
              <w:highlight w:val="none"/>
            </w:rPr>
            <w:t>14</w:t>
          </w:r>
          <w:r>
            <w:rPr>
              <w:rFonts w:hint="eastAsia"/>
              <w:color w:val="auto"/>
              <w:sz w:val="24"/>
              <w:highlight w:val="none"/>
            </w:rPr>
            <w:fldChar w:fldCharType="end"/>
          </w:r>
          <w:r>
            <w:rPr>
              <w:rFonts w:hint="eastAsia"/>
              <w:color w:val="auto"/>
              <w:sz w:val="24"/>
              <w:highlight w:val="none"/>
            </w:rPr>
            <w:fldChar w:fldCharType="end"/>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_Toc22261 </w:instrText>
          </w:r>
          <w:r>
            <w:rPr>
              <w:rFonts w:hint="eastAsia"/>
              <w:color w:val="auto"/>
              <w:sz w:val="24"/>
              <w:highlight w:val="none"/>
            </w:rPr>
            <w:fldChar w:fldCharType="separate"/>
          </w:r>
          <w:r>
            <w:rPr>
              <w:rFonts w:hint="eastAsia"/>
              <w:color w:val="auto"/>
              <w:sz w:val="24"/>
              <w:highlight w:val="none"/>
            </w:rPr>
            <w:t>八、政府性基金预算支出决算情况说明</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_Toc22261 \h </w:instrText>
          </w:r>
          <w:r>
            <w:rPr>
              <w:rFonts w:hint="eastAsia"/>
              <w:color w:val="auto"/>
              <w:sz w:val="24"/>
              <w:highlight w:val="none"/>
            </w:rPr>
            <w:fldChar w:fldCharType="separate"/>
          </w:r>
          <w:r>
            <w:rPr>
              <w:rFonts w:hint="eastAsia"/>
              <w:color w:val="auto"/>
              <w:sz w:val="24"/>
              <w:highlight w:val="none"/>
            </w:rPr>
            <w:t>16</w:t>
          </w:r>
          <w:r>
            <w:rPr>
              <w:rFonts w:hint="eastAsia"/>
              <w:color w:val="auto"/>
              <w:sz w:val="24"/>
              <w:highlight w:val="none"/>
            </w:rPr>
            <w:fldChar w:fldCharType="end"/>
          </w:r>
          <w:r>
            <w:rPr>
              <w:rFonts w:hint="eastAsia"/>
              <w:color w:val="auto"/>
              <w:sz w:val="24"/>
              <w:highlight w:val="none"/>
            </w:rPr>
            <w:fldChar w:fldCharType="end"/>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_Toc8488 </w:instrText>
          </w:r>
          <w:r>
            <w:rPr>
              <w:rFonts w:hint="eastAsia"/>
              <w:color w:val="auto"/>
              <w:sz w:val="24"/>
              <w:highlight w:val="none"/>
            </w:rPr>
            <w:fldChar w:fldCharType="separate"/>
          </w:r>
          <w:r>
            <w:rPr>
              <w:rFonts w:hint="eastAsia"/>
              <w:color w:val="auto"/>
              <w:sz w:val="24"/>
              <w:highlight w:val="none"/>
            </w:rPr>
            <w:t>九、 国有资本经营预算支出决算情况说明</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_Toc8488 \h </w:instrText>
          </w:r>
          <w:r>
            <w:rPr>
              <w:rFonts w:hint="eastAsia"/>
              <w:color w:val="auto"/>
              <w:sz w:val="24"/>
              <w:highlight w:val="none"/>
            </w:rPr>
            <w:fldChar w:fldCharType="separate"/>
          </w:r>
          <w:r>
            <w:rPr>
              <w:rFonts w:hint="eastAsia"/>
              <w:color w:val="auto"/>
              <w:sz w:val="24"/>
              <w:highlight w:val="none"/>
            </w:rPr>
            <w:t>16</w:t>
          </w:r>
          <w:r>
            <w:rPr>
              <w:rFonts w:hint="eastAsia"/>
              <w:color w:val="auto"/>
              <w:sz w:val="24"/>
              <w:highlight w:val="none"/>
            </w:rPr>
            <w:fldChar w:fldCharType="end"/>
          </w:r>
          <w:r>
            <w:rPr>
              <w:rFonts w:hint="eastAsia"/>
              <w:color w:val="auto"/>
              <w:sz w:val="24"/>
              <w:highlight w:val="none"/>
            </w:rPr>
            <w:fldChar w:fldCharType="end"/>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_Toc19516 </w:instrText>
          </w:r>
          <w:r>
            <w:rPr>
              <w:rFonts w:hint="eastAsia"/>
              <w:color w:val="auto"/>
              <w:sz w:val="24"/>
              <w:highlight w:val="none"/>
            </w:rPr>
            <w:fldChar w:fldCharType="separate"/>
          </w:r>
          <w:r>
            <w:rPr>
              <w:rFonts w:hint="eastAsia"/>
              <w:color w:val="auto"/>
              <w:sz w:val="24"/>
              <w:highlight w:val="none"/>
            </w:rPr>
            <w:t xml:space="preserve">十、 </w:t>
          </w:r>
          <w:r>
            <w:rPr>
              <w:rFonts w:hint="eastAsia"/>
              <w:color w:val="auto"/>
              <w:sz w:val="24"/>
              <w:highlight w:val="none"/>
              <w:lang w:val="en-US" w:eastAsia="zh-CN"/>
            </w:rPr>
            <w:t>预算绩效管理情况</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_Toc19516 \h </w:instrText>
          </w:r>
          <w:r>
            <w:rPr>
              <w:rFonts w:hint="eastAsia"/>
              <w:color w:val="auto"/>
              <w:sz w:val="24"/>
              <w:highlight w:val="none"/>
            </w:rPr>
            <w:fldChar w:fldCharType="separate"/>
          </w:r>
          <w:r>
            <w:rPr>
              <w:rFonts w:hint="eastAsia"/>
              <w:color w:val="auto"/>
              <w:sz w:val="24"/>
              <w:highlight w:val="none"/>
            </w:rPr>
            <w:t>16</w:t>
          </w:r>
          <w:r>
            <w:rPr>
              <w:rFonts w:hint="eastAsia"/>
              <w:color w:val="auto"/>
              <w:sz w:val="24"/>
              <w:highlight w:val="none"/>
            </w:rPr>
            <w:fldChar w:fldCharType="end"/>
          </w:r>
          <w:r>
            <w:rPr>
              <w:rFonts w:hint="eastAsia"/>
              <w:color w:val="auto"/>
              <w:sz w:val="24"/>
              <w:highlight w:val="none"/>
            </w:rPr>
            <w:fldChar w:fldCharType="end"/>
          </w:r>
        </w:p>
        <w:p>
          <w:pPr>
            <w:pStyle w:val="14"/>
            <w:adjustRightInd w:val="0"/>
            <w:snapToGrid w:val="0"/>
            <w:spacing w:line="440" w:lineRule="exact"/>
            <w:jc w:val="left"/>
          </w:pPr>
          <w:r>
            <w:rPr>
              <w:rFonts w:hint="eastAsia"/>
              <w:color w:val="auto"/>
              <w:sz w:val="24"/>
              <w:highlight w:val="none"/>
            </w:rPr>
            <w:fldChar w:fldCharType="begin"/>
          </w:r>
          <w:r>
            <w:rPr>
              <w:rFonts w:hint="eastAsia"/>
              <w:color w:val="auto"/>
              <w:sz w:val="24"/>
              <w:highlight w:val="none"/>
            </w:rPr>
            <w:instrText xml:space="preserve"> HYPERLINK \l _Toc3368 </w:instrText>
          </w:r>
          <w:r>
            <w:rPr>
              <w:rFonts w:hint="eastAsia"/>
              <w:color w:val="auto"/>
              <w:sz w:val="24"/>
              <w:highlight w:val="none"/>
            </w:rPr>
            <w:fldChar w:fldCharType="separate"/>
          </w:r>
          <w:r>
            <w:rPr>
              <w:rFonts w:hint="eastAsia"/>
              <w:color w:val="auto"/>
              <w:sz w:val="24"/>
              <w:highlight w:val="none"/>
            </w:rPr>
            <w:t>十一、 其他重要事项的情况说明</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_Toc3368 \h </w:instrText>
          </w:r>
          <w:r>
            <w:rPr>
              <w:rFonts w:hint="eastAsia"/>
              <w:color w:val="auto"/>
              <w:sz w:val="24"/>
              <w:highlight w:val="none"/>
            </w:rPr>
            <w:fldChar w:fldCharType="separate"/>
          </w:r>
          <w:r>
            <w:rPr>
              <w:rFonts w:hint="eastAsia"/>
              <w:color w:val="auto"/>
              <w:sz w:val="24"/>
              <w:highlight w:val="none"/>
            </w:rPr>
            <w:t>16</w:t>
          </w:r>
          <w:r>
            <w:rPr>
              <w:rFonts w:hint="eastAsia"/>
              <w:color w:val="auto"/>
              <w:sz w:val="24"/>
              <w:highlight w:val="none"/>
            </w:rPr>
            <w:fldChar w:fldCharType="end"/>
          </w:r>
          <w:r>
            <w:rPr>
              <w:rFonts w:hint="eastAsia"/>
              <w:color w:val="auto"/>
              <w:sz w:val="24"/>
              <w:highlight w:val="none"/>
            </w:rPr>
            <w:fldChar w:fldCharType="end"/>
          </w:r>
        </w:p>
        <w:p>
          <w:pPr>
            <w:pStyle w:val="35"/>
            <w:tabs>
              <w:tab w:val="right" w:leader="dot" w:pos="8306"/>
            </w:tabs>
            <w:rPr>
              <w:rFonts w:hint="eastAsia" w:ascii="仿宋" w:hAnsi="仿宋" w:eastAsia="仿宋" w:cs="Times New Roman"/>
              <w:color w:val="auto"/>
              <w:kern w:val="2"/>
              <w:sz w:val="24"/>
              <w:szCs w:val="28"/>
              <w:highlight w:val="none"/>
              <w:lang w:val="en-US" w:eastAsia="zh-CN" w:bidi="ar-SA"/>
            </w:rPr>
          </w:pPr>
          <w:r>
            <w:rPr>
              <w:rFonts w:hint="eastAsia" w:ascii="仿宋" w:hAnsi="仿宋" w:eastAsia="仿宋" w:cs="Times New Roman"/>
              <w:color w:val="auto"/>
              <w:kern w:val="2"/>
              <w:sz w:val="24"/>
              <w:szCs w:val="28"/>
              <w:highlight w:val="none"/>
              <w:lang w:val="en-US" w:eastAsia="zh-CN" w:bidi="ar-SA"/>
            </w:rPr>
            <w:fldChar w:fldCharType="begin"/>
          </w:r>
          <w:r>
            <w:rPr>
              <w:rFonts w:hint="eastAsia" w:ascii="仿宋" w:hAnsi="仿宋" w:eastAsia="仿宋" w:cs="Times New Roman"/>
              <w:color w:val="auto"/>
              <w:kern w:val="2"/>
              <w:sz w:val="24"/>
              <w:szCs w:val="28"/>
              <w:highlight w:val="none"/>
              <w:lang w:val="en-US" w:eastAsia="zh-CN" w:bidi="ar-SA"/>
            </w:rPr>
            <w:instrText xml:space="preserve"> HYPERLINK \l _Toc9826 </w:instrText>
          </w:r>
          <w:r>
            <w:rPr>
              <w:rFonts w:hint="eastAsia" w:ascii="仿宋" w:hAnsi="仿宋" w:eastAsia="仿宋" w:cs="Times New Roman"/>
              <w:color w:val="auto"/>
              <w:kern w:val="2"/>
              <w:sz w:val="24"/>
              <w:szCs w:val="28"/>
              <w:highlight w:val="none"/>
              <w:lang w:val="en-US" w:eastAsia="zh-CN" w:bidi="ar-SA"/>
            </w:rPr>
            <w:fldChar w:fldCharType="separate"/>
          </w:r>
          <w:r>
            <w:rPr>
              <w:rFonts w:hint="eastAsia" w:ascii="仿宋" w:hAnsi="仿宋" w:eastAsia="仿宋" w:cs="Times New Roman"/>
              <w:color w:val="auto"/>
              <w:kern w:val="2"/>
              <w:sz w:val="24"/>
              <w:szCs w:val="28"/>
              <w:highlight w:val="none"/>
              <w:lang w:val="en-US" w:eastAsia="zh-CN" w:bidi="ar-SA"/>
            </w:rPr>
            <w:t>第三部分 名词解释</w:t>
          </w:r>
          <w:r>
            <w:rPr>
              <w:rFonts w:hint="eastAsia" w:ascii="Times New Roman" w:hAnsi="Times New Roman" w:eastAsia="宋体" w:cs="Times New Roman"/>
              <w:color w:val="auto"/>
              <w:kern w:val="2"/>
              <w:sz w:val="24"/>
              <w:szCs w:val="24"/>
              <w:highlight w:val="none"/>
              <w:lang w:val="en-US" w:eastAsia="zh-CN" w:bidi="ar-SA"/>
            </w:rPr>
            <w:tab/>
          </w:r>
          <w:r>
            <w:rPr>
              <w:rFonts w:hint="eastAsia" w:ascii="仿宋" w:hAnsi="仿宋" w:eastAsia="仿宋" w:cs="Times New Roman"/>
              <w:color w:val="auto"/>
              <w:kern w:val="2"/>
              <w:sz w:val="24"/>
              <w:szCs w:val="28"/>
              <w:highlight w:val="none"/>
              <w:lang w:val="en-US" w:eastAsia="zh-CN" w:bidi="ar-SA"/>
            </w:rPr>
            <w:fldChar w:fldCharType="begin"/>
          </w:r>
          <w:r>
            <w:rPr>
              <w:rFonts w:hint="eastAsia" w:ascii="仿宋" w:hAnsi="仿宋" w:eastAsia="仿宋" w:cs="Times New Roman"/>
              <w:color w:val="auto"/>
              <w:kern w:val="2"/>
              <w:sz w:val="24"/>
              <w:szCs w:val="28"/>
              <w:highlight w:val="none"/>
              <w:lang w:val="en-US" w:eastAsia="zh-CN" w:bidi="ar-SA"/>
            </w:rPr>
            <w:instrText xml:space="preserve"> PAGEREF _Toc9826 \h </w:instrText>
          </w:r>
          <w:r>
            <w:rPr>
              <w:rFonts w:hint="eastAsia" w:ascii="仿宋" w:hAnsi="仿宋" w:eastAsia="仿宋" w:cs="Times New Roman"/>
              <w:color w:val="auto"/>
              <w:kern w:val="2"/>
              <w:sz w:val="24"/>
              <w:szCs w:val="28"/>
              <w:highlight w:val="none"/>
              <w:lang w:val="en-US" w:eastAsia="zh-CN" w:bidi="ar-SA"/>
            </w:rPr>
            <w:fldChar w:fldCharType="separate"/>
          </w:r>
          <w:r>
            <w:rPr>
              <w:rFonts w:hint="eastAsia" w:ascii="仿宋" w:hAnsi="仿宋" w:eastAsia="仿宋" w:cs="Times New Roman"/>
              <w:color w:val="auto"/>
              <w:kern w:val="2"/>
              <w:sz w:val="24"/>
              <w:szCs w:val="28"/>
              <w:highlight w:val="none"/>
              <w:lang w:val="en-US" w:eastAsia="zh-CN" w:bidi="ar-SA"/>
            </w:rPr>
            <w:t>18</w:t>
          </w:r>
          <w:r>
            <w:rPr>
              <w:rFonts w:hint="eastAsia" w:ascii="仿宋" w:hAnsi="仿宋" w:eastAsia="仿宋" w:cs="Times New Roman"/>
              <w:color w:val="auto"/>
              <w:kern w:val="2"/>
              <w:sz w:val="24"/>
              <w:szCs w:val="28"/>
              <w:highlight w:val="none"/>
              <w:lang w:val="en-US" w:eastAsia="zh-CN" w:bidi="ar-SA"/>
            </w:rPr>
            <w:fldChar w:fldCharType="end"/>
          </w:r>
          <w:r>
            <w:rPr>
              <w:rFonts w:hint="eastAsia" w:ascii="仿宋" w:hAnsi="仿宋" w:eastAsia="仿宋" w:cs="Times New Roman"/>
              <w:color w:val="auto"/>
              <w:kern w:val="2"/>
              <w:sz w:val="24"/>
              <w:szCs w:val="28"/>
              <w:highlight w:val="none"/>
              <w:lang w:val="en-US" w:eastAsia="zh-CN" w:bidi="ar-SA"/>
            </w:rPr>
            <w:fldChar w:fldCharType="end"/>
          </w:r>
        </w:p>
        <w:p>
          <w:pPr>
            <w:pStyle w:val="35"/>
            <w:tabs>
              <w:tab w:val="right" w:leader="dot" w:pos="8306"/>
            </w:tabs>
            <w:rPr>
              <w:rFonts w:hint="eastAsia" w:ascii="仿宋" w:hAnsi="仿宋" w:eastAsia="仿宋" w:cs="Times New Roman"/>
              <w:color w:val="auto"/>
              <w:kern w:val="2"/>
              <w:sz w:val="24"/>
              <w:szCs w:val="28"/>
              <w:highlight w:val="none"/>
              <w:lang w:val="en-US" w:eastAsia="zh-CN" w:bidi="ar-SA"/>
            </w:rPr>
          </w:pPr>
          <w:r>
            <w:rPr>
              <w:rFonts w:hint="eastAsia" w:ascii="仿宋" w:hAnsi="仿宋" w:eastAsia="仿宋" w:cs="Times New Roman"/>
              <w:color w:val="auto"/>
              <w:kern w:val="2"/>
              <w:sz w:val="24"/>
              <w:szCs w:val="28"/>
              <w:highlight w:val="none"/>
              <w:lang w:val="en-US" w:eastAsia="zh-CN" w:bidi="ar-SA"/>
            </w:rPr>
            <w:fldChar w:fldCharType="begin"/>
          </w:r>
          <w:r>
            <w:rPr>
              <w:rFonts w:hint="eastAsia" w:ascii="仿宋" w:hAnsi="仿宋" w:eastAsia="仿宋" w:cs="Times New Roman"/>
              <w:color w:val="auto"/>
              <w:kern w:val="2"/>
              <w:sz w:val="24"/>
              <w:szCs w:val="28"/>
              <w:highlight w:val="none"/>
              <w:lang w:val="en-US" w:eastAsia="zh-CN" w:bidi="ar-SA"/>
            </w:rPr>
            <w:instrText xml:space="preserve"> HYPERLINK \l _Toc8041 </w:instrText>
          </w:r>
          <w:r>
            <w:rPr>
              <w:rFonts w:hint="eastAsia" w:ascii="仿宋" w:hAnsi="仿宋" w:eastAsia="仿宋" w:cs="Times New Roman"/>
              <w:color w:val="auto"/>
              <w:kern w:val="2"/>
              <w:sz w:val="24"/>
              <w:szCs w:val="28"/>
              <w:highlight w:val="none"/>
              <w:lang w:val="en-US" w:eastAsia="zh-CN" w:bidi="ar-SA"/>
            </w:rPr>
            <w:fldChar w:fldCharType="separate"/>
          </w:r>
          <w:r>
            <w:rPr>
              <w:rFonts w:hint="eastAsia" w:ascii="仿宋" w:hAnsi="仿宋" w:eastAsia="仿宋" w:cs="Times New Roman"/>
              <w:color w:val="auto"/>
              <w:kern w:val="2"/>
              <w:sz w:val="24"/>
              <w:szCs w:val="28"/>
              <w:highlight w:val="none"/>
              <w:lang w:val="en-US" w:eastAsia="zh-CN" w:bidi="ar-SA"/>
            </w:rPr>
            <w:t>第四部分 附件</w:t>
          </w:r>
          <w:r>
            <w:rPr>
              <w:rFonts w:hint="eastAsia" w:ascii="Times New Roman" w:hAnsi="Times New Roman" w:eastAsia="宋体" w:cs="Times New Roman"/>
              <w:color w:val="auto"/>
              <w:kern w:val="2"/>
              <w:sz w:val="24"/>
              <w:szCs w:val="24"/>
              <w:highlight w:val="none"/>
              <w:lang w:val="en-US" w:eastAsia="zh-CN" w:bidi="ar-SA"/>
            </w:rPr>
            <w:tab/>
          </w:r>
          <w:r>
            <w:rPr>
              <w:rFonts w:hint="eastAsia" w:ascii="仿宋" w:hAnsi="仿宋" w:eastAsia="仿宋" w:cs="Times New Roman"/>
              <w:color w:val="auto"/>
              <w:kern w:val="2"/>
              <w:sz w:val="24"/>
              <w:szCs w:val="28"/>
              <w:highlight w:val="none"/>
              <w:lang w:val="en-US" w:eastAsia="zh-CN" w:bidi="ar-SA"/>
            </w:rPr>
            <w:fldChar w:fldCharType="begin"/>
          </w:r>
          <w:r>
            <w:rPr>
              <w:rFonts w:hint="eastAsia" w:ascii="仿宋" w:hAnsi="仿宋" w:eastAsia="仿宋" w:cs="Times New Roman"/>
              <w:color w:val="auto"/>
              <w:kern w:val="2"/>
              <w:sz w:val="24"/>
              <w:szCs w:val="28"/>
              <w:highlight w:val="none"/>
              <w:lang w:val="en-US" w:eastAsia="zh-CN" w:bidi="ar-SA"/>
            </w:rPr>
            <w:instrText xml:space="preserve"> PAGEREF _Toc8041 \h </w:instrText>
          </w:r>
          <w:r>
            <w:rPr>
              <w:rFonts w:hint="eastAsia" w:ascii="仿宋" w:hAnsi="仿宋" w:eastAsia="仿宋" w:cs="Times New Roman"/>
              <w:color w:val="auto"/>
              <w:kern w:val="2"/>
              <w:sz w:val="24"/>
              <w:szCs w:val="28"/>
              <w:highlight w:val="none"/>
              <w:lang w:val="en-US" w:eastAsia="zh-CN" w:bidi="ar-SA"/>
            </w:rPr>
            <w:fldChar w:fldCharType="separate"/>
          </w:r>
          <w:r>
            <w:rPr>
              <w:rFonts w:hint="eastAsia" w:ascii="仿宋" w:hAnsi="仿宋" w:eastAsia="仿宋" w:cs="Times New Roman"/>
              <w:color w:val="auto"/>
              <w:kern w:val="2"/>
              <w:sz w:val="24"/>
              <w:szCs w:val="28"/>
              <w:highlight w:val="none"/>
              <w:lang w:val="en-US" w:eastAsia="zh-CN" w:bidi="ar-SA"/>
            </w:rPr>
            <w:t>21</w:t>
          </w:r>
          <w:r>
            <w:rPr>
              <w:rFonts w:hint="eastAsia" w:ascii="仿宋" w:hAnsi="仿宋" w:eastAsia="仿宋" w:cs="Times New Roman"/>
              <w:color w:val="auto"/>
              <w:kern w:val="2"/>
              <w:sz w:val="24"/>
              <w:szCs w:val="28"/>
              <w:highlight w:val="none"/>
              <w:lang w:val="en-US" w:eastAsia="zh-CN" w:bidi="ar-SA"/>
            </w:rPr>
            <w:fldChar w:fldCharType="end"/>
          </w:r>
          <w:r>
            <w:rPr>
              <w:rFonts w:hint="eastAsia" w:ascii="仿宋" w:hAnsi="仿宋" w:eastAsia="仿宋" w:cs="Times New Roman"/>
              <w:color w:val="auto"/>
              <w:kern w:val="2"/>
              <w:sz w:val="24"/>
              <w:szCs w:val="28"/>
              <w:highlight w:val="none"/>
              <w:lang w:val="en-US" w:eastAsia="zh-CN" w:bidi="ar-SA"/>
            </w:rPr>
            <w:fldChar w:fldCharType="end"/>
          </w:r>
        </w:p>
        <w:p>
          <w:pPr>
            <w:pStyle w:val="35"/>
            <w:tabs>
              <w:tab w:val="right" w:leader="dot" w:pos="8306"/>
            </w:tabs>
            <w:rPr>
              <w:b/>
            </w:rPr>
          </w:pPr>
          <w:r>
            <w:rPr>
              <w:rFonts w:hint="eastAsia" w:ascii="仿宋" w:hAnsi="仿宋" w:eastAsia="仿宋" w:cs="Times New Roman"/>
              <w:color w:val="auto"/>
              <w:kern w:val="2"/>
              <w:sz w:val="24"/>
              <w:szCs w:val="28"/>
              <w:highlight w:val="none"/>
              <w:lang w:val="en-US" w:eastAsia="zh-CN" w:bidi="ar-SA"/>
            </w:rPr>
            <w:fldChar w:fldCharType="begin"/>
          </w:r>
          <w:r>
            <w:rPr>
              <w:rFonts w:hint="eastAsia" w:ascii="仿宋" w:hAnsi="仿宋" w:eastAsia="仿宋" w:cs="Times New Roman"/>
              <w:color w:val="auto"/>
              <w:kern w:val="2"/>
              <w:sz w:val="24"/>
              <w:szCs w:val="28"/>
              <w:highlight w:val="none"/>
              <w:lang w:val="en-US" w:eastAsia="zh-CN" w:bidi="ar-SA"/>
            </w:rPr>
            <w:instrText xml:space="preserve"> HYPERLINK \l _Toc3244 </w:instrText>
          </w:r>
          <w:r>
            <w:rPr>
              <w:rFonts w:hint="eastAsia" w:ascii="仿宋" w:hAnsi="仿宋" w:eastAsia="仿宋" w:cs="Times New Roman"/>
              <w:color w:val="auto"/>
              <w:kern w:val="2"/>
              <w:sz w:val="24"/>
              <w:szCs w:val="28"/>
              <w:highlight w:val="none"/>
              <w:lang w:val="en-US" w:eastAsia="zh-CN" w:bidi="ar-SA"/>
            </w:rPr>
            <w:fldChar w:fldCharType="separate"/>
          </w:r>
          <w:r>
            <w:rPr>
              <w:rFonts w:hint="eastAsia" w:ascii="仿宋" w:hAnsi="仿宋" w:eastAsia="仿宋" w:cs="Times New Roman"/>
              <w:color w:val="auto"/>
              <w:kern w:val="2"/>
              <w:sz w:val="24"/>
              <w:szCs w:val="28"/>
              <w:highlight w:val="none"/>
              <w:lang w:val="en-US" w:eastAsia="zh-CN" w:bidi="ar-SA"/>
            </w:rPr>
            <w:t>第五部分 附表</w:t>
          </w:r>
          <w:r>
            <w:rPr>
              <w:rFonts w:hint="eastAsia" w:ascii="Times New Roman" w:hAnsi="Times New Roman" w:eastAsia="宋体" w:cs="Times New Roman"/>
              <w:color w:val="auto"/>
              <w:kern w:val="2"/>
              <w:sz w:val="24"/>
              <w:szCs w:val="24"/>
              <w:highlight w:val="none"/>
              <w:lang w:val="en-US" w:eastAsia="zh-CN" w:bidi="ar-SA"/>
            </w:rPr>
            <w:tab/>
          </w:r>
          <w:r>
            <w:rPr>
              <w:rFonts w:hint="eastAsia" w:ascii="仿宋" w:hAnsi="仿宋" w:eastAsia="仿宋" w:cs="Times New Roman"/>
              <w:color w:val="auto"/>
              <w:kern w:val="2"/>
              <w:sz w:val="24"/>
              <w:szCs w:val="28"/>
              <w:highlight w:val="none"/>
              <w:lang w:val="en-US" w:eastAsia="zh-CN" w:bidi="ar-SA"/>
            </w:rPr>
            <w:fldChar w:fldCharType="begin"/>
          </w:r>
          <w:r>
            <w:rPr>
              <w:rFonts w:hint="eastAsia" w:ascii="仿宋" w:hAnsi="仿宋" w:eastAsia="仿宋" w:cs="Times New Roman"/>
              <w:color w:val="auto"/>
              <w:kern w:val="2"/>
              <w:sz w:val="24"/>
              <w:szCs w:val="28"/>
              <w:highlight w:val="none"/>
              <w:lang w:val="en-US" w:eastAsia="zh-CN" w:bidi="ar-SA"/>
            </w:rPr>
            <w:instrText xml:space="preserve"> PAGEREF _Toc3244 \h </w:instrText>
          </w:r>
          <w:r>
            <w:rPr>
              <w:rFonts w:hint="eastAsia" w:ascii="仿宋" w:hAnsi="仿宋" w:eastAsia="仿宋" w:cs="Times New Roman"/>
              <w:color w:val="auto"/>
              <w:kern w:val="2"/>
              <w:sz w:val="24"/>
              <w:szCs w:val="28"/>
              <w:highlight w:val="none"/>
              <w:lang w:val="en-US" w:eastAsia="zh-CN" w:bidi="ar-SA"/>
            </w:rPr>
            <w:fldChar w:fldCharType="separate"/>
          </w:r>
          <w:r>
            <w:rPr>
              <w:rFonts w:hint="eastAsia" w:ascii="仿宋" w:hAnsi="仿宋" w:eastAsia="仿宋" w:cs="Times New Roman"/>
              <w:color w:val="auto"/>
              <w:kern w:val="2"/>
              <w:sz w:val="24"/>
              <w:szCs w:val="28"/>
              <w:highlight w:val="none"/>
              <w:lang w:val="en-US" w:eastAsia="zh-CN" w:bidi="ar-SA"/>
            </w:rPr>
            <w:t>23</w:t>
          </w:r>
          <w:r>
            <w:rPr>
              <w:rFonts w:hint="eastAsia" w:ascii="仿宋" w:hAnsi="仿宋" w:eastAsia="仿宋" w:cs="Times New Roman"/>
              <w:color w:val="auto"/>
              <w:kern w:val="2"/>
              <w:sz w:val="24"/>
              <w:szCs w:val="28"/>
              <w:highlight w:val="none"/>
              <w:lang w:val="en-US" w:eastAsia="zh-CN" w:bidi="ar-SA"/>
            </w:rPr>
            <w:fldChar w:fldCharType="end"/>
          </w:r>
          <w:r>
            <w:rPr>
              <w:rFonts w:hint="eastAsia" w:ascii="仿宋" w:hAnsi="仿宋" w:eastAsia="仿宋" w:cs="Times New Roman"/>
              <w:color w:val="auto"/>
              <w:kern w:val="2"/>
              <w:sz w:val="24"/>
              <w:szCs w:val="28"/>
              <w:highlight w:val="none"/>
              <w:lang w:val="en-US" w:eastAsia="zh-CN" w:bidi="ar-SA"/>
            </w:rPr>
            <w:fldChar w:fldCharType="end"/>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_Toc27735 </w:instrText>
          </w:r>
          <w:r>
            <w:rPr>
              <w:rFonts w:hint="eastAsia"/>
              <w:color w:val="auto"/>
              <w:sz w:val="24"/>
              <w:highlight w:val="none"/>
            </w:rPr>
            <w:fldChar w:fldCharType="separate"/>
          </w:r>
          <w:r>
            <w:rPr>
              <w:rFonts w:hint="eastAsia"/>
              <w:color w:val="auto"/>
              <w:sz w:val="24"/>
              <w:highlight w:val="none"/>
            </w:rPr>
            <w:t>一、收入支出决算总表</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_Toc27735 \h </w:instrText>
          </w:r>
          <w:r>
            <w:rPr>
              <w:rFonts w:hint="eastAsia"/>
              <w:color w:val="auto"/>
              <w:sz w:val="24"/>
              <w:highlight w:val="none"/>
            </w:rPr>
            <w:fldChar w:fldCharType="separate"/>
          </w:r>
          <w:r>
            <w:rPr>
              <w:rFonts w:hint="eastAsia"/>
              <w:color w:val="auto"/>
              <w:sz w:val="24"/>
              <w:highlight w:val="none"/>
            </w:rPr>
            <w:t>23</w:t>
          </w:r>
          <w:r>
            <w:rPr>
              <w:rFonts w:hint="eastAsia"/>
              <w:color w:val="auto"/>
              <w:sz w:val="24"/>
              <w:highlight w:val="none"/>
            </w:rPr>
            <w:fldChar w:fldCharType="end"/>
          </w:r>
          <w:r>
            <w:rPr>
              <w:rFonts w:hint="eastAsia"/>
              <w:color w:val="auto"/>
              <w:sz w:val="24"/>
              <w:highlight w:val="none"/>
            </w:rPr>
            <w:fldChar w:fldCharType="end"/>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_Toc18758 </w:instrText>
          </w:r>
          <w:r>
            <w:rPr>
              <w:rFonts w:hint="eastAsia"/>
              <w:color w:val="auto"/>
              <w:sz w:val="24"/>
              <w:highlight w:val="none"/>
            </w:rPr>
            <w:fldChar w:fldCharType="separate"/>
          </w:r>
          <w:r>
            <w:rPr>
              <w:rFonts w:hint="eastAsia"/>
              <w:color w:val="auto"/>
              <w:sz w:val="24"/>
              <w:highlight w:val="none"/>
            </w:rPr>
            <w:t>二、收入决算表</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_Toc18758 \h </w:instrText>
          </w:r>
          <w:r>
            <w:rPr>
              <w:rFonts w:hint="eastAsia"/>
              <w:color w:val="auto"/>
              <w:sz w:val="24"/>
              <w:highlight w:val="none"/>
            </w:rPr>
            <w:fldChar w:fldCharType="separate"/>
          </w:r>
          <w:r>
            <w:rPr>
              <w:rFonts w:hint="eastAsia"/>
              <w:color w:val="auto"/>
              <w:sz w:val="24"/>
              <w:highlight w:val="none"/>
            </w:rPr>
            <w:t>23</w:t>
          </w:r>
          <w:r>
            <w:rPr>
              <w:rFonts w:hint="eastAsia"/>
              <w:color w:val="auto"/>
              <w:sz w:val="24"/>
              <w:highlight w:val="none"/>
            </w:rPr>
            <w:fldChar w:fldCharType="end"/>
          </w:r>
          <w:r>
            <w:rPr>
              <w:rFonts w:hint="eastAsia"/>
              <w:color w:val="auto"/>
              <w:sz w:val="24"/>
              <w:highlight w:val="none"/>
            </w:rPr>
            <w:fldChar w:fldCharType="end"/>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_Toc20378 </w:instrText>
          </w:r>
          <w:r>
            <w:rPr>
              <w:rFonts w:hint="eastAsia"/>
              <w:color w:val="auto"/>
              <w:sz w:val="24"/>
              <w:highlight w:val="none"/>
            </w:rPr>
            <w:fldChar w:fldCharType="separate"/>
          </w:r>
          <w:r>
            <w:rPr>
              <w:rFonts w:hint="eastAsia"/>
              <w:color w:val="auto"/>
              <w:sz w:val="24"/>
              <w:highlight w:val="none"/>
            </w:rPr>
            <w:t>三、支出决算表</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_Toc20378 \h </w:instrText>
          </w:r>
          <w:r>
            <w:rPr>
              <w:rFonts w:hint="eastAsia"/>
              <w:color w:val="auto"/>
              <w:sz w:val="24"/>
              <w:highlight w:val="none"/>
            </w:rPr>
            <w:fldChar w:fldCharType="separate"/>
          </w:r>
          <w:r>
            <w:rPr>
              <w:rFonts w:hint="eastAsia"/>
              <w:color w:val="auto"/>
              <w:sz w:val="24"/>
              <w:highlight w:val="none"/>
            </w:rPr>
            <w:t>23</w:t>
          </w:r>
          <w:r>
            <w:rPr>
              <w:rFonts w:hint="eastAsia"/>
              <w:color w:val="auto"/>
              <w:sz w:val="24"/>
              <w:highlight w:val="none"/>
            </w:rPr>
            <w:fldChar w:fldCharType="end"/>
          </w:r>
          <w:r>
            <w:rPr>
              <w:rFonts w:hint="eastAsia"/>
              <w:color w:val="auto"/>
              <w:sz w:val="24"/>
              <w:highlight w:val="none"/>
            </w:rPr>
            <w:fldChar w:fldCharType="end"/>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_Toc29287 </w:instrText>
          </w:r>
          <w:r>
            <w:rPr>
              <w:rFonts w:hint="eastAsia"/>
              <w:color w:val="auto"/>
              <w:sz w:val="24"/>
              <w:highlight w:val="none"/>
            </w:rPr>
            <w:fldChar w:fldCharType="separate"/>
          </w:r>
          <w:r>
            <w:rPr>
              <w:rFonts w:hint="eastAsia"/>
              <w:color w:val="auto"/>
              <w:sz w:val="24"/>
              <w:highlight w:val="none"/>
            </w:rPr>
            <w:t>四、财政拨款收入支出决算总表</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_Toc29287 \h </w:instrText>
          </w:r>
          <w:r>
            <w:rPr>
              <w:rFonts w:hint="eastAsia"/>
              <w:color w:val="auto"/>
              <w:sz w:val="24"/>
              <w:highlight w:val="none"/>
            </w:rPr>
            <w:fldChar w:fldCharType="separate"/>
          </w:r>
          <w:r>
            <w:rPr>
              <w:rFonts w:hint="eastAsia"/>
              <w:color w:val="auto"/>
              <w:sz w:val="24"/>
              <w:highlight w:val="none"/>
            </w:rPr>
            <w:t>23</w:t>
          </w:r>
          <w:r>
            <w:rPr>
              <w:rFonts w:hint="eastAsia"/>
              <w:color w:val="auto"/>
              <w:sz w:val="24"/>
              <w:highlight w:val="none"/>
            </w:rPr>
            <w:fldChar w:fldCharType="end"/>
          </w:r>
          <w:r>
            <w:rPr>
              <w:rFonts w:hint="eastAsia"/>
              <w:color w:val="auto"/>
              <w:sz w:val="24"/>
              <w:highlight w:val="none"/>
            </w:rPr>
            <w:fldChar w:fldCharType="end"/>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_Toc271 </w:instrText>
          </w:r>
          <w:r>
            <w:rPr>
              <w:rFonts w:hint="eastAsia"/>
              <w:color w:val="auto"/>
              <w:sz w:val="24"/>
              <w:highlight w:val="none"/>
            </w:rPr>
            <w:fldChar w:fldCharType="separate"/>
          </w:r>
          <w:r>
            <w:rPr>
              <w:rFonts w:hint="eastAsia"/>
              <w:color w:val="auto"/>
              <w:sz w:val="24"/>
              <w:highlight w:val="none"/>
            </w:rPr>
            <w:t>五、财政拨款支出决算明细表</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_Toc271 \h </w:instrText>
          </w:r>
          <w:r>
            <w:rPr>
              <w:rFonts w:hint="eastAsia"/>
              <w:color w:val="auto"/>
              <w:sz w:val="24"/>
              <w:highlight w:val="none"/>
            </w:rPr>
            <w:fldChar w:fldCharType="separate"/>
          </w:r>
          <w:r>
            <w:rPr>
              <w:rFonts w:hint="eastAsia"/>
              <w:color w:val="auto"/>
              <w:sz w:val="24"/>
              <w:highlight w:val="none"/>
            </w:rPr>
            <w:t>23</w:t>
          </w:r>
          <w:r>
            <w:rPr>
              <w:rFonts w:hint="eastAsia"/>
              <w:color w:val="auto"/>
              <w:sz w:val="24"/>
              <w:highlight w:val="none"/>
            </w:rPr>
            <w:fldChar w:fldCharType="end"/>
          </w:r>
          <w:r>
            <w:rPr>
              <w:rFonts w:hint="eastAsia"/>
              <w:color w:val="auto"/>
              <w:sz w:val="24"/>
              <w:highlight w:val="none"/>
            </w:rPr>
            <w:fldChar w:fldCharType="end"/>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_Toc26270 </w:instrText>
          </w:r>
          <w:r>
            <w:rPr>
              <w:rFonts w:hint="eastAsia"/>
              <w:color w:val="auto"/>
              <w:sz w:val="24"/>
              <w:highlight w:val="none"/>
            </w:rPr>
            <w:fldChar w:fldCharType="separate"/>
          </w:r>
          <w:r>
            <w:rPr>
              <w:rFonts w:hint="eastAsia"/>
              <w:color w:val="auto"/>
              <w:sz w:val="24"/>
              <w:highlight w:val="none"/>
            </w:rPr>
            <w:t>六、一般公共预算财政拨款支出决算表</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_Toc26270 \h </w:instrText>
          </w:r>
          <w:r>
            <w:rPr>
              <w:rFonts w:hint="eastAsia"/>
              <w:color w:val="auto"/>
              <w:sz w:val="24"/>
              <w:highlight w:val="none"/>
            </w:rPr>
            <w:fldChar w:fldCharType="separate"/>
          </w:r>
          <w:r>
            <w:rPr>
              <w:rFonts w:hint="eastAsia"/>
              <w:color w:val="auto"/>
              <w:sz w:val="24"/>
              <w:highlight w:val="none"/>
            </w:rPr>
            <w:t>23</w:t>
          </w:r>
          <w:r>
            <w:rPr>
              <w:rFonts w:hint="eastAsia"/>
              <w:color w:val="auto"/>
              <w:sz w:val="24"/>
              <w:highlight w:val="none"/>
            </w:rPr>
            <w:fldChar w:fldCharType="end"/>
          </w:r>
          <w:r>
            <w:rPr>
              <w:rFonts w:hint="eastAsia"/>
              <w:color w:val="auto"/>
              <w:sz w:val="24"/>
              <w:highlight w:val="none"/>
            </w:rPr>
            <w:fldChar w:fldCharType="end"/>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_Toc23887 </w:instrText>
          </w:r>
          <w:r>
            <w:rPr>
              <w:rFonts w:hint="eastAsia"/>
              <w:color w:val="auto"/>
              <w:sz w:val="24"/>
              <w:highlight w:val="none"/>
            </w:rPr>
            <w:fldChar w:fldCharType="separate"/>
          </w:r>
          <w:r>
            <w:rPr>
              <w:rFonts w:hint="eastAsia"/>
              <w:color w:val="auto"/>
              <w:sz w:val="24"/>
              <w:highlight w:val="none"/>
            </w:rPr>
            <w:t>七、一般公共预算财政拨款支出决算明细表</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_Toc23887 \h </w:instrText>
          </w:r>
          <w:r>
            <w:rPr>
              <w:rFonts w:hint="eastAsia"/>
              <w:color w:val="auto"/>
              <w:sz w:val="24"/>
              <w:highlight w:val="none"/>
            </w:rPr>
            <w:fldChar w:fldCharType="separate"/>
          </w:r>
          <w:r>
            <w:rPr>
              <w:rFonts w:hint="eastAsia"/>
              <w:color w:val="auto"/>
              <w:sz w:val="24"/>
              <w:highlight w:val="none"/>
            </w:rPr>
            <w:t>23</w:t>
          </w:r>
          <w:r>
            <w:rPr>
              <w:rFonts w:hint="eastAsia"/>
              <w:color w:val="auto"/>
              <w:sz w:val="24"/>
              <w:highlight w:val="none"/>
            </w:rPr>
            <w:fldChar w:fldCharType="end"/>
          </w:r>
          <w:r>
            <w:rPr>
              <w:rFonts w:hint="eastAsia"/>
              <w:color w:val="auto"/>
              <w:sz w:val="24"/>
              <w:highlight w:val="none"/>
            </w:rPr>
            <w:fldChar w:fldCharType="end"/>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_Toc12116 </w:instrText>
          </w:r>
          <w:r>
            <w:rPr>
              <w:rFonts w:hint="eastAsia"/>
              <w:color w:val="auto"/>
              <w:sz w:val="24"/>
              <w:highlight w:val="none"/>
            </w:rPr>
            <w:fldChar w:fldCharType="separate"/>
          </w:r>
          <w:r>
            <w:rPr>
              <w:rFonts w:hint="eastAsia"/>
              <w:color w:val="auto"/>
              <w:sz w:val="24"/>
              <w:highlight w:val="none"/>
            </w:rPr>
            <w:t>八、一般公共预算财政拨款基本支出决算表</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_Toc12116 \h </w:instrText>
          </w:r>
          <w:r>
            <w:rPr>
              <w:rFonts w:hint="eastAsia"/>
              <w:color w:val="auto"/>
              <w:sz w:val="24"/>
              <w:highlight w:val="none"/>
            </w:rPr>
            <w:fldChar w:fldCharType="separate"/>
          </w:r>
          <w:r>
            <w:rPr>
              <w:rFonts w:hint="eastAsia"/>
              <w:color w:val="auto"/>
              <w:sz w:val="24"/>
              <w:highlight w:val="none"/>
            </w:rPr>
            <w:t>23</w:t>
          </w:r>
          <w:r>
            <w:rPr>
              <w:rFonts w:hint="eastAsia"/>
              <w:color w:val="auto"/>
              <w:sz w:val="24"/>
              <w:highlight w:val="none"/>
            </w:rPr>
            <w:fldChar w:fldCharType="end"/>
          </w:r>
          <w:r>
            <w:rPr>
              <w:rFonts w:hint="eastAsia"/>
              <w:color w:val="auto"/>
              <w:sz w:val="24"/>
              <w:highlight w:val="none"/>
            </w:rPr>
            <w:fldChar w:fldCharType="end"/>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_Toc21101 </w:instrText>
          </w:r>
          <w:r>
            <w:rPr>
              <w:rFonts w:hint="eastAsia"/>
              <w:color w:val="auto"/>
              <w:sz w:val="24"/>
              <w:highlight w:val="none"/>
            </w:rPr>
            <w:fldChar w:fldCharType="separate"/>
          </w:r>
          <w:r>
            <w:rPr>
              <w:rFonts w:hint="eastAsia"/>
              <w:color w:val="auto"/>
              <w:sz w:val="24"/>
              <w:highlight w:val="none"/>
            </w:rPr>
            <w:t>九、一般公共预算财政拨款项目支出决算表</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_Toc21101 \h </w:instrText>
          </w:r>
          <w:r>
            <w:rPr>
              <w:rFonts w:hint="eastAsia"/>
              <w:color w:val="auto"/>
              <w:sz w:val="24"/>
              <w:highlight w:val="none"/>
            </w:rPr>
            <w:fldChar w:fldCharType="separate"/>
          </w:r>
          <w:r>
            <w:rPr>
              <w:rFonts w:hint="eastAsia"/>
              <w:color w:val="auto"/>
              <w:sz w:val="24"/>
              <w:highlight w:val="none"/>
            </w:rPr>
            <w:t>23</w:t>
          </w:r>
          <w:r>
            <w:rPr>
              <w:rFonts w:hint="eastAsia"/>
              <w:color w:val="auto"/>
              <w:sz w:val="24"/>
              <w:highlight w:val="none"/>
            </w:rPr>
            <w:fldChar w:fldCharType="end"/>
          </w:r>
          <w:r>
            <w:rPr>
              <w:rFonts w:hint="eastAsia"/>
              <w:color w:val="auto"/>
              <w:sz w:val="24"/>
              <w:highlight w:val="none"/>
            </w:rPr>
            <w:fldChar w:fldCharType="end"/>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_Toc11099 </w:instrText>
          </w:r>
          <w:r>
            <w:rPr>
              <w:rFonts w:hint="eastAsia"/>
              <w:color w:val="auto"/>
              <w:sz w:val="24"/>
              <w:highlight w:val="none"/>
            </w:rPr>
            <w:fldChar w:fldCharType="separate"/>
          </w:r>
          <w:r>
            <w:rPr>
              <w:rFonts w:hint="eastAsia"/>
              <w:color w:val="auto"/>
              <w:sz w:val="24"/>
              <w:highlight w:val="none"/>
            </w:rPr>
            <w:t>十、一般公共预算财政拨款“三公”经费支出决算表</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_Toc11099 \h </w:instrText>
          </w:r>
          <w:r>
            <w:rPr>
              <w:rFonts w:hint="eastAsia"/>
              <w:color w:val="auto"/>
              <w:sz w:val="24"/>
              <w:highlight w:val="none"/>
            </w:rPr>
            <w:fldChar w:fldCharType="separate"/>
          </w:r>
          <w:r>
            <w:rPr>
              <w:rFonts w:hint="eastAsia"/>
              <w:color w:val="auto"/>
              <w:sz w:val="24"/>
              <w:highlight w:val="none"/>
            </w:rPr>
            <w:t>23</w:t>
          </w:r>
          <w:r>
            <w:rPr>
              <w:rFonts w:hint="eastAsia"/>
              <w:color w:val="auto"/>
              <w:sz w:val="24"/>
              <w:highlight w:val="none"/>
            </w:rPr>
            <w:fldChar w:fldCharType="end"/>
          </w:r>
          <w:r>
            <w:rPr>
              <w:rFonts w:hint="eastAsia"/>
              <w:color w:val="auto"/>
              <w:sz w:val="24"/>
              <w:highlight w:val="none"/>
            </w:rPr>
            <w:fldChar w:fldCharType="end"/>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_Toc28885 </w:instrText>
          </w:r>
          <w:r>
            <w:rPr>
              <w:rFonts w:hint="eastAsia"/>
              <w:color w:val="auto"/>
              <w:sz w:val="24"/>
              <w:highlight w:val="none"/>
            </w:rPr>
            <w:fldChar w:fldCharType="separate"/>
          </w:r>
          <w:r>
            <w:rPr>
              <w:rFonts w:hint="eastAsia"/>
              <w:color w:val="auto"/>
              <w:sz w:val="24"/>
              <w:highlight w:val="none"/>
            </w:rPr>
            <w:t>十一、政府性基金预算财政拨款收入支出决算表</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_Toc28885 \h </w:instrText>
          </w:r>
          <w:r>
            <w:rPr>
              <w:rFonts w:hint="eastAsia"/>
              <w:color w:val="auto"/>
              <w:sz w:val="24"/>
              <w:highlight w:val="none"/>
            </w:rPr>
            <w:fldChar w:fldCharType="separate"/>
          </w:r>
          <w:r>
            <w:rPr>
              <w:rFonts w:hint="eastAsia"/>
              <w:color w:val="auto"/>
              <w:sz w:val="24"/>
              <w:highlight w:val="none"/>
            </w:rPr>
            <w:t>23</w:t>
          </w:r>
          <w:r>
            <w:rPr>
              <w:rFonts w:hint="eastAsia"/>
              <w:color w:val="auto"/>
              <w:sz w:val="24"/>
              <w:highlight w:val="none"/>
            </w:rPr>
            <w:fldChar w:fldCharType="end"/>
          </w:r>
          <w:r>
            <w:rPr>
              <w:rFonts w:hint="eastAsia"/>
              <w:color w:val="auto"/>
              <w:sz w:val="24"/>
              <w:highlight w:val="none"/>
            </w:rPr>
            <w:fldChar w:fldCharType="end"/>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_Toc10952 </w:instrText>
          </w:r>
          <w:r>
            <w:rPr>
              <w:rFonts w:hint="eastAsia"/>
              <w:color w:val="auto"/>
              <w:sz w:val="24"/>
              <w:highlight w:val="none"/>
            </w:rPr>
            <w:fldChar w:fldCharType="separate"/>
          </w:r>
          <w:r>
            <w:rPr>
              <w:rFonts w:hint="eastAsia"/>
              <w:color w:val="auto"/>
              <w:sz w:val="24"/>
              <w:highlight w:val="none"/>
            </w:rPr>
            <w:t>十二、政府性基金预算财政拨款“三公”经费支出决算表</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_Toc10952 \h </w:instrText>
          </w:r>
          <w:r>
            <w:rPr>
              <w:rFonts w:hint="eastAsia"/>
              <w:color w:val="auto"/>
              <w:sz w:val="24"/>
              <w:highlight w:val="none"/>
            </w:rPr>
            <w:fldChar w:fldCharType="separate"/>
          </w:r>
          <w:r>
            <w:rPr>
              <w:rFonts w:hint="eastAsia"/>
              <w:color w:val="auto"/>
              <w:sz w:val="24"/>
              <w:highlight w:val="none"/>
            </w:rPr>
            <w:t>23</w:t>
          </w:r>
          <w:r>
            <w:rPr>
              <w:rFonts w:hint="eastAsia"/>
              <w:color w:val="auto"/>
              <w:sz w:val="24"/>
              <w:highlight w:val="none"/>
            </w:rPr>
            <w:fldChar w:fldCharType="end"/>
          </w:r>
          <w:r>
            <w:rPr>
              <w:rFonts w:hint="eastAsia"/>
              <w:color w:val="auto"/>
              <w:sz w:val="24"/>
              <w:highlight w:val="none"/>
            </w:rPr>
            <w:fldChar w:fldCharType="end"/>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_Toc11325 </w:instrText>
          </w:r>
          <w:r>
            <w:rPr>
              <w:rFonts w:hint="eastAsia"/>
              <w:color w:val="auto"/>
              <w:sz w:val="24"/>
              <w:highlight w:val="none"/>
            </w:rPr>
            <w:fldChar w:fldCharType="separate"/>
          </w:r>
          <w:r>
            <w:rPr>
              <w:rFonts w:hint="eastAsia"/>
              <w:color w:val="auto"/>
              <w:sz w:val="24"/>
              <w:highlight w:val="none"/>
            </w:rPr>
            <w:t>十三、国有资本经营预算</w:t>
          </w:r>
          <w:r>
            <w:rPr>
              <w:rFonts w:hint="eastAsia"/>
              <w:color w:val="auto"/>
              <w:sz w:val="24"/>
              <w:highlight w:val="none"/>
              <w:lang w:eastAsia="zh-CN"/>
            </w:rPr>
            <w:t>财政拨款收入</w:t>
          </w:r>
          <w:r>
            <w:rPr>
              <w:rFonts w:hint="eastAsia"/>
              <w:color w:val="auto"/>
              <w:sz w:val="24"/>
              <w:highlight w:val="none"/>
            </w:rPr>
            <w:t>支出决算表</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_Toc11325 \h </w:instrText>
          </w:r>
          <w:r>
            <w:rPr>
              <w:rFonts w:hint="eastAsia"/>
              <w:color w:val="auto"/>
              <w:sz w:val="24"/>
              <w:highlight w:val="none"/>
            </w:rPr>
            <w:fldChar w:fldCharType="separate"/>
          </w:r>
          <w:r>
            <w:rPr>
              <w:rFonts w:hint="eastAsia"/>
              <w:color w:val="auto"/>
              <w:sz w:val="24"/>
              <w:highlight w:val="none"/>
            </w:rPr>
            <w:t>23</w:t>
          </w:r>
          <w:r>
            <w:rPr>
              <w:rFonts w:hint="eastAsia"/>
              <w:color w:val="auto"/>
              <w:sz w:val="24"/>
              <w:highlight w:val="none"/>
            </w:rPr>
            <w:fldChar w:fldCharType="end"/>
          </w:r>
          <w:r>
            <w:rPr>
              <w:rFonts w:hint="eastAsia"/>
              <w:color w:val="auto"/>
              <w:sz w:val="24"/>
              <w:highlight w:val="none"/>
            </w:rPr>
            <w:fldChar w:fldCharType="end"/>
          </w:r>
        </w:p>
        <w:p>
          <w:pPr>
            <w:pStyle w:val="14"/>
            <w:adjustRightInd w:val="0"/>
            <w:snapToGrid w:val="0"/>
            <w:spacing w:line="440" w:lineRule="exact"/>
            <w:jc w:val="left"/>
          </w:pPr>
          <w:r>
            <w:rPr>
              <w:rFonts w:hint="eastAsia"/>
              <w:color w:val="auto"/>
              <w:sz w:val="24"/>
              <w:highlight w:val="none"/>
            </w:rPr>
            <w:fldChar w:fldCharType="begin"/>
          </w:r>
          <w:r>
            <w:rPr>
              <w:rFonts w:hint="eastAsia"/>
              <w:color w:val="auto"/>
              <w:sz w:val="24"/>
              <w:highlight w:val="none"/>
            </w:rPr>
            <w:instrText xml:space="preserve"> HYPERLINK \l _Toc28325 </w:instrText>
          </w:r>
          <w:r>
            <w:rPr>
              <w:rFonts w:hint="eastAsia"/>
              <w:color w:val="auto"/>
              <w:sz w:val="24"/>
              <w:highlight w:val="none"/>
            </w:rPr>
            <w:fldChar w:fldCharType="separate"/>
          </w:r>
          <w:r>
            <w:rPr>
              <w:rFonts w:hint="eastAsia"/>
              <w:color w:val="auto"/>
              <w:sz w:val="24"/>
              <w:highlight w:val="none"/>
              <w:lang w:eastAsia="zh-CN"/>
            </w:rPr>
            <w:t>十四、国有资本经营预算财政拨款支出决算表</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_Toc28325 \h </w:instrText>
          </w:r>
          <w:r>
            <w:rPr>
              <w:rFonts w:hint="eastAsia"/>
              <w:color w:val="auto"/>
              <w:sz w:val="24"/>
              <w:highlight w:val="none"/>
            </w:rPr>
            <w:fldChar w:fldCharType="separate"/>
          </w:r>
          <w:r>
            <w:rPr>
              <w:rFonts w:hint="eastAsia"/>
              <w:color w:val="auto"/>
              <w:sz w:val="24"/>
              <w:highlight w:val="none"/>
            </w:rPr>
            <w:t>23</w:t>
          </w:r>
          <w:r>
            <w:rPr>
              <w:rFonts w:hint="eastAsia"/>
              <w:color w:val="auto"/>
              <w:sz w:val="24"/>
              <w:highlight w:val="none"/>
            </w:rPr>
            <w:fldChar w:fldCharType="end"/>
          </w:r>
          <w:r>
            <w:rPr>
              <w:rFonts w:hint="eastAsia"/>
              <w:color w:val="auto"/>
              <w:sz w:val="24"/>
              <w:highlight w:val="none"/>
            </w:rPr>
            <w:fldChar w:fldCharType="end"/>
          </w:r>
        </w:p>
        <w:p>
          <w:r>
            <w:rPr>
              <w:b/>
            </w:rPr>
            <w:fldChar w:fldCharType="end"/>
          </w:r>
        </w:p>
      </w:sdtContent>
    </w:sdt>
    <w:p>
      <w:pPr>
        <w:widowControl/>
        <w:spacing w:line="440" w:lineRule="exact"/>
        <w:jc w:val="left"/>
        <w:rPr>
          <w:rFonts w:ascii="仿宋" w:hAnsi="仿宋" w:eastAsia="仿宋"/>
          <w:bCs/>
          <w:color w:val="auto"/>
          <w:kern w:val="44"/>
          <w:sz w:val="24"/>
          <w:highlight w:val="none"/>
        </w:rPr>
      </w:pPr>
      <w:r>
        <w:rPr>
          <w:rFonts w:ascii="仿宋" w:hAnsi="仿宋" w:eastAsia="仿宋"/>
          <w:b/>
          <w:color w:val="auto"/>
          <w:sz w:val="24"/>
          <w:highlight w:val="none"/>
        </w:rPr>
        <w:br w:type="page"/>
      </w:r>
    </w:p>
    <w:p>
      <w:pPr>
        <w:pStyle w:val="4"/>
        <w:jc w:val="center"/>
        <w:rPr>
          <w:rStyle w:val="29"/>
          <w:rFonts w:ascii="黑体" w:hAnsi="黑体" w:eastAsia="黑体"/>
          <w:b/>
          <w:bCs w:val="0"/>
          <w:color w:val="auto"/>
          <w:highlight w:val="none"/>
        </w:rPr>
      </w:pPr>
      <w:bookmarkStart w:id="16" w:name="_Toc26068"/>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9"/>
          <w:rFonts w:hint="eastAsia" w:ascii="黑体" w:hAnsi="黑体" w:eastAsia="黑体"/>
          <w:b w:val="0"/>
          <w:bCs w:val="0"/>
          <w:color w:val="auto"/>
          <w:highlight w:val="none"/>
        </w:rPr>
        <w:t>概况</w:t>
      </w:r>
      <w:bookmarkEnd w:id="14"/>
      <w:bookmarkEnd w:id="15"/>
      <w:bookmarkEnd w:id="16"/>
    </w:p>
    <w:p>
      <w:pPr>
        <w:widowControl/>
        <w:jc w:val="left"/>
        <w:rPr>
          <w:rFonts w:ascii="黑体" w:eastAsia="黑体"/>
          <w:color w:val="auto"/>
          <w:sz w:val="32"/>
          <w:szCs w:val="32"/>
          <w:highlight w:val="none"/>
        </w:rPr>
      </w:pPr>
    </w:p>
    <w:p>
      <w:pPr>
        <w:pStyle w:val="5"/>
        <w:numPr>
          <w:ilvl w:val="0"/>
          <w:numId w:val="1"/>
        </w:numPr>
        <w:rPr>
          <w:rStyle w:val="30"/>
          <w:rFonts w:hint="eastAsia" w:ascii="黑体" w:hAnsi="黑体" w:eastAsia="黑体"/>
          <w:b w:val="0"/>
          <w:bCs w:val="0"/>
          <w:color w:val="auto"/>
          <w:highlight w:val="none"/>
          <w:lang w:eastAsia="zh-CN"/>
        </w:rPr>
      </w:pPr>
      <w:bookmarkStart w:id="17" w:name="_Toc16408"/>
      <w:bookmarkStart w:id="18" w:name="_Toc15377197"/>
      <w:bookmarkStart w:id="19" w:name="_Toc15396600"/>
      <w:r>
        <w:rPr>
          <w:rStyle w:val="30"/>
          <w:rFonts w:hint="eastAsia" w:ascii="黑体" w:hAnsi="黑体" w:eastAsia="黑体"/>
          <w:b w:val="0"/>
          <w:bCs w:val="0"/>
          <w:color w:val="auto"/>
          <w:highlight w:val="none"/>
        </w:rPr>
        <w:t>职能</w:t>
      </w:r>
      <w:r>
        <w:rPr>
          <w:rStyle w:val="30"/>
          <w:rFonts w:hint="eastAsia" w:ascii="黑体" w:hAnsi="黑体" w:eastAsia="黑体"/>
          <w:b w:val="0"/>
          <w:bCs w:val="0"/>
          <w:color w:val="auto"/>
          <w:highlight w:val="none"/>
          <w:lang w:eastAsia="zh-CN"/>
        </w:rPr>
        <w:t>简介</w:t>
      </w:r>
      <w:bookmarkEnd w:id="17"/>
      <w:r>
        <w:rPr>
          <w:rStyle w:val="30"/>
          <w:rFonts w:hint="eastAsia" w:ascii="黑体" w:hAnsi="黑体" w:eastAsia="黑体"/>
          <w:b w:val="0"/>
          <w:bCs w:val="0"/>
          <w:color w:val="auto"/>
          <w:highlight w:val="none"/>
          <w:lang w:eastAsia="zh-CN"/>
        </w:rPr>
        <w:t>及主要工作</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bCs/>
          <w:color w:val="000000"/>
          <w:sz w:val="32"/>
          <w:szCs w:val="32"/>
        </w:rPr>
        <w:t>（一）主要职能</w:t>
      </w:r>
      <w:r>
        <w:rPr>
          <w:rFonts w:hint="eastAsia" w:ascii="仿宋" w:hAnsi="仿宋" w:eastAsia="仿宋"/>
          <w:bCs/>
          <w:color w:val="000000"/>
          <w:sz w:val="32"/>
          <w:szCs w:val="32"/>
          <w:lang w:eastAsia="zh-CN"/>
        </w:rPr>
        <w:t>简介</w:t>
      </w:r>
      <w:r>
        <w:rPr>
          <w:rFonts w:hint="eastAsia" w:ascii="仿宋" w:hAnsi="仿宋" w:eastAsia="仿宋"/>
          <w:bCs/>
          <w:color w:val="000000"/>
          <w:sz w:val="32"/>
          <w:szCs w:val="32"/>
        </w:rPr>
        <w:t>。</w:t>
      </w:r>
      <w:r>
        <w:rPr>
          <w:rFonts w:hint="eastAsia" w:ascii="仿宋_GB2312" w:hAnsi="仿宋_GB2312" w:eastAsia="仿宋_GB2312" w:cs="仿宋_GB2312"/>
          <w:color w:val="auto"/>
          <w:kern w:val="2"/>
          <w:sz w:val="32"/>
          <w:szCs w:val="32"/>
          <w:lang w:val="en-US" w:eastAsia="zh-CN" w:bidi="ar-SA"/>
        </w:rPr>
        <w:t>代表和维护妇女权益，促进男女平等。妇联的主要任务是：妇女维权、妇女发展、妇女宣传、儿童工作和组织建设。一是团结、动员广大妇女投身社会主义现代化建设，促进经济发展和社会全面进步。二是教育引导广大妇女发扬自尊、自信、自立、自强的精神，提高综合素质。代表妇女参与国家和社会事务的民主决策、民主管理和民主监督。三是推动妇女儿童纲要的实施，维护妇女儿童合法权益。四是加强与社会各界的联系，协调和推动社会各界为妇女儿童办实事、办好事。</w:t>
      </w:r>
    </w:p>
    <w:bookmarkEnd w:id="18"/>
    <w:bookmarkEnd w:id="19"/>
    <w:p>
      <w:pPr>
        <w:pStyle w:val="7"/>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20" w:name="_Toc15378446"/>
      <w:bookmarkStart w:id="21" w:name="_Toc15377199"/>
      <w:r>
        <w:rPr>
          <w:rFonts w:hint="eastAsia" w:ascii="仿宋" w:hAnsi="仿宋" w:eastAsia="仿宋"/>
          <w:bCs/>
          <w:color w:val="000000"/>
          <w:sz w:val="32"/>
          <w:szCs w:val="32"/>
        </w:rPr>
        <w:t>（二）</w:t>
      </w:r>
      <w:r>
        <w:rPr>
          <w:rFonts w:ascii="仿宋" w:hAnsi="仿宋" w:eastAsia="仿宋"/>
          <w:bCs/>
          <w:color w:val="000000"/>
          <w:sz w:val="32"/>
          <w:szCs w:val="32"/>
        </w:rPr>
        <w:t>202</w:t>
      </w:r>
      <w:r>
        <w:rPr>
          <w:rFonts w:hint="eastAsia" w:ascii="仿宋" w:hAnsi="仿宋" w:eastAsia="仿宋"/>
          <w:bCs/>
          <w:color w:val="000000"/>
          <w:sz w:val="32"/>
          <w:szCs w:val="32"/>
          <w:lang w:val="en-US" w:eastAsia="zh-CN"/>
        </w:rPr>
        <w:t>1</w:t>
      </w:r>
      <w:r>
        <w:rPr>
          <w:rFonts w:hint="eastAsia" w:ascii="仿宋" w:hAnsi="仿宋" w:eastAsia="仿宋"/>
          <w:bCs/>
          <w:color w:val="000000"/>
          <w:sz w:val="32"/>
          <w:szCs w:val="32"/>
        </w:rPr>
        <w:t>年重点工作完成情况。</w:t>
      </w:r>
      <w:bookmarkEnd w:id="20"/>
      <w:bookmarkEnd w:id="21"/>
    </w:p>
    <w:p>
      <w:pPr>
        <w:pStyle w:val="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val="0"/>
          <w:bCs w:val="0"/>
          <w:color w:val="auto"/>
          <w:sz w:val="32"/>
          <w:szCs w:val="32"/>
          <w:lang w:val="en-US" w:eastAsia="zh-CN"/>
        </w:rPr>
        <w:t>1、深化“巾帼心向党”提升行动，妇女群众凝聚力、向心力进一步增强。</w:t>
      </w:r>
      <w:r>
        <w:rPr>
          <w:rFonts w:hint="eastAsia" w:ascii="仿宋_GB2312" w:hAnsi="仿宋_GB2312" w:eastAsia="仿宋_GB2312" w:cs="仿宋_GB2312"/>
          <w:color w:val="auto"/>
          <w:sz w:val="32"/>
          <w:szCs w:val="32"/>
          <w:lang w:val="en-US" w:eastAsia="zh-CN"/>
        </w:rPr>
        <w:t>积极引领全区各级妇联组织开展</w:t>
      </w:r>
      <w:r>
        <w:rPr>
          <w:rFonts w:hint="eastAsia" w:ascii="仿宋_GB2312" w:hAnsi="仿宋_GB2312" w:eastAsia="仿宋_GB2312" w:cs="仿宋_GB2312"/>
          <w:color w:val="auto"/>
          <w:sz w:val="32"/>
          <w:szCs w:val="32"/>
        </w:rPr>
        <w:t>党的十九届</w:t>
      </w:r>
      <w:r>
        <w:rPr>
          <w:rFonts w:hint="eastAsia" w:ascii="仿宋_GB2312" w:hAnsi="仿宋_GB2312" w:eastAsia="仿宋_GB2312" w:cs="仿宋_GB2312"/>
          <w:color w:val="auto"/>
          <w:sz w:val="32"/>
          <w:szCs w:val="32"/>
          <w:lang w:eastAsia="zh-CN"/>
        </w:rPr>
        <w:t>六中</w:t>
      </w:r>
      <w:r>
        <w:rPr>
          <w:rFonts w:hint="eastAsia" w:ascii="仿宋_GB2312" w:hAnsi="仿宋_GB2312" w:eastAsia="仿宋_GB2312" w:cs="仿宋_GB2312"/>
          <w:color w:val="auto"/>
          <w:sz w:val="32"/>
          <w:szCs w:val="32"/>
        </w:rPr>
        <w:t>全会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习近平总书记关于家庭家风家教的重要论述和市区党代会精神学习宣讲，全年累计开展“巾帼大宣讲”120余场次。为弘扬先进，彰显巾帼担当，</w:t>
      </w:r>
      <w:r>
        <w:rPr>
          <w:rFonts w:hint="eastAsia" w:ascii="仿宋_GB2312" w:hAnsi="仿宋_GB2312" w:eastAsia="仿宋_GB2312" w:cs="仿宋_GB2312"/>
          <w:color w:val="auto"/>
          <w:kern w:val="2"/>
          <w:sz w:val="32"/>
          <w:szCs w:val="32"/>
          <w:lang w:val="en-US" w:eastAsia="zh-CN" w:bidi="ar-SA"/>
        </w:rPr>
        <w:t>表扬了市区三八红旗手（集体）28名，</w:t>
      </w:r>
      <w:r>
        <w:rPr>
          <w:rFonts w:hint="eastAsia" w:ascii="仿宋_GB2312" w:hAnsi="仿宋_GB2312" w:eastAsia="仿宋_GB2312" w:cs="仿宋_GB2312"/>
          <w:color w:val="auto"/>
          <w:sz w:val="32"/>
          <w:szCs w:val="32"/>
          <w:u w:val="none"/>
          <w:lang w:val="en-US" w:eastAsia="zh-CN"/>
        </w:rPr>
        <w:t>在区电视台报道3名女性先进事迹，</w:t>
      </w:r>
      <w:r>
        <w:rPr>
          <w:rFonts w:hint="eastAsia" w:ascii="仿宋_GB2312" w:hAnsi="仿宋_GB2312" w:eastAsia="仿宋_GB2312" w:cs="仿宋_GB2312"/>
          <w:color w:val="auto"/>
          <w:kern w:val="2"/>
          <w:sz w:val="32"/>
          <w:szCs w:val="32"/>
          <w:lang w:val="en-US" w:eastAsia="zh-CN" w:bidi="ar-SA"/>
        </w:rPr>
        <w:t>组织15名三八红旗手、优秀女性进校园、进机关、进企业、进农村、进社区开展巡讲活动30场次。</w:t>
      </w:r>
      <w:r>
        <w:rPr>
          <w:rFonts w:hint="eastAsia" w:ascii="仿宋_GB2312" w:hAnsi="仿宋_GB2312" w:eastAsia="仿宋_GB2312" w:cs="仿宋_GB2312"/>
          <w:color w:val="auto"/>
          <w:sz w:val="32"/>
          <w:szCs w:val="32"/>
          <w:lang w:val="en-US" w:eastAsia="zh-CN"/>
        </w:rPr>
        <w:t>开展昭化区2021年“少年儿童心向党”庆祝建党100周年主题宣传教育活动42场次。</w:t>
      </w:r>
      <w:r>
        <w:rPr>
          <w:rFonts w:hint="eastAsia" w:ascii="仿宋_GB2312" w:hAnsi="仿宋_GB2312" w:eastAsia="仿宋_GB2312" w:cs="仿宋_GB2312"/>
          <w:color w:val="auto"/>
          <w:kern w:val="2"/>
          <w:sz w:val="32"/>
          <w:szCs w:val="32"/>
          <w:lang w:val="en-US" w:eastAsia="zh-CN" w:bidi="ar-SA"/>
        </w:rPr>
        <w:t>组织全区妇联系统开展“悦读党史”读书交流活动，12名镇村两级妇联干部参加省市妇联专题培训班学习。</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76" w:lineRule="exact"/>
        <w:ind w:left="0" w:leftChars="0" w:firstLine="640" w:firstLineChars="200"/>
        <w:textAlignment w:val="auto"/>
        <w:rPr>
          <w:rFonts w:hint="eastAsia" w:ascii="仿宋_GB2312" w:hAnsi="仿宋_GB2312" w:eastAsia="仿宋_GB2312" w:cs="仿宋_GB2312"/>
          <w:b w:val="0"/>
          <w:i w:val="0"/>
          <w:caps w:val="0"/>
          <w:color w:val="auto"/>
          <w:spacing w:val="0"/>
          <w:sz w:val="32"/>
          <w:szCs w:val="32"/>
          <w:lang w:val="en-US" w:eastAsia="zh-CN"/>
        </w:rPr>
      </w:pPr>
      <w:r>
        <w:rPr>
          <w:rFonts w:hint="eastAsia" w:ascii="楷体_GB2312" w:hAnsi="楷体_GB2312" w:eastAsia="楷体_GB2312" w:cs="楷体_GB2312"/>
          <w:b w:val="0"/>
          <w:bCs/>
          <w:color w:val="auto"/>
          <w:sz w:val="32"/>
          <w:szCs w:val="32"/>
          <w:lang w:val="en-US" w:eastAsia="zh-CN"/>
        </w:rPr>
        <w:t>2、</w:t>
      </w:r>
      <w:r>
        <w:rPr>
          <w:rFonts w:hint="eastAsia" w:ascii="楷体_GB2312" w:hAnsi="楷体_GB2312" w:eastAsia="楷体_GB2312" w:cs="楷体_GB2312"/>
          <w:b w:val="0"/>
          <w:bCs/>
          <w:color w:val="auto"/>
          <w:sz w:val="32"/>
          <w:szCs w:val="32"/>
          <w:lang w:eastAsia="zh-CN"/>
        </w:rPr>
        <w:t>深化“巾帼建新功”提升行动，</w:t>
      </w:r>
      <w:r>
        <w:rPr>
          <w:rFonts w:hint="eastAsia" w:ascii="楷体_GB2312" w:hAnsi="楷体_GB2312" w:eastAsia="楷体_GB2312" w:cs="楷体_GB2312"/>
          <w:b w:val="0"/>
          <w:bCs/>
          <w:color w:val="auto"/>
          <w:sz w:val="32"/>
          <w:szCs w:val="32"/>
          <w:lang w:val="en-US" w:eastAsia="zh-CN"/>
        </w:rPr>
        <w:t>妇女建功立业平台进一步拓展</w:t>
      </w:r>
      <w:r>
        <w:rPr>
          <w:rFonts w:hint="eastAsia" w:ascii="楷体_GB2312" w:hAnsi="楷体_GB2312" w:eastAsia="楷体_GB2312" w:cs="楷体_GB2312"/>
          <w:b w:val="0"/>
          <w:bCs/>
          <w:color w:val="auto"/>
          <w:sz w:val="32"/>
          <w:szCs w:val="32"/>
          <w:lang w:eastAsia="zh-CN"/>
        </w:rPr>
        <w:t>。</w:t>
      </w:r>
      <w:r>
        <w:rPr>
          <w:rFonts w:hint="eastAsia" w:ascii="仿宋_GB2312" w:hAnsi="仿宋_GB2312" w:eastAsia="仿宋_GB2312" w:cs="仿宋_GB2312"/>
          <w:color w:val="auto"/>
          <w:sz w:val="32"/>
          <w:szCs w:val="32"/>
          <w:lang w:val="en-US" w:eastAsia="zh-CN"/>
        </w:rPr>
        <w:t>积极争取新一轮东西部协作资金和丽水市慈善总会资金15万元，在卫子镇梅树村新建“归雁工程”来料加工车间1个，开展技能培训3期，参训妇女80余人，完成订单收入2批次，发放加工费2.4万元，53名妇女实现居家灵活稳定就业。圆满</w:t>
      </w:r>
      <w:r>
        <w:rPr>
          <w:rFonts w:hint="eastAsia" w:ascii="仿宋_GB2312" w:hAnsi="仿宋_GB2312" w:eastAsia="仿宋_GB2312" w:cs="仿宋_GB2312"/>
          <w:color w:val="auto"/>
          <w:kern w:val="2"/>
          <w:sz w:val="32"/>
          <w:szCs w:val="32"/>
          <w:lang w:val="en-US" w:eastAsia="zh-CN" w:bidi="ar-SA"/>
        </w:rPr>
        <w:t xml:space="preserve">召开全区各界优秀妇女座谈会，举办“巾帼心向党  </w:t>
      </w:r>
      <w:r>
        <w:rPr>
          <w:rFonts w:hint="eastAsia" w:ascii="仿宋_GB2312" w:hAnsi="仿宋_GB2312" w:eastAsia="仿宋_GB2312" w:cs="仿宋_GB2312"/>
          <w:color w:val="auto"/>
          <w:kern w:val="2"/>
          <w:sz w:val="32"/>
          <w:szCs w:val="32"/>
          <w:u w:val="none"/>
          <w:lang w:val="en-US" w:eastAsia="zh-CN" w:bidi="ar-SA"/>
        </w:rPr>
        <w:t>建功新时代”女性创业就业专场招聘会，提供</w:t>
      </w:r>
      <w:r>
        <w:rPr>
          <w:rFonts w:hint="eastAsia" w:ascii="仿宋_GB2312" w:hAnsi="仿宋_GB2312" w:eastAsia="仿宋_GB2312" w:cs="仿宋_GB2312"/>
          <w:color w:val="auto"/>
          <w:sz w:val="32"/>
          <w:szCs w:val="32"/>
          <w:lang w:val="en-US" w:eastAsia="zh-CN"/>
        </w:rPr>
        <w:t>女性就业岗位300个。</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firstLine="640" w:firstLineChars="200"/>
        <w:textAlignment w:val="auto"/>
        <w:rPr>
          <w:rFonts w:hint="eastAsia" w:ascii="仿宋_GB2312" w:hAnsi="仿宋_GB2312" w:eastAsia="仿宋" w:cs="仿宋_GB2312"/>
          <w:b w:val="0"/>
          <w:i w:val="0"/>
          <w:caps w:val="0"/>
          <w:color w:val="auto"/>
          <w:spacing w:val="0"/>
          <w:sz w:val="32"/>
          <w:szCs w:val="32"/>
          <w:lang w:val="en-US" w:eastAsia="zh-CN"/>
        </w:rPr>
      </w:pPr>
      <w:r>
        <w:rPr>
          <w:rFonts w:hint="eastAsia" w:hAnsi="仿宋_GB2312" w:cs="仿宋_GB2312"/>
          <w:b w:val="0"/>
          <w:bCs w:val="0"/>
          <w:i w:val="0"/>
          <w:color w:val="auto"/>
          <w:spacing w:val="0"/>
          <w:sz w:val="32"/>
          <w:szCs w:val="32"/>
          <w:lang w:val="en-US" w:eastAsia="zh-CN"/>
        </w:rPr>
        <w:t>3、</w:t>
      </w:r>
      <w:r>
        <w:rPr>
          <w:rFonts w:hint="eastAsia" w:ascii="楷体_GB2312" w:hAnsi="楷体_GB2312" w:eastAsia="楷体_GB2312" w:cs="楷体_GB2312"/>
          <w:b w:val="0"/>
          <w:bCs w:val="0"/>
          <w:i w:val="0"/>
          <w:caps w:val="0"/>
          <w:color w:val="auto"/>
          <w:spacing w:val="0"/>
          <w:sz w:val="32"/>
          <w:szCs w:val="32"/>
          <w:lang w:val="en-US" w:eastAsia="zh-CN"/>
        </w:rPr>
        <w:t>实施“巾帼维权”提升行动，妇女儿童发展环境进一步改善。</w:t>
      </w:r>
      <w:r>
        <w:rPr>
          <w:rFonts w:hint="eastAsia" w:ascii="仿宋_GB2312" w:hAnsi="仿宋_GB2312" w:eastAsia="仿宋_GB2312" w:cs="仿宋_GB2312"/>
          <w:b w:val="0"/>
          <w:i w:val="0"/>
          <w:caps w:val="0"/>
          <w:color w:val="auto"/>
          <w:spacing w:val="0"/>
          <w:sz w:val="32"/>
          <w:szCs w:val="32"/>
          <w:lang w:val="en-US" w:eastAsia="zh-CN"/>
        </w:rPr>
        <w:t>全面完成“两纲”（2011-2020）</w:t>
      </w:r>
      <w:r>
        <w:rPr>
          <w:rFonts w:hint="eastAsia" w:ascii="仿宋_GB2312" w:hAnsi="仿宋_GB2312" w:eastAsia="仿宋_GB2312" w:cs="仿宋_GB2312"/>
          <w:color w:val="auto"/>
          <w:sz w:val="32"/>
          <w:szCs w:val="32"/>
          <w:lang w:eastAsia="zh-CN"/>
        </w:rPr>
        <w:t>终期评估工作，各项指标全面达标。</w:t>
      </w:r>
      <w:r>
        <w:rPr>
          <w:rFonts w:hint="eastAsia" w:ascii="仿宋_GB2312" w:hAnsi="仿宋_GB2312" w:eastAsia="仿宋_GB2312" w:cs="仿宋_GB2312"/>
          <w:color w:val="auto"/>
          <w:kern w:val="2"/>
          <w:sz w:val="32"/>
          <w:szCs w:val="32"/>
          <w:lang w:val="en-US" w:eastAsia="zh-CN" w:bidi="ar-SA"/>
        </w:rPr>
        <w:t>我区被评为市级两纲示范县区，区卫健局、元坝镇被评为市级两纲示范单位。</w:t>
      </w:r>
      <w:r>
        <w:rPr>
          <w:rFonts w:hint="eastAsia" w:ascii="仿宋_GB2312" w:hAnsi="仿宋_GB2312" w:eastAsia="仿宋_GB2312" w:cs="仿宋_GB2312"/>
          <w:b w:val="0"/>
          <w:bCs/>
          <w:color w:val="auto"/>
          <w:sz w:val="32"/>
          <w:szCs w:val="32"/>
          <w:lang w:eastAsia="zh-CN"/>
        </w:rPr>
        <w:t>区妇联和区司法局被评为全市</w:t>
      </w:r>
      <w:r>
        <w:rPr>
          <w:rFonts w:hint="eastAsia" w:ascii="仿宋_GB2312" w:hAnsi="仿宋_GB2312" w:eastAsia="仿宋_GB2312" w:cs="仿宋_GB2312"/>
          <w:b w:val="0"/>
          <w:bCs/>
          <w:color w:val="auto"/>
          <w:sz w:val="32"/>
          <w:szCs w:val="32"/>
        </w:rPr>
        <w:t>性别平等</w:t>
      </w:r>
      <w:r>
        <w:rPr>
          <w:rFonts w:hint="eastAsia" w:ascii="仿宋_GB2312" w:hAnsi="仿宋_GB2312" w:eastAsia="仿宋_GB2312" w:cs="仿宋_GB2312"/>
          <w:b w:val="0"/>
          <w:bCs/>
          <w:color w:val="auto"/>
          <w:sz w:val="32"/>
          <w:szCs w:val="32"/>
          <w:lang w:eastAsia="zh-CN"/>
        </w:rPr>
        <w:t>评估机制建设示范单位，</w:t>
      </w:r>
      <w:r>
        <w:rPr>
          <w:rFonts w:hint="eastAsia" w:ascii="仿宋_GB2312" w:hAnsi="仿宋_GB2312" w:eastAsia="仿宋_GB2312" w:cs="仿宋_GB2312"/>
          <w:color w:val="auto"/>
          <w:sz w:val="32"/>
          <w:szCs w:val="32"/>
          <w:lang w:val="en-US" w:eastAsia="zh-CN"/>
        </w:rPr>
        <w:t>元坝镇青梅路社区成为全市加强政策法规性别平等评估机制建设</w:t>
      </w:r>
      <w:r>
        <w:rPr>
          <w:rFonts w:hint="eastAsia" w:ascii="仿宋_GB2312" w:hAnsi="仿宋_GB2312" w:eastAsia="仿宋_GB2312" w:cs="仿宋_GB2312"/>
          <w:b w:val="0"/>
          <w:bCs/>
          <w:color w:val="auto"/>
          <w:sz w:val="32"/>
          <w:szCs w:val="32"/>
          <w:lang w:eastAsia="zh-CN"/>
        </w:rPr>
        <w:t>工作</w:t>
      </w:r>
      <w:r>
        <w:rPr>
          <w:rFonts w:hint="eastAsia" w:ascii="仿宋_GB2312" w:hAnsi="仿宋_GB2312" w:eastAsia="仿宋_GB2312" w:cs="仿宋_GB2312"/>
          <w:b w:val="0"/>
          <w:bCs/>
          <w:color w:val="auto"/>
          <w:sz w:val="32"/>
          <w:szCs w:val="32"/>
        </w:rPr>
        <w:t>推进会</w:t>
      </w:r>
      <w:r>
        <w:rPr>
          <w:rFonts w:hint="eastAsia" w:ascii="仿宋_GB2312" w:hAnsi="仿宋_GB2312" w:eastAsia="仿宋_GB2312" w:cs="仿宋_GB2312"/>
          <w:b w:val="0"/>
          <w:bCs/>
          <w:color w:val="auto"/>
          <w:sz w:val="32"/>
          <w:szCs w:val="32"/>
          <w:lang w:eastAsia="zh-CN"/>
        </w:rPr>
        <w:t>现场点。</w:t>
      </w:r>
      <w:r>
        <w:rPr>
          <w:rFonts w:hint="eastAsia" w:ascii="仿宋_GB2312" w:hAnsi="仿宋_GB2312" w:eastAsia="仿宋_GB2312" w:cs="仿宋_GB2312"/>
          <w:b w:val="0"/>
          <w:i w:val="0"/>
          <w:caps w:val="0"/>
          <w:color w:val="auto"/>
          <w:spacing w:val="0"/>
          <w:sz w:val="32"/>
          <w:szCs w:val="32"/>
          <w:lang w:val="en-US" w:eastAsia="zh-CN"/>
        </w:rPr>
        <w:t>在“三八</w:t>
      </w:r>
      <w:r>
        <w:rPr>
          <w:rFonts w:hint="default" w:ascii="仿宋_GB2312" w:hAnsi="仿宋_GB2312" w:eastAsia="仿宋_GB2312" w:cs="仿宋_GB2312"/>
          <w:b w:val="0"/>
          <w:i w:val="0"/>
          <w:caps w:val="0"/>
          <w:color w:val="auto"/>
          <w:spacing w:val="0"/>
          <w:sz w:val="32"/>
          <w:szCs w:val="32"/>
          <w:lang w:val="en-US" w:eastAsia="zh-CN"/>
        </w:rPr>
        <w:t>”</w:t>
      </w:r>
      <w:r>
        <w:rPr>
          <w:rFonts w:hint="eastAsia" w:ascii="仿宋_GB2312" w:hAnsi="仿宋_GB2312" w:eastAsia="仿宋_GB2312" w:cs="仿宋_GB2312"/>
          <w:b w:val="0"/>
          <w:i w:val="0"/>
          <w:caps w:val="0"/>
          <w:color w:val="auto"/>
          <w:spacing w:val="0"/>
          <w:sz w:val="32"/>
          <w:szCs w:val="32"/>
          <w:lang w:val="en-US" w:eastAsia="zh-CN"/>
        </w:rPr>
        <w:t>“六一”等节点开展“三八”妇女维权周法治宣传、“建设法治昭化，巾帼在行动”主题法治宣传教育活动3场次，配合区人大开展《未成年人保护法》执法检查，共发放宣传资料1000余份，调查问卷600余份，提出意见建议3条。多种形式开展“关爱儿童防止拐卖”“检爱同行，共护未来”、《民法典》《预防家庭暴力》等法治宣传进学校、进企业、进社区等普法活动。全年</w:t>
      </w:r>
      <w:r>
        <w:rPr>
          <w:rFonts w:hint="eastAsia" w:ascii="仿宋" w:hAnsi="仿宋" w:eastAsia="仿宋"/>
          <w:color w:val="auto"/>
          <w:sz w:val="32"/>
          <w:szCs w:val="32"/>
        </w:rPr>
        <w:t>共接待群众来信来访</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件</w:t>
      </w:r>
      <w:r>
        <w:rPr>
          <w:rFonts w:hint="eastAsia" w:ascii="仿宋_GB2312" w:hAnsi="仿宋_GB2312" w:eastAsia="仿宋_GB2312" w:cs="仿宋_GB2312"/>
          <w:color w:val="auto"/>
          <w:sz w:val="32"/>
          <w:szCs w:val="32"/>
          <w:lang w:val="en-US" w:eastAsia="zh-CN"/>
        </w:rPr>
        <w:t>，</w:t>
      </w:r>
      <w:r>
        <w:rPr>
          <w:rFonts w:hint="eastAsia" w:ascii="仿宋" w:hAnsi="仿宋" w:eastAsia="仿宋"/>
          <w:color w:val="auto"/>
          <w:sz w:val="32"/>
          <w:szCs w:val="32"/>
        </w:rPr>
        <w:t>其中涉及婚姻家庭类</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件</w:t>
      </w:r>
      <w:r>
        <w:rPr>
          <w:rFonts w:hint="eastAsia" w:ascii="仿宋_GB2312" w:hAnsi="仿宋_GB2312" w:eastAsia="仿宋_GB2312" w:cs="仿宋_GB2312"/>
          <w:color w:val="auto"/>
          <w:sz w:val="32"/>
          <w:szCs w:val="32"/>
          <w:lang w:val="en-US" w:eastAsia="zh-CN"/>
        </w:rPr>
        <w:t>协助法律援助1件</w:t>
      </w:r>
      <w:r>
        <w:rPr>
          <w:rFonts w:hint="eastAsia" w:ascii="仿宋" w:hAnsi="仿宋" w:eastAsia="仿宋"/>
          <w:color w:val="auto"/>
          <w:sz w:val="32"/>
          <w:szCs w:val="32"/>
        </w:rPr>
        <w:t>，信访办结率达100%</w:t>
      </w:r>
      <w:r>
        <w:rPr>
          <w:rFonts w:hint="eastAsia" w:ascii="仿宋" w:hAnsi="仿宋" w:eastAsia="仿宋"/>
          <w:color w:val="auto"/>
          <w:sz w:val="32"/>
          <w:szCs w:val="32"/>
          <w:lang w:eastAsia="zh-CN"/>
        </w:rPr>
        <w:t>。</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576" w:lineRule="exact"/>
        <w:ind w:left="3"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color w:val="auto"/>
          <w:kern w:val="2"/>
          <w:sz w:val="32"/>
          <w:szCs w:val="32"/>
          <w:lang w:val="en-US" w:eastAsia="zh-CN" w:bidi="ar"/>
        </w:rPr>
        <w:t>4、实施“巾帼暖人心”行动，广大妇女儿童安全感幸福感进一步增强。</w:t>
      </w:r>
      <w:r>
        <w:rPr>
          <w:rFonts w:hint="eastAsia" w:ascii="仿宋_GB2312" w:hAnsi="仿宋_GB2312" w:eastAsia="仿宋_GB2312" w:cs="仿宋_GB2312"/>
          <w:color w:val="auto"/>
          <w:sz w:val="32"/>
          <w:szCs w:val="32"/>
          <w:lang w:val="en-US" w:eastAsia="zh-CN"/>
        </w:rPr>
        <w:t>深入开展</w:t>
      </w:r>
      <w:r>
        <w:rPr>
          <w:rFonts w:hint="eastAsia" w:ascii="仿宋_GB2312" w:hAnsi="仿宋_GB2312" w:eastAsia="仿宋_GB2312" w:cs="仿宋_GB2312"/>
          <w:color w:val="auto"/>
          <w:sz w:val="32"/>
          <w:szCs w:val="32"/>
          <w:lang w:eastAsia="zh-CN"/>
        </w:rPr>
        <w:t>“把爱带回家”</w:t>
      </w:r>
      <w:r>
        <w:rPr>
          <w:rFonts w:hint="eastAsia" w:ascii="仿宋_GB2312" w:hAnsi="仿宋_GB2312" w:eastAsia="仿宋_GB2312" w:cs="仿宋_GB2312"/>
          <w:color w:val="auto"/>
          <w:sz w:val="32"/>
          <w:szCs w:val="32"/>
          <w:lang w:val="en-US" w:eastAsia="zh-CN"/>
        </w:rPr>
        <w:t>2021寒假</w:t>
      </w:r>
      <w:r>
        <w:rPr>
          <w:rFonts w:hint="eastAsia" w:ascii="仿宋_GB2312" w:hAnsi="仿宋_GB2312" w:eastAsia="仿宋_GB2312" w:cs="仿宋_GB2312"/>
          <w:color w:val="auto"/>
          <w:sz w:val="32"/>
          <w:szCs w:val="32"/>
          <w:lang w:eastAsia="zh-CN"/>
        </w:rPr>
        <w:t>儿童关爱服务“四送”活动，</w:t>
      </w:r>
      <w:r>
        <w:rPr>
          <w:rFonts w:hint="eastAsia" w:ascii="仿宋_GB2312" w:hAnsi="仿宋_GB2312" w:eastAsia="仿宋_GB2312" w:cs="仿宋_GB2312"/>
          <w:color w:val="auto"/>
          <w:sz w:val="32"/>
          <w:szCs w:val="32"/>
          <w:lang w:val="en-US" w:eastAsia="zh-CN"/>
        </w:rPr>
        <w:t>发放家庭教育问卷调查表120份，线上线下开展寒假期间安全知识宣传80场次，慰问困难儿童144名，</w:t>
      </w:r>
      <w:r>
        <w:rPr>
          <w:rFonts w:hint="eastAsia" w:ascii="仿宋_GB2312" w:hAnsi="仿宋_GB2312" w:eastAsia="仿宋_GB2312" w:cs="仿宋_GB2312"/>
          <w:b w:val="0"/>
          <w:i w:val="0"/>
          <w:caps w:val="0"/>
          <w:color w:val="auto"/>
          <w:spacing w:val="0"/>
          <w:sz w:val="32"/>
          <w:szCs w:val="32"/>
          <w:lang w:val="en-US" w:eastAsia="zh-CN"/>
        </w:rPr>
        <w:t>慰问金、慰问物资4.2万余元。“六一”期间，邀请区领导慰问全区困境儿童、品学兼优少年儿童649名，送去慰问金、慰问物资总计7万余元。举办“春蕾计划”青春期关爱活动，为135名青春期女孩送上“守护包”，为100名贫困学生送上爱心“大礼包”，</w:t>
      </w:r>
      <w:r>
        <w:rPr>
          <w:rFonts w:hint="eastAsia" w:ascii="仿宋_GB2312" w:hAnsi="仿宋_GB2312" w:eastAsia="仿宋_GB2312" w:cs="仿宋_GB2312"/>
          <w:color w:val="auto"/>
          <w:kern w:val="2"/>
          <w:sz w:val="32"/>
          <w:szCs w:val="32"/>
          <w:lang w:val="en-US" w:eastAsia="zh-CN" w:bidi="ar-SA"/>
        </w:rPr>
        <w:t>邀请讲师开展青春期女生生理心理健康知识、预防性侵专题讲座。</w:t>
      </w:r>
      <w:r>
        <w:rPr>
          <w:rFonts w:hint="eastAsia" w:ascii="仿宋_GB2312" w:hAnsi="仿宋_GB2312" w:eastAsia="仿宋_GB2312" w:cs="仿宋_GB2312"/>
          <w:b w:val="0"/>
          <w:i w:val="0"/>
          <w:caps w:val="0"/>
          <w:color w:val="auto"/>
          <w:spacing w:val="0"/>
          <w:sz w:val="32"/>
          <w:szCs w:val="32"/>
          <w:lang w:val="en-US" w:eastAsia="zh-CN"/>
        </w:rPr>
        <w:t>开展“两癌”知识宣传进农村（社区）活动，发放宣传资料4000多份，接受群众咨询500余人次，收集并建立“两癌”妇女救助信息台帐，积极争取“两癌”救助资金。</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firstLine="640"/>
        <w:textAlignment w:val="auto"/>
        <w:rPr>
          <w:rFonts w:hint="default" w:ascii="仿宋_GB2312" w:hAnsi="仿宋_GB2312" w:eastAsia="仿宋_GB2312" w:cs="仿宋_GB2312"/>
          <w:color w:val="auto"/>
          <w:kern w:val="2"/>
          <w:sz w:val="32"/>
          <w:szCs w:val="32"/>
          <w:lang w:eastAsia="zh-CN" w:bidi="ar-SA"/>
        </w:rPr>
      </w:pPr>
      <w:r>
        <w:rPr>
          <w:rFonts w:hint="eastAsia" w:ascii="楷体_GB2312" w:hAnsi="楷体_GB2312" w:eastAsia="楷体_GB2312" w:cs="楷体_GB2312"/>
          <w:b w:val="0"/>
          <w:bCs/>
          <w:color w:val="auto"/>
          <w:sz w:val="32"/>
          <w:szCs w:val="32"/>
          <w:lang w:val="en-US" w:eastAsia="zh-CN"/>
        </w:rPr>
        <w:t>5、</w:t>
      </w:r>
      <w:r>
        <w:rPr>
          <w:rFonts w:hint="eastAsia" w:ascii="楷体_GB2312" w:hAnsi="楷体_GB2312" w:eastAsia="楷体_GB2312" w:cs="楷体_GB2312"/>
          <w:b w:val="0"/>
          <w:bCs/>
          <w:color w:val="auto"/>
          <w:sz w:val="32"/>
          <w:szCs w:val="32"/>
        </w:rPr>
        <w:t>实施“家庭文明建设”行动，</w:t>
      </w:r>
      <w:r>
        <w:rPr>
          <w:rFonts w:hint="eastAsia" w:ascii="楷体_GB2312" w:hAnsi="楷体_GB2312" w:eastAsia="楷体_GB2312" w:cs="楷体_GB2312"/>
          <w:b w:val="0"/>
          <w:bCs/>
          <w:i w:val="0"/>
          <w:caps w:val="0"/>
          <w:color w:val="auto"/>
          <w:spacing w:val="0"/>
          <w:sz w:val="32"/>
          <w:szCs w:val="32"/>
          <w:lang w:val="en-US" w:eastAsia="zh-CN"/>
        </w:rPr>
        <w:t>家庭文明新风尚进一步形成</w:t>
      </w:r>
      <w:r>
        <w:rPr>
          <w:rFonts w:hint="eastAsia" w:ascii="楷体_GB2312" w:hAnsi="楷体_GB2312" w:eastAsia="楷体_GB2312" w:cs="楷体_GB2312"/>
          <w:b w:val="0"/>
          <w:bCs/>
          <w:color w:val="auto"/>
          <w:sz w:val="32"/>
          <w:szCs w:val="32"/>
          <w:lang w:eastAsia="zh-CN"/>
        </w:rPr>
        <w:t>。</w:t>
      </w:r>
      <w:r>
        <w:rPr>
          <w:rFonts w:hint="eastAsia" w:ascii="仿宋_GB2312" w:hAnsi="仿宋_GB2312" w:eastAsia="仿宋_GB2312" w:cs="仿宋_GB2312"/>
          <w:color w:val="auto"/>
          <w:kern w:val="2"/>
          <w:sz w:val="32"/>
          <w:szCs w:val="32"/>
          <w:lang w:val="en-US" w:eastAsia="zh-CN" w:bidi="ar-SA"/>
        </w:rPr>
        <w:t>大力实施“让爱回家</w:t>
      </w:r>
      <w:r>
        <w:rPr>
          <w:rFonts w:hint="eastAsia" w:ascii="仿宋_GB2312" w:hAnsi="Calibri" w:eastAsia="仿宋_GB2312" w:cs="Times New Roman"/>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陪伴成长”家庭教育项目，</w:t>
      </w:r>
      <w:r>
        <w:rPr>
          <w:rFonts w:hint="eastAsia" w:ascii="仿宋_GB2312" w:hAnsi="仿宋_GB2312" w:eastAsia="仿宋_GB2312" w:cs="仿宋_GB2312"/>
          <w:color w:val="auto"/>
          <w:sz w:val="32"/>
          <w:szCs w:val="32"/>
          <w:lang w:val="en-US" w:eastAsia="zh-CN"/>
        </w:rPr>
        <w:t>邀请广元市家庭教育学会专家深入全区24个社区开展家庭、家教、家风专题知识讲座24场次，受益人数2500余人。深入开展《家庭教育促进法》学习，</w:t>
      </w:r>
      <w:r>
        <w:rPr>
          <w:rFonts w:hint="eastAsia" w:ascii="仿宋_GB2312" w:hAnsi="仿宋_GB2312" w:eastAsia="仿宋_GB2312" w:cs="仿宋_GB2312"/>
          <w:color w:val="auto"/>
          <w:kern w:val="2"/>
          <w:sz w:val="32"/>
          <w:szCs w:val="32"/>
          <w:lang w:val="en-US" w:eastAsia="zh-CN" w:bidi="ar-SA"/>
        </w:rPr>
        <w:t>持续深化最美家庭、平安家庭、绿色家庭等特色家庭创建行动，</w:t>
      </w:r>
      <w:r>
        <w:rPr>
          <w:rFonts w:hint="eastAsia" w:ascii="仿宋_GB2312" w:hAnsi="仿宋_GB2312" w:eastAsia="仿宋_GB2312" w:cs="仿宋_GB2312"/>
          <w:color w:val="auto"/>
          <w:sz w:val="32"/>
          <w:szCs w:val="32"/>
          <w:lang w:val="en-US" w:eastAsia="zh-CN"/>
        </w:rPr>
        <w:t>全区评选出区级最美家庭25户，市级最美家庭4户，省级最美家庭1户，创建市级平安家庭25户。</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firstLine="64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val="0"/>
          <w:bCs/>
          <w:color w:val="auto"/>
          <w:sz w:val="32"/>
          <w:szCs w:val="32"/>
          <w:lang w:val="en-US" w:eastAsia="zh-CN"/>
        </w:rPr>
        <w:t>6、深化妇联组织改革“破难行动”，坚持党建带妇建，建强建优各级妇联组织。</w:t>
      </w:r>
      <w:r>
        <w:rPr>
          <w:rFonts w:hint="eastAsia" w:ascii="仿宋_GB2312" w:hAnsi="仿宋_GB2312" w:eastAsia="仿宋_GB2312" w:cs="仿宋_GB2312"/>
          <w:color w:val="auto"/>
          <w:kern w:val="2"/>
          <w:sz w:val="32"/>
          <w:szCs w:val="32"/>
          <w:lang w:val="en-US" w:eastAsia="zh-CN" w:bidi="ar-SA"/>
        </w:rPr>
        <w:t>始终坚持把党的建设摆在首位，深化党建带妇建，</w:t>
      </w:r>
      <w:r>
        <w:rPr>
          <w:rFonts w:hint="eastAsia" w:ascii="仿宋_GB2312" w:hAnsi="仿宋_GB2312" w:eastAsia="仿宋_GB2312" w:cs="仿宋_GB2312"/>
          <w:color w:val="auto"/>
          <w:kern w:val="2"/>
          <w:sz w:val="32"/>
          <w:szCs w:val="32"/>
        </w:rPr>
        <w:t>积极</w:t>
      </w:r>
      <w:r>
        <w:rPr>
          <w:rFonts w:hint="eastAsia" w:ascii="仿宋_GB2312" w:hAnsi="仿宋_GB2312" w:eastAsia="仿宋_GB2312" w:cs="仿宋_GB2312"/>
          <w:color w:val="auto"/>
          <w:sz w:val="32"/>
          <w:szCs w:val="32"/>
        </w:rPr>
        <w:t>推动妇女参与基层民主管理，选优配强</w:t>
      </w:r>
      <w:r>
        <w:rPr>
          <w:rFonts w:hint="eastAsia" w:ascii="仿宋_GB2312" w:hAnsi="仿宋_GB2312" w:eastAsia="仿宋_GB2312" w:cs="仿宋_GB2312"/>
          <w:color w:val="auto"/>
          <w:sz w:val="32"/>
          <w:szCs w:val="32"/>
          <w:lang w:eastAsia="zh-CN"/>
        </w:rPr>
        <w:t>镇、</w:t>
      </w:r>
      <w:r>
        <w:rPr>
          <w:rFonts w:hint="eastAsia" w:ascii="仿宋_GB2312" w:hAnsi="仿宋_GB2312" w:eastAsia="仿宋_GB2312" w:cs="仿宋_GB2312"/>
          <w:color w:val="auto"/>
          <w:sz w:val="32"/>
          <w:szCs w:val="32"/>
        </w:rPr>
        <w:t>村（社区）妇联班子，</w:t>
      </w:r>
      <w:r>
        <w:rPr>
          <w:rFonts w:hint="eastAsia" w:ascii="仿宋_GB2312" w:hAnsi="仿宋_GB2312" w:eastAsia="仿宋_GB2312" w:cs="仿宋_GB2312"/>
          <w:color w:val="auto"/>
          <w:kern w:val="2"/>
          <w:sz w:val="32"/>
          <w:szCs w:val="32"/>
        </w:rPr>
        <w:t>吸纳更多优秀女性进入基层组织干部队伍，</w:t>
      </w:r>
      <w:r>
        <w:rPr>
          <w:rFonts w:hint="eastAsia" w:ascii="仿宋_GB2312" w:hAnsi="仿宋_GB2312" w:eastAsia="仿宋_GB2312" w:cs="仿宋_GB2312"/>
          <w:color w:val="auto"/>
          <w:kern w:val="2"/>
          <w:sz w:val="32"/>
          <w:szCs w:val="32"/>
          <w:lang w:eastAsia="zh-CN"/>
        </w:rPr>
        <w:t>高质量</w:t>
      </w:r>
      <w:r>
        <w:rPr>
          <w:rFonts w:hint="eastAsia" w:ascii="仿宋_GB2312" w:hAnsi="仿宋_GB2312" w:eastAsia="仿宋_GB2312" w:cs="仿宋_GB2312"/>
          <w:color w:val="auto"/>
          <w:kern w:val="2"/>
          <w:sz w:val="32"/>
          <w:szCs w:val="32"/>
          <w:lang w:val="en-US" w:eastAsia="zh-CN" w:bidi="ar-SA"/>
        </w:rPr>
        <w:t>完成12个镇150个村（社区）基层妇联组织换届工作，</w:t>
      </w:r>
      <w:r>
        <w:rPr>
          <w:rFonts w:hint="eastAsia" w:ascii="仿宋_GB2312" w:hAnsi="仿宋_GB2312" w:eastAsia="仿宋_GB2312" w:cs="仿宋_GB2312"/>
          <w:color w:val="auto"/>
          <w:kern w:val="2"/>
          <w:sz w:val="32"/>
          <w:szCs w:val="32"/>
        </w:rPr>
        <w:t>为打造</w:t>
      </w:r>
      <w:r>
        <w:rPr>
          <w:rFonts w:hint="eastAsia" w:ascii="仿宋_GB2312" w:hAnsi="仿宋_GB2312" w:eastAsia="仿宋_GB2312" w:cs="仿宋_GB2312"/>
          <w:color w:val="auto"/>
          <w:kern w:val="2"/>
          <w:sz w:val="32"/>
          <w:szCs w:val="32"/>
          <w:lang w:eastAsia="zh-CN"/>
        </w:rPr>
        <w:t>昭化</w:t>
      </w:r>
      <w:r>
        <w:rPr>
          <w:rFonts w:hint="eastAsia"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lang w:eastAsia="zh-CN"/>
        </w:rPr>
        <w:t>四城新区</w:t>
      </w:r>
      <w:r>
        <w:rPr>
          <w:rFonts w:hint="eastAsia" w:ascii="仿宋_GB2312" w:hAnsi="仿宋_GB2312" w:eastAsia="仿宋_GB2312" w:cs="仿宋_GB2312"/>
          <w:color w:val="auto"/>
          <w:kern w:val="2"/>
          <w:sz w:val="32"/>
          <w:szCs w:val="32"/>
        </w:rPr>
        <w:t>”提供坚强的巾帼组织保障。</w:t>
      </w:r>
      <w:r>
        <w:rPr>
          <w:rFonts w:hint="eastAsia" w:ascii="仿宋_GB2312" w:hAnsi="仿宋_GB2312" w:eastAsia="仿宋_GB2312" w:cs="仿宋_GB2312"/>
          <w:color w:val="auto"/>
          <w:kern w:val="2"/>
          <w:sz w:val="32"/>
          <w:szCs w:val="32"/>
          <w:lang w:val="en-US" w:eastAsia="zh-CN" w:bidi="ar-SA"/>
        </w:rPr>
        <w:t>村（社区）妇联组织换届工作案例被省妇联采纳。严格落实意识形态主体责任制，召开专题会议研究意识形态工作4次。严格落实“三会一课”、谈心谈话、民主生活会等党内生活制度，结合党史学习教育，组织机关党员干部到太公红军山、</w:t>
      </w:r>
      <w:r>
        <w:rPr>
          <w:rFonts w:hint="eastAsia" w:ascii="仿宋_GB2312" w:hAnsi="仿宋_GB2312" w:eastAsia="仿宋_GB2312" w:cs="仿宋_GB2312"/>
          <w:color w:val="auto"/>
          <w:kern w:val="2"/>
          <w:sz w:val="32"/>
          <w:szCs w:val="32"/>
          <w:u w:val="none"/>
          <w:lang w:val="en-US" w:eastAsia="zh-CN" w:bidi="ar-SA"/>
        </w:rPr>
        <w:t>虎跳南斗村张明秀事迹陈列馆</w:t>
      </w:r>
      <w:r>
        <w:rPr>
          <w:rFonts w:hint="eastAsia" w:ascii="仿宋_GB2312" w:hAnsi="仿宋_GB2312" w:eastAsia="仿宋_GB2312" w:cs="仿宋_GB2312"/>
          <w:color w:val="auto"/>
          <w:kern w:val="2"/>
          <w:sz w:val="32"/>
          <w:szCs w:val="32"/>
          <w:lang w:val="en-US" w:eastAsia="zh-CN" w:bidi="ar-SA"/>
        </w:rPr>
        <w:t>开展党性教育</w:t>
      </w:r>
      <w:r>
        <w:rPr>
          <w:rFonts w:hint="eastAsia" w:ascii="仿宋_GB2312" w:hAnsi="仿宋_GB2312" w:eastAsia="仿宋_GB2312" w:cs="仿宋_GB2312"/>
          <w:color w:val="auto"/>
          <w:kern w:val="2"/>
          <w:sz w:val="32"/>
          <w:szCs w:val="32"/>
          <w:u w:val="none"/>
          <w:lang w:val="en-US" w:eastAsia="zh-CN" w:bidi="ar-SA"/>
        </w:rPr>
        <w:t>。</w:t>
      </w:r>
      <w:r>
        <w:rPr>
          <w:rFonts w:hint="eastAsia" w:ascii="仿宋_GB2312" w:hAnsi="仿宋_GB2312" w:eastAsia="仿宋_GB2312" w:cs="仿宋_GB2312"/>
          <w:b w:val="0"/>
          <w:i w:val="0"/>
          <w:caps w:val="0"/>
          <w:color w:val="auto"/>
          <w:spacing w:val="0"/>
          <w:sz w:val="32"/>
          <w:szCs w:val="32"/>
          <w:lang w:val="en-US" w:eastAsia="zh-CN"/>
        </w:rPr>
        <w:t>扎实开展</w:t>
      </w:r>
      <w:r>
        <w:rPr>
          <w:rFonts w:hint="eastAsia" w:ascii="仿宋_GB2312" w:hAnsi="仿宋_GB2312" w:eastAsia="仿宋_GB2312" w:cs="仿宋_GB2312"/>
          <w:color w:val="auto"/>
          <w:sz w:val="32"/>
          <w:szCs w:val="32"/>
          <w:lang w:val="en-US" w:eastAsia="zh-CN"/>
        </w:rPr>
        <w:t>党风廉政建设工作，</w:t>
      </w:r>
      <w:r>
        <w:rPr>
          <w:rFonts w:hint="eastAsia" w:ascii="仿宋_GB2312" w:hAnsi="仿宋_GB2312" w:eastAsia="仿宋_GB2312" w:cs="仿宋_GB2312"/>
          <w:b w:val="0"/>
          <w:i w:val="0"/>
          <w:caps w:val="0"/>
          <w:color w:val="auto"/>
          <w:spacing w:val="0"/>
          <w:sz w:val="32"/>
          <w:szCs w:val="32"/>
          <w:lang w:val="en-US" w:eastAsia="zh-CN"/>
        </w:rPr>
        <w:t>建立从严治党“三张清单”，深入开展干部纪律作风整顿，树立妇联干部队伍新面貌、新气象。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firstLine="640"/>
        <w:textAlignment w:val="auto"/>
        <w:rPr>
          <w:rFonts w:hint="eastAsia" w:ascii="仿宋_GB2312" w:hAnsi="仿宋_GB2312" w:eastAsia="仿宋_GB2312" w:cs="仿宋_GB2312"/>
          <w:b w:val="0"/>
          <w:i w:val="0"/>
          <w:color w:val="auto"/>
          <w:spacing w:val="0"/>
          <w:sz w:val="32"/>
          <w:szCs w:val="32"/>
          <w:lang w:val="en-US" w:eastAsia="zh-CN"/>
        </w:rPr>
      </w:pPr>
      <w:r>
        <w:rPr>
          <w:rFonts w:hint="eastAsia" w:ascii="楷体" w:hAnsi="楷体" w:eastAsia="楷体" w:cs="楷体"/>
          <w:b w:val="0"/>
          <w:bCs w:val="0"/>
          <w:i w:val="0"/>
          <w:caps w:val="0"/>
          <w:color w:val="auto"/>
          <w:spacing w:val="0"/>
          <w:sz w:val="32"/>
          <w:szCs w:val="32"/>
          <w:lang w:val="en-US" w:eastAsia="zh-CN"/>
        </w:rPr>
        <w:t>7、做大做强做靓</w:t>
      </w:r>
      <w:r>
        <w:rPr>
          <w:rFonts w:hint="eastAsia" w:ascii="楷体" w:hAnsi="楷体" w:eastAsia="楷体" w:cs="楷体"/>
          <w:b w:val="0"/>
          <w:bCs w:val="0"/>
          <w:i w:val="0"/>
          <w:color w:val="auto"/>
          <w:spacing w:val="0"/>
          <w:sz w:val="32"/>
          <w:szCs w:val="32"/>
          <w:lang w:val="en-US" w:eastAsia="zh-CN"/>
        </w:rPr>
        <w:t>“归雁工程”来料加工品牌。</w:t>
      </w:r>
      <w:r>
        <w:rPr>
          <w:rFonts w:hint="eastAsia" w:ascii="仿宋_GB2312" w:hAnsi="仿宋_GB2312" w:eastAsia="仿宋_GB2312" w:cs="仿宋_GB2312"/>
          <w:b w:val="0"/>
          <w:i w:val="0"/>
          <w:color w:val="auto"/>
          <w:spacing w:val="0"/>
          <w:sz w:val="32"/>
          <w:szCs w:val="32"/>
          <w:lang w:val="en-US" w:eastAsia="zh-CN"/>
        </w:rPr>
        <w:t>全区现有“归雁工程”来料加工4个，</w:t>
      </w:r>
      <w:r>
        <w:rPr>
          <w:rFonts w:hint="eastAsia" w:ascii="仿宋_GB2312" w:hAnsi="仿宋_GB2312" w:eastAsia="仿宋_GB2312" w:cs="仿宋_GB2312"/>
          <w:color w:val="auto"/>
          <w:sz w:val="32"/>
          <w:szCs w:val="32"/>
          <w:lang w:val="en-US" w:eastAsia="zh-CN"/>
        </w:rPr>
        <w:t>201名妇女实现居家灵活就业，</w:t>
      </w:r>
      <w:r>
        <w:rPr>
          <w:rFonts w:hint="eastAsia" w:ascii="仿宋_GB2312" w:hAnsi="仿宋_GB2312" w:eastAsia="仿宋_GB2312" w:cs="仿宋_GB2312"/>
          <w:b w:val="0"/>
          <w:i w:val="0"/>
          <w:color w:val="auto"/>
          <w:spacing w:val="0"/>
          <w:sz w:val="32"/>
          <w:szCs w:val="32"/>
          <w:lang w:val="en-US" w:eastAsia="zh-CN"/>
        </w:rPr>
        <w:t>“归雁工程”来料加工车间事迹先后多次在人民日报、广元电视台等新闻报道，纳入浙江省东西部扶贫协作十大案例之一。</w:t>
      </w:r>
    </w:p>
    <w:p>
      <w:pPr>
        <w:pStyle w:val="7"/>
        <w:keepNext w:val="0"/>
        <w:keepLines w:val="0"/>
        <w:pageBreakBefore w:val="0"/>
        <w:numPr>
          <w:ilvl w:val="0"/>
          <w:numId w:val="0"/>
        </w:numPr>
        <w:kinsoku/>
        <w:wordWrap/>
        <w:overflowPunct/>
        <w:topLinePunct w:val="0"/>
        <w:autoSpaceDE/>
        <w:autoSpaceDN/>
        <w:bidi w:val="0"/>
        <w:adjustRightInd/>
        <w:snapToGrid/>
        <w:spacing w:beforeAutospacing="0" w:afterAutospacing="0" w:line="576" w:lineRule="exact"/>
        <w:ind w:left="0" w:leftChars="0" w:firstLine="640" w:firstLineChars="200"/>
        <w:textAlignment w:val="auto"/>
        <w:rPr>
          <w:color w:val="auto"/>
        </w:rPr>
      </w:pPr>
      <w:r>
        <w:rPr>
          <w:rFonts w:hint="eastAsia" w:ascii="楷体" w:hAnsi="楷体" w:eastAsia="楷体" w:cs="楷体"/>
          <w:b w:val="0"/>
          <w:bCs w:val="0"/>
          <w:i w:val="0"/>
          <w:color w:val="auto"/>
          <w:spacing w:val="0"/>
          <w:sz w:val="32"/>
          <w:szCs w:val="32"/>
          <w:lang w:val="en-US" w:eastAsia="zh-CN"/>
        </w:rPr>
        <w:t>8、招商引资工作初有成效。</w:t>
      </w:r>
      <w:r>
        <w:rPr>
          <w:rFonts w:hint="eastAsia" w:ascii="仿宋_GB2312" w:hAnsi="仿宋_GB2312" w:eastAsia="仿宋_GB2312" w:cs="仿宋_GB2312"/>
          <w:color w:val="auto"/>
          <w:sz w:val="32"/>
          <w:szCs w:val="32"/>
          <w:lang w:val="en-US" w:eastAsia="zh-CN"/>
        </w:rPr>
        <w:t>年初</w:t>
      </w:r>
      <w:r>
        <w:rPr>
          <w:rFonts w:hint="eastAsia" w:ascii="仿宋_GB2312" w:hAnsi="仿宋_GB2312" w:eastAsia="仿宋_GB2312" w:cs="仿宋_GB2312"/>
          <w:color w:val="auto"/>
          <w:sz w:val="32"/>
          <w:szCs w:val="32"/>
          <w:lang w:eastAsia="zh-CN"/>
        </w:rPr>
        <w:t>成功与浙江浦江县盛开花边厂签订年产80万套家用纺织品项目投资协议</w:t>
      </w:r>
      <w:r>
        <w:rPr>
          <w:rFonts w:hint="eastAsia" w:ascii="仿宋_GB2312" w:hAnsi="仿宋_GB2312" w:eastAsia="仿宋_GB2312" w:cs="仿宋_GB2312"/>
          <w:color w:val="auto"/>
          <w:sz w:val="32"/>
          <w:szCs w:val="32"/>
          <w:lang w:val="en-US" w:eastAsia="zh-CN"/>
        </w:rPr>
        <w:t>，现已完成规划设计、公司注册、地勘等前期工作，进入开工准备阶段。</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val="0"/>
          <w:bCs w:val="0"/>
          <w:i w:val="0"/>
          <w:color w:val="auto"/>
          <w:spacing w:val="0"/>
          <w:kern w:val="2"/>
          <w:sz w:val="32"/>
          <w:szCs w:val="32"/>
          <w:lang w:val="en-US" w:eastAsia="zh-CN" w:bidi="ar-SA"/>
        </w:rPr>
        <w:t>9、</w:t>
      </w:r>
      <w:bookmarkStart w:id="109" w:name="_GoBack"/>
      <w:bookmarkEnd w:id="109"/>
      <w:r>
        <w:rPr>
          <w:rFonts w:hint="eastAsia" w:ascii="楷体" w:hAnsi="楷体" w:eastAsia="楷体" w:cs="楷体"/>
          <w:b w:val="0"/>
          <w:bCs w:val="0"/>
          <w:i w:val="0"/>
          <w:color w:val="auto"/>
          <w:spacing w:val="0"/>
          <w:kern w:val="2"/>
          <w:sz w:val="32"/>
          <w:szCs w:val="32"/>
          <w:lang w:val="en-US" w:eastAsia="zh-CN" w:bidi="ar-SA"/>
        </w:rPr>
        <w:t>大力争取民生项目。</w:t>
      </w:r>
      <w:r>
        <w:rPr>
          <w:rFonts w:hint="eastAsia" w:ascii="仿宋_GB2312" w:hAnsi="仿宋_GB2312" w:eastAsia="仿宋_GB2312" w:cs="仿宋_GB2312"/>
          <w:color w:val="auto"/>
          <w:sz w:val="32"/>
          <w:szCs w:val="32"/>
          <w:lang w:val="en-US" w:eastAsia="zh-CN"/>
        </w:rPr>
        <w:t>争取到“生命早期1000天营养补充计划”项目在我区实施，为全区备孕期、孕期、哺乳期妇女600名免费发放钙片，价值21万元。</w:t>
      </w:r>
    </w:p>
    <w:p>
      <w:pPr>
        <w:pStyle w:val="5"/>
        <w:rPr>
          <w:rStyle w:val="37"/>
          <w:b w:val="0"/>
          <w:bCs w:val="0"/>
        </w:rPr>
      </w:pPr>
      <w:bookmarkStart w:id="22" w:name="_Toc15377200"/>
      <w:bookmarkStart w:id="23" w:name="_Toc15396601"/>
      <w:r>
        <w:rPr>
          <w:rFonts w:hint="eastAsia" w:ascii="黑体" w:eastAsia="黑体"/>
          <w:b w:val="0"/>
          <w:color w:val="000000"/>
        </w:rPr>
        <w:t>二、</w:t>
      </w:r>
      <w:r>
        <w:rPr>
          <w:rFonts w:hint="eastAsia" w:ascii="黑体" w:hAnsi="黑体" w:eastAsia="黑体"/>
          <w:b w:val="0"/>
          <w:color w:val="000000"/>
        </w:rPr>
        <w:t>机</w:t>
      </w:r>
      <w:r>
        <w:rPr>
          <w:rStyle w:val="37"/>
          <w:rFonts w:hint="eastAsia" w:ascii="黑体" w:hAnsi="黑体" w:eastAsia="黑体"/>
          <w:b w:val="0"/>
          <w:bCs w:val="0"/>
        </w:rPr>
        <w:t>构设置</w:t>
      </w:r>
      <w:bookmarkEnd w:id="22"/>
      <w:bookmarkEnd w:id="23"/>
    </w:p>
    <w:p>
      <w:pPr>
        <w:pStyle w:val="5"/>
        <w:ind w:firstLine="640" w:firstLineChars="200"/>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我会下设一个妇女儿童服务中心。无下属二级预算单位。</w:t>
      </w:r>
    </w:p>
    <w:p>
      <w:pPr>
        <w:pStyle w:val="15"/>
        <w:rPr>
          <w:rFonts w:hint="eastAsia"/>
          <w:lang w:val="en-US" w:eastAsia="zh-CN"/>
        </w:rPr>
      </w:pPr>
    </w:p>
    <w:p>
      <w:pPr>
        <w:rPr>
          <w:rFonts w:hint="eastAsia"/>
        </w:rPr>
      </w:pP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4"/>
        <w:ind w:right="440"/>
        <w:jc w:val="center"/>
        <w:rPr>
          <w:rStyle w:val="29"/>
          <w:rFonts w:ascii="黑体" w:hAnsi="黑体" w:eastAsia="黑体"/>
          <w:b w:val="0"/>
          <w:bCs/>
          <w:color w:val="auto"/>
          <w:highlight w:val="none"/>
        </w:rPr>
      </w:pPr>
      <w:bookmarkStart w:id="24" w:name="_Toc6092"/>
      <w:bookmarkStart w:id="25" w:name="_Toc15377204"/>
      <w:bookmarkStart w:id="26"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9"/>
          <w:rFonts w:hint="eastAsia" w:ascii="黑体" w:hAnsi="黑体" w:eastAsia="黑体"/>
          <w:b w:val="0"/>
          <w:bCs/>
          <w:color w:val="auto"/>
          <w:highlight w:val="none"/>
          <w:lang w:eastAsia="zh-CN"/>
        </w:rPr>
        <w:t>单位</w:t>
      </w:r>
      <w:r>
        <w:rPr>
          <w:rStyle w:val="29"/>
          <w:rFonts w:hint="eastAsia" w:ascii="黑体" w:hAnsi="黑体" w:eastAsia="黑体"/>
          <w:b w:val="0"/>
          <w:bCs/>
          <w:color w:val="auto"/>
          <w:highlight w:val="none"/>
        </w:rPr>
        <w:t>决算情况说明</w:t>
      </w:r>
      <w:bookmarkEnd w:id="24"/>
      <w:bookmarkEnd w:id="25"/>
      <w:bookmarkEnd w:id="26"/>
    </w:p>
    <w:p>
      <w:pPr>
        <w:rPr>
          <w:color w:val="auto"/>
          <w:highlight w:val="none"/>
        </w:rPr>
      </w:pPr>
    </w:p>
    <w:p>
      <w:pPr>
        <w:pStyle w:val="28"/>
        <w:numPr>
          <w:ilvl w:val="0"/>
          <w:numId w:val="2"/>
        </w:numPr>
        <w:spacing w:line="600" w:lineRule="exact"/>
        <w:ind w:firstLineChars="0"/>
        <w:outlineLvl w:val="1"/>
        <w:rPr>
          <w:rStyle w:val="30"/>
          <w:rFonts w:ascii="黑体" w:hAnsi="黑体" w:eastAsia="黑体"/>
          <w:b w:val="0"/>
          <w:color w:val="auto"/>
          <w:highlight w:val="none"/>
        </w:rPr>
      </w:pPr>
      <w:bookmarkStart w:id="27" w:name="_Toc15396603"/>
      <w:bookmarkStart w:id="28" w:name="_Toc15377205"/>
      <w:bookmarkStart w:id="29" w:name="_Toc8620"/>
      <w:r>
        <w:rPr>
          <w:rFonts w:hint="eastAsia" w:ascii="黑体" w:hAnsi="黑体" w:eastAsia="黑体"/>
          <w:color w:val="auto"/>
          <w:sz w:val="32"/>
          <w:szCs w:val="32"/>
          <w:highlight w:val="none"/>
        </w:rPr>
        <w:t>收</w:t>
      </w:r>
      <w:r>
        <w:rPr>
          <w:rStyle w:val="30"/>
          <w:rFonts w:hint="eastAsia" w:ascii="黑体" w:hAnsi="黑体" w:eastAsia="黑体"/>
          <w:b w:val="0"/>
          <w:color w:val="auto"/>
          <w:highlight w:val="none"/>
        </w:rPr>
        <w:t>入支出决算总体情况说明</w:t>
      </w:r>
      <w:bookmarkEnd w:id="27"/>
      <w:bookmarkEnd w:id="28"/>
      <w:bookmarkEnd w:id="29"/>
    </w:p>
    <w:p>
      <w:pPr>
        <w:spacing w:line="600" w:lineRule="exact"/>
        <w:ind w:firstLine="640" w:firstLineChars="200"/>
        <w:jc w:val="left"/>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104.07</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3.9</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3.9</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。主要变动原因是2021年部门预算人员中有职级晋升</w:t>
      </w:r>
      <w:r>
        <w:rPr>
          <w:rFonts w:hint="eastAsia" w:ascii="仿宋" w:hAnsi="仿宋" w:eastAsia="仿宋"/>
          <w:color w:val="auto"/>
          <w:sz w:val="32"/>
          <w:szCs w:val="32"/>
          <w:highlight w:val="none"/>
          <w:lang w:val="en-US" w:eastAsia="zh-CN"/>
        </w:rPr>
        <w:t>。</w:t>
      </w:r>
    </w:p>
    <w:p>
      <w:pPr>
        <w:pStyle w:val="15"/>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drawing>
          <wp:inline distT="0" distB="0" distL="114300" distR="114300">
            <wp:extent cx="5080000" cy="3810000"/>
            <wp:effectExtent l="4445" t="4445" r="5715" b="107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8"/>
        <w:numPr>
          <w:ilvl w:val="0"/>
          <w:numId w:val="2"/>
        </w:numPr>
        <w:spacing w:line="600" w:lineRule="exact"/>
        <w:ind w:firstLineChars="0"/>
        <w:outlineLvl w:val="1"/>
        <w:rPr>
          <w:rStyle w:val="30"/>
          <w:rFonts w:ascii="黑体" w:hAnsi="黑体" w:eastAsia="黑体"/>
          <w:b w:val="0"/>
          <w:color w:val="auto"/>
          <w:highlight w:val="none"/>
        </w:rPr>
      </w:pPr>
      <w:bookmarkStart w:id="30" w:name="_Toc15377206"/>
      <w:bookmarkStart w:id="31" w:name="_Toc18646"/>
      <w:bookmarkStart w:id="32" w:name="_Toc15396604"/>
      <w:r>
        <w:rPr>
          <w:rFonts w:hint="eastAsia" w:ascii="黑体" w:hAnsi="黑体" w:eastAsia="黑体"/>
          <w:color w:val="auto"/>
          <w:sz w:val="32"/>
          <w:szCs w:val="32"/>
          <w:highlight w:val="none"/>
        </w:rPr>
        <w:t>收</w:t>
      </w:r>
      <w:r>
        <w:rPr>
          <w:rStyle w:val="30"/>
          <w:rFonts w:hint="eastAsia" w:ascii="黑体" w:hAnsi="黑体" w:eastAsia="黑体"/>
          <w:b w:val="0"/>
          <w:color w:val="auto"/>
          <w:highlight w:val="none"/>
        </w:rPr>
        <w:t>入决算情况说明</w:t>
      </w:r>
      <w:bookmarkEnd w:id="30"/>
      <w:bookmarkEnd w:id="31"/>
      <w:bookmarkEnd w:id="32"/>
    </w:p>
    <w:p>
      <w:pPr>
        <w:spacing w:line="600" w:lineRule="exact"/>
        <w:ind w:firstLine="640" w:firstLineChars="200"/>
        <w:outlineLvl w:val="1"/>
        <w:rPr>
          <w:rFonts w:hint="eastAsia" w:ascii="仿宋" w:hAnsi="仿宋" w:eastAsia="仿宋"/>
          <w:color w:val="auto"/>
          <w:sz w:val="32"/>
          <w:szCs w:val="32"/>
          <w:highlight w:val="none"/>
        </w:rPr>
      </w:pPr>
      <w:bookmarkStart w:id="33" w:name="_Toc18215"/>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104.07</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104.07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3"/>
    </w:p>
    <w:p>
      <w:pPr>
        <w:pStyle w:val="1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4707890" cy="2948940"/>
            <wp:effectExtent l="4445" t="4445" r="12065" b="1841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7"/>
        <w:jc w:val="center"/>
        <w:rPr>
          <w:rFonts w:hint="eastAsia" w:ascii="仿宋" w:hAnsi="仿宋" w:eastAsia="仿宋"/>
          <w:color w:val="auto"/>
          <w:sz w:val="32"/>
          <w:szCs w:val="32"/>
          <w:highlight w:val="none"/>
          <w:lang w:eastAsia="zh-CN"/>
        </w:rPr>
      </w:pPr>
    </w:p>
    <w:p>
      <w:pPr>
        <w:pStyle w:val="28"/>
        <w:numPr>
          <w:ilvl w:val="0"/>
          <w:numId w:val="2"/>
        </w:numPr>
        <w:spacing w:line="600" w:lineRule="exact"/>
        <w:ind w:firstLineChars="0"/>
        <w:outlineLvl w:val="1"/>
        <w:rPr>
          <w:rStyle w:val="30"/>
          <w:rFonts w:ascii="黑体" w:hAnsi="黑体" w:eastAsia="黑体"/>
          <w:b w:val="0"/>
          <w:color w:val="auto"/>
          <w:highlight w:val="none"/>
        </w:rPr>
      </w:pPr>
      <w:bookmarkStart w:id="34" w:name="_Toc15377207"/>
      <w:bookmarkStart w:id="35" w:name="_Toc27189"/>
      <w:bookmarkStart w:id="36" w:name="_Toc15396605"/>
      <w:r>
        <w:rPr>
          <w:rFonts w:hint="eastAsia" w:ascii="黑体" w:hAnsi="黑体" w:eastAsia="黑体"/>
          <w:color w:val="auto"/>
          <w:sz w:val="32"/>
          <w:szCs w:val="32"/>
          <w:highlight w:val="none"/>
        </w:rPr>
        <w:t>支</w:t>
      </w:r>
      <w:r>
        <w:rPr>
          <w:rStyle w:val="30"/>
          <w:rFonts w:hint="eastAsia" w:ascii="黑体" w:hAnsi="黑体" w:eastAsia="黑体"/>
          <w:b w:val="0"/>
          <w:color w:val="auto"/>
          <w:highlight w:val="none"/>
        </w:rPr>
        <w:t>出决算情况说明</w:t>
      </w:r>
      <w:bookmarkEnd w:id="34"/>
      <w:bookmarkEnd w:id="35"/>
      <w:bookmarkEnd w:id="36"/>
    </w:p>
    <w:p>
      <w:pPr>
        <w:spacing w:line="600" w:lineRule="exact"/>
        <w:ind w:firstLine="640" w:firstLineChars="200"/>
        <w:outlineLvl w:val="1"/>
        <w:rPr>
          <w:rFonts w:hint="eastAsia" w:ascii="仿宋" w:hAnsi="仿宋" w:eastAsia="仿宋"/>
          <w:color w:val="auto"/>
          <w:sz w:val="32"/>
          <w:szCs w:val="32"/>
          <w:highlight w:val="none"/>
        </w:rPr>
      </w:pPr>
      <w:bookmarkStart w:id="37" w:name="_Toc31418"/>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104.07</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80.74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77.58</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23.33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22.42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7"/>
    </w:p>
    <w:p>
      <w:pPr>
        <w:pStyle w:val="15"/>
        <w:rPr>
          <w:rFonts w:hint="eastAsia" w:eastAsia="仿宋"/>
          <w:lang w:eastAsia="zh-CN"/>
        </w:rPr>
      </w:pPr>
      <w:r>
        <w:rPr>
          <w:rFonts w:hint="eastAsia" w:eastAsia="仿宋"/>
          <w:lang w:eastAsia="zh-CN"/>
        </w:rPr>
        <w:drawing>
          <wp:inline distT="0" distB="0" distL="114300" distR="114300">
            <wp:extent cx="4782820" cy="2963545"/>
            <wp:effectExtent l="4445" t="4445" r="13335" b="1905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jc w:val="center"/>
        <w:outlineLvl w:val="1"/>
        <w:rPr>
          <w:rFonts w:hint="eastAsia" w:eastAsia="仿宋"/>
          <w:lang w:eastAsia="zh-CN"/>
        </w:rPr>
      </w:pPr>
      <w:bookmarkStart w:id="38" w:name="_Toc10923"/>
      <w:r>
        <w:rPr>
          <w:rFonts w:hint="eastAsia" w:eastAsia="楷体_GB2312" w:cs="楷体_GB2312"/>
          <w:color w:val="auto"/>
          <w:kern w:val="0"/>
          <w:sz w:val="28"/>
          <w:szCs w:val="28"/>
          <w:highlight w:val="none"/>
          <w:lang w:val="en-US" w:eastAsia="zh-CN" w:bidi="ar-SA"/>
        </w:rPr>
        <w:t xml:space="preserve"> </w:t>
      </w:r>
      <w:bookmarkEnd w:id="38"/>
    </w:p>
    <w:p>
      <w:pPr>
        <w:spacing w:line="600" w:lineRule="exact"/>
        <w:ind w:firstLine="640" w:firstLineChars="200"/>
        <w:outlineLvl w:val="1"/>
        <w:rPr>
          <w:rStyle w:val="30"/>
          <w:rFonts w:ascii="黑体" w:hAnsi="黑体" w:eastAsia="黑体"/>
          <w:b w:val="0"/>
          <w:color w:val="auto"/>
          <w:highlight w:val="none"/>
        </w:rPr>
      </w:pPr>
      <w:bookmarkStart w:id="39" w:name="_Toc15377208"/>
      <w:bookmarkStart w:id="40" w:name="_Toc15396606"/>
      <w:bookmarkStart w:id="41" w:name="_Toc6003"/>
      <w:r>
        <w:rPr>
          <w:rFonts w:hint="eastAsia" w:ascii="黑体" w:hAnsi="黑体" w:eastAsia="黑体"/>
          <w:color w:val="auto"/>
          <w:sz w:val="32"/>
          <w:szCs w:val="32"/>
          <w:highlight w:val="none"/>
        </w:rPr>
        <w:t>四、财</w:t>
      </w:r>
      <w:r>
        <w:rPr>
          <w:rStyle w:val="30"/>
          <w:rFonts w:hint="eastAsia" w:ascii="黑体" w:hAnsi="黑体" w:eastAsia="黑体"/>
          <w:b w:val="0"/>
          <w:color w:val="auto"/>
          <w:highlight w:val="none"/>
        </w:rPr>
        <w:t>政拨款收入支出决算总体情况说明</w:t>
      </w:r>
      <w:bookmarkEnd w:id="39"/>
      <w:bookmarkEnd w:id="40"/>
      <w:bookmarkEnd w:id="41"/>
    </w:p>
    <w:p>
      <w:pPr>
        <w:spacing w:line="600" w:lineRule="exact"/>
        <w:ind w:firstLine="640" w:firstLineChars="200"/>
        <w:jc w:val="left"/>
        <w:rPr>
          <w:rFonts w:hint="eastAsia"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104.07</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3.9</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3.9</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主要变动原因是2021年部门预算人员中有职级晋升</w:t>
      </w:r>
      <w:r>
        <w:rPr>
          <w:rFonts w:hint="eastAsia" w:ascii="仿宋" w:hAnsi="仿宋" w:eastAsia="仿宋"/>
          <w:color w:val="auto"/>
          <w:sz w:val="32"/>
          <w:szCs w:val="32"/>
          <w:highlight w:val="none"/>
          <w:lang w:val="en-US" w:eastAsia="zh-CN"/>
        </w:rPr>
        <w:t>。</w:t>
      </w:r>
    </w:p>
    <w:p>
      <w:pPr>
        <w:pStyle w:val="15"/>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drawing>
          <wp:inline distT="0" distB="0" distL="114300" distR="114300">
            <wp:extent cx="5080000" cy="3810000"/>
            <wp:effectExtent l="4445" t="4445" r="5715" b="1079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30"/>
          <w:rFonts w:ascii="黑体" w:hAnsi="黑体" w:eastAsia="黑体"/>
          <w:b w:val="0"/>
          <w:color w:val="auto"/>
          <w:highlight w:val="none"/>
        </w:rPr>
      </w:pPr>
      <w:bookmarkStart w:id="42" w:name="_Toc25720"/>
      <w:bookmarkStart w:id="43" w:name="_Toc15396607"/>
      <w:bookmarkStart w:id="44"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30"/>
          <w:rFonts w:hint="eastAsia" w:ascii="黑体" w:hAnsi="黑体" w:eastAsia="黑体"/>
          <w:b w:val="0"/>
          <w:color w:val="auto"/>
          <w:highlight w:val="none"/>
        </w:rPr>
        <w:t>般公共预算财政拨款支出决算情况说明</w:t>
      </w:r>
      <w:bookmarkEnd w:id="42"/>
      <w:bookmarkEnd w:id="43"/>
      <w:bookmarkEnd w:id="44"/>
    </w:p>
    <w:p>
      <w:pPr>
        <w:spacing w:line="600" w:lineRule="exact"/>
        <w:ind w:firstLine="643" w:firstLineChars="200"/>
        <w:outlineLvl w:val="2"/>
        <w:rPr>
          <w:rFonts w:ascii="仿宋" w:hAnsi="仿宋" w:eastAsia="仿宋"/>
          <w:b/>
          <w:color w:val="auto"/>
          <w:sz w:val="32"/>
          <w:szCs w:val="32"/>
          <w:highlight w:val="none"/>
        </w:rPr>
      </w:pPr>
      <w:bookmarkStart w:id="45" w:name="_Toc15377210"/>
      <w:r>
        <w:rPr>
          <w:rFonts w:hint="eastAsia" w:ascii="仿宋" w:hAnsi="仿宋" w:eastAsia="仿宋"/>
          <w:b/>
          <w:color w:val="auto"/>
          <w:sz w:val="32"/>
          <w:szCs w:val="32"/>
          <w:highlight w:val="none"/>
        </w:rPr>
        <w:t>（一）一般公共预算财政拨款支出决算总体情况</w:t>
      </w:r>
      <w:bookmarkEnd w:id="45"/>
    </w:p>
    <w:p>
      <w:pPr>
        <w:spacing w:line="600" w:lineRule="exact"/>
        <w:ind w:firstLine="640" w:firstLineChars="200"/>
        <w:jc w:val="left"/>
        <w:rPr>
          <w:rFonts w:hint="eastAsia"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104.07</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增加增加</w:t>
      </w:r>
      <w:r>
        <w:rPr>
          <w:rFonts w:hint="eastAsia" w:ascii="仿宋" w:hAnsi="仿宋" w:eastAsia="仿宋"/>
          <w:color w:val="auto"/>
          <w:sz w:val="32"/>
          <w:szCs w:val="32"/>
          <w:highlight w:val="none"/>
          <w:lang w:val="en-US" w:eastAsia="zh-CN"/>
        </w:rPr>
        <w:t>3.9</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3.9</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主要变动原因是2021年部门预算人员中有职级晋升</w:t>
      </w:r>
      <w:r>
        <w:rPr>
          <w:rFonts w:hint="eastAsia" w:ascii="仿宋" w:hAnsi="仿宋" w:eastAsia="仿宋"/>
          <w:color w:val="auto"/>
          <w:sz w:val="32"/>
          <w:szCs w:val="32"/>
          <w:highlight w:val="none"/>
          <w:lang w:val="en-US" w:eastAsia="zh-CN"/>
        </w:rPr>
        <w:t>。</w:t>
      </w:r>
    </w:p>
    <w:p>
      <w:pPr>
        <w:pStyle w:val="15"/>
        <w:rPr>
          <w:rFonts w:hint="eastAsia" w:ascii="Times New Roman" w:hAnsi="Times New Roman" w:eastAsia="仿宋"/>
          <w:lang w:eastAsia="zh-CN"/>
        </w:rPr>
      </w:pPr>
      <w:r>
        <w:rPr>
          <w:rFonts w:hint="eastAsia" w:ascii="Times New Roman" w:hAnsi="Times New Roman" w:eastAsia="仿宋"/>
          <w:lang w:eastAsia="zh-CN"/>
        </w:rPr>
        <w:drawing>
          <wp:inline distT="0" distB="0" distL="114300" distR="114300">
            <wp:extent cx="5137150" cy="2743835"/>
            <wp:effectExtent l="4445" t="4445" r="9525" b="1016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3" w:firstLineChars="200"/>
        <w:outlineLvl w:val="2"/>
        <w:rPr>
          <w:rFonts w:ascii="仿宋" w:hAnsi="仿宋" w:eastAsia="仿宋"/>
          <w:b/>
          <w:color w:val="auto"/>
          <w:sz w:val="32"/>
          <w:szCs w:val="32"/>
          <w:highlight w:val="none"/>
        </w:rPr>
      </w:pPr>
      <w:bookmarkStart w:id="46" w:name="_Toc15377211"/>
      <w:r>
        <w:rPr>
          <w:rFonts w:hint="eastAsia" w:ascii="仿宋" w:hAnsi="仿宋" w:eastAsia="仿宋"/>
          <w:b/>
          <w:color w:val="auto"/>
          <w:sz w:val="32"/>
          <w:szCs w:val="32"/>
          <w:highlight w:val="none"/>
        </w:rPr>
        <w:t>（二）一般公共预算财政拨款支出决算结构情况</w:t>
      </w:r>
      <w:bookmarkEnd w:id="46"/>
    </w:p>
    <w:p>
      <w:pPr>
        <w:spacing w:line="600" w:lineRule="exact"/>
        <w:ind w:firstLine="640"/>
        <w:rPr>
          <w:rFonts w:hint="eastAsia" w:ascii="仿宋" w:hAnsi="仿宋" w:eastAsia="仿宋"/>
          <w:b/>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104.07</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78.8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4.42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w:t>
      </w:r>
      <w:r>
        <w:rPr>
          <w:rFonts w:hint="eastAsia" w:ascii="仿宋" w:hAnsi="仿宋" w:eastAsia="仿宋"/>
          <w:b/>
          <w:color w:val="auto"/>
          <w:sz w:val="32"/>
          <w:szCs w:val="32"/>
          <w:highlight w:val="none"/>
        </w:rPr>
        <w:t>（类）</w:t>
      </w:r>
      <w:r>
        <w:rPr>
          <w:rFonts w:hint="eastAsia" w:ascii="仿宋" w:hAnsi="仿宋" w:eastAsia="仿宋"/>
          <w:b/>
          <w:bCs/>
          <w:color w:val="auto"/>
          <w:sz w:val="32"/>
          <w:szCs w:val="32"/>
          <w:highlight w:val="none"/>
        </w:rPr>
        <w:t>支出</w:t>
      </w:r>
      <w:r>
        <w:rPr>
          <w:rFonts w:hint="eastAsia" w:ascii="仿宋" w:hAnsi="仿宋" w:eastAsia="仿宋"/>
          <w:b/>
          <w:bCs/>
          <w:color w:val="auto"/>
          <w:sz w:val="32"/>
          <w:szCs w:val="32"/>
          <w:highlight w:val="none"/>
          <w:lang w:val="en-US" w:eastAsia="zh-CN"/>
        </w:rPr>
        <w:t>2.22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住房保障（类）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4.29</w:t>
      </w:r>
      <w:r>
        <w:rPr>
          <w:rFonts w:hint="eastAsia" w:ascii="仿宋" w:hAnsi="仿宋" w:eastAsia="仿宋"/>
          <w:color w:val="auto"/>
          <w:sz w:val="32"/>
          <w:szCs w:val="32"/>
          <w:highlight w:val="none"/>
        </w:rPr>
        <w:t>万元，占</w:t>
      </w:r>
      <w:bookmarkStart w:id="47" w:name="_Toc15377212"/>
      <w:r>
        <w:rPr>
          <w:rFonts w:hint="eastAsia" w:ascii="仿宋" w:hAnsi="仿宋" w:eastAsia="仿宋"/>
          <w:color w:val="auto"/>
          <w:sz w:val="32"/>
          <w:szCs w:val="32"/>
          <w:highlight w:val="none"/>
          <w:lang w:val="en-US" w:eastAsia="zh-CN"/>
        </w:rPr>
        <w:t>4%；</w:t>
      </w:r>
      <w:r>
        <w:rPr>
          <w:rFonts w:hint="eastAsia" w:ascii="Times New Roman" w:hAnsi="Times New Roman" w:eastAsia="仿宋"/>
          <w:b/>
          <w:bCs/>
          <w:color w:val="auto"/>
          <w:sz w:val="32"/>
          <w:szCs w:val="32"/>
          <w:highlight w:val="none"/>
          <w:lang w:eastAsia="zh-CN"/>
        </w:rPr>
        <w:t>农林水</w:t>
      </w:r>
      <w:r>
        <w:rPr>
          <w:rFonts w:hint="eastAsia" w:ascii="仿宋" w:hAnsi="仿宋" w:eastAsia="仿宋"/>
          <w:b/>
          <w:color w:val="auto"/>
          <w:sz w:val="32"/>
          <w:szCs w:val="32"/>
          <w:highlight w:val="none"/>
        </w:rPr>
        <w:t>（类）</w:t>
      </w:r>
      <w:r>
        <w:rPr>
          <w:rFonts w:hint="eastAsia" w:ascii="Times New Roman" w:hAnsi="Times New Roman" w:eastAsia="仿宋"/>
          <w:b/>
          <w:bCs/>
          <w:color w:val="auto"/>
          <w:sz w:val="32"/>
          <w:szCs w:val="32"/>
          <w:highlight w:val="none"/>
          <w:lang w:eastAsia="zh-CN"/>
        </w:rPr>
        <w:t>支出</w:t>
      </w:r>
      <w:r>
        <w:rPr>
          <w:rFonts w:hint="eastAsia" w:eastAsia="仿宋"/>
          <w:color w:val="auto"/>
          <w:sz w:val="32"/>
          <w:szCs w:val="32"/>
          <w:highlight w:val="none"/>
          <w:lang w:val="en-US" w:eastAsia="zh-CN"/>
        </w:rPr>
        <w:t>14.33</w:t>
      </w:r>
      <w:r>
        <w:rPr>
          <w:rFonts w:hint="eastAsia" w:ascii="Times New Roman" w:hAnsi="Times New Roman" w:eastAsia="仿宋"/>
          <w:color w:val="auto"/>
          <w:sz w:val="32"/>
          <w:szCs w:val="32"/>
          <w:highlight w:val="none"/>
          <w:lang w:val="en-US" w:eastAsia="zh-CN"/>
        </w:rPr>
        <w:t>万元，占</w:t>
      </w:r>
      <w:r>
        <w:rPr>
          <w:rFonts w:hint="eastAsia" w:eastAsia="仿宋"/>
          <w:color w:val="auto"/>
          <w:sz w:val="32"/>
          <w:szCs w:val="32"/>
          <w:highlight w:val="none"/>
          <w:lang w:val="en-US" w:eastAsia="zh-CN"/>
        </w:rPr>
        <w:t>14%</w:t>
      </w:r>
      <w:r>
        <w:rPr>
          <w:rFonts w:hint="eastAsia" w:ascii="Times New Roman" w:hAnsi="Times New Roman" w:eastAsia="仿宋"/>
          <w:color w:val="auto"/>
          <w:sz w:val="32"/>
          <w:szCs w:val="32"/>
          <w:highlight w:val="none"/>
        </w:rPr>
        <w:t>。</w:t>
      </w:r>
    </w:p>
    <w:p>
      <w:pPr>
        <w:pStyle w:val="15"/>
        <w:rPr>
          <w:rFonts w:hint="eastAsia" w:ascii="Times New Roman" w:hAnsi="Times New Roman"/>
          <w:lang w:val="en-US" w:eastAsia="zh-CN"/>
        </w:rPr>
      </w:pPr>
      <w:r>
        <w:rPr>
          <w:rFonts w:hint="eastAsia" w:ascii="Times New Roman" w:hAnsi="Times New Roman"/>
          <w:lang w:val="en-US" w:eastAsia="zh-CN"/>
        </w:rPr>
        <w:drawing>
          <wp:inline distT="0" distB="0" distL="114300" distR="114300">
            <wp:extent cx="4904105" cy="2229485"/>
            <wp:effectExtent l="5080" t="4445" r="13335" b="635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（三）一般公共预算财政拨款支出决算具体情况</w:t>
      </w:r>
      <w:bookmarkEnd w:id="47"/>
    </w:p>
    <w:p>
      <w:pPr>
        <w:spacing w:line="600" w:lineRule="exact"/>
        <w:ind w:firstLine="643" w:firstLineChars="200"/>
        <w:outlineLvl w:val="1"/>
        <w:rPr>
          <w:rFonts w:ascii="仿宋" w:hAnsi="仿宋" w:eastAsia="仿宋"/>
          <w:color w:val="auto"/>
          <w:sz w:val="32"/>
          <w:szCs w:val="32"/>
          <w:highlight w:val="none"/>
        </w:rPr>
      </w:pPr>
      <w:bookmarkStart w:id="48" w:name="_Toc15378460"/>
      <w:bookmarkStart w:id="49" w:name="_Toc15377213"/>
      <w:bookmarkStart w:id="50" w:name="_Toc15377444"/>
      <w:bookmarkStart w:id="51" w:name="_Toc26555"/>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104.07</w:t>
      </w:r>
      <w:r>
        <w:rPr>
          <w:rFonts w:hint="eastAsia" w:ascii="仿宋" w:hAnsi="仿宋" w:eastAsia="仿宋"/>
          <w:color w:val="auto"/>
          <w:sz w:val="32"/>
          <w:szCs w:val="32"/>
          <w:highlight w:val="none"/>
        </w:rPr>
        <w:t>，</w:t>
      </w:r>
      <w:r>
        <w:rPr>
          <w:rStyle w:val="19"/>
          <w:rFonts w:hint="eastAsia" w:ascii="仿宋" w:hAnsi="仿宋" w:eastAsia="仿宋"/>
          <w:bCs/>
          <w:color w:val="auto"/>
          <w:sz w:val="32"/>
          <w:szCs w:val="32"/>
          <w:highlight w:val="none"/>
        </w:rPr>
        <w:t>完成预算</w:t>
      </w:r>
      <w:r>
        <w:rPr>
          <w:rStyle w:val="19"/>
          <w:rFonts w:hint="eastAsia" w:ascii="仿宋" w:hAnsi="仿宋" w:eastAsia="仿宋"/>
          <w:bCs/>
          <w:color w:val="auto"/>
          <w:sz w:val="32"/>
          <w:szCs w:val="32"/>
          <w:highlight w:val="none"/>
          <w:lang w:val="en-US" w:eastAsia="zh-CN"/>
        </w:rPr>
        <w:t>100</w:t>
      </w:r>
      <w:r>
        <w:rPr>
          <w:rStyle w:val="19"/>
          <w:rFonts w:ascii="仿宋" w:hAnsi="仿宋" w:eastAsia="仿宋"/>
          <w:bCs/>
          <w:color w:val="auto"/>
          <w:sz w:val="32"/>
          <w:szCs w:val="32"/>
          <w:highlight w:val="none"/>
        </w:rPr>
        <w:t>%</w:t>
      </w:r>
      <w:r>
        <w:rPr>
          <w:rStyle w:val="19"/>
          <w:rFonts w:hint="eastAsia" w:ascii="仿宋" w:hAnsi="仿宋" w:eastAsia="仿宋"/>
          <w:bCs/>
          <w:color w:val="auto"/>
          <w:sz w:val="32"/>
          <w:szCs w:val="32"/>
          <w:highlight w:val="none"/>
        </w:rPr>
        <w:t>。其中：</w:t>
      </w:r>
      <w:bookmarkEnd w:id="48"/>
      <w:bookmarkEnd w:id="49"/>
      <w:bookmarkEnd w:id="50"/>
      <w:bookmarkEnd w:id="51"/>
    </w:p>
    <w:p>
      <w:pPr>
        <w:numPr>
          <w:ilvl w:val="0"/>
          <w:numId w:val="0"/>
        </w:numPr>
        <w:spacing w:line="600" w:lineRule="exact"/>
        <w:ind w:firstLine="643" w:firstLineChars="200"/>
      </w:pPr>
      <w:r>
        <w:rPr>
          <w:rStyle w:val="19"/>
          <w:rFonts w:hint="eastAsia" w:ascii="仿宋" w:hAnsi="仿宋" w:eastAsia="仿宋"/>
          <w:bCs/>
          <w:color w:val="auto"/>
          <w:sz w:val="32"/>
          <w:szCs w:val="32"/>
          <w:highlight w:val="none"/>
          <w:lang w:val="en-US" w:eastAsia="zh-CN"/>
        </w:rPr>
        <w:t>1.</w:t>
      </w:r>
      <w:r>
        <w:rPr>
          <w:rStyle w:val="19"/>
          <w:rFonts w:hint="eastAsia" w:ascii="仿宋" w:hAnsi="仿宋" w:eastAsia="仿宋"/>
          <w:bCs/>
          <w:color w:val="auto"/>
          <w:sz w:val="32"/>
          <w:szCs w:val="32"/>
          <w:highlight w:val="none"/>
        </w:rPr>
        <w:t>一般公共服务（类）</w:t>
      </w:r>
      <w:r>
        <w:rPr>
          <w:rStyle w:val="19"/>
          <w:rFonts w:hint="eastAsia" w:ascii="仿宋" w:hAnsi="仿宋" w:eastAsia="仿宋"/>
          <w:bCs/>
          <w:color w:val="auto"/>
          <w:sz w:val="32"/>
          <w:szCs w:val="32"/>
          <w:highlight w:val="none"/>
          <w:lang w:eastAsia="zh-CN"/>
        </w:rPr>
        <w:t>群众团体事务</w:t>
      </w:r>
      <w:r>
        <w:rPr>
          <w:rStyle w:val="19"/>
          <w:rFonts w:hint="eastAsia" w:ascii="仿宋" w:hAnsi="仿宋" w:eastAsia="仿宋"/>
          <w:bCs/>
          <w:color w:val="auto"/>
          <w:sz w:val="32"/>
          <w:szCs w:val="32"/>
          <w:highlight w:val="none"/>
        </w:rPr>
        <w:t>（款）</w:t>
      </w:r>
      <w:r>
        <w:rPr>
          <w:rStyle w:val="19"/>
          <w:rFonts w:hint="eastAsia" w:ascii="仿宋" w:hAnsi="仿宋" w:eastAsia="仿宋"/>
          <w:bCs/>
          <w:color w:val="auto"/>
          <w:sz w:val="32"/>
          <w:szCs w:val="32"/>
          <w:highlight w:val="none"/>
          <w:lang w:eastAsia="zh-CN"/>
        </w:rPr>
        <w:t>行政运行</w:t>
      </w:r>
      <w:r>
        <w:rPr>
          <w:rStyle w:val="19"/>
          <w:rFonts w:hint="eastAsia" w:ascii="仿宋" w:hAnsi="仿宋" w:eastAsia="仿宋"/>
          <w:bCs/>
          <w:color w:val="auto"/>
          <w:sz w:val="32"/>
          <w:szCs w:val="32"/>
          <w:highlight w:val="none"/>
        </w:rPr>
        <w:t>（项）</w:t>
      </w:r>
      <w:r>
        <w:rPr>
          <w:rStyle w:val="19"/>
          <w:rFonts w:ascii="仿宋" w:hAnsi="仿宋" w:eastAsia="仿宋"/>
          <w:bCs/>
          <w:color w:val="auto"/>
          <w:sz w:val="32"/>
          <w:szCs w:val="32"/>
          <w:highlight w:val="none"/>
        </w:rPr>
        <w:t>:</w:t>
      </w:r>
      <w:r>
        <w:rPr>
          <w:rStyle w:val="19"/>
          <w:rFonts w:ascii="仿宋" w:hAnsi="仿宋" w:eastAsia="仿宋"/>
          <w:b w:val="0"/>
          <w:bCs/>
          <w:color w:val="auto"/>
          <w:sz w:val="32"/>
          <w:szCs w:val="32"/>
          <w:highlight w:val="none"/>
        </w:rPr>
        <w:t xml:space="preserve"> </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64.52</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9"/>
          <w:rFonts w:ascii="仿宋" w:hAnsi="仿宋" w:eastAsia="仿宋"/>
          <w:bCs/>
          <w:color w:val="auto"/>
          <w:sz w:val="32"/>
          <w:szCs w:val="32"/>
          <w:highlight w:val="none"/>
        </w:rPr>
        <w:t>2.</w:t>
      </w:r>
      <w:r>
        <w:rPr>
          <w:rStyle w:val="19"/>
          <w:rFonts w:hint="eastAsia" w:ascii="仿宋" w:hAnsi="仿宋" w:eastAsia="仿宋"/>
          <w:bCs/>
          <w:color w:val="auto"/>
          <w:sz w:val="32"/>
          <w:szCs w:val="32"/>
          <w:highlight w:val="none"/>
        </w:rPr>
        <w:t>一般公共服务（类）</w:t>
      </w:r>
      <w:r>
        <w:rPr>
          <w:rStyle w:val="19"/>
          <w:rFonts w:hint="eastAsia" w:ascii="仿宋" w:hAnsi="仿宋" w:eastAsia="仿宋"/>
          <w:bCs/>
          <w:color w:val="auto"/>
          <w:sz w:val="32"/>
          <w:szCs w:val="32"/>
          <w:highlight w:val="none"/>
          <w:lang w:eastAsia="zh-CN"/>
        </w:rPr>
        <w:t>群众团体事务</w:t>
      </w:r>
      <w:r>
        <w:rPr>
          <w:rStyle w:val="19"/>
          <w:rFonts w:hint="eastAsia" w:ascii="仿宋" w:hAnsi="仿宋" w:eastAsia="仿宋"/>
          <w:bCs/>
          <w:color w:val="auto"/>
          <w:sz w:val="32"/>
          <w:szCs w:val="32"/>
          <w:highlight w:val="none"/>
        </w:rPr>
        <w:t>（款）</w:t>
      </w:r>
      <w:r>
        <w:rPr>
          <w:rStyle w:val="19"/>
          <w:rFonts w:hint="eastAsia" w:ascii="仿宋" w:hAnsi="仿宋" w:eastAsia="仿宋"/>
          <w:bCs/>
          <w:color w:val="auto"/>
          <w:sz w:val="32"/>
          <w:szCs w:val="32"/>
          <w:highlight w:val="none"/>
          <w:lang w:eastAsia="zh-CN"/>
        </w:rPr>
        <w:t>事业运行</w:t>
      </w:r>
      <w:r>
        <w:rPr>
          <w:rStyle w:val="19"/>
          <w:rFonts w:hint="eastAsia" w:ascii="仿宋" w:hAnsi="仿宋" w:eastAsia="仿宋"/>
          <w:bCs/>
          <w:color w:val="auto"/>
          <w:sz w:val="32"/>
          <w:szCs w:val="32"/>
          <w:highlight w:val="none"/>
        </w:rPr>
        <w:t>（项）</w:t>
      </w:r>
      <w:r>
        <w:rPr>
          <w:rStyle w:val="19"/>
          <w:rFonts w:ascii="仿宋" w:hAnsi="仿宋" w:eastAsia="仿宋"/>
          <w:bCs/>
          <w:color w:val="auto"/>
          <w:sz w:val="32"/>
          <w:szCs w:val="32"/>
          <w:highlight w:val="none"/>
        </w:rPr>
        <w:t>:</w:t>
      </w:r>
      <w:r>
        <w:rPr>
          <w:rStyle w:val="19"/>
          <w:rFonts w:ascii="仿宋" w:hAnsi="仿宋" w:eastAsia="仿宋"/>
          <w:b w:val="0"/>
          <w:bCs/>
          <w:color w:val="auto"/>
          <w:sz w:val="32"/>
          <w:szCs w:val="32"/>
          <w:highlight w:val="none"/>
        </w:rPr>
        <w:t xml:space="preserve"> </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5.28</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9"/>
          <w:rFonts w:ascii="仿宋" w:hAnsi="仿宋" w:eastAsia="仿宋"/>
          <w:bCs/>
          <w:color w:val="auto"/>
          <w:sz w:val="32"/>
          <w:szCs w:val="32"/>
          <w:highlight w:val="none"/>
        </w:rPr>
        <w:t>3.</w:t>
      </w:r>
      <w:r>
        <w:rPr>
          <w:rStyle w:val="19"/>
          <w:rFonts w:hint="eastAsia" w:ascii="仿宋" w:hAnsi="仿宋" w:eastAsia="仿宋"/>
          <w:bCs/>
          <w:color w:val="auto"/>
          <w:sz w:val="32"/>
          <w:szCs w:val="32"/>
          <w:highlight w:val="none"/>
        </w:rPr>
        <w:t>一般公共服务（类）</w:t>
      </w:r>
      <w:r>
        <w:rPr>
          <w:rStyle w:val="19"/>
          <w:rFonts w:hint="eastAsia" w:ascii="仿宋" w:hAnsi="仿宋" w:eastAsia="仿宋"/>
          <w:bCs/>
          <w:color w:val="auto"/>
          <w:sz w:val="32"/>
          <w:szCs w:val="32"/>
          <w:highlight w:val="none"/>
          <w:lang w:eastAsia="zh-CN"/>
        </w:rPr>
        <w:t>群众团体事务</w:t>
      </w:r>
      <w:r>
        <w:rPr>
          <w:rStyle w:val="19"/>
          <w:rFonts w:hint="eastAsia" w:ascii="仿宋" w:hAnsi="仿宋" w:eastAsia="仿宋"/>
          <w:bCs/>
          <w:color w:val="auto"/>
          <w:sz w:val="32"/>
          <w:szCs w:val="32"/>
          <w:highlight w:val="none"/>
        </w:rPr>
        <w:t>（款）</w:t>
      </w:r>
      <w:r>
        <w:rPr>
          <w:rStyle w:val="19"/>
          <w:rFonts w:hint="eastAsia" w:ascii="仿宋" w:hAnsi="仿宋" w:eastAsia="仿宋"/>
          <w:bCs/>
          <w:color w:val="auto"/>
          <w:sz w:val="32"/>
          <w:szCs w:val="32"/>
          <w:highlight w:val="none"/>
          <w:lang w:eastAsia="zh-CN"/>
        </w:rPr>
        <w:t>其他群众团体支出</w:t>
      </w:r>
      <w:r>
        <w:rPr>
          <w:rStyle w:val="19"/>
          <w:rFonts w:hint="eastAsia" w:ascii="仿宋" w:hAnsi="仿宋" w:eastAsia="仿宋"/>
          <w:bCs/>
          <w:color w:val="auto"/>
          <w:sz w:val="32"/>
          <w:szCs w:val="32"/>
          <w:highlight w:val="none"/>
        </w:rPr>
        <w:t>（项）</w:t>
      </w:r>
      <w:r>
        <w:rPr>
          <w:rStyle w:val="19"/>
          <w:rFonts w:ascii="仿宋" w:hAnsi="仿宋" w:eastAsia="仿宋"/>
          <w:bCs/>
          <w:color w:val="auto"/>
          <w:sz w:val="32"/>
          <w:szCs w:val="32"/>
          <w:highlight w:val="none"/>
        </w:rPr>
        <w:t>:</w:t>
      </w:r>
      <w:r>
        <w:rPr>
          <w:rStyle w:val="19"/>
          <w:rFonts w:ascii="仿宋" w:hAnsi="仿宋" w:eastAsia="仿宋"/>
          <w:b w:val="0"/>
          <w:bCs/>
          <w:color w:val="auto"/>
          <w:sz w:val="32"/>
          <w:szCs w:val="32"/>
          <w:highlight w:val="none"/>
        </w:rPr>
        <w:t xml:space="preserve"> </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9</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w:t>
      </w:r>
    </w:p>
    <w:p>
      <w:pPr>
        <w:spacing w:line="600" w:lineRule="exact"/>
        <w:ind w:firstLine="643" w:firstLineChars="200"/>
        <w:rPr>
          <w:rStyle w:val="19"/>
          <w:rFonts w:hint="eastAsia" w:ascii="仿宋" w:hAnsi="仿宋" w:eastAsia="仿宋"/>
          <w:b w:val="0"/>
          <w:bCs/>
          <w:color w:val="auto"/>
          <w:sz w:val="32"/>
          <w:szCs w:val="32"/>
          <w:highlight w:val="none"/>
        </w:rPr>
      </w:pPr>
      <w:r>
        <w:rPr>
          <w:rStyle w:val="19"/>
          <w:rFonts w:hint="eastAsia" w:ascii="仿宋" w:hAnsi="仿宋" w:eastAsia="仿宋"/>
          <w:bCs/>
          <w:color w:val="auto"/>
          <w:sz w:val="32"/>
          <w:szCs w:val="32"/>
          <w:highlight w:val="none"/>
          <w:lang w:val="en-US" w:eastAsia="zh-CN"/>
        </w:rPr>
        <w:t>4</w:t>
      </w:r>
      <w:r>
        <w:rPr>
          <w:rStyle w:val="19"/>
          <w:rFonts w:ascii="仿宋" w:hAnsi="仿宋" w:eastAsia="仿宋"/>
          <w:bCs/>
          <w:color w:val="auto"/>
          <w:sz w:val="32"/>
          <w:szCs w:val="32"/>
          <w:highlight w:val="none"/>
        </w:rPr>
        <w:t>.</w:t>
      </w:r>
      <w:r>
        <w:rPr>
          <w:rStyle w:val="19"/>
          <w:rFonts w:hint="eastAsia" w:ascii="仿宋" w:hAnsi="仿宋" w:eastAsia="仿宋"/>
          <w:bCs/>
          <w:color w:val="auto"/>
          <w:sz w:val="32"/>
          <w:szCs w:val="32"/>
          <w:highlight w:val="none"/>
        </w:rPr>
        <w:t>社会保障和就业（类）</w:t>
      </w:r>
      <w:r>
        <w:rPr>
          <w:rStyle w:val="19"/>
          <w:rFonts w:hint="eastAsia" w:ascii="仿宋" w:hAnsi="仿宋" w:eastAsia="仿宋"/>
          <w:bCs/>
          <w:color w:val="auto"/>
          <w:sz w:val="32"/>
          <w:szCs w:val="32"/>
          <w:highlight w:val="none"/>
          <w:lang w:eastAsia="zh-CN"/>
        </w:rPr>
        <w:t>行政事业单位养老支出</w:t>
      </w:r>
      <w:r>
        <w:rPr>
          <w:rStyle w:val="19"/>
          <w:rFonts w:hint="eastAsia" w:ascii="仿宋" w:hAnsi="仿宋" w:eastAsia="仿宋"/>
          <w:bCs/>
          <w:color w:val="auto"/>
          <w:sz w:val="32"/>
          <w:szCs w:val="32"/>
          <w:highlight w:val="none"/>
        </w:rPr>
        <w:t>（款）</w:t>
      </w:r>
      <w:r>
        <w:rPr>
          <w:rStyle w:val="19"/>
          <w:rFonts w:hint="eastAsia" w:ascii="仿宋" w:hAnsi="仿宋" w:eastAsia="仿宋"/>
          <w:bCs/>
          <w:color w:val="auto"/>
          <w:sz w:val="32"/>
          <w:szCs w:val="32"/>
          <w:highlight w:val="none"/>
          <w:lang w:eastAsia="zh-CN"/>
        </w:rPr>
        <w:t>机关事业单位基本养老保险支出</w:t>
      </w:r>
      <w:r>
        <w:rPr>
          <w:rStyle w:val="19"/>
          <w:rFonts w:hint="eastAsia" w:ascii="仿宋" w:hAnsi="仿宋" w:eastAsia="仿宋"/>
          <w:bCs/>
          <w:color w:val="auto"/>
          <w:sz w:val="32"/>
          <w:szCs w:val="32"/>
          <w:highlight w:val="none"/>
        </w:rPr>
        <w:t>（项）</w:t>
      </w:r>
      <w:r>
        <w:rPr>
          <w:rStyle w:val="19"/>
          <w:rFonts w:ascii="仿宋" w:hAnsi="仿宋" w:eastAsia="仿宋"/>
          <w:bCs/>
          <w:color w:val="auto"/>
          <w:sz w:val="32"/>
          <w:szCs w:val="32"/>
          <w:highlight w:val="none"/>
        </w:rPr>
        <w:t>:</w:t>
      </w:r>
      <w:r>
        <w:rPr>
          <w:rStyle w:val="19"/>
          <w:rFonts w:ascii="仿宋" w:hAnsi="仿宋" w:eastAsia="仿宋"/>
          <w:b w:val="0"/>
          <w:bCs/>
          <w:color w:val="auto"/>
          <w:sz w:val="32"/>
          <w:szCs w:val="32"/>
          <w:highlight w:val="none"/>
        </w:rPr>
        <w:t xml:space="preserve"> </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4.26</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w:t>
      </w:r>
    </w:p>
    <w:p>
      <w:pPr>
        <w:spacing w:line="600" w:lineRule="exact"/>
        <w:ind w:firstLine="643" w:firstLineChars="200"/>
      </w:pPr>
      <w:r>
        <w:rPr>
          <w:rStyle w:val="19"/>
          <w:rFonts w:hint="eastAsia" w:ascii="仿宋" w:hAnsi="仿宋" w:eastAsia="仿宋"/>
          <w:bCs/>
          <w:color w:val="auto"/>
          <w:sz w:val="32"/>
          <w:szCs w:val="32"/>
          <w:highlight w:val="none"/>
          <w:lang w:val="en-US" w:eastAsia="zh-CN"/>
        </w:rPr>
        <w:t>5</w:t>
      </w:r>
      <w:r>
        <w:rPr>
          <w:rStyle w:val="19"/>
          <w:rFonts w:ascii="仿宋" w:hAnsi="仿宋" w:eastAsia="仿宋"/>
          <w:bCs/>
          <w:color w:val="auto"/>
          <w:sz w:val="32"/>
          <w:szCs w:val="32"/>
          <w:highlight w:val="none"/>
        </w:rPr>
        <w:t>.</w:t>
      </w:r>
      <w:r>
        <w:rPr>
          <w:rStyle w:val="19"/>
          <w:rFonts w:hint="eastAsia" w:ascii="仿宋" w:hAnsi="仿宋" w:eastAsia="仿宋"/>
          <w:bCs/>
          <w:color w:val="auto"/>
          <w:sz w:val="32"/>
          <w:szCs w:val="32"/>
          <w:highlight w:val="none"/>
        </w:rPr>
        <w:t>社会保障和就业（类）</w:t>
      </w:r>
      <w:r>
        <w:rPr>
          <w:rStyle w:val="19"/>
          <w:rFonts w:hint="eastAsia" w:ascii="仿宋" w:hAnsi="仿宋" w:eastAsia="仿宋"/>
          <w:bCs/>
          <w:color w:val="auto"/>
          <w:sz w:val="32"/>
          <w:szCs w:val="32"/>
          <w:highlight w:val="none"/>
          <w:lang w:eastAsia="zh-CN"/>
        </w:rPr>
        <w:t>其他社会保障就业支出</w:t>
      </w:r>
      <w:r>
        <w:rPr>
          <w:rStyle w:val="19"/>
          <w:rFonts w:hint="eastAsia" w:ascii="仿宋" w:hAnsi="仿宋" w:eastAsia="仿宋"/>
          <w:bCs/>
          <w:color w:val="auto"/>
          <w:sz w:val="32"/>
          <w:szCs w:val="32"/>
          <w:highlight w:val="none"/>
        </w:rPr>
        <w:t>（款）</w:t>
      </w:r>
      <w:r>
        <w:rPr>
          <w:rStyle w:val="19"/>
          <w:rFonts w:hint="eastAsia" w:ascii="仿宋" w:hAnsi="仿宋" w:eastAsia="仿宋"/>
          <w:bCs/>
          <w:color w:val="auto"/>
          <w:sz w:val="32"/>
          <w:szCs w:val="32"/>
          <w:highlight w:val="none"/>
          <w:lang w:eastAsia="zh-CN"/>
        </w:rPr>
        <w:t>其他社会保障就业支出</w:t>
      </w:r>
      <w:r>
        <w:rPr>
          <w:rStyle w:val="19"/>
          <w:rFonts w:hint="eastAsia" w:ascii="仿宋" w:hAnsi="仿宋" w:eastAsia="仿宋"/>
          <w:bCs/>
          <w:color w:val="auto"/>
          <w:sz w:val="32"/>
          <w:szCs w:val="32"/>
          <w:highlight w:val="none"/>
        </w:rPr>
        <w:t>（项）</w:t>
      </w:r>
      <w:r>
        <w:rPr>
          <w:rStyle w:val="19"/>
          <w:rFonts w:ascii="仿宋" w:hAnsi="仿宋" w:eastAsia="仿宋"/>
          <w:bCs/>
          <w:color w:val="auto"/>
          <w:sz w:val="32"/>
          <w:szCs w:val="32"/>
          <w:highlight w:val="none"/>
        </w:rPr>
        <w:t>:</w:t>
      </w:r>
      <w:r>
        <w:rPr>
          <w:rStyle w:val="19"/>
          <w:rFonts w:ascii="仿宋" w:hAnsi="仿宋" w:eastAsia="仿宋"/>
          <w:b w:val="0"/>
          <w:bCs/>
          <w:color w:val="auto"/>
          <w:sz w:val="32"/>
          <w:szCs w:val="32"/>
          <w:highlight w:val="none"/>
        </w:rPr>
        <w:t xml:space="preserve"> </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0.16</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w:t>
      </w:r>
    </w:p>
    <w:p>
      <w:pPr>
        <w:numPr>
          <w:ilvl w:val="0"/>
          <w:numId w:val="0"/>
        </w:numPr>
        <w:spacing w:line="600" w:lineRule="exact"/>
        <w:ind w:firstLine="643" w:firstLineChars="200"/>
        <w:rPr>
          <w:rStyle w:val="19"/>
          <w:rFonts w:hint="eastAsia" w:ascii="仿宋" w:hAnsi="仿宋" w:eastAsia="仿宋"/>
          <w:b w:val="0"/>
          <w:bCs/>
          <w:color w:val="auto"/>
          <w:sz w:val="32"/>
          <w:szCs w:val="32"/>
          <w:highlight w:val="none"/>
        </w:rPr>
      </w:pPr>
      <w:r>
        <w:rPr>
          <w:rStyle w:val="19"/>
          <w:rFonts w:ascii="仿宋" w:hAnsi="仿宋" w:eastAsia="仿宋"/>
          <w:bCs/>
          <w:color w:val="auto"/>
          <w:sz w:val="32"/>
          <w:szCs w:val="32"/>
          <w:highlight w:val="none"/>
        </w:rPr>
        <w:t>6.</w:t>
      </w:r>
      <w:r>
        <w:rPr>
          <w:rFonts w:hint="eastAsia" w:ascii="仿宋" w:hAnsi="仿宋" w:eastAsia="仿宋"/>
          <w:b/>
          <w:bCs/>
          <w:color w:val="auto"/>
          <w:sz w:val="32"/>
          <w:szCs w:val="32"/>
          <w:highlight w:val="none"/>
        </w:rPr>
        <w:t>卫生健康</w:t>
      </w:r>
      <w:r>
        <w:rPr>
          <w:rStyle w:val="19"/>
          <w:rFonts w:hint="eastAsia" w:ascii="仿宋" w:hAnsi="仿宋" w:eastAsia="仿宋"/>
          <w:bCs/>
          <w:color w:val="auto"/>
          <w:sz w:val="32"/>
          <w:szCs w:val="32"/>
          <w:highlight w:val="none"/>
        </w:rPr>
        <w:t>（类）</w:t>
      </w:r>
      <w:r>
        <w:rPr>
          <w:rStyle w:val="19"/>
          <w:rFonts w:hint="eastAsia" w:ascii="仿宋" w:hAnsi="仿宋" w:eastAsia="仿宋"/>
          <w:bCs/>
          <w:color w:val="auto"/>
          <w:sz w:val="32"/>
          <w:szCs w:val="32"/>
          <w:highlight w:val="none"/>
          <w:lang w:eastAsia="zh-CN"/>
        </w:rPr>
        <w:t>行政事业单位医疗</w:t>
      </w:r>
      <w:r>
        <w:rPr>
          <w:rStyle w:val="19"/>
          <w:rFonts w:hint="eastAsia" w:ascii="仿宋" w:hAnsi="仿宋" w:eastAsia="仿宋"/>
          <w:bCs/>
          <w:color w:val="auto"/>
          <w:sz w:val="32"/>
          <w:szCs w:val="32"/>
          <w:highlight w:val="none"/>
        </w:rPr>
        <w:t>（款）</w:t>
      </w:r>
      <w:r>
        <w:rPr>
          <w:rStyle w:val="19"/>
          <w:rFonts w:hint="eastAsia" w:ascii="仿宋" w:hAnsi="仿宋" w:eastAsia="仿宋"/>
          <w:bCs/>
          <w:color w:val="auto"/>
          <w:sz w:val="32"/>
          <w:szCs w:val="32"/>
          <w:highlight w:val="none"/>
          <w:lang w:eastAsia="zh-CN"/>
        </w:rPr>
        <w:t>行政单位医疗</w:t>
      </w:r>
      <w:r>
        <w:rPr>
          <w:rStyle w:val="19"/>
          <w:rFonts w:hint="eastAsia" w:ascii="仿宋" w:hAnsi="仿宋" w:eastAsia="仿宋"/>
          <w:bCs/>
          <w:color w:val="auto"/>
          <w:sz w:val="32"/>
          <w:szCs w:val="32"/>
          <w:highlight w:val="none"/>
        </w:rPr>
        <w:t>（项）</w:t>
      </w:r>
      <w:r>
        <w:rPr>
          <w:rStyle w:val="19"/>
          <w:rFonts w:ascii="仿宋" w:hAnsi="仿宋" w:eastAsia="仿宋"/>
          <w:bCs/>
          <w:color w:val="auto"/>
          <w:sz w:val="32"/>
          <w:szCs w:val="32"/>
          <w:highlight w:val="none"/>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1.72</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w:t>
      </w:r>
    </w:p>
    <w:p>
      <w:pPr>
        <w:spacing w:line="600" w:lineRule="exact"/>
        <w:ind w:firstLine="643" w:firstLineChars="200"/>
        <w:rPr>
          <w:rStyle w:val="19"/>
          <w:rFonts w:hint="eastAsia" w:ascii="仿宋" w:hAnsi="仿宋" w:eastAsia="仿宋"/>
          <w:b w:val="0"/>
          <w:bCs/>
          <w:color w:val="auto"/>
          <w:sz w:val="32"/>
          <w:szCs w:val="32"/>
          <w:highlight w:val="none"/>
        </w:rPr>
      </w:pPr>
      <w:r>
        <w:rPr>
          <w:rStyle w:val="19"/>
          <w:rFonts w:hint="eastAsia" w:ascii="仿宋" w:hAnsi="仿宋" w:eastAsia="仿宋"/>
          <w:bCs/>
          <w:color w:val="auto"/>
          <w:sz w:val="32"/>
          <w:szCs w:val="32"/>
          <w:highlight w:val="none"/>
          <w:lang w:val="en-US" w:eastAsia="zh-CN"/>
        </w:rPr>
        <w:t>7</w:t>
      </w:r>
      <w:r>
        <w:rPr>
          <w:rStyle w:val="19"/>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9"/>
          <w:rFonts w:hint="eastAsia" w:ascii="仿宋" w:hAnsi="仿宋" w:eastAsia="仿宋"/>
          <w:bCs/>
          <w:color w:val="auto"/>
          <w:sz w:val="32"/>
          <w:szCs w:val="32"/>
          <w:highlight w:val="none"/>
        </w:rPr>
        <w:t>（类）</w:t>
      </w:r>
      <w:r>
        <w:rPr>
          <w:rStyle w:val="19"/>
          <w:rFonts w:hint="eastAsia" w:ascii="仿宋" w:hAnsi="仿宋" w:eastAsia="仿宋"/>
          <w:bCs/>
          <w:color w:val="auto"/>
          <w:sz w:val="32"/>
          <w:szCs w:val="32"/>
          <w:highlight w:val="none"/>
          <w:lang w:eastAsia="zh-CN"/>
        </w:rPr>
        <w:t>行政事业单位医疗</w:t>
      </w:r>
      <w:r>
        <w:rPr>
          <w:rStyle w:val="19"/>
          <w:rFonts w:hint="eastAsia" w:ascii="仿宋" w:hAnsi="仿宋" w:eastAsia="仿宋"/>
          <w:bCs/>
          <w:color w:val="auto"/>
          <w:sz w:val="32"/>
          <w:szCs w:val="32"/>
          <w:highlight w:val="none"/>
        </w:rPr>
        <w:t>（款）</w:t>
      </w:r>
      <w:r>
        <w:rPr>
          <w:rStyle w:val="19"/>
          <w:rFonts w:hint="eastAsia" w:ascii="仿宋" w:hAnsi="仿宋" w:eastAsia="仿宋"/>
          <w:bCs/>
          <w:color w:val="auto"/>
          <w:sz w:val="32"/>
          <w:szCs w:val="32"/>
          <w:highlight w:val="none"/>
          <w:lang w:eastAsia="zh-CN"/>
        </w:rPr>
        <w:t>事业单位医疗</w:t>
      </w:r>
      <w:r>
        <w:rPr>
          <w:rStyle w:val="19"/>
          <w:rFonts w:hint="eastAsia" w:ascii="仿宋" w:hAnsi="仿宋" w:eastAsia="仿宋"/>
          <w:bCs/>
          <w:color w:val="auto"/>
          <w:sz w:val="32"/>
          <w:szCs w:val="32"/>
          <w:highlight w:val="none"/>
        </w:rPr>
        <w:t>（项）</w:t>
      </w:r>
      <w:r>
        <w:rPr>
          <w:rStyle w:val="19"/>
          <w:rFonts w:ascii="仿宋" w:hAnsi="仿宋" w:eastAsia="仿宋"/>
          <w:bCs/>
          <w:color w:val="auto"/>
          <w:sz w:val="32"/>
          <w:szCs w:val="32"/>
          <w:highlight w:val="none"/>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0.5</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w:t>
      </w:r>
    </w:p>
    <w:p>
      <w:pPr>
        <w:numPr>
          <w:ilvl w:val="0"/>
          <w:numId w:val="0"/>
        </w:numPr>
        <w:spacing w:line="600" w:lineRule="exact"/>
        <w:ind w:firstLine="643" w:firstLineChars="200"/>
      </w:pPr>
      <w:r>
        <w:rPr>
          <w:rFonts w:hint="eastAsia" w:ascii="仿宋" w:hAnsi="仿宋" w:eastAsia="仿宋"/>
          <w:b/>
          <w:color w:val="auto"/>
          <w:sz w:val="32"/>
          <w:szCs w:val="32"/>
          <w:highlight w:val="none"/>
          <w:lang w:val="en-US" w:eastAsia="zh-CN"/>
        </w:rPr>
        <w:t>8.农林水（类）扶贫（款）其他扶贫支出（项）：</w:t>
      </w:r>
      <w:r>
        <w:rPr>
          <w:rStyle w:val="19"/>
          <w:rFonts w:hint="eastAsia" w:ascii="仿宋" w:hAnsi="仿宋" w:eastAsia="仿宋" w:cstheme="minorBidi"/>
          <w:b w:val="0"/>
          <w:bCs/>
          <w:color w:val="auto"/>
          <w:sz w:val="32"/>
          <w:szCs w:val="32"/>
          <w:highlight w:val="none"/>
          <w:lang w:val="en-US" w:eastAsia="zh-CN"/>
        </w:rPr>
        <w:t>支出决算为14.33万元，完成预算100%</w:t>
      </w:r>
      <w:r>
        <w:rPr>
          <w:rStyle w:val="19"/>
          <w:rFonts w:hint="eastAsia" w:ascii="仿宋" w:hAnsi="仿宋" w:eastAsia="仿宋"/>
          <w:b w:val="0"/>
          <w:bCs/>
          <w:color w:val="000000"/>
          <w:sz w:val="32"/>
          <w:szCs w:val="32"/>
          <w:lang w:val="en-US" w:eastAsia="zh-CN"/>
        </w:rPr>
        <w:t>。</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bCs/>
          <w:color w:val="auto"/>
          <w:sz w:val="32"/>
          <w:szCs w:val="32"/>
          <w:highlight w:val="none"/>
          <w:lang w:val="en-US" w:eastAsia="zh-CN"/>
        </w:rPr>
        <w:t>9.住房保障（类）住房改革（款）住房公积金（项）：</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4.3</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w:t>
      </w:r>
    </w:p>
    <w:p>
      <w:pPr>
        <w:tabs>
          <w:tab w:val="right" w:pos="8306"/>
        </w:tabs>
        <w:spacing w:line="600" w:lineRule="exact"/>
        <w:ind w:firstLine="640"/>
        <w:outlineLvl w:val="1"/>
        <w:rPr>
          <w:rStyle w:val="30"/>
          <w:color w:val="auto"/>
          <w:highlight w:val="none"/>
        </w:rPr>
      </w:pPr>
      <w:bookmarkStart w:id="52" w:name="_Toc28394"/>
      <w:bookmarkStart w:id="53" w:name="_Toc15377214"/>
      <w:bookmarkStart w:id="54"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30"/>
          <w:rFonts w:hint="eastAsia" w:ascii="黑体" w:hAnsi="黑体" w:eastAsia="黑体"/>
          <w:b w:val="0"/>
          <w:color w:val="auto"/>
          <w:highlight w:val="none"/>
        </w:rPr>
        <w:t>般公共预算财政拨款基本支出决算情况说明</w:t>
      </w:r>
      <w:bookmarkEnd w:id="52"/>
      <w:bookmarkEnd w:id="53"/>
      <w:bookmarkEnd w:id="54"/>
      <w:r>
        <w:rPr>
          <w:rStyle w:val="30"/>
          <w:rFonts w:ascii="黑体" w:hAnsi="黑体" w:eastAsia="黑体"/>
          <w:b w:val="0"/>
          <w:color w:val="auto"/>
          <w:highlight w:val="none"/>
        </w:rPr>
        <w:tab/>
      </w:r>
    </w:p>
    <w:p>
      <w:pPr>
        <w:spacing w:line="600" w:lineRule="exact"/>
        <w:ind w:firstLine="645"/>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80.74</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bookmarkStart w:id="55" w:name="_Toc15396609"/>
      <w:bookmarkStart w:id="56" w:name="_Toc15377215"/>
      <w:bookmarkStart w:id="57" w:name="_Toc30377"/>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52.80</w:t>
      </w:r>
      <w:r>
        <w:rPr>
          <w:rFonts w:hint="eastAsia" w:ascii="仿宋" w:hAnsi="仿宋" w:eastAsia="仿宋"/>
          <w:color w:val="auto"/>
          <w:sz w:val="32"/>
          <w:szCs w:val="32"/>
          <w:highlight w:val="none"/>
        </w:rPr>
        <w:t>万元，主要包括：基本工资、津贴补贴、奖金、绩效工资、机关事业单位基本养老保险缴费、职业年金缴费、其他社会保障缴费、其他工资福利支出、生活补助、医疗费补助、奖励金、住房公积金、其他对个人和家庭的补助支出等。</w:t>
      </w:r>
    </w:p>
    <w:p>
      <w:pPr>
        <w:spacing w:line="600" w:lineRule="exact"/>
        <w:ind w:firstLine="645"/>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27.94</w:t>
      </w:r>
      <w:r>
        <w:rPr>
          <w:rFonts w:hint="eastAsia" w:ascii="仿宋" w:hAnsi="仿宋" w:eastAsia="仿宋"/>
          <w:color w:val="auto"/>
          <w:sz w:val="32"/>
          <w:szCs w:val="32"/>
          <w:highlight w:val="none"/>
        </w:rPr>
        <w:t>万元，主要包括：办公费、印刷费、手续费、水费、电费、邮电费、物业管理费、差旅费、维修（护）费、租赁费、会议费、培训费、公务接待费、劳务费、工会经费、福利费、其他交通费、税金及附加费用、其他商品和服务支出</w:t>
      </w:r>
      <w:r>
        <w:rPr>
          <w:rFonts w:hint="eastAsia" w:ascii="仿宋" w:hAnsi="仿宋" w:eastAsia="仿宋"/>
          <w:color w:val="auto"/>
          <w:sz w:val="32"/>
          <w:szCs w:val="32"/>
          <w:highlight w:val="none"/>
          <w:lang w:val="en-US" w:eastAsia="zh-CN"/>
        </w:rPr>
        <w:t>,资本性支出（基本建设）中的办公设备购置,专用设备购置。</w:t>
      </w:r>
    </w:p>
    <w:p>
      <w:pPr>
        <w:spacing w:line="600" w:lineRule="exact"/>
        <w:ind w:firstLine="640"/>
        <w:outlineLvl w:val="1"/>
        <w:rPr>
          <w:rStyle w:val="30"/>
          <w:rFonts w:ascii="黑体" w:hAnsi="黑体" w:eastAsia="黑体"/>
          <w:b w:val="0"/>
          <w:color w:val="auto"/>
          <w:highlight w:val="none"/>
        </w:rPr>
      </w:pPr>
      <w:r>
        <w:rPr>
          <w:rFonts w:hint="eastAsia" w:ascii="黑体" w:eastAsia="黑体"/>
          <w:color w:val="auto"/>
          <w:sz w:val="32"/>
          <w:szCs w:val="32"/>
          <w:highlight w:val="none"/>
        </w:rPr>
        <w:t>七、</w:t>
      </w:r>
      <w:r>
        <w:rPr>
          <w:rStyle w:val="30"/>
          <w:rFonts w:hint="eastAsia" w:ascii="黑体" w:hAnsi="黑体" w:eastAsia="黑体"/>
          <w:color w:val="auto"/>
          <w:highlight w:val="none"/>
        </w:rPr>
        <w:t>“</w:t>
      </w:r>
      <w:r>
        <w:rPr>
          <w:rStyle w:val="30"/>
          <w:rFonts w:hint="eastAsia" w:ascii="黑体" w:hAnsi="黑体" w:eastAsia="黑体"/>
          <w:b w:val="0"/>
          <w:color w:val="auto"/>
          <w:highlight w:val="none"/>
        </w:rPr>
        <w:t>三公”经费财政拨款支出决算情况说明</w:t>
      </w:r>
      <w:bookmarkEnd w:id="55"/>
      <w:bookmarkEnd w:id="56"/>
      <w:bookmarkEnd w:id="57"/>
    </w:p>
    <w:p>
      <w:pPr>
        <w:spacing w:line="600" w:lineRule="exact"/>
        <w:ind w:firstLine="640"/>
        <w:outlineLvl w:val="2"/>
        <w:rPr>
          <w:rFonts w:ascii="仿宋" w:hAnsi="仿宋" w:eastAsia="仿宋"/>
          <w:b/>
          <w:color w:val="auto"/>
          <w:sz w:val="32"/>
          <w:szCs w:val="32"/>
          <w:highlight w:val="none"/>
        </w:rPr>
      </w:pPr>
      <w:bookmarkStart w:id="58" w:name="_Toc15377216"/>
      <w:r>
        <w:rPr>
          <w:rFonts w:hint="eastAsia" w:ascii="仿宋" w:hAnsi="仿宋" w:eastAsia="仿宋"/>
          <w:b/>
          <w:color w:val="auto"/>
          <w:sz w:val="32"/>
          <w:szCs w:val="32"/>
          <w:highlight w:val="none"/>
        </w:rPr>
        <w:t>（一）“三公”经费财政拨款支出决算总体情况说明</w:t>
      </w:r>
      <w:bookmarkEnd w:id="58"/>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0.34</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bookmarkStart w:id="59" w:name="_Toc15377217"/>
      <w:r>
        <w:rPr>
          <w:rFonts w:hint="eastAsia" w:ascii="仿宋" w:hAnsi="仿宋" w:eastAsia="仿宋"/>
          <w:b/>
          <w:color w:val="auto"/>
          <w:sz w:val="32"/>
          <w:szCs w:val="32"/>
          <w:highlight w:val="none"/>
        </w:rPr>
        <w:t>（二）“三公”经费财政拨款支出决算具体情况说明</w:t>
      </w:r>
      <w:bookmarkEnd w:id="59"/>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Style w:val="19"/>
          <w:rFonts w:hint="eastAsia" w:ascii="仿宋" w:hAnsi="仿宋" w:eastAsia="仿宋" w:cstheme="minorBidi"/>
          <w:b w:val="0"/>
          <w:bCs/>
          <w:color w:val="auto"/>
          <w:sz w:val="32"/>
          <w:szCs w:val="32"/>
          <w:highlight w:val="none"/>
          <w:lang w:val="en-US" w:eastAsia="zh-CN"/>
        </w:rPr>
        <w:t>0.34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Style w:val="15"/>
        <w:rPr>
          <w:rFonts w:hint="eastAsia" w:ascii="Times New Roman" w:hAnsi="Times New Roman" w:eastAsia="仿宋_GB2312"/>
          <w:lang w:eastAsia="zh-CN"/>
        </w:rPr>
      </w:pPr>
      <w:r>
        <w:rPr>
          <w:rFonts w:hint="eastAsia" w:ascii="Times New Roman" w:hAnsi="Times New Roman" w:eastAsia="仿宋_GB2312"/>
          <w:lang w:eastAsia="zh-CN"/>
        </w:rPr>
        <w:drawing>
          <wp:inline distT="0" distB="0" distL="114300" distR="114300">
            <wp:extent cx="5221605" cy="2527935"/>
            <wp:effectExtent l="4445" t="4445" r="16510" b="1270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5"/>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年初未安排预算，</w:t>
      </w:r>
      <w:r>
        <w:rPr>
          <w:rFonts w:hint="eastAsia" w:ascii="仿宋_GB2312" w:eastAsia="仿宋_GB2312"/>
          <w:color w:val="auto"/>
          <w:sz w:val="32"/>
          <w:szCs w:val="32"/>
          <w:highlight w:val="none"/>
          <w:lang w:val="en-US" w:eastAsia="zh-CN"/>
        </w:rPr>
        <w:t>因公出国</w:t>
      </w:r>
      <w:r>
        <w:rPr>
          <w:rFonts w:hint="eastAsia" w:ascii="仿宋_GB2312" w:eastAsia="仿宋_GB2312"/>
          <w:color w:val="auto"/>
          <w:sz w:val="32"/>
          <w:szCs w:val="32"/>
          <w:highlight w:val="none"/>
        </w:rPr>
        <w:t>（境）</w:t>
      </w:r>
      <w:r>
        <w:rPr>
          <w:rFonts w:hint="eastAsia" w:ascii="仿宋_GB2312" w:eastAsia="仿宋_GB2312"/>
          <w:color w:val="auto"/>
          <w:sz w:val="32"/>
          <w:szCs w:val="32"/>
          <w:highlight w:val="none"/>
          <w:lang w:val="en-US" w:eastAsia="zh-CN"/>
        </w:rPr>
        <w:t>支出决算较2020年无变化。</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年初未安排预算，公务用车购置及运行维护费支出</w:t>
      </w:r>
      <w:r>
        <w:rPr>
          <w:rFonts w:hint="eastAsia" w:ascii="仿宋_GB2312" w:eastAsia="仿宋_GB2312"/>
          <w:color w:val="auto"/>
          <w:sz w:val="32"/>
          <w:szCs w:val="32"/>
          <w:highlight w:val="none"/>
          <w:lang w:val="en-US" w:eastAsia="zh-CN"/>
        </w:rPr>
        <w:t>决算较2020年无变化</w:t>
      </w:r>
      <w:r>
        <w:rPr>
          <w:rFonts w:hint="eastAsia" w:ascii="仿宋_GB2312" w:eastAsia="仿宋_GB2312"/>
          <w:color w:val="auto"/>
          <w:sz w:val="32"/>
          <w:szCs w:val="32"/>
          <w:highlight w:val="none"/>
        </w:rPr>
        <w:t>。</w:t>
      </w:r>
    </w:p>
    <w:p>
      <w:pPr>
        <w:spacing w:line="600" w:lineRule="exact"/>
        <w:ind w:firstLine="64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在公务用车制度改革后，不允许单位购买公务用车。因公出差向机关事务局申请公务用车，公务用车有保障。</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0"/>
        </w:numPr>
        <w:spacing w:line="600" w:lineRule="exact"/>
        <w:ind w:firstLine="643" w:firstLineChars="200"/>
        <w:rPr>
          <w:rFonts w:hint="eastAsia" w:ascii="仿宋_GB2312" w:eastAsia="仿宋_GB2312"/>
          <w:color w:val="auto"/>
          <w:sz w:val="32"/>
          <w:szCs w:val="32"/>
          <w:highlight w:val="none"/>
        </w:rPr>
      </w:pPr>
      <w:r>
        <w:rPr>
          <w:rFonts w:hint="eastAsia" w:ascii="仿宋_GB2312" w:eastAsia="仿宋_GB2312"/>
          <w:b/>
          <w:color w:val="auto"/>
          <w:sz w:val="32"/>
          <w:szCs w:val="32"/>
          <w:highlight w:val="none"/>
          <w:lang w:val="en-US" w:eastAsia="zh-CN"/>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0.34</w:t>
      </w:r>
      <w:r>
        <w:rPr>
          <w:rFonts w:hint="eastAsia" w:ascii="仿宋_GB2312" w:eastAsia="仿宋_GB2312"/>
          <w:color w:val="auto"/>
          <w:sz w:val="32"/>
          <w:szCs w:val="32"/>
          <w:highlight w:val="none"/>
        </w:rPr>
        <w:t>万元，</w:t>
      </w:r>
      <w:r>
        <w:rPr>
          <w:rStyle w:val="19"/>
          <w:rFonts w:hint="eastAsia" w:ascii="仿宋" w:hAnsi="仿宋" w:eastAsia="仿宋"/>
          <w:b w:val="0"/>
          <w:bCs/>
          <w:color w:val="auto"/>
          <w:sz w:val="32"/>
          <w:szCs w:val="32"/>
          <w:highlight w:val="none"/>
        </w:rPr>
        <w:t>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减少</w:t>
      </w:r>
      <w:r>
        <w:rPr>
          <w:rFonts w:hint="eastAsia" w:ascii="仿宋_GB2312" w:eastAsia="仿宋_GB2312"/>
          <w:color w:val="auto"/>
          <w:sz w:val="32"/>
          <w:szCs w:val="32"/>
          <w:highlight w:val="none"/>
          <w:lang w:val="en-US" w:eastAsia="zh-CN"/>
        </w:rPr>
        <w:t>0.04</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下降</w:t>
      </w:r>
      <w:r>
        <w:rPr>
          <w:rFonts w:hint="eastAsia" w:ascii="仿宋_GB2312" w:eastAsia="仿宋_GB2312"/>
          <w:color w:val="auto"/>
          <w:sz w:val="32"/>
          <w:szCs w:val="32"/>
          <w:highlight w:val="none"/>
          <w:lang w:val="en-US" w:eastAsia="zh-CN"/>
        </w:rPr>
        <w:t>11.76</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numPr>
          <w:ilvl w:val="0"/>
          <w:numId w:val="0"/>
        </w:numPr>
        <w:spacing w:line="60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其中：</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0.34</w:t>
      </w:r>
      <w:r>
        <w:rPr>
          <w:rFonts w:hint="eastAsia" w:ascii="仿宋_GB2312" w:eastAsia="仿宋_GB2312"/>
          <w:color w:val="auto"/>
          <w:sz w:val="32"/>
          <w:szCs w:val="32"/>
          <w:highlight w:val="none"/>
        </w:rPr>
        <w:t>万元，主要用于执行公务、开展业务活动开支的交通费、住宿费、用餐费等。国内公务接待</w:t>
      </w:r>
      <w:r>
        <w:rPr>
          <w:rFonts w:hint="default" w:ascii="仿宋_GB2312" w:eastAsia="仿宋_GB2312"/>
          <w:color w:val="auto"/>
          <w:sz w:val="32"/>
          <w:szCs w:val="32"/>
          <w:highlight w:val="none"/>
        </w:rPr>
        <w:t>10</w:t>
      </w:r>
      <w:r>
        <w:rPr>
          <w:rFonts w:hint="eastAsia" w:ascii="仿宋_GB2312" w:eastAsia="仿宋_GB2312"/>
          <w:color w:val="auto"/>
          <w:sz w:val="32"/>
          <w:szCs w:val="32"/>
          <w:highlight w:val="none"/>
        </w:rPr>
        <w:t>批次，</w:t>
      </w:r>
      <w:r>
        <w:rPr>
          <w:rFonts w:hint="default" w:ascii="仿宋_GB2312" w:eastAsia="仿宋_GB2312"/>
          <w:color w:val="auto"/>
          <w:sz w:val="32"/>
          <w:szCs w:val="32"/>
          <w:highlight w:val="none"/>
          <w:lang w:eastAsia="zh-CN"/>
        </w:rPr>
        <w:t>90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0.34</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pPr>
        <w:spacing w:line="600" w:lineRule="exact"/>
        <w:ind w:firstLine="645"/>
        <w:rPr>
          <w:rFonts w:hint="eastAsia" w:ascii="仿宋" w:hAnsi="仿宋" w:eastAsia="仿宋_GB2312"/>
          <w:b/>
          <w:color w:val="auto"/>
          <w:sz w:val="32"/>
          <w:szCs w:val="32"/>
          <w:highlight w:val="none"/>
          <w:lang w:eastAsia="zh-CN"/>
        </w:rPr>
      </w:pPr>
      <w:r>
        <w:rPr>
          <w:rFonts w:hint="eastAsia" w:ascii="仿宋" w:hAnsi="仿宋" w:eastAsia="仿宋"/>
          <w:b/>
          <w:color w:val="auto"/>
          <w:sz w:val="32"/>
          <w:szCs w:val="32"/>
          <w:highlight w:val="none"/>
        </w:rPr>
        <w:t>外事接待支出</w:t>
      </w:r>
      <w:r>
        <w:rPr>
          <w:rFonts w:hint="eastAsia" w:ascii="仿宋" w:hAnsi="仿宋" w:eastAsia="仿宋"/>
          <w:b/>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bookmarkStart w:id="60" w:name="_Toc15377218"/>
      <w:bookmarkStart w:id="61" w:name="_Toc15396610"/>
      <w:r>
        <w:rPr>
          <w:rFonts w:hint="eastAsia" w:ascii="仿宋_GB2312" w:eastAsia="仿宋_GB2312"/>
          <w:color w:val="auto"/>
          <w:sz w:val="32"/>
          <w:szCs w:val="32"/>
          <w:highlight w:val="none"/>
          <w:lang w:eastAsia="zh-CN"/>
        </w:rPr>
        <w:t>。</w:t>
      </w:r>
    </w:p>
    <w:p>
      <w:pPr>
        <w:spacing w:line="600" w:lineRule="exact"/>
        <w:ind w:firstLine="640"/>
        <w:outlineLvl w:val="1"/>
        <w:rPr>
          <w:rStyle w:val="30"/>
          <w:rFonts w:ascii="黑体" w:hAnsi="黑体" w:eastAsia="黑体"/>
          <w:color w:val="auto"/>
          <w:highlight w:val="none"/>
        </w:rPr>
      </w:pPr>
      <w:bookmarkStart w:id="62" w:name="_Toc22261"/>
      <w:r>
        <w:rPr>
          <w:rFonts w:hint="eastAsia" w:ascii="黑体" w:eastAsia="黑体"/>
          <w:color w:val="auto"/>
          <w:sz w:val="32"/>
          <w:szCs w:val="32"/>
          <w:highlight w:val="none"/>
        </w:rPr>
        <w:t>八、</w:t>
      </w:r>
      <w:r>
        <w:rPr>
          <w:rStyle w:val="30"/>
          <w:rFonts w:hint="eastAsia" w:ascii="黑体" w:hAnsi="黑体" w:eastAsia="黑体"/>
          <w:b w:val="0"/>
          <w:color w:val="auto"/>
          <w:highlight w:val="none"/>
        </w:rPr>
        <w:t>政府性基金预算支出决算情况说明</w:t>
      </w:r>
      <w:bookmarkEnd w:id="60"/>
      <w:bookmarkEnd w:id="61"/>
      <w:bookmarkEnd w:id="62"/>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30"/>
          <w:rFonts w:ascii="黑体" w:hAnsi="黑体" w:eastAsia="黑体"/>
          <w:b w:val="0"/>
          <w:color w:val="auto"/>
          <w:highlight w:val="none"/>
        </w:rPr>
      </w:pPr>
      <w:bookmarkStart w:id="63" w:name="_Toc8488"/>
      <w:bookmarkStart w:id="64" w:name="_Toc15396611"/>
      <w:bookmarkStart w:id="65" w:name="_Toc15377219"/>
      <w:r>
        <w:rPr>
          <w:rStyle w:val="30"/>
          <w:rFonts w:hint="eastAsia" w:ascii="黑体" w:hAnsi="黑体" w:eastAsia="黑体"/>
          <w:b w:val="0"/>
          <w:color w:val="auto"/>
          <w:highlight w:val="none"/>
        </w:rPr>
        <w:t>国有资本经营预算支出决算情况说明</w:t>
      </w:r>
      <w:bookmarkEnd w:id="63"/>
      <w:bookmarkEnd w:id="64"/>
      <w:bookmarkEnd w:id="65"/>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30"/>
          <w:rFonts w:hint="eastAsia" w:ascii="黑体" w:hAnsi="黑体" w:eastAsia="黑体"/>
          <w:b w:val="0"/>
          <w:color w:val="auto"/>
          <w:highlight w:val="none"/>
        </w:rPr>
      </w:pPr>
      <w:bookmarkStart w:id="66" w:name="_Toc19516"/>
      <w:bookmarkStart w:id="67" w:name="_Toc15396612"/>
      <w:bookmarkStart w:id="68" w:name="_Toc15377221"/>
      <w:r>
        <w:rPr>
          <w:rStyle w:val="30"/>
          <w:rFonts w:hint="eastAsia" w:ascii="黑体" w:hAnsi="黑体" w:eastAsia="黑体"/>
          <w:b w:val="0"/>
          <w:color w:val="auto"/>
          <w:highlight w:val="none"/>
          <w:lang w:val="en-US" w:eastAsia="zh-CN"/>
        </w:rPr>
        <w:t>预算绩效管理情况</w:t>
      </w:r>
      <w:bookmarkEnd w:id="66"/>
    </w:p>
    <w:p>
      <w:pPr>
        <w:spacing w:line="580" w:lineRule="exact"/>
        <w:ind w:firstLine="640" w:firstLineChars="200"/>
        <w:rPr>
          <w:rFonts w:hint="eastAsia"/>
        </w:rPr>
      </w:pPr>
      <w:r>
        <w:rPr>
          <w:rFonts w:hint="eastAsia" w:ascii="仿宋_GB2312" w:hAnsi="仿宋_GB2312" w:eastAsia="仿宋_GB2312" w:cs="仿宋_GB2312"/>
          <w:color w:val="auto"/>
          <w:sz w:val="32"/>
          <w:szCs w:val="32"/>
          <w:highlight w:val="none"/>
        </w:rPr>
        <w:t>根据预算绩效管理要求，本单位在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eastAsia="仿宋_GB2312" w:cs="仿宋_GB2312"/>
          <w:color w:val="auto"/>
          <w:sz w:val="32"/>
          <w:szCs w:val="32"/>
          <w:highlight w:val="none"/>
          <w:lang w:eastAsia="zh-CN"/>
        </w:rPr>
        <w:t>东西部协作“来料加工”车间</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2021年省级贫困妇女“两癌”救助项目2个项目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2021年部门预算项目绩效目标自评表见附件（第四部分）</w:t>
      </w:r>
      <w:r>
        <w:rPr>
          <w:rFonts w:hint="eastAsia" w:ascii="仿宋_GB2312" w:hAnsi="仿宋_GB2312" w:eastAsia="仿宋_GB2312" w:cs="仿宋_GB2312"/>
          <w:color w:val="auto"/>
          <w:sz w:val="32"/>
          <w:szCs w:val="32"/>
          <w:highlight w:val="none"/>
        </w:rPr>
        <w:t>。</w:t>
      </w:r>
    </w:p>
    <w:p>
      <w:pPr>
        <w:numPr>
          <w:ilvl w:val="0"/>
          <w:numId w:val="3"/>
        </w:numPr>
        <w:spacing w:line="600" w:lineRule="exact"/>
        <w:ind w:firstLine="640"/>
        <w:outlineLvl w:val="1"/>
        <w:rPr>
          <w:rStyle w:val="30"/>
          <w:rFonts w:hint="eastAsia" w:ascii="黑体" w:hAnsi="黑体" w:eastAsia="黑体"/>
          <w:b w:val="0"/>
          <w:color w:val="auto"/>
          <w:highlight w:val="none"/>
        </w:rPr>
      </w:pPr>
      <w:bookmarkStart w:id="69" w:name="_Toc3368"/>
      <w:r>
        <w:rPr>
          <w:rStyle w:val="30"/>
          <w:rFonts w:hint="eastAsia" w:ascii="黑体" w:hAnsi="黑体" w:eastAsia="黑体"/>
          <w:b w:val="0"/>
          <w:color w:val="auto"/>
          <w:highlight w:val="none"/>
        </w:rPr>
        <w:t>其他重要事项的情况说明</w:t>
      </w:r>
      <w:bookmarkEnd w:id="67"/>
      <w:bookmarkEnd w:id="68"/>
      <w:bookmarkEnd w:id="69"/>
    </w:p>
    <w:p>
      <w:pPr>
        <w:spacing w:line="600" w:lineRule="exact"/>
        <w:ind w:firstLine="643" w:firstLineChars="200"/>
        <w:outlineLvl w:val="2"/>
        <w:rPr>
          <w:rFonts w:ascii="仿宋" w:hAnsi="仿宋" w:eastAsia="仿宋"/>
          <w:color w:val="auto"/>
          <w:sz w:val="32"/>
          <w:szCs w:val="32"/>
          <w:highlight w:val="none"/>
        </w:rPr>
      </w:pPr>
      <w:bookmarkStart w:id="70" w:name="_Toc15377222"/>
      <w:r>
        <w:rPr>
          <w:rFonts w:hint="eastAsia" w:ascii="仿宋" w:hAnsi="仿宋" w:eastAsia="仿宋"/>
          <w:b/>
          <w:color w:val="auto"/>
          <w:sz w:val="32"/>
          <w:szCs w:val="32"/>
          <w:highlight w:val="none"/>
        </w:rPr>
        <w:t>（一）机关运行经费支出情况</w:t>
      </w:r>
      <w:bookmarkEnd w:id="70"/>
    </w:p>
    <w:p>
      <w:pPr>
        <w:spacing w:line="600" w:lineRule="exact"/>
        <w:ind w:firstLine="640" w:firstLineChars="200"/>
        <w:rPr>
          <w:rFonts w:hint="default"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default" w:ascii="仿宋_GB2312" w:eastAsia="仿宋_GB2312"/>
          <w:color w:val="auto"/>
          <w:sz w:val="32"/>
          <w:szCs w:val="32"/>
          <w:highlight w:val="none"/>
        </w:rPr>
        <w:t>我会</w:t>
      </w:r>
      <w:r>
        <w:rPr>
          <w:rFonts w:hint="eastAsia" w:ascii="仿宋_GB2312" w:eastAsia="仿宋_GB2312"/>
          <w:color w:val="auto"/>
          <w:sz w:val="32"/>
          <w:szCs w:val="32"/>
          <w:highlight w:val="none"/>
        </w:rPr>
        <w:t>机关运行经费支出</w:t>
      </w:r>
      <w:r>
        <w:rPr>
          <w:rFonts w:ascii="仿宋_GB2312" w:eastAsia="仿宋_GB2312"/>
          <w:color w:val="auto"/>
          <w:sz w:val="32"/>
          <w:szCs w:val="32"/>
          <w:highlight w:val="none"/>
        </w:rPr>
        <w:t>27.94</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ascii="仿宋_GB2312" w:eastAsia="仿宋_GB2312"/>
          <w:color w:val="auto"/>
          <w:sz w:val="32"/>
          <w:szCs w:val="32"/>
          <w:highlight w:val="none"/>
        </w:rPr>
        <w:t>6.4</w:t>
      </w:r>
      <w:r>
        <w:rPr>
          <w:rFonts w:hint="eastAsia" w:ascii="仿宋_GB2312" w:eastAsia="仿宋_GB2312"/>
          <w:color w:val="auto"/>
          <w:sz w:val="32"/>
          <w:szCs w:val="32"/>
          <w:highlight w:val="none"/>
        </w:rPr>
        <w:t>万元，下降</w:t>
      </w:r>
      <w:r>
        <w:rPr>
          <w:rFonts w:ascii="仿宋_GB2312" w:eastAsia="仿宋_GB2312"/>
          <w:color w:val="auto"/>
          <w:sz w:val="32"/>
          <w:szCs w:val="32"/>
          <w:highlight w:val="none"/>
        </w:rPr>
        <w:t>18.78%</w:t>
      </w:r>
      <w:r>
        <w:rPr>
          <w:rFonts w:hint="eastAsia" w:ascii="仿宋_GB2312" w:eastAsia="仿宋_GB2312"/>
          <w:color w:val="auto"/>
          <w:sz w:val="32"/>
          <w:szCs w:val="32"/>
          <w:highlight w:val="none"/>
        </w:rPr>
        <w:t>（或与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年决算数持平）。主要原因是</w:t>
      </w:r>
      <w:r>
        <w:rPr>
          <w:rFonts w:hint="default" w:ascii="仿宋_GB2312" w:eastAsia="仿宋_GB2312"/>
          <w:color w:val="auto"/>
          <w:sz w:val="32"/>
          <w:szCs w:val="32"/>
          <w:highlight w:val="none"/>
        </w:rPr>
        <w:t>疫情影响，相关会议、培训减少。</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1" w:name="_Toc15377223"/>
      <w:r>
        <w:rPr>
          <w:rFonts w:hint="eastAsia" w:ascii="仿宋" w:hAnsi="仿宋" w:eastAsia="仿宋"/>
          <w:b/>
          <w:color w:val="auto"/>
          <w:sz w:val="32"/>
          <w:szCs w:val="32"/>
          <w:highlight w:val="none"/>
        </w:rPr>
        <w:t>（二）政府采购支出情况</w:t>
      </w:r>
      <w:bookmarkEnd w:id="71"/>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default" w:ascii="仿宋_GB2312" w:eastAsia="仿宋_GB2312"/>
          <w:color w:val="auto"/>
          <w:sz w:val="32"/>
          <w:szCs w:val="32"/>
          <w:highlight w:val="none"/>
        </w:rPr>
        <w:t>我会</w:t>
      </w:r>
      <w:r>
        <w:rPr>
          <w:rFonts w:hint="eastAsia" w:ascii="仿宋_GB2312" w:eastAsia="仿宋_GB2312"/>
          <w:color w:val="auto"/>
          <w:sz w:val="32"/>
          <w:szCs w:val="32"/>
          <w:highlight w:val="none"/>
        </w:rPr>
        <w:t>政府采购支出总额</w:t>
      </w:r>
      <w:r>
        <w:rPr>
          <w:rFonts w:ascii="仿宋_GB2312" w:eastAsia="仿宋_GB2312"/>
          <w:color w:val="auto"/>
          <w:sz w:val="32"/>
          <w:szCs w:val="32"/>
          <w:highlight w:val="none"/>
        </w:rPr>
        <w:t>0</w:t>
      </w:r>
      <w:r>
        <w:rPr>
          <w:rFonts w:hint="eastAsia" w:ascii="仿宋_GB2312" w:eastAsia="仿宋_GB2312"/>
          <w:color w:val="auto"/>
          <w:sz w:val="32"/>
          <w:szCs w:val="32"/>
          <w:highlight w:val="none"/>
        </w:rPr>
        <w:t>万元，其中：政府采购货物支出</w:t>
      </w:r>
      <w:r>
        <w:rPr>
          <w:rFonts w:ascii="仿宋_GB2312" w:eastAsia="仿宋_GB2312"/>
          <w:color w:val="auto"/>
          <w:sz w:val="32"/>
          <w:szCs w:val="32"/>
          <w:highlight w:val="none"/>
        </w:rPr>
        <w:t>0</w:t>
      </w:r>
      <w:r>
        <w:rPr>
          <w:rFonts w:hint="eastAsia" w:ascii="仿宋_GB2312" w:eastAsia="仿宋_GB2312"/>
          <w:color w:val="auto"/>
          <w:sz w:val="32"/>
          <w:szCs w:val="32"/>
          <w:highlight w:val="none"/>
        </w:rPr>
        <w:t>万元、政府采购工程支出</w:t>
      </w:r>
      <w:r>
        <w:rPr>
          <w:rFonts w:ascii="仿宋_GB2312" w:eastAsia="仿宋_GB2312"/>
          <w:color w:val="auto"/>
          <w:sz w:val="32"/>
          <w:szCs w:val="32"/>
          <w:highlight w:val="none"/>
        </w:rPr>
        <w:t>0</w:t>
      </w:r>
      <w:r>
        <w:rPr>
          <w:rFonts w:hint="eastAsia" w:ascii="仿宋_GB2312" w:eastAsia="仿宋_GB2312"/>
          <w:color w:val="auto"/>
          <w:sz w:val="32"/>
          <w:szCs w:val="32"/>
          <w:highlight w:val="none"/>
        </w:rPr>
        <w:t>万元、政府采购服务支出</w:t>
      </w:r>
      <w:r>
        <w:rPr>
          <w:rFonts w:ascii="仿宋_GB2312" w:eastAsia="仿宋_GB2312"/>
          <w:color w:val="auto"/>
          <w:sz w:val="32"/>
          <w:szCs w:val="32"/>
          <w:highlight w:val="none"/>
        </w:rPr>
        <w:t>0</w:t>
      </w:r>
      <w:r>
        <w:rPr>
          <w:rFonts w:hint="eastAsia" w:ascii="仿宋_GB2312" w:eastAsia="仿宋_GB2312"/>
          <w:color w:val="auto"/>
          <w:sz w:val="32"/>
          <w:szCs w:val="32"/>
          <w:highlight w:val="none"/>
        </w:rPr>
        <w:t>万元。授予中小企业合同金额</w:t>
      </w:r>
      <w:r>
        <w:rPr>
          <w:rFonts w:ascii="仿宋_GB2312" w:eastAsia="仿宋_GB2312"/>
          <w:color w:val="auto"/>
          <w:sz w:val="32"/>
          <w:szCs w:val="32"/>
          <w:highlight w:val="none"/>
        </w:rPr>
        <w:t>0</w:t>
      </w:r>
      <w:r>
        <w:rPr>
          <w:rFonts w:hint="eastAsia" w:ascii="仿宋_GB2312" w:eastAsia="仿宋_GB2312"/>
          <w:color w:val="auto"/>
          <w:sz w:val="32"/>
          <w:szCs w:val="32"/>
          <w:highlight w:val="none"/>
        </w:rPr>
        <w:t>万元，占政府采购支出总额的</w:t>
      </w:r>
      <w:r>
        <w:rPr>
          <w:rFonts w:ascii="仿宋_GB2312" w:eastAsia="仿宋_GB2312"/>
          <w:color w:val="auto"/>
          <w:sz w:val="32"/>
          <w:szCs w:val="32"/>
          <w:highlight w:val="none"/>
        </w:rPr>
        <w:t>0%</w:t>
      </w:r>
      <w:r>
        <w:rPr>
          <w:rFonts w:hint="eastAsia" w:ascii="仿宋_GB2312" w:eastAsia="仿宋_GB2312"/>
          <w:color w:val="auto"/>
          <w:sz w:val="32"/>
          <w:szCs w:val="32"/>
          <w:highlight w:val="none"/>
        </w:rPr>
        <w:t>，其中：授予小微企业合同金额</w:t>
      </w:r>
      <w:r>
        <w:rPr>
          <w:rFonts w:ascii="仿宋_GB2312" w:eastAsia="仿宋_GB2312"/>
          <w:color w:val="auto"/>
          <w:sz w:val="32"/>
          <w:szCs w:val="32"/>
          <w:highlight w:val="none"/>
        </w:rPr>
        <w:t>0</w:t>
      </w:r>
      <w:r>
        <w:rPr>
          <w:rFonts w:hint="eastAsia" w:ascii="仿宋_GB2312" w:eastAsia="仿宋_GB2312"/>
          <w:color w:val="auto"/>
          <w:sz w:val="32"/>
          <w:szCs w:val="32"/>
          <w:highlight w:val="none"/>
        </w:rPr>
        <w:t>万元，占政府采购支出总额的</w:t>
      </w:r>
      <w:r>
        <w:rPr>
          <w:rFonts w:ascii="仿宋_GB2312" w:eastAsia="仿宋_GB2312"/>
          <w:color w:val="auto"/>
          <w:sz w:val="32"/>
          <w:szCs w:val="32"/>
          <w:highlight w:val="none"/>
        </w:rPr>
        <w:t>0%</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2" w:name="_Toc15377224"/>
      <w:r>
        <w:rPr>
          <w:rFonts w:hint="eastAsia" w:ascii="仿宋" w:hAnsi="仿宋" w:eastAsia="仿宋"/>
          <w:b/>
          <w:color w:val="auto"/>
          <w:sz w:val="32"/>
          <w:szCs w:val="32"/>
          <w:highlight w:val="none"/>
        </w:rPr>
        <w:t>（三）国有资产占有使用情况</w:t>
      </w:r>
      <w:bookmarkEnd w:id="72"/>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ascii="仿宋_GB2312" w:eastAsia="仿宋_GB2312"/>
          <w:color w:val="auto"/>
          <w:sz w:val="32"/>
          <w:szCs w:val="32"/>
          <w:highlight w:val="none"/>
        </w:rPr>
        <w:t>我会</w:t>
      </w:r>
      <w:r>
        <w:rPr>
          <w:rFonts w:hint="eastAsia" w:ascii="仿宋_GB2312" w:eastAsia="仿宋_GB2312"/>
          <w:color w:val="auto"/>
          <w:sz w:val="32"/>
          <w:szCs w:val="32"/>
          <w:highlight w:val="none"/>
        </w:rPr>
        <w:t>共有车辆</w:t>
      </w:r>
      <w:r>
        <w:rPr>
          <w:rFonts w:ascii="仿宋_GB2312" w:eastAsia="仿宋_GB2312"/>
          <w:color w:val="auto"/>
          <w:sz w:val="32"/>
          <w:szCs w:val="32"/>
          <w:highlight w:val="none"/>
        </w:rPr>
        <w:t>0</w:t>
      </w:r>
      <w:r>
        <w:rPr>
          <w:rFonts w:hint="eastAsia" w:ascii="仿宋_GB2312" w:eastAsia="仿宋_GB2312"/>
          <w:color w:val="auto"/>
          <w:sz w:val="32"/>
          <w:szCs w:val="32"/>
          <w:highlight w:val="none"/>
        </w:rPr>
        <w:t>辆，其中：主要领导干部用车</w:t>
      </w:r>
      <w:r>
        <w:rPr>
          <w:rFonts w:ascii="仿宋_GB2312" w:eastAsia="仿宋_GB2312"/>
          <w:color w:val="auto"/>
          <w:sz w:val="32"/>
          <w:szCs w:val="32"/>
          <w:highlight w:val="none"/>
        </w:rPr>
        <w:t>0</w:t>
      </w:r>
      <w:r>
        <w:rPr>
          <w:rFonts w:hint="eastAsia" w:ascii="仿宋_GB2312" w:eastAsia="仿宋_GB2312"/>
          <w:color w:val="auto"/>
          <w:sz w:val="32"/>
          <w:szCs w:val="32"/>
          <w:highlight w:val="none"/>
        </w:rPr>
        <w:t>辆、机要通信用车</w:t>
      </w:r>
      <w:r>
        <w:rPr>
          <w:rFonts w:ascii="仿宋_GB2312" w:eastAsia="仿宋_GB2312"/>
          <w:color w:val="auto"/>
          <w:sz w:val="32"/>
          <w:szCs w:val="32"/>
          <w:highlight w:val="none"/>
        </w:rPr>
        <w:t>0</w:t>
      </w:r>
      <w:r>
        <w:rPr>
          <w:rFonts w:hint="eastAsia" w:ascii="仿宋_GB2312" w:eastAsia="仿宋_GB2312"/>
          <w:color w:val="auto"/>
          <w:sz w:val="32"/>
          <w:szCs w:val="32"/>
          <w:highlight w:val="none"/>
        </w:rPr>
        <w:t>辆、应急保障用车</w:t>
      </w:r>
      <w:r>
        <w:rPr>
          <w:rFonts w:ascii="仿宋_GB2312" w:eastAsia="仿宋_GB2312"/>
          <w:color w:val="auto"/>
          <w:sz w:val="32"/>
          <w:szCs w:val="32"/>
          <w:highlight w:val="none"/>
        </w:rPr>
        <w:t>0</w:t>
      </w:r>
      <w:r>
        <w:rPr>
          <w:rFonts w:hint="eastAsia" w:ascii="仿宋_GB2312" w:eastAsia="仿宋_GB2312"/>
          <w:color w:val="auto"/>
          <w:sz w:val="32"/>
          <w:szCs w:val="32"/>
          <w:highlight w:val="none"/>
        </w:rPr>
        <w:t>辆、其他用车</w:t>
      </w:r>
      <w:r>
        <w:rPr>
          <w:rFonts w:ascii="仿宋_GB2312" w:eastAsia="仿宋_GB2312"/>
          <w:color w:val="auto"/>
          <w:sz w:val="32"/>
          <w:szCs w:val="32"/>
          <w:highlight w:val="none"/>
        </w:rPr>
        <w:t>0</w:t>
      </w:r>
      <w:r>
        <w:rPr>
          <w:rFonts w:hint="eastAsia" w:ascii="仿宋_GB2312" w:eastAsia="仿宋_GB2312"/>
          <w:color w:val="auto"/>
          <w:sz w:val="32"/>
          <w:szCs w:val="32"/>
          <w:highlight w:val="none"/>
        </w:rPr>
        <w:t>辆</w:t>
      </w:r>
      <w:r>
        <w:rPr>
          <w:rFonts w:hint="default" w:ascii="仿宋_GB2312" w:eastAsia="仿宋_GB2312"/>
          <w:color w:val="auto"/>
          <w:sz w:val="32"/>
          <w:szCs w:val="32"/>
          <w:highlight w:val="none"/>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ascii="仿宋_GB2312" w:eastAsia="仿宋_GB2312"/>
          <w:color w:val="auto"/>
          <w:sz w:val="32"/>
          <w:szCs w:val="32"/>
          <w:highlight w:val="none"/>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ascii="仿宋_GB2312" w:eastAsia="仿宋_GB2312"/>
          <w:color w:val="auto"/>
          <w:sz w:val="32"/>
          <w:szCs w:val="32"/>
          <w:highlight w:val="none"/>
        </w:rPr>
        <w:t>0</w:t>
      </w:r>
      <w:r>
        <w:rPr>
          <w:rFonts w:hint="eastAsia" w:ascii="仿宋_GB2312" w:eastAsia="仿宋_GB2312"/>
          <w:color w:val="auto"/>
          <w:sz w:val="32"/>
          <w:szCs w:val="32"/>
          <w:highlight w:val="none"/>
        </w:rPr>
        <w:t>台（套）。</w:t>
      </w:r>
    </w:p>
    <w:p>
      <w:pPr>
        <w:pStyle w:val="7"/>
        <w:rPr>
          <w:highlight w:val="yellow"/>
        </w:rPr>
      </w:pP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4"/>
        </w:numPr>
        <w:spacing w:line="600" w:lineRule="exact"/>
        <w:ind w:firstLine="660" w:firstLineChars="150"/>
        <w:jc w:val="center"/>
        <w:outlineLvl w:val="0"/>
        <w:rPr>
          <w:rStyle w:val="29"/>
          <w:rFonts w:ascii="黑体" w:hAnsi="黑体" w:eastAsia="黑体"/>
          <w:b w:val="0"/>
          <w:color w:val="auto"/>
          <w:highlight w:val="none"/>
        </w:rPr>
      </w:pPr>
      <w:bookmarkStart w:id="73" w:name="_Toc15377225"/>
      <w:bookmarkStart w:id="74" w:name="_Toc15396613"/>
      <w:bookmarkStart w:id="75" w:name="_Toc9826"/>
      <w:r>
        <w:rPr>
          <w:rFonts w:hint="eastAsia" w:ascii="黑体" w:hAnsi="黑体" w:eastAsia="黑体"/>
          <w:color w:val="auto"/>
          <w:sz w:val="44"/>
          <w:szCs w:val="44"/>
          <w:highlight w:val="none"/>
        </w:rPr>
        <w:t>名</w:t>
      </w:r>
      <w:r>
        <w:rPr>
          <w:rStyle w:val="29"/>
          <w:rFonts w:hint="eastAsia" w:ascii="黑体" w:hAnsi="黑体" w:eastAsia="黑体"/>
          <w:b w:val="0"/>
          <w:color w:val="auto"/>
          <w:highlight w:val="none"/>
        </w:rPr>
        <w:t>词解释</w:t>
      </w:r>
      <w:bookmarkEnd w:id="73"/>
      <w:bookmarkEnd w:id="74"/>
      <w:bookmarkEnd w:id="75"/>
    </w:p>
    <w:p>
      <w:pPr>
        <w:spacing w:line="600" w:lineRule="exact"/>
        <w:jc w:val="left"/>
        <w:rPr>
          <w:rFonts w:ascii="宋体"/>
          <w:b/>
          <w:color w:val="auto"/>
          <w:sz w:val="44"/>
          <w:szCs w:val="44"/>
          <w:highlight w:val="none"/>
        </w:rPr>
      </w:pPr>
    </w:p>
    <w:p>
      <w:pPr>
        <w:pStyle w:val="2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ind w:firstLine="640" w:firstLineChars="200"/>
        <w:rPr>
          <w:rFonts w:hint="eastAsia" w:ascii="仿宋_GB2312" w:hAnsi="Calibri" w:eastAsia="仿宋_GB2312" w:cs="仿宋"/>
          <w:color w:val="auto"/>
          <w:kern w:val="0"/>
          <w:sz w:val="32"/>
          <w:szCs w:val="32"/>
          <w:highlight w:val="none"/>
          <w:lang w:val="en-US" w:eastAsia="zh-CN" w:bidi="ar-SA"/>
        </w:rPr>
      </w:pPr>
      <w:bookmarkStart w:id="76" w:name="_Toc15377226"/>
      <w:r>
        <w:rPr>
          <w:rFonts w:hint="eastAsia" w:ascii="仿宋_GB2312" w:hAnsi="Calibri" w:eastAsia="仿宋_GB2312" w:cs="仿宋"/>
          <w:color w:val="auto"/>
          <w:kern w:val="0"/>
          <w:sz w:val="32"/>
          <w:szCs w:val="32"/>
          <w:highlight w:val="none"/>
          <w:lang w:val="en-US" w:eastAsia="zh-CN" w:bidi="ar-SA"/>
        </w:rPr>
        <w:t>2.一般公共服务（类）群众团体事务（款）行政运行（项）：指行政单位的基本支出。</w:t>
      </w:r>
    </w:p>
    <w:p>
      <w:pPr>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3.一般公共服务（类）群众团体事务（款）事业运行（项）: 指事业单位的基本支出，不包括行政单位（包括实行公务员管理的事业单位）后勤服务中心、医务室等附属事业单位。</w:t>
      </w:r>
    </w:p>
    <w:p>
      <w:pPr>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4.社会保障和就业（类）行政事业单位养老支出（款）机关事业单位基本养老保险缴费支出（项）:指机关事业单位实施养老保险制度由单位缴纳的基本养老保险费支出。</w:t>
      </w:r>
    </w:p>
    <w:p>
      <w:pPr>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5.社会保障和就业（类）其他社会保障和就业支出（款）其他社会保障和就业支出（项）:指除上述项目意外其他用于社会保障和就业方面的支出。</w:t>
      </w:r>
    </w:p>
    <w:p>
      <w:pPr>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6.卫生健康（类）行政事业单位医疗（款）行政单位医疗（项）:指财政部门安排的行政单位（包括实行公务员管理的事业单位）基本医疗保险缴费经费，未参加医疗保险的行政单位的公费医疗经费，按国家规定享受离休人员、红军老战士待遇人员的医疗经费。</w:t>
      </w:r>
    </w:p>
    <w:p>
      <w:pPr>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7.卫生健康（类）行政事业单位医疗（款）事业单位医疗（项）:指财政部门安排的事业单位基本医疗保险缴费经费，未参加医疗保险的事业单位的公费医疗经费，按国家规定享受离休人员待遇的医疗经费。</w:t>
      </w:r>
    </w:p>
    <w:p>
      <w:pPr>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8.农林水（类）扶贫（款）其他扶贫支出（项）：指除化解债务支出以外其他用于农林水方面的支出。</w:t>
      </w:r>
    </w:p>
    <w:p>
      <w:pPr>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9.住房保障（类）住房改革（款）住房公积金（项）：指行政事业单位按人力资源和社会保障部、财政部规定的基本工资和津贴补贴以及规定比例为职工缴纳的住房公积金。</w:t>
      </w:r>
    </w:p>
    <w:p>
      <w:pPr>
        <w:ind w:firstLine="640" w:firstLineChars="200"/>
        <w:rPr>
          <w:rFonts w:ascii="仿宋_GB2312" w:eastAsia="仿宋_GB2312"/>
          <w:color w:val="auto"/>
          <w:sz w:val="32"/>
          <w:szCs w:val="32"/>
          <w:highlight w:val="none"/>
        </w:rPr>
      </w:pPr>
      <w:r>
        <w:rPr>
          <w:rFonts w:hint="eastAsia" w:ascii="仿宋_GB2312" w:hAnsi="Calibri" w:eastAsia="仿宋_GB2312" w:cs="仿宋"/>
          <w:color w:val="auto"/>
          <w:kern w:val="0"/>
          <w:sz w:val="32"/>
          <w:szCs w:val="32"/>
          <w:highlight w:val="none"/>
          <w:lang w:val="en-US" w:eastAsia="zh-CN" w:bidi="ar-SA"/>
        </w:rPr>
        <w:t>10.基本支出：指为保障机构</w:t>
      </w:r>
      <w:r>
        <w:rPr>
          <w:rFonts w:hint="eastAsia" w:ascii="仿宋_GB2312" w:eastAsia="仿宋_GB2312"/>
          <w:color w:val="auto"/>
          <w:sz w:val="32"/>
          <w:szCs w:val="32"/>
          <w:highlight w:val="none"/>
        </w:rPr>
        <w:t>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11</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pStyle w:val="27"/>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12</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13</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both"/>
        <w:outlineLvl w:val="0"/>
        <w:rPr>
          <w:rFonts w:hint="eastAsia" w:ascii="黑体" w:hAnsi="黑体" w:eastAsia="黑体"/>
          <w:color w:val="auto"/>
          <w:sz w:val="44"/>
          <w:szCs w:val="44"/>
          <w:highlight w:val="none"/>
        </w:rPr>
      </w:pPr>
      <w:bookmarkStart w:id="77" w:name="_Toc15396614"/>
      <w:bookmarkStart w:id="78" w:name="_Toc8041"/>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Style w:val="29"/>
          <w:rFonts w:ascii="黑体" w:hAnsi="黑体" w:eastAsia="黑体"/>
          <w:b w:val="0"/>
          <w:color w:val="auto"/>
          <w:highlight w:val="none"/>
        </w:rPr>
      </w:pPr>
      <w:r>
        <w:rPr>
          <w:rFonts w:hint="eastAsia" w:ascii="黑体" w:hAnsi="黑体" w:eastAsia="黑体"/>
          <w:color w:val="auto"/>
          <w:sz w:val="44"/>
          <w:szCs w:val="44"/>
          <w:highlight w:val="none"/>
        </w:rPr>
        <w:t>第</w:t>
      </w:r>
      <w:r>
        <w:rPr>
          <w:rStyle w:val="29"/>
          <w:rFonts w:hint="eastAsia" w:ascii="黑体" w:hAnsi="黑体" w:eastAsia="黑体"/>
          <w:b w:val="0"/>
          <w:color w:val="auto"/>
          <w:highlight w:val="none"/>
        </w:rPr>
        <w:t>四部分 附件</w:t>
      </w:r>
      <w:bookmarkEnd w:id="77"/>
      <w:bookmarkEnd w:id="78"/>
    </w:p>
    <w:p>
      <w:pPr>
        <w:keepNext w:val="0"/>
        <w:keepLines w:val="0"/>
        <w:pageBreakBefore w:val="0"/>
        <w:kinsoku/>
        <w:wordWrap/>
        <w:overflowPunct/>
        <w:topLinePunct w:val="0"/>
        <w:autoSpaceDE/>
        <w:autoSpaceDN/>
        <w:bidi w:val="0"/>
        <w:spacing w:line="572" w:lineRule="exact"/>
        <w:jc w:val="left"/>
        <w:textAlignment w:val="auto"/>
        <w:outlineLvl w:val="1"/>
        <w:rPr>
          <w:rFonts w:ascii="仿宋_GB2312" w:hAnsi="仿宋_GB2312" w:eastAsia="仿宋_GB2312" w:cs="仿宋_GB2312"/>
          <w:color w:val="auto"/>
          <w:sz w:val="32"/>
          <w:szCs w:val="32"/>
          <w:highlight w:val="none"/>
        </w:rPr>
      </w:pPr>
      <w:bookmarkStart w:id="79" w:name="_Toc7205"/>
      <w:r>
        <w:rPr>
          <w:rFonts w:hint="eastAsia" w:ascii="黑体" w:hAnsi="黑体" w:eastAsia="黑体" w:cs="黑体"/>
          <w:color w:val="auto"/>
          <w:sz w:val="32"/>
          <w:szCs w:val="32"/>
          <w:highlight w:val="none"/>
        </w:rPr>
        <w:t>附件</w:t>
      </w:r>
      <w:bookmarkEnd w:id="79"/>
    </w:p>
    <w:tbl>
      <w:tblPr>
        <w:tblStyle w:val="17"/>
        <w:tblpPr w:leftFromText="180" w:rightFromText="180" w:vertAnchor="text" w:horzAnchor="page" w:tblpX="1310" w:tblpY="226"/>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551"/>
        <w:gridCol w:w="1428"/>
        <w:gridCol w:w="1844"/>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28"/>
                <w:szCs w:val="28"/>
                <w:u w:val="none"/>
              </w:rPr>
            </w:pPr>
            <w:bookmarkStart w:id="80" w:name="_Toc15396618"/>
            <w:r>
              <w:rPr>
                <w:rFonts w:hint="eastAsia" w:ascii="宋体" w:hAnsi="宋体" w:eastAsia="宋体" w:cs="宋体"/>
                <w:b/>
                <w:i w:val="0"/>
                <w:color w:val="auto"/>
                <w:sz w:val="28"/>
                <w:szCs w:val="28"/>
                <w:highlight w:val="none"/>
                <w:u w:val="none"/>
                <w:lang w:val="en-US" w:eastAsia="zh-CN"/>
              </w:rPr>
              <w:t>2021年部门预算项目绩效目标自评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21"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主管部门及代码</w:t>
            </w:r>
          </w:p>
        </w:tc>
        <w:tc>
          <w:tcPr>
            <w:tcW w:w="3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hAnsi="宋体" w:eastAsia="宋体" w:cs="宋体"/>
                <w:i w:val="0"/>
                <w:color w:val="auto"/>
                <w:sz w:val="22"/>
                <w:szCs w:val="22"/>
                <w:u w:val="none"/>
              </w:rPr>
            </w:pPr>
            <w:r>
              <w:rPr>
                <w:rFonts w:hint="eastAsia" w:ascii="宋体" w:hAnsi="宋体" w:eastAsia="宋体" w:cs="宋体"/>
                <w:i w:val="0"/>
                <w:color w:val="auto"/>
                <w:sz w:val="22"/>
                <w:szCs w:val="22"/>
                <w:u w:val="none"/>
              </w:rPr>
              <w:t>区妇联</w:t>
            </w:r>
            <w:r>
              <w:rPr>
                <w:rFonts w:hint="default" w:ascii="宋体" w:hAnsi="宋体" w:cs="宋体"/>
                <w:i w:val="0"/>
                <w:color w:val="auto"/>
                <w:sz w:val="22"/>
                <w:szCs w:val="22"/>
                <w:u w:val="none"/>
              </w:rPr>
              <w:t>（713701）</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实施单位</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卫子镇梅树村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预算数：</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auto"/>
                <w:sz w:val="22"/>
                <w:szCs w:val="22"/>
                <w:u w:val="none"/>
              </w:rPr>
            </w:pPr>
            <w:r>
              <w:rPr>
                <w:rFonts w:hint="default" w:ascii="宋体" w:hAnsi="宋体" w:cs="宋体"/>
                <w:i w:val="0"/>
                <w:color w:val="auto"/>
                <w:sz w:val="22"/>
                <w:szCs w:val="22"/>
                <w:u w:val="none"/>
              </w:rPr>
              <w:t>15</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执行数：</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2"/>
                <w:szCs w:val="22"/>
                <w:u w:val="none"/>
              </w:rPr>
            </w:pPr>
            <w:r>
              <w:rPr>
                <w:rFonts w:hint="default" w:ascii="宋体" w:hAnsi="宋体" w:cs="宋体"/>
                <w:i w:val="0"/>
                <w:color w:val="auto"/>
                <w:sz w:val="22"/>
                <w:szCs w:val="22"/>
                <w:u w:val="none"/>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32"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财政拨款</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auto"/>
                <w:sz w:val="22"/>
                <w:szCs w:val="22"/>
                <w:u w:val="none"/>
              </w:rPr>
            </w:pPr>
            <w:r>
              <w:rPr>
                <w:rFonts w:hint="default" w:ascii="宋体" w:hAnsi="宋体" w:cs="宋体"/>
                <w:i w:val="0"/>
                <w:color w:val="auto"/>
                <w:sz w:val="22"/>
                <w:szCs w:val="22"/>
                <w:u w:val="none"/>
              </w:rPr>
              <w:t>15</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财政拨款</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2"/>
                <w:szCs w:val="22"/>
                <w:u w:val="none"/>
              </w:rPr>
            </w:pPr>
            <w:r>
              <w:rPr>
                <w:rFonts w:hint="default" w:ascii="宋体" w:hAnsi="宋体" w:cs="宋体"/>
                <w:i w:val="0"/>
                <w:color w:val="auto"/>
                <w:sz w:val="22"/>
                <w:szCs w:val="22"/>
                <w:u w:val="none"/>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90"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其他资金</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auto"/>
                <w:sz w:val="22"/>
                <w:szCs w:val="22"/>
                <w:u w:val="none"/>
              </w:rPr>
            </w:pPr>
            <w:r>
              <w:rPr>
                <w:rFonts w:hint="default" w:ascii="宋体" w:hAnsi="宋体" w:cs="宋体"/>
                <w:i w:val="0"/>
                <w:color w:val="auto"/>
                <w:sz w:val="22"/>
                <w:szCs w:val="22"/>
                <w:u w:val="none"/>
              </w:rPr>
              <w:t>0</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其他资金</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2"/>
                <w:szCs w:val="22"/>
                <w:u w:val="none"/>
              </w:rPr>
            </w:pPr>
            <w:r>
              <w:rPr>
                <w:rFonts w:hint="default" w:ascii="宋体" w:hAnsi="宋体" w:cs="宋体"/>
                <w:i w:val="0"/>
                <w:color w:val="auto"/>
                <w:sz w:val="22"/>
                <w:szCs w:val="22"/>
                <w:u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完成情况</w:t>
            </w:r>
          </w:p>
        </w:tc>
        <w:tc>
          <w:tcPr>
            <w:tcW w:w="43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预期目标</w:t>
            </w:r>
          </w:p>
        </w:tc>
        <w:tc>
          <w:tcPr>
            <w:tcW w:w="3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954"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2"/>
                <w:szCs w:val="22"/>
                <w:u w:val="none"/>
              </w:rPr>
            </w:pPr>
          </w:p>
        </w:tc>
        <w:tc>
          <w:tcPr>
            <w:tcW w:w="432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为农村留守妇女增收提供一条“新路子”，为实现家门口就业增添一个“新机会”，为乡村振兴发展注入一种“新活力”，组织50名以上妇女参加平车（缝纫）操作和手工编织培训，提高就业增收技能；开发或承接来料加工订单，实现10名以上妇女长期在车间长期参加平车操作，获取加工费；40名以上妇女利用空闲时间参与手工编织，获取一定的加工费。使广大妇女群众获得感、幸福感和成就感日益增强。为满足更多的农村妇女就近就业需求，实现“顾家与挣钱”两不误。</w:t>
            </w:r>
          </w:p>
        </w:tc>
        <w:tc>
          <w:tcPr>
            <w:tcW w:w="327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该项目本年度，共培养52人在车间务工，管理人员1名，平车12人，手工编织40人，共完成订单4200件，实现加工费收入24000元，妇女每月人均收入500余元，管理人员收入1020元。为乡村振兴发展注入了一种“新活力”，广大妇女群众获得感、幸福感和成就感日益增强。为满足更多的农村妇女就近就业需求，实现“顾家与挣钱”两不误的好局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指标</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指标</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预期指标值</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数量指标</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宋体" w:hAnsi="宋体" w:eastAsia="宋体" w:cs="宋体"/>
                <w:i w:val="0"/>
                <w:color w:val="auto"/>
                <w:kern w:val="0"/>
                <w:sz w:val="22"/>
                <w:szCs w:val="22"/>
                <w:u w:val="none"/>
                <w:lang w:val="en-US" w:eastAsia="zh-CN" w:bidi="ar"/>
              </w:rPr>
            </w:pPr>
            <w:r>
              <w:rPr>
                <w:rFonts w:hint="default" w:ascii="宋体" w:hAnsi="宋体" w:eastAsia="宋体" w:cs="宋体"/>
                <w:i w:val="0"/>
                <w:color w:val="auto"/>
                <w:kern w:val="0"/>
                <w:sz w:val="22"/>
                <w:szCs w:val="22"/>
                <w:u w:val="none"/>
                <w:lang w:val="en-US" w:eastAsia="zh-CN" w:bidi="ar"/>
              </w:rPr>
              <w:t>新建车间1个</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宋体" w:hAnsi="宋体" w:eastAsia="宋体" w:cs="宋体"/>
                <w:i w:val="0"/>
                <w:color w:val="auto"/>
                <w:kern w:val="0"/>
                <w:sz w:val="22"/>
                <w:szCs w:val="22"/>
                <w:u w:val="none"/>
                <w:lang w:val="en-US" w:eastAsia="zh-CN" w:bidi="ar"/>
              </w:rPr>
            </w:pPr>
            <w:r>
              <w:rPr>
                <w:rFonts w:hint="default" w:ascii="宋体" w:hAnsi="宋体" w:eastAsia="宋体" w:cs="宋体"/>
                <w:i w:val="0"/>
                <w:color w:val="auto"/>
                <w:kern w:val="0"/>
                <w:sz w:val="22"/>
                <w:szCs w:val="22"/>
                <w:u w:val="none"/>
                <w:lang w:val="en-US" w:eastAsia="zh-CN" w:bidi="ar"/>
              </w:rPr>
              <w:t>1个</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新建车间1个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质量指标</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完成订单合格率</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≥90%</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时效指标</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任务完成时限</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2021年12月</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2021年12月1日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成本指标</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15万元</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15万元</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653"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社会效益  指标</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为解决梅树村妇女就业问题覆盖率</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≥80%</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7"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ind w:left="423" w:leftChars="87" w:hanging="240" w:hangingChars="100"/>
              <w:jc w:val="left"/>
              <w:textAlignment w:val="bottom"/>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生态效益  指标</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科学生产</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得到提升</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进一步提升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76"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可持续影响 指标</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提高妇女的收入</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得到提升</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进一步提升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指标</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服务对象满意率</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≥90%</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95%</w:t>
            </w:r>
          </w:p>
        </w:tc>
      </w:tr>
    </w:tbl>
    <w:p>
      <w:pPr>
        <w:spacing w:line="600" w:lineRule="exact"/>
        <w:jc w:val="both"/>
        <w:outlineLvl w:val="9"/>
        <w:rPr>
          <w:rFonts w:hint="eastAsia" w:ascii="黑体" w:hAnsi="黑体" w:eastAsia="黑体"/>
          <w:color w:val="auto"/>
          <w:sz w:val="44"/>
          <w:szCs w:val="44"/>
          <w:highlight w:val="none"/>
        </w:rPr>
      </w:pPr>
    </w:p>
    <w:tbl>
      <w:tblPr>
        <w:tblStyle w:val="17"/>
        <w:tblpPr w:leftFromText="180" w:rightFromText="180" w:vertAnchor="text" w:horzAnchor="page" w:tblpX="1310" w:tblpY="226"/>
        <w:tblOverlap w:val="never"/>
        <w:tblW w:w="95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20"/>
        <w:gridCol w:w="1108"/>
        <w:gridCol w:w="1587"/>
        <w:gridCol w:w="1507"/>
        <w:gridCol w:w="1336"/>
        <w:gridCol w:w="1845"/>
        <w:gridCol w:w="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9303"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sz w:val="24"/>
                <w:szCs w:val="24"/>
                <w:highlight w:val="none"/>
                <w:u w:val="none"/>
                <w:lang w:val="en-US" w:eastAsia="zh-CN"/>
              </w:rPr>
              <w:t>2021年部门预算项目绩效目标自评</w:t>
            </w:r>
          </w:p>
        </w:tc>
        <w:tc>
          <w:tcPr>
            <w:tcW w:w="23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60" w:hRule="atLeast"/>
        </w:trPr>
        <w:tc>
          <w:tcPr>
            <w:tcW w:w="30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主管部门及代码</w:t>
            </w:r>
          </w:p>
        </w:tc>
        <w:tc>
          <w:tcPr>
            <w:tcW w:w="3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hAnsi="宋体" w:eastAsia="宋体" w:cs="宋体"/>
                <w:i w:val="0"/>
                <w:color w:val="auto"/>
                <w:sz w:val="21"/>
                <w:szCs w:val="21"/>
                <w:u w:val="none"/>
              </w:rPr>
            </w:pPr>
            <w:r>
              <w:rPr>
                <w:rFonts w:hint="eastAsia" w:ascii="宋体" w:hAnsi="宋体" w:eastAsia="宋体" w:cs="宋体"/>
                <w:i w:val="0"/>
                <w:color w:val="auto"/>
                <w:sz w:val="21"/>
                <w:szCs w:val="21"/>
                <w:u w:val="none"/>
              </w:rPr>
              <w:t>区妇联</w:t>
            </w:r>
            <w:r>
              <w:rPr>
                <w:rFonts w:hint="default" w:ascii="宋体" w:hAnsi="宋体" w:cs="宋体"/>
                <w:i w:val="0"/>
                <w:color w:val="auto"/>
                <w:sz w:val="21"/>
                <w:szCs w:val="21"/>
                <w:u w:val="none"/>
              </w:rPr>
              <w:t>（713701）</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实施单位</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cs="宋体"/>
                <w:i w:val="0"/>
                <w:color w:val="auto"/>
                <w:sz w:val="21"/>
                <w:szCs w:val="21"/>
                <w:u w:val="none"/>
                <w:lang w:eastAsia="zh-CN"/>
              </w:rPr>
              <w:t>区妇联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83" w:hRule="atLeast"/>
        </w:trPr>
        <w:tc>
          <w:tcPr>
            <w:tcW w:w="30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（万元）</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 预算数：</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lang w:val="en-US" w:eastAsia="zh-CN"/>
              </w:rPr>
            </w:pPr>
            <w:r>
              <w:rPr>
                <w:rFonts w:hint="eastAsia" w:ascii="宋体" w:hAnsi="宋体" w:cs="宋体"/>
                <w:i w:val="0"/>
                <w:color w:val="auto"/>
                <w:sz w:val="21"/>
                <w:szCs w:val="21"/>
                <w:u w:val="none"/>
                <w:lang w:val="en-US" w:eastAsia="zh-CN"/>
              </w:rPr>
              <w:t>3</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 执行数：</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cs="宋体"/>
                <w:i w:val="0"/>
                <w:color w:val="auto"/>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709" w:hRule="atLeast"/>
        </w:trPr>
        <w:tc>
          <w:tcPr>
            <w:tcW w:w="30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财政拨款</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lang w:eastAsia="zh-CN"/>
              </w:rPr>
            </w:pPr>
            <w:r>
              <w:rPr>
                <w:rFonts w:hint="eastAsia" w:ascii="宋体" w:hAnsi="宋体" w:cs="宋体"/>
                <w:i w:val="0"/>
                <w:color w:val="auto"/>
                <w:sz w:val="21"/>
                <w:szCs w:val="21"/>
                <w:u w:val="none"/>
                <w:lang w:val="en-US" w:eastAsia="zh-CN"/>
              </w:rPr>
              <w:t>3</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财政拨款</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cs="宋体"/>
                <w:i w:val="0"/>
                <w:color w:val="auto"/>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98" w:hRule="atLeast"/>
        </w:trPr>
        <w:tc>
          <w:tcPr>
            <w:tcW w:w="30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其他资金</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auto"/>
                <w:sz w:val="21"/>
                <w:szCs w:val="21"/>
                <w:u w:val="none"/>
              </w:rPr>
            </w:pPr>
            <w:r>
              <w:rPr>
                <w:rFonts w:hint="default" w:ascii="宋体" w:hAnsi="宋体" w:cs="宋体"/>
                <w:i w:val="0"/>
                <w:color w:val="auto"/>
                <w:sz w:val="21"/>
                <w:szCs w:val="21"/>
                <w:u w:val="none"/>
              </w:rPr>
              <w:t>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其他资金</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1"/>
                <w:szCs w:val="21"/>
                <w:u w:val="none"/>
              </w:rPr>
            </w:pPr>
            <w:r>
              <w:rPr>
                <w:rFonts w:hint="default" w:ascii="宋体" w:hAnsi="宋体" w:cs="宋体"/>
                <w:i w:val="0"/>
                <w:color w:val="auto"/>
                <w:sz w:val="21"/>
                <w:szCs w:val="21"/>
                <w:u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60" w:hRule="atLeast"/>
        </w:trPr>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完成情况</w:t>
            </w:r>
          </w:p>
        </w:tc>
        <w:tc>
          <w:tcPr>
            <w:tcW w:w="4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预期目标</w:t>
            </w:r>
          </w:p>
        </w:tc>
        <w:tc>
          <w:tcPr>
            <w:tcW w:w="3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590" w:hRule="atLeast"/>
        </w:trPr>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u w:val="none"/>
              </w:rPr>
            </w:pPr>
          </w:p>
        </w:tc>
        <w:tc>
          <w:tcPr>
            <w:tcW w:w="420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2021年度省级贫困妇女“两癌”救助专项基金项目的实施使我区符合救助条件的贫困妇女“两癌”妇女及时得到救助，不仅可以减轻治病的经济负担，还可以从心理上安慰和鼓励患者勇敢面对生活。让此项目真正为妇女群众办实事办好事。</w:t>
            </w:r>
          </w:p>
        </w:tc>
        <w:tc>
          <w:tcPr>
            <w:tcW w:w="318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2021年度省级贫困妇女“两癌”救助专项基金项目的实施使我区3名符合救助条件的“两癌”妇女及时得到救助，不仅减轻了治病的经济负担，还得到了心理上的安慰和精神上的鼓励，同时提高了自身的健康保健意识和健康水平。此项目真正为妇女群众办实事办好事，赢得妇女群众的一致好评。昭化区妇联采取集中宣传加个别入户慰问相结合的方式，极力扩大项目宣传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767" w:hRule="atLeast"/>
        </w:trPr>
        <w:tc>
          <w:tcPr>
            <w:tcW w:w="19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年度绩效指标完成情况</w:t>
            </w:r>
          </w:p>
        </w:tc>
        <w:tc>
          <w:tcPr>
            <w:tcW w:w="11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指标</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指标</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指标</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预期指标值</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63" w:hRule="atLeast"/>
        </w:trPr>
        <w:tc>
          <w:tcPr>
            <w:tcW w:w="192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2"/>
                <w:szCs w:val="22"/>
                <w:u w:val="none"/>
              </w:rPr>
            </w:pP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指标</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数量指标</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宋体" w:hAnsi="宋体" w:eastAsia="宋体" w:cs="宋体"/>
                <w:i w:val="0"/>
                <w:color w:val="auto"/>
                <w:kern w:val="0"/>
                <w:sz w:val="21"/>
                <w:szCs w:val="21"/>
                <w:u w:val="none"/>
                <w:lang w:val="en-US" w:eastAsia="zh-CN" w:bidi="ar"/>
              </w:rPr>
            </w:pPr>
            <w:r>
              <w:rPr>
                <w:rFonts w:hint="default" w:ascii="宋体" w:hAnsi="宋体" w:eastAsia="宋体" w:cs="宋体"/>
                <w:i w:val="0"/>
                <w:color w:val="auto"/>
                <w:kern w:val="0"/>
                <w:sz w:val="21"/>
                <w:szCs w:val="21"/>
                <w:u w:val="none"/>
                <w:lang w:val="en-US" w:eastAsia="zh-CN" w:bidi="ar"/>
              </w:rPr>
              <w:t>救助人数</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宋体" w:hAnsi="宋体" w:eastAsia="宋体" w:cs="宋体"/>
                <w:i w:val="0"/>
                <w:color w:val="auto"/>
                <w:kern w:val="0"/>
                <w:sz w:val="21"/>
                <w:szCs w:val="21"/>
                <w:u w:val="none"/>
                <w:lang w:val="en-US" w:eastAsia="zh-CN" w:bidi="ar"/>
              </w:rPr>
            </w:pPr>
            <w:r>
              <w:rPr>
                <w:rFonts w:hint="default" w:ascii="宋体" w:hAnsi="宋体" w:eastAsia="宋体" w:cs="宋体"/>
                <w:i w:val="0"/>
                <w:color w:val="auto"/>
                <w:kern w:val="0"/>
                <w:sz w:val="21"/>
                <w:szCs w:val="21"/>
                <w:u w:val="none"/>
                <w:lang w:val="en-US" w:eastAsia="zh-CN" w:bidi="ar"/>
              </w:rPr>
              <w:t>3人</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709" w:hRule="atLeast"/>
        </w:trPr>
        <w:tc>
          <w:tcPr>
            <w:tcW w:w="192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2"/>
                <w:szCs w:val="22"/>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2"/>
                <w:szCs w:val="22"/>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质量指标</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救助对象符合度</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符合</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709" w:hRule="atLeast"/>
        </w:trPr>
        <w:tc>
          <w:tcPr>
            <w:tcW w:w="192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2"/>
                <w:szCs w:val="22"/>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2"/>
                <w:szCs w:val="22"/>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时效指标</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救助金发放时效</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2021年12月</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2022年3月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48" w:hRule="atLeast"/>
        </w:trPr>
        <w:tc>
          <w:tcPr>
            <w:tcW w:w="192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2"/>
                <w:szCs w:val="22"/>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2"/>
                <w:szCs w:val="22"/>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成本指标</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3万元</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3万元</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32" w:hRule="atLeast"/>
        </w:trPr>
        <w:tc>
          <w:tcPr>
            <w:tcW w:w="192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2"/>
                <w:szCs w:val="22"/>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2"/>
                <w:szCs w:val="22"/>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社会效益  指标</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为符合条件的两癌患者提供救助</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≥80%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81" w:hRule="atLeast"/>
        </w:trPr>
        <w:tc>
          <w:tcPr>
            <w:tcW w:w="192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2"/>
                <w:szCs w:val="22"/>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2"/>
                <w:szCs w:val="22"/>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ind w:left="403" w:leftChars="87" w:hanging="220" w:hangingChars="100"/>
              <w:jc w:val="left"/>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生态效益  指标</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科学生产</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得到提升</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进一步提升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21" w:hRule="atLeast"/>
        </w:trPr>
        <w:tc>
          <w:tcPr>
            <w:tcW w:w="192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2"/>
                <w:szCs w:val="22"/>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2"/>
                <w:szCs w:val="22"/>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可持续影响 指标</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持续救助符合条件的两癌患者</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得到提升</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进一步提升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720" w:hRule="atLeast"/>
        </w:trPr>
        <w:tc>
          <w:tcPr>
            <w:tcW w:w="192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度指标</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指标</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服务对象满意率</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≥90%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100%</w:t>
            </w:r>
          </w:p>
        </w:tc>
      </w:tr>
    </w:tbl>
    <w:p>
      <w:pPr>
        <w:spacing w:line="600" w:lineRule="exact"/>
        <w:jc w:val="center"/>
        <w:outlineLvl w:val="0"/>
        <w:rPr>
          <w:rFonts w:hint="eastAsia" w:ascii="仿宋" w:hAnsi="仿宋" w:eastAsia="仿宋"/>
          <w:b w:val="0"/>
          <w:color w:val="auto"/>
          <w:highlight w:val="none"/>
        </w:rPr>
      </w:pPr>
      <w:bookmarkStart w:id="81" w:name="_Toc3244"/>
      <w:r>
        <w:rPr>
          <w:rFonts w:hint="eastAsia" w:ascii="黑体" w:hAnsi="黑体" w:eastAsia="黑体"/>
          <w:color w:val="auto"/>
          <w:sz w:val="44"/>
          <w:szCs w:val="44"/>
          <w:highlight w:val="none"/>
        </w:rPr>
        <w:t>第</w:t>
      </w:r>
      <w:r>
        <w:rPr>
          <w:rStyle w:val="29"/>
          <w:rFonts w:hint="eastAsia" w:ascii="黑体" w:hAnsi="黑体" w:eastAsia="黑体"/>
          <w:b w:val="0"/>
          <w:color w:val="auto"/>
          <w:highlight w:val="none"/>
        </w:rPr>
        <w:t>五部分 附表</w:t>
      </w:r>
      <w:bookmarkEnd w:id="76"/>
      <w:bookmarkEnd w:id="80"/>
      <w:bookmarkEnd w:id="81"/>
      <w:bookmarkStart w:id="82" w:name="_Toc15396619"/>
    </w:p>
    <w:p>
      <w:pPr>
        <w:pStyle w:val="5"/>
        <w:rPr>
          <w:rFonts w:ascii="仿宋" w:hAnsi="仿宋" w:eastAsia="仿宋"/>
          <w:color w:val="auto"/>
          <w:highlight w:val="none"/>
        </w:rPr>
      </w:pPr>
      <w:bookmarkStart w:id="83" w:name="_Toc27735"/>
      <w:r>
        <w:rPr>
          <w:rFonts w:hint="eastAsia" w:ascii="仿宋" w:hAnsi="仿宋" w:eastAsia="仿宋"/>
          <w:b w:val="0"/>
          <w:color w:val="auto"/>
          <w:highlight w:val="none"/>
        </w:rPr>
        <w:t>一、收</w:t>
      </w:r>
      <w:r>
        <w:rPr>
          <w:rStyle w:val="30"/>
          <w:rFonts w:hint="eastAsia" w:ascii="仿宋" w:hAnsi="仿宋" w:eastAsia="仿宋"/>
          <w:b w:val="0"/>
          <w:bCs w:val="0"/>
          <w:color w:val="auto"/>
          <w:highlight w:val="none"/>
        </w:rPr>
        <w:t>入支出决算总表</w:t>
      </w:r>
      <w:bookmarkEnd w:id="82"/>
      <w:bookmarkEnd w:id="83"/>
    </w:p>
    <w:p>
      <w:pPr>
        <w:pStyle w:val="5"/>
        <w:rPr>
          <w:rFonts w:ascii="仿宋" w:hAnsi="仿宋" w:eastAsia="仿宋"/>
          <w:color w:val="auto"/>
          <w:highlight w:val="none"/>
        </w:rPr>
      </w:pPr>
      <w:bookmarkStart w:id="84" w:name="_Toc15396620"/>
      <w:bookmarkStart w:id="85" w:name="_Toc18758"/>
      <w:r>
        <w:rPr>
          <w:rFonts w:hint="eastAsia" w:ascii="仿宋" w:hAnsi="仿宋" w:eastAsia="仿宋"/>
          <w:b w:val="0"/>
          <w:color w:val="auto"/>
          <w:highlight w:val="none"/>
        </w:rPr>
        <w:t>二、收</w:t>
      </w:r>
      <w:r>
        <w:rPr>
          <w:rStyle w:val="30"/>
          <w:rFonts w:hint="eastAsia" w:ascii="仿宋" w:hAnsi="仿宋" w:eastAsia="仿宋"/>
          <w:b w:val="0"/>
          <w:bCs w:val="0"/>
          <w:color w:val="auto"/>
          <w:highlight w:val="none"/>
        </w:rPr>
        <w:t>入决算表</w:t>
      </w:r>
      <w:bookmarkEnd w:id="84"/>
      <w:bookmarkEnd w:id="85"/>
    </w:p>
    <w:p>
      <w:pPr>
        <w:pStyle w:val="5"/>
        <w:rPr>
          <w:rFonts w:ascii="仿宋" w:hAnsi="仿宋" w:eastAsia="仿宋"/>
          <w:color w:val="auto"/>
          <w:highlight w:val="none"/>
        </w:rPr>
      </w:pPr>
      <w:bookmarkStart w:id="86" w:name="_Toc20378"/>
      <w:bookmarkStart w:id="87" w:name="_Toc15396621"/>
      <w:r>
        <w:rPr>
          <w:rStyle w:val="30"/>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30"/>
          <w:rFonts w:hint="eastAsia" w:ascii="仿宋" w:hAnsi="仿宋" w:eastAsia="仿宋"/>
          <w:b w:val="0"/>
          <w:bCs w:val="0"/>
          <w:color w:val="auto"/>
          <w:highlight w:val="none"/>
        </w:rPr>
        <w:t>出决算表</w:t>
      </w:r>
      <w:bookmarkEnd w:id="86"/>
      <w:bookmarkEnd w:id="87"/>
    </w:p>
    <w:p>
      <w:pPr>
        <w:pStyle w:val="5"/>
        <w:rPr>
          <w:rFonts w:ascii="仿宋" w:hAnsi="仿宋" w:eastAsia="仿宋"/>
          <w:b w:val="0"/>
          <w:color w:val="auto"/>
          <w:highlight w:val="none"/>
        </w:rPr>
      </w:pPr>
      <w:bookmarkStart w:id="88" w:name="_Toc15396622"/>
      <w:bookmarkStart w:id="89" w:name="_Toc29287"/>
      <w:r>
        <w:rPr>
          <w:rStyle w:val="30"/>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30"/>
          <w:rFonts w:hint="eastAsia" w:ascii="仿宋" w:hAnsi="仿宋" w:eastAsia="仿宋"/>
          <w:b w:val="0"/>
          <w:bCs w:val="0"/>
          <w:color w:val="auto"/>
          <w:highlight w:val="none"/>
        </w:rPr>
        <w:t>政拨款收入支出决算总表</w:t>
      </w:r>
      <w:bookmarkEnd w:id="88"/>
      <w:bookmarkEnd w:id="89"/>
    </w:p>
    <w:p>
      <w:pPr>
        <w:pStyle w:val="5"/>
        <w:rPr>
          <w:rStyle w:val="30"/>
          <w:rFonts w:ascii="仿宋" w:hAnsi="仿宋" w:eastAsia="仿宋"/>
          <w:b w:val="0"/>
          <w:bCs w:val="0"/>
          <w:color w:val="auto"/>
          <w:highlight w:val="none"/>
        </w:rPr>
      </w:pPr>
      <w:bookmarkStart w:id="90" w:name="_Toc271"/>
      <w:bookmarkStart w:id="91" w:name="_Toc15396623"/>
      <w:r>
        <w:rPr>
          <w:rStyle w:val="30"/>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30"/>
          <w:rFonts w:hint="eastAsia" w:ascii="仿宋" w:hAnsi="仿宋" w:eastAsia="仿宋"/>
          <w:b w:val="0"/>
          <w:bCs w:val="0"/>
          <w:color w:val="auto"/>
          <w:highlight w:val="none"/>
        </w:rPr>
        <w:t>政拨款支出决算明细表</w:t>
      </w:r>
      <w:bookmarkEnd w:id="90"/>
      <w:bookmarkEnd w:id="91"/>
      <w:bookmarkStart w:id="92" w:name="_Toc15396624"/>
    </w:p>
    <w:p>
      <w:pPr>
        <w:pStyle w:val="5"/>
        <w:rPr>
          <w:rFonts w:ascii="仿宋" w:hAnsi="仿宋" w:eastAsia="仿宋"/>
          <w:color w:val="auto"/>
          <w:highlight w:val="none"/>
        </w:rPr>
      </w:pPr>
      <w:bookmarkStart w:id="93" w:name="_Toc26270"/>
      <w:r>
        <w:rPr>
          <w:rStyle w:val="30"/>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般公共预算财政拨款支出决算表</w:t>
      </w:r>
      <w:bookmarkEnd w:id="92"/>
      <w:bookmarkEnd w:id="93"/>
    </w:p>
    <w:p>
      <w:pPr>
        <w:pStyle w:val="5"/>
        <w:rPr>
          <w:rFonts w:ascii="仿宋" w:hAnsi="仿宋" w:eastAsia="仿宋"/>
          <w:color w:val="auto"/>
          <w:highlight w:val="none"/>
        </w:rPr>
      </w:pPr>
      <w:bookmarkStart w:id="94" w:name="_Toc23887"/>
      <w:bookmarkStart w:id="95" w:name="_Toc15396625"/>
      <w:r>
        <w:rPr>
          <w:rStyle w:val="30"/>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般公共预算财政拨款支出决算明细表</w:t>
      </w:r>
      <w:bookmarkEnd w:id="94"/>
      <w:bookmarkEnd w:id="95"/>
    </w:p>
    <w:p>
      <w:pPr>
        <w:pStyle w:val="5"/>
        <w:rPr>
          <w:rFonts w:ascii="仿宋" w:hAnsi="仿宋" w:eastAsia="仿宋"/>
          <w:color w:val="auto"/>
          <w:highlight w:val="none"/>
        </w:rPr>
      </w:pPr>
      <w:bookmarkStart w:id="96" w:name="_Toc15396626"/>
      <w:bookmarkStart w:id="97" w:name="_Toc12116"/>
      <w:r>
        <w:rPr>
          <w:rStyle w:val="30"/>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般公共预算财政拨款基本支出决算表</w:t>
      </w:r>
      <w:bookmarkEnd w:id="96"/>
      <w:bookmarkEnd w:id="97"/>
    </w:p>
    <w:p>
      <w:pPr>
        <w:pStyle w:val="5"/>
        <w:rPr>
          <w:rFonts w:ascii="仿宋" w:hAnsi="仿宋" w:eastAsia="仿宋"/>
          <w:color w:val="auto"/>
          <w:highlight w:val="none"/>
        </w:rPr>
      </w:pPr>
      <w:bookmarkStart w:id="98" w:name="_Toc15396627"/>
      <w:bookmarkStart w:id="99" w:name="_Toc21101"/>
      <w:r>
        <w:rPr>
          <w:rStyle w:val="30"/>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般公共预算财政拨款项目支出决算表</w:t>
      </w:r>
      <w:bookmarkEnd w:id="98"/>
      <w:bookmarkEnd w:id="99"/>
    </w:p>
    <w:p>
      <w:pPr>
        <w:pStyle w:val="5"/>
        <w:rPr>
          <w:rFonts w:ascii="仿宋" w:hAnsi="仿宋" w:eastAsia="仿宋"/>
          <w:color w:val="auto"/>
          <w:highlight w:val="none"/>
        </w:rPr>
      </w:pPr>
      <w:bookmarkStart w:id="100" w:name="_Toc15396628"/>
      <w:bookmarkStart w:id="101" w:name="_Toc11099"/>
      <w:r>
        <w:rPr>
          <w:rStyle w:val="30"/>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般公共预算财政拨款“三公”经费支出决算表</w:t>
      </w:r>
      <w:bookmarkEnd w:id="100"/>
      <w:bookmarkEnd w:id="101"/>
    </w:p>
    <w:p>
      <w:pPr>
        <w:pStyle w:val="5"/>
        <w:rPr>
          <w:rFonts w:ascii="仿宋" w:hAnsi="仿宋" w:eastAsia="仿宋"/>
          <w:color w:val="auto"/>
          <w:highlight w:val="none"/>
        </w:rPr>
      </w:pPr>
      <w:bookmarkStart w:id="102" w:name="_Toc15396629"/>
      <w:bookmarkStart w:id="103" w:name="_Toc28885"/>
      <w:r>
        <w:rPr>
          <w:rStyle w:val="30"/>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30"/>
          <w:rFonts w:hint="eastAsia" w:ascii="仿宋" w:hAnsi="仿宋" w:eastAsia="仿宋"/>
          <w:b w:val="0"/>
          <w:bCs w:val="0"/>
          <w:color w:val="auto"/>
          <w:highlight w:val="none"/>
        </w:rPr>
        <w:t>府性基金预算财政拨款收入支出决算表</w:t>
      </w:r>
      <w:bookmarkEnd w:id="102"/>
      <w:bookmarkEnd w:id="103"/>
    </w:p>
    <w:p>
      <w:pPr>
        <w:pStyle w:val="5"/>
        <w:rPr>
          <w:rFonts w:ascii="仿宋" w:hAnsi="仿宋" w:eastAsia="仿宋"/>
          <w:color w:val="auto"/>
          <w:highlight w:val="none"/>
        </w:rPr>
      </w:pPr>
      <w:bookmarkStart w:id="104" w:name="_Toc15396630"/>
      <w:bookmarkStart w:id="105" w:name="_Toc10952"/>
      <w:r>
        <w:rPr>
          <w:rStyle w:val="30"/>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30"/>
          <w:rFonts w:hint="eastAsia" w:ascii="仿宋" w:hAnsi="仿宋" w:eastAsia="仿宋"/>
          <w:b w:val="0"/>
          <w:bCs w:val="0"/>
          <w:color w:val="auto"/>
          <w:highlight w:val="none"/>
        </w:rPr>
        <w:t>府性基金预算财政拨款“三公”经费支出决算表</w:t>
      </w:r>
      <w:bookmarkEnd w:id="104"/>
      <w:bookmarkEnd w:id="105"/>
    </w:p>
    <w:p>
      <w:pPr>
        <w:pStyle w:val="5"/>
        <w:rPr>
          <w:rStyle w:val="30"/>
          <w:rFonts w:hint="eastAsia" w:ascii="仿宋" w:hAnsi="仿宋" w:eastAsia="仿宋"/>
          <w:b w:val="0"/>
          <w:bCs w:val="0"/>
          <w:color w:val="auto"/>
          <w:highlight w:val="none"/>
        </w:rPr>
      </w:pPr>
      <w:bookmarkStart w:id="106" w:name="_Toc15396631"/>
      <w:bookmarkStart w:id="107" w:name="_Toc11325"/>
      <w:r>
        <w:rPr>
          <w:rStyle w:val="30"/>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30"/>
          <w:rFonts w:hint="eastAsia" w:ascii="仿宋" w:hAnsi="仿宋" w:eastAsia="仿宋"/>
          <w:b w:val="0"/>
          <w:bCs w:val="0"/>
          <w:color w:val="auto"/>
          <w:highlight w:val="none"/>
        </w:rPr>
        <w:t>有资本经营预算</w:t>
      </w:r>
      <w:r>
        <w:rPr>
          <w:rStyle w:val="30"/>
          <w:rFonts w:hint="eastAsia" w:ascii="仿宋" w:hAnsi="仿宋" w:eastAsia="仿宋"/>
          <w:b w:val="0"/>
          <w:bCs w:val="0"/>
          <w:color w:val="auto"/>
          <w:highlight w:val="none"/>
          <w:lang w:eastAsia="zh-CN"/>
        </w:rPr>
        <w:t>财政拨款收入</w:t>
      </w:r>
      <w:r>
        <w:rPr>
          <w:rStyle w:val="30"/>
          <w:rFonts w:hint="eastAsia" w:ascii="仿宋" w:hAnsi="仿宋" w:eastAsia="仿宋"/>
          <w:b w:val="0"/>
          <w:bCs w:val="0"/>
          <w:color w:val="auto"/>
          <w:highlight w:val="none"/>
        </w:rPr>
        <w:t>支出决算表</w:t>
      </w:r>
      <w:bookmarkEnd w:id="106"/>
      <w:bookmarkEnd w:id="107"/>
    </w:p>
    <w:p>
      <w:pPr>
        <w:rPr>
          <w:rFonts w:hint="eastAsia" w:eastAsia="仿宋"/>
          <w:color w:val="auto"/>
          <w:highlight w:val="none"/>
          <w:lang w:eastAsia="zh-CN"/>
        </w:rPr>
      </w:pPr>
      <w:bookmarkStart w:id="108" w:name="_Toc28325"/>
      <w:r>
        <w:rPr>
          <w:rStyle w:val="30"/>
          <w:rFonts w:hint="eastAsia" w:ascii="仿宋" w:hAnsi="仿宋" w:eastAsia="仿宋"/>
          <w:b w:val="0"/>
          <w:bCs w:val="0"/>
          <w:color w:val="auto"/>
          <w:highlight w:val="none"/>
          <w:lang w:eastAsia="zh-CN"/>
        </w:rPr>
        <w:t>十四、国有资本经营预算财政拨款支出决算表</w:t>
      </w:r>
      <w:bookmarkEnd w:id="108"/>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1"/>
          <w:jc w:val="center"/>
        </w:pPr>
        <w:r>
          <w:fldChar w:fldCharType="begin"/>
        </w:r>
        <w:r>
          <w:instrText xml:space="preserve">PAGE   \* MERGEFORMAT</w:instrText>
        </w:r>
        <w:r>
          <w:fldChar w:fldCharType="separate"/>
        </w:r>
        <w:r>
          <w:rPr>
            <w:lang w:val="zh-CN"/>
          </w:rPr>
          <w:t>8</w:t>
        </w:r>
        <w: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0B064FA"/>
    <w:multiLevelType w:val="singleLevel"/>
    <w:tmpl w:val="30B064F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lMzQyMDBlY2I2ODNlNjc3ZmJlNWQ1N2IwYmJhMW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8960C48"/>
    <w:rsid w:val="0A2032A3"/>
    <w:rsid w:val="0B8A37D8"/>
    <w:rsid w:val="0CA85D72"/>
    <w:rsid w:val="0D7E11BA"/>
    <w:rsid w:val="10C055FF"/>
    <w:rsid w:val="118107EC"/>
    <w:rsid w:val="11DD6519"/>
    <w:rsid w:val="16BB723D"/>
    <w:rsid w:val="18015F3F"/>
    <w:rsid w:val="1B0338C8"/>
    <w:rsid w:val="1BE8440E"/>
    <w:rsid w:val="1D155CEE"/>
    <w:rsid w:val="20F57F95"/>
    <w:rsid w:val="240371BF"/>
    <w:rsid w:val="25C741E6"/>
    <w:rsid w:val="27842671"/>
    <w:rsid w:val="27BF7ED7"/>
    <w:rsid w:val="29FD04D3"/>
    <w:rsid w:val="2ABE7A3E"/>
    <w:rsid w:val="2D7E66F1"/>
    <w:rsid w:val="2EFA178C"/>
    <w:rsid w:val="30B46D73"/>
    <w:rsid w:val="319F7F4E"/>
    <w:rsid w:val="32446F22"/>
    <w:rsid w:val="33AC66D2"/>
    <w:rsid w:val="39AE70AB"/>
    <w:rsid w:val="3AEB7631"/>
    <w:rsid w:val="3C0C0783"/>
    <w:rsid w:val="3F795B0E"/>
    <w:rsid w:val="3F9F3A96"/>
    <w:rsid w:val="493C27E9"/>
    <w:rsid w:val="496F39ED"/>
    <w:rsid w:val="49FF41D3"/>
    <w:rsid w:val="4A185DC8"/>
    <w:rsid w:val="4BE068DB"/>
    <w:rsid w:val="4BF6002B"/>
    <w:rsid w:val="4D69341E"/>
    <w:rsid w:val="4ECE2238"/>
    <w:rsid w:val="4F9B1E6B"/>
    <w:rsid w:val="4FA04497"/>
    <w:rsid w:val="507E4AD9"/>
    <w:rsid w:val="51DB4B86"/>
    <w:rsid w:val="54C5634B"/>
    <w:rsid w:val="55333C3E"/>
    <w:rsid w:val="576B42B2"/>
    <w:rsid w:val="58906022"/>
    <w:rsid w:val="64CA39A1"/>
    <w:rsid w:val="6A3F029A"/>
    <w:rsid w:val="6C4A05C8"/>
    <w:rsid w:val="6D9935CD"/>
    <w:rsid w:val="72734D90"/>
    <w:rsid w:val="74524B54"/>
    <w:rsid w:val="74536043"/>
    <w:rsid w:val="74E366CA"/>
    <w:rsid w:val="750B03E3"/>
    <w:rsid w:val="763C16E4"/>
    <w:rsid w:val="79E7B28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qFormat/>
    <w:uiPriority w:val="0"/>
    <w:pPr>
      <w:spacing w:line="240" w:lineRule="auto"/>
      <w:ind w:left="420" w:leftChars="200" w:firstLine="420" w:firstLineChars="200"/>
      <w:jc w:val="both"/>
      <w:textAlignment w:val="baseline"/>
    </w:pPr>
  </w:style>
  <w:style w:type="paragraph" w:customStyle="1" w:styleId="3">
    <w:name w:val="BodyTextIndent"/>
    <w:basedOn w:val="1"/>
    <w:qFormat/>
    <w:uiPriority w:val="0"/>
    <w:pPr>
      <w:spacing w:line="240" w:lineRule="auto"/>
      <w:ind w:left="420" w:leftChars="200"/>
      <w:jc w:val="both"/>
      <w:textAlignment w:val="baseline"/>
    </w:pPr>
  </w:style>
  <w:style w:type="paragraph" w:styleId="7">
    <w:name w:val="Body Text"/>
    <w:basedOn w:val="1"/>
    <w:link w:val="26"/>
    <w:qFormat/>
    <w:uiPriority w:val="99"/>
    <w:pPr>
      <w:spacing w:beforeLines="30"/>
    </w:pPr>
    <w:rPr>
      <w:rFonts w:ascii="仿宋_GB2312" w:eastAsia="仿宋_GB2312"/>
      <w:kern w:val="0"/>
      <w:sz w:val="30"/>
    </w:rPr>
  </w:style>
  <w:style w:type="paragraph" w:styleId="8">
    <w:name w:val="Body Text Indent"/>
    <w:basedOn w:val="1"/>
    <w:qFormat/>
    <w:uiPriority w:val="99"/>
    <w:pPr>
      <w:ind w:firstLine="630"/>
      <w:jc w:val="left"/>
    </w:pPr>
    <w:rPr>
      <w:rFonts w:eastAsia="黑体"/>
      <w:sz w:val="32"/>
      <w:szCs w:val="32"/>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2"/>
    <w:semiHidden/>
    <w:unhideWhenUsed/>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6">
    <w:name w:val="Body Text First Indent 2"/>
    <w:basedOn w:val="8"/>
    <w:qFormat/>
    <w:uiPriority w:val="99"/>
    <w:pPr>
      <w:spacing w:after="120"/>
      <w:ind w:left="420" w:leftChars="200" w:firstLine="420"/>
    </w:pPr>
  </w:style>
  <w:style w:type="character" w:styleId="19">
    <w:name w:val="Strong"/>
    <w:basedOn w:val="18"/>
    <w:qFormat/>
    <w:uiPriority w:val="99"/>
    <w:rPr>
      <w:b/>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character" w:customStyle="1" w:styleId="21">
    <w:name w:val="Header Char"/>
    <w:basedOn w:val="18"/>
    <w:semiHidden/>
    <w:qFormat/>
    <w:uiPriority w:val="99"/>
    <w:rPr>
      <w:rFonts w:ascii="Times New Roman" w:hAnsi="Times New Roman"/>
      <w:sz w:val="18"/>
      <w:szCs w:val="18"/>
    </w:rPr>
  </w:style>
  <w:style w:type="character" w:customStyle="1" w:styleId="22">
    <w:name w:val="页眉 Char"/>
    <w:link w:val="12"/>
    <w:semiHidden/>
    <w:qFormat/>
    <w:locked/>
    <w:uiPriority w:val="99"/>
    <w:rPr>
      <w:sz w:val="18"/>
    </w:rPr>
  </w:style>
  <w:style w:type="character" w:customStyle="1" w:styleId="23">
    <w:name w:val="Footer Char"/>
    <w:basedOn w:val="18"/>
    <w:semiHidden/>
    <w:qFormat/>
    <w:uiPriority w:val="99"/>
    <w:rPr>
      <w:rFonts w:ascii="Times New Roman" w:hAnsi="Times New Roman"/>
      <w:sz w:val="18"/>
      <w:szCs w:val="18"/>
    </w:rPr>
  </w:style>
  <w:style w:type="character" w:customStyle="1" w:styleId="24">
    <w:name w:val="页脚 Char"/>
    <w:link w:val="11"/>
    <w:qFormat/>
    <w:locked/>
    <w:uiPriority w:val="99"/>
    <w:rPr>
      <w:sz w:val="18"/>
    </w:rPr>
  </w:style>
  <w:style w:type="character" w:customStyle="1" w:styleId="25">
    <w:name w:val="Body Text Char"/>
    <w:basedOn w:val="18"/>
    <w:semiHidden/>
    <w:qFormat/>
    <w:uiPriority w:val="99"/>
    <w:rPr>
      <w:rFonts w:ascii="Times New Roman" w:hAnsi="Times New Roman"/>
      <w:szCs w:val="24"/>
    </w:rPr>
  </w:style>
  <w:style w:type="character" w:customStyle="1" w:styleId="26">
    <w:name w:val="正文文本 Char"/>
    <w:link w:val="7"/>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8"/>
    <w:link w:val="4"/>
    <w:qFormat/>
    <w:uiPriority w:val="9"/>
    <w:rPr>
      <w:rFonts w:ascii="Times New Roman" w:hAnsi="Times New Roman"/>
      <w:b/>
      <w:bCs/>
      <w:kern w:val="44"/>
      <w:sz w:val="44"/>
      <w:szCs w:val="44"/>
    </w:rPr>
  </w:style>
  <w:style w:type="character" w:customStyle="1" w:styleId="30">
    <w:name w:val="标题 2 Char"/>
    <w:basedOn w:val="18"/>
    <w:link w:val="5"/>
    <w:qFormat/>
    <w:uiPriority w:val="9"/>
    <w:rPr>
      <w:rFonts w:asciiTheme="majorHAnsi" w:hAnsiTheme="majorHAnsi" w:eastAsiaTheme="majorEastAsia" w:cstheme="majorBidi"/>
      <w:b/>
      <w:bCs/>
      <w:kern w:val="2"/>
      <w:sz w:val="32"/>
      <w:szCs w:val="32"/>
    </w:rPr>
  </w:style>
  <w:style w:type="paragraph" w:customStyle="1" w:styleId="31">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8"/>
    <w:link w:val="10"/>
    <w:semiHidden/>
    <w:qFormat/>
    <w:uiPriority w:val="99"/>
    <w:rPr>
      <w:rFonts w:ascii="Times New Roman" w:hAnsi="Times New Roman"/>
      <w:kern w:val="2"/>
      <w:sz w:val="18"/>
      <w:szCs w:val="18"/>
    </w:rPr>
  </w:style>
  <w:style w:type="character" w:customStyle="1" w:styleId="33">
    <w:name w:val="标题 3 Char"/>
    <w:basedOn w:val="18"/>
    <w:link w:val="6"/>
    <w:qFormat/>
    <w:uiPriority w:val="9"/>
    <w:rPr>
      <w:rFonts w:ascii="Times New Roman" w:hAnsi="Times New Roman"/>
      <w:b/>
      <w:bCs/>
      <w:kern w:val="2"/>
      <w:sz w:val="32"/>
      <w:szCs w:val="32"/>
    </w:rPr>
  </w:style>
  <w:style w:type="paragraph" w:customStyle="1" w:styleId="34">
    <w:name w:val="TOC Heading"/>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WPSOffice手动目录 1"/>
    <w:qFormat/>
    <w:uiPriority w:val="0"/>
    <w:pPr>
      <w:ind w:leftChars="0"/>
    </w:pPr>
    <w:rPr>
      <w:rFonts w:asciiTheme="minorHAnsi" w:hAnsiTheme="minorHAnsi" w:eastAsiaTheme="minorEastAsia" w:cstheme="minorBidi"/>
      <w:sz w:val="20"/>
      <w:szCs w:val="20"/>
    </w:rPr>
  </w:style>
  <w:style w:type="paragraph" w:customStyle="1" w:styleId="36">
    <w:name w:val="WPSOffice手动目录 2"/>
    <w:qFormat/>
    <w:uiPriority w:val="0"/>
    <w:pPr>
      <w:ind w:leftChars="200"/>
    </w:pPr>
    <w:rPr>
      <w:rFonts w:asciiTheme="minorHAnsi" w:hAnsiTheme="minorHAnsi" w:eastAsiaTheme="minorEastAsia" w:cstheme="minorBidi"/>
      <w:sz w:val="20"/>
      <w:szCs w:val="20"/>
    </w:rPr>
  </w:style>
  <w:style w:type="character" w:customStyle="1" w:styleId="37">
    <w:name w:val=" Char Char5"/>
    <w:basedOn w:val="18"/>
    <w:link w:val="5"/>
    <w:qFormat/>
    <w:locked/>
    <w:uiPriority w:val="9"/>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elete val="1"/>
          </c:dLbls>
          <c:cat>
            <c:strRef>
              <c:f>Sheet1!$A$2:$A$3</c:f>
              <c:strCache>
                <c:ptCount val="2"/>
                <c:pt idx="0">
                  <c:v>2020年</c:v>
                </c:pt>
                <c:pt idx="1">
                  <c:v>2021年</c:v>
                </c:pt>
              </c:strCache>
            </c:strRef>
          </c:cat>
          <c:val>
            <c:numRef>
              <c:f>Sheet1!$B$2:$B$3</c:f>
              <c:numCache>
                <c:formatCode>General</c:formatCode>
                <c:ptCount val="2"/>
                <c:pt idx="0">
                  <c:v>100.17</c:v>
                </c:pt>
                <c:pt idx="1">
                  <c:v>104.07</c:v>
                </c:pt>
              </c:numCache>
            </c:numRef>
          </c:val>
        </c:ser>
        <c:ser>
          <c:idx val="1"/>
          <c:order val="1"/>
          <c:tx>
            <c:strRef>
              <c:f>Sheet1!$C$1</c:f>
              <c:strCache>
                <c:ptCount val="1"/>
                <c:pt idx="0">
                  <c:v>支出</c:v>
                </c:pt>
              </c:strCache>
            </c:strRef>
          </c:tx>
          <c:spPr>
            <a:solidFill>
              <a:schemeClr val="accent2"/>
            </a:solidFill>
            <a:ln>
              <a:noFill/>
            </a:ln>
            <a:effectLst/>
          </c:spPr>
          <c:invertIfNegative val="0"/>
          <c:dLbls>
            <c:delete val="1"/>
          </c:dLbls>
          <c:cat>
            <c:strRef>
              <c:f>Sheet1!$A$2:$A$3</c:f>
              <c:strCache>
                <c:ptCount val="2"/>
                <c:pt idx="0">
                  <c:v>2020年</c:v>
                </c:pt>
                <c:pt idx="1">
                  <c:v>2021年</c:v>
                </c:pt>
              </c:strCache>
            </c:strRef>
          </c:cat>
          <c:val>
            <c:numRef>
              <c:f>Sheet1!$C$2:$C$3</c:f>
              <c:numCache>
                <c:formatCode>General</c:formatCode>
                <c:ptCount val="2"/>
                <c:pt idx="0">
                  <c:v>100.17</c:v>
                </c:pt>
                <c:pt idx="1">
                  <c:v>104.07</c:v>
                </c:pt>
              </c:numCache>
            </c:numRef>
          </c:val>
        </c:ser>
        <c:dLbls>
          <c:showLegendKey val="0"/>
          <c:showVal val="0"/>
          <c:showCatName val="0"/>
          <c:showSerName val="0"/>
          <c:showPercent val="0"/>
          <c:showBubbleSize val="0"/>
        </c:dLbls>
        <c:gapWidth val="219"/>
        <c:overlap val="-27"/>
        <c:axId val="207370008"/>
        <c:axId val="301826219"/>
      </c:barChart>
      <c:catAx>
        <c:axId val="20737000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1826219"/>
        <c:crosses val="autoZero"/>
        <c:auto val="1"/>
        <c:lblAlgn val="ctr"/>
        <c:lblOffset val="100"/>
        <c:noMultiLvlLbl val="0"/>
      </c:catAx>
      <c:valAx>
        <c:axId val="30182621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0" vertOverflow="ellipsis" vert="wordArtVert"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altLang="zh-CN"/>
                  <a:t>单位：万元</a:t>
                </a:r>
                <a:endParaRPr altLang="zh-CN"/>
              </a:p>
            </c:rich>
          </c:tx>
          <c:layout>
            <c:manualLayout>
              <c:xMode val="edge"/>
              <c:yMode val="edge"/>
              <c:x val="0.0275"/>
              <c:y val="0.392616666666667"/>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737000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c:v>
                </c:pt>
              </c:strCache>
            </c:strRef>
          </c:tx>
          <c:spPr/>
          <c:explosion val="0"/>
          <c:dPt>
            <c:idx val="0"/>
            <c:bubble3D val="0"/>
            <c:spPr>
              <a:solidFill>
                <a:schemeClr val="accent1"/>
              </a:solidFill>
              <a:ln>
                <a:noFill/>
              </a:ln>
              <a:effectLst>
                <a:outerShdw blurRad="317500" algn="ctr" rotWithShape="0">
                  <a:prstClr val="black">
                    <a:alpha val="25000"/>
                  </a:prstClr>
                </a:outerShdw>
              </a:effectLst>
            </c:spPr>
          </c:dPt>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c:f>
              <c:strCache>
                <c:ptCount val="1"/>
                <c:pt idx="0">
                  <c:v>一般公共预算财政拨款收入</c:v>
                </c:pt>
              </c:strCache>
            </c:strRef>
          </c:cat>
          <c:val>
            <c:numRef>
              <c:f>Sheet1!$B$2</c:f>
              <c:numCache>
                <c:formatCode>0%</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solidFill>
          <a:schemeClr val="lt1">
            <a:alpha val="78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比例</c:v>
                </c:pt>
              </c:strCache>
            </c:strRef>
          </c:tx>
          <c:spPr/>
          <c:explosion val="0"/>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0.7758</c:v>
                </c:pt>
                <c:pt idx="1">
                  <c:v>0.2242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solidFill>
          <a:schemeClr val="lt1">
            <a:alpha val="78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elete val="1"/>
          </c:dLbls>
          <c:cat>
            <c:strRef>
              <c:f>Sheet1!$A$2:$A$3</c:f>
              <c:strCache>
                <c:ptCount val="2"/>
                <c:pt idx="0">
                  <c:v>2020年</c:v>
                </c:pt>
                <c:pt idx="1">
                  <c:v>2021年</c:v>
                </c:pt>
              </c:strCache>
            </c:strRef>
          </c:cat>
          <c:val>
            <c:numRef>
              <c:f>Sheet1!$B$2:$B$3</c:f>
              <c:numCache>
                <c:formatCode>General</c:formatCode>
                <c:ptCount val="2"/>
                <c:pt idx="0">
                  <c:v>100.17</c:v>
                </c:pt>
                <c:pt idx="1">
                  <c:v>104.07</c:v>
                </c:pt>
              </c:numCache>
            </c:numRef>
          </c:val>
        </c:ser>
        <c:ser>
          <c:idx val="1"/>
          <c:order val="1"/>
          <c:tx>
            <c:strRef>
              <c:f>Sheet1!$C$1</c:f>
              <c:strCache>
                <c:ptCount val="1"/>
                <c:pt idx="0">
                  <c:v>支出</c:v>
                </c:pt>
              </c:strCache>
            </c:strRef>
          </c:tx>
          <c:spPr>
            <a:solidFill>
              <a:schemeClr val="accent2"/>
            </a:solidFill>
            <a:ln>
              <a:noFill/>
            </a:ln>
            <a:effectLst/>
          </c:spPr>
          <c:invertIfNegative val="0"/>
          <c:dLbls>
            <c:delete val="1"/>
          </c:dLbls>
          <c:cat>
            <c:strRef>
              <c:f>Sheet1!$A$2:$A$3</c:f>
              <c:strCache>
                <c:ptCount val="2"/>
                <c:pt idx="0">
                  <c:v>2020年</c:v>
                </c:pt>
                <c:pt idx="1">
                  <c:v>2021年</c:v>
                </c:pt>
              </c:strCache>
            </c:strRef>
          </c:cat>
          <c:val>
            <c:numRef>
              <c:f>Sheet1!$C$2:$C$3</c:f>
              <c:numCache>
                <c:formatCode>General</c:formatCode>
                <c:ptCount val="2"/>
                <c:pt idx="0">
                  <c:v>100.17</c:v>
                </c:pt>
                <c:pt idx="1">
                  <c:v>104.07</c:v>
                </c:pt>
              </c:numCache>
            </c:numRef>
          </c:val>
        </c:ser>
        <c:dLbls>
          <c:showLegendKey val="0"/>
          <c:showVal val="0"/>
          <c:showCatName val="0"/>
          <c:showSerName val="0"/>
          <c:showPercent val="0"/>
          <c:showBubbleSize val="0"/>
        </c:dLbls>
        <c:gapWidth val="219"/>
        <c:overlap val="-27"/>
        <c:axId val="207370008"/>
        <c:axId val="301826219"/>
      </c:barChart>
      <c:catAx>
        <c:axId val="20737000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1826219"/>
        <c:crosses val="autoZero"/>
        <c:auto val="1"/>
        <c:lblAlgn val="ctr"/>
        <c:lblOffset val="100"/>
        <c:noMultiLvlLbl val="0"/>
      </c:catAx>
      <c:valAx>
        <c:axId val="30182621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0" vertOverflow="ellipsis" vert="wordArtVert"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altLang="zh-CN"/>
                  <a:t>单位：万元</a:t>
                </a:r>
                <a:endParaRPr altLang="zh-CN"/>
              </a:p>
            </c:rich>
          </c:tx>
          <c:layout>
            <c:manualLayout>
              <c:xMode val="edge"/>
              <c:yMode val="edge"/>
              <c:x val="0.0275"/>
              <c:y val="0.392616666666667"/>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737000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一般公共预算财政拨款支出</c:v>
                </c:pt>
              </c:strCache>
            </c:strRef>
          </c:tx>
          <c:spPr>
            <a:solidFill>
              <a:schemeClr val="accent1"/>
            </a:solidFill>
            <a:ln>
              <a:noFill/>
            </a:ln>
            <a:effectLst/>
          </c:spPr>
          <c:invertIfNegative val="0"/>
          <c:dLbls>
            <c:delete val="1"/>
          </c:dLbls>
          <c:cat>
            <c:strRef>
              <c:f>Sheet1!$A$2:$A$3</c:f>
              <c:strCache>
                <c:ptCount val="2"/>
                <c:pt idx="0">
                  <c:v>2020年</c:v>
                </c:pt>
                <c:pt idx="1">
                  <c:v>2021年</c:v>
                </c:pt>
              </c:strCache>
            </c:strRef>
          </c:cat>
          <c:val>
            <c:numRef>
              <c:f>Sheet1!$B$2:$B$3</c:f>
              <c:numCache>
                <c:formatCode>General</c:formatCode>
                <c:ptCount val="2"/>
                <c:pt idx="0">
                  <c:v>100.17</c:v>
                </c:pt>
                <c:pt idx="1">
                  <c:v>104.07</c:v>
                </c:pt>
              </c:numCache>
            </c:numRef>
          </c:val>
        </c:ser>
        <c:dLbls>
          <c:showLegendKey val="0"/>
          <c:showVal val="0"/>
          <c:showCatName val="0"/>
          <c:showSerName val="0"/>
          <c:showPercent val="0"/>
          <c:showBubbleSize val="0"/>
        </c:dLbls>
        <c:gapWidth val="219"/>
        <c:overlap val="-27"/>
        <c:axId val="519111167"/>
        <c:axId val="365057263"/>
      </c:barChart>
      <c:catAx>
        <c:axId val="51911116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5057263"/>
        <c:crosses val="autoZero"/>
        <c:auto val="1"/>
        <c:lblAlgn val="ctr"/>
        <c:lblOffset val="100"/>
        <c:noMultiLvlLbl val="0"/>
      </c:catAx>
      <c:valAx>
        <c:axId val="3650572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0" vertOverflow="ellipsis" vert="eaVert"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单位：万元</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911116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一般公共预算财政拨款支出</c:v>
                </c:pt>
              </c:strCache>
            </c:strRef>
          </c:tx>
          <c:spPr/>
          <c:explosion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Sheet1!$A$2:$A$6</c:f>
              <c:strCache>
                <c:ptCount val="5"/>
                <c:pt idx="0">
                  <c:v>一般公共服务（类）支出</c:v>
                </c:pt>
                <c:pt idx="1">
                  <c:v>社会保障和就业（类）支出</c:v>
                </c:pt>
                <c:pt idx="2">
                  <c:v>卫生健康支出</c:v>
                </c:pt>
                <c:pt idx="3">
                  <c:v>住房保障支出</c:v>
                </c:pt>
                <c:pt idx="4">
                  <c:v>农林水支出</c:v>
                </c:pt>
              </c:strCache>
            </c:strRef>
          </c:cat>
          <c:val>
            <c:numRef>
              <c:f>Sheet1!$B$2:$B$6</c:f>
              <c:numCache>
                <c:formatCode>General</c:formatCode>
                <c:ptCount val="5"/>
                <c:pt idx="0">
                  <c:v>78.8</c:v>
                </c:pt>
                <c:pt idx="1">
                  <c:v>4.42</c:v>
                </c:pt>
                <c:pt idx="2">
                  <c:v>2.22</c:v>
                </c:pt>
                <c:pt idx="3">
                  <c:v>4.29</c:v>
                </c:pt>
                <c:pt idx="4">
                  <c:v>14.33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alpha val="50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0.34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alpha val="50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7448</Words>
  <Characters>7986</Characters>
  <Lines>61</Lines>
  <Paragraphs>17</Paragraphs>
  <TotalTime>2</TotalTime>
  <ScaleCrop>false</ScaleCrop>
  <LinksUpToDate>false</LinksUpToDate>
  <CharactersWithSpaces>8124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囧</cp:lastModifiedBy>
  <cp:lastPrinted>2022-08-06T02:23:00Z</cp:lastPrinted>
  <dcterms:modified xsi:type="dcterms:W3CDTF">2023-09-04T02:23:27Z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2B446861B74E475FAE2E6F81ADB3C3AD_13</vt:lpwstr>
  </property>
</Properties>
</file>