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Style w:val="11"/>
          <w:rFonts w:ascii="黑体" w:eastAsia="黑体"/>
          <w:b w:val="0"/>
          <w:i w:val="0"/>
          <w:caps w:val="0"/>
          <w:color w:val="000000"/>
          <w:spacing w:val="0"/>
          <w:w w:val="100"/>
          <w:kern w:val="2"/>
          <w:sz w:val="72"/>
          <w:szCs w:val="72"/>
          <w:lang w:val="en-US" w:eastAsia="zh-CN" w:bidi="ar-SA"/>
        </w:rPr>
      </w:pP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11"/>
          <w:rFonts w:ascii="黑体" w:eastAsia="黑体"/>
          <w:b w:val="0"/>
          <w:i w:val="0"/>
          <w:caps w:val="0"/>
          <w:spacing w:val="0"/>
          <w:w w:val="100"/>
          <w:sz w:val="72"/>
          <w:szCs w:val="72"/>
        </w:rPr>
      </w:pP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11"/>
          <w:rFonts w:ascii="黑体" w:eastAsia="黑体"/>
          <w:b w:val="0"/>
          <w:i w:val="0"/>
          <w:caps w:val="0"/>
          <w:spacing w:val="0"/>
          <w:w w:val="100"/>
          <w:sz w:val="72"/>
          <w:szCs w:val="72"/>
        </w:rPr>
      </w:pP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11"/>
          <w:rFonts w:ascii="黑体" w:eastAsia="黑体"/>
          <w:b w:val="0"/>
          <w:i w:val="0"/>
          <w:caps w:val="0"/>
          <w:spacing w:val="0"/>
          <w:w w:val="100"/>
          <w:sz w:val="72"/>
          <w:szCs w:val="72"/>
        </w:rPr>
      </w:pPr>
    </w:p>
    <w:p>
      <w:pPr>
        <w:snapToGrid w:val="0"/>
        <w:spacing w:before="0" w:beforeAutospacing="0" w:after="0" w:afterAutospacing="0" w:line="360" w:lineRule="auto"/>
        <w:jc w:val="center"/>
        <w:textAlignment w:val="baseline"/>
        <w:rPr>
          <w:rStyle w:val="11"/>
          <w:rFonts w:ascii="方正小标宋简体"/>
          <w:b w:val="0"/>
          <w:i w:val="0"/>
          <w:caps w:val="0"/>
          <w:color w:val="000000"/>
          <w:spacing w:val="0"/>
          <w:w w:val="100"/>
          <w:kern w:val="2"/>
          <w:sz w:val="72"/>
          <w:szCs w:val="72"/>
          <w:lang w:val="en-US" w:eastAsia="zh-CN" w:bidi="ar-SA"/>
        </w:rPr>
      </w:pPr>
      <w:r>
        <w:rPr>
          <w:rStyle w:val="11"/>
          <w:rFonts w:ascii="黑体" w:eastAsia="黑体"/>
          <w:b w:val="0"/>
          <w:i w:val="0"/>
          <w:caps w:val="0"/>
          <w:color w:val="000000"/>
          <w:spacing w:val="0"/>
          <w:w w:val="100"/>
          <w:kern w:val="2"/>
          <w:sz w:val="72"/>
          <w:szCs w:val="72"/>
          <w:lang w:val="en-US" w:eastAsia="zh-CN" w:bidi="ar-SA"/>
        </w:rPr>
        <w:t>2020</w:t>
      </w:r>
      <w:r>
        <w:rPr>
          <w:rStyle w:val="11"/>
          <w:rFonts w:ascii="方正小标宋简体"/>
          <w:b w:val="0"/>
          <w:i w:val="0"/>
          <w:caps w:val="0"/>
          <w:color w:val="000000"/>
          <w:spacing w:val="0"/>
          <w:w w:val="100"/>
          <w:kern w:val="2"/>
          <w:sz w:val="72"/>
          <w:szCs w:val="72"/>
          <w:lang w:val="en-US" w:eastAsia="zh-CN" w:bidi="ar-SA"/>
        </w:rPr>
        <w:t>年度</w:t>
      </w:r>
    </w:p>
    <w:p>
      <w:pPr>
        <w:snapToGrid w:val="0"/>
        <w:spacing w:before="0" w:beforeAutospacing="0" w:after="0" w:afterAutospacing="0" w:line="360" w:lineRule="auto"/>
        <w:jc w:val="center"/>
        <w:textAlignment w:val="baseline"/>
        <w:outlineLvl w:val="0"/>
        <w:rPr>
          <w:rStyle w:val="11"/>
          <w:rFonts w:ascii="方正小标宋简体"/>
          <w:b w:val="0"/>
          <w:i w:val="0"/>
          <w:caps w:val="0"/>
          <w:color w:val="000000"/>
          <w:spacing w:val="0"/>
          <w:w w:val="100"/>
          <w:kern w:val="2"/>
          <w:sz w:val="72"/>
          <w:szCs w:val="72"/>
          <w:lang w:val="en-US" w:eastAsia="zh-CN" w:bidi="ar-SA"/>
        </w:rPr>
      </w:pPr>
      <w:bookmarkStart w:id="0" w:name="_Toc9967"/>
      <w:r>
        <w:rPr>
          <w:rStyle w:val="11"/>
          <w:rFonts w:ascii="方正小标宋简体"/>
          <w:b w:val="0"/>
          <w:i w:val="0"/>
          <w:caps w:val="0"/>
          <w:color w:val="000000"/>
          <w:spacing w:val="0"/>
          <w:w w:val="100"/>
          <w:kern w:val="2"/>
          <w:sz w:val="72"/>
          <w:szCs w:val="72"/>
          <w:lang w:val="en-US" w:eastAsia="zh-CN" w:bidi="ar-SA"/>
        </w:rPr>
        <w:t>四川省广元市昭化区柳桥乡卫生院</w:t>
      </w:r>
      <w:r>
        <w:rPr>
          <w:rStyle w:val="11"/>
          <w:rFonts w:hint="eastAsia" w:ascii="方正小标宋简体"/>
          <w:b w:val="0"/>
          <w:i w:val="0"/>
          <w:caps w:val="0"/>
          <w:color w:val="000000"/>
          <w:spacing w:val="0"/>
          <w:w w:val="100"/>
          <w:kern w:val="2"/>
          <w:sz w:val="72"/>
          <w:szCs w:val="72"/>
          <w:lang w:val="en-US" w:eastAsia="zh-CN" w:bidi="ar-SA"/>
        </w:rPr>
        <w:t>单位</w:t>
      </w:r>
      <w:r>
        <w:rPr>
          <w:rStyle w:val="11"/>
          <w:rFonts w:ascii="方正小标宋简体"/>
          <w:b w:val="0"/>
          <w:i w:val="0"/>
          <w:caps w:val="0"/>
          <w:color w:val="000000"/>
          <w:spacing w:val="0"/>
          <w:w w:val="100"/>
          <w:kern w:val="2"/>
          <w:sz w:val="72"/>
          <w:szCs w:val="72"/>
          <w:lang w:val="en-US" w:eastAsia="zh-CN" w:bidi="ar-SA"/>
        </w:rPr>
        <w:t>决算</w:t>
      </w:r>
      <w:bookmarkEnd w:id="0"/>
    </w:p>
    <w:p>
      <w:pPr>
        <w:widowControl/>
        <w:snapToGrid/>
        <w:spacing w:before="0" w:beforeAutospacing="0" w:after="0" w:afterAutospacing="0" w:line="240" w:lineRule="auto"/>
        <w:jc w:val="center"/>
        <w:textAlignment w:val="baseline"/>
        <w:rPr>
          <w:rStyle w:val="11"/>
          <w:rFonts w:ascii="黑体" w:eastAsia="黑体"/>
          <w:b w:val="0"/>
          <w:i w:val="0"/>
          <w:caps w:val="0"/>
          <w:color w:val="000000"/>
          <w:spacing w:val="0"/>
          <w:w w:val="100"/>
          <w:kern w:val="2"/>
          <w:sz w:val="48"/>
          <w:szCs w:val="48"/>
          <w:lang w:val="en-US" w:eastAsia="zh-CN" w:bidi="ar-SA"/>
        </w:rPr>
        <w:sectPr>
          <w:headerReference r:id="rId3" w:type="default"/>
          <w:footerReference r:id="rId5" w:type="default"/>
          <w:headerReference r:id="rId4" w:type="even"/>
          <w:footerReference r:id="rId6" w:type="even"/>
          <w:pgSz w:w="11906" w:h="16838"/>
          <w:pgMar w:top="1440" w:right="1800" w:bottom="1440" w:left="1800" w:header="851" w:footer="992" w:gutter="0"/>
          <w:lnNumType w:countBy="0"/>
          <w:pgNumType w:fmt="decimal" w:start="1"/>
          <w:cols w:space="425" w:num="1"/>
          <w:titlePg/>
          <w:vAlign w:val="top"/>
          <w:docGrid w:type="lines" w:linePitch="312" w:charSpace="0"/>
        </w:sectPr>
      </w:pPr>
    </w:p>
    <w:p>
      <w:pPr>
        <w:widowControl/>
        <w:snapToGrid/>
        <w:spacing w:before="0" w:beforeAutospacing="0" w:after="0" w:afterAutospacing="0" w:line="240" w:lineRule="auto"/>
        <w:jc w:val="center"/>
        <w:textAlignment w:val="baseline"/>
        <w:rPr>
          <w:rStyle w:val="11"/>
          <w:rFonts w:ascii="黑体" w:eastAsia="黑体"/>
          <w:b w:val="0"/>
          <w:i w:val="0"/>
          <w:caps w:val="0"/>
          <w:color w:val="000000"/>
          <w:spacing w:val="0"/>
          <w:w w:val="100"/>
          <w:kern w:val="2"/>
          <w:sz w:val="48"/>
          <w:szCs w:val="48"/>
          <w:lang w:val="en-US" w:eastAsia="zh-CN" w:bidi="ar-SA"/>
        </w:rPr>
      </w:pPr>
      <w:r>
        <w:rPr>
          <w:rStyle w:val="11"/>
          <w:rFonts w:ascii="黑体" w:eastAsia="黑体"/>
          <w:b w:val="0"/>
          <w:i w:val="0"/>
          <w:caps w:val="0"/>
          <w:color w:val="000000"/>
          <w:spacing w:val="0"/>
          <w:w w:val="100"/>
          <w:kern w:val="2"/>
          <w:sz w:val="48"/>
          <w:szCs w:val="48"/>
          <w:lang w:val="en-US" w:eastAsia="zh-CN" w:bidi="ar-SA"/>
        </w:rPr>
        <w:t>目录</w:t>
      </w:r>
    </w:p>
    <w:p>
      <w:pPr>
        <w:pStyle w:val="23"/>
        <w:widowControl/>
        <w:snapToGrid/>
        <w:spacing w:before="93" w:beforeAutospacing="0" w:after="0" w:afterAutospacing="0" w:line="240" w:lineRule="auto"/>
        <w:jc w:val="center"/>
        <w:textAlignment w:val="baseline"/>
        <w:rPr>
          <w:rStyle w:val="11"/>
          <w:rFonts w:ascii="仿宋" w:eastAsia="仿宋"/>
          <w:b w:val="0"/>
          <w:i w:val="0"/>
          <w:caps w:val="0"/>
          <w:spacing w:val="0"/>
          <w:w w:val="100"/>
          <w:kern w:val="2"/>
          <w:sz w:val="28"/>
          <w:szCs w:val="28"/>
          <w:lang w:val="en-US" w:eastAsia="zh-CN" w:bidi="ar-SA"/>
        </w:rPr>
      </w:pPr>
      <w:r>
        <w:rPr>
          <w:rStyle w:val="11"/>
          <w:rFonts w:ascii="仿宋" w:eastAsia="仿宋"/>
          <w:b w:val="0"/>
          <w:i w:val="0"/>
          <w:caps w:val="0"/>
          <w:spacing w:val="0"/>
          <w:w w:val="100"/>
          <w:kern w:val="2"/>
          <w:sz w:val="28"/>
          <w:szCs w:val="28"/>
          <w:lang w:val="en-US" w:eastAsia="zh-CN" w:bidi="ar-SA"/>
        </w:rPr>
        <w:t>公开时间：2021年 9月30 日</w:t>
      </w:r>
    </w:p>
    <w:p>
      <w:pPr>
        <w:pStyle w:val="24"/>
        <w:widowControl/>
        <w:snapToGrid w:val="0"/>
        <w:spacing w:before="0" w:beforeAutospacing="0" w:after="0" w:afterAutospacing="0" w:line="440" w:lineRule="exact"/>
        <w:ind w:left="0" w:leftChars="0" w:firstLine="0" w:firstLineChars="0"/>
        <w:jc w:val="left"/>
        <w:textAlignment w:val="baseline"/>
        <w:rPr>
          <w:rStyle w:val="11"/>
          <w:rFonts w:hint="eastAsia" w:ascii="仿宋" w:hAnsi="仿宋" w:eastAsia="仿宋" w:cs="仿宋"/>
          <w:b w:val="0"/>
          <w:bCs w:val="0"/>
          <w:i w:val="0"/>
          <w:caps w:val="0"/>
          <w:spacing w:val="0"/>
          <w:w w:val="100"/>
          <w:sz w:val="32"/>
          <w:szCs w:val="32"/>
        </w:rPr>
      </w:pPr>
    </w:p>
    <w:sdt>
      <w:sdtPr>
        <w:rPr>
          <w:rFonts w:hint="eastAsia" w:ascii="仿宋" w:hAnsi="仿宋" w:eastAsia="仿宋" w:cs="仿宋"/>
          <w:b w:val="0"/>
          <w:bCs w:val="0"/>
          <w:kern w:val="2"/>
          <w:sz w:val="32"/>
          <w:szCs w:val="32"/>
          <w:lang w:val="en-US" w:eastAsia="zh-CN" w:bidi="ar-SA"/>
        </w:rPr>
        <w:id w:val="147459252"/>
        <w15:color w:val="DBDBDB"/>
        <w:docPartObj>
          <w:docPartGallery w:val="Table of Contents"/>
          <w:docPartUnique/>
        </w:docPartObj>
      </w:sdtPr>
      <w:sdtEndPr>
        <w:rPr>
          <w:rFonts w:ascii="Times New Roman" w:hAnsi="Times New Roman" w:eastAsia="方正小标宋简体"/>
          <w:b/>
          <w:i w:val="0"/>
          <w:caps w:val="0"/>
          <w:color w:val="000000"/>
          <w:spacing w:val="0"/>
          <w:w w:val="100"/>
          <w:kern w:val="2"/>
          <w:position w:val="0"/>
          <w:sz w:val="32"/>
          <w:szCs w:val="24"/>
          <w:lang w:val="en-US" w:eastAsia="zh-CN" w:bidi="ar-SA"/>
        </w:rPr>
      </w:sdtEndPr>
      <w:sdtContent>
        <w:p>
          <w:pPr>
            <w:pStyle w:val="6"/>
            <w:tabs>
              <w:tab w:val="right" w:leader="dot" w:pos="8306"/>
            </w:tabs>
            <w:rPr>
              <w:rFonts w:hint="eastAsia" w:ascii="仿宋" w:hAnsi="仿宋" w:eastAsia="仿宋" w:cs="仿宋"/>
              <w:b/>
              <w:bCs/>
              <w:sz w:val="32"/>
              <w:szCs w:val="32"/>
            </w:rPr>
          </w:pPr>
          <w:r>
            <w:rPr>
              <w:rStyle w:val="11"/>
              <w:rFonts w:hint="eastAsia" w:ascii="仿宋" w:hAnsi="仿宋" w:eastAsia="仿宋" w:cs="仿宋"/>
              <w:b w:val="0"/>
              <w:bCs w:val="0"/>
              <w:i w:val="0"/>
              <w:caps w:val="0"/>
              <w:spacing w:val="0"/>
              <w:w w:val="100"/>
              <w:sz w:val="32"/>
              <w:szCs w:val="32"/>
            </w:rPr>
            <w:fldChar w:fldCharType="begin"/>
          </w:r>
          <w:r>
            <w:rPr>
              <w:rStyle w:val="11"/>
              <w:rFonts w:hint="eastAsia" w:ascii="仿宋" w:hAnsi="仿宋" w:eastAsia="仿宋" w:cs="仿宋"/>
              <w:b w:val="0"/>
              <w:bCs w:val="0"/>
              <w:i w:val="0"/>
              <w:caps w:val="0"/>
              <w:spacing w:val="0"/>
              <w:w w:val="100"/>
              <w:sz w:val="32"/>
              <w:szCs w:val="32"/>
            </w:rPr>
            <w:instrText xml:space="preserve">TOC \o "1-2" \h \u </w:instrText>
          </w:r>
          <w:r>
            <w:rPr>
              <w:rStyle w:val="11"/>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bCs/>
              <w:i w:val="0"/>
              <w:caps w:val="0"/>
              <w:spacing w:val="0"/>
              <w:w w:val="100"/>
              <w:sz w:val="32"/>
              <w:szCs w:val="32"/>
            </w:rPr>
            <w:fldChar w:fldCharType="begin"/>
          </w:r>
          <w:r>
            <w:rPr>
              <w:rFonts w:hint="eastAsia" w:ascii="仿宋" w:hAnsi="仿宋" w:eastAsia="仿宋" w:cs="仿宋"/>
              <w:b/>
              <w:bCs/>
              <w:i w:val="0"/>
              <w:caps w:val="0"/>
              <w:spacing w:val="0"/>
              <w:w w:val="100"/>
              <w:sz w:val="32"/>
              <w:szCs w:val="32"/>
            </w:rPr>
            <w:instrText xml:space="preserve"> HYPERLINK \l _Toc1584 </w:instrText>
          </w:r>
          <w:r>
            <w:rPr>
              <w:rFonts w:hint="eastAsia" w:ascii="仿宋" w:hAnsi="仿宋" w:eastAsia="仿宋" w:cs="仿宋"/>
              <w:b/>
              <w:bCs/>
              <w:i w:val="0"/>
              <w:caps w:val="0"/>
              <w:spacing w:val="0"/>
              <w:w w:val="100"/>
              <w:sz w:val="32"/>
              <w:szCs w:val="32"/>
            </w:rPr>
            <w:fldChar w:fldCharType="separate"/>
          </w:r>
          <w:r>
            <w:rPr>
              <w:rFonts w:hint="eastAsia" w:ascii="仿宋" w:hAnsi="仿宋" w:eastAsia="仿宋" w:cs="仿宋"/>
              <w:b/>
              <w:bCs/>
              <w:i w:val="0"/>
              <w:caps w:val="0"/>
              <w:spacing w:val="0"/>
              <w:w w:val="100"/>
              <w:kern w:val="44"/>
              <w:sz w:val="32"/>
              <w:szCs w:val="32"/>
              <w:lang w:val="en-US" w:eastAsia="zh-CN" w:bidi="ar-SA"/>
            </w:rPr>
            <w:t xml:space="preserve">第一部分 </w:t>
          </w:r>
          <w:bookmarkStart w:id="25" w:name="_GoBack"/>
          <w:bookmarkEnd w:id="25"/>
          <w:r>
            <w:rPr>
              <w:rFonts w:hint="eastAsia" w:ascii="仿宋" w:hAnsi="仿宋" w:eastAsia="仿宋" w:cs="仿宋"/>
              <w:b/>
              <w:bCs/>
              <w:i w:val="0"/>
              <w:caps w:val="0"/>
              <w:spacing w:val="0"/>
              <w:w w:val="100"/>
              <w:kern w:val="44"/>
              <w:sz w:val="32"/>
              <w:szCs w:val="32"/>
              <w:lang w:val="en-US" w:eastAsia="zh-CN" w:bidi="ar-SA"/>
            </w:rPr>
            <w:t>部门概况</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_Toc1584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w:t>
          </w:r>
          <w:r>
            <w:rPr>
              <w:rFonts w:hint="eastAsia" w:ascii="仿宋" w:hAnsi="仿宋" w:eastAsia="仿宋" w:cs="仿宋"/>
              <w:b/>
              <w:bCs/>
              <w:sz w:val="32"/>
              <w:szCs w:val="32"/>
            </w:rPr>
            <w:fldChar w:fldCharType="end"/>
          </w:r>
          <w:r>
            <w:rPr>
              <w:rFonts w:hint="eastAsia" w:ascii="仿宋" w:hAnsi="仿宋" w:eastAsia="仿宋" w:cs="仿宋"/>
              <w:b/>
              <w:bCs/>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_Toc18243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lang w:val="en-US" w:eastAsia="zh-CN" w:bidi="ar-SA"/>
            </w:rPr>
            <w:t>一、基本职能及主要工作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_Toc18243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_Toc8891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lang w:val="en-US" w:eastAsia="zh-CN" w:bidi="ar-SA"/>
            </w:rPr>
            <w:t>二、 机构设置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_Toc8891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5</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6"/>
            <w:tabs>
              <w:tab w:val="right" w:leader="dot" w:pos="8306"/>
            </w:tabs>
            <w:rPr>
              <w:rFonts w:hint="eastAsia" w:ascii="仿宋" w:hAnsi="仿宋" w:eastAsia="仿宋" w:cs="仿宋"/>
              <w:b/>
              <w:bCs/>
              <w:sz w:val="32"/>
              <w:szCs w:val="32"/>
            </w:rPr>
          </w:pPr>
          <w:r>
            <w:rPr>
              <w:rFonts w:hint="eastAsia" w:ascii="仿宋" w:hAnsi="仿宋" w:eastAsia="仿宋" w:cs="仿宋"/>
              <w:b/>
              <w:bCs/>
              <w:i w:val="0"/>
              <w:caps w:val="0"/>
              <w:spacing w:val="0"/>
              <w:w w:val="100"/>
              <w:sz w:val="32"/>
              <w:szCs w:val="32"/>
            </w:rPr>
            <w:fldChar w:fldCharType="begin"/>
          </w:r>
          <w:r>
            <w:rPr>
              <w:rFonts w:hint="eastAsia" w:ascii="仿宋" w:hAnsi="仿宋" w:eastAsia="仿宋" w:cs="仿宋"/>
              <w:b/>
              <w:bCs/>
              <w:i w:val="0"/>
              <w:caps w:val="0"/>
              <w:spacing w:val="0"/>
              <w:w w:val="100"/>
              <w:sz w:val="32"/>
              <w:szCs w:val="32"/>
            </w:rPr>
            <w:instrText xml:space="preserve"> HYPERLINK \l _Toc17071 </w:instrText>
          </w:r>
          <w:r>
            <w:rPr>
              <w:rFonts w:hint="eastAsia" w:ascii="仿宋" w:hAnsi="仿宋" w:eastAsia="仿宋" w:cs="仿宋"/>
              <w:b/>
              <w:bCs/>
              <w:i w:val="0"/>
              <w:caps w:val="0"/>
              <w:spacing w:val="0"/>
              <w:w w:val="100"/>
              <w:sz w:val="32"/>
              <w:szCs w:val="32"/>
            </w:rPr>
            <w:fldChar w:fldCharType="separate"/>
          </w:r>
          <w:r>
            <w:rPr>
              <w:rFonts w:hint="eastAsia" w:ascii="仿宋" w:hAnsi="仿宋" w:eastAsia="仿宋" w:cs="仿宋"/>
              <w:b/>
              <w:bCs/>
              <w:i w:val="0"/>
              <w:caps w:val="0"/>
              <w:spacing w:val="0"/>
              <w:w w:val="100"/>
              <w:kern w:val="44"/>
              <w:sz w:val="32"/>
              <w:szCs w:val="32"/>
              <w:lang w:val="en-US" w:eastAsia="zh-CN" w:bidi="ar-SA"/>
            </w:rPr>
            <w:t>第二部分 2020年度部门决算情况说明</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_Toc17071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5</w:t>
          </w:r>
          <w:r>
            <w:rPr>
              <w:rFonts w:hint="eastAsia" w:ascii="仿宋" w:hAnsi="仿宋" w:eastAsia="仿宋" w:cs="仿宋"/>
              <w:b/>
              <w:bCs/>
              <w:sz w:val="32"/>
              <w:szCs w:val="32"/>
            </w:rPr>
            <w:fldChar w:fldCharType="end"/>
          </w:r>
          <w:r>
            <w:rPr>
              <w:rFonts w:hint="eastAsia" w:ascii="仿宋" w:hAnsi="仿宋" w:eastAsia="仿宋" w:cs="仿宋"/>
              <w:b/>
              <w:bCs/>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_Toc24681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rPr>
            <w:t xml:space="preserve">一、 </w:t>
          </w:r>
          <w:r>
            <w:rPr>
              <w:rFonts w:hint="eastAsia" w:ascii="仿宋" w:hAnsi="仿宋" w:eastAsia="仿宋" w:cs="仿宋"/>
              <w:b w:val="0"/>
              <w:bCs w:val="0"/>
              <w:i w:val="0"/>
              <w:caps w:val="0"/>
              <w:spacing w:val="0"/>
              <w:w w:val="100"/>
              <w:sz w:val="32"/>
              <w:szCs w:val="32"/>
            </w:rPr>
            <w:t>收</w:t>
          </w:r>
          <w:r>
            <w:rPr>
              <w:rFonts w:hint="eastAsia" w:ascii="仿宋" w:hAnsi="仿宋" w:eastAsia="仿宋" w:cs="仿宋"/>
              <w:b w:val="0"/>
              <w:bCs w:val="0"/>
              <w:i w:val="0"/>
              <w:caps w:val="0"/>
              <w:spacing w:val="0"/>
              <w:w w:val="100"/>
              <w:kern w:val="2"/>
              <w:sz w:val="32"/>
              <w:szCs w:val="32"/>
            </w:rPr>
            <w:t>入支出决算总体情况说明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_Toc24681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5</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_Toc4197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rPr>
            <w:t xml:space="preserve">二、 </w:t>
          </w:r>
          <w:r>
            <w:rPr>
              <w:rFonts w:hint="eastAsia" w:ascii="仿宋" w:hAnsi="仿宋" w:eastAsia="仿宋" w:cs="仿宋"/>
              <w:b w:val="0"/>
              <w:bCs w:val="0"/>
              <w:i w:val="0"/>
              <w:caps w:val="0"/>
              <w:spacing w:val="0"/>
              <w:w w:val="100"/>
              <w:sz w:val="32"/>
              <w:szCs w:val="32"/>
            </w:rPr>
            <w:t>收</w:t>
          </w:r>
          <w:r>
            <w:rPr>
              <w:rFonts w:hint="eastAsia" w:ascii="仿宋" w:hAnsi="仿宋" w:eastAsia="仿宋" w:cs="仿宋"/>
              <w:b w:val="0"/>
              <w:bCs w:val="0"/>
              <w:i w:val="0"/>
              <w:caps w:val="0"/>
              <w:spacing w:val="0"/>
              <w:w w:val="100"/>
              <w:kern w:val="2"/>
              <w:sz w:val="32"/>
              <w:szCs w:val="32"/>
            </w:rPr>
            <w:t>入决算情况说明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_Toc4197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_Toc7976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rPr>
            <w:t xml:space="preserve">三、 </w:t>
          </w:r>
          <w:r>
            <w:rPr>
              <w:rFonts w:hint="eastAsia" w:ascii="仿宋" w:hAnsi="仿宋" w:eastAsia="仿宋" w:cs="仿宋"/>
              <w:b w:val="0"/>
              <w:bCs w:val="0"/>
              <w:i w:val="0"/>
              <w:caps w:val="0"/>
              <w:spacing w:val="0"/>
              <w:w w:val="100"/>
              <w:sz w:val="32"/>
              <w:szCs w:val="32"/>
            </w:rPr>
            <w:t>支</w:t>
          </w:r>
          <w:r>
            <w:rPr>
              <w:rFonts w:hint="eastAsia" w:ascii="仿宋" w:hAnsi="仿宋" w:eastAsia="仿宋" w:cs="仿宋"/>
              <w:b w:val="0"/>
              <w:bCs w:val="0"/>
              <w:i w:val="0"/>
              <w:caps w:val="0"/>
              <w:spacing w:val="0"/>
              <w:w w:val="100"/>
              <w:kern w:val="2"/>
              <w:sz w:val="32"/>
              <w:szCs w:val="32"/>
            </w:rPr>
            <w:t>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_Toc7976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_Toc10286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lang w:val="en-US" w:eastAsia="zh-CN" w:bidi="ar-SA"/>
            </w:rPr>
            <w:t>四、财政拨款收入支出决算总体情况说明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_Toc10286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_Toc30941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lang w:val="en-US" w:eastAsia="zh-CN" w:bidi="ar-SA"/>
            </w:rPr>
            <w:t>五、一般公共预算财政拨款支出决算情况说明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_Toc30941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_Toc24698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lang w:val="en-US" w:eastAsia="zh-CN" w:bidi="ar-SA"/>
            </w:rPr>
            <w:t>六、一般公共预算财政拨款基本支出决算情况说明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_Toc24698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10</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_Toc1496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lang w:val="en-US" w:eastAsia="zh-CN" w:bidi="ar-SA"/>
            </w:rPr>
            <w:t>七、“三公”经费财政拨款支出决算情况说明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_Toc1496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10</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_Toc1419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lang w:val="en-US" w:eastAsia="zh-CN" w:bidi="ar-SA"/>
            </w:rPr>
            <w:t>八、政府性基金预算支出决算情况说明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_Toc1419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11</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_Toc27066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lang w:val="en-US" w:eastAsia="zh-CN" w:bidi="ar-SA"/>
            </w:rPr>
            <w:t>九、 国有资本经营预算支出决算情况说明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_Toc27066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11</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_Toc15170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lang w:val="en-US" w:eastAsia="zh-CN" w:bidi="ar-SA"/>
            </w:rPr>
            <w:t>十、其他重要事项的情况说明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_Toc15170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11</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6"/>
            <w:tabs>
              <w:tab w:val="right" w:leader="dot" w:pos="8306"/>
            </w:tabs>
            <w:rPr>
              <w:rFonts w:hint="eastAsia" w:ascii="仿宋" w:hAnsi="仿宋" w:eastAsia="仿宋" w:cs="仿宋"/>
              <w:b/>
              <w:bCs/>
              <w:sz w:val="32"/>
              <w:szCs w:val="32"/>
            </w:rPr>
          </w:pPr>
          <w:r>
            <w:rPr>
              <w:rFonts w:hint="eastAsia" w:ascii="仿宋" w:hAnsi="仿宋" w:eastAsia="仿宋" w:cs="仿宋"/>
              <w:b/>
              <w:bCs/>
              <w:i w:val="0"/>
              <w:caps w:val="0"/>
              <w:spacing w:val="0"/>
              <w:w w:val="100"/>
              <w:sz w:val="32"/>
              <w:szCs w:val="32"/>
            </w:rPr>
            <w:fldChar w:fldCharType="begin"/>
          </w:r>
          <w:r>
            <w:rPr>
              <w:rFonts w:hint="eastAsia" w:ascii="仿宋" w:hAnsi="仿宋" w:eastAsia="仿宋" w:cs="仿宋"/>
              <w:b/>
              <w:bCs/>
              <w:i w:val="0"/>
              <w:caps w:val="0"/>
              <w:spacing w:val="0"/>
              <w:w w:val="100"/>
              <w:sz w:val="32"/>
              <w:szCs w:val="32"/>
            </w:rPr>
            <w:instrText xml:space="preserve"> HYPERLINK \l _Toc5279 </w:instrText>
          </w:r>
          <w:r>
            <w:rPr>
              <w:rFonts w:hint="eastAsia" w:ascii="仿宋" w:hAnsi="仿宋" w:eastAsia="仿宋" w:cs="仿宋"/>
              <w:b/>
              <w:bCs/>
              <w:i w:val="0"/>
              <w:caps w:val="0"/>
              <w:spacing w:val="0"/>
              <w:w w:val="100"/>
              <w:sz w:val="32"/>
              <w:szCs w:val="32"/>
            </w:rPr>
            <w:fldChar w:fldCharType="separate"/>
          </w:r>
          <w:r>
            <w:rPr>
              <w:rFonts w:hint="eastAsia" w:ascii="仿宋" w:hAnsi="仿宋" w:eastAsia="仿宋" w:cs="仿宋"/>
              <w:b/>
              <w:bCs/>
              <w:i w:val="0"/>
              <w:caps w:val="0"/>
              <w:spacing w:val="0"/>
              <w:w w:val="100"/>
              <w:kern w:val="44"/>
              <w:sz w:val="32"/>
              <w:szCs w:val="32"/>
              <w:lang w:val="en-US" w:eastAsia="zh-CN" w:bidi="ar-SA"/>
            </w:rPr>
            <w:t xml:space="preserve">第三部分 </w:t>
          </w:r>
          <w:r>
            <w:rPr>
              <w:rFonts w:hint="eastAsia" w:ascii="仿宋" w:hAnsi="仿宋" w:eastAsia="仿宋" w:cs="仿宋"/>
              <w:b/>
              <w:bCs/>
              <w:i w:val="0"/>
              <w:caps w:val="0"/>
              <w:spacing w:val="0"/>
              <w:w w:val="100"/>
              <w:kern w:val="2"/>
              <w:sz w:val="32"/>
              <w:szCs w:val="32"/>
              <w:lang w:val="en-US" w:eastAsia="zh-CN" w:bidi="ar-SA"/>
            </w:rPr>
            <w:t>名</w:t>
          </w:r>
          <w:r>
            <w:rPr>
              <w:rFonts w:hint="eastAsia" w:ascii="仿宋" w:hAnsi="仿宋" w:eastAsia="仿宋" w:cs="仿宋"/>
              <w:b/>
              <w:bCs/>
              <w:i w:val="0"/>
              <w:caps w:val="0"/>
              <w:spacing w:val="0"/>
              <w:w w:val="100"/>
              <w:kern w:val="44"/>
              <w:sz w:val="32"/>
              <w:szCs w:val="32"/>
              <w:lang w:val="en-US" w:eastAsia="zh-CN" w:bidi="ar-SA"/>
            </w:rPr>
            <w:t>词解释</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_Toc5279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18</w:t>
          </w:r>
          <w:r>
            <w:rPr>
              <w:rFonts w:hint="eastAsia" w:ascii="仿宋" w:hAnsi="仿宋" w:eastAsia="仿宋" w:cs="仿宋"/>
              <w:b/>
              <w:bCs/>
              <w:sz w:val="32"/>
              <w:szCs w:val="32"/>
            </w:rPr>
            <w:fldChar w:fldCharType="end"/>
          </w:r>
          <w:r>
            <w:rPr>
              <w:rFonts w:hint="eastAsia" w:ascii="仿宋" w:hAnsi="仿宋" w:eastAsia="仿宋" w:cs="仿宋"/>
              <w:b/>
              <w:bCs/>
              <w:i w:val="0"/>
              <w:caps w:val="0"/>
              <w:spacing w:val="0"/>
              <w:w w:val="100"/>
              <w:sz w:val="32"/>
              <w:szCs w:val="32"/>
            </w:rPr>
            <w:fldChar w:fldCharType="end"/>
          </w:r>
        </w:p>
        <w:p>
          <w:pPr>
            <w:pStyle w:val="6"/>
            <w:tabs>
              <w:tab w:val="right" w:leader="dot" w:pos="8306"/>
            </w:tabs>
            <w:rPr>
              <w:rFonts w:hint="eastAsia" w:ascii="仿宋" w:hAnsi="仿宋" w:eastAsia="仿宋" w:cs="仿宋"/>
              <w:b/>
              <w:bCs/>
              <w:sz w:val="32"/>
              <w:szCs w:val="32"/>
            </w:rPr>
          </w:pPr>
          <w:r>
            <w:rPr>
              <w:rFonts w:hint="eastAsia" w:ascii="仿宋" w:hAnsi="仿宋" w:eastAsia="仿宋" w:cs="仿宋"/>
              <w:b/>
              <w:bCs/>
              <w:i w:val="0"/>
              <w:caps w:val="0"/>
              <w:spacing w:val="0"/>
              <w:w w:val="100"/>
              <w:sz w:val="32"/>
              <w:szCs w:val="32"/>
            </w:rPr>
            <w:fldChar w:fldCharType="begin"/>
          </w:r>
          <w:r>
            <w:rPr>
              <w:rFonts w:hint="eastAsia" w:ascii="仿宋" w:hAnsi="仿宋" w:eastAsia="仿宋" w:cs="仿宋"/>
              <w:b/>
              <w:bCs/>
              <w:i w:val="0"/>
              <w:caps w:val="0"/>
              <w:spacing w:val="0"/>
              <w:w w:val="100"/>
              <w:sz w:val="32"/>
              <w:szCs w:val="32"/>
            </w:rPr>
            <w:instrText xml:space="preserve"> HYPERLINK \l _Toc17037 </w:instrText>
          </w:r>
          <w:r>
            <w:rPr>
              <w:rFonts w:hint="eastAsia" w:ascii="仿宋" w:hAnsi="仿宋" w:eastAsia="仿宋" w:cs="仿宋"/>
              <w:b/>
              <w:bCs/>
              <w:i w:val="0"/>
              <w:caps w:val="0"/>
              <w:spacing w:val="0"/>
              <w:w w:val="100"/>
              <w:sz w:val="32"/>
              <w:szCs w:val="32"/>
            </w:rPr>
            <w:fldChar w:fldCharType="separate"/>
          </w:r>
          <w:r>
            <w:rPr>
              <w:rFonts w:hint="eastAsia" w:ascii="仿宋" w:hAnsi="仿宋" w:eastAsia="仿宋" w:cs="仿宋"/>
              <w:b/>
              <w:bCs/>
              <w:i w:val="0"/>
              <w:caps w:val="0"/>
              <w:spacing w:val="0"/>
              <w:w w:val="100"/>
              <w:kern w:val="2"/>
              <w:sz w:val="32"/>
              <w:szCs w:val="32"/>
              <w:lang w:val="en-US" w:eastAsia="zh-CN" w:bidi="ar-SA"/>
            </w:rPr>
            <w:t>第</w:t>
          </w:r>
          <w:r>
            <w:rPr>
              <w:rFonts w:hint="eastAsia" w:ascii="仿宋" w:hAnsi="仿宋" w:eastAsia="仿宋" w:cs="仿宋"/>
              <w:b/>
              <w:bCs/>
              <w:i w:val="0"/>
              <w:caps w:val="0"/>
              <w:spacing w:val="0"/>
              <w:w w:val="100"/>
              <w:kern w:val="44"/>
              <w:sz w:val="32"/>
              <w:szCs w:val="32"/>
              <w:lang w:val="en-US" w:eastAsia="zh-CN" w:bidi="ar-SA"/>
            </w:rPr>
            <w:t>四部分 附件</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_Toc17037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22</w:t>
          </w:r>
          <w:r>
            <w:rPr>
              <w:rFonts w:hint="eastAsia" w:ascii="仿宋" w:hAnsi="仿宋" w:eastAsia="仿宋" w:cs="仿宋"/>
              <w:b/>
              <w:bCs/>
              <w:sz w:val="32"/>
              <w:szCs w:val="32"/>
            </w:rPr>
            <w:fldChar w:fldCharType="end"/>
          </w:r>
          <w:r>
            <w:rPr>
              <w:rFonts w:hint="eastAsia" w:ascii="仿宋" w:hAnsi="仿宋" w:eastAsia="仿宋" w:cs="仿宋"/>
              <w:b/>
              <w:bCs/>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_Toc32108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2"/>
              <w:sz w:val="32"/>
              <w:szCs w:val="32"/>
              <w:lang w:val="en-US" w:eastAsia="zh-CN" w:bidi="ar-SA"/>
            </w:rPr>
            <w:t>附件1</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_Toc32108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22</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_Toc21372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0"/>
              <w:sz w:val="32"/>
              <w:szCs w:val="32"/>
              <w:lang w:val="en-US" w:eastAsia="zh-CN" w:bidi="ar-SA"/>
            </w:rPr>
            <w:t>一、</w:t>
          </w:r>
          <w:r>
            <w:rPr>
              <w:rFonts w:hint="eastAsia" w:ascii="仿宋" w:hAnsi="仿宋" w:eastAsia="仿宋" w:cs="仿宋"/>
              <w:b w:val="0"/>
              <w:bCs w:val="0"/>
              <w:i w:val="0"/>
              <w:caps w:val="0"/>
              <w:spacing w:val="0"/>
              <w:w w:val="100"/>
              <w:kern w:val="0"/>
              <w:sz w:val="32"/>
              <w:szCs w:val="32"/>
              <w:lang w:val="zh-CN" w:eastAsia="zh-CN" w:bidi="ar-SA"/>
            </w:rPr>
            <w:t>部门（单位）概况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_Toc21372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22</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_Toc30648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0"/>
              <w:sz w:val="32"/>
              <w:szCs w:val="32"/>
              <w:lang w:val="en-US" w:eastAsia="zh-CN" w:bidi="ar-SA"/>
            </w:rPr>
            <w:t>二、部门财政资金收支情况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_Toc30648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23</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_Toc10349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0"/>
              <w:sz w:val="32"/>
              <w:szCs w:val="32"/>
              <w:lang w:val="en-US" w:eastAsia="zh-CN" w:bidi="ar-SA"/>
            </w:rPr>
            <w:t>三、部门整体预算绩效管理情况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_Toc10349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24</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7"/>
            <w:tabs>
              <w:tab w:val="right" w:leader="dot" w:pos="8306"/>
            </w:tabs>
            <w:rPr>
              <w:rFonts w:hint="eastAsia" w:ascii="仿宋" w:hAnsi="仿宋" w:eastAsia="仿宋" w:cs="仿宋"/>
              <w:b w:val="0"/>
              <w:bCs w:val="0"/>
              <w:sz w:val="32"/>
              <w:szCs w:val="32"/>
            </w:rPr>
          </w:pPr>
          <w:r>
            <w:rPr>
              <w:rFonts w:hint="eastAsia" w:ascii="仿宋" w:hAnsi="仿宋" w:eastAsia="仿宋" w:cs="仿宋"/>
              <w:b w:val="0"/>
              <w:bCs w:val="0"/>
              <w:i w:val="0"/>
              <w:caps w:val="0"/>
              <w:spacing w:val="0"/>
              <w:w w:val="100"/>
              <w:sz w:val="32"/>
              <w:szCs w:val="32"/>
            </w:rPr>
            <w:fldChar w:fldCharType="begin"/>
          </w:r>
          <w:r>
            <w:rPr>
              <w:rFonts w:hint="eastAsia" w:ascii="仿宋" w:hAnsi="仿宋" w:eastAsia="仿宋" w:cs="仿宋"/>
              <w:b w:val="0"/>
              <w:bCs w:val="0"/>
              <w:i w:val="0"/>
              <w:caps w:val="0"/>
              <w:spacing w:val="0"/>
              <w:w w:val="100"/>
              <w:sz w:val="32"/>
              <w:szCs w:val="32"/>
            </w:rPr>
            <w:instrText xml:space="preserve"> HYPERLINK \l _Toc19454 </w:instrText>
          </w:r>
          <w:r>
            <w:rPr>
              <w:rFonts w:hint="eastAsia" w:ascii="仿宋" w:hAnsi="仿宋" w:eastAsia="仿宋" w:cs="仿宋"/>
              <w:b w:val="0"/>
              <w:bCs w:val="0"/>
              <w:i w:val="0"/>
              <w:caps w:val="0"/>
              <w:spacing w:val="0"/>
              <w:w w:val="100"/>
              <w:sz w:val="32"/>
              <w:szCs w:val="32"/>
            </w:rPr>
            <w:fldChar w:fldCharType="separate"/>
          </w:r>
          <w:r>
            <w:rPr>
              <w:rFonts w:hint="eastAsia" w:ascii="仿宋" w:hAnsi="仿宋" w:eastAsia="仿宋" w:cs="仿宋"/>
              <w:b w:val="0"/>
              <w:bCs w:val="0"/>
              <w:i w:val="0"/>
              <w:caps w:val="0"/>
              <w:spacing w:val="0"/>
              <w:w w:val="100"/>
              <w:kern w:val="0"/>
              <w:sz w:val="32"/>
              <w:szCs w:val="32"/>
              <w:lang w:val="en-US" w:eastAsia="zh-CN" w:bidi="ar-SA"/>
            </w:rPr>
            <w:t>四、评价结论及建议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_Toc19454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24</w:t>
          </w:r>
          <w:r>
            <w:rPr>
              <w:rFonts w:hint="eastAsia" w:ascii="仿宋" w:hAnsi="仿宋" w:eastAsia="仿宋" w:cs="仿宋"/>
              <w:b w:val="0"/>
              <w:bCs w:val="0"/>
              <w:sz w:val="32"/>
              <w:szCs w:val="32"/>
            </w:rPr>
            <w:fldChar w:fldCharType="end"/>
          </w:r>
          <w:r>
            <w:rPr>
              <w:rFonts w:hint="eastAsia" w:ascii="仿宋" w:hAnsi="仿宋" w:eastAsia="仿宋" w:cs="仿宋"/>
              <w:b w:val="0"/>
              <w:bCs w:val="0"/>
              <w:i w:val="0"/>
              <w:caps w:val="0"/>
              <w:spacing w:val="0"/>
              <w:w w:val="100"/>
              <w:sz w:val="32"/>
              <w:szCs w:val="32"/>
            </w:rPr>
            <w:fldChar w:fldCharType="end"/>
          </w:r>
        </w:p>
        <w:p>
          <w:pPr>
            <w:pStyle w:val="6"/>
            <w:tabs>
              <w:tab w:val="right" w:leader="dot" w:pos="8306"/>
            </w:tabs>
            <w:rPr>
              <w:rFonts w:hint="eastAsia" w:ascii="仿宋" w:hAnsi="仿宋" w:eastAsia="仿宋" w:cs="仿宋"/>
              <w:b/>
              <w:bCs/>
              <w:sz w:val="32"/>
              <w:szCs w:val="32"/>
            </w:rPr>
          </w:pPr>
          <w:r>
            <w:rPr>
              <w:rFonts w:hint="eastAsia" w:ascii="仿宋" w:hAnsi="仿宋" w:eastAsia="仿宋" w:cs="仿宋"/>
              <w:b/>
              <w:bCs/>
              <w:i w:val="0"/>
              <w:caps w:val="0"/>
              <w:spacing w:val="0"/>
              <w:w w:val="100"/>
              <w:sz w:val="32"/>
              <w:szCs w:val="32"/>
            </w:rPr>
            <w:fldChar w:fldCharType="begin"/>
          </w:r>
          <w:r>
            <w:rPr>
              <w:rFonts w:hint="eastAsia" w:ascii="仿宋" w:hAnsi="仿宋" w:eastAsia="仿宋" w:cs="仿宋"/>
              <w:b/>
              <w:bCs/>
              <w:i w:val="0"/>
              <w:caps w:val="0"/>
              <w:spacing w:val="0"/>
              <w:w w:val="100"/>
              <w:sz w:val="32"/>
              <w:szCs w:val="32"/>
            </w:rPr>
            <w:instrText xml:space="preserve"> HYPERLINK \l _Toc21804 </w:instrText>
          </w:r>
          <w:r>
            <w:rPr>
              <w:rFonts w:hint="eastAsia" w:ascii="仿宋" w:hAnsi="仿宋" w:eastAsia="仿宋" w:cs="仿宋"/>
              <w:b/>
              <w:bCs/>
              <w:i w:val="0"/>
              <w:caps w:val="0"/>
              <w:spacing w:val="0"/>
              <w:w w:val="100"/>
              <w:sz w:val="32"/>
              <w:szCs w:val="32"/>
            </w:rPr>
            <w:fldChar w:fldCharType="separate"/>
          </w:r>
          <w:r>
            <w:rPr>
              <w:rFonts w:hint="eastAsia" w:ascii="仿宋" w:hAnsi="仿宋" w:eastAsia="仿宋" w:cs="仿宋"/>
              <w:b/>
              <w:bCs/>
              <w:i w:val="0"/>
              <w:caps w:val="0"/>
              <w:spacing w:val="0"/>
              <w:w w:val="100"/>
              <w:kern w:val="2"/>
              <w:sz w:val="32"/>
              <w:szCs w:val="32"/>
              <w:lang w:val="en-US" w:eastAsia="zh-CN" w:bidi="ar-SA"/>
            </w:rPr>
            <w:t>第</w:t>
          </w:r>
          <w:r>
            <w:rPr>
              <w:rFonts w:hint="eastAsia" w:ascii="仿宋" w:hAnsi="仿宋" w:eastAsia="仿宋" w:cs="仿宋"/>
              <w:b/>
              <w:bCs/>
              <w:i w:val="0"/>
              <w:caps w:val="0"/>
              <w:spacing w:val="0"/>
              <w:w w:val="100"/>
              <w:kern w:val="44"/>
              <w:sz w:val="32"/>
              <w:szCs w:val="32"/>
              <w:lang w:val="en-US" w:eastAsia="zh-CN" w:bidi="ar-SA"/>
            </w:rPr>
            <w:t>五部分 附表</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_Toc21804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26</w:t>
          </w:r>
          <w:r>
            <w:rPr>
              <w:rFonts w:hint="eastAsia" w:ascii="仿宋" w:hAnsi="仿宋" w:eastAsia="仿宋" w:cs="仿宋"/>
              <w:b/>
              <w:bCs/>
              <w:sz w:val="32"/>
              <w:szCs w:val="32"/>
            </w:rPr>
            <w:fldChar w:fldCharType="end"/>
          </w:r>
          <w:r>
            <w:rPr>
              <w:rFonts w:hint="eastAsia" w:ascii="仿宋" w:hAnsi="仿宋" w:eastAsia="仿宋" w:cs="仿宋"/>
              <w:b/>
              <w:bCs/>
              <w:i w:val="0"/>
              <w:caps w:val="0"/>
              <w:spacing w:val="0"/>
              <w:w w:val="100"/>
              <w:sz w:val="32"/>
              <w:szCs w:val="32"/>
            </w:rPr>
            <w:fldChar w:fldCharType="end"/>
          </w: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640" w:firstLineChars="200"/>
            <w:jc w:val="both"/>
            <w:textAlignment w:val="baseline"/>
            <w:rPr>
              <w:rStyle w:val="11"/>
              <w:rFonts w:ascii="Times New Roman" w:hAnsi="Times New Roman" w:eastAsia="方正小标宋简体"/>
              <w:b w:val="0"/>
              <w:i w:val="0"/>
              <w:caps w:val="0"/>
              <w:spacing w:val="0"/>
              <w:w w:val="100"/>
              <w:sz w:val="21"/>
            </w:rPr>
            <w:sectPr>
              <w:footerReference r:id="rId7" w:type="default"/>
              <w:pgSz w:w="11906" w:h="16838"/>
              <w:pgMar w:top="1440" w:right="1800" w:bottom="1440" w:left="1800" w:header="851" w:footer="992" w:gutter="0"/>
              <w:lnNumType w:countBy="0"/>
              <w:pgNumType w:fmt="decimal" w:start="1"/>
              <w:cols w:space="425" w:num="1"/>
              <w:vAlign w:val="top"/>
              <w:docGrid w:type="lines" w:linePitch="312" w:charSpace="0"/>
            </w:sectPr>
          </w:pPr>
          <w:r>
            <w:rPr>
              <w:rFonts w:hint="eastAsia" w:ascii="仿宋" w:hAnsi="仿宋" w:eastAsia="仿宋" w:cs="仿宋"/>
              <w:b w:val="0"/>
              <w:bCs w:val="0"/>
              <w:i w:val="0"/>
              <w:caps w:val="0"/>
              <w:spacing w:val="0"/>
              <w:w w:val="100"/>
              <w:sz w:val="32"/>
              <w:szCs w:val="32"/>
            </w:rPr>
            <w:fldChar w:fldCharType="end"/>
          </w:r>
        </w:p>
      </w:sdtContent>
    </w:sdt>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11"/>
          <w:rFonts w:ascii="Times New Roman" w:hAnsi="Times New Roman" w:eastAsia="方正小标宋简体"/>
          <w:b w:val="0"/>
          <w:i w:val="0"/>
          <w:caps w:val="0"/>
          <w:spacing w:val="0"/>
          <w:w w:val="100"/>
          <w:sz w:val="21"/>
        </w:rPr>
      </w:pPr>
    </w:p>
    <w:p>
      <w:pPr>
        <w:pStyle w:val="13"/>
        <w:keepLines/>
        <w:snapToGrid/>
        <w:spacing w:before="340" w:beforeAutospacing="0" w:after="330" w:afterAutospacing="0" w:line="578" w:lineRule="auto"/>
        <w:jc w:val="center"/>
        <w:textAlignment w:val="baseline"/>
        <w:outlineLvl w:val="0"/>
        <w:rPr>
          <w:rStyle w:val="17"/>
          <w:rFonts w:ascii="黑体" w:hAnsi="Times New Roman" w:eastAsia="黑体" w:cs="Times New Roman"/>
          <w:b/>
          <w:bCs/>
          <w:i w:val="0"/>
          <w:caps w:val="0"/>
          <w:spacing w:val="0"/>
          <w:w w:val="100"/>
          <w:kern w:val="44"/>
          <w:sz w:val="44"/>
          <w:szCs w:val="44"/>
          <w:lang w:val="en-US" w:eastAsia="zh-CN" w:bidi="ar-SA"/>
        </w:rPr>
      </w:pPr>
      <w:bookmarkStart w:id="1" w:name="_Toc1584"/>
      <w:r>
        <w:rPr>
          <w:rStyle w:val="11"/>
          <w:rFonts w:ascii="黑体" w:eastAsia="黑体" w:cs="Times New Roman"/>
          <w:b w:val="0"/>
          <w:bCs/>
          <w:i w:val="0"/>
          <w:caps w:val="0"/>
          <w:spacing w:val="0"/>
          <w:w w:val="100"/>
          <w:kern w:val="44"/>
          <w:sz w:val="44"/>
          <w:szCs w:val="44"/>
          <w:lang w:val="en-US" w:eastAsia="zh-CN" w:bidi="ar-SA"/>
        </w:rPr>
        <w:t xml:space="preserve">第一部分 </w:t>
      </w:r>
      <w:r>
        <w:rPr>
          <w:rStyle w:val="17"/>
          <w:rFonts w:hint="eastAsia" w:ascii="黑体" w:eastAsia="黑体" w:cs="Times New Roman"/>
          <w:b/>
          <w:bCs/>
          <w:i w:val="0"/>
          <w:caps w:val="0"/>
          <w:spacing w:val="0"/>
          <w:w w:val="100"/>
          <w:kern w:val="44"/>
          <w:sz w:val="44"/>
          <w:szCs w:val="44"/>
          <w:lang w:val="en-US" w:eastAsia="zh-CN" w:bidi="ar-SA"/>
        </w:rPr>
        <w:t>单位</w:t>
      </w:r>
      <w:r>
        <w:rPr>
          <w:rStyle w:val="17"/>
          <w:rFonts w:ascii="黑体" w:hAnsi="Times New Roman" w:eastAsia="黑体" w:cs="Times New Roman"/>
          <w:b/>
          <w:bCs/>
          <w:i w:val="0"/>
          <w:caps w:val="0"/>
          <w:spacing w:val="0"/>
          <w:w w:val="100"/>
          <w:kern w:val="44"/>
          <w:sz w:val="44"/>
          <w:szCs w:val="44"/>
          <w:lang w:val="en-US" w:eastAsia="zh-CN" w:bidi="ar-SA"/>
        </w:rPr>
        <w:t>概况</w:t>
      </w:r>
      <w:bookmarkEnd w:id="1"/>
    </w:p>
    <w:p>
      <w:pPr>
        <w:widowControl/>
        <w:snapToGrid/>
        <w:spacing w:before="0" w:beforeAutospacing="0" w:after="0" w:afterAutospacing="0" w:line="240" w:lineRule="auto"/>
        <w:jc w:val="left"/>
        <w:textAlignment w:val="baseline"/>
        <w:rPr>
          <w:rStyle w:val="11"/>
          <w:rFonts w:ascii="黑体" w:eastAsia="黑体"/>
          <w:b w:val="0"/>
          <w:i w:val="0"/>
          <w:caps w:val="0"/>
          <w:color w:val="000000"/>
          <w:spacing w:val="0"/>
          <w:w w:val="100"/>
          <w:kern w:val="2"/>
          <w:sz w:val="32"/>
          <w:szCs w:val="32"/>
          <w:lang w:val="en-US" w:eastAsia="zh-CN" w:bidi="ar-SA"/>
        </w:rPr>
      </w:pPr>
    </w:p>
    <w:p>
      <w:pPr>
        <w:pStyle w:val="14"/>
        <w:keepLines/>
        <w:snapToGrid/>
        <w:spacing w:before="260" w:beforeAutospacing="0" w:after="260" w:afterAutospacing="0" w:line="415" w:lineRule="auto"/>
        <w:jc w:val="both"/>
        <w:textAlignment w:val="baseline"/>
        <w:outlineLvl w:val="1"/>
        <w:rPr>
          <w:rStyle w:val="18"/>
          <w:rFonts w:ascii="仿宋" w:hAnsi="Cambria" w:eastAsia="仿宋" w:cs="Times New Roman"/>
          <w:b/>
          <w:bCs/>
          <w:i w:val="0"/>
          <w:caps w:val="0"/>
          <w:spacing w:val="0"/>
          <w:w w:val="100"/>
          <w:kern w:val="2"/>
          <w:sz w:val="32"/>
          <w:szCs w:val="32"/>
          <w:lang w:val="en-US" w:eastAsia="zh-CN" w:bidi="ar-SA"/>
        </w:rPr>
      </w:pPr>
      <w:bookmarkStart w:id="2" w:name="_Toc18243"/>
      <w:r>
        <w:rPr>
          <w:rStyle w:val="11"/>
          <w:rFonts w:ascii="黑体" w:hAnsi="Cambria" w:eastAsia="黑体" w:cs="Times New Roman"/>
          <w:b w:val="0"/>
          <w:bCs/>
          <w:i w:val="0"/>
          <w:caps w:val="0"/>
          <w:color w:val="000000"/>
          <w:spacing w:val="0"/>
          <w:w w:val="100"/>
          <w:kern w:val="2"/>
          <w:sz w:val="32"/>
          <w:szCs w:val="32"/>
          <w:lang w:val="en-US" w:eastAsia="zh-CN" w:bidi="ar-SA"/>
        </w:rPr>
        <w:t>一、基</w:t>
      </w:r>
      <w:r>
        <w:rPr>
          <w:rStyle w:val="18"/>
          <w:rFonts w:ascii="黑体" w:hAnsi="Cambria" w:eastAsia="黑体" w:cs="Times New Roman"/>
          <w:b/>
          <w:bCs/>
          <w:i w:val="0"/>
          <w:caps w:val="0"/>
          <w:spacing w:val="0"/>
          <w:w w:val="100"/>
          <w:kern w:val="2"/>
          <w:sz w:val="32"/>
          <w:szCs w:val="32"/>
          <w:lang w:val="en-US" w:eastAsia="zh-CN" w:bidi="ar-SA"/>
        </w:rPr>
        <w:t>本职能及主要工作</w:t>
      </w:r>
      <w:bookmarkEnd w:id="2"/>
    </w:p>
    <w:p>
      <w:pPr>
        <w:pStyle w:val="2"/>
        <w:widowControl/>
        <w:snapToGrid w:val="0"/>
        <w:spacing w:before="93" w:beforeAutospacing="0" w:after="0" w:afterAutospacing="0" w:line="600" w:lineRule="exact"/>
        <w:jc w:val="both"/>
        <w:textAlignment w:val="baseline"/>
        <w:rPr>
          <w:rStyle w:val="11"/>
          <w:rFonts w:ascii="仿宋" w:eastAsia="仿宋" w:cs="Times New Roman"/>
          <w:b w:val="0"/>
          <w:bCs/>
          <w:i w:val="0"/>
          <w:caps w:val="0"/>
          <w:color w:val="000000"/>
          <w:spacing w:val="0"/>
          <w:w w:val="100"/>
          <w:kern w:val="0"/>
          <w:sz w:val="32"/>
          <w:szCs w:val="32"/>
          <w:lang w:val="en-US" w:eastAsia="zh-CN" w:bidi="ar-SA"/>
        </w:rPr>
      </w:pPr>
      <w:r>
        <w:rPr>
          <w:rStyle w:val="11"/>
          <w:rFonts w:ascii="仿宋" w:eastAsia="仿宋" w:cs="Times New Roman"/>
          <w:b w:val="0"/>
          <w:bCs/>
          <w:i w:val="0"/>
          <w:caps w:val="0"/>
          <w:color w:val="000000"/>
          <w:spacing w:val="0"/>
          <w:w w:val="100"/>
          <w:kern w:val="0"/>
          <w:sz w:val="32"/>
          <w:szCs w:val="32"/>
          <w:lang w:val="en-US" w:eastAsia="zh-CN" w:bidi="ar-SA"/>
        </w:rPr>
        <w:t>（一）主要职能。</w:t>
      </w:r>
    </w:p>
    <w:p>
      <w:pPr>
        <w:snapToGrid w:val="0"/>
        <w:spacing w:before="0" w:beforeAutospacing="0" w:after="0" w:afterAutospacing="0" w:line="576" w:lineRule="exact"/>
        <w:ind w:firstLine="640" w:firstLineChars="200"/>
        <w:jc w:val="both"/>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我院基本医疗工作紧紧围绕“高质量、重服务、惠群众”目标，依托分级诊疗制度，加强新冠疫情防控常态工作，通过加强组织领导，强化人才培训，着力业务拓展，注重指标监控等一系列措施，实现了群众小病不出村，大病不出乡的工作目标，业务量同比大幅增长，群众满意度大幅提升。</w:t>
      </w:r>
    </w:p>
    <w:p>
      <w:pPr>
        <w:numPr>
          <w:ilvl w:val="0"/>
          <w:numId w:val="1"/>
        </w:numPr>
        <w:snapToGrid/>
        <w:spacing w:before="0" w:beforeAutospacing="0" w:after="0" w:afterAutospacing="0" w:line="240" w:lineRule="auto"/>
        <w:ind w:left="0" w:firstLine="640" w:firstLineChars="2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加强组织领导保障：我院基本医疗工作持续高质量发展，我院成立了以院长为组长，资深业务骨干医师为副组长，药房负责人、护理负责人、财务负责人、辅检科室负责人和各村卫生室负责人为成员的专项工作领导小组。领导小组负责制定年度基本医疗工作计划，统筹处理日常工作中的重大事件和基本医疗日常监管等事宜。</w:t>
      </w:r>
    </w:p>
    <w:p>
      <w:pPr>
        <w:numPr>
          <w:ilvl w:val="0"/>
          <w:numId w:val="1"/>
        </w:numPr>
        <w:snapToGrid/>
        <w:spacing w:before="0" w:beforeAutospacing="0" w:after="0" w:afterAutospacing="0" w:line="240" w:lineRule="auto"/>
        <w:ind w:left="0" w:firstLine="640" w:firstLineChars="2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拓展服务项目把能否经受住大战、大考作为体现学习成效的重要指标。重点返乡人员（密切接触者）健康监测全覆盖，哨点诊室改建如期完工并投入使用。</w:t>
      </w:r>
    </w:p>
    <w:p>
      <w:pPr>
        <w:bidi w:val="0"/>
        <w:rPr>
          <w:rFonts w:ascii="Times New Roman" w:hAnsi="Times New Roman" w:eastAsia="方正小标宋简体"/>
          <w:kern w:val="2"/>
          <w:sz w:val="21"/>
          <w:szCs w:val="24"/>
          <w:lang w:val="en-US" w:eastAsia="zh-CN" w:bidi="ar-SA"/>
        </w:rPr>
      </w:pPr>
    </w:p>
    <w:p>
      <w:pPr>
        <w:bidi w:val="0"/>
        <w:jc w:val="center"/>
        <w:rPr>
          <w:lang w:val="en-US" w:eastAsia="zh-CN"/>
        </w:rPr>
      </w:pPr>
    </w:p>
    <w:p>
      <w:pPr>
        <w:numPr>
          <w:ilvl w:val="0"/>
          <w:numId w:val="1"/>
        </w:numPr>
        <w:snapToGrid/>
        <w:spacing w:before="0" w:beforeAutospacing="0" w:after="0" w:afterAutospacing="0" w:line="240" w:lineRule="auto"/>
        <w:ind w:left="0" w:firstLine="640" w:firstLineChars="2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严格质量管理（1）根据业务发展，要求西医全科医师转岗培训、临床全科医师转岗培训</w:t>
      </w:r>
    </w:p>
    <w:p>
      <w:pPr>
        <w:snapToGrid/>
        <w:spacing w:before="0" w:beforeAutospacing="0" w:after="0" w:afterAutospacing="0" w:line="240" w:lineRule="auto"/>
        <w:ind w:firstLine="320" w:firstLineChars="1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（2）强化工作成效。基本公共卫生均等化服务进一步加强，老高糖等特殊群体的健康管理率和管理质量明显提高，基本医疗继续保持高质量发展的趋势</w:t>
      </w:r>
    </w:p>
    <w:p>
      <w:pPr>
        <w:snapToGrid/>
        <w:spacing w:before="0" w:beforeAutospacing="0" w:after="0" w:afterAutospacing="0" w:line="240" w:lineRule="auto"/>
        <w:ind w:firstLine="320" w:firstLineChars="1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3）逗硬奖惩措施。建立健全奖惩制度，对于在“大处方、滥检查、泛耗材”医疗乱象整治过程中不识大体不顾大局、心存侥幸消极怠工、仍然不收手不收敛的相关责任人视其情节严重性和对行业社会不良影响程度予以院内通报批评、扣除相应绩效工资和移交局纪检组等处罚</w:t>
      </w:r>
    </w:p>
    <w:p>
      <w:pPr>
        <w:snapToGrid/>
        <w:spacing w:before="0" w:beforeAutospacing="0" w:after="0" w:afterAutospacing="0" w:line="240" w:lineRule="auto"/>
        <w:ind w:firstLine="320" w:firstLineChars="1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4、健全规章制度，进一步健全完善了工作制度和诊疗规范,制定完善了医疗差错防范制度，急救药品管理制度，危重病人抢救制度，医疗文书书写制度，厨房病历点评制度，进一步规范了医疗行为，结合本院工作实际，进一步优化了护理工作流程</w:t>
      </w:r>
    </w:p>
    <w:p>
      <w:pPr>
        <w:snapToGrid w:val="0"/>
        <w:spacing w:before="0" w:beforeAutospacing="0" w:after="0" w:afterAutospacing="0" w:line="576" w:lineRule="exact"/>
        <w:jc w:val="both"/>
        <w:textAlignment w:val="baseline"/>
        <w:rPr>
          <w:rStyle w:val="11"/>
          <w:rFonts w:ascii="仿宋_GB2312" w:eastAsia="仿宋_GB2312"/>
          <w:b w:val="0"/>
          <w:i w:val="0"/>
          <w:caps w:val="0"/>
          <w:color w:val="000000"/>
          <w:spacing w:val="0"/>
          <w:w w:val="100"/>
          <w:kern w:val="2"/>
          <w:sz w:val="32"/>
          <w:szCs w:val="24"/>
          <w:lang w:val="en-US" w:eastAsia="zh-CN" w:bidi="ar-SA"/>
        </w:rPr>
      </w:pPr>
      <w:r>
        <w:rPr>
          <w:rStyle w:val="11"/>
          <w:rFonts w:ascii="仿宋_GB2312" w:eastAsia="仿宋_GB2312"/>
          <w:b w:val="0"/>
          <w:i w:val="0"/>
          <w:caps w:val="0"/>
          <w:color w:val="000000"/>
          <w:spacing w:val="0"/>
          <w:w w:val="100"/>
          <w:kern w:val="2"/>
          <w:sz w:val="32"/>
          <w:szCs w:val="24"/>
          <w:lang w:val="en-US" w:eastAsia="zh-CN" w:bidi="ar-SA"/>
        </w:rPr>
        <w:t>（二）2020年重点工作完成情况。</w:t>
      </w:r>
    </w:p>
    <w:p>
      <w:pPr>
        <w:snapToGrid/>
        <w:spacing w:before="0" w:beforeAutospacing="0" w:after="0" w:afterAutospacing="0" w:line="360" w:lineRule="auto"/>
        <w:ind w:firstLine="640" w:firstLineChars="200"/>
        <w:jc w:val="both"/>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1、健康扶贫工作</w:t>
      </w:r>
    </w:p>
    <w:p>
      <w:pPr>
        <w:snapToGrid/>
        <w:spacing w:before="0" w:beforeAutospacing="0" w:after="0" w:afterAutospacing="0" w:line="360" w:lineRule="auto"/>
        <w:ind w:firstLine="640" w:firstLineChars="200"/>
        <w:jc w:val="both"/>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 xml:space="preserve">我院在健康扶贫工作中，先后集中4次全覆盖入户开展工作，补办特殊门诊手续51人，为115余人次贫困群众申报了再次医疗救助。 </w:t>
      </w:r>
    </w:p>
    <w:p>
      <w:pPr>
        <w:pStyle w:val="3"/>
        <w:widowControl/>
        <w:snapToGrid/>
        <w:spacing w:before="0" w:beforeAutospacing="0" w:after="0" w:afterAutospacing="0" w:line="576" w:lineRule="exact"/>
        <w:ind w:firstLine="640" w:firstLineChars="200"/>
        <w:jc w:val="both"/>
        <w:textAlignment w:val="baseline"/>
        <w:rPr>
          <w:rStyle w:val="11"/>
          <w:rFonts w:ascii="仿宋" w:hAnsi="Times New Roman" w:eastAsia="仿宋" w:cs="仿宋"/>
          <w:b w:val="0"/>
          <w:bCs/>
          <w:i w:val="0"/>
          <w:caps w:val="0"/>
          <w:color w:val="000000"/>
          <w:spacing w:val="0"/>
          <w:w w:val="100"/>
          <w:kern w:val="2"/>
          <w:sz w:val="32"/>
          <w:szCs w:val="32"/>
          <w:lang w:val="en-US" w:eastAsia="zh-CN" w:bidi="ar-SA"/>
        </w:rPr>
      </w:pPr>
      <w:r>
        <w:rPr>
          <w:rStyle w:val="11"/>
          <w:rFonts w:ascii="仿宋" w:hAnsi="Times New Roman" w:eastAsia="仿宋" w:cs="仿宋"/>
          <w:b w:val="0"/>
          <w:bCs/>
          <w:i w:val="0"/>
          <w:caps w:val="0"/>
          <w:color w:val="000000"/>
          <w:spacing w:val="0"/>
          <w:w w:val="100"/>
          <w:kern w:val="2"/>
          <w:sz w:val="32"/>
          <w:szCs w:val="32"/>
          <w:lang w:val="en-US" w:eastAsia="zh-CN" w:bidi="ar-SA"/>
        </w:rPr>
        <w:t>2.坚决守住了新冠肺炎疫情“零”底线。</w:t>
      </w:r>
    </w:p>
    <w:p>
      <w:pPr>
        <w:pStyle w:val="3"/>
        <w:widowControl/>
        <w:snapToGrid/>
        <w:spacing w:before="0" w:beforeAutospacing="0" w:after="0" w:afterAutospacing="0" w:line="576" w:lineRule="exact"/>
        <w:ind w:firstLine="640" w:firstLineChars="200"/>
        <w:jc w:val="both"/>
        <w:textAlignment w:val="baseline"/>
        <w:rPr>
          <w:rStyle w:val="11"/>
          <w:rFonts w:ascii="仿宋" w:hAnsi="Times New Roman" w:eastAsia="仿宋"/>
          <w:b w:val="0"/>
          <w:i w:val="0"/>
          <w:caps w:val="0"/>
          <w:spacing w:val="0"/>
          <w:w w:val="100"/>
          <w:kern w:val="2"/>
          <w:sz w:val="32"/>
          <w:szCs w:val="32"/>
          <w:lang w:val="en-US" w:eastAsia="zh-CN" w:bidi="ar-SA"/>
        </w:rPr>
      </w:pPr>
      <w:r>
        <w:rPr>
          <w:rStyle w:val="11"/>
          <w:rFonts w:ascii="仿宋" w:hAnsi="Times New Roman" w:eastAsia="仿宋"/>
          <w:b w:val="0"/>
          <w:i w:val="0"/>
          <w:caps w:val="0"/>
          <w:spacing w:val="0"/>
          <w:w w:val="100"/>
          <w:kern w:val="2"/>
          <w:sz w:val="32"/>
          <w:szCs w:val="32"/>
          <w:lang w:val="en-US" w:eastAsia="zh-CN" w:bidi="ar-SA"/>
        </w:rPr>
        <w:t>自新冠肺炎发生以来，我把疫情防控工作作为压倒一切的重大政治任务，深入贯彻习近平总书记重要指示精神，坚决落实党中央、国务院和省、市、区委各项决策部署。作为全区疫情防控指挥部的重要组成单位，我院与疫情防控各组、镇村全面配合，落实各项防控措施。截至目前，坚决守住了新冠肺炎疫情确诊病例“零”、疑似病例“零”底线。</w:t>
      </w:r>
    </w:p>
    <w:p>
      <w:pPr>
        <w:pStyle w:val="3"/>
        <w:widowControl/>
        <w:snapToGrid/>
        <w:spacing w:before="0" w:beforeAutospacing="0" w:after="0" w:afterAutospacing="0" w:line="576" w:lineRule="exact"/>
        <w:ind w:left="420" w:leftChars="200"/>
        <w:jc w:val="both"/>
        <w:textAlignment w:val="baseline"/>
        <w:rPr>
          <w:rStyle w:val="11"/>
          <w:rFonts w:ascii="仿宋" w:hAnsi="Times New Roman" w:eastAsia="仿宋" w:cs="仿宋"/>
          <w:b/>
          <w:bCs/>
          <w:i w:val="0"/>
          <w:caps w:val="0"/>
          <w:spacing w:val="0"/>
          <w:w w:val="100"/>
          <w:kern w:val="2"/>
          <w:sz w:val="32"/>
          <w:szCs w:val="32"/>
          <w:lang w:val="en-US" w:eastAsia="zh-CN" w:bidi="ar-SA"/>
        </w:rPr>
      </w:pPr>
      <w:r>
        <w:rPr>
          <w:rStyle w:val="11"/>
          <w:rFonts w:ascii="仿宋" w:hAnsi="Times New Roman" w:eastAsia="仿宋"/>
          <w:b w:val="0"/>
          <w:i w:val="0"/>
          <w:caps w:val="0"/>
          <w:spacing w:val="0"/>
          <w:w w:val="100"/>
          <w:kern w:val="2"/>
          <w:sz w:val="32"/>
          <w:szCs w:val="32"/>
          <w:lang w:val="en-US" w:eastAsia="zh-CN" w:bidi="ar-SA"/>
        </w:rPr>
        <w:t>3、业务完成情况</w:t>
      </w:r>
    </w:p>
    <w:p>
      <w:pPr>
        <w:snapToGrid/>
        <w:spacing w:before="0" w:beforeAutospacing="0" w:after="0" w:afterAutospacing="0" w:line="240" w:lineRule="auto"/>
        <w:ind w:firstLine="640" w:firstLineChars="2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eastAsia="仿宋_GB2312"/>
          <w:b w:val="0"/>
          <w:i w:val="0"/>
          <w:caps w:val="0"/>
          <w:spacing w:val="0"/>
          <w:w w:val="100"/>
          <w:kern w:val="2"/>
          <w:sz w:val="32"/>
          <w:szCs w:val="32"/>
          <w:lang w:val="en-US" w:eastAsia="zh-CN" w:bidi="ar-SA"/>
        </w:rPr>
        <w:t>2020年门诊人次同比增加2.5%，业务总收入增加2.35%。安全生产，法律进医院等工作有序推进。上一年度存在的问题已全面整改。</w:t>
      </w:r>
      <w:r>
        <w:rPr>
          <w:rStyle w:val="11"/>
          <w:rFonts w:ascii="仿宋_GB2312" w:eastAsia="仿宋_GB2312"/>
          <w:b w:val="0"/>
          <w:i w:val="0"/>
          <w:caps w:val="0"/>
          <w:spacing w:val="0"/>
          <w:w w:val="100"/>
          <w:kern w:val="2"/>
          <w:sz w:val="32"/>
          <w:szCs w:val="32"/>
          <w:lang w:val="en-US" w:eastAsia="zh-CN" w:bidi="ar-SA"/>
        </w:rPr>
        <w:t>以“三基三严”标准为蓝本，严格按照区卫健局的相关要求，执行医师查房制度，医嘱制度及病例讨论制度，病历能按规范要求书写，并在24小时内完成。病程记录准确率明显提高，住院病历诊断符合率100%，用药合理性逐渐加强，特别是抗生素的合理使用率显著提高。全年无医疗事故和重大医疗过失发生。</w:t>
      </w:r>
    </w:p>
    <w:p>
      <w:pPr>
        <w:snapToGrid/>
        <w:spacing w:before="0" w:beforeAutospacing="0" w:after="0" w:afterAutospacing="0" w:line="240" w:lineRule="auto"/>
        <w:ind w:firstLine="640" w:firstLineChars="2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4、加强院感控制</w:t>
      </w:r>
    </w:p>
    <w:p>
      <w:pPr>
        <w:snapToGrid/>
        <w:spacing w:before="0" w:beforeAutospacing="0" w:after="0" w:afterAutospacing="0" w:line="240" w:lineRule="auto"/>
        <w:ind w:firstLine="640" w:firstLineChars="2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进一步完善了医疗废物分类收集及医疗垃圾管理流程,制定完善了医院感染控制管理制度;废物意外事故应急处置预案；医疗废物处置突发事件应急预案医疗垃圾接运专程路线图；医疗废物内部转运制度等管理制度。落实了登记制度,做到了有章可循。卫生院每季度对全院卫生专业人员和村医院内感染知识进行考核,对各科室和村卫生室医疗垃圾登记及一次性物品毁形及分类收集情况进行检查,发现问题及时处理。</w:t>
      </w:r>
    </w:p>
    <w:p>
      <w:pPr>
        <w:snapToGrid/>
        <w:spacing w:before="0" w:beforeAutospacing="0" w:after="0" w:afterAutospacing="0" w:line="240" w:lineRule="auto"/>
        <w:ind w:firstLine="640" w:firstLineChars="2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5、加强人才培养</w:t>
      </w:r>
    </w:p>
    <w:p>
      <w:pPr>
        <w:snapToGrid/>
        <w:spacing w:before="0" w:beforeAutospacing="0" w:after="0" w:afterAutospacing="0" w:line="240" w:lineRule="auto"/>
        <w:ind w:firstLine="640" w:firstLineChars="2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坚持院内培训制度。采用医院--科室--自学相结合的学习方法，并要求科室及个人要分层次制定学习培训计划，加强医务人员三基培训工作。院内培训采取专题讲座、座谈讨论等形式，内容涉及医患沟通、医疗安全等方面内容。通过一系列的学习与考核，提高了医生对危急、重症患者抢救的应急能力。</w:t>
      </w:r>
    </w:p>
    <w:p>
      <w:pPr>
        <w:snapToGrid/>
        <w:spacing w:before="0" w:beforeAutospacing="0" w:after="0" w:afterAutospacing="0" w:line="240" w:lineRule="auto"/>
        <w:ind w:firstLine="640" w:firstLineChars="200"/>
        <w:jc w:val="left"/>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 xml:space="preserve">6、绩效考核 </w:t>
      </w:r>
    </w:p>
    <w:p>
      <w:pPr>
        <w:snapToGrid/>
        <w:spacing w:before="0" w:beforeAutospacing="0" w:after="0" w:afterAutospacing="0" w:line="540" w:lineRule="exact"/>
        <w:ind w:firstLine="640" w:firstLineChars="200"/>
        <w:jc w:val="left"/>
        <w:textAlignment w:val="baseline"/>
        <w:rPr>
          <w:rStyle w:val="11"/>
          <w:rFonts w:ascii="Times New Roman" w:hAnsi="Times New Roman" w:eastAsia="方正小标宋简体"/>
          <w:b w:val="0"/>
          <w:i w:val="0"/>
          <w:caps w:val="0"/>
          <w:spacing w:val="0"/>
          <w:w w:val="100"/>
          <w:kern w:val="2"/>
          <w:sz w:val="21"/>
          <w:szCs w:val="24"/>
          <w:lang w:val="en-US" w:eastAsia="zh-CN" w:bidi="ar-SA"/>
        </w:rPr>
      </w:pPr>
      <w:r>
        <w:rPr>
          <w:rStyle w:val="11"/>
          <w:rFonts w:ascii="仿宋_GB2312" w:eastAsia="仿宋_GB2312"/>
          <w:b w:val="0"/>
          <w:i w:val="0"/>
          <w:caps w:val="0"/>
          <w:spacing w:val="0"/>
          <w:w w:val="100"/>
          <w:kern w:val="2"/>
          <w:sz w:val="32"/>
          <w:szCs w:val="32"/>
          <w:lang w:val="en-US" w:eastAsia="zh-CN" w:bidi="ar-SA"/>
        </w:rPr>
        <w:t>根据职工在岗时间，以岗位定额补贴、业绩考核以及全院测评相结合，外派公差视同为在岗，外派学习期间按照原在岗期间业绩水平百分之五十发放，全院职工对在编人员就业务工作不记名打分，年终汇总计算月平均计分，业务评分每月以100分为满分。</w:t>
      </w:r>
    </w:p>
    <w:p>
      <w:pPr>
        <w:snapToGrid/>
        <w:spacing w:before="0" w:beforeAutospacing="0" w:after="0" w:afterAutospacing="0" w:line="576" w:lineRule="exact"/>
        <w:ind w:firstLine="640" w:firstLineChars="200"/>
        <w:jc w:val="both"/>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虽然我院的基本医疗工作有一定进步，但离组织的要求和人民的期盼还有一定差距，如对重大疾病的诊治能力十分薄弱，医疗文书书写有待进一步规范，医疗服务项目有待进一步拓展。接下来，我们将针对存在的薄弱环节，努力提升诊疗水平，强化医疗质量管理，拓展医疗服务项目，确保为人民群众提供高质量的基本医疗服务。下一步思路和主要措施。一是解放思想，针对具体工作找措施。二是严格执行单位各项制度，做到令行禁止。三是从思想上真正认识意识形态工作的重要性，落实在各项工作中。</w:t>
      </w:r>
    </w:p>
    <w:p>
      <w:pPr>
        <w:snapToGrid/>
        <w:spacing w:before="0" w:beforeAutospacing="0" w:after="0" w:afterAutospacing="0" w:line="240" w:lineRule="auto"/>
        <w:ind w:firstLine="640" w:firstLineChars="200"/>
        <w:jc w:val="left"/>
        <w:textAlignment w:val="baseline"/>
        <w:rPr>
          <w:rStyle w:val="11"/>
          <w:rFonts w:ascii="仿宋_GB2312" w:eastAsia="仿宋_GB2312"/>
          <w:b w:val="0"/>
          <w:i w:val="0"/>
          <w:caps w:val="0"/>
          <w:spacing w:val="0"/>
          <w:w w:val="100"/>
          <w:kern w:val="2"/>
          <w:sz w:val="32"/>
          <w:szCs w:val="32"/>
          <w:lang w:val="en-US" w:eastAsia="zh-CN" w:bidi="ar-SA"/>
        </w:rPr>
      </w:pP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11"/>
          <w:rFonts w:ascii="Times New Roman" w:hAnsi="Times New Roman" w:eastAsia="方正小标宋简体"/>
          <w:b w:val="0"/>
          <w:i w:val="0"/>
          <w:caps w:val="0"/>
          <w:spacing w:val="0"/>
          <w:w w:val="100"/>
          <w:sz w:val="21"/>
        </w:rPr>
      </w:pPr>
    </w:p>
    <w:p>
      <w:pPr>
        <w:snapToGrid/>
        <w:spacing w:before="0" w:beforeAutospacing="0" w:after="0" w:afterAutospacing="0" w:line="576" w:lineRule="exact"/>
        <w:ind w:firstLine="640" w:firstLineChars="200"/>
        <w:jc w:val="both"/>
        <w:textAlignment w:val="baseline"/>
        <w:rPr>
          <w:rStyle w:val="11"/>
          <w:rFonts w:eastAsia="仿宋_GB2312"/>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方正小标宋简体"/>
          <w:b w:val="0"/>
          <w:i w:val="0"/>
          <w:caps w:val="0"/>
          <w:spacing w:val="0"/>
          <w:w w:val="100"/>
          <w:kern w:val="2"/>
          <w:sz w:val="21"/>
          <w:szCs w:val="24"/>
          <w:lang w:val="en-US" w:eastAsia="zh-CN" w:bidi="ar-SA"/>
        </w:rPr>
      </w:pPr>
    </w:p>
    <w:p>
      <w:pPr>
        <w:pStyle w:val="14"/>
        <w:keepLines/>
        <w:numPr>
          <w:ilvl w:val="0"/>
          <w:numId w:val="2"/>
        </w:numPr>
        <w:snapToGrid/>
        <w:spacing w:before="260" w:beforeAutospacing="0" w:after="260" w:afterAutospacing="0" w:line="415" w:lineRule="auto"/>
        <w:ind w:left="0" w:firstLine="0"/>
        <w:jc w:val="both"/>
        <w:textAlignment w:val="baseline"/>
        <w:outlineLvl w:val="1"/>
        <w:rPr>
          <w:rStyle w:val="18"/>
          <w:rFonts w:ascii="黑体" w:hAnsi="Cambria" w:eastAsia="黑体" w:cs="Times New Roman"/>
          <w:b/>
          <w:bCs/>
          <w:i w:val="0"/>
          <w:caps w:val="0"/>
          <w:spacing w:val="0"/>
          <w:w w:val="100"/>
          <w:kern w:val="2"/>
          <w:sz w:val="32"/>
          <w:szCs w:val="32"/>
          <w:lang w:val="en-US" w:eastAsia="zh-CN" w:bidi="ar-SA"/>
        </w:rPr>
      </w:pPr>
      <w:bookmarkStart w:id="3" w:name="_Toc8891"/>
      <w:r>
        <w:rPr>
          <w:rStyle w:val="11"/>
          <w:rFonts w:ascii="黑体" w:hAnsi="Cambria" w:eastAsia="黑体" w:cs="Times New Roman"/>
          <w:b w:val="0"/>
          <w:bCs/>
          <w:i w:val="0"/>
          <w:caps w:val="0"/>
          <w:color w:val="000000"/>
          <w:spacing w:val="0"/>
          <w:w w:val="100"/>
          <w:kern w:val="2"/>
          <w:sz w:val="32"/>
          <w:szCs w:val="32"/>
          <w:lang w:val="en-US" w:eastAsia="zh-CN" w:bidi="ar-SA"/>
        </w:rPr>
        <w:t>机</w:t>
      </w:r>
      <w:r>
        <w:rPr>
          <w:rStyle w:val="18"/>
          <w:rFonts w:ascii="黑体" w:hAnsi="Cambria" w:eastAsia="黑体" w:cs="Times New Roman"/>
          <w:b/>
          <w:bCs/>
          <w:i w:val="0"/>
          <w:caps w:val="0"/>
          <w:spacing w:val="0"/>
          <w:w w:val="100"/>
          <w:kern w:val="2"/>
          <w:sz w:val="32"/>
          <w:szCs w:val="32"/>
          <w:lang w:val="en-US" w:eastAsia="zh-CN" w:bidi="ar-SA"/>
        </w:rPr>
        <w:t>构设置</w:t>
      </w:r>
      <w:bookmarkEnd w:id="3"/>
    </w:p>
    <w:p>
      <w:pPr>
        <w:pStyle w:val="2"/>
        <w:widowControl/>
        <w:snapToGrid w:val="0"/>
        <w:spacing w:before="93" w:beforeAutospacing="0" w:after="0" w:afterAutospacing="0" w:line="600" w:lineRule="exact"/>
        <w:ind w:firstLine="640" w:firstLineChars="200"/>
        <w:jc w:val="both"/>
        <w:textAlignment w:val="baseline"/>
        <w:rPr>
          <w:rStyle w:val="11"/>
          <w:rFonts w:ascii="仿宋" w:eastAsia="仿宋"/>
          <w:b w:val="0"/>
          <w:i w:val="0"/>
          <w:caps w:val="0"/>
          <w:color w:val="000000"/>
          <w:spacing w:val="0"/>
          <w:w w:val="100"/>
          <w:kern w:val="0"/>
          <w:sz w:val="32"/>
          <w:szCs w:val="32"/>
          <w:lang w:val="en-US" w:eastAsia="zh-CN" w:bidi="ar-SA"/>
        </w:rPr>
      </w:pPr>
      <w:r>
        <w:rPr>
          <w:rStyle w:val="11"/>
          <w:rFonts w:ascii="仿宋_GB2312" w:eastAsia="仿宋_GB2312"/>
          <w:b w:val="0"/>
          <w:i w:val="0"/>
          <w:caps w:val="0"/>
          <w:color w:val="000000"/>
          <w:spacing w:val="0"/>
          <w:w w:val="100"/>
          <w:kern w:val="0"/>
          <w:sz w:val="32"/>
          <w:szCs w:val="32"/>
          <w:lang w:val="en-US" w:eastAsia="zh-CN" w:bidi="ar-SA"/>
        </w:rPr>
        <w:t>昭化区柳桥卫生院下属5个村卫生站：柳桥村卫生站，东山村卫生站、新胜村卫生站、分水岭村卫生站、普子村卫生站。</w:t>
      </w:r>
      <w:r>
        <w:rPr>
          <w:rStyle w:val="11"/>
          <w:rFonts w:ascii="仿宋" w:eastAsia="仿宋"/>
          <w:b w:val="0"/>
          <w:i w:val="0"/>
          <w:caps w:val="0"/>
          <w:color w:val="000000"/>
          <w:spacing w:val="0"/>
          <w:w w:val="100"/>
          <w:kern w:val="0"/>
          <w:sz w:val="32"/>
          <w:szCs w:val="32"/>
          <w:lang w:val="en-US" w:eastAsia="zh-CN" w:bidi="ar-SA"/>
        </w:rPr>
        <w:t>纳入2020年度</w:t>
      </w:r>
      <w:r>
        <w:rPr>
          <w:rStyle w:val="11"/>
          <w:rFonts w:hint="eastAsia" w:ascii="仿宋" w:eastAsia="仿宋"/>
          <w:b w:val="0"/>
          <w:i w:val="0"/>
          <w:caps w:val="0"/>
          <w:color w:val="000000"/>
          <w:spacing w:val="0"/>
          <w:w w:val="100"/>
          <w:kern w:val="0"/>
          <w:sz w:val="32"/>
          <w:szCs w:val="32"/>
          <w:lang w:val="en-US" w:eastAsia="zh-CN" w:bidi="ar-SA"/>
        </w:rPr>
        <w:t>单位</w:t>
      </w:r>
      <w:r>
        <w:rPr>
          <w:rStyle w:val="11"/>
          <w:rFonts w:ascii="仿宋" w:eastAsia="仿宋"/>
          <w:b w:val="0"/>
          <w:i w:val="0"/>
          <w:caps w:val="0"/>
          <w:color w:val="000000"/>
          <w:spacing w:val="0"/>
          <w:w w:val="100"/>
          <w:kern w:val="0"/>
          <w:sz w:val="32"/>
          <w:szCs w:val="32"/>
          <w:lang w:val="en-US" w:eastAsia="zh-CN" w:bidi="ar-SA"/>
        </w:rPr>
        <w:t>决算编制范围的单位：广元市昭化区柳桥乡卫生院。</w:t>
      </w:r>
    </w:p>
    <w:p>
      <w:pPr>
        <w:pStyle w:val="13"/>
        <w:keepLines/>
        <w:snapToGrid/>
        <w:spacing w:before="340" w:beforeAutospacing="0" w:after="330" w:afterAutospacing="0" w:line="578" w:lineRule="auto"/>
        <w:ind w:right="440"/>
        <w:jc w:val="both"/>
        <w:textAlignment w:val="baseline"/>
        <w:outlineLvl w:val="0"/>
        <w:rPr>
          <w:rStyle w:val="17"/>
          <w:rFonts w:ascii="黑体" w:hAnsi="Times New Roman" w:eastAsia="黑体" w:cs="Times New Roman"/>
          <w:b/>
          <w:bCs/>
          <w:i w:val="0"/>
          <w:caps w:val="0"/>
          <w:spacing w:val="0"/>
          <w:w w:val="100"/>
          <w:kern w:val="44"/>
          <w:sz w:val="44"/>
          <w:szCs w:val="44"/>
          <w:lang w:val="en-US" w:eastAsia="zh-CN" w:bidi="ar-SA"/>
        </w:rPr>
      </w:pPr>
      <w:bookmarkStart w:id="4" w:name="_Toc17071"/>
      <w:r>
        <w:rPr>
          <w:rStyle w:val="11"/>
          <w:rFonts w:ascii="黑体" w:eastAsia="黑体" w:cs="Times New Roman"/>
          <w:b w:val="0"/>
          <w:bCs/>
          <w:i w:val="0"/>
          <w:caps w:val="0"/>
          <w:color w:val="000000"/>
          <w:spacing w:val="0"/>
          <w:w w:val="100"/>
          <w:kern w:val="44"/>
          <w:sz w:val="44"/>
          <w:szCs w:val="44"/>
          <w:lang w:val="en-US" w:eastAsia="zh-CN" w:bidi="ar-SA"/>
        </w:rPr>
        <w:t>第二部分</w:t>
      </w:r>
      <w:r>
        <w:rPr>
          <w:rStyle w:val="11"/>
          <w:rFonts w:ascii="黑体" w:eastAsia="黑体" w:cs="Times New Roman"/>
          <w:b/>
          <w:bCs/>
          <w:i w:val="0"/>
          <w:caps w:val="0"/>
          <w:color w:val="000000"/>
          <w:spacing w:val="0"/>
          <w:w w:val="100"/>
          <w:kern w:val="44"/>
          <w:sz w:val="44"/>
          <w:szCs w:val="44"/>
          <w:lang w:val="en-US" w:eastAsia="zh-CN" w:bidi="ar-SA"/>
        </w:rPr>
        <w:t xml:space="preserve"> </w:t>
      </w:r>
      <w:r>
        <w:rPr>
          <w:rStyle w:val="17"/>
          <w:rFonts w:ascii="黑体" w:hAnsi="Times New Roman" w:eastAsia="黑体" w:cs="Times New Roman"/>
          <w:b/>
          <w:bCs/>
          <w:i w:val="0"/>
          <w:caps w:val="0"/>
          <w:spacing w:val="0"/>
          <w:w w:val="100"/>
          <w:kern w:val="44"/>
          <w:sz w:val="44"/>
          <w:szCs w:val="44"/>
          <w:lang w:val="en-US" w:eastAsia="zh-CN" w:bidi="ar-SA"/>
        </w:rPr>
        <w:t>2020年度</w:t>
      </w:r>
      <w:r>
        <w:rPr>
          <w:rStyle w:val="17"/>
          <w:rFonts w:hint="eastAsia" w:ascii="黑体" w:eastAsia="黑体" w:cs="Times New Roman"/>
          <w:b/>
          <w:bCs/>
          <w:i w:val="0"/>
          <w:caps w:val="0"/>
          <w:spacing w:val="0"/>
          <w:w w:val="100"/>
          <w:kern w:val="44"/>
          <w:sz w:val="44"/>
          <w:szCs w:val="44"/>
          <w:lang w:val="en-US" w:eastAsia="zh-CN" w:bidi="ar-SA"/>
        </w:rPr>
        <w:t>单位</w:t>
      </w:r>
      <w:r>
        <w:rPr>
          <w:rStyle w:val="17"/>
          <w:rFonts w:ascii="黑体" w:hAnsi="Times New Roman" w:eastAsia="黑体" w:cs="Times New Roman"/>
          <w:b/>
          <w:bCs/>
          <w:i w:val="0"/>
          <w:caps w:val="0"/>
          <w:spacing w:val="0"/>
          <w:w w:val="100"/>
          <w:kern w:val="44"/>
          <w:sz w:val="44"/>
          <w:szCs w:val="44"/>
          <w:lang w:val="en-US" w:eastAsia="zh-CN" w:bidi="ar-SA"/>
        </w:rPr>
        <w:t>决算情况说明</w:t>
      </w:r>
      <w:bookmarkEnd w:id="4"/>
    </w:p>
    <w:p>
      <w:pPr>
        <w:snapToGrid/>
        <w:spacing w:before="0" w:beforeAutospacing="0" w:after="0" w:afterAutospacing="0" w:line="240" w:lineRule="auto"/>
        <w:jc w:val="both"/>
        <w:textAlignment w:val="baseline"/>
        <w:rPr>
          <w:rStyle w:val="11"/>
          <w:rFonts w:ascii="Times New Roman" w:hAnsi="Times New Roman" w:eastAsia="方正小标宋简体"/>
          <w:b w:val="0"/>
          <w:i w:val="0"/>
          <w:caps w:val="0"/>
          <w:spacing w:val="0"/>
          <w:w w:val="100"/>
          <w:kern w:val="2"/>
          <w:sz w:val="21"/>
          <w:szCs w:val="24"/>
          <w:lang w:val="en-US" w:eastAsia="zh-CN" w:bidi="ar-SA"/>
        </w:rPr>
      </w:pPr>
    </w:p>
    <w:p>
      <w:pPr>
        <w:pStyle w:val="32"/>
        <w:widowControl/>
        <w:numPr>
          <w:ilvl w:val="0"/>
          <w:numId w:val="3"/>
        </w:numPr>
        <w:snapToGrid/>
        <w:spacing w:before="0" w:beforeAutospacing="0" w:after="0" w:afterAutospacing="0" w:line="600" w:lineRule="exact"/>
        <w:ind w:left="1360" w:firstLineChars="0"/>
        <w:jc w:val="both"/>
        <w:textAlignment w:val="baseline"/>
        <w:outlineLvl w:val="1"/>
        <w:rPr>
          <w:rStyle w:val="18"/>
          <w:rFonts w:ascii="黑体" w:hAnsi="Cambria" w:eastAsia="黑体" w:cs="Times New Roman"/>
          <w:b w:val="0"/>
          <w:bCs/>
          <w:i w:val="0"/>
          <w:caps w:val="0"/>
          <w:spacing w:val="0"/>
          <w:w w:val="100"/>
          <w:kern w:val="2"/>
          <w:sz w:val="32"/>
          <w:szCs w:val="32"/>
        </w:rPr>
      </w:pPr>
      <w:bookmarkStart w:id="5" w:name="_Toc24681"/>
      <w:r>
        <w:rPr>
          <w:rStyle w:val="11"/>
          <w:rFonts w:ascii="黑体" w:eastAsia="黑体"/>
          <w:b w:val="0"/>
          <w:i w:val="0"/>
          <w:caps w:val="0"/>
          <w:color w:val="000000"/>
          <w:spacing w:val="0"/>
          <w:w w:val="100"/>
          <w:sz w:val="32"/>
          <w:szCs w:val="32"/>
        </w:rPr>
        <w:t>收</w:t>
      </w:r>
      <w:r>
        <w:rPr>
          <w:rStyle w:val="18"/>
          <w:rFonts w:ascii="黑体" w:hAnsi="Cambria" w:eastAsia="黑体" w:cs="Times New Roman"/>
          <w:b w:val="0"/>
          <w:bCs/>
          <w:i w:val="0"/>
          <w:caps w:val="0"/>
          <w:spacing w:val="0"/>
          <w:w w:val="100"/>
          <w:kern w:val="2"/>
          <w:sz w:val="32"/>
          <w:szCs w:val="32"/>
        </w:rPr>
        <w:t>入支出决算总体情况说明</w:t>
      </w:r>
      <w:bookmarkEnd w:id="5"/>
    </w:p>
    <w:p>
      <w:pPr>
        <w:snapToGrid/>
        <w:spacing w:before="0" w:beforeAutospacing="0" w:after="0" w:afterAutospacing="0" w:line="600" w:lineRule="exact"/>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2020年柳桥卫生院收支总计174.3万元，与2019年相比收、支总计各增加了37.46</w:t>
      </w:r>
      <w:r>
        <w:rPr>
          <w:rStyle w:val="11"/>
          <w:rFonts w:ascii="仿宋" w:eastAsia="仿宋"/>
          <w:b w:val="0"/>
          <w:i w:val="0"/>
          <w:caps w:val="0"/>
          <w:spacing w:val="0"/>
          <w:w w:val="100"/>
          <w:kern w:val="2"/>
          <w:sz w:val="32"/>
          <w:szCs w:val="32"/>
          <w:lang w:val="en-US" w:eastAsia="zh-CN" w:bidi="ar-SA"/>
        </w:rPr>
        <w:t>万元，增长27.38%。主要变动原因是：人员经费增加了28.82万元，向上争取到抗疫特别国债债券资金16.84万元，主要用</w:t>
      </w:r>
      <w:r>
        <w:rPr>
          <w:rStyle w:val="11"/>
          <w:rFonts w:ascii="仿宋_GB2312" w:eastAsia="仿宋_GB2312"/>
          <w:b w:val="0"/>
          <w:i w:val="0"/>
          <w:caps w:val="0"/>
          <w:color w:val="000000"/>
          <w:spacing w:val="0"/>
          <w:w w:val="100"/>
          <w:kern w:val="2"/>
          <w:sz w:val="32"/>
          <w:szCs w:val="32"/>
          <w:lang w:val="en-US" w:eastAsia="zh-CN" w:bidi="ar-SA"/>
        </w:rPr>
        <w:t>卫生院哨点诊室建设</w:t>
      </w:r>
      <w:r>
        <w:rPr>
          <w:rStyle w:val="11"/>
          <w:rFonts w:ascii="仿宋" w:eastAsia="仿宋"/>
          <w:b w:val="0"/>
          <w:i w:val="0"/>
          <w:caps w:val="0"/>
          <w:spacing w:val="0"/>
          <w:w w:val="100"/>
          <w:kern w:val="2"/>
          <w:sz w:val="32"/>
          <w:szCs w:val="32"/>
          <w:lang w:val="en-US" w:eastAsia="zh-CN" w:bidi="ar-SA"/>
        </w:rPr>
        <w:t>、污水处理及医废检测系统购置。事业收入减少了7.95万元，其他收入减少了0.25万元。</w:t>
      </w: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11"/>
          <w:rFonts w:ascii="Times New Roman" w:hAnsi="Times New Roman" w:eastAsia="方正小标宋简体"/>
          <w:b w:val="0"/>
          <w:i w:val="0"/>
          <w:caps w:val="0"/>
          <w:spacing w:val="0"/>
          <w:w w:val="100"/>
          <w:sz w:val="21"/>
        </w:rPr>
      </w:pPr>
      <w:r>
        <w:rPr>
          <w:rStyle w:val="11"/>
          <w:rFonts w:ascii="Times New Roman" w:hAnsi="Times New Roman" w:eastAsia="方正小标宋简体"/>
          <w:b w:val="0"/>
          <w:i w:val="0"/>
          <w:caps w:val="0"/>
          <w:spacing w:val="0"/>
          <w:w w:val="100"/>
          <w:sz w:val="21"/>
        </w:rPr>
        <w:pict>
          <v:shape id="_x0000_i1025" o:spt="75" type="#_x0000_t75" style="height:136.8pt;width:180.95pt;" filled="f" stroked="f" coordsize="21600,21600">
            <v:path/>
            <v:fill on="f" focussize="0,0"/>
            <v:stroke on="f" joinstyle="miter"/>
            <v:imagedata r:id="rId10" o:title=""/>
            <o:lock v:ext="edit" aspectratio="t"/>
            <w10:wrap type="none"/>
            <w10:anchorlock/>
          </v:shape>
        </w:pict>
      </w:r>
    </w:p>
    <w:p>
      <w:pPr>
        <w:widowControl/>
        <w:snapToGrid/>
        <w:spacing w:before="0" w:beforeAutospacing="0" w:after="0" w:afterAutospacing="0" w:line="240" w:lineRule="auto"/>
        <w:jc w:val="left"/>
        <w:textAlignment w:val="baseline"/>
        <w:rPr>
          <w:rStyle w:val="11"/>
          <w:rFonts w:ascii="仿宋_GB2312" w:eastAsia="仿宋_GB2312"/>
          <w:b w:val="0"/>
          <w:i w:val="0"/>
          <w:caps w:val="0"/>
          <w:color w:val="000000"/>
          <w:spacing w:val="0"/>
          <w:w w:val="100"/>
          <w:kern w:val="2"/>
          <w:sz w:val="32"/>
          <w:szCs w:val="32"/>
          <w:lang w:val="en-US" w:eastAsia="zh-CN" w:bidi="ar-SA"/>
        </w:rPr>
      </w:pPr>
    </w:p>
    <w:p>
      <w:pPr>
        <w:pStyle w:val="32"/>
        <w:widowControl/>
        <w:numPr>
          <w:ilvl w:val="0"/>
          <w:numId w:val="3"/>
        </w:numPr>
        <w:snapToGrid/>
        <w:spacing w:before="0" w:beforeAutospacing="0" w:after="0" w:afterAutospacing="0" w:line="600" w:lineRule="exact"/>
        <w:ind w:left="1360" w:firstLineChars="0"/>
        <w:jc w:val="both"/>
        <w:textAlignment w:val="baseline"/>
        <w:outlineLvl w:val="1"/>
        <w:rPr>
          <w:rStyle w:val="18"/>
          <w:rFonts w:ascii="黑体" w:hAnsi="Cambria" w:eastAsia="黑体" w:cs="Times New Roman"/>
          <w:b w:val="0"/>
          <w:bCs/>
          <w:i w:val="0"/>
          <w:caps w:val="0"/>
          <w:spacing w:val="0"/>
          <w:w w:val="100"/>
          <w:kern w:val="2"/>
          <w:sz w:val="32"/>
          <w:szCs w:val="32"/>
        </w:rPr>
      </w:pPr>
      <w:bookmarkStart w:id="6" w:name="_Toc4197"/>
      <w:r>
        <w:rPr>
          <w:rStyle w:val="11"/>
          <w:rFonts w:ascii="黑体" w:eastAsia="黑体"/>
          <w:b w:val="0"/>
          <w:i w:val="0"/>
          <w:caps w:val="0"/>
          <w:color w:val="000000"/>
          <w:spacing w:val="0"/>
          <w:w w:val="100"/>
          <w:sz w:val="32"/>
          <w:szCs w:val="32"/>
        </w:rPr>
        <w:t>收</w:t>
      </w:r>
      <w:r>
        <w:rPr>
          <w:rStyle w:val="18"/>
          <w:rFonts w:ascii="黑体" w:hAnsi="Cambria" w:eastAsia="黑体" w:cs="Times New Roman"/>
          <w:b w:val="0"/>
          <w:bCs/>
          <w:i w:val="0"/>
          <w:caps w:val="0"/>
          <w:spacing w:val="0"/>
          <w:w w:val="100"/>
          <w:kern w:val="2"/>
          <w:sz w:val="32"/>
          <w:szCs w:val="32"/>
        </w:rPr>
        <w:t>入决算情况说明</w:t>
      </w:r>
      <w:bookmarkEnd w:id="6"/>
    </w:p>
    <w:p>
      <w:pPr>
        <w:snapToGrid/>
        <w:spacing w:before="0" w:beforeAutospacing="0" w:after="0" w:afterAutospacing="0" w:line="600" w:lineRule="exact"/>
        <w:ind w:firstLine="640" w:firstLineChars="20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2020年本年收入合计 174.3万元，其中：一般公共预算财政拨款收入117.66万元，占67.5%；政府性基金16.84万元，占9.6%，事业收入39.8万元，占22.83%</w:t>
      </w: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11"/>
          <w:rFonts w:ascii="仿宋" w:eastAsia="仿宋"/>
          <w:b w:val="0"/>
          <w:i w:val="0"/>
          <w:caps w:val="0"/>
          <w:spacing w:val="0"/>
          <w:w w:val="100"/>
          <w:sz w:val="21"/>
          <w:szCs w:val="32"/>
        </w:rPr>
      </w:pPr>
      <w:r>
        <w:rPr>
          <w:rStyle w:val="11"/>
          <w:rFonts w:ascii="Times New Roman" w:hAnsi="Times New Roman" w:eastAsia="方正小标宋简体"/>
          <w:b w:val="0"/>
          <w:i w:val="0"/>
          <w:caps w:val="0"/>
          <w:spacing w:val="0"/>
          <w:w w:val="100"/>
          <w:sz w:val="21"/>
        </w:rPr>
        <w:pict>
          <v:shape id="_x0000_i1026" o:spt="75" type="#_x0000_t75" style="height:168pt;width:292.3pt;" filled="f" stroked="f" coordsize="21600,21600">
            <v:path/>
            <v:fill on="f" focussize="0,0"/>
            <v:stroke on="f" joinstyle="miter"/>
            <v:imagedata r:id="rId11" o:title=""/>
            <o:lock v:ext="edit" aspectratio="t"/>
            <w10:wrap type="none"/>
            <w10:anchorlock/>
          </v:shape>
        </w:pict>
      </w:r>
    </w:p>
    <w:p>
      <w:pPr>
        <w:snapToGrid/>
        <w:spacing w:before="0" w:beforeAutospacing="0" w:after="0" w:afterAutospacing="0" w:line="240" w:lineRule="auto"/>
        <w:jc w:val="both"/>
        <w:textAlignment w:val="baseline"/>
        <w:rPr>
          <w:rStyle w:val="11"/>
          <w:rFonts w:ascii="Times New Roman" w:hAnsi="Times New Roman" w:eastAsia="方正小标宋简体"/>
          <w:b w:val="0"/>
          <w:i w:val="0"/>
          <w:caps w:val="0"/>
          <w:spacing w:val="0"/>
          <w:w w:val="100"/>
          <w:kern w:val="2"/>
          <w:sz w:val="21"/>
          <w:szCs w:val="24"/>
          <w:lang w:val="en-US" w:eastAsia="zh-CN" w:bidi="ar-SA"/>
        </w:rPr>
      </w:pPr>
    </w:p>
    <w:p>
      <w:pPr>
        <w:pStyle w:val="32"/>
        <w:widowControl/>
        <w:numPr>
          <w:ilvl w:val="0"/>
          <w:numId w:val="3"/>
        </w:numPr>
        <w:snapToGrid/>
        <w:spacing w:before="0" w:beforeAutospacing="0" w:after="0" w:afterAutospacing="0" w:line="600" w:lineRule="exact"/>
        <w:ind w:left="1360" w:firstLineChars="0"/>
        <w:jc w:val="both"/>
        <w:textAlignment w:val="baseline"/>
        <w:outlineLvl w:val="1"/>
        <w:rPr>
          <w:rStyle w:val="18"/>
          <w:rFonts w:ascii="黑体" w:hAnsi="Cambria" w:eastAsia="黑体" w:cs="Times New Roman"/>
          <w:b w:val="0"/>
          <w:bCs/>
          <w:i w:val="0"/>
          <w:caps w:val="0"/>
          <w:spacing w:val="0"/>
          <w:w w:val="100"/>
          <w:kern w:val="2"/>
          <w:sz w:val="32"/>
          <w:szCs w:val="32"/>
        </w:rPr>
      </w:pPr>
      <w:bookmarkStart w:id="7" w:name="_Toc7976"/>
      <w:r>
        <w:rPr>
          <w:rStyle w:val="11"/>
          <w:rFonts w:ascii="黑体" w:eastAsia="黑体"/>
          <w:b w:val="0"/>
          <w:i w:val="0"/>
          <w:caps w:val="0"/>
          <w:color w:val="000000"/>
          <w:spacing w:val="0"/>
          <w:w w:val="100"/>
          <w:sz w:val="32"/>
          <w:szCs w:val="32"/>
        </w:rPr>
        <w:t>支</w:t>
      </w:r>
      <w:r>
        <w:rPr>
          <w:rStyle w:val="18"/>
          <w:rFonts w:ascii="黑体" w:hAnsi="Cambria" w:eastAsia="黑体" w:cs="Times New Roman"/>
          <w:b w:val="0"/>
          <w:bCs/>
          <w:i w:val="0"/>
          <w:caps w:val="0"/>
          <w:spacing w:val="0"/>
          <w:w w:val="100"/>
          <w:kern w:val="2"/>
          <w:sz w:val="32"/>
          <w:szCs w:val="32"/>
        </w:rPr>
        <w:t>出决算情况说明</w:t>
      </w:r>
      <w:bookmarkEnd w:id="7"/>
    </w:p>
    <w:p>
      <w:pPr>
        <w:snapToGrid/>
        <w:spacing w:before="0" w:beforeAutospacing="0" w:after="0" w:afterAutospacing="0" w:line="600" w:lineRule="exact"/>
        <w:ind w:firstLine="640" w:firstLineChars="20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2020年本年支出合计174.3万元，其中：基本支出131.88万元，占75.66%；项目支出42.42万元，占24.34%。</w:t>
      </w: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200" w:firstLineChars="0"/>
        <w:jc w:val="both"/>
        <w:textAlignment w:val="baseline"/>
        <w:rPr>
          <w:rStyle w:val="11"/>
          <w:rFonts w:ascii="黑体" w:eastAsia="黑体"/>
          <w:b w:val="0"/>
          <w:i w:val="0"/>
          <w:caps w:val="0"/>
          <w:spacing w:val="0"/>
          <w:w w:val="100"/>
          <w:sz w:val="21"/>
          <w:szCs w:val="32"/>
        </w:rPr>
      </w:pPr>
      <w:r>
        <w:rPr>
          <w:rStyle w:val="11"/>
          <w:rFonts w:ascii="Times New Roman" w:hAnsi="Times New Roman" w:eastAsia="方正小标宋简体"/>
          <w:b w:val="0"/>
          <w:i w:val="0"/>
          <w:caps w:val="0"/>
          <w:spacing w:val="0"/>
          <w:w w:val="100"/>
          <w:sz w:val="21"/>
        </w:rPr>
        <w:pict>
          <v:shape id="_x0000_i1027" o:spt="75" type="#_x0000_t75" style="height:149.85pt;width:288.95pt;" filled="f" stroked="f" coordsize="21600,21600">
            <v:path/>
            <v:fill on="f" focussize="0,0"/>
            <v:stroke on="f" joinstyle="miter"/>
            <v:imagedata r:id="rId12" o:title=""/>
            <o:lock v:ext="edit" aspectratio="t"/>
            <w10:wrap type="none"/>
            <w10:anchorlock/>
          </v:shape>
        </w:pict>
      </w:r>
    </w:p>
    <w:p>
      <w:pPr>
        <w:widowControl/>
        <w:snapToGrid/>
        <w:spacing w:before="0" w:beforeAutospacing="0" w:after="0" w:afterAutospacing="0" w:line="240" w:lineRule="auto"/>
        <w:jc w:val="left"/>
        <w:textAlignment w:val="baseline"/>
        <w:rPr>
          <w:rStyle w:val="11"/>
          <w:rFonts w:ascii="黑体" w:eastAsia="黑体"/>
          <w:b w:val="0"/>
          <w:i w:val="0"/>
          <w:caps w:val="0"/>
          <w:color w:val="000000"/>
          <w:spacing w:val="0"/>
          <w:w w:val="100"/>
          <w:kern w:val="2"/>
          <w:sz w:val="32"/>
          <w:szCs w:val="32"/>
          <w:lang w:val="en-US" w:eastAsia="zh-CN" w:bidi="ar-SA"/>
        </w:rPr>
      </w:pPr>
    </w:p>
    <w:p>
      <w:pPr>
        <w:snapToGrid/>
        <w:spacing w:before="0" w:beforeAutospacing="0" w:after="0" w:afterAutospacing="0" w:line="600" w:lineRule="exact"/>
        <w:jc w:val="both"/>
        <w:textAlignment w:val="baseline"/>
        <w:outlineLvl w:val="1"/>
        <w:rPr>
          <w:rStyle w:val="18"/>
          <w:rFonts w:ascii="黑体" w:hAnsi="Cambria" w:eastAsia="黑体" w:cs="Times New Roman"/>
          <w:b w:val="0"/>
          <w:bCs/>
          <w:i w:val="0"/>
          <w:caps w:val="0"/>
          <w:spacing w:val="0"/>
          <w:w w:val="100"/>
          <w:kern w:val="2"/>
          <w:sz w:val="32"/>
          <w:szCs w:val="32"/>
          <w:lang w:val="en-US" w:eastAsia="zh-CN" w:bidi="ar-SA"/>
        </w:rPr>
      </w:pPr>
      <w:bookmarkStart w:id="8" w:name="_Toc10286"/>
      <w:r>
        <w:rPr>
          <w:rStyle w:val="11"/>
          <w:rFonts w:ascii="黑体" w:eastAsia="黑体"/>
          <w:b w:val="0"/>
          <w:i w:val="0"/>
          <w:caps w:val="0"/>
          <w:color w:val="000000"/>
          <w:spacing w:val="0"/>
          <w:w w:val="100"/>
          <w:kern w:val="2"/>
          <w:sz w:val="32"/>
          <w:szCs w:val="32"/>
          <w:lang w:val="en-US" w:eastAsia="zh-CN" w:bidi="ar-SA"/>
        </w:rPr>
        <w:t>四、财</w:t>
      </w:r>
      <w:r>
        <w:rPr>
          <w:rStyle w:val="18"/>
          <w:rFonts w:ascii="黑体" w:hAnsi="Cambria" w:eastAsia="黑体" w:cs="Times New Roman"/>
          <w:b w:val="0"/>
          <w:bCs/>
          <w:i w:val="0"/>
          <w:caps w:val="0"/>
          <w:spacing w:val="0"/>
          <w:w w:val="100"/>
          <w:kern w:val="2"/>
          <w:sz w:val="32"/>
          <w:szCs w:val="32"/>
          <w:lang w:val="en-US" w:eastAsia="zh-CN" w:bidi="ar-SA"/>
        </w:rPr>
        <w:t>政拨款收入支出决算总体情况说明</w:t>
      </w:r>
      <w:bookmarkEnd w:id="8"/>
    </w:p>
    <w:p>
      <w:pPr>
        <w:snapToGrid/>
        <w:spacing w:before="0" w:beforeAutospacing="0" w:after="0" w:afterAutospacing="0" w:line="600" w:lineRule="exact"/>
        <w:ind w:firstLine="640" w:firstLineChars="20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2020年财政拨款收、支总计134.51万元。与2019年</w:t>
      </w:r>
    </w:p>
    <w:p>
      <w:pPr>
        <w:snapToGrid/>
        <w:spacing w:before="0" w:beforeAutospacing="0" w:after="0" w:afterAutospacing="0" w:line="600" w:lineRule="exact"/>
        <w:jc w:val="both"/>
        <w:textAlignment w:val="baseline"/>
        <w:rPr>
          <w:rStyle w:val="10"/>
          <w:rFonts w:ascii="仿宋_GB2312" w:hAnsi="仿宋_GB2312"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相比，财政拨款收、支总计各增加了45.66万元，增长了51.38%。</w:t>
      </w:r>
      <w:r>
        <w:rPr>
          <w:rStyle w:val="11"/>
          <w:rFonts w:ascii="仿宋" w:eastAsia="仿宋"/>
          <w:b w:val="0"/>
          <w:i w:val="0"/>
          <w:caps w:val="0"/>
          <w:spacing w:val="0"/>
          <w:w w:val="100"/>
          <w:kern w:val="2"/>
          <w:sz w:val="32"/>
          <w:szCs w:val="32"/>
          <w:lang w:val="en-US" w:eastAsia="zh-CN" w:bidi="ar-SA"/>
        </w:rPr>
        <w:t>人员经费增加了28.82万元，向上争取到抗疫特别国债债券资金16.84万元，主要用</w:t>
      </w:r>
      <w:r>
        <w:rPr>
          <w:rStyle w:val="11"/>
          <w:rFonts w:ascii="仿宋_GB2312" w:eastAsia="仿宋_GB2312"/>
          <w:b w:val="0"/>
          <w:i w:val="0"/>
          <w:caps w:val="0"/>
          <w:color w:val="000000"/>
          <w:spacing w:val="0"/>
          <w:w w:val="100"/>
          <w:kern w:val="2"/>
          <w:sz w:val="32"/>
          <w:szCs w:val="32"/>
          <w:lang w:val="en-US" w:eastAsia="zh-CN" w:bidi="ar-SA"/>
        </w:rPr>
        <w:t>卫生院哨点诊室建设</w:t>
      </w:r>
      <w:r>
        <w:rPr>
          <w:rStyle w:val="11"/>
          <w:rFonts w:ascii="仿宋" w:eastAsia="仿宋"/>
          <w:b w:val="0"/>
          <w:i w:val="0"/>
          <w:caps w:val="0"/>
          <w:spacing w:val="0"/>
          <w:w w:val="100"/>
          <w:kern w:val="2"/>
          <w:sz w:val="32"/>
          <w:szCs w:val="32"/>
          <w:lang w:val="en-US" w:eastAsia="zh-CN" w:bidi="ar-SA"/>
        </w:rPr>
        <w:t>、污水处理及医废检测系统购置</w:t>
      </w:r>
      <w:r>
        <w:rPr>
          <w:rStyle w:val="11"/>
          <w:rFonts w:ascii="仿宋_GB2312" w:eastAsia="仿宋_GB2312"/>
          <w:b w:val="0"/>
          <w:i w:val="0"/>
          <w:caps w:val="0"/>
          <w:spacing w:val="0"/>
          <w:w w:val="100"/>
          <w:kern w:val="2"/>
          <w:sz w:val="32"/>
          <w:szCs w:val="32"/>
          <w:lang w:val="en-US" w:eastAsia="zh-CN" w:bidi="ar-SA"/>
        </w:rPr>
        <w:t>。</w:t>
      </w:r>
    </w:p>
    <w:p>
      <w:pPr>
        <w:widowControl/>
        <w:snapToGrid/>
        <w:spacing w:before="0" w:beforeAutospacing="0" w:after="0" w:afterAutospacing="0" w:line="240" w:lineRule="auto"/>
        <w:jc w:val="left"/>
        <w:textAlignment w:val="baseline"/>
        <w:rPr>
          <w:rStyle w:val="11"/>
          <w:rFonts w:ascii="Times New Roman" w:hAnsi="Times New Roman" w:eastAsia="方正小标宋简体"/>
          <w:b w:val="0"/>
          <w:i w:val="0"/>
          <w:caps w:val="0"/>
          <w:spacing w:val="0"/>
          <w:w w:val="100"/>
          <w:kern w:val="2"/>
          <w:sz w:val="21"/>
          <w:szCs w:val="24"/>
          <w:lang w:val="en-US" w:eastAsia="zh-CN" w:bidi="ar-SA"/>
        </w:rPr>
      </w:pPr>
      <w:r>
        <w:rPr>
          <w:rStyle w:val="11"/>
          <w:rFonts w:ascii="Times New Roman" w:hAnsi="Times New Roman" w:eastAsia="方正小标宋简体"/>
          <w:b w:val="0"/>
          <w:i w:val="0"/>
          <w:caps w:val="0"/>
          <w:spacing w:val="0"/>
          <w:w w:val="100"/>
          <w:kern w:val="2"/>
          <w:sz w:val="21"/>
          <w:szCs w:val="24"/>
          <w:lang w:val="en-US" w:eastAsia="zh-CN" w:bidi="ar-SA"/>
        </w:rPr>
        <w:pict>
          <v:shape id="_x0000_i1028" o:spt="75" type="#_x0000_t75" style="height:181.9pt;width:318.25pt;" filled="f" stroked="f" coordsize="21600,21600">
            <v:path/>
            <v:fill on="f" focussize="0,0"/>
            <v:stroke on="f" joinstyle="miter"/>
            <v:imagedata r:id="rId13" o:title=""/>
            <o:lock v:ext="edit" aspectratio="t"/>
            <w10:wrap type="none"/>
            <w10:anchorlock/>
          </v:shape>
        </w:pict>
      </w:r>
    </w:p>
    <w:p>
      <w:pPr>
        <w:snapToGrid/>
        <w:spacing w:before="0" w:beforeAutospacing="0" w:after="0" w:afterAutospacing="0" w:line="600" w:lineRule="exact"/>
        <w:jc w:val="both"/>
        <w:textAlignment w:val="baseline"/>
        <w:outlineLvl w:val="1"/>
        <w:rPr>
          <w:rStyle w:val="18"/>
          <w:rFonts w:ascii="黑体" w:hAnsi="Cambria" w:eastAsia="黑体" w:cs="Times New Roman"/>
          <w:b w:val="0"/>
          <w:bCs/>
          <w:i w:val="0"/>
          <w:caps w:val="0"/>
          <w:spacing w:val="0"/>
          <w:w w:val="100"/>
          <w:kern w:val="2"/>
          <w:sz w:val="32"/>
          <w:szCs w:val="32"/>
          <w:lang w:val="en-US" w:eastAsia="zh-CN" w:bidi="ar-SA"/>
        </w:rPr>
      </w:pPr>
      <w:bookmarkStart w:id="9" w:name="_Toc30941"/>
      <w:r>
        <w:rPr>
          <w:rStyle w:val="11"/>
          <w:rFonts w:ascii="黑体" w:eastAsia="黑体"/>
          <w:b w:val="0"/>
          <w:i w:val="0"/>
          <w:caps w:val="0"/>
          <w:color w:val="000000"/>
          <w:spacing w:val="0"/>
          <w:w w:val="100"/>
          <w:kern w:val="2"/>
          <w:sz w:val="32"/>
          <w:szCs w:val="32"/>
          <w:lang w:val="en-US" w:eastAsia="zh-CN" w:bidi="ar-SA"/>
        </w:rPr>
        <w:t>五、</w:t>
      </w:r>
      <w:r>
        <w:rPr>
          <w:rStyle w:val="11"/>
          <w:rFonts w:ascii="黑体" w:eastAsia="黑体"/>
          <w:b/>
          <w:i w:val="0"/>
          <w:caps w:val="0"/>
          <w:color w:val="000000"/>
          <w:spacing w:val="0"/>
          <w:w w:val="100"/>
          <w:kern w:val="2"/>
          <w:sz w:val="32"/>
          <w:szCs w:val="32"/>
          <w:lang w:val="en-US" w:eastAsia="zh-CN" w:bidi="ar-SA"/>
        </w:rPr>
        <w:t>一</w:t>
      </w:r>
      <w:r>
        <w:rPr>
          <w:rStyle w:val="18"/>
          <w:rFonts w:ascii="黑体" w:hAnsi="Cambria" w:eastAsia="黑体" w:cs="Times New Roman"/>
          <w:b w:val="0"/>
          <w:bCs/>
          <w:i w:val="0"/>
          <w:caps w:val="0"/>
          <w:spacing w:val="0"/>
          <w:w w:val="100"/>
          <w:kern w:val="2"/>
          <w:sz w:val="32"/>
          <w:szCs w:val="32"/>
          <w:lang w:val="en-US" w:eastAsia="zh-CN" w:bidi="ar-SA"/>
        </w:rPr>
        <w:t>般公共预算财政拨款支出决算情况说明</w:t>
      </w:r>
      <w:bookmarkEnd w:id="9"/>
    </w:p>
    <w:p>
      <w:pPr>
        <w:snapToGrid/>
        <w:spacing w:before="0" w:beforeAutospacing="0" w:after="0" w:afterAutospacing="0" w:line="600" w:lineRule="exact"/>
        <w:ind w:firstLine="643" w:firstLineChars="200"/>
        <w:jc w:val="both"/>
        <w:textAlignment w:val="baseline"/>
        <w:rPr>
          <w:rStyle w:val="11"/>
          <w:rFonts w:ascii="仿宋" w:eastAsia="仿宋"/>
          <w:b/>
          <w:i w:val="0"/>
          <w:caps w:val="0"/>
          <w:color w:val="000000"/>
          <w:spacing w:val="0"/>
          <w:w w:val="100"/>
          <w:kern w:val="2"/>
          <w:sz w:val="32"/>
          <w:szCs w:val="32"/>
          <w:lang w:val="en-US" w:eastAsia="zh-CN" w:bidi="ar-SA"/>
        </w:rPr>
      </w:pPr>
      <w:r>
        <w:rPr>
          <w:rStyle w:val="11"/>
          <w:rFonts w:ascii="仿宋" w:eastAsia="仿宋"/>
          <w:b/>
          <w:i w:val="0"/>
          <w:caps w:val="0"/>
          <w:color w:val="000000"/>
          <w:spacing w:val="0"/>
          <w:w w:val="100"/>
          <w:kern w:val="2"/>
          <w:sz w:val="32"/>
          <w:szCs w:val="32"/>
          <w:lang w:val="en-US" w:eastAsia="zh-CN" w:bidi="ar-SA"/>
        </w:rPr>
        <w:t>（一）一般公共预算财政拨款支出决算总体情况</w:t>
      </w:r>
    </w:p>
    <w:p>
      <w:pPr>
        <w:snapToGrid/>
        <w:spacing w:before="0" w:beforeAutospacing="0" w:after="0" w:afterAutospacing="0" w:line="600" w:lineRule="exact"/>
        <w:ind w:firstLine="640" w:firstLineChars="20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2020年一般公共预算财政拨款支出117.66万元，占本年支出合计的67.5%。与2019年相比，一般公共预算财政拨款支出增加28.82万元，增长32.44%。增加的主要原因人员经费增加。</w:t>
      </w:r>
    </w:p>
    <w:p>
      <w:pPr>
        <w:widowControl/>
        <w:snapToGrid/>
        <w:spacing w:before="0" w:beforeAutospacing="0" w:after="0" w:afterAutospacing="0" w:line="240" w:lineRule="auto"/>
        <w:jc w:val="left"/>
        <w:textAlignment w:val="baseline"/>
        <w:rPr>
          <w:rStyle w:val="11"/>
          <w:rFonts w:ascii="Times New Roman" w:hAnsi="Times New Roman" w:eastAsia="方正小标宋简体"/>
          <w:b w:val="0"/>
          <w:i w:val="0"/>
          <w:caps w:val="0"/>
          <w:spacing w:val="0"/>
          <w:w w:val="100"/>
          <w:kern w:val="2"/>
          <w:sz w:val="21"/>
          <w:szCs w:val="24"/>
          <w:lang w:val="en-US" w:eastAsia="zh-CN" w:bidi="ar-SA"/>
        </w:rPr>
      </w:pPr>
      <w:r>
        <w:rPr>
          <w:rStyle w:val="11"/>
          <w:rFonts w:ascii="Times New Roman" w:hAnsi="Times New Roman" w:eastAsia="方正小标宋简体"/>
          <w:b w:val="0"/>
          <w:i w:val="0"/>
          <w:caps w:val="0"/>
          <w:spacing w:val="0"/>
          <w:w w:val="100"/>
          <w:kern w:val="2"/>
          <w:sz w:val="21"/>
          <w:szCs w:val="24"/>
          <w:lang w:val="en-US" w:eastAsia="zh-CN" w:bidi="ar-SA"/>
        </w:rPr>
        <w:pict>
          <v:shape id="_x0000_i1029" o:spt="75" type="#_x0000_t75" style="height:176.6pt;width:281.3pt;" filled="f" stroked="f" coordsize="21600,21600">
            <v:path/>
            <v:fill on="f" focussize="0,0"/>
            <v:stroke on="f" joinstyle="miter"/>
            <v:imagedata r:id="rId14" o:title=""/>
            <o:lock v:ext="edit" aspectratio="t"/>
            <w10:wrap type="none"/>
            <w10:anchorlock/>
          </v:shape>
        </w:pict>
      </w: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11"/>
          <w:rFonts w:ascii="Times New Roman" w:hAnsi="Times New Roman" w:eastAsia="方正小标宋简体"/>
          <w:b w:val="0"/>
          <w:i w:val="0"/>
          <w:caps w:val="0"/>
          <w:spacing w:val="0"/>
          <w:w w:val="100"/>
          <w:sz w:val="21"/>
        </w:rPr>
      </w:pPr>
    </w:p>
    <w:p>
      <w:pPr>
        <w:snapToGrid/>
        <w:spacing w:before="0" w:beforeAutospacing="0" w:after="0" w:afterAutospacing="0" w:line="600" w:lineRule="exact"/>
        <w:jc w:val="both"/>
        <w:textAlignment w:val="baseline"/>
        <w:rPr>
          <w:rStyle w:val="11"/>
          <w:rFonts w:ascii="仿宋" w:eastAsia="仿宋"/>
          <w:b/>
          <w:i w:val="0"/>
          <w:caps w:val="0"/>
          <w:color w:val="000000"/>
          <w:spacing w:val="0"/>
          <w:w w:val="100"/>
          <w:kern w:val="2"/>
          <w:sz w:val="32"/>
          <w:szCs w:val="32"/>
          <w:lang w:val="en-US" w:eastAsia="zh-CN" w:bidi="ar-SA"/>
        </w:rPr>
      </w:pPr>
      <w:r>
        <w:rPr>
          <w:rStyle w:val="11"/>
          <w:rFonts w:ascii="仿宋" w:eastAsia="仿宋"/>
          <w:b/>
          <w:i w:val="0"/>
          <w:caps w:val="0"/>
          <w:color w:val="000000"/>
          <w:spacing w:val="0"/>
          <w:w w:val="100"/>
          <w:kern w:val="2"/>
          <w:sz w:val="32"/>
          <w:szCs w:val="32"/>
          <w:lang w:val="en-US" w:eastAsia="zh-CN" w:bidi="ar-SA"/>
        </w:rPr>
        <w:t>（二）一般公共预算财政拨款支出决算结构情况</w:t>
      </w:r>
    </w:p>
    <w:p>
      <w:pPr>
        <w:snapToGrid/>
        <w:spacing w:before="0" w:beforeAutospacing="0" w:after="0" w:afterAutospacing="0" w:line="600" w:lineRule="exact"/>
        <w:ind w:firstLine="640" w:firstLineChars="20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2020年一般公共预算财政拨款支出117.66万元，主要用于；</w:t>
      </w:r>
      <w:r>
        <w:rPr>
          <w:rStyle w:val="11"/>
          <w:rFonts w:ascii="仿宋" w:eastAsia="仿宋"/>
          <w:b/>
          <w:i w:val="0"/>
          <w:caps w:val="0"/>
          <w:color w:val="000000"/>
          <w:spacing w:val="0"/>
          <w:w w:val="100"/>
          <w:kern w:val="2"/>
          <w:sz w:val="32"/>
          <w:szCs w:val="32"/>
          <w:lang w:val="en-US" w:eastAsia="zh-CN" w:bidi="ar-SA"/>
        </w:rPr>
        <w:t>社会保障和就业（类）</w:t>
      </w:r>
      <w:r>
        <w:rPr>
          <w:rStyle w:val="11"/>
          <w:rFonts w:ascii="仿宋" w:eastAsia="仿宋"/>
          <w:b w:val="0"/>
          <w:i w:val="0"/>
          <w:caps w:val="0"/>
          <w:color w:val="000000"/>
          <w:spacing w:val="0"/>
          <w:w w:val="100"/>
          <w:kern w:val="2"/>
          <w:sz w:val="32"/>
          <w:szCs w:val="32"/>
          <w:lang w:val="en-US" w:eastAsia="zh-CN" w:bidi="ar-SA"/>
        </w:rPr>
        <w:t>支出11.14万元，占9.5%；</w:t>
      </w:r>
      <w:r>
        <w:rPr>
          <w:rStyle w:val="11"/>
          <w:rFonts w:ascii="仿宋" w:eastAsia="仿宋" w:cs="Times New Roman"/>
          <w:b/>
          <w:bCs/>
          <w:i w:val="0"/>
          <w:caps w:val="0"/>
          <w:color w:val="000000"/>
          <w:spacing w:val="0"/>
          <w:w w:val="100"/>
          <w:kern w:val="2"/>
          <w:sz w:val="32"/>
          <w:szCs w:val="32"/>
          <w:lang w:val="en-US" w:eastAsia="zh-CN" w:bidi="ar-SA"/>
        </w:rPr>
        <w:t>卫生健康支出</w:t>
      </w:r>
      <w:r>
        <w:rPr>
          <w:rStyle w:val="11"/>
          <w:rFonts w:ascii="仿宋" w:eastAsia="仿宋"/>
          <w:b w:val="0"/>
          <w:i w:val="0"/>
          <w:caps w:val="0"/>
          <w:color w:val="000000"/>
          <w:spacing w:val="0"/>
          <w:w w:val="100"/>
          <w:kern w:val="2"/>
          <w:sz w:val="32"/>
          <w:szCs w:val="32"/>
          <w:lang w:val="en-US" w:eastAsia="zh-CN" w:bidi="ar-SA"/>
        </w:rPr>
        <w:t>98.65万元，占83.81%；</w:t>
      </w:r>
      <w:r>
        <w:rPr>
          <w:rStyle w:val="11"/>
          <w:rFonts w:ascii="仿宋" w:eastAsia="仿宋" w:cs="Times New Roman"/>
          <w:b/>
          <w:bCs/>
          <w:i w:val="0"/>
          <w:caps w:val="0"/>
          <w:color w:val="000000"/>
          <w:spacing w:val="0"/>
          <w:w w:val="100"/>
          <w:kern w:val="2"/>
          <w:sz w:val="32"/>
          <w:szCs w:val="32"/>
          <w:lang w:val="en-US" w:eastAsia="zh-CN" w:bidi="ar-SA"/>
        </w:rPr>
        <w:t>住房保障支出</w:t>
      </w:r>
      <w:r>
        <w:rPr>
          <w:rStyle w:val="11"/>
          <w:rFonts w:ascii="仿宋" w:eastAsia="仿宋"/>
          <w:b w:val="0"/>
          <w:i w:val="0"/>
          <w:caps w:val="0"/>
          <w:color w:val="000000"/>
          <w:spacing w:val="0"/>
          <w:w w:val="100"/>
          <w:kern w:val="2"/>
          <w:sz w:val="32"/>
          <w:szCs w:val="32"/>
          <w:lang w:val="en-US" w:eastAsia="zh-CN" w:bidi="ar-SA"/>
        </w:rPr>
        <w:t>7.87万元，占6.69%；</w:t>
      </w: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11"/>
          <w:rFonts w:ascii="Times New Roman" w:hAnsi="Times New Roman" w:eastAsia="方正小标宋简体"/>
          <w:b w:val="0"/>
          <w:i w:val="0"/>
          <w:caps w:val="0"/>
          <w:spacing w:val="0"/>
          <w:w w:val="100"/>
          <w:sz w:val="21"/>
        </w:rPr>
      </w:pPr>
      <w:r>
        <w:rPr>
          <w:rStyle w:val="11"/>
          <w:rFonts w:ascii="Times New Roman" w:hAnsi="Times New Roman" w:eastAsia="方正小标宋简体"/>
          <w:b w:val="0"/>
          <w:i w:val="0"/>
          <w:caps w:val="0"/>
          <w:spacing w:val="0"/>
          <w:w w:val="100"/>
          <w:sz w:val="21"/>
        </w:rPr>
        <w:pict>
          <v:shape id="_x0000_i1030" o:spt="75" type="#_x0000_t75" style="height:178.55pt;width:327.85pt;" filled="f" stroked="f" coordsize="21600,21600">
            <v:path/>
            <v:fill on="f" focussize="0,0"/>
            <v:stroke on="f" joinstyle="miter"/>
            <v:imagedata r:id="rId15" o:title=""/>
            <o:lock v:ext="edit" aspectratio="t"/>
            <w10:wrap type="none"/>
            <w10:anchorlock/>
          </v:shape>
        </w:pict>
      </w:r>
    </w:p>
    <w:p>
      <w:pPr>
        <w:widowControl/>
        <w:snapToGrid/>
        <w:spacing w:before="0" w:beforeAutospacing="0" w:after="0" w:afterAutospacing="0" w:line="240" w:lineRule="auto"/>
        <w:jc w:val="left"/>
        <w:textAlignment w:val="baseline"/>
        <w:rPr>
          <w:rStyle w:val="11"/>
          <w:rFonts w:ascii="仿宋" w:eastAsia="仿宋"/>
          <w:b w:val="0"/>
          <w:i w:val="0"/>
          <w:caps w:val="0"/>
          <w:color w:val="00000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11"/>
          <w:rFonts w:ascii="仿宋" w:eastAsia="仿宋"/>
          <w:b/>
          <w:i w:val="0"/>
          <w:caps w:val="0"/>
          <w:color w:val="000000"/>
          <w:spacing w:val="0"/>
          <w:w w:val="100"/>
          <w:kern w:val="2"/>
          <w:sz w:val="32"/>
          <w:szCs w:val="32"/>
          <w:lang w:val="en-US" w:eastAsia="zh-CN" w:bidi="ar-SA"/>
        </w:rPr>
      </w:pPr>
      <w:r>
        <w:rPr>
          <w:rStyle w:val="11"/>
          <w:rFonts w:ascii="仿宋" w:eastAsia="仿宋"/>
          <w:b/>
          <w:i w:val="0"/>
          <w:caps w:val="0"/>
          <w:color w:val="000000"/>
          <w:spacing w:val="0"/>
          <w:w w:val="100"/>
          <w:kern w:val="2"/>
          <w:sz w:val="32"/>
          <w:szCs w:val="32"/>
          <w:lang w:val="en-US" w:eastAsia="zh-CN" w:bidi="ar-SA"/>
        </w:rPr>
        <w:t>（三）一般公共预算财政拨款支出决算具体情况</w:t>
      </w:r>
    </w:p>
    <w:p>
      <w:pPr>
        <w:snapToGrid/>
        <w:spacing w:before="0" w:beforeAutospacing="0" w:after="0" w:afterAutospacing="0" w:line="600" w:lineRule="exact"/>
        <w:ind w:firstLine="643" w:firstLineChars="200"/>
        <w:jc w:val="both"/>
        <w:textAlignment w:val="baseline"/>
        <w:rPr>
          <w:rStyle w:val="10"/>
          <w:rFonts w:ascii="仿宋" w:eastAsia="仿宋" w:cs="Times New Roman"/>
          <w:b/>
          <w:bCs/>
          <w:i w:val="0"/>
          <w:caps w:val="0"/>
          <w:color w:val="000000"/>
          <w:spacing w:val="0"/>
          <w:w w:val="100"/>
          <w:kern w:val="2"/>
          <w:sz w:val="32"/>
          <w:szCs w:val="32"/>
          <w:lang w:val="en-US" w:eastAsia="zh-CN" w:bidi="ar-SA"/>
        </w:rPr>
      </w:pPr>
      <w:r>
        <w:rPr>
          <w:rStyle w:val="11"/>
          <w:rFonts w:ascii="仿宋" w:eastAsia="仿宋"/>
          <w:b/>
          <w:i w:val="0"/>
          <w:caps w:val="0"/>
          <w:color w:val="000000"/>
          <w:spacing w:val="0"/>
          <w:w w:val="100"/>
          <w:kern w:val="2"/>
          <w:sz w:val="32"/>
          <w:szCs w:val="32"/>
          <w:lang w:val="en-US" w:eastAsia="zh-CN" w:bidi="ar-SA"/>
        </w:rPr>
        <w:t>2020年一般公共预算支出决算数为117.66万元</w:t>
      </w:r>
      <w:r>
        <w:rPr>
          <w:rStyle w:val="11"/>
          <w:rFonts w:ascii="仿宋" w:eastAsia="仿宋"/>
          <w:b w:val="0"/>
          <w:i w:val="0"/>
          <w:caps w:val="0"/>
          <w:color w:val="000000"/>
          <w:spacing w:val="0"/>
          <w:w w:val="100"/>
          <w:kern w:val="2"/>
          <w:sz w:val="32"/>
          <w:szCs w:val="32"/>
          <w:lang w:val="en-US" w:eastAsia="zh-CN" w:bidi="ar-SA"/>
        </w:rPr>
        <w:t>，</w:t>
      </w:r>
      <w:r>
        <w:rPr>
          <w:rStyle w:val="10"/>
          <w:rFonts w:ascii="仿宋" w:eastAsia="仿宋" w:cs="Times New Roman"/>
          <w:b/>
          <w:bCs/>
          <w:i w:val="0"/>
          <w:caps w:val="0"/>
          <w:color w:val="000000"/>
          <w:spacing w:val="0"/>
          <w:w w:val="100"/>
          <w:kern w:val="2"/>
          <w:sz w:val="32"/>
          <w:szCs w:val="32"/>
          <w:lang w:val="en-US" w:eastAsia="zh-CN" w:bidi="ar-SA"/>
        </w:rPr>
        <w:t>完成预算100%。其中：</w:t>
      </w:r>
    </w:p>
    <w:p>
      <w:pPr>
        <w:snapToGrid/>
        <w:spacing w:before="0" w:beforeAutospacing="0" w:after="0" w:afterAutospacing="0" w:line="600" w:lineRule="exact"/>
        <w:ind w:firstLine="643" w:firstLineChars="200"/>
        <w:jc w:val="both"/>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1"/>
          <w:rFonts w:ascii="仿宋" w:eastAsia="仿宋" w:cs="Times New Roman"/>
          <w:b/>
          <w:bCs/>
          <w:i w:val="0"/>
          <w:caps w:val="0"/>
          <w:color w:val="000000"/>
          <w:spacing w:val="0"/>
          <w:w w:val="100"/>
          <w:kern w:val="2"/>
          <w:sz w:val="32"/>
          <w:szCs w:val="32"/>
          <w:lang w:val="en-US" w:eastAsia="zh-CN" w:bidi="ar-SA"/>
        </w:rPr>
        <w:t>卫生健康支出</w:t>
      </w:r>
      <w:r>
        <w:rPr>
          <w:rStyle w:val="11"/>
          <w:rFonts w:ascii="仿宋_GB2312" w:eastAsia="仿宋_GB2312"/>
          <w:b/>
          <w:i w:val="0"/>
          <w:caps w:val="0"/>
          <w:color w:val="000000"/>
          <w:spacing w:val="0"/>
          <w:w w:val="100"/>
          <w:kern w:val="2"/>
          <w:sz w:val="32"/>
          <w:szCs w:val="32"/>
          <w:lang w:val="en-US" w:eastAsia="zh-CN" w:bidi="ar-SA"/>
        </w:rPr>
        <w:t>（类）基层医疗卫生机构（款）</w:t>
      </w:r>
      <w:r>
        <w:rPr>
          <w:rStyle w:val="10"/>
          <w:rFonts w:ascii="仿宋_GB2312" w:eastAsia="仿宋_GB2312"/>
          <w:b/>
          <w:i w:val="0"/>
          <w:caps w:val="0"/>
          <w:color w:val="000000"/>
          <w:spacing w:val="0"/>
          <w:w w:val="100"/>
          <w:kern w:val="2"/>
          <w:sz w:val="32"/>
          <w:szCs w:val="32"/>
          <w:lang w:val="en-US" w:eastAsia="zh-CN" w:bidi="ar-SA"/>
        </w:rPr>
        <w:t>乡镇卫生院（项）：</w:t>
      </w:r>
      <w:r>
        <w:rPr>
          <w:rStyle w:val="10"/>
          <w:rFonts w:ascii="仿宋_GB2312" w:eastAsia="仿宋_GB2312"/>
          <w:b w:val="0"/>
          <w:i w:val="0"/>
          <w:caps w:val="0"/>
          <w:color w:val="000000"/>
          <w:spacing w:val="0"/>
          <w:w w:val="100"/>
          <w:kern w:val="2"/>
          <w:sz w:val="32"/>
          <w:szCs w:val="32"/>
          <w:lang w:val="en-US" w:eastAsia="zh-CN" w:bidi="ar-SA"/>
        </w:rPr>
        <w:t>主要用于乡镇卫生院人员经费，</w:t>
      </w:r>
      <w:r>
        <w:rPr>
          <w:rStyle w:val="10"/>
          <w:rFonts w:ascii="仿宋_GB2312" w:eastAsia="仿宋_GB2312" w:cs="Times New Roman"/>
          <w:b w:val="0"/>
          <w:bCs/>
          <w:i w:val="0"/>
          <w:caps w:val="0"/>
          <w:color w:val="000000"/>
          <w:spacing w:val="0"/>
          <w:w w:val="100"/>
          <w:kern w:val="2"/>
          <w:sz w:val="32"/>
          <w:szCs w:val="32"/>
          <w:lang w:val="en-US" w:eastAsia="zh-CN" w:bidi="ar-SA"/>
        </w:rPr>
        <w:t>决算数60.69万元</w:t>
      </w:r>
      <w:r>
        <w:rPr>
          <w:rStyle w:val="10"/>
          <w:rFonts w:ascii="仿宋_GB2312" w:eastAsia="仿宋_GB2312"/>
          <w:b/>
          <w:i w:val="0"/>
          <w:caps w:val="0"/>
          <w:color w:val="000000"/>
          <w:spacing w:val="0"/>
          <w:w w:val="100"/>
          <w:kern w:val="2"/>
          <w:sz w:val="32"/>
          <w:szCs w:val="32"/>
          <w:lang w:val="en-US" w:eastAsia="zh-CN" w:bidi="ar-SA"/>
        </w:rPr>
        <w:t>，</w:t>
      </w:r>
      <w:r>
        <w:rPr>
          <w:rStyle w:val="11"/>
          <w:rFonts w:ascii="仿宋_GB2312" w:eastAsia="仿宋_GB2312"/>
          <w:b w:val="0"/>
          <w:i w:val="0"/>
          <w:caps w:val="0"/>
          <w:color w:val="000000"/>
          <w:spacing w:val="0"/>
          <w:w w:val="100"/>
          <w:kern w:val="2"/>
          <w:sz w:val="32"/>
          <w:szCs w:val="32"/>
          <w:lang w:val="en-US" w:eastAsia="zh-CN" w:bidi="ar-SA"/>
        </w:rPr>
        <w:t>完成预算100%。</w:t>
      </w:r>
    </w:p>
    <w:p>
      <w:pPr>
        <w:snapToGrid/>
        <w:spacing w:before="0" w:beforeAutospacing="0" w:after="0" w:afterAutospacing="0" w:line="600" w:lineRule="exact"/>
        <w:ind w:firstLine="643" w:firstLineChars="200"/>
        <w:jc w:val="both"/>
        <w:textAlignment w:val="baseline"/>
        <w:rPr>
          <w:rStyle w:val="10"/>
          <w:rFonts w:ascii="仿宋_GB2312" w:eastAsia="仿宋_GB2312"/>
          <w:b w:val="0"/>
          <w:i w:val="0"/>
          <w:caps w:val="0"/>
          <w:color w:val="000000"/>
          <w:spacing w:val="0"/>
          <w:w w:val="100"/>
          <w:kern w:val="2"/>
          <w:sz w:val="32"/>
          <w:szCs w:val="32"/>
          <w:lang w:val="en-US" w:eastAsia="zh-CN" w:bidi="ar-SA"/>
        </w:rPr>
      </w:pPr>
      <w:r>
        <w:rPr>
          <w:rStyle w:val="10"/>
          <w:rFonts w:ascii="仿宋_GB2312" w:eastAsia="仿宋_GB2312"/>
          <w:b/>
          <w:i w:val="0"/>
          <w:caps w:val="0"/>
          <w:color w:val="000000"/>
          <w:spacing w:val="0"/>
          <w:w w:val="100"/>
          <w:kern w:val="2"/>
          <w:sz w:val="32"/>
          <w:szCs w:val="32"/>
          <w:lang w:val="en-US" w:eastAsia="zh-CN" w:bidi="ar-SA"/>
        </w:rPr>
        <w:t>卫生健康支出</w:t>
      </w:r>
      <w:r>
        <w:rPr>
          <w:rStyle w:val="11"/>
          <w:rFonts w:ascii="仿宋_GB2312" w:eastAsia="仿宋_GB2312"/>
          <w:b/>
          <w:i w:val="0"/>
          <w:caps w:val="0"/>
          <w:color w:val="000000"/>
          <w:spacing w:val="0"/>
          <w:w w:val="100"/>
          <w:kern w:val="2"/>
          <w:sz w:val="32"/>
          <w:szCs w:val="32"/>
          <w:lang w:val="en-US" w:eastAsia="zh-CN" w:bidi="ar-SA"/>
        </w:rPr>
        <w:t>（类）基层医疗卫生机构（款）其他基层医疗卫生机构支出（项）：</w:t>
      </w:r>
      <w:r>
        <w:rPr>
          <w:rStyle w:val="10"/>
          <w:rFonts w:ascii="仿宋_GB2312" w:eastAsia="仿宋_GB2312"/>
          <w:b w:val="0"/>
          <w:i w:val="0"/>
          <w:caps w:val="0"/>
          <w:color w:val="000000"/>
          <w:spacing w:val="0"/>
          <w:w w:val="100"/>
          <w:kern w:val="2"/>
          <w:sz w:val="32"/>
          <w:szCs w:val="32"/>
          <w:lang w:val="en-US" w:eastAsia="zh-CN" w:bidi="ar-SA"/>
        </w:rPr>
        <w:t>主要用于村卫生站实行基本药物制度后弥补人员经费。</w:t>
      </w:r>
      <w:r>
        <w:rPr>
          <w:rStyle w:val="11"/>
          <w:rFonts w:ascii="仿宋_GB2312" w:eastAsia="仿宋_GB2312"/>
          <w:b w:val="0"/>
          <w:i w:val="0"/>
          <w:caps w:val="0"/>
          <w:color w:val="000000"/>
          <w:spacing w:val="0"/>
          <w:w w:val="100"/>
          <w:kern w:val="2"/>
          <w:sz w:val="32"/>
          <w:szCs w:val="32"/>
          <w:lang w:val="en-US" w:eastAsia="zh-CN" w:bidi="ar-SA"/>
        </w:rPr>
        <w:t>2020年决算数为3.5</w:t>
      </w:r>
      <w:r>
        <w:rPr>
          <w:rStyle w:val="11"/>
          <w:rFonts w:ascii="仿宋_GB2312" w:eastAsia="仿宋_GB2312"/>
          <w:b w:val="0"/>
          <w:i w:val="0"/>
          <w:caps w:val="0"/>
          <w:spacing w:val="0"/>
          <w:w w:val="100"/>
          <w:kern w:val="2"/>
          <w:sz w:val="32"/>
          <w:szCs w:val="32"/>
          <w:lang w:val="en-US" w:eastAsia="zh-CN" w:bidi="ar-SA"/>
        </w:rPr>
        <w:t>万元，完成预算100%。</w:t>
      </w:r>
    </w:p>
    <w:p>
      <w:pPr>
        <w:snapToGrid/>
        <w:spacing w:before="0" w:beforeAutospacing="0" w:after="0" w:afterAutospacing="0" w:line="600" w:lineRule="exact"/>
        <w:ind w:firstLine="643" w:firstLineChars="200"/>
        <w:jc w:val="both"/>
        <w:textAlignment w:val="baseline"/>
        <w:rPr>
          <w:rStyle w:val="11"/>
          <w:rFonts w:ascii="Times New Roman" w:hAnsi="Times New Roman" w:eastAsia="方正小标宋简体"/>
          <w:b w:val="0"/>
          <w:i w:val="0"/>
          <w:caps w:val="0"/>
          <w:color w:val="000000"/>
          <w:spacing w:val="0"/>
          <w:w w:val="100"/>
          <w:kern w:val="2"/>
          <w:sz w:val="32"/>
          <w:szCs w:val="32"/>
          <w:lang w:val="en-US" w:eastAsia="zh-CN" w:bidi="ar-SA"/>
        </w:rPr>
      </w:pPr>
      <w:r>
        <w:rPr>
          <w:rStyle w:val="10"/>
          <w:rFonts w:ascii="仿宋_GB2312" w:eastAsia="仿宋_GB2312" w:cs="Times New Roman"/>
          <w:b/>
          <w:bCs/>
          <w:i w:val="0"/>
          <w:caps w:val="0"/>
          <w:color w:val="000000"/>
          <w:spacing w:val="0"/>
          <w:w w:val="100"/>
          <w:kern w:val="2"/>
          <w:sz w:val="32"/>
          <w:szCs w:val="32"/>
          <w:lang w:val="en-US" w:eastAsia="zh-CN" w:bidi="ar-SA"/>
        </w:rPr>
        <w:t>卫生健康支出（类）公共卫生（款）</w:t>
      </w:r>
      <w:r>
        <w:rPr>
          <w:rStyle w:val="10"/>
          <w:rFonts w:ascii="仿宋_GB2312" w:eastAsia="仿宋_GB2312"/>
          <w:b/>
          <w:i w:val="0"/>
          <w:caps w:val="0"/>
          <w:color w:val="000000"/>
          <w:spacing w:val="0"/>
          <w:w w:val="100"/>
          <w:kern w:val="2"/>
          <w:sz w:val="32"/>
          <w:szCs w:val="32"/>
          <w:lang w:val="en-US" w:eastAsia="zh-CN" w:bidi="ar-SA"/>
        </w:rPr>
        <w:t>基本公共卫生服务（项）:</w:t>
      </w:r>
      <w:r>
        <w:rPr>
          <w:rStyle w:val="10"/>
          <w:rFonts w:ascii="仿宋_GB2312" w:eastAsia="仿宋_GB2312"/>
          <w:b w:val="0"/>
          <w:i w:val="0"/>
          <w:caps w:val="0"/>
          <w:color w:val="000000"/>
          <w:spacing w:val="0"/>
          <w:w w:val="100"/>
          <w:kern w:val="2"/>
          <w:sz w:val="32"/>
          <w:szCs w:val="32"/>
          <w:lang w:val="en-US" w:eastAsia="zh-CN" w:bidi="ar-SA"/>
        </w:rPr>
        <w:t>主要用于乡镇卫生院、村卫生站开展基本公共卫生服务活动支出。</w:t>
      </w:r>
      <w:r>
        <w:rPr>
          <w:rStyle w:val="11"/>
          <w:rFonts w:ascii="仿宋_GB2312" w:eastAsia="仿宋_GB2312"/>
          <w:b w:val="0"/>
          <w:i w:val="0"/>
          <w:caps w:val="0"/>
          <w:color w:val="000000"/>
          <w:spacing w:val="0"/>
          <w:w w:val="100"/>
          <w:kern w:val="2"/>
          <w:sz w:val="32"/>
          <w:szCs w:val="32"/>
          <w:lang w:val="en-US" w:eastAsia="zh-CN" w:bidi="ar-SA"/>
        </w:rPr>
        <w:t>2020年决算数为22.08万元，完成预算100%</w:t>
      </w:r>
      <w:r>
        <w:rPr>
          <w:rStyle w:val="11"/>
          <w:rFonts w:ascii="Times New Roman" w:hAnsi="Times New Roman" w:eastAsia="方正小标宋简体"/>
          <w:b w:val="0"/>
          <w:i w:val="0"/>
          <w:caps w:val="0"/>
          <w:color w:val="000000"/>
          <w:spacing w:val="0"/>
          <w:w w:val="100"/>
          <w:kern w:val="2"/>
          <w:sz w:val="32"/>
          <w:szCs w:val="32"/>
          <w:lang w:val="en-US" w:eastAsia="zh-CN" w:bidi="ar-SA"/>
        </w:rPr>
        <w:t>。</w:t>
      </w:r>
    </w:p>
    <w:p>
      <w:pPr>
        <w:snapToGrid/>
        <w:spacing w:before="0" w:beforeAutospacing="0" w:after="0" w:afterAutospacing="0" w:line="600" w:lineRule="exact"/>
        <w:ind w:firstLine="643" w:firstLineChars="200"/>
        <w:jc w:val="both"/>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0"/>
          <w:rFonts w:ascii="仿宋_GB2312" w:eastAsia="仿宋_GB2312" w:cs="Times New Roman"/>
          <w:b/>
          <w:bCs/>
          <w:i w:val="0"/>
          <w:caps w:val="0"/>
          <w:color w:val="000000"/>
          <w:spacing w:val="0"/>
          <w:w w:val="100"/>
          <w:kern w:val="2"/>
          <w:sz w:val="32"/>
          <w:szCs w:val="32"/>
          <w:lang w:val="en-US" w:eastAsia="zh-CN" w:bidi="ar-SA"/>
        </w:rPr>
        <w:t>卫生健康支出（类）行政事业单位（款）事业单位医疗（项）</w:t>
      </w:r>
      <w:r>
        <w:rPr>
          <w:rStyle w:val="10"/>
          <w:rFonts w:ascii="仿宋_GB2312" w:eastAsia="仿宋_GB2312"/>
          <w:b w:val="0"/>
          <w:i w:val="0"/>
          <w:caps w:val="0"/>
          <w:color w:val="000000"/>
          <w:spacing w:val="0"/>
          <w:w w:val="100"/>
          <w:kern w:val="2"/>
          <w:sz w:val="32"/>
          <w:szCs w:val="32"/>
          <w:lang w:val="en-US" w:eastAsia="zh-CN" w:bidi="ar-SA"/>
        </w:rPr>
        <w:t>：用于在职在编人员医疗保险支出，2020年决算数12.38万元，</w:t>
      </w:r>
      <w:r>
        <w:rPr>
          <w:rStyle w:val="11"/>
          <w:rFonts w:ascii="仿宋_GB2312" w:eastAsia="仿宋_GB2312"/>
          <w:b w:val="0"/>
          <w:i w:val="0"/>
          <w:caps w:val="0"/>
          <w:color w:val="000000"/>
          <w:spacing w:val="0"/>
          <w:w w:val="100"/>
          <w:kern w:val="2"/>
          <w:sz w:val="32"/>
          <w:szCs w:val="32"/>
          <w:lang w:val="en-US" w:eastAsia="zh-CN" w:bidi="ar-SA"/>
        </w:rPr>
        <w:t>完成预算100%。</w:t>
      </w:r>
    </w:p>
    <w:p>
      <w:pPr>
        <w:snapToGrid/>
        <w:spacing w:before="0" w:beforeAutospacing="0" w:after="0" w:afterAutospacing="0" w:line="600" w:lineRule="exact"/>
        <w:ind w:firstLine="643" w:firstLineChars="200"/>
        <w:jc w:val="both"/>
        <w:textAlignment w:val="baseline"/>
        <w:rPr>
          <w:rStyle w:val="10"/>
          <w:rFonts w:ascii="仿宋_GB2312" w:eastAsia="仿宋_GB2312"/>
          <w:b w:val="0"/>
          <w:i w:val="0"/>
          <w:caps w:val="0"/>
          <w:color w:val="000000"/>
          <w:spacing w:val="0"/>
          <w:w w:val="100"/>
          <w:kern w:val="2"/>
          <w:sz w:val="32"/>
          <w:szCs w:val="32"/>
          <w:lang w:val="en-US" w:eastAsia="zh-CN" w:bidi="ar-SA"/>
        </w:rPr>
      </w:pPr>
      <w:r>
        <w:rPr>
          <w:rStyle w:val="10"/>
          <w:rFonts w:ascii="仿宋_GB2312" w:eastAsia="仿宋_GB2312"/>
          <w:b/>
          <w:i w:val="0"/>
          <w:caps w:val="0"/>
          <w:color w:val="000000"/>
          <w:spacing w:val="0"/>
          <w:w w:val="100"/>
          <w:kern w:val="2"/>
          <w:sz w:val="32"/>
          <w:szCs w:val="32"/>
          <w:lang w:val="en-US" w:eastAsia="zh-CN" w:bidi="ar-SA"/>
        </w:rPr>
        <w:t>住房保障支出（类）住房改革支出（款）</w:t>
      </w:r>
      <w:r>
        <w:rPr>
          <w:rStyle w:val="10"/>
          <w:rFonts w:ascii="仿宋_GB2312" w:eastAsia="仿宋_GB2312" w:cs="Times New Roman"/>
          <w:b/>
          <w:bCs/>
          <w:i w:val="0"/>
          <w:caps w:val="0"/>
          <w:color w:val="000000"/>
          <w:spacing w:val="0"/>
          <w:w w:val="100"/>
          <w:kern w:val="2"/>
          <w:sz w:val="32"/>
          <w:szCs w:val="32"/>
          <w:lang w:val="en-US" w:eastAsia="zh-CN" w:bidi="ar-SA"/>
        </w:rPr>
        <w:t>住房公积金支出（项）</w:t>
      </w:r>
      <w:r>
        <w:rPr>
          <w:rStyle w:val="10"/>
          <w:rFonts w:ascii="仿宋_GB2312" w:eastAsia="仿宋_GB2312"/>
          <w:b w:val="0"/>
          <w:i w:val="0"/>
          <w:caps w:val="0"/>
          <w:color w:val="000000"/>
          <w:spacing w:val="0"/>
          <w:w w:val="100"/>
          <w:kern w:val="2"/>
          <w:sz w:val="32"/>
          <w:szCs w:val="32"/>
          <w:lang w:val="en-US" w:eastAsia="zh-CN" w:bidi="ar-SA"/>
        </w:rPr>
        <w:t>:主要用于在职在编人员缴纳住房公积金支出。2020年决算数为7.87万元，完成预算100%。</w:t>
      </w:r>
    </w:p>
    <w:p>
      <w:pPr>
        <w:snapToGrid/>
        <w:spacing w:before="0" w:beforeAutospacing="0" w:after="0" w:afterAutospacing="0" w:line="600" w:lineRule="exact"/>
        <w:ind w:firstLine="643" w:firstLineChars="200"/>
        <w:jc w:val="both"/>
        <w:textAlignment w:val="baseline"/>
        <w:rPr>
          <w:rStyle w:val="11"/>
          <w:rFonts w:ascii="仿宋_GB2312" w:eastAsia="仿宋_GB2312"/>
          <w:b w:val="0"/>
          <w:i w:val="0"/>
          <w:caps w:val="0"/>
          <w:spacing w:val="0"/>
          <w:w w:val="100"/>
          <w:kern w:val="2"/>
          <w:sz w:val="32"/>
          <w:szCs w:val="32"/>
          <w:lang w:val="en-US" w:eastAsia="zh-CN" w:bidi="ar-SA"/>
        </w:rPr>
      </w:pPr>
      <w:r>
        <w:rPr>
          <w:rStyle w:val="10"/>
          <w:rFonts w:ascii="仿宋_GB2312" w:eastAsia="仿宋_GB2312"/>
          <w:b/>
          <w:i w:val="0"/>
          <w:caps w:val="0"/>
          <w:color w:val="000000"/>
          <w:spacing w:val="0"/>
          <w:w w:val="100"/>
          <w:kern w:val="2"/>
          <w:sz w:val="32"/>
          <w:szCs w:val="32"/>
          <w:lang w:val="en-US" w:eastAsia="zh-CN" w:bidi="ar-SA"/>
        </w:rPr>
        <w:t>社会保障和就业支出(类)行政事业单位离退休（款）</w:t>
      </w:r>
      <w:r>
        <w:rPr>
          <w:rStyle w:val="11"/>
          <w:rFonts w:ascii="仿宋_GB2312" w:eastAsia="仿宋_GB2312"/>
          <w:b/>
          <w:i w:val="0"/>
          <w:caps w:val="0"/>
          <w:color w:val="000000"/>
          <w:spacing w:val="0"/>
          <w:w w:val="100"/>
          <w:kern w:val="2"/>
          <w:sz w:val="32"/>
          <w:szCs w:val="32"/>
          <w:lang w:val="en-US" w:eastAsia="zh-CN" w:bidi="ar-SA"/>
        </w:rPr>
        <w:t>单位事业单位基本养老保险缴费支出（项）：</w:t>
      </w:r>
      <w:r>
        <w:rPr>
          <w:rStyle w:val="11"/>
          <w:rFonts w:ascii="仿宋_GB2312" w:eastAsia="仿宋_GB2312" w:cs="Times New Roman"/>
          <w:b w:val="0"/>
          <w:bCs/>
          <w:i w:val="0"/>
          <w:caps w:val="0"/>
          <w:color w:val="000000"/>
          <w:spacing w:val="0"/>
          <w:w w:val="100"/>
          <w:kern w:val="2"/>
          <w:sz w:val="32"/>
          <w:szCs w:val="32"/>
          <w:lang w:val="en-US" w:eastAsia="zh-CN" w:bidi="ar-SA"/>
        </w:rPr>
        <w:t>主要用于在职在编人员基本养老保险支出，</w:t>
      </w:r>
      <w:r>
        <w:rPr>
          <w:rStyle w:val="11"/>
          <w:rFonts w:ascii="仿宋_GB2312" w:eastAsia="仿宋_GB2312"/>
          <w:b w:val="0"/>
          <w:i w:val="0"/>
          <w:caps w:val="0"/>
          <w:spacing w:val="0"/>
          <w:w w:val="100"/>
          <w:kern w:val="2"/>
          <w:sz w:val="32"/>
          <w:szCs w:val="32"/>
          <w:lang w:val="en-US" w:eastAsia="zh-CN" w:bidi="ar-SA"/>
        </w:rPr>
        <w:t>2020年决算数为7.43万元，完成预算100%。</w:t>
      </w:r>
    </w:p>
    <w:p>
      <w:pPr>
        <w:snapToGrid/>
        <w:spacing w:before="0" w:beforeAutospacing="0" w:after="0" w:afterAutospacing="0" w:line="600" w:lineRule="exact"/>
        <w:ind w:firstLine="643" w:firstLineChars="200"/>
        <w:jc w:val="both"/>
        <w:textAlignment w:val="baseline"/>
        <w:rPr>
          <w:rStyle w:val="11"/>
          <w:rFonts w:ascii="仿宋_GB2312" w:eastAsia="仿宋_GB2312"/>
          <w:b w:val="0"/>
          <w:i w:val="0"/>
          <w:caps w:val="0"/>
          <w:spacing w:val="0"/>
          <w:w w:val="100"/>
          <w:kern w:val="2"/>
          <w:sz w:val="32"/>
          <w:szCs w:val="32"/>
          <w:lang w:val="en-US" w:eastAsia="zh-CN" w:bidi="ar-SA"/>
        </w:rPr>
      </w:pPr>
      <w:r>
        <w:rPr>
          <w:rStyle w:val="10"/>
          <w:rFonts w:ascii="仿宋_GB2312" w:eastAsia="仿宋_GB2312"/>
          <w:b/>
          <w:i w:val="0"/>
          <w:caps w:val="0"/>
          <w:color w:val="000000"/>
          <w:spacing w:val="0"/>
          <w:w w:val="100"/>
          <w:kern w:val="2"/>
          <w:sz w:val="32"/>
          <w:szCs w:val="32"/>
          <w:lang w:val="en-US" w:eastAsia="zh-CN" w:bidi="ar-SA"/>
        </w:rPr>
        <w:t>社会保障和就业支出(类)行政事业单位离退休（款）</w:t>
      </w:r>
      <w:r>
        <w:rPr>
          <w:rStyle w:val="11"/>
          <w:rFonts w:ascii="仿宋_GB2312" w:eastAsia="仿宋_GB2312"/>
          <w:b/>
          <w:i w:val="0"/>
          <w:caps w:val="0"/>
          <w:spacing w:val="0"/>
          <w:w w:val="100"/>
          <w:kern w:val="2"/>
          <w:sz w:val="32"/>
          <w:szCs w:val="32"/>
          <w:lang w:val="en-US" w:eastAsia="zh-CN" w:bidi="ar-SA"/>
        </w:rPr>
        <w:t>单位事业单位职业年金缴费支出（项）：</w:t>
      </w:r>
      <w:r>
        <w:rPr>
          <w:rStyle w:val="11"/>
          <w:rFonts w:ascii="仿宋_GB2312" w:eastAsia="仿宋_GB2312" w:cs="Times New Roman"/>
          <w:b w:val="0"/>
          <w:bCs/>
          <w:i w:val="0"/>
          <w:caps w:val="0"/>
          <w:color w:val="000000"/>
          <w:spacing w:val="0"/>
          <w:w w:val="100"/>
          <w:kern w:val="2"/>
          <w:sz w:val="32"/>
          <w:szCs w:val="32"/>
          <w:lang w:val="en-US" w:eastAsia="zh-CN" w:bidi="ar-SA"/>
        </w:rPr>
        <w:t>主要用于在职在编人员职业年金支出，</w:t>
      </w:r>
      <w:r>
        <w:rPr>
          <w:rStyle w:val="11"/>
          <w:rFonts w:ascii="仿宋_GB2312" w:eastAsia="仿宋_GB2312"/>
          <w:b w:val="0"/>
          <w:i w:val="0"/>
          <w:caps w:val="0"/>
          <w:spacing w:val="0"/>
          <w:w w:val="100"/>
          <w:kern w:val="2"/>
          <w:sz w:val="32"/>
          <w:szCs w:val="32"/>
          <w:lang w:val="en-US" w:eastAsia="zh-CN" w:bidi="ar-SA"/>
        </w:rPr>
        <w:t>2020年决算数为3.71万元，完成预算100%。</w:t>
      </w:r>
    </w:p>
    <w:p>
      <w:pPr>
        <w:tabs>
          <w:tab w:val="right" w:pos="8306"/>
        </w:tabs>
        <w:snapToGrid/>
        <w:spacing w:before="0" w:beforeAutospacing="0" w:after="0" w:afterAutospacing="0" w:line="600" w:lineRule="exact"/>
        <w:ind w:firstLine="640" w:firstLineChars="200"/>
        <w:jc w:val="both"/>
        <w:textAlignment w:val="baseline"/>
        <w:outlineLvl w:val="1"/>
        <w:rPr>
          <w:rStyle w:val="18"/>
          <w:rFonts w:ascii="Cambria" w:hAnsi="Cambria" w:eastAsia="方正小标宋简体" w:cs="Times New Roman"/>
          <w:b/>
          <w:bCs/>
          <w:i w:val="0"/>
          <w:caps w:val="0"/>
          <w:spacing w:val="0"/>
          <w:w w:val="100"/>
          <w:kern w:val="2"/>
          <w:sz w:val="32"/>
          <w:szCs w:val="32"/>
          <w:lang w:val="en-US" w:eastAsia="zh-CN" w:bidi="ar-SA"/>
        </w:rPr>
      </w:pPr>
      <w:bookmarkStart w:id="10" w:name="_Toc24698"/>
      <w:r>
        <w:rPr>
          <w:rStyle w:val="11"/>
          <w:rFonts w:ascii="黑体" w:eastAsia="黑体"/>
          <w:b w:val="0"/>
          <w:i w:val="0"/>
          <w:caps w:val="0"/>
          <w:color w:val="000000"/>
          <w:spacing w:val="0"/>
          <w:w w:val="100"/>
          <w:kern w:val="2"/>
          <w:sz w:val="32"/>
          <w:szCs w:val="32"/>
          <w:lang w:val="en-US" w:eastAsia="zh-CN" w:bidi="ar-SA"/>
        </w:rPr>
        <w:t>六</w:t>
      </w:r>
      <w:r>
        <w:rPr>
          <w:rStyle w:val="11"/>
          <w:rFonts w:ascii="黑体" w:eastAsia="黑体"/>
          <w:b/>
          <w:i w:val="0"/>
          <w:caps w:val="0"/>
          <w:color w:val="000000"/>
          <w:spacing w:val="0"/>
          <w:w w:val="100"/>
          <w:kern w:val="2"/>
          <w:sz w:val="32"/>
          <w:szCs w:val="32"/>
          <w:lang w:val="en-US" w:eastAsia="zh-CN" w:bidi="ar-SA"/>
        </w:rPr>
        <w:t>、一</w:t>
      </w:r>
      <w:r>
        <w:rPr>
          <w:rStyle w:val="18"/>
          <w:rFonts w:ascii="黑体" w:hAnsi="Cambria" w:eastAsia="黑体" w:cs="Times New Roman"/>
          <w:b w:val="0"/>
          <w:bCs/>
          <w:i w:val="0"/>
          <w:caps w:val="0"/>
          <w:spacing w:val="0"/>
          <w:w w:val="100"/>
          <w:kern w:val="2"/>
          <w:sz w:val="32"/>
          <w:szCs w:val="32"/>
          <w:lang w:val="en-US" w:eastAsia="zh-CN" w:bidi="ar-SA"/>
        </w:rPr>
        <w:t>般公共预算财政拨款基本支出决算情况说明</w:t>
      </w:r>
      <w:bookmarkEnd w:id="10"/>
      <w:r>
        <w:rPr>
          <w:rStyle w:val="18"/>
          <w:rFonts w:ascii="黑体" w:hAnsi="Cambria" w:eastAsia="黑体" w:cs="Times New Roman"/>
          <w:b w:val="0"/>
          <w:bCs/>
          <w:i w:val="0"/>
          <w:caps w:val="0"/>
          <w:spacing w:val="0"/>
          <w:w w:val="100"/>
          <w:kern w:val="2"/>
          <w:sz w:val="32"/>
          <w:szCs w:val="32"/>
          <w:lang w:val="en-US" w:eastAsia="zh-CN" w:bidi="ar-SA"/>
        </w:rPr>
        <w:tab/>
      </w:r>
    </w:p>
    <w:p>
      <w:pPr>
        <w:snapToGrid/>
        <w:spacing w:before="0" w:beforeAutospacing="0" w:after="0" w:afterAutospacing="0" w:line="600" w:lineRule="exact"/>
        <w:ind w:firstLine="645"/>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2020年一般公共预算财政拨款基本支出92.07万元，其中：人员经费91.37万元，主要包括：基本工资24.69万元、津贴补贴1.43万元、奖金13.6万元、绩效工资20.23万元、单位事业单位基本养老保险缴费7.43万元、职业年金缴费3.71万元、基本医疗保险缴费12.38万元、住房公积金7.87万元。</w:t>
      </w:r>
    </w:p>
    <w:p>
      <w:pPr>
        <w:snapToGrid/>
        <w:spacing w:before="0" w:beforeAutospacing="0" w:after="0" w:afterAutospacing="0" w:line="600" w:lineRule="exact"/>
        <w:ind w:firstLine="640" w:firstLineChars="200"/>
        <w:jc w:val="both"/>
        <w:textAlignment w:val="baseline"/>
        <w:rPr>
          <w:rStyle w:val="11"/>
          <w:rFonts w:ascii="仿宋" w:eastAsia="仿宋"/>
          <w:b/>
          <w:i w:val="0"/>
          <w:caps w:val="0"/>
          <w:color w:val="FF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日常公用经费0.72万元，主要是邮电费0.72万元</w:t>
      </w:r>
    </w:p>
    <w:p>
      <w:pPr>
        <w:snapToGrid/>
        <w:spacing w:before="0" w:beforeAutospacing="0" w:after="0" w:afterAutospacing="0" w:line="600" w:lineRule="exact"/>
        <w:ind w:firstLine="640"/>
        <w:jc w:val="both"/>
        <w:textAlignment w:val="baseline"/>
        <w:rPr>
          <w:rStyle w:val="11"/>
          <w:rFonts w:ascii="仿宋" w:eastAsia="仿宋"/>
          <w:b/>
          <w:i w:val="0"/>
          <w:caps w:val="0"/>
          <w:color w:val="FF0000"/>
          <w:spacing w:val="0"/>
          <w:w w:val="100"/>
          <w:kern w:val="2"/>
          <w:sz w:val="32"/>
          <w:szCs w:val="32"/>
          <w:lang w:val="en-US" w:eastAsia="zh-CN" w:bidi="ar-SA"/>
        </w:rPr>
      </w:pPr>
    </w:p>
    <w:p>
      <w:pPr>
        <w:snapToGrid/>
        <w:spacing w:before="0" w:beforeAutospacing="0" w:after="0" w:afterAutospacing="0" w:line="600" w:lineRule="exact"/>
        <w:ind w:firstLine="640"/>
        <w:jc w:val="both"/>
        <w:textAlignment w:val="baseline"/>
        <w:outlineLvl w:val="1"/>
        <w:rPr>
          <w:rStyle w:val="18"/>
          <w:rFonts w:ascii="黑体" w:hAnsi="Cambria" w:eastAsia="黑体" w:cs="Times New Roman"/>
          <w:b w:val="0"/>
          <w:bCs/>
          <w:i w:val="0"/>
          <w:caps w:val="0"/>
          <w:spacing w:val="0"/>
          <w:w w:val="100"/>
          <w:kern w:val="2"/>
          <w:sz w:val="32"/>
          <w:szCs w:val="32"/>
          <w:lang w:val="en-US" w:eastAsia="zh-CN" w:bidi="ar-SA"/>
        </w:rPr>
      </w:pPr>
      <w:bookmarkStart w:id="11" w:name="_Toc1496"/>
      <w:r>
        <w:rPr>
          <w:rStyle w:val="11"/>
          <w:rFonts w:ascii="黑体" w:eastAsia="黑体"/>
          <w:b w:val="0"/>
          <w:i w:val="0"/>
          <w:caps w:val="0"/>
          <w:color w:val="000000"/>
          <w:spacing w:val="0"/>
          <w:w w:val="100"/>
          <w:kern w:val="2"/>
          <w:sz w:val="32"/>
          <w:szCs w:val="32"/>
          <w:lang w:val="en-US" w:eastAsia="zh-CN" w:bidi="ar-SA"/>
        </w:rPr>
        <w:t>七、</w:t>
      </w:r>
      <w:r>
        <w:rPr>
          <w:rStyle w:val="18"/>
          <w:rFonts w:ascii="黑体" w:hAnsi="Cambria" w:eastAsia="黑体" w:cs="Times New Roman"/>
          <w:b/>
          <w:bCs/>
          <w:i w:val="0"/>
          <w:caps w:val="0"/>
          <w:spacing w:val="0"/>
          <w:w w:val="100"/>
          <w:kern w:val="2"/>
          <w:sz w:val="32"/>
          <w:szCs w:val="32"/>
          <w:lang w:val="en-US" w:eastAsia="zh-CN" w:bidi="ar-SA"/>
        </w:rPr>
        <w:t>“</w:t>
      </w:r>
      <w:r>
        <w:rPr>
          <w:rStyle w:val="18"/>
          <w:rFonts w:ascii="黑体" w:hAnsi="Cambria" w:eastAsia="黑体" w:cs="Times New Roman"/>
          <w:b w:val="0"/>
          <w:bCs/>
          <w:i w:val="0"/>
          <w:caps w:val="0"/>
          <w:spacing w:val="0"/>
          <w:w w:val="100"/>
          <w:kern w:val="2"/>
          <w:sz w:val="32"/>
          <w:szCs w:val="32"/>
          <w:lang w:val="en-US" w:eastAsia="zh-CN" w:bidi="ar-SA"/>
        </w:rPr>
        <w:t>三公”经费财政拨款支出决算情况说明</w:t>
      </w:r>
      <w:bookmarkEnd w:id="11"/>
    </w:p>
    <w:p>
      <w:pPr>
        <w:snapToGrid/>
        <w:spacing w:before="0" w:beforeAutospacing="0" w:after="0" w:afterAutospacing="0" w:line="600" w:lineRule="exact"/>
        <w:ind w:firstLine="640"/>
        <w:jc w:val="both"/>
        <w:textAlignment w:val="baseline"/>
        <w:rPr>
          <w:rStyle w:val="11"/>
          <w:rFonts w:ascii="仿宋" w:eastAsia="仿宋"/>
          <w:b/>
          <w:i w:val="0"/>
          <w:caps w:val="0"/>
          <w:color w:val="000000"/>
          <w:spacing w:val="0"/>
          <w:w w:val="100"/>
          <w:kern w:val="2"/>
          <w:sz w:val="32"/>
          <w:szCs w:val="32"/>
          <w:lang w:val="en-US" w:eastAsia="zh-CN" w:bidi="ar-SA"/>
        </w:rPr>
      </w:pPr>
      <w:r>
        <w:rPr>
          <w:rStyle w:val="11"/>
          <w:rFonts w:ascii="仿宋" w:eastAsia="仿宋"/>
          <w:b/>
          <w:i w:val="0"/>
          <w:caps w:val="0"/>
          <w:color w:val="000000"/>
          <w:spacing w:val="0"/>
          <w:w w:val="100"/>
          <w:kern w:val="2"/>
          <w:sz w:val="32"/>
          <w:szCs w:val="32"/>
          <w:lang w:val="en-US" w:eastAsia="zh-CN" w:bidi="ar-SA"/>
        </w:rPr>
        <w:t>（一）“三公”经费财政拨款支出决算总体情况说明</w:t>
      </w:r>
    </w:p>
    <w:p>
      <w:pPr>
        <w:snapToGrid/>
        <w:spacing w:before="0" w:beforeAutospacing="0" w:after="0" w:afterAutospacing="0" w:line="600" w:lineRule="exact"/>
        <w:ind w:firstLine="64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2020年“三公”经费财政拨款支出决算为0万元，年初未安排预算，与上年持平。</w:t>
      </w:r>
    </w:p>
    <w:p>
      <w:pPr>
        <w:snapToGrid/>
        <w:spacing w:before="0" w:beforeAutospacing="0" w:after="0" w:afterAutospacing="0" w:line="600" w:lineRule="exact"/>
        <w:ind w:firstLine="640"/>
        <w:jc w:val="both"/>
        <w:textAlignment w:val="baseline"/>
        <w:rPr>
          <w:rStyle w:val="11"/>
          <w:rFonts w:ascii="仿宋" w:eastAsia="仿宋"/>
          <w:b/>
          <w:i w:val="0"/>
          <w:caps w:val="0"/>
          <w:color w:val="000000"/>
          <w:spacing w:val="0"/>
          <w:w w:val="100"/>
          <w:kern w:val="2"/>
          <w:sz w:val="32"/>
          <w:szCs w:val="32"/>
          <w:lang w:val="en-US" w:eastAsia="zh-CN" w:bidi="ar-SA"/>
        </w:rPr>
      </w:pPr>
      <w:r>
        <w:rPr>
          <w:rStyle w:val="11"/>
          <w:rFonts w:ascii="仿宋" w:eastAsia="仿宋"/>
          <w:b/>
          <w:i w:val="0"/>
          <w:caps w:val="0"/>
          <w:color w:val="000000"/>
          <w:spacing w:val="0"/>
          <w:w w:val="100"/>
          <w:kern w:val="2"/>
          <w:sz w:val="32"/>
          <w:szCs w:val="32"/>
          <w:lang w:val="en-US" w:eastAsia="zh-CN" w:bidi="ar-SA"/>
        </w:rPr>
        <w:t>（二）“三公”经费财政拨款支出决算具体情况说明</w:t>
      </w:r>
    </w:p>
    <w:p>
      <w:pPr>
        <w:snapToGrid/>
        <w:spacing w:before="0" w:beforeAutospacing="0" w:after="0" w:afterAutospacing="0" w:line="600" w:lineRule="exact"/>
        <w:ind w:firstLine="64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2020年“三公”经费财政拨款支出决算中，因公出国（境）费支出决算0万元，年初未安排预算。公务用车购置及运行维护费支出决算0万元，年初未安排预算;公务接待费总支出决算0万元，年初未安排预算。</w:t>
      </w:r>
    </w:p>
    <w:p>
      <w:pPr>
        <w:snapToGrid/>
        <w:spacing w:before="0" w:beforeAutospacing="0" w:after="0" w:afterAutospacing="0" w:line="600" w:lineRule="exact"/>
        <w:ind w:firstLine="64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_GB2312" w:eastAsia="仿宋_GB2312"/>
          <w:b/>
          <w:i w:val="0"/>
          <w:caps w:val="0"/>
          <w:color w:val="000000"/>
          <w:spacing w:val="0"/>
          <w:w w:val="100"/>
          <w:kern w:val="2"/>
          <w:sz w:val="32"/>
          <w:szCs w:val="32"/>
          <w:lang w:val="en-US" w:eastAsia="zh-CN" w:bidi="ar-SA"/>
        </w:rPr>
        <w:t>1.因公出国（境）经费支出</w:t>
      </w:r>
      <w:r>
        <w:rPr>
          <w:rStyle w:val="11"/>
          <w:rFonts w:ascii="仿宋_GB2312" w:eastAsia="仿宋_GB2312"/>
          <w:b w:val="0"/>
          <w:i w:val="0"/>
          <w:caps w:val="0"/>
          <w:color w:val="000000"/>
          <w:spacing w:val="0"/>
          <w:w w:val="100"/>
          <w:kern w:val="2"/>
          <w:sz w:val="32"/>
          <w:szCs w:val="32"/>
          <w:lang w:val="en-US" w:eastAsia="zh-CN" w:bidi="ar-SA"/>
        </w:rPr>
        <w:t>0万元，</w:t>
      </w:r>
      <w:r>
        <w:rPr>
          <w:rStyle w:val="11"/>
          <w:rFonts w:ascii="仿宋" w:eastAsia="仿宋"/>
          <w:b w:val="0"/>
          <w:i w:val="0"/>
          <w:caps w:val="0"/>
          <w:color w:val="000000"/>
          <w:spacing w:val="0"/>
          <w:w w:val="100"/>
          <w:kern w:val="2"/>
          <w:sz w:val="32"/>
          <w:szCs w:val="32"/>
          <w:lang w:val="en-US" w:eastAsia="zh-CN" w:bidi="ar-SA"/>
        </w:rPr>
        <w:t>年初未安排预算。</w:t>
      </w:r>
    </w:p>
    <w:p>
      <w:pPr>
        <w:snapToGrid/>
        <w:spacing w:before="0" w:beforeAutospacing="0" w:after="0" w:afterAutospacing="0" w:line="600" w:lineRule="exact"/>
        <w:jc w:val="both"/>
        <w:textAlignment w:val="baseline"/>
        <w:rPr>
          <w:rStyle w:val="11"/>
          <w:rFonts w:ascii="仿宋_GB2312" w:eastAsia="仿宋_GB2312"/>
          <w:b/>
          <w:i w:val="0"/>
          <w:caps w:val="0"/>
          <w:color w:val="000000"/>
          <w:spacing w:val="0"/>
          <w:w w:val="100"/>
          <w:kern w:val="2"/>
          <w:sz w:val="32"/>
          <w:szCs w:val="32"/>
          <w:lang w:val="en-US" w:eastAsia="zh-CN" w:bidi="ar-SA"/>
        </w:rPr>
      </w:pPr>
      <w:r>
        <w:rPr>
          <w:rStyle w:val="10"/>
          <w:rFonts w:ascii="仿宋" w:eastAsia="仿宋" w:cs="Times New Roman"/>
          <w:b w:val="0"/>
          <w:bCs/>
          <w:i w:val="0"/>
          <w:caps w:val="0"/>
          <w:color w:val="000000"/>
          <w:spacing w:val="0"/>
          <w:w w:val="100"/>
          <w:kern w:val="2"/>
          <w:sz w:val="32"/>
          <w:szCs w:val="32"/>
          <w:lang w:val="en-US" w:eastAsia="zh-CN" w:bidi="ar-SA"/>
        </w:rPr>
        <w:t>与上年数持平。</w:t>
      </w:r>
    </w:p>
    <w:p>
      <w:pPr>
        <w:snapToGrid/>
        <w:spacing w:before="0" w:beforeAutospacing="0" w:after="0" w:afterAutospacing="0" w:line="600" w:lineRule="exact"/>
        <w:ind w:firstLine="64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_GB2312" w:eastAsia="仿宋_GB2312"/>
          <w:b/>
          <w:i w:val="0"/>
          <w:caps w:val="0"/>
          <w:color w:val="000000"/>
          <w:spacing w:val="0"/>
          <w:w w:val="100"/>
          <w:kern w:val="2"/>
          <w:sz w:val="32"/>
          <w:szCs w:val="32"/>
          <w:lang w:val="en-US" w:eastAsia="zh-CN" w:bidi="ar-SA"/>
        </w:rPr>
        <w:t>2.公务用车购置及运行维护费支出</w:t>
      </w:r>
      <w:r>
        <w:rPr>
          <w:rStyle w:val="11"/>
          <w:rFonts w:ascii="仿宋_GB2312" w:eastAsia="仿宋_GB2312"/>
          <w:b w:val="0"/>
          <w:i w:val="0"/>
          <w:caps w:val="0"/>
          <w:color w:val="000000"/>
          <w:spacing w:val="0"/>
          <w:w w:val="100"/>
          <w:kern w:val="2"/>
          <w:sz w:val="32"/>
          <w:szCs w:val="32"/>
          <w:lang w:val="en-US" w:eastAsia="zh-CN" w:bidi="ar-SA"/>
        </w:rPr>
        <w:t>0万元,</w:t>
      </w:r>
      <w:r>
        <w:rPr>
          <w:rStyle w:val="11"/>
          <w:rFonts w:ascii="仿宋" w:eastAsia="仿宋"/>
          <w:b w:val="0"/>
          <w:i w:val="0"/>
          <w:caps w:val="0"/>
          <w:color w:val="000000"/>
          <w:spacing w:val="0"/>
          <w:w w:val="100"/>
          <w:kern w:val="2"/>
          <w:sz w:val="32"/>
          <w:szCs w:val="32"/>
          <w:lang w:val="en-US" w:eastAsia="zh-CN" w:bidi="ar-SA"/>
        </w:rPr>
        <w:t>年初未安排预算，与上年持平。</w:t>
      </w:r>
    </w:p>
    <w:p>
      <w:pPr>
        <w:snapToGrid/>
        <w:spacing w:before="0" w:beforeAutospacing="0" w:after="0" w:afterAutospacing="0" w:line="600" w:lineRule="exact"/>
        <w:ind w:firstLine="640"/>
        <w:jc w:val="both"/>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1"/>
          <w:rFonts w:ascii="仿宋_GB2312" w:eastAsia="仿宋_GB2312"/>
          <w:b/>
          <w:i w:val="0"/>
          <w:caps w:val="0"/>
          <w:color w:val="000000"/>
          <w:spacing w:val="0"/>
          <w:w w:val="100"/>
          <w:kern w:val="2"/>
          <w:sz w:val="32"/>
          <w:szCs w:val="32"/>
          <w:lang w:val="en-US" w:eastAsia="zh-CN" w:bidi="ar-SA"/>
        </w:rPr>
        <w:t>3.公务接待费支出</w:t>
      </w:r>
      <w:r>
        <w:rPr>
          <w:rStyle w:val="11"/>
          <w:rFonts w:ascii="仿宋_GB2312" w:eastAsia="仿宋_GB2312"/>
          <w:b w:val="0"/>
          <w:i w:val="0"/>
          <w:caps w:val="0"/>
          <w:color w:val="000000"/>
          <w:spacing w:val="0"/>
          <w:w w:val="100"/>
          <w:kern w:val="2"/>
          <w:sz w:val="32"/>
          <w:szCs w:val="32"/>
          <w:lang w:val="en-US" w:eastAsia="zh-CN" w:bidi="ar-SA"/>
        </w:rPr>
        <w:t>0万元，年初未安排预算，与上年持平</w:t>
      </w:r>
      <w:r>
        <w:rPr>
          <w:rStyle w:val="10"/>
          <w:rFonts w:ascii="仿宋" w:eastAsia="仿宋" w:cs="Times New Roman"/>
          <w:b w:val="0"/>
          <w:bCs/>
          <w:i w:val="0"/>
          <w:caps w:val="0"/>
          <w:color w:val="000000"/>
          <w:spacing w:val="0"/>
          <w:w w:val="100"/>
          <w:kern w:val="2"/>
          <w:sz w:val="32"/>
          <w:szCs w:val="32"/>
          <w:lang w:val="en-US" w:eastAsia="zh-CN" w:bidi="ar-SA"/>
        </w:rPr>
        <w:t>。</w:t>
      </w:r>
    </w:p>
    <w:p>
      <w:pPr>
        <w:snapToGrid/>
        <w:spacing w:before="0" w:beforeAutospacing="0" w:after="0" w:afterAutospacing="0" w:line="600" w:lineRule="exact"/>
        <w:ind w:firstLine="640" w:firstLineChars="200"/>
        <w:jc w:val="both"/>
        <w:textAlignment w:val="baseline"/>
        <w:outlineLvl w:val="1"/>
        <w:rPr>
          <w:rStyle w:val="18"/>
          <w:rFonts w:ascii="黑体" w:hAnsi="Cambria" w:eastAsia="黑体" w:cs="Times New Roman"/>
          <w:b/>
          <w:bCs/>
          <w:i w:val="0"/>
          <w:caps w:val="0"/>
          <w:spacing w:val="0"/>
          <w:w w:val="100"/>
          <w:kern w:val="2"/>
          <w:sz w:val="32"/>
          <w:szCs w:val="32"/>
          <w:lang w:val="en-US" w:eastAsia="zh-CN" w:bidi="ar-SA"/>
        </w:rPr>
      </w:pPr>
      <w:bookmarkStart w:id="12" w:name="_Toc1419"/>
      <w:r>
        <w:rPr>
          <w:rStyle w:val="11"/>
          <w:rFonts w:ascii="黑体" w:eastAsia="黑体"/>
          <w:b w:val="0"/>
          <w:i w:val="0"/>
          <w:caps w:val="0"/>
          <w:color w:val="000000"/>
          <w:spacing w:val="0"/>
          <w:w w:val="100"/>
          <w:kern w:val="2"/>
          <w:sz w:val="32"/>
          <w:szCs w:val="32"/>
          <w:lang w:val="en-US" w:eastAsia="zh-CN" w:bidi="ar-SA"/>
        </w:rPr>
        <w:t>八、</w:t>
      </w:r>
      <w:r>
        <w:rPr>
          <w:rStyle w:val="18"/>
          <w:rFonts w:ascii="黑体" w:hAnsi="Cambria" w:eastAsia="黑体" w:cs="Times New Roman"/>
          <w:b w:val="0"/>
          <w:bCs/>
          <w:i w:val="0"/>
          <w:caps w:val="0"/>
          <w:spacing w:val="0"/>
          <w:w w:val="100"/>
          <w:kern w:val="2"/>
          <w:sz w:val="32"/>
          <w:szCs w:val="32"/>
          <w:lang w:val="en-US" w:eastAsia="zh-CN" w:bidi="ar-SA"/>
        </w:rPr>
        <w:t>政府性基金预算支出决算情况说明</w:t>
      </w:r>
      <w:bookmarkEnd w:id="12"/>
    </w:p>
    <w:p>
      <w:pPr>
        <w:snapToGrid/>
        <w:spacing w:before="0" w:beforeAutospacing="0" w:after="0" w:afterAutospacing="0" w:line="600" w:lineRule="exact"/>
        <w:ind w:firstLine="640"/>
        <w:jc w:val="both"/>
        <w:textAlignment w:val="baseline"/>
        <w:rPr>
          <w:rStyle w:val="11"/>
          <w:rFonts w:ascii="仿宋_GB2312" w:eastAsia="仿宋_GB2312"/>
          <w:b w:val="0"/>
          <w:i w:val="0"/>
          <w:caps w:val="0"/>
          <w:color w:val="000000"/>
          <w:spacing w:val="0"/>
          <w:w w:val="100"/>
          <w:kern w:val="2"/>
          <w:sz w:val="32"/>
          <w:szCs w:val="32"/>
          <w:lang w:val="en-US" w:eastAsia="en-US" w:bidi="ar-SA"/>
        </w:rPr>
      </w:pPr>
      <w:r>
        <w:rPr>
          <w:rStyle w:val="11"/>
          <w:rFonts w:ascii="仿宋_GB2312" w:eastAsia="仿宋_GB2312"/>
          <w:b w:val="0"/>
          <w:i w:val="0"/>
          <w:caps w:val="0"/>
          <w:color w:val="000000"/>
          <w:spacing w:val="0"/>
          <w:w w:val="100"/>
          <w:kern w:val="2"/>
          <w:sz w:val="32"/>
          <w:szCs w:val="32"/>
          <w:lang w:val="en-US" w:eastAsia="zh-CN" w:bidi="ar-SA"/>
        </w:rPr>
        <w:t>2020年政府性基金预算拨款支出16.84万元，决算支出16.84万元，完成预算100%，主要用于卫生院哨点诊室建设、污水处理系统、医废检测系统购置</w:t>
      </w:r>
    </w:p>
    <w:p>
      <w:pPr>
        <w:numPr>
          <w:ilvl w:val="0"/>
          <w:numId w:val="4"/>
        </w:numPr>
        <w:snapToGrid/>
        <w:spacing w:before="0" w:beforeAutospacing="0" w:after="0" w:afterAutospacing="0" w:line="600" w:lineRule="exact"/>
        <w:ind w:left="0" w:firstLine="640"/>
        <w:jc w:val="both"/>
        <w:textAlignment w:val="baseline"/>
        <w:outlineLvl w:val="1"/>
        <w:rPr>
          <w:rStyle w:val="18"/>
          <w:rFonts w:ascii="黑体" w:hAnsi="Cambria" w:eastAsia="黑体" w:cs="Times New Roman"/>
          <w:b w:val="0"/>
          <w:bCs/>
          <w:i w:val="0"/>
          <w:caps w:val="0"/>
          <w:spacing w:val="0"/>
          <w:w w:val="100"/>
          <w:kern w:val="2"/>
          <w:sz w:val="32"/>
          <w:szCs w:val="32"/>
          <w:lang w:val="en-US" w:eastAsia="zh-CN" w:bidi="ar-SA"/>
        </w:rPr>
      </w:pPr>
      <w:bookmarkStart w:id="13" w:name="_Toc27066"/>
      <w:r>
        <w:rPr>
          <w:rStyle w:val="18"/>
          <w:rFonts w:ascii="黑体" w:hAnsi="Cambria" w:eastAsia="黑体" w:cs="Times New Roman"/>
          <w:b w:val="0"/>
          <w:bCs/>
          <w:i w:val="0"/>
          <w:caps w:val="0"/>
          <w:spacing w:val="0"/>
          <w:w w:val="100"/>
          <w:kern w:val="2"/>
          <w:sz w:val="32"/>
          <w:szCs w:val="32"/>
          <w:lang w:val="en-US" w:eastAsia="zh-CN" w:bidi="ar-SA"/>
        </w:rPr>
        <w:t>国有资本经营预算支出决算情况说明</w:t>
      </w:r>
      <w:bookmarkEnd w:id="13"/>
    </w:p>
    <w:p>
      <w:pPr>
        <w:snapToGrid/>
        <w:spacing w:before="0" w:beforeAutospacing="0" w:after="0" w:afterAutospacing="0" w:line="600" w:lineRule="exact"/>
        <w:ind w:firstLine="640"/>
        <w:jc w:val="both"/>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1"/>
          <w:rFonts w:ascii="仿宋_GB2312" w:eastAsia="仿宋_GB2312"/>
          <w:b w:val="0"/>
          <w:i w:val="0"/>
          <w:caps w:val="0"/>
          <w:color w:val="000000"/>
          <w:spacing w:val="0"/>
          <w:w w:val="100"/>
          <w:kern w:val="2"/>
          <w:sz w:val="32"/>
          <w:szCs w:val="32"/>
          <w:lang w:val="en-US" w:eastAsia="zh-CN" w:bidi="ar-SA"/>
        </w:rPr>
        <w:t>2020年国有资本经营预算拨款支出0万元。</w:t>
      </w:r>
    </w:p>
    <w:p>
      <w:pPr>
        <w:snapToGrid/>
        <w:spacing w:before="0" w:beforeAutospacing="0" w:after="0" w:afterAutospacing="0" w:line="600" w:lineRule="exact"/>
        <w:ind w:firstLine="640" w:firstLineChars="200"/>
        <w:jc w:val="both"/>
        <w:textAlignment w:val="baseline"/>
        <w:outlineLvl w:val="1"/>
        <w:rPr>
          <w:rStyle w:val="18"/>
          <w:rFonts w:ascii="黑体" w:hAnsi="Cambria" w:eastAsia="黑体" w:cs="Times New Roman"/>
          <w:b/>
          <w:bCs/>
          <w:i w:val="0"/>
          <w:caps w:val="0"/>
          <w:spacing w:val="0"/>
          <w:w w:val="100"/>
          <w:kern w:val="2"/>
          <w:sz w:val="32"/>
          <w:szCs w:val="32"/>
          <w:lang w:val="en-US" w:eastAsia="zh-CN" w:bidi="ar-SA"/>
        </w:rPr>
      </w:pPr>
      <w:bookmarkStart w:id="14" w:name="_Toc15170"/>
      <w:r>
        <w:rPr>
          <w:rStyle w:val="11"/>
          <w:rFonts w:ascii="黑体" w:eastAsia="黑体"/>
          <w:b w:val="0"/>
          <w:i w:val="0"/>
          <w:caps w:val="0"/>
          <w:color w:val="000000"/>
          <w:spacing w:val="0"/>
          <w:w w:val="100"/>
          <w:kern w:val="2"/>
          <w:sz w:val="32"/>
          <w:szCs w:val="32"/>
          <w:lang w:val="en-US" w:eastAsia="zh-CN" w:bidi="ar-SA"/>
        </w:rPr>
        <w:t>十</w:t>
      </w:r>
      <w:r>
        <w:rPr>
          <w:rStyle w:val="18"/>
          <w:rFonts w:ascii="黑体" w:hAnsi="Cambria" w:eastAsia="黑体" w:cs="Times New Roman"/>
          <w:b/>
          <w:bCs/>
          <w:i w:val="0"/>
          <w:caps w:val="0"/>
          <w:spacing w:val="0"/>
          <w:w w:val="100"/>
          <w:kern w:val="2"/>
          <w:sz w:val="32"/>
          <w:szCs w:val="32"/>
          <w:lang w:val="en-US" w:eastAsia="zh-CN" w:bidi="ar-SA"/>
        </w:rPr>
        <w:t>、</w:t>
      </w:r>
      <w:r>
        <w:rPr>
          <w:rStyle w:val="18"/>
          <w:rFonts w:ascii="黑体" w:hAnsi="Cambria" w:eastAsia="黑体" w:cs="Times New Roman"/>
          <w:b w:val="0"/>
          <w:bCs/>
          <w:i w:val="0"/>
          <w:caps w:val="0"/>
          <w:spacing w:val="0"/>
          <w:w w:val="100"/>
          <w:kern w:val="2"/>
          <w:sz w:val="32"/>
          <w:szCs w:val="32"/>
          <w:lang w:val="en-US" w:eastAsia="zh-CN" w:bidi="ar-SA"/>
        </w:rPr>
        <w:t>其他重要事项的情况说明</w:t>
      </w:r>
      <w:bookmarkEnd w:id="14"/>
    </w:p>
    <w:p>
      <w:pPr>
        <w:snapToGrid/>
        <w:spacing w:before="0" w:beforeAutospacing="0" w:after="0" w:afterAutospacing="0" w:line="600" w:lineRule="exact"/>
        <w:ind w:firstLine="643" w:firstLineChars="20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i w:val="0"/>
          <w:caps w:val="0"/>
          <w:color w:val="000000"/>
          <w:spacing w:val="0"/>
          <w:w w:val="100"/>
          <w:kern w:val="2"/>
          <w:sz w:val="32"/>
          <w:szCs w:val="32"/>
          <w:lang w:val="en-US" w:eastAsia="zh-CN" w:bidi="ar-SA"/>
        </w:rPr>
        <w:t>（一）单位运行经费支出情况</w:t>
      </w:r>
    </w:p>
    <w:p>
      <w:pPr>
        <w:snapToGrid/>
        <w:spacing w:before="0" w:beforeAutospacing="0" w:after="0" w:afterAutospacing="0" w:line="600" w:lineRule="exact"/>
        <w:ind w:firstLine="640" w:firstLineChars="200"/>
        <w:jc w:val="both"/>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1"/>
          <w:rFonts w:ascii="仿宋_GB2312" w:eastAsia="仿宋_GB2312"/>
          <w:b w:val="0"/>
          <w:i w:val="0"/>
          <w:caps w:val="0"/>
          <w:color w:val="000000"/>
          <w:spacing w:val="0"/>
          <w:w w:val="100"/>
          <w:kern w:val="2"/>
          <w:sz w:val="32"/>
          <w:szCs w:val="32"/>
          <w:lang w:val="en-US" w:eastAsia="zh-CN" w:bidi="ar-SA"/>
        </w:rPr>
        <w:t>2020年卫生院运行经费支出40.52万元，比2019年减少8.19万元，减少了16.81%，主要原因是新冠疫情期间医院业务收入减少、费用控制较好；财政预算邮电费0.72万元，其他运行支出自有资金支付，其中办公费2.26万元、印刷费6.20万元、水费1.03万元、电费1.64万元、邮电费1.72万元、差旅费0.62万元、维修（护）费1.65万元，会议费0.15万元、培训费0.26万元、公务接待0.99万元、劳务费9.24万元、专用材料费（药品费）14.76万元。</w:t>
      </w:r>
    </w:p>
    <w:p>
      <w:pPr>
        <w:snapToGrid/>
        <w:spacing w:before="0" w:beforeAutospacing="0" w:after="0" w:afterAutospacing="0" w:line="600" w:lineRule="exact"/>
        <w:ind w:firstLine="643" w:firstLineChars="200"/>
        <w:jc w:val="left"/>
        <w:textAlignment w:val="baseline"/>
        <w:rPr>
          <w:rStyle w:val="11"/>
          <w:rFonts w:ascii="仿宋" w:eastAsia="仿宋"/>
          <w:b/>
          <w:i w:val="0"/>
          <w:caps w:val="0"/>
          <w:color w:val="000000"/>
          <w:spacing w:val="0"/>
          <w:w w:val="100"/>
          <w:kern w:val="2"/>
          <w:sz w:val="32"/>
          <w:szCs w:val="32"/>
          <w:lang w:val="en-US" w:eastAsia="zh-CN" w:bidi="ar-SA"/>
        </w:rPr>
      </w:pPr>
      <w:r>
        <w:rPr>
          <w:rStyle w:val="11"/>
          <w:rFonts w:ascii="仿宋" w:eastAsia="仿宋"/>
          <w:b/>
          <w:i w:val="0"/>
          <w:caps w:val="0"/>
          <w:color w:val="000000"/>
          <w:spacing w:val="0"/>
          <w:w w:val="100"/>
          <w:kern w:val="2"/>
          <w:sz w:val="32"/>
          <w:szCs w:val="32"/>
          <w:lang w:val="en-US" w:eastAsia="zh-CN" w:bidi="ar-SA"/>
        </w:rPr>
        <w:t>（二）政府采购支出情况</w:t>
      </w:r>
    </w:p>
    <w:p>
      <w:pPr>
        <w:snapToGrid/>
        <w:spacing w:before="0" w:beforeAutospacing="0" w:after="0" w:afterAutospacing="0" w:line="600" w:lineRule="exact"/>
        <w:ind w:firstLine="640" w:firstLineChars="200"/>
        <w:jc w:val="both"/>
        <w:textAlignment w:val="baseline"/>
        <w:rPr>
          <w:rStyle w:val="11"/>
          <w:rFonts w:ascii="仿宋_GB2312" w:eastAsia="仿宋_GB2312"/>
          <w:b w:val="0"/>
          <w:i w:val="0"/>
          <w:caps w:val="0"/>
          <w:color w:val="000000"/>
          <w:spacing w:val="0"/>
          <w:w w:val="100"/>
          <w:kern w:val="2"/>
          <w:sz w:val="32"/>
          <w:szCs w:val="32"/>
          <w:highlight w:val="yellow"/>
          <w:lang w:val="en-US" w:eastAsia="zh-CN" w:bidi="ar-SA"/>
        </w:rPr>
      </w:pPr>
      <w:r>
        <w:rPr>
          <w:rStyle w:val="11"/>
          <w:rFonts w:ascii="仿宋_GB2312" w:eastAsia="仿宋_GB2312"/>
          <w:b w:val="0"/>
          <w:i w:val="0"/>
          <w:caps w:val="0"/>
          <w:color w:val="000000"/>
          <w:spacing w:val="0"/>
          <w:w w:val="100"/>
          <w:kern w:val="2"/>
          <w:sz w:val="32"/>
          <w:szCs w:val="32"/>
          <w:lang w:val="en-US" w:eastAsia="zh-CN" w:bidi="ar-SA"/>
        </w:rPr>
        <w:t>2020年，柳桥卫生院政府采购0万元。</w:t>
      </w:r>
    </w:p>
    <w:p>
      <w:pPr>
        <w:snapToGrid/>
        <w:spacing w:before="0" w:beforeAutospacing="0" w:after="0" w:afterAutospacing="0" w:line="600" w:lineRule="exact"/>
        <w:ind w:firstLine="643" w:firstLineChars="200"/>
        <w:jc w:val="left"/>
        <w:textAlignment w:val="baseline"/>
        <w:rPr>
          <w:rStyle w:val="11"/>
          <w:rFonts w:ascii="仿宋" w:eastAsia="仿宋"/>
          <w:b/>
          <w:i w:val="0"/>
          <w:caps w:val="0"/>
          <w:color w:val="000000"/>
          <w:spacing w:val="0"/>
          <w:w w:val="100"/>
          <w:kern w:val="2"/>
          <w:sz w:val="32"/>
          <w:szCs w:val="32"/>
          <w:lang w:val="en-US" w:eastAsia="zh-CN" w:bidi="ar-SA"/>
        </w:rPr>
      </w:pPr>
      <w:r>
        <w:rPr>
          <w:rStyle w:val="11"/>
          <w:rFonts w:ascii="仿宋" w:eastAsia="仿宋"/>
          <w:b/>
          <w:i w:val="0"/>
          <w:caps w:val="0"/>
          <w:color w:val="000000"/>
          <w:spacing w:val="0"/>
          <w:w w:val="100"/>
          <w:kern w:val="2"/>
          <w:sz w:val="32"/>
          <w:szCs w:val="32"/>
          <w:lang w:val="en-US" w:eastAsia="zh-CN" w:bidi="ar-SA"/>
        </w:rPr>
        <w:t>（三）国有资产占有使用情况</w:t>
      </w:r>
    </w:p>
    <w:p>
      <w:pPr>
        <w:snapToGrid/>
        <w:spacing w:before="0" w:beforeAutospacing="0" w:after="0" w:afterAutospacing="0" w:line="600" w:lineRule="exact"/>
        <w:ind w:firstLine="640" w:firstLineChars="200"/>
        <w:jc w:val="left"/>
        <w:textAlignment w:val="baseline"/>
        <w:rPr>
          <w:rStyle w:val="11"/>
          <w:rFonts w:ascii="仿宋" w:eastAsia="仿宋"/>
          <w:b/>
          <w:i w:val="0"/>
          <w:caps w:val="0"/>
          <w:color w:val="FF0000"/>
          <w:spacing w:val="0"/>
          <w:w w:val="100"/>
          <w:kern w:val="2"/>
          <w:sz w:val="32"/>
          <w:szCs w:val="32"/>
          <w:lang w:val="en-US" w:eastAsia="zh-CN" w:bidi="ar-SA"/>
        </w:rPr>
      </w:pPr>
      <w:r>
        <w:rPr>
          <w:rStyle w:val="11"/>
          <w:rFonts w:ascii="仿宋_GB2312" w:eastAsia="仿宋_GB2312"/>
          <w:b w:val="0"/>
          <w:i w:val="0"/>
          <w:caps w:val="0"/>
          <w:color w:val="000000"/>
          <w:spacing w:val="0"/>
          <w:w w:val="100"/>
          <w:kern w:val="2"/>
          <w:sz w:val="32"/>
          <w:szCs w:val="32"/>
          <w:lang w:val="en-US" w:eastAsia="zh-CN" w:bidi="ar-SA"/>
        </w:rPr>
        <w:t>截至2020年12月31日，柳桥卫生院共有车辆0辆，单价50万元以上通用设备0台（套），单价100万元以上专用设备0台（套）。</w:t>
      </w:r>
    </w:p>
    <w:p>
      <w:pPr>
        <w:snapToGrid/>
        <w:spacing w:before="0" w:beforeAutospacing="0" w:after="0" w:afterAutospacing="0" w:line="600" w:lineRule="exact"/>
        <w:ind w:firstLine="643" w:firstLineChars="200"/>
        <w:jc w:val="left"/>
        <w:textAlignment w:val="baseline"/>
        <w:rPr>
          <w:rStyle w:val="11"/>
          <w:rFonts w:ascii="仿宋" w:eastAsia="仿宋"/>
          <w:b/>
          <w:i w:val="0"/>
          <w:caps w:val="0"/>
          <w:color w:val="000000"/>
          <w:spacing w:val="0"/>
          <w:w w:val="100"/>
          <w:kern w:val="2"/>
          <w:sz w:val="32"/>
          <w:szCs w:val="32"/>
          <w:lang w:val="en-US" w:eastAsia="zh-CN" w:bidi="ar-SA"/>
        </w:rPr>
      </w:pPr>
      <w:r>
        <w:rPr>
          <w:rStyle w:val="11"/>
          <w:rFonts w:ascii="仿宋" w:eastAsia="仿宋"/>
          <w:b/>
          <w:i w:val="0"/>
          <w:caps w:val="0"/>
          <w:color w:val="000000"/>
          <w:spacing w:val="0"/>
          <w:w w:val="100"/>
          <w:kern w:val="2"/>
          <w:sz w:val="32"/>
          <w:szCs w:val="32"/>
          <w:lang w:val="en-US" w:eastAsia="zh-CN" w:bidi="ar-SA"/>
        </w:rPr>
        <w:t>（四）预算绩效管理情况。</w:t>
      </w:r>
    </w:p>
    <w:p>
      <w:pPr>
        <w:snapToGrid/>
        <w:spacing w:before="0" w:beforeAutospacing="0" w:after="0" w:afterAutospacing="0" w:line="600" w:lineRule="exact"/>
        <w:ind w:firstLine="640" w:firstLineChars="200"/>
        <w:jc w:val="left"/>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1"/>
          <w:rFonts w:ascii="仿宋_GB2312" w:eastAsia="仿宋_GB2312"/>
          <w:b w:val="0"/>
          <w:i w:val="0"/>
          <w:caps w:val="0"/>
          <w:color w:val="000000"/>
          <w:spacing w:val="0"/>
          <w:w w:val="100"/>
          <w:kern w:val="2"/>
          <w:sz w:val="32"/>
          <w:szCs w:val="32"/>
          <w:lang w:val="en-US" w:eastAsia="zh-CN" w:bidi="ar-SA"/>
        </w:rPr>
        <w:t>1.绩效目标管理情况</w:t>
      </w:r>
    </w:p>
    <w:p>
      <w:pPr>
        <w:snapToGrid/>
        <w:spacing w:before="0" w:beforeAutospacing="0" w:after="0" w:afterAutospacing="0" w:line="600" w:lineRule="exact"/>
        <w:ind w:firstLine="640" w:firstLineChars="200"/>
        <w:jc w:val="left"/>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1"/>
          <w:rFonts w:ascii="仿宋_GB2312" w:eastAsia="仿宋_GB2312"/>
          <w:b w:val="0"/>
          <w:i w:val="0"/>
          <w:caps w:val="0"/>
          <w:color w:val="000000"/>
          <w:spacing w:val="0"/>
          <w:w w:val="100"/>
          <w:kern w:val="2"/>
          <w:sz w:val="32"/>
          <w:szCs w:val="32"/>
          <w:lang w:val="en-US" w:eastAsia="zh-CN" w:bidi="ar-SA"/>
        </w:rPr>
        <w:t>按照预算绩效管理要求，本单位对2020年一般公共预算项目支出开展了绩效目标管理，共编制绩效目标3个，涉及财政资金42.42万元</w:t>
      </w:r>
    </w:p>
    <w:p>
      <w:pPr>
        <w:snapToGrid/>
        <w:spacing w:before="0" w:beforeAutospacing="0" w:after="0" w:afterAutospacing="0" w:line="600" w:lineRule="atLeast"/>
        <w:ind w:firstLine="640" w:firstLineChars="200"/>
        <w:jc w:val="both"/>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1"/>
          <w:rFonts w:ascii="仿宋_GB2312" w:eastAsia="仿宋_GB2312"/>
          <w:b w:val="0"/>
          <w:i w:val="0"/>
          <w:caps w:val="0"/>
          <w:color w:val="000000"/>
          <w:spacing w:val="0"/>
          <w:w w:val="100"/>
          <w:kern w:val="2"/>
          <w:sz w:val="32"/>
          <w:szCs w:val="32"/>
          <w:lang w:val="en-US" w:eastAsia="zh-CN" w:bidi="ar-SA"/>
        </w:rPr>
        <w:t>2、单位整体支出绩效自评开展情况。</w:t>
      </w:r>
    </w:p>
    <w:p>
      <w:pPr>
        <w:snapToGrid/>
        <w:spacing w:before="0" w:beforeAutospacing="0" w:after="0" w:afterAutospacing="0" w:line="600" w:lineRule="atLeast"/>
        <w:ind w:firstLine="640" w:firstLineChars="200"/>
        <w:jc w:val="both"/>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本单位按要求对2020年单位整体支出开展绩效自评，</w:t>
      </w:r>
      <w:r>
        <w:rPr>
          <w:rStyle w:val="11"/>
          <w:rFonts w:ascii="仿宋_GB2312" w:eastAsia="仿宋_GB2312"/>
          <w:b w:val="0"/>
          <w:i w:val="0"/>
          <w:caps w:val="0"/>
          <w:color w:val="000000"/>
          <w:spacing w:val="0"/>
          <w:w w:val="100"/>
          <w:kern w:val="2"/>
          <w:sz w:val="32"/>
          <w:szCs w:val="32"/>
          <w:lang w:val="en-US" w:eastAsia="zh-CN" w:bidi="ar-SA"/>
        </w:rPr>
        <w:t>从评价情况来看未发现虚列支出，所有财政资金支出均履行了严格审批手续，未发现挤占、挪用、转移财政资金行为。基本支出严格执行国家有关政策及规定，无擅自扩大开支范围和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有资金对外借、贷款问题。本</w:t>
      </w:r>
      <w:r>
        <w:rPr>
          <w:rStyle w:val="11"/>
          <w:rFonts w:hint="eastAsia" w:ascii="仿宋_GB2312" w:eastAsia="仿宋_GB2312"/>
          <w:b w:val="0"/>
          <w:i w:val="0"/>
          <w:caps w:val="0"/>
          <w:color w:val="000000"/>
          <w:spacing w:val="0"/>
          <w:w w:val="100"/>
          <w:kern w:val="2"/>
          <w:sz w:val="32"/>
          <w:szCs w:val="32"/>
          <w:lang w:val="en-US" w:eastAsia="zh-CN" w:bidi="ar-SA"/>
        </w:rPr>
        <w:t>单位</w:t>
      </w:r>
      <w:r>
        <w:rPr>
          <w:rStyle w:val="11"/>
          <w:rFonts w:ascii="仿宋_GB2312" w:eastAsia="仿宋_GB2312"/>
          <w:b w:val="0"/>
          <w:i w:val="0"/>
          <w:caps w:val="0"/>
          <w:color w:val="000000"/>
          <w:spacing w:val="0"/>
          <w:w w:val="100"/>
          <w:kern w:val="2"/>
          <w:sz w:val="32"/>
          <w:szCs w:val="32"/>
          <w:lang w:val="en-US" w:eastAsia="zh-CN" w:bidi="ar-SA"/>
        </w:rPr>
        <w:t>还自行组织了项目绩效评价，从评价情况来看我局对项目资金加强使用管理，明确了项目内容、目标任务及工作措施。在实施过程中，经常召开专项会议，及时调度项目进度，研究解决项目工作中的具体问题，并根据专项资金文件规定的申报、审核、支付、管理流程，基本按照相关文件的规定审核支付资金，资金的支付范围、支付标准基本合规合法，支付依据充分，做到了专款专用。</w:t>
      </w:r>
    </w:p>
    <w:tbl>
      <w:tblPr>
        <w:tblStyle w:val="8"/>
        <w:tblpPr w:leftFromText="180" w:rightFromText="180" w:vertAnchor="text" w:horzAnchor="page" w:tblpXSpec="center" w:tblpY="423"/>
        <w:tblOverlap w:val="never"/>
        <w:tblW w:w="9604"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425"/>
        <w:gridCol w:w="1073"/>
        <w:gridCol w:w="2286"/>
        <w:gridCol w:w="2036"/>
        <w:gridCol w:w="2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604" w:type="dxa"/>
            <w:gridSpan w:val="6"/>
            <w:vAlign w:val="center"/>
          </w:tcPr>
          <w:p>
            <w:pPr>
              <w:pStyle w:val="36"/>
              <w:widowControl/>
              <w:snapToGrid/>
              <w:spacing w:before="0" w:beforeAutospacing="0" w:after="0" w:afterAutospacing="0" w:line="240" w:lineRule="auto"/>
              <w:ind w:firstLine="420" w:firstLineChars="0"/>
              <w:jc w:val="center"/>
              <w:textAlignment w:val="center"/>
              <w:rPr>
                <w:rStyle w:val="11"/>
                <w:rFonts w:ascii="宋体" w:hAnsi="宋体" w:eastAsia="宋体"/>
                <w:b w:val="0"/>
                <w:i w:val="0"/>
                <w:caps w:val="0"/>
                <w:spacing w:val="0"/>
                <w:w w:val="100"/>
                <w:kern w:val="2"/>
                <w:sz w:val="36"/>
                <w:szCs w:val="36"/>
                <w:lang w:val="en-US" w:eastAsia="zh-CN" w:bidi="ar-SA"/>
              </w:rPr>
            </w:pPr>
            <w:r>
              <w:rPr>
                <w:rStyle w:val="11"/>
                <w:rFonts w:ascii="黑体" w:hAnsi="黑体" w:eastAsia="黑体" w:cs="宋体"/>
                <w:b w:val="0"/>
                <w:bCs/>
                <w:i w:val="0"/>
                <w:caps w:val="0"/>
                <w:spacing w:val="0"/>
                <w:w w:val="100"/>
                <w:kern w:val="0"/>
                <w:sz w:val="36"/>
                <w:szCs w:val="36"/>
                <w:lang w:val="en-US" w:eastAsia="zh-CN" w:bidi="ar-SA"/>
              </w:rPr>
              <w:t>项目支出绩效目标完成情况表</w:t>
            </w:r>
            <w:r>
              <w:rPr>
                <w:rStyle w:val="11"/>
                <w:rFonts w:ascii="宋体" w:hAnsi="宋体" w:eastAsia="宋体" w:cs="宋体"/>
                <w:b/>
                <w:bCs/>
                <w:i w:val="0"/>
                <w:caps w:val="0"/>
                <w:spacing w:val="0"/>
                <w:w w:val="100"/>
                <w:kern w:val="0"/>
                <w:sz w:val="36"/>
                <w:szCs w:val="36"/>
                <w:lang w:val="en-US" w:eastAsia="zh-CN" w:bidi="ar-SA"/>
              </w:rPr>
              <w:br w:type="textWrapping"/>
            </w:r>
            <w:r>
              <w:rPr>
                <w:rStyle w:val="11"/>
                <w:rFonts w:ascii="宋体" w:hAnsi="宋体" w:eastAsia="宋体"/>
                <w:b w:val="0"/>
                <w:i w:val="0"/>
                <w:caps w:val="0"/>
                <w:spacing w:val="0"/>
                <w:w w:val="100"/>
                <w:kern w:val="0"/>
                <w:sz w:val="36"/>
                <w:szCs w:val="36"/>
                <w:lang w:val="en-US" w:eastAsia="zh-CN" w:bidi="ar-SA"/>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8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项目名称</w:t>
            </w:r>
          </w:p>
        </w:tc>
        <w:tc>
          <w:tcPr>
            <w:tcW w:w="671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国家基本公共卫生免费服务项目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8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预算单位</w:t>
            </w:r>
          </w:p>
        </w:tc>
        <w:tc>
          <w:tcPr>
            <w:tcW w:w="671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柳桥乡卫生院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预算执行情况(万元)</w:t>
            </w:r>
          </w:p>
        </w:tc>
        <w:tc>
          <w:tcPr>
            <w:tcW w:w="249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预算数:</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22.08</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执行数:</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249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其中-财政拨款:</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22.08</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其中-财政拨款:</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249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其他资金:</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其他资金:</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预期目标</w:t>
            </w:r>
          </w:p>
        </w:tc>
        <w:tc>
          <w:tcPr>
            <w:tcW w:w="44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提高基本公共卫生服务项目均等化水平，规范公共卫生服务行为，推进基本公共卫生服务项目开展，加强孕产妇健康管理和儿童健康管理，全面完成2020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4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居民健康意识地有所提高和不良生活方式的有所改变，逐步树立起自我健康管理的理念；有效地预防和控制传染病及慢性病的发生和流行；提高了公共卫生服务和突发公共卫生服务应急处置能力，提高了居民健康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绩效指标完成情况</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一级指标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二级指标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三级指标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预期指标值(包含数字及文字描述)</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适龄人群国家免疫规划疫苗接种率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≥90%以上</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92%，完成指标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65岁以上老年人健康管理率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≥70%以上</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75.65%，完成指标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中医药健康管理服务目标人群覆盖率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≥45%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both"/>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老年人：65.97%；0-36个月儿童：68.72%，</w:t>
            </w:r>
          </w:p>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预防接种管理率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≥90%以上</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92%，完成指标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高血压患者健康管理率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≥70%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高血压患者健康管理人数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183人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137人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糖尿病患者健康管理率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≥60%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72%,完成指标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糖尿病患者健康管理人数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41人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严重精神障碍患者管理率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≥80%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严重精神障碍患者健康管理人数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居民健康档案规范化电子建档率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≥93%</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98.59%，完成指标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儿童健康管理率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86.34%，完成指标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孕产妇健康管理率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85.95%，完成指标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传染病及突发公共卫生事件报告和处理率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结核病患者健康管理率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≥90%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慢性病患者提供规范随访次数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≥4次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4次及以上，完成指标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慢性病患者提供健康体检次数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≥1次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严重精神障碍患者提供规范随访次数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≥4次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4次及以上，完成指标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严重精神障碍患者提供健康体检次数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≥1次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卫生监督协管信息报告率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卫生监督协管巡查次数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both"/>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       ≥4</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孕产妇孕期保健次数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≥5次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产后访视次数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2次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高血压患者规范管理率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≥60%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72.47%，完成指标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糖尿病患者规范管理率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≥60%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66.65%，完成指标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老年人健康管理率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≥67%</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75.65%，完成指标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高血压患者健康管理率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≥70%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72.47%，完成指标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糖尿病患者健康管理率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≥60%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66.65%,完成指标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严重精神障碍患者管理率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≥80%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84.11%，完成指标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传染病及突发公共卫生事件报告和处理率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结核病患者健康管理率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≥90%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建档立卡贫困人口家庭医生签约率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居民健康档案规范化电子建档率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≥93%</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98.59%，完成指标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儿童健康管理率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86.34%，完成指标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孕产妇健康管理率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85.95%，完成指标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新生儿访视率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86.05%，完成指标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0-6岁儿童健康管理率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86.34%，完成指标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产后访视率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85.95%，完成指标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开展卫生监督协管工作年度内报告的有关事件或线索的次数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年度内开展生活饮用水卫生、学校卫生、非法行医、计划生育、非法采供血实地巡查和信息报告工作</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效益指标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实效指标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甲类传染病、乙类传染病中的肺炭疽、非典型肺炎疫情报告时限</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2小时内</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效益指标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实效指标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乙类传染病和丙类传染病疫情报告时限</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24小时内</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效益指标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实效指标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卫生监督信息上报时效</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5个工作日内</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效益指标</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社会效益指标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病原学阳性肺结核患者治愈率和病原学阴性肺结核治疗成功率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≥90%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91%，完成指标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居民健康保健意识和健康知识知晓率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逐步提高</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建档立卡贫困人口健康保健意识和健康知识知晓率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大幅度提高</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建立全县各乡镇卫生监督协管站</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28个</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28个，完成指标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效益指标</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可持续影响指标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居民健康水平提高</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中长期</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公共卫生均等化水平提高</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中长期</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建立健全“责权明晰、任务明确、工作规范、上下联动、运转高效”的卫生监督体系，为广大群众提供公共卫生安全保障</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长期</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1"/>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满意度指标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服务对象</w:t>
            </w:r>
            <w:r>
              <w:rPr>
                <w:rStyle w:val="11"/>
                <w:rFonts w:ascii="宋体" w:hAnsi="宋体"/>
                <w:b w:val="0"/>
                <w:i w:val="0"/>
                <w:caps w:val="0"/>
                <w:spacing w:val="0"/>
                <w:w w:val="100"/>
                <w:kern w:val="0"/>
                <w:sz w:val="20"/>
                <w:szCs w:val="20"/>
                <w:lang w:val="en-US" w:eastAsia="zh-CN" w:bidi="ar-SA"/>
              </w:rPr>
              <w:br w:type="textWrapping"/>
            </w:r>
            <w:r>
              <w:rPr>
                <w:rStyle w:val="11"/>
                <w:rFonts w:ascii="宋体" w:hAnsi="宋体"/>
                <w:b w:val="0"/>
                <w:i w:val="0"/>
                <w:caps w:val="0"/>
                <w:spacing w:val="0"/>
                <w:w w:val="100"/>
                <w:kern w:val="0"/>
                <w:sz w:val="20"/>
                <w:szCs w:val="20"/>
                <w:lang w:val="en-US" w:eastAsia="zh-CN" w:bidi="ar-SA"/>
              </w:rPr>
              <w:t>满意度指标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居民满意度、建档立卡贫困户满意度。</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0"/>
                <w:sz w:val="20"/>
                <w:szCs w:val="20"/>
                <w:lang w:val="en-US" w:eastAsia="zh-CN" w:bidi="ar-SA"/>
              </w:rPr>
              <w:t>≥90%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90%</w:t>
            </w:r>
          </w:p>
        </w:tc>
      </w:tr>
    </w:tbl>
    <w:p>
      <w:pPr>
        <w:snapToGrid/>
        <w:spacing w:before="0" w:beforeAutospacing="0" w:after="0" w:afterAutospacing="0" w:line="240" w:lineRule="auto"/>
        <w:jc w:val="both"/>
        <w:textAlignment w:val="baseline"/>
        <w:rPr>
          <w:rStyle w:val="11"/>
          <w:rFonts w:ascii="Times New Roman" w:hAnsi="Times New Roman" w:eastAsia="方正小标宋简体"/>
          <w:b w:val="0"/>
          <w:i w:val="0"/>
          <w:caps w:val="0"/>
          <w:spacing w:val="0"/>
          <w:w w:val="100"/>
          <w:kern w:val="2"/>
          <w:sz w:val="21"/>
          <w:szCs w:val="24"/>
          <w:lang w:val="en-US" w:eastAsia="zh-CN" w:bidi="ar-SA"/>
        </w:rPr>
      </w:pP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11"/>
          <w:rFonts w:ascii="Times New Roman" w:hAnsi="Times New Roman" w:eastAsia="方正小标宋简体"/>
          <w:b w:val="0"/>
          <w:i w:val="0"/>
          <w:caps w:val="0"/>
          <w:spacing w:val="0"/>
          <w:w w:val="100"/>
          <w:sz w:val="21"/>
        </w:rPr>
      </w:pPr>
      <w:r>
        <w:rPr>
          <w:rStyle w:val="11"/>
          <w:rFonts w:ascii="仿宋_GB2312"/>
          <w:b w:val="0"/>
          <w:i w:val="0"/>
          <w:caps w:val="0"/>
          <w:spacing w:val="0"/>
          <w:w w:val="100"/>
          <w:sz w:val="21"/>
          <w:szCs w:val="32"/>
        </w:rPr>
        <w:t>3.单位自行组织绩效评价开展情况</w:t>
      </w:r>
    </w:p>
    <w:p>
      <w:pPr>
        <w:snapToGrid/>
        <w:spacing w:before="0" w:beforeAutospacing="0" w:after="0" w:afterAutospacing="0" w:line="580" w:lineRule="exact"/>
        <w:ind w:firstLine="320" w:firstLineChars="100"/>
        <w:jc w:val="both"/>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 xml:space="preserve"> 本单位在2020年度决算中反映其他基层医疗卫生机构支出、基本公共卫生经费、抗疫特别国债等三个项目绩效目标实际完成情况。</w:t>
      </w:r>
    </w:p>
    <w:p>
      <w:pPr>
        <w:snapToGrid/>
        <w:spacing w:before="0" w:beforeAutospacing="0" w:after="0" w:afterAutospacing="0" w:line="580" w:lineRule="exact"/>
        <w:ind w:firstLine="640" w:firstLineChars="200"/>
        <w:jc w:val="both"/>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基本公共卫生项目绩效目标完成情况综述。项目全年预算数22.08万元，执行数为22.08万元，完成预算的100%。</w:t>
      </w:r>
    </w:p>
    <w:p>
      <w:pPr>
        <w:snapToGrid/>
        <w:spacing w:before="0" w:beforeAutospacing="0" w:after="0" w:afterAutospacing="0" w:line="580" w:lineRule="exact"/>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我院扎实推进基本公共卫生服务项目工作，严格按照《国家基本公共卫生服务规范》（第三版）的要求，将基本公共卫生服务与基本医疗有机地结合，坚持优质服务，提高效益，保证居民人人享有基本公共卫生服务，使城乡居民生活</w:t>
      </w:r>
      <w:r>
        <w:rPr>
          <w:rStyle w:val="11"/>
          <w:rFonts w:ascii="仿宋" w:eastAsia="仿宋"/>
          <w:b w:val="0"/>
          <w:i w:val="0"/>
          <w:caps w:val="0"/>
          <w:spacing w:val="0"/>
          <w:w w:val="100"/>
          <w:kern w:val="2"/>
          <w:sz w:val="32"/>
          <w:szCs w:val="32"/>
          <w:lang w:val="en-US" w:eastAsia="zh-CN" w:bidi="ar-SA"/>
        </w:rPr>
        <w:t>质量和健康水平显著提高。</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（1）居民健康档案管理。常住居民健康档案电子建档率达93％以上。</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（2）健康教育。健康教育印刷资料不少于12种，健康教育音像资料不少于6种，健康教育宣传栏至少更新6次，公众健康咨询活动不低于9次，健康教育讲座不低于12次。</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（3）预防接种。适龄儿童国家免疫规划疫苗接种率达90％以上。</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（4）儿童健康管理。新生儿访视率达85%以上、0－6岁儿童健康管理率达85％以上。</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 xml:space="preserve">（5）孕产妇健康管理。产后访视率达85％以上。 </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（6）老年人健康管理。健康管理率达70%以上。</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（7）慢病管理。高血压患者规范管理率达70%以上，糖尿病患者规范管理率60%以上。</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（8）严重精神障碍患者管理。严重精神障碍患者规范管理率分别达到80%以上。</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（9）传染病和突发公共卫生事件报告和处理。传染病和突发公共卫生事件报告率分别达到95％以上。</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（10）中医药健康管理。老年人中医药健康管理率达45%以上、0－36个月儿童中医药健康管理服务率达45％以上。</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（11）卫生计生监督协管。信息报告率达95%以上。</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（12）肺结核患者健康管理。肺结核患者管理率达90％以上。</w:t>
      </w:r>
    </w:p>
    <w:p>
      <w:pPr>
        <w:snapToGrid/>
        <w:spacing w:before="0" w:beforeAutospacing="0" w:after="0" w:afterAutospacing="0" w:line="580" w:lineRule="exact"/>
        <w:ind w:firstLine="640" w:firstLineChars="200"/>
        <w:jc w:val="both"/>
        <w:textAlignment w:val="baseline"/>
        <w:rPr>
          <w:rStyle w:val="11"/>
          <w:rFonts w:ascii="仿宋_GB2312" w:eastAsia="仿宋_GB2312"/>
          <w:b w:val="0"/>
          <w:i w:val="0"/>
          <w:caps w:val="0"/>
          <w:spacing w:val="0"/>
          <w:w w:val="100"/>
          <w:kern w:val="2"/>
          <w:sz w:val="32"/>
          <w:szCs w:val="32"/>
          <w:lang w:val="en-US" w:eastAsia="zh-CN" w:bidi="ar-SA"/>
        </w:rPr>
      </w:pPr>
      <w:r>
        <w:rPr>
          <w:rStyle w:val="11"/>
          <w:rFonts w:ascii="楷体_GB2312" w:eastAsia="楷体_GB2312"/>
          <w:b w:val="0"/>
          <w:i w:val="0"/>
          <w:caps w:val="0"/>
          <w:spacing w:val="0"/>
          <w:w w:val="100"/>
          <w:kern w:val="2"/>
          <w:sz w:val="32"/>
          <w:szCs w:val="32"/>
          <w:lang w:val="en-US" w:eastAsia="zh-CN" w:bidi="ar-SA"/>
        </w:rPr>
        <w:t>4.</w:t>
      </w:r>
      <w:r>
        <w:rPr>
          <w:rStyle w:val="11"/>
          <w:rFonts w:hint="eastAsia" w:ascii="楷体_GB2312" w:eastAsia="楷体_GB2312"/>
          <w:b w:val="0"/>
          <w:i w:val="0"/>
          <w:caps w:val="0"/>
          <w:spacing w:val="0"/>
          <w:w w:val="100"/>
          <w:kern w:val="2"/>
          <w:sz w:val="32"/>
          <w:szCs w:val="32"/>
          <w:lang w:val="en-US" w:eastAsia="zh-CN" w:bidi="ar-SA"/>
        </w:rPr>
        <w:t>单位</w:t>
      </w:r>
      <w:r>
        <w:rPr>
          <w:rStyle w:val="11"/>
          <w:rFonts w:ascii="楷体_GB2312" w:eastAsia="楷体_GB2312"/>
          <w:b w:val="0"/>
          <w:i w:val="0"/>
          <w:caps w:val="0"/>
          <w:spacing w:val="0"/>
          <w:w w:val="100"/>
          <w:kern w:val="2"/>
          <w:sz w:val="32"/>
          <w:szCs w:val="32"/>
          <w:lang w:val="en-US" w:eastAsia="zh-CN" w:bidi="ar-SA"/>
        </w:rPr>
        <w:t>绩效评价结果。</w:t>
      </w:r>
    </w:p>
    <w:p>
      <w:pPr>
        <w:snapToGrid w:val="0"/>
        <w:spacing w:before="0" w:beforeAutospacing="0" w:after="0" w:afterAutospacing="0" w:line="360" w:lineRule="auto"/>
        <w:ind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通过项目实施，让更多老百姓得到了帮助，促进居民健康意识的提高和不良生活方式的改变，逐步树立起自我健康管理的理念；减少主要健康危险因素，预防和控制传染病及慢性病的发生和流行；提高公共卫生服务和突发公共卫生服务应急处置能力，建立了维护居民健康的第一道屏障，对于提高居民健康素质有重要促进作用。同时有力地提升了政府对扶贫工作的社会认知度，有利于构建和谐社会，有利于全区经济可持续发展。</w:t>
      </w:r>
    </w:p>
    <w:p>
      <w:pPr>
        <w:widowControl/>
        <w:snapToGrid/>
        <w:spacing w:before="0" w:beforeAutospacing="0" w:after="0" w:afterAutospacing="0" w:line="240" w:lineRule="auto"/>
        <w:jc w:val="left"/>
        <w:textAlignment w:val="baseline"/>
        <w:rPr>
          <w:rStyle w:val="11"/>
          <w:rFonts w:ascii="仿宋_GB2312" w:eastAsia="仿宋_GB2312"/>
          <w:b/>
          <w:i w:val="0"/>
          <w:caps w:val="0"/>
          <w:color w:val="000000"/>
          <w:spacing w:val="0"/>
          <w:w w:val="100"/>
          <w:kern w:val="2"/>
          <w:sz w:val="30"/>
          <w:szCs w:val="30"/>
          <w:lang w:val="en-US" w:eastAsia="zh-CN" w:bidi="ar-SA"/>
        </w:rPr>
      </w:pPr>
    </w:p>
    <w:p>
      <w:pPr>
        <w:numPr>
          <w:ilvl w:val="0"/>
          <w:numId w:val="5"/>
        </w:numPr>
        <w:snapToGrid/>
        <w:spacing w:before="0" w:beforeAutospacing="0" w:after="0" w:afterAutospacing="0" w:line="600" w:lineRule="exact"/>
        <w:ind w:left="0" w:firstLine="660" w:firstLineChars="150"/>
        <w:jc w:val="center"/>
        <w:textAlignment w:val="baseline"/>
        <w:outlineLvl w:val="0"/>
        <w:rPr>
          <w:rStyle w:val="17"/>
          <w:rFonts w:ascii="黑体" w:hAnsi="Times New Roman" w:eastAsia="黑体" w:cs="Times New Roman"/>
          <w:b w:val="0"/>
          <w:bCs/>
          <w:i w:val="0"/>
          <w:caps w:val="0"/>
          <w:spacing w:val="0"/>
          <w:w w:val="100"/>
          <w:kern w:val="44"/>
          <w:sz w:val="44"/>
          <w:szCs w:val="44"/>
          <w:lang w:val="en-US" w:eastAsia="zh-CN" w:bidi="ar-SA"/>
        </w:rPr>
      </w:pPr>
      <w:bookmarkStart w:id="15" w:name="_Toc5279"/>
      <w:r>
        <w:rPr>
          <w:rStyle w:val="11"/>
          <w:rFonts w:ascii="黑体" w:eastAsia="黑体"/>
          <w:b w:val="0"/>
          <w:i w:val="0"/>
          <w:caps w:val="0"/>
          <w:color w:val="000000"/>
          <w:spacing w:val="0"/>
          <w:w w:val="100"/>
          <w:kern w:val="2"/>
          <w:sz w:val="44"/>
          <w:szCs w:val="44"/>
          <w:lang w:val="en-US" w:eastAsia="zh-CN" w:bidi="ar-SA"/>
        </w:rPr>
        <w:t>名</w:t>
      </w:r>
      <w:r>
        <w:rPr>
          <w:rStyle w:val="17"/>
          <w:rFonts w:ascii="黑体" w:hAnsi="Times New Roman" w:eastAsia="黑体" w:cs="Times New Roman"/>
          <w:b w:val="0"/>
          <w:bCs/>
          <w:i w:val="0"/>
          <w:caps w:val="0"/>
          <w:spacing w:val="0"/>
          <w:w w:val="100"/>
          <w:kern w:val="44"/>
          <w:sz w:val="44"/>
          <w:szCs w:val="44"/>
          <w:lang w:val="en-US" w:eastAsia="zh-CN" w:bidi="ar-SA"/>
        </w:rPr>
        <w:t>词解释</w:t>
      </w:r>
      <w:bookmarkEnd w:id="15"/>
    </w:p>
    <w:p>
      <w:pPr>
        <w:snapToGrid/>
        <w:spacing w:before="0" w:beforeAutospacing="0" w:after="0" w:afterAutospacing="0" w:line="600" w:lineRule="exact"/>
        <w:jc w:val="left"/>
        <w:textAlignment w:val="baseline"/>
        <w:rPr>
          <w:rStyle w:val="11"/>
          <w:rFonts w:ascii="宋体" w:hAnsi="宋体"/>
          <w:b/>
          <w:i w:val="0"/>
          <w:caps w:val="0"/>
          <w:color w:val="000000"/>
          <w:spacing w:val="0"/>
          <w:w w:val="100"/>
          <w:kern w:val="2"/>
          <w:sz w:val="44"/>
          <w:szCs w:val="44"/>
          <w:lang w:val="en-US" w:eastAsia="zh-CN" w:bidi="ar-SA"/>
        </w:rPr>
      </w:pPr>
    </w:p>
    <w:p>
      <w:pPr>
        <w:pStyle w:val="31"/>
        <w:snapToGrid/>
        <w:spacing w:before="0" w:beforeAutospacing="0" w:after="0" w:afterAutospacing="0" w:line="560" w:lineRule="exact"/>
        <w:ind w:firstLine="640" w:firstLineChars="200"/>
        <w:jc w:val="both"/>
        <w:textAlignment w:val="baseline"/>
        <w:outlineLvl w:val="1"/>
        <w:rPr>
          <w:rStyle w:val="11"/>
          <w:rFonts w:ascii="仿宋_GB2312" w:eastAsia="仿宋_GB2312"/>
          <w:b w:val="0"/>
          <w:i w:val="0"/>
          <w:caps w:val="0"/>
          <w:color w:val="000000"/>
          <w:spacing w:val="0"/>
          <w:w w:val="100"/>
          <w:sz w:val="32"/>
          <w:szCs w:val="32"/>
          <w:lang w:val="en-US" w:eastAsia="zh-CN" w:bidi="ar-SA"/>
        </w:rPr>
      </w:pPr>
      <w:bookmarkStart w:id="16" w:name="_Toc1566"/>
      <w:r>
        <w:rPr>
          <w:rStyle w:val="11"/>
          <w:rFonts w:ascii="仿宋_GB2312" w:eastAsia="仿宋_GB2312"/>
          <w:b w:val="0"/>
          <w:i w:val="0"/>
          <w:caps w:val="0"/>
          <w:color w:val="000000"/>
          <w:spacing w:val="0"/>
          <w:w w:val="100"/>
          <w:sz w:val="32"/>
          <w:szCs w:val="32"/>
          <w:lang w:val="en-US" w:eastAsia="zh-CN" w:bidi="ar-SA"/>
        </w:rPr>
        <w:t>1.财政拨款收入：指单位从同级财政部门取得的各类拨款。</w:t>
      </w:r>
      <w:bookmarkEnd w:id="16"/>
    </w:p>
    <w:p>
      <w:pPr>
        <w:pStyle w:val="31"/>
        <w:snapToGrid/>
        <w:spacing w:before="0" w:beforeAutospacing="0" w:after="0" w:afterAutospacing="0" w:line="560" w:lineRule="exact"/>
        <w:ind w:firstLine="640" w:firstLineChars="200"/>
        <w:jc w:val="both"/>
        <w:textAlignment w:val="baseline"/>
        <w:rPr>
          <w:rStyle w:val="11"/>
          <w:rFonts w:ascii="仿宋_GB2312" w:eastAsia="仿宋_GB2312"/>
          <w:b w:val="0"/>
          <w:i w:val="0"/>
          <w:caps w:val="0"/>
          <w:color w:val="000000"/>
          <w:spacing w:val="0"/>
          <w:w w:val="100"/>
          <w:sz w:val="32"/>
          <w:szCs w:val="32"/>
          <w:lang w:val="en-US" w:eastAsia="zh-CN" w:bidi="ar-SA"/>
        </w:rPr>
      </w:pPr>
      <w:r>
        <w:rPr>
          <w:rStyle w:val="11"/>
          <w:rFonts w:ascii="仿宋_GB2312" w:eastAsia="仿宋_GB2312"/>
          <w:b w:val="0"/>
          <w:i w:val="0"/>
          <w:caps w:val="0"/>
          <w:color w:val="000000"/>
          <w:spacing w:val="0"/>
          <w:w w:val="100"/>
          <w:sz w:val="32"/>
          <w:szCs w:val="32"/>
          <w:lang w:val="en-US" w:eastAsia="zh-CN" w:bidi="ar-SA"/>
        </w:rPr>
        <w:t>2.事业收入：指事业单位开展专业业务活动及辅助活动取得的收入。如区人民医院、妇幼保健计划生育服务中心、区中医医院、乡镇卫生院医疗收入等。</w:t>
      </w:r>
    </w:p>
    <w:p>
      <w:pPr>
        <w:pStyle w:val="31"/>
        <w:snapToGrid/>
        <w:spacing w:before="0" w:beforeAutospacing="0" w:after="0" w:afterAutospacing="0" w:line="560" w:lineRule="exact"/>
        <w:ind w:firstLine="640" w:firstLineChars="200"/>
        <w:jc w:val="both"/>
        <w:textAlignment w:val="baseline"/>
        <w:rPr>
          <w:rStyle w:val="11"/>
          <w:rFonts w:ascii="仿宋_GB2312" w:eastAsia="仿宋_GB2312"/>
          <w:b w:val="0"/>
          <w:i w:val="0"/>
          <w:caps w:val="0"/>
          <w:color w:val="000000"/>
          <w:spacing w:val="0"/>
          <w:w w:val="100"/>
          <w:sz w:val="32"/>
          <w:szCs w:val="32"/>
          <w:lang w:val="en-US" w:eastAsia="zh-CN" w:bidi="ar-SA"/>
        </w:rPr>
      </w:pPr>
      <w:r>
        <w:rPr>
          <w:rStyle w:val="11"/>
          <w:rFonts w:ascii="仿宋_GB2312" w:eastAsia="仿宋_GB2312"/>
          <w:b w:val="0"/>
          <w:i w:val="0"/>
          <w:caps w:val="0"/>
          <w:color w:val="000000"/>
          <w:spacing w:val="0"/>
          <w:w w:val="100"/>
          <w:sz w:val="32"/>
          <w:szCs w:val="32"/>
          <w:lang w:val="en-US" w:eastAsia="zh-CN" w:bidi="ar-SA"/>
        </w:rPr>
        <w:t xml:space="preserve">3.其他收入：指单位取得的除上述收入以外的各项收入。主要是利息收入等。 </w:t>
      </w:r>
    </w:p>
    <w:p>
      <w:pPr>
        <w:pStyle w:val="31"/>
        <w:snapToGrid/>
        <w:spacing w:before="0" w:beforeAutospacing="0" w:after="0" w:afterAutospacing="0" w:line="560" w:lineRule="exact"/>
        <w:ind w:firstLine="640" w:firstLineChars="200"/>
        <w:jc w:val="both"/>
        <w:textAlignment w:val="baseline"/>
        <w:rPr>
          <w:rStyle w:val="11"/>
          <w:rFonts w:ascii="仿宋_GB2312" w:eastAsia="仿宋_GB2312"/>
          <w:b w:val="0"/>
          <w:i w:val="0"/>
          <w:caps w:val="0"/>
          <w:color w:val="000000"/>
          <w:spacing w:val="0"/>
          <w:w w:val="100"/>
          <w:sz w:val="32"/>
          <w:szCs w:val="32"/>
          <w:lang w:val="en-US" w:eastAsia="zh-CN" w:bidi="ar-SA"/>
        </w:rPr>
      </w:pPr>
      <w:r>
        <w:rPr>
          <w:rStyle w:val="11"/>
          <w:rFonts w:ascii="仿宋_GB2312" w:eastAsia="仿宋_GB2312"/>
          <w:b w:val="0"/>
          <w:i w:val="0"/>
          <w:caps w:val="0"/>
          <w:color w:val="000000"/>
          <w:spacing w:val="0"/>
          <w:w w:val="100"/>
          <w:sz w:val="32"/>
          <w:szCs w:val="32"/>
          <w:lang w:val="en-US" w:eastAsia="zh-CN" w:bidi="ar-SA"/>
        </w:rPr>
        <w:t xml:space="preserve">4.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 </w:t>
      </w:r>
    </w:p>
    <w:p>
      <w:pPr>
        <w:pStyle w:val="31"/>
        <w:snapToGrid/>
        <w:spacing w:before="0" w:beforeAutospacing="0" w:after="0" w:afterAutospacing="0" w:line="560" w:lineRule="exact"/>
        <w:ind w:firstLine="640" w:firstLineChars="200"/>
        <w:jc w:val="both"/>
        <w:textAlignment w:val="baseline"/>
        <w:rPr>
          <w:rStyle w:val="11"/>
          <w:rFonts w:ascii="仿宋_GB2312" w:eastAsia="仿宋_GB2312"/>
          <w:b w:val="0"/>
          <w:i w:val="0"/>
          <w:caps w:val="0"/>
          <w:color w:val="000000"/>
          <w:spacing w:val="0"/>
          <w:w w:val="100"/>
          <w:sz w:val="32"/>
          <w:szCs w:val="32"/>
          <w:lang w:val="en-US" w:eastAsia="zh-CN" w:bidi="ar-SA"/>
        </w:rPr>
      </w:pPr>
      <w:r>
        <w:rPr>
          <w:rStyle w:val="11"/>
          <w:rFonts w:ascii="仿宋_GB2312" w:eastAsia="仿宋_GB2312"/>
          <w:b w:val="0"/>
          <w:i w:val="0"/>
          <w:caps w:val="0"/>
          <w:color w:val="000000"/>
          <w:spacing w:val="0"/>
          <w:w w:val="100"/>
          <w:sz w:val="32"/>
          <w:szCs w:val="32"/>
          <w:lang w:val="en-US" w:eastAsia="zh-CN" w:bidi="ar-SA"/>
        </w:rPr>
        <w:t xml:space="preserve">5.年初结转和结余：指以前年度尚未完成、结转到本年按有关规定继续使用的资金。 </w:t>
      </w:r>
    </w:p>
    <w:p>
      <w:pPr>
        <w:pStyle w:val="31"/>
        <w:snapToGrid/>
        <w:spacing w:before="0" w:beforeAutospacing="0" w:after="0" w:afterAutospacing="0" w:line="560" w:lineRule="exact"/>
        <w:ind w:firstLine="640" w:firstLineChars="200"/>
        <w:jc w:val="both"/>
        <w:textAlignment w:val="baseline"/>
        <w:rPr>
          <w:rStyle w:val="11"/>
          <w:rFonts w:ascii="仿宋_GB2312" w:eastAsia="仿宋_GB2312"/>
          <w:b w:val="0"/>
          <w:i w:val="0"/>
          <w:caps w:val="0"/>
          <w:color w:val="000000"/>
          <w:spacing w:val="0"/>
          <w:w w:val="100"/>
          <w:sz w:val="32"/>
          <w:szCs w:val="32"/>
          <w:lang w:val="en-US" w:eastAsia="zh-CN" w:bidi="ar-SA"/>
        </w:rPr>
      </w:pPr>
      <w:r>
        <w:rPr>
          <w:rStyle w:val="11"/>
          <w:rFonts w:ascii="仿宋_GB2312" w:eastAsia="仿宋_GB2312"/>
          <w:b w:val="0"/>
          <w:i w:val="0"/>
          <w:caps w:val="0"/>
          <w:color w:val="000000"/>
          <w:spacing w:val="0"/>
          <w:w w:val="100"/>
          <w:sz w:val="32"/>
          <w:szCs w:val="32"/>
          <w:lang w:val="en-US" w:eastAsia="zh-CN" w:bidi="ar-SA"/>
        </w:rPr>
        <w:t>6.本年盈余分配：指事业单位按照政府会计制度的规定从非财政拨款结余或事业结余中提取的奖励基金和职工福利基金等。</w:t>
      </w:r>
    </w:p>
    <w:p>
      <w:pPr>
        <w:pStyle w:val="31"/>
        <w:snapToGrid/>
        <w:spacing w:before="0" w:beforeAutospacing="0" w:after="0" w:afterAutospacing="0" w:line="560" w:lineRule="exact"/>
        <w:ind w:firstLine="640" w:firstLineChars="200"/>
        <w:jc w:val="both"/>
        <w:textAlignment w:val="baseline"/>
        <w:rPr>
          <w:rStyle w:val="11"/>
          <w:rFonts w:ascii="仿宋_GB2312" w:eastAsia="仿宋_GB2312"/>
          <w:b w:val="0"/>
          <w:i w:val="0"/>
          <w:caps w:val="0"/>
          <w:color w:val="000000"/>
          <w:spacing w:val="0"/>
          <w:w w:val="100"/>
          <w:sz w:val="32"/>
          <w:szCs w:val="32"/>
          <w:lang w:val="en-US" w:eastAsia="zh-CN" w:bidi="ar-SA"/>
        </w:rPr>
      </w:pPr>
      <w:r>
        <w:rPr>
          <w:rStyle w:val="11"/>
          <w:rFonts w:ascii="仿宋_GB2312" w:eastAsia="仿宋_GB2312"/>
          <w:b w:val="0"/>
          <w:i w:val="0"/>
          <w:caps w:val="0"/>
          <w:color w:val="000000"/>
          <w:spacing w:val="0"/>
          <w:w w:val="100"/>
          <w:sz w:val="32"/>
          <w:szCs w:val="32"/>
          <w:lang w:val="en-US" w:eastAsia="zh-CN" w:bidi="ar-SA"/>
        </w:rPr>
        <w:t>7.年末结转和结余：指单位按有关规定结转到下年或以后年度继续使用的资金。</w:t>
      </w:r>
    </w:p>
    <w:p>
      <w:pPr>
        <w:snapToGrid/>
        <w:spacing w:before="0" w:beforeAutospacing="0" w:after="0" w:afterAutospacing="0" w:line="240" w:lineRule="auto"/>
        <w:ind w:firstLine="640" w:firstLineChars="200"/>
        <w:jc w:val="both"/>
        <w:textAlignment w:val="baseline"/>
        <w:rPr>
          <w:rStyle w:val="10"/>
          <w:rFonts w:ascii="仿宋_GB2312" w:eastAsia="仿宋_GB2312"/>
          <w:b w:val="0"/>
          <w:i w:val="0"/>
          <w:caps w:val="0"/>
          <w:color w:val="000000"/>
          <w:spacing w:val="0"/>
          <w:w w:val="100"/>
          <w:kern w:val="2"/>
          <w:sz w:val="32"/>
          <w:szCs w:val="32"/>
          <w:lang w:val="en-US" w:eastAsia="zh-CN" w:bidi="ar-SA"/>
        </w:rPr>
      </w:pPr>
      <w:r>
        <w:rPr>
          <w:rStyle w:val="11"/>
          <w:rFonts w:ascii="仿宋_GB2312" w:eastAsia="仿宋_GB2312"/>
          <w:b w:val="0"/>
          <w:i w:val="0"/>
          <w:caps w:val="0"/>
          <w:color w:val="000000"/>
          <w:spacing w:val="0"/>
          <w:w w:val="100"/>
          <w:kern w:val="2"/>
          <w:sz w:val="32"/>
          <w:szCs w:val="32"/>
          <w:lang w:val="en-US" w:eastAsia="zh-CN" w:bidi="ar-SA"/>
        </w:rPr>
        <w:t>8.</w:t>
      </w:r>
      <w:r>
        <w:rPr>
          <w:rStyle w:val="11"/>
          <w:rFonts w:ascii="仿宋" w:eastAsia="仿宋"/>
          <w:b w:val="0"/>
          <w:i w:val="0"/>
          <w:caps w:val="0"/>
          <w:color w:val="000000"/>
          <w:spacing w:val="0"/>
          <w:w w:val="100"/>
          <w:kern w:val="2"/>
          <w:sz w:val="32"/>
          <w:szCs w:val="32"/>
          <w:lang w:val="en-US" w:eastAsia="zh-CN" w:bidi="ar-SA"/>
        </w:rPr>
        <w:t>卫生健康支出</w:t>
      </w:r>
      <w:r>
        <w:rPr>
          <w:rStyle w:val="11"/>
          <w:rFonts w:ascii="仿宋_GB2312" w:eastAsia="仿宋_GB2312"/>
          <w:b w:val="0"/>
          <w:i w:val="0"/>
          <w:caps w:val="0"/>
          <w:color w:val="000000"/>
          <w:spacing w:val="0"/>
          <w:w w:val="100"/>
          <w:kern w:val="2"/>
          <w:sz w:val="32"/>
          <w:szCs w:val="32"/>
          <w:lang w:val="en-US" w:eastAsia="zh-CN" w:bidi="ar-SA"/>
        </w:rPr>
        <w:t>（类）基层医疗卫生机构（款）</w:t>
      </w:r>
      <w:r>
        <w:rPr>
          <w:rStyle w:val="10"/>
          <w:rFonts w:ascii="仿宋_GB2312" w:eastAsia="仿宋_GB2312"/>
          <w:b w:val="0"/>
          <w:i w:val="0"/>
          <w:caps w:val="0"/>
          <w:color w:val="000000"/>
          <w:spacing w:val="0"/>
          <w:w w:val="100"/>
          <w:kern w:val="2"/>
          <w:sz w:val="32"/>
          <w:szCs w:val="32"/>
          <w:lang w:val="en-US" w:eastAsia="zh-CN" w:bidi="ar-SA"/>
        </w:rPr>
        <w:t>乡镇卫生院（项）</w:t>
      </w:r>
      <w:r>
        <w:rPr>
          <w:rStyle w:val="11"/>
          <w:rFonts w:ascii="仿宋_GB2312" w:eastAsia="仿宋_GB2312"/>
          <w:b w:val="0"/>
          <w:i w:val="0"/>
          <w:caps w:val="0"/>
          <w:color w:val="000000"/>
          <w:spacing w:val="0"/>
          <w:w w:val="100"/>
          <w:kern w:val="2"/>
          <w:sz w:val="32"/>
          <w:szCs w:val="32"/>
          <w:lang w:val="en-US" w:eastAsia="zh-CN" w:bidi="ar-SA"/>
        </w:rPr>
        <w:t>：反映乡镇卫生院的支出；</w:t>
      </w:r>
      <w:r>
        <w:rPr>
          <w:rStyle w:val="10"/>
          <w:rFonts w:ascii="仿宋_GB2312" w:eastAsia="仿宋_GB2312"/>
          <w:b w:val="0"/>
          <w:i w:val="0"/>
          <w:caps w:val="0"/>
          <w:color w:val="000000"/>
          <w:spacing w:val="0"/>
          <w:w w:val="100"/>
          <w:kern w:val="2"/>
          <w:sz w:val="32"/>
          <w:szCs w:val="32"/>
          <w:lang w:val="en-US" w:eastAsia="zh-CN" w:bidi="ar-SA"/>
        </w:rPr>
        <w:t>卫生健康支出（类）公共卫生（款）基本公共卫生服务（项）</w:t>
      </w:r>
      <w:r>
        <w:rPr>
          <w:rStyle w:val="11"/>
          <w:rFonts w:ascii="仿宋_GB2312" w:eastAsia="仿宋_GB2312"/>
          <w:b w:val="0"/>
          <w:i w:val="0"/>
          <w:caps w:val="0"/>
          <w:color w:val="000000"/>
          <w:spacing w:val="0"/>
          <w:w w:val="100"/>
          <w:kern w:val="2"/>
          <w:sz w:val="32"/>
          <w:szCs w:val="32"/>
          <w:lang w:val="en-US" w:eastAsia="zh-CN" w:bidi="ar-SA"/>
        </w:rPr>
        <w:t>：反映乡镇卫生院、社区卫生机构开展基本公共卫生服务的支出；</w:t>
      </w:r>
      <w:r>
        <w:rPr>
          <w:rStyle w:val="10"/>
          <w:rFonts w:ascii="仿宋_GB2312" w:eastAsia="仿宋_GB2312"/>
          <w:b w:val="0"/>
          <w:i w:val="0"/>
          <w:caps w:val="0"/>
          <w:color w:val="000000"/>
          <w:spacing w:val="0"/>
          <w:w w:val="100"/>
          <w:kern w:val="2"/>
          <w:sz w:val="32"/>
          <w:szCs w:val="32"/>
          <w:lang w:val="en-US" w:eastAsia="zh-CN" w:bidi="ar-SA"/>
        </w:rPr>
        <w:t>卫生健康支出</w:t>
      </w:r>
      <w:r>
        <w:rPr>
          <w:rStyle w:val="11"/>
          <w:rFonts w:ascii="仿宋_GB2312" w:eastAsia="仿宋_GB2312"/>
          <w:b w:val="0"/>
          <w:i w:val="0"/>
          <w:caps w:val="0"/>
          <w:color w:val="000000"/>
          <w:spacing w:val="0"/>
          <w:w w:val="100"/>
          <w:kern w:val="2"/>
          <w:sz w:val="32"/>
          <w:szCs w:val="32"/>
          <w:lang w:val="en-US" w:eastAsia="zh-CN" w:bidi="ar-SA"/>
        </w:rPr>
        <w:t>（类）基层医疗卫生机构（款）其他基层医疗卫生机构支出（项）</w:t>
      </w:r>
      <w:r>
        <w:rPr>
          <w:rStyle w:val="10"/>
          <w:rFonts w:ascii="仿宋_GB2312" w:eastAsia="仿宋_GB2312"/>
          <w:b w:val="0"/>
          <w:i w:val="0"/>
          <w:caps w:val="0"/>
          <w:color w:val="000000"/>
          <w:spacing w:val="0"/>
          <w:w w:val="100"/>
          <w:kern w:val="2"/>
          <w:sz w:val="32"/>
          <w:szCs w:val="32"/>
          <w:lang w:val="en-US" w:eastAsia="zh-CN" w:bidi="ar-SA"/>
        </w:rPr>
        <w:t>：反映除乡镇卫生院、城市社区卫生机构以外的其他用于基层医疗卫生机构的支出；卫生健康支出（类）行政事业单位医疗</w:t>
      </w:r>
      <w:r>
        <w:rPr>
          <w:rStyle w:val="11"/>
          <w:rFonts w:ascii="仿宋_GB2312" w:eastAsia="仿宋_GB2312"/>
          <w:b w:val="0"/>
          <w:i w:val="0"/>
          <w:caps w:val="0"/>
          <w:color w:val="000000"/>
          <w:spacing w:val="0"/>
          <w:w w:val="100"/>
          <w:kern w:val="2"/>
          <w:sz w:val="32"/>
          <w:szCs w:val="32"/>
          <w:lang w:val="en-US" w:eastAsia="zh-CN" w:bidi="ar-SA"/>
        </w:rPr>
        <w:t>（款）事业单位医疗（项）</w:t>
      </w:r>
      <w:r>
        <w:rPr>
          <w:rStyle w:val="10"/>
          <w:rFonts w:ascii="仿宋_GB2312" w:eastAsia="仿宋_GB2312"/>
          <w:b w:val="0"/>
          <w:i w:val="0"/>
          <w:caps w:val="0"/>
          <w:color w:val="000000"/>
          <w:spacing w:val="0"/>
          <w:w w:val="100"/>
          <w:kern w:val="2"/>
          <w:sz w:val="32"/>
          <w:szCs w:val="32"/>
          <w:lang w:val="en-US" w:eastAsia="zh-CN" w:bidi="ar-SA"/>
        </w:rPr>
        <w:t>:</w:t>
      </w:r>
      <w:r>
        <w:rPr>
          <w:rStyle w:val="10"/>
          <w:rFonts w:ascii="仿宋_GB2312" w:eastAsia="仿宋_GB2312"/>
          <w:b w:val="0"/>
          <w:i w:val="0"/>
          <w:caps w:val="0"/>
          <w:spacing w:val="0"/>
          <w:w w:val="100"/>
          <w:kern w:val="2"/>
          <w:sz w:val="32"/>
          <w:szCs w:val="32"/>
          <w:lang w:val="en-US" w:eastAsia="zh-CN" w:bidi="ar-SA"/>
        </w:rPr>
        <w:t>反映</w:t>
      </w:r>
      <w:r>
        <w:rPr>
          <w:rStyle w:val="10"/>
          <w:rFonts w:ascii="仿宋_GB2312" w:eastAsia="仿宋_GB2312"/>
          <w:b w:val="0"/>
          <w:i w:val="0"/>
          <w:caps w:val="0"/>
          <w:color w:val="000000"/>
          <w:spacing w:val="0"/>
          <w:w w:val="100"/>
          <w:kern w:val="2"/>
          <w:sz w:val="32"/>
          <w:szCs w:val="32"/>
          <w:lang w:val="en-US" w:eastAsia="zh-CN" w:bidi="ar-SA"/>
        </w:rPr>
        <w:t>卫生健康支出中的在职人员医疗保险。</w:t>
      </w:r>
    </w:p>
    <w:p>
      <w:pPr>
        <w:snapToGrid/>
        <w:spacing w:before="0" w:beforeAutospacing="0" w:after="0" w:afterAutospacing="0" w:line="240" w:lineRule="auto"/>
        <w:ind w:firstLine="640" w:firstLineChars="200"/>
        <w:jc w:val="both"/>
        <w:textAlignment w:val="baseline"/>
        <w:rPr>
          <w:rStyle w:val="10"/>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rPr>
        <w:t>9.社会保障和就业支出：反映政府在社会保障和就业方面的支出。社会保障和就业支出-行政事业单位离退休-单位事业单位基本养老保险缴费支出：反映单位事业单位实施养老保险制度由单位缴纳的基本养老保险支出；</w:t>
      </w:r>
      <w:r>
        <w:rPr>
          <w:rStyle w:val="11"/>
          <w:rFonts w:ascii="仿宋" w:eastAsia="仿宋"/>
          <w:b w:val="0"/>
          <w:i w:val="0"/>
          <w:caps w:val="0"/>
          <w:spacing w:val="0"/>
          <w:w w:val="100"/>
          <w:kern w:val="2"/>
          <w:sz w:val="32"/>
          <w:szCs w:val="32"/>
          <w:lang w:val="en-US" w:eastAsia="zh-CN"/>
        </w:rPr>
        <w:br w:type="textWrapping"/>
      </w:r>
      <w:r>
        <w:rPr>
          <w:rStyle w:val="11"/>
          <w:rFonts w:ascii="仿宋" w:eastAsia="仿宋"/>
          <w:b w:val="0"/>
          <w:i w:val="0"/>
          <w:caps w:val="0"/>
          <w:spacing w:val="0"/>
          <w:w w:val="100"/>
          <w:kern w:val="2"/>
          <w:sz w:val="32"/>
          <w:szCs w:val="32"/>
          <w:lang w:val="en-US" w:eastAsia="zh-CN"/>
        </w:rPr>
        <w:t xml:space="preserve">    10.住房保障支出：住房保障支出-住房改革支出-住房公积金：反映行政事业单位按人力资源和社会保障部、财政部规定的基本工资和津贴补贴以及规定比例为职工缴纳的住房公积金。</w:t>
      </w:r>
    </w:p>
    <w:p>
      <w:pPr>
        <w:snapToGrid/>
        <w:spacing w:before="0" w:beforeAutospacing="0" w:after="0" w:afterAutospacing="0" w:line="240" w:lineRule="auto"/>
        <w:ind w:firstLine="640" w:firstLineChars="200"/>
        <w:jc w:val="both"/>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1"/>
          <w:rFonts w:ascii="仿宋_GB2312" w:eastAsia="仿宋_GB2312"/>
          <w:b w:val="0"/>
          <w:i w:val="0"/>
          <w:caps w:val="0"/>
          <w:color w:val="000000"/>
          <w:spacing w:val="0"/>
          <w:w w:val="100"/>
          <w:kern w:val="2"/>
          <w:sz w:val="32"/>
          <w:szCs w:val="32"/>
          <w:lang w:val="en-US" w:eastAsia="zh-CN" w:bidi="ar-SA"/>
        </w:rPr>
        <w:t>11.基本支出：指为保障机构正常运转、完成日常工作任务而发生的人员支出和公用支出。</w:t>
      </w:r>
    </w:p>
    <w:p>
      <w:pPr>
        <w:snapToGrid/>
        <w:spacing w:before="0" w:beforeAutospacing="0" w:after="0" w:afterAutospacing="0" w:line="240" w:lineRule="auto"/>
        <w:ind w:firstLine="640" w:firstLineChars="200"/>
        <w:jc w:val="both"/>
        <w:textAlignment w:val="baseline"/>
        <w:rPr>
          <w:rStyle w:val="11"/>
          <w:rFonts w:ascii="仿宋_GB2312" w:eastAsia="仿宋_GB2312"/>
          <w:b w:val="0"/>
          <w:i w:val="0"/>
          <w:caps w:val="0"/>
          <w:color w:val="000000"/>
          <w:spacing w:val="0"/>
          <w:w w:val="100"/>
          <w:kern w:val="2"/>
          <w:sz w:val="32"/>
          <w:szCs w:val="32"/>
          <w:lang w:val="en-US" w:eastAsia="zh-CN" w:bidi="ar-SA"/>
        </w:rPr>
      </w:pPr>
      <w:r>
        <w:rPr>
          <w:rStyle w:val="11"/>
          <w:rFonts w:ascii="仿宋_GB2312" w:eastAsia="仿宋_GB2312"/>
          <w:b w:val="0"/>
          <w:i w:val="0"/>
          <w:caps w:val="0"/>
          <w:color w:val="000000"/>
          <w:spacing w:val="0"/>
          <w:w w:val="100"/>
          <w:kern w:val="2"/>
          <w:sz w:val="32"/>
          <w:szCs w:val="32"/>
          <w:lang w:val="en-US" w:eastAsia="zh-CN" w:bidi="ar-SA"/>
        </w:rPr>
        <w:t xml:space="preserve">12.项目支出：指在基本支出之外为完成特定行政任务和事业发展目标所发生的支出。 </w:t>
      </w:r>
    </w:p>
    <w:p>
      <w:pPr>
        <w:pStyle w:val="31"/>
        <w:snapToGrid/>
        <w:spacing w:before="0" w:beforeAutospacing="0" w:after="0" w:afterAutospacing="0" w:line="560" w:lineRule="exact"/>
        <w:ind w:firstLine="640" w:firstLineChars="200"/>
        <w:jc w:val="both"/>
        <w:textAlignment w:val="baseline"/>
        <w:rPr>
          <w:rStyle w:val="11"/>
          <w:rFonts w:ascii="仿宋_GB2312" w:eastAsia="仿宋_GB2312"/>
          <w:b w:val="0"/>
          <w:i w:val="0"/>
          <w:caps w:val="0"/>
          <w:color w:val="000000"/>
          <w:spacing w:val="0"/>
          <w:w w:val="100"/>
          <w:sz w:val="32"/>
          <w:szCs w:val="32"/>
          <w:lang w:val="en-US" w:eastAsia="zh-CN" w:bidi="ar-SA"/>
        </w:rPr>
      </w:pPr>
      <w:r>
        <w:rPr>
          <w:rStyle w:val="11"/>
          <w:rFonts w:ascii="仿宋_GB2312" w:eastAsia="仿宋_GB2312"/>
          <w:b w:val="0"/>
          <w:i w:val="0"/>
          <w:caps w:val="0"/>
          <w:color w:val="000000"/>
          <w:spacing w:val="0"/>
          <w:w w:val="100"/>
          <w:sz w:val="32"/>
          <w:szCs w:val="32"/>
          <w:lang w:val="en-US" w:eastAsia="zh-CN" w:bidi="ar-SA"/>
        </w:rPr>
        <w:t>13.“三公”经费：指</w:t>
      </w:r>
      <w:r>
        <w:rPr>
          <w:rStyle w:val="11"/>
          <w:rFonts w:hint="eastAsia" w:ascii="仿宋_GB2312" w:eastAsia="仿宋_GB2312"/>
          <w:b w:val="0"/>
          <w:i w:val="0"/>
          <w:caps w:val="0"/>
          <w:color w:val="000000"/>
          <w:spacing w:val="0"/>
          <w:w w:val="100"/>
          <w:sz w:val="32"/>
          <w:szCs w:val="32"/>
          <w:lang w:val="en-US" w:eastAsia="zh-CN" w:bidi="ar-SA"/>
        </w:rPr>
        <w:t>单位</w:t>
      </w:r>
      <w:r>
        <w:rPr>
          <w:rStyle w:val="11"/>
          <w:rFonts w:ascii="仿宋_GB2312" w:eastAsia="仿宋_GB2312"/>
          <w:b w:val="0"/>
          <w:i w:val="0"/>
          <w:caps w:val="0"/>
          <w:color w:val="000000"/>
          <w:spacing w:val="0"/>
          <w:w w:val="100"/>
          <w:sz w:val="32"/>
          <w:szCs w:val="32"/>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napToGrid/>
        <w:spacing w:before="0" w:beforeAutospacing="0" w:after="0" w:afterAutospacing="0" w:line="560" w:lineRule="exact"/>
        <w:ind w:firstLine="640" w:firstLineChars="200"/>
        <w:jc w:val="both"/>
        <w:textAlignment w:val="baseline"/>
        <w:rPr>
          <w:rStyle w:val="11"/>
          <w:rFonts w:ascii="仿宋_GB2312" w:eastAsia="仿宋_GB2312"/>
          <w:b w:val="0"/>
          <w:i w:val="0"/>
          <w:caps w:val="0"/>
          <w:color w:val="000000"/>
          <w:spacing w:val="0"/>
          <w:w w:val="100"/>
          <w:sz w:val="32"/>
          <w:szCs w:val="32"/>
          <w:lang w:val="en-US" w:eastAsia="zh-CN" w:bidi="ar-SA"/>
        </w:rPr>
      </w:pPr>
      <w:r>
        <w:rPr>
          <w:rStyle w:val="11"/>
          <w:rFonts w:ascii="仿宋_GB2312" w:eastAsia="仿宋_GB2312"/>
          <w:b w:val="0"/>
          <w:i w:val="0"/>
          <w:caps w:val="0"/>
          <w:color w:val="000000"/>
          <w:spacing w:val="0"/>
          <w:w w:val="100"/>
          <w:sz w:val="32"/>
          <w:szCs w:val="32"/>
          <w:lang w:val="en-US" w:eastAsia="zh-CN" w:bidi="ar-SA"/>
        </w:rPr>
        <w:t>14.单位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spacing w:before="0" w:beforeAutospacing="0" w:after="0" w:afterAutospacing="0" w:line="600" w:lineRule="exact"/>
        <w:jc w:val="center"/>
        <w:textAlignment w:val="baseline"/>
        <w:rPr>
          <w:rStyle w:val="11"/>
          <w:rFonts w:ascii="宋体" w:hAnsi="宋体"/>
          <w:b/>
          <w:i w:val="0"/>
          <w:caps w:val="0"/>
          <w:color w:val="000000"/>
          <w:spacing w:val="0"/>
          <w:w w:val="100"/>
          <w:kern w:val="2"/>
          <w:sz w:val="44"/>
          <w:szCs w:val="44"/>
          <w:lang w:val="en-US" w:eastAsia="zh-CN" w:bidi="ar-SA"/>
        </w:rPr>
      </w:pPr>
      <w:r>
        <w:rPr>
          <w:rStyle w:val="11"/>
          <w:rFonts w:ascii="宋体" w:hAnsi="宋体"/>
          <w:b/>
          <w:i w:val="0"/>
          <w:caps w:val="0"/>
          <w:color w:val="000000"/>
          <w:spacing w:val="0"/>
          <w:w w:val="100"/>
          <w:kern w:val="2"/>
          <w:sz w:val="44"/>
          <w:szCs w:val="44"/>
          <w:lang w:val="en-US" w:eastAsia="zh-CN" w:bidi="ar-SA"/>
        </w:rPr>
        <w:br w:type="page"/>
      </w:r>
    </w:p>
    <w:p>
      <w:pPr>
        <w:snapToGrid/>
        <w:spacing w:before="0" w:beforeAutospacing="0" w:after="0" w:afterAutospacing="0" w:line="600" w:lineRule="exact"/>
        <w:jc w:val="center"/>
        <w:textAlignment w:val="baseline"/>
        <w:outlineLvl w:val="0"/>
        <w:rPr>
          <w:rStyle w:val="17"/>
          <w:rFonts w:ascii="黑体" w:hAnsi="Times New Roman" w:eastAsia="黑体" w:cs="Times New Roman"/>
          <w:b w:val="0"/>
          <w:bCs/>
          <w:i w:val="0"/>
          <w:caps w:val="0"/>
          <w:spacing w:val="0"/>
          <w:w w:val="100"/>
          <w:kern w:val="44"/>
          <w:sz w:val="44"/>
          <w:szCs w:val="44"/>
          <w:lang w:val="en-US" w:eastAsia="zh-CN" w:bidi="ar-SA"/>
        </w:rPr>
      </w:pPr>
      <w:bookmarkStart w:id="17" w:name="_Toc17037"/>
      <w:r>
        <w:rPr>
          <w:rStyle w:val="11"/>
          <w:rFonts w:ascii="黑体" w:eastAsia="黑体"/>
          <w:b w:val="0"/>
          <w:i w:val="0"/>
          <w:caps w:val="0"/>
          <w:color w:val="000000"/>
          <w:spacing w:val="0"/>
          <w:w w:val="100"/>
          <w:kern w:val="2"/>
          <w:sz w:val="44"/>
          <w:szCs w:val="44"/>
          <w:lang w:val="en-US" w:eastAsia="zh-CN" w:bidi="ar-SA"/>
        </w:rPr>
        <w:t>第</w:t>
      </w:r>
      <w:r>
        <w:rPr>
          <w:rStyle w:val="17"/>
          <w:rFonts w:ascii="黑体" w:hAnsi="Times New Roman" w:eastAsia="黑体" w:cs="Times New Roman"/>
          <w:b w:val="0"/>
          <w:bCs/>
          <w:i w:val="0"/>
          <w:caps w:val="0"/>
          <w:spacing w:val="0"/>
          <w:w w:val="100"/>
          <w:kern w:val="44"/>
          <w:sz w:val="44"/>
          <w:szCs w:val="44"/>
          <w:lang w:val="en-US" w:eastAsia="zh-CN" w:bidi="ar-SA"/>
        </w:rPr>
        <w:t>四部分 附件</w:t>
      </w:r>
      <w:bookmarkEnd w:id="17"/>
    </w:p>
    <w:p>
      <w:pPr>
        <w:snapToGrid/>
        <w:spacing w:before="0" w:beforeAutospacing="0" w:after="0" w:afterAutospacing="0" w:line="600" w:lineRule="exact"/>
        <w:jc w:val="left"/>
        <w:textAlignment w:val="baseline"/>
        <w:outlineLvl w:val="1"/>
        <w:rPr>
          <w:rStyle w:val="11"/>
          <w:rFonts w:ascii="方正小标宋简体"/>
          <w:b w:val="0"/>
          <w:i w:val="0"/>
          <w:caps w:val="0"/>
          <w:spacing w:val="0"/>
          <w:w w:val="100"/>
          <w:kern w:val="2"/>
          <w:sz w:val="32"/>
          <w:szCs w:val="32"/>
          <w:lang w:val="en-US" w:eastAsia="zh-CN" w:bidi="ar-SA"/>
        </w:rPr>
      </w:pPr>
      <w:bookmarkStart w:id="18" w:name="_Toc32108"/>
      <w:r>
        <w:rPr>
          <w:rStyle w:val="11"/>
          <w:rFonts w:ascii="黑体" w:eastAsia="黑体"/>
          <w:b w:val="0"/>
          <w:i w:val="0"/>
          <w:caps w:val="0"/>
          <w:spacing w:val="0"/>
          <w:w w:val="100"/>
          <w:kern w:val="2"/>
          <w:sz w:val="32"/>
          <w:szCs w:val="32"/>
          <w:lang w:val="en-US" w:eastAsia="zh-CN" w:bidi="ar-SA"/>
        </w:rPr>
        <w:t>附件1</w:t>
      </w:r>
      <w:bookmarkEnd w:id="18"/>
    </w:p>
    <w:p>
      <w:pPr>
        <w:snapToGrid/>
        <w:spacing w:before="0" w:beforeAutospacing="0" w:after="0" w:afterAutospacing="0" w:line="600" w:lineRule="exact"/>
        <w:jc w:val="center"/>
        <w:textAlignment w:val="baseline"/>
        <w:rPr>
          <w:rStyle w:val="11"/>
          <w:rFonts w:ascii="方正小标宋简体"/>
          <w:b w:val="0"/>
          <w:i w:val="0"/>
          <w:caps w:val="0"/>
          <w:color w:val="000000"/>
          <w:spacing w:val="0"/>
          <w:w w:val="100"/>
          <w:kern w:val="0"/>
          <w:sz w:val="40"/>
          <w:szCs w:val="44"/>
          <w:lang w:val="zh-CN" w:eastAsia="zh-CN" w:bidi="ar-SA"/>
        </w:rPr>
      </w:pPr>
      <w:r>
        <w:rPr>
          <w:rStyle w:val="11"/>
          <w:rFonts w:ascii="方正小标宋简体"/>
          <w:b w:val="0"/>
          <w:i w:val="0"/>
          <w:caps w:val="0"/>
          <w:color w:val="000000"/>
          <w:spacing w:val="0"/>
          <w:w w:val="100"/>
          <w:kern w:val="0"/>
          <w:sz w:val="40"/>
          <w:szCs w:val="44"/>
          <w:lang w:val="en-US" w:eastAsia="zh-CN" w:bidi="ar-SA"/>
        </w:rPr>
        <w:t>柳桥乡卫生院2020年</w:t>
      </w:r>
      <w:r>
        <w:rPr>
          <w:rStyle w:val="11"/>
          <w:rFonts w:ascii="方正小标宋简体"/>
          <w:b w:val="0"/>
          <w:i w:val="0"/>
          <w:caps w:val="0"/>
          <w:color w:val="000000"/>
          <w:spacing w:val="0"/>
          <w:w w:val="100"/>
          <w:kern w:val="0"/>
          <w:sz w:val="40"/>
          <w:szCs w:val="44"/>
          <w:lang w:val="zh-CN" w:eastAsia="zh-CN" w:bidi="ar-SA"/>
        </w:rPr>
        <w:t>整体支出绩效评价报告</w:t>
      </w:r>
    </w:p>
    <w:p>
      <w:pPr>
        <w:widowControl/>
        <w:snapToGrid w:val="0"/>
        <w:spacing w:before="0" w:beforeAutospacing="0" w:after="0" w:afterAutospacing="0" w:line="580" w:lineRule="exact"/>
        <w:ind w:firstLine="480" w:firstLineChars="200"/>
        <w:jc w:val="left"/>
        <w:textAlignment w:val="baseline"/>
        <w:rPr>
          <w:rStyle w:val="11"/>
          <w:rFonts w:ascii="黑体" w:eastAsia="黑体"/>
          <w:b w:val="0"/>
          <w:i w:val="0"/>
          <w:caps w:val="0"/>
          <w:color w:val="000000"/>
          <w:spacing w:val="0"/>
          <w:w w:val="100"/>
          <w:kern w:val="0"/>
          <w:sz w:val="24"/>
          <w:szCs w:val="32"/>
          <w:lang w:val="en-US" w:eastAsia="zh-CN" w:bidi="ar-SA"/>
        </w:rPr>
      </w:pPr>
    </w:p>
    <w:p>
      <w:pPr>
        <w:widowControl/>
        <w:snapToGrid w:val="0"/>
        <w:spacing w:before="0" w:beforeAutospacing="0" w:after="0" w:afterAutospacing="0" w:line="580" w:lineRule="exact"/>
        <w:ind w:firstLine="640" w:firstLineChars="200"/>
        <w:jc w:val="left"/>
        <w:textAlignment w:val="baseline"/>
        <w:outlineLvl w:val="1"/>
        <w:rPr>
          <w:rStyle w:val="11"/>
          <w:rFonts w:ascii="黑体" w:eastAsia="黑体"/>
          <w:b w:val="0"/>
          <w:i w:val="0"/>
          <w:caps w:val="0"/>
          <w:color w:val="000000"/>
          <w:spacing w:val="0"/>
          <w:w w:val="100"/>
          <w:kern w:val="0"/>
          <w:sz w:val="32"/>
          <w:szCs w:val="32"/>
          <w:lang w:val="zh-CN" w:eastAsia="zh-CN" w:bidi="ar-SA"/>
        </w:rPr>
      </w:pPr>
      <w:bookmarkStart w:id="19" w:name="_Toc21372"/>
      <w:r>
        <w:rPr>
          <w:rStyle w:val="11"/>
          <w:rFonts w:ascii="黑体" w:eastAsia="黑体"/>
          <w:b w:val="0"/>
          <w:i w:val="0"/>
          <w:caps w:val="0"/>
          <w:color w:val="000000"/>
          <w:spacing w:val="0"/>
          <w:w w:val="100"/>
          <w:kern w:val="0"/>
          <w:sz w:val="32"/>
          <w:szCs w:val="32"/>
          <w:lang w:val="en-US" w:eastAsia="zh-CN" w:bidi="ar-SA"/>
        </w:rPr>
        <w:t>一、</w:t>
      </w:r>
      <w:r>
        <w:rPr>
          <w:rStyle w:val="11"/>
          <w:rFonts w:hint="eastAsia" w:ascii="黑体" w:eastAsia="黑体"/>
          <w:b w:val="0"/>
          <w:i w:val="0"/>
          <w:caps w:val="0"/>
          <w:color w:val="000000"/>
          <w:spacing w:val="0"/>
          <w:w w:val="100"/>
          <w:kern w:val="0"/>
          <w:sz w:val="32"/>
          <w:szCs w:val="32"/>
          <w:lang w:val="zh-CN" w:eastAsia="zh-CN" w:bidi="ar-SA"/>
        </w:rPr>
        <w:t>单位</w:t>
      </w:r>
      <w:r>
        <w:rPr>
          <w:rStyle w:val="11"/>
          <w:rFonts w:ascii="黑体" w:eastAsia="黑体"/>
          <w:b w:val="0"/>
          <w:i w:val="0"/>
          <w:caps w:val="0"/>
          <w:color w:val="000000"/>
          <w:spacing w:val="0"/>
          <w:w w:val="100"/>
          <w:kern w:val="0"/>
          <w:sz w:val="32"/>
          <w:szCs w:val="32"/>
          <w:lang w:val="zh-CN" w:eastAsia="zh-CN" w:bidi="ar-SA"/>
        </w:rPr>
        <w:t>概况</w:t>
      </w:r>
      <w:bookmarkEnd w:id="19"/>
    </w:p>
    <w:p>
      <w:pPr>
        <w:snapToGrid/>
        <w:spacing w:before="0" w:beforeAutospacing="0" w:after="0" w:afterAutospacing="0" w:line="240" w:lineRule="auto"/>
        <w:ind w:firstLine="640" w:firstLineChars="200"/>
        <w:jc w:val="both"/>
        <w:textAlignment w:val="baseline"/>
        <w:rPr>
          <w:rStyle w:val="11"/>
          <w:rFonts w:ascii="仿宋" w:eastAsia="仿宋"/>
          <w:b w:val="0"/>
          <w:i w:val="0"/>
          <w:caps w:val="0"/>
          <w:spacing w:val="0"/>
          <w:w w:val="100"/>
          <w:kern w:val="2"/>
          <w:sz w:val="32"/>
          <w:szCs w:val="32"/>
          <w:lang w:val="en-US" w:eastAsia="zh-CN"/>
        </w:rPr>
      </w:pPr>
      <w:r>
        <w:rPr>
          <w:rStyle w:val="11"/>
          <w:rFonts w:ascii="仿宋_GB2312" w:eastAsia="仿宋_GB2312"/>
          <w:b w:val="0"/>
          <w:i w:val="0"/>
          <w:caps w:val="0"/>
          <w:spacing w:val="0"/>
          <w:w w:val="100"/>
          <w:kern w:val="2"/>
          <w:sz w:val="32"/>
          <w:szCs w:val="32"/>
          <w:lang w:val="en-US" w:eastAsia="zh-CN" w:bidi="ar-SA"/>
        </w:rPr>
        <w:t>柳桥卫生院是一所集医疗、预防保健、公共卫生服务、医保于一体的乡镇卫生院，医院现有职工8人，其中主治医师2人，护师2人，医技人员4人。编制床位10张，开放床位4张，开设有中西医内科、儿科、妇科、针灸理疗科、公共卫生科、预防保健科等科室，为辖区5个行政村29个村民小组及毗邻乡镇的部分群众提供公共卫生和常见病、多发病的诊疗等综合服务，并承担对辖区5个村卫生室的业务管理和技术指导。</w:t>
      </w:r>
    </w:p>
    <w:p>
      <w:pPr>
        <w:snapToGrid/>
        <w:spacing w:before="0" w:beforeAutospacing="0" w:after="0" w:afterAutospacing="0" w:line="240" w:lineRule="auto"/>
        <w:ind w:firstLine="640" w:firstLineChars="200"/>
        <w:jc w:val="both"/>
        <w:textAlignment w:val="baseline"/>
        <w:rPr>
          <w:rStyle w:val="11"/>
          <w:rFonts w:ascii="仿宋_GB2312" w:eastAsia="仿宋_GB2312"/>
          <w:b w:val="0"/>
          <w:i w:val="0"/>
          <w:caps w:val="0"/>
          <w:spacing w:val="0"/>
          <w:w w:val="100"/>
          <w:kern w:val="2"/>
          <w:sz w:val="32"/>
          <w:szCs w:val="32"/>
          <w:lang w:val="zh-CN" w:eastAsia="zh-CN" w:bidi="ar-SA"/>
        </w:rPr>
      </w:pPr>
      <w:r>
        <w:rPr>
          <w:rStyle w:val="11"/>
          <w:rFonts w:ascii="仿宋_GB2312" w:eastAsia="仿宋_GB2312"/>
          <w:b w:val="0"/>
          <w:i w:val="0"/>
          <w:caps w:val="0"/>
          <w:spacing w:val="0"/>
          <w:w w:val="100"/>
          <w:kern w:val="2"/>
          <w:sz w:val="32"/>
          <w:szCs w:val="32"/>
          <w:lang w:val="zh-CN" w:eastAsia="zh-CN" w:bidi="ar-SA"/>
        </w:rPr>
        <w:t>（一）机构职能。</w:t>
      </w:r>
    </w:p>
    <w:p>
      <w:pPr>
        <w:snapToGrid/>
        <w:spacing w:before="0" w:beforeAutospacing="0" w:after="0" w:afterAutospacing="0" w:line="240" w:lineRule="auto"/>
        <w:ind w:firstLine="640" w:firstLineChars="200"/>
        <w:jc w:val="both"/>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1、基本公共卫生服务方面</w:t>
      </w:r>
    </w:p>
    <w:p>
      <w:pPr>
        <w:snapToGrid/>
        <w:spacing w:before="0" w:beforeAutospacing="0" w:after="0" w:afterAutospacing="0" w:line="240" w:lineRule="auto"/>
        <w:ind w:firstLine="640" w:firstLineChars="20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落实农村居民健康档案管</w:t>
      </w:r>
      <w:r>
        <w:rPr>
          <w:rStyle w:val="11"/>
          <w:rFonts w:ascii="仿宋" w:eastAsia="仿宋"/>
          <w:b w:val="0"/>
          <w:i w:val="0"/>
          <w:caps w:val="0"/>
          <w:color w:val="000000"/>
          <w:spacing w:val="0"/>
          <w:w w:val="100"/>
          <w:kern w:val="2"/>
          <w:sz w:val="32"/>
          <w:szCs w:val="32"/>
          <w:lang w:val="en-US" w:eastAsia="zh-CN" w:bidi="ar-SA"/>
        </w:rPr>
        <w:t>理及服务；普及卫生保健常识，指导开展爱国卫生工作；规范预防接种服务，执行国家免疫规划政策；及时发现、登记并报告辖区传染病病例和疑似病例，参与现场疫情处理，协助处理辖区内突发公共卫生事件；开展新生儿访视及儿童、孕产妇保健系统管理；对辖区65岁及以上老年人和糖尿病、精神病、高血压等慢性疾病登记管理和定期随访；接受区卫生行政主管部门委托，对辖区内传染病防治、学校卫生、饮用水卫生、职业卫生以及村级预防保健工作进行指导、培训、考核与监督等。</w:t>
      </w:r>
    </w:p>
    <w:p>
      <w:pPr>
        <w:snapToGrid/>
        <w:spacing w:before="0" w:beforeAutospacing="0" w:after="0" w:afterAutospacing="0" w:line="240" w:lineRule="auto"/>
        <w:ind w:firstLine="640" w:firstLineChars="20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2、基本医疗服务方面</w:t>
      </w:r>
    </w:p>
    <w:p>
      <w:pPr>
        <w:snapToGrid/>
        <w:spacing w:before="0" w:beforeAutospacing="0" w:after="0" w:afterAutospacing="0" w:line="240" w:lineRule="auto"/>
        <w:ind w:firstLine="640" w:firstLineChars="20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 xml:space="preserve">正确处理常见病，多发病，对疑难杂症进行恰当的处理与转诊；加强急诊救护体系建设，承担乡村现场应急救护，转诊和康复服务；认真执行国家基本药物制度，加强医疗质量管理及院感防控。    </w:t>
      </w:r>
    </w:p>
    <w:p>
      <w:pPr>
        <w:snapToGrid/>
        <w:spacing w:before="0" w:beforeAutospacing="0" w:after="0" w:afterAutospacing="0" w:line="240" w:lineRule="auto"/>
        <w:ind w:firstLine="640" w:firstLineChars="200"/>
        <w:jc w:val="both"/>
        <w:textAlignment w:val="baseline"/>
        <w:rPr>
          <w:rStyle w:val="11"/>
          <w:rFonts w:ascii="仿宋" w:eastAsia="仿宋"/>
          <w:b w:val="0"/>
          <w:i w:val="0"/>
          <w:caps w:val="0"/>
          <w:color w:val="000000"/>
          <w:spacing w:val="0"/>
          <w:w w:val="100"/>
          <w:kern w:val="2"/>
          <w:sz w:val="32"/>
          <w:szCs w:val="32"/>
          <w:lang w:val="en-US" w:eastAsia="zh-CN" w:bidi="ar-SA"/>
        </w:rPr>
      </w:pPr>
      <w:r>
        <w:rPr>
          <w:rStyle w:val="11"/>
          <w:rFonts w:ascii="仿宋" w:eastAsia="仿宋"/>
          <w:b w:val="0"/>
          <w:i w:val="0"/>
          <w:caps w:val="0"/>
          <w:color w:val="000000"/>
          <w:spacing w:val="0"/>
          <w:w w:val="100"/>
          <w:kern w:val="2"/>
          <w:sz w:val="32"/>
          <w:szCs w:val="32"/>
          <w:lang w:val="en-US" w:eastAsia="zh-CN" w:bidi="ar-SA"/>
        </w:rPr>
        <w:t>3、基本管理服务</w:t>
      </w:r>
    </w:p>
    <w:p>
      <w:pPr>
        <w:snapToGrid/>
        <w:spacing w:before="0" w:beforeAutospacing="0" w:after="0" w:afterAutospacing="0" w:line="240" w:lineRule="auto"/>
        <w:ind w:firstLine="640" w:firstLineChars="200"/>
        <w:jc w:val="both"/>
        <w:textAlignment w:val="baseline"/>
        <w:rPr>
          <w:rStyle w:val="11"/>
          <w:rFonts w:ascii="仿宋" w:eastAsia="仿宋"/>
          <w:b w:val="0"/>
          <w:i w:val="0"/>
          <w:caps w:val="0"/>
          <w:color w:val="000000"/>
          <w:spacing w:val="0"/>
          <w:w w:val="100"/>
          <w:kern w:val="2"/>
          <w:sz w:val="32"/>
          <w:szCs w:val="32"/>
          <w:lang w:val="zh-CN" w:eastAsia="zh-CN" w:bidi="ar-SA"/>
        </w:rPr>
      </w:pPr>
      <w:r>
        <w:rPr>
          <w:rStyle w:val="11"/>
          <w:rFonts w:ascii="仿宋" w:eastAsia="仿宋"/>
          <w:b w:val="0"/>
          <w:i w:val="0"/>
          <w:caps w:val="0"/>
          <w:color w:val="000000"/>
          <w:spacing w:val="0"/>
          <w:w w:val="100"/>
          <w:kern w:val="2"/>
          <w:sz w:val="32"/>
          <w:szCs w:val="32"/>
          <w:lang w:val="en-US" w:eastAsia="zh-CN" w:bidi="ar-SA"/>
        </w:rPr>
        <w:t>规范卫生院财务管理工作，巩固农村公共卫生服务体系。履行定点医疗机构职责，严格执行国家基本医疗保险政策并做好有关的政策宣传，监督及服务工作。深入推进乡村卫生服务一体化管理，负责村卫生室的技术指导和医生培训等各项工作，落实健康扶贫相关政策</w:t>
      </w:r>
      <w:r>
        <w:rPr>
          <w:rStyle w:val="11"/>
          <w:rFonts w:ascii="仿宋" w:eastAsia="仿宋"/>
          <w:b w:val="0"/>
          <w:i w:val="0"/>
          <w:caps w:val="0"/>
          <w:color w:val="000000"/>
          <w:spacing w:val="0"/>
          <w:w w:val="100"/>
          <w:kern w:val="2"/>
          <w:sz w:val="32"/>
          <w:szCs w:val="32"/>
          <w:lang w:val="zh-CN" w:eastAsia="zh-CN" w:bidi="ar-SA"/>
        </w:rPr>
        <w:t>柳桥卫生院。</w:t>
      </w:r>
      <w:r>
        <w:rPr>
          <w:rStyle w:val="11"/>
          <w:rFonts w:ascii="仿宋" w:eastAsia="仿宋"/>
          <w:b w:val="0"/>
          <w:i w:val="0"/>
          <w:caps w:val="0"/>
          <w:color w:val="000000"/>
          <w:spacing w:val="0"/>
          <w:w w:val="100"/>
          <w:kern w:val="2"/>
          <w:sz w:val="32"/>
          <w:szCs w:val="32"/>
          <w:lang w:val="en-US" w:eastAsia="zh-CN" w:bidi="ar-SA"/>
        </w:rPr>
        <w:t xml:space="preserve">                                                                                 （三）</w:t>
      </w:r>
      <w:r>
        <w:rPr>
          <w:rStyle w:val="11"/>
          <w:rFonts w:ascii="仿宋" w:eastAsia="仿宋"/>
          <w:b w:val="0"/>
          <w:i w:val="0"/>
          <w:caps w:val="0"/>
          <w:color w:val="000000"/>
          <w:spacing w:val="0"/>
          <w:w w:val="100"/>
          <w:kern w:val="2"/>
          <w:sz w:val="32"/>
          <w:szCs w:val="32"/>
          <w:lang w:val="zh-CN" w:eastAsia="zh-CN" w:bidi="ar-SA"/>
        </w:rPr>
        <w:t>人员概况。</w:t>
      </w:r>
    </w:p>
    <w:p>
      <w:pPr>
        <w:widowControl/>
        <w:snapToGrid w:val="0"/>
        <w:spacing w:before="0" w:beforeAutospacing="0" w:after="0" w:afterAutospacing="0" w:line="580" w:lineRule="exact"/>
        <w:ind w:firstLine="640" w:firstLineChars="200"/>
        <w:jc w:val="left"/>
        <w:textAlignment w:val="baseline"/>
        <w:rPr>
          <w:rStyle w:val="11"/>
          <w:rFonts w:ascii="仿宋" w:eastAsia="仿宋"/>
          <w:b w:val="0"/>
          <w:i w:val="0"/>
          <w:caps w:val="0"/>
          <w:spacing w:val="0"/>
          <w:w w:val="100"/>
          <w:kern w:val="2"/>
          <w:sz w:val="32"/>
          <w:szCs w:val="32"/>
          <w:lang w:val="zh-CN" w:eastAsia="zh-CN"/>
        </w:rPr>
      </w:pPr>
      <w:r>
        <w:rPr>
          <w:rStyle w:val="11"/>
          <w:rFonts w:ascii="仿宋" w:eastAsia="仿宋"/>
          <w:b w:val="0"/>
          <w:i w:val="0"/>
          <w:caps w:val="0"/>
          <w:spacing w:val="0"/>
          <w:w w:val="100"/>
          <w:kern w:val="2"/>
          <w:sz w:val="32"/>
          <w:szCs w:val="32"/>
          <w:lang w:val="zh-CN" w:eastAsia="zh-CN"/>
        </w:rPr>
        <w:t>柳桥卫生院在编人员</w:t>
      </w:r>
      <w:r>
        <w:rPr>
          <w:rStyle w:val="11"/>
          <w:rFonts w:ascii="仿宋" w:eastAsia="仿宋"/>
          <w:b w:val="0"/>
          <w:i w:val="0"/>
          <w:caps w:val="0"/>
          <w:spacing w:val="0"/>
          <w:w w:val="100"/>
          <w:kern w:val="2"/>
          <w:sz w:val="32"/>
          <w:szCs w:val="32"/>
          <w:lang w:val="en-US" w:eastAsia="zh-CN"/>
        </w:rPr>
        <w:t>8</w:t>
      </w:r>
      <w:r>
        <w:rPr>
          <w:rStyle w:val="11"/>
          <w:rFonts w:ascii="仿宋" w:eastAsia="仿宋"/>
          <w:b w:val="0"/>
          <w:i w:val="0"/>
          <w:caps w:val="0"/>
          <w:spacing w:val="0"/>
          <w:w w:val="100"/>
          <w:kern w:val="2"/>
          <w:sz w:val="32"/>
          <w:szCs w:val="32"/>
          <w:lang w:val="zh-CN" w:eastAsia="zh-CN"/>
        </w:rPr>
        <w:t>人，其中：高级职称</w:t>
      </w:r>
      <w:r>
        <w:rPr>
          <w:rStyle w:val="11"/>
          <w:rFonts w:ascii="仿宋" w:eastAsia="仿宋"/>
          <w:b w:val="0"/>
          <w:i w:val="0"/>
          <w:caps w:val="0"/>
          <w:spacing w:val="0"/>
          <w:w w:val="100"/>
          <w:kern w:val="2"/>
          <w:sz w:val="32"/>
          <w:szCs w:val="32"/>
          <w:lang w:val="en-US" w:eastAsia="zh-CN"/>
        </w:rPr>
        <w:t>0人，中级职称1人，初级7人。</w:t>
      </w:r>
    </w:p>
    <w:p>
      <w:pPr>
        <w:widowControl/>
        <w:snapToGrid w:val="0"/>
        <w:spacing w:before="0" w:beforeAutospacing="0" w:after="0" w:afterAutospacing="0" w:line="580" w:lineRule="exact"/>
        <w:ind w:firstLine="640" w:firstLineChars="200"/>
        <w:jc w:val="left"/>
        <w:textAlignment w:val="baseline"/>
        <w:outlineLvl w:val="1"/>
        <w:rPr>
          <w:rStyle w:val="11"/>
          <w:rFonts w:ascii="黑体" w:eastAsia="黑体"/>
          <w:b w:val="0"/>
          <w:i w:val="0"/>
          <w:caps w:val="0"/>
          <w:color w:val="000000"/>
          <w:spacing w:val="0"/>
          <w:w w:val="100"/>
          <w:kern w:val="0"/>
          <w:sz w:val="32"/>
          <w:szCs w:val="32"/>
          <w:lang w:val="en-US" w:eastAsia="zh-CN" w:bidi="ar-SA"/>
        </w:rPr>
      </w:pPr>
      <w:r>
        <w:rPr>
          <w:rStyle w:val="11"/>
          <w:rFonts w:ascii="仿宋_GB2312" w:eastAsia="仿宋_GB2312"/>
          <w:b w:val="0"/>
          <w:i w:val="0"/>
          <w:caps w:val="0"/>
          <w:color w:val="000000"/>
          <w:spacing w:val="0"/>
          <w:w w:val="100"/>
          <w:kern w:val="0"/>
          <w:sz w:val="32"/>
          <w:szCs w:val="32"/>
          <w:lang w:val="en-US" w:eastAsia="zh-CN" w:bidi="ar-SA"/>
        </w:rPr>
        <w:t xml:space="preserve"> </w:t>
      </w:r>
      <w:bookmarkStart w:id="20" w:name="_Toc30648"/>
      <w:r>
        <w:rPr>
          <w:rStyle w:val="11"/>
          <w:rFonts w:ascii="黑体" w:eastAsia="黑体"/>
          <w:b w:val="0"/>
          <w:i w:val="0"/>
          <w:caps w:val="0"/>
          <w:color w:val="000000"/>
          <w:spacing w:val="0"/>
          <w:w w:val="100"/>
          <w:kern w:val="0"/>
          <w:sz w:val="32"/>
          <w:szCs w:val="32"/>
          <w:lang w:val="en-US" w:eastAsia="zh-CN" w:bidi="ar-SA"/>
        </w:rPr>
        <w:t>二、</w:t>
      </w:r>
      <w:r>
        <w:rPr>
          <w:rStyle w:val="11"/>
          <w:rFonts w:hint="eastAsia" w:ascii="黑体" w:eastAsia="黑体"/>
          <w:b w:val="0"/>
          <w:i w:val="0"/>
          <w:caps w:val="0"/>
          <w:color w:val="000000"/>
          <w:spacing w:val="0"/>
          <w:w w:val="100"/>
          <w:kern w:val="0"/>
          <w:sz w:val="32"/>
          <w:szCs w:val="32"/>
          <w:lang w:val="en-US" w:eastAsia="zh-CN" w:bidi="ar-SA"/>
        </w:rPr>
        <w:t>单位</w:t>
      </w:r>
      <w:r>
        <w:rPr>
          <w:rStyle w:val="11"/>
          <w:rFonts w:ascii="黑体" w:eastAsia="黑体"/>
          <w:b w:val="0"/>
          <w:i w:val="0"/>
          <w:caps w:val="0"/>
          <w:color w:val="000000"/>
          <w:spacing w:val="0"/>
          <w:w w:val="100"/>
          <w:kern w:val="0"/>
          <w:sz w:val="32"/>
          <w:szCs w:val="32"/>
          <w:lang w:val="en-US" w:eastAsia="zh-CN" w:bidi="ar-SA"/>
        </w:rPr>
        <w:t>财政资金收支情况</w:t>
      </w:r>
      <w:bookmarkEnd w:id="20"/>
    </w:p>
    <w:p>
      <w:pPr>
        <w:snapToGrid/>
        <w:spacing w:before="0" w:beforeAutospacing="0" w:after="0" w:afterAutospacing="0" w:line="240" w:lineRule="auto"/>
        <w:ind w:firstLine="640" w:firstLineChars="200"/>
        <w:jc w:val="both"/>
        <w:textAlignment w:val="baseline"/>
        <w:rPr>
          <w:rStyle w:val="11"/>
          <w:rFonts w:ascii="仿宋" w:eastAsia="仿宋"/>
          <w:b w:val="0"/>
          <w:i w:val="0"/>
          <w:caps w:val="0"/>
          <w:spacing w:val="0"/>
          <w:w w:val="100"/>
          <w:kern w:val="2"/>
          <w:sz w:val="32"/>
          <w:szCs w:val="32"/>
          <w:lang w:val="zh-CN" w:eastAsia="zh-CN"/>
        </w:rPr>
      </w:pPr>
      <w:r>
        <w:rPr>
          <w:rStyle w:val="11"/>
          <w:rFonts w:ascii="仿宋" w:eastAsia="仿宋"/>
          <w:b w:val="0"/>
          <w:i w:val="0"/>
          <w:caps w:val="0"/>
          <w:spacing w:val="0"/>
          <w:w w:val="100"/>
          <w:kern w:val="2"/>
          <w:sz w:val="32"/>
          <w:szCs w:val="32"/>
          <w:lang w:val="zh-CN" w:eastAsia="zh-CN"/>
        </w:rPr>
        <w:t>（一）</w:t>
      </w:r>
      <w:r>
        <w:rPr>
          <w:rStyle w:val="11"/>
          <w:rFonts w:hint="eastAsia" w:ascii="仿宋" w:eastAsia="仿宋"/>
          <w:b w:val="0"/>
          <w:i w:val="0"/>
          <w:caps w:val="0"/>
          <w:spacing w:val="0"/>
          <w:w w:val="100"/>
          <w:kern w:val="2"/>
          <w:sz w:val="32"/>
          <w:szCs w:val="32"/>
          <w:lang w:val="zh-CN" w:eastAsia="zh-CN"/>
        </w:rPr>
        <w:t>单位</w:t>
      </w:r>
      <w:r>
        <w:rPr>
          <w:rStyle w:val="11"/>
          <w:rFonts w:ascii="仿宋" w:eastAsia="仿宋"/>
          <w:b w:val="0"/>
          <w:i w:val="0"/>
          <w:caps w:val="0"/>
          <w:spacing w:val="0"/>
          <w:w w:val="100"/>
          <w:kern w:val="2"/>
          <w:sz w:val="32"/>
          <w:szCs w:val="32"/>
          <w:lang w:val="zh-CN" w:eastAsia="zh-CN"/>
        </w:rPr>
        <w:t>财政资金收入情况。20</w:t>
      </w:r>
      <w:r>
        <w:rPr>
          <w:rStyle w:val="11"/>
          <w:rFonts w:ascii="仿宋" w:eastAsia="仿宋"/>
          <w:b w:val="0"/>
          <w:i w:val="0"/>
          <w:caps w:val="0"/>
          <w:spacing w:val="0"/>
          <w:w w:val="100"/>
          <w:kern w:val="2"/>
          <w:sz w:val="32"/>
          <w:szCs w:val="32"/>
          <w:lang w:val="en-US" w:eastAsia="zh-CN"/>
        </w:rPr>
        <w:t>20</w:t>
      </w:r>
      <w:r>
        <w:rPr>
          <w:rStyle w:val="11"/>
          <w:rFonts w:ascii="仿宋" w:eastAsia="仿宋"/>
          <w:b w:val="0"/>
          <w:i w:val="0"/>
          <w:caps w:val="0"/>
          <w:spacing w:val="0"/>
          <w:w w:val="100"/>
          <w:kern w:val="2"/>
          <w:sz w:val="32"/>
          <w:szCs w:val="32"/>
          <w:lang w:val="zh-CN" w:eastAsia="zh-CN"/>
        </w:rPr>
        <w:t>年财政拨款收入</w:t>
      </w:r>
      <w:r>
        <w:rPr>
          <w:rStyle w:val="11"/>
          <w:rFonts w:ascii="仿宋" w:eastAsia="仿宋"/>
          <w:b w:val="0"/>
          <w:i w:val="0"/>
          <w:caps w:val="0"/>
          <w:spacing w:val="0"/>
          <w:w w:val="100"/>
          <w:kern w:val="2"/>
          <w:sz w:val="32"/>
          <w:szCs w:val="32"/>
          <w:lang w:val="en-US" w:eastAsia="zh-CN"/>
        </w:rPr>
        <w:t>134.51</w:t>
      </w:r>
      <w:r>
        <w:rPr>
          <w:rStyle w:val="11"/>
          <w:rFonts w:ascii="仿宋" w:eastAsia="仿宋"/>
          <w:b w:val="0"/>
          <w:i w:val="0"/>
          <w:caps w:val="0"/>
          <w:spacing w:val="0"/>
          <w:w w:val="100"/>
          <w:kern w:val="2"/>
          <w:sz w:val="32"/>
          <w:szCs w:val="32"/>
          <w:lang w:val="zh-CN" w:eastAsia="zh-CN"/>
        </w:rPr>
        <w:t>万元。</w:t>
      </w:r>
    </w:p>
    <w:p>
      <w:pPr>
        <w:snapToGrid/>
        <w:spacing w:before="0" w:beforeAutospacing="0" w:after="0" w:afterAutospacing="0" w:line="240" w:lineRule="auto"/>
        <w:ind w:firstLine="640" w:firstLineChars="200"/>
        <w:jc w:val="both"/>
        <w:textAlignment w:val="baseline"/>
        <w:rPr>
          <w:rStyle w:val="11"/>
          <w:rFonts w:ascii="仿宋" w:eastAsia="仿宋"/>
          <w:b w:val="0"/>
          <w:i w:val="0"/>
          <w:caps w:val="0"/>
          <w:spacing w:val="0"/>
          <w:w w:val="100"/>
          <w:kern w:val="2"/>
          <w:sz w:val="32"/>
          <w:szCs w:val="32"/>
          <w:lang w:val="zh-CN" w:eastAsia="zh-CN"/>
        </w:rPr>
      </w:pPr>
      <w:r>
        <w:rPr>
          <w:rStyle w:val="11"/>
          <w:rFonts w:ascii="仿宋" w:eastAsia="仿宋"/>
          <w:b w:val="0"/>
          <w:i w:val="0"/>
          <w:caps w:val="0"/>
          <w:spacing w:val="0"/>
          <w:w w:val="100"/>
          <w:kern w:val="2"/>
          <w:sz w:val="32"/>
          <w:szCs w:val="32"/>
          <w:lang w:val="zh-CN" w:eastAsia="zh-CN"/>
        </w:rPr>
        <w:t>（二）</w:t>
      </w:r>
      <w:r>
        <w:rPr>
          <w:rStyle w:val="11"/>
          <w:rFonts w:hint="eastAsia" w:ascii="仿宋" w:eastAsia="仿宋"/>
          <w:b w:val="0"/>
          <w:i w:val="0"/>
          <w:caps w:val="0"/>
          <w:spacing w:val="0"/>
          <w:w w:val="100"/>
          <w:kern w:val="2"/>
          <w:sz w:val="32"/>
          <w:szCs w:val="32"/>
          <w:lang w:val="zh-CN" w:eastAsia="zh-CN"/>
        </w:rPr>
        <w:t>单位</w:t>
      </w:r>
      <w:r>
        <w:rPr>
          <w:rStyle w:val="11"/>
          <w:rFonts w:ascii="仿宋" w:eastAsia="仿宋"/>
          <w:b w:val="0"/>
          <w:i w:val="0"/>
          <w:caps w:val="0"/>
          <w:spacing w:val="0"/>
          <w:w w:val="100"/>
          <w:kern w:val="2"/>
          <w:sz w:val="32"/>
          <w:szCs w:val="32"/>
          <w:lang w:val="zh-CN" w:eastAsia="zh-CN"/>
        </w:rPr>
        <w:t>财政资金支出情况。20</w:t>
      </w:r>
      <w:r>
        <w:rPr>
          <w:rStyle w:val="11"/>
          <w:rFonts w:ascii="仿宋" w:eastAsia="仿宋"/>
          <w:b w:val="0"/>
          <w:i w:val="0"/>
          <w:caps w:val="0"/>
          <w:spacing w:val="0"/>
          <w:w w:val="100"/>
          <w:kern w:val="2"/>
          <w:sz w:val="32"/>
          <w:szCs w:val="32"/>
          <w:lang w:val="en-US" w:eastAsia="zh-CN"/>
        </w:rPr>
        <w:t>20</w:t>
      </w:r>
      <w:r>
        <w:rPr>
          <w:rStyle w:val="11"/>
          <w:rFonts w:ascii="仿宋" w:eastAsia="仿宋"/>
          <w:b w:val="0"/>
          <w:i w:val="0"/>
          <w:caps w:val="0"/>
          <w:spacing w:val="0"/>
          <w:w w:val="100"/>
          <w:kern w:val="2"/>
          <w:sz w:val="32"/>
          <w:szCs w:val="32"/>
          <w:lang w:val="zh-CN" w:eastAsia="zh-CN"/>
        </w:rPr>
        <w:t>年财政拨款支出</w:t>
      </w:r>
      <w:r>
        <w:rPr>
          <w:rStyle w:val="11"/>
          <w:rFonts w:ascii="仿宋" w:eastAsia="仿宋"/>
          <w:b w:val="0"/>
          <w:i w:val="0"/>
          <w:caps w:val="0"/>
          <w:spacing w:val="0"/>
          <w:w w:val="100"/>
          <w:kern w:val="2"/>
          <w:sz w:val="32"/>
          <w:szCs w:val="32"/>
          <w:lang w:val="en-US" w:eastAsia="zh-CN"/>
        </w:rPr>
        <w:t>134.51</w:t>
      </w:r>
      <w:r>
        <w:rPr>
          <w:rStyle w:val="11"/>
          <w:rFonts w:ascii="仿宋" w:eastAsia="仿宋"/>
          <w:b w:val="0"/>
          <w:i w:val="0"/>
          <w:caps w:val="0"/>
          <w:spacing w:val="0"/>
          <w:w w:val="100"/>
          <w:kern w:val="2"/>
          <w:sz w:val="32"/>
          <w:szCs w:val="32"/>
          <w:lang w:val="zh-CN" w:eastAsia="zh-CN"/>
        </w:rPr>
        <w:t>万元。</w:t>
      </w:r>
    </w:p>
    <w:p>
      <w:pPr>
        <w:widowControl/>
        <w:snapToGrid w:val="0"/>
        <w:spacing w:before="0" w:beforeAutospacing="0" w:after="0" w:afterAutospacing="0" w:line="580" w:lineRule="exact"/>
        <w:ind w:firstLine="640" w:firstLineChars="200"/>
        <w:jc w:val="left"/>
        <w:textAlignment w:val="baseline"/>
        <w:outlineLvl w:val="1"/>
        <w:rPr>
          <w:rStyle w:val="11"/>
          <w:rFonts w:ascii="黑体" w:eastAsia="黑体"/>
          <w:b w:val="0"/>
          <w:i w:val="0"/>
          <w:caps w:val="0"/>
          <w:color w:val="000000"/>
          <w:spacing w:val="0"/>
          <w:w w:val="100"/>
          <w:kern w:val="0"/>
          <w:sz w:val="32"/>
          <w:szCs w:val="32"/>
          <w:lang w:val="en-US" w:eastAsia="zh-CN" w:bidi="ar-SA"/>
        </w:rPr>
      </w:pPr>
      <w:bookmarkStart w:id="21" w:name="_Toc10349"/>
      <w:r>
        <w:rPr>
          <w:rStyle w:val="11"/>
          <w:rFonts w:ascii="黑体" w:eastAsia="黑体"/>
          <w:b w:val="0"/>
          <w:i w:val="0"/>
          <w:caps w:val="0"/>
          <w:color w:val="000000"/>
          <w:spacing w:val="0"/>
          <w:w w:val="100"/>
          <w:kern w:val="0"/>
          <w:sz w:val="32"/>
          <w:szCs w:val="32"/>
          <w:lang w:val="en-US" w:eastAsia="zh-CN" w:bidi="ar-SA"/>
        </w:rPr>
        <w:t>三、</w:t>
      </w:r>
      <w:r>
        <w:rPr>
          <w:rStyle w:val="11"/>
          <w:rFonts w:hint="eastAsia" w:ascii="黑体" w:eastAsia="黑体"/>
          <w:b w:val="0"/>
          <w:i w:val="0"/>
          <w:caps w:val="0"/>
          <w:color w:val="000000"/>
          <w:spacing w:val="0"/>
          <w:w w:val="100"/>
          <w:kern w:val="0"/>
          <w:sz w:val="32"/>
          <w:szCs w:val="32"/>
          <w:lang w:val="en-US" w:eastAsia="zh-CN" w:bidi="ar-SA"/>
        </w:rPr>
        <w:t>单位</w:t>
      </w:r>
      <w:r>
        <w:rPr>
          <w:rStyle w:val="11"/>
          <w:rFonts w:ascii="黑体" w:eastAsia="黑体"/>
          <w:b w:val="0"/>
          <w:i w:val="0"/>
          <w:caps w:val="0"/>
          <w:color w:val="000000"/>
          <w:spacing w:val="0"/>
          <w:w w:val="100"/>
          <w:kern w:val="0"/>
          <w:sz w:val="32"/>
          <w:szCs w:val="32"/>
          <w:lang w:val="en-US" w:eastAsia="zh-CN" w:bidi="ar-SA"/>
        </w:rPr>
        <w:t>整体预算绩效管理情况</w:t>
      </w:r>
      <w:bookmarkEnd w:id="21"/>
    </w:p>
    <w:p>
      <w:pPr>
        <w:widowControl/>
        <w:snapToGrid w:val="0"/>
        <w:spacing w:before="0" w:beforeAutospacing="0" w:after="0" w:afterAutospacing="0" w:line="580" w:lineRule="exact"/>
        <w:ind w:firstLine="640" w:firstLineChars="200"/>
        <w:jc w:val="left"/>
        <w:textAlignment w:val="baseline"/>
        <w:rPr>
          <w:rStyle w:val="11"/>
          <w:rFonts w:ascii="仿宋_GB2312" w:eastAsia="仿宋_GB2312"/>
          <w:b w:val="0"/>
          <w:i w:val="0"/>
          <w:caps w:val="0"/>
          <w:color w:val="000000"/>
          <w:spacing w:val="0"/>
          <w:w w:val="100"/>
          <w:kern w:val="0"/>
          <w:sz w:val="32"/>
          <w:szCs w:val="32"/>
          <w:lang w:val="zh-CN" w:eastAsia="zh-CN" w:bidi="ar-SA"/>
        </w:rPr>
      </w:pPr>
      <w:r>
        <w:rPr>
          <w:rStyle w:val="11"/>
          <w:rFonts w:ascii="仿宋_GB2312" w:eastAsia="仿宋_GB2312"/>
          <w:b w:val="0"/>
          <w:i w:val="0"/>
          <w:caps w:val="0"/>
          <w:color w:val="000000"/>
          <w:spacing w:val="0"/>
          <w:w w:val="100"/>
          <w:kern w:val="0"/>
          <w:sz w:val="32"/>
          <w:szCs w:val="32"/>
          <w:lang w:val="zh-CN" w:eastAsia="zh-CN" w:bidi="ar-SA"/>
        </w:rPr>
        <w:t>（一）</w:t>
      </w:r>
      <w:r>
        <w:rPr>
          <w:rStyle w:val="11"/>
          <w:rFonts w:hint="eastAsia" w:ascii="仿宋_GB2312" w:eastAsia="仿宋_GB2312"/>
          <w:b w:val="0"/>
          <w:i w:val="0"/>
          <w:caps w:val="0"/>
          <w:color w:val="000000"/>
          <w:spacing w:val="0"/>
          <w:w w:val="100"/>
          <w:kern w:val="0"/>
          <w:sz w:val="32"/>
          <w:szCs w:val="32"/>
          <w:lang w:val="zh-CN" w:eastAsia="zh-CN" w:bidi="ar-SA"/>
        </w:rPr>
        <w:t>单位</w:t>
      </w:r>
      <w:r>
        <w:rPr>
          <w:rStyle w:val="11"/>
          <w:rFonts w:ascii="仿宋_GB2312" w:eastAsia="仿宋_GB2312"/>
          <w:b w:val="0"/>
          <w:i w:val="0"/>
          <w:caps w:val="0"/>
          <w:color w:val="000000"/>
          <w:spacing w:val="0"/>
          <w:w w:val="100"/>
          <w:kern w:val="0"/>
          <w:sz w:val="32"/>
          <w:szCs w:val="32"/>
          <w:lang w:val="zh-CN" w:eastAsia="zh-CN" w:bidi="ar-SA"/>
        </w:rPr>
        <w:t>预算管理。</w:t>
      </w:r>
    </w:p>
    <w:p>
      <w:pPr>
        <w:snapToGrid/>
        <w:spacing w:before="0" w:beforeAutospacing="0" w:after="0" w:afterAutospacing="0" w:line="240" w:lineRule="auto"/>
        <w:ind w:firstLine="640" w:firstLineChars="200"/>
        <w:jc w:val="both"/>
        <w:textAlignment w:val="baseline"/>
        <w:rPr>
          <w:rStyle w:val="11"/>
          <w:rFonts w:ascii="仿宋" w:eastAsia="仿宋"/>
          <w:b w:val="0"/>
          <w:i w:val="0"/>
          <w:caps w:val="0"/>
          <w:spacing w:val="0"/>
          <w:w w:val="100"/>
          <w:kern w:val="2"/>
          <w:sz w:val="32"/>
          <w:szCs w:val="32"/>
          <w:lang w:val="zh-CN" w:eastAsia="zh-CN"/>
        </w:rPr>
      </w:pPr>
      <w:r>
        <w:rPr>
          <w:rStyle w:val="11"/>
          <w:rFonts w:ascii="仿宋" w:eastAsia="仿宋"/>
          <w:b w:val="0"/>
          <w:i w:val="0"/>
          <w:caps w:val="0"/>
          <w:spacing w:val="0"/>
          <w:w w:val="100"/>
          <w:kern w:val="2"/>
          <w:sz w:val="32"/>
          <w:szCs w:val="32"/>
          <w:lang w:val="zh-CN" w:eastAsia="zh-CN"/>
        </w:rPr>
        <w:t>贯彻执行国家、部门有关财经法规规定，坚持厉行节约，量入为出，降低行政事业成本，提高资金使用效益；合理编制预算，制定绩效目标，统筹安排资金，以保障单位正常运转及绩效目标的完成；定期编制财务报告，如实反映行政事业单位预算执行情况，并进行财务活动分析，以促进财务管理建立，健全内部财务管理制度；对单位经济活动进行财务控制和监督，加强对国有资产管理，防止国有资产流失；创新财务管理制度，降低成本，合理配置资源，以实现社会效益和经济效益最大化，提高资金使用效益。</w:t>
      </w:r>
    </w:p>
    <w:p>
      <w:pPr>
        <w:widowControl/>
        <w:snapToGrid w:val="0"/>
        <w:spacing w:before="0" w:beforeAutospacing="0" w:after="0" w:afterAutospacing="0" w:line="580" w:lineRule="exact"/>
        <w:ind w:firstLine="640" w:firstLineChars="200"/>
        <w:jc w:val="left"/>
        <w:textAlignment w:val="baseline"/>
        <w:rPr>
          <w:rStyle w:val="11"/>
          <w:rFonts w:ascii="仿宋_GB2312" w:eastAsia="仿宋_GB2312"/>
          <w:b w:val="0"/>
          <w:i w:val="0"/>
          <w:caps w:val="0"/>
          <w:color w:val="000000"/>
          <w:spacing w:val="0"/>
          <w:w w:val="100"/>
          <w:kern w:val="0"/>
          <w:sz w:val="32"/>
          <w:szCs w:val="32"/>
          <w:lang w:val="zh-CN" w:eastAsia="zh-CN" w:bidi="ar-SA"/>
        </w:rPr>
      </w:pPr>
      <w:r>
        <w:rPr>
          <w:rStyle w:val="11"/>
          <w:rFonts w:ascii="仿宋_GB2312" w:eastAsia="仿宋_GB2312"/>
          <w:b w:val="0"/>
          <w:i w:val="0"/>
          <w:caps w:val="0"/>
          <w:color w:val="000000"/>
          <w:spacing w:val="0"/>
          <w:w w:val="100"/>
          <w:kern w:val="0"/>
          <w:sz w:val="32"/>
          <w:szCs w:val="32"/>
          <w:lang w:val="zh-CN" w:eastAsia="zh-CN" w:bidi="ar-SA"/>
        </w:rPr>
        <w:t>（二）结果应用情况。</w:t>
      </w:r>
    </w:p>
    <w:p>
      <w:pPr>
        <w:snapToGrid/>
        <w:spacing w:before="0" w:beforeAutospacing="0" w:after="0" w:afterAutospacing="0" w:line="240" w:lineRule="auto"/>
        <w:ind w:firstLine="640" w:firstLineChars="200"/>
        <w:jc w:val="both"/>
        <w:textAlignment w:val="baseline"/>
        <w:rPr>
          <w:rStyle w:val="11"/>
          <w:rFonts w:ascii="仿宋" w:eastAsia="仿宋"/>
          <w:b w:val="0"/>
          <w:i w:val="0"/>
          <w:caps w:val="0"/>
          <w:spacing w:val="0"/>
          <w:w w:val="100"/>
          <w:kern w:val="2"/>
          <w:sz w:val="32"/>
          <w:szCs w:val="32"/>
          <w:lang w:val="zh-CN" w:eastAsia="zh-CN"/>
        </w:rPr>
      </w:pPr>
      <w:r>
        <w:rPr>
          <w:rStyle w:val="11"/>
          <w:rFonts w:ascii="仿宋" w:eastAsia="仿宋"/>
          <w:b w:val="0"/>
          <w:i w:val="0"/>
          <w:caps w:val="0"/>
          <w:spacing w:val="0"/>
          <w:w w:val="100"/>
          <w:kern w:val="2"/>
          <w:sz w:val="32"/>
          <w:szCs w:val="32"/>
          <w:lang w:val="zh-CN" w:eastAsia="zh-CN"/>
        </w:rPr>
        <w:t>20</w:t>
      </w:r>
      <w:r>
        <w:rPr>
          <w:rStyle w:val="11"/>
          <w:rFonts w:ascii="仿宋" w:eastAsia="仿宋"/>
          <w:b w:val="0"/>
          <w:i w:val="0"/>
          <w:caps w:val="0"/>
          <w:spacing w:val="0"/>
          <w:w w:val="100"/>
          <w:kern w:val="2"/>
          <w:sz w:val="32"/>
          <w:szCs w:val="32"/>
          <w:lang w:val="en-US" w:eastAsia="zh-CN"/>
        </w:rPr>
        <w:t>20</w:t>
      </w:r>
      <w:r>
        <w:rPr>
          <w:rStyle w:val="11"/>
          <w:rFonts w:ascii="仿宋" w:eastAsia="仿宋"/>
          <w:b w:val="0"/>
          <w:i w:val="0"/>
          <w:caps w:val="0"/>
          <w:spacing w:val="0"/>
          <w:w w:val="100"/>
          <w:kern w:val="2"/>
          <w:sz w:val="32"/>
          <w:szCs w:val="32"/>
          <w:lang w:val="zh-CN" w:eastAsia="zh-CN"/>
        </w:rPr>
        <w:t>年卫生系统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基本完成，在保障单位运转、履行职能职责上整体情况良好。</w:t>
      </w:r>
    </w:p>
    <w:p>
      <w:pPr>
        <w:widowControl/>
        <w:snapToGrid w:val="0"/>
        <w:spacing w:before="0" w:beforeAutospacing="0" w:after="0" w:afterAutospacing="0" w:line="580" w:lineRule="exact"/>
        <w:ind w:firstLine="640" w:firstLineChars="200"/>
        <w:jc w:val="left"/>
        <w:textAlignment w:val="baseline"/>
        <w:outlineLvl w:val="1"/>
        <w:rPr>
          <w:rStyle w:val="11"/>
          <w:rFonts w:ascii="黑体" w:eastAsia="黑体"/>
          <w:b w:val="0"/>
          <w:i w:val="0"/>
          <w:caps w:val="0"/>
          <w:color w:val="000000"/>
          <w:spacing w:val="0"/>
          <w:w w:val="100"/>
          <w:kern w:val="0"/>
          <w:sz w:val="32"/>
          <w:szCs w:val="32"/>
          <w:lang w:val="en-US" w:eastAsia="zh-CN" w:bidi="ar-SA"/>
        </w:rPr>
      </w:pPr>
      <w:bookmarkStart w:id="22" w:name="_Toc19454"/>
      <w:r>
        <w:rPr>
          <w:rStyle w:val="11"/>
          <w:rFonts w:ascii="黑体" w:eastAsia="黑体"/>
          <w:b w:val="0"/>
          <w:i w:val="0"/>
          <w:caps w:val="0"/>
          <w:color w:val="000000"/>
          <w:spacing w:val="0"/>
          <w:w w:val="100"/>
          <w:kern w:val="0"/>
          <w:sz w:val="32"/>
          <w:szCs w:val="32"/>
          <w:lang w:val="en-US" w:eastAsia="zh-CN" w:bidi="ar-SA"/>
        </w:rPr>
        <w:t>四、评价结论及建议</w:t>
      </w:r>
      <w:bookmarkEnd w:id="22"/>
    </w:p>
    <w:p>
      <w:pPr>
        <w:snapToGrid w:val="0"/>
        <w:spacing w:before="0" w:beforeAutospacing="0" w:after="0" w:afterAutospacing="0" w:line="360" w:lineRule="auto"/>
        <w:ind w:left="439" w:leftChars="209" w:firstLine="640" w:firstLineChars="200"/>
        <w:jc w:val="both"/>
        <w:textAlignment w:val="baseline"/>
        <w:rPr>
          <w:rStyle w:val="11"/>
          <w:rFonts w:ascii="仿宋" w:eastAsia="仿宋"/>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一是基本公共卫生资金使用认识不到位，不敢用，每年都有结余；二是村卫生站基本公共卫生经费兑现不及时，对村医绩效考核运用不够深入，考核结果不够真实，下沉村卫生站资金结算缺乏依据；二是部分单位对公共卫生服务工作重视不够，未能如实完成免费服务项目。</w:t>
      </w:r>
    </w:p>
    <w:p>
      <w:pPr>
        <w:snapToGrid/>
        <w:spacing w:before="0" w:beforeAutospacing="0" w:after="0" w:afterAutospacing="0" w:line="580" w:lineRule="exact"/>
        <w:ind w:firstLine="640" w:firstLineChars="200"/>
        <w:jc w:val="both"/>
        <w:textAlignment w:val="baseline"/>
        <w:outlineLvl w:val="1"/>
        <w:rPr>
          <w:rStyle w:val="17"/>
          <w:rFonts w:ascii="仿宋" w:hAnsi="Times New Roman" w:eastAsia="仿宋"/>
          <w:b w:val="0"/>
          <w:bCs w:val="0"/>
          <w:i w:val="0"/>
          <w:caps w:val="0"/>
          <w:spacing w:val="0"/>
          <w:w w:val="100"/>
          <w:kern w:val="2"/>
          <w:sz w:val="32"/>
          <w:szCs w:val="32"/>
          <w:lang w:val="en-US" w:eastAsia="zh-CN" w:bidi="ar-SA"/>
        </w:rPr>
      </w:pPr>
      <w:bookmarkStart w:id="23" w:name="_Toc22126"/>
      <w:r>
        <w:rPr>
          <w:rStyle w:val="11"/>
          <w:rFonts w:ascii="仿宋" w:eastAsia="仿宋"/>
          <w:b w:val="0"/>
          <w:i w:val="0"/>
          <w:caps w:val="0"/>
          <w:spacing w:val="0"/>
          <w:w w:val="100"/>
          <w:kern w:val="2"/>
          <w:sz w:val="32"/>
          <w:szCs w:val="32"/>
          <w:lang w:val="en-US" w:eastAsia="zh-CN" w:bidi="ar-SA"/>
        </w:rPr>
        <w:t>四、相关措施建议</w:t>
      </w:r>
      <w:bookmarkEnd w:id="23"/>
    </w:p>
    <w:p>
      <w:pPr>
        <w:snapToGrid/>
        <w:spacing w:before="0" w:beforeAutospacing="0" w:after="0" w:afterAutospacing="0" w:line="580" w:lineRule="exact"/>
        <w:ind w:firstLine="640" w:firstLineChars="200"/>
        <w:jc w:val="both"/>
        <w:textAlignment w:val="baseline"/>
        <w:rPr>
          <w:rStyle w:val="11"/>
          <w:rFonts w:ascii="仿宋" w:eastAsia="仿宋" w:cs="仿宋_GB2312"/>
          <w:b/>
          <w:bCs/>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一是加大纪检监督力度，落实领导责任制；二是财政部门加强监管，加强财务督导，确保资金使用合理合法</w:t>
      </w:r>
    </w:p>
    <w:p>
      <w:pPr>
        <w:snapToGrid/>
        <w:spacing w:before="0" w:beforeAutospacing="0" w:after="0" w:afterAutospacing="0" w:line="600" w:lineRule="atLeast"/>
        <w:ind w:firstLine="640" w:firstLineChars="200"/>
        <w:jc w:val="both"/>
        <w:textAlignment w:val="baseline"/>
        <w:rPr>
          <w:rStyle w:val="11"/>
          <w:rFonts w:ascii="仿宋_GB2312" w:eastAsia="仿宋_GB2312"/>
          <w:b w:val="0"/>
          <w:i w:val="0"/>
          <w:caps w:val="0"/>
          <w:color w:val="000000"/>
          <w:spacing w:val="0"/>
          <w:w w:val="100"/>
          <w:kern w:val="2"/>
          <w:sz w:val="32"/>
          <w:szCs w:val="32"/>
          <w:lang w:val="zh-CN" w:eastAsia="zh-CN" w:bidi="ar-SA"/>
        </w:rPr>
      </w:pPr>
      <w:r>
        <w:rPr>
          <w:rStyle w:val="11"/>
          <w:rFonts w:ascii="仿宋_GB2312" w:eastAsia="仿宋_GB2312"/>
          <w:b w:val="0"/>
          <w:i w:val="0"/>
          <w:caps w:val="0"/>
          <w:color w:val="000000"/>
          <w:spacing w:val="0"/>
          <w:w w:val="100"/>
          <w:kern w:val="2"/>
          <w:sz w:val="32"/>
          <w:szCs w:val="32"/>
          <w:lang w:val="zh-CN" w:eastAsia="zh-CN" w:bidi="ar-SA"/>
        </w:rPr>
        <w:t>位等到资金落实后方才实施，导致资金当年不能使用完毕，易形成结转。</w:t>
      </w:r>
    </w:p>
    <w:p>
      <w:pPr>
        <w:snapToGrid/>
        <w:spacing w:before="0" w:beforeAutospacing="0" w:after="0" w:afterAutospacing="0" w:line="600" w:lineRule="atLeast"/>
        <w:ind w:firstLine="640" w:firstLineChars="200"/>
        <w:jc w:val="both"/>
        <w:textAlignment w:val="baseline"/>
        <w:rPr>
          <w:rStyle w:val="11"/>
          <w:rFonts w:ascii="仿宋_GB2312" w:eastAsia="仿宋_GB2312"/>
          <w:b w:val="0"/>
          <w:i w:val="0"/>
          <w:caps w:val="0"/>
          <w:spacing w:val="0"/>
          <w:w w:val="100"/>
          <w:kern w:val="2"/>
          <w:sz w:val="32"/>
          <w:szCs w:val="32"/>
          <w:lang w:val="en-US" w:eastAsia="zh-CN" w:bidi="ar-SA"/>
        </w:rPr>
      </w:pPr>
      <w:r>
        <w:rPr>
          <w:rStyle w:val="11"/>
          <w:rFonts w:ascii="仿宋" w:eastAsia="仿宋"/>
          <w:b w:val="0"/>
          <w:i w:val="0"/>
          <w:caps w:val="0"/>
          <w:spacing w:val="0"/>
          <w:w w:val="100"/>
          <w:kern w:val="2"/>
          <w:sz w:val="32"/>
          <w:szCs w:val="32"/>
          <w:lang w:val="en-US" w:eastAsia="zh-CN" w:bidi="ar-SA"/>
        </w:rPr>
        <w:t>（三）改进建议。</w:t>
      </w:r>
      <w:r>
        <w:rPr>
          <w:rStyle w:val="11"/>
          <w:rFonts w:ascii="仿宋_GB2312" w:eastAsia="仿宋_GB2312"/>
          <w:b w:val="0"/>
          <w:i w:val="0"/>
          <w:caps w:val="0"/>
          <w:color w:val="000000"/>
          <w:spacing w:val="0"/>
          <w:w w:val="100"/>
          <w:kern w:val="2"/>
          <w:sz w:val="32"/>
          <w:szCs w:val="32"/>
          <w:lang w:val="en-US" w:eastAsia="zh-CN" w:bidi="ar-SA"/>
        </w:rPr>
        <w:t>一是建立健全单位内部控制制度，制定完善的管理措施，落实责任股室及责任人，组织职工学习相关政策法规，推动单位支出合规性，保障资金使用安全；二是对系统整体开支，加大监督力度，注重资金使用过程中的风险与问题，及早发现及早整改，组织专人开展绩效评价，对绩效评价结果积极运用；三是加快资金使用进度，尽量缩短资金使用方案审批时间，积极协调专项资金及时到位，督促项目单位加快进度，确保当年资金不滞留。</w:t>
      </w:r>
    </w:p>
    <w:p>
      <w:pPr>
        <w:snapToGrid/>
        <w:spacing w:before="0" w:beforeAutospacing="0" w:after="0" w:afterAutospacing="0" w:line="580" w:lineRule="exact"/>
        <w:ind w:firstLine="640" w:firstLineChars="200"/>
        <w:jc w:val="both"/>
        <w:textAlignment w:val="baseline"/>
        <w:rPr>
          <w:rStyle w:val="11"/>
          <w:rFonts w:ascii="仿宋_GB2312" w:eastAsia="仿宋_GB2312"/>
          <w:b w:val="0"/>
          <w:i w:val="0"/>
          <w:caps w:val="0"/>
          <w:spacing w:val="0"/>
          <w:w w:val="100"/>
          <w:kern w:val="2"/>
          <w:sz w:val="32"/>
          <w:szCs w:val="32"/>
          <w:lang w:val="en-US" w:eastAsia="zh-CN" w:bidi="ar-SA"/>
        </w:rPr>
      </w:pPr>
    </w:p>
    <w:p>
      <w:pPr>
        <w:pStyle w:val="20"/>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11"/>
          <w:rFonts w:ascii="仿宋_GB2312"/>
          <w:b w:val="0"/>
          <w:i w:val="0"/>
          <w:caps w:val="0"/>
          <w:spacing w:val="0"/>
          <w:w w:val="100"/>
          <w:sz w:val="21"/>
          <w:szCs w:val="32"/>
        </w:rPr>
      </w:pPr>
    </w:p>
    <w:p>
      <w:pPr>
        <w:widowControl/>
        <w:snapToGrid/>
        <w:spacing w:before="0" w:beforeAutospacing="0" w:after="0" w:afterAutospacing="0" w:line="240" w:lineRule="auto"/>
        <w:jc w:val="left"/>
        <w:textAlignment w:val="baseline"/>
        <w:rPr>
          <w:rStyle w:val="17"/>
          <w:rFonts w:ascii="黑体" w:hAnsi="Times New Roman" w:eastAsia="黑体" w:cs="Times New Roman"/>
          <w:b w:val="0"/>
          <w:bCs/>
          <w:i w:val="0"/>
          <w:caps w:val="0"/>
          <w:spacing w:val="0"/>
          <w:w w:val="100"/>
          <w:kern w:val="44"/>
          <w:sz w:val="44"/>
          <w:szCs w:val="44"/>
          <w:lang w:val="en-US" w:eastAsia="zh-CN" w:bidi="ar-SA"/>
        </w:rPr>
      </w:pPr>
    </w:p>
    <w:p>
      <w:pPr>
        <w:widowControl/>
        <w:snapToGrid/>
        <w:spacing w:before="0" w:beforeAutospacing="0" w:after="0" w:afterAutospacing="0" w:line="240" w:lineRule="auto"/>
        <w:jc w:val="left"/>
        <w:textAlignment w:val="baseline"/>
        <w:rPr>
          <w:rStyle w:val="17"/>
          <w:rFonts w:ascii="黑体" w:hAnsi="Times New Roman" w:eastAsia="黑体" w:cs="Times New Roman"/>
          <w:b w:val="0"/>
          <w:bCs/>
          <w:i w:val="0"/>
          <w:caps w:val="0"/>
          <w:spacing w:val="0"/>
          <w:w w:val="100"/>
          <w:kern w:val="44"/>
          <w:sz w:val="44"/>
          <w:szCs w:val="44"/>
          <w:lang w:val="en-US" w:eastAsia="zh-CN" w:bidi="ar-SA"/>
        </w:rPr>
      </w:pPr>
      <w:r>
        <w:rPr>
          <w:rStyle w:val="17"/>
          <w:rFonts w:ascii="黑体" w:hAnsi="Times New Roman" w:eastAsia="黑体" w:cs="Times New Roman"/>
          <w:b w:val="0"/>
          <w:bCs/>
          <w:i w:val="0"/>
          <w:caps w:val="0"/>
          <w:spacing w:val="0"/>
          <w:w w:val="100"/>
          <w:kern w:val="44"/>
          <w:sz w:val="44"/>
          <w:szCs w:val="44"/>
          <w:lang w:val="en-US" w:eastAsia="zh-CN" w:bidi="ar-SA"/>
        </w:rPr>
        <w:br w:type="page"/>
      </w:r>
    </w:p>
    <w:p>
      <w:pPr>
        <w:widowControl/>
        <w:snapToGrid/>
        <w:spacing w:before="0" w:beforeAutospacing="0" w:after="0" w:afterAutospacing="0" w:line="240" w:lineRule="auto"/>
        <w:jc w:val="left"/>
        <w:textAlignment w:val="baseline"/>
        <w:rPr>
          <w:rStyle w:val="17"/>
          <w:rFonts w:ascii="黑体" w:hAnsi="Times New Roman" w:eastAsia="黑体" w:cs="Times New Roman"/>
          <w:b w:val="0"/>
          <w:bCs/>
          <w:i w:val="0"/>
          <w:caps w:val="0"/>
          <w:spacing w:val="0"/>
          <w:w w:val="100"/>
          <w:kern w:val="44"/>
          <w:sz w:val="44"/>
          <w:szCs w:val="44"/>
          <w:lang w:val="en-US" w:eastAsia="zh-CN" w:bidi="ar-SA"/>
        </w:rPr>
      </w:pPr>
    </w:p>
    <w:p>
      <w:pPr>
        <w:snapToGrid/>
        <w:spacing w:before="0" w:beforeAutospacing="0" w:after="0" w:afterAutospacing="0" w:line="600" w:lineRule="exact"/>
        <w:jc w:val="center"/>
        <w:textAlignment w:val="baseline"/>
        <w:rPr>
          <w:rStyle w:val="17"/>
          <w:rFonts w:ascii="黑体" w:hAnsi="Times New Roman" w:eastAsia="黑体" w:cs="Times New Roman"/>
          <w:b w:val="0"/>
          <w:bCs/>
          <w:i w:val="0"/>
          <w:caps w:val="0"/>
          <w:spacing w:val="0"/>
          <w:w w:val="100"/>
          <w:kern w:val="44"/>
          <w:sz w:val="44"/>
          <w:szCs w:val="44"/>
          <w:lang w:val="en-US" w:eastAsia="zh-CN" w:bidi="ar-SA"/>
        </w:rPr>
      </w:pPr>
    </w:p>
    <w:p>
      <w:pPr>
        <w:snapToGrid/>
        <w:spacing w:before="0" w:beforeAutospacing="0" w:after="0" w:afterAutospacing="0" w:line="600" w:lineRule="exact"/>
        <w:jc w:val="center"/>
        <w:textAlignment w:val="baseline"/>
        <w:outlineLvl w:val="0"/>
        <w:rPr>
          <w:rStyle w:val="17"/>
          <w:rFonts w:ascii="黑体" w:hAnsi="Times New Roman" w:eastAsia="黑体" w:cs="Times New Roman"/>
          <w:b w:val="0"/>
          <w:bCs/>
          <w:i w:val="0"/>
          <w:caps w:val="0"/>
          <w:spacing w:val="0"/>
          <w:w w:val="100"/>
          <w:kern w:val="44"/>
          <w:sz w:val="44"/>
          <w:szCs w:val="44"/>
          <w:lang w:val="en-US" w:eastAsia="zh-CN" w:bidi="ar-SA"/>
        </w:rPr>
      </w:pPr>
      <w:bookmarkStart w:id="24" w:name="_Toc21804"/>
      <w:r>
        <w:rPr>
          <w:rStyle w:val="11"/>
          <w:rFonts w:ascii="黑体" w:eastAsia="黑体"/>
          <w:b w:val="0"/>
          <w:i w:val="0"/>
          <w:caps w:val="0"/>
          <w:color w:val="000000"/>
          <w:spacing w:val="0"/>
          <w:w w:val="100"/>
          <w:kern w:val="2"/>
          <w:sz w:val="44"/>
          <w:szCs w:val="44"/>
          <w:lang w:val="en-US" w:eastAsia="zh-CN" w:bidi="ar-SA"/>
        </w:rPr>
        <w:t>第</w:t>
      </w:r>
      <w:r>
        <w:rPr>
          <w:rStyle w:val="17"/>
          <w:rFonts w:ascii="黑体" w:hAnsi="Times New Roman" w:eastAsia="黑体" w:cs="Times New Roman"/>
          <w:b w:val="0"/>
          <w:bCs/>
          <w:i w:val="0"/>
          <w:caps w:val="0"/>
          <w:spacing w:val="0"/>
          <w:w w:val="100"/>
          <w:kern w:val="44"/>
          <w:sz w:val="44"/>
          <w:szCs w:val="44"/>
          <w:lang w:val="en-US" w:eastAsia="zh-CN" w:bidi="ar-SA"/>
        </w:rPr>
        <w:t>五部分 附表</w:t>
      </w:r>
      <w:bookmarkEnd w:id="24"/>
    </w:p>
    <w:p>
      <w:pPr>
        <w:snapToGrid/>
        <w:spacing w:before="0" w:beforeAutospacing="0" w:after="0" w:afterAutospacing="0" w:line="600" w:lineRule="exact"/>
        <w:jc w:val="center"/>
        <w:textAlignment w:val="baseline"/>
        <w:rPr>
          <w:rStyle w:val="11"/>
          <w:rFonts w:ascii="仿宋" w:eastAsia="仿宋"/>
          <w:b/>
          <w:i w:val="0"/>
          <w:caps w:val="0"/>
          <w:color w:val="000000"/>
          <w:spacing w:val="0"/>
          <w:w w:val="100"/>
          <w:kern w:val="2"/>
          <w:sz w:val="44"/>
          <w:szCs w:val="44"/>
          <w:lang w:val="en-US" w:eastAsia="zh-CN" w:bidi="ar-SA"/>
        </w:rPr>
      </w:pP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1"/>
          <w:rFonts w:ascii="仿宋" w:hAnsi="Cambria" w:eastAsia="仿宋" w:cs="Times New Roman"/>
          <w:b w:val="0"/>
          <w:bCs/>
          <w:i w:val="0"/>
          <w:caps w:val="0"/>
          <w:color w:val="000000"/>
          <w:spacing w:val="0"/>
          <w:w w:val="100"/>
          <w:kern w:val="2"/>
          <w:sz w:val="32"/>
          <w:szCs w:val="32"/>
          <w:lang w:val="en-US" w:eastAsia="zh-CN" w:bidi="ar-SA"/>
        </w:rPr>
        <w:t>一、收</w:t>
      </w:r>
      <w:r>
        <w:rPr>
          <w:rStyle w:val="18"/>
          <w:rFonts w:ascii="仿宋" w:hAnsi="Cambria" w:eastAsia="仿宋" w:cs="Times New Roman"/>
          <w:b/>
          <w:bCs/>
          <w:i w:val="0"/>
          <w:caps w:val="0"/>
          <w:spacing w:val="0"/>
          <w:w w:val="100"/>
          <w:kern w:val="2"/>
          <w:sz w:val="32"/>
          <w:szCs w:val="32"/>
          <w:lang w:val="en-US" w:eastAsia="zh-CN" w:bidi="ar-SA"/>
        </w:rPr>
        <w:t>入支出决算总表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1"/>
          <w:rFonts w:ascii="仿宋" w:hAnsi="Cambria" w:eastAsia="仿宋" w:cs="Times New Roman"/>
          <w:b w:val="0"/>
          <w:bCs/>
          <w:i w:val="0"/>
          <w:caps w:val="0"/>
          <w:color w:val="000000"/>
          <w:spacing w:val="0"/>
          <w:w w:val="100"/>
          <w:kern w:val="2"/>
          <w:sz w:val="32"/>
          <w:szCs w:val="32"/>
          <w:lang w:val="en-US" w:eastAsia="zh-CN" w:bidi="ar-SA"/>
        </w:rPr>
        <w:t>二、收</w:t>
      </w:r>
      <w:r>
        <w:rPr>
          <w:rStyle w:val="18"/>
          <w:rFonts w:ascii="仿宋" w:hAnsi="Cambria" w:eastAsia="仿宋" w:cs="Times New Roman"/>
          <w:b/>
          <w:bCs/>
          <w:i w:val="0"/>
          <w:caps w:val="0"/>
          <w:spacing w:val="0"/>
          <w:w w:val="100"/>
          <w:kern w:val="2"/>
          <w:sz w:val="32"/>
          <w:szCs w:val="32"/>
          <w:lang w:val="en-US" w:eastAsia="zh-CN" w:bidi="ar-SA"/>
        </w:rPr>
        <w:t>入决算表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三、</w:t>
      </w:r>
      <w:r>
        <w:rPr>
          <w:rStyle w:val="11"/>
          <w:rFonts w:ascii="仿宋" w:hAnsi="Cambria" w:eastAsia="仿宋" w:cs="Times New Roman"/>
          <w:b w:val="0"/>
          <w:bCs/>
          <w:i w:val="0"/>
          <w:caps w:val="0"/>
          <w:color w:val="000000"/>
          <w:spacing w:val="0"/>
          <w:w w:val="100"/>
          <w:kern w:val="2"/>
          <w:sz w:val="32"/>
          <w:szCs w:val="32"/>
          <w:lang w:val="en-US" w:eastAsia="zh-CN" w:bidi="ar-SA"/>
        </w:rPr>
        <w:t>支</w:t>
      </w:r>
      <w:r>
        <w:rPr>
          <w:rStyle w:val="18"/>
          <w:rFonts w:ascii="仿宋" w:hAnsi="Cambria" w:eastAsia="仿宋" w:cs="Times New Roman"/>
          <w:b/>
          <w:bCs/>
          <w:i w:val="0"/>
          <w:caps w:val="0"/>
          <w:spacing w:val="0"/>
          <w:w w:val="100"/>
          <w:kern w:val="2"/>
          <w:sz w:val="32"/>
          <w:szCs w:val="32"/>
          <w:lang w:val="en-US" w:eastAsia="zh-CN" w:bidi="ar-SA"/>
        </w:rPr>
        <w:t>出决算表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val="0"/>
          <w:bCs/>
          <w:i w:val="0"/>
          <w:caps w:val="0"/>
          <w:color w:val="00000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四、</w:t>
      </w:r>
      <w:r>
        <w:rPr>
          <w:rStyle w:val="11"/>
          <w:rFonts w:ascii="仿宋" w:hAnsi="Cambria" w:eastAsia="仿宋" w:cs="Times New Roman"/>
          <w:b w:val="0"/>
          <w:bCs/>
          <w:i w:val="0"/>
          <w:caps w:val="0"/>
          <w:color w:val="000000"/>
          <w:spacing w:val="0"/>
          <w:w w:val="100"/>
          <w:kern w:val="2"/>
          <w:sz w:val="32"/>
          <w:szCs w:val="32"/>
          <w:lang w:val="en-US" w:eastAsia="zh-CN" w:bidi="ar-SA"/>
        </w:rPr>
        <w:t>财</w:t>
      </w:r>
      <w:r>
        <w:rPr>
          <w:rStyle w:val="18"/>
          <w:rFonts w:ascii="仿宋" w:hAnsi="Cambria" w:eastAsia="仿宋" w:cs="Times New Roman"/>
          <w:b/>
          <w:bCs/>
          <w:i w:val="0"/>
          <w:caps w:val="0"/>
          <w:spacing w:val="0"/>
          <w:w w:val="100"/>
          <w:kern w:val="2"/>
          <w:sz w:val="32"/>
          <w:szCs w:val="32"/>
          <w:lang w:val="en-US" w:eastAsia="zh-CN" w:bidi="ar-SA"/>
        </w:rPr>
        <w:t>政拨款收入支出决算总表</w:t>
      </w:r>
    </w:p>
    <w:p>
      <w:pPr>
        <w:pStyle w:val="14"/>
        <w:keepLines/>
        <w:snapToGrid/>
        <w:spacing w:before="260" w:beforeAutospacing="0" w:after="260" w:afterAutospacing="0" w:line="415" w:lineRule="auto"/>
        <w:jc w:val="both"/>
        <w:textAlignment w:val="baseline"/>
        <w:rPr>
          <w:rStyle w:val="18"/>
          <w:rFonts w:ascii="仿宋" w:hAnsi="Cambria" w:eastAsia="仿宋" w:cs="Times New Roman"/>
          <w:b/>
          <w:bCs/>
          <w:i w:val="0"/>
          <w:caps w:val="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五、</w:t>
      </w:r>
      <w:r>
        <w:rPr>
          <w:rStyle w:val="11"/>
          <w:rFonts w:ascii="仿宋" w:hAnsi="Cambria" w:eastAsia="仿宋" w:cs="Times New Roman"/>
          <w:b w:val="0"/>
          <w:bCs/>
          <w:i w:val="0"/>
          <w:caps w:val="0"/>
          <w:color w:val="000000"/>
          <w:spacing w:val="0"/>
          <w:w w:val="100"/>
          <w:kern w:val="2"/>
          <w:sz w:val="32"/>
          <w:szCs w:val="32"/>
          <w:lang w:val="en-US" w:eastAsia="zh-CN" w:bidi="ar-SA"/>
        </w:rPr>
        <w:t>财</w:t>
      </w:r>
      <w:r>
        <w:rPr>
          <w:rStyle w:val="18"/>
          <w:rFonts w:ascii="仿宋" w:hAnsi="Cambria" w:eastAsia="仿宋" w:cs="Times New Roman"/>
          <w:b/>
          <w:bCs/>
          <w:i w:val="0"/>
          <w:caps w:val="0"/>
          <w:spacing w:val="0"/>
          <w:w w:val="100"/>
          <w:kern w:val="2"/>
          <w:sz w:val="32"/>
          <w:szCs w:val="32"/>
          <w:lang w:val="en-US" w:eastAsia="zh-CN" w:bidi="ar-SA"/>
        </w:rPr>
        <w:t>政拨款支出决算明细表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六、</w:t>
      </w:r>
      <w:r>
        <w:rPr>
          <w:rStyle w:val="11"/>
          <w:rFonts w:ascii="仿宋" w:hAnsi="Cambria" w:eastAsia="仿宋" w:cs="Times New Roman"/>
          <w:b w:val="0"/>
          <w:bCs/>
          <w:i w:val="0"/>
          <w:caps w:val="0"/>
          <w:color w:val="000000"/>
          <w:spacing w:val="0"/>
          <w:w w:val="100"/>
          <w:kern w:val="2"/>
          <w:sz w:val="32"/>
          <w:szCs w:val="32"/>
          <w:lang w:val="en-US" w:eastAsia="zh-CN" w:bidi="ar-SA"/>
        </w:rPr>
        <w:t>一</w:t>
      </w:r>
      <w:r>
        <w:rPr>
          <w:rStyle w:val="18"/>
          <w:rFonts w:ascii="仿宋" w:hAnsi="Cambria" w:eastAsia="仿宋" w:cs="Times New Roman"/>
          <w:b/>
          <w:bCs/>
          <w:i w:val="0"/>
          <w:caps w:val="0"/>
          <w:spacing w:val="0"/>
          <w:w w:val="100"/>
          <w:kern w:val="2"/>
          <w:sz w:val="32"/>
          <w:szCs w:val="32"/>
          <w:lang w:val="en-US" w:eastAsia="zh-CN" w:bidi="ar-SA"/>
        </w:rPr>
        <w:t>般公共预算财政拨款支出决算表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七、</w:t>
      </w:r>
      <w:r>
        <w:rPr>
          <w:rStyle w:val="11"/>
          <w:rFonts w:ascii="仿宋" w:hAnsi="Cambria" w:eastAsia="仿宋" w:cs="Times New Roman"/>
          <w:b w:val="0"/>
          <w:bCs/>
          <w:i w:val="0"/>
          <w:caps w:val="0"/>
          <w:color w:val="000000"/>
          <w:spacing w:val="0"/>
          <w:w w:val="100"/>
          <w:kern w:val="2"/>
          <w:sz w:val="32"/>
          <w:szCs w:val="32"/>
          <w:lang w:val="en-US" w:eastAsia="zh-CN" w:bidi="ar-SA"/>
        </w:rPr>
        <w:t>一</w:t>
      </w:r>
      <w:r>
        <w:rPr>
          <w:rStyle w:val="18"/>
          <w:rFonts w:ascii="仿宋" w:hAnsi="Cambria" w:eastAsia="仿宋" w:cs="Times New Roman"/>
          <w:b/>
          <w:bCs/>
          <w:i w:val="0"/>
          <w:caps w:val="0"/>
          <w:spacing w:val="0"/>
          <w:w w:val="100"/>
          <w:kern w:val="2"/>
          <w:sz w:val="32"/>
          <w:szCs w:val="32"/>
          <w:lang w:val="en-US" w:eastAsia="zh-CN" w:bidi="ar-SA"/>
        </w:rPr>
        <w:t>般公共预算财政拨款支出决算明细表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八、</w:t>
      </w:r>
      <w:r>
        <w:rPr>
          <w:rStyle w:val="11"/>
          <w:rFonts w:ascii="仿宋" w:hAnsi="Cambria" w:eastAsia="仿宋" w:cs="Times New Roman"/>
          <w:b w:val="0"/>
          <w:bCs/>
          <w:i w:val="0"/>
          <w:caps w:val="0"/>
          <w:color w:val="000000"/>
          <w:spacing w:val="0"/>
          <w:w w:val="100"/>
          <w:kern w:val="2"/>
          <w:sz w:val="32"/>
          <w:szCs w:val="32"/>
          <w:lang w:val="en-US" w:eastAsia="zh-CN" w:bidi="ar-SA"/>
        </w:rPr>
        <w:t>一</w:t>
      </w:r>
      <w:r>
        <w:rPr>
          <w:rStyle w:val="18"/>
          <w:rFonts w:ascii="仿宋" w:hAnsi="Cambria" w:eastAsia="仿宋" w:cs="Times New Roman"/>
          <w:b/>
          <w:bCs/>
          <w:i w:val="0"/>
          <w:caps w:val="0"/>
          <w:spacing w:val="0"/>
          <w:w w:val="100"/>
          <w:kern w:val="2"/>
          <w:sz w:val="32"/>
          <w:szCs w:val="32"/>
          <w:lang w:val="en-US" w:eastAsia="zh-CN" w:bidi="ar-SA"/>
        </w:rPr>
        <w:t>般公共预算财政拨款基本支出决算表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九、</w:t>
      </w:r>
      <w:r>
        <w:rPr>
          <w:rStyle w:val="11"/>
          <w:rFonts w:ascii="仿宋" w:hAnsi="Cambria" w:eastAsia="仿宋" w:cs="Times New Roman"/>
          <w:b w:val="0"/>
          <w:bCs/>
          <w:i w:val="0"/>
          <w:caps w:val="0"/>
          <w:color w:val="000000"/>
          <w:spacing w:val="0"/>
          <w:w w:val="100"/>
          <w:kern w:val="2"/>
          <w:sz w:val="32"/>
          <w:szCs w:val="32"/>
          <w:lang w:val="en-US" w:eastAsia="zh-CN" w:bidi="ar-SA"/>
        </w:rPr>
        <w:t>一</w:t>
      </w:r>
      <w:r>
        <w:rPr>
          <w:rStyle w:val="18"/>
          <w:rFonts w:ascii="仿宋" w:hAnsi="Cambria" w:eastAsia="仿宋" w:cs="Times New Roman"/>
          <w:b/>
          <w:bCs/>
          <w:i w:val="0"/>
          <w:caps w:val="0"/>
          <w:spacing w:val="0"/>
          <w:w w:val="100"/>
          <w:kern w:val="2"/>
          <w:sz w:val="32"/>
          <w:szCs w:val="32"/>
          <w:lang w:val="en-US" w:eastAsia="zh-CN" w:bidi="ar-SA"/>
        </w:rPr>
        <w:t>般公共预算财政拨款项目支出决算表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十、</w:t>
      </w:r>
      <w:r>
        <w:rPr>
          <w:rStyle w:val="11"/>
          <w:rFonts w:ascii="仿宋" w:hAnsi="Cambria" w:eastAsia="仿宋" w:cs="Times New Roman"/>
          <w:b w:val="0"/>
          <w:bCs/>
          <w:i w:val="0"/>
          <w:caps w:val="0"/>
          <w:color w:val="000000"/>
          <w:spacing w:val="0"/>
          <w:w w:val="100"/>
          <w:kern w:val="2"/>
          <w:sz w:val="32"/>
          <w:szCs w:val="32"/>
          <w:lang w:val="en-US" w:eastAsia="zh-CN" w:bidi="ar-SA"/>
        </w:rPr>
        <w:t>一</w:t>
      </w:r>
      <w:r>
        <w:rPr>
          <w:rStyle w:val="18"/>
          <w:rFonts w:ascii="仿宋" w:hAnsi="Cambria" w:eastAsia="仿宋" w:cs="Times New Roman"/>
          <w:b/>
          <w:bCs/>
          <w:i w:val="0"/>
          <w:caps w:val="0"/>
          <w:spacing w:val="0"/>
          <w:w w:val="100"/>
          <w:kern w:val="2"/>
          <w:sz w:val="32"/>
          <w:szCs w:val="32"/>
          <w:lang w:val="en-US" w:eastAsia="zh-CN" w:bidi="ar-SA"/>
        </w:rPr>
        <w:t>般公共预算财政拨款“三公”经费支出决算表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十一、</w:t>
      </w:r>
      <w:r>
        <w:rPr>
          <w:rStyle w:val="11"/>
          <w:rFonts w:ascii="仿宋" w:hAnsi="Cambria" w:eastAsia="仿宋" w:cs="Times New Roman"/>
          <w:b w:val="0"/>
          <w:bCs/>
          <w:i w:val="0"/>
          <w:caps w:val="0"/>
          <w:color w:val="000000"/>
          <w:spacing w:val="0"/>
          <w:w w:val="100"/>
          <w:kern w:val="2"/>
          <w:sz w:val="32"/>
          <w:szCs w:val="32"/>
          <w:lang w:val="en-US" w:eastAsia="zh-CN" w:bidi="ar-SA"/>
        </w:rPr>
        <w:t>政</w:t>
      </w:r>
      <w:r>
        <w:rPr>
          <w:rStyle w:val="18"/>
          <w:rFonts w:ascii="仿宋" w:hAnsi="Cambria" w:eastAsia="仿宋" w:cs="Times New Roman"/>
          <w:b/>
          <w:bCs/>
          <w:i w:val="0"/>
          <w:caps w:val="0"/>
          <w:spacing w:val="0"/>
          <w:w w:val="100"/>
          <w:kern w:val="2"/>
          <w:sz w:val="32"/>
          <w:szCs w:val="32"/>
          <w:lang w:val="en-US" w:eastAsia="zh-CN" w:bidi="ar-SA"/>
        </w:rPr>
        <w:t>府性基金预算财政拨款收入支出决算表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十二、</w:t>
      </w:r>
      <w:r>
        <w:rPr>
          <w:rStyle w:val="11"/>
          <w:rFonts w:ascii="仿宋" w:hAnsi="Cambria" w:eastAsia="仿宋" w:cs="Times New Roman"/>
          <w:b w:val="0"/>
          <w:bCs/>
          <w:i w:val="0"/>
          <w:caps w:val="0"/>
          <w:color w:val="000000"/>
          <w:spacing w:val="0"/>
          <w:w w:val="100"/>
          <w:kern w:val="2"/>
          <w:sz w:val="32"/>
          <w:szCs w:val="32"/>
          <w:lang w:val="en-US" w:eastAsia="zh-CN" w:bidi="ar-SA"/>
        </w:rPr>
        <w:t>政</w:t>
      </w:r>
      <w:r>
        <w:rPr>
          <w:rStyle w:val="18"/>
          <w:rFonts w:ascii="仿宋" w:hAnsi="Cambria" w:eastAsia="仿宋" w:cs="Times New Roman"/>
          <w:b/>
          <w:bCs/>
          <w:i w:val="0"/>
          <w:caps w:val="0"/>
          <w:spacing w:val="0"/>
          <w:w w:val="100"/>
          <w:kern w:val="2"/>
          <w:sz w:val="32"/>
          <w:szCs w:val="32"/>
          <w:lang w:val="en-US" w:eastAsia="zh-CN" w:bidi="ar-SA"/>
        </w:rPr>
        <w:t>府性基金预算财政拨款“三公”经费支出决算表</w:t>
      </w:r>
    </w:p>
    <w:p>
      <w:pPr>
        <w:pStyle w:val="14"/>
        <w:keepLines/>
        <w:snapToGrid/>
        <w:spacing w:before="260" w:beforeAutospacing="0" w:after="260" w:afterAutospacing="0" w:line="415" w:lineRule="auto"/>
        <w:jc w:val="both"/>
        <w:textAlignment w:val="baseline"/>
        <w:rPr>
          <w:rStyle w:val="18"/>
          <w:rFonts w:ascii="仿宋" w:hAnsi="Cambria" w:eastAsia="仿宋" w:cs="Times New Roman"/>
          <w:b/>
          <w:bCs/>
          <w:i w:val="0"/>
          <w:caps w:val="0"/>
          <w:spacing w:val="0"/>
          <w:w w:val="100"/>
          <w:kern w:val="2"/>
          <w:sz w:val="32"/>
          <w:szCs w:val="32"/>
          <w:lang w:val="en-US" w:eastAsia="zh-CN" w:bidi="ar-SA"/>
        </w:rPr>
      </w:pPr>
      <w:r>
        <w:rPr>
          <w:rStyle w:val="18"/>
          <w:rFonts w:ascii="仿宋" w:hAnsi="Cambria" w:eastAsia="仿宋" w:cs="Times New Roman"/>
          <w:b/>
          <w:bCs/>
          <w:i w:val="0"/>
          <w:caps w:val="0"/>
          <w:spacing w:val="0"/>
          <w:w w:val="100"/>
          <w:kern w:val="2"/>
          <w:sz w:val="32"/>
          <w:szCs w:val="32"/>
          <w:lang w:val="en-US" w:eastAsia="zh-CN" w:bidi="ar-SA"/>
        </w:rPr>
        <w:t>十三、国有资本经营预算财政拨款收入支出决算表</w:t>
      </w:r>
    </w:p>
    <w:p>
      <w:pPr>
        <w:pStyle w:val="14"/>
        <w:keepLines/>
        <w:snapToGrid/>
        <w:spacing w:before="260" w:beforeAutospacing="0" w:after="260" w:afterAutospacing="0" w:line="415" w:lineRule="auto"/>
        <w:jc w:val="both"/>
        <w:textAlignment w:val="baseline"/>
        <w:rPr>
          <w:rStyle w:val="11"/>
          <w:rFonts w:ascii="仿宋" w:hAnsi="Cambria" w:eastAsia="仿宋" w:cs="Times New Roman"/>
          <w:b/>
          <w:bCs/>
          <w:i w:val="0"/>
          <w:caps w:val="0"/>
          <w:color w:val="000000"/>
          <w:spacing w:val="0"/>
          <w:w w:val="100"/>
          <w:kern w:val="2"/>
          <w:sz w:val="32"/>
          <w:szCs w:val="32"/>
          <w:lang w:val="en-US" w:eastAsia="zh-CN" w:bidi="ar-SA"/>
        </w:rPr>
      </w:pPr>
      <w:r>
        <w:rPr>
          <w:rStyle w:val="18"/>
          <w:rFonts w:ascii="仿宋" w:hAnsi="Cambria" w:eastAsia="仿宋"/>
          <w:b w:val="0"/>
          <w:bCs w:val="0"/>
          <w:i w:val="0"/>
          <w:caps w:val="0"/>
          <w:spacing w:val="0"/>
          <w:w w:val="100"/>
          <w:kern w:val="2"/>
          <w:sz w:val="32"/>
          <w:szCs w:val="32"/>
          <w:lang w:val="en-US" w:eastAsia="zh-CN" w:bidi="ar-SA"/>
        </w:rPr>
        <w:t>十四、</w:t>
      </w:r>
      <w:r>
        <w:rPr>
          <w:rStyle w:val="11"/>
          <w:rFonts w:ascii="仿宋" w:hAnsi="Cambria" w:eastAsia="仿宋" w:cs="Times New Roman"/>
          <w:b w:val="0"/>
          <w:bCs/>
          <w:i w:val="0"/>
          <w:caps w:val="0"/>
          <w:color w:val="000000"/>
          <w:spacing w:val="0"/>
          <w:w w:val="100"/>
          <w:kern w:val="2"/>
          <w:sz w:val="32"/>
          <w:szCs w:val="32"/>
          <w:lang w:val="en-US" w:eastAsia="zh-CN" w:bidi="ar-SA"/>
        </w:rPr>
        <w:t>国</w:t>
      </w:r>
      <w:r>
        <w:rPr>
          <w:rStyle w:val="18"/>
          <w:rFonts w:ascii="仿宋" w:hAnsi="Cambria" w:eastAsia="仿宋"/>
          <w:b w:val="0"/>
          <w:bCs w:val="0"/>
          <w:i w:val="0"/>
          <w:caps w:val="0"/>
          <w:spacing w:val="0"/>
          <w:w w:val="100"/>
          <w:kern w:val="2"/>
          <w:sz w:val="32"/>
          <w:szCs w:val="32"/>
          <w:lang w:val="en-US" w:eastAsia="zh-CN" w:bidi="ar-SA"/>
        </w:rPr>
        <w:t>有资本经营预算财政拨款支出决算表</w:t>
      </w:r>
    </w:p>
    <w:sectPr>
      <w:footerReference r:id="rId8" w:type="default"/>
      <w:pgSz w:w="11906" w:h="16838"/>
      <w:pgMar w:top="1440" w:right="1800" w:bottom="1440" w:left="1800" w:header="851" w:footer="992" w:gutter="0"/>
      <w:lnNumType w:countBy="0"/>
      <w:pgNumType w:fmt="decimal"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11"/>
        <w:rFonts w:ascii="Calibri" w:hAnsi="Calibri"/>
        <w:kern w:val="0"/>
        <w:sz w:val="18"/>
        <w:szCs w:val="20"/>
        <w:lang w:val="en-US" w:eastAsia="zh-CN" w:bidi="ar-SA"/>
      </w:rPr>
    </w:pPr>
  </w:p>
  <w:p>
    <w:pPr>
      <w:pStyle w:val="4"/>
      <w:widowControl/>
      <w:snapToGrid w:val="0"/>
      <w:jc w:val="left"/>
      <w:textAlignment w:val="baseline"/>
      <w:rPr>
        <w:rStyle w:val="11"/>
        <w:rFonts w:ascii="Calibri" w:hAnsi="Calibri"/>
        <w:kern w:val="0"/>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1"/>
        <w:rFonts w:ascii="Calibri" w:hAnsi="Calibri"/>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11"/>
        <w:rFonts w:ascii="Calibri" w:hAnsi="Calibri"/>
        <w:kern w:val="0"/>
        <w:sz w:val="18"/>
        <w:szCs w:val="20"/>
        <w:lang w:val="en-US" w:eastAsia="zh-CN" w:bidi="ar-SA"/>
      </w:rPr>
    </w:pPr>
  </w:p>
  <w:p>
    <w:pPr>
      <w:pStyle w:val="4"/>
      <w:widowControl/>
      <w:snapToGrid w:val="0"/>
      <w:jc w:val="left"/>
      <w:textAlignment w:val="baseline"/>
      <w:rPr>
        <w:rStyle w:val="11"/>
        <w:rFonts w:ascii="Calibri" w:hAnsi="Calibri"/>
        <w:kern w:val="0"/>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11"/>
        <w:rFonts w:ascii="Calibri" w:hAnsi="Calibri"/>
        <w:kern w:val="0"/>
        <w:sz w:val="18"/>
        <w:szCs w:val="20"/>
        <w:lang w:val="en-US" w:eastAsia="zh-CN" w:bidi="ar-SA"/>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r>
      <w:rPr>
        <w:rStyle w:val="11"/>
        <w:rFonts w:ascii="Calibri" w:hAnsi="Calibri"/>
        <w:kern w:val="0"/>
        <w:sz w:val="18"/>
        <w:szCs w:val="20"/>
        <w:lang w:val="en-US" w:eastAsia="zh-CN" w:bidi="ar-SA"/>
      </w:rPr>
      <w:pict>
        <v:shape id="_x0000_s4098" o:spid="_x0000_s4098" o:spt="202" type="#_x0000_t202" style="position:absolute;left:0pt;margin-top:0pt;height:11pt;width:9.15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4"/>
                  <w:widowControl/>
                  <w:snapToGrid w:val="0"/>
                  <w:jc w:val="center"/>
                  <w:textAlignment w:val="baseline"/>
                  <w:rPr>
                    <w:rStyle w:val="11"/>
                    <w:rFonts w:ascii="Calibri" w:hAnsi="Calibri"/>
                    <w:kern w:val="0"/>
                    <w:sz w:val="18"/>
                    <w:szCs w:val="20"/>
                    <w:lang w:val="en-US" w:eastAsia="zh-CN" w:bidi="ar-SA"/>
                  </w:rPr>
                </w:pPr>
              </w:p>
              <w:p>
                <w:pPr>
                  <w:widowControl/>
                  <w:textAlignment w:val="baseline"/>
                  <w:rPr>
                    <w:rStyle w:val="11"/>
                  </w:rPr>
                </w:pPr>
              </w:p>
            </w:txbxContent>
          </v:textbox>
        </v:shape>
      </w:pict>
    </w:r>
  </w:p>
  <w:p>
    <w:pPr>
      <w:pStyle w:val="4"/>
      <w:widowControl/>
      <w:snapToGrid w:val="0"/>
      <w:jc w:val="left"/>
      <w:textAlignment w:val="baseline"/>
      <w:rPr>
        <w:rStyle w:val="11"/>
        <w:rFonts w:ascii="Calibri" w:hAnsi="Calibri"/>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11"/>
        <w:rFonts w:ascii="Calibri" w:hAnsi="Calibri"/>
        <w:kern w:val="0"/>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single" w:color="000000" w:sz="6" w:space="1"/>
      </w:pBdr>
      <w:snapToGrid w:val="0"/>
      <w:jc w:val="center"/>
      <w:textAlignment w:val="baseline"/>
      <w:rPr>
        <w:rStyle w:val="11"/>
        <w:rFonts w:ascii="Calibri" w:hAnsi="Calibri"/>
        <w:kern w:val="0"/>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A92E3"/>
    <w:multiLevelType w:val="singleLevel"/>
    <w:tmpl w:val="963A92E3"/>
    <w:lvl w:ilvl="0" w:tentative="0">
      <w:start w:val="1"/>
      <w:numFmt w:val="decimal"/>
      <w:suff w:val="nothing"/>
      <w:lvlText w:val="%1、"/>
      <w:lvlJc w:val="left"/>
      <w:pPr>
        <w:widowControl/>
        <w:tabs>
          <w:tab w:val="left" w:pos="0"/>
        </w:tabs>
        <w:ind w:left="0" w:firstLine="0"/>
        <w:textAlignment w:val="baseline"/>
      </w:pPr>
      <w:rPr>
        <w:rStyle w:val="11"/>
      </w:rPr>
    </w:lvl>
  </w:abstractNum>
  <w:abstractNum w:abstractNumId="1">
    <w:nsid w:val="CF652CEC"/>
    <w:multiLevelType w:val="singleLevel"/>
    <w:tmpl w:val="CF652CEC"/>
    <w:lvl w:ilvl="0" w:tentative="0">
      <w:start w:val="9"/>
      <w:numFmt w:val="chineseCounting"/>
      <w:suff w:val="nothing"/>
      <w:lvlText w:val="%1、"/>
      <w:lvlJc w:val="left"/>
      <w:pPr>
        <w:widowControl/>
        <w:tabs>
          <w:tab w:val="left" w:pos="0"/>
        </w:tabs>
        <w:ind w:left="0" w:firstLine="0"/>
        <w:textAlignment w:val="baseline"/>
      </w:pPr>
      <w:rPr>
        <w:rStyle w:val="11"/>
      </w:rPr>
    </w:lvl>
  </w:abstractNum>
  <w:abstractNum w:abstractNumId="2">
    <w:nsid w:val="E2FA047D"/>
    <w:multiLevelType w:val="singleLevel"/>
    <w:tmpl w:val="E2FA047D"/>
    <w:lvl w:ilvl="0" w:tentative="0">
      <w:start w:val="3"/>
      <w:numFmt w:val="chineseCounting"/>
      <w:suff w:val="space"/>
      <w:lvlText w:val="第%1部分"/>
      <w:lvlJc w:val="left"/>
      <w:pPr>
        <w:widowControl/>
        <w:tabs>
          <w:tab w:val="left" w:pos="0"/>
        </w:tabs>
        <w:ind w:left="0" w:firstLine="0"/>
        <w:textAlignment w:val="baseline"/>
      </w:pPr>
      <w:rPr>
        <w:rStyle w:val="11"/>
      </w:rPr>
    </w:lvl>
  </w:abstractNum>
  <w:abstractNum w:abstractNumId="3">
    <w:nsid w:val="1272550B"/>
    <w:multiLevelType w:val="multilevel"/>
    <w:tmpl w:val="1272550B"/>
    <w:lvl w:ilvl="0" w:tentative="0">
      <w:start w:val="1"/>
      <w:numFmt w:val="japaneseCounting"/>
      <w:lvlText w:val="%1、"/>
      <w:lvlJc w:val="left"/>
      <w:pPr>
        <w:widowControl/>
        <w:tabs>
          <w:tab w:val="left" w:pos="0"/>
        </w:tabs>
        <w:ind w:left="1360" w:hanging="720"/>
        <w:textAlignment w:val="baseline"/>
      </w:pPr>
      <w:rPr>
        <w:rStyle w:val="11"/>
        <w:b w:val="0"/>
      </w:rPr>
    </w:lvl>
    <w:lvl w:ilvl="1" w:tentative="0">
      <w:start w:val="1"/>
      <w:numFmt w:val="lowerLetter"/>
      <w:lvlText w:val="%1)"/>
      <w:lvlJc w:val="left"/>
      <w:pPr>
        <w:widowControl/>
        <w:tabs>
          <w:tab w:val="left" w:pos="0"/>
        </w:tabs>
        <w:ind w:left="1480" w:hanging="420"/>
        <w:textAlignment w:val="baseline"/>
      </w:pPr>
      <w:rPr>
        <w:rStyle w:val="11"/>
      </w:rPr>
    </w:lvl>
    <w:lvl w:ilvl="2" w:tentative="0">
      <w:start w:val="1"/>
      <w:numFmt w:val="lowerRoman"/>
      <w:lvlText w:val="%1."/>
      <w:lvlJc w:val="right"/>
      <w:pPr>
        <w:widowControl/>
        <w:tabs>
          <w:tab w:val="left" w:pos="0"/>
        </w:tabs>
        <w:ind w:left="1900" w:hanging="420"/>
        <w:textAlignment w:val="baseline"/>
      </w:pPr>
      <w:rPr>
        <w:rStyle w:val="11"/>
      </w:rPr>
    </w:lvl>
    <w:lvl w:ilvl="3" w:tentative="0">
      <w:start w:val="1"/>
      <w:numFmt w:val="decimal"/>
      <w:lvlText w:val="%1."/>
      <w:lvlJc w:val="left"/>
      <w:pPr>
        <w:widowControl/>
        <w:tabs>
          <w:tab w:val="left" w:pos="0"/>
        </w:tabs>
        <w:ind w:left="2320" w:hanging="420"/>
        <w:textAlignment w:val="baseline"/>
      </w:pPr>
      <w:rPr>
        <w:rStyle w:val="11"/>
      </w:rPr>
    </w:lvl>
    <w:lvl w:ilvl="4" w:tentative="0">
      <w:start w:val="1"/>
      <w:numFmt w:val="lowerLetter"/>
      <w:lvlText w:val="%1)"/>
      <w:lvlJc w:val="left"/>
      <w:pPr>
        <w:widowControl/>
        <w:tabs>
          <w:tab w:val="left" w:pos="0"/>
        </w:tabs>
        <w:ind w:left="2740" w:hanging="420"/>
        <w:textAlignment w:val="baseline"/>
      </w:pPr>
      <w:rPr>
        <w:rStyle w:val="11"/>
      </w:rPr>
    </w:lvl>
    <w:lvl w:ilvl="5" w:tentative="0">
      <w:start w:val="1"/>
      <w:numFmt w:val="lowerRoman"/>
      <w:lvlText w:val="%1."/>
      <w:lvlJc w:val="right"/>
      <w:pPr>
        <w:widowControl/>
        <w:tabs>
          <w:tab w:val="left" w:pos="0"/>
        </w:tabs>
        <w:ind w:left="3160" w:hanging="420"/>
        <w:textAlignment w:val="baseline"/>
      </w:pPr>
      <w:rPr>
        <w:rStyle w:val="11"/>
      </w:rPr>
    </w:lvl>
    <w:lvl w:ilvl="6" w:tentative="0">
      <w:start w:val="1"/>
      <w:numFmt w:val="decimal"/>
      <w:lvlText w:val="%1."/>
      <w:lvlJc w:val="left"/>
      <w:pPr>
        <w:widowControl/>
        <w:tabs>
          <w:tab w:val="left" w:pos="0"/>
        </w:tabs>
        <w:ind w:left="3580" w:hanging="420"/>
        <w:textAlignment w:val="baseline"/>
      </w:pPr>
      <w:rPr>
        <w:rStyle w:val="11"/>
      </w:rPr>
    </w:lvl>
    <w:lvl w:ilvl="7" w:tentative="0">
      <w:start w:val="1"/>
      <w:numFmt w:val="lowerLetter"/>
      <w:lvlText w:val="%1)"/>
      <w:lvlJc w:val="left"/>
      <w:pPr>
        <w:widowControl/>
        <w:tabs>
          <w:tab w:val="left" w:pos="0"/>
        </w:tabs>
        <w:ind w:left="4000" w:hanging="420"/>
        <w:textAlignment w:val="baseline"/>
      </w:pPr>
      <w:rPr>
        <w:rStyle w:val="11"/>
      </w:rPr>
    </w:lvl>
    <w:lvl w:ilvl="8" w:tentative="0">
      <w:start w:val="1"/>
      <w:numFmt w:val="lowerRoman"/>
      <w:lvlText w:val="%1."/>
      <w:lvlJc w:val="right"/>
      <w:pPr>
        <w:widowControl/>
        <w:tabs>
          <w:tab w:val="left" w:pos="0"/>
        </w:tabs>
        <w:ind w:left="4420" w:hanging="420"/>
        <w:textAlignment w:val="baseline"/>
      </w:pPr>
      <w:rPr>
        <w:rStyle w:val="11"/>
      </w:rPr>
    </w:lvl>
  </w:abstractNum>
  <w:abstractNum w:abstractNumId="4">
    <w:nsid w:val="1618D624"/>
    <w:multiLevelType w:val="singleLevel"/>
    <w:tmpl w:val="1618D624"/>
    <w:lvl w:ilvl="0" w:tentative="0">
      <w:start w:val="2"/>
      <w:numFmt w:val="chineseCounting"/>
      <w:suff w:val="nothing"/>
      <w:lvlText w:val="%1、"/>
      <w:lvlJc w:val="left"/>
      <w:pPr>
        <w:widowControl/>
        <w:tabs>
          <w:tab w:val="left" w:pos="0"/>
        </w:tabs>
        <w:ind w:left="0" w:firstLine="0"/>
        <w:textAlignment w:val="baseline"/>
      </w:pPr>
      <w:rPr>
        <w:rStyle w:val="11"/>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jAzYTQzOGRjYzVjOGZiYTk4YTIyZDYxOTk3YTcxMjkifQ=="/>
  </w:docVars>
  <w:rsids>
    <w:rsidRoot w:val="00000000"/>
    <w:rsid w:val="2BD870AF"/>
    <w:rsid w:val="313232A4"/>
    <w:rsid w:val="6B706C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jc w:val="both"/>
      <w:textAlignment w:val="baseline"/>
    </w:pPr>
    <w:rPr>
      <w:rFonts w:ascii="Times New Roman" w:hAnsi="Times New Roman" w:eastAsia="方正小标宋简体"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before="30"/>
      <w:jc w:val="both"/>
      <w:textAlignment w:val="baseline"/>
    </w:pPr>
    <w:rPr>
      <w:rFonts w:ascii="仿宋_GB2312" w:eastAsia="仿宋_GB2312"/>
      <w:kern w:val="0"/>
      <w:sz w:val="24"/>
      <w:szCs w:val="20"/>
      <w:lang w:val="en-US" w:eastAsia="zh-CN" w:bidi="ar-SA"/>
    </w:rPr>
  </w:style>
  <w:style w:type="paragraph" w:styleId="3">
    <w:name w:val="Salutation"/>
    <w:basedOn w:val="1"/>
    <w:next w:val="1"/>
    <w:qFormat/>
    <w:uiPriority w:val="0"/>
    <w:pPr>
      <w:jc w:val="both"/>
      <w:textAlignment w:val="baseline"/>
    </w:pPr>
    <w:rPr>
      <w:rFonts w:ascii="Times New Roman" w:hAnsi="Times New Roman"/>
      <w:kern w:val="2"/>
      <w:sz w:val="21"/>
      <w:szCs w:val="20"/>
      <w:lang w:val="en-US" w:eastAsia="zh-CN" w:bidi="ar-SA"/>
    </w:rPr>
  </w:style>
  <w:style w:type="paragraph" w:styleId="4">
    <w:name w:val="footer"/>
    <w:basedOn w:val="1"/>
    <w:qFormat/>
    <w:uiPriority w:val="0"/>
    <w:pPr>
      <w:tabs>
        <w:tab w:val="center" w:pos="4153"/>
        <w:tab w:val="right" w:pos="8306"/>
      </w:tabs>
      <w:snapToGrid w:val="0"/>
      <w:jc w:val="left"/>
      <w:textAlignment w:val="baseline"/>
    </w:pPr>
    <w:rPr>
      <w:rFonts w:ascii="Calibri" w:hAnsi="Calibri"/>
      <w:kern w:val="0"/>
      <w:sz w:val="18"/>
      <w:szCs w:val="20"/>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kern w:val="0"/>
      <w:sz w:val="18"/>
      <w:szCs w:val="20"/>
      <w:lang w:val="en-US" w:eastAsia="zh-CN" w:bidi="ar-SA"/>
    </w:rPr>
  </w:style>
  <w:style w:type="paragraph" w:styleId="6">
    <w:name w:val="toc 1"/>
    <w:basedOn w:val="1"/>
    <w:next w:val="1"/>
    <w:uiPriority w:val="0"/>
  </w:style>
  <w:style w:type="paragraph" w:styleId="7">
    <w:name w:val="toc 2"/>
    <w:basedOn w:val="1"/>
    <w:next w:val="1"/>
    <w:uiPriority w:val="0"/>
    <w:pPr>
      <w:ind w:left="420" w:leftChars="200"/>
    </w:pPr>
  </w:style>
  <w:style w:type="character" w:styleId="10">
    <w:name w:val="Strong"/>
    <w:basedOn w:val="11"/>
    <w:link w:val="1"/>
    <w:qFormat/>
    <w:uiPriority w:val="0"/>
    <w:rPr>
      <w:b/>
      <w:lang w:bidi="ar-SA"/>
    </w:rPr>
  </w:style>
  <w:style w:type="character" w:customStyle="1" w:styleId="11">
    <w:name w:val="NormalCharacter"/>
    <w:link w:val="1"/>
    <w:qFormat/>
    <w:uiPriority w:val="0"/>
  </w:style>
  <w:style w:type="character" w:styleId="12">
    <w:name w:val="Hyperlink"/>
    <w:basedOn w:val="11"/>
    <w:link w:val="1"/>
    <w:qFormat/>
    <w:uiPriority w:val="0"/>
    <w:rPr>
      <w:color w:val="0000FF"/>
      <w:u w:val="single"/>
      <w:lang w:bidi="ar-SA"/>
    </w:rPr>
  </w:style>
  <w:style w:type="paragraph" w:customStyle="1" w:styleId="13">
    <w:name w:val="Heading1"/>
    <w:basedOn w:val="1"/>
    <w:next w:val="1"/>
    <w:link w:val="17"/>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14">
    <w:name w:val="Heading2"/>
    <w:basedOn w:val="1"/>
    <w:next w:val="1"/>
    <w:link w:val="18"/>
    <w:qFormat/>
    <w:uiPriority w:val="0"/>
    <w:pPr>
      <w:keepNext/>
      <w:keepLines/>
      <w:spacing w:before="260" w:after="260" w:line="415" w:lineRule="auto"/>
      <w:jc w:val="both"/>
      <w:textAlignment w:val="baseline"/>
    </w:pPr>
    <w:rPr>
      <w:rFonts w:ascii="Cambria" w:hAnsi="Cambria" w:cs="Times New Roman"/>
      <w:b/>
      <w:bCs/>
      <w:kern w:val="2"/>
      <w:sz w:val="32"/>
      <w:szCs w:val="32"/>
      <w:lang w:val="en-US" w:eastAsia="zh-CN" w:bidi="ar-SA"/>
    </w:rPr>
  </w:style>
  <w:style w:type="paragraph" w:customStyle="1" w:styleId="15">
    <w:name w:val="Heading3"/>
    <w:basedOn w:val="1"/>
    <w:next w:val="1"/>
    <w:qFormat/>
    <w:uiPriority w:val="0"/>
    <w:pPr>
      <w:keepNext/>
      <w:keepLines/>
      <w:spacing w:before="260" w:after="260" w:line="415" w:lineRule="auto"/>
      <w:jc w:val="both"/>
      <w:textAlignment w:val="baseline"/>
    </w:pPr>
    <w:rPr>
      <w:rFonts w:cs="Times New Roman"/>
      <w:b/>
      <w:bCs/>
      <w:kern w:val="2"/>
      <w:sz w:val="32"/>
      <w:szCs w:val="32"/>
      <w:lang w:val="en-US" w:eastAsia="zh-CN" w:bidi="ar-SA"/>
    </w:rPr>
  </w:style>
  <w:style w:type="table" w:customStyle="1" w:styleId="16">
    <w:name w:val="TableNormal"/>
    <w:semiHidden/>
    <w:qFormat/>
    <w:uiPriority w:val="0"/>
  </w:style>
  <w:style w:type="character" w:customStyle="1" w:styleId="17">
    <w:name w:val="UserStyle_0"/>
    <w:basedOn w:val="11"/>
    <w:link w:val="13"/>
    <w:qFormat/>
    <w:uiPriority w:val="0"/>
    <w:rPr>
      <w:rFonts w:ascii="Times New Roman" w:hAnsi="Times New Roman" w:eastAsia="方正小标宋简体" w:cs="Times New Roman"/>
      <w:b/>
      <w:bCs/>
      <w:kern w:val="44"/>
      <w:sz w:val="44"/>
      <w:szCs w:val="44"/>
    </w:rPr>
  </w:style>
  <w:style w:type="character" w:customStyle="1" w:styleId="18">
    <w:name w:val="UserStyle_1"/>
    <w:basedOn w:val="11"/>
    <w:link w:val="14"/>
    <w:qFormat/>
    <w:uiPriority w:val="0"/>
    <w:rPr>
      <w:rFonts w:ascii="Cambria" w:hAnsi="Cambria" w:eastAsia="方正小标宋简体" w:cs="Times New Roman"/>
      <w:b/>
      <w:bCs/>
      <w:kern w:val="2"/>
      <w:sz w:val="32"/>
      <w:szCs w:val="32"/>
    </w:rPr>
  </w:style>
  <w:style w:type="paragraph" w:customStyle="1" w:styleId="19">
    <w:name w:val="BodyTextIndent"/>
    <w:basedOn w:val="1"/>
    <w:next w:val="20"/>
    <w:qFormat/>
    <w:uiPriority w:val="0"/>
    <w:pPr>
      <w:pBdr>
        <w:top w:val="none" w:color="auto" w:sz="0" w:space="0"/>
        <w:left w:val="none" w:color="auto" w:sz="0" w:space="0"/>
        <w:bottom w:val="none" w:color="auto" w:sz="0" w:space="0"/>
        <w:right w:val="none" w:color="auto" w:sz="0" w:space="0"/>
      </w:pBdr>
      <w:kinsoku/>
      <w:wordWrap/>
      <w:overflowPunct/>
      <w:autoSpaceDE/>
      <w:autoSpaceDN/>
      <w:bidi w:val="0"/>
      <w:spacing w:before="0" w:after="0" w:line="240" w:lineRule="auto"/>
      <w:ind w:left="0" w:right="0" w:firstLine="643"/>
      <w:jc w:val="both"/>
      <w:textAlignment w:val="auto"/>
    </w:pPr>
    <w:rPr>
      <w:rFonts w:ascii="Times New Roman" w:hAnsi="Times New Roman" w:eastAsia="仿宋_GB2312"/>
      <w:b/>
      <w:color w:val="000000"/>
      <w:kern w:val="2"/>
      <w:position w:val="0"/>
      <w:sz w:val="32"/>
      <w:szCs w:val="24"/>
      <w:lang w:val="en-US" w:eastAsia="zh-CN" w:bidi="ar-SA"/>
    </w:rPr>
  </w:style>
  <w:style w:type="paragraph" w:customStyle="1" w:styleId="20">
    <w:name w:val="BodyText1I2"/>
    <w:basedOn w:val="19"/>
    <w:next w:val="1"/>
    <w:qFormat/>
    <w:uiPriority w:val="0"/>
    <w:pPr>
      <w:pBdr>
        <w:top w:val="none" w:color="auto" w:sz="0" w:space="0"/>
        <w:left w:val="none" w:color="auto" w:sz="0" w:space="0"/>
        <w:bottom w:val="none" w:color="auto" w:sz="0" w:space="0"/>
        <w:right w:val="none" w:color="auto" w:sz="0" w:space="0"/>
      </w:pBdr>
      <w:kinsoku/>
      <w:wordWrap/>
      <w:overflowPunct/>
      <w:autoSpaceDE/>
      <w:autoSpaceDN/>
      <w:bidi w:val="0"/>
      <w:spacing w:before="0" w:after="0" w:line="240" w:lineRule="auto"/>
      <w:ind w:left="0" w:right="0" w:firstLine="200" w:firstLineChars="200"/>
      <w:jc w:val="both"/>
      <w:textAlignment w:val="auto"/>
    </w:pPr>
  </w:style>
  <w:style w:type="paragraph" w:customStyle="1" w:styleId="21">
    <w:name w:val="TOC3"/>
    <w:basedOn w:val="1"/>
    <w:next w:val="1"/>
    <w:qFormat/>
    <w:uiPriority w:val="0"/>
    <w:pPr>
      <w:tabs>
        <w:tab w:val="right" w:leader="dot" w:pos="8296"/>
      </w:tabs>
      <w:ind w:left="400" w:leftChars="400"/>
      <w:jc w:val="both"/>
      <w:textAlignment w:val="baseline"/>
    </w:pPr>
  </w:style>
  <w:style w:type="paragraph" w:customStyle="1" w:styleId="22">
    <w:name w:val="Acetate"/>
    <w:basedOn w:val="1"/>
    <w:qFormat/>
    <w:uiPriority w:val="0"/>
    <w:pPr>
      <w:jc w:val="both"/>
      <w:textAlignment w:val="baseline"/>
    </w:pPr>
    <w:rPr>
      <w:kern w:val="2"/>
      <w:sz w:val="18"/>
      <w:szCs w:val="18"/>
      <w:lang w:val="en-US" w:eastAsia="zh-CN" w:bidi="ar-SA"/>
    </w:rPr>
  </w:style>
  <w:style w:type="paragraph" w:customStyle="1" w:styleId="23">
    <w:name w:val="TOC1"/>
    <w:basedOn w:val="1"/>
    <w:next w:val="1"/>
    <w:qFormat/>
    <w:uiPriority w:val="0"/>
    <w:pPr>
      <w:tabs>
        <w:tab w:val="right" w:leader="dot" w:pos="8296"/>
      </w:tabs>
      <w:spacing w:before="93"/>
      <w:jc w:val="center"/>
      <w:textAlignment w:val="baseline"/>
    </w:pPr>
    <w:rPr>
      <w:rFonts w:ascii="仿宋" w:eastAsia="仿宋"/>
      <w:kern w:val="2"/>
      <w:sz w:val="28"/>
      <w:szCs w:val="28"/>
      <w:lang w:val="en-US" w:eastAsia="zh-CN" w:bidi="ar-SA"/>
    </w:rPr>
  </w:style>
  <w:style w:type="paragraph" w:customStyle="1" w:styleId="24">
    <w:name w:val="TOC2"/>
    <w:basedOn w:val="1"/>
    <w:next w:val="1"/>
    <w:qFormat/>
    <w:uiPriority w:val="0"/>
    <w:pPr>
      <w:tabs>
        <w:tab w:val="right" w:leader="dot" w:pos="8296"/>
      </w:tabs>
      <w:ind w:left="200" w:leftChars="200"/>
      <w:jc w:val="both"/>
      <w:textAlignment w:val="baseline"/>
    </w:pPr>
  </w:style>
  <w:style w:type="paragraph" w:customStyle="1" w:styleId="25">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26">
    <w:name w:val="UserStyle_2"/>
    <w:basedOn w:val="11"/>
    <w:link w:val="1"/>
    <w:uiPriority w:val="0"/>
    <w:rPr>
      <w:rFonts w:ascii="Times New Roman" w:hAnsi="Times New Roman"/>
      <w:sz w:val="18"/>
      <w:szCs w:val="18"/>
      <w:lang w:bidi="ar-SA"/>
    </w:rPr>
  </w:style>
  <w:style w:type="character" w:customStyle="1" w:styleId="27">
    <w:name w:val="UserStyle_3"/>
    <w:basedOn w:val="11"/>
    <w:link w:val="1"/>
    <w:uiPriority w:val="0"/>
    <w:rPr>
      <w:rFonts w:ascii="Times New Roman" w:hAnsi="Times New Roman"/>
      <w:sz w:val="24"/>
      <w:szCs w:val="24"/>
      <w:lang w:bidi="ar-SA"/>
    </w:rPr>
  </w:style>
  <w:style w:type="character" w:customStyle="1" w:styleId="28">
    <w:name w:val="UserStyle_4"/>
    <w:basedOn w:val="11"/>
    <w:link w:val="1"/>
    <w:uiPriority w:val="0"/>
    <w:rPr>
      <w:rFonts w:ascii="Times New Roman" w:hAnsi="Times New Roman"/>
      <w:sz w:val="18"/>
      <w:szCs w:val="18"/>
      <w:lang w:bidi="ar-SA"/>
    </w:rPr>
  </w:style>
  <w:style w:type="paragraph" w:customStyle="1" w:styleId="29">
    <w:name w:val="UserStyle_5"/>
    <w:uiPriority w:val="0"/>
    <w:pPr>
      <w:widowControl/>
      <w:jc w:val="both"/>
      <w:textAlignment w:val="baseline"/>
    </w:pPr>
    <w:rPr>
      <w:rFonts w:ascii="Times New Roman" w:hAnsi="Times New Roman" w:eastAsia="宋体" w:cstheme="minorBidi"/>
      <w:kern w:val="2"/>
      <w:sz w:val="21"/>
      <w:szCs w:val="21"/>
      <w:lang w:val="en-US" w:eastAsia="zh-CN" w:bidi="ar-SA"/>
    </w:rPr>
  </w:style>
  <w:style w:type="paragraph" w:customStyle="1" w:styleId="30">
    <w:name w:val="UserStyle_6"/>
    <w:basedOn w:val="13"/>
    <w:next w:val="1"/>
    <w:uiPriority w:val="0"/>
    <w:pPr>
      <w:keepNext/>
      <w:keepLines/>
      <w:widowControl/>
      <w:spacing w:before="480" w:after="0" w:line="276" w:lineRule="auto"/>
      <w:jc w:val="left"/>
      <w:textAlignment w:val="baseline"/>
    </w:pPr>
    <w:rPr>
      <w:rFonts w:ascii="Cambria" w:hAnsi="Cambria" w:cs="Times New Roman"/>
      <w:color w:val="365F91"/>
      <w:kern w:val="0"/>
      <w:sz w:val="28"/>
      <w:szCs w:val="28"/>
      <w:lang w:val="en-US" w:eastAsia="zh-CN" w:bidi="ar-SA"/>
    </w:rPr>
  </w:style>
  <w:style w:type="paragraph" w:customStyle="1" w:styleId="31">
    <w:name w:val="UserStyle_7"/>
    <w:uiPriority w:val="0"/>
    <w:pPr>
      <w:textAlignment w:val="baseline"/>
    </w:pPr>
    <w:rPr>
      <w:rFonts w:ascii="仿宋" w:hAnsi="Times New Roman" w:eastAsia="仿宋" w:cstheme="minorBidi"/>
      <w:color w:val="000000"/>
      <w:sz w:val="24"/>
      <w:szCs w:val="24"/>
      <w:lang w:val="en-US" w:eastAsia="zh-CN" w:bidi="ar-SA"/>
    </w:rPr>
  </w:style>
  <w:style w:type="paragraph" w:customStyle="1" w:styleId="32">
    <w:name w:val="UserStyle_8"/>
    <w:basedOn w:val="1"/>
    <w:uiPriority w:val="0"/>
    <w:pPr>
      <w:ind w:firstLine="200" w:firstLineChars="200"/>
      <w:jc w:val="both"/>
      <w:textAlignment w:val="baseline"/>
    </w:pPr>
  </w:style>
  <w:style w:type="paragraph" w:customStyle="1" w:styleId="33">
    <w:name w:val="UserStyle_9"/>
    <w:basedOn w:val="13"/>
    <w:next w:val="1"/>
    <w:uiPriority w:val="0"/>
    <w:pPr>
      <w:keepNext/>
      <w:keepLines/>
      <w:widowControl/>
      <w:spacing w:before="480" w:after="0" w:line="276" w:lineRule="auto"/>
      <w:jc w:val="left"/>
      <w:textAlignment w:val="baseline"/>
    </w:pPr>
    <w:rPr>
      <w:rFonts w:ascii="Cambria" w:hAnsi="Cambria" w:cs="Times New Roman"/>
      <w:color w:val="365F91"/>
      <w:kern w:val="0"/>
      <w:sz w:val="28"/>
      <w:szCs w:val="28"/>
      <w:lang w:val="en-US" w:eastAsia="zh-CN" w:bidi="ar-SA"/>
    </w:rPr>
  </w:style>
  <w:style w:type="paragraph" w:customStyle="1" w:styleId="34">
    <w:name w:val="UserStyle_10"/>
    <w:uiPriority w:val="0"/>
    <w:pPr>
      <w:widowControl/>
      <w:textAlignment w:val="baseline"/>
    </w:pPr>
    <w:rPr>
      <w:rFonts w:ascii="Times New Roman" w:hAnsi="Times New Roman" w:eastAsia="方正小标宋简体" w:cstheme="minorBidi"/>
      <w:lang w:val="en-US" w:eastAsia="zh-CN" w:bidi="ar-SA"/>
    </w:rPr>
  </w:style>
  <w:style w:type="paragraph" w:customStyle="1" w:styleId="35">
    <w:name w:val="UserStyle_11"/>
    <w:uiPriority w:val="0"/>
    <w:pPr>
      <w:widowControl/>
      <w:ind w:left="200" w:leftChars="200"/>
      <w:textAlignment w:val="baseline"/>
    </w:pPr>
    <w:rPr>
      <w:rFonts w:ascii="Times New Roman" w:hAnsi="Times New Roman" w:eastAsia="方正小标宋简体" w:cstheme="minorBidi"/>
      <w:lang w:val="en-US" w:eastAsia="zh-CN" w:bidi="ar-SA"/>
    </w:rPr>
  </w:style>
  <w:style w:type="paragraph" w:customStyle="1" w:styleId="36">
    <w:name w:val="UserStyle_12"/>
    <w:basedOn w:val="1"/>
    <w:uiPriority w:val="0"/>
    <w:pPr>
      <w:ind w:firstLine="420" w:firstLineChars="200"/>
      <w:jc w:val="both"/>
      <w:textAlignment w:val="baseline"/>
    </w:pPr>
    <w:rPr>
      <w:rFonts w:eastAsia="宋体"/>
      <w:kern w:val="2"/>
      <w:sz w:val="21"/>
      <w:szCs w:val="24"/>
      <w:lang w:val="en-US" w:eastAsia="zh-CN" w:bidi="ar-SA"/>
    </w:rPr>
  </w:style>
  <w:style w:type="paragraph" w:customStyle="1" w:styleId="37">
    <w:name w:val="WPSOffice手动目录 1"/>
    <w:uiPriority w:val="0"/>
    <w:pPr>
      <w:ind w:leftChars="0"/>
    </w:pPr>
    <w:rPr>
      <w:rFonts w:ascii="Times New Roman" w:hAnsi="Times New Roman" w:eastAsia="方正小标宋简体" w:cstheme="minorBidi"/>
      <w:sz w:val="20"/>
      <w:szCs w:val="20"/>
    </w:rPr>
  </w:style>
  <w:style w:type="paragraph" w:customStyle="1" w:styleId="38">
    <w:name w:val="WPSOffice手动目录 2"/>
    <w:uiPriority w:val="0"/>
    <w:pPr>
      <w:ind w:leftChars="200"/>
    </w:pPr>
    <w:rPr>
      <w:rFonts w:ascii="Times New Roman" w:hAnsi="Times New Roman" w:eastAsia="方正小标宋简体"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10583</Words>
  <Characters>11367</Characters>
  <TotalTime>6</TotalTime>
  <ScaleCrop>false</ScaleCrop>
  <LinksUpToDate>false</LinksUpToDate>
  <CharactersWithSpaces>11556</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2022-09-28T09:18:00Z</dcterms:created>
  <dc:creator>Administrator</dc:creator>
  <cp:lastModifiedBy>viky</cp:lastModifiedBy>
  <dcterms:modified xsi:type="dcterms:W3CDTF">2022-09-28T09:46:10Z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2770191B600E4DB7A2F78680A39D794E</vt:lpwstr>
  </property>
</Properties>
</file>