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A05990">
      <w:pPr>
        <w:snapToGrid/>
        <w:spacing w:before="0" w:beforeAutospacing="0" w:after="0" w:afterAutospacing="0" w:line="600" w:lineRule="exact"/>
        <w:jc w:val="center"/>
        <w:textAlignment w:val="baseline"/>
        <w:rPr>
          <w:rStyle w:val="10"/>
          <w:rFonts w:ascii="方正小标宋简体" w:hAnsi="宋体" w:eastAsia="方正小标宋简体"/>
          <w:b w:val="0"/>
          <w:i w:val="0"/>
          <w:caps w:val="0"/>
          <w:color w:val="000000"/>
          <w:spacing w:val="0"/>
          <w:w w:val="100"/>
          <w:kern w:val="2"/>
          <w:sz w:val="72"/>
          <w:szCs w:val="72"/>
          <w:lang w:val="en-US" w:eastAsia="zh-CN" w:bidi="ar-SA"/>
        </w:rPr>
      </w:pPr>
      <w:bookmarkStart w:id="33" w:name="_GoBack"/>
      <w:bookmarkEnd w:id="33"/>
    </w:p>
    <w:p w14:paraId="0924B903">
      <w:pPr>
        <w:snapToGrid/>
        <w:spacing w:before="0" w:beforeAutospacing="0" w:after="0" w:afterAutospacing="0" w:line="600" w:lineRule="exact"/>
        <w:jc w:val="center"/>
        <w:textAlignment w:val="baseline"/>
        <w:rPr>
          <w:rStyle w:val="10"/>
          <w:rFonts w:ascii="方正小标宋简体" w:hAnsi="宋体" w:eastAsia="方正小标宋简体"/>
          <w:b w:val="0"/>
          <w:i w:val="0"/>
          <w:caps w:val="0"/>
          <w:color w:val="000000"/>
          <w:spacing w:val="0"/>
          <w:w w:val="100"/>
          <w:kern w:val="2"/>
          <w:sz w:val="72"/>
          <w:szCs w:val="72"/>
          <w:lang w:val="en-US" w:eastAsia="zh-CN" w:bidi="ar-SA"/>
        </w:rPr>
      </w:pPr>
    </w:p>
    <w:p w14:paraId="6855CB17">
      <w:pPr>
        <w:snapToGrid w:val="0"/>
        <w:spacing w:before="0" w:beforeAutospacing="0" w:after="0" w:afterAutospacing="0" w:line="360" w:lineRule="auto"/>
        <w:jc w:val="center"/>
        <w:textAlignment w:val="baseline"/>
        <w:rPr>
          <w:rStyle w:val="10"/>
          <w:rFonts w:ascii="黑体" w:hAnsi="黑体" w:eastAsia="黑体"/>
          <w:b w:val="0"/>
          <w:i w:val="0"/>
          <w:caps w:val="0"/>
          <w:color w:val="000000"/>
          <w:spacing w:val="0"/>
          <w:w w:val="100"/>
          <w:kern w:val="2"/>
          <w:sz w:val="72"/>
          <w:szCs w:val="72"/>
          <w:lang w:val="en-US" w:eastAsia="zh-CN" w:bidi="ar-SA"/>
        </w:rPr>
      </w:pPr>
    </w:p>
    <w:p w14:paraId="677F80F7">
      <w:pPr>
        <w:snapToGrid w:val="0"/>
        <w:spacing w:before="0" w:beforeAutospacing="0" w:after="0" w:afterAutospacing="0" w:line="360" w:lineRule="auto"/>
        <w:jc w:val="center"/>
        <w:textAlignment w:val="baseline"/>
        <w:rPr>
          <w:rStyle w:val="10"/>
          <w:rFonts w:ascii="黑体" w:hAnsi="黑体" w:eastAsia="黑体"/>
          <w:b w:val="0"/>
          <w:i w:val="0"/>
          <w:caps w:val="0"/>
          <w:color w:val="000000"/>
          <w:spacing w:val="0"/>
          <w:w w:val="100"/>
          <w:kern w:val="2"/>
          <w:sz w:val="72"/>
          <w:szCs w:val="72"/>
          <w:lang w:val="en-US" w:eastAsia="zh-CN" w:bidi="ar-SA"/>
        </w:rPr>
      </w:pPr>
    </w:p>
    <w:p w14:paraId="02E48BD0">
      <w:pPr>
        <w:snapToGrid w:val="0"/>
        <w:spacing w:before="0" w:beforeAutospacing="0" w:after="0" w:afterAutospacing="0" w:line="360" w:lineRule="auto"/>
        <w:jc w:val="center"/>
        <w:textAlignment w:val="baseline"/>
        <w:rPr>
          <w:rStyle w:val="10"/>
          <w:rFonts w:ascii="方正小标宋简体" w:hAnsi="宋体" w:eastAsia="方正小标宋简体"/>
          <w:b w:val="0"/>
          <w:i w:val="0"/>
          <w:caps w:val="0"/>
          <w:color w:val="000000"/>
          <w:spacing w:val="0"/>
          <w:w w:val="100"/>
          <w:kern w:val="2"/>
          <w:sz w:val="72"/>
          <w:szCs w:val="72"/>
          <w:lang w:val="en-US" w:eastAsia="zh-CN" w:bidi="ar-SA"/>
        </w:rPr>
      </w:pPr>
      <w:r>
        <w:rPr>
          <w:rStyle w:val="10"/>
          <w:rFonts w:ascii="黑体" w:hAnsi="黑体" w:eastAsia="黑体"/>
          <w:b w:val="0"/>
          <w:i w:val="0"/>
          <w:caps w:val="0"/>
          <w:color w:val="000000"/>
          <w:spacing w:val="0"/>
          <w:w w:val="100"/>
          <w:kern w:val="2"/>
          <w:sz w:val="72"/>
          <w:szCs w:val="72"/>
          <w:lang w:val="en-US" w:eastAsia="zh-CN" w:bidi="ar-SA"/>
        </w:rPr>
        <w:t>2020</w:t>
      </w:r>
      <w:r>
        <w:rPr>
          <w:rStyle w:val="10"/>
          <w:rFonts w:ascii="方正小标宋简体" w:hAnsi="宋体" w:eastAsia="方正小标宋简体"/>
          <w:b w:val="0"/>
          <w:i w:val="0"/>
          <w:caps w:val="0"/>
          <w:color w:val="000000"/>
          <w:spacing w:val="0"/>
          <w:w w:val="100"/>
          <w:kern w:val="2"/>
          <w:sz w:val="72"/>
          <w:szCs w:val="72"/>
          <w:lang w:val="en-US" w:eastAsia="zh-CN" w:bidi="ar-SA"/>
        </w:rPr>
        <w:t>年度</w:t>
      </w:r>
    </w:p>
    <w:p w14:paraId="047E59AB">
      <w:pPr>
        <w:snapToGrid w:val="0"/>
        <w:spacing w:before="0" w:beforeAutospacing="0" w:after="0" w:afterAutospacing="0" w:line="360" w:lineRule="auto"/>
        <w:jc w:val="center"/>
        <w:textAlignment w:val="baseline"/>
        <w:outlineLvl w:val="0"/>
        <w:rPr>
          <w:rStyle w:val="10"/>
          <w:rFonts w:ascii="方正小标宋简体" w:hAnsi="宋体" w:eastAsia="方正小标宋简体"/>
          <w:b w:val="0"/>
          <w:i w:val="0"/>
          <w:caps w:val="0"/>
          <w:color w:val="000000"/>
          <w:spacing w:val="0"/>
          <w:w w:val="100"/>
          <w:kern w:val="2"/>
          <w:sz w:val="72"/>
          <w:szCs w:val="72"/>
          <w:lang w:val="en-US" w:eastAsia="zh-CN" w:bidi="ar-SA"/>
        </w:rPr>
      </w:pPr>
      <w:bookmarkStart w:id="0" w:name="_Toc27964"/>
      <w:r>
        <w:rPr>
          <w:rStyle w:val="10"/>
          <w:rFonts w:ascii="方正小标宋简体" w:hAnsi="宋体" w:eastAsia="方正小标宋简体"/>
          <w:b w:val="0"/>
          <w:i w:val="0"/>
          <w:caps w:val="0"/>
          <w:color w:val="000000"/>
          <w:spacing w:val="0"/>
          <w:w w:val="100"/>
          <w:kern w:val="2"/>
          <w:sz w:val="72"/>
          <w:szCs w:val="72"/>
          <w:lang w:val="en-US" w:eastAsia="zh-CN" w:bidi="ar-SA"/>
        </w:rPr>
        <w:t>四川省广元市昭化区卫生健康局部门决算</w:t>
      </w:r>
      <w:bookmarkEnd w:id="0"/>
    </w:p>
    <w:p w14:paraId="5B78C7DD">
      <w:pPr>
        <w:widowControl/>
        <w:snapToGrid/>
        <w:spacing w:before="0" w:beforeAutospacing="0" w:after="0" w:afterAutospacing="0" w:line="240" w:lineRule="auto"/>
        <w:jc w:val="center"/>
        <w:textAlignment w:val="baseline"/>
        <w:rPr>
          <w:rStyle w:val="10"/>
          <w:rFonts w:ascii="黑体" w:hAnsi="黑体" w:eastAsia="黑体"/>
          <w:b w:val="0"/>
          <w:i w:val="0"/>
          <w:caps w:val="0"/>
          <w:color w:val="000000"/>
          <w:spacing w:val="0"/>
          <w:w w:val="100"/>
          <w:kern w:val="2"/>
          <w:sz w:val="48"/>
          <w:szCs w:val="48"/>
          <w:lang w:val="en-US" w:eastAsia="zh-CN" w:bidi="ar-SA"/>
        </w:rPr>
        <w:sectPr>
          <w:headerReference r:id="rId3" w:type="default"/>
          <w:footerReference r:id="rId4" w:type="default"/>
          <w:pgSz w:w="11906" w:h="16838"/>
          <w:pgMar w:top="1440" w:right="1800" w:bottom="1440" w:left="1800" w:header="851" w:footer="992" w:gutter="0"/>
          <w:lnNumType w:countBy="0"/>
          <w:pgNumType w:start="1"/>
          <w:cols w:space="720" w:num="1"/>
          <w:titlePg/>
          <w:vAlign w:val="top"/>
          <w:docGrid w:type="lines" w:linePitch="312" w:charSpace="0"/>
        </w:sectPr>
      </w:pPr>
    </w:p>
    <w:p w14:paraId="6B7E4428">
      <w:pPr>
        <w:widowControl/>
        <w:snapToGrid/>
        <w:spacing w:before="0" w:beforeAutospacing="0" w:after="0" w:afterAutospacing="0" w:line="240" w:lineRule="auto"/>
        <w:jc w:val="center"/>
        <w:textAlignment w:val="baseline"/>
        <w:rPr>
          <w:rStyle w:val="10"/>
          <w:rFonts w:ascii="黑体" w:hAnsi="黑体" w:eastAsia="黑体"/>
          <w:b w:val="0"/>
          <w:i w:val="0"/>
          <w:caps w:val="0"/>
          <w:color w:val="000000"/>
          <w:spacing w:val="0"/>
          <w:w w:val="100"/>
          <w:kern w:val="2"/>
          <w:sz w:val="48"/>
          <w:szCs w:val="48"/>
          <w:lang w:val="en-US" w:eastAsia="zh-CN" w:bidi="ar-SA"/>
        </w:rPr>
      </w:pPr>
      <w:r>
        <w:rPr>
          <w:rStyle w:val="10"/>
          <w:rFonts w:ascii="黑体" w:hAnsi="黑体" w:eastAsia="黑体"/>
          <w:b w:val="0"/>
          <w:i w:val="0"/>
          <w:caps w:val="0"/>
          <w:color w:val="000000"/>
          <w:spacing w:val="0"/>
          <w:w w:val="100"/>
          <w:kern w:val="2"/>
          <w:sz w:val="48"/>
          <w:szCs w:val="48"/>
          <w:lang w:val="en-US" w:eastAsia="zh-CN" w:bidi="ar-SA"/>
        </w:rPr>
        <w:t>目录</w:t>
      </w:r>
    </w:p>
    <w:p w14:paraId="79DF0DFF">
      <w:pPr>
        <w:pStyle w:val="26"/>
        <w:widowControl/>
        <w:snapToGrid/>
        <w:spacing w:before="93" w:beforeAutospacing="0" w:after="0" w:afterAutospacing="0" w:line="240" w:lineRule="auto"/>
        <w:jc w:val="center"/>
        <w:textAlignment w:val="baseline"/>
        <w:rPr>
          <w:rStyle w:val="10"/>
          <w:rFonts w:ascii="宋体" w:hAnsi="宋体"/>
          <w:b w:val="0"/>
          <w:i w:val="0"/>
          <w:caps w:val="0"/>
          <w:spacing w:val="0"/>
          <w:w w:val="100"/>
          <w:sz w:val="24"/>
        </w:rPr>
      </w:pPr>
      <w:r>
        <w:rPr>
          <w:rStyle w:val="10"/>
          <w:rFonts w:ascii="仿宋" w:hAnsi="仿宋" w:eastAsia="仿宋"/>
          <w:b w:val="0"/>
          <w:i w:val="0"/>
          <w:caps w:val="0"/>
          <w:spacing w:val="0"/>
          <w:w w:val="100"/>
          <w:kern w:val="2"/>
          <w:sz w:val="28"/>
          <w:szCs w:val="28"/>
          <w:lang w:val="en-US" w:eastAsia="zh-CN" w:bidi="ar-SA"/>
        </w:rPr>
        <w:t>公开时间：2021年 9月30 日</w:t>
      </w:r>
    </w:p>
    <w:sdt>
      <w:sdtPr>
        <w:rPr>
          <w:rFonts w:hint="eastAsia" w:ascii="方正楷体_GB2312" w:hAnsi="方正楷体_GB2312" w:eastAsia="方正楷体_GB2312" w:cs="方正楷体_GB2312"/>
          <w:kern w:val="2"/>
          <w:sz w:val="30"/>
          <w:szCs w:val="30"/>
          <w:lang w:val="en-US" w:eastAsia="zh-CN" w:bidi="ar-SA"/>
        </w:rPr>
        <w:id w:val="147457646"/>
        <w15:color w:val="DBDBDB"/>
        <w:docPartObj>
          <w:docPartGallery w:val="Table of Contents"/>
          <w:docPartUnique/>
        </w:docPartObj>
      </w:sdtPr>
      <w:sdtEndPr>
        <w:rPr>
          <w:rFonts w:hint="eastAsia" w:ascii="Times New Roman" w:hAnsi="Times New Roman" w:eastAsia="宋体" w:cs="方正楷体_GB2312"/>
          <w:b/>
          <w:i w:val="0"/>
          <w:caps w:val="0"/>
          <w:spacing w:val="0"/>
          <w:w w:val="100"/>
          <w:kern w:val="2"/>
          <w:sz w:val="21"/>
          <w:szCs w:val="24"/>
          <w:lang w:val="en-US" w:eastAsia="zh-CN" w:bidi="ar-SA"/>
        </w:rPr>
      </w:sdtEndPr>
      <w:sdtContent>
        <w:p w14:paraId="3B27B95B">
          <w:pPr>
            <w:spacing w:before="0" w:beforeLines="0" w:after="0" w:afterLines="0" w:line="240" w:lineRule="auto"/>
            <w:ind w:left="0" w:leftChars="0" w:right="0" w:rightChars="0" w:firstLine="0" w:firstLineChars="0"/>
            <w:jc w:val="center"/>
            <w:rPr>
              <w:rFonts w:hint="eastAsia" w:ascii="方正楷体_GB2312" w:hAnsi="方正楷体_GB2312" w:eastAsia="方正楷体_GB2312" w:cs="方正楷体_GB2312"/>
              <w:sz w:val="30"/>
              <w:szCs w:val="30"/>
            </w:rPr>
          </w:pPr>
        </w:p>
        <w:p w14:paraId="2ACB14E9">
          <w:pPr>
            <w:pStyle w:val="39"/>
            <w:tabs>
              <w:tab w:val="right" w:leader="dot" w:pos="8306"/>
            </w:tabs>
            <w:rPr>
              <w:rFonts w:hint="eastAsia" w:ascii="方正楷体_GB2312" w:hAnsi="方正楷体_GB2312" w:eastAsia="方正楷体_GB2312" w:cs="方正楷体_GB2312"/>
              <w:b/>
              <w:sz w:val="30"/>
              <w:szCs w:val="30"/>
            </w:rPr>
          </w:pPr>
          <w:r>
            <w:rPr>
              <w:rStyle w:val="10"/>
              <w:rFonts w:hint="eastAsia" w:ascii="方正楷体_GB2312" w:hAnsi="方正楷体_GB2312" w:eastAsia="方正楷体_GB2312" w:cs="方正楷体_GB2312"/>
              <w:b w:val="0"/>
              <w:i w:val="0"/>
              <w:caps w:val="0"/>
              <w:spacing w:val="0"/>
              <w:w w:val="100"/>
              <w:sz w:val="30"/>
              <w:szCs w:val="30"/>
            </w:rPr>
            <w:fldChar w:fldCharType="begin"/>
          </w:r>
          <w:r>
            <w:rPr>
              <w:rStyle w:val="10"/>
              <w:rFonts w:hint="eastAsia" w:ascii="方正楷体_GB2312" w:hAnsi="方正楷体_GB2312" w:eastAsia="方正楷体_GB2312" w:cs="方正楷体_GB2312"/>
              <w:b w:val="0"/>
              <w:i w:val="0"/>
              <w:caps w:val="0"/>
              <w:spacing w:val="0"/>
              <w:w w:val="100"/>
              <w:sz w:val="30"/>
              <w:szCs w:val="30"/>
            </w:rPr>
            <w:instrText xml:space="preserve">TOC \o "1-2" \h \u </w:instrText>
          </w:r>
          <w:r>
            <w:rPr>
              <w:rStyle w:val="10"/>
              <w:rFonts w:hint="eastAsia" w:ascii="方正楷体_GB2312" w:hAnsi="方正楷体_GB2312" w:eastAsia="方正楷体_GB2312" w:cs="方正楷体_GB2312"/>
              <w:b w:val="0"/>
              <w:i w:val="0"/>
              <w:caps w:val="0"/>
              <w:spacing w:val="0"/>
              <w:w w:val="100"/>
              <w:sz w:val="30"/>
              <w:szCs w:val="30"/>
            </w:rPr>
            <w:fldChar w:fldCharType="separate"/>
          </w:r>
          <w:r>
            <w:rPr>
              <w:rFonts w:hint="eastAsia" w:ascii="方正楷体_GB2312" w:hAnsi="方正楷体_GB2312" w:eastAsia="方正楷体_GB2312" w:cs="方正楷体_GB2312"/>
              <w:b/>
              <w:i w:val="0"/>
              <w:caps w:val="0"/>
              <w:spacing w:val="0"/>
              <w:w w:val="100"/>
              <w:sz w:val="30"/>
              <w:szCs w:val="30"/>
            </w:rPr>
            <w:fldChar w:fldCharType="begin"/>
          </w:r>
          <w:r>
            <w:rPr>
              <w:rFonts w:hint="eastAsia" w:ascii="方正楷体_GB2312" w:hAnsi="方正楷体_GB2312" w:eastAsia="方正楷体_GB2312" w:cs="方正楷体_GB2312"/>
              <w:b/>
              <w:i w:val="0"/>
              <w:caps w:val="0"/>
              <w:spacing w:val="0"/>
              <w:w w:val="100"/>
              <w:sz w:val="30"/>
              <w:szCs w:val="30"/>
            </w:rPr>
            <w:instrText xml:space="preserve"> HYPERLINK \l _Toc18115 </w:instrText>
          </w:r>
          <w:r>
            <w:rPr>
              <w:rFonts w:hint="eastAsia" w:ascii="方正楷体_GB2312" w:hAnsi="方正楷体_GB2312" w:eastAsia="方正楷体_GB2312" w:cs="方正楷体_GB2312"/>
              <w:b/>
              <w:i w:val="0"/>
              <w:caps w:val="0"/>
              <w:spacing w:val="0"/>
              <w:w w:val="100"/>
              <w:sz w:val="30"/>
              <w:szCs w:val="30"/>
            </w:rPr>
            <w:fldChar w:fldCharType="separate"/>
          </w:r>
          <w:r>
            <w:rPr>
              <w:rFonts w:hint="eastAsia" w:ascii="方正楷体_GB2312" w:hAnsi="方正楷体_GB2312" w:eastAsia="方正楷体_GB2312" w:cs="方正楷体_GB2312"/>
              <w:b/>
              <w:bCs/>
              <w:i w:val="0"/>
              <w:caps w:val="0"/>
              <w:spacing w:val="0"/>
              <w:w w:val="100"/>
              <w:kern w:val="44"/>
              <w:sz w:val="30"/>
              <w:szCs w:val="30"/>
              <w:lang w:val="en-US" w:eastAsia="zh-CN" w:bidi="ar-SA"/>
            </w:rPr>
            <w:t xml:space="preserve">第一部分 </w:t>
          </w:r>
          <w:r>
            <w:rPr>
              <w:rFonts w:hint="eastAsia" w:ascii="方正楷体_GB2312" w:hAnsi="方正楷体_GB2312" w:eastAsia="方正楷体_GB2312" w:cs="方正楷体_GB2312"/>
              <w:b/>
              <w:bCs w:val="0"/>
              <w:i w:val="0"/>
              <w:caps w:val="0"/>
              <w:spacing w:val="0"/>
              <w:w w:val="100"/>
              <w:kern w:val="44"/>
              <w:sz w:val="30"/>
              <w:szCs w:val="30"/>
              <w:lang w:val="en-US" w:eastAsia="zh-CN" w:bidi="ar-SA"/>
            </w:rPr>
            <w:t>部门概况</w:t>
          </w:r>
          <w:r>
            <w:rPr>
              <w:rFonts w:hint="eastAsia" w:ascii="方正楷体_GB2312" w:hAnsi="方正楷体_GB2312" w:eastAsia="方正楷体_GB2312" w:cs="方正楷体_GB2312"/>
              <w:b/>
              <w:sz w:val="30"/>
              <w:szCs w:val="30"/>
            </w:rPr>
            <w:tab/>
          </w:r>
          <w:r>
            <w:rPr>
              <w:rFonts w:hint="eastAsia" w:ascii="方正楷体_GB2312" w:hAnsi="方正楷体_GB2312" w:eastAsia="方正楷体_GB2312" w:cs="方正楷体_GB2312"/>
              <w:b/>
              <w:sz w:val="30"/>
              <w:szCs w:val="30"/>
            </w:rPr>
            <w:fldChar w:fldCharType="begin"/>
          </w:r>
          <w:r>
            <w:rPr>
              <w:rFonts w:hint="eastAsia" w:ascii="方正楷体_GB2312" w:hAnsi="方正楷体_GB2312" w:eastAsia="方正楷体_GB2312" w:cs="方正楷体_GB2312"/>
              <w:b/>
              <w:sz w:val="30"/>
              <w:szCs w:val="30"/>
            </w:rPr>
            <w:instrText xml:space="preserve"> PAGEREF _Toc18115 \h </w:instrText>
          </w:r>
          <w:r>
            <w:rPr>
              <w:rFonts w:hint="eastAsia" w:ascii="方正楷体_GB2312" w:hAnsi="方正楷体_GB2312" w:eastAsia="方正楷体_GB2312" w:cs="方正楷体_GB2312"/>
              <w:b/>
              <w:sz w:val="30"/>
              <w:szCs w:val="30"/>
            </w:rPr>
            <w:fldChar w:fldCharType="separate"/>
          </w:r>
          <w:r>
            <w:rPr>
              <w:rFonts w:hint="eastAsia" w:ascii="方正楷体_GB2312" w:hAnsi="方正楷体_GB2312" w:eastAsia="方正楷体_GB2312" w:cs="方正楷体_GB2312"/>
              <w:b/>
              <w:sz w:val="30"/>
              <w:szCs w:val="30"/>
            </w:rPr>
            <w:t>1</w:t>
          </w:r>
          <w:r>
            <w:rPr>
              <w:rFonts w:hint="eastAsia" w:ascii="方正楷体_GB2312" w:hAnsi="方正楷体_GB2312" w:eastAsia="方正楷体_GB2312" w:cs="方正楷体_GB2312"/>
              <w:b/>
              <w:sz w:val="30"/>
              <w:szCs w:val="30"/>
            </w:rPr>
            <w:fldChar w:fldCharType="end"/>
          </w:r>
          <w:r>
            <w:rPr>
              <w:rFonts w:hint="eastAsia" w:ascii="方正楷体_GB2312" w:hAnsi="方正楷体_GB2312" w:eastAsia="方正楷体_GB2312" w:cs="方正楷体_GB2312"/>
              <w:b/>
              <w:i w:val="0"/>
              <w:caps w:val="0"/>
              <w:spacing w:val="0"/>
              <w:w w:val="100"/>
              <w:sz w:val="30"/>
              <w:szCs w:val="30"/>
            </w:rPr>
            <w:fldChar w:fldCharType="end"/>
          </w:r>
        </w:p>
        <w:p w14:paraId="4695EBE4">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_Toc29816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bCs/>
              <w:i w:val="0"/>
              <w:caps w:val="0"/>
              <w:spacing w:val="0"/>
              <w:w w:val="100"/>
              <w:kern w:val="2"/>
              <w:sz w:val="30"/>
              <w:szCs w:val="30"/>
              <w:lang w:val="en-US" w:eastAsia="zh-CN" w:bidi="ar-SA"/>
            </w:rPr>
            <w:t>一、基</w:t>
          </w:r>
          <w:r>
            <w:rPr>
              <w:rFonts w:hint="eastAsia" w:ascii="方正楷体_GB2312" w:hAnsi="方正楷体_GB2312" w:eastAsia="方正楷体_GB2312" w:cs="方正楷体_GB2312"/>
              <w:bCs w:val="0"/>
              <w:i w:val="0"/>
              <w:caps w:val="0"/>
              <w:spacing w:val="0"/>
              <w:w w:val="100"/>
              <w:kern w:val="2"/>
              <w:sz w:val="30"/>
              <w:szCs w:val="30"/>
              <w:lang w:val="en-US" w:eastAsia="zh-CN" w:bidi="ar-SA"/>
            </w:rPr>
            <w:t>本职能及主要工作</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_Toc29816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1</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7AD1F180">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_Toc21035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bCs w:val="0"/>
              <w:i w:val="0"/>
              <w:caps w:val="0"/>
              <w:spacing w:val="0"/>
              <w:w w:val="100"/>
              <w:kern w:val="2"/>
              <w:sz w:val="30"/>
              <w:szCs w:val="30"/>
              <w:lang w:val="en-US" w:eastAsia="zh-CN" w:bidi="ar-SA"/>
            </w:rPr>
            <w:t xml:space="preserve">二、 </w:t>
          </w:r>
          <w:r>
            <w:rPr>
              <w:rFonts w:hint="eastAsia" w:ascii="方正楷体_GB2312" w:hAnsi="方正楷体_GB2312" w:eastAsia="方正楷体_GB2312" w:cs="方正楷体_GB2312"/>
              <w:bCs/>
              <w:i w:val="0"/>
              <w:caps w:val="0"/>
              <w:spacing w:val="0"/>
              <w:w w:val="100"/>
              <w:kern w:val="2"/>
              <w:sz w:val="30"/>
              <w:szCs w:val="30"/>
              <w:lang w:val="en-US" w:eastAsia="zh-CN" w:bidi="ar-SA"/>
            </w:rPr>
            <w:t>机</w:t>
          </w:r>
          <w:r>
            <w:rPr>
              <w:rFonts w:hint="eastAsia" w:ascii="方正楷体_GB2312" w:hAnsi="方正楷体_GB2312" w:eastAsia="方正楷体_GB2312" w:cs="方正楷体_GB2312"/>
              <w:bCs w:val="0"/>
              <w:i w:val="0"/>
              <w:caps w:val="0"/>
              <w:spacing w:val="0"/>
              <w:w w:val="100"/>
              <w:kern w:val="2"/>
              <w:sz w:val="30"/>
              <w:szCs w:val="30"/>
              <w:lang w:val="en-US" w:eastAsia="zh-CN" w:bidi="ar-SA"/>
            </w:rPr>
            <w:t>构设置</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_Toc21035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4</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0621CCA0">
          <w:pPr>
            <w:pStyle w:val="39"/>
            <w:tabs>
              <w:tab w:val="right" w:leader="dot" w:pos="8306"/>
            </w:tabs>
            <w:rPr>
              <w:rFonts w:hint="eastAsia" w:ascii="方正楷体_GB2312" w:hAnsi="方正楷体_GB2312" w:eastAsia="方正楷体_GB2312" w:cs="方正楷体_GB2312"/>
              <w:b/>
              <w:sz w:val="30"/>
              <w:szCs w:val="30"/>
            </w:rPr>
          </w:pPr>
          <w:r>
            <w:rPr>
              <w:rFonts w:hint="eastAsia" w:ascii="方正楷体_GB2312" w:hAnsi="方正楷体_GB2312" w:eastAsia="方正楷体_GB2312" w:cs="方正楷体_GB2312"/>
              <w:b/>
              <w:i w:val="0"/>
              <w:caps w:val="0"/>
              <w:spacing w:val="0"/>
              <w:w w:val="100"/>
              <w:sz w:val="30"/>
              <w:szCs w:val="30"/>
            </w:rPr>
            <w:fldChar w:fldCharType="begin"/>
          </w:r>
          <w:r>
            <w:rPr>
              <w:rFonts w:hint="eastAsia" w:ascii="方正楷体_GB2312" w:hAnsi="方正楷体_GB2312" w:eastAsia="方正楷体_GB2312" w:cs="方正楷体_GB2312"/>
              <w:b/>
              <w:i w:val="0"/>
              <w:caps w:val="0"/>
              <w:spacing w:val="0"/>
              <w:w w:val="100"/>
              <w:sz w:val="30"/>
              <w:szCs w:val="30"/>
            </w:rPr>
            <w:instrText xml:space="preserve"> HYPERLINK \l _Toc905 </w:instrText>
          </w:r>
          <w:r>
            <w:rPr>
              <w:rFonts w:hint="eastAsia" w:ascii="方正楷体_GB2312" w:hAnsi="方正楷体_GB2312" w:eastAsia="方正楷体_GB2312" w:cs="方正楷体_GB2312"/>
              <w:b/>
              <w:i w:val="0"/>
              <w:caps w:val="0"/>
              <w:spacing w:val="0"/>
              <w:w w:val="100"/>
              <w:sz w:val="30"/>
              <w:szCs w:val="30"/>
            </w:rPr>
            <w:fldChar w:fldCharType="separate"/>
          </w:r>
          <w:r>
            <w:rPr>
              <w:rFonts w:hint="eastAsia" w:ascii="方正楷体_GB2312" w:hAnsi="方正楷体_GB2312" w:eastAsia="方正楷体_GB2312" w:cs="方正楷体_GB2312"/>
              <w:b/>
              <w:bCs/>
              <w:i w:val="0"/>
              <w:caps w:val="0"/>
              <w:spacing w:val="0"/>
              <w:w w:val="100"/>
              <w:kern w:val="44"/>
              <w:sz w:val="30"/>
              <w:szCs w:val="30"/>
              <w:lang w:val="en-US" w:eastAsia="zh-CN" w:bidi="ar-SA"/>
            </w:rPr>
            <w:t xml:space="preserve">第二部分 </w:t>
          </w:r>
          <w:r>
            <w:rPr>
              <w:rFonts w:hint="eastAsia" w:ascii="方正楷体_GB2312" w:hAnsi="方正楷体_GB2312" w:eastAsia="方正楷体_GB2312" w:cs="方正楷体_GB2312"/>
              <w:b/>
              <w:bCs w:val="0"/>
              <w:i w:val="0"/>
              <w:caps w:val="0"/>
              <w:spacing w:val="0"/>
              <w:w w:val="100"/>
              <w:kern w:val="44"/>
              <w:sz w:val="30"/>
              <w:szCs w:val="30"/>
              <w:lang w:val="en-US" w:eastAsia="zh-CN" w:bidi="ar-SA"/>
            </w:rPr>
            <w:t>2020年度部门决算情况说明</w:t>
          </w:r>
          <w:r>
            <w:rPr>
              <w:rFonts w:hint="eastAsia" w:ascii="方正楷体_GB2312" w:hAnsi="方正楷体_GB2312" w:eastAsia="方正楷体_GB2312" w:cs="方正楷体_GB2312"/>
              <w:b/>
              <w:sz w:val="30"/>
              <w:szCs w:val="30"/>
            </w:rPr>
            <w:tab/>
          </w:r>
          <w:r>
            <w:rPr>
              <w:rFonts w:hint="eastAsia" w:ascii="方正楷体_GB2312" w:hAnsi="方正楷体_GB2312" w:eastAsia="方正楷体_GB2312" w:cs="方正楷体_GB2312"/>
              <w:b/>
              <w:sz w:val="30"/>
              <w:szCs w:val="30"/>
            </w:rPr>
            <w:fldChar w:fldCharType="begin"/>
          </w:r>
          <w:r>
            <w:rPr>
              <w:rFonts w:hint="eastAsia" w:ascii="方正楷体_GB2312" w:hAnsi="方正楷体_GB2312" w:eastAsia="方正楷体_GB2312" w:cs="方正楷体_GB2312"/>
              <w:b/>
              <w:sz w:val="30"/>
              <w:szCs w:val="30"/>
            </w:rPr>
            <w:instrText xml:space="preserve"> PAGEREF _Toc905 \h </w:instrText>
          </w:r>
          <w:r>
            <w:rPr>
              <w:rFonts w:hint="eastAsia" w:ascii="方正楷体_GB2312" w:hAnsi="方正楷体_GB2312" w:eastAsia="方正楷体_GB2312" w:cs="方正楷体_GB2312"/>
              <w:b/>
              <w:sz w:val="30"/>
              <w:szCs w:val="30"/>
            </w:rPr>
            <w:fldChar w:fldCharType="separate"/>
          </w:r>
          <w:r>
            <w:rPr>
              <w:rFonts w:hint="eastAsia" w:ascii="方正楷体_GB2312" w:hAnsi="方正楷体_GB2312" w:eastAsia="方正楷体_GB2312" w:cs="方正楷体_GB2312"/>
              <w:b/>
              <w:sz w:val="30"/>
              <w:szCs w:val="30"/>
            </w:rPr>
            <w:t>6</w:t>
          </w:r>
          <w:r>
            <w:rPr>
              <w:rFonts w:hint="eastAsia" w:ascii="方正楷体_GB2312" w:hAnsi="方正楷体_GB2312" w:eastAsia="方正楷体_GB2312" w:cs="方正楷体_GB2312"/>
              <w:b/>
              <w:sz w:val="30"/>
              <w:szCs w:val="30"/>
            </w:rPr>
            <w:fldChar w:fldCharType="end"/>
          </w:r>
          <w:r>
            <w:rPr>
              <w:rFonts w:hint="eastAsia" w:ascii="方正楷体_GB2312" w:hAnsi="方正楷体_GB2312" w:eastAsia="方正楷体_GB2312" w:cs="方正楷体_GB2312"/>
              <w:b/>
              <w:i w:val="0"/>
              <w:caps w:val="0"/>
              <w:spacing w:val="0"/>
              <w:w w:val="100"/>
              <w:sz w:val="30"/>
              <w:szCs w:val="30"/>
            </w:rPr>
            <w:fldChar w:fldCharType="end"/>
          </w:r>
        </w:p>
        <w:p w14:paraId="03B4FE5D">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_Toc21308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bCs/>
              <w:i w:val="0"/>
              <w:caps w:val="0"/>
              <w:spacing w:val="0"/>
              <w:w w:val="100"/>
              <w:kern w:val="2"/>
              <w:sz w:val="30"/>
              <w:szCs w:val="30"/>
            </w:rPr>
            <w:t xml:space="preserve">一、 </w:t>
          </w:r>
          <w:r>
            <w:rPr>
              <w:rFonts w:hint="eastAsia" w:ascii="方正楷体_GB2312" w:hAnsi="方正楷体_GB2312" w:eastAsia="方正楷体_GB2312" w:cs="方正楷体_GB2312"/>
              <w:i w:val="0"/>
              <w:caps w:val="0"/>
              <w:spacing w:val="0"/>
              <w:w w:val="100"/>
              <w:sz w:val="30"/>
              <w:szCs w:val="30"/>
            </w:rPr>
            <w:t>收</w:t>
          </w:r>
          <w:r>
            <w:rPr>
              <w:rFonts w:hint="eastAsia" w:ascii="方正楷体_GB2312" w:hAnsi="方正楷体_GB2312" w:eastAsia="方正楷体_GB2312" w:cs="方正楷体_GB2312"/>
              <w:bCs/>
              <w:i w:val="0"/>
              <w:caps w:val="0"/>
              <w:spacing w:val="0"/>
              <w:w w:val="100"/>
              <w:kern w:val="2"/>
              <w:sz w:val="30"/>
              <w:szCs w:val="30"/>
            </w:rPr>
            <w:t>入支出决算总体情况说明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_Toc21308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6</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4B14088D">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_Toc12083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bCs/>
              <w:i w:val="0"/>
              <w:caps w:val="0"/>
              <w:spacing w:val="0"/>
              <w:w w:val="100"/>
              <w:kern w:val="2"/>
              <w:sz w:val="30"/>
              <w:szCs w:val="30"/>
            </w:rPr>
            <w:t xml:space="preserve">二、 </w:t>
          </w:r>
          <w:r>
            <w:rPr>
              <w:rFonts w:hint="eastAsia" w:ascii="方正楷体_GB2312" w:hAnsi="方正楷体_GB2312" w:eastAsia="方正楷体_GB2312" w:cs="方正楷体_GB2312"/>
              <w:i w:val="0"/>
              <w:caps w:val="0"/>
              <w:spacing w:val="0"/>
              <w:w w:val="100"/>
              <w:sz w:val="30"/>
              <w:szCs w:val="30"/>
            </w:rPr>
            <w:t>收</w:t>
          </w:r>
          <w:r>
            <w:rPr>
              <w:rFonts w:hint="eastAsia" w:ascii="方正楷体_GB2312" w:hAnsi="方正楷体_GB2312" w:eastAsia="方正楷体_GB2312" w:cs="方正楷体_GB2312"/>
              <w:bCs/>
              <w:i w:val="0"/>
              <w:caps w:val="0"/>
              <w:spacing w:val="0"/>
              <w:w w:val="100"/>
              <w:kern w:val="2"/>
              <w:sz w:val="30"/>
              <w:szCs w:val="30"/>
            </w:rPr>
            <w:t>入决算情况说明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_Toc12083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6</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77646FB5">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_Toc5839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bCs/>
              <w:i w:val="0"/>
              <w:caps w:val="0"/>
              <w:spacing w:val="0"/>
              <w:w w:val="100"/>
              <w:kern w:val="2"/>
              <w:sz w:val="30"/>
              <w:szCs w:val="30"/>
            </w:rPr>
            <w:t xml:space="preserve">三、 </w:t>
          </w:r>
          <w:r>
            <w:rPr>
              <w:rFonts w:hint="eastAsia" w:ascii="方正楷体_GB2312" w:hAnsi="方正楷体_GB2312" w:eastAsia="方正楷体_GB2312" w:cs="方正楷体_GB2312"/>
              <w:i w:val="0"/>
              <w:caps w:val="0"/>
              <w:spacing w:val="0"/>
              <w:w w:val="100"/>
              <w:sz w:val="30"/>
              <w:szCs w:val="30"/>
            </w:rPr>
            <w:t>支</w:t>
          </w:r>
          <w:r>
            <w:rPr>
              <w:rFonts w:hint="eastAsia" w:ascii="方正楷体_GB2312" w:hAnsi="方正楷体_GB2312" w:eastAsia="方正楷体_GB2312" w:cs="方正楷体_GB2312"/>
              <w:bCs/>
              <w:i w:val="0"/>
              <w:caps w:val="0"/>
              <w:spacing w:val="0"/>
              <w:w w:val="100"/>
              <w:kern w:val="2"/>
              <w:sz w:val="30"/>
              <w:szCs w:val="30"/>
            </w:rPr>
            <w:t>出决算情况说明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_Toc5839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7</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4B4B8A28">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_Toc5989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四、财</w:t>
          </w:r>
          <w:r>
            <w:rPr>
              <w:rFonts w:hint="eastAsia" w:ascii="方正楷体_GB2312" w:hAnsi="方正楷体_GB2312" w:eastAsia="方正楷体_GB2312" w:cs="方正楷体_GB2312"/>
              <w:bCs/>
              <w:i w:val="0"/>
              <w:caps w:val="0"/>
              <w:spacing w:val="0"/>
              <w:w w:val="100"/>
              <w:kern w:val="2"/>
              <w:sz w:val="30"/>
              <w:szCs w:val="30"/>
              <w:lang w:val="en-US" w:eastAsia="zh-CN" w:bidi="ar-SA"/>
            </w:rPr>
            <w:t>政拨款收入支出决算总体情况说明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_Toc5989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7</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28AAB188">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_Toc12691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五、一</w:t>
          </w:r>
          <w:r>
            <w:rPr>
              <w:rFonts w:hint="eastAsia" w:ascii="方正楷体_GB2312" w:hAnsi="方正楷体_GB2312" w:eastAsia="方正楷体_GB2312" w:cs="方正楷体_GB2312"/>
              <w:bCs/>
              <w:i w:val="0"/>
              <w:caps w:val="0"/>
              <w:spacing w:val="0"/>
              <w:w w:val="100"/>
              <w:kern w:val="2"/>
              <w:sz w:val="30"/>
              <w:szCs w:val="30"/>
              <w:lang w:val="en-US" w:eastAsia="zh-CN" w:bidi="ar-SA"/>
            </w:rPr>
            <w:t>般公共预算财政拨款支出决算情况说明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_Toc12691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8</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0455831C">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_Toc2216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六、一</w:t>
          </w:r>
          <w:r>
            <w:rPr>
              <w:rFonts w:hint="eastAsia" w:ascii="方正楷体_GB2312" w:hAnsi="方正楷体_GB2312" w:eastAsia="方正楷体_GB2312" w:cs="方正楷体_GB2312"/>
              <w:bCs/>
              <w:i w:val="0"/>
              <w:caps w:val="0"/>
              <w:spacing w:val="0"/>
              <w:w w:val="100"/>
              <w:kern w:val="2"/>
              <w:sz w:val="30"/>
              <w:szCs w:val="30"/>
              <w:lang w:val="en-US" w:eastAsia="zh-CN" w:bidi="ar-SA"/>
            </w:rPr>
            <w:t>般公共预算财政拨款基本支出决算情况说明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_Toc2216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13</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6BC182C4">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_Toc26166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七、</w:t>
          </w:r>
          <w:r>
            <w:rPr>
              <w:rFonts w:hint="eastAsia" w:ascii="方正楷体_GB2312" w:hAnsi="方正楷体_GB2312" w:eastAsia="方正楷体_GB2312" w:cs="方正楷体_GB2312"/>
              <w:bCs/>
              <w:i w:val="0"/>
              <w:caps w:val="0"/>
              <w:spacing w:val="0"/>
              <w:w w:val="100"/>
              <w:kern w:val="2"/>
              <w:sz w:val="30"/>
              <w:szCs w:val="30"/>
              <w:lang w:val="en-US" w:eastAsia="zh-CN" w:bidi="ar-SA"/>
            </w:rPr>
            <w:t>“三公”经费财政拨款支出决算情况说明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_Toc26166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14</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6BDA44C6">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_Toc27160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八、</w:t>
          </w:r>
          <w:r>
            <w:rPr>
              <w:rFonts w:hint="eastAsia" w:ascii="方正楷体_GB2312" w:hAnsi="方正楷体_GB2312" w:eastAsia="方正楷体_GB2312" w:cs="方正楷体_GB2312"/>
              <w:bCs/>
              <w:i w:val="0"/>
              <w:caps w:val="0"/>
              <w:spacing w:val="0"/>
              <w:w w:val="100"/>
              <w:kern w:val="2"/>
              <w:sz w:val="30"/>
              <w:szCs w:val="30"/>
              <w:lang w:val="en-US" w:eastAsia="zh-CN" w:bidi="ar-SA"/>
            </w:rPr>
            <w:t>政府性基金预算支出决算情况说明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_Toc27160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17</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6F98E06E">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_Toc31235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bCs/>
              <w:i w:val="0"/>
              <w:caps w:val="0"/>
              <w:spacing w:val="0"/>
              <w:w w:val="100"/>
              <w:kern w:val="2"/>
              <w:sz w:val="30"/>
              <w:szCs w:val="30"/>
              <w:lang w:val="en-US" w:eastAsia="zh-CN" w:bidi="ar-SA"/>
            </w:rPr>
            <w:t>九、 国有资本经营预算支出决算情况说明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_Toc31235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17</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72771399">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_Toc25599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十</w:t>
          </w:r>
          <w:r>
            <w:rPr>
              <w:rFonts w:hint="eastAsia" w:ascii="方正楷体_GB2312" w:hAnsi="方正楷体_GB2312" w:eastAsia="方正楷体_GB2312" w:cs="方正楷体_GB2312"/>
              <w:bCs/>
              <w:i w:val="0"/>
              <w:caps w:val="0"/>
              <w:spacing w:val="0"/>
              <w:w w:val="100"/>
              <w:kern w:val="2"/>
              <w:sz w:val="30"/>
              <w:szCs w:val="30"/>
              <w:lang w:val="en-US" w:eastAsia="zh-CN" w:bidi="ar-SA"/>
            </w:rPr>
            <w:t>、其他重要事项的情况说明</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_Toc25599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18</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16E426CE">
          <w:pPr>
            <w:pStyle w:val="39"/>
            <w:tabs>
              <w:tab w:val="right" w:leader="dot" w:pos="8306"/>
            </w:tabs>
            <w:rPr>
              <w:rFonts w:hint="eastAsia" w:ascii="方正楷体_GB2312" w:hAnsi="方正楷体_GB2312" w:eastAsia="方正楷体_GB2312" w:cs="方正楷体_GB2312"/>
              <w:b/>
              <w:sz w:val="30"/>
              <w:szCs w:val="30"/>
            </w:rPr>
          </w:pPr>
          <w:r>
            <w:rPr>
              <w:rFonts w:hint="eastAsia" w:ascii="方正楷体_GB2312" w:hAnsi="方正楷体_GB2312" w:eastAsia="方正楷体_GB2312" w:cs="方正楷体_GB2312"/>
              <w:b/>
              <w:i w:val="0"/>
              <w:caps w:val="0"/>
              <w:spacing w:val="0"/>
              <w:w w:val="100"/>
              <w:sz w:val="30"/>
              <w:szCs w:val="30"/>
            </w:rPr>
            <w:fldChar w:fldCharType="begin"/>
          </w:r>
          <w:r>
            <w:rPr>
              <w:rFonts w:hint="eastAsia" w:ascii="方正楷体_GB2312" w:hAnsi="方正楷体_GB2312" w:eastAsia="方正楷体_GB2312" w:cs="方正楷体_GB2312"/>
              <w:b/>
              <w:i w:val="0"/>
              <w:caps w:val="0"/>
              <w:spacing w:val="0"/>
              <w:w w:val="100"/>
              <w:sz w:val="30"/>
              <w:szCs w:val="30"/>
            </w:rPr>
            <w:instrText xml:space="preserve"> HYPERLINK \l _Toc21375 </w:instrText>
          </w:r>
          <w:r>
            <w:rPr>
              <w:rFonts w:hint="eastAsia" w:ascii="方正楷体_GB2312" w:hAnsi="方正楷体_GB2312" w:eastAsia="方正楷体_GB2312" w:cs="方正楷体_GB2312"/>
              <w:b/>
              <w:i w:val="0"/>
              <w:caps w:val="0"/>
              <w:spacing w:val="0"/>
              <w:w w:val="100"/>
              <w:sz w:val="30"/>
              <w:szCs w:val="30"/>
            </w:rPr>
            <w:fldChar w:fldCharType="separate"/>
          </w:r>
          <w:r>
            <w:rPr>
              <w:rFonts w:hint="eastAsia" w:ascii="方正楷体_GB2312" w:hAnsi="方正楷体_GB2312" w:eastAsia="方正楷体_GB2312" w:cs="方正楷体_GB2312"/>
              <w:b/>
              <w:bCs/>
              <w:i w:val="0"/>
              <w:caps w:val="0"/>
              <w:spacing w:val="0"/>
              <w:w w:val="100"/>
              <w:kern w:val="44"/>
              <w:sz w:val="30"/>
              <w:szCs w:val="30"/>
              <w:lang w:val="en-US" w:eastAsia="zh-CN" w:bidi="ar-SA"/>
            </w:rPr>
            <w:t xml:space="preserve">第三部分 </w:t>
          </w:r>
          <w:r>
            <w:rPr>
              <w:rFonts w:hint="eastAsia" w:ascii="方正楷体_GB2312" w:hAnsi="方正楷体_GB2312" w:eastAsia="方正楷体_GB2312" w:cs="方正楷体_GB2312"/>
              <w:b/>
              <w:i w:val="0"/>
              <w:caps w:val="0"/>
              <w:spacing w:val="0"/>
              <w:w w:val="100"/>
              <w:kern w:val="2"/>
              <w:sz w:val="30"/>
              <w:szCs w:val="30"/>
              <w:lang w:val="en-US" w:eastAsia="zh-CN" w:bidi="ar-SA"/>
            </w:rPr>
            <w:t>名</w:t>
          </w:r>
          <w:r>
            <w:rPr>
              <w:rFonts w:hint="eastAsia" w:ascii="方正楷体_GB2312" w:hAnsi="方正楷体_GB2312" w:eastAsia="方正楷体_GB2312" w:cs="方正楷体_GB2312"/>
              <w:b/>
              <w:bCs/>
              <w:i w:val="0"/>
              <w:caps w:val="0"/>
              <w:spacing w:val="0"/>
              <w:w w:val="100"/>
              <w:kern w:val="44"/>
              <w:sz w:val="30"/>
              <w:szCs w:val="30"/>
              <w:lang w:val="en-US" w:eastAsia="zh-CN" w:bidi="ar-SA"/>
            </w:rPr>
            <w:t>词解释</w:t>
          </w:r>
          <w:r>
            <w:rPr>
              <w:rFonts w:hint="eastAsia" w:ascii="方正楷体_GB2312" w:hAnsi="方正楷体_GB2312" w:eastAsia="方正楷体_GB2312" w:cs="方正楷体_GB2312"/>
              <w:b/>
              <w:sz w:val="30"/>
              <w:szCs w:val="30"/>
            </w:rPr>
            <w:tab/>
          </w:r>
          <w:r>
            <w:rPr>
              <w:rFonts w:hint="eastAsia" w:ascii="方正楷体_GB2312" w:hAnsi="方正楷体_GB2312" w:eastAsia="方正楷体_GB2312" w:cs="方正楷体_GB2312"/>
              <w:b/>
              <w:sz w:val="30"/>
              <w:szCs w:val="30"/>
            </w:rPr>
            <w:fldChar w:fldCharType="begin"/>
          </w:r>
          <w:r>
            <w:rPr>
              <w:rFonts w:hint="eastAsia" w:ascii="方正楷体_GB2312" w:hAnsi="方正楷体_GB2312" w:eastAsia="方正楷体_GB2312" w:cs="方正楷体_GB2312"/>
              <w:b/>
              <w:sz w:val="30"/>
              <w:szCs w:val="30"/>
            </w:rPr>
            <w:instrText xml:space="preserve"> PAGEREF _Toc21375 \h </w:instrText>
          </w:r>
          <w:r>
            <w:rPr>
              <w:rFonts w:hint="eastAsia" w:ascii="方正楷体_GB2312" w:hAnsi="方正楷体_GB2312" w:eastAsia="方正楷体_GB2312" w:cs="方正楷体_GB2312"/>
              <w:b/>
              <w:sz w:val="30"/>
              <w:szCs w:val="30"/>
            </w:rPr>
            <w:fldChar w:fldCharType="separate"/>
          </w:r>
          <w:r>
            <w:rPr>
              <w:rFonts w:hint="eastAsia" w:ascii="方正楷体_GB2312" w:hAnsi="方正楷体_GB2312" w:eastAsia="方正楷体_GB2312" w:cs="方正楷体_GB2312"/>
              <w:b/>
              <w:sz w:val="30"/>
              <w:szCs w:val="30"/>
            </w:rPr>
            <w:t>30</w:t>
          </w:r>
          <w:r>
            <w:rPr>
              <w:rFonts w:hint="eastAsia" w:ascii="方正楷体_GB2312" w:hAnsi="方正楷体_GB2312" w:eastAsia="方正楷体_GB2312" w:cs="方正楷体_GB2312"/>
              <w:b/>
              <w:sz w:val="30"/>
              <w:szCs w:val="30"/>
            </w:rPr>
            <w:fldChar w:fldCharType="end"/>
          </w:r>
          <w:r>
            <w:rPr>
              <w:rFonts w:hint="eastAsia" w:ascii="方正楷体_GB2312" w:hAnsi="方正楷体_GB2312" w:eastAsia="方正楷体_GB2312" w:cs="方正楷体_GB2312"/>
              <w:b/>
              <w:i w:val="0"/>
              <w:caps w:val="0"/>
              <w:spacing w:val="0"/>
              <w:w w:val="100"/>
              <w:sz w:val="30"/>
              <w:szCs w:val="30"/>
            </w:rPr>
            <w:fldChar w:fldCharType="end"/>
          </w:r>
        </w:p>
        <w:p w14:paraId="66BD0154">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_Toc19607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sz w:val="30"/>
              <w:szCs w:val="30"/>
              <w:lang w:val="en-US" w:eastAsia="zh-CN" w:bidi="ar-SA"/>
            </w:rPr>
            <w:t>1.财政拨款收入：指单位从同级财政部门取得的各类拨款。</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_Toc19607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30</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66E95C04">
          <w:pPr>
            <w:pStyle w:val="39"/>
            <w:tabs>
              <w:tab w:val="right" w:leader="dot" w:pos="8306"/>
            </w:tabs>
            <w:rPr>
              <w:rFonts w:hint="eastAsia" w:ascii="方正楷体_GB2312" w:hAnsi="方正楷体_GB2312" w:eastAsia="方正楷体_GB2312" w:cs="方正楷体_GB2312"/>
              <w:b/>
              <w:sz w:val="30"/>
              <w:szCs w:val="30"/>
            </w:rPr>
          </w:pPr>
          <w:r>
            <w:rPr>
              <w:rFonts w:hint="eastAsia" w:ascii="方正楷体_GB2312" w:hAnsi="方正楷体_GB2312" w:eastAsia="方正楷体_GB2312" w:cs="方正楷体_GB2312"/>
              <w:b/>
              <w:i w:val="0"/>
              <w:caps w:val="0"/>
              <w:spacing w:val="0"/>
              <w:w w:val="100"/>
              <w:sz w:val="30"/>
              <w:szCs w:val="30"/>
            </w:rPr>
            <w:fldChar w:fldCharType="begin"/>
          </w:r>
          <w:r>
            <w:rPr>
              <w:rFonts w:hint="eastAsia" w:ascii="方正楷体_GB2312" w:hAnsi="方正楷体_GB2312" w:eastAsia="方正楷体_GB2312" w:cs="方正楷体_GB2312"/>
              <w:b/>
              <w:i w:val="0"/>
              <w:caps w:val="0"/>
              <w:spacing w:val="0"/>
              <w:w w:val="100"/>
              <w:sz w:val="30"/>
              <w:szCs w:val="30"/>
            </w:rPr>
            <w:instrText xml:space="preserve"> HYPERLINK \l _Toc23228 </w:instrText>
          </w:r>
          <w:r>
            <w:rPr>
              <w:rFonts w:hint="eastAsia" w:ascii="方正楷体_GB2312" w:hAnsi="方正楷体_GB2312" w:eastAsia="方正楷体_GB2312" w:cs="方正楷体_GB2312"/>
              <w:b/>
              <w:i w:val="0"/>
              <w:caps w:val="0"/>
              <w:spacing w:val="0"/>
              <w:w w:val="100"/>
              <w:sz w:val="30"/>
              <w:szCs w:val="30"/>
            </w:rPr>
            <w:fldChar w:fldCharType="separate"/>
          </w:r>
          <w:r>
            <w:rPr>
              <w:rFonts w:hint="eastAsia" w:ascii="方正楷体_GB2312" w:hAnsi="方正楷体_GB2312" w:eastAsia="方正楷体_GB2312" w:cs="方正楷体_GB2312"/>
              <w:b/>
              <w:i w:val="0"/>
              <w:caps w:val="0"/>
              <w:spacing w:val="0"/>
              <w:w w:val="100"/>
              <w:kern w:val="2"/>
              <w:sz w:val="30"/>
              <w:szCs w:val="30"/>
              <w:lang w:val="en-US" w:eastAsia="zh-CN" w:bidi="ar-SA"/>
            </w:rPr>
            <w:t>第</w:t>
          </w:r>
          <w:r>
            <w:rPr>
              <w:rFonts w:hint="eastAsia" w:ascii="方正楷体_GB2312" w:hAnsi="方正楷体_GB2312" w:eastAsia="方正楷体_GB2312" w:cs="方正楷体_GB2312"/>
              <w:b/>
              <w:bCs/>
              <w:i w:val="0"/>
              <w:caps w:val="0"/>
              <w:spacing w:val="0"/>
              <w:w w:val="100"/>
              <w:kern w:val="44"/>
              <w:sz w:val="30"/>
              <w:szCs w:val="30"/>
              <w:lang w:val="en-US" w:eastAsia="zh-CN" w:bidi="ar-SA"/>
            </w:rPr>
            <w:t>四部分 附件</w:t>
          </w:r>
          <w:r>
            <w:rPr>
              <w:rFonts w:hint="eastAsia" w:ascii="方正楷体_GB2312" w:hAnsi="方正楷体_GB2312" w:eastAsia="方正楷体_GB2312" w:cs="方正楷体_GB2312"/>
              <w:b/>
              <w:sz w:val="30"/>
              <w:szCs w:val="30"/>
            </w:rPr>
            <w:tab/>
          </w:r>
          <w:r>
            <w:rPr>
              <w:rFonts w:hint="eastAsia" w:ascii="方正楷体_GB2312" w:hAnsi="方正楷体_GB2312" w:eastAsia="方正楷体_GB2312" w:cs="方正楷体_GB2312"/>
              <w:b/>
              <w:sz w:val="30"/>
              <w:szCs w:val="30"/>
            </w:rPr>
            <w:fldChar w:fldCharType="begin"/>
          </w:r>
          <w:r>
            <w:rPr>
              <w:rFonts w:hint="eastAsia" w:ascii="方正楷体_GB2312" w:hAnsi="方正楷体_GB2312" w:eastAsia="方正楷体_GB2312" w:cs="方正楷体_GB2312"/>
              <w:b/>
              <w:sz w:val="30"/>
              <w:szCs w:val="30"/>
            </w:rPr>
            <w:instrText xml:space="preserve"> PAGEREF _Toc23228 \h </w:instrText>
          </w:r>
          <w:r>
            <w:rPr>
              <w:rFonts w:hint="eastAsia" w:ascii="方正楷体_GB2312" w:hAnsi="方正楷体_GB2312" w:eastAsia="方正楷体_GB2312" w:cs="方正楷体_GB2312"/>
              <w:b/>
              <w:sz w:val="30"/>
              <w:szCs w:val="30"/>
            </w:rPr>
            <w:fldChar w:fldCharType="separate"/>
          </w:r>
          <w:r>
            <w:rPr>
              <w:rFonts w:hint="eastAsia" w:ascii="方正楷体_GB2312" w:hAnsi="方正楷体_GB2312" w:eastAsia="方正楷体_GB2312" w:cs="方正楷体_GB2312"/>
              <w:b/>
              <w:sz w:val="30"/>
              <w:szCs w:val="30"/>
            </w:rPr>
            <w:t>33</w:t>
          </w:r>
          <w:r>
            <w:rPr>
              <w:rFonts w:hint="eastAsia" w:ascii="方正楷体_GB2312" w:hAnsi="方正楷体_GB2312" w:eastAsia="方正楷体_GB2312" w:cs="方正楷体_GB2312"/>
              <w:b/>
              <w:sz w:val="30"/>
              <w:szCs w:val="30"/>
            </w:rPr>
            <w:fldChar w:fldCharType="end"/>
          </w:r>
          <w:r>
            <w:rPr>
              <w:rFonts w:hint="eastAsia" w:ascii="方正楷体_GB2312" w:hAnsi="方正楷体_GB2312" w:eastAsia="方正楷体_GB2312" w:cs="方正楷体_GB2312"/>
              <w:b/>
              <w:i w:val="0"/>
              <w:caps w:val="0"/>
              <w:spacing w:val="0"/>
              <w:w w:val="100"/>
              <w:sz w:val="30"/>
              <w:szCs w:val="30"/>
            </w:rPr>
            <w:fldChar w:fldCharType="end"/>
          </w:r>
        </w:p>
        <w:p w14:paraId="547C68D1">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_Toc4980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附件1</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_Toc4980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33</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50727FE6">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_Toc4482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0"/>
              <w:sz w:val="30"/>
              <w:szCs w:val="30"/>
              <w:lang w:val="en-US" w:eastAsia="zh-CN" w:bidi="ar-SA"/>
            </w:rPr>
            <w:t>一、</w:t>
          </w:r>
          <w:r>
            <w:rPr>
              <w:rFonts w:hint="eastAsia" w:ascii="方正楷体_GB2312" w:hAnsi="方正楷体_GB2312" w:eastAsia="方正楷体_GB2312" w:cs="方正楷体_GB2312"/>
              <w:i w:val="0"/>
              <w:caps w:val="0"/>
              <w:spacing w:val="0"/>
              <w:w w:val="100"/>
              <w:kern w:val="0"/>
              <w:sz w:val="30"/>
              <w:szCs w:val="30"/>
              <w:lang w:val="zh-CN" w:eastAsia="zh-CN" w:bidi="ar-SA"/>
            </w:rPr>
            <w:t>部门（单位）概况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_Toc4482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33</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0DA7E0D0">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_Toc27048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0"/>
              <w:sz w:val="30"/>
              <w:szCs w:val="30"/>
              <w:lang w:val="en-US" w:eastAsia="zh-CN" w:bidi="ar-SA"/>
            </w:rPr>
            <w:t>二、部门财政资金收支情况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_Toc27048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35</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141BFEC0">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_Toc18811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0"/>
              <w:sz w:val="30"/>
              <w:szCs w:val="30"/>
              <w:lang w:val="en-US" w:eastAsia="zh-CN" w:bidi="ar-SA"/>
            </w:rPr>
            <w:t>三、部门整体预算绩效管理情况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_Toc18811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35</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0453940B">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_Toc5024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0"/>
              <w:sz w:val="30"/>
              <w:szCs w:val="30"/>
              <w:lang w:val="en-US" w:eastAsia="zh-CN" w:bidi="ar-SA"/>
            </w:rPr>
            <w:t>四、评价结论及建议</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_Toc5024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36</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77926B51">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_Toc20741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一、项目概况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_Toc20741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37</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3CF511B0">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_Toc31559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二、项目实施及管理情况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_Toc31559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39</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4B373A4C">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_Toc29533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三、项目绩效情况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_Toc29533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39</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46288CA0">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_Toc3066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四、问题及建议</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_Toc3066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40</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3DA8A3F0">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_Toc20276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一、</w:t>
          </w:r>
          <w:r>
            <w:rPr>
              <w:rFonts w:hint="eastAsia" w:ascii="方正楷体_GB2312" w:hAnsi="方正楷体_GB2312" w:eastAsia="方正楷体_GB2312" w:cs="方正楷体_GB2312"/>
              <w:i w:val="0"/>
              <w:caps w:val="0"/>
              <w:spacing w:val="0"/>
              <w:w w:val="100"/>
              <w:kern w:val="2"/>
              <w:sz w:val="30"/>
              <w:szCs w:val="30"/>
              <w:lang w:val="zh-CN" w:eastAsia="zh-CN" w:bidi="ar-SA"/>
            </w:rPr>
            <w:t>项目概况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_Toc20276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40</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63DA796C">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_Toc28488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二、项目资金申报及使用情况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_Toc28488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43</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4F87946B">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_Toc24309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三、项目实施及管理情况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_Toc24309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44</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0B0D1618">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_Toc14493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四、项目绩效情况</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_Toc14493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46</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5D412E5E">
          <w:pPr>
            <w:pStyle w:val="40"/>
            <w:tabs>
              <w:tab w:val="right" w:leader="dot" w:pos="8306"/>
            </w:tabs>
            <w:rPr>
              <w:rFonts w:hint="eastAsia" w:ascii="方正楷体_GB2312" w:hAnsi="方正楷体_GB2312" w:eastAsia="方正楷体_GB2312" w:cs="方正楷体_GB2312"/>
              <w:sz w:val="30"/>
              <w:szCs w:val="30"/>
            </w:rPr>
          </w:pPr>
          <w:r>
            <w:rPr>
              <w:rFonts w:hint="eastAsia" w:ascii="方正楷体_GB2312" w:hAnsi="方正楷体_GB2312" w:eastAsia="方正楷体_GB2312" w:cs="方正楷体_GB2312"/>
              <w:i w:val="0"/>
              <w:caps w:val="0"/>
              <w:spacing w:val="0"/>
              <w:w w:val="100"/>
              <w:sz w:val="30"/>
              <w:szCs w:val="30"/>
            </w:rPr>
            <w:fldChar w:fldCharType="begin"/>
          </w:r>
          <w:r>
            <w:rPr>
              <w:rFonts w:hint="eastAsia" w:ascii="方正楷体_GB2312" w:hAnsi="方正楷体_GB2312" w:eastAsia="方正楷体_GB2312" w:cs="方正楷体_GB2312"/>
              <w:i w:val="0"/>
              <w:caps w:val="0"/>
              <w:spacing w:val="0"/>
              <w:w w:val="100"/>
              <w:sz w:val="30"/>
              <w:szCs w:val="30"/>
            </w:rPr>
            <w:instrText xml:space="preserve"> HYPERLINK \l _Toc10315 </w:instrText>
          </w:r>
          <w:r>
            <w:rPr>
              <w:rFonts w:hint="eastAsia" w:ascii="方正楷体_GB2312" w:hAnsi="方正楷体_GB2312" w:eastAsia="方正楷体_GB2312" w:cs="方正楷体_GB2312"/>
              <w:i w:val="0"/>
              <w:caps w:val="0"/>
              <w:spacing w:val="0"/>
              <w:w w:val="100"/>
              <w:sz w:val="30"/>
              <w:szCs w:val="30"/>
            </w:rPr>
            <w:fldChar w:fldCharType="separate"/>
          </w:r>
          <w:r>
            <w:rPr>
              <w:rFonts w:hint="eastAsia" w:ascii="方正楷体_GB2312" w:hAnsi="方正楷体_GB2312" w:eastAsia="方正楷体_GB2312" w:cs="方正楷体_GB2312"/>
              <w:i w:val="0"/>
              <w:caps w:val="0"/>
              <w:spacing w:val="0"/>
              <w:w w:val="100"/>
              <w:kern w:val="2"/>
              <w:sz w:val="30"/>
              <w:szCs w:val="30"/>
              <w:lang w:val="en-US" w:eastAsia="zh-CN" w:bidi="ar-SA"/>
            </w:rPr>
            <w:t>五、评价结论及建议</w:t>
          </w:r>
          <w:r>
            <w:rPr>
              <w:rFonts w:hint="eastAsia" w:ascii="方正楷体_GB2312" w:hAnsi="方正楷体_GB2312" w:eastAsia="方正楷体_GB2312" w:cs="方正楷体_GB2312"/>
              <w:sz w:val="30"/>
              <w:szCs w:val="30"/>
            </w:rPr>
            <w:tab/>
          </w:r>
          <w:r>
            <w:rPr>
              <w:rFonts w:hint="eastAsia" w:ascii="方正楷体_GB2312" w:hAnsi="方正楷体_GB2312" w:eastAsia="方正楷体_GB2312" w:cs="方正楷体_GB2312"/>
              <w:sz w:val="30"/>
              <w:szCs w:val="30"/>
            </w:rPr>
            <w:fldChar w:fldCharType="begin"/>
          </w:r>
          <w:r>
            <w:rPr>
              <w:rFonts w:hint="eastAsia" w:ascii="方正楷体_GB2312" w:hAnsi="方正楷体_GB2312" w:eastAsia="方正楷体_GB2312" w:cs="方正楷体_GB2312"/>
              <w:sz w:val="30"/>
              <w:szCs w:val="30"/>
            </w:rPr>
            <w:instrText xml:space="preserve"> PAGEREF _Toc10315 \h </w:instrText>
          </w:r>
          <w:r>
            <w:rPr>
              <w:rFonts w:hint="eastAsia" w:ascii="方正楷体_GB2312" w:hAnsi="方正楷体_GB2312" w:eastAsia="方正楷体_GB2312" w:cs="方正楷体_GB2312"/>
              <w:sz w:val="30"/>
              <w:szCs w:val="30"/>
            </w:rPr>
            <w:fldChar w:fldCharType="separate"/>
          </w:r>
          <w:r>
            <w:rPr>
              <w:rFonts w:hint="eastAsia" w:ascii="方正楷体_GB2312" w:hAnsi="方正楷体_GB2312" w:eastAsia="方正楷体_GB2312" w:cs="方正楷体_GB2312"/>
              <w:sz w:val="30"/>
              <w:szCs w:val="30"/>
            </w:rPr>
            <w:t>46</w:t>
          </w:r>
          <w:r>
            <w:rPr>
              <w:rFonts w:hint="eastAsia" w:ascii="方正楷体_GB2312" w:hAnsi="方正楷体_GB2312" w:eastAsia="方正楷体_GB2312" w:cs="方正楷体_GB2312"/>
              <w:sz w:val="30"/>
              <w:szCs w:val="30"/>
            </w:rPr>
            <w:fldChar w:fldCharType="end"/>
          </w:r>
          <w:r>
            <w:rPr>
              <w:rFonts w:hint="eastAsia" w:ascii="方正楷体_GB2312" w:hAnsi="方正楷体_GB2312" w:eastAsia="方正楷体_GB2312" w:cs="方正楷体_GB2312"/>
              <w:i w:val="0"/>
              <w:caps w:val="0"/>
              <w:spacing w:val="0"/>
              <w:w w:val="100"/>
              <w:sz w:val="30"/>
              <w:szCs w:val="30"/>
            </w:rPr>
            <w:fldChar w:fldCharType="end"/>
          </w:r>
        </w:p>
        <w:p w14:paraId="383480A0">
          <w:pPr>
            <w:pStyle w:val="39"/>
            <w:tabs>
              <w:tab w:val="right" w:leader="dot" w:pos="8306"/>
            </w:tabs>
            <w:rPr>
              <w:rFonts w:hint="eastAsia" w:ascii="方正楷体_GB2312" w:hAnsi="方正楷体_GB2312" w:eastAsia="方正楷体_GB2312" w:cs="方正楷体_GB2312"/>
              <w:b/>
              <w:sz w:val="30"/>
              <w:szCs w:val="30"/>
            </w:rPr>
          </w:pPr>
          <w:r>
            <w:rPr>
              <w:rFonts w:hint="eastAsia" w:ascii="方正楷体_GB2312" w:hAnsi="方正楷体_GB2312" w:eastAsia="方正楷体_GB2312" w:cs="方正楷体_GB2312"/>
              <w:b/>
              <w:i w:val="0"/>
              <w:caps w:val="0"/>
              <w:spacing w:val="0"/>
              <w:w w:val="100"/>
              <w:sz w:val="30"/>
              <w:szCs w:val="30"/>
            </w:rPr>
            <w:fldChar w:fldCharType="begin"/>
          </w:r>
          <w:r>
            <w:rPr>
              <w:rFonts w:hint="eastAsia" w:ascii="方正楷体_GB2312" w:hAnsi="方正楷体_GB2312" w:eastAsia="方正楷体_GB2312" w:cs="方正楷体_GB2312"/>
              <w:b/>
              <w:i w:val="0"/>
              <w:caps w:val="0"/>
              <w:spacing w:val="0"/>
              <w:w w:val="100"/>
              <w:sz w:val="30"/>
              <w:szCs w:val="30"/>
            </w:rPr>
            <w:instrText xml:space="preserve"> HYPERLINK \l _Toc16191 </w:instrText>
          </w:r>
          <w:r>
            <w:rPr>
              <w:rFonts w:hint="eastAsia" w:ascii="方正楷体_GB2312" w:hAnsi="方正楷体_GB2312" w:eastAsia="方正楷体_GB2312" w:cs="方正楷体_GB2312"/>
              <w:b/>
              <w:i w:val="0"/>
              <w:caps w:val="0"/>
              <w:spacing w:val="0"/>
              <w:w w:val="100"/>
              <w:sz w:val="30"/>
              <w:szCs w:val="30"/>
            </w:rPr>
            <w:fldChar w:fldCharType="separate"/>
          </w:r>
          <w:r>
            <w:rPr>
              <w:rFonts w:hint="eastAsia" w:ascii="方正楷体_GB2312" w:hAnsi="方正楷体_GB2312" w:eastAsia="方正楷体_GB2312" w:cs="方正楷体_GB2312"/>
              <w:b/>
              <w:i w:val="0"/>
              <w:caps w:val="0"/>
              <w:spacing w:val="0"/>
              <w:w w:val="100"/>
              <w:kern w:val="2"/>
              <w:sz w:val="30"/>
              <w:szCs w:val="30"/>
              <w:lang w:val="en-US" w:eastAsia="zh-CN" w:bidi="ar-SA"/>
            </w:rPr>
            <w:t>第</w:t>
          </w:r>
          <w:r>
            <w:rPr>
              <w:rFonts w:hint="eastAsia" w:ascii="方正楷体_GB2312" w:hAnsi="方正楷体_GB2312" w:eastAsia="方正楷体_GB2312" w:cs="方正楷体_GB2312"/>
              <w:b/>
              <w:bCs/>
              <w:i w:val="0"/>
              <w:caps w:val="0"/>
              <w:spacing w:val="0"/>
              <w:w w:val="100"/>
              <w:kern w:val="44"/>
              <w:sz w:val="30"/>
              <w:szCs w:val="30"/>
              <w:lang w:val="en-US" w:eastAsia="zh-CN" w:bidi="ar-SA"/>
            </w:rPr>
            <w:t>五部分 附表</w:t>
          </w:r>
          <w:r>
            <w:rPr>
              <w:rFonts w:hint="eastAsia" w:ascii="方正楷体_GB2312" w:hAnsi="方正楷体_GB2312" w:eastAsia="方正楷体_GB2312" w:cs="方正楷体_GB2312"/>
              <w:b/>
              <w:sz w:val="30"/>
              <w:szCs w:val="30"/>
            </w:rPr>
            <w:tab/>
          </w:r>
          <w:r>
            <w:rPr>
              <w:rFonts w:hint="eastAsia" w:ascii="方正楷体_GB2312" w:hAnsi="方正楷体_GB2312" w:eastAsia="方正楷体_GB2312" w:cs="方正楷体_GB2312"/>
              <w:b/>
              <w:sz w:val="30"/>
              <w:szCs w:val="30"/>
            </w:rPr>
            <w:fldChar w:fldCharType="begin"/>
          </w:r>
          <w:r>
            <w:rPr>
              <w:rFonts w:hint="eastAsia" w:ascii="方正楷体_GB2312" w:hAnsi="方正楷体_GB2312" w:eastAsia="方正楷体_GB2312" w:cs="方正楷体_GB2312"/>
              <w:b/>
              <w:sz w:val="30"/>
              <w:szCs w:val="30"/>
            </w:rPr>
            <w:instrText xml:space="preserve"> PAGEREF _Toc16191 \h </w:instrText>
          </w:r>
          <w:r>
            <w:rPr>
              <w:rFonts w:hint="eastAsia" w:ascii="方正楷体_GB2312" w:hAnsi="方正楷体_GB2312" w:eastAsia="方正楷体_GB2312" w:cs="方正楷体_GB2312"/>
              <w:b/>
              <w:sz w:val="30"/>
              <w:szCs w:val="30"/>
            </w:rPr>
            <w:fldChar w:fldCharType="separate"/>
          </w:r>
          <w:r>
            <w:rPr>
              <w:rFonts w:hint="eastAsia" w:ascii="方正楷体_GB2312" w:hAnsi="方正楷体_GB2312" w:eastAsia="方正楷体_GB2312" w:cs="方正楷体_GB2312"/>
              <w:b/>
              <w:sz w:val="30"/>
              <w:szCs w:val="30"/>
            </w:rPr>
            <w:t>48</w:t>
          </w:r>
          <w:r>
            <w:rPr>
              <w:rFonts w:hint="eastAsia" w:ascii="方正楷体_GB2312" w:hAnsi="方正楷体_GB2312" w:eastAsia="方正楷体_GB2312" w:cs="方正楷体_GB2312"/>
              <w:b/>
              <w:sz w:val="30"/>
              <w:szCs w:val="30"/>
            </w:rPr>
            <w:fldChar w:fldCharType="end"/>
          </w:r>
          <w:r>
            <w:rPr>
              <w:rFonts w:hint="eastAsia" w:ascii="方正楷体_GB2312" w:hAnsi="方正楷体_GB2312" w:eastAsia="方正楷体_GB2312" w:cs="方正楷体_GB2312"/>
              <w:b/>
              <w:i w:val="0"/>
              <w:caps w:val="0"/>
              <w:spacing w:val="0"/>
              <w:w w:val="100"/>
              <w:sz w:val="30"/>
              <w:szCs w:val="30"/>
            </w:rPr>
            <w:fldChar w:fldCharType="end"/>
          </w:r>
        </w:p>
        <w:p w14:paraId="1D2FDE10">
          <w:pPr>
            <w:pStyle w:val="27"/>
            <w:widowControl/>
            <w:snapToGrid w:val="0"/>
            <w:spacing w:before="0" w:beforeAutospacing="0" w:after="0" w:afterAutospacing="0" w:line="440" w:lineRule="exact"/>
            <w:ind w:left="420" w:leftChars="200"/>
            <w:jc w:val="left"/>
            <w:textAlignment w:val="baseline"/>
            <w:rPr>
              <w:rStyle w:val="10"/>
              <w:rFonts w:ascii="Times New Roman" w:hAnsi="Times New Roman" w:eastAsia="宋体"/>
              <w:b w:val="0"/>
              <w:i w:val="0"/>
              <w:caps w:val="0"/>
              <w:spacing w:val="0"/>
              <w:w w:val="100"/>
              <w:sz w:val="24"/>
            </w:rPr>
          </w:pPr>
          <w:r>
            <w:rPr>
              <w:rFonts w:hint="eastAsia" w:ascii="方正楷体_GB2312" w:hAnsi="方正楷体_GB2312" w:eastAsia="方正楷体_GB2312" w:cs="方正楷体_GB2312"/>
              <w:b/>
              <w:i w:val="0"/>
              <w:caps w:val="0"/>
              <w:spacing w:val="0"/>
              <w:w w:val="100"/>
              <w:sz w:val="30"/>
              <w:szCs w:val="30"/>
            </w:rPr>
            <w:fldChar w:fldCharType="end"/>
          </w:r>
        </w:p>
      </w:sdtContent>
    </w:sdt>
    <w:p w14:paraId="5D24B7D2">
      <w:pPr>
        <w:widowControl/>
        <w:snapToGrid/>
        <w:spacing w:before="0" w:beforeAutospacing="0" w:after="0" w:afterAutospacing="0" w:line="440" w:lineRule="exact"/>
        <w:jc w:val="left"/>
        <w:textAlignment w:val="baseline"/>
        <w:rPr>
          <w:rStyle w:val="10"/>
          <w:rFonts w:ascii="仿宋" w:hAnsi="仿宋" w:eastAsia="仿宋" w:cs="Times New Roman"/>
          <w:b w:val="0"/>
          <w:bCs/>
          <w:i w:val="0"/>
          <w:caps w:val="0"/>
          <w:spacing w:val="0"/>
          <w:w w:val="100"/>
          <w:kern w:val="44"/>
          <w:sz w:val="24"/>
          <w:szCs w:val="24"/>
          <w:lang w:val="en-US" w:eastAsia="zh-CN" w:bidi="ar-SA"/>
        </w:rPr>
      </w:pPr>
    </w:p>
    <w:p w14:paraId="25705321">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Times New Roman" w:hAnsi="Times New Roman" w:eastAsia="宋体"/>
          <w:b w:val="0"/>
          <w:i w:val="0"/>
          <w:caps w:val="0"/>
          <w:spacing w:val="0"/>
          <w:w w:val="100"/>
          <w:sz w:val="21"/>
        </w:rPr>
        <w:sectPr>
          <w:footerReference r:id="rId5" w:type="default"/>
          <w:pgSz w:w="11906" w:h="16838"/>
          <w:pgMar w:top="1440" w:right="1800" w:bottom="1440" w:left="1800" w:header="851" w:footer="992" w:gutter="0"/>
          <w:lnNumType w:countBy="0"/>
          <w:pgNumType w:start="1"/>
          <w:cols w:space="720" w:num="1"/>
          <w:vAlign w:val="top"/>
          <w:docGrid w:type="lines" w:linePitch="312" w:charSpace="0"/>
        </w:sectPr>
      </w:pPr>
    </w:p>
    <w:p w14:paraId="5B763EA2">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Times New Roman" w:hAnsi="Times New Roman" w:eastAsia="宋体"/>
          <w:b w:val="0"/>
          <w:i w:val="0"/>
          <w:caps w:val="0"/>
          <w:spacing w:val="0"/>
          <w:w w:val="100"/>
          <w:sz w:val="21"/>
        </w:rPr>
      </w:pPr>
    </w:p>
    <w:p w14:paraId="1DAC87F3">
      <w:pPr>
        <w:pStyle w:val="12"/>
        <w:keepLines/>
        <w:widowControl/>
        <w:snapToGrid/>
        <w:spacing w:before="340" w:beforeAutospacing="0" w:after="330" w:afterAutospacing="0" w:line="578" w:lineRule="auto"/>
        <w:jc w:val="center"/>
        <w:textAlignment w:val="baseline"/>
        <w:outlineLvl w:val="0"/>
        <w:rPr>
          <w:rStyle w:val="16"/>
          <w:rFonts w:ascii="黑体" w:hAnsi="黑体" w:eastAsia="黑体"/>
          <w:b/>
          <w:bCs w:val="0"/>
          <w:i w:val="0"/>
          <w:caps w:val="0"/>
          <w:spacing w:val="0"/>
          <w:w w:val="100"/>
          <w:kern w:val="44"/>
          <w:sz w:val="44"/>
          <w:szCs w:val="44"/>
          <w:lang w:val="en-US" w:eastAsia="zh-CN" w:bidi="ar-SA"/>
        </w:rPr>
      </w:pPr>
      <w:bookmarkStart w:id="1" w:name="_Toc18115"/>
      <w:r>
        <w:rPr>
          <w:rStyle w:val="10"/>
          <w:rFonts w:ascii="黑体" w:hAnsi="黑体" w:eastAsia="黑体" w:cs="Times New Roman"/>
          <w:b w:val="0"/>
          <w:bCs/>
          <w:i w:val="0"/>
          <w:caps w:val="0"/>
          <w:spacing w:val="0"/>
          <w:w w:val="100"/>
          <w:kern w:val="44"/>
          <w:sz w:val="44"/>
          <w:szCs w:val="44"/>
          <w:lang w:val="en-US" w:eastAsia="zh-CN" w:bidi="ar-SA"/>
        </w:rPr>
        <w:t xml:space="preserve">第一部分 </w:t>
      </w:r>
      <w:r>
        <w:rPr>
          <w:rStyle w:val="16"/>
          <w:rFonts w:ascii="黑体" w:hAnsi="黑体" w:eastAsia="黑体"/>
          <w:b w:val="0"/>
          <w:bCs w:val="0"/>
          <w:i w:val="0"/>
          <w:caps w:val="0"/>
          <w:spacing w:val="0"/>
          <w:w w:val="100"/>
          <w:kern w:val="44"/>
          <w:sz w:val="44"/>
          <w:szCs w:val="44"/>
          <w:lang w:val="en-US" w:eastAsia="zh-CN" w:bidi="ar-SA"/>
        </w:rPr>
        <w:t>部门概况</w:t>
      </w:r>
      <w:bookmarkEnd w:id="1"/>
    </w:p>
    <w:p w14:paraId="5124EDD7">
      <w:pPr>
        <w:widowControl/>
        <w:snapToGrid/>
        <w:spacing w:before="0" w:beforeAutospacing="0" w:after="0" w:afterAutospacing="0" w:line="240" w:lineRule="auto"/>
        <w:jc w:val="left"/>
        <w:textAlignment w:val="baseline"/>
        <w:rPr>
          <w:rStyle w:val="10"/>
          <w:rFonts w:ascii="黑体" w:eastAsia="黑体"/>
          <w:b w:val="0"/>
          <w:i w:val="0"/>
          <w:caps w:val="0"/>
          <w:color w:val="000000"/>
          <w:spacing w:val="0"/>
          <w:w w:val="100"/>
          <w:kern w:val="2"/>
          <w:sz w:val="32"/>
          <w:szCs w:val="32"/>
          <w:lang w:val="en-US" w:eastAsia="zh-CN" w:bidi="ar-SA"/>
        </w:rPr>
      </w:pPr>
    </w:p>
    <w:p w14:paraId="4917795E">
      <w:pPr>
        <w:pStyle w:val="13"/>
        <w:keepLines/>
        <w:widowControl/>
        <w:snapToGrid/>
        <w:spacing w:before="260" w:beforeAutospacing="0" w:after="260" w:afterAutospacing="0" w:line="416" w:lineRule="auto"/>
        <w:jc w:val="both"/>
        <w:textAlignment w:val="baseline"/>
        <w:outlineLvl w:val="1"/>
        <w:rPr>
          <w:rStyle w:val="17"/>
          <w:rFonts w:ascii="仿宋" w:hAnsi="仿宋" w:eastAsia="仿宋"/>
          <w:b w:val="0"/>
          <w:bCs w:val="0"/>
          <w:i w:val="0"/>
          <w:caps w:val="0"/>
          <w:spacing w:val="0"/>
          <w:w w:val="100"/>
          <w:kern w:val="2"/>
          <w:sz w:val="32"/>
          <w:szCs w:val="32"/>
          <w:lang w:val="en-US" w:eastAsia="zh-CN" w:bidi="ar-SA"/>
        </w:rPr>
      </w:pPr>
      <w:bookmarkStart w:id="2" w:name="_Toc29816"/>
      <w:r>
        <w:rPr>
          <w:rStyle w:val="10"/>
          <w:rFonts w:ascii="黑体" w:hAnsi="黑体" w:eastAsia="黑体" w:cs="Times New Roman"/>
          <w:b w:val="0"/>
          <w:bCs/>
          <w:i w:val="0"/>
          <w:caps w:val="0"/>
          <w:color w:val="000000"/>
          <w:spacing w:val="0"/>
          <w:w w:val="100"/>
          <w:kern w:val="2"/>
          <w:sz w:val="32"/>
          <w:szCs w:val="32"/>
          <w:lang w:val="en-US" w:eastAsia="zh-CN" w:bidi="ar-SA"/>
        </w:rPr>
        <w:t>一、基</w:t>
      </w:r>
      <w:r>
        <w:rPr>
          <w:rStyle w:val="17"/>
          <w:rFonts w:ascii="黑体" w:hAnsi="黑体" w:eastAsia="黑体"/>
          <w:b w:val="0"/>
          <w:bCs w:val="0"/>
          <w:i w:val="0"/>
          <w:caps w:val="0"/>
          <w:spacing w:val="0"/>
          <w:w w:val="100"/>
          <w:kern w:val="2"/>
          <w:sz w:val="32"/>
          <w:szCs w:val="32"/>
          <w:lang w:val="en-US" w:eastAsia="zh-CN" w:bidi="ar-SA"/>
        </w:rPr>
        <w:t>本职能及主要工作</w:t>
      </w:r>
      <w:bookmarkEnd w:id="2"/>
    </w:p>
    <w:p w14:paraId="674738A9">
      <w:pPr>
        <w:pStyle w:val="19"/>
        <w:widowControl/>
        <w:snapToGrid w:val="0"/>
        <w:spacing w:before="93" w:beforeAutospacing="0" w:after="0" w:afterAutospacing="0" w:line="600" w:lineRule="exact"/>
        <w:jc w:val="both"/>
        <w:textAlignment w:val="baseline"/>
        <w:rPr>
          <w:rStyle w:val="10"/>
          <w:rFonts w:ascii="仿宋" w:hAnsi="仿宋" w:eastAsia="仿宋" w:cs="Times New Roman"/>
          <w:b w:val="0"/>
          <w:bCs/>
          <w:i w:val="0"/>
          <w:caps w:val="0"/>
          <w:color w:val="000000"/>
          <w:spacing w:val="0"/>
          <w:w w:val="100"/>
          <w:kern w:val="0"/>
          <w:sz w:val="32"/>
          <w:szCs w:val="32"/>
          <w:lang w:bidi="ar-SA"/>
        </w:rPr>
      </w:pPr>
      <w:r>
        <w:rPr>
          <w:rStyle w:val="10"/>
          <w:rFonts w:ascii="仿宋" w:hAnsi="仿宋" w:eastAsia="仿宋" w:cs="Times New Roman"/>
          <w:b w:val="0"/>
          <w:bCs/>
          <w:i w:val="0"/>
          <w:caps w:val="0"/>
          <w:color w:val="000000"/>
          <w:spacing w:val="0"/>
          <w:w w:val="100"/>
          <w:kern w:val="0"/>
          <w:sz w:val="32"/>
          <w:szCs w:val="32"/>
          <w:lang w:bidi="ar-SA"/>
        </w:rPr>
        <w:t>（一）主要职能。</w:t>
      </w:r>
    </w:p>
    <w:p w14:paraId="30D97CCC">
      <w:pPr>
        <w:snapToGrid w:val="0"/>
        <w:spacing w:before="0" w:beforeAutospacing="0" w:after="0" w:afterAutospacing="0" w:line="576" w:lineRule="exact"/>
        <w:ind w:firstLine="640" w:firstLineChars="200"/>
        <w:jc w:val="both"/>
        <w:textAlignment w:val="baseline"/>
        <w:rPr>
          <w:rStyle w:val="10"/>
          <w:rFonts w:ascii="仿宋_GB2312" w:hAnsi="MingLiU" w:eastAsia="仿宋_GB2312"/>
          <w:b w:val="0"/>
          <w:i w:val="0"/>
          <w:caps w:val="0"/>
          <w:color w:val="000000"/>
          <w:spacing w:val="0"/>
          <w:w w:val="100"/>
          <w:kern w:val="2"/>
          <w:sz w:val="32"/>
          <w:szCs w:val="24"/>
          <w:lang w:val="en-US" w:eastAsia="zh-CN" w:bidi="ar-SA"/>
        </w:rPr>
      </w:pPr>
      <w:r>
        <w:rPr>
          <w:rStyle w:val="10"/>
          <w:rFonts w:ascii="仿宋_GB2312" w:hAnsi="MingLiU" w:eastAsia="仿宋_GB2312"/>
          <w:b w:val="0"/>
          <w:i w:val="0"/>
          <w:caps w:val="0"/>
          <w:spacing w:val="0"/>
          <w:w w:val="100"/>
          <w:kern w:val="2"/>
          <w:sz w:val="32"/>
          <w:szCs w:val="24"/>
          <w:lang w:val="en-US" w:eastAsia="zh-CN" w:bidi="ar-SA"/>
        </w:rPr>
        <w:t>区卫生健康局贯彻落实党中央关于卫生健康工作的方针政策和省委、市委、区委的决策部署，在履行职责过程中坚持和加强党对卫生健康工作的集中统一领导。主要职责是：(1)组织拟订全区卫生健康政策。(2)牵头推进全区深化医药卫生体制改革。(3)制定并组织落实全区疾病预防控制规划、免疫规划以及严重危害人民健康的艾滋病等重大传染病、寄生虫病、地方病等公共卫生问题的干预措施。（4）贯彻落实国家应对人口老龄化政策措施。（5）贯彻落实国家药物政策和国家基本药物制度。（6）负责职责范围内的职业卫生、放射卫生、环境卫生、学校卫生、公共场所卫生、饮用水卫生等公共卫生的监督管理。（7）制定全区医疗机构、医疗服务行业管理办法并监督实施，建立医疗服</w:t>
      </w:r>
      <w:r>
        <w:rPr>
          <w:rStyle w:val="10"/>
          <w:rFonts w:ascii="仿宋_GB2312" w:hAnsi="MingLiU" w:eastAsia="仿宋_GB2312"/>
          <w:b w:val="0"/>
          <w:i w:val="0"/>
          <w:caps w:val="0"/>
          <w:color w:val="000000"/>
          <w:spacing w:val="0"/>
          <w:w w:val="100"/>
          <w:kern w:val="2"/>
          <w:sz w:val="32"/>
          <w:szCs w:val="24"/>
          <w:lang w:val="en-US" w:eastAsia="zh-CN" w:bidi="ar-SA"/>
        </w:rPr>
        <w:t>务评价和监督管理体系。（8）负责全区计划生育管理和服务工作。(9)负责全区卫生健康工作。(10)贯彻执行国家、省促进中医药事业发展的法律法规，拟订全区中医药中长期发展规划并组织实施，促进中药资源的保护、开发和合理利用，拟订全区中药产业发展规划、产业政策和中药的扶持政策并组织实施。(11)负责区确定的保健对象的医疗保健工作。负责区直有关部门（单位）离休干部医疗管理工作。负责重要会议与重大活动的医疗卫生保障工作。（12）指导区计划生育协会的业务工作。（13）依法依规履行卫生健康行业安全生产监督管理职责。负责职责范围内的生态环境保护、审批服务便民化等工作。（14）完成区委、区政府交办的其他任务。</w:t>
      </w:r>
    </w:p>
    <w:p w14:paraId="2F32004D">
      <w:pPr>
        <w:snapToGrid w:val="0"/>
        <w:spacing w:before="0" w:beforeAutospacing="0" w:after="0" w:afterAutospacing="0" w:line="576" w:lineRule="exact"/>
        <w:ind w:firstLine="640" w:firstLineChars="200"/>
        <w:jc w:val="both"/>
        <w:textAlignment w:val="baseline"/>
        <w:rPr>
          <w:rStyle w:val="10"/>
          <w:rFonts w:ascii="仿宋_GB2312" w:hAnsi="MingLiU" w:eastAsia="仿宋_GB2312"/>
          <w:b w:val="0"/>
          <w:i w:val="0"/>
          <w:caps w:val="0"/>
          <w:color w:val="000000"/>
          <w:spacing w:val="0"/>
          <w:w w:val="100"/>
          <w:kern w:val="2"/>
          <w:sz w:val="32"/>
          <w:szCs w:val="24"/>
          <w:lang w:val="en-US" w:eastAsia="zh-CN" w:bidi="ar-SA"/>
        </w:rPr>
      </w:pPr>
      <w:r>
        <w:rPr>
          <w:rStyle w:val="10"/>
          <w:rFonts w:ascii="仿宋_GB2312" w:hAnsi="MingLiU" w:eastAsia="仿宋_GB2312"/>
          <w:b w:val="0"/>
          <w:i w:val="0"/>
          <w:caps w:val="0"/>
          <w:color w:val="000000"/>
          <w:spacing w:val="0"/>
          <w:w w:val="100"/>
          <w:kern w:val="2"/>
          <w:sz w:val="32"/>
          <w:szCs w:val="24"/>
          <w:lang w:val="en-US" w:eastAsia="zh-CN" w:bidi="ar-SA"/>
        </w:rPr>
        <w:t>（二）2020年重点工作完成情况。</w:t>
      </w:r>
    </w:p>
    <w:p w14:paraId="2DF007A7">
      <w:pPr>
        <w:snapToGrid w:val="0"/>
        <w:spacing w:before="0" w:beforeAutospacing="0" w:after="0" w:afterAutospacing="0" w:line="576" w:lineRule="exact"/>
        <w:ind w:firstLine="640" w:firstLineChars="200"/>
        <w:jc w:val="both"/>
        <w:textAlignment w:val="baseline"/>
        <w:rPr>
          <w:rStyle w:val="10"/>
          <w:rFonts w:ascii="仿宋_GB2312" w:hAnsi="MingLiU" w:eastAsia="仿宋_GB2312"/>
          <w:b w:val="0"/>
          <w:i w:val="0"/>
          <w:caps w:val="0"/>
          <w:color w:val="000000"/>
          <w:spacing w:val="0"/>
          <w:w w:val="100"/>
          <w:kern w:val="2"/>
          <w:sz w:val="32"/>
          <w:szCs w:val="24"/>
          <w:lang w:val="en-US" w:eastAsia="zh-CN" w:bidi="ar-SA"/>
        </w:rPr>
      </w:pPr>
      <w:r>
        <w:rPr>
          <w:rStyle w:val="10"/>
          <w:rFonts w:ascii="仿宋_GB2312" w:hAnsi="MingLiU" w:eastAsia="仿宋_GB2312"/>
          <w:b w:val="0"/>
          <w:i w:val="0"/>
          <w:caps w:val="0"/>
          <w:color w:val="000000"/>
          <w:spacing w:val="0"/>
          <w:w w:val="100"/>
          <w:kern w:val="2"/>
          <w:sz w:val="32"/>
          <w:szCs w:val="24"/>
          <w:lang w:val="en-US" w:eastAsia="zh-CN" w:bidi="ar-SA"/>
        </w:rPr>
        <w:t>1.以党建为引领，推进党建工作与中心工作互促并进。</w:t>
      </w:r>
    </w:p>
    <w:p w14:paraId="324841E3">
      <w:pPr>
        <w:snapToGrid w:val="0"/>
        <w:spacing w:before="0" w:beforeAutospacing="0" w:after="0" w:afterAutospacing="0" w:line="576" w:lineRule="exact"/>
        <w:ind w:firstLine="640" w:firstLineChars="200"/>
        <w:jc w:val="both"/>
        <w:textAlignment w:val="baseline"/>
        <w:rPr>
          <w:rStyle w:val="10"/>
          <w:rFonts w:ascii="仿宋" w:hAnsi="仿宋" w:eastAsia="仿宋" w:cs="仿宋"/>
          <w:b w:val="0"/>
          <w:bCs/>
          <w:i w:val="0"/>
          <w:caps w:val="0"/>
          <w:color w:val="000000"/>
          <w:spacing w:val="0"/>
          <w:w w:val="100"/>
          <w:kern w:val="2"/>
          <w:sz w:val="32"/>
          <w:szCs w:val="24"/>
          <w:lang w:val="en-US" w:eastAsia="zh-CN" w:bidi="ar-SA"/>
        </w:rPr>
      </w:pPr>
      <w:r>
        <w:rPr>
          <w:rStyle w:val="10"/>
          <w:rFonts w:ascii="仿宋_GB2312" w:hAnsi="MingLiU" w:eastAsia="仿宋_GB2312"/>
          <w:b w:val="0"/>
          <w:i w:val="0"/>
          <w:caps w:val="0"/>
          <w:color w:val="000000"/>
          <w:spacing w:val="0"/>
          <w:w w:val="100"/>
          <w:kern w:val="2"/>
          <w:sz w:val="32"/>
          <w:szCs w:val="24"/>
          <w:lang w:val="en-US" w:eastAsia="zh-CN" w:bidi="ar-SA"/>
        </w:rPr>
        <w:t>卫健系统党建工作紧紧围绕党的卫生健康工作38字方针，秉承抓好党建促发展的总体思路，充分发挥党组织的政治核心作用和党员的先锋模范作用，以“不忘初心、牢记使命”“行业突出问题专项治理”“公立医院党组织领</w:t>
      </w:r>
      <w:r>
        <w:rPr>
          <w:rStyle w:val="10"/>
          <w:rFonts w:ascii="仿宋" w:hAnsi="仿宋" w:eastAsia="仿宋"/>
          <w:b w:val="0"/>
          <w:i w:val="0"/>
          <w:caps w:val="0"/>
          <w:spacing w:val="0"/>
          <w:w w:val="100"/>
          <w:kern w:val="2"/>
          <w:sz w:val="32"/>
          <w:szCs w:val="32"/>
          <w:lang w:val="en-US" w:eastAsia="zh-CN" w:bidi="ar-SA"/>
        </w:rPr>
        <w:t>导下的院长负责制改革”“党建扶贫”</w:t>
      </w:r>
      <w:r>
        <w:rPr>
          <w:rStyle w:val="10"/>
          <w:rFonts w:hint="eastAsia" w:ascii="仿宋" w:hAnsi="仿宋" w:eastAsia="仿宋"/>
          <w:b w:val="0"/>
          <w:i w:val="0"/>
          <w:caps w:val="0"/>
          <w:spacing w:val="0"/>
          <w:w w:val="100"/>
          <w:kern w:val="2"/>
          <w:sz w:val="32"/>
          <w:szCs w:val="32"/>
          <w:lang w:val="en-US" w:eastAsia="zh-CN" w:bidi="ar-SA"/>
        </w:rPr>
        <w:t>扫黑除恶</w:t>
      </w:r>
      <w:r>
        <w:rPr>
          <w:rStyle w:val="10"/>
          <w:rFonts w:ascii="仿宋" w:hAnsi="仿宋" w:eastAsia="仿宋"/>
          <w:b w:val="0"/>
          <w:i w:val="0"/>
          <w:caps w:val="0"/>
          <w:spacing w:val="0"/>
          <w:w w:val="100"/>
          <w:kern w:val="2"/>
          <w:sz w:val="32"/>
          <w:szCs w:val="32"/>
          <w:lang w:val="en-US" w:eastAsia="zh-CN" w:bidi="ar-SA"/>
        </w:rPr>
        <w:t>“党建示范点”打造等活动为载体，全面落实新时代党的建设总体要求和全面从严治党各项要求，不断提升基层党建工作的科学化水平，有力推动了系统党建工作和业务工作双促进、双提高。</w:t>
      </w:r>
    </w:p>
    <w:p w14:paraId="70833148">
      <w:pPr>
        <w:pStyle w:val="4"/>
        <w:widowControl/>
        <w:snapToGrid/>
        <w:spacing w:before="0" w:beforeAutospacing="0" w:after="0" w:afterAutospacing="0" w:line="576" w:lineRule="exact"/>
        <w:ind w:firstLine="640" w:firstLineChars="200"/>
        <w:jc w:val="both"/>
        <w:textAlignment w:val="baseline"/>
        <w:rPr>
          <w:rStyle w:val="10"/>
          <w:rFonts w:ascii="仿宋" w:hAnsi="仿宋" w:eastAsia="仿宋" w:cs="仿宋"/>
          <w:b w:val="0"/>
          <w:bCs/>
          <w:i w:val="0"/>
          <w:caps w:val="0"/>
          <w:color w:val="000000"/>
          <w:spacing w:val="0"/>
          <w:w w:val="100"/>
          <w:kern w:val="2"/>
          <w:sz w:val="32"/>
          <w:szCs w:val="32"/>
          <w:lang w:val="en-US" w:eastAsia="zh-CN" w:bidi="ar-SA"/>
        </w:rPr>
      </w:pPr>
      <w:r>
        <w:rPr>
          <w:rStyle w:val="10"/>
          <w:rFonts w:ascii="仿宋" w:hAnsi="仿宋" w:eastAsia="仿宋" w:cs="仿宋"/>
          <w:b w:val="0"/>
          <w:bCs/>
          <w:i w:val="0"/>
          <w:caps w:val="0"/>
          <w:color w:val="000000"/>
          <w:spacing w:val="0"/>
          <w:w w:val="100"/>
          <w:kern w:val="2"/>
          <w:sz w:val="32"/>
          <w:szCs w:val="32"/>
          <w:lang w:val="en-US" w:eastAsia="zh-CN" w:bidi="ar-SA"/>
        </w:rPr>
        <w:t>2.坚决守住了新冠肺炎疫情“零”底线。</w:t>
      </w:r>
    </w:p>
    <w:p w14:paraId="30F4A309">
      <w:pPr>
        <w:pStyle w:val="4"/>
        <w:widowControl/>
        <w:snapToGrid/>
        <w:spacing w:before="0" w:beforeAutospacing="0" w:after="0" w:afterAutospacing="0" w:line="576" w:lineRule="exact"/>
        <w:ind w:firstLine="640" w:firstLineChars="200"/>
        <w:jc w:val="both"/>
        <w:textAlignment w:val="baseline"/>
        <w:rPr>
          <w:rStyle w:val="10"/>
          <w:rFonts w:ascii="仿宋" w:hAnsi="仿宋" w:eastAsia="仿宋"/>
          <w:b w:val="0"/>
          <w:i w:val="0"/>
          <w:caps w:val="0"/>
          <w:spacing w:val="0"/>
          <w:w w:val="100"/>
          <w:kern w:val="2"/>
          <w:sz w:val="32"/>
          <w:szCs w:val="32"/>
          <w:lang w:val="en-US" w:eastAsia="zh-CN" w:bidi="ar-SA"/>
        </w:rPr>
      </w:pPr>
      <w:r>
        <w:rPr>
          <w:rStyle w:val="10"/>
          <w:rFonts w:ascii="仿宋" w:hAnsi="仿宋" w:eastAsia="仿宋"/>
          <w:b w:val="0"/>
          <w:i w:val="0"/>
          <w:caps w:val="0"/>
          <w:spacing w:val="0"/>
          <w:w w:val="100"/>
          <w:kern w:val="2"/>
          <w:sz w:val="32"/>
          <w:szCs w:val="32"/>
          <w:lang w:val="en-US" w:eastAsia="zh-CN" w:bidi="ar-SA"/>
        </w:rPr>
        <w:t>自新冠肺炎发生以来，我局迅速行动，把疫情防控工作作为压倒一切的重大政治任务，深入贯彻习近平总书记重要指示精神，坚决落实党中央、国务院和省、市、区委各项决策部署。作为全区疫情防控指挥部的重要组成单位，我局与疫情防控各组、镇村全面配合，落实各项防控措施。截至目前，坚决守住了新冠肺炎疫情确诊病例“零”、疑似病例“零”底线。</w:t>
      </w:r>
    </w:p>
    <w:p w14:paraId="244C2120">
      <w:pPr>
        <w:pStyle w:val="4"/>
        <w:widowControl/>
        <w:numPr>
          <w:ilvl w:val="0"/>
          <w:numId w:val="1"/>
        </w:numPr>
        <w:tabs>
          <w:tab w:val="left" w:pos="312"/>
        </w:tabs>
        <w:snapToGrid/>
        <w:spacing w:before="0" w:beforeAutospacing="0" w:after="0" w:afterAutospacing="0" w:line="576" w:lineRule="exact"/>
        <w:ind w:firstLine="640"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持续深化“4334”工作法，确保健康扶贫各项政策全面落实落地。</w:t>
      </w:r>
    </w:p>
    <w:p w14:paraId="12D87F3C">
      <w:pPr>
        <w:pStyle w:val="4"/>
        <w:widowControl/>
        <w:snapToGrid/>
        <w:spacing w:before="0" w:beforeAutospacing="0" w:after="0" w:afterAutospacing="0" w:line="576" w:lineRule="exact"/>
        <w:ind w:firstLine="643" w:firstLineChars="200"/>
        <w:jc w:val="both"/>
        <w:textAlignment w:val="baseline"/>
        <w:rPr>
          <w:rStyle w:val="10"/>
          <w:rFonts w:ascii="仿宋" w:hAnsi="仿宋" w:eastAsia="仿宋" w:cs="仿宋"/>
          <w:b w:val="0"/>
          <w:bCs/>
          <w:i w:val="0"/>
          <w:caps w:val="0"/>
          <w:color w:val="000000"/>
          <w:spacing w:val="0"/>
          <w:w w:val="100"/>
          <w:kern w:val="2"/>
          <w:sz w:val="32"/>
          <w:szCs w:val="32"/>
          <w:lang w:val="en-US" w:eastAsia="zh-CN" w:bidi="ar-SA"/>
        </w:rPr>
      </w:pPr>
      <w:r>
        <w:rPr>
          <w:rStyle w:val="10"/>
          <w:rFonts w:ascii="仿宋" w:hAnsi="仿宋" w:eastAsia="仿宋" w:cs="仿宋"/>
          <w:b/>
          <w:bCs/>
          <w:i w:val="0"/>
          <w:caps w:val="0"/>
          <w:spacing w:val="0"/>
          <w:w w:val="100"/>
          <w:kern w:val="2"/>
          <w:sz w:val="32"/>
          <w:szCs w:val="32"/>
          <w:lang w:val="en-US" w:eastAsia="zh-CN" w:bidi="ar-SA"/>
        </w:rPr>
        <w:t>一是</w:t>
      </w:r>
      <w:r>
        <w:rPr>
          <w:rStyle w:val="10"/>
          <w:rFonts w:ascii="仿宋" w:hAnsi="仿宋" w:eastAsia="仿宋"/>
          <w:b w:val="0"/>
          <w:i w:val="0"/>
          <w:caps w:val="0"/>
          <w:color w:val="000000"/>
          <w:spacing w:val="0"/>
          <w:w w:val="100"/>
          <w:kern w:val="2"/>
          <w:sz w:val="32"/>
          <w:szCs w:val="32"/>
          <w:lang w:val="en-US" w:eastAsia="zh-CN" w:bidi="ar-SA"/>
        </w:rPr>
        <w:t>以“三</w:t>
      </w:r>
      <w:r>
        <w:rPr>
          <w:rStyle w:val="10"/>
          <w:rFonts w:ascii="仿宋" w:hAnsi="仿宋" w:eastAsia="仿宋" w:cs="仿宋"/>
          <w:b w:val="0"/>
          <w:bCs/>
          <w:i w:val="0"/>
          <w:caps w:val="0"/>
          <w:color w:val="000000"/>
          <w:spacing w:val="3"/>
          <w:w w:val="100"/>
          <w:kern w:val="2"/>
          <w:sz w:val="32"/>
          <w:szCs w:val="32"/>
          <w:lang w:val="en-US" w:eastAsia="zh-CN" w:bidi="ar-SA"/>
        </w:rPr>
        <w:t>大行动”为抓手，全面提升医疗服务能力。</w:t>
      </w:r>
      <w:r>
        <w:rPr>
          <w:rStyle w:val="10"/>
          <w:rFonts w:ascii="仿宋" w:hAnsi="仿宋" w:eastAsia="仿宋" w:cs="仿宋"/>
          <w:b/>
          <w:bCs/>
          <w:i w:val="0"/>
          <w:caps w:val="0"/>
          <w:color w:val="000000"/>
          <w:spacing w:val="0"/>
          <w:w w:val="100"/>
          <w:kern w:val="2"/>
          <w:sz w:val="32"/>
          <w:szCs w:val="32"/>
          <w:lang w:val="en-US" w:eastAsia="zh-CN" w:bidi="ar-SA"/>
        </w:rPr>
        <w:t>二是</w:t>
      </w:r>
      <w:r>
        <w:rPr>
          <w:rStyle w:val="10"/>
          <w:rFonts w:ascii="仿宋" w:hAnsi="仿宋" w:eastAsia="仿宋"/>
          <w:b w:val="0"/>
          <w:i w:val="0"/>
          <w:caps w:val="0"/>
          <w:color w:val="000000"/>
          <w:spacing w:val="0"/>
          <w:w w:val="100"/>
          <w:kern w:val="2"/>
          <w:sz w:val="32"/>
          <w:szCs w:val="32"/>
          <w:lang w:val="en-US" w:eastAsia="zh-CN" w:bidi="ar-SA"/>
        </w:rPr>
        <w:t>在医保倾斜救助的基础上，统筹好健康扶贫专项资金，用于贫困患者区内住院、慢病门诊维持治疗费用90%兜底救助。</w:t>
      </w:r>
      <w:r>
        <w:rPr>
          <w:rStyle w:val="10"/>
          <w:rFonts w:ascii="仿宋" w:hAnsi="仿宋" w:eastAsia="仿宋" w:cs="仿宋"/>
          <w:b/>
          <w:bCs/>
          <w:i w:val="0"/>
          <w:caps w:val="0"/>
          <w:color w:val="000000"/>
          <w:spacing w:val="0"/>
          <w:w w:val="100"/>
          <w:kern w:val="2"/>
          <w:sz w:val="32"/>
          <w:szCs w:val="32"/>
          <w:lang w:val="en-US" w:eastAsia="zh-CN" w:bidi="ar-SA"/>
        </w:rPr>
        <w:t>三是</w:t>
      </w:r>
      <w:r>
        <w:rPr>
          <w:rStyle w:val="10"/>
          <w:rFonts w:ascii="仿宋" w:hAnsi="仿宋" w:eastAsia="仿宋"/>
          <w:b w:val="0"/>
          <w:i w:val="0"/>
          <w:caps w:val="0"/>
          <w:color w:val="000000"/>
          <w:spacing w:val="0"/>
          <w:w w:val="100"/>
          <w:kern w:val="2"/>
          <w:sz w:val="32"/>
          <w:szCs w:val="32"/>
          <w:lang w:val="en-US" w:eastAsia="zh-CN" w:bidi="ar-SA"/>
        </w:rPr>
        <w:t>坚持“亲情帮扶、回乡扶贫”的工作理念，组建结对帮扶团队，实行“1+N”结对帮扶，确保1名医务人员结对帮扶1名或多名贫困患者。</w:t>
      </w:r>
      <w:r>
        <w:rPr>
          <w:rStyle w:val="10"/>
          <w:rFonts w:ascii="仿宋" w:hAnsi="仿宋" w:eastAsia="仿宋" w:cs="仿宋"/>
          <w:b/>
          <w:bCs/>
          <w:i w:val="0"/>
          <w:caps w:val="0"/>
          <w:spacing w:val="0"/>
          <w:w w:val="100"/>
          <w:kern w:val="2"/>
          <w:sz w:val="32"/>
          <w:szCs w:val="32"/>
          <w:lang w:val="en-US" w:eastAsia="zh-CN" w:bidi="ar-SA"/>
        </w:rPr>
        <w:t>四是</w:t>
      </w:r>
      <w:r>
        <w:rPr>
          <w:rStyle w:val="10"/>
          <w:rFonts w:ascii="仿宋" w:hAnsi="仿宋" w:eastAsia="仿宋"/>
          <w:b w:val="0"/>
          <w:i w:val="0"/>
          <w:caps w:val="0"/>
          <w:spacing w:val="0"/>
          <w:w w:val="100"/>
          <w:kern w:val="2"/>
          <w:sz w:val="32"/>
          <w:szCs w:val="32"/>
          <w:lang w:val="en-US" w:eastAsia="zh-CN" w:bidi="ar-SA"/>
        </w:rPr>
        <w:t>持续巩固优化“三集中、三个一站式结算”模式。</w:t>
      </w:r>
      <w:r>
        <w:rPr>
          <w:rStyle w:val="10"/>
          <w:rFonts w:ascii="仿宋" w:hAnsi="仿宋" w:eastAsia="仿宋" w:cs="仿宋"/>
          <w:b/>
          <w:bCs/>
          <w:i w:val="0"/>
          <w:caps w:val="0"/>
          <w:spacing w:val="0"/>
          <w:w w:val="100"/>
          <w:kern w:val="2"/>
          <w:sz w:val="32"/>
          <w:szCs w:val="32"/>
          <w:lang w:val="en-US" w:eastAsia="zh-CN" w:bidi="ar-SA"/>
        </w:rPr>
        <w:t>五是</w:t>
      </w:r>
      <w:r>
        <w:rPr>
          <w:rStyle w:val="10"/>
          <w:rFonts w:ascii="仿宋" w:hAnsi="仿宋" w:eastAsia="仿宋"/>
          <w:b w:val="0"/>
          <w:i w:val="0"/>
          <w:caps w:val="0"/>
          <w:spacing w:val="0"/>
          <w:w w:val="100"/>
          <w:kern w:val="2"/>
          <w:sz w:val="32"/>
          <w:szCs w:val="32"/>
          <w:lang w:val="en-US" w:eastAsia="zh-CN" w:bidi="ar-SA"/>
        </w:rPr>
        <w:t>坚持“防治结合”“以防为主”理念，从源头上阻击“因病致贫、因病返贫”发生诱因，实现群众“少生病、晚生病”目标。</w:t>
      </w:r>
      <w:r>
        <w:rPr>
          <w:rStyle w:val="10"/>
          <w:rFonts w:ascii="仿宋" w:hAnsi="仿宋" w:eastAsia="仿宋" w:cs="仿宋"/>
          <w:b/>
          <w:bCs/>
          <w:i w:val="0"/>
          <w:caps w:val="0"/>
          <w:spacing w:val="0"/>
          <w:w w:val="100"/>
          <w:kern w:val="2"/>
          <w:sz w:val="32"/>
          <w:szCs w:val="32"/>
          <w:lang w:val="en-US" w:eastAsia="zh-CN" w:bidi="ar-SA"/>
        </w:rPr>
        <w:t>六是</w:t>
      </w:r>
      <w:r>
        <w:rPr>
          <w:rStyle w:val="10"/>
          <w:rFonts w:ascii="仿宋" w:hAnsi="仿宋" w:eastAsia="仿宋"/>
          <w:b w:val="0"/>
          <w:i w:val="0"/>
          <w:caps w:val="0"/>
          <w:spacing w:val="0"/>
          <w:w w:val="100"/>
          <w:kern w:val="2"/>
          <w:sz w:val="32"/>
          <w:szCs w:val="32"/>
          <w:lang w:val="en-US" w:eastAsia="zh-CN" w:bidi="ar-SA"/>
        </w:rPr>
        <w:t>进一步明确围绕“三项内容”开展总复习、健全“三个体系”决胜收官战。</w:t>
      </w:r>
    </w:p>
    <w:p w14:paraId="0B88AC92">
      <w:pPr>
        <w:snapToGrid/>
        <w:spacing w:before="0" w:beforeAutospacing="0" w:after="0" w:afterAutospacing="0" w:line="240" w:lineRule="auto"/>
        <w:ind w:firstLine="640" w:firstLineChars="200"/>
        <w:jc w:val="both"/>
        <w:textAlignment w:val="baseline"/>
        <w:rPr>
          <w:rStyle w:val="10"/>
          <w:rFonts w:ascii="仿宋" w:hAnsi="仿宋" w:eastAsia="仿宋" w:cs="仿宋"/>
          <w:b w:val="0"/>
          <w:bCs/>
          <w:i w:val="0"/>
          <w:caps w:val="0"/>
          <w:color w:val="000000"/>
          <w:spacing w:val="0"/>
          <w:w w:val="100"/>
          <w:kern w:val="2"/>
          <w:sz w:val="32"/>
          <w:szCs w:val="32"/>
          <w:lang w:val="en-US" w:eastAsia="zh-CN" w:bidi="ar-SA"/>
        </w:rPr>
      </w:pPr>
      <w:r>
        <w:rPr>
          <w:rStyle w:val="10"/>
          <w:rFonts w:ascii="仿宋" w:hAnsi="仿宋" w:eastAsia="仿宋" w:cs="仿宋"/>
          <w:b w:val="0"/>
          <w:bCs/>
          <w:i w:val="0"/>
          <w:caps w:val="0"/>
          <w:color w:val="000000"/>
          <w:spacing w:val="0"/>
          <w:w w:val="100"/>
          <w:kern w:val="2"/>
          <w:sz w:val="32"/>
          <w:szCs w:val="32"/>
          <w:lang w:val="en-US" w:eastAsia="zh-CN" w:bidi="ar-SA"/>
        </w:rPr>
        <w:t>4.柔性引进四川大学华西医院博士，建立昭化区“博士工作站”。</w:t>
      </w:r>
    </w:p>
    <w:p w14:paraId="62560F29">
      <w:pPr>
        <w:snapToGrid/>
        <w:spacing w:before="0" w:beforeAutospacing="0" w:after="0" w:afterAutospacing="0" w:line="576" w:lineRule="atLeast"/>
        <w:ind w:firstLine="640" w:firstLineChars="200"/>
        <w:jc w:val="left"/>
        <w:textAlignment w:val="baseline"/>
        <w:rPr>
          <w:rStyle w:val="10"/>
          <w:rFonts w:ascii="仿宋" w:hAnsi="仿宋" w:eastAsia="仿宋" w:cs="Times New Roman"/>
          <w:b w:val="0"/>
          <w:bCs/>
          <w:i w:val="0"/>
          <w:caps w:val="0"/>
          <w:color w:val="000000"/>
          <w:spacing w:val="0"/>
          <w:w w:val="100"/>
          <w:kern w:val="2"/>
          <w:sz w:val="32"/>
          <w:szCs w:val="32"/>
          <w:lang w:val="en-US" w:eastAsia="zh-CN" w:bidi="ar-SA"/>
        </w:rPr>
      </w:pPr>
      <w:r>
        <w:rPr>
          <w:rStyle w:val="10"/>
          <w:rFonts w:ascii="仿宋" w:hAnsi="仿宋" w:eastAsia="仿宋"/>
          <w:b w:val="0"/>
          <w:i w:val="0"/>
          <w:caps w:val="0"/>
          <w:spacing w:val="0"/>
          <w:w w:val="100"/>
          <w:kern w:val="2"/>
          <w:sz w:val="32"/>
          <w:szCs w:val="32"/>
          <w:lang w:val="en-US" w:eastAsia="zh-CN" w:bidi="ar-SA"/>
        </w:rPr>
        <w:t>按照区委、区政府领导调研指示精神，和我区</w:t>
      </w:r>
      <w:r>
        <w:rPr>
          <w:rStyle w:val="10"/>
          <w:rFonts w:ascii="仿宋" w:hAnsi="仿宋" w:eastAsia="仿宋"/>
          <w:b w:val="0"/>
          <w:i w:val="0"/>
          <w:caps w:val="0"/>
          <w:color w:val="000000"/>
          <w:spacing w:val="0"/>
          <w:w w:val="100"/>
          <w:kern w:val="2"/>
          <w:sz w:val="32"/>
          <w:szCs w:val="32"/>
          <w:lang w:val="en-US" w:eastAsia="zh-CN" w:bidi="ar-SA"/>
        </w:rPr>
        <w:t>加大人才培养力度、多方招引高层次人才、柔性引进成熟型专家教授的人才战略要求，结合全市“周末工程师”柔性引才计划，投入资金70万元，柔性引进四川大学华西医院针灸康复、心血管内科、消化内科、呼吸内科、神经内科等5名医学博士，组建“博士工作站”达到“育人才、带团队、强学科、兴技术”的目的。同时通过教学查房、专题讨论、学术讲座、“师带徒”等方式，促进医院医疗技术大幅提升、服务能力不断增强，切实为广大人民群众提供三甲医院高精尖医疗服务。</w:t>
      </w:r>
    </w:p>
    <w:p w14:paraId="0DCC9CDC">
      <w:pPr>
        <w:pStyle w:val="13"/>
        <w:keepLines/>
        <w:widowControl/>
        <w:numPr>
          <w:ilvl w:val="0"/>
          <w:numId w:val="2"/>
        </w:numPr>
        <w:snapToGrid/>
        <w:spacing w:before="260" w:beforeAutospacing="0" w:after="260" w:afterAutospacing="0" w:line="416" w:lineRule="auto"/>
        <w:jc w:val="both"/>
        <w:textAlignment w:val="baseline"/>
        <w:outlineLvl w:val="1"/>
        <w:rPr>
          <w:rStyle w:val="17"/>
          <w:rFonts w:ascii="黑体" w:hAnsi="黑体" w:eastAsia="黑体"/>
          <w:b w:val="0"/>
          <w:bCs w:val="0"/>
          <w:i w:val="0"/>
          <w:caps w:val="0"/>
          <w:spacing w:val="0"/>
          <w:w w:val="100"/>
          <w:kern w:val="2"/>
          <w:sz w:val="32"/>
          <w:szCs w:val="32"/>
          <w:lang w:val="en-US" w:eastAsia="zh-CN" w:bidi="ar-SA"/>
        </w:rPr>
      </w:pPr>
      <w:bookmarkStart w:id="3" w:name="_Toc21035"/>
      <w:r>
        <w:rPr>
          <w:rStyle w:val="10"/>
          <w:rFonts w:ascii="黑体" w:hAnsi="黑体" w:eastAsia="黑体" w:cs="Times New Roman"/>
          <w:b w:val="0"/>
          <w:bCs/>
          <w:i w:val="0"/>
          <w:caps w:val="0"/>
          <w:color w:val="000000"/>
          <w:spacing w:val="0"/>
          <w:w w:val="100"/>
          <w:kern w:val="2"/>
          <w:sz w:val="32"/>
          <w:szCs w:val="32"/>
          <w:lang w:val="en-US" w:eastAsia="zh-CN" w:bidi="ar-SA"/>
        </w:rPr>
        <w:t>机</w:t>
      </w:r>
      <w:r>
        <w:rPr>
          <w:rStyle w:val="17"/>
          <w:rFonts w:ascii="黑体" w:hAnsi="黑体" w:eastAsia="黑体"/>
          <w:b w:val="0"/>
          <w:bCs w:val="0"/>
          <w:i w:val="0"/>
          <w:caps w:val="0"/>
          <w:spacing w:val="0"/>
          <w:w w:val="100"/>
          <w:kern w:val="2"/>
          <w:sz w:val="32"/>
          <w:szCs w:val="32"/>
          <w:lang w:val="en-US" w:eastAsia="zh-CN" w:bidi="ar-SA"/>
        </w:rPr>
        <w:t>构设置</w:t>
      </w:r>
      <w:bookmarkEnd w:id="3"/>
    </w:p>
    <w:p w14:paraId="09FDF518">
      <w:pPr>
        <w:pStyle w:val="19"/>
        <w:widowControl/>
        <w:snapToGrid w:val="0"/>
        <w:spacing w:before="93" w:beforeAutospacing="0" w:after="0" w:afterAutospacing="0" w:line="600" w:lineRule="exact"/>
        <w:ind w:firstLine="640" w:firstLineChars="200"/>
        <w:jc w:val="both"/>
        <w:textAlignment w:val="baseline"/>
        <w:rPr>
          <w:rStyle w:val="10"/>
          <w:rFonts w:ascii="仿宋_GB2312" w:eastAsia="仿宋_GB2312"/>
          <w:b w:val="0"/>
          <w:i w:val="0"/>
          <w:caps w:val="0"/>
          <w:color w:val="000000"/>
          <w:spacing w:val="0"/>
          <w:w w:val="100"/>
          <w:kern w:val="0"/>
          <w:sz w:val="32"/>
          <w:szCs w:val="32"/>
          <w:lang w:bidi="ar-SA"/>
        </w:rPr>
      </w:pPr>
      <w:r>
        <w:rPr>
          <w:rStyle w:val="10"/>
          <w:rFonts w:ascii="仿宋_GB2312" w:eastAsia="仿宋_GB2312"/>
          <w:b w:val="0"/>
          <w:i w:val="0"/>
          <w:caps w:val="0"/>
          <w:color w:val="000000"/>
          <w:spacing w:val="0"/>
          <w:w w:val="100"/>
          <w:kern w:val="0"/>
          <w:sz w:val="32"/>
          <w:szCs w:val="32"/>
          <w:lang w:bidi="ar-SA"/>
        </w:rPr>
        <w:t>昭化区卫生健康局下属二级单位33个(区人民医院经费独立核算、区社区卫生服务中心纳入局机关核算），其中参照公务员法管理的事业单位</w:t>
      </w:r>
      <w:r>
        <w:rPr>
          <w:rStyle w:val="10"/>
          <w:rFonts w:ascii="仿宋_GB2312" w:eastAsia="仿宋_GB2312" w:cs="Times New Roman"/>
          <w:b w:val="0"/>
          <w:bCs/>
          <w:i w:val="0"/>
          <w:caps w:val="0"/>
          <w:color w:val="000000"/>
          <w:spacing w:val="0"/>
          <w:w w:val="100"/>
          <w:kern w:val="0"/>
          <w:sz w:val="32"/>
          <w:szCs w:val="32"/>
          <w:lang w:bidi="ar-SA"/>
        </w:rPr>
        <w:t>1</w:t>
      </w:r>
      <w:r>
        <w:rPr>
          <w:rStyle w:val="10"/>
          <w:rFonts w:ascii="仿宋_GB2312" w:eastAsia="仿宋_GB2312"/>
          <w:b w:val="0"/>
          <w:i w:val="0"/>
          <w:caps w:val="0"/>
          <w:color w:val="000000"/>
          <w:spacing w:val="0"/>
          <w:w w:val="100"/>
          <w:kern w:val="0"/>
          <w:sz w:val="32"/>
          <w:szCs w:val="32"/>
          <w:lang w:bidi="ar-SA"/>
        </w:rPr>
        <w:t>个，其他事业单位3</w:t>
      </w:r>
      <w:r>
        <w:rPr>
          <w:rStyle w:val="10"/>
          <w:rFonts w:ascii="仿宋_GB2312" w:eastAsia="仿宋_GB2312"/>
          <w:b w:val="0"/>
          <w:i w:val="0"/>
          <w:caps w:val="0"/>
          <w:color w:val="000000"/>
          <w:spacing w:val="0"/>
          <w:w w:val="100"/>
          <w:kern w:val="0"/>
          <w:sz w:val="32"/>
          <w:szCs w:val="32"/>
          <w:lang w:val="en-US" w:eastAsia="zh-CN" w:bidi="ar-SA"/>
        </w:rPr>
        <w:t>2</w:t>
      </w:r>
      <w:r>
        <w:rPr>
          <w:rStyle w:val="10"/>
          <w:rFonts w:ascii="仿宋_GB2312" w:eastAsia="仿宋_GB2312"/>
          <w:b w:val="0"/>
          <w:i w:val="0"/>
          <w:caps w:val="0"/>
          <w:color w:val="000000"/>
          <w:spacing w:val="0"/>
          <w:w w:val="100"/>
          <w:kern w:val="0"/>
          <w:sz w:val="32"/>
          <w:szCs w:val="32"/>
          <w:lang w:bidi="ar-SA"/>
        </w:rPr>
        <w:t>个。</w:t>
      </w:r>
    </w:p>
    <w:p w14:paraId="10988B8C">
      <w:pPr>
        <w:pStyle w:val="19"/>
        <w:widowControl/>
        <w:snapToGrid w:val="0"/>
        <w:spacing w:before="93" w:beforeAutospacing="0" w:after="0" w:afterAutospacing="0" w:line="600" w:lineRule="exact"/>
        <w:ind w:firstLine="668" w:firstLineChars="209"/>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纳入卫</w:t>
      </w:r>
      <w:r>
        <w:rPr>
          <w:rStyle w:val="10"/>
          <w:rFonts w:ascii="仿宋" w:hAnsi="仿宋" w:eastAsia="仿宋"/>
          <w:b w:val="0"/>
          <w:i w:val="0"/>
          <w:caps w:val="0"/>
          <w:color w:val="000000"/>
          <w:spacing w:val="0"/>
          <w:w w:val="100"/>
          <w:kern w:val="0"/>
          <w:sz w:val="32"/>
          <w:szCs w:val="32"/>
          <w:lang w:eastAsia="zh-CN" w:bidi="ar-SA"/>
        </w:rPr>
        <w:t>健</w:t>
      </w:r>
      <w:r>
        <w:rPr>
          <w:rStyle w:val="10"/>
          <w:rFonts w:ascii="仿宋" w:hAnsi="仿宋" w:eastAsia="仿宋"/>
          <w:b w:val="0"/>
          <w:i w:val="0"/>
          <w:caps w:val="0"/>
          <w:color w:val="000000"/>
          <w:spacing w:val="0"/>
          <w:w w:val="100"/>
          <w:kern w:val="0"/>
          <w:sz w:val="32"/>
          <w:szCs w:val="32"/>
          <w:lang w:bidi="ar-SA"/>
        </w:rPr>
        <w:t>系统</w:t>
      </w:r>
      <w:r>
        <w:rPr>
          <w:rStyle w:val="10"/>
          <w:rFonts w:ascii="仿宋" w:hAnsi="仿宋" w:eastAsia="仿宋"/>
          <w:b w:val="0"/>
          <w:i w:val="0"/>
          <w:caps w:val="0"/>
          <w:color w:val="000000"/>
          <w:spacing w:val="0"/>
          <w:w w:val="100"/>
          <w:kern w:val="0"/>
          <w:sz w:val="32"/>
          <w:szCs w:val="32"/>
          <w:lang w:val="en-US" w:eastAsia="zh-CN" w:bidi="ar-SA"/>
        </w:rPr>
        <w:t>2020</w:t>
      </w:r>
      <w:r>
        <w:rPr>
          <w:rStyle w:val="10"/>
          <w:rFonts w:ascii="仿宋" w:hAnsi="仿宋" w:eastAsia="仿宋"/>
          <w:b w:val="0"/>
          <w:i w:val="0"/>
          <w:caps w:val="0"/>
          <w:color w:val="000000"/>
          <w:spacing w:val="0"/>
          <w:w w:val="100"/>
          <w:kern w:val="0"/>
          <w:sz w:val="32"/>
          <w:szCs w:val="32"/>
          <w:lang w:bidi="ar-SA"/>
        </w:rPr>
        <w:t>年度部门决算编制范围的二级预算单位包括：</w:t>
      </w:r>
    </w:p>
    <w:p w14:paraId="1D0987F6">
      <w:pPr>
        <w:pStyle w:val="19"/>
        <w:widowControl/>
        <w:numPr>
          <w:ilvl w:val="0"/>
          <w:numId w:val="3"/>
        </w:numPr>
        <w:tabs>
          <w:tab w:val="left" w:pos="312"/>
        </w:tabs>
        <w:snapToGrid w:val="0"/>
        <w:spacing w:before="93" w:beforeAutospacing="0" w:after="0" w:afterAutospacing="0" w:line="600" w:lineRule="exact"/>
        <w:ind w:firstLine="668" w:firstLineChars="209"/>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广元市昭化区卫生和计划生育监督执法大队</w:t>
      </w:r>
    </w:p>
    <w:p w14:paraId="689FD299">
      <w:pPr>
        <w:pStyle w:val="19"/>
        <w:widowControl/>
        <w:numPr>
          <w:ilvl w:val="0"/>
          <w:numId w:val="3"/>
        </w:numPr>
        <w:tabs>
          <w:tab w:val="left" w:pos="312"/>
        </w:tabs>
        <w:snapToGrid w:val="0"/>
        <w:spacing w:before="93" w:beforeAutospacing="0" w:after="0" w:afterAutospacing="0" w:line="600" w:lineRule="exact"/>
        <w:ind w:firstLine="668" w:firstLineChars="209"/>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广元市昭化区妇幼保健</w:t>
      </w:r>
      <w:r>
        <w:rPr>
          <w:rStyle w:val="10"/>
          <w:rFonts w:ascii="仿宋" w:hAnsi="仿宋" w:eastAsia="仿宋"/>
          <w:b w:val="0"/>
          <w:i w:val="0"/>
          <w:caps w:val="0"/>
          <w:color w:val="000000"/>
          <w:spacing w:val="0"/>
          <w:w w:val="100"/>
          <w:kern w:val="0"/>
          <w:sz w:val="32"/>
          <w:szCs w:val="32"/>
          <w:lang w:eastAsia="zh-CN" w:bidi="ar-SA"/>
        </w:rPr>
        <w:t>院</w:t>
      </w:r>
    </w:p>
    <w:p w14:paraId="1FA90B5A">
      <w:pPr>
        <w:pStyle w:val="19"/>
        <w:widowControl/>
        <w:numPr>
          <w:ilvl w:val="0"/>
          <w:numId w:val="3"/>
        </w:numPr>
        <w:tabs>
          <w:tab w:val="left" w:pos="312"/>
        </w:tabs>
        <w:snapToGrid w:val="0"/>
        <w:spacing w:before="93" w:beforeAutospacing="0" w:after="0" w:afterAutospacing="0" w:line="600" w:lineRule="exact"/>
        <w:ind w:firstLine="668" w:firstLineChars="209"/>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广元市昭化区疾病预防控制中心</w:t>
      </w:r>
    </w:p>
    <w:p w14:paraId="59CB421A">
      <w:pPr>
        <w:pStyle w:val="19"/>
        <w:widowControl/>
        <w:numPr>
          <w:ilvl w:val="0"/>
          <w:numId w:val="3"/>
        </w:numPr>
        <w:tabs>
          <w:tab w:val="left" w:pos="312"/>
        </w:tabs>
        <w:snapToGrid w:val="0"/>
        <w:spacing w:before="93" w:beforeAutospacing="0" w:after="0" w:afterAutospacing="0" w:line="600" w:lineRule="exact"/>
        <w:ind w:firstLine="668" w:firstLineChars="209"/>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广元市昭化区中医医院</w:t>
      </w:r>
    </w:p>
    <w:p w14:paraId="0DBA359E">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5.广元市昭化区昭化</w:t>
      </w:r>
      <w:r>
        <w:rPr>
          <w:rStyle w:val="10"/>
          <w:rFonts w:ascii="仿宋" w:hAnsi="仿宋" w:eastAsia="仿宋"/>
          <w:b w:val="0"/>
          <w:i w:val="0"/>
          <w:caps w:val="0"/>
          <w:color w:val="000000"/>
          <w:spacing w:val="0"/>
          <w:w w:val="100"/>
          <w:kern w:val="0"/>
          <w:sz w:val="32"/>
          <w:szCs w:val="32"/>
          <w:lang w:eastAsia="zh-CN" w:bidi="ar-SA"/>
        </w:rPr>
        <w:t>镇</w:t>
      </w:r>
      <w:r>
        <w:rPr>
          <w:rStyle w:val="10"/>
          <w:rFonts w:ascii="仿宋" w:hAnsi="仿宋" w:eastAsia="仿宋"/>
          <w:b w:val="0"/>
          <w:i w:val="0"/>
          <w:caps w:val="0"/>
          <w:color w:val="000000"/>
          <w:spacing w:val="0"/>
          <w:w w:val="100"/>
          <w:kern w:val="0"/>
          <w:sz w:val="32"/>
          <w:szCs w:val="32"/>
          <w:lang w:bidi="ar-SA"/>
        </w:rPr>
        <w:t>中心卫生院</w:t>
      </w:r>
    </w:p>
    <w:p w14:paraId="79D706DD">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6.广元市昭化区王家镇中心卫生院</w:t>
      </w:r>
    </w:p>
    <w:p w14:paraId="0FA41F18">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7.广元市昭化区虎跳</w:t>
      </w:r>
      <w:r>
        <w:rPr>
          <w:rStyle w:val="10"/>
          <w:rFonts w:ascii="仿宋" w:hAnsi="仿宋" w:eastAsia="仿宋"/>
          <w:b w:val="0"/>
          <w:i w:val="0"/>
          <w:caps w:val="0"/>
          <w:color w:val="000000"/>
          <w:spacing w:val="0"/>
          <w:w w:val="100"/>
          <w:kern w:val="0"/>
          <w:sz w:val="32"/>
          <w:szCs w:val="32"/>
          <w:lang w:eastAsia="zh-CN" w:bidi="ar-SA"/>
        </w:rPr>
        <w:t>镇</w:t>
      </w:r>
      <w:r>
        <w:rPr>
          <w:rStyle w:val="10"/>
          <w:rFonts w:ascii="仿宋" w:hAnsi="仿宋" w:eastAsia="仿宋"/>
          <w:b w:val="0"/>
          <w:i w:val="0"/>
          <w:caps w:val="0"/>
          <w:color w:val="000000"/>
          <w:spacing w:val="0"/>
          <w:w w:val="100"/>
          <w:kern w:val="0"/>
          <w:sz w:val="32"/>
          <w:szCs w:val="32"/>
          <w:lang w:bidi="ar-SA"/>
        </w:rPr>
        <w:t>中心卫生院</w:t>
      </w:r>
    </w:p>
    <w:p w14:paraId="56150B86">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8.广元市昭化区太公镇中心卫生院</w:t>
      </w:r>
    </w:p>
    <w:p w14:paraId="5EF8758C">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9.广元市昭化区卫子镇中心卫生院</w:t>
      </w:r>
    </w:p>
    <w:p w14:paraId="0EB4DA7D">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10.广元市昭化区明觉</w:t>
      </w:r>
      <w:r>
        <w:rPr>
          <w:rStyle w:val="10"/>
          <w:rFonts w:ascii="仿宋" w:hAnsi="仿宋" w:eastAsia="仿宋"/>
          <w:b w:val="0"/>
          <w:i w:val="0"/>
          <w:caps w:val="0"/>
          <w:color w:val="000000"/>
          <w:spacing w:val="0"/>
          <w:w w:val="100"/>
          <w:kern w:val="0"/>
          <w:sz w:val="32"/>
          <w:szCs w:val="32"/>
          <w:lang w:eastAsia="zh-CN" w:bidi="ar-SA"/>
        </w:rPr>
        <w:t>镇</w:t>
      </w:r>
      <w:r>
        <w:rPr>
          <w:rStyle w:val="10"/>
          <w:rFonts w:ascii="仿宋" w:hAnsi="仿宋" w:eastAsia="仿宋"/>
          <w:b w:val="0"/>
          <w:i w:val="0"/>
          <w:caps w:val="0"/>
          <w:color w:val="000000"/>
          <w:spacing w:val="0"/>
          <w:w w:val="100"/>
          <w:kern w:val="0"/>
          <w:sz w:val="32"/>
          <w:szCs w:val="32"/>
          <w:lang w:bidi="ar-SA"/>
        </w:rPr>
        <w:t>中心卫生院</w:t>
      </w:r>
    </w:p>
    <w:p w14:paraId="569F826E">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11.广元市昭化区磨滩镇卫生院</w:t>
      </w:r>
    </w:p>
    <w:p w14:paraId="71FC9BF1">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12.广元市昭化区清水乡卫生院</w:t>
      </w:r>
    </w:p>
    <w:p w14:paraId="458A6A37">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13.广元市昭化区石井铺镇卫生院</w:t>
      </w:r>
    </w:p>
    <w:p w14:paraId="202D4A21">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14.广元市昭化区张家乡卫生院</w:t>
      </w:r>
    </w:p>
    <w:p w14:paraId="4801B566">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15.广元市昭化区晋贤乡卫生院</w:t>
      </w:r>
    </w:p>
    <w:p w14:paraId="16DD7D93">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16.广元市昭化区柏林</w:t>
      </w:r>
      <w:r>
        <w:rPr>
          <w:rStyle w:val="10"/>
          <w:rFonts w:ascii="仿宋" w:hAnsi="仿宋" w:eastAsia="仿宋"/>
          <w:b w:val="0"/>
          <w:i w:val="0"/>
          <w:caps w:val="0"/>
          <w:color w:val="000000"/>
          <w:spacing w:val="0"/>
          <w:w w:val="100"/>
          <w:kern w:val="0"/>
          <w:sz w:val="32"/>
          <w:szCs w:val="32"/>
          <w:lang w:eastAsia="zh-CN" w:bidi="ar-SA"/>
        </w:rPr>
        <w:t>沟</w:t>
      </w:r>
      <w:r>
        <w:rPr>
          <w:rStyle w:val="10"/>
          <w:rFonts w:ascii="仿宋" w:hAnsi="仿宋" w:eastAsia="仿宋"/>
          <w:b w:val="0"/>
          <w:i w:val="0"/>
          <w:caps w:val="0"/>
          <w:color w:val="000000"/>
          <w:spacing w:val="0"/>
          <w:w w:val="100"/>
          <w:kern w:val="0"/>
          <w:sz w:val="32"/>
          <w:szCs w:val="32"/>
          <w:lang w:bidi="ar-SA"/>
        </w:rPr>
        <w:t>镇卫生院</w:t>
      </w:r>
    </w:p>
    <w:p w14:paraId="67E491D7">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17.广元市昭化区白果乡卫生院</w:t>
      </w:r>
    </w:p>
    <w:p w14:paraId="4077F3FA">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18.广元市昭化区文村乡卫生院</w:t>
      </w:r>
    </w:p>
    <w:p w14:paraId="59C2962C">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19.广元市昭化区青牛乡卫生院</w:t>
      </w:r>
    </w:p>
    <w:p w14:paraId="1B167596">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20.广元市昭化区射箭乡卫生院</w:t>
      </w:r>
    </w:p>
    <w:p w14:paraId="5D744212">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21.广元市昭化区梅树乡卫生院</w:t>
      </w:r>
    </w:p>
    <w:p w14:paraId="3B2A4CC4">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22.广元市昭化区黄龙乡卫生院</w:t>
      </w:r>
    </w:p>
    <w:p w14:paraId="303D5BEE">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23.广元市昭化区红岩镇卫生院</w:t>
      </w:r>
    </w:p>
    <w:p w14:paraId="2383C40B">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24.广元市昭化区朝阳乡卫生院</w:t>
      </w:r>
    </w:p>
    <w:p w14:paraId="0F688686">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25.广元市昭化区柳桥乡卫生院</w:t>
      </w:r>
    </w:p>
    <w:p w14:paraId="4A809463">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26.广元市昭化区陈江乡卫生院</w:t>
      </w:r>
    </w:p>
    <w:p w14:paraId="045F9784">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27.广元市昭化区丁家乡卫生院</w:t>
      </w:r>
    </w:p>
    <w:p w14:paraId="10BC9B15">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28.广元市昭化区紫云乡卫生院</w:t>
      </w:r>
    </w:p>
    <w:p w14:paraId="7140113D">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29.广元市昭化区沙坝乡卫生院</w:t>
      </w:r>
    </w:p>
    <w:p w14:paraId="49463DCB">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30.广元市昭化区香溪乡卫生院</w:t>
      </w:r>
    </w:p>
    <w:p w14:paraId="1A971D68">
      <w:pPr>
        <w:pStyle w:val="19"/>
        <w:widowControl/>
        <w:snapToGrid w:val="0"/>
        <w:spacing w:before="93" w:beforeAutospacing="0" w:after="0" w:afterAutospacing="0" w:line="600" w:lineRule="exact"/>
        <w:ind w:left="672"/>
        <w:jc w:val="both"/>
        <w:textAlignment w:val="baseline"/>
        <w:rPr>
          <w:rStyle w:val="10"/>
          <w:rFonts w:ascii="仿宋" w:hAnsi="仿宋" w:eastAsia="仿宋"/>
          <w:b w:val="0"/>
          <w:i w:val="0"/>
          <w:caps w:val="0"/>
          <w:color w:val="000000"/>
          <w:spacing w:val="0"/>
          <w:w w:val="100"/>
          <w:kern w:val="0"/>
          <w:sz w:val="32"/>
          <w:szCs w:val="32"/>
          <w:lang w:bidi="ar-SA"/>
        </w:rPr>
      </w:pPr>
      <w:r>
        <w:rPr>
          <w:rStyle w:val="10"/>
          <w:rFonts w:ascii="仿宋" w:hAnsi="仿宋" w:eastAsia="仿宋"/>
          <w:b w:val="0"/>
          <w:i w:val="0"/>
          <w:caps w:val="0"/>
          <w:color w:val="000000"/>
          <w:spacing w:val="0"/>
          <w:w w:val="100"/>
          <w:kern w:val="0"/>
          <w:sz w:val="32"/>
          <w:szCs w:val="32"/>
          <w:lang w:bidi="ar-SA"/>
        </w:rPr>
        <w:t>31.广元市昭化区大朝乡卫生院</w:t>
      </w:r>
    </w:p>
    <w:p w14:paraId="1ED2DD14">
      <w:pPr>
        <w:snapToGrid/>
        <w:spacing w:before="0" w:beforeAutospacing="0" w:after="0" w:afterAutospacing="0" w:line="240" w:lineRule="auto"/>
        <w:ind w:left="420" w:leftChars="200"/>
        <w:jc w:val="both"/>
        <w:textAlignment w:val="baseline"/>
        <w:rPr>
          <w:rStyle w:val="10"/>
          <w:rFonts w:ascii="Times New Roman" w:hAnsi="Times New Roman" w:eastAsia="宋体"/>
          <w:b w:val="0"/>
          <w:i w:val="0"/>
          <w:caps w:val="0"/>
          <w:spacing w:val="0"/>
          <w:w w:val="100"/>
          <w:kern w:val="2"/>
          <w:sz w:val="21"/>
          <w:szCs w:val="24"/>
          <w:lang w:val="en-US" w:eastAsia="zh-CN" w:bidi="ar-SA"/>
        </w:rPr>
      </w:pPr>
    </w:p>
    <w:p w14:paraId="4A0B14BF">
      <w:pPr>
        <w:pStyle w:val="12"/>
        <w:keepLines/>
        <w:widowControl/>
        <w:snapToGrid/>
        <w:spacing w:before="340" w:beforeAutospacing="0" w:after="330" w:afterAutospacing="0" w:line="578" w:lineRule="auto"/>
        <w:ind w:right="440"/>
        <w:jc w:val="both"/>
        <w:textAlignment w:val="baseline"/>
        <w:outlineLvl w:val="0"/>
        <w:rPr>
          <w:rStyle w:val="16"/>
          <w:rFonts w:ascii="黑体" w:hAnsi="黑体" w:eastAsia="黑体"/>
          <w:b w:val="0"/>
          <w:bCs w:val="0"/>
          <w:i w:val="0"/>
          <w:caps w:val="0"/>
          <w:spacing w:val="0"/>
          <w:w w:val="100"/>
          <w:kern w:val="44"/>
          <w:sz w:val="44"/>
          <w:szCs w:val="44"/>
          <w:lang w:val="en-US" w:eastAsia="zh-CN" w:bidi="ar-SA"/>
        </w:rPr>
      </w:pPr>
      <w:bookmarkStart w:id="4" w:name="_Toc905"/>
      <w:r>
        <w:rPr>
          <w:rStyle w:val="10"/>
          <w:rFonts w:ascii="黑体" w:hAnsi="黑体" w:eastAsia="黑体" w:cs="Times New Roman"/>
          <w:b w:val="0"/>
          <w:bCs/>
          <w:i w:val="0"/>
          <w:caps w:val="0"/>
          <w:color w:val="000000"/>
          <w:spacing w:val="0"/>
          <w:w w:val="100"/>
          <w:kern w:val="44"/>
          <w:sz w:val="44"/>
          <w:szCs w:val="44"/>
          <w:lang w:val="en-US" w:eastAsia="zh-CN" w:bidi="ar-SA"/>
        </w:rPr>
        <w:t>第二部分</w:t>
      </w:r>
      <w:r>
        <w:rPr>
          <w:rStyle w:val="10"/>
          <w:rFonts w:ascii="黑体" w:hAnsi="黑体" w:eastAsia="黑体" w:cs="Times New Roman"/>
          <w:b/>
          <w:bCs/>
          <w:i w:val="0"/>
          <w:caps w:val="0"/>
          <w:color w:val="000000"/>
          <w:spacing w:val="0"/>
          <w:w w:val="100"/>
          <w:kern w:val="44"/>
          <w:sz w:val="44"/>
          <w:szCs w:val="44"/>
          <w:lang w:val="en-US" w:eastAsia="zh-CN" w:bidi="ar-SA"/>
        </w:rPr>
        <w:t xml:space="preserve"> </w:t>
      </w:r>
      <w:r>
        <w:rPr>
          <w:rStyle w:val="16"/>
          <w:rFonts w:ascii="黑体" w:hAnsi="黑体" w:eastAsia="黑体"/>
          <w:b w:val="0"/>
          <w:bCs w:val="0"/>
          <w:i w:val="0"/>
          <w:caps w:val="0"/>
          <w:spacing w:val="0"/>
          <w:w w:val="100"/>
          <w:kern w:val="44"/>
          <w:sz w:val="44"/>
          <w:szCs w:val="44"/>
          <w:lang w:val="en-US" w:eastAsia="zh-CN" w:bidi="ar-SA"/>
        </w:rPr>
        <w:t>2020年度部门决算情况说明</w:t>
      </w:r>
      <w:bookmarkEnd w:id="4"/>
    </w:p>
    <w:p w14:paraId="755661D8">
      <w:pPr>
        <w:snapToGrid/>
        <w:spacing w:before="0" w:beforeAutospacing="0" w:after="0" w:afterAutospacing="0" w:line="240" w:lineRule="auto"/>
        <w:jc w:val="both"/>
        <w:textAlignment w:val="baseline"/>
        <w:rPr>
          <w:rStyle w:val="10"/>
          <w:rFonts w:ascii="Times New Roman" w:hAnsi="Times New Roman" w:eastAsia="宋体"/>
          <w:b w:val="0"/>
          <w:i w:val="0"/>
          <w:caps w:val="0"/>
          <w:spacing w:val="0"/>
          <w:w w:val="100"/>
          <w:kern w:val="2"/>
          <w:sz w:val="21"/>
          <w:szCs w:val="24"/>
          <w:lang w:val="en-US" w:eastAsia="zh-CN" w:bidi="ar-SA"/>
        </w:rPr>
      </w:pPr>
    </w:p>
    <w:p w14:paraId="22FBFBE5">
      <w:pPr>
        <w:pStyle w:val="33"/>
        <w:widowControl/>
        <w:numPr>
          <w:ilvl w:val="0"/>
          <w:numId w:val="4"/>
        </w:numPr>
        <w:snapToGrid/>
        <w:spacing w:before="0" w:beforeAutospacing="0" w:after="0" w:afterAutospacing="0" w:line="600" w:lineRule="exact"/>
        <w:ind w:left="1360" w:firstLineChars="0"/>
        <w:jc w:val="both"/>
        <w:textAlignment w:val="baseline"/>
        <w:outlineLvl w:val="1"/>
        <w:rPr>
          <w:rStyle w:val="17"/>
          <w:rFonts w:ascii="黑体" w:hAnsi="黑体" w:eastAsia="黑体" w:cs="Times New Roman"/>
          <w:b w:val="0"/>
          <w:bCs/>
          <w:i w:val="0"/>
          <w:caps w:val="0"/>
          <w:spacing w:val="0"/>
          <w:w w:val="100"/>
          <w:kern w:val="2"/>
          <w:sz w:val="32"/>
          <w:szCs w:val="32"/>
        </w:rPr>
      </w:pPr>
      <w:bookmarkStart w:id="5" w:name="_Toc21308"/>
      <w:r>
        <w:rPr>
          <w:rStyle w:val="10"/>
          <w:rFonts w:ascii="黑体" w:hAnsi="黑体" w:eastAsia="黑体"/>
          <w:b w:val="0"/>
          <w:i w:val="0"/>
          <w:caps w:val="0"/>
          <w:color w:val="000000"/>
          <w:spacing w:val="0"/>
          <w:w w:val="100"/>
          <w:sz w:val="32"/>
          <w:szCs w:val="32"/>
        </w:rPr>
        <w:t>收</w:t>
      </w:r>
      <w:r>
        <w:rPr>
          <w:rStyle w:val="17"/>
          <w:rFonts w:ascii="黑体" w:hAnsi="黑体" w:eastAsia="黑体" w:cs="Times New Roman"/>
          <w:b w:val="0"/>
          <w:bCs/>
          <w:i w:val="0"/>
          <w:caps w:val="0"/>
          <w:spacing w:val="0"/>
          <w:w w:val="100"/>
          <w:kern w:val="2"/>
          <w:sz w:val="32"/>
          <w:szCs w:val="32"/>
        </w:rPr>
        <w:t>入支出决算总体情况说明</w:t>
      </w:r>
      <w:bookmarkEnd w:id="5"/>
    </w:p>
    <w:p w14:paraId="5D50E0CA">
      <w:pPr>
        <w:snapToGrid/>
        <w:spacing w:before="0" w:beforeAutospacing="0" w:after="0" w:afterAutospacing="0" w:line="600" w:lineRule="exact"/>
        <w:ind w:firstLine="640" w:firstLineChars="200"/>
        <w:jc w:val="both"/>
        <w:textAlignment w:val="baseline"/>
        <w:rPr>
          <w:rStyle w:val="10"/>
          <w:rFonts w:hint="eastAsia"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2020年卫健系统收支总计各20182.00万元，与2019年相比收、支总计各增加了</w:t>
      </w:r>
      <w:r>
        <w:rPr>
          <w:rStyle w:val="10"/>
          <w:rFonts w:ascii="仿宋" w:hAnsi="仿宋" w:eastAsia="仿宋"/>
          <w:b w:val="0"/>
          <w:i w:val="0"/>
          <w:caps w:val="0"/>
          <w:spacing w:val="0"/>
          <w:w w:val="100"/>
          <w:kern w:val="2"/>
          <w:sz w:val="32"/>
          <w:szCs w:val="32"/>
          <w:lang w:val="en-US" w:eastAsia="zh-CN" w:bidi="ar-SA"/>
        </w:rPr>
        <w:t>3266.49万元，增长19.31%。</w:t>
      </w:r>
      <w:r>
        <w:rPr>
          <w:rStyle w:val="10"/>
          <w:rFonts w:hint="eastAsia" w:ascii="仿宋" w:hAnsi="仿宋" w:eastAsia="仿宋"/>
          <w:b w:val="0"/>
          <w:i w:val="0"/>
          <w:caps w:val="0"/>
          <w:spacing w:val="0"/>
          <w:w w:val="100"/>
          <w:kern w:val="2"/>
          <w:sz w:val="32"/>
          <w:szCs w:val="32"/>
          <w:lang w:val="en-US" w:eastAsia="zh-CN" w:bidi="ar-SA"/>
        </w:rPr>
        <w:t>2020年收入增加的主要原因是一般公共预算拨款增加了1066.84万元，政府性基金（抗疫特别国债）资金增加了1757.75万元，年初结转结余增加了880.48万元，事业收入减少了430.73万元，他收入减少了7.81万元。2020年支出增加的主要原因是社会保障和就业支出增加了188.34万元，卫生健康支出增加了1365.95万元，住房保障支出增加了97.59万元，抗疫特别国债支出增加了1757.75万元，年末结转结余减少了131.10万元。农林水支出减少12万元。</w:t>
      </w:r>
    </w:p>
    <w:p w14:paraId="61B0875C">
      <w:pPr>
        <w:widowControl/>
        <w:snapToGrid/>
        <w:spacing w:before="0" w:beforeAutospacing="0" w:after="0" w:afterAutospacing="0" w:line="240" w:lineRule="auto"/>
        <w:jc w:val="left"/>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宋体" w:hAnsi="宋体"/>
          <w:b w:val="0"/>
          <w:i w:val="0"/>
          <w:caps w:val="0"/>
          <w:spacing w:val="0"/>
          <w:w w:val="100"/>
          <w:kern w:val="0"/>
          <w:sz w:val="24"/>
          <w:szCs w:val="24"/>
          <w:lang w:val="en-US" w:eastAsia="zh-CN"/>
        </w:rPr>
        <w:pict>
          <v:shape id="_x0000_i1025" o:spt="75" type="#_x0000_t75" style="height:163.5pt;width:204.75pt;" filled="f" stroked="f" coordsize="21600,21600">
            <v:path/>
            <v:fill on="f" focussize="0,0"/>
            <v:stroke on="f" joinstyle="miter"/>
            <v:imagedata r:id="rId8" o:title=""/>
            <o:lock v:ext="edit" aspectratio="t"/>
            <w10:wrap type="none"/>
            <w10:anchorlock/>
          </v:shape>
        </w:pict>
      </w:r>
    </w:p>
    <w:p w14:paraId="6849F17D">
      <w:pPr>
        <w:pStyle w:val="33"/>
        <w:widowControl/>
        <w:numPr>
          <w:ilvl w:val="0"/>
          <w:numId w:val="4"/>
        </w:numPr>
        <w:snapToGrid/>
        <w:spacing w:before="0" w:beforeAutospacing="0" w:after="0" w:afterAutospacing="0" w:line="600" w:lineRule="exact"/>
        <w:ind w:left="1360" w:firstLineChars="0"/>
        <w:jc w:val="both"/>
        <w:textAlignment w:val="baseline"/>
        <w:outlineLvl w:val="1"/>
        <w:rPr>
          <w:rStyle w:val="17"/>
          <w:rFonts w:ascii="黑体" w:hAnsi="黑体" w:eastAsia="黑体" w:cs="Times New Roman"/>
          <w:b w:val="0"/>
          <w:bCs/>
          <w:i w:val="0"/>
          <w:caps w:val="0"/>
          <w:spacing w:val="0"/>
          <w:w w:val="100"/>
          <w:kern w:val="2"/>
          <w:sz w:val="32"/>
          <w:szCs w:val="32"/>
        </w:rPr>
      </w:pPr>
      <w:bookmarkStart w:id="6" w:name="_Toc12083"/>
      <w:r>
        <w:rPr>
          <w:rStyle w:val="10"/>
          <w:rFonts w:ascii="黑体" w:hAnsi="黑体" w:eastAsia="黑体"/>
          <w:b w:val="0"/>
          <w:i w:val="0"/>
          <w:caps w:val="0"/>
          <w:color w:val="000000"/>
          <w:spacing w:val="0"/>
          <w:w w:val="100"/>
          <w:sz w:val="32"/>
          <w:szCs w:val="32"/>
        </w:rPr>
        <w:t>收</w:t>
      </w:r>
      <w:r>
        <w:rPr>
          <w:rStyle w:val="17"/>
          <w:rFonts w:ascii="黑体" w:hAnsi="黑体" w:eastAsia="黑体" w:cs="Times New Roman"/>
          <w:b w:val="0"/>
          <w:bCs/>
          <w:i w:val="0"/>
          <w:caps w:val="0"/>
          <w:spacing w:val="0"/>
          <w:w w:val="100"/>
          <w:kern w:val="2"/>
          <w:sz w:val="32"/>
          <w:szCs w:val="32"/>
        </w:rPr>
        <w:t>入决算情况说明</w:t>
      </w:r>
      <w:bookmarkEnd w:id="6"/>
    </w:p>
    <w:p w14:paraId="24D02DA9">
      <w:pPr>
        <w:snapToGrid/>
        <w:spacing w:before="0" w:beforeAutospacing="0" w:after="0" w:afterAutospacing="0" w:line="600" w:lineRule="exact"/>
        <w:ind w:firstLine="640"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2020年本年收入合计17413.69万元，其中：一般公共预算财政拨款收入10483.10万元，占60.2%；政府性基金1757.75万元，占10.09%，事业收入5168.1万元，占29.68%；其他收入4.74万元。占0.03%</w:t>
      </w:r>
    </w:p>
    <w:p w14:paraId="5F7A75D3">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仿宋" w:hAnsi="仿宋" w:eastAsia="仿宋"/>
          <w:b w:val="0"/>
          <w:i w:val="0"/>
          <w:caps w:val="0"/>
          <w:spacing w:val="0"/>
          <w:w w:val="100"/>
          <w:sz w:val="21"/>
          <w:szCs w:val="32"/>
        </w:rPr>
      </w:pPr>
      <w:r>
        <w:rPr>
          <w:rStyle w:val="10"/>
          <w:rFonts w:ascii="Times New Roman" w:hAnsi="Times New Roman" w:eastAsia="宋体"/>
          <w:b w:val="0"/>
          <w:i w:val="0"/>
          <w:caps w:val="0"/>
          <w:spacing w:val="0"/>
          <w:w w:val="100"/>
          <w:sz w:val="21"/>
        </w:rPr>
        <w:pict>
          <v:shape id="_x0000_i1026" o:spt="75" type="#_x0000_t75" style="height:232.1pt;width:309.1pt;" filled="f" stroked="f" coordsize="21600,21600">
            <v:path/>
            <v:fill on="f" focussize="0,0"/>
            <v:stroke on="f" joinstyle="miter"/>
            <v:imagedata r:id="rId9" o:title=""/>
            <o:lock v:ext="edit" aspectratio="t"/>
            <w10:wrap type="none"/>
            <w10:anchorlock/>
          </v:shape>
        </w:pict>
      </w:r>
    </w:p>
    <w:p w14:paraId="03C8093A">
      <w:pPr>
        <w:pStyle w:val="33"/>
        <w:widowControl/>
        <w:numPr>
          <w:ilvl w:val="0"/>
          <w:numId w:val="4"/>
        </w:numPr>
        <w:snapToGrid/>
        <w:spacing w:before="0" w:beforeAutospacing="0" w:after="0" w:afterAutospacing="0" w:line="600" w:lineRule="exact"/>
        <w:ind w:left="1360" w:firstLineChars="0"/>
        <w:jc w:val="both"/>
        <w:textAlignment w:val="baseline"/>
        <w:outlineLvl w:val="1"/>
        <w:rPr>
          <w:rStyle w:val="17"/>
          <w:rFonts w:ascii="黑体" w:hAnsi="黑体" w:eastAsia="黑体" w:cs="Times New Roman"/>
          <w:b w:val="0"/>
          <w:bCs/>
          <w:i w:val="0"/>
          <w:caps w:val="0"/>
          <w:spacing w:val="0"/>
          <w:w w:val="100"/>
          <w:kern w:val="2"/>
          <w:sz w:val="32"/>
          <w:szCs w:val="32"/>
        </w:rPr>
      </w:pPr>
      <w:bookmarkStart w:id="7" w:name="_Toc5839"/>
      <w:r>
        <w:rPr>
          <w:rStyle w:val="10"/>
          <w:rFonts w:ascii="黑体" w:hAnsi="黑体" w:eastAsia="黑体"/>
          <w:b w:val="0"/>
          <w:i w:val="0"/>
          <w:caps w:val="0"/>
          <w:color w:val="000000"/>
          <w:spacing w:val="0"/>
          <w:w w:val="100"/>
          <w:sz w:val="32"/>
          <w:szCs w:val="32"/>
        </w:rPr>
        <w:t>支</w:t>
      </w:r>
      <w:r>
        <w:rPr>
          <w:rStyle w:val="17"/>
          <w:rFonts w:ascii="黑体" w:hAnsi="黑体" w:eastAsia="黑体" w:cs="Times New Roman"/>
          <w:b w:val="0"/>
          <w:bCs/>
          <w:i w:val="0"/>
          <w:caps w:val="0"/>
          <w:spacing w:val="0"/>
          <w:w w:val="100"/>
          <w:kern w:val="2"/>
          <w:sz w:val="32"/>
          <w:szCs w:val="32"/>
        </w:rPr>
        <w:t>出决算情况说明</w:t>
      </w:r>
      <w:bookmarkEnd w:id="7"/>
    </w:p>
    <w:p w14:paraId="73F5933C">
      <w:pPr>
        <w:snapToGrid/>
        <w:spacing w:before="0" w:beforeAutospacing="0" w:after="0" w:afterAutospacing="0" w:line="600" w:lineRule="exact"/>
        <w:ind w:firstLine="640"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2020年本年支出合计17736.26万元，其中：基本支出10921.05万元，占61.58%；项目支出6815.21万元，占38.42%。</w:t>
      </w:r>
    </w:p>
    <w:p w14:paraId="475C7102">
      <w:pPr>
        <w:widowControl/>
        <w:snapToGrid/>
        <w:spacing w:before="0" w:beforeAutospacing="0" w:after="0" w:afterAutospacing="0" w:line="240" w:lineRule="auto"/>
        <w:jc w:val="left"/>
        <w:textAlignment w:val="baseline"/>
        <w:rPr>
          <w:rStyle w:val="10"/>
          <w:rFonts w:ascii="宋体" w:hAnsi="宋体"/>
          <w:b w:val="0"/>
          <w:i w:val="0"/>
          <w:caps w:val="0"/>
          <w:spacing w:val="0"/>
          <w:w w:val="100"/>
          <w:kern w:val="0"/>
          <w:sz w:val="24"/>
          <w:szCs w:val="24"/>
          <w:lang w:val="en-US" w:eastAsia="zh-CN"/>
        </w:rPr>
      </w:pPr>
    </w:p>
    <w:p w14:paraId="42E52FB7">
      <w:pPr>
        <w:widowControl/>
        <w:snapToGrid/>
        <w:spacing w:before="0" w:beforeAutospacing="0" w:after="0" w:afterAutospacing="0" w:line="240" w:lineRule="auto"/>
        <w:jc w:val="left"/>
        <w:textAlignment w:val="baseline"/>
        <w:rPr>
          <w:rStyle w:val="10"/>
          <w:rFonts w:ascii="黑体" w:hAnsi="黑体" w:eastAsia="黑体"/>
          <w:b w:val="0"/>
          <w:i w:val="0"/>
          <w:caps w:val="0"/>
          <w:color w:val="000000"/>
          <w:spacing w:val="0"/>
          <w:w w:val="100"/>
          <w:kern w:val="2"/>
          <w:sz w:val="32"/>
          <w:szCs w:val="32"/>
          <w:lang w:val="en-US" w:eastAsia="zh-CN" w:bidi="ar-SA"/>
        </w:rPr>
      </w:pPr>
      <w:r>
        <w:rPr>
          <w:rStyle w:val="10"/>
          <w:rFonts w:ascii="宋体" w:hAnsi="宋体"/>
          <w:b w:val="0"/>
          <w:i w:val="0"/>
          <w:caps w:val="0"/>
          <w:spacing w:val="0"/>
          <w:w w:val="100"/>
          <w:kern w:val="0"/>
          <w:sz w:val="24"/>
          <w:szCs w:val="24"/>
          <w:lang w:val="en-US" w:eastAsia="zh-CN"/>
        </w:rPr>
        <w:pict>
          <v:shape id="_x0000_i1027" o:spt="75" type="#_x0000_t75" style="height:159pt;width:240.75pt;" filled="f" stroked="f" coordsize="21600,21600">
            <v:path/>
            <v:fill on="f" focussize="0,0"/>
            <v:stroke on="f" joinstyle="miter"/>
            <v:imagedata r:id="rId10" o:title=""/>
            <o:lock v:ext="edit" aspectratio="t"/>
            <w10:wrap type="none"/>
            <w10:anchorlock/>
          </v:shape>
        </w:pict>
      </w:r>
    </w:p>
    <w:p w14:paraId="6C4059EC">
      <w:pPr>
        <w:snapToGrid/>
        <w:spacing w:before="0" w:beforeAutospacing="0" w:after="0" w:afterAutospacing="0" w:line="600" w:lineRule="exact"/>
        <w:jc w:val="both"/>
        <w:textAlignment w:val="baseline"/>
        <w:outlineLvl w:val="1"/>
        <w:rPr>
          <w:rStyle w:val="17"/>
          <w:rFonts w:ascii="黑体" w:hAnsi="黑体" w:eastAsia="黑体" w:cs="Times New Roman"/>
          <w:b w:val="0"/>
          <w:bCs/>
          <w:i w:val="0"/>
          <w:caps w:val="0"/>
          <w:spacing w:val="0"/>
          <w:w w:val="100"/>
          <w:kern w:val="2"/>
          <w:sz w:val="32"/>
          <w:szCs w:val="32"/>
          <w:lang w:val="en-US" w:eastAsia="zh-CN" w:bidi="ar-SA"/>
        </w:rPr>
      </w:pPr>
      <w:bookmarkStart w:id="8" w:name="_Toc5989"/>
      <w:r>
        <w:rPr>
          <w:rStyle w:val="10"/>
          <w:rFonts w:ascii="黑体" w:hAnsi="黑体" w:eastAsia="黑体"/>
          <w:b w:val="0"/>
          <w:i w:val="0"/>
          <w:caps w:val="0"/>
          <w:color w:val="000000"/>
          <w:spacing w:val="0"/>
          <w:w w:val="100"/>
          <w:kern w:val="2"/>
          <w:sz w:val="32"/>
          <w:szCs w:val="32"/>
          <w:lang w:val="en-US" w:eastAsia="zh-CN" w:bidi="ar-SA"/>
        </w:rPr>
        <w:t>四、财</w:t>
      </w:r>
      <w:r>
        <w:rPr>
          <w:rStyle w:val="17"/>
          <w:rFonts w:ascii="黑体" w:hAnsi="黑体" w:eastAsia="黑体" w:cs="Times New Roman"/>
          <w:b w:val="0"/>
          <w:bCs/>
          <w:i w:val="0"/>
          <w:caps w:val="0"/>
          <w:spacing w:val="0"/>
          <w:w w:val="100"/>
          <w:kern w:val="2"/>
          <w:sz w:val="32"/>
          <w:szCs w:val="32"/>
          <w:lang w:val="en-US" w:eastAsia="zh-CN" w:bidi="ar-SA"/>
        </w:rPr>
        <w:t>政拨款收入支出决算总体情况说明</w:t>
      </w:r>
      <w:bookmarkEnd w:id="8"/>
    </w:p>
    <w:p w14:paraId="07754A6E">
      <w:pPr>
        <w:snapToGrid/>
        <w:spacing w:before="0" w:beforeAutospacing="0" w:after="0" w:afterAutospacing="0" w:line="600" w:lineRule="exact"/>
        <w:ind w:firstLine="640" w:firstLineChars="200"/>
        <w:jc w:val="both"/>
        <w:textAlignment w:val="baseline"/>
        <w:rPr>
          <w:rStyle w:val="10"/>
          <w:rFonts w:hint="eastAsia"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2020年财政拨款收、支总计15009.15万元。与2019年相比，财政拨款收、支总计各增加了3705.06万元，增长了32.78%。</w:t>
      </w:r>
      <w:r>
        <w:rPr>
          <w:rStyle w:val="10"/>
          <w:rFonts w:hint="eastAsia" w:ascii="仿宋" w:hAnsi="仿宋" w:eastAsia="仿宋"/>
          <w:b w:val="0"/>
          <w:i w:val="0"/>
          <w:caps w:val="0"/>
          <w:spacing w:val="0"/>
          <w:w w:val="100"/>
          <w:kern w:val="2"/>
          <w:sz w:val="32"/>
          <w:szCs w:val="32"/>
          <w:lang w:val="en-US" w:eastAsia="zh-CN" w:bidi="ar-SA"/>
        </w:rPr>
        <w:t>2020年收入增加的主要原因是一般公共预算拨款增加了1066.84万元，政府性基金（抗疫特别国债）资金增加了1757.75万元，年初结转结余增加了880.47万元。2020年支出增加的主要原因是社会保障和就业支出增加了188.34万元，卫生健康支出增加了1804.48万元，住房保障支出增加了97.59万元，抗疫特别国债支出增加了1757.75万元，年末结转结余减少了131.10万元。农林水支出减少12万元。</w:t>
      </w:r>
    </w:p>
    <w:p w14:paraId="7CDBA2EB">
      <w:pPr>
        <w:snapToGrid/>
        <w:spacing w:before="0" w:beforeAutospacing="0" w:after="0" w:afterAutospacing="0" w:line="600" w:lineRule="exact"/>
        <w:ind w:firstLine="640" w:firstLineChars="200"/>
        <w:jc w:val="both"/>
        <w:textAlignment w:val="baseline"/>
        <w:rPr>
          <w:rStyle w:val="9"/>
          <w:rFonts w:ascii="仿宋_GB2312" w:eastAsia="仿宋"/>
          <w:b w:val="0"/>
          <w:i w:val="0"/>
          <w:caps w:val="0"/>
          <w:color w:val="000000"/>
          <w:spacing w:val="0"/>
          <w:w w:val="100"/>
          <w:kern w:val="2"/>
          <w:sz w:val="32"/>
          <w:szCs w:val="32"/>
          <w:lang w:val="en-US" w:eastAsia="zh-CN" w:bidi="ar-SA"/>
        </w:rPr>
      </w:pPr>
    </w:p>
    <w:p w14:paraId="58CD1448">
      <w:pPr>
        <w:widowControl/>
        <w:snapToGrid/>
        <w:spacing w:before="0" w:beforeAutospacing="0" w:after="0" w:afterAutospacing="0" w:line="240" w:lineRule="auto"/>
        <w:jc w:val="left"/>
        <w:textAlignment w:val="baseline"/>
        <w:rPr>
          <w:rStyle w:val="10"/>
          <w:rFonts w:ascii="Times New Roman" w:hAnsi="Times New Roman" w:eastAsia="宋体"/>
          <w:b w:val="0"/>
          <w:i w:val="0"/>
          <w:caps w:val="0"/>
          <w:spacing w:val="0"/>
          <w:w w:val="100"/>
          <w:kern w:val="2"/>
          <w:sz w:val="21"/>
          <w:szCs w:val="24"/>
          <w:lang w:val="en-US" w:eastAsia="zh-CN" w:bidi="ar-SA"/>
        </w:rPr>
      </w:pPr>
      <w:r>
        <w:rPr>
          <w:rStyle w:val="10"/>
          <w:rFonts w:ascii="宋体" w:hAnsi="宋体"/>
          <w:b w:val="0"/>
          <w:i w:val="0"/>
          <w:caps w:val="0"/>
          <w:spacing w:val="0"/>
          <w:w w:val="100"/>
          <w:kern w:val="0"/>
          <w:sz w:val="24"/>
          <w:szCs w:val="24"/>
          <w:lang w:val="en-US" w:eastAsia="zh-CN"/>
        </w:rPr>
        <w:pict>
          <v:shape id="_x0000_i1028" o:spt="75" type="#_x0000_t75" style="height:115.5pt;width:229.5pt;" filled="f" stroked="f" coordsize="21600,21600">
            <v:path/>
            <v:fill on="f" focussize="0,0"/>
            <v:stroke on="f" joinstyle="miter"/>
            <v:imagedata r:id="rId11" o:title=""/>
            <o:lock v:ext="edit" aspectratio="t"/>
            <w10:wrap type="none"/>
            <w10:anchorlock/>
          </v:shape>
        </w:pict>
      </w:r>
    </w:p>
    <w:p w14:paraId="73CCE922">
      <w:pPr>
        <w:snapToGrid/>
        <w:spacing w:before="0" w:beforeAutospacing="0" w:after="0" w:afterAutospacing="0" w:line="600" w:lineRule="exact"/>
        <w:jc w:val="both"/>
        <w:textAlignment w:val="baseline"/>
        <w:outlineLvl w:val="1"/>
        <w:rPr>
          <w:rStyle w:val="17"/>
          <w:rFonts w:ascii="黑体" w:hAnsi="黑体" w:eastAsia="黑体" w:cs="Times New Roman"/>
          <w:b w:val="0"/>
          <w:bCs/>
          <w:i w:val="0"/>
          <w:caps w:val="0"/>
          <w:spacing w:val="0"/>
          <w:w w:val="100"/>
          <w:kern w:val="2"/>
          <w:sz w:val="32"/>
          <w:szCs w:val="32"/>
          <w:lang w:val="en-US" w:eastAsia="zh-CN" w:bidi="ar-SA"/>
        </w:rPr>
      </w:pPr>
      <w:bookmarkStart w:id="9" w:name="_Toc12691"/>
      <w:r>
        <w:rPr>
          <w:rStyle w:val="10"/>
          <w:rFonts w:ascii="黑体" w:hAnsi="黑体" w:eastAsia="黑体"/>
          <w:b w:val="0"/>
          <w:i w:val="0"/>
          <w:caps w:val="0"/>
          <w:color w:val="000000"/>
          <w:spacing w:val="0"/>
          <w:w w:val="100"/>
          <w:kern w:val="2"/>
          <w:sz w:val="32"/>
          <w:szCs w:val="32"/>
          <w:lang w:val="en-US" w:eastAsia="zh-CN" w:bidi="ar-SA"/>
        </w:rPr>
        <w:t>五、</w:t>
      </w:r>
      <w:r>
        <w:rPr>
          <w:rStyle w:val="10"/>
          <w:rFonts w:ascii="黑体" w:hAnsi="黑体" w:eastAsia="黑体"/>
          <w:b/>
          <w:i w:val="0"/>
          <w:caps w:val="0"/>
          <w:color w:val="000000"/>
          <w:spacing w:val="0"/>
          <w:w w:val="100"/>
          <w:kern w:val="2"/>
          <w:sz w:val="32"/>
          <w:szCs w:val="32"/>
          <w:lang w:val="en-US" w:eastAsia="zh-CN" w:bidi="ar-SA"/>
        </w:rPr>
        <w:t>一</w:t>
      </w:r>
      <w:r>
        <w:rPr>
          <w:rStyle w:val="17"/>
          <w:rFonts w:ascii="黑体" w:hAnsi="黑体" w:eastAsia="黑体" w:cs="Times New Roman"/>
          <w:b w:val="0"/>
          <w:bCs/>
          <w:i w:val="0"/>
          <w:caps w:val="0"/>
          <w:spacing w:val="0"/>
          <w:w w:val="100"/>
          <w:kern w:val="2"/>
          <w:sz w:val="32"/>
          <w:szCs w:val="32"/>
          <w:lang w:val="en-US" w:eastAsia="zh-CN" w:bidi="ar-SA"/>
        </w:rPr>
        <w:t>般公共预算财政拨款支出决算情况说明</w:t>
      </w:r>
      <w:bookmarkEnd w:id="9"/>
    </w:p>
    <w:p w14:paraId="677295CD">
      <w:pPr>
        <w:snapToGrid/>
        <w:spacing w:before="0" w:beforeAutospacing="0" w:after="0" w:afterAutospacing="0" w:line="600" w:lineRule="exact"/>
        <w:ind w:firstLine="643" w:firstLineChars="200"/>
        <w:jc w:val="both"/>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（一）一般公共预算财政拨款支出决算总体情况</w:t>
      </w:r>
    </w:p>
    <w:p w14:paraId="52F0A132">
      <w:pPr>
        <w:snapToGrid/>
        <w:spacing w:before="0" w:beforeAutospacing="0" w:after="0" w:afterAutospacing="0" w:line="600" w:lineRule="exact"/>
        <w:ind w:firstLine="640"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2020年一般公共预算财政拨款支出10805.67万元，占本年支出合计的60.92%。与2019年相比，一般公共预算财政拨款增加2087.44万元，增长23.92%。增加的主要原因是疫情防控专项支出、</w:t>
      </w:r>
      <w:r>
        <w:rPr>
          <w:rStyle w:val="10"/>
          <w:rFonts w:ascii="仿宋_GB2312" w:hAnsi="仿宋_GB2312" w:eastAsia="仿宋_GB2312"/>
          <w:b w:val="0"/>
          <w:i w:val="0"/>
          <w:caps w:val="0"/>
          <w:spacing w:val="0"/>
          <w:w w:val="100"/>
          <w:kern w:val="2"/>
          <w:sz w:val="32"/>
          <w:szCs w:val="32"/>
          <w:lang w:val="en-US" w:eastAsia="zh-CN" w:bidi="ar-SA"/>
        </w:rPr>
        <w:t>公共卫生体系建设和重大疫情防控体系建设支出、高龄补贴支出、基本及奖励扶助支出增加</w:t>
      </w:r>
      <w:r>
        <w:rPr>
          <w:rStyle w:val="10"/>
          <w:rFonts w:ascii="仿宋" w:hAnsi="仿宋" w:eastAsia="仿宋"/>
          <w:b w:val="0"/>
          <w:i w:val="0"/>
          <w:caps w:val="0"/>
          <w:color w:val="000000"/>
          <w:spacing w:val="0"/>
          <w:w w:val="100"/>
          <w:kern w:val="2"/>
          <w:sz w:val="32"/>
          <w:szCs w:val="32"/>
          <w:lang w:val="en-US" w:eastAsia="zh-CN" w:bidi="ar-SA"/>
        </w:rPr>
        <w:t>。</w:t>
      </w:r>
    </w:p>
    <w:p w14:paraId="172CCA3A">
      <w:pPr>
        <w:widowControl/>
        <w:snapToGrid/>
        <w:spacing w:before="0" w:beforeAutospacing="0" w:after="0" w:afterAutospacing="0" w:line="240" w:lineRule="auto"/>
        <w:jc w:val="left"/>
        <w:textAlignment w:val="baseline"/>
        <w:rPr>
          <w:rStyle w:val="10"/>
          <w:rFonts w:ascii="Times New Roman" w:hAnsi="Times New Roman" w:eastAsia="宋体"/>
          <w:b w:val="0"/>
          <w:i w:val="0"/>
          <w:caps w:val="0"/>
          <w:spacing w:val="0"/>
          <w:w w:val="100"/>
          <w:kern w:val="2"/>
          <w:sz w:val="21"/>
          <w:szCs w:val="24"/>
          <w:lang w:val="en-US" w:eastAsia="zh-CN" w:bidi="ar-SA"/>
        </w:rPr>
      </w:pPr>
      <w:r>
        <w:rPr>
          <w:rStyle w:val="10"/>
          <w:rFonts w:ascii="宋体" w:hAnsi="宋体"/>
          <w:b w:val="0"/>
          <w:i w:val="0"/>
          <w:caps w:val="0"/>
          <w:spacing w:val="0"/>
          <w:w w:val="100"/>
          <w:kern w:val="0"/>
          <w:sz w:val="24"/>
          <w:szCs w:val="24"/>
          <w:lang w:val="en-US" w:eastAsia="zh-CN"/>
        </w:rPr>
        <w:pict>
          <v:shape id="_x0000_i1029" o:spt="75" type="#_x0000_t75" style="height:198pt;width:282pt;" filled="f" stroked="f" coordsize="21600,21600">
            <v:path/>
            <v:fill on="f" focussize="0,0"/>
            <v:stroke on="f" joinstyle="miter"/>
            <v:imagedata r:id="rId12" o:title=""/>
            <o:lock v:ext="edit" aspectratio="t"/>
            <w10:wrap type="none"/>
            <w10:anchorlock/>
          </v:shape>
        </w:pict>
      </w:r>
    </w:p>
    <w:p w14:paraId="59ED7131">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Times New Roman" w:hAnsi="Times New Roman" w:eastAsia="宋体"/>
          <w:b w:val="0"/>
          <w:i w:val="0"/>
          <w:caps w:val="0"/>
          <w:spacing w:val="0"/>
          <w:w w:val="100"/>
          <w:sz w:val="21"/>
        </w:rPr>
      </w:pPr>
    </w:p>
    <w:p w14:paraId="6C08A697">
      <w:pPr>
        <w:snapToGrid/>
        <w:spacing w:before="0" w:beforeAutospacing="0" w:after="0" w:afterAutospacing="0" w:line="600" w:lineRule="exact"/>
        <w:jc w:val="both"/>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（二）一般公共预算财政拨款支出决算结构情况</w:t>
      </w:r>
    </w:p>
    <w:p w14:paraId="1BEB2632">
      <w:pPr>
        <w:snapToGrid/>
        <w:spacing w:before="0" w:beforeAutospacing="0" w:after="0" w:afterAutospacing="0" w:line="600" w:lineRule="exact"/>
        <w:ind w:firstLine="640"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2020年一般公共预算财政拨款支出10805.67万元，主要用于；</w:t>
      </w:r>
      <w:r>
        <w:rPr>
          <w:rStyle w:val="10"/>
          <w:rFonts w:ascii="仿宋" w:hAnsi="仿宋" w:eastAsia="仿宋"/>
          <w:b/>
          <w:i w:val="0"/>
          <w:caps w:val="0"/>
          <w:color w:val="000000"/>
          <w:spacing w:val="0"/>
          <w:w w:val="100"/>
          <w:kern w:val="2"/>
          <w:sz w:val="32"/>
          <w:szCs w:val="32"/>
          <w:lang w:val="en-US" w:eastAsia="zh-CN" w:bidi="ar-SA"/>
        </w:rPr>
        <w:t>社会保障和就业（类）</w:t>
      </w:r>
      <w:r>
        <w:rPr>
          <w:rStyle w:val="10"/>
          <w:rFonts w:ascii="仿宋" w:hAnsi="仿宋" w:eastAsia="仿宋"/>
          <w:b w:val="0"/>
          <w:i w:val="0"/>
          <w:caps w:val="0"/>
          <w:color w:val="000000"/>
          <w:spacing w:val="0"/>
          <w:w w:val="100"/>
          <w:kern w:val="2"/>
          <w:sz w:val="32"/>
          <w:szCs w:val="32"/>
          <w:lang w:val="en-US" w:eastAsia="zh-CN" w:bidi="ar-SA"/>
        </w:rPr>
        <w:t>支出832.67万元，占7.7%；</w:t>
      </w:r>
      <w:r>
        <w:rPr>
          <w:rStyle w:val="10"/>
          <w:rFonts w:ascii="仿宋" w:hAnsi="仿宋" w:eastAsia="仿宋" w:cs="Times New Roman"/>
          <w:b/>
          <w:bCs/>
          <w:i w:val="0"/>
          <w:caps w:val="0"/>
          <w:color w:val="000000"/>
          <w:spacing w:val="0"/>
          <w:w w:val="100"/>
          <w:kern w:val="2"/>
          <w:sz w:val="32"/>
          <w:szCs w:val="32"/>
          <w:lang w:val="en-US" w:eastAsia="zh-CN" w:bidi="ar-SA"/>
        </w:rPr>
        <w:t>卫生健康支出</w:t>
      </w:r>
      <w:r>
        <w:rPr>
          <w:rStyle w:val="10"/>
          <w:rFonts w:ascii="仿宋" w:hAnsi="仿宋" w:eastAsia="仿宋"/>
          <w:b w:val="0"/>
          <w:i w:val="0"/>
          <w:caps w:val="0"/>
          <w:color w:val="000000"/>
          <w:spacing w:val="0"/>
          <w:w w:val="100"/>
          <w:kern w:val="2"/>
          <w:sz w:val="32"/>
          <w:szCs w:val="32"/>
          <w:lang w:val="en-US" w:eastAsia="zh-CN" w:bidi="ar-SA"/>
        </w:rPr>
        <w:t>9532.5万元，占88.22%；</w:t>
      </w:r>
      <w:r>
        <w:rPr>
          <w:rStyle w:val="10"/>
          <w:rFonts w:ascii="仿宋" w:hAnsi="仿宋" w:eastAsia="仿宋" w:cs="Times New Roman"/>
          <w:b/>
          <w:bCs/>
          <w:i w:val="0"/>
          <w:caps w:val="0"/>
          <w:color w:val="000000"/>
          <w:spacing w:val="0"/>
          <w:w w:val="100"/>
          <w:kern w:val="2"/>
          <w:sz w:val="32"/>
          <w:szCs w:val="32"/>
          <w:lang w:val="en-US" w:eastAsia="zh-CN" w:bidi="ar-SA"/>
        </w:rPr>
        <w:t>住房保障支出</w:t>
      </w:r>
      <w:r>
        <w:rPr>
          <w:rStyle w:val="10"/>
          <w:rFonts w:ascii="仿宋" w:hAnsi="仿宋" w:eastAsia="仿宋"/>
          <w:b w:val="0"/>
          <w:i w:val="0"/>
          <w:caps w:val="0"/>
          <w:color w:val="000000"/>
          <w:spacing w:val="0"/>
          <w:w w:val="100"/>
          <w:kern w:val="2"/>
          <w:sz w:val="32"/>
          <w:szCs w:val="32"/>
          <w:lang w:val="en-US" w:eastAsia="zh-CN" w:bidi="ar-SA"/>
        </w:rPr>
        <w:t>440.50万元，占4.07%；</w:t>
      </w:r>
    </w:p>
    <w:p w14:paraId="39CBD71F">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Times New Roman" w:hAnsi="Times New Roman" w:eastAsia="宋体"/>
          <w:b w:val="0"/>
          <w:i w:val="0"/>
          <w:caps w:val="0"/>
          <w:spacing w:val="0"/>
          <w:w w:val="100"/>
          <w:sz w:val="21"/>
        </w:rPr>
      </w:pPr>
    </w:p>
    <w:p w14:paraId="2BDDF6C5">
      <w:pPr>
        <w:widowControl/>
        <w:snapToGrid/>
        <w:spacing w:before="0" w:beforeAutospacing="0" w:after="0" w:afterAutospacing="0" w:line="240" w:lineRule="auto"/>
        <w:jc w:val="left"/>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宋体" w:hAnsi="宋体"/>
          <w:b w:val="0"/>
          <w:i w:val="0"/>
          <w:caps w:val="0"/>
          <w:spacing w:val="0"/>
          <w:w w:val="100"/>
          <w:kern w:val="0"/>
          <w:sz w:val="24"/>
          <w:szCs w:val="24"/>
          <w:lang w:val="en-US" w:eastAsia="zh-CN"/>
        </w:rPr>
        <w:pict>
          <v:shape id="_x0000_i1030" o:spt="75" type="#_x0000_t75" style="height:138pt;width:240.75pt;" filled="f" stroked="f" coordsize="21600,21600">
            <v:path/>
            <v:fill on="f" focussize="0,0"/>
            <v:stroke on="f" joinstyle="miter"/>
            <v:imagedata r:id="rId13" o:title=""/>
            <o:lock v:ext="edit" aspectratio="t"/>
            <w10:wrap type="none"/>
            <w10:anchorlock/>
          </v:shape>
        </w:pict>
      </w:r>
    </w:p>
    <w:p w14:paraId="6F10B660">
      <w:pPr>
        <w:snapToGrid/>
        <w:spacing w:before="0" w:beforeAutospacing="0" w:after="0" w:afterAutospacing="0" w:line="600" w:lineRule="exact"/>
        <w:jc w:val="both"/>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（三）一般公共预算财政拨款支出决算具体情</w:t>
      </w:r>
    </w:p>
    <w:p w14:paraId="4AE4E476">
      <w:pPr>
        <w:snapToGrid/>
        <w:spacing w:before="0" w:beforeAutospacing="0" w:after="0" w:afterAutospacing="0" w:line="600" w:lineRule="exact"/>
        <w:ind w:firstLine="643" w:firstLineChars="200"/>
        <w:jc w:val="both"/>
        <w:textAlignment w:val="baseline"/>
        <w:rPr>
          <w:rStyle w:val="9"/>
          <w:rFonts w:ascii="仿宋" w:hAnsi="仿宋" w:eastAsia="仿宋" w:cs="Times New Roman"/>
          <w:b/>
          <w:bCs/>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2020年一般公共预算支出决算数为10805.67万元</w:t>
      </w:r>
      <w:r>
        <w:rPr>
          <w:rStyle w:val="10"/>
          <w:rFonts w:ascii="仿宋" w:hAnsi="仿宋" w:eastAsia="仿宋"/>
          <w:b w:val="0"/>
          <w:i w:val="0"/>
          <w:caps w:val="0"/>
          <w:color w:val="000000"/>
          <w:spacing w:val="0"/>
          <w:w w:val="100"/>
          <w:kern w:val="2"/>
          <w:sz w:val="32"/>
          <w:szCs w:val="32"/>
          <w:lang w:val="en-US" w:eastAsia="zh-CN" w:bidi="ar-SA"/>
        </w:rPr>
        <w:t>，</w:t>
      </w:r>
      <w:r>
        <w:rPr>
          <w:rStyle w:val="9"/>
          <w:rFonts w:ascii="仿宋" w:hAnsi="仿宋" w:eastAsia="仿宋" w:cs="Times New Roman"/>
          <w:b/>
          <w:bCs/>
          <w:i w:val="0"/>
          <w:caps w:val="0"/>
          <w:color w:val="000000"/>
          <w:spacing w:val="0"/>
          <w:w w:val="100"/>
          <w:kern w:val="2"/>
          <w:sz w:val="32"/>
          <w:szCs w:val="32"/>
          <w:lang w:val="en-US" w:eastAsia="zh-CN" w:bidi="ar-SA"/>
        </w:rPr>
        <w:t>完成预算81.54%。其中：</w:t>
      </w:r>
    </w:p>
    <w:p w14:paraId="1D00F05E">
      <w:pPr>
        <w:snapToGrid/>
        <w:spacing w:before="0" w:beforeAutospacing="0" w:after="0" w:afterAutospacing="0" w:line="600" w:lineRule="exact"/>
        <w:ind w:firstLine="643" w:firstLineChars="200"/>
        <w:jc w:val="both"/>
        <w:textAlignment w:val="baseline"/>
        <w:rPr>
          <w:rStyle w:val="9"/>
          <w:rFonts w:ascii="仿宋" w:hAnsi="仿宋" w:eastAsia="仿宋" w:cs="Times New Roman"/>
          <w:b w:val="0"/>
          <w:bCs/>
          <w:i w:val="0"/>
          <w:caps w:val="0"/>
          <w:color w:val="000000"/>
          <w:spacing w:val="0"/>
          <w:w w:val="100"/>
          <w:kern w:val="2"/>
          <w:sz w:val="32"/>
          <w:szCs w:val="32"/>
          <w:lang w:val="en-US" w:eastAsia="zh-CN" w:bidi="ar-SA"/>
        </w:rPr>
      </w:pPr>
      <w:r>
        <w:rPr>
          <w:rStyle w:val="10"/>
          <w:rFonts w:ascii="仿宋" w:hAnsi="仿宋" w:eastAsia="仿宋" w:cs="Times New Roman"/>
          <w:b/>
          <w:bCs/>
          <w:i w:val="0"/>
          <w:caps w:val="0"/>
          <w:color w:val="000000"/>
          <w:spacing w:val="0"/>
          <w:w w:val="100"/>
          <w:kern w:val="2"/>
          <w:sz w:val="32"/>
          <w:szCs w:val="32"/>
          <w:lang w:val="en-US" w:eastAsia="zh-CN" w:bidi="ar-SA"/>
        </w:rPr>
        <w:t>卫生健康支出</w:t>
      </w:r>
      <w:r>
        <w:rPr>
          <w:rStyle w:val="9"/>
          <w:rFonts w:ascii="仿宋" w:hAnsi="仿宋" w:eastAsia="仿宋" w:cs="Times New Roman"/>
          <w:b/>
          <w:bCs/>
          <w:i w:val="0"/>
          <w:caps w:val="0"/>
          <w:color w:val="000000"/>
          <w:spacing w:val="0"/>
          <w:w w:val="100"/>
          <w:kern w:val="2"/>
          <w:sz w:val="32"/>
          <w:szCs w:val="32"/>
          <w:lang w:val="en-US" w:eastAsia="zh-CN" w:bidi="ar-SA"/>
        </w:rPr>
        <w:t>（类）卫生健康管理事务（款）行政运行（项）:</w:t>
      </w:r>
      <w:r>
        <w:rPr>
          <w:rStyle w:val="9"/>
          <w:rFonts w:ascii="仿宋" w:hAnsi="仿宋" w:eastAsia="仿宋"/>
          <w:b w:val="0"/>
          <w:i w:val="0"/>
          <w:caps w:val="0"/>
          <w:color w:val="000000"/>
          <w:spacing w:val="0"/>
          <w:w w:val="100"/>
          <w:kern w:val="2"/>
          <w:sz w:val="32"/>
          <w:szCs w:val="32"/>
          <w:lang w:val="en-US" w:eastAsia="zh-CN" w:bidi="ar-SA"/>
        </w:rPr>
        <w:t>2020</w:t>
      </w:r>
      <w:r>
        <w:rPr>
          <w:rStyle w:val="9"/>
          <w:rFonts w:ascii="仿宋" w:hAnsi="仿宋" w:eastAsia="仿宋" w:cs="Times New Roman"/>
          <w:b/>
          <w:bCs/>
          <w:i w:val="0"/>
          <w:caps w:val="0"/>
          <w:color w:val="000000"/>
          <w:spacing w:val="0"/>
          <w:w w:val="100"/>
          <w:kern w:val="2"/>
          <w:sz w:val="32"/>
          <w:szCs w:val="32"/>
          <w:lang w:val="en-US" w:eastAsia="zh-CN" w:bidi="ar-SA"/>
        </w:rPr>
        <w:t>年</w:t>
      </w:r>
      <w:r>
        <w:rPr>
          <w:rStyle w:val="9"/>
          <w:rFonts w:ascii="仿宋" w:hAnsi="仿宋" w:eastAsia="仿宋" w:cs="Times New Roman"/>
          <w:b w:val="0"/>
          <w:bCs/>
          <w:i w:val="0"/>
          <w:caps w:val="0"/>
          <w:color w:val="000000"/>
          <w:spacing w:val="0"/>
          <w:w w:val="100"/>
          <w:kern w:val="2"/>
          <w:sz w:val="32"/>
          <w:szCs w:val="32"/>
          <w:lang w:val="en-US" w:eastAsia="zh-CN" w:bidi="ar-SA"/>
        </w:rPr>
        <w:t>支出决算为859.64万元，完成预算76.5%，决算数小于预算数的原因行政运行经费30.37万元结转到下一年度支付，2020年乡镇卫生院目标奖68.61万元结转到下年支付。区人民医院全科医师转岗培训20.65万元，新冠肺炎、公共卫生体系建设和疫情防控救治体系建设157.26万元结转到下年支付。</w:t>
      </w:r>
    </w:p>
    <w:p w14:paraId="1E58B37A">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 w:hAnsi="仿宋" w:eastAsia="仿宋" w:cs="Times New Roman"/>
          <w:b/>
          <w:bCs/>
          <w:i w:val="0"/>
          <w:caps w:val="0"/>
          <w:color w:val="000000"/>
          <w:spacing w:val="0"/>
          <w:w w:val="100"/>
          <w:kern w:val="2"/>
          <w:sz w:val="32"/>
          <w:szCs w:val="32"/>
          <w:lang w:val="en-US" w:eastAsia="zh-CN" w:bidi="ar-SA"/>
        </w:rPr>
        <w:t>卫生健康支出</w:t>
      </w:r>
      <w:r>
        <w:rPr>
          <w:rStyle w:val="9"/>
          <w:rFonts w:ascii="仿宋" w:hAnsi="仿宋" w:eastAsia="仿宋" w:cs="Times New Roman"/>
          <w:b/>
          <w:bCs/>
          <w:i w:val="0"/>
          <w:caps w:val="0"/>
          <w:color w:val="000000"/>
          <w:spacing w:val="0"/>
          <w:w w:val="100"/>
          <w:kern w:val="2"/>
          <w:sz w:val="32"/>
          <w:szCs w:val="32"/>
          <w:lang w:val="en-US" w:eastAsia="zh-CN" w:bidi="ar-SA"/>
        </w:rPr>
        <w:t>（类）公立医院（款）中医（民族）医院（项）：</w:t>
      </w:r>
      <w:r>
        <w:rPr>
          <w:rStyle w:val="9"/>
          <w:rFonts w:ascii="仿宋" w:hAnsi="仿宋" w:eastAsia="仿宋"/>
          <w:b w:val="0"/>
          <w:i w:val="0"/>
          <w:caps w:val="0"/>
          <w:color w:val="000000"/>
          <w:spacing w:val="0"/>
          <w:w w:val="100"/>
          <w:kern w:val="2"/>
          <w:sz w:val="32"/>
          <w:szCs w:val="32"/>
          <w:lang w:val="en-US" w:eastAsia="zh-CN" w:bidi="ar-SA"/>
        </w:rPr>
        <w:t>主要用于中医医院人员经费</w:t>
      </w:r>
      <w:r>
        <w:rPr>
          <w:rStyle w:val="9"/>
          <w:rFonts w:ascii="仿宋" w:hAnsi="仿宋" w:eastAsia="仿宋" w:cs="Times New Roman"/>
          <w:b/>
          <w:bCs/>
          <w:i w:val="0"/>
          <w:caps w:val="0"/>
          <w:color w:val="000000"/>
          <w:spacing w:val="0"/>
          <w:w w:val="100"/>
          <w:kern w:val="2"/>
          <w:sz w:val="32"/>
          <w:szCs w:val="32"/>
          <w:lang w:val="en-US" w:eastAsia="zh-CN" w:bidi="ar-SA"/>
        </w:rPr>
        <w:t>，</w:t>
      </w:r>
      <w:r>
        <w:rPr>
          <w:rStyle w:val="9"/>
          <w:rFonts w:ascii="仿宋" w:hAnsi="仿宋" w:eastAsia="仿宋"/>
          <w:b w:val="0"/>
          <w:i w:val="0"/>
          <w:caps w:val="0"/>
          <w:color w:val="000000"/>
          <w:spacing w:val="0"/>
          <w:w w:val="100"/>
          <w:kern w:val="2"/>
          <w:sz w:val="32"/>
          <w:szCs w:val="32"/>
          <w:lang w:val="en-US" w:eastAsia="zh-CN" w:bidi="ar-SA"/>
        </w:rPr>
        <w:t>支出</w:t>
      </w:r>
      <w:r>
        <w:rPr>
          <w:rStyle w:val="10"/>
          <w:rFonts w:ascii="仿宋_GB2312" w:eastAsia="仿宋_GB2312"/>
          <w:b w:val="0"/>
          <w:i w:val="0"/>
          <w:caps w:val="0"/>
          <w:color w:val="000000"/>
          <w:spacing w:val="0"/>
          <w:w w:val="100"/>
          <w:kern w:val="2"/>
          <w:sz w:val="32"/>
          <w:szCs w:val="32"/>
          <w:lang w:val="en-US" w:eastAsia="zh-CN" w:bidi="ar-SA"/>
        </w:rPr>
        <w:t>决算数为180.97万元，完成预算99.39%。决算数小于预算数的主要原因是区中医医院新增人员工资支出1.10万元结转到下年支付。</w:t>
      </w:r>
    </w:p>
    <w:p w14:paraId="4B06C783">
      <w:pPr>
        <w:snapToGrid/>
        <w:spacing w:before="0" w:beforeAutospacing="0" w:after="0" w:afterAutospacing="0" w:line="600" w:lineRule="exact"/>
        <w:ind w:firstLine="643" w:firstLineChars="200"/>
        <w:jc w:val="both"/>
        <w:textAlignment w:val="baseline"/>
        <w:rPr>
          <w:rStyle w:val="9"/>
          <w:rFonts w:ascii="仿宋_GB2312" w:eastAsia="仿宋_GB2312"/>
          <w:b/>
          <w:i w:val="0"/>
          <w:caps w:val="0"/>
          <w:color w:val="000000"/>
          <w:spacing w:val="0"/>
          <w:w w:val="100"/>
          <w:kern w:val="2"/>
          <w:sz w:val="32"/>
          <w:szCs w:val="32"/>
          <w:lang w:val="en-US" w:eastAsia="zh-CN" w:bidi="ar-SA"/>
        </w:rPr>
      </w:pPr>
      <w:r>
        <w:rPr>
          <w:rStyle w:val="10"/>
          <w:rFonts w:ascii="仿宋" w:hAnsi="仿宋" w:eastAsia="仿宋" w:cs="Times New Roman"/>
          <w:b/>
          <w:bCs/>
          <w:i w:val="0"/>
          <w:caps w:val="0"/>
          <w:color w:val="000000"/>
          <w:spacing w:val="0"/>
          <w:w w:val="100"/>
          <w:kern w:val="2"/>
          <w:sz w:val="32"/>
          <w:szCs w:val="32"/>
          <w:lang w:val="en-US" w:eastAsia="zh-CN" w:bidi="ar-SA"/>
        </w:rPr>
        <w:t>卫生健康支出</w:t>
      </w:r>
      <w:r>
        <w:rPr>
          <w:rStyle w:val="10"/>
          <w:rFonts w:ascii="仿宋_GB2312" w:eastAsia="仿宋_GB2312"/>
          <w:b/>
          <w:i w:val="0"/>
          <w:caps w:val="0"/>
          <w:color w:val="000000"/>
          <w:spacing w:val="0"/>
          <w:w w:val="100"/>
          <w:kern w:val="2"/>
          <w:sz w:val="32"/>
          <w:szCs w:val="32"/>
          <w:lang w:val="en-US" w:eastAsia="zh-CN" w:bidi="ar-SA"/>
        </w:rPr>
        <w:t>(类)公立医院（款）</w:t>
      </w:r>
      <w:r>
        <w:rPr>
          <w:rStyle w:val="9"/>
          <w:rFonts w:ascii="仿宋_GB2312" w:eastAsia="仿宋_GB2312"/>
          <w:b/>
          <w:i w:val="0"/>
          <w:caps w:val="0"/>
          <w:color w:val="000000"/>
          <w:spacing w:val="0"/>
          <w:w w:val="100"/>
          <w:kern w:val="2"/>
          <w:sz w:val="32"/>
          <w:szCs w:val="32"/>
          <w:lang w:val="en-US" w:eastAsia="zh-CN" w:bidi="ar-SA"/>
        </w:rPr>
        <w:t>其他公立医院支出（项）：</w:t>
      </w:r>
      <w:r>
        <w:rPr>
          <w:rStyle w:val="9"/>
          <w:rFonts w:ascii="仿宋_GB2312" w:eastAsia="仿宋_GB2312" w:cs="Times New Roman"/>
          <w:b w:val="0"/>
          <w:bCs/>
          <w:i w:val="0"/>
          <w:caps w:val="0"/>
          <w:color w:val="000000"/>
          <w:spacing w:val="0"/>
          <w:w w:val="100"/>
          <w:kern w:val="2"/>
          <w:sz w:val="32"/>
          <w:szCs w:val="32"/>
          <w:lang w:val="en-US" w:eastAsia="zh-CN" w:bidi="ar-SA"/>
        </w:rPr>
        <w:t>主要用于公立医院综合改革支出，决算数256.14万元，完成预算49.87%，</w:t>
      </w:r>
      <w:r>
        <w:rPr>
          <w:rStyle w:val="10"/>
          <w:rFonts w:ascii="仿宋_GB2312" w:eastAsia="仿宋_GB2312"/>
          <w:b w:val="0"/>
          <w:i w:val="0"/>
          <w:caps w:val="0"/>
          <w:color w:val="000000"/>
          <w:spacing w:val="0"/>
          <w:w w:val="100"/>
          <w:kern w:val="2"/>
          <w:sz w:val="32"/>
          <w:szCs w:val="32"/>
          <w:lang w:val="en-US" w:eastAsia="zh-CN" w:bidi="ar-SA"/>
        </w:rPr>
        <w:t>决算数小于预算数的主要原因是公立医院综合改革经费未支付完。</w:t>
      </w:r>
    </w:p>
    <w:p w14:paraId="1D1CA9F2">
      <w:pPr>
        <w:snapToGrid/>
        <w:spacing w:before="0" w:beforeAutospacing="0" w:after="0" w:afterAutospacing="0" w:line="600" w:lineRule="exact"/>
        <w:ind w:firstLine="643"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cs="Times New Roman"/>
          <w:b/>
          <w:bCs/>
          <w:i w:val="0"/>
          <w:caps w:val="0"/>
          <w:color w:val="000000"/>
          <w:spacing w:val="0"/>
          <w:w w:val="100"/>
          <w:kern w:val="2"/>
          <w:sz w:val="32"/>
          <w:szCs w:val="32"/>
          <w:lang w:val="en-US" w:eastAsia="zh-CN" w:bidi="ar-SA"/>
        </w:rPr>
        <w:t>卫生健康支出</w:t>
      </w:r>
      <w:r>
        <w:rPr>
          <w:rStyle w:val="10"/>
          <w:rFonts w:ascii="仿宋_GB2312" w:eastAsia="仿宋_GB2312"/>
          <w:b/>
          <w:i w:val="0"/>
          <w:caps w:val="0"/>
          <w:color w:val="000000"/>
          <w:spacing w:val="0"/>
          <w:w w:val="100"/>
          <w:kern w:val="2"/>
          <w:sz w:val="32"/>
          <w:szCs w:val="32"/>
          <w:lang w:val="en-US" w:eastAsia="zh-CN" w:bidi="ar-SA"/>
        </w:rPr>
        <w:t>（类）基层医疗卫生机构（款）</w:t>
      </w:r>
      <w:r>
        <w:rPr>
          <w:rStyle w:val="9"/>
          <w:rFonts w:ascii="仿宋_GB2312" w:eastAsia="仿宋_GB2312"/>
          <w:b/>
          <w:i w:val="0"/>
          <w:caps w:val="0"/>
          <w:color w:val="000000"/>
          <w:spacing w:val="0"/>
          <w:w w:val="100"/>
          <w:kern w:val="2"/>
          <w:sz w:val="32"/>
          <w:szCs w:val="32"/>
          <w:lang w:val="en-US" w:eastAsia="zh-CN" w:bidi="ar-SA"/>
        </w:rPr>
        <w:t>乡镇卫生院（项）：</w:t>
      </w:r>
      <w:r>
        <w:rPr>
          <w:rStyle w:val="9"/>
          <w:rFonts w:ascii="仿宋_GB2312" w:eastAsia="仿宋_GB2312"/>
          <w:b w:val="0"/>
          <w:i w:val="0"/>
          <w:caps w:val="0"/>
          <w:color w:val="000000"/>
          <w:spacing w:val="0"/>
          <w:w w:val="100"/>
          <w:kern w:val="2"/>
          <w:sz w:val="32"/>
          <w:szCs w:val="32"/>
          <w:lang w:val="en-US" w:eastAsia="zh-CN" w:bidi="ar-SA"/>
        </w:rPr>
        <w:t>主要用于乡镇卫生院人员经费、能力建设支出，</w:t>
      </w:r>
      <w:r>
        <w:rPr>
          <w:rStyle w:val="9"/>
          <w:rFonts w:ascii="仿宋_GB2312" w:eastAsia="仿宋_GB2312" w:cs="Times New Roman"/>
          <w:b w:val="0"/>
          <w:bCs/>
          <w:i w:val="0"/>
          <w:caps w:val="0"/>
          <w:color w:val="000000"/>
          <w:spacing w:val="0"/>
          <w:w w:val="100"/>
          <w:kern w:val="2"/>
          <w:sz w:val="32"/>
          <w:szCs w:val="32"/>
          <w:lang w:val="en-US" w:eastAsia="zh-CN" w:bidi="ar-SA"/>
        </w:rPr>
        <w:t>决算数2918.95万元</w:t>
      </w:r>
      <w:r>
        <w:rPr>
          <w:rStyle w:val="9"/>
          <w:rFonts w:ascii="仿宋_GB2312" w:eastAsia="仿宋_GB2312"/>
          <w:b/>
          <w:i w:val="0"/>
          <w:caps w:val="0"/>
          <w:color w:val="000000"/>
          <w:spacing w:val="0"/>
          <w:w w:val="100"/>
          <w:kern w:val="2"/>
          <w:sz w:val="32"/>
          <w:szCs w:val="32"/>
          <w:lang w:val="en-US" w:eastAsia="zh-CN" w:bidi="ar-SA"/>
        </w:rPr>
        <w:t>，</w:t>
      </w:r>
      <w:r>
        <w:rPr>
          <w:rStyle w:val="10"/>
          <w:rFonts w:ascii="仿宋_GB2312" w:eastAsia="仿宋_GB2312"/>
          <w:b w:val="0"/>
          <w:i w:val="0"/>
          <w:caps w:val="0"/>
          <w:color w:val="000000"/>
          <w:spacing w:val="0"/>
          <w:w w:val="100"/>
          <w:kern w:val="2"/>
          <w:sz w:val="32"/>
          <w:szCs w:val="32"/>
          <w:lang w:val="en-US" w:eastAsia="zh-CN" w:bidi="ar-SA"/>
        </w:rPr>
        <w:t>完成预算94.35%。决算数小于预算数的主要原因</w:t>
      </w:r>
      <w:r>
        <w:rPr>
          <w:rStyle w:val="10"/>
          <w:rFonts w:ascii="仿宋" w:hAnsi="仿宋" w:eastAsia="仿宋"/>
          <w:b w:val="0"/>
          <w:i w:val="0"/>
          <w:caps w:val="0"/>
          <w:color w:val="000000"/>
          <w:spacing w:val="0"/>
          <w:w w:val="100"/>
          <w:kern w:val="2"/>
          <w:sz w:val="32"/>
          <w:szCs w:val="32"/>
          <w:lang w:val="en-US" w:eastAsia="zh-CN" w:bidi="ar-SA"/>
        </w:rPr>
        <w:t>2020年卫生院医疗服务能力提升经费结转到下一年度支付。</w:t>
      </w:r>
    </w:p>
    <w:p w14:paraId="3EE1A90A">
      <w:pPr>
        <w:snapToGrid/>
        <w:spacing w:before="0" w:beforeAutospacing="0" w:after="0" w:afterAutospacing="0" w:line="600" w:lineRule="exact"/>
        <w:ind w:firstLine="643" w:firstLineChars="200"/>
        <w:jc w:val="both"/>
        <w:textAlignment w:val="baseline"/>
        <w:rPr>
          <w:rStyle w:val="9"/>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b/>
          <w:i w:val="0"/>
          <w:caps w:val="0"/>
          <w:color w:val="000000"/>
          <w:spacing w:val="0"/>
          <w:w w:val="100"/>
          <w:kern w:val="2"/>
          <w:sz w:val="32"/>
          <w:szCs w:val="32"/>
          <w:lang w:val="en-US" w:eastAsia="zh-CN" w:bidi="ar-SA"/>
        </w:rPr>
        <w:t>卫生健康支出</w:t>
      </w:r>
      <w:r>
        <w:rPr>
          <w:rStyle w:val="10"/>
          <w:rFonts w:ascii="仿宋_GB2312" w:eastAsia="仿宋_GB2312"/>
          <w:b/>
          <w:i w:val="0"/>
          <w:caps w:val="0"/>
          <w:color w:val="000000"/>
          <w:spacing w:val="0"/>
          <w:w w:val="100"/>
          <w:kern w:val="2"/>
          <w:sz w:val="32"/>
          <w:szCs w:val="32"/>
          <w:lang w:val="en-US" w:eastAsia="zh-CN" w:bidi="ar-SA"/>
        </w:rPr>
        <w:t>（类）基层医疗卫生机构（款）其他基层医疗卫生机构支出（项）：</w:t>
      </w:r>
      <w:r>
        <w:rPr>
          <w:rStyle w:val="9"/>
          <w:rFonts w:ascii="仿宋_GB2312" w:eastAsia="仿宋_GB2312"/>
          <w:b w:val="0"/>
          <w:i w:val="0"/>
          <w:caps w:val="0"/>
          <w:color w:val="000000"/>
          <w:spacing w:val="0"/>
          <w:w w:val="100"/>
          <w:kern w:val="2"/>
          <w:sz w:val="32"/>
          <w:szCs w:val="32"/>
          <w:lang w:val="en-US" w:eastAsia="zh-CN" w:bidi="ar-SA"/>
        </w:rPr>
        <w:t>主要用于村卫生站实行基本药物制度后弥补人员经费、运转经费、村站维修、维护等经费差口。</w:t>
      </w:r>
      <w:r>
        <w:rPr>
          <w:rStyle w:val="10"/>
          <w:rFonts w:ascii="仿宋_GB2312" w:eastAsia="仿宋_GB2312"/>
          <w:b w:val="0"/>
          <w:i w:val="0"/>
          <w:caps w:val="0"/>
          <w:color w:val="000000"/>
          <w:spacing w:val="0"/>
          <w:w w:val="100"/>
          <w:kern w:val="2"/>
          <w:sz w:val="32"/>
          <w:szCs w:val="32"/>
          <w:lang w:val="en-US" w:eastAsia="zh-CN" w:bidi="ar-SA"/>
        </w:rPr>
        <w:t>2020年决算数为306.7</w:t>
      </w:r>
      <w:r>
        <w:rPr>
          <w:rStyle w:val="10"/>
          <w:rFonts w:ascii="仿宋_GB2312" w:eastAsia="仿宋_GB2312"/>
          <w:b w:val="0"/>
          <w:i w:val="0"/>
          <w:caps w:val="0"/>
          <w:spacing w:val="0"/>
          <w:w w:val="100"/>
          <w:kern w:val="2"/>
          <w:sz w:val="32"/>
          <w:szCs w:val="32"/>
          <w:lang w:val="en-US" w:eastAsia="zh-CN" w:bidi="ar-SA"/>
        </w:rPr>
        <w:t>万元，完成预算77.67%。</w:t>
      </w:r>
      <w:r>
        <w:rPr>
          <w:rStyle w:val="9"/>
          <w:rFonts w:ascii="仿宋_GB2312" w:eastAsia="仿宋_GB2312"/>
          <w:b w:val="0"/>
          <w:i w:val="0"/>
          <w:caps w:val="0"/>
          <w:color w:val="000000"/>
          <w:spacing w:val="0"/>
          <w:w w:val="100"/>
          <w:kern w:val="2"/>
          <w:sz w:val="32"/>
          <w:szCs w:val="32"/>
          <w:lang w:val="en-US" w:eastAsia="zh-CN" w:bidi="ar-SA"/>
        </w:rPr>
        <w:t>决算数小于预算数的主要原因2020年乡镇卫生院、村卫生站基药补助经费结转到下一年度支付。</w:t>
      </w:r>
    </w:p>
    <w:p w14:paraId="4E92F230">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cs="Times New Roman"/>
          <w:b/>
          <w:bCs/>
          <w:i w:val="0"/>
          <w:caps w:val="0"/>
          <w:color w:val="000000"/>
          <w:spacing w:val="0"/>
          <w:w w:val="100"/>
          <w:kern w:val="2"/>
          <w:sz w:val="32"/>
          <w:szCs w:val="32"/>
          <w:lang w:val="en-US" w:eastAsia="zh-CN" w:bidi="ar-SA"/>
        </w:rPr>
        <w:t>卫生健康支出（类）公共卫生（款）疾病预</w:t>
      </w:r>
      <w:r>
        <w:rPr>
          <w:rStyle w:val="9"/>
          <w:rFonts w:ascii="仿宋_GB2312" w:eastAsia="仿宋_GB2312"/>
          <w:b/>
          <w:i w:val="0"/>
          <w:caps w:val="0"/>
          <w:color w:val="000000"/>
          <w:spacing w:val="0"/>
          <w:w w:val="100"/>
          <w:kern w:val="2"/>
          <w:sz w:val="32"/>
          <w:szCs w:val="32"/>
          <w:lang w:val="en-US" w:eastAsia="zh-CN" w:bidi="ar-SA"/>
        </w:rPr>
        <w:t>防控制机构（项）:</w:t>
      </w:r>
      <w:r>
        <w:rPr>
          <w:rStyle w:val="9"/>
          <w:rFonts w:ascii="仿宋_GB2312" w:eastAsia="仿宋_GB2312"/>
          <w:b w:val="0"/>
          <w:i w:val="0"/>
          <w:caps w:val="0"/>
          <w:color w:val="000000"/>
          <w:spacing w:val="0"/>
          <w:w w:val="100"/>
          <w:kern w:val="2"/>
          <w:sz w:val="32"/>
          <w:szCs w:val="32"/>
          <w:lang w:val="en-US" w:eastAsia="zh-CN" w:bidi="ar-SA"/>
        </w:rPr>
        <w:t>主要用于区疾控中心人员经费、公业务费支出。</w:t>
      </w:r>
      <w:r>
        <w:rPr>
          <w:rStyle w:val="10"/>
          <w:rFonts w:ascii="仿宋_GB2312" w:eastAsia="仿宋_GB2312"/>
          <w:b w:val="0"/>
          <w:i w:val="0"/>
          <w:caps w:val="0"/>
          <w:color w:val="000000"/>
          <w:spacing w:val="0"/>
          <w:w w:val="100"/>
          <w:kern w:val="2"/>
          <w:sz w:val="32"/>
          <w:szCs w:val="32"/>
          <w:lang w:val="en-US" w:eastAsia="zh-CN" w:bidi="ar-SA"/>
        </w:rPr>
        <w:t>2020年决算数为296.95万元，完成预算100%。</w:t>
      </w:r>
    </w:p>
    <w:p w14:paraId="3CE89C8E">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cs="Times New Roman"/>
          <w:b/>
          <w:bCs/>
          <w:i w:val="0"/>
          <w:caps w:val="0"/>
          <w:color w:val="000000"/>
          <w:spacing w:val="0"/>
          <w:w w:val="100"/>
          <w:kern w:val="2"/>
          <w:sz w:val="32"/>
          <w:szCs w:val="32"/>
          <w:lang w:val="en-US" w:eastAsia="zh-CN" w:bidi="ar-SA"/>
        </w:rPr>
        <w:t>卫生健康支出（类）公共卫生（款）</w:t>
      </w:r>
      <w:r>
        <w:rPr>
          <w:rStyle w:val="9"/>
          <w:rFonts w:ascii="仿宋_GB2312" w:eastAsia="仿宋_GB2312"/>
          <w:b/>
          <w:i w:val="0"/>
          <w:caps w:val="0"/>
          <w:color w:val="000000"/>
          <w:spacing w:val="0"/>
          <w:w w:val="100"/>
          <w:kern w:val="2"/>
          <w:sz w:val="32"/>
          <w:szCs w:val="32"/>
          <w:lang w:val="en-US" w:eastAsia="zh-CN" w:bidi="ar-SA"/>
        </w:rPr>
        <w:t>卫生监督机构（项）:</w:t>
      </w:r>
      <w:r>
        <w:rPr>
          <w:rStyle w:val="9"/>
          <w:rFonts w:ascii="仿宋_GB2312" w:eastAsia="仿宋_GB2312"/>
          <w:b w:val="0"/>
          <w:i w:val="0"/>
          <w:caps w:val="0"/>
          <w:color w:val="000000"/>
          <w:spacing w:val="0"/>
          <w:w w:val="100"/>
          <w:kern w:val="2"/>
          <w:sz w:val="32"/>
          <w:szCs w:val="32"/>
          <w:lang w:val="en-US" w:eastAsia="zh-CN" w:bidi="ar-SA"/>
        </w:rPr>
        <w:t>主要用于区卫生监督大队人员经费、公业务费支出。</w:t>
      </w:r>
      <w:r>
        <w:rPr>
          <w:rStyle w:val="10"/>
          <w:rFonts w:ascii="仿宋_GB2312" w:eastAsia="仿宋_GB2312"/>
          <w:b w:val="0"/>
          <w:i w:val="0"/>
          <w:caps w:val="0"/>
          <w:color w:val="000000"/>
          <w:spacing w:val="0"/>
          <w:w w:val="100"/>
          <w:kern w:val="2"/>
          <w:sz w:val="32"/>
          <w:szCs w:val="32"/>
          <w:lang w:val="en-US" w:eastAsia="zh-CN" w:bidi="ar-SA"/>
        </w:rPr>
        <w:t>2020年决算数为95.97万元，完成预算84.9%。决算数小于预算数的主要原因是2020年办公费、公务接待17.08万元结转到下一年度继续使用。</w:t>
      </w:r>
    </w:p>
    <w:p w14:paraId="485618E0">
      <w:pPr>
        <w:snapToGrid/>
        <w:spacing w:before="0" w:beforeAutospacing="0" w:after="0" w:afterAutospacing="0" w:line="600" w:lineRule="exact"/>
        <w:ind w:firstLine="643" w:firstLineChars="200"/>
        <w:jc w:val="both"/>
        <w:textAlignment w:val="baseline"/>
        <w:rPr>
          <w:rStyle w:val="9"/>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cs="Times New Roman"/>
          <w:b/>
          <w:bCs/>
          <w:i w:val="0"/>
          <w:caps w:val="0"/>
          <w:color w:val="000000"/>
          <w:spacing w:val="0"/>
          <w:w w:val="100"/>
          <w:kern w:val="2"/>
          <w:sz w:val="32"/>
          <w:szCs w:val="32"/>
          <w:lang w:val="en-US" w:eastAsia="zh-CN" w:bidi="ar-SA"/>
        </w:rPr>
        <w:t>卫生健康支出（类）公共卫生（款）</w:t>
      </w:r>
      <w:r>
        <w:rPr>
          <w:rStyle w:val="9"/>
          <w:rFonts w:ascii="仿宋_GB2312" w:eastAsia="仿宋_GB2312"/>
          <w:b/>
          <w:i w:val="0"/>
          <w:caps w:val="0"/>
          <w:color w:val="000000"/>
          <w:spacing w:val="0"/>
          <w:w w:val="100"/>
          <w:kern w:val="2"/>
          <w:sz w:val="32"/>
          <w:szCs w:val="32"/>
          <w:lang w:val="en-US" w:eastAsia="zh-CN" w:bidi="ar-SA"/>
        </w:rPr>
        <w:t>妇幼保健机构（项）:</w:t>
      </w:r>
      <w:r>
        <w:rPr>
          <w:rStyle w:val="9"/>
          <w:rFonts w:ascii="仿宋_GB2312" w:eastAsia="仿宋_GB2312"/>
          <w:b w:val="0"/>
          <w:i w:val="0"/>
          <w:caps w:val="0"/>
          <w:color w:val="000000"/>
          <w:spacing w:val="0"/>
          <w:w w:val="100"/>
          <w:kern w:val="2"/>
          <w:sz w:val="32"/>
          <w:szCs w:val="32"/>
          <w:lang w:val="en-US" w:eastAsia="zh-CN" w:bidi="ar-SA"/>
        </w:rPr>
        <w:t>主要用于区妇幼保健计划服务中心人员经费支出。</w:t>
      </w:r>
      <w:r>
        <w:rPr>
          <w:rStyle w:val="10"/>
          <w:rFonts w:ascii="仿宋_GB2312" w:eastAsia="仿宋_GB2312"/>
          <w:b w:val="0"/>
          <w:i w:val="0"/>
          <w:caps w:val="0"/>
          <w:color w:val="000000"/>
          <w:spacing w:val="0"/>
          <w:w w:val="100"/>
          <w:kern w:val="2"/>
          <w:sz w:val="32"/>
          <w:szCs w:val="32"/>
          <w:lang w:val="en-US" w:eastAsia="zh-CN" w:bidi="ar-SA"/>
        </w:rPr>
        <w:t>2020年决算数为389.59万元，完成预算98.11%。</w:t>
      </w:r>
      <w:r>
        <w:rPr>
          <w:rStyle w:val="9"/>
          <w:rFonts w:ascii="仿宋_GB2312" w:eastAsia="仿宋_GB2312"/>
          <w:b w:val="0"/>
          <w:i w:val="0"/>
          <w:caps w:val="0"/>
          <w:color w:val="000000"/>
          <w:spacing w:val="0"/>
          <w:w w:val="100"/>
          <w:kern w:val="2"/>
          <w:sz w:val="32"/>
          <w:szCs w:val="32"/>
          <w:lang w:val="en-US" w:eastAsia="zh-CN" w:bidi="ar-SA"/>
        </w:rPr>
        <w:t>决算数小于预算数的主要原因是2020年基本工资、绩效工资、住房公积金7.48万元未申请。</w:t>
      </w:r>
    </w:p>
    <w:p w14:paraId="613FE128">
      <w:pPr>
        <w:snapToGrid/>
        <w:spacing w:before="0" w:beforeAutospacing="0" w:after="0" w:afterAutospacing="0" w:line="600" w:lineRule="exact"/>
        <w:ind w:firstLine="643"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9"/>
          <w:rFonts w:ascii="仿宋_GB2312" w:eastAsia="仿宋_GB2312" w:cs="Times New Roman"/>
          <w:b/>
          <w:bCs/>
          <w:i w:val="0"/>
          <w:caps w:val="0"/>
          <w:color w:val="000000"/>
          <w:spacing w:val="0"/>
          <w:w w:val="100"/>
          <w:kern w:val="2"/>
          <w:sz w:val="32"/>
          <w:szCs w:val="32"/>
          <w:lang w:val="en-US" w:eastAsia="zh-CN" w:bidi="ar-SA"/>
        </w:rPr>
        <w:t>卫生健康支出（类）公共卫生（款）</w:t>
      </w:r>
      <w:r>
        <w:rPr>
          <w:rStyle w:val="9"/>
          <w:rFonts w:ascii="仿宋_GB2312" w:eastAsia="仿宋_GB2312"/>
          <w:b/>
          <w:i w:val="0"/>
          <w:caps w:val="0"/>
          <w:color w:val="000000"/>
          <w:spacing w:val="0"/>
          <w:w w:val="100"/>
          <w:kern w:val="2"/>
          <w:sz w:val="32"/>
          <w:szCs w:val="32"/>
          <w:lang w:val="en-US" w:eastAsia="zh-CN" w:bidi="ar-SA"/>
        </w:rPr>
        <w:t>基本公共卫生服务（项）:</w:t>
      </w:r>
      <w:r>
        <w:rPr>
          <w:rStyle w:val="9"/>
          <w:rFonts w:ascii="仿宋_GB2312" w:eastAsia="仿宋_GB2312"/>
          <w:b w:val="0"/>
          <w:i w:val="0"/>
          <w:caps w:val="0"/>
          <w:color w:val="000000"/>
          <w:spacing w:val="0"/>
          <w:w w:val="100"/>
          <w:kern w:val="2"/>
          <w:sz w:val="32"/>
          <w:szCs w:val="32"/>
          <w:lang w:val="en-US" w:eastAsia="zh-CN" w:bidi="ar-SA"/>
        </w:rPr>
        <w:t>主要用于区社区卫生服务中心、区中医院、乡镇卫生院、村卫生站开展基本公共卫生服务活动支出。</w:t>
      </w:r>
      <w:r>
        <w:rPr>
          <w:rStyle w:val="10"/>
          <w:rFonts w:ascii="仿宋_GB2312" w:eastAsia="仿宋_GB2312"/>
          <w:b w:val="0"/>
          <w:i w:val="0"/>
          <w:caps w:val="0"/>
          <w:color w:val="000000"/>
          <w:spacing w:val="0"/>
          <w:w w:val="100"/>
          <w:kern w:val="2"/>
          <w:sz w:val="32"/>
          <w:szCs w:val="32"/>
          <w:lang w:val="en-US" w:eastAsia="zh-CN" w:bidi="ar-SA"/>
        </w:rPr>
        <w:t>2020年决算数为1312.93万元，完成预算96.53%。决算数小于预算数的主要原因是2020年公共卫生服务尾款</w:t>
      </w:r>
      <w:r>
        <w:rPr>
          <w:rStyle w:val="10"/>
          <w:rFonts w:ascii="仿宋" w:hAnsi="仿宋" w:eastAsia="仿宋"/>
          <w:b w:val="0"/>
          <w:i w:val="0"/>
          <w:caps w:val="0"/>
          <w:color w:val="000000"/>
          <w:spacing w:val="0"/>
          <w:w w:val="100"/>
          <w:kern w:val="2"/>
          <w:sz w:val="32"/>
          <w:szCs w:val="32"/>
          <w:lang w:val="en-US" w:eastAsia="zh-CN" w:bidi="ar-SA"/>
        </w:rPr>
        <w:t>117.51万元于2020年年终考核后下一年度拨付。</w:t>
      </w:r>
    </w:p>
    <w:p w14:paraId="2FDDD017">
      <w:pPr>
        <w:snapToGrid/>
        <w:spacing w:before="0" w:beforeAutospacing="0" w:after="0" w:afterAutospacing="0" w:line="600" w:lineRule="exact"/>
        <w:ind w:firstLine="643" w:firstLineChars="200"/>
        <w:jc w:val="both"/>
        <w:textAlignment w:val="baseline"/>
        <w:rPr>
          <w:rStyle w:val="10"/>
          <w:rFonts w:ascii="Times New Roman" w:hAnsi="Times New Roman" w:eastAsia="宋体"/>
          <w:b w:val="0"/>
          <w:i w:val="0"/>
          <w:caps w:val="0"/>
          <w:color w:val="000000"/>
          <w:spacing w:val="0"/>
          <w:w w:val="100"/>
          <w:kern w:val="2"/>
          <w:sz w:val="32"/>
          <w:szCs w:val="32"/>
          <w:lang w:val="en-US" w:eastAsia="zh-CN" w:bidi="ar-SA"/>
        </w:rPr>
      </w:pPr>
      <w:r>
        <w:rPr>
          <w:rStyle w:val="9"/>
          <w:rFonts w:ascii="仿宋_GB2312" w:eastAsia="仿宋_GB2312" w:cs="Times New Roman"/>
          <w:b/>
          <w:bCs/>
          <w:i w:val="0"/>
          <w:caps w:val="0"/>
          <w:color w:val="000000"/>
          <w:spacing w:val="0"/>
          <w:w w:val="100"/>
          <w:kern w:val="2"/>
          <w:sz w:val="32"/>
          <w:szCs w:val="32"/>
          <w:lang w:val="en-US" w:eastAsia="zh-CN" w:bidi="ar-SA"/>
        </w:rPr>
        <w:t>卫生健康支出（类）公共卫生（款）</w:t>
      </w:r>
      <w:r>
        <w:rPr>
          <w:rStyle w:val="10"/>
          <w:rFonts w:ascii="仿宋_GB2312" w:eastAsia="仿宋_GB2312" w:cs="Times New Roman"/>
          <w:b/>
          <w:bCs/>
          <w:i w:val="0"/>
          <w:caps w:val="0"/>
          <w:color w:val="000000"/>
          <w:spacing w:val="0"/>
          <w:w w:val="100"/>
          <w:kern w:val="2"/>
          <w:sz w:val="32"/>
          <w:szCs w:val="32"/>
          <w:lang w:val="en-US" w:eastAsia="zh-CN" w:bidi="ar-SA"/>
        </w:rPr>
        <w:t>重大公共卫生专项（项）</w:t>
      </w:r>
      <w:r>
        <w:rPr>
          <w:rStyle w:val="10"/>
          <w:rFonts w:ascii="仿宋_GB2312" w:eastAsia="仿宋_GB2312"/>
          <w:b w:val="0"/>
          <w:i w:val="0"/>
          <w:caps w:val="0"/>
          <w:color w:val="000000"/>
          <w:spacing w:val="0"/>
          <w:w w:val="100"/>
          <w:kern w:val="2"/>
          <w:sz w:val="32"/>
          <w:szCs w:val="32"/>
          <w:lang w:val="en-US" w:eastAsia="zh-CN" w:bidi="ar-SA"/>
        </w:rPr>
        <w:t>:主要用于区疾控中心、区妇幼保健计划生育服务中心院完成上级下达的各类疾病控制任务、免费开展疾控、妇幼项目，如结核病防治、艾滋病筛查、免费婚检、免费孕检等项目支出。2020年决算数为577.77万元，完成预算59.22%，</w:t>
      </w:r>
      <w:r>
        <w:rPr>
          <w:rStyle w:val="10"/>
          <w:rFonts w:ascii="仿宋_GB2312" w:eastAsia="仿宋_GB2312"/>
          <w:b w:val="0"/>
          <w:i w:val="0"/>
          <w:caps w:val="0"/>
          <w:spacing w:val="0"/>
          <w:w w:val="100"/>
          <w:kern w:val="2"/>
          <w:sz w:val="32"/>
          <w:szCs w:val="32"/>
          <w:lang w:val="en-US" w:eastAsia="zh-CN" w:bidi="ar-SA"/>
        </w:rPr>
        <w:t>决算数小于预算数的主要原因是区疾病预防控制中心、区妇幼保健计划服务中心的项目经费2020年末实施完成，结转到下一年度继续实施并完成经费拨付。</w:t>
      </w:r>
    </w:p>
    <w:p w14:paraId="1462754A">
      <w:pPr>
        <w:snapToGrid/>
        <w:spacing w:before="0" w:beforeAutospacing="0" w:after="0" w:afterAutospacing="0" w:line="600" w:lineRule="exact"/>
        <w:ind w:firstLine="643" w:firstLineChars="200"/>
        <w:jc w:val="both"/>
        <w:textAlignment w:val="baseline"/>
        <w:rPr>
          <w:rStyle w:val="10"/>
          <w:rFonts w:ascii="Times New Roman" w:hAnsi="Times New Roman" w:eastAsia="宋体"/>
          <w:b w:val="0"/>
          <w:i w:val="0"/>
          <w:caps w:val="0"/>
          <w:spacing w:val="0"/>
          <w:w w:val="100"/>
          <w:kern w:val="2"/>
          <w:sz w:val="21"/>
          <w:szCs w:val="24"/>
          <w:lang w:val="en-US" w:eastAsia="zh-CN" w:bidi="ar-SA"/>
        </w:rPr>
      </w:pPr>
      <w:r>
        <w:rPr>
          <w:rStyle w:val="10"/>
          <w:rFonts w:ascii="仿宋_GB2312" w:eastAsia="仿宋_GB2312"/>
          <w:b/>
          <w:i w:val="0"/>
          <w:caps w:val="0"/>
          <w:color w:val="000000"/>
          <w:spacing w:val="0"/>
          <w:w w:val="100"/>
          <w:kern w:val="2"/>
          <w:sz w:val="32"/>
          <w:szCs w:val="32"/>
          <w:lang w:val="en-US" w:eastAsia="zh-CN" w:bidi="ar-SA"/>
        </w:rPr>
        <w:t>卫生健康支出（类）中医药（款）中医药专项（项）</w:t>
      </w:r>
      <w:r>
        <w:rPr>
          <w:rStyle w:val="10"/>
          <w:rFonts w:ascii="仿宋_GB2312" w:eastAsia="仿宋_GB2312"/>
          <w:b w:val="0"/>
          <w:i w:val="0"/>
          <w:caps w:val="0"/>
          <w:color w:val="000000"/>
          <w:spacing w:val="0"/>
          <w:w w:val="100"/>
          <w:kern w:val="2"/>
          <w:sz w:val="32"/>
          <w:szCs w:val="32"/>
          <w:lang w:val="en-US" w:eastAsia="zh-CN" w:bidi="ar-SA"/>
        </w:rPr>
        <w:t>:主要用于中医医院能力提升建设，2020年决算数为159.8万元，完成预算99.87%，决算数小于算数的主要原因是2020年中医药能力提升项目中的康复理疗急诊急救设备经费结转到下一年度支付。</w:t>
      </w:r>
    </w:p>
    <w:p w14:paraId="3CFB7599">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cs="Times New Roman"/>
          <w:b/>
          <w:bCs/>
          <w:i w:val="0"/>
          <w:caps w:val="0"/>
          <w:spacing w:val="0"/>
          <w:w w:val="100"/>
          <w:sz w:val="21"/>
        </w:rPr>
      </w:pPr>
      <w:r>
        <w:rPr>
          <w:rStyle w:val="9"/>
          <w:rFonts w:ascii="仿宋_GB2312" w:cs="Times New Roman"/>
          <w:b w:val="0"/>
          <w:bCs/>
          <w:i w:val="0"/>
          <w:caps w:val="0"/>
          <w:spacing w:val="0"/>
          <w:w w:val="100"/>
          <w:sz w:val="21"/>
          <w:szCs w:val="32"/>
        </w:rPr>
        <w:t>卫生健康支出（类）计划生育事务</w:t>
      </w:r>
      <w:r>
        <w:rPr>
          <w:rStyle w:val="10"/>
          <w:rFonts w:ascii="仿宋_GB2312" w:cs="Times New Roman"/>
          <w:b w:val="0"/>
          <w:bCs/>
          <w:i w:val="0"/>
          <w:caps w:val="0"/>
          <w:spacing w:val="0"/>
          <w:w w:val="100"/>
          <w:sz w:val="21"/>
          <w:szCs w:val="32"/>
        </w:rPr>
        <w:t>（款）</w:t>
      </w:r>
      <w:r>
        <w:rPr>
          <w:rStyle w:val="9"/>
          <w:rFonts w:ascii="仿宋_GB2312" w:cs="Times New Roman"/>
          <w:b w:val="0"/>
          <w:bCs/>
          <w:i w:val="0"/>
          <w:caps w:val="0"/>
          <w:spacing w:val="0"/>
          <w:w w:val="100"/>
          <w:sz w:val="21"/>
          <w:szCs w:val="32"/>
        </w:rPr>
        <w:t>计划生育事务</w:t>
      </w:r>
      <w:r>
        <w:rPr>
          <w:rStyle w:val="10"/>
          <w:rFonts w:ascii="仿宋_GB2312" w:cs="Times New Roman"/>
          <w:b w:val="0"/>
          <w:bCs/>
          <w:i w:val="0"/>
          <w:caps w:val="0"/>
          <w:spacing w:val="0"/>
          <w:w w:val="100"/>
          <w:sz w:val="21"/>
          <w:szCs w:val="32"/>
        </w:rPr>
        <w:t>（项）</w:t>
      </w:r>
      <w:r>
        <w:rPr>
          <w:rStyle w:val="10"/>
          <w:rFonts w:ascii="仿宋_GB2312"/>
          <w:b/>
          <w:i w:val="0"/>
          <w:caps w:val="0"/>
          <w:spacing w:val="0"/>
          <w:w w:val="100"/>
          <w:sz w:val="21"/>
          <w:szCs w:val="32"/>
        </w:rPr>
        <w:t>主要用于</w:t>
      </w:r>
      <w:r>
        <w:rPr>
          <w:rStyle w:val="10"/>
          <w:rFonts w:ascii="仿宋_GB2312" w:cs="Times New Roman"/>
          <w:b/>
          <w:bCs/>
          <w:i w:val="0"/>
          <w:caps w:val="0"/>
          <w:spacing w:val="0"/>
          <w:w w:val="100"/>
          <w:sz w:val="21"/>
          <w:szCs w:val="32"/>
        </w:rPr>
        <w:t>实行计划生育奖励扶助对个人和家庭的补助支出</w:t>
      </w:r>
      <w:r>
        <w:rPr>
          <w:rStyle w:val="10"/>
          <w:rFonts w:ascii="仿宋_GB2312"/>
          <w:b/>
          <w:i w:val="0"/>
          <w:caps w:val="0"/>
          <w:spacing w:val="0"/>
          <w:w w:val="100"/>
          <w:sz w:val="21"/>
          <w:szCs w:val="32"/>
        </w:rPr>
        <w:t>。</w:t>
      </w:r>
      <w:r>
        <w:rPr>
          <w:rStyle w:val="10"/>
          <w:rFonts w:ascii="仿宋_GB2312" w:cs="Times New Roman"/>
          <w:b/>
          <w:bCs/>
          <w:i w:val="0"/>
          <w:caps w:val="0"/>
          <w:spacing w:val="0"/>
          <w:w w:val="100"/>
          <w:sz w:val="21"/>
          <w:szCs w:val="32"/>
        </w:rPr>
        <w:t>2020年决算数为519万元，完成预算100%。</w:t>
      </w:r>
    </w:p>
    <w:p w14:paraId="60F9D016">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b/>
          <w:i w:val="0"/>
          <w:caps w:val="0"/>
          <w:color w:val="000000"/>
          <w:spacing w:val="0"/>
          <w:w w:val="100"/>
          <w:kern w:val="2"/>
          <w:sz w:val="32"/>
          <w:szCs w:val="32"/>
          <w:lang w:val="en-US" w:eastAsia="zh-CN" w:bidi="ar-SA"/>
        </w:rPr>
        <w:t>卫生健康支出（类）计划生育事务</w:t>
      </w:r>
      <w:r>
        <w:rPr>
          <w:rStyle w:val="10"/>
          <w:rFonts w:ascii="仿宋_GB2312" w:eastAsia="仿宋_GB2312" w:cs="Times New Roman"/>
          <w:b/>
          <w:bCs/>
          <w:i w:val="0"/>
          <w:caps w:val="0"/>
          <w:color w:val="000000"/>
          <w:spacing w:val="0"/>
          <w:w w:val="100"/>
          <w:kern w:val="2"/>
          <w:sz w:val="32"/>
          <w:szCs w:val="32"/>
          <w:lang w:val="en-US" w:eastAsia="zh-CN" w:bidi="ar-SA"/>
        </w:rPr>
        <w:t>（款）其他计划生育事务支出（项）</w:t>
      </w:r>
      <w:r>
        <w:rPr>
          <w:rStyle w:val="10"/>
          <w:rFonts w:ascii="仿宋_GB2312" w:eastAsia="仿宋_GB2312"/>
          <w:b w:val="0"/>
          <w:i w:val="0"/>
          <w:caps w:val="0"/>
          <w:color w:val="000000"/>
          <w:spacing w:val="0"/>
          <w:w w:val="100"/>
          <w:kern w:val="2"/>
          <w:sz w:val="32"/>
          <w:szCs w:val="32"/>
          <w:lang w:val="en-US" w:eastAsia="zh-CN" w:bidi="ar-SA"/>
        </w:rPr>
        <w:t>:主要用于实行计划生育奖励扶助对个人和家庭的补助、计划生育免费手术等支出。2020年决算数为446.37万元，完成预算88.83%。决算数小于预算数的主要原因是计划生育免费手术资金在2020年未完成支付，结转到下一年度完成。</w:t>
      </w:r>
    </w:p>
    <w:p w14:paraId="024DEEB6">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cs="Times New Roman"/>
          <w:b/>
          <w:bCs/>
          <w:i w:val="0"/>
          <w:caps w:val="0"/>
          <w:color w:val="000000"/>
          <w:spacing w:val="0"/>
          <w:w w:val="100"/>
          <w:kern w:val="2"/>
          <w:sz w:val="32"/>
          <w:szCs w:val="32"/>
          <w:lang w:val="en-US" w:eastAsia="zh-CN" w:bidi="ar-SA"/>
        </w:rPr>
        <w:t>卫生健康支出（类）行政事业单位（款）事业单位医疗（项）</w:t>
      </w:r>
      <w:r>
        <w:rPr>
          <w:rStyle w:val="9"/>
          <w:rFonts w:ascii="仿宋_GB2312" w:eastAsia="仿宋_GB2312"/>
          <w:b w:val="0"/>
          <w:i w:val="0"/>
          <w:caps w:val="0"/>
          <w:color w:val="000000"/>
          <w:spacing w:val="0"/>
          <w:w w:val="100"/>
          <w:kern w:val="2"/>
          <w:sz w:val="32"/>
          <w:szCs w:val="32"/>
          <w:lang w:val="en-US" w:eastAsia="zh-CN" w:bidi="ar-SA"/>
        </w:rPr>
        <w:t>：用于在职在编人员医疗保险支出，2020年决算数270.24万元，</w:t>
      </w:r>
      <w:r>
        <w:rPr>
          <w:rStyle w:val="10"/>
          <w:rFonts w:ascii="仿宋_GB2312" w:eastAsia="仿宋_GB2312"/>
          <w:b w:val="0"/>
          <w:i w:val="0"/>
          <w:caps w:val="0"/>
          <w:color w:val="000000"/>
          <w:spacing w:val="0"/>
          <w:w w:val="100"/>
          <w:kern w:val="2"/>
          <w:sz w:val="32"/>
          <w:szCs w:val="32"/>
          <w:lang w:val="en-US" w:eastAsia="zh-CN" w:bidi="ar-SA"/>
        </w:rPr>
        <w:t>完成预算100%。</w:t>
      </w:r>
    </w:p>
    <w:p w14:paraId="23236994">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b/>
          <w:i w:val="0"/>
          <w:caps w:val="0"/>
          <w:color w:val="000000"/>
          <w:spacing w:val="0"/>
          <w:w w:val="100"/>
          <w:kern w:val="2"/>
          <w:sz w:val="32"/>
          <w:szCs w:val="32"/>
          <w:lang w:val="en-US" w:eastAsia="zh-CN" w:bidi="ar-SA"/>
        </w:rPr>
        <w:t>卫生健康支出（类）其他卫生健康支出（款）</w:t>
      </w:r>
      <w:r>
        <w:rPr>
          <w:rStyle w:val="10"/>
          <w:rFonts w:ascii="仿宋_GB2312" w:eastAsia="仿宋_GB2312" w:cs="Times New Roman"/>
          <w:b/>
          <w:bCs/>
          <w:i w:val="0"/>
          <w:caps w:val="0"/>
          <w:color w:val="000000"/>
          <w:spacing w:val="0"/>
          <w:w w:val="100"/>
          <w:kern w:val="2"/>
          <w:sz w:val="32"/>
          <w:szCs w:val="32"/>
          <w:lang w:val="en-US" w:eastAsia="zh-CN" w:bidi="ar-SA"/>
        </w:rPr>
        <w:t>其他卫生健康支出(项)</w:t>
      </w:r>
      <w:r>
        <w:rPr>
          <w:rStyle w:val="10"/>
          <w:rFonts w:ascii="仿宋_GB2312" w:eastAsia="仿宋_GB2312"/>
          <w:b w:val="0"/>
          <w:i w:val="0"/>
          <w:caps w:val="0"/>
          <w:color w:val="000000"/>
          <w:spacing w:val="0"/>
          <w:w w:val="100"/>
          <w:kern w:val="2"/>
          <w:sz w:val="32"/>
          <w:szCs w:val="32"/>
          <w:lang w:val="en-US" w:eastAsia="zh-CN" w:bidi="ar-SA"/>
        </w:rPr>
        <w:t>:主要用于疫情防控公共卫生体系建设、基层医疗服务提升、疾控中心基本建设、妇幼保健机构基本建设等支出。2020年决算数为941.48万元，完成预算45.58%，决算数小于预算数的主要原因是2020年疾病预防控制中心、妇幼保健计划生育服务中心基本建设款结转到下一年度继续使用。</w:t>
      </w:r>
    </w:p>
    <w:p w14:paraId="1686CA85">
      <w:pPr>
        <w:snapToGrid/>
        <w:spacing w:before="0" w:beforeAutospacing="0" w:after="0" w:afterAutospacing="0" w:line="600" w:lineRule="exact"/>
        <w:ind w:firstLine="643" w:firstLineChars="200"/>
        <w:jc w:val="both"/>
        <w:textAlignment w:val="baseline"/>
        <w:rPr>
          <w:rStyle w:val="9"/>
          <w:rFonts w:ascii="仿宋_GB2312" w:eastAsia="仿宋_GB2312"/>
          <w:b w:val="0"/>
          <w:i w:val="0"/>
          <w:caps w:val="0"/>
          <w:color w:val="000000"/>
          <w:spacing w:val="0"/>
          <w:w w:val="100"/>
          <w:kern w:val="2"/>
          <w:sz w:val="32"/>
          <w:szCs w:val="32"/>
          <w:lang w:val="en-US" w:eastAsia="zh-CN" w:bidi="ar-SA"/>
        </w:rPr>
      </w:pPr>
      <w:r>
        <w:rPr>
          <w:rStyle w:val="9"/>
          <w:rFonts w:ascii="仿宋_GB2312" w:eastAsia="仿宋_GB2312"/>
          <w:b/>
          <w:i w:val="0"/>
          <w:caps w:val="0"/>
          <w:color w:val="000000"/>
          <w:spacing w:val="0"/>
          <w:w w:val="100"/>
          <w:kern w:val="2"/>
          <w:sz w:val="32"/>
          <w:szCs w:val="32"/>
          <w:lang w:val="en-US" w:eastAsia="zh-CN" w:bidi="ar-SA"/>
        </w:rPr>
        <w:t>住房保障支出（类）住房改革支出（款）</w:t>
      </w:r>
      <w:r>
        <w:rPr>
          <w:rStyle w:val="9"/>
          <w:rFonts w:ascii="仿宋_GB2312" w:eastAsia="仿宋_GB2312" w:cs="Times New Roman"/>
          <w:b/>
          <w:bCs/>
          <w:i w:val="0"/>
          <w:caps w:val="0"/>
          <w:color w:val="000000"/>
          <w:spacing w:val="0"/>
          <w:w w:val="100"/>
          <w:kern w:val="2"/>
          <w:sz w:val="32"/>
          <w:szCs w:val="32"/>
          <w:lang w:val="en-US" w:eastAsia="zh-CN" w:bidi="ar-SA"/>
        </w:rPr>
        <w:t>住房公积金支出（项）</w:t>
      </w:r>
      <w:r>
        <w:rPr>
          <w:rStyle w:val="9"/>
          <w:rFonts w:ascii="仿宋_GB2312" w:eastAsia="仿宋_GB2312"/>
          <w:b w:val="0"/>
          <w:i w:val="0"/>
          <w:caps w:val="0"/>
          <w:color w:val="000000"/>
          <w:spacing w:val="0"/>
          <w:w w:val="100"/>
          <w:kern w:val="2"/>
          <w:sz w:val="32"/>
          <w:szCs w:val="32"/>
          <w:lang w:val="en-US" w:eastAsia="zh-CN" w:bidi="ar-SA"/>
        </w:rPr>
        <w:t>:主要用于在职在编人员缴纳住房公积金支出。2020年决算数为440.51万元，完成预算99.9%。决算数小于预算数的原因是丁家卫生院2020年住房公积金单位部分未全部申请。</w:t>
      </w:r>
    </w:p>
    <w:p w14:paraId="71AA186D">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9"/>
          <w:rFonts w:ascii="仿宋_GB2312" w:eastAsia="仿宋_GB2312"/>
          <w:b/>
          <w:i w:val="0"/>
          <w:caps w:val="0"/>
          <w:color w:val="000000"/>
          <w:spacing w:val="0"/>
          <w:w w:val="100"/>
          <w:kern w:val="2"/>
          <w:sz w:val="32"/>
          <w:szCs w:val="32"/>
          <w:lang w:val="en-US" w:eastAsia="zh-CN" w:bidi="ar-SA"/>
        </w:rPr>
        <w:t>社会保障和就业支出(类)行政事业单位离退休（款）</w:t>
      </w:r>
      <w:r>
        <w:rPr>
          <w:rStyle w:val="10"/>
          <w:rFonts w:ascii="仿宋_GB2312" w:eastAsia="仿宋_GB2312"/>
          <w:b/>
          <w:i w:val="0"/>
          <w:caps w:val="0"/>
          <w:color w:val="000000"/>
          <w:spacing w:val="0"/>
          <w:w w:val="100"/>
          <w:kern w:val="2"/>
          <w:sz w:val="32"/>
          <w:szCs w:val="32"/>
          <w:lang w:val="en-US" w:eastAsia="zh-CN" w:bidi="ar-SA"/>
        </w:rPr>
        <w:t>机关事业单位基本养老保险缴费支出（项）：</w:t>
      </w:r>
      <w:r>
        <w:rPr>
          <w:rStyle w:val="10"/>
          <w:rFonts w:ascii="仿宋_GB2312" w:eastAsia="仿宋_GB2312" w:cs="Times New Roman"/>
          <w:b w:val="0"/>
          <w:bCs/>
          <w:i w:val="0"/>
          <w:caps w:val="0"/>
          <w:color w:val="000000"/>
          <w:spacing w:val="0"/>
          <w:w w:val="100"/>
          <w:kern w:val="2"/>
          <w:sz w:val="32"/>
          <w:szCs w:val="32"/>
          <w:lang w:val="en-US" w:eastAsia="zh-CN" w:bidi="ar-SA"/>
        </w:rPr>
        <w:t>主要用于在职在编人员基本养老保险支出，</w:t>
      </w:r>
      <w:r>
        <w:rPr>
          <w:rStyle w:val="10"/>
          <w:rFonts w:ascii="仿宋_GB2312" w:eastAsia="仿宋_GB2312"/>
          <w:b w:val="0"/>
          <w:i w:val="0"/>
          <w:caps w:val="0"/>
          <w:spacing w:val="0"/>
          <w:w w:val="100"/>
          <w:kern w:val="2"/>
          <w:sz w:val="32"/>
          <w:szCs w:val="32"/>
          <w:lang w:val="en-US" w:eastAsia="zh-CN" w:bidi="ar-SA"/>
        </w:rPr>
        <w:t>2020年决算数为463.37万元，完成预算100 %。</w:t>
      </w:r>
    </w:p>
    <w:p w14:paraId="76E92CD8">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9"/>
          <w:rFonts w:ascii="仿宋_GB2312" w:eastAsia="仿宋_GB2312"/>
          <w:b/>
          <w:i w:val="0"/>
          <w:caps w:val="0"/>
          <w:color w:val="000000"/>
          <w:spacing w:val="0"/>
          <w:w w:val="100"/>
          <w:kern w:val="2"/>
          <w:sz w:val="32"/>
          <w:szCs w:val="32"/>
          <w:lang w:val="en-US" w:eastAsia="zh-CN" w:bidi="ar-SA"/>
        </w:rPr>
        <w:t>社会保障和就业支出(类)行政事业单位离退休（款）</w:t>
      </w:r>
      <w:r>
        <w:rPr>
          <w:rStyle w:val="10"/>
          <w:rFonts w:ascii="仿宋_GB2312" w:eastAsia="仿宋_GB2312"/>
          <w:b/>
          <w:i w:val="0"/>
          <w:caps w:val="0"/>
          <w:spacing w:val="0"/>
          <w:w w:val="100"/>
          <w:kern w:val="2"/>
          <w:sz w:val="32"/>
          <w:szCs w:val="32"/>
          <w:lang w:val="en-US" w:eastAsia="zh-CN" w:bidi="ar-SA"/>
        </w:rPr>
        <w:t>机关事业单位职业年金缴费支出（项）：</w:t>
      </w:r>
      <w:r>
        <w:rPr>
          <w:rStyle w:val="10"/>
          <w:rFonts w:ascii="仿宋_GB2312" w:eastAsia="仿宋_GB2312" w:cs="Times New Roman"/>
          <w:b w:val="0"/>
          <w:bCs/>
          <w:i w:val="0"/>
          <w:caps w:val="0"/>
          <w:color w:val="000000"/>
          <w:spacing w:val="0"/>
          <w:w w:val="100"/>
          <w:kern w:val="2"/>
          <w:sz w:val="32"/>
          <w:szCs w:val="32"/>
          <w:lang w:val="en-US" w:eastAsia="zh-CN" w:bidi="ar-SA"/>
        </w:rPr>
        <w:t>主要用于在职在编人员职业年金支出，</w:t>
      </w:r>
      <w:r>
        <w:rPr>
          <w:rStyle w:val="10"/>
          <w:rFonts w:ascii="仿宋_GB2312" w:eastAsia="仿宋_GB2312"/>
          <w:b w:val="0"/>
          <w:i w:val="0"/>
          <w:caps w:val="0"/>
          <w:spacing w:val="0"/>
          <w:w w:val="100"/>
          <w:kern w:val="2"/>
          <w:sz w:val="32"/>
          <w:szCs w:val="32"/>
          <w:lang w:val="en-US" w:eastAsia="zh-CN" w:bidi="ar-SA"/>
        </w:rPr>
        <w:t>2020年决算数为190.33万元，完成预算100%。</w:t>
      </w:r>
    </w:p>
    <w:p w14:paraId="07027A22">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仿宋_GB2312" w:cs="Times New Roman"/>
          <w:b w:val="0"/>
          <w:bCs/>
          <w:i w:val="0"/>
          <w:caps w:val="0"/>
          <w:spacing w:val="0"/>
          <w:w w:val="100"/>
          <w:sz w:val="21"/>
          <w:szCs w:val="32"/>
        </w:rPr>
      </w:pPr>
      <w:r>
        <w:rPr>
          <w:rStyle w:val="9"/>
          <w:rFonts w:ascii="仿宋_GB2312" w:cs="Times New Roman"/>
          <w:b w:val="0"/>
          <w:bCs/>
          <w:i w:val="0"/>
          <w:caps w:val="0"/>
          <w:spacing w:val="0"/>
          <w:w w:val="100"/>
          <w:sz w:val="21"/>
          <w:szCs w:val="32"/>
        </w:rPr>
        <w:t>社会保障和就业支出(类)社会福利（款）</w:t>
      </w:r>
      <w:r>
        <w:rPr>
          <w:rStyle w:val="10"/>
          <w:rFonts w:ascii="仿宋_GB2312" w:cs="Times New Roman"/>
          <w:b w:val="0"/>
          <w:bCs/>
          <w:i w:val="0"/>
          <w:caps w:val="0"/>
          <w:spacing w:val="0"/>
          <w:w w:val="100"/>
          <w:sz w:val="21"/>
          <w:szCs w:val="32"/>
        </w:rPr>
        <w:t>养老福利（项）：</w:t>
      </w:r>
      <w:r>
        <w:rPr>
          <w:rStyle w:val="10"/>
          <w:rFonts w:ascii="仿宋_GB2312"/>
          <w:b/>
          <w:i w:val="0"/>
          <w:caps w:val="0"/>
          <w:spacing w:val="0"/>
          <w:w w:val="100"/>
          <w:sz w:val="21"/>
          <w:szCs w:val="32"/>
        </w:rPr>
        <w:t>主要用于80岁以上老人高龄补贴，2020年决算数178.96万元，完成预算100%。</w:t>
      </w:r>
    </w:p>
    <w:p w14:paraId="635A5E76">
      <w:pPr>
        <w:tabs>
          <w:tab w:val="right" w:pos="8306"/>
        </w:tabs>
        <w:snapToGrid/>
        <w:spacing w:before="0" w:beforeAutospacing="0" w:after="0" w:afterAutospacing="0" w:line="600" w:lineRule="exact"/>
        <w:ind w:firstLine="640" w:firstLineChars="200"/>
        <w:jc w:val="both"/>
        <w:textAlignment w:val="baseline"/>
        <w:outlineLvl w:val="1"/>
        <w:rPr>
          <w:rStyle w:val="17"/>
          <w:rFonts w:ascii="Cambria" w:hAnsi="Cambria" w:eastAsia="宋体" w:cs="Times New Roman"/>
          <w:b/>
          <w:bCs/>
          <w:i w:val="0"/>
          <w:caps w:val="0"/>
          <w:spacing w:val="0"/>
          <w:w w:val="100"/>
          <w:kern w:val="2"/>
          <w:sz w:val="32"/>
          <w:szCs w:val="32"/>
          <w:lang w:val="en-US" w:eastAsia="zh-CN" w:bidi="ar-SA"/>
        </w:rPr>
      </w:pPr>
      <w:bookmarkStart w:id="10" w:name="_Toc2216"/>
      <w:r>
        <w:rPr>
          <w:rStyle w:val="10"/>
          <w:rFonts w:ascii="黑体" w:eastAsia="黑体"/>
          <w:b w:val="0"/>
          <w:i w:val="0"/>
          <w:caps w:val="0"/>
          <w:color w:val="000000"/>
          <w:spacing w:val="0"/>
          <w:w w:val="100"/>
          <w:kern w:val="2"/>
          <w:sz w:val="32"/>
          <w:szCs w:val="32"/>
          <w:lang w:val="en-US" w:eastAsia="zh-CN" w:bidi="ar-SA"/>
        </w:rPr>
        <w:t>六</w:t>
      </w:r>
      <w:r>
        <w:rPr>
          <w:rStyle w:val="10"/>
          <w:rFonts w:ascii="黑体" w:eastAsia="黑体"/>
          <w:b/>
          <w:i w:val="0"/>
          <w:caps w:val="0"/>
          <w:color w:val="000000"/>
          <w:spacing w:val="0"/>
          <w:w w:val="100"/>
          <w:kern w:val="2"/>
          <w:sz w:val="32"/>
          <w:szCs w:val="32"/>
          <w:lang w:val="en-US" w:eastAsia="zh-CN" w:bidi="ar-SA"/>
        </w:rPr>
        <w:t>、</w:t>
      </w:r>
      <w:r>
        <w:rPr>
          <w:rStyle w:val="10"/>
          <w:rFonts w:ascii="黑体" w:hAnsi="黑体" w:eastAsia="黑体"/>
          <w:b/>
          <w:i w:val="0"/>
          <w:caps w:val="0"/>
          <w:color w:val="000000"/>
          <w:spacing w:val="0"/>
          <w:w w:val="100"/>
          <w:kern w:val="2"/>
          <w:sz w:val="32"/>
          <w:szCs w:val="32"/>
          <w:lang w:val="en-US" w:eastAsia="zh-CN" w:bidi="ar-SA"/>
        </w:rPr>
        <w:t>一</w:t>
      </w:r>
      <w:r>
        <w:rPr>
          <w:rStyle w:val="17"/>
          <w:rFonts w:ascii="黑体" w:hAnsi="黑体" w:eastAsia="黑体" w:cs="Times New Roman"/>
          <w:b w:val="0"/>
          <w:bCs/>
          <w:i w:val="0"/>
          <w:caps w:val="0"/>
          <w:spacing w:val="0"/>
          <w:w w:val="100"/>
          <w:kern w:val="2"/>
          <w:sz w:val="32"/>
          <w:szCs w:val="32"/>
          <w:lang w:val="en-US" w:eastAsia="zh-CN" w:bidi="ar-SA"/>
        </w:rPr>
        <w:t>般公共预算财政拨款基本支出决算情况说明</w:t>
      </w:r>
      <w:bookmarkEnd w:id="10"/>
      <w:r>
        <w:rPr>
          <w:rStyle w:val="17"/>
          <w:rFonts w:ascii="黑体" w:hAnsi="黑体" w:eastAsia="黑体" w:cs="Times New Roman"/>
          <w:b w:val="0"/>
          <w:bCs/>
          <w:i w:val="0"/>
          <w:caps w:val="0"/>
          <w:spacing w:val="0"/>
          <w:w w:val="100"/>
          <w:kern w:val="2"/>
          <w:sz w:val="32"/>
          <w:szCs w:val="32"/>
          <w:lang w:val="en-US" w:eastAsia="zh-CN" w:bidi="ar-SA"/>
        </w:rPr>
        <w:tab/>
      </w:r>
    </w:p>
    <w:p w14:paraId="319960F5">
      <w:pPr>
        <w:snapToGrid/>
        <w:spacing w:before="0" w:beforeAutospacing="0" w:after="0" w:afterAutospacing="0" w:line="600" w:lineRule="exact"/>
        <w:ind w:firstLine="645"/>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一般公共预算财政拨款基本支出5748.21万元，其中：人员经费5389.31万元，主要包括：基本工资1664.14万元、津贴补贴242.97万元、奖金411.48万元、绩效工资1376.69万元、机关事业单位基本养老保险缴费463.37万元、职业年金缴费190.33万元、基本医疗保险缴费291.36万元、其他社会保障缴费42.6万元、其他工资福利支出238.32万元、离休费9.78万元、生活补助16.83万元、医疗费补助0.94万元、住房公积金440.5万元。</w:t>
      </w:r>
    </w:p>
    <w:p w14:paraId="3D9B0EF7">
      <w:pPr>
        <w:snapToGrid/>
        <w:spacing w:before="0" w:beforeAutospacing="0" w:after="0" w:afterAutospacing="0" w:line="600" w:lineRule="exact"/>
        <w:ind w:firstLine="645"/>
        <w:jc w:val="both"/>
        <w:textAlignment w:val="baseline"/>
        <w:rPr>
          <w:rStyle w:val="10"/>
          <w:rFonts w:ascii="仿宋" w:hAnsi="仿宋" w:eastAsia="仿宋"/>
          <w:b/>
          <w:i w:val="0"/>
          <w:caps w:val="0"/>
          <w:color w:val="FF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日常公用经费358.9万元，主要包括：办公费21.5万元、印刷费18.13万元、咨询费3.99万元、水费7.93万元、电费18.21万元、邮电费38万元、差旅费61.99万元、维修（护）费22.93万元、租赁费6.86万元、会议费5.05万元、培训费3.33万元、公务接待费10.04万元、专用材料费4.93万元、劳务费34.77万元、委托业务费0.15万元、工会经费33.73万元、公务用车运行维护费0.65万元、其他交通费32.9万元、其他商品和服务支出33.81万元。</w:t>
      </w:r>
    </w:p>
    <w:p w14:paraId="6CABDE8A">
      <w:pPr>
        <w:snapToGrid/>
        <w:spacing w:before="0" w:beforeAutospacing="0" w:after="0" w:afterAutospacing="0" w:line="600" w:lineRule="exact"/>
        <w:ind w:firstLine="640"/>
        <w:jc w:val="both"/>
        <w:textAlignment w:val="baseline"/>
        <w:rPr>
          <w:rStyle w:val="10"/>
          <w:rFonts w:ascii="仿宋" w:hAnsi="仿宋" w:eastAsia="仿宋"/>
          <w:b/>
          <w:i w:val="0"/>
          <w:caps w:val="0"/>
          <w:color w:val="FF0000"/>
          <w:spacing w:val="0"/>
          <w:w w:val="100"/>
          <w:kern w:val="2"/>
          <w:sz w:val="32"/>
          <w:szCs w:val="32"/>
          <w:lang w:val="en-US" w:eastAsia="zh-CN" w:bidi="ar-SA"/>
        </w:rPr>
      </w:pPr>
    </w:p>
    <w:p w14:paraId="1E69ACFE">
      <w:pPr>
        <w:snapToGrid/>
        <w:spacing w:before="0" w:beforeAutospacing="0" w:after="0" w:afterAutospacing="0" w:line="600" w:lineRule="exact"/>
        <w:ind w:firstLine="640"/>
        <w:jc w:val="both"/>
        <w:textAlignment w:val="baseline"/>
        <w:outlineLvl w:val="1"/>
        <w:rPr>
          <w:rStyle w:val="17"/>
          <w:rFonts w:ascii="黑体" w:hAnsi="黑体" w:eastAsia="黑体" w:cs="Times New Roman"/>
          <w:b w:val="0"/>
          <w:bCs/>
          <w:i w:val="0"/>
          <w:caps w:val="0"/>
          <w:spacing w:val="0"/>
          <w:w w:val="100"/>
          <w:kern w:val="2"/>
          <w:sz w:val="32"/>
          <w:szCs w:val="32"/>
          <w:lang w:val="en-US" w:eastAsia="zh-CN" w:bidi="ar-SA"/>
        </w:rPr>
      </w:pPr>
      <w:bookmarkStart w:id="11" w:name="_Toc26166"/>
      <w:r>
        <w:rPr>
          <w:rStyle w:val="10"/>
          <w:rFonts w:ascii="黑体" w:eastAsia="黑体"/>
          <w:b w:val="0"/>
          <w:i w:val="0"/>
          <w:caps w:val="0"/>
          <w:color w:val="000000"/>
          <w:spacing w:val="0"/>
          <w:w w:val="100"/>
          <w:kern w:val="2"/>
          <w:sz w:val="32"/>
          <w:szCs w:val="32"/>
          <w:lang w:val="en-US" w:eastAsia="zh-CN" w:bidi="ar-SA"/>
        </w:rPr>
        <w:t>七、</w:t>
      </w:r>
      <w:r>
        <w:rPr>
          <w:rStyle w:val="17"/>
          <w:rFonts w:ascii="黑体" w:hAnsi="黑体" w:eastAsia="黑体" w:cs="Times New Roman"/>
          <w:b/>
          <w:bCs/>
          <w:i w:val="0"/>
          <w:caps w:val="0"/>
          <w:spacing w:val="0"/>
          <w:w w:val="100"/>
          <w:kern w:val="2"/>
          <w:sz w:val="32"/>
          <w:szCs w:val="32"/>
          <w:lang w:val="en-US" w:eastAsia="zh-CN" w:bidi="ar-SA"/>
        </w:rPr>
        <w:t>“</w:t>
      </w:r>
      <w:r>
        <w:rPr>
          <w:rStyle w:val="17"/>
          <w:rFonts w:ascii="黑体" w:hAnsi="黑体" w:eastAsia="黑体" w:cs="Times New Roman"/>
          <w:b w:val="0"/>
          <w:bCs/>
          <w:i w:val="0"/>
          <w:caps w:val="0"/>
          <w:spacing w:val="0"/>
          <w:w w:val="100"/>
          <w:kern w:val="2"/>
          <w:sz w:val="32"/>
          <w:szCs w:val="32"/>
          <w:lang w:val="en-US" w:eastAsia="zh-CN" w:bidi="ar-SA"/>
        </w:rPr>
        <w:t>三公”经费财政拨款支出决算情况说明</w:t>
      </w:r>
      <w:bookmarkEnd w:id="11"/>
    </w:p>
    <w:p w14:paraId="4BCD4088">
      <w:pPr>
        <w:snapToGrid/>
        <w:spacing w:before="0" w:beforeAutospacing="0" w:after="0" w:afterAutospacing="0" w:line="600" w:lineRule="exact"/>
        <w:ind w:firstLine="640"/>
        <w:jc w:val="both"/>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（一）“三公”经费财政拨款支出决算总体情况说明</w:t>
      </w:r>
    </w:p>
    <w:p w14:paraId="606D2AE3">
      <w:pPr>
        <w:snapToGrid/>
        <w:spacing w:before="0" w:beforeAutospacing="0" w:after="0" w:afterAutospacing="0" w:line="600" w:lineRule="exact"/>
        <w:ind w:firstLine="640"/>
        <w:jc w:val="both"/>
        <w:textAlignment w:val="baseline"/>
        <w:rPr>
          <w:rStyle w:val="10"/>
          <w:rFonts w:ascii="仿宋" w:hAnsi="仿宋" w:eastAsia="仿宋_GB2312" w:cs="Times New Roman"/>
          <w:b w:val="0"/>
          <w:bCs/>
          <w:i w:val="0"/>
          <w:caps w:val="0"/>
          <w:color w:val="FF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2020年“三公”经费财政拨款支出决算为15.79万元，完成预算98.69%，决算数小于预算数的主要原因是降低用餐标准，</w:t>
      </w:r>
      <w:r>
        <w:rPr>
          <w:rStyle w:val="10"/>
          <w:rFonts w:ascii="仿宋_GB2312" w:eastAsia="仿宋_GB2312"/>
          <w:b w:val="0"/>
          <w:i w:val="0"/>
          <w:caps w:val="0"/>
          <w:color w:val="333333"/>
          <w:spacing w:val="0"/>
          <w:w w:val="100"/>
          <w:kern w:val="2"/>
          <w:sz w:val="32"/>
          <w:szCs w:val="32"/>
          <w:lang w:val="en-US" w:eastAsia="zh-CN" w:bidi="ar-SA"/>
        </w:rPr>
        <w:t>严格审批用餐环节，严格控制人数及单位。</w:t>
      </w:r>
      <w:r>
        <w:rPr>
          <w:rStyle w:val="10"/>
          <w:rFonts w:ascii="仿宋_GB2312" w:eastAsia="仿宋_GB2312"/>
          <w:b w:val="0"/>
          <w:i w:val="0"/>
          <w:caps w:val="0"/>
          <w:color w:val="000000"/>
          <w:spacing w:val="0"/>
          <w:w w:val="100"/>
          <w:kern w:val="2"/>
          <w:sz w:val="32"/>
          <w:szCs w:val="32"/>
          <w:lang w:val="en-US" w:eastAsia="zh-CN" w:bidi="ar-SA"/>
        </w:rPr>
        <w:t>其中：因公出国（境）费支出决算为0万元，年初未安排预算；公务用车购置及运行维护费支出决算为5万元；完成预算100%。公务接待费支出决算数10.79，完成预算98.69%。</w:t>
      </w:r>
    </w:p>
    <w:p w14:paraId="5D070F49">
      <w:pPr>
        <w:snapToGrid/>
        <w:spacing w:before="0" w:beforeAutospacing="0" w:after="0" w:afterAutospacing="0" w:line="600" w:lineRule="exact"/>
        <w:ind w:firstLine="640"/>
        <w:jc w:val="both"/>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（二）“三公”经费财政拨款支出决算具体情况说明</w:t>
      </w:r>
    </w:p>
    <w:p w14:paraId="341D6FCD">
      <w:pPr>
        <w:snapToGrid/>
        <w:spacing w:before="0" w:beforeAutospacing="0" w:after="0" w:afterAutospacing="0" w:line="600" w:lineRule="exact"/>
        <w:ind w:firstLine="64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color w:val="000000"/>
          <w:spacing w:val="0"/>
          <w:w w:val="100"/>
          <w:kern w:val="2"/>
          <w:sz w:val="32"/>
          <w:szCs w:val="32"/>
          <w:lang w:val="en-US" w:eastAsia="zh-CN" w:bidi="ar-SA"/>
        </w:rPr>
        <w:t>2020年“三公”经费财政拨款支出决算中，因公出国（境）费支出决算0万元，</w:t>
      </w:r>
      <w:r>
        <w:rPr>
          <w:rStyle w:val="10"/>
          <w:rFonts w:ascii="仿宋_GB2312" w:eastAsia="仿宋_GB2312"/>
          <w:b w:val="0"/>
          <w:i w:val="0"/>
          <w:caps w:val="0"/>
          <w:color w:val="000000"/>
          <w:spacing w:val="0"/>
          <w:w w:val="100"/>
          <w:kern w:val="2"/>
          <w:sz w:val="32"/>
          <w:szCs w:val="32"/>
          <w:lang w:val="en-US" w:eastAsia="zh-CN" w:bidi="ar-SA"/>
        </w:rPr>
        <w:t>年初未安排预算</w:t>
      </w:r>
      <w:r>
        <w:rPr>
          <w:rStyle w:val="10"/>
          <w:rFonts w:ascii="仿宋" w:hAnsi="仿宋" w:eastAsia="仿宋"/>
          <w:b w:val="0"/>
          <w:i w:val="0"/>
          <w:caps w:val="0"/>
          <w:color w:val="000000"/>
          <w:spacing w:val="0"/>
          <w:w w:val="100"/>
          <w:kern w:val="2"/>
          <w:sz w:val="32"/>
          <w:szCs w:val="32"/>
          <w:lang w:val="en-US" w:eastAsia="zh-CN" w:bidi="ar-SA"/>
        </w:rPr>
        <w:t>；公务用车购置及运行维护费支出决算5万元，占预算数的100%，其中，疾病预防控制中心公务用车运行维护费5万元，占100%，公务接待费总支出决算10.79万元，占预算数的98.09%，其中卫生健康局公务接待8.94万元，占82.85%，卫生监督执法大队公务接待0.35万元，占3.24%。疾病预防控制中心公务接待费1.5万元，占13.91%，</w:t>
      </w:r>
    </w:p>
    <w:p w14:paraId="77B89429">
      <w:pPr>
        <w:widowControl/>
        <w:snapToGrid/>
        <w:spacing w:before="0" w:beforeAutospacing="0" w:after="0" w:afterAutospacing="0" w:line="240" w:lineRule="auto"/>
        <w:jc w:val="left"/>
        <w:textAlignment w:val="baseline"/>
        <w:rPr>
          <w:rStyle w:val="10"/>
          <w:rFonts w:ascii="Times New Roman" w:hAnsi="Times New Roman" w:eastAsia="宋体"/>
          <w:b w:val="0"/>
          <w:i w:val="0"/>
          <w:caps w:val="0"/>
          <w:spacing w:val="0"/>
          <w:w w:val="100"/>
          <w:kern w:val="2"/>
          <w:sz w:val="21"/>
          <w:szCs w:val="24"/>
          <w:lang w:val="en-US" w:eastAsia="zh-CN" w:bidi="ar-SA"/>
        </w:rPr>
      </w:pPr>
      <w:r>
        <w:rPr>
          <w:rStyle w:val="10"/>
          <w:rFonts w:ascii="宋体" w:hAnsi="宋体"/>
          <w:b w:val="0"/>
          <w:i w:val="0"/>
          <w:caps w:val="0"/>
          <w:spacing w:val="0"/>
          <w:w w:val="100"/>
          <w:kern w:val="0"/>
          <w:sz w:val="24"/>
          <w:szCs w:val="24"/>
          <w:lang w:val="en-US" w:eastAsia="zh-CN"/>
        </w:rPr>
        <w:pict>
          <v:shape id="_x0000_i1031" o:spt="75" type="#_x0000_t75" style="height:156.75pt;width:284.25pt;" filled="f" stroked="f" coordsize="21600,21600">
            <v:path/>
            <v:fill on="f" focussize="0,0"/>
            <v:stroke on="f" joinstyle="miter"/>
            <v:imagedata r:id="rId14" o:title=""/>
            <o:lock v:ext="edit" aspectratio="t"/>
            <w10:wrap type="none"/>
            <w10:anchorlock/>
          </v:shape>
        </w:pict>
      </w:r>
    </w:p>
    <w:p w14:paraId="7A01B49E">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仿宋" w:hAnsi="仿宋" w:eastAsia="仿宋"/>
          <w:b w:val="0"/>
          <w:i w:val="0"/>
          <w:caps w:val="0"/>
          <w:spacing w:val="0"/>
          <w:w w:val="100"/>
          <w:sz w:val="21"/>
          <w:szCs w:val="32"/>
        </w:rPr>
      </w:pPr>
    </w:p>
    <w:p w14:paraId="7FC0399E">
      <w:pPr>
        <w:widowControl/>
        <w:snapToGrid/>
        <w:spacing w:before="0" w:beforeAutospacing="0" w:after="0" w:afterAutospacing="0" w:line="240" w:lineRule="auto"/>
        <w:jc w:val="left"/>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宋体" w:hAnsi="宋体"/>
          <w:b w:val="0"/>
          <w:i w:val="0"/>
          <w:caps w:val="0"/>
          <w:spacing w:val="0"/>
          <w:w w:val="100"/>
          <w:kern w:val="0"/>
          <w:sz w:val="24"/>
          <w:szCs w:val="24"/>
          <w:lang w:val="en-US" w:eastAsia="zh-CN"/>
        </w:rPr>
        <w:pict>
          <v:shape id="_x0000_i1032" o:spt="75" type="#_x0000_t75" style="height:165.75pt;width:320.25pt;" filled="f" stroked="f" coordsize="21600,21600">
            <v:path/>
            <v:fill on="f" focussize="0,0"/>
            <v:stroke on="f" joinstyle="miter"/>
            <v:imagedata r:id="rId15" o:title=""/>
            <o:lock v:ext="edit" aspectratio="t"/>
            <w10:wrap type="none"/>
            <w10:anchorlock/>
          </v:shape>
        </w:pict>
      </w:r>
    </w:p>
    <w:p w14:paraId="6A3BB8F6">
      <w:pPr>
        <w:snapToGrid/>
        <w:spacing w:before="0" w:beforeAutospacing="0" w:after="0" w:afterAutospacing="0" w:line="600" w:lineRule="exact"/>
        <w:ind w:firstLine="640"/>
        <w:jc w:val="both"/>
        <w:textAlignment w:val="baseline"/>
        <w:rPr>
          <w:rStyle w:val="10"/>
          <w:rFonts w:ascii="仿宋_GB2312" w:eastAsia="仿宋_GB2312"/>
          <w:b/>
          <w:i w:val="0"/>
          <w:caps w:val="0"/>
          <w:color w:val="000000"/>
          <w:spacing w:val="0"/>
          <w:w w:val="100"/>
          <w:kern w:val="2"/>
          <w:sz w:val="32"/>
          <w:szCs w:val="32"/>
          <w:lang w:val="en-US" w:eastAsia="zh-CN" w:bidi="ar-SA"/>
        </w:rPr>
      </w:pPr>
      <w:r>
        <w:rPr>
          <w:rStyle w:val="10"/>
          <w:rFonts w:ascii="仿宋_GB2312" w:eastAsia="仿宋_GB2312"/>
          <w:b/>
          <w:i w:val="0"/>
          <w:caps w:val="0"/>
          <w:color w:val="000000"/>
          <w:spacing w:val="0"/>
          <w:w w:val="100"/>
          <w:kern w:val="2"/>
          <w:sz w:val="32"/>
          <w:szCs w:val="32"/>
          <w:lang w:val="en-US" w:eastAsia="zh-CN" w:bidi="ar-SA"/>
        </w:rPr>
        <w:t>1.因公出国（境）经费支出</w:t>
      </w:r>
      <w:r>
        <w:rPr>
          <w:rStyle w:val="10"/>
          <w:rFonts w:ascii="仿宋_GB2312" w:eastAsia="仿宋_GB2312"/>
          <w:b w:val="0"/>
          <w:i w:val="0"/>
          <w:caps w:val="0"/>
          <w:color w:val="000000"/>
          <w:spacing w:val="0"/>
          <w:w w:val="100"/>
          <w:kern w:val="2"/>
          <w:sz w:val="32"/>
          <w:szCs w:val="32"/>
          <w:lang w:val="en-US" w:eastAsia="zh-CN" w:bidi="ar-SA"/>
        </w:rPr>
        <w:t>0万元，年初未安排预算，与上年数无变化。</w:t>
      </w:r>
    </w:p>
    <w:p w14:paraId="1B866C72">
      <w:pPr>
        <w:snapToGrid/>
        <w:spacing w:before="0" w:beforeAutospacing="0" w:after="0" w:afterAutospacing="0" w:line="600" w:lineRule="exact"/>
        <w:ind w:firstLine="64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i w:val="0"/>
          <w:caps w:val="0"/>
          <w:color w:val="000000"/>
          <w:spacing w:val="0"/>
          <w:w w:val="100"/>
          <w:kern w:val="2"/>
          <w:sz w:val="32"/>
          <w:szCs w:val="32"/>
          <w:lang w:val="en-US" w:eastAsia="zh-CN" w:bidi="ar-SA"/>
        </w:rPr>
        <w:t>2.公务用车购置及运行维护费支出</w:t>
      </w:r>
      <w:r>
        <w:rPr>
          <w:rStyle w:val="10"/>
          <w:rFonts w:ascii="仿宋_GB2312" w:eastAsia="仿宋_GB2312"/>
          <w:b w:val="0"/>
          <w:i w:val="0"/>
          <w:caps w:val="0"/>
          <w:color w:val="000000"/>
          <w:spacing w:val="0"/>
          <w:w w:val="100"/>
          <w:kern w:val="2"/>
          <w:sz w:val="32"/>
          <w:szCs w:val="32"/>
          <w:lang w:val="en-US" w:eastAsia="zh-CN" w:bidi="ar-SA"/>
        </w:rPr>
        <w:t>5万元,</w:t>
      </w:r>
      <w:r>
        <w:rPr>
          <w:rStyle w:val="9"/>
          <w:rFonts w:ascii="仿宋" w:hAnsi="仿宋" w:eastAsia="仿宋" w:cs="Times New Roman"/>
          <w:b w:val="0"/>
          <w:bCs/>
          <w:i w:val="0"/>
          <w:caps w:val="0"/>
          <w:color w:val="000000"/>
          <w:spacing w:val="0"/>
          <w:w w:val="100"/>
          <w:kern w:val="2"/>
          <w:sz w:val="32"/>
          <w:szCs w:val="32"/>
          <w:lang w:val="en-US" w:eastAsia="zh-CN" w:bidi="ar-SA"/>
        </w:rPr>
        <w:t>完成预算100%。</w:t>
      </w:r>
      <w:r>
        <w:rPr>
          <w:rStyle w:val="10"/>
          <w:rFonts w:ascii="仿宋_GB2312" w:eastAsia="仿宋_GB2312"/>
          <w:b w:val="0"/>
          <w:i w:val="0"/>
          <w:caps w:val="0"/>
          <w:color w:val="000000"/>
          <w:spacing w:val="0"/>
          <w:w w:val="100"/>
          <w:kern w:val="2"/>
          <w:sz w:val="32"/>
          <w:szCs w:val="32"/>
          <w:lang w:val="en-US" w:eastAsia="zh-CN" w:bidi="ar-SA"/>
        </w:rPr>
        <w:t>公务用车购置及运行维护费支出决算比2019年增加5万元，增长100%。主要原因是疾病预防控制中心疫情防控新冠疫苗运送,冷链车维护费。</w:t>
      </w:r>
    </w:p>
    <w:p w14:paraId="4539278F">
      <w:pPr>
        <w:snapToGrid/>
        <w:spacing w:before="0" w:beforeAutospacing="0" w:after="0" w:afterAutospacing="0" w:line="600" w:lineRule="exact"/>
        <w:ind w:firstLine="640" w:firstLineChars="200"/>
        <w:jc w:val="both"/>
        <w:textAlignment w:val="baseline"/>
        <w:rPr>
          <w:rStyle w:val="10"/>
          <w:rFonts w:ascii="仿宋_GB2312" w:eastAsia="仿宋_GB2312"/>
          <w:b/>
          <w:i w:val="0"/>
          <w:caps w:val="0"/>
          <w:color w:val="00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其中：</w:t>
      </w:r>
      <w:r>
        <w:rPr>
          <w:rStyle w:val="10"/>
          <w:rFonts w:ascii="仿宋_GB2312" w:eastAsia="仿宋_GB2312"/>
          <w:b/>
          <w:i w:val="0"/>
          <w:caps w:val="0"/>
          <w:color w:val="000000"/>
          <w:spacing w:val="0"/>
          <w:w w:val="100"/>
          <w:kern w:val="2"/>
          <w:sz w:val="32"/>
          <w:szCs w:val="32"/>
          <w:lang w:val="en-US" w:eastAsia="zh-CN" w:bidi="ar-SA"/>
        </w:rPr>
        <w:t>公务用车购置支出</w:t>
      </w:r>
      <w:r>
        <w:rPr>
          <w:rStyle w:val="10"/>
          <w:rFonts w:ascii="仿宋_GB2312" w:eastAsia="仿宋_GB2312"/>
          <w:b w:val="0"/>
          <w:i w:val="0"/>
          <w:caps w:val="0"/>
          <w:color w:val="000000"/>
          <w:spacing w:val="0"/>
          <w:w w:val="100"/>
          <w:kern w:val="2"/>
          <w:sz w:val="32"/>
          <w:szCs w:val="32"/>
          <w:lang w:val="en-US" w:eastAsia="zh-CN" w:bidi="ar-SA"/>
        </w:rPr>
        <w:t>0万元。全年按规定更新购置公务用车0辆，其中：轿车0辆、金额0万元，越野车0辆、金额0万元，载客汽车0辆、金额0万元。截至2020年12月底，单位共有公务用车5辆，其中：轿车0辆、越野车5辆、载客汽车0辆。</w:t>
      </w:r>
    </w:p>
    <w:p w14:paraId="1C779C5A">
      <w:pPr>
        <w:snapToGrid/>
        <w:spacing w:before="0" w:beforeAutospacing="0" w:after="0" w:afterAutospacing="0" w:line="600" w:lineRule="exact"/>
        <w:ind w:firstLine="64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i w:val="0"/>
          <w:caps w:val="0"/>
          <w:color w:val="000000"/>
          <w:spacing w:val="0"/>
          <w:w w:val="100"/>
          <w:kern w:val="2"/>
          <w:sz w:val="32"/>
          <w:szCs w:val="32"/>
          <w:lang w:val="en-US" w:eastAsia="zh-CN" w:bidi="ar-SA"/>
        </w:rPr>
        <w:t>公务用车运行维护费支出</w:t>
      </w:r>
      <w:r>
        <w:rPr>
          <w:rStyle w:val="10"/>
          <w:rFonts w:ascii="仿宋_GB2312" w:eastAsia="仿宋_GB2312"/>
          <w:b w:val="0"/>
          <w:i w:val="0"/>
          <w:caps w:val="0"/>
          <w:color w:val="000000"/>
          <w:spacing w:val="0"/>
          <w:w w:val="100"/>
          <w:kern w:val="2"/>
          <w:sz w:val="32"/>
          <w:szCs w:val="32"/>
          <w:lang w:val="en-US" w:eastAsia="zh-CN" w:bidi="ar-SA"/>
        </w:rPr>
        <w:t>5万元。主要用于日常疫苗配送等所需的公务用车燃料费、维修费、过路过桥费、保险费等支出。</w:t>
      </w:r>
    </w:p>
    <w:p w14:paraId="4530D810">
      <w:pPr>
        <w:snapToGrid/>
        <w:spacing w:before="0" w:beforeAutospacing="0" w:after="0" w:afterAutospacing="0" w:line="600" w:lineRule="exact"/>
        <w:ind w:firstLine="64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i w:val="0"/>
          <w:caps w:val="0"/>
          <w:color w:val="000000"/>
          <w:spacing w:val="0"/>
          <w:w w:val="100"/>
          <w:kern w:val="2"/>
          <w:sz w:val="32"/>
          <w:szCs w:val="32"/>
          <w:lang w:val="en-US" w:eastAsia="zh-CN" w:bidi="ar-SA"/>
        </w:rPr>
        <w:t>3.公务接待费支出</w:t>
      </w:r>
      <w:r>
        <w:rPr>
          <w:rStyle w:val="10"/>
          <w:rFonts w:ascii="仿宋_GB2312" w:eastAsia="仿宋_GB2312"/>
          <w:b w:val="0"/>
          <w:i w:val="0"/>
          <w:caps w:val="0"/>
          <w:color w:val="000000"/>
          <w:spacing w:val="0"/>
          <w:w w:val="100"/>
          <w:kern w:val="2"/>
          <w:sz w:val="32"/>
          <w:szCs w:val="32"/>
          <w:lang w:val="en-US" w:eastAsia="zh-CN" w:bidi="ar-SA"/>
        </w:rPr>
        <w:t>10.79万元，</w:t>
      </w:r>
      <w:r>
        <w:rPr>
          <w:rStyle w:val="9"/>
          <w:rFonts w:ascii="仿宋" w:hAnsi="仿宋" w:eastAsia="仿宋" w:cs="Times New Roman"/>
          <w:b w:val="0"/>
          <w:bCs/>
          <w:i w:val="0"/>
          <w:caps w:val="0"/>
          <w:color w:val="000000"/>
          <w:spacing w:val="0"/>
          <w:w w:val="100"/>
          <w:kern w:val="2"/>
          <w:sz w:val="32"/>
          <w:szCs w:val="32"/>
          <w:lang w:val="en-US" w:eastAsia="zh-CN" w:bidi="ar-SA"/>
        </w:rPr>
        <w:t>完成预算98.09%。</w:t>
      </w:r>
      <w:r>
        <w:rPr>
          <w:rStyle w:val="10"/>
          <w:rFonts w:ascii="仿宋_GB2312" w:eastAsia="仿宋_GB2312"/>
          <w:b w:val="0"/>
          <w:i w:val="0"/>
          <w:caps w:val="0"/>
          <w:color w:val="000000"/>
          <w:spacing w:val="0"/>
          <w:w w:val="100"/>
          <w:kern w:val="2"/>
          <w:sz w:val="32"/>
          <w:szCs w:val="32"/>
          <w:lang w:val="en-US" w:eastAsia="zh-CN" w:bidi="ar-SA"/>
        </w:rPr>
        <w:t>公务接待费支出决算比2019年增加1.03万元，增长10.55%。主要原因是新冠疫情防控督导检查支出增加。</w:t>
      </w:r>
    </w:p>
    <w:p w14:paraId="6C126887">
      <w:pPr>
        <w:snapToGrid/>
        <w:spacing w:before="0" w:beforeAutospacing="0" w:after="0" w:afterAutospacing="0" w:line="600" w:lineRule="exact"/>
        <w:ind w:firstLine="643"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国内公务接待支出</w:t>
      </w:r>
      <w:r>
        <w:rPr>
          <w:rStyle w:val="10"/>
          <w:rFonts w:ascii="仿宋" w:hAnsi="仿宋" w:eastAsia="仿宋"/>
          <w:b w:val="0"/>
          <w:i w:val="0"/>
          <w:caps w:val="0"/>
          <w:color w:val="000000"/>
          <w:spacing w:val="0"/>
          <w:w w:val="100"/>
          <w:kern w:val="2"/>
          <w:sz w:val="32"/>
          <w:szCs w:val="32"/>
          <w:lang w:val="en-US" w:eastAsia="zh-CN" w:bidi="ar-SA"/>
        </w:rPr>
        <w:t>10.79</w:t>
      </w:r>
      <w:r>
        <w:rPr>
          <w:rStyle w:val="10"/>
          <w:rFonts w:ascii="仿宋_GB2312" w:eastAsia="仿宋_GB2312"/>
          <w:b w:val="0"/>
          <w:i w:val="0"/>
          <w:caps w:val="0"/>
          <w:color w:val="000000"/>
          <w:spacing w:val="0"/>
          <w:w w:val="100"/>
          <w:kern w:val="2"/>
          <w:sz w:val="32"/>
          <w:szCs w:val="32"/>
          <w:lang w:val="en-US" w:eastAsia="zh-CN" w:bidi="ar-SA"/>
        </w:rPr>
        <w:t>万元，要用于主要用于各级部门到我系统检查、</w:t>
      </w:r>
      <w:r>
        <w:rPr>
          <w:rStyle w:val="10"/>
          <w:rFonts w:ascii="仿宋_GB2312" w:eastAsia="仿宋_GB2312"/>
          <w:b w:val="0"/>
          <w:i w:val="0"/>
          <w:caps w:val="0"/>
          <w:spacing w:val="0"/>
          <w:w w:val="100"/>
          <w:kern w:val="2"/>
          <w:sz w:val="32"/>
          <w:szCs w:val="32"/>
          <w:lang w:val="en-US" w:eastAsia="zh-CN" w:bidi="ar-SA"/>
        </w:rPr>
        <w:t>指导医疗服务质量、疫情防控、院感工作，其他地市来人考察调研学习，疾病预防控制、妇幼及执法工作，公共卫生、医疗质量、人事、信息、财务等业务培训。</w:t>
      </w:r>
    </w:p>
    <w:p w14:paraId="781474D4">
      <w:pPr>
        <w:snapToGrid/>
        <w:spacing w:before="0" w:beforeAutospacing="0" w:after="0" w:afterAutospacing="0" w:line="600" w:lineRule="exact"/>
        <w:ind w:firstLine="640"/>
        <w:jc w:val="both"/>
        <w:textAlignment w:val="baseline"/>
        <w:rPr>
          <w:rStyle w:val="10"/>
          <w:rFonts w:ascii="Times New Roman" w:hAnsi="Times New Roman" w:eastAsia="宋体"/>
          <w:b w:val="0"/>
          <w:i w:val="0"/>
          <w:caps w:val="0"/>
          <w:spacing w:val="0"/>
          <w:w w:val="100"/>
          <w:kern w:val="2"/>
          <w:sz w:val="21"/>
          <w:szCs w:val="24"/>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国内公务接待550批次、1926人次（不包括陪同人员），共计支出10.79万元，决算数据录入时，录入错误，卫生健康局本级公务接待人次1505人次误填为505人次;其中执法监督大队0.35万元，主要用于省、市执法监督检查、安全生产检查；疾病预防控制中心1.5万元，主要用于省、市、各县区疫情期间检查、重大疾病督导；卫生健康局人事项目：人事考察、交流学习、人才引进、东西部协作人才交流支出1.56万元；医政项目：省、市、各县区对医疗质量、院感、疫情防控督导监督检查、交流学习支出2.78万元；办公室：用于省、市、各县区综合检查、督导支出3.56万元；基本公共卫生及信息化项目：基本公共卫生督导、检查、交流学习、信息系统学习、信息技术指导支出1.04万元。</w:t>
      </w:r>
    </w:p>
    <w:p w14:paraId="66895B28">
      <w:pPr>
        <w:snapToGrid/>
        <w:spacing w:before="0" w:beforeAutospacing="0" w:after="0" w:afterAutospacing="0" w:line="600" w:lineRule="exact"/>
        <w:ind w:firstLine="643" w:firstLineChars="200"/>
        <w:jc w:val="both"/>
        <w:textAlignment w:val="baseline"/>
        <w:rPr>
          <w:rStyle w:val="10"/>
          <w:rFonts w:ascii="黑体" w:eastAsia="黑体"/>
          <w:b w:val="0"/>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外事接待支出</w:t>
      </w:r>
      <w:r>
        <w:rPr>
          <w:rStyle w:val="10"/>
          <w:rFonts w:ascii="仿宋" w:hAnsi="仿宋" w:eastAsia="仿宋"/>
          <w:b w:val="0"/>
          <w:i w:val="0"/>
          <w:caps w:val="0"/>
          <w:color w:val="000000"/>
          <w:spacing w:val="0"/>
          <w:w w:val="100"/>
          <w:kern w:val="2"/>
          <w:sz w:val="32"/>
          <w:szCs w:val="32"/>
          <w:lang w:val="en-US" w:eastAsia="zh-CN" w:bidi="ar-SA"/>
        </w:rPr>
        <w:t>0</w:t>
      </w:r>
      <w:r>
        <w:rPr>
          <w:rStyle w:val="10"/>
          <w:rFonts w:ascii="仿宋_GB2312" w:eastAsia="仿宋_GB2312"/>
          <w:b w:val="0"/>
          <w:i w:val="0"/>
          <w:caps w:val="0"/>
          <w:color w:val="000000"/>
          <w:spacing w:val="0"/>
          <w:w w:val="100"/>
          <w:kern w:val="2"/>
          <w:sz w:val="32"/>
          <w:szCs w:val="32"/>
          <w:lang w:val="en-US" w:eastAsia="zh-CN" w:bidi="ar-SA"/>
        </w:rPr>
        <w:t>万元，外事接待0批次，0人，共计支出0万元。</w:t>
      </w:r>
    </w:p>
    <w:p w14:paraId="4C195326">
      <w:pPr>
        <w:snapToGrid/>
        <w:spacing w:before="0" w:beforeAutospacing="0" w:after="0" w:afterAutospacing="0" w:line="600" w:lineRule="exact"/>
        <w:ind w:firstLine="640"/>
        <w:jc w:val="both"/>
        <w:textAlignment w:val="baseline"/>
        <w:outlineLvl w:val="1"/>
        <w:rPr>
          <w:rStyle w:val="17"/>
          <w:rFonts w:ascii="黑体" w:hAnsi="黑体" w:eastAsia="黑体" w:cs="Times New Roman"/>
          <w:b/>
          <w:bCs/>
          <w:i w:val="0"/>
          <w:caps w:val="0"/>
          <w:spacing w:val="0"/>
          <w:w w:val="100"/>
          <w:kern w:val="2"/>
          <w:sz w:val="32"/>
          <w:szCs w:val="32"/>
          <w:lang w:val="en-US" w:eastAsia="zh-CN" w:bidi="ar-SA"/>
        </w:rPr>
      </w:pPr>
      <w:bookmarkStart w:id="12" w:name="_Toc27160"/>
      <w:r>
        <w:rPr>
          <w:rStyle w:val="10"/>
          <w:rFonts w:ascii="黑体" w:eastAsia="黑体"/>
          <w:b w:val="0"/>
          <w:i w:val="0"/>
          <w:caps w:val="0"/>
          <w:color w:val="000000"/>
          <w:spacing w:val="0"/>
          <w:w w:val="100"/>
          <w:kern w:val="2"/>
          <w:sz w:val="32"/>
          <w:szCs w:val="32"/>
          <w:lang w:val="en-US" w:eastAsia="zh-CN" w:bidi="ar-SA"/>
        </w:rPr>
        <w:t>八、</w:t>
      </w:r>
      <w:r>
        <w:rPr>
          <w:rStyle w:val="17"/>
          <w:rFonts w:ascii="黑体" w:hAnsi="黑体" w:eastAsia="黑体" w:cs="Times New Roman"/>
          <w:b w:val="0"/>
          <w:bCs/>
          <w:i w:val="0"/>
          <w:caps w:val="0"/>
          <w:spacing w:val="0"/>
          <w:w w:val="100"/>
          <w:kern w:val="2"/>
          <w:sz w:val="32"/>
          <w:szCs w:val="32"/>
          <w:lang w:val="en-US" w:eastAsia="zh-CN" w:bidi="ar-SA"/>
        </w:rPr>
        <w:t>政府性基金预算支出决算情况说明</w:t>
      </w:r>
      <w:bookmarkEnd w:id="12"/>
    </w:p>
    <w:p w14:paraId="783377A3">
      <w:pPr>
        <w:snapToGrid/>
        <w:spacing w:before="0" w:beforeAutospacing="0" w:after="0" w:afterAutospacing="0" w:line="600" w:lineRule="exact"/>
        <w:ind w:firstLine="64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2020年政府性基金预算拨款支出1757.75万元，决算支出1757.75万元，完成预算100%，主要用于基层卫生院哨点诊室建设、污水处理系统、疫苗追溯系统、医废检测系统购置，中医医院能力提升及能力建设，疾控预防控制中心核酸实验室修建。</w:t>
      </w:r>
    </w:p>
    <w:p w14:paraId="191866F3">
      <w:pPr>
        <w:numPr>
          <w:ilvl w:val="0"/>
          <w:numId w:val="5"/>
        </w:numPr>
        <w:snapToGrid/>
        <w:spacing w:before="0" w:beforeAutospacing="0" w:after="0" w:afterAutospacing="0" w:line="600" w:lineRule="exact"/>
        <w:ind w:firstLine="640"/>
        <w:jc w:val="both"/>
        <w:textAlignment w:val="baseline"/>
        <w:outlineLvl w:val="1"/>
        <w:rPr>
          <w:rStyle w:val="17"/>
          <w:rFonts w:ascii="黑体" w:hAnsi="黑体" w:eastAsia="黑体" w:cs="Times New Roman"/>
          <w:b w:val="0"/>
          <w:bCs/>
          <w:i w:val="0"/>
          <w:caps w:val="0"/>
          <w:spacing w:val="0"/>
          <w:w w:val="100"/>
          <w:kern w:val="2"/>
          <w:sz w:val="32"/>
          <w:szCs w:val="32"/>
          <w:lang w:val="en-US" w:eastAsia="zh-CN" w:bidi="ar-SA"/>
        </w:rPr>
      </w:pPr>
      <w:bookmarkStart w:id="13" w:name="_Toc31235"/>
      <w:r>
        <w:rPr>
          <w:rStyle w:val="17"/>
          <w:rFonts w:ascii="黑体" w:hAnsi="黑体" w:eastAsia="黑体" w:cs="Times New Roman"/>
          <w:b w:val="0"/>
          <w:bCs/>
          <w:i w:val="0"/>
          <w:caps w:val="0"/>
          <w:spacing w:val="0"/>
          <w:w w:val="100"/>
          <w:kern w:val="2"/>
          <w:sz w:val="32"/>
          <w:szCs w:val="32"/>
          <w:lang w:val="en-US" w:eastAsia="zh-CN" w:bidi="ar-SA"/>
        </w:rPr>
        <w:t>国有资本经营预算支出决算情况说明</w:t>
      </w:r>
      <w:bookmarkEnd w:id="13"/>
    </w:p>
    <w:p w14:paraId="2E1AEAEE">
      <w:pPr>
        <w:snapToGrid/>
        <w:spacing w:before="0" w:beforeAutospacing="0" w:after="0" w:afterAutospacing="0" w:line="600" w:lineRule="exact"/>
        <w:ind w:firstLine="640"/>
        <w:jc w:val="both"/>
        <w:textAlignment w:val="baseline"/>
        <w:rPr>
          <w:rStyle w:val="10"/>
          <w:rFonts w:ascii="方正小标宋简体" w:hAnsi="方正小标宋简体" w:eastAsia="方正小标宋简体"/>
          <w:b w:val="0"/>
          <w:i w:val="0"/>
          <w:caps w:val="0"/>
          <w:spacing w:val="0"/>
          <w:w w:val="100"/>
          <w:kern w:val="2"/>
          <w:sz w:val="44"/>
          <w:szCs w:val="44"/>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2020年国有资本经营预算拨款支出0万元。</w:t>
      </w:r>
    </w:p>
    <w:p w14:paraId="2C8E74B0">
      <w:pPr>
        <w:snapToGrid/>
        <w:spacing w:before="0" w:beforeAutospacing="0" w:after="0" w:afterAutospacing="0" w:line="600" w:lineRule="exact"/>
        <w:ind w:firstLine="640" w:firstLineChars="200"/>
        <w:jc w:val="both"/>
        <w:textAlignment w:val="baseline"/>
        <w:outlineLvl w:val="1"/>
        <w:rPr>
          <w:rStyle w:val="17"/>
          <w:rFonts w:ascii="黑体" w:hAnsi="黑体" w:eastAsia="黑体" w:cs="Times New Roman"/>
          <w:b/>
          <w:bCs/>
          <w:i w:val="0"/>
          <w:caps w:val="0"/>
          <w:spacing w:val="0"/>
          <w:w w:val="100"/>
          <w:kern w:val="2"/>
          <w:sz w:val="32"/>
          <w:szCs w:val="32"/>
          <w:lang w:val="en-US" w:eastAsia="zh-CN" w:bidi="ar-SA"/>
        </w:rPr>
      </w:pPr>
      <w:bookmarkStart w:id="14" w:name="_Toc25599"/>
      <w:r>
        <w:rPr>
          <w:rStyle w:val="10"/>
          <w:rFonts w:ascii="黑体" w:hAnsi="黑体" w:eastAsia="黑体"/>
          <w:b w:val="0"/>
          <w:i w:val="0"/>
          <w:caps w:val="0"/>
          <w:color w:val="000000"/>
          <w:spacing w:val="0"/>
          <w:w w:val="100"/>
          <w:kern w:val="2"/>
          <w:sz w:val="32"/>
          <w:szCs w:val="32"/>
          <w:lang w:val="en-US" w:eastAsia="zh-CN" w:bidi="ar-SA"/>
        </w:rPr>
        <w:t>十</w:t>
      </w:r>
      <w:r>
        <w:rPr>
          <w:rStyle w:val="17"/>
          <w:rFonts w:ascii="黑体" w:hAnsi="黑体" w:eastAsia="黑体" w:cs="Times New Roman"/>
          <w:b/>
          <w:bCs/>
          <w:i w:val="0"/>
          <w:caps w:val="0"/>
          <w:spacing w:val="0"/>
          <w:w w:val="100"/>
          <w:kern w:val="2"/>
          <w:sz w:val="32"/>
          <w:szCs w:val="32"/>
          <w:lang w:val="en-US" w:eastAsia="zh-CN" w:bidi="ar-SA"/>
        </w:rPr>
        <w:t>、</w:t>
      </w:r>
      <w:r>
        <w:rPr>
          <w:rStyle w:val="17"/>
          <w:rFonts w:ascii="黑体" w:hAnsi="黑体" w:eastAsia="黑体" w:cs="Times New Roman"/>
          <w:b w:val="0"/>
          <w:bCs/>
          <w:i w:val="0"/>
          <w:caps w:val="0"/>
          <w:spacing w:val="0"/>
          <w:w w:val="100"/>
          <w:kern w:val="2"/>
          <w:sz w:val="32"/>
          <w:szCs w:val="32"/>
          <w:lang w:val="en-US" w:eastAsia="zh-CN" w:bidi="ar-SA"/>
        </w:rPr>
        <w:t>其他重要事项的情况说明</w:t>
      </w:r>
      <w:bookmarkEnd w:id="14"/>
    </w:p>
    <w:p w14:paraId="49ACD83A">
      <w:pPr>
        <w:snapToGrid/>
        <w:spacing w:before="0" w:beforeAutospacing="0" w:after="0" w:afterAutospacing="0" w:line="600" w:lineRule="exact"/>
        <w:ind w:firstLine="643" w:firstLineChars="200"/>
        <w:jc w:val="both"/>
        <w:textAlignment w:val="baseline"/>
        <w:rPr>
          <w:rStyle w:val="10"/>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（一）机关运行经费支出情况</w:t>
      </w:r>
    </w:p>
    <w:p w14:paraId="74C471AE">
      <w:pPr>
        <w:snapToGrid/>
        <w:spacing w:before="0" w:beforeAutospacing="0" w:after="0" w:afterAutospacing="0" w:line="600" w:lineRule="exact"/>
        <w:ind w:firstLine="640"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2020年卫生健康局机关运行经费支出276.88万元，比2019年增加76.44万元，增长38.14%，主要原因是新冠疫情期间宣传印刷、消毒消杀人员劳务、隔离点物资采购费用增加；其中办公费16.79万元、印刷费13.35万元、咨询费3.99万元、水费4.79万元、电费9.88万元、邮电费11.9万元、差旅费52.14万元、维修（护）费21.46万元，租赁费2.74万元、会议费4.7万元、培训费2.9万元、公务接待8.94万元、劳务费33.54万元、工会经费29.1万元、其他交通费27.49万元、其他商品服务支出33.17万元。</w:t>
      </w:r>
    </w:p>
    <w:p w14:paraId="1EB047FC">
      <w:pPr>
        <w:snapToGrid/>
        <w:spacing w:before="0" w:beforeAutospacing="0" w:after="0" w:afterAutospacing="0" w:line="600" w:lineRule="exact"/>
        <w:ind w:firstLine="643" w:firstLineChars="200"/>
        <w:jc w:val="left"/>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（二）政府采购支出情况</w:t>
      </w:r>
    </w:p>
    <w:p w14:paraId="7FD06C79">
      <w:pPr>
        <w:snapToGrid/>
        <w:spacing w:before="0" w:beforeAutospacing="0" w:after="0" w:afterAutospacing="0" w:line="600" w:lineRule="exact"/>
        <w:ind w:firstLine="640" w:firstLineChars="200"/>
        <w:jc w:val="both"/>
        <w:textAlignment w:val="baseline"/>
        <w:rPr>
          <w:rStyle w:val="10"/>
          <w:rFonts w:ascii="仿宋_GB2312" w:eastAsia="仿宋_GB2312"/>
          <w:b w:val="0"/>
          <w:i w:val="0"/>
          <w:caps w:val="0"/>
          <w:color w:val="000000"/>
          <w:spacing w:val="0"/>
          <w:w w:val="100"/>
          <w:kern w:val="2"/>
          <w:sz w:val="32"/>
          <w:szCs w:val="32"/>
          <w:highlight w:val="yellow"/>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2020年卫生系统政府采购支出总额2382.87万元，其中：政府采购货物支出1976.48万元、政府采购工程支出383.59万元、政府采购服务支出22.8万元。主要用于区中医医院救护车采购49.8万元、区中医医院DR设备采购362万元、康复理疗设备122.7万元；区人民医院高频手术系统、钬激光手术系统的采购213.98万元；妇幼保健院电子票据服务采购项目22.8万元、医疗设备采购1043.55万元、建设项目383.59万元；疾控预防控制中心冷链设备32.95万元；卫生健康局救护车采购146.8万元；虎跳卫生院医疗设备采购4.7万元。</w:t>
      </w:r>
    </w:p>
    <w:p w14:paraId="7B843E57">
      <w:pPr>
        <w:snapToGrid/>
        <w:spacing w:before="0" w:beforeAutospacing="0" w:after="0" w:afterAutospacing="0" w:line="600" w:lineRule="exact"/>
        <w:ind w:firstLine="643" w:firstLineChars="200"/>
        <w:jc w:val="left"/>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（三）国有资产占有使用情况</w:t>
      </w:r>
    </w:p>
    <w:p w14:paraId="7E1072FE">
      <w:pPr>
        <w:snapToGrid/>
        <w:spacing w:before="0" w:beforeAutospacing="0" w:after="0" w:afterAutospacing="0" w:line="600" w:lineRule="exact"/>
        <w:ind w:firstLine="640" w:firstLineChars="200"/>
        <w:jc w:val="left"/>
        <w:textAlignment w:val="baseline"/>
        <w:rPr>
          <w:rStyle w:val="10"/>
          <w:rFonts w:ascii="仿宋" w:hAnsi="仿宋" w:eastAsia="仿宋"/>
          <w:b/>
          <w:i w:val="0"/>
          <w:caps w:val="0"/>
          <w:color w:val="FF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截至2020年12月31日，卫生系统共有车辆25辆，其中：特种专业技术用车4辆，主要用于疾病预防控制中心疫苗配送转运，其他用车21辆，其他用车主要是乡镇卫生院、中医医院、妇幼保健院救护车，用于医疗单位急诊急救，单价50万元以上通用设备0台（套），单价100万元以上专用设备1台（套）。</w:t>
      </w:r>
    </w:p>
    <w:p w14:paraId="2329170F">
      <w:pPr>
        <w:snapToGrid/>
        <w:spacing w:before="0" w:beforeAutospacing="0" w:after="0" w:afterAutospacing="0" w:line="600" w:lineRule="exact"/>
        <w:ind w:firstLine="643" w:firstLineChars="200"/>
        <w:jc w:val="left"/>
        <w:textAlignment w:val="baseline"/>
        <w:rPr>
          <w:rStyle w:val="10"/>
          <w:rFonts w:ascii="仿宋" w:hAnsi="仿宋" w:eastAsia="仿宋"/>
          <w:b/>
          <w:i w:val="0"/>
          <w:caps w:val="0"/>
          <w:color w:val="000000"/>
          <w:spacing w:val="0"/>
          <w:w w:val="100"/>
          <w:kern w:val="2"/>
          <w:sz w:val="32"/>
          <w:szCs w:val="32"/>
          <w:lang w:val="en-US" w:eastAsia="zh-CN" w:bidi="ar-SA"/>
        </w:rPr>
      </w:pPr>
      <w:r>
        <w:rPr>
          <w:rStyle w:val="10"/>
          <w:rFonts w:ascii="仿宋" w:hAnsi="仿宋" w:eastAsia="仿宋"/>
          <w:b/>
          <w:i w:val="0"/>
          <w:caps w:val="0"/>
          <w:color w:val="000000"/>
          <w:spacing w:val="0"/>
          <w:w w:val="100"/>
          <w:kern w:val="2"/>
          <w:sz w:val="32"/>
          <w:szCs w:val="32"/>
          <w:lang w:val="en-US" w:eastAsia="zh-CN" w:bidi="ar-SA"/>
        </w:rPr>
        <w:t>（四）预算绩效管理情况。</w:t>
      </w:r>
    </w:p>
    <w:p w14:paraId="686819FF">
      <w:pPr>
        <w:snapToGrid/>
        <w:spacing w:before="0" w:beforeAutospacing="0" w:after="0" w:afterAutospacing="0" w:line="600" w:lineRule="exact"/>
        <w:ind w:firstLine="640" w:firstLineChars="200"/>
        <w:jc w:val="left"/>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根据预算绩效管理要求，本部门（单位）在年初预算编制阶段，组织对</w:t>
      </w:r>
      <w:r>
        <w:rPr>
          <w:rStyle w:val="10"/>
          <w:rFonts w:ascii="仿宋_GB2312" w:eastAsia="仿宋_GB2312"/>
          <w:b w:val="0"/>
          <w:i w:val="0"/>
          <w:caps w:val="0"/>
          <w:color w:val="000000"/>
          <w:spacing w:val="0"/>
          <w:w w:val="100"/>
          <w:kern w:val="2"/>
          <w:sz w:val="32"/>
          <w:szCs w:val="32"/>
          <w:lang w:val="en-US" w:eastAsia="zh-CN" w:bidi="ar-SA"/>
        </w:rPr>
        <w:t>公共卫生督导经费、“新生儿”及健康教育经费、2020年招商引资工作经费、2020年争取资金工作经费、独生子女父母奖励金、计划生育家庭伤残及死亡扶助、计划生育家庭特困扶助、计划生育免费服务、计划生育事业费投入、计划生育手术中并发症患者对象、免费婚检、区级重点项目工作经费、特困家庭再扶助（独生子女死亡再扶助）、乡村医生区级定额补助、支付泸定县麻风经费、计划生育家庭奖励扶助-国奖、计划生育家庭奖励扶助-省奖、基本公共卫生服务本级配套开展了预算事前绩效评估，并对以上18个项目编制了绩效目标，预算执行过程中，选取10个项目开展绩效监控，年终执行完毕后，对6个项目开展了绩效目标完成情况自评。</w:t>
      </w:r>
    </w:p>
    <w:p w14:paraId="6737F873">
      <w:pPr>
        <w:snapToGrid/>
        <w:spacing w:before="0" w:beforeAutospacing="0" w:after="0" w:afterAutospacing="0" w:line="600" w:lineRule="exact"/>
        <w:ind w:firstLine="640" w:firstLineChars="200"/>
        <w:jc w:val="left"/>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本部门按要求对2020年部门整体支出开展绩效自评，</w:t>
      </w:r>
      <w:r>
        <w:rPr>
          <w:rStyle w:val="10"/>
          <w:rFonts w:ascii="仿宋_GB2312" w:eastAsia="仿宋_GB2312"/>
          <w:b w:val="0"/>
          <w:i w:val="0"/>
          <w:caps w:val="0"/>
          <w:color w:val="000000"/>
          <w:spacing w:val="0"/>
          <w:w w:val="100"/>
          <w:kern w:val="2"/>
          <w:sz w:val="32"/>
          <w:szCs w:val="32"/>
          <w:lang w:val="en-US" w:eastAsia="zh-CN" w:bidi="ar-SA"/>
        </w:rPr>
        <w:t>从评价情况来看预算支出未发现无预算、超预算支出，未发现虚列支出和预算科目间相互挤占问题，所有财政资金支出均履行了严格审批手续，未发现挤占、挪用、转移财政资金行为。基本支出严格执行国家有关政策及规定，无擅自扩大开支范围和提高开支标准，单位津补贴、奖金和福利均按照国家或地方的规定发放，项目支出均按照批准的项目和用途以及项目实施方案执行，无自行改变项目内容，扩大支出范围现象。无自行调整项目支出预算问题，所有项目支出均合理合规。未发现利用财政或自有资金对外借、贷款问题。本部门还自行组织了项目绩效评价，从评价情况来看我局对项目资金加强使用管理，明确了项目内容、目标任务及工作措施。在实施过程中，经常召开专项会议，及时调度项目进度，研究解决项目工作中的具体问题，并根据专项资金文件规定的申报、审核、支付、管理流程，基本按照相关文件的规定审核支付资金，资金的支付范围、支付标准基本合规合法，支付依据充分，做到了专款专用。</w:t>
      </w:r>
    </w:p>
    <w:p w14:paraId="671DB6E1">
      <w:pPr>
        <w:numPr>
          <w:ilvl w:val="0"/>
          <w:numId w:val="6"/>
        </w:numPr>
        <w:tabs>
          <w:tab w:val="left" w:pos="312"/>
        </w:tabs>
        <w:snapToGrid/>
        <w:spacing w:before="0" w:beforeAutospacing="0" w:after="0" w:afterAutospacing="0" w:line="580"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楷体_GB2312" w:hAnsi="楷体_GB2312" w:eastAsia="楷体_GB2312"/>
          <w:b w:val="0"/>
          <w:i w:val="0"/>
          <w:caps w:val="0"/>
          <w:spacing w:val="0"/>
          <w:w w:val="100"/>
          <w:kern w:val="2"/>
          <w:sz w:val="32"/>
          <w:szCs w:val="32"/>
          <w:lang w:val="en-US" w:eastAsia="zh-CN" w:bidi="ar-SA"/>
        </w:rPr>
        <w:t>项目绩效目标完成情况。</w:t>
      </w:r>
      <w:r>
        <w:rPr>
          <w:rStyle w:val="10"/>
          <w:rFonts w:ascii="楷体_GB2312" w:hAnsi="楷体_GB2312" w:eastAsia="楷体_GB2312"/>
          <w:b w:val="0"/>
          <w:i w:val="0"/>
          <w:caps w:val="0"/>
          <w:spacing w:val="0"/>
          <w:w w:val="100"/>
          <w:kern w:val="2"/>
          <w:sz w:val="32"/>
          <w:szCs w:val="32"/>
          <w:lang w:val="en-US" w:eastAsia="zh-CN" w:bidi="ar-SA"/>
        </w:rPr>
        <w:br w:type="textWrapping"/>
      </w:r>
      <w:r>
        <w:rPr>
          <w:rStyle w:val="10"/>
          <w:rFonts w:ascii="仿宋_GB2312" w:hAnsi="仿宋_GB2312" w:eastAsia="仿宋_GB2312"/>
          <w:b w:val="0"/>
          <w:i w:val="0"/>
          <w:caps w:val="0"/>
          <w:spacing w:val="0"/>
          <w:w w:val="100"/>
          <w:kern w:val="2"/>
          <w:sz w:val="32"/>
          <w:szCs w:val="32"/>
          <w:lang w:val="en-US" w:eastAsia="zh-CN" w:bidi="ar-SA"/>
        </w:rPr>
        <w:t xml:space="preserve">    本部门在2020年度部门决算中反映“其他卫生健康支出：公立医院综合改革补助、卫生健康人才培养”两个项目、“重大公共卫生服务：公共卫生体系建设和重大疫情防控体系建设”“抗疫特别国债安排的支出：基础设施建设”“社会福利：80岁以上高龄补贴”等5个项目绩效目标实际完成情况。</w:t>
      </w:r>
    </w:p>
    <w:p w14:paraId="57C2218E">
      <w:pPr>
        <w:numPr>
          <w:ilvl w:val="0"/>
          <w:numId w:val="7"/>
        </w:numPr>
        <w:snapToGrid/>
        <w:spacing w:before="0" w:beforeAutospacing="0" w:after="0" w:afterAutospacing="0" w:line="580"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公立医院综合改革补助项目绩效目标完成情况综述。项目全年预算数513.61万元，执行数为256.14万元，完成预算的49.87%。通过项目实施，公立医院综合医改实施基本药物制度有效地减轻老百姓就医负担，通过科室打造、环境改造、设施设备购置、人员培训等，公立医院服务能力明显提升，设施设备更加完善，医院工作流程、工作环境得到进一步改善，医院</w:t>
      </w:r>
      <w:r>
        <w:rPr>
          <w:rStyle w:val="10"/>
          <w:rFonts w:ascii="仿宋_GB2312" w:hAnsi="仿宋_GB2312"/>
          <w:b w:val="0"/>
          <w:i w:val="0"/>
          <w:caps w:val="0"/>
          <w:spacing w:val="0"/>
          <w:w w:val="100"/>
          <w:kern w:val="2"/>
          <w:sz w:val="32"/>
          <w:szCs w:val="32"/>
          <w:lang w:val="en-US" w:eastAsia="zh-CN" w:bidi="ar-SA"/>
        </w:rPr>
        <w:t>软</w:t>
      </w:r>
      <w:r>
        <w:rPr>
          <w:rStyle w:val="10"/>
          <w:rFonts w:ascii="仿宋_GB2312" w:hAnsi="仿宋_GB2312" w:eastAsia="仿宋_GB2312"/>
          <w:b w:val="0"/>
          <w:i w:val="0"/>
          <w:caps w:val="0"/>
          <w:spacing w:val="0"/>
          <w:w w:val="100"/>
          <w:kern w:val="2"/>
          <w:sz w:val="32"/>
          <w:szCs w:val="32"/>
          <w:lang w:val="en-US" w:eastAsia="zh-CN" w:bidi="ar-SA"/>
        </w:rPr>
        <w:t>硬件设施得到进一步加强，医务人员行为更加规范，技术水平持续提高，分级诊疗制度逐步落实，良性就医格局进一步体现，形成了良好医疗行业政治生态和业务生态环境。发现的主要问题：资金体量太小，并由辖区内两所公立医院使用，难以取得明显效果。下一步改进措施：集中资金力量，做好其中一个项目，凸显资金效益。</w:t>
      </w:r>
    </w:p>
    <w:tbl>
      <w:tblPr>
        <w:tblStyle w:val="7"/>
        <w:tblpPr w:leftFromText="180" w:rightFromText="180" w:vertAnchor="text" w:horzAnchor="page" w:tblpXSpec="center" w:tblpY="423"/>
        <w:tblOverlap w:val="never"/>
        <w:tblW w:w="9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60"/>
        <w:gridCol w:w="1097"/>
        <w:gridCol w:w="1101"/>
        <w:gridCol w:w="2316"/>
        <w:gridCol w:w="2394"/>
        <w:gridCol w:w="2092"/>
      </w:tblGrid>
      <w:tr w14:paraId="705D6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4" w:hRule="atLeast"/>
          <w:jc w:val="center"/>
        </w:trPr>
        <w:tc>
          <w:tcPr>
            <w:tcW w:w="9660" w:type="dxa"/>
            <w:gridSpan w:val="6"/>
            <w:tcBorders>
              <w:top w:val="nil"/>
              <w:left w:val="nil"/>
              <w:bottom w:val="nil"/>
              <w:right w:val="nil"/>
            </w:tcBorders>
            <w:vAlign w:val="center"/>
          </w:tcPr>
          <w:p w14:paraId="5E15879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36"/>
                <w:szCs w:val="36"/>
                <w:lang w:val="en-US" w:eastAsia="zh-CN" w:bidi="ar-SA"/>
              </w:rPr>
            </w:pPr>
            <w:r>
              <w:rPr>
                <w:rStyle w:val="10"/>
                <w:rFonts w:ascii="宋体" w:hAnsi="宋体" w:cs="宋体"/>
                <w:b/>
                <w:bCs/>
                <w:i w:val="0"/>
                <w:caps w:val="0"/>
                <w:color w:val="000000"/>
                <w:spacing w:val="0"/>
                <w:w w:val="100"/>
                <w:kern w:val="0"/>
                <w:sz w:val="36"/>
                <w:szCs w:val="36"/>
                <w:lang w:val="en-US" w:eastAsia="zh-CN"/>
              </w:rPr>
              <w:t>项目绩效目标完成情况表</w:t>
            </w:r>
            <w:r>
              <w:rPr>
                <w:rStyle w:val="10"/>
                <w:rFonts w:ascii="宋体" w:cs="宋体"/>
                <w:b/>
                <w:bCs/>
                <w:i w:val="0"/>
                <w:caps w:val="0"/>
                <w:color w:val="000000"/>
                <w:spacing w:val="0"/>
                <w:w w:val="100"/>
                <w:kern w:val="0"/>
                <w:sz w:val="36"/>
                <w:szCs w:val="36"/>
                <w:lang w:val="en-US" w:eastAsia="zh-CN"/>
              </w:rPr>
              <w:br w:type="textWrapping"/>
            </w:r>
            <w:r>
              <w:rPr>
                <w:rStyle w:val="10"/>
                <w:rFonts w:ascii="宋体" w:hAnsi="宋体"/>
                <w:b w:val="0"/>
                <w:i w:val="0"/>
                <w:caps w:val="0"/>
                <w:color w:val="000000"/>
                <w:spacing w:val="0"/>
                <w:w w:val="100"/>
                <w:kern w:val="0"/>
                <w:sz w:val="36"/>
                <w:szCs w:val="36"/>
                <w:lang w:val="en-US" w:eastAsia="zh-CN"/>
              </w:rPr>
              <w:t>(2020年度)</w:t>
            </w:r>
          </w:p>
        </w:tc>
      </w:tr>
      <w:tr w14:paraId="6943A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1B67B92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项目名称</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49979D8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公立医院综合改革</w:t>
            </w:r>
          </w:p>
        </w:tc>
      </w:tr>
      <w:tr w14:paraId="1CB1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0A8AA88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预算单位</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4892D60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广元市昭化区卫生健康局</w:t>
            </w:r>
          </w:p>
        </w:tc>
      </w:tr>
      <w:tr w14:paraId="2BBBA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2EB1471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预算执行情况(万元)</w:t>
            </w: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4459994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预算数:</w:t>
            </w:r>
          </w:p>
        </w:tc>
        <w:tc>
          <w:tcPr>
            <w:tcW w:w="2316" w:type="dxa"/>
            <w:tcBorders>
              <w:top w:val="single" w:color="000000" w:sz="4" w:space="0"/>
              <w:left w:val="single" w:color="000000" w:sz="4" w:space="0"/>
              <w:bottom w:val="single" w:color="000000" w:sz="4" w:space="0"/>
              <w:right w:val="single" w:color="000000" w:sz="4" w:space="0"/>
            </w:tcBorders>
            <w:vAlign w:val="center"/>
          </w:tcPr>
          <w:p w14:paraId="1FC3367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513.61</w:t>
            </w:r>
          </w:p>
        </w:tc>
        <w:tc>
          <w:tcPr>
            <w:tcW w:w="2394" w:type="dxa"/>
            <w:tcBorders>
              <w:top w:val="single" w:color="000000" w:sz="4" w:space="0"/>
              <w:left w:val="single" w:color="000000" w:sz="4" w:space="0"/>
              <w:bottom w:val="single" w:color="000000" w:sz="4" w:space="0"/>
              <w:right w:val="single" w:color="000000" w:sz="4" w:space="0"/>
            </w:tcBorders>
            <w:vAlign w:val="center"/>
          </w:tcPr>
          <w:p w14:paraId="0A89889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执行数:</w:t>
            </w:r>
          </w:p>
        </w:tc>
        <w:tc>
          <w:tcPr>
            <w:tcW w:w="2092" w:type="dxa"/>
            <w:tcBorders>
              <w:top w:val="single" w:color="000000" w:sz="4" w:space="0"/>
              <w:left w:val="single" w:color="000000" w:sz="4" w:space="0"/>
              <w:bottom w:val="single" w:color="000000" w:sz="4" w:space="0"/>
              <w:right w:val="single" w:color="000000" w:sz="4" w:space="0"/>
            </w:tcBorders>
            <w:vAlign w:val="center"/>
          </w:tcPr>
          <w:p w14:paraId="2CA8357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256.14</w:t>
            </w:r>
          </w:p>
        </w:tc>
      </w:tr>
      <w:tr w14:paraId="19B04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6C3A5E5D">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3A5D3A1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316" w:type="dxa"/>
            <w:tcBorders>
              <w:top w:val="single" w:color="000000" w:sz="4" w:space="0"/>
              <w:left w:val="single" w:color="000000" w:sz="4" w:space="0"/>
              <w:bottom w:val="single" w:color="000000" w:sz="4" w:space="0"/>
              <w:right w:val="single" w:color="000000" w:sz="4" w:space="0"/>
            </w:tcBorders>
            <w:vAlign w:val="center"/>
          </w:tcPr>
          <w:p w14:paraId="6BA8E8D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513.61</w:t>
            </w:r>
          </w:p>
        </w:tc>
        <w:tc>
          <w:tcPr>
            <w:tcW w:w="2394" w:type="dxa"/>
            <w:tcBorders>
              <w:top w:val="single" w:color="000000" w:sz="4" w:space="0"/>
              <w:left w:val="single" w:color="000000" w:sz="4" w:space="0"/>
              <w:bottom w:val="single" w:color="000000" w:sz="4" w:space="0"/>
              <w:right w:val="single" w:color="000000" w:sz="4" w:space="0"/>
            </w:tcBorders>
            <w:vAlign w:val="center"/>
          </w:tcPr>
          <w:p w14:paraId="1EC7B48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092" w:type="dxa"/>
            <w:tcBorders>
              <w:top w:val="single" w:color="000000" w:sz="4" w:space="0"/>
              <w:left w:val="single" w:color="000000" w:sz="4" w:space="0"/>
              <w:bottom w:val="single" w:color="000000" w:sz="4" w:space="0"/>
              <w:right w:val="single" w:color="000000" w:sz="4" w:space="0"/>
            </w:tcBorders>
            <w:vAlign w:val="center"/>
          </w:tcPr>
          <w:p w14:paraId="085FBD0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256.14</w:t>
            </w:r>
          </w:p>
        </w:tc>
      </w:tr>
      <w:tr w14:paraId="506CE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7"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0D706688">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2AE874D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316" w:type="dxa"/>
            <w:tcBorders>
              <w:top w:val="single" w:color="000000" w:sz="4" w:space="0"/>
              <w:left w:val="single" w:color="000000" w:sz="4" w:space="0"/>
              <w:bottom w:val="single" w:color="000000" w:sz="4" w:space="0"/>
              <w:right w:val="single" w:color="000000" w:sz="4" w:space="0"/>
            </w:tcBorders>
            <w:vAlign w:val="center"/>
          </w:tcPr>
          <w:p w14:paraId="52B7112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c>
          <w:tcPr>
            <w:tcW w:w="2394" w:type="dxa"/>
            <w:tcBorders>
              <w:top w:val="single" w:color="000000" w:sz="4" w:space="0"/>
              <w:left w:val="single" w:color="000000" w:sz="4" w:space="0"/>
              <w:bottom w:val="single" w:color="000000" w:sz="4" w:space="0"/>
              <w:right w:val="single" w:color="000000" w:sz="4" w:space="0"/>
            </w:tcBorders>
            <w:vAlign w:val="center"/>
          </w:tcPr>
          <w:p w14:paraId="78AB2A7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092" w:type="dxa"/>
            <w:tcBorders>
              <w:top w:val="single" w:color="000000" w:sz="4" w:space="0"/>
              <w:left w:val="single" w:color="000000" w:sz="4" w:space="0"/>
              <w:bottom w:val="single" w:color="000000" w:sz="4" w:space="0"/>
              <w:right w:val="single" w:color="000000" w:sz="4" w:space="0"/>
            </w:tcBorders>
            <w:vAlign w:val="center"/>
          </w:tcPr>
          <w:p w14:paraId="52BC1DB0">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r>
      <w:tr w14:paraId="7E99B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0A1B932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年度目标完成情况</w:t>
            </w: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1DFE114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预期目标</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6955F0F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实际完成目标</w:t>
            </w:r>
          </w:p>
        </w:tc>
      </w:tr>
      <w:tr w14:paraId="7A76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63BF69F6">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53C81F7B">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基本建立权责清晰、管理科学、治理完善、运行高效、监督有力的现代医院管理制度， 建立维护公益性、调动积极性、保障可持续的运行新机制和科学合理的补偿机制。</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1645ED8E">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提升医院服务能力，开展新技术，细化临床科室职能，增添设施设备，专科建设等。</w:t>
            </w:r>
          </w:p>
          <w:p w14:paraId="49A57070">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p>
        </w:tc>
      </w:tr>
      <w:tr w14:paraId="64566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jc w:val="center"/>
        </w:trPr>
        <w:tc>
          <w:tcPr>
            <w:tcW w:w="660" w:type="dxa"/>
            <w:vMerge w:val="restart"/>
            <w:tcBorders>
              <w:top w:val="single" w:color="000000" w:sz="4" w:space="0"/>
              <w:left w:val="single" w:color="000000" w:sz="4" w:space="0"/>
              <w:right w:val="single" w:color="000000" w:sz="4" w:space="0"/>
            </w:tcBorders>
            <w:vAlign w:val="center"/>
          </w:tcPr>
          <w:p w14:paraId="1F71620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2"/>
                <w:sz w:val="24"/>
                <w:szCs w:val="24"/>
                <w:lang w:val="en-US" w:eastAsia="zh-CN" w:bidi="ar-SA"/>
              </w:rPr>
              <w:t>绩效指标完成情况</w:t>
            </w:r>
          </w:p>
        </w:tc>
        <w:tc>
          <w:tcPr>
            <w:tcW w:w="1097" w:type="dxa"/>
            <w:tcBorders>
              <w:top w:val="single" w:color="000000" w:sz="4" w:space="0"/>
              <w:left w:val="single" w:color="000000" w:sz="4" w:space="0"/>
              <w:bottom w:val="single" w:color="000000" w:sz="4" w:space="0"/>
              <w:right w:val="single" w:color="000000" w:sz="4" w:space="0"/>
            </w:tcBorders>
            <w:vAlign w:val="center"/>
          </w:tcPr>
          <w:p w14:paraId="6EC592F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一级指标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62E154C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二级指标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252BE4F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三级指标</w:t>
            </w:r>
          </w:p>
        </w:tc>
        <w:tc>
          <w:tcPr>
            <w:tcW w:w="2394" w:type="dxa"/>
            <w:tcBorders>
              <w:top w:val="single" w:color="000000" w:sz="4" w:space="0"/>
              <w:left w:val="single" w:color="000000" w:sz="4" w:space="0"/>
              <w:bottom w:val="single" w:color="000000" w:sz="4" w:space="0"/>
              <w:right w:val="single" w:color="000000" w:sz="4" w:space="0"/>
            </w:tcBorders>
            <w:vAlign w:val="center"/>
          </w:tcPr>
          <w:p w14:paraId="087DE49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预期指标值(包含数字及文字描述)</w:t>
            </w:r>
          </w:p>
        </w:tc>
        <w:tc>
          <w:tcPr>
            <w:tcW w:w="2092" w:type="dxa"/>
            <w:tcBorders>
              <w:top w:val="single" w:color="000000" w:sz="4" w:space="0"/>
              <w:left w:val="single" w:color="000000" w:sz="4" w:space="0"/>
              <w:bottom w:val="single" w:color="000000" w:sz="4" w:space="0"/>
              <w:right w:val="single" w:color="000000" w:sz="4" w:space="0"/>
            </w:tcBorders>
            <w:vAlign w:val="center"/>
          </w:tcPr>
          <w:p w14:paraId="4027AE8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实际完成指标值(包含数字及文字描述)</w:t>
            </w:r>
          </w:p>
        </w:tc>
      </w:tr>
      <w:tr w14:paraId="117D3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8" w:hRule="atLeast"/>
          <w:jc w:val="center"/>
        </w:trPr>
        <w:tc>
          <w:tcPr>
            <w:tcW w:w="660" w:type="dxa"/>
            <w:vMerge w:val="continue"/>
            <w:tcBorders>
              <w:left w:val="single" w:color="000000" w:sz="4" w:space="0"/>
              <w:right w:val="single" w:color="000000" w:sz="4" w:space="0"/>
            </w:tcBorders>
            <w:vAlign w:val="center"/>
          </w:tcPr>
          <w:p w14:paraId="535F2AC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A9FA70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1F5255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E8E8D5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医疗服务收入（不含药品、检查、耗 材、化验收入）占公立医院医疗收入的比例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53F4223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较上年提高</w:t>
            </w:r>
          </w:p>
        </w:tc>
        <w:tc>
          <w:tcPr>
            <w:tcW w:w="2092" w:type="dxa"/>
            <w:tcBorders>
              <w:top w:val="single" w:color="000000" w:sz="4" w:space="0"/>
              <w:left w:val="single" w:color="000000" w:sz="4" w:space="0"/>
              <w:bottom w:val="single" w:color="000000" w:sz="4" w:space="0"/>
              <w:right w:val="single" w:color="000000" w:sz="4" w:space="0"/>
            </w:tcBorders>
            <w:vAlign w:val="center"/>
          </w:tcPr>
          <w:p w14:paraId="4808D5B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较上一年提高1%</w:t>
            </w:r>
          </w:p>
        </w:tc>
      </w:tr>
      <w:tr w14:paraId="70C24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6646CF7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6CB4DE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1F343E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2BE52F3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公立医院资产负债率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485AF62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较上年降低</w:t>
            </w:r>
          </w:p>
        </w:tc>
        <w:tc>
          <w:tcPr>
            <w:tcW w:w="2092" w:type="dxa"/>
            <w:tcBorders>
              <w:top w:val="single" w:color="000000" w:sz="4" w:space="0"/>
              <w:left w:val="single" w:color="000000" w:sz="4" w:space="0"/>
              <w:bottom w:val="single" w:color="000000" w:sz="4" w:space="0"/>
              <w:right w:val="single" w:color="000000" w:sz="4" w:space="0"/>
            </w:tcBorders>
            <w:vAlign w:val="center"/>
          </w:tcPr>
          <w:p w14:paraId="42A8B00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较上一年降低1.5%</w:t>
            </w:r>
          </w:p>
        </w:tc>
      </w:tr>
      <w:tr w14:paraId="2B612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6085D68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3DCD2B9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699270B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0E9395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公立医院基本建设、设备购置长期负债占总资产比例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0FFF75C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较上年降低</w:t>
            </w:r>
          </w:p>
        </w:tc>
        <w:tc>
          <w:tcPr>
            <w:tcW w:w="2092" w:type="dxa"/>
            <w:tcBorders>
              <w:top w:val="single" w:color="000000" w:sz="4" w:space="0"/>
              <w:left w:val="single" w:color="000000" w:sz="4" w:space="0"/>
              <w:bottom w:val="single" w:color="000000" w:sz="4" w:space="0"/>
              <w:right w:val="single" w:color="000000" w:sz="4" w:space="0"/>
            </w:tcBorders>
            <w:vAlign w:val="center"/>
          </w:tcPr>
          <w:p w14:paraId="18F4467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较上一年降低6%</w:t>
            </w:r>
          </w:p>
        </w:tc>
      </w:tr>
      <w:tr w14:paraId="64552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2A86B01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1D0CD60">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612CC67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FE3BDD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公立医院平均住院日</w:t>
            </w:r>
          </w:p>
        </w:tc>
        <w:tc>
          <w:tcPr>
            <w:tcW w:w="2394" w:type="dxa"/>
            <w:tcBorders>
              <w:top w:val="single" w:color="000000" w:sz="4" w:space="0"/>
              <w:left w:val="single" w:color="000000" w:sz="4" w:space="0"/>
              <w:bottom w:val="single" w:color="000000" w:sz="4" w:space="0"/>
              <w:right w:val="single" w:color="000000" w:sz="4" w:space="0"/>
            </w:tcBorders>
            <w:vAlign w:val="center"/>
          </w:tcPr>
          <w:p w14:paraId="332A45B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上年降低（＜9. 35 天）</w:t>
            </w:r>
          </w:p>
        </w:tc>
        <w:tc>
          <w:tcPr>
            <w:tcW w:w="2092" w:type="dxa"/>
            <w:tcBorders>
              <w:top w:val="single" w:color="000000" w:sz="4" w:space="0"/>
              <w:left w:val="single" w:color="000000" w:sz="4" w:space="0"/>
              <w:bottom w:val="single" w:color="000000" w:sz="4" w:space="0"/>
              <w:right w:val="single" w:color="000000" w:sz="4" w:space="0"/>
            </w:tcBorders>
            <w:vAlign w:val="center"/>
          </w:tcPr>
          <w:p w14:paraId="555B9D0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8.7天</w:t>
            </w:r>
          </w:p>
        </w:tc>
      </w:tr>
      <w:tr w14:paraId="1F216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7F9E5E5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4E409990">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7F6E7A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成本指标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4428D7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公立医院百元医疗收入的医疗支出 （不含药品收入）</w:t>
            </w:r>
          </w:p>
        </w:tc>
        <w:tc>
          <w:tcPr>
            <w:tcW w:w="2394" w:type="dxa"/>
            <w:tcBorders>
              <w:top w:val="single" w:color="000000" w:sz="4" w:space="0"/>
              <w:left w:val="single" w:color="000000" w:sz="4" w:space="0"/>
              <w:bottom w:val="single" w:color="000000" w:sz="4" w:space="0"/>
              <w:right w:val="single" w:color="000000" w:sz="4" w:space="0"/>
            </w:tcBorders>
            <w:vAlign w:val="center"/>
          </w:tcPr>
          <w:p w14:paraId="02392A6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较上年降低</w:t>
            </w:r>
          </w:p>
        </w:tc>
        <w:tc>
          <w:tcPr>
            <w:tcW w:w="2092" w:type="dxa"/>
            <w:tcBorders>
              <w:top w:val="single" w:color="000000" w:sz="4" w:space="0"/>
              <w:left w:val="single" w:color="000000" w:sz="4" w:space="0"/>
              <w:bottom w:val="single" w:color="000000" w:sz="4" w:space="0"/>
              <w:right w:val="single" w:color="000000" w:sz="4" w:space="0"/>
            </w:tcBorders>
            <w:vAlign w:val="center"/>
          </w:tcPr>
          <w:p w14:paraId="3487E5D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较上一年降低1.2%</w:t>
            </w:r>
          </w:p>
        </w:tc>
      </w:tr>
      <w:tr w14:paraId="3782B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5DC87FA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173754A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15A02C1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456C4C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基层医疗卫生机构诊疗人次数占医疗卫生机构诊疗总人次数的比例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6E7D317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较上年提高</w:t>
            </w:r>
          </w:p>
        </w:tc>
        <w:tc>
          <w:tcPr>
            <w:tcW w:w="2092" w:type="dxa"/>
            <w:tcBorders>
              <w:top w:val="single" w:color="000000" w:sz="4" w:space="0"/>
              <w:left w:val="single" w:color="000000" w:sz="4" w:space="0"/>
              <w:bottom w:val="single" w:color="000000" w:sz="4" w:space="0"/>
              <w:right w:val="single" w:color="000000" w:sz="4" w:space="0"/>
            </w:tcBorders>
            <w:vAlign w:val="center"/>
          </w:tcPr>
          <w:p w14:paraId="21EE1DC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较上一年提高0.5%</w:t>
            </w:r>
          </w:p>
        </w:tc>
      </w:tr>
      <w:tr w14:paraId="7026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 w:hRule="atLeast"/>
          <w:jc w:val="center"/>
        </w:trPr>
        <w:tc>
          <w:tcPr>
            <w:tcW w:w="660" w:type="dxa"/>
            <w:vMerge w:val="continue"/>
            <w:tcBorders>
              <w:left w:val="single" w:color="000000" w:sz="4" w:space="0"/>
              <w:right w:val="single" w:color="000000" w:sz="4" w:space="0"/>
            </w:tcBorders>
            <w:vAlign w:val="center"/>
          </w:tcPr>
          <w:p w14:paraId="3166553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4DBD01F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9C9879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D0A832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公立医院每门急诊人次平均收费水平增长比例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3DF44ED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较上年降低</w:t>
            </w:r>
          </w:p>
        </w:tc>
        <w:tc>
          <w:tcPr>
            <w:tcW w:w="2092" w:type="dxa"/>
            <w:tcBorders>
              <w:top w:val="single" w:color="000000" w:sz="4" w:space="0"/>
              <w:left w:val="single" w:color="000000" w:sz="4" w:space="0"/>
              <w:bottom w:val="single" w:color="000000" w:sz="4" w:space="0"/>
              <w:right w:val="single" w:color="000000" w:sz="4" w:space="0"/>
            </w:tcBorders>
            <w:vAlign w:val="center"/>
          </w:tcPr>
          <w:p w14:paraId="025B7E9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较上一年降低3%</w:t>
            </w:r>
          </w:p>
        </w:tc>
      </w:tr>
      <w:tr w14:paraId="3C458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 w:hRule="atLeast"/>
          <w:jc w:val="center"/>
        </w:trPr>
        <w:tc>
          <w:tcPr>
            <w:tcW w:w="660" w:type="dxa"/>
            <w:vMerge w:val="continue"/>
            <w:tcBorders>
              <w:left w:val="single" w:color="000000" w:sz="4" w:space="0"/>
              <w:right w:val="single" w:color="000000" w:sz="4" w:space="0"/>
            </w:tcBorders>
            <w:vAlign w:val="center"/>
          </w:tcPr>
          <w:p w14:paraId="4813D3F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0AEA213">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3ED0AA0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053D34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公立医院出院患者平均医药费用增长比例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5D604BC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较上年降低</w:t>
            </w:r>
          </w:p>
        </w:tc>
        <w:tc>
          <w:tcPr>
            <w:tcW w:w="2092" w:type="dxa"/>
            <w:tcBorders>
              <w:top w:val="single" w:color="000000" w:sz="4" w:space="0"/>
              <w:left w:val="single" w:color="000000" w:sz="4" w:space="0"/>
              <w:bottom w:val="single" w:color="000000" w:sz="4" w:space="0"/>
              <w:right w:val="single" w:color="000000" w:sz="4" w:space="0"/>
            </w:tcBorders>
            <w:vAlign w:val="center"/>
          </w:tcPr>
          <w:p w14:paraId="03EA8AC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较上一年降低2%</w:t>
            </w:r>
          </w:p>
        </w:tc>
      </w:tr>
      <w:tr w14:paraId="36483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2" w:hRule="atLeast"/>
          <w:jc w:val="center"/>
        </w:trPr>
        <w:tc>
          <w:tcPr>
            <w:tcW w:w="660" w:type="dxa"/>
            <w:vMerge w:val="continue"/>
            <w:tcBorders>
              <w:left w:val="single" w:color="000000" w:sz="4" w:space="0"/>
              <w:right w:val="single" w:color="000000" w:sz="4" w:space="0"/>
            </w:tcBorders>
            <w:vAlign w:val="center"/>
          </w:tcPr>
          <w:p w14:paraId="6EA1FB2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3351997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效益指标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3250029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可持续影响指标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0BB5C5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管理费用占公立医院 业务支出的比例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0CE07FA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较上年降低</w:t>
            </w:r>
          </w:p>
        </w:tc>
        <w:tc>
          <w:tcPr>
            <w:tcW w:w="2092" w:type="dxa"/>
            <w:tcBorders>
              <w:top w:val="single" w:color="000000" w:sz="4" w:space="0"/>
              <w:left w:val="single" w:color="000000" w:sz="4" w:space="0"/>
              <w:bottom w:val="single" w:color="000000" w:sz="4" w:space="0"/>
              <w:right w:val="single" w:color="000000" w:sz="4" w:space="0"/>
            </w:tcBorders>
            <w:vAlign w:val="center"/>
          </w:tcPr>
          <w:p w14:paraId="46DEF5B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较上一年降低1%</w:t>
            </w:r>
          </w:p>
        </w:tc>
      </w:tr>
      <w:tr w14:paraId="598FC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2" w:hRule="atLeast"/>
          <w:jc w:val="center"/>
        </w:trPr>
        <w:tc>
          <w:tcPr>
            <w:tcW w:w="660" w:type="dxa"/>
            <w:vMerge w:val="continue"/>
            <w:tcBorders>
              <w:left w:val="single" w:color="000000" w:sz="4" w:space="0"/>
              <w:right w:val="single" w:color="000000" w:sz="4" w:space="0"/>
            </w:tcBorders>
            <w:vAlign w:val="center"/>
          </w:tcPr>
          <w:p w14:paraId="02AFCB6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3F12F70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效益指标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3DAFB8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可持续影响指标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3BA04A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实现收支平衡的公立医院占公立医院总数的比例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6CACC4D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较上年提高</w:t>
            </w:r>
          </w:p>
        </w:tc>
        <w:tc>
          <w:tcPr>
            <w:tcW w:w="2092" w:type="dxa"/>
            <w:tcBorders>
              <w:top w:val="single" w:color="000000" w:sz="4" w:space="0"/>
              <w:left w:val="single" w:color="000000" w:sz="4" w:space="0"/>
              <w:bottom w:val="single" w:color="000000" w:sz="4" w:space="0"/>
              <w:right w:val="single" w:color="000000" w:sz="4" w:space="0"/>
            </w:tcBorders>
            <w:vAlign w:val="center"/>
          </w:tcPr>
          <w:p w14:paraId="0819E4A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2C3D3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0" w:hRule="atLeast"/>
          <w:jc w:val="center"/>
        </w:trPr>
        <w:tc>
          <w:tcPr>
            <w:tcW w:w="660" w:type="dxa"/>
            <w:vMerge w:val="continue"/>
            <w:tcBorders>
              <w:left w:val="single" w:color="000000" w:sz="4" w:space="0"/>
              <w:right w:val="single" w:color="000000" w:sz="4" w:space="0"/>
            </w:tcBorders>
            <w:vAlign w:val="center"/>
          </w:tcPr>
          <w:p w14:paraId="566C811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1D1CDF0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满意度指标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9CB89D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服务对象</w:t>
            </w:r>
          </w:p>
          <w:p w14:paraId="1C8D101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满意度指标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E1629D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公立医院职工满意度</w:t>
            </w:r>
          </w:p>
        </w:tc>
        <w:tc>
          <w:tcPr>
            <w:tcW w:w="2394" w:type="dxa"/>
            <w:tcBorders>
              <w:top w:val="single" w:color="000000" w:sz="4" w:space="0"/>
              <w:left w:val="single" w:color="000000" w:sz="4" w:space="0"/>
              <w:bottom w:val="single" w:color="000000" w:sz="4" w:space="0"/>
              <w:right w:val="single" w:color="000000" w:sz="4" w:space="0"/>
            </w:tcBorders>
            <w:vAlign w:val="center"/>
          </w:tcPr>
          <w:p w14:paraId="4B43E32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》78分</w:t>
            </w:r>
          </w:p>
        </w:tc>
        <w:tc>
          <w:tcPr>
            <w:tcW w:w="2092" w:type="dxa"/>
            <w:tcBorders>
              <w:top w:val="single" w:color="000000" w:sz="4" w:space="0"/>
              <w:left w:val="single" w:color="000000" w:sz="4" w:space="0"/>
              <w:bottom w:val="single" w:color="000000" w:sz="4" w:space="0"/>
              <w:right w:val="single" w:color="000000" w:sz="4" w:space="0"/>
            </w:tcBorders>
            <w:vAlign w:val="center"/>
          </w:tcPr>
          <w:p w14:paraId="2AE550C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82分</w:t>
            </w:r>
          </w:p>
        </w:tc>
      </w:tr>
      <w:tr w14:paraId="37D2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0" w:hRule="atLeast"/>
          <w:jc w:val="center"/>
        </w:trPr>
        <w:tc>
          <w:tcPr>
            <w:tcW w:w="660" w:type="dxa"/>
            <w:tcBorders>
              <w:left w:val="single" w:color="000000" w:sz="4" w:space="0"/>
              <w:right w:val="single" w:color="000000" w:sz="4" w:space="0"/>
            </w:tcBorders>
            <w:vAlign w:val="center"/>
          </w:tcPr>
          <w:p w14:paraId="283B693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C4DC99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满意度指标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753367E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服务对象</w:t>
            </w:r>
          </w:p>
          <w:p w14:paraId="59CF334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满意度指标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2292DB3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公立医院门诊患者满意度</w:t>
            </w:r>
          </w:p>
        </w:tc>
        <w:tc>
          <w:tcPr>
            <w:tcW w:w="2394" w:type="dxa"/>
            <w:tcBorders>
              <w:top w:val="single" w:color="000000" w:sz="4" w:space="0"/>
              <w:left w:val="single" w:color="000000" w:sz="4" w:space="0"/>
              <w:bottom w:val="single" w:color="000000" w:sz="4" w:space="0"/>
              <w:right w:val="single" w:color="000000" w:sz="4" w:space="0"/>
            </w:tcBorders>
            <w:vAlign w:val="center"/>
          </w:tcPr>
          <w:p w14:paraId="4A0538E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》89分</w:t>
            </w:r>
          </w:p>
        </w:tc>
        <w:tc>
          <w:tcPr>
            <w:tcW w:w="2092" w:type="dxa"/>
            <w:tcBorders>
              <w:top w:val="single" w:color="000000" w:sz="4" w:space="0"/>
              <w:left w:val="single" w:color="000000" w:sz="4" w:space="0"/>
              <w:bottom w:val="single" w:color="000000" w:sz="4" w:space="0"/>
              <w:right w:val="single" w:color="000000" w:sz="4" w:space="0"/>
            </w:tcBorders>
            <w:vAlign w:val="center"/>
          </w:tcPr>
          <w:p w14:paraId="753AA56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92分</w:t>
            </w:r>
          </w:p>
        </w:tc>
      </w:tr>
      <w:tr w14:paraId="4F441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0" w:hRule="atLeast"/>
          <w:jc w:val="center"/>
        </w:trPr>
        <w:tc>
          <w:tcPr>
            <w:tcW w:w="660" w:type="dxa"/>
            <w:tcBorders>
              <w:left w:val="single" w:color="000000" w:sz="4" w:space="0"/>
              <w:bottom w:val="single" w:color="000000" w:sz="4" w:space="0"/>
              <w:right w:val="single" w:color="000000" w:sz="4" w:space="0"/>
            </w:tcBorders>
            <w:vAlign w:val="center"/>
          </w:tcPr>
          <w:p w14:paraId="088C917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189FCB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满意度指标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7FF990E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服务对象</w:t>
            </w:r>
          </w:p>
          <w:p w14:paraId="2AAFA34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满意度指标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B69058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公立医院住院患者满意度</w:t>
            </w:r>
          </w:p>
        </w:tc>
        <w:tc>
          <w:tcPr>
            <w:tcW w:w="2394" w:type="dxa"/>
            <w:tcBorders>
              <w:top w:val="single" w:color="000000" w:sz="4" w:space="0"/>
              <w:left w:val="single" w:color="000000" w:sz="4" w:space="0"/>
              <w:bottom w:val="single" w:color="000000" w:sz="4" w:space="0"/>
              <w:right w:val="single" w:color="000000" w:sz="4" w:space="0"/>
            </w:tcBorders>
            <w:vAlign w:val="center"/>
          </w:tcPr>
          <w:p w14:paraId="4D3D1CF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》91分</w:t>
            </w:r>
          </w:p>
        </w:tc>
        <w:tc>
          <w:tcPr>
            <w:tcW w:w="2092" w:type="dxa"/>
            <w:tcBorders>
              <w:top w:val="single" w:color="000000" w:sz="4" w:space="0"/>
              <w:left w:val="single" w:color="000000" w:sz="4" w:space="0"/>
              <w:bottom w:val="single" w:color="000000" w:sz="4" w:space="0"/>
              <w:right w:val="single" w:color="000000" w:sz="4" w:space="0"/>
            </w:tcBorders>
            <w:vAlign w:val="center"/>
          </w:tcPr>
          <w:p w14:paraId="3F2B560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94分</w:t>
            </w:r>
          </w:p>
        </w:tc>
      </w:tr>
    </w:tbl>
    <w:p w14:paraId="6474669F">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420" w:leftChars="200" w:right="0" w:firstLine="420" w:firstLineChars="0"/>
        <w:jc w:val="both"/>
        <w:textAlignment w:val="baseline"/>
        <w:rPr>
          <w:rStyle w:val="10"/>
          <w:rFonts w:ascii="Times New Roman" w:hAnsi="Times New Roman" w:eastAsia="宋体"/>
          <w:b w:val="0"/>
          <w:i w:val="0"/>
          <w:caps w:val="0"/>
          <w:spacing w:val="0"/>
          <w:w w:val="100"/>
          <w:sz w:val="21"/>
        </w:rPr>
      </w:pPr>
    </w:p>
    <w:p w14:paraId="73B2E60E">
      <w:pPr>
        <w:pStyle w:val="28"/>
        <w:widowControl/>
        <w:numPr>
          <w:ilvl w:val="0"/>
          <w:numId w:val="7"/>
        </w:numPr>
        <w:snapToGrid/>
        <w:spacing w:before="0" w:beforeAutospacing="1" w:after="0" w:afterAutospacing="1" w:line="315" w:lineRule="atLeast"/>
        <w:ind w:left="0" w:right="0" w:firstLine="640" w:firstLineChars="200"/>
        <w:jc w:val="left"/>
        <w:textAlignment w:val="baseline"/>
        <w:rPr>
          <w:rStyle w:val="10"/>
          <w:rFonts w:ascii="仿宋" w:eastAsia="仿宋"/>
          <w:b w:val="0"/>
          <w:i w:val="0"/>
          <w:caps w:val="0"/>
          <w:spacing w:val="0"/>
          <w:w w:val="100"/>
          <w:kern w:val="0"/>
          <w:sz w:val="32"/>
          <w:szCs w:val="32"/>
          <w:lang w:val="en-US" w:eastAsia="zh-CN"/>
        </w:rPr>
      </w:pPr>
      <w:r>
        <w:rPr>
          <w:rStyle w:val="10"/>
          <w:rFonts w:ascii="仿宋_GB2312" w:hAnsi="仿宋_GB2312" w:eastAsia="仿宋_GB2312"/>
          <w:b w:val="0"/>
          <w:i w:val="0"/>
          <w:caps w:val="0"/>
          <w:spacing w:val="0"/>
          <w:w w:val="100"/>
          <w:kern w:val="0"/>
          <w:sz w:val="32"/>
          <w:szCs w:val="32"/>
          <w:lang w:val="en-US" w:eastAsia="zh-CN"/>
        </w:rPr>
        <w:t>卫生健康人才培养项目绩效目标完成情况综述。项目全年预算数89.98万元，执行数为89.98万元，完成预算的100%。通过项目实施，补充基层全科医生5人、专科定向生13人，培训</w:t>
      </w:r>
      <w:r>
        <w:rPr>
          <w:rStyle w:val="10"/>
          <w:rFonts w:ascii="仿宋" w:hAnsi="仿宋" w:eastAsia="仿宋"/>
          <w:b w:val="0"/>
          <w:i w:val="0"/>
          <w:caps w:val="0"/>
          <w:spacing w:val="0"/>
          <w:w w:val="100"/>
          <w:kern w:val="0"/>
          <w:sz w:val="32"/>
          <w:szCs w:val="32"/>
          <w:lang w:val="en-US" w:eastAsia="zh-CN"/>
        </w:rPr>
        <w:t>骨干医务人员200余人次，</w:t>
      </w:r>
      <w:r>
        <w:rPr>
          <w:rStyle w:val="10"/>
          <w:rFonts w:ascii="仿宋_GB2312" w:hAnsi="仿宋_GB2312" w:eastAsia="仿宋_GB2312"/>
          <w:b w:val="0"/>
          <w:i w:val="0"/>
          <w:caps w:val="0"/>
          <w:spacing w:val="0"/>
          <w:w w:val="100"/>
          <w:kern w:val="0"/>
          <w:sz w:val="32"/>
          <w:szCs w:val="32"/>
          <w:lang w:val="en-US" w:eastAsia="zh-CN"/>
        </w:rPr>
        <w:t>充实了基层医疗机</w:t>
      </w:r>
      <w:r>
        <w:rPr>
          <w:rStyle w:val="10"/>
          <w:rFonts w:ascii="仿宋" w:eastAsia="仿宋"/>
          <w:b w:val="0"/>
          <w:i w:val="0"/>
          <w:caps w:val="0"/>
          <w:spacing w:val="0"/>
          <w:w w:val="100"/>
          <w:kern w:val="0"/>
          <w:sz w:val="32"/>
          <w:szCs w:val="32"/>
          <w:lang w:val="en-US" w:eastAsia="zh-CN"/>
        </w:rPr>
        <w:t>构人才队伍，强化了基层医务人员服务能力，专业技术能力不断加强，基本满足群众看病需求，缓解了老百姓看病难的问题，社会满意度明显提高。</w:t>
      </w:r>
      <w:r>
        <w:rPr>
          <w:rStyle w:val="10"/>
          <w:rFonts w:ascii="仿宋_GB2312" w:hAnsi="仿宋_GB2312" w:eastAsia="仿宋_GB2312"/>
          <w:b w:val="0"/>
          <w:i w:val="0"/>
          <w:caps w:val="0"/>
          <w:spacing w:val="0"/>
          <w:w w:val="100"/>
          <w:kern w:val="0"/>
          <w:sz w:val="32"/>
          <w:szCs w:val="32"/>
          <w:lang w:val="en-US" w:eastAsia="zh-CN"/>
        </w:rPr>
        <w:t>发现的主要问题：</w:t>
      </w:r>
      <w:r>
        <w:rPr>
          <w:rStyle w:val="10"/>
          <w:rFonts w:ascii="仿宋_GB2312" w:hAnsi="仿宋_GB2312" w:eastAsia="仿宋_GB2312"/>
          <w:b w:val="0"/>
          <w:i w:val="0"/>
          <w:caps w:val="0"/>
          <w:color w:val="333333"/>
          <w:spacing w:val="0"/>
          <w:w w:val="100"/>
          <w:kern w:val="0"/>
          <w:sz w:val="32"/>
          <w:szCs w:val="32"/>
          <w:lang w:val="en-US" w:eastAsia="zh-CN"/>
        </w:rPr>
        <w:t>全科医生定向激励机制不健全，流失严重，</w:t>
      </w:r>
      <w:r>
        <w:rPr>
          <w:rStyle w:val="10"/>
          <w:rFonts w:ascii="仿宋" w:eastAsia="仿宋"/>
          <w:b w:val="0"/>
          <w:i w:val="0"/>
          <w:caps w:val="0"/>
          <w:spacing w:val="0"/>
          <w:w w:val="100"/>
          <w:kern w:val="0"/>
          <w:sz w:val="32"/>
          <w:szCs w:val="32"/>
          <w:lang w:val="en-US" w:eastAsia="zh-CN"/>
        </w:rPr>
        <w:t>收入基本上限于乡镇财政定额工资，与同等条件下的专科医院临床医师待遇相比，差距较大</w:t>
      </w:r>
      <w:r>
        <w:rPr>
          <w:rStyle w:val="10"/>
          <w:rFonts w:ascii="仿宋_GB2312" w:hAnsi="仿宋_GB2312" w:eastAsia="仿宋_GB2312"/>
          <w:b w:val="0"/>
          <w:i w:val="0"/>
          <w:caps w:val="0"/>
          <w:spacing w:val="0"/>
          <w:w w:val="100"/>
          <w:kern w:val="0"/>
          <w:sz w:val="32"/>
          <w:szCs w:val="32"/>
          <w:lang w:val="en-US" w:eastAsia="zh-CN"/>
        </w:rPr>
        <w:t>。下一步改进措施：争取政策，</w:t>
      </w:r>
      <w:r>
        <w:rPr>
          <w:rStyle w:val="10"/>
          <w:rFonts w:ascii="仿宋" w:eastAsia="仿宋"/>
          <w:b w:val="0"/>
          <w:i w:val="0"/>
          <w:caps w:val="0"/>
          <w:spacing w:val="0"/>
          <w:w w:val="100"/>
          <w:kern w:val="0"/>
          <w:sz w:val="32"/>
          <w:szCs w:val="32"/>
          <w:lang w:val="en-US" w:eastAsia="zh-CN"/>
        </w:rPr>
        <w:t>给予乡镇全科医生专项补助，提高他们的待遇。</w:t>
      </w:r>
    </w:p>
    <w:tbl>
      <w:tblPr>
        <w:tblStyle w:val="7"/>
        <w:tblpPr w:leftFromText="180" w:rightFromText="180" w:vertAnchor="text" w:horzAnchor="page" w:tblpXSpec="center" w:tblpY="423"/>
        <w:tblOverlap w:val="never"/>
        <w:tblW w:w="9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60"/>
        <w:gridCol w:w="1097"/>
        <w:gridCol w:w="1101"/>
        <w:gridCol w:w="2316"/>
        <w:gridCol w:w="2394"/>
        <w:gridCol w:w="2092"/>
      </w:tblGrid>
      <w:tr w14:paraId="09BCD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4" w:hRule="atLeast"/>
          <w:jc w:val="center"/>
        </w:trPr>
        <w:tc>
          <w:tcPr>
            <w:tcW w:w="9660" w:type="dxa"/>
            <w:gridSpan w:val="6"/>
            <w:tcBorders>
              <w:top w:val="nil"/>
              <w:left w:val="nil"/>
              <w:bottom w:val="nil"/>
              <w:right w:val="nil"/>
            </w:tcBorders>
            <w:vAlign w:val="center"/>
          </w:tcPr>
          <w:p w14:paraId="1896884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36"/>
                <w:szCs w:val="36"/>
                <w:lang w:val="en-US" w:eastAsia="zh-CN" w:bidi="ar-SA"/>
              </w:rPr>
            </w:pPr>
            <w:r>
              <w:rPr>
                <w:rStyle w:val="10"/>
                <w:rFonts w:ascii="宋体" w:hAnsi="宋体" w:cs="宋体"/>
                <w:b/>
                <w:bCs/>
                <w:i w:val="0"/>
                <w:caps w:val="0"/>
                <w:color w:val="000000"/>
                <w:spacing w:val="0"/>
                <w:w w:val="100"/>
                <w:kern w:val="0"/>
                <w:sz w:val="36"/>
                <w:szCs w:val="36"/>
                <w:lang w:val="en-US" w:eastAsia="zh-CN"/>
              </w:rPr>
              <w:t>项目绩效目标完成情况表</w:t>
            </w:r>
            <w:r>
              <w:rPr>
                <w:rStyle w:val="10"/>
                <w:rFonts w:ascii="宋体" w:cs="宋体"/>
                <w:b/>
                <w:bCs/>
                <w:i w:val="0"/>
                <w:caps w:val="0"/>
                <w:color w:val="000000"/>
                <w:spacing w:val="0"/>
                <w:w w:val="100"/>
                <w:kern w:val="0"/>
                <w:sz w:val="36"/>
                <w:szCs w:val="36"/>
                <w:lang w:val="en-US" w:eastAsia="zh-CN"/>
              </w:rPr>
              <w:br w:type="textWrapping"/>
            </w:r>
            <w:r>
              <w:rPr>
                <w:rStyle w:val="10"/>
                <w:rFonts w:ascii="宋体" w:hAnsi="宋体"/>
                <w:b w:val="0"/>
                <w:i w:val="0"/>
                <w:caps w:val="0"/>
                <w:color w:val="000000"/>
                <w:spacing w:val="0"/>
                <w:w w:val="100"/>
                <w:kern w:val="0"/>
                <w:sz w:val="36"/>
                <w:szCs w:val="36"/>
                <w:lang w:val="en-US" w:eastAsia="zh-CN"/>
              </w:rPr>
              <w:t>(2020年度)</w:t>
            </w:r>
          </w:p>
        </w:tc>
      </w:tr>
      <w:tr w14:paraId="6C167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65E28D6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项目名称</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71A98EA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卫生健康人才培养</w:t>
            </w:r>
          </w:p>
        </w:tc>
      </w:tr>
      <w:tr w14:paraId="2D811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4490341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预算单位</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7855B1C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广元市昭化区卫生健康局</w:t>
            </w:r>
          </w:p>
        </w:tc>
      </w:tr>
      <w:tr w14:paraId="323A5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26D9250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预算执行情况(万元)</w:t>
            </w: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4E417F6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预算数:</w:t>
            </w:r>
          </w:p>
        </w:tc>
        <w:tc>
          <w:tcPr>
            <w:tcW w:w="2316" w:type="dxa"/>
            <w:tcBorders>
              <w:top w:val="single" w:color="000000" w:sz="4" w:space="0"/>
              <w:left w:val="single" w:color="000000" w:sz="4" w:space="0"/>
              <w:bottom w:val="single" w:color="000000" w:sz="4" w:space="0"/>
              <w:right w:val="single" w:color="000000" w:sz="4" w:space="0"/>
            </w:tcBorders>
            <w:vAlign w:val="center"/>
          </w:tcPr>
          <w:p w14:paraId="08AF33B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89.98</w:t>
            </w:r>
          </w:p>
        </w:tc>
        <w:tc>
          <w:tcPr>
            <w:tcW w:w="2394" w:type="dxa"/>
            <w:tcBorders>
              <w:top w:val="single" w:color="000000" w:sz="4" w:space="0"/>
              <w:left w:val="single" w:color="000000" w:sz="4" w:space="0"/>
              <w:bottom w:val="single" w:color="000000" w:sz="4" w:space="0"/>
              <w:right w:val="single" w:color="000000" w:sz="4" w:space="0"/>
            </w:tcBorders>
            <w:vAlign w:val="center"/>
          </w:tcPr>
          <w:p w14:paraId="2F0FFFD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执行数:</w:t>
            </w:r>
          </w:p>
        </w:tc>
        <w:tc>
          <w:tcPr>
            <w:tcW w:w="2092" w:type="dxa"/>
            <w:tcBorders>
              <w:top w:val="single" w:color="000000" w:sz="4" w:space="0"/>
              <w:left w:val="single" w:color="000000" w:sz="4" w:space="0"/>
              <w:bottom w:val="single" w:color="000000" w:sz="4" w:space="0"/>
              <w:right w:val="single" w:color="000000" w:sz="4" w:space="0"/>
            </w:tcBorders>
            <w:vAlign w:val="center"/>
          </w:tcPr>
          <w:p w14:paraId="4B2CE51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89.98</w:t>
            </w:r>
          </w:p>
        </w:tc>
      </w:tr>
      <w:tr w14:paraId="0AEF5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00D53CC3">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3F49B79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316" w:type="dxa"/>
            <w:tcBorders>
              <w:top w:val="single" w:color="000000" w:sz="4" w:space="0"/>
              <w:left w:val="single" w:color="000000" w:sz="4" w:space="0"/>
              <w:bottom w:val="single" w:color="000000" w:sz="4" w:space="0"/>
              <w:right w:val="single" w:color="000000" w:sz="4" w:space="0"/>
            </w:tcBorders>
            <w:vAlign w:val="center"/>
          </w:tcPr>
          <w:p w14:paraId="5715380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89.98</w:t>
            </w:r>
          </w:p>
        </w:tc>
        <w:tc>
          <w:tcPr>
            <w:tcW w:w="2394" w:type="dxa"/>
            <w:tcBorders>
              <w:top w:val="single" w:color="000000" w:sz="4" w:space="0"/>
              <w:left w:val="single" w:color="000000" w:sz="4" w:space="0"/>
              <w:bottom w:val="single" w:color="000000" w:sz="4" w:space="0"/>
              <w:right w:val="single" w:color="000000" w:sz="4" w:space="0"/>
            </w:tcBorders>
            <w:vAlign w:val="center"/>
          </w:tcPr>
          <w:p w14:paraId="2983C6A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092" w:type="dxa"/>
            <w:tcBorders>
              <w:top w:val="single" w:color="000000" w:sz="4" w:space="0"/>
              <w:left w:val="single" w:color="000000" w:sz="4" w:space="0"/>
              <w:bottom w:val="single" w:color="000000" w:sz="4" w:space="0"/>
              <w:right w:val="single" w:color="000000" w:sz="4" w:space="0"/>
            </w:tcBorders>
            <w:vAlign w:val="center"/>
          </w:tcPr>
          <w:p w14:paraId="6862AFA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89.98</w:t>
            </w:r>
          </w:p>
        </w:tc>
      </w:tr>
      <w:tr w14:paraId="61D30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7"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6466DD19">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43DE61E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316" w:type="dxa"/>
            <w:tcBorders>
              <w:top w:val="single" w:color="000000" w:sz="4" w:space="0"/>
              <w:left w:val="single" w:color="000000" w:sz="4" w:space="0"/>
              <w:bottom w:val="single" w:color="000000" w:sz="4" w:space="0"/>
              <w:right w:val="single" w:color="000000" w:sz="4" w:space="0"/>
            </w:tcBorders>
            <w:vAlign w:val="center"/>
          </w:tcPr>
          <w:p w14:paraId="6D89942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c>
          <w:tcPr>
            <w:tcW w:w="2394" w:type="dxa"/>
            <w:tcBorders>
              <w:top w:val="single" w:color="000000" w:sz="4" w:space="0"/>
              <w:left w:val="single" w:color="000000" w:sz="4" w:space="0"/>
              <w:bottom w:val="single" w:color="000000" w:sz="4" w:space="0"/>
              <w:right w:val="single" w:color="000000" w:sz="4" w:space="0"/>
            </w:tcBorders>
            <w:vAlign w:val="center"/>
          </w:tcPr>
          <w:p w14:paraId="455C876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092" w:type="dxa"/>
            <w:tcBorders>
              <w:top w:val="single" w:color="000000" w:sz="4" w:space="0"/>
              <w:left w:val="single" w:color="000000" w:sz="4" w:space="0"/>
              <w:bottom w:val="single" w:color="000000" w:sz="4" w:space="0"/>
              <w:right w:val="single" w:color="000000" w:sz="4" w:space="0"/>
            </w:tcBorders>
            <w:vAlign w:val="center"/>
          </w:tcPr>
          <w:p w14:paraId="7434E9FB">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r>
      <w:tr w14:paraId="797B0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704EC07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年度目标完成情况</w:t>
            </w: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6450A11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预期目标</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2FC6DA6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实际完成目标</w:t>
            </w:r>
          </w:p>
        </w:tc>
      </w:tr>
      <w:tr w14:paraId="1F832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37CA11F6">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0DFA1444">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落实医药卫生体制改革及人才发展规划，完成2020年中央财政经费支持的本地区各项卫生健康培训任务。</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69448E6A">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通过人员培训，医院的服务能力得到提升，业务能力得到拓展，基本满足群众看病需求，缓解了老百姓看病难的问题。</w:t>
            </w:r>
          </w:p>
          <w:p w14:paraId="0A4E9142">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p>
        </w:tc>
      </w:tr>
      <w:tr w14:paraId="0F094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jc w:val="center"/>
        </w:trPr>
        <w:tc>
          <w:tcPr>
            <w:tcW w:w="660" w:type="dxa"/>
            <w:vMerge w:val="restart"/>
            <w:tcBorders>
              <w:top w:val="single" w:color="000000" w:sz="4" w:space="0"/>
              <w:left w:val="single" w:color="000000" w:sz="4" w:space="0"/>
              <w:right w:val="single" w:color="000000" w:sz="4" w:space="0"/>
            </w:tcBorders>
            <w:vAlign w:val="center"/>
          </w:tcPr>
          <w:p w14:paraId="2CE153E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2"/>
                <w:sz w:val="24"/>
                <w:szCs w:val="24"/>
                <w:lang w:val="en-US" w:eastAsia="zh-CN" w:bidi="ar-SA"/>
              </w:rPr>
              <w:t>绩效指标完成情况</w:t>
            </w:r>
          </w:p>
        </w:tc>
        <w:tc>
          <w:tcPr>
            <w:tcW w:w="1097" w:type="dxa"/>
            <w:tcBorders>
              <w:top w:val="single" w:color="000000" w:sz="4" w:space="0"/>
              <w:left w:val="single" w:color="000000" w:sz="4" w:space="0"/>
              <w:bottom w:val="single" w:color="000000" w:sz="4" w:space="0"/>
              <w:right w:val="single" w:color="000000" w:sz="4" w:space="0"/>
            </w:tcBorders>
            <w:vAlign w:val="center"/>
          </w:tcPr>
          <w:p w14:paraId="13C3ED0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一级指标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572FFF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二级指标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86C870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三级指标</w:t>
            </w:r>
          </w:p>
        </w:tc>
        <w:tc>
          <w:tcPr>
            <w:tcW w:w="2394" w:type="dxa"/>
            <w:tcBorders>
              <w:top w:val="single" w:color="000000" w:sz="4" w:space="0"/>
              <w:left w:val="single" w:color="000000" w:sz="4" w:space="0"/>
              <w:bottom w:val="single" w:color="000000" w:sz="4" w:space="0"/>
              <w:right w:val="single" w:color="000000" w:sz="4" w:space="0"/>
            </w:tcBorders>
            <w:vAlign w:val="center"/>
          </w:tcPr>
          <w:p w14:paraId="74E0F1E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预期指标值(包含数字及文字描述)</w:t>
            </w:r>
          </w:p>
        </w:tc>
        <w:tc>
          <w:tcPr>
            <w:tcW w:w="2092" w:type="dxa"/>
            <w:tcBorders>
              <w:top w:val="single" w:color="000000" w:sz="4" w:space="0"/>
              <w:left w:val="single" w:color="000000" w:sz="4" w:space="0"/>
              <w:bottom w:val="single" w:color="000000" w:sz="4" w:space="0"/>
              <w:right w:val="single" w:color="000000" w:sz="4" w:space="0"/>
            </w:tcBorders>
            <w:vAlign w:val="center"/>
          </w:tcPr>
          <w:p w14:paraId="316B88E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实际完成指标值(包含数字及文字描述)</w:t>
            </w:r>
          </w:p>
        </w:tc>
      </w:tr>
      <w:tr w14:paraId="25E0C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8" w:hRule="atLeast"/>
          <w:jc w:val="center"/>
        </w:trPr>
        <w:tc>
          <w:tcPr>
            <w:tcW w:w="660" w:type="dxa"/>
            <w:vMerge w:val="continue"/>
            <w:tcBorders>
              <w:left w:val="single" w:color="000000" w:sz="4" w:space="0"/>
              <w:right w:val="single" w:color="000000" w:sz="4" w:space="0"/>
            </w:tcBorders>
            <w:vAlign w:val="center"/>
          </w:tcPr>
          <w:p w14:paraId="521F0FB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1CD89AD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5DF363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5DDA5BF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全科医生转岗培训</w:t>
            </w:r>
          </w:p>
        </w:tc>
        <w:tc>
          <w:tcPr>
            <w:tcW w:w="2394" w:type="dxa"/>
            <w:tcBorders>
              <w:top w:val="single" w:color="000000" w:sz="4" w:space="0"/>
              <w:left w:val="single" w:color="000000" w:sz="4" w:space="0"/>
              <w:bottom w:val="single" w:color="000000" w:sz="4" w:space="0"/>
              <w:right w:val="single" w:color="000000" w:sz="4" w:space="0"/>
            </w:tcBorders>
            <w:vAlign w:val="center"/>
          </w:tcPr>
          <w:p w14:paraId="1574292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10人</w:t>
            </w:r>
          </w:p>
        </w:tc>
        <w:tc>
          <w:tcPr>
            <w:tcW w:w="2092" w:type="dxa"/>
            <w:tcBorders>
              <w:top w:val="single" w:color="000000" w:sz="4" w:space="0"/>
              <w:left w:val="single" w:color="000000" w:sz="4" w:space="0"/>
              <w:bottom w:val="single" w:color="000000" w:sz="4" w:space="0"/>
              <w:right w:val="single" w:color="000000" w:sz="4" w:space="0"/>
            </w:tcBorders>
            <w:vAlign w:val="center"/>
          </w:tcPr>
          <w:p w14:paraId="119E780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10人</w:t>
            </w:r>
          </w:p>
        </w:tc>
      </w:tr>
      <w:tr w14:paraId="1E8A9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5DA5D0B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A65645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3A4907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7EE3C3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乡镇卫生院、社区服务中心骨干人员培训</w:t>
            </w:r>
          </w:p>
        </w:tc>
        <w:tc>
          <w:tcPr>
            <w:tcW w:w="2394" w:type="dxa"/>
            <w:tcBorders>
              <w:top w:val="single" w:color="000000" w:sz="4" w:space="0"/>
              <w:left w:val="single" w:color="000000" w:sz="4" w:space="0"/>
              <w:bottom w:val="single" w:color="000000" w:sz="4" w:space="0"/>
              <w:right w:val="single" w:color="000000" w:sz="4" w:space="0"/>
            </w:tcBorders>
            <w:vAlign w:val="center"/>
          </w:tcPr>
          <w:p w14:paraId="22745FF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45人</w:t>
            </w:r>
          </w:p>
        </w:tc>
        <w:tc>
          <w:tcPr>
            <w:tcW w:w="2092" w:type="dxa"/>
            <w:tcBorders>
              <w:top w:val="single" w:color="000000" w:sz="4" w:space="0"/>
              <w:left w:val="single" w:color="000000" w:sz="4" w:space="0"/>
              <w:bottom w:val="single" w:color="000000" w:sz="4" w:space="0"/>
              <w:right w:val="single" w:color="000000" w:sz="4" w:space="0"/>
            </w:tcBorders>
            <w:vAlign w:val="center"/>
          </w:tcPr>
          <w:p w14:paraId="04B891D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45人</w:t>
            </w:r>
          </w:p>
        </w:tc>
      </w:tr>
      <w:tr w14:paraId="50467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7F35722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AAA40E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777095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04C1CC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乡镇卫生院、社区服务中心护士培训</w:t>
            </w:r>
          </w:p>
        </w:tc>
        <w:tc>
          <w:tcPr>
            <w:tcW w:w="2394" w:type="dxa"/>
            <w:tcBorders>
              <w:top w:val="single" w:color="000000" w:sz="4" w:space="0"/>
              <w:left w:val="single" w:color="000000" w:sz="4" w:space="0"/>
              <w:bottom w:val="single" w:color="000000" w:sz="4" w:space="0"/>
              <w:right w:val="single" w:color="000000" w:sz="4" w:space="0"/>
            </w:tcBorders>
            <w:vAlign w:val="center"/>
          </w:tcPr>
          <w:p w14:paraId="3D02BA1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30人</w:t>
            </w:r>
          </w:p>
        </w:tc>
        <w:tc>
          <w:tcPr>
            <w:tcW w:w="2092" w:type="dxa"/>
            <w:tcBorders>
              <w:top w:val="single" w:color="000000" w:sz="4" w:space="0"/>
              <w:left w:val="single" w:color="000000" w:sz="4" w:space="0"/>
              <w:bottom w:val="single" w:color="000000" w:sz="4" w:space="0"/>
              <w:right w:val="single" w:color="000000" w:sz="4" w:space="0"/>
            </w:tcBorders>
            <w:vAlign w:val="center"/>
          </w:tcPr>
          <w:p w14:paraId="71BA108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30人</w:t>
            </w:r>
          </w:p>
        </w:tc>
      </w:tr>
      <w:tr w14:paraId="6DB2A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7BE0A54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8A5F23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34750B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5E77FB4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村卫生室人员培训</w:t>
            </w:r>
          </w:p>
        </w:tc>
        <w:tc>
          <w:tcPr>
            <w:tcW w:w="2394" w:type="dxa"/>
            <w:tcBorders>
              <w:top w:val="single" w:color="000000" w:sz="4" w:space="0"/>
              <w:left w:val="single" w:color="000000" w:sz="4" w:space="0"/>
              <w:bottom w:val="single" w:color="000000" w:sz="4" w:space="0"/>
              <w:right w:val="single" w:color="000000" w:sz="4" w:space="0"/>
            </w:tcBorders>
            <w:vAlign w:val="center"/>
          </w:tcPr>
          <w:p w14:paraId="4701645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200人</w:t>
            </w:r>
          </w:p>
        </w:tc>
        <w:tc>
          <w:tcPr>
            <w:tcW w:w="2092" w:type="dxa"/>
            <w:tcBorders>
              <w:top w:val="single" w:color="000000" w:sz="4" w:space="0"/>
              <w:left w:val="single" w:color="000000" w:sz="4" w:space="0"/>
              <w:bottom w:val="single" w:color="000000" w:sz="4" w:space="0"/>
              <w:right w:val="single" w:color="000000" w:sz="4" w:space="0"/>
            </w:tcBorders>
            <w:vAlign w:val="center"/>
          </w:tcPr>
          <w:p w14:paraId="62DF49D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200人</w:t>
            </w:r>
          </w:p>
        </w:tc>
      </w:tr>
      <w:tr w14:paraId="26205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5E734A2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6EBB6CB">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139DD6D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52C007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培训计划完成率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3DDCFB3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c>
          <w:tcPr>
            <w:tcW w:w="2092" w:type="dxa"/>
            <w:tcBorders>
              <w:top w:val="single" w:color="000000" w:sz="4" w:space="0"/>
              <w:left w:val="single" w:color="000000" w:sz="4" w:space="0"/>
              <w:bottom w:val="single" w:color="000000" w:sz="4" w:space="0"/>
              <w:right w:val="single" w:color="000000" w:sz="4" w:space="0"/>
            </w:tcBorders>
            <w:vAlign w:val="center"/>
          </w:tcPr>
          <w:p w14:paraId="46DFADA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739B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00699CE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44C9860">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66933CF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49EFF8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人才培养合格率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78429FD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c>
          <w:tcPr>
            <w:tcW w:w="2092" w:type="dxa"/>
            <w:tcBorders>
              <w:top w:val="single" w:color="000000" w:sz="4" w:space="0"/>
              <w:left w:val="single" w:color="000000" w:sz="4" w:space="0"/>
              <w:bottom w:val="single" w:color="000000" w:sz="4" w:space="0"/>
              <w:right w:val="single" w:color="000000" w:sz="4" w:space="0"/>
            </w:tcBorders>
            <w:vAlign w:val="center"/>
          </w:tcPr>
          <w:p w14:paraId="488675A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59DC0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3148315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1519DDC3">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1787414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成本指标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C0E652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全科医生转岗培训补助标准</w:t>
            </w:r>
          </w:p>
        </w:tc>
        <w:tc>
          <w:tcPr>
            <w:tcW w:w="2394" w:type="dxa"/>
            <w:tcBorders>
              <w:top w:val="single" w:color="000000" w:sz="4" w:space="0"/>
              <w:left w:val="single" w:color="000000" w:sz="4" w:space="0"/>
              <w:bottom w:val="single" w:color="000000" w:sz="4" w:space="0"/>
              <w:right w:val="single" w:color="000000" w:sz="4" w:space="0"/>
            </w:tcBorders>
            <w:vAlign w:val="center"/>
          </w:tcPr>
          <w:p w14:paraId="1DB3325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1.5万/人/元</w:t>
            </w:r>
          </w:p>
        </w:tc>
        <w:tc>
          <w:tcPr>
            <w:tcW w:w="2092" w:type="dxa"/>
            <w:tcBorders>
              <w:top w:val="single" w:color="000000" w:sz="4" w:space="0"/>
              <w:left w:val="single" w:color="000000" w:sz="4" w:space="0"/>
              <w:bottom w:val="single" w:color="000000" w:sz="4" w:space="0"/>
              <w:right w:val="single" w:color="000000" w:sz="4" w:space="0"/>
            </w:tcBorders>
            <w:vAlign w:val="center"/>
          </w:tcPr>
          <w:p w14:paraId="49FE066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1.5万</w:t>
            </w:r>
          </w:p>
        </w:tc>
      </w:tr>
      <w:tr w14:paraId="2CC5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393EF3C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1871403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9F7898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45F73CE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参培人员业务水平</w:t>
            </w:r>
          </w:p>
        </w:tc>
        <w:tc>
          <w:tcPr>
            <w:tcW w:w="2394" w:type="dxa"/>
            <w:tcBorders>
              <w:top w:val="single" w:color="000000" w:sz="4" w:space="0"/>
              <w:left w:val="single" w:color="000000" w:sz="4" w:space="0"/>
              <w:bottom w:val="single" w:color="000000" w:sz="4" w:space="0"/>
              <w:right w:val="single" w:color="000000" w:sz="4" w:space="0"/>
            </w:tcBorders>
            <w:vAlign w:val="center"/>
          </w:tcPr>
          <w:p w14:paraId="55F55BC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大幅提高</w:t>
            </w:r>
          </w:p>
        </w:tc>
        <w:tc>
          <w:tcPr>
            <w:tcW w:w="2092" w:type="dxa"/>
            <w:tcBorders>
              <w:top w:val="single" w:color="000000" w:sz="4" w:space="0"/>
              <w:left w:val="single" w:color="000000" w:sz="4" w:space="0"/>
              <w:bottom w:val="single" w:color="000000" w:sz="4" w:space="0"/>
              <w:right w:val="single" w:color="000000" w:sz="4" w:space="0"/>
            </w:tcBorders>
            <w:vAlign w:val="center"/>
          </w:tcPr>
          <w:p w14:paraId="307181B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大幅提高</w:t>
            </w:r>
          </w:p>
        </w:tc>
      </w:tr>
      <w:tr w14:paraId="322A3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0" w:hRule="atLeast"/>
          <w:jc w:val="center"/>
        </w:trPr>
        <w:tc>
          <w:tcPr>
            <w:tcW w:w="660" w:type="dxa"/>
            <w:vMerge w:val="continue"/>
            <w:tcBorders>
              <w:left w:val="single" w:color="000000" w:sz="4" w:space="0"/>
              <w:right w:val="single" w:color="000000" w:sz="4" w:space="0"/>
            </w:tcBorders>
            <w:vAlign w:val="center"/>
          </w:tcPr>
          <w:p w14:paraId="2D42400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77F103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满意度指标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3FE08BE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服务对象</w:t>
            </w:r>
          </w:p>
          <w:p w14:paraId="4C682DE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满意度指标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8DFE94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参培学员满意度</w:t>
            </w:r>
          </w:p>
        </w:tc>
        <w:tc>
          <w:tcPr>
            <w:tcW w:w="2394" w:type="dxa"/>
            <w:tcBorders>
              <w:top w:val="single" w:color="000000" w:sz="4" w:space="0"/>
              <w:left w:val="single" w:color="000000" w:sz="4" w:space="0"/>
              <w:bottom w:val="single" w:color="000000" w:sz="4" w:space="0"/>
              <w:right w:val="single" w:color="000000" w:sz="4" w:space="0"/>
            </w:tcBorders>
            <w:vAlign w:val="center"/>
          </w:tcPr>
          <w:p w14:paraId="16BFB81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092" w:type="dxa"/>
            <w:tcBorders>
              <w:top w:val="single" w:color="000000" w:sz="4" w:space="0"/>
              <w:left w:val="single" w:color="000000" w:sz="4" w:space="0"/>
              <w:bottom w:val="single" w:color="000000" w:sz="4" w:space="0"/>
              <w:right w:val="single" w:color="000000" w:sz="4" w:space="0"/>
            </w:tcBorders>
            <w:vAlign w:val="center"/>
          </w:tcPr>
          <w:p w14:paraId="7909EA2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95%</w:t>
            </w:r>
          </w:p>
        </w:tc>
      </w:tr>
    </w:tbl>
    <w:p w14:paraId="0FA3836C">
      <w:pPr>
        <w:numPr>
          <w:ilvl w:val="0"/>
          <w:numId w:val="7"/>
        </w:numPr>
        <w:snapToGrid/>
        <w:spacing w:before="0" w:beforeAutospacing="0" w:after="0" w:afterAutospacing="0" w:line="580"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公共卫生体系建设和重大疫情防控体系建设项目绩效目标完成情况综述。项目全年预算数411万元，执行数为371万元，完成预算的90%。通过项目实施，补充核酸检测费用、采购负压救护车一台、疫情防控监测设施设备100余台件、培训疫情防控业务人员300余人次，大大地提升了疫情防控能力，确保疫情防控取得了较好成效</w:t>
      </w:r>
      <w:r>
        <w:rPr>
          <w:rStyle w:val="10"/>
          <w:rFonts w:ascii="仿宋" w:eastAsia="仿宋"/>
          <w:b w:val="0"/>
          <w:i w:val="0"/>
          <w:caps w:val="0"/>
          <w:spacing w:val="0"/>
          <w:w w:val="100"/>
          <w:kern w:val="2"/>
          <w:sz w:val="32"/>
          <w:szCs w:val="32"/>
          <w:lang w:val="en-US" w:eastAsia="zh-CN" w:bidi="ar-SA"/>
        </w:rPr>
        <w:t>。</w:t>
      </w:r>
      <w:r>
        <w:rPr>
          <w:rStyle w:val="10"/>
          <w:rFonts w:ascii="仿宋_GB2312" w:hAnsi="仿宋_GB2312" w:eastAsia="仿宋_GB2312"/>
          <w:b w:val="0"/>
          <w:i w:val="0"/>
          <w:caps w:val="0"/>
          <w:spacing w:val="0"/>
          <w:w w:val="100"/>
          <w:kern w:val="2"/>
          <w:sz w:val="32"/>
          <w:szCs w:val="32"/>
          <w:lang w:val="en-US" w:eastAsia="zh-CN" w:bidi="ar-SA"/>
        </w:rPr>
        <w:t>发现的主要问题：根据疫情防控需要，设施设备采购通过紧急采购，但部分设备缺货或参数不能满足，导致资金当年未使用完。下一步改进措施：加快项目进度，按要求尽快完成项目设备采购。</w:t>
      </w:r>
    </w:p>
    <w:tbl>
      <w:tblPr>
        <w:tblStyle w:val="7"/>
        <w:tblpPr w:leftFromText="180" w:rightFromText="180" w:vertAnchor="text" w:horzAnchor="page" w:tblpXSpec="center" w:tblpY="423"/>
        <w:tblOverlap w:val="never"/>
        <w:tblW w:w="9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60"/>
        <w:gridCol w:w="1097"/>
        <w:gridCol w:w="1101"/>
        <w:gridCol w:w="2316"/>
        <w:gridCol w:w="2394"/>
        <w:gridCol w:w="2092"/>
      </w:tblGrid>
      <w:tr w14:paraId="0C18A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4" w:hRule="atLeast"/>
          <w:jc w:val="center"/>
        </w:trPr>
        <w:tc>
          <w:tcPr>
            <w:tcW w:w="9660" w:type="dxa"/>
            <w:gridSpan w:val="6"/>
            <w:tcBorders>
              <w:top w:val="nil"/>
              <w:left w:val="nil"/>
              <w:bottom w:val="nil"/>
              <w:right w:val="nil"/>
            </w:tcBorders>
            <w:vAlign w:val="center"/>
          </w:tcPr>
          <w:p w14:paraId="671898F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36"/>
                <w:szCs w:val="36"/>
                <w:lang w:val="en-US" w:eastAsia="zh-CN" w:bidi="ar-SA"/>
              </w:rPr>
            </w:pPr>
            <w:r>
              <w:rPr>
                <w:rStyle w:val="10"/>
                <w:rFonts w:ascii="宋体" w:hAnsi="宋体" w:cs="宋体"/>
                <w:b/>
                <w:bCs/>
                <w:i w:val="0"/>
                <w:caps w:val="0"/>
                <w:color w:val="000000"/>
                <w:spacing w:val="0"/>
                <w:w w:val="100"/>
                <w:kern w:val="0"/>
                <w:sz w:val="36"/>
                <w:szCs w:val="36"/>
                <w:lang w:val="en-US" w:eastAsia="zh-CN"/>
              </w:rPr>
              <w:t>项目绩效目标完成情况表</w:t>
            </w:r>
            <w:r>
              <w:rPr>
                <w:rStyle w:val="10"/>
                <w:rFonts w:ascii="宋体" w:cs="宋体"/>
                <w:b/>
                <w:bCs/>
                <w:i w:val="0"/>
                <w:caps w:val="0"/>
                <w:color w:val="000000"/>
                <w:spacing w:val="0"/>
                <w:w w:val="100"/>
                <w:kern w:val="0"/>
                <w:sz w:val="36"/>
                <w:szCs w:val="36"/>
                <w:lang w:val="en-US" w:eastAsia="zh-CN"/>
              </w:rPr>
              <w:br w:type="textWrapping"/>
            </w:r>
            <w:r>
              <w:rPr>
                <w:rStyle w:val="10"/>
                <w:rFonts w:ascii="宋体" w:hAnsi="宋体"/>
                <w:b w:val="0"/>
                <w:i w:val="0"/>
                <w:caps w:val="0"/>
                <w:color w:val="000000"/>
                <w:spacing w:val="0"/>
                <w:w w:val="100"/>
                <w:kern w:val="0"/>
                <w:sz w:val="36"/>
                <w:szCs w:val="36"/>
                <w:lang w:val="en-US" w:eastAsia="zh-CN"/>
              </w:rPr>
              <w:t>(2020年度)</w:t>
            </w:r>
          </w:p>
        </w:tc>
      </w:tr>
      <w:tr w14:paraId="68AB0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4E97D94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项目名称</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2FDE261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公共卫生体系建设和重大疫情防控体系建设</w:t>
            </w:r>
          </w:p>
        </w:tc>
      </w:tr>
      <w:tr w14:paraId="3F4A1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135CB8B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预算单位</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780856B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广元市昭化区卫生健康局</w:t>
            </w:r>
          </w:p>
        </w:tc>
      </w:tr>
      <w:tr w14:paraId="350D4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2D2701D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预算执行情况(万元)</w:t>
            </w: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6949F43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预算数:</w:t>
            </w:r>
          </w:p>
        </w:tc>
        <w:tc>
          <w:tcPr>
            <w:tcW w:w="2316" w:type="dxa"/>
            <w:tcBorders>
              <w:top w:val="single" w:color="000000" w:sz="4" w:space="0"/>
              <w:left w:val="single" w:color="000000" w:sz="4" w:space="0"/>
              <w:bottom w:val="single" w:color="000000" w:sz="4" w:space="0"/>
              <w:right w:val="single" w:color="000000" w:sz="4" w:space="0"/>
            </w:tcBorders>
            <w:vAlign w:val="center"/>
          </w:tcPr>
          <w:p w14:paraId="4AB4977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411</w:t>
            </w:r>
          </w:p>
        </w:tc>
        <w:tc>
          <w:tcPr>
            <w:tcW w:w="2394" w:type="dxa"/>
            <w:tcBorders>
              <w:top w:val="single" w:color="000000" w:sz="4" w:space="0"/>
              <w:left w:val="single" w:color="000000" w:sz="4" w:space="0"/>
              <w:bottom w:val="single" w:color="000000" w:sz="4" w:space="0"/>
              <w:right w:val="single" w:color="000000" w:sz="4" w:space="0"/>
            </w:tcBorders>
            <w:vAlign w:val="center"/>
          </w:tcPr>
          <w:p w14:paraId="773BC22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执行数:</w:t>
            </w:r>
          </w:p>
        </w:tc>
        <w:tc>
          <w:tcPr>
            <w:tcW w:w="2092" w:type="dxa"/>
            <w:tcBorders>
              <w:top w:val="single" w:color="000000" w:sz="4" w:space="0"/>
              <w:left w:val="single" w:color="000000" w:sz="4" w:space="0"/>
              <w:bottom w:val="single" w:color="000000" w:sz="4" w:space="0"/>
              <w:right w:val="single" w:color="000000" w:sz="4" w:space="0"/>
            </w:tcBorders>
            <w:vAlign w:val="center"/>
          </w:tcPr>
          <w:p w14:paraId="46F521C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371</w:t>
            </w:r>
          </w:p>
        </w:tc>
      </w:tr>
      <w:tr w14:paraId="6E218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7406207A">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04E2B7D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316" w:type="dxa"/>
            <w:tcBorders>
              <w:top w:val="single" w:color="000000" w:sz="4" w:space="0"/>
              <w:left w:val="single" w:color="000000" w:sz="4" w:space="0"/>
              <w:bottom w:val="single" w:color="000000" w:sz="4" w:space="0"/>
              <w:right w:val="single" w:color="000000" w:sz="4" w:space="0"/>
            </w:tcBorders>
            <w:vAlign w:val="center"/>
          </w:tcPr>
          <w:p w14:paraId="45FDBC6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411</w:t>
            </w:r>
          </w:p>
        </w:tc>
        <w:tc>
          <w:tcPr>
            <w:tcW w:w="2394" w:type="dxa"/>
            <w:tcBorders>
              <w:top w:val="single" w:color="000000" w:sz="4" w:space="0"/>
              <w:left w:val="single" w:color="000000" w:sz="4" w:space="0"/>
              <w:bottom w:val="single" w:color="000000" w:sz="4" w:space="0"/>
              <w:right w:val="single" w:color="000000" w:sz="4" w:space="0"/>
            </w:tcBorders>
            <w:vAlign w:val="center"/>
          </w:tcPr>
          <w:p w14:paraId="5EB6195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092" w:type="dxa"/>
            <w:tcBorders>
              <w:top w:val="single" w:color="000000" w:sz="4" w:space="0"/>
              <w:left w:val="single" w:color="000000" w:sz="4" w:space="0"/>
              <w:bottom w:val="single" w:color="000000" w:sz="4" w:space="0"/>
              <w:right w:val="single" w:color="000000" w:sz="4" w:space="0"/>
            </w:tcBorders>
            <w:vAlign w:val="center"/>
          </w:tcPr>
          <w:p w14:paraId="315ABCA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371</w:t>
            </w:r>
          </w:p>
        </w:tc>
      </w:tr>
      <w:tr w14:paraId="0BB0B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7"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2DD19ADF">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11F31BE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316" w:type="dxa"/>
            <w:tcBorders>
              <w:top w:val="single" w:color="000000" w:sz="4" w:space="0"/>
              <w:left w:val="single" w:color="000000" w:sz="4" w:space="0"/>
              <w:bottom w:val="single" w:color="000000" w:sz="4" w:space="0"/>
              <w:right w:val="single" w:color="000000" w:sz="4" w:space="0"/>
            </w:tcBorders>
            <w:vAlign w:val="center"/>
          </w:tcPr>
          <w:p w14:paraId="0C76DB9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c>
          <w:tcPr>
            <w:tcW w:w="2394" w:type="dxa"/>
            <w:tcBorders>
              <w:top w:val="single" w:color="000000" w:sz="4" w:space="0"/>
              <w:left w:val="single" w:color="000000" w:sz="4" w:space="0"/>
              <w:bottom w:val="single" w:color="000000" w:sz="4" w:space="0"/>
              <w:right w:val="single" w:color="000000" w:sz="4" w:space="0"/>
            </w:tcBorders>
            <w:vAlign w:val="center"/>
          </w:tcPr>
          <w:p w14:paraId="2C2E0B4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092" w:type="dxa"/>
            <w:tcBorders>
              <w:top w:val="single" w:color="000000" w:sz="4" w:space="0"/>
              <w:left w:val="single" w:color="000000" w:sz="4" w:space="0"/>
              <w:bottom w:val="single" w:color="000000" w:sz="4" w:space="0"/>
              <w:right w:val="single" w:color="000000" w:sz="4" w:space="0"/>
            </w:tcBorders>
            <w:vAlign w:val="center"/>
          </w:tcPr>
          <w:p w14:paraId="431118D9">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r>
      <w:tr w14:paraId="4FE24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67349F9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年度目标完成情况</w:t>
            </w: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25633AA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预期目标</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14AEE8D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实际完成目标</w:t>
            </w:r>
          </w:p>
        </w:tc>
      </w:tr>
      <w:tr w14:paraId="15C70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8"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2DBBDF71">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055F732D">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实现对重点传染病的哨点监测，完成监测点核心实验室检验检测和人员能力，为重点传染病防控提供技术支持。提升疾控专业技术骨干人才现场流行病学调查处置、实验室检验检测、信息技术等专业技术能力；支持基层医疗卫生服务机构完善公共卫生服务体系，加强实施设备配备和人才培训，提升重大疫情救治能力和突发公共卫生事件应对能力等</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75FD6C50">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通过设备购置、人员培训，提高了全区重大疫情防控救治能力、医疗服务能力、公共卫生防控和疾病预防控制能力，保障群众健康服务需求。</w:t>
            </w:r>
          </w:p>
          <w:p w14:paraId="789E0AB2">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p>
        </w:tc>
      </w:tr>
      <w:tr w14:paraId="6EDE0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jc w:val="center"/>
        </w:trPr>
        <w:tc>
          <w:tcPr>
            <w:tcW w:w="660" w:type="dxa"/>
            <w:vMerge w:val="restart"/>
            <w:tcBorders>
              <w:top w:val="single" w:color="000000" w:sz="4" w:space="0"/>
              <w:left w:val="single" w:color="000000" w:sz="4" w:space="0"/>
              <w:right w:val="single" w:color="000000" w:sz="4" w:space="0"/>
            </w:tcBorders>
            <w:vAlign w:val="center"/>
          </w:tcPr>
          <w:p w14:paraId="5C0AF72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2"/>
                <w:sz w:val="24"/>
                <w:szCs w:val="24"/>
                <w:lang w:val="en-US" w:eastAsia="zh-CN" w:bidi="ar-SA"/>
              </w:rPr>
              <w:t>绩效指标完成情况</w:t>
            </w:r>
          </w:p>
        </w:tc>
        <w:tc>
          <w:tcPr>
            <w:tcW w:w="1097" w:type="dxa"/>
            <w:tcBorders>
              <w:top w:val="single" w:color="000000" w:sz="4" w:space="0"/>
              <w:left w:val="single" w:color="000000" w:sz="4" w:space="0"/>
              <w:bottom w:val="single" w:color="000000" w:sz="4" w:space="0"/>
              <w:right w:val="single" w:color="000000" w:sz="4" w:space="0"/>
            </w:tcBorders>
            <w:vAlign w:val="center"/>
          </w:tcPr>
          <w:p w14:paraId="1535012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一级指标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3FD86AF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二级指标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C513F9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三级指标</w:t>
            </w:r>
          </w:p>
        </w:tc>
        <w:tc>
          <w:tcPr>
            <w:tcW w:w="2394" w:type="dxa"/>
            <w:tcBorders>
              <w:top w:val="single" w:color="000000" w:sz="4" w:space="0"/>
              <w:left w:val="single" w:color="000000" w:sz="4" w:space="0"/>
              <w:bottom w:val="single" w:color="000000" w:sz="4" w:space="0"/>
              <w:right w:val="single" w:color="000000" w:sz="4" w:space="0"/>
            </w:tcBorders>
            <w:vAlign w:val="center"/>
          </w:tcPr>
          <w:p w14:paraId="189C9DB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预期指标值(包含数字及文字描述)</w:t>
            </w:r>
          </w:p>
        </w:tc>
        <w:tc>
          <w:tcPr>
            <w:tcW w:w="2092" w:type="dxa"/>
            <w:tcBorders>
              <w:top w:val="single" w:color="000000" w:sz="4" w:space="0"/>
              <w:left w:val="single" w:color="000000" w:sz="4" w:space="0"/>
              <w:bottom w:val="single" w:color="000000" w:sz="4" w:space="0"/>
              <w:right w:val="single" w:color="000000" w:sz="4" w:space="0"/>
            </w:tcBorders>
            <w:vAlign w:val="center"/>
          </w:tcPr>
          <w:p w14:paraId="1D93B90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实际完成指标值(包含数字及文字描述)</w:t>
            </w:r>
          </w:p>
        </w:tc>
      </w:tr>
      <w:tr w14:paraId="44C6A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8" w:hRule="atLeast"/>
          <w:jc w:val="center"/>
        </w:trPr>
        <w:tc>
          <w:tcPr>
            <w:tcW w:w="660" w:type="dxa"/>
            <w:vMerge w:val="continue"/>
            <w:tcBorders>
              <w:left w:val="single" w:color="000000" w:sz="4" w:space="0"/>
              <w:right w:val="single" w:color="000000" w:sz="4" w:space="0"/>
            </w:tcBorders>
            <w:vAlign w:val="center"/>
          </w:tcPr>
          <w:p w14:paraId="6480384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9B5099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3BCE71E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C24AD5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完成病毒性传染病、细菌性传染病、病媒生物监测任务的监测点比例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7863BD0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≥85%</w:t>
            </w:r>
          </w:p>
        </w:tc>
        <w:tc>
          <w:tcPr>
            <w:tcW w:w="2092" w:type="dxa"/>
            <w:tcBorders>
              <w:top w:val="single" w:color="000000" w:sz="4" w:space="0"/>
              <w:left w:val="single" w:color="000000" w:sz="4" w:space="0"/>
              <w:bottom w:val="single" w:color="000000" w:sz="4" w:space="0"/>
              <w:right w:val="single" w:color="000000" w:sz="4" w:space="0"/>
            </w:tcBorders>
            <w:vAlign w:val="center"/>
          </w:tcPr>
          <w:p w14:paraId="0DD5543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r>
      <w:tr w14:paraId="2134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2679F90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4E281B4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CF6D5B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847DBC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病毒性传染病、细菌性传染病、病媒生物监测督导任务完成率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1710A00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092" w:type="dxa"/>
            <w:tcBorders>
              <w:top w:val="single" w:color="000000" w:sz="4" w:space="0"/>
              <w:left w:val="single" w:color="000000" w:sz="4" w:space="0"/>
              <w:bottom w:val="single" w:color="000000" w:sz="4" w:space="0"/>
              <w:right w:val="single" w:color="000000" w:sz="4" w:space="0"/>
            </w:tcBorders>
            <w:vAlign w:val="center"/>
          </w:tcPr>
          <w:p w14:paraId="50FCC89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92%</w:t>
            </w:r>
          </w:p>
        </w:tc>
      </w:tr>
      <w:tr w14:paraId="7CC1D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4A3E755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18393B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4D7BF4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5A77D53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基层医疗卫生机构（包括社区服务中心、乡镇卫生院）配备肺功能仪的比例</w:t>
            </w:r>
          </w:p>
        </w:tc>
        <w:tc>
          <w:tcPr>
            <w:tcW w:w="2394" w:type="dxa"/>
            <w:tcBorders>
              <w:top w:val="single" w:color="000000" w:sz="4" w:space="0"/>
              <w:left w:val="single" w:color="000000" w:sz="4" w:space="0"/>
              <w:bottom w:val="single" w:color="000000" w:sz="4" w:space="0"/>
              <w:right w:val="single" w:color="000000" w:sz="4" w:space="0"/>
            </w:tcBorders>
            <w:vAlign w:val="center"/>
          </w:tcPr>
          <w:p w14:paraId="2726E88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50%</w:t>
            </w:r>
          </w:p>
        </w:tc>
        <w:tc>
          <w:tcPr>
            <w:tcW w:w="2092" w:type="dxa"/>
            <w:tcBorders>
              <w:top w:val="single" w:color="000000" w:sz="4" w:space="0"/>
              <w:left w:val="single" w:color="000000" w:sz="4" w:space="0"/>
              <w:bottom w:val="single" w:color="000000" w:sz="4" w:space="0"/>
              <w:right w:val="single" w:color="000000" w:sz="4" w:space="0"/>
            </w:tcBorders>
            <w:vAlign w:val="center"/>
          </w:tcPr>
          <w:p w14:paraId="2D429BA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50%</w:t>
            </w:r>
          </w:p>
        </w:tc>
      </w:tr>
      <w:tr w14:paraId="463D4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3053206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4CCE835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86084C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54C89F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项目基层医疗机构配备设备使用率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0660E81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≥95%</w:t>
            </w:r>
          </w:p>
        </w:tc>
        <w:tc>
          <w:tcPr>
            <w:tcW w:w="2092" w:type="dxa"/>
            <w:tcBorders>
              <w:top w:val="single" w:color="000000" w:sz="4" w:space="0"/>
              <w:left w:val="single" w:color="000000" w:sz="4" w:space="0"/>
              <w:bottom w:val="single" w:color="000000" w:sz="4" w:space="0"/>
              <w:right w:val="single" w:color="000000" w:sz="4" w:space="0"/>
            </w:tcBorders>
            <w:vAlign w:val="center"/>
          </w:tcPr>
          <w:p w14:paraId="477E57D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256D6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3EC4358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9C76778">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7A28B32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1932AF4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县级疾控机构、接种单位冷链设备配备达标率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7F319AD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092" w:type="dxa"/>
            <w:tcBorders>
              <w:top w:val="single" w:color="000000" w:sz="4" w:space="0"/>
              <w:left w:val="single" w:color="000000" w:sz="4" w:space="0"/>
              <w:bottom w:val="single" w:color="000000" w:sz="4" w:space="0"/>
              <w:right w:val="single" w:color="000000" w:sz="4" w:space="0"/>
            </w:tcBorders>
            <w:vAlign w:val="center"/>
          </w:tcPr>
          <w:p w14:paraId="3D66B47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3410C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3A7E5EC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188EC88">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68E015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4A720E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县级疾控机构、接种单位疫苗扫码设备配备达标率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41747CA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092" w:type="dxa"/>
            <w:tcBorders>
              <w:top w:val="single" w:color="000000" w:sz="4" w:space="0"/>
              <w:left w:val="single" w:color="000000" w:sz="4" w:space="0"/>
              <w:bottom w:val="single" w:color="000000" w:sz="4" w:space="0"/>
              <w:right w:val="single" w:color="000000" w:sz="4" w:space="0"/>
            </w:tcBorders>
            <w:vAlign w:val="center"/>
          </w:tcPr>
          <w:p w14:paraId="7DB45A3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7BE7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445DAFB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5FFAF20">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B7A8CD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D8F086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基层人才培训合格率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551928B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092" w:type="dxa"/>
            <w:tcBorders>
              <w:top w:val="single" w:color="000000" w:sz="4" w:space="0"/>
              <w:left w:val="single" w:color="000000" w:sz="4" w:space="0"/>
              <w:bottom w:val="single" w:color="000000" w:sz="4" w:space="0"/>
              <w:right w:val="single" w:color="000000" w:sz="4" w:space="0"/>
            </w:tcBorders>
            <w:vAlign w:val="center"/>
          </w:tcPr>
          <w:p w14:paraId="50A3871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98%</w:t>
            </w:r>
          </w:p>
        </w:tc>
      </w:tr>
      <w:tr w14:paraId="69301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2FFC24B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6BD1DC7">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3A2DB7A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4D036CE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项目县区公立医院医务人员医防结合能力培训合格率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7481C03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c>
          <w:tcPr>
            <w:tcW w:w="2092" w:type="dxa"/>
            <w:tcBorders>
              <w:top w:val="single" w:color="000000" w:sz="4" w:space="0"/>
              <w:left w:val="single" w:color="000000" w:sz="4" w:space="0"/>
              <w:bottom w:val="single" w:color="000000" w:sz="4" w:space="0"/>
              <w:right w:val="single" w:color="000000" w:sz="4" w:space="0"/>
            </w:tcBorders>
            <w:vAlign w:val="center"/>
          </w:tcPr>
          <w:p w14:paraId="716D040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62202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14C0211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5A66D26D">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024694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A50BC6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项目县区公立医院发热门诊、实验室检测、传染病救治、菝防结合信息化设备及院感防控物资补充率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2A2D670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较上年提升</w:t>
            </w:r>
          </w:p>
        </w:tc>
        <w:tc>
          <w:tcPr>
            <w:tcW w:w="2092" w:type="dxa"/>
            <w:tcBorders>
              <w:top w:val="single" w:color="000000" w:sz="4" w:space="0"/>
              <w:left w:val="single" w:color="000000" w:sz="4" w:space="0"/>
              <w:bottom w:val="single" w:color="000000" w:sz="4" w:space="0"/>
              <w:right w:val="single" w:color="000000" w:sz="4" w:space="0"/>
            </w:tcBorders>
            <w:vAlign w:val="center"/>
          </w:tcPr>
          <w:p w14:paraId="7F95A76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较上年提升10%</w:t>
            </w:r>
          </w:p>
        </w:tc>
      </w:tr>
      <w:tr w14:paraId="4B59F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3B7B6AB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9480EF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B5E4EC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1FE8DBA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基层医疗卫生机构肺功能仪使用率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6E9A17A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092" w:type="dxa"/>
            <w:tcBorders>
              <w:top w:val="single" w:color="000000" w:sz="4" w:space="0"/>
              <w:left w:val="single" w:color="000000" w:sz="4" w:space="0"/>
              <w:bottom w:val="single" w:color="000000" w:sz="4" w:space="0"/>
              <w:right w:val="single" w:color="000000" w:sz="4" w:space="0"/>
            </w:tcBorders>
            <w:vAlign w:val="center"/>
          </w:tcPr>
          <w:p w14:paraId="444263F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92%</w:t>
            </w:r>
          </w:p>
        </w:tc>
      </w:tr>
    </w:tbl>
    <w:p w14:paraId="5690802E">
      <w:pPr>
        <w:snapToGrid/>
        <w:spacing w:before="0" w:beforeAutospacing="0" w:after="0" w:afterAutospacing="0" w:line="580"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4）抗疫特别国债基础设施建设项目绩效目标完成情况综述。项目全年预算数1500万元，执行数为1500万元，完成预算的100%。通过项目实施，区疾控中心建立了核酸试验室；区中医院采购B超、DR、康复理疗等设施设备；27个乡镇卫生院建立了发热哨点诊室。通过设施设备购置、人员培训、发热哨点诊室的建立，大大地提升了医疗服务能力、在疫情防控中起着前哨的作用，对老百姓就医、疫情防控监测发挥了明显的作用。发现的主要问题：哨点诊室功能作用考虑不全，不能完全满足疫情防控要求。下一步改进措施：根据疫情防控要求，结合防控实际，合理布局，完善哨点诊室功能化、防疫化。</w:t>
      </w:r>
    </w:p>
    <w:tbl>
      <w:tblPr>
        <w:tblStyle w:val="7"/>
        <w:tblpPr w:leftFromText="180" w:rightFromText="180" w:vertAnchor="text" w:horzAnchor="page" w:tblpXSpec="center" w:tblpY="423"/>
        <w:tblOverlap w:val="never"/>
        <w:tblW w:w="9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60"/>
        <w:gridCol w:w="1097"/>
        <w:gridCol w:w="1101"/>
        <w:gridCol w:w="2316"/>
        <w:gridCol w:w="2394"/>
        <w:gridCol w:w="2092"/>
      </w:tblGrid>
      <w:tr w14:paraId="1D88A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4" w:hRule="atLeast"/>
          <w:jc w:val="center"/>
        </w:trPr>
        <w:tc>
          <w:tcPr>
            <w:tcW w:w="9660" w:type="dxa"/>
            <w:gridSpan w:val="6"/>
            <w:tcBorders>
              <w:top w:val="nil"/>
              <w:left w:val="nil"/>
              <w:bottom w:val="nil"/>
              <w:right w:val="nil"/>
            </w:tcBorders>
            <w:vAlign w:val="center"/>
          </w:tcPr>
          <w:p w14:paraId="4484BCA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36"/>
                <w:szCs w:val="36"/>
                <w:lang w:val="en-US" w:eastAsia="zh-CN" w:bidi="ar-SA"/>
              </w:rPr>
            </w:pPr>
            <w:r>
              <w:rPr>
                <w:rStyle w:val="10"/>
                <w:rFonts w:ascii="宋体" w:hAnsi="宋体" w:cs="宋体"/>
                <w:b/>
                <w:bCs/>
                <w:i w:val="0"/>
                <w:caps w:val="0"/>
                <w:color w:val="000000"/>
                <w:spacing w:val="0"/>
                <w:w w:val="100"/>
                <w:kern w:val="0"/>
                <w:sz w:val="36"/>
                <w:szCs w:val="36"/>
                <w:lang w:val="en-US" w:eastAsia="zh-CN"/>
              </w:rPr>
              <w:t>项目绩效目标完成情况表</w:t>
            </w:r>
            <w:r>
              <w:rPr>
                <w:rStyle w:val="10"/>
                <w:rFonts w:ascii="宋体" w:cs="宋体"/>
                <w:b/>
                <w:bCs/>
                <w:i w:val="0"/>
                <w:caps w:val="0"/>
                <w:color w:val="000000"/>
                <w:spacing w:val="0"/>
                <w:w w:val="100"/>
                <w:kern w:val="0"/>
                <w:sz w:val="36"/>
                <w:szCs w:val="36"/>
                <w:lang w:val="en-US" w:eastAsia="zh-CN"/>
              </w:rPr>
              <w:br w:type="textWrapping"/>
            </w:r>
            <w:r>
              <w:rPr>
                <w:rStyle w:val="10"/>
                <w:rFonts w:ascii="宋体" w:hAnsi="宋体"/>
                <w:b w:val="0"/>
                <w:i w:val="0"/>
                <w:caps w:val="0"/>
                <w:color w:val="000000"/>
                <w:spacing w:val="0"/>
                <w:w w:val="100"/>
                <w:kern w:val="0"/>
                <w:sz w:val="36"/>
                <w:szCs w:val="36"/>
                <w:lang w:val="en-US" w:eastAsia="zh-CN"/>
              </w:rPr>
              <w:t>(2020年度)</w:t>
            </w:r>
          </w:p>
        </w:tc>
      </w:tr>
      <w:tr w14:paraId="69A4C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2F89BE1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项目名称</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5C9E130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卫生健康人才培养</w:t>
            </w:r>
          </w:p>
        </w:tc>
      </w:tr>
      <w:tr w14:paraId="3165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4690ED2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预算单位</w:t>
            </w:r>
          </w:p>
        </w:tc>
        <w:tc>
          <w:tcPr>
            <w:tcW w:w="6802" w:type="dxa"/>
            <w:gridSpan w:val="3"/>
            <w:tcBorders>
              <w:top w:val="single" w:color="000000" w:sz="4" w:space="0"/>
              <w:left w:val="single" w:color="000000" w:sz="4" w:space="0"/>
              <w:bottom w:val="single" w:color="000000" w:sz="4" w:space="0"/>
              <w:right w:val="single" w:color="000000" w:sz="4" w:space="0"/>
            </w:tcBorders>
            <w:vAlign w:val="center"/>
          </w:tcPr>
          <w:p w14:paraId="511173C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广元市昭化区卫生健康局</w:t>
            </w:r>
          </w:p>
        </w:tc>
      </w:tr>
      <w:tr w14:paraId="37E30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1B1C9A7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预算执行情况(万元)</w:t>
            </w: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6AA1698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预算数:</w:t>
            </w:r>
          </w:p>
        </w:tc>
        <w:tc>
          <w:tcPr>
            <w:tcW w:w="2316" w:type="dxa"/>
            <w:tcBorders>
              <w:top w:val="single" w:color="000000" w:sz="4" w:space="0"/>
              <w:left w:val="single" w:color="000000" w:sz="4" w:space="0"/>
              <w:bottom w:val="single" w:color="000000" w:sz="4" w:space="0"/>
              <w:right w:val="single" w:color="000000" w:sz="4" w:space="0"/>
            </w:tcBorders>
            <w:vAlign w:val="center"/>
          </w:tcPr>
          <w:p w14:paraId="4BE54B3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1500</w:t>
            </w:r>
          </w:p>
        </w:tc>
        <w:tc>
          <w:tcPr>
            <w:tcW w:w="2394" w:type="dxa"/>
            <w:tcBorders>
              <w:top w:val="single" w:color="000000" w:sz="4" w:space="0"/>
              <w:left w:val="single" w:color="000000" w:sz="4" w:space="0"/>
              <w:bottom w:val="single" w:color="000000" w:sz="4" w:space="0"/>
              <w:right w:val="single" w:color="000000" w:sz="4" w:space="0"/>
            </w:tcBorders>
            <w:vAlign w:val="center"/>
          </w:tcPr>
          <w:p w14:paraId="13BE9EB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执行数:</w:t>
            </w:r>
          </w:p>
        </w:tc>
        <w:tc>
          <w:tcPr>
            <w:tcW w:w="2092" w:type="dxa"/>
            <w:tcBorders>
              <w:top w:val="single" w:color="000000" w:sz="4" w:space="0"/>
              <w:left w:val="single" w:color="000000" w:sz="4" w:space="0"/>
              <w:bottom w:val="single" w:color="000000" w:sz="4" w:space="0"/>
              <w:right w:val="single" w:color="000000" w:sz="4" w:space="0"/>
            </w:tcBorders>
            <w:vAlign w:val="center"/>
          </w:tcPr>
          <w:p w14:paraId="1B5CDA0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1500</w:t>
            </w:r>
          </w:p>
        </w:tc>
      </w:tr>
      <w:tr w14:paraId="2CD31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6E2D0693">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6C905BD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316" w:type="dxa"/>
            <w:tcBorders>
              <w:top w:val="single" w:color="000000" w:sz="4" w:space="0"/>
              <w:left w:val="single" w:color="000000" w:sz="4" w:space="0"/>
              <w:bottom w:val="single" w:color="000000" w:sz="4" w:space="0"/>
              <w:right w:val="single" w:color="000000" w:sz="4" w:space="0"/>
            </w:tcBorders>
            <w:vAlign w:val="center"/>
          </w:tcPr>
          <w:p w14:paraId="7D94AC8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1500</w:t>
            </w:r>
          </w:p>
        </w:tc>
        <w:tc>
          <w:tcPr>
            <w:tcW w:w="2394" w:type="dxa"/>
            <w:tcBorders>
              <w:top w:val="single" w:color="000000" w:sz="4" w:space="0"/>
              <w:left w:val="single" w:color="000000" w:sz="4" w:space="0"/>
              <w:bottom w:val="single" w:color="000000" w:sz="4" w:space="0"/>
              <w:right w:val="single" w:color="000000" w:sz="4" w:space="0"/>
            </w:tcBorders>
            <w:vAlign w:val="center"/>
          </w:tcPr>
          <w:p w14:paraId="2D65BEA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092" w:type="dxa"/>
            <w:tcBorders>
              <w:top w:val="single" w:color="000000" w:sz="4" w:space="0"/>
              <w:left w:val="single" w:color="000000" w:sz="4" w:space="0"/>
              <w:bottom w:val="single" w:color="000000" w:sz="4" w:space="0"/>
              <w:right w:val="single" w:color="000000" w:sz="4" w:space="0"/>
            </w:tcBorders>
            <w:vAlign w:val="center"/>
          </w:tcPr>
          <w:p w14:paraId="178C449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1500</w:t>
            </w:r>
          </w:p>
        </w:tc>
      </w:tr>
      <w:tr w14:paraId="398F1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7"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135C61E0">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2198" w:type="dxa"/>
            <w:gridSpan w:val="2"/>
            <w:tcBorders>
              <w:top w:val="single" w:color="000000" w:sz="4" w:space="0"/>
              <w:left w:val="single" w:color="000000" w:sz="4" w:space="0"/>
              <w:bottom w:val="single" w:color="000000" w:sz="4" w:space="0"/>
              <w:right w:val="single" w:color="000000" w:sz="4" w:space="0"/>
            </w:tcBorders>
            <w:vAlign w:val="center"/>
          </w:tcPr>
          <w:p w14:paraId="32C1B51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316" w:type="dxa"/>
            <w:tcBorders>
              <w:top w:val="single" w:color="000000" w:sz="4" w:space="0"/>
              <w:left w:val="single" w:color="000000" w:sz="4" w:space="0"/>
              <w:bottom w:val="single" w:color="000000" w:sz="4" w:space="0"/>
              <w:right w:val="single" w:color="000000" w:sz="4" w:space="0"/>
            </w:tcBorders>
            <w:vAlign w:val="center"/>
          </w:tcPr>
          <w:p w14:paraId="4E9C17D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c>
          <w:tcPr>
            <w:tcW w:w="2394" w:type="dxa"/>
            <w:tcBorders>
              <w:top w:val="single" w:color="000000" w:sz="4" w:space="0"/>
              <w:left w:val="single" w:color="000000" w:sz="4" w:space="0"/>
              <w:bottom w:val="single" w:color="000000" w:sz="4" w:space="0"/>
              <w:right w:val="single" w:color="000000" w:sz="4" w:space="0"/>
            </w:tcBorders>
            <w:vAlign w:val="center"/>
          </w:tcPr>
          <w:p w14:paraId="22043AD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092" w:type="dxa"/>
            <w:tcBorders>
              <w:top w:val="single" w:color="000000" w:sz="4" w:space="0"/>
              <w:left w:val="single" w:color="000000" w:sz="4" w:space="0"/>
              <w:bottom w:val="single" w:color="000000" w:sz="4" w:space="0"/>
              <w:right w:val="single" w:color="000000" w:sz="4" w:space="0"/>
            </w:tcBorders>
            <w:vAlign w:val="center"/>
          </w:tcPr>
          <w:p w14:paraId="382403A7">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r>
      <w:tr w14:paraId="744FA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660" w:type="dxa"/>
            <w:vMerge w:val="restart"/>
            <w:tcBorders>
              <w:top w:val="single" w:color="000000" w:sz="4" w:space="0"/>
              <w:left w:val="single" w:color="000000" w:sz="4" w:space="0"/>
              <w:bottom w:val="single" w:color="000000" w:sz="4" w:space="0"/>
              <w:right w:val="single" w:color="000000" w:sz="4" w:space="0"/>
            </w:tcBorders>
            <w:vAlign w:val="center"/>
          </w:tcPr>
          <w:p w14:paraId="0FB27C3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年度目标完成情况</w:t>
            </w: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041A0D8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预期目标</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0626166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实际完成目标</w:t>
            </w:r>
          </w:p>
        </w:tc>
      </w:tr>
      <w:tr w14:paraId="746A4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jc w:val="center"/>
        </w:trPr>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0BD84FB0">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4514" w:type="dxa"/>
            <w:gridSpan w:val="3"/>
            <w:tcBorders>
              <w:top w:val="single" w:color="000000" w:sz="4" w:space="0"/>
              <w:left w:val="single" w:color="000000" w:sz="4" w:space="0"/>
              <w:bottom w:val="single" w:color="000000" w:sz="4" w:space="0"/>
              <w:right w:val="single" w:color="000000" w:sz="4" w:space="0"/>
            </w:tcBorders>
            <w:vAlign w:val="center"/>
          </w:tcPr>
          <w:p w14:paraId="17BCA94C">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通过改扩建发热门诊（发热哨点）、改造疾控中心实验室，区人民医院、区中医院购置医疗设备，提高全区重大疫情防控救治能力、医疗服务能力、公共卫生防控和疾病预防控制能力、保障群众健康服务需求。</w:t>
            </w:r>
          </w:p>
        </w:tc>
        <w:tc>
          <w:tcPr>
            <w:tcW w:w="4486" w:type="dxa"/>
            <w:gridSpan w:val="2"/>
            <w:tcBorders>
              <w:top w:val="single" w:color="000000" w:sz="4" w:space="0"/>
              <w:left w:val="single" w:color="000000" w:sz="4" w:space="0"/>
              <w:bottom w:val="single" w:color="000000" w:sz="4" w:space="0"/>
              <w:right w:val="single" w:color="000000" w:sz="4" w:space="0"/>
            </w:tcBorders>
            <w:vAlign w:val="center"/>
          </w:tcPr>
          <w:p w14:paraId="7AF01CFC">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完成医疗机构业务用房改造和发热门诊（哨点）建设，完成疾控中心实验室建设，区人民医院、区中医院完成了医疗设施设备采购，项目实施以后，提高了全区重大疫情防控救治能力、医疗服务能力、公共卫生防控和疾病预防控制能力，保障群众健康服务需求。</w:t>
            </w:r>
          </w:p>
        </w:tc>
      </w:tr>
      <w:tr w14:paraId="273E4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jc w:val="center"/>
        </w:trPr>
        <w:tc>
          <w:tcPr>
            <w:tcW w:w="660" w:type="dxa"/>
            <w:vMerge w:val="restart"/>
            <w:tcBorders>
              <w:top w:val="single" w:color="000000" w:sz="4" w:space="0"/>
              <w:left w:val="single" w:color="000000" w:sz="4" w:space="0"/>
              <w:right w:val="single" w:color="000000" w:sz="4" w:space="0"/>
            </w:tcBorders>
            <w:vAlign w:val="center"/>
          </w:tcPr>
          <w:p w14:paraId="5A89101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2"/>
                <w:sz w:val="24"/>
                <w:szCs w:val="24"/>
                <w:lang w:val="en-US" w:eastAsia="zh-CN" w:bidi="ar-SA"/>
              </w:rPr>
              <w:t>绩效指标完成情况</w:t>
            </w:r>
          </w:p>
        </w:tc>
        <w:tc>
          <w:tcPr>
            <w:tcW w:w="1097" w:type="dxa"/>
            <w:tcBorders>
              <w:top w:val="single" w:color="000000" w:sz="4" w:space="0"/>
              <w:left w:val="single" w:color="000000" w:sz="4" w:space="0"/>
              <w:bottom w:val="single" w:color="000000" w:sz="4" w:space="0"/>
              <w:right w:val="single" w:color="000000" w:sz="4" w:space="0"/>
            </w:tcBorders>
            <w:vAlign w:val="center"/>
          </w:tcPr>
          <w:p w14:paraId="54BF10A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一级指标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794327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二级指标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9D86C5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三级指标</w:t>
            </w:r>
          </w:p>
        </w:tc>
        <w:tc>
          <w:tcPr>
            <w:tcW w:w="2394" w:type="dxa"/>
            <w:tcBorders>
              <w:top w:val="single" w:color="000000" w:sz="4" w:space="0"/>
              <w:left w:val="single" w:color="000000" w:sz="4" w:space="0"/>
              <w:bottom w:val="single" w:color="000000" w:sz="4" w:space="0"/>
              <w:right w:val="single" w:color="000000" w:sz="4" w:space="0"/>
            </w:tcBorders>
            <w:vAlign w:val="center"/>
          </w:tcPr>
          <w:p w14:paraId="1156BCF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预期指标值(包含数字及文字描述)</w:t>
            </w:r>
          </w:p>
        </w:tc>
        <w:tc>
          <w:tcPr>
            <w:tcW w:w="2092" w:type="dxa"/>
            <w:tcBorders>
              <w:top w:val="single" w:color="000000" w:sz="4" w:space="0"/>
              <w:left w:val="single" w:color="000000" w:sz="4" w:space="0"/>
              <w:bottom w:val="single" w:color="000000" w:sz="4" w:space="0"/>
              <w:right w:val="single" w:color="000000" w:sz="4" w:space="0"/>
            </w:tcBorders>
            <w:vAlign w:val="center"/>
          </w:tcPr>
          <w:p w14:paraId="3D5BD23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实际完成指标值(包含数字及文字描述)</w:t>
            </w:r>
          </w:p>
        </w:tc>
      </w:tr>
      <w:tr w14:paraId="0F7D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8" w:hRule="atLeast"/>
          <w:jc w:val="center"/>
        </w:trPr>
        <w:tc>
          <w:tcPr>
            <w:tcW w:w="660" w:type="dxa"/>
            <w:vMerge w:val="continue"/>
            <w:tcBorders>
              <w:left w:val="single" w:color="000000" w:sz="4" w:space="0"/>
              <w:right w:val="single" w:color="000000" w:sz="4" w:space="0"/>
            </w:tcBorders>
            <w:vAlign w:val="center"/>
          </w:tcPr>
          <w:p w14:paraId="42F063E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C7973E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6194A5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2F1D02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核酸检测实验室等重大疫情防控实验室建设数量(个)</w:t>
            </w:r>
          </w:p>
        </w:tc>
        <w:tc>
          <w:tcPr>
            <w:tcW w:w="2394" w:type="dxa"/>
            <w:tcBorders>
              <w:top w:val="single" w:color="000000" w:sz="4" w:space="0"/>
              <w:left w:val="single" w:color="000000" w:sz="4" w:space="0"/>
              <w:bottom w:val="single" w:color="000000" w:sz="4" w:space="0"/>
              <w:right w:val="single" w:color="000000" w:sz="4" w:space="0"/>
            </w:tcBorders>
            <w:vAlign w:val="center"/>
          </w:tcPr>
          <w:p w14:paraId="50CBF5A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w:t>
            </w:r>
          </w:p>
        </w:tc>
        <w:tc>
          <w:tcPr>
            <w:tcW w:w="2092" w:type="dxa"/>
            <w:tcBorders>
              <w:top w:val="single" w:color="000000" w:sz="4" w:space="0"/>
              <w:left w:val="single" w:color="000000" w:sz="4" w:space="0"/>
              <w:bottom w:val="single" w:color="000000" w:sz="4" w:space="0"/>
              <w:right w:val="single" w:color="000000" w:sz="4" w:space="0"/>
            </w:tcBorders>
            <w:vAlign w:val="center"/>
          </w:tcPr>
          <w:p w14:paraId="3F48739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w:t>
            </w:r>
          </w:p>
        </w:tc>
      </w:tr>
      <w:tr w14:paraId="48419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0E94A24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19A0179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DCDAFF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41E2B28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仪器设备采购数量（台）</w:t>
            </w:r>
          </w:p>
        </w:tc>
        <w:tc>
          <w:tcPr>
            <w:tcW w:w="2394" w:type="dxa"/>
            <w:tcBorders>
              <w:top w:val="single" w:color="000000" w:sz="4" w:space="0"/>
              <w:left w:val="single" w:color="000000" w:sz="4" w:space="0"/>
              <w:bottom w:val="single" w:color="000000" w:sz="4" w:space="0"/>
              <w:right w:val="single" w:color="000000" w:sz="4" w:space="0"/>
            </w:tcBorders>
            <w:vAlign w:val="center"/>
          </w:tcPr>
          <w:p w14:paraId="4DDA744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64</w:t>
            </w:r>
          </w:p>
        </w:tc>
        <w:tc>
          <w:tcPr>
            <w:tcW w:w="2092" w:type="dxa"/>
            <w:tcBorders>
              <w:top w:val="single" w:color="000000" w:sz="4" w:space="0"/>
              <w:left w:val="single" w:color="000000" w:sz="4" w:space="0"/>
              <w:bottom w:val="single" w:color="000000" w:sz="4" w:space="0"/>
              <w:right w:val="single" w:color="000000" w:sz="4" w:space="0"/>
            </w:tcBorders>
            <w:vAlign w:val="center"/>
          </w:tcPr>
          <w:p w14:paraId="03BA6B7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64</w:t>
            </w:r>
          </w:p>
        </w:tc>
      </w:tr>
      <w:tr w14:paraId="11FA1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5C8FF58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BAF117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08A39D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51DDAA4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物资（仪器、口罩、检测试剂等）采购数量（台/个/剂）</w:t>
            </w:r>
          </w:p>
        </w:tc>
        <w:tc>
          <w:tcPr>
            <w:tcW w:w="2394" w:type="dxa"/>
            <w:tcBorders>
              <w:top w:val="single" w:color="000000" w:sz="4" w:space="0"/>
              <w:left w:val="single" w:color="000000" w:sz="4" w:space="0"/>
              <w:bottom w:val="single" w:color="000000" w:sz="4" w:space="0"/>
              <w:right w:val="single" w:color="000000" w:sz="4" w:space="0"/>
            </w:tcBorders>
            <w:vAlign w:val="center"/>
          </w:tcPr>
          <w:p w14:paraId="2451E4D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14</w:t>
            </w:r>
          </w:p>
        </w:tc>
        <w:tc>
          <w:tcPr>
            <w:tcW w:w="2092" w:type="dxa"/>
            <w:tcBorders>
              <w:top w:val="single" w:color="000000" w:sz="4" w:space="0"/>
              <w:left w:val="single" w:color="000000" w:sz="4" w:space="0"/>
              <w:bottom w:val="single" w:color="000000" w:sz="4" w:space="0"/>
              <w:right w:val="single" w:color="000000" w:sz="4" w:space="0"/>
            </w:tcBorders>
            <w:vAlign w:val="center"/>
          </w:tcPr>
          <w:p w14:paraId="1B120DC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14</w:t>
            </w:r>
          </w:p>
        </w:tc>
      </w:tr>
      <w:tr w14:paraId="1C7CA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295D987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672058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AB7A34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E6A6A8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医院等医疗机构新建、改扩建门诊面积（平方米）</w:t>
            </w:r>
          </w:p>
        </w:tc>
        <w:tc>
          <w:tcPr>
            <w:tcW w:w="2394" w:type="dxa"/>
            <w:tcBorders>
              <w:top w:val="single" w:color="000000" w:sz="4" w:space="0"/>
              <w:left w:val="single" w:color="000000" w:sz="4" w:space="0"/>
              <w:bottom w:val="single" w:color="000000" w:sz="4" w:space="0"/>
              <w:right w:val="single" w:color="000000" w:sz="4" w:space="0"/>
            </w:tcBorders>
            <w:vAlign w:val="center"/>
          </w:tcPr>
          <w:p w14:paraId="0B0ECFB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5600</w:t>
            </w:r>
          </w:p>
        </w:tc>
        <w:tc>
          <w:tcPr>
            <w:tcW w:w="2092" w:type="dxa"/>
            <w:tcBorders>
              <w:top w:val="single" w:color="000000" w:sz="4" w:space="0"/>
              <w:left w:val="single" w:color="000000" w:sz="4" w:space="0"/>
              <w:bottom w:val="single" w:color="000000" w:sz="4" w:space="0"/>
              <w:right w:val="single" w:color="000000" w:sz="4" w:space="0"/>
            </w:tcBorders>
            <w:vAlign w:val="center"/>
          </w:tcPr>
          <w:p w14:paraId="58FA091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5600</w:t>
            </w:r>
          </w:p>
        </w:tc>
      </w:tr>
      <w:tr w14:paraId="15449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660" w:type="dxa"/>
            <w:vMerge w:val="continue"/>
            <w:tcBorders>
              <w:left w:val="single" w:color="000000" w:sz="4" w:space="0"/>
              <w:right w:val="single" w:color="000000" w:sz="4" w:space="0"/>
            </w:tcBorders>
            <w:vAlign w:val="center"/>
          </w:tcPr>
          <w:p w14:paraId="09B7E07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6BB28E3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16C44F0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7069DE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Times New Roman" w:hAnsi="Times New Roman" w:eastAsia="宋体"/>
                <w:b w:val="0"/>
                <w:i w:val="0"/>
                <w:caps w:val="0"/>
                <w:spacing w:val="0"/>
                <w:w w:val="100"/>
                <w:kern w:val="2"/>
                <w:sz w:val="21"/>
                <w:szCs w:val="24"/>
                <w:lang w:val="en-US" w:eastAsia="zh-CN" w:bidi="ar-SA"/>
              </w:rPr>
              <w:t>核酸检测人次（次）</w:t>
            </w:r>
          </w:p>
        </w:tc>
        <w:tc>
          <w:tcPr>
            <w:tcW w:w="2394" w:type="dxa"/>
            <w:tcBorders>
              <w:top w:val="single" w:color="000000" w:sz="4" w:space="0"/>
              <w:left w:val="single" w:color="000000" w:sz="4" w:space="0"/>
              <w:bottom w:val="single" w:color="000000" w:sz="4" w:space="0"/>
              <w:right w:val="single" w:color="000000" w:sz="4" w:space="0"/>
            </w:tcBorders>
            <w:vAlign w:val="center"/>
          </w:tcPr>
          <w:p w14:paraId="7466BC3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125039</w:t>
            </w:r>
          </w:p>
        </w:tc>
        <w:tc>
          <w:tcPr>
            <w:tcW w:w="2092" w:type="dxa"/>
            <w:tcBorders>
              <w:top w:val="single" w:color="000000" w:sz="4" w:space="0"/>
              <w:left w:val="single" w:color="000000" w:sz="4" w:space="0"/>
              <w:bottom w:val="single" w:color="000000" w:sz="4" w:space="0"/>
              <w:right w:val="single" w:color="000000" w:sz="4" w:space="0"/>
            </w:tcBorders>
            <w:vAlign w:val="center"/>
          </w:tcPr>
          <w:p w14:paraId="3D705A0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125039</w:t>
            </w:r>
          </w:p>
        </w:tc>
      </w:tr>
      <w:tr w14:paraId="51036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6787F42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480EADA">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B51B94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71CF63F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完工项目/采购项目验收合格率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2582343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c>
          <w:tcPr>
            <w:tcW w:w="2092" w:type="dxa"/>
            <w:tcBorders>
              <w:top w:val="single" w:color="000000" w:sz="4" w:space="0"/>
              <w:left w:val="single" w:color="000000" w:sz="4" w:space="0"/>
              <w:bottom w:val="single" w:color="000000" w:sz="4" w:space="0"/>
              <w:right w:val="single" w:color="000000" w:sz="4" w:space="0"/>
            </w:tcBorders>
            <w:vAlign w:val="center"/>
          </w:tcPr>
          <w:p w14:paraId="7DB986B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7890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4AEA3F4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99C93B8">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5F72F8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5C68AA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诊疗能力提升人次（人次）</w:t>
            </w:r>
          </w:p>
        </w:tc>
        <w:tc>
          <w:tcPr>
            <w:tcW w:w="2394" w:type="dxa"/>
            <w:tcBorders>
              <w:top w:val="single" w:color="000000" w:sz="4" w:space="0"/>
              <w:left w:val="single" w:color="000000" w:sz="4" w:space="0"/>
              <w:bottom w:val="single" w:color="000000" w:sz="4" w:space="0"/>
              <w:right w:val="single" w:color="000000" w:sz="4" w:space="0"/>
            </w:tcBorders>
            <w:vAlign w:val="center"/>
          </w:tcPr>
          <w:p w14:paraId="7277C5B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42969</w:t>
            </w:r>
          </w:p>
        </w:tc>
        <w:tc>
          <w:tcPr>
            <w:tcW w:w="2092" w:type="dxa"/>
            <w:tcBorders>
              <w:top w:val="single" w:color="000000" w:sz="4" w:space="0"/>
              <w:left w:val="single" w:color="000000" w:sz="4" w:space="0"/>
              <w:bottom w:val="single" w:color="000000" w:sz="4" w:space="0"/>
              <w:right w:val="single" w:color="000000" w:sz="4" w:space="0"/>
            </w:tcBorders>
            <w:vAlign w:val="center"/>
          </w:tcPr>
          <w:p w14:paraId="5F41970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42969</w:t>
            </w:r>
          </w:p>
        </w:tc>
      </w:tr>
      <w:tr w14:paraId="216F2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660" w:type="dxa"/>
            <w:vMerge w:val="continue"/>
            <w:tcBorders>
              <w:left w:val="single" w:color="000000" w:sz="4" w:space="0"/>
              <w:right w:val="single" w:color="000000" w:sz="4" w:space="0"/>
            </w:tcBorders>
            <w:vAlign w:val="center"/>
          </w:tcPr>
          <w:p w14:paraId="1EBEEA8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7D4EE446">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6EA5638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4D4292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收容隔离能力提升人次（人次）</w:t>
            </w:r>
          </w:p>
        </w:tc>
        <w:tc>
          <w:tcPr>
            <w:tcW w:w="2394" w:type="dxa"/>
            <w:tcBorders>
              <w:top w:val="single" w:color="000000" w:sz="4" w:space="0"/>
              <w:left w:val="single" w:color="000000" w:sz="4" w:space="0"/>
              <w:bottom w:val="single" w:color="000000" w:sz="4" w:space="0"/>
              <w:right w:val="single" w:color="000000" w:sz="4" w:space="0"/>
            </w:tcBorders>
            <w:vAlign w:val="center"/>
          </w:tcPr>
          <w:p w14:paraId="1AF879F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满足需要</w:t>
            </w:r>
          </w:p>
        </w:tc>
        <w:tc>
          <w:tcPr>
            <w:tcW w:w="2092" w:type="dxa"/>
            <w:tcBorders>
              <w:top w:val="single" w:color="000000" w:sz="4" w:space="0"/>
              <w:left w:val="single" w:color="000000" w:sz="4" w:space="0"/>
              <w:bottom w:val="single" w:color="000000" w:sz="4" w:space="0"/>
              <w:right w:val="single" w:color="000000" w:sz="4" w:space="0"/>
            </w:tcBorders>
            <w:vAlign w:val="center"/>
          </w:tcPr>
          <w:p w14:paraId="7853D6F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360</w:t>
            </w:r>
          </w:p>
        </w:tc>
      </w:tr>
      <w:tr w14:paraId="02AC0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660" w:type="dxa"/>
            <w:vMerge w:val="continue"/>
            <w:tcBorders>
              <w:left w:val="single" w:color="000000" w:sz="4" w:space="0"/>
              <w:right w:val="single" w:color="000000" w:sz="4" w:space="0"/>
            </w:tcBorders>
            <w:vAlign w:val="center"/>
          </w:tcPr>
          <w:p w14:paraId="578DA55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2299A5B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0792BA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社会效益指标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1EF3288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受益人数（万人）</w:t>
            </w:r>
          </w:p>
        </w:tc>
        <w:tc>
          <w:tcPr>
            <w:tcW w:w="2394" w:type="dxa"/>
            <w:tcBorders>
              <w:top w:val="single" w:color="000000" w:sz="4" w:space="0"/>
              <w:left w:val="single" w:color="000000" w:sz="4" w:space="0"/>
              <w:bottom w:val="single" w:color="000000" w:sz="4" w:space="0"/>
              <w:right w:val="single" w:color="000000" w:sz="4" w:space="0"/>
            </w:tcBorders>
            <w:vAlign w:val="center"/>
          </w:tcPr>
          <w:p w14:paraId="6B42F9D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24</w:t>
            </w:r>
          </w:p>
        </w:tc>
        <w:tc>
          <w:tcPr>
            <w:tcW w:w="2092" w:type="dxa"/>
            <w:tcBorders>
              <w:top w:val="single" w:color="000000" w:sz="4" w:space="0"/>
              <w:left w:val="single" w:color="000000" w:sz="4" w:space="0"/>
              <w:bottom w:val="single" w:color="000000" w:sz="4" w:space="0"/>
              <w:right w:val="single" w:color="000000" w:sz="4" w:space="0"/>
            </w:tcBorders>
            <w:vAlign w:val="center"/>
          </w:tcPr>
          <w:p w14:paraId="2D86A63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24</w:t>
            </w:r>
          </w:p>
        </w:tc>
      </w:tr>
      <w:tr w14:paraId="748C5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0" w:hRule="atLeast"/>
          <w:jc w:val="center"/>
        </w:trPr>
        <w:tc>
          <w:tcPr>
            <w:tcW w:w="660" w:type="dxa"/>
            <w:vMerge w:val="continue"/>
            <w:tcBorders>
              <w:left w:val="single" w:color="000000" w:sz="4" w:space="0"/>
              <w:right w:val="single" w:color="000000" w:sz="4" w:space="0"/>
            </w:tcBorders>
            <w:vAlign w:val="center"/>
          </w:tcPr>
          <w:p w14:paraId="201B974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1097" w:type="dxa"/>
            <w:tcBorders>
              <w:top w:val="single" w:color="000000" w:sz="4" w:space="0"/>
              <w:left w:val="single" w:color="000000" w:sz="4" w:space="0"/>
              <w:bottom w:val="single" w:color="000000" w:sz="4" w:space="0"/>
              <w:right w:val="single" w:color="000000" w:sz="4" w:space="0"/>
            </w:tcBorders>
            <w:vAlign w:val="center"/>
          </w:tcPr>
          <w:p w14:paraId="031D650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满意度指标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32F481D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服务对象</w:t>
            </w:r>
          </w:p>
          <w:p w14:paraId="40866B3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满意度指标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4B85B9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社会群体满意度</w:t>
            </w:r>
          </w:p>
        </w:tc>
        <w:tc>
          <w:tcPr>
            <w:tcW w:w="2394" w:type="dxa"/>
            <w:tcBorders>
              <w:top w:val="single" w:color="000000" w:sz="4" w:space="0"/>
              <w:left w:val="single" w:color="000000" w:sz="4" w:space="0"/>
              <w:bottom w:val="single" w:color="000000" w:sz="4" w:space="0"/>
              <w:right w:val="single" w:color="000000" w:sz="4" w:space="0"/>
            </w:tcBorders>
            <w:vAlign w:val="center"/>
          </w:tcPr>
          <w:p w14:paraId="48114B3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092" w:type="dxa"/>
            <w:tcBorders>
              <w:top w:val="single" w:color="000000" w:sz="4" w:space="0"/>
              <w:left w:val="single" w:color="000000" w:sz="4" w:space="0"/>
              <w:bottom w:val="single" w:color="000000" w:sz="4" w:space="0"/>
              <w:right w:val="single" w:color="000000" w:sz="4" w:space="0"/>
            </w:tcBorders>
            <w:vAlign w:val="center"/>
          </w:tcPr>
          <w:p w14:paraId="3B890A3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95%</w:t>
            </w:r>
          </w:p>
        </w:tc>
      </w:tr>
    </w:tbl>
    <w:p w14:paraId="5E6622FF">
      <w:pPr>
        <w:snapToGrid/>
        <w:spacing w:before="0" w:beforeAutospacing="0" w:after="0" w:afterAutospacing="0" w:line="580" w:lineRule="exact"/>
        <w:ind w:firstLine="480" w:firstLineChars="15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5）80岁以上高龄补贴项目绩效目标完成情况综述。项目全年预算数170万元，执行数为178.96万元，完成预算的105.27%。通过项目实施，弘扬了中华民族敬老爱老养老的传统美德，解决我区80岁以上高龄老人的基本生活困难，提高他们的生活质量，使老年事业与经济、社会协调发展，发现的主要问题：卡号收集不准确，支付不成功人数存在一定比例。下一步改进措施：细心工作，认真比对，争取增高支付成功率。</w:t>
      </w:r>
    </w:p>
    <w:tbl>
      <w:tblPr>
        <w:tblStyle w:val="7"/>
        <w:tblpPr w:leftFromText="180" w:rightFromText="180" w:vertAnchor="text" w:horzAnchor="page" w:tblpXSpec="center" w:tblpY="423"/>
        <w:tblOverlap w:val="never"/>
        <w:tblW w:w="99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70"/>
        <w:gridCol w:w="887"/>
        <w:gridCol w:w="1101"/>
        <w:gridCol w:w="2316"/>
        <w:gridCol w:w="2394"/>
        <w:gridCol w:w="2392"/>
      </w:tblGrid>
      <w:tr w14:paraId="5D006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vAlign w:val="center"/>
          </w:tcPr>
          <w:p w14:paraId="5E7995B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36"/>
                <w:szCs w:val="36"/>
                <w:lang w:val="en-US" w:eastAsia="zh-CN" w:bidi="ar-SA"/>
              </w:rPr>
            </w:pPr>
            <w:r>
              <w:rPr>
                <w:rStyle w:val="10"/>
                <w:rFonts w:ascii="宋体" w:hAnsi="宋体" w:cs="宋体"/>
                <w:b/>
                <w:bCs/>
                <w:i w:val="0"/>
                <w:caps w:val="0"/>
                <w:color w:val="000000"/>
                <w:spacing w:val="0"/>
                <w:w w:val="100"/>
                <w:kern w:val="0"/>
                <w:sz w:val="36"/>
                <w:szCs w:val="36"/>
                <w:lang w:val="en-US" w:eastAsia="zh-CN"/>
              </w:rPr>
              <w:t>项目绩效目标完成情况表</w:t>
            </w:r>
            <w:r>
              <w:rPr>
                <w:rStyle w:val="10"/>
                <w:rFonts w:ascii="宋体" w:cs="宋体"/>
                <w:b/>
                <w:bCs/>
                <w:i w:val="0"/>
                <w:caps w:val="0"/>
                <w:color w:val="000000"/>
                <w:spacing w:val="0"/>
                <w:w w:val="100"/>
                <w:kern w:val="0"/>
                <w:sz w:val="36"/>
                <w:szCs w:val="36"/>
                <w:lang w:val="en-US" w:eastAsia="zh-CN"/>
              </w:rPr>
              <w:br w:type="textWrapping"/>
            </w:r>
            <w:r>
              <w:rPr>
                <w:rStyle w:val="10"/>
                <w:rFonts w:ascii="宋体" w:hAnsi="宋体"/>
                <w:b w:val="0"/>
                <w:i w:val="0"/>
                <w:caps w:val="0"/>
                <w:color w:val="000000"/>
                <w:spacing w:val="0"/>
                <w:w w:val="100"/>
                <w:kern w:val="0"/>
                <w:sz w:val="36"/>
                <w:szCs w:val="36"/>
                <w:lang w:val="en-US" w:eastAsia="zh-CN"/>
              </w:rPr>
              <w:t>(2020年度)</w:t>
            </w:r>
          </w:p>
        </w:tc>
      </w:tr>
      <w:tr w14:paraId="0C580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3C01022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项目名称</w:t>
            </w:r>
          </w:p>
        </w:tc>
        <w:tc>
          <w:tcPr>
            <w:tcW w:w="7102" w:type="dxa"/>
            <w:gridSpan w:val="3"/>
            <w:tcBorders>
              <w:top w:val="single" w:color="000000" w:sz="4" w:space="0"/>
              <w:left w:val="single" w:color="000000" w:sz="4" w:space="0"/>
              <w:bottom w:val="single" w:color="000000" w:sz="4" w:space="0"/>
              <w:right w:val="single" w:color="000000" w:sz="4" w:space="0"/>
            </w:tcBorders>
            <w:vAlign w:val="center"/>
          </w:tcPr>
          <w:p w14:paraId="2A790F5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80岁以上高龄补贴</w:t>
            </w:r>
          </w:p>
        </w:tc>
      </w:tr>
      <w:tr w14:paraId="68F3D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2858" w:type="dxa"/>
            <w:gridSpan w:val="3"/>
            <w:tcBorders>
              <w:top w:val="single" w:color="000000" w:sz="4" w:space="0"/>
              <w:left w:val="single" w:color="000000" w:sz="4" w:space="0"/>
              <w:bottom w:val="single" w:color="000000" w:sz="4" w:space="0"/>
              <w:right w:val="single" w:color="000000" w:sz="4" w:space="0"/>
            </w:tcBorders>
            <w:vAlign w:val="center"/>
          </w:tcPr>
          <w:p w14:paraId="778A9B8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预算单位</w:t>
            </w:r>
          </w:p>
        </w:tc>
        <w:tc>
          <w:tcPr>
            <w:tcW w:w="7102" w:type="dxa"/>
            <w:gridSpan w:val="3"/>
            <w:tcBorders>
              <w:top w:val="single" w:color="000000" w:sz="4" w:space="0"/>
              <w:left w:val="single" w:color="000000" w:sz="4" w:space="0"/>
              <w:bottom w:val="single" w:color="000000" w:sz="4" w:space="0"/>
              <w:right w:val="single" w:color="000000" w:sz="4" w:space="0"/>
            </w:tcBorders>
            <w:vAlign w:val="center"/>
          </w:tcPr>
          <w:p w14:paraId="5CBDAC9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广元市昭化区卫生健康局</w:t>
            </w:r>
          </w:p>
        </w:tc>
      </w:tr>
      <w:tr w14:paraId="770E7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870" w:type="dxa"/>
            <w:vMerge w:val="restart"/>
            <w:tcBorders>
              <w:top w:val="single" w:color="000000" w:sz="4" w:space="0"/>
              <w:left w:val="single" w:color="000000" w:sz="4" w:space="0"/>
              <w:bottom w:val="single" w:color="000000" w:sz="4" w:space="0"/>
              <w:right w:val="single" w:color="000000" w:sz="4" w:space="0"/>
            </w:tcBorders>
            <w:vAlign w:val="center"/>
          </w:tcPr>
          <w:p w14:paraId="467FE1E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预算执行情况(万元)</w:t>
            </w:r>
          </w:p>
        </w:tc>
        <w:tc>
          <w:tcPr>
            <w:tcW w:w="1988" w:type="dxa"/>
            <w:gridSpan w:val="2"/>
            <w:tcBorders>
              <w:top w:val="single" w:color="000000" w:sz="4" w:space="0"/>
              <w:left w:val="single" w:color="000000" w:sz="4" w:space="0"/>
              <w:bottom w:val="single" w:color="000000" w:sz="4" w:space="0"/>
              <w:right w:val="single" w:color="000000" w:sz="4" w:space="0"/>
            </w:tcBorders>
            <w:vAlign w:val="center"/>
          </w:tcPr>
          <w:p w14:paraId="67D7911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预算数:</w:t>
            </w:r>
          </w:p>
        </w:tc>
        <w:tc>
          <w:tcPr>
            <w:tcW w:w="2316" w:type="dxa"/>
            <w:tcBorders>
              <w:top w:val="single" w:color="000000" w:sz="4" w:space="0"/>
              <w:left w:val="single" w:color="000000" w:sz="4" w:space="0"/>
              <w:bottom w:val="single" w:color="000000" w:sz="4" w:space="0"/>
              <w:right w:val="single" w:color="000000" w:sz="4" w:space="0"/>
            </w:tcBorders>
            <w:vAlign w:val="center"/>
          </w:tcPr>
          <w:p w14:paraId="47E532F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170</w:t>
            </w:r>
          </w:p>
        </w:tc>
        <w:tc>
          <w:tcPr>
            <w:tcW w:w="2394" w:type="dxa"/>
            <w:tcBorders>
              <w:top w:val="single" w:color="000000" w:sz="4" w:space="0"/>
              <w:left w:val="single" w:color="000000" w:sz="4" w:space="0"/>
              <w:bottom w:val="single" w:color="000000" w:sz="4" w:space="0"/>
              <w:right w:val="single" w:color="000000" w:sz="4" w:space="0"/>
            </w:tcBorders>
            <w:vAlign w:val="center"/>
          </w:tcPr>
          <w:p w14:paraId="2511EEE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执行数:</w:t>
            </w:r>
          </w:p>
        </w:tc>
        <w:tc>
          <w:tcPr>
            <w:tcW w:w="2392" w:type="dxa"/>
            <w:tcBorders>
              <w:top w:val="single" w:color="000000" w:sz="4" w:space="0"/>
              <w:left w:val="single" w:color="000000" w:sz="4" w:space="0"/>
              <w:bottom w:val="single" w:color="000000" w:sz="4" w:space="0"/>
              <w:right w:val="single" w:color="000000" w:sz="4" w:space="0"/>
            </w:tcBorders>
            <w:vAlign w:val="center"/>
          </w:tcPr>
          <w:p w14:paraId="15C10EE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178.96</w:t>
            </w:r>
          </w:p>
        </w:tc>
      </w:tr>
      <w:tr w14:paraId="15F3E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vAlign w:val="center"/>
          </w:tcPr>
          <w:p w14:paraId="45EE5282">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1988" w:type="dxa"/>
            <w:gridSpan w:val="2"/>
            <w:tcBorders>
              <w:top w:val="single" w:color="000000" w:sz="4" w:space="0"/>
              <w:left w:val="single" w:color="000000" w:sz="4" w:space="0"/>
              <w:bottom w:val="single" w:color="000000" w:sz="4" w:space="0"/>
              <w:right w:val="single" w:color="000000" w:sz="4" w:space="0"/>
            </w:tcBorders>
            <w:vAlign w:val="center"/>
          </w:tcPr>
          <w:p w14:paraId="0EF74C6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316" w:type="dxa"/>
            <w:tcBorders>
              <w:top w:val="single" w:color="000000" w:sz="4" w:space="0"/>
              <w:left w:val="single" w:color="000000" w:sz="4" w:space="0"/>
              <w:bottom w:val="single" w:color="000000" w:sz="4" w:space="0"/>
              <w:right w:val="single" w:color="000000" w:sz="4" w:space="0"/>
            </w:tcBorders>
            <w:vAlign w:val="center"/>
          </w:tcPr>
          <w:p w14:paraId="48E3D55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170</w:t>
            </w:r>
          </w:p>
        </w:tc>
        <w:tc>
          <w:tcPr>
            <w:tcW w:w="2394" w:type="dxa"/>
            <w:tcBorders>
              <w:top w:val="single" w:color="000000" w:sz="4" w:space="0"/>
              <w:left w:val="single" w:color="000000" w:sz="4" w:space="0"/>
              <w:bottom w:val="single" w:color="000000" w:sz="4" w:space="0"/>
              <w:right w:val="single" w:color="000000" w:sz="4" w:space="0"/>
            </w:tcBorders>
            <w:vAlign w:val="center"/>
          </w:tcPr>
          <w:p w14:paraId="7745081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其中</w:t>
            </w:r>
            <w:r>
              <w:rPr>
                <w:rStyle w:val="10"/>
                <w:rFonts w:ascii="宋体"/>
                <w:b w:val="0"/>
                <w:i w:val="0"/>
                <w:caps w:val="0"/>
                <w:color w:val="000000"/>
                <w:spacing w:val="0"/>
                <w:w w:val="100"/>
                <w:kern w:val="0"/>
                <w:sz w:val="24"/>
                <w:szCs w:val="24"/>
                <w:lang w:val="en-US" w:eastAsia="zh-CN"/>
              </w:rPr>
              <w:t>-</w:t>
            </w:r>
            <w:r>
              <w:rPr>
                <w:rStyle w:val="10"/>
                <w:rFonts w:ascii="宋体" w:hAnsi="宋体"/>
                <w:b w:val="0"/>
                <w:i w:val="0"/>
                <w:caps w:val="0"/>
                <w:color w:val="000000"/>
                <w:spacing w:val="0"/>
                <w:w w:val="100"/>
                <w:kern w:val="0"/>
                <w:sz w:val="24"/>
                <w:szCs w:val="24"/>
                <w:lang w:val="en-US" w:eastAsia="zh-CN"/>
              </w:rPr>
              <w:t>财政拨款:</w:t>
            </w:r>
          </w:p>
        </w:tc>
        <w:tc>
          <w:tcPr>
            <w:tcW w:w="2392" w:type="dxa"/>
            <w:tcBorders>
              <w:top w:val="single" w:color="000000" w:sz="4" w:space="0"/>
              <w:left w:val="single" w:color="000000" w:sz="4" w:space="0"/>
              <w:bottom w:val="single" w:color="000000" w:sz="4" w:space="0"/>
              <w:right w:val="single" w:color="000000" w:sz="4" w:space="0"/>
            </w:tcBorders>
            <w:vAlign w:val="center"/>
          </w:tcPr>
          <w:p w14:paraId="63726B0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178.96</w:t>
            </w:r>
          </w:p>
        </w:tc>
      </w:tr>
      <w:tr w14:paraId="6F862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vAlign w:val="center"/>
          </w:tcPr>
          <w:p w14:paraId="74372CB8">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1988" w:type="dxa"/>
            <w:gridSpan w:val="2"/>
            <w:tcBorders>
              <w:top w:val="single" w:color="000000" w:sz="4" w:space="0"/>
              <w:left w:val="single" w:color="000000" w:sz="4" w:space="0"/>
              <w:bottom w:val="single" w:color="000000" w:sz="4" w:space="0"/>
              <w:right w:val="single" w:color="000000" w:sz="4" w:space="0"/>
            </w:tcBorders>
            <w:vAlign w:val="center"/>
          </w:tcPr>
          <w:p w14:paraId="4D1BE17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316" w:type="dxa"/>
            <w:tcBorders>
              <w:top w:val="single" w:color="000000" w:sz="4" w:space="0"/>
              <w:left w:val="single" w:color="000000" w:sz="4" w:space="0"/>
              <w:bottom w:val="single" w:color="000000" w:sz="4" w:space="0"/>
              <w:right w:val="single" w:color="000000" w:sz="4" w:space="0"/>
            </w:tcBorders>
            <w:vAlign w:val="center"/>
          </w:tcPr>
          <w:p w14:paraId="1A99EDA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c>
          <w:tcPr>
            <w:tcW w:w="2394" w:type="dxa"/>
            <w:tcBorders>
              <w:top w:val="single" w:color="000000" w:sz="4" w:space="0"/>
              <w:left w:val="single" w:color="000000" w:sz="4" w:space="0"/>
              <w:bottom w:val="single" w:color="000000" w:sz="4" w:space="0"/>
              <w:right w:val="single" w:color="000000" w:sz="4" w:space="0"/>
            </w:tcBorders>
            <w:vAlign w:val="center"/>
          </w:tcPr>
          <w:p w14:paraId="2AF84BB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其他资金:</w:t>
            </w:r>
          </w:p>
        </w:tc>
        <w:tc>
          <w:tcPr>
            <w:tcW w:w="2392" w:type="dxa"/>
            <w:tcBorders>
              <w:top w:val="single" w:color="000000" w:sz="4" w:space="0"/>
              <w:left w:val="single" w:color="000000" w:sz="4" w:space="0"/>
              <w:bottom w:val="single" w:color="000000" w:sz="4" w:space="0"/>
              <w:right w:val="single" w:color="000000" w:sz="4" w:space="0"/>
            </w:tcBorders>
            <w:vAlign w:val="center"/>
          </w:tcPr>
          <w:p w14:paraId="0F2532B9">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无</w:t>
            </w:r>
          </w:p>
        </w:tc>
      </w:tr>
      <w:tr w14:paraId="61D69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jc w:val="center"/>
        </w:trPr>
        <w:tc>
          <w:tcPr>
            <w:tcW w:w="870" w:type="dxa"/>
            <w:vMerge w:val="restart"/>
            <w:tcBorders>
              <w:top w:val="single" w:color="000000" w:sz="4" w:space="0"/>
              <w:left w:val="single" w:color="000000" w:sz="4" w:space="0"/>
              <w:bottom w:val="single" w:color="000000" w:sz="4" w:space="0"/>
              <w:right w:val="single" w:color="000000" w:sz="4" w:space="0"/>
            </w:tcBorders>
            <w:vAlign w:val="center"/>
          </w:tcPr>
          <w:p w14:paraId="17F8C61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年度目标完成情况</w:t>
            </w:r>
          </w:p>
        </w:tc>
        <w:tc>
          <w:tcPr>
            <w:tcW w:w="4304" w:type="dxa"/>
            <w:gridSpan w:val="3"/>
            <w:tcBorders>
              <w:top w:val="single" w:color="000000" w:sz="4" w:space="0"/>
              <w:left w:val="single" w:color="000000" w:sz="4" w:space="0"/>
              <w:bottom w:val="single" w:color="000000" w:sz="4" w:space="0"/>
              <w:right w:val="single" w:color="000000" w:sz="4" w:space="0"/>
            </w:tcBorders>
            <w:vAlign w:val="center"/>
          </w:tcPr>
          <w:p w14:paraId="53AA390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预期目标</w:t>
            </w:r>
          </w:p>
        </w:tc>
        <w:tc>
          <w:tcPr>
            <w:tcW w:w="4786" w:type="dxa"/>
            <w:gridSpan w:val="2"/>
            <w:tcBorders>
              <w:top w:val="single" w:color="000000" w:sz="4" w:space="0"/>
              <w:left w:val="single" w:color="000000" w:sz="4" w:space="0"/>
              <w:bottom w:val="single" w:color="000000" w:sz="4" w:space="0"/>
              <w:right w:val="single" w:color="000000" w:sz="4" w:space="0"/>
            </w:tcBorders>
            <w:vAlign w:val="center"/>
          </w:tcPr>
          <w:p w14:paraId="7732075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实际完成目标</w:t>
            </w:r>
          </w:p>
        </w:tc>
      </w:tr>
      <w:tr w14:paraId="67165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9" w:hRule="atLeast"/>
          <w:jc w:val="center"/>
        </w:trPr>
        <w:tc>
          <w:tcPr>
            <w:tcW w:w="870" w:type="dxa"/>
            <w:vMerge w:val="continue"/>
            <w:tcBorders>
              <w:top w:val="single" w:color="000000" w:sz="4" w:space="0"/>
              <w:left w:val="single" w:color="000000" w:sz="4" w:space="0"/>
              <w:bottom w:val="single" w:color="000000" w:sz="4" w:space="0"/>
              <w:right w:val="single" w:color="000000" w:sz="4" w:space="0"/>
            </w:tcBorders>
            <w:vAlign w:val="center"/>
          </w:tcPr>
          <w:p w14:paraId="3C177BE9">
            <w:pPr>
              <w:snapToGrid/>
              <w:spacing w:before="0" w:beforeAutospacing="0" w:after="0" w:afterAutospacing="0" w:line="240" w:lineRule="auto"/>
              <w:jc w:val="center"/>
              <w:textAlignment w:val="baseline"/>
              <w:rPr>
                <w:rStyle w:val="10"/>
                <w:rFonts w:ascii="宋体"/>
                <w:b w:val="0"/>
                <w:i w:val="0"/>
                <w:caps w:val="0"/>
                <w:color w:val="000000"/>
                <w:spacing w:val="0"/>
                <w:w w:val="100"/>
                <w:kern w:val="2"/>
                <w:sz w:val="24"/>
                <w:szCs w:val="24"/>
                <w:lang w:val="en-US" w:eastAsia="zh-CN" w:bidi="ar-SA"/>
              </w:rPr>
            </w:pPr>
          </w:p>
        </w:tc>
        <w:tc>
          <w:tcPr>
            <w:tcW w:w="4304" w:type="dxa"/>
            <w:gridSpan w:val="3"/>
            <w:tcBorders>
              <w:top w:val="single" w:color="000000" w:sz="4" w:space="0"/>
              <w:left w:val="single" w:color="000000" w:sz="4" w:space="0"/>
              <w:bottom w:val="single" w:color="000000" w:sz="4" w:space="0"/>
              <w:right w:val="single" w:color="000000" w:sz="4" w:space="0"/>
            </w:tcBorders>
            <w:vAlign w:val="center"/>
          </w:tcPr>
          <w:p w14:paraId="34B5216F">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弘扬中华民族敬老爱老养老的传统美德，解决我区80岁以上高龄老人的基本生活困难，提高他们的生活质量，使老年事业与经济、社会协调发展，对全区年满80岁以上老人每人每月补助30元，年满90岁以上老人每人每月补助100元，年满100岁以上老人每人每月300元。</w:t>
            </w:r>
          </w:p>
        </w:tc>
        <w:tc>
          <w:tcPr>
            <w:tcW w:w="4786" w:type="dxa"/>
            <w:gridSpan w:val="2"/>
            <w:tcBorders>
              <w:top w:val="single" w:color="000000" w:sz="4" w:space="0"/>
              <w:left w:val="single" w:color="000000" w:sz="4" w:space="0"/>
              <w:bottom w:val="single" w:color="000000" w:sz="4" w:space="0"/>
              <w:right w:val="single" w:color="000000" w:sz="4" w:space="0"/>
            </w:tcBorders>
            <w:vAlign w:val="center"/>
          </w:tcPr>
          <w:p w14:paraId="75739428">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对全区符合条件的80岁以上老人进行资格审查后，按标准按季度兑现补助。</w:t>
            </w:r>
          </w:p>
          <w:p w14:paraId="7CDA52C3">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p>
          <w:p w14:paraId="7A56F319">
            <w:pPr>
              <w:widowControl/>
              <w:snapToGrid/>
              <w:spacing w:before="0" w:beforeAutospacing="0" w:after="0" w:afterAutospacing="0" w:line="240" w:lineRule="auto"/>
              <w:jc w:val="left"/>
              <w:textAlignment w:val="center"/>
              <w:rPr>
                <w:rStyle w:val="10"/>
                <w:rFonts w:ascii="宋体"/>
                <w:b w:val="0"/>
                <w:i w:val="0"/>
                <w:caps w:val="0"/>
                <w:color w:val="000000"/>
                <w:spacing w:val="0"/>
                <w:w w:val="100"/>
                <w:kern w:val="2"/>
                <w:sz w:val="24"/>
                <w:szCs w:val="24"/>
                <w:lang w:val="en-US" w:eastAsia="zh-CN" w:bidi="ar-SA"/>
              </w:rPr>
            </w:pPr>
          </w:p>
        </w:tc>
      </w:tr>
      <w:tr w14:paraId="550A7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jc w:val="center"/>
        </w:trPr>
        <w:tc>
          <w:tcPr>
            <w:tcW w:w="870" w:type="dxa"/>
            <w:vMerge w:val="restart"/>
            <w:tcBorders>
              <w:top w:val="single" w:color="000000" w:sz="4" w:space="0"/>
              <w:left w:val="single" w:color="000000" w:sz="4" w:space="0"/>
              <w:right w:val="single" w:color="000000" w:sz="4" w:space="0"/>
            </w:tcBorders>
            <w:vAlign w:val="center"/>
          </w:tcPr>
          <w:p w14:paraId="08FE2BF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2"/>
                <w:sz w:val="24"/>
                <w:szCs w:val="24"/>
                <w:lang w:val="en-US" w:eastAsia="zh-CN" w:bidi="ar-SA"/>
              </w:rPr>
              <w:t>绩效指标完成情况</w:t>
            </w:r>
          </w:p>
        </w:tc>
        <w:tc>
          <w:tcPr>
            <w:tcW w:w="887" w:type="dxa"/>
            <w:tcBorders>
              <w:top w:val="single" w:color="000000" w:sz="4" w:space="0"/>
              <w:left w:val="single" w:color="000000" w:sz="4" w:space="0"/>
              <w:bottom w:val="single" w:color="000000" w:sz="4" w:space="0"/>
              <w:right w:val="single" w:color="000000" w:sz="4" w:space="0"/>
            </w:tcBorders>
            <w:vAlign w:val="center"/>
          </w:tcPr>
          <w:p w14:paraId="663FA44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一级指标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CC71DA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二级指标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5036AE3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三级指标</w:t>
            </w:r>
          </w:p>
        </w:tc>
        <w:tc>
          <w:tcPr>
            <w:tcW w:w="2394" w:type="dxa"/>
            <w:tcBorders>
              <w:top w:val="single" w:color="000000" w:sz="4" w:space="0"/>
              <w:left w:val="single" w:color="000000" w:sz="4" w:space="0"/>
              <w:bottom w:val="single" w:color="000000" w:sz="4" w:space="0"/>
              <w:right w:val="single" w:color="000000" w:sz="4" w:space="0"/>
            </w:tcBorders>
            <w:vAlign w:val="center"/>
          </w:tcPr>
          <w:p w14:paraId="612B7EB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vAlign w:val="center"/>
          </w:tcPr>
          <w:p w14:paraId="031B560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实际完成指标值(包含数字及文字描述)</w:t>
            </w:r>
          </w:p>
        </w:tc>
      </w:tr>
      <w:tr w14:paraId="77E7B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8" w:hRule="atLeast"/>
          <w:jc w:val="center"/>
        </w:trPr>
        <w:tc>
          <w:tcPr>
            <w:tcW w:w="870" w:type="dxa"/>
            <w:vMerge w:val="continue"/>
            <w:tcBorders>
              <w:left w:val="single" w:color="000000" w:sz="4" w:space="0"/>
              <w:right w:val="single" w:color="000000" w:sz="4" w:space="0"/>
            </w:tcBorders>
            <w:vAlign w:val="center"/>
          </w:tcPr>
          <w:p w14:paraId="59732D6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20DDA02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A271E1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2129E9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80岁以上老人</w:t>
            </w:r>
          </w:p>
        </w:tc>
        <w:tc>
          <w:tcPr>
            <w:tcW w:w="2394" w:type="dxa"/>
            <w:tcBorders>
              <w:top w:val="single" w:color="000000" w:sz="4" w:space="0"/>
              <w:left w:val="single" w:color="000000" w:sz="4" w:space="0"/>
              <w:bottom w:val="single" w:color="000000" w:sz="4" w:space="0"/>
              <w:right w:val="single" w:color="000000" w:sz="4" w:space="0"/>
            </w:tcBorders>
            <w:vAlign w:val="center"/>
          </w:tcPr>
          <w:p w14:paraId="79725D3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4176人</w:t>
            </w:r>
          </w:p>
        </w:tc>
        <w:tc>
          <w:tcPr>
            <w:tcW w:w="2392" w:type="dxa"/>
            <w:tcBorders>
              <w:top w:val="single" w:color="000000" w:sz="4" w:space="0"/>
              <w:left w:val="single" w:color="000000" w:sz="4" w:space="0"/>
              <w:bottom w:val="single" w:color="000000" w:sz="4" w:space="0"/>
              <w:right w:val="single" w:color="000000" w:sz="4" w:space="0"/>
            </w:tcBorders>
            <w:vAlign w:val="center"/>
          </w:tcPr>
          <w:p w14:paraId="2BAE1A6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4176人</w:t>
            </w:r>
          </w:p>
        </w:tc>
      </w:tr>
      <w:tr w14:paraId="02E6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870" w:type="dxa"/>
            <w:vMerge w:val="continue"/>
            <w:tcBorders>
              <w:left w:val="single" w:color="000000" w:sz="4" w:space="0"/>
              <w:right w:val="single" w:color="000000" w:sz="4" w:space="0"/>
            </w:tcBorders>
            <w:vAlign w:val="center"/>
          </w:tcPr>
          <w:p w14:paraId="5F86311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700C5FD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33D257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00C0969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90岁以上老人</w:t>
            </w:r>
          </w:p>
        </w:tc>
        <w:tc>
          <w:tcPr>
            <w:tcW w:w="2394" w:type="dxa"/>
            <w:tcBorders>
              <w:top w:val="single" w:color="000000" w:sz="4" w:space="0"/>
              <w:left w:val="single" w:color="000000" w:sz="4" w:space="0"/>
              <w:bottom w:val="single" w:color="000000" w:sz="4" w:space="0"/>
              <w:right w:val="single" w:color="000000" w:sz="4" w:space="0"/>
            </w:tcBorders>
            <w:vAlign w:val="center"/>
          </w:tcPr>
          <w:p w14:paraId="6017A02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340人</w:t>
            </w:r>
          </w:p>
        </w:tc>
        <w:tc>
          <w:tcPr>
            <w:tcW w:w="2392" w:type="dxa"/>
            <w:tcBorders>
              <w:top w:val="single" w:color="000000" w:sz="4" w:space="0"/>
              <w:left w:val="single" w:color="000000" w:sz="4" w:space="0"/>
              <w:bottom w:val="single" w:color="000000" w:sz="4" w:space="0"/>
              <w:right w:val="single" w:color="000000" w:sz="4" w:space="0"/>
            </w:tcBorders>
            <w:vAlign w:val="center"/>
          </w:tcPr>
          <w:p w14:paraId="008E747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340人</w:t>
            </w:r>
          </w:p>
        </w:tc>
      </w:tr>
      <w:tr w14:paraId="35439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2" w:hRule="atLeast"/>
          <w:jc w:val="center"/>
        </w:trPr>
        <w:tc>
          <w:tcPr>
            <w:tcW w:w="870" w:type="dxa"/>
            <w:vMerge w:val="continue"/>
            <w:tcBorders>
              <w:left w:val="single" w:color="000000" w:sz="4" w:space="0"/>
              <w:right w:val="single" w:color="000000" w:sz="4" w:space="0"/>
            </w:tcBorders>
            <w:vAlign w:val="center"/>
          </w:tcPr>
          <w:p w14:paraId="4C4DEAA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4BACBA6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CF6B8C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数量指标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9E27FD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100岁以上老人</w:t>
            </w:r>
          </w:p>
        </w:tc>
        <w:tc>
          <w:tcPr>
            <w:tcW w:w="2394" w:type="dxa"/>
            <w:tcBorders>
              <w:top w:val="single" w:color="000000" w:sz="4" w:space="0"/>
              <w:left w:val="single" w:color="000000" w:sz="4" w:space="0"/>
              <w:bottom w:val="single" w:color="000000" w:sz="4" w:space="0"/>
              <w:right w:val="single" w:color="000000" w:sz="4" w:space="0"/>
            </w:tcBorders>
            <w:vAlign w:val="center"/>
          </w:tcPr>
          <w:p w14:paraId="7316F47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3人</w:t>
            </w:r>
          </w:p>
        </w:tc>
        <w:tc>
          <w:tcPr>
            <w:tcW w:w="2392" w:type="dxa"/>
            <w:tcBorders>
              <w:top w:val="single" w:color="000000" w:sz="4" w:space="0"/>
              <w:left w:val="single" w:color="000000" w:sz="4" w:space="0"/>
              <w:bottom w:val="single" w:color="000000" w:sz="4" w:space="0"/>
              <w:right w:val="single" w:color="000000" w:sz="4" w:space="0"/>
            </w:tcBorders>
            <w:vAlign w:val="center"/>
          </w:tcPr>
          <w:p w14:paraId="6A42197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3人</w:t>
            </w:r>
          </w:p>
        </w:tc>
      </w:tr>
      <w:tr w14:paraId="1D8EE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7" w:hRule="atLeast"/>
          <w:jc w:val="center"/>
        </w:trPr>
        <w:tc>
          <w:tcPr>
            <w:tcW w:w="870" w:type="dxa"/>
            <w:vMerge w:val="continue"/>
            <w:tcBorders>
              <w:left w:val="single" w:color="000000" w:sz="4" w:space="0"/>
              <w:right w:val="single" w:color="000000" w:sz="4" w:space="0"/>
            </w:tcBorders>
            <w:vAlign w:val="center"/>
          </w:tcPr>
          <w:p w14:paraId="02408BC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7F71524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1F1E99BB">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质量指标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206A209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按政策、法律、法规确认对象资格</w:t>
            </w:r>
          </w:p>
        </w:tc>
        <w:tc>
          <w:tcPr>
            <w:tcW w:w="2394" w:type="dxa"/>
            <w:tcBorders>
              <w:top w:val="single" w:color="000000" w:sz="4" w:space="0"/>
              <w:left w:val="single" w:color="000000" w:sz="4" w:space="0"/>
              <w:bottom w:val="single" w:color="000000" w:sz="4" w:space="0"/>
              <w:right w:val="single" w:color="000000" w:sz="4" w:space="0"/>
            </w:tcBorders>
            <w:vAlign w:val="center"/>
          </w:tcPr>
          <w:p w14:paraId="10D39C6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c>
          <w:tcPr>
            <w:tcW w:w="2392" w:type="dxa"/>
            <w:tcBorders>
              <w:top w:val="single" w:color="000000" w:sz="4" w:space="0"/>
              <w:left w:val="single" w:color="000000" w:sz="4" w:space="0"/>
              <w:bottom w:val="single" w:color="000000" w:sz="4" w:space="0"/>
              <w:right w:val="single" w:color="000000" w:sz="4" w:space="0"/>
            </w:tcBorders>
            <w:vAlign w:val="center"/>
          </w:tcPr>
          <w:p w14:paraId="09D6284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7F9EB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7" w:hRule="atLeast"/>
          <w:jc w:val="center"/>
        </w:trPr>
        <w:tc>
          <w:tcPr>
            <w:tcW w:w="870" w:type="dxa"/>
            <w:vMerge w:val="continue"/>
            <w:tcBorders>
              <w:left w:val="single" w:color="000000" w:sz="4" w:space="0"/>
              <w:right w:val="single" w:color="000000" w:sz="4" w:space="0"/>
            </w:tcBorders>
            <w:vAlign w:val="center"/>
          </w:tcPr>
          <w:p w14:paraId="10DF83C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7242B15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ADAFDC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时效指标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1CE6F85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资金到位率</w:t>
            </w:r>
          </w:p>
        </w:tc>
        <w:tc>
          <w:tcPr>
            <w:tcW w:w="2394" w:type="dxa"/>
            <w:tcBorders>
              <w:top w:val="single" w:color="000000" w:sz="4" w:space="0"/>
              <w:left w:val="single" w:color="000000" w:sz="4" w:space="0"/>
              <w:bottom w:val="single" w:color="000000" w:sz="4" w:space="0"/>
              <w:right w:val="single" w:color="000000" w:sz="4" w:space="0"/>
            </w:tcBorders>
            <w:vAlign w:val="center"/>
          </w:tcPr>
          <w:p w14:paraId="450C5E6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c>
          <w:tcPr>
            <w:tcW w:w="2392" w:type="dxa"/>
            <w:tcBorders>
              <w:top w:val="single" w:color="000000" w:sz="4" w:space="0"/>
              <w:left w:val="single" w:color="000000" w:sz="4" w:space="0"/>
              <w:bottom w:val="single" w:color="000000" w:sz="4" w:space="0"/>
              <w:right w:val="single" w:color="000000" w:sz="4" w:space="0"/>
            </w:tcBorders>
            <w:vAlign w:val="center"/>
          </w:tcPr>
          <w:p w14:paraId="3D6453E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w:t>
            </w:r>
          </w:p>
        </w:tc>
      </w:tr>
      <w:tr w14:paraId="331C6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 w:hRule="atLeast"/>
          <w:jc w:val="center"/>
        </w:trPr>
        <w:tc>
          <w:tcPr>
            <w:tcW w:w="870" w:type="dxa"/>
            <w:vMerge w:val="continue"/>
            <w:tcBorders>
              <w:left w:val="single" w:color="000000" w:sz="4" w:space="0"/>
              <w:right w:val="single" w:color="000000" w:sz="4" w:space="0"/>
            </w:tcBorders>
            <w:vAlign w:val="center"/>
          </w:tcPr>
          <w:p w14:paraId="353E625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76370D7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54247B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时效指标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4D3E950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及时兑现打卡支付</w:t>
            </w:r>
          </w:p>
        </w:tc>
        <w:tc>
          <w:tcPr>
            <w:tcW w:w="2394" w:type="dxa"/>
            <w:tcBorders>
              <w:top w:val="single" w:color="000000" w:sz="4" w:space="0"/>
              <w:left w:val="single" w:color="000000" w:sz="4" w:space="0"/>
              <w:bottom w:val="single" w:color="000000" w:sz="4" w:space="0"/>
              <w:right w:val="single" w:color="000000" w:sz="4" w:space="0"/>
            </w:tcBorders>
            <w:vAlign w:val="center"/>
          </w:tcPr>
          <w:p w14:paraId="67A1654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12月底前</w:t>
            </w:r>
          </w:p>
        </w:tc>
        <w:tc>
          <w:tcPr>
            <w:tcW w:w="2392" w:type="dxa"/>
            <w:tcBorders>
              <w:top w:val="single" w:color="000000" w:sz="4" w:space="0"/>
              <w:left w:val="single" w:color="000000" w:sz="4" w:space="0"/>
              <w:bottom w:val="single" w:color="000000" w:sz="4" w:space="0"/>
              <w:right w:val="single" w:color="000000" w:sz="4" w:space="0"/>
            </w:tcBorders>
            <w:vAlign w:val="center"/>
          </w:tcPr>
          <w:p w14:paraId="3CBE23E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完成</w:t>
            </w:r>
          </w:p>
        </w:tc>
      </w:tr>
      <w:tr w14:paraId="552BA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 w:hRule="atLeast"/>
          <w:jc w:val="center"/>
        </w:trPr>
        <w:tc>
          <w:tcPr>
            <w:tcW w:w="870" w:type="dxa"/>
            <w:vMerge w:val="continue"/>
            <w:tcBorders>
              <w:left w:val="single" w:color="000000" w:sz="4" w:space="0"/>
              <w:right w:val="single" w:color="000000" w:sz="4" w:space="0"/>
            </w:tcBorders>
            <w:vAlign w:val="center"/>
          </w:tcPr>
          <w:p w14:paraId="492C2BB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76D24FB7">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0EDD5CA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成本指标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46025F5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80岁以上老人</w:t>
            </w:r>
          </w:p>
        </w:tc>
        <w:tc>
          <w:tcPr>
            <w:tcW w:w="2394" w:type="dxa"/>
            <w:tcBorders>
              <w:top w:val="single" w:color="000000" w:sz="4" w:space="0"/>
              <w:left w:val="single" w:color="000000" w:sz="4" w:space="0"/>
              <w:bottom w:val="single" w:color="000000" w:sz="4" w:space="0"/>
              <w:right w:val="single" w:color="000000" w:sz="4" w:space="0"/>
            </w:tcBorders>
            <w:vAlign w:val="center"/>
          </w:tcPr>
          <w:p w14:paraId="64BE3FB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30元/月</w:t>
            </w:r>
          </w:p>
        </w:tc>
        <w:tc>
          <w:tcPr>
            <w:tcW w:w="2392" w:type="dxa"/>
            <w:tcBorders>
              <w:top w:val="single" w:color="000000" w:sz="4" w:space="0"/>
              <w:left w:val="single" w:color="000000" w:sz="4" w:space="0"/>
              <w:bottom w:val="single" w:color="000000" w:sz="4" w:space="0"/>
              <w:right w:val="single" w:color="000000" w:sz="4" w:space="0"/>
            </w:tcBorders>
            <w:vAlign w:val="center"/>
          </w:tcPr>
          <w:p w14:paraId="5CF15E0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30元/月</w:t>
            </w:r>
          </w:p>
        </w:tc>
      </w:tr>
      <w:tr w14:paraId="646CA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 w:hRule="atLeast"/>
          <w:jc w:val="center"/>
        </w:trPr>
        <w:tc>
          <w:tcPr>
            <w:tcW w:w="870" w:type="dxa"/>
            <w:vMerge w:val="continue"/>
            <w:tcBorders>
              <w:left w:val="single" w:color="000000" w:sz="4" w:space="0"/>
              <w:right w:val="single" w:color="000000" w:sz="4" w:space="0"/>
            </w:tcBorders>
            <w:vAlign w:val="center"/>
          </w:tcPr>
          <w:p w14:paraId="70CAC11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6417E01B">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4D45F34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成本指标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302E582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90岁以上老人</w:t>
            </w:r>
          </w:p>
        </w:tc>
        <w:tc>
          <w:tcPr>
            <w:tcW w:w="2394" w:type="dxa"/>
            <w:tcBorders>
              <w:top w:val="single" w:color="000000" w:sz="4" w:space="0"/>
              <w:left w:val="single" w:color="000000" w:sz="4" w:space="0"/>
              <w:bottom w:val="single" w:color="000000" w:sz="4" w:space="0"/>
              <w:right w:val="single" w:color="000000" w:sz="4" w:space="0"/>
            </w:tcBorders>
            <w:vAlign w:val="center"/>
          </w:tcPr>
          <w:p w14:paraId="3C4163A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100元/月</w:t>
            </w:r>
          </w:p>
        </w:tc>
        <w:tc>
          <w:tcPr>
            <w:tcW w:w="2392" w:type="dxa"/>
            <w:tcBorders>
              <w:top w:val="single" w:color="000000" w:sz="4" w:space="0"/>
              <w:left w:val="single" w:color="000000" w:sz="4" w:space="0"/>
              <w:bottom w:val="single" w:color="000000" w:sz="4" w:space="0"/>
              <w:right w:val="single" w:color="000000" w:sz="4" w:space="0"/>
            </w:tcBorders>
            <w:vAlign w:val="center"/>
          </w:tcPr>
          <w:p w14:paraId="56F94D4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100元/月</w:t>
            </w:r>
          </w:p>
        </w:tc>
      </w:tr>
      <w:tr w14:paraId="172D5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7" w:hRule="atLeast"/>
          <w:jc w:val="center"/>
        </w:trPr>
        <w:tc>
          <w:tcPr>
            <w:tcW w:w="870" w:type="dxa"/>
            <w:vMerge w:val="continue"/>
            <w:tcBorders>
              <w:left w:val="single" w:color="000000" w:sz="4" w:space="0"/>
              <w:right w:val="single" w:color="000000" w:sz="4" w:space="0"/>
            </w:tcBorders>
            <w:vAlign w:val="center"/>
          </w:tcPr>
          <w:p w14:paraId="7D957F0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1501520D">
            <w:pPr>
              <w:widowControl/>
              <w:snapToGrid/>
              <w:spacing w:before="0" w:beforeAutospacing="0" w:after="0" w:afterAutospacing="0" w:line="240" w:lineRule="auto"/>
              <w:jc w:val="center"/>
              <w:textAlignment w:val="center"/>
              <w:rPr>
                <w:rStyle w:val="10"/>
                <w:rFonts w:ascii="宋体" w:hAnsi="宋体"/>
                <w:b w:val="0"/>
                <w:i w:val="0"/>
                <w:caps w:val="0"/>
                <w:color w:val="000000"/>
                <w:spacing w:val="0"/>
                <w:w w:val="100"/>
                <w:kern w:val="0"/>
                <w:sz w:val="24"/>
                <w:szCs w:val="24"/>
                <w:lang w:val="en-US" w:eastAsia="zh-CN"/>
              </w:rPr>
            </w:pPr>
            <w:r>
              <w:rPr>
                <w:rStyle w:val="10"/>
                <w:rFonts w:ascii="宋体" w:hAnsi="宋体"/>
                <w:b w:val="0"/>
                <w:i w:val="0"/>
                <w:caps w:val="0"/>
                <w:color w:val="000000"/>
                <w:spacing w:val="0"/>
                <w:w w:val="100"/>
                <w:kern w:val="0"/>
                <w:sz w:val="24"/>
                <w:szCs w:val="24"/>
                <w:lang w:val="en-US" w:eastAsia="zh-CN"/>
              </w:rPr>
              <w:t>项目完成指标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226E3145">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成本指标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489E0077">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100岁以上老人</w:t>
            </w:r>
          </w:p>
        </w:tc>
        <w:tc>
          <w:tcPr>
            <w:tcW w:w="2394" w:type="dxa"/>
            <w:tcBorders>
              <w:top w:val="single" w:color="000000" w:sz="4" w:space="0"/>
              <w:left w:val="single" w:color="000000" w:sz="4" w:space="0"/>
              <w:bottom w:val="single" w:color="000000" w:sz="4" w:space="0"/>
              <w:right w:val="single" w:color="000000" w:sz="4" w:space="0"/>
            </w:tcBorders>
            <w:vAlign w:val="center"/>
          </w:tcPr>
          <w:p w14:paraId="772AE01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300元/月</w:t>
            </w:r>
          </w:p>
        </w:tc>
        <w:tc>
          <w:tcPr>
            <w:tcW w:w="2392" w:type="dxa"/>
            <w:tcBorders>
              <w:top w:val="single" w:color="000000" w:sz="4" w:space="0"/>
              <w:left w:val="single" w:color="000000" w:sz="4" w:space="0"/>
              <w:bottom w:val="single" w:color="000000" w:sz="4" w:space="0"/>
              <w:right w:val="single" w:color="000000" w:sz="4" w:space="0"/>
            </w:tcBorders>
            <w:vAlign w:val="center"/>
          </w:tcPr>
          <w:p w14:paraId="60B8E48F">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300元/月</w:t>
            </w:r>
          </w:p>
        </w:tc>
      </w:tr>
      <w:tr w14:paraId="35E2A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2" w:hRule="atLeast"/>
          <w:jc w:val="center"/>
        </w:trPr>
        <w:tc>
          <w:tcPr>
            <w:tcW w:w="870" w:type="dxa"/>
            <w:vMerge w:val="continue"/>
            <w:tcBorders>
              <w:left w:val="single" w:color="000000" w:sz="4" w:space="0"/>
              <w:right w:val="single" w:color="000000" w:sz="4" w:space="0"/>
            </w:tcBorders>
            <w:vAlign w:val="center"/>
          </w:tcPr>
          <w:p w14:paraId="4C68173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738E5BF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效益指标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5C59F08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经济效益</w:t>
            </w:r>
          </w:p>
          <w:p w14:paraId="305466A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335301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老有所养，增强社会和谐稳定</w:t>
            </w:r>
          </w:p>
        </w:tc>
        <w:tc>
          <w:tcPr>
            <w:tcW w:w="2394" w:type="dxa"/>
            <w:tcBorders>
              <w:top w:val="single" w:color="000000" w:sz="4" w:space="0"/>
              <w:left w:val="single" w:color="000000" w:sz="4" w:space="0"/>
              <w:bottom w:val="single" w:color="000000" w:sz="4" w:space="0"/>
              <w:right w:val="single" w:color="000000" w:sz="4" w:space="0"/>
            </w:tcBorders>
            <w:vAlign w:val="center"/>
          </w:tcPr>
          <w:p w14:paraId="46DD60EE">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得到保障</w:t>
            </w:r>
          </w:p>
        </w:tc>
        <w:tc>
          <w:tcPr>
            <w:tcW w:w="2392" w:type="dxa"/>
            <w:tcBorders>
              <w:top w:val="single" w:color="000000" w:sz="4" w:space="0"/>
              <w:left w:val="single" w:color="000000" w:sz="4" w:space="0"/>
              <w:bottom w:val="single" w:color="000000" w:sz="4" w:space="0"/>
              <w:right w:val="single" w:color="000000" w:sz="4" w:space="0"/>
            </w:tcBorders>
            <w:vAlign w:val="center"/>
          </w:tcPr>
          <w:p w14:paraId="46F296FC">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得到保障</w:t>
            </w:r>
          </w:p>
        </w:tc>
      </w:tr>
      <w:tr w14:paraId="3758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2" w:hRule="atLeast"/>
          <w:jc w:val="center"/>
        </w:trPr>
        <w:tc>
          <w:tcPr>
            <w:tcW w:w="870" w:type="dxa"/>
            <w:vMerge w:val="continue"/>
            <w:tcBorders>
              <w:left w:val="single" w:color="000000" w:sz="4" w:space="0"/>
              <w:right w:val="single" w:color="000000" w:sz="4" w:space="0"/>
            </w:tcBorders>
            <w:vAlign w:val="center"/>
          </w:tcPr>
          <w:p w14:paraId="5CD2F4C2">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73183C3D">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效益指标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7A63219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可持续影响指标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4909180">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符合条件的享受对象幸福感</w:t>
            </w:r>
          </w:p>
        </w:tc>
        <w:tc>
          <w:tcPr>
            <w:tcW w:w="2394" w:type="dxa"/>
            <w:tcBorders>
              <w:top w:val="single" w:color="000000" w:sz="4" w:space="0"/>
              <w:left w:val="single" w:color="000000" w:sz="4" w:space="0"/>
              <w:bottom w:val="single" w:color="000000" w:sz="4" w:space="0"/>
              <w:right w:val="single" w:color="000000" w:sz="4" w:space="0"/>
            </w:tcBorders>
            <w:vAlign w:val="center"/>
          </w:tcPr>
          <w:p w14:paraId="4BA6E17A">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显著增强</w:t>
            </w:r>
          </w:p>
        </w:tc>
        <w:tc>
          <w:tcPr>
            <w:tcW w:w="2392" w:type="dxa"/>
            <w:tcBorders>
              <w:top w:val="single" w:color="000000" w:sz="4" w:space="0"/>
              <w:left w:val="single" w:color="000000" w:sz="4" w:space="0"/>
              <w:bottom w:val="single" w:color="000000" w:sz="4" w:space="0"/>
              <w:right w:val="single" w:color="000000" w:sz="4" w:space="0"/>
            </w:tcBorders>
            <w:vAlign w:val="center"/>
          </w:tcPr>
          <w:p w14:paraId="5CE3F994">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显著增强</w:t>
            </w:r>
          </w:p>
        </w:tc>
      </w:tr>
      <w:tr w14:paraId="1AA14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50" w:hRule="atLeast"/>
          <w:jc w:val="center"/>
        </w:trPr>
        <w:tc>
          <w:tcPr>
            <w:tcW w:w="870" w:type="dxa"/>
            <w:vMerge w:val="continue"/>
            <w:tcBorders>
              <w:left w:val="single" w:color="000000" w:sz="4" w:space="0"/>
              <w:bottom w:val="single" w:color="000000" w:sz="4" w:space="0"/>
              <w:right w:val="single" w:color="000000" w:sz="4" w:space="0"/>
            </w:tcBorders>
            <w:vAlign w:val="center"/>
          </w:tcPr>
          <w:p w14:paraId="7A98C76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p>
        </w:tc>
        <w:tc>
          <w:tcPr>
            <w:tcW w:w="887" w:type="dxa"/>
            <w:tcBorders>
              <w:top w:val="single" w:color="000000" w:sz="4" w:space="0"/>
              <w:left w:val="single" w:color="000000" w:sz="4" w:space="0"/>
              <w:bottom w:val="single" w:color="000000" w:sz="4" w:space="0"/>
              <w:right w:val="single" w:color="000000" w:sz="4" w:space="0"/>
            </w:tcBorders>
            <w:vAlign w:val="center"/>
          </w:tcPr>
          <w:p w14:paraId="1A4F1899">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hAnsi="宋体"/>
                <w:b w:val="0"/>
                <w:i w:val="0"/>
                <w:caps w:val="0"/>
                <w:color w:val="000000"/>
                <w:spacing w:val="0"/>
                <w:w w:val="100"/>
                <w:kern w:val="0"/>
                <w:sz w:val="24"/>
                <w:szCs w:val="24"/>
                <w:lang w:val="en-US" w:eastAsia="zh-CN"/>
              </w:rPr>
              <w:t>满意度指标</w:t>
            </w:r>
          </w:p>
        </w:tc>
        <w:tc>
          <w:tcPr>
            <w:tcW w:w="1101" w:type="dxa"/>
            <w:tcBorders>
              <w:top w:val="single" w:color="000000" w:sz="4" w:space="0"/>
              <w:left w:val="single" w:color="000000" w:sz="4" w:space="0"/>
              <w:bottom w:val="single" w:color="000000" w:sz="4" w:space="0"/>
              <w:right w:val="single" w:color="000000" w:sz="4" w:space="0"/>
            </w:tcBorders>
            <w:vAlign w:val="center"/>
          </w:tcPr>
          <w:p w14:paraId="6783F996">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服务对象</w:t>
            </w:r>
          </w:p>
          <w:p w14:paraId="364E1B23">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满意度指标</w:t>
            </w:r>
          </w:p>
        </w:tc>
        <w:tc>
          <w:tcPr>
            <w:tcW w:w="2316" w:type="dxa"/>
            <w:tcBorders>
              <w:top w:val="single" w:color="000000" w:sz="4" w:space="0"/>
              <w:left w:val="single" w:color="000000" w:sz="4" w:space="0"/>
              <w:bottom w:val="single" w:color="000000" w:sz="4" w:space="0"/>
              <w:right w:val="single" w:color="000000" w:sz="4" w:space="0"/>
            </w:tcBorders>
            <w:vAlign w:val="center"/>
          </w:tcPr>
          <w:p w14:paraId="6E686DF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享受80岁以上高龄补助老人满意度</w:t>
            </w:r>
          </w:p>
        </w:tc>
        <w:tc>
          <w:tcPr>
            <w:tcW w:w="2394" w:type="dxa"/>
            <w:tcBorders>
              <w:top w:val="single" w:color="000000" w:sz="4" w:space="0"/>
              <w:left w:val="single" w:color="000000" w:sz="4" w:space="0"/>
              <w:bottom w:val="single" w:color="000000" w:sz="4" w:space="0"/>
              <w:right w:val="single" w:color="000000" w:sz="4" w:space="0"/>
            </w:tcBorders>
            <w:vAlign w:val="center"/>
          </w:tcPr>
          <w:p w14:paraId="19869061">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≥90%</w:t>
            </w:r>
          </w:p>
        </w:tc>
        <w:tc>
          <w:tcPr>
            <w:tcW w:w="2392" w:type="dxa"/>
            <w:tcBorders>
              <w:top w:val="single" w:color="000000" w:sz="4" w:space="0"/>
              <w:left w:val="single" w:color="000000" w:sz="4" w:space="0"/>
              <w:bottom w:val="single" w:color="000000" w:sz="4" w:space="0"/>
              <w:right w:val="single" w:color="000000" w:sz="4" w:space="0"/>
            </w:tcBorders>
            <w:vAlign w:val="center"/>
          </w:tcPr>
          <w:p w14:paraId="255BC4F8">
            <w:pPr>
              <w:widowControl/>
              <w:snapToGrid/>
              <w:spacing w:before="0" w:beforeAutospacing="0" w:after="0" w:afterAutospacing="0" w:line="240" w:lineRule="auto"/>
              <w:jc w:val="center"/>
              <w:textAlignment w:val="center"/>
              <w:rPr>
                <w:rStyle w:val="10"/>
                <w:rFonts w:ascii="宋体"/>
                <w:b w:val="0"/>
                <w:i w:val="0"/>
                <w:caps w:val="0"/>
                <w:color w:val="000000"/>
                <w:spacing w:val="0"/>
                <w:w w:val="100"/>
                <w:kern w:val="2"/>
                <w:sz w:val="24"/>
                <w:szCs w:val="24"/>
                <w:lang w:val="en-US" w:eastAsia="zh-CN" w:bidi="ar-SA"/>
              </w:rPr>
            </w:pPr>
            <w:r>
              <w:rPr>
                <w:rStyle w:val="10"/>
                <w:rFonts w:ascii="宋体"/>
                <w:b w:val="0"/>
                <w:i w:val="0"/>
                <w:caps w:val="0"/>
                <w:color w:val="000000"/>
                <w:spacing w:val="0"/>
                <w:w w:val="100"/>
                <w:kern w:val="2"/>
                <w:sz w:val="24"/>
                <w:szCs w:val="24"/>
                <w:lang w:val="en-US" w:eastAsia="zh-CN" w:bidi="ar-SA"/>
              </w:rPr>
              <w:t>95%</w:t>
            </w:r>
          </w:p>
        </w:tc>
      </w:tr>
    </w:tbl>
    <w:p w14:paraId="395ED78B">
      <w:pPr>
        <w:snapToGrid/>
        <w:spacing w:before="0" w:beforeAutospacing="0" w:after="0" w:afterAutospacing="0" w:line="580" w:lineRule="exact"/>
        <w:jc w:val="both"/>
        <w:textAlignment w:val="baseline"/>
        <w:rPr>
          <w:rStyle w:val="10"/>
          <w:rFonts w:ascii="仿宋_GB2312" w:hAnsi="仿宋_GB2312" w:eastAsia="仿宋_GB2312"/>
          <w:b w:val="0"/>
          <w:i w:val="0"/>
          <w:caps w:val="0"/>
          <w:spacing w:val="0"/>
          <w:w w:val="100"/>
          <w:kern w:val="2"/>
          <w:sz w:val="32"/>
          <w:szCs w:val="32"/>
          <w:lang w:val="en-US" w:eastAsia="zh-CN" w:bidi="ar-SA"/>
        </w:rPr>
      </w:pPr>
    </w:p>
    <w:p w14:paraId="3710CF4A">
      <w:pPr>
        <w:snapToGrid/>
        <w:spacing w:before="0" w:beforeAutospacing="0" w:after="0" w:afterAutospacing="0" w:line="580" w:lineRule="exact"/>
        <w:ind w:left="63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楷体_GB2312" w:hAnsi="楷体_GB2312" w:eastAsia="楷体_GB2312"/>
          <w:b w:val="0"/>
          <w:i w:val="0"/>
          <w:caps w:val="0"/>
          <w:spacing w:val="0"/>
          <w:w w:val="100"/>
          <w:kern w:val="2"/>
          <w:sz w:val="32"/>
          <w:szCs w:val="32"/>
          <w:lang w:val="en-US" w:eastAsia="zh-CN" w:bidi="ar-SA"/>
        </w:rPr>
        <w:t>2.部门绩效评价结果。</w:t>
      </w:r>
    </w:p>
    <w:p w14:paraId="02ECDE90">
      <w:pPr>
        <w:snapToGrid/>
        <w:spacing w:before="0" w:beforeAutospacing="0" w:after="0" w:afterAutospacing="0" w:line="580" w:lineRule="exact"/>
        <w:ind w:firstLine="640"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本部门按要求对2020年部门整体支出绩效评价情况开展自评，《卫生健康局2020年部门整体支出绩效评价报告》见附件（附件1）。</w:t>
      </w:r>
    </w:p>
    <w:p w14:paraId="023DE4E5">
      <w:pPr>
        <w:widowControl/>
        <w:snapToGrid/>
        <w:spacing w:before="0" w:beforeAutospacing="0" w:after="0" w:afterAutospacing="0" w:line="240" w:lineRule="auto"/>
        <w:ind w:firstLine="640" w:firstLineChars="200"/>
        <w:jc w:val="left"/>
        <w:textAlignment w:val="baseline"/>
        <w:rPr>
          <w:rStyle w:val="10"/>
          <w:rFonts w:ascii="仿宋_GB2312" w:eastAsia="仿宋_GB2312"/>
          <w:b/>
          <w:i w:val="0"/>
          <w:caps w:val="0"/>
          <w:color w:val="00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本部门自行组织对贫困人口体检项目、两癌筛查项目开展了绩效评价，《计划生育家庭扶助项目2020年绩效评价报告》、《两癌筛查项目2020年绩效评价报告》见附件（附件2）</w:t>
      </w:r>
      <w:r>
        <w:rPr>
          <w:rStyle w:val="10"/>
          <w:rFonts w:ascii="仿宋_GB2312" w:hAnsi="仿宋_GB2312" w:eastAsia="仿宋_GB2312"/>
          <w:b w:val="0"/>
          <w:i w:val="0"/>
          <w:caps w:val="0"/>
          <w:color w:val="000000"/>
          <w:spacing w:val="0"/>
          <w:w w:val="100"/>
          <w:kern w:val="2"/>
          <w:sz w:val="32"/>
          <w:szCs w:val="32"/>
          <w:lang w:val="en-US" w:eastAsia="zh-CN" w:bidi="ar-SA"/>
        </w:rPr>
        <w:t>。</w:t>
      </w:r>
    </w:p>
    <w:p w14:paraId="0D5D591B">
      <w:pPr>
        <w:widowControl/>
        <w:snapToGrid/>
        <w:spacing w:before="0" w:beforeAutospacing="0" w:after="0" w:afterAutospacing="0" w:line="240" w:lineRule="auto"/>
        <w:jc w:val="left"/>
        <w:textAlignment w:val="baseline"/>
        <w:rPr>
          <w:rStyle w:val="10"/>
          <w:rFonts w:ascii="仿宋_GB2312" w:eastAsia="仿宋_GB2312"/>
          <w:b/>
          <w:i w:val="0"/>
          <w:caps w:val="0"/>
          <w:color w:val="000000"/>
          <w:spacing w:val="0"/>
          <w:w w:val="100"/>
          <w:kern w:val="2"/>
          <w:sz w:val="30"/>
          <w:szCs w:val="30"/>
          <w:lang w:val="en-US" w:eastAsia="zh-CN" w:bidi="ar-SA"/>
        </w:rPr>
      </w:pPr>
    </w:p>
    <w:p w14:paraId="3E49C10A">
      <w:pPr>
        <w:numPr>
          <w:ilvl w:val="0"/>
          <w:numId w:val="8"/>
        </w:numPr>
        <w:snapToGrid/>
        <w:spacing w:before="0" w:beforeAutospacing="0" w:after="0" w:afterAutospacing="0" w:line="600" w:lineRule="exact"/>
        <w:ind w:firstLine="660" w:firstLineChars="150"/>
        <w:jc w:val="center"/>
        <w:textAlignment w:val="baseline"/>
        <w:outlineLvl w:val="0"/>
        <w:rPr>
          <w:rStyle w:val="16"/>
          <w:rFonts w:ascii="黑体" w:hAnsi="黑体" w:eastAsia="黑体" w:cs="Times New Roman"/>
          <w:b w:val="0"/>
          <w:bCs/>
          <w:i w:val="0"/>
          <w:caps w:val="0"/>
          <w:spacing w:val="0"/>
          <w:w w:val="100"/>
          <w:kern w:val="44"/>
          <w:sz w:val="44"/>
          <w:szCs w:val="44"/>
          <w:lang w:val="en-US" w:eastAsia="zh-CN" w:bidi="ar-SA"/>
        </w:rPr>
      </w:pPr>
      <w:bookmarkStart w:id="15" w:name="_Toc21375"/>
      <w:r>
        <w:rPr>
          <w:rStyle w:val="10"/>
          <w:rFonts w:ascii="黑体" w:hAnsi="黑体" w:eastAsia="黑体"/>
          <w:b w:val="0"/>
          <w:i w:val="0"/>
          <w:caps w:val="0"/>
          <w:color w:val="000000"/>
          <w:spacing w:val="0"/>
          <w:w w:val="100"/>
          <w:kern w:val="2"/>
          <w:sz w:val="44"/>
          <w:szCs w:val="44"/>
          <w:lang w:val="en-US" w:eastAsia="zh-CN" w:bidi="ar-SA"/>
        </w:rPr>
        <w:t>名</w:t>
      </w:r>
      <w:r>
        <w:rPr>
          <w:rStyle w:val="16"/>
          <w:rFonts w:ascii="黑体" w:hAnsi="黑体" w:eastAsia="黑体" w:cs="Times New Roman"/>
          <w:b w:val="0"/>
          <w:bCs/>
          <w:i w:val="0"/>
          <w:caps w:val="0"/>
          <w:spacing w:val="0"/>
          <w:w w:val="100"/>
          <w:kern w:val="44"/>
          <w:sz w:val="44"/>
          <w:szCs w:val="44"/>
          <w:lang w:val="en-US" w:eastAsia="zh-CN" w:bidi="ar-SA"/>
        </w:rPr>
        <w:t>词解释</w:t>
      </w:r>
      <w:bookmarkEnd w:id="15"/>
    </w:p>
    <w:p w14:paraId="21554E7C">
      <w:pPr>
        <w:snapToGrid/>
        <w:spacing w:before="0" w:beforeAutospacing="0" w:after="0" w:afterAutospacing="0" w:line="600" w:lineRule="exact"/>
        <w:jc w:val="left"/>
        <w:textAlignment w:val="baseline"/>
        <w:rPr>
          <w:rStyle w:val="10"/>
          <w:rFonts w:ascii="宋体"/>
          <w:b/>
          <w:i w:val="0"/>
          <w:caps w:val="0"/>
          <w:color w:val="000000"/>
          <w:spacing w:val="0"/>
          <w:w w:val="100"/>
          <w:kern w:val="2"/>
          <w:sz w:val="44"/>
          <w:szCs w:val="44"/>
          <w:lang w:val="en-US" w:eastAsia="zh-CN" w:bidi="ar-SA"/>
        </w:rPr>
      </w:pPr>
    </w:p>
    <w:p w14:paraId="1C469DEF">
      <w:pPr>
        <w:pStyle w:val="36"/>
        <w:snapToGrid/>
        <w:spacing w:before="0" w:beforeAutospacing="0" w:after="0" w:afterAutospacing="0" w:line="560" w:lineRule="exact"/>
        <w:ind w:firstLine="640" w:firstLineChars="200"/>
        <w:jc w:val="both"/>
        <w:textAlignment w:val="baseline"/>
        <w:outlineLvl w:val="1"/>
        <w:rPr>
          <w:rStyle w:val="10"/>
          <w:rFonts w:ascii="仿宋_GB2312" w:eastAsia="仿宋_GB2312"/>
          <w:b w:val="0"/>
          <w:i w:val="0"/>
          <w:caps w:val="0"/>
          <w:color w:val="000000"/>
          <w:spacing w:val="0"/>
          <w:w w:val="100"/>
          <w:sz w:val="32"/>
          <w:szCs w:val="32"/>
          <w:lang w:val="en-US" w:eastAsia="zh-CN" w:bidi="ar-SA"/>
        </w:rPr>
      </w:pPr>
      <w:bookmarkStart w:id="16" w:name="_Toc19607"/>
      <w:r>
        <w:rPr>
          <w:rStyle w:val="10"/>
          <w:rFonts w:ascii="仿宋_GB2312" w:eastAsia="仿宋_GB2312"/>
          <w:b w:val="0"/>
          <w:i w:val="0"/>
          <w:caps w:val="0"/>
          <w:color w:val="000000"/>
          <w:spacing w:val="0"/>
          <w:w w:val="100"/>
          <w:sz w:val="32"/>
          <w:szCs w:val="32"/>
          <w:lang w:val="en-US" w:eastAsia="zh-CN" w:bidi="ar-SA"/>
        </w:rPr>
        <w:t>1.财政拨款收入：指单位从同级财政部门取得的各类拨款。</w:t>
      </w:r>
      <w:bookmarkEnd w:id="16"/>
    </w:p>
    <w:p w14:paraId="11985009">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2.事业收入：指事业单位开展专业业务活动及辅助活动取得的收入。如区人民医院、妇幼保健计划生育服务中心、区中医医院、乡镇卫生院医疗收入等。</w:t>
      </w:r>
    </w:p>
    <w:p w14:paraId="31B76523">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 xml:space="preserve">3.其他收入：指单位取得的除上述收入以外的各项收入。主要是利息收入等。 </w:t>
      </w:r>
    </w:p>
    <w:p w14:paraId="4D9DC35F">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 xml:space="preserve">4.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220DE673">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 xml:space="preserve">5.年初结转和结余：指以前年度尚未完成、结转到本年按有关规定继续使用的资金。 </w:t>
      </w:r>
    </w:p>
    <w:p w14:paraId="77509210">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6.本年盈余分配：指事业单位按照政府会计制度的规定从非财政拨款结余或事业结余中提取的奖励基金和职工福利基金等。</w:t>
      </w:r>
    </w:p>
    <w:p w14:paraId="724DD634">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7.年末结转和结余：指单位按有关规定结转到下年或以后年度继续使用的资金。</w:t>
      </w:r>
    </w:p>
    <w:p w14:paraId="3B14CE74">
      <w:pPr>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8.</w:t>
      </w:r>
      <w:r>
        <w:rPr>
          <w:rStyle w:val="10"/>
          <w:rFonts w:ascii="仿宋" w:hAnsi="仿宋" w:eastAsia="仿宋"/>
          <w:b w:val="0"/>
          <w:i w:val="0"/>
          <w:caps w:val="0"/>
          <w:color w:val="000000"/>
          <w:spacing w:val="0"/>
          <w:w w:val="100"/>
          <w:kern w:val="2"/>
          <w:sz w:val="32"/>
          <w:szCs w:val="32"/>
          <w:lang w:val="en-US" w:eastAsia="zh-CN" w:bidi="ar-SA"/>
        </w:rPr>
        <w:t>卫生健康支出</w:t>
      </w:r>
      <w:r>
        <w:rPr>
          <w:rStyle w:val="9"/>
          <w:rFonts w:ascii="仿宋" w:hAnsi="仿宋" w:eastAsia="仿宋"/>
          <w:b w:val="0"/>
          <w:i w:val="0"/>
          <w:caps w:val="0"/>
          <w:color w:val="000000"/>
          <w:spacing w:val="0"/>
          <w:w w:val="100"/>
          <w:kern w:val="2"/>
          <w:sz w:val="32"/>
          <w:szCs w:val="32"/>
          <w:lang w:val="en-US" w:eastAsia="zh-CN" w:bidi="ar-SA"/>
        </w:rPr>
        <w:t>（类）卫生健康管理事务（款）行政运行（项）</w:t>
      </w:r>
      <w:r>
        <w:rPr>
          <w:rStyle w:val="10"/>
          <w:rFonts w:ascii="仿宋_GB2312" w:eastAsia="仿宋_GB2312"/>
          <w:b w:val="0"/>
          <w:i w:val="0"/>
          <w:caps w:val="0"/>
          <w:color w:val="000000"/>
          <w:spacing w:val="0"/>
          <w:w w:val="100"/>
          <w:kern w:val="2"/>
          <w:sz w:val="32"/>
          <w:szCs w:val="32"/>
          <w:lang w:val="en-US" w:eastAsia="zh-CN" w:bidi="ar-SA"/>
        </w:rPr>
        <w:t>：指反映行政单位的基本支出；</w:t>
      </w:r>
      <w:r>
        <w:rPr>
          <w:rStyle w:val="10"/>
          <w:rFonts w:ascii="仿宋" w:hAnsi="仿宋" w:eastAsia="仿宋"/>
          <w:b w:val="0"/>
          <w:i w:val="0"/>
          <w:caps w:val="0"/>
          <w:color w:val="000000"/>
          <w:spacing w:val="0"/>
          <w:w w:val="100"/>
          <w:kern w:val="2"/>
          <w:sz w:val="32"/>
          <w:szCs w:val="32"/>
          <w:lang w:val="en-US" w:eastAsia="zh-CN" w:bidi="ar-SA"/>
        </w:rPr>
        <w:t>卫生健康支出</w:t>
      </w:r>
      <w:r>
        <w:rPr>
          <w:rStyle w:val="10"/>
          <w:rFonts w:ascii="仿宋_GB2312" w:eastAsia="仿宋_GB2312"/>
          <w:b w:val="0"/>
          <w:i w:val="0"/>
          <w:caps w:val="0"/>
          <w:color w:val="000000"/>
          <w:spacing w:val="0"/>
          <w:w w:val="100"/>
          <w:kern w:val="2"/>
          <w:sz w:val="32"/>
          <w:szCs w:val="32"/>
          <w:lang w:val="en-US" w:eastAsia="zh-CN" w:bidi="ar-SA"/>
        </w:rPr>
        <w:t>(类)公立医院（款）</w:t>
      </w:r>
      <w:r>
        <w:rPr>
          <w:rStyle w:val="9"/>
          <w:rFonts w:ascii="仿宋_GB2312" w:eastAsia="仿宋_GB2312"/>
          <w:b w:val="0"/>
          <w:i w:val="0"/>
          <w:caps w:val="0"/>
          <w:color w:val="000000"/>
          <w:spacing w:val="0"/>
          <w:w w:val="100"/>
          <w:kern w:val="2"/>
          <w:sz w:val="32"/>
          <w:szCs w:val="32"/>
          <w:lang w:val="en-US" w:eastAsia="zh-CN" w:bidi="ar-SA"/>
        </w:rPr>
        <w:t>中医（民族）医院（项）</w:t>
      </w:r>
      <w:r>
        <w:rPr>
          <w:rStyle w:val="10"/>
          <w:rFonts w:ascii="仿宋_GB2312" w:eastAsia="仿宋_GB2312"/>
          <w:b w:val="0"/>
          <w:i w:val="0"/>
          <w:caps w:val="0"/>
          <w:color w:val="000000"/>
          <w:spacing w:val="0"/>
          <w:w w:val="100"/>
          <w:kern w:val="2"/>
          <w:sz w:val="32"/>
          <w:szCs w:val="32"/>
          <w:lang w:val="en-US" w:eastAsia="zh-CN" w:bidi="ar-SA"/>
        </w:rPr>
        <w:t>：指反映</w:t>
      </w:r>
      <w:r>
        <w:rPr>
          <w:rStyle w:val="10"/>
          <w:rFonts w:ascii="仿宋" w:hAnsi="仿宋" w:eastAsia="仿宋"/>
          <w:b w:val="0"/>
          <w:i w:val="0"/>
          <w:caps w:val="0"/>
          <w:color w:val="000000"/>
          <w:spacing w:val="0"/>
          <w:w w:val="100"/>
          <w:kern w:val="2"/>
          <w:sz w:val="32"/>
          <w:szCs w:val="32"/>
          <w:lang w:val="en-US" w:eastAsia="zh-CN" w:bidi="ar-SA"/>
        </w:rPr>
        <w:t>卫生健康部门</w:t>
      </w:r>
      <w:r>
        <w:rPr>
          <w:rStyle w:val="10"/>
          <w:rFonts w:ascii="仿宋_GB2312" w:eastAsia="仿宋_GB2312"/>
          <w:b w:val="0"/>
          <w:i w:val="0"/>
          <w:caps w:val="0"/>
          <w:color w:val="000000"/>
          <w:spacing w:val="0"/>
          <w:w w:val="100"/>
          <w:kern w:val="2"/>
          <w:sz w:val="32"/>
          <w:szCs w:val="32"/>
          <w:lang w:val="en-US" w:eastAsia="zh-CN" w:bidi="ar-SA"/>
        </w:rPr>
        <w:t>所属的中医院支出；</w:t>
      </w:r>
      <w:r>
        <w:rPr>
          <w:rStyle w:val="10"/>
          <w:rFonts w:ascii="仿宋" w:hAnsi="仿宋" w:eastAsia="仿宋"/>
          <w:b w:val="0"/>
          <w:i w:val="0"/>
          <w:caps w:val="0"/>
          <w:color w:val="000000"/>
          <w:spacing w:val="0"/>
          <w:w w:val="100"/>
          <w:kern w:val="2"/>
          <w:sz w:val="32"/>
          <w:szCs w:val="32"/>
          <w:lang w:val="en-US" w:eastAsia="zh-CN" w:bidi="ar-SA"/>
        </w:rPr>
        <w:t>卫生健康支出</w:t>
      </w:r>
      <w:r>
        <w:rPr>
          <w:rStyle w:val="10"/>
          <w:rFonts w:ascii="仿宋_GB2312" w:eastAsia="仿宋_GB2312"/>
          <w:b w:val="0"/>
          <w:i w:val="0"/>
          <w:caps w:val="0"/>
          <w:color w:val="000000"/>
          <w:spacing w:val="0"/>
          <w:w w:val="100"/>
          <w:kern w:val="2"/>
          <w:sz w:val="32"/>
          <w:szCs w:val="32"/>
          <w:lang w:val="en-US" w:eastAsia="zh-CN" w:bidi="ar-SA"/>
        </w:rPr>
        <w:t>（类）基层医疗卫生机构（款）</w:t>
      </w:r>
      <w:r>
        <w:rPr>
          <w:rStyle w:val="9"/>
          <w:rFonts w:ascii="仿宋_GB2312" w:eastAsia="仿宋_GB2312"/>
          <w:b w:val="0"/>
          <w:i w:val="0"/>
          <w:caps w:val="0"/>
          <w:color w:val="000000"/>
          <w:spacing w:val="0"/>
          <w:w w:val="100"/>
          <w:kern w:val="2"/>
          <w:sz w:val="32"/>
          <w:szCs w:val="32"/>
          <w:lang w:val="en-US" w:eastAsia="zh-CN" w:bidi="ar-SA"/>
        </w:rPr>
        <w:t>乡镇卫生院（项）</w:t>
      </w:r>
      <w:r>
        <w:rPr>
          <w:rStyle w:val="10"/>
          <w:rFonts w:ascii="仿宋_GB2312" w:eastAsia="仿宋_GB2312"/>
          <w:b w:val="0"/>
          <w:i w:val="0"/>
          <w:caps w:val="0"/>
          <w:color w:val="000000"/>
          <w:spacing w:val="0"/>
          <w:w w:val="100"/>
          <w:kern w:val="2"/>
          <w:sz w:val="32"/>
          <w:szCs w:val="32"/>
          <w:lang w:val="en-US" w:eastAsia="zh-CN" w:bidi="ar-SA"/>
        </w:rPr>
        <w:t>：反映乡镇卫生院的支出；</w:t>
      </w:r>
      <w:r>
        <w:rPr>
          <w:rStyle w:val="10"/>
          <w:rFonts w:ascii="仿宋" w:hAnsi="仿宋" w:eastAsia="仿宋"/>
          <w:b w:val="0"/>
          <w:i w:val="0"/>
          <w:caps w:val="0"/>
          <w:color w:val="000000"/>
          <w:spacing w:val="0"/>
          <w:w w:val="100"/>
          <w:kern w:val="2"/>
          <w:sz w:val="32"/>
          <w:szCs w:val="32"/>
          <w:lang w:val="en-US" w:eastAsia="zh-CN" w:bidi="ar-SA"/>
        </w:rPr>
        <w:t>卫生健康支出</w:t>
      </w:r>
      <w:r>
        <w:rPr>
          <w:rStyle w:val="9"/>
          <w:rFonts w:ascii="仿宋_GB2312" w:eastAsia="仿宋_GB2312"/>
          <w:b w:val="0"/>
          <w:i w:val="0"/>
          <w:caps w:val="0"/>
          <w:color w:val="000000"/>
          <w:spacing w:val="0"/>
          <w:w w:val="100"/>
          <w:kern w:val="2"/>
          <w:sz w:val="32"/>
          <w:szCs w:val="32"/>
          <w:lang w:val="en-US" w:eastAsia="zh-CN" w:bidi="ar-SA"/>
        </w:rPr>
        <w:t>（类）公共卫生（款）疾病预防控制机构（项）</w:t>
      </w:r>
      <w:r>
        <w:rPr>
          <w:rStyle w:val="10"/>
          <w:rFonts w:ascii="仿宋_GB2312" w:eastAsia="仿宋_GB2312"/>
          <w:b w:val="0"/>
          <w:i w:val="0"/>
          <w:caps w:val="0"/>
          <w:color w:val="000000"/>
          <w:spacing w:val="0"/>
          <w:w w:val="100"/>
          <w:kern w:val="2"/>
          <w:sz w:val="32"/>
          <w:szCs w:val="32"/>
          <w:lang w:val="en-US" w:eastAsia="zh-CN" w:bidi="ar-SA"/>
        </w:rPr>
        <w:t>：反映</w:t>
      </w:r>
      <w:r>
        <w:rPr>
          <w:rStyle w:val="10"/>
          <w:rFonts w:ascii="仿宋" w:hAnsi="仿宋" w:eastAsia="仿宋"/>
          <w:b w:val="0"/>
          <w:i w:val="0"/>
          <w:caps w:val="0"/>
          <w:color w:val="000000"/>
          <w:spacing w:val="0"/>
          <w:w w:val="100"/>
          <w:kern w:val="2"/>
          <w:sz w:val="32"/>
          <w:szCs w:val="32"/>
          <w:lang w:val="en-US" w:eastAsia="zh-CN" w:bidi="ar-SA"/>
        </w:rPr>
        <w:t>卫生健康</w:t>
      </w:r>
      <w:r>
        <w:rPr>
          <w:rStyle w:val="10"/>
          <w:rFonts w:ascii="仿宋_GB2312" w:eastAsia="仿宋_GB2312"/>
          <w:b w:val="0"/>
          <w:i w:val="0"/>
          <w:caps w:val="0"/>
          <w:color w:val="000000"/>
          <w:spacing w:val="0"/>
          <w:w w:val="100"/>
          <w:kern w:val="2"/>
          <w:sz w:val="32"/>
          <w:szCs w:val="32"/>
          <w:lang w:val="en-US" w:eastAsia="zh-CN" w:bidi="ar-SA"/>
        </w:rPr>
        <w:t>部门所属的疾病预防控制机构的支出；</w:t>
      </w:r>
      <w:r>
        <w:rPr>
          <w:rStyle w:val="10"/>
          <w:rFonts w:ascii="仿宋" w:hAnsi="仿宋" w:eastAsia="仿宋"/>
          <w:b w:val="0"/>
          <w:i w:val="0"/>
          <w:caps w:val="0"/>
          <w:color w:val="000000"/>
          <w:spacing w:val="0"/>
          <w:w w:val="100"/>
          <w:kern w:val="2"/>
          <w:sz w:val="32"/>
          <w:szCs w:val="32"/>
          <w:lang w:val="en-US" w:eastAsia="zh-CN" w:bidi="ar-SA"/>
        </w:rPr>
        <w:t>卫生健康支出</w:t>
      </w:r>
      <w:r>
        <w:rPr>
          <w:rStyle w:val="9"/>
          <w:rFonts w:ascii="仿宋_GB2312" w:eastAsia="仿宋_GB2312"/>
          <w:b w:val="0"/>
          <w:i w:val="0"/>
          <w:caps w:val="0"/>
          <w:color w:val="000000"/>
          <w:spacing w:val="0"/>
          <w:w w:val="100"/>
          <w:kern w:val="2"/>
          <w:sz w:val="32"/>
          <w:szCs w:val="32"/>
          <w:lang w:val="en-US" w:eastAsia="zh-CN" w:bidi="ar-SA"/>
        </w:rPr>
        <w:t>（类）公共卫生（款）卫生监督机构（项）</w:t>
      </w:r>
      <w:r>
        <w:rPr>
          <w:rStyle w:val="10"/>
          <w:rFonts w:ascii="仿宋_GB2312" w:eastAsia="仿宋_GB2312"/>
          <w:b w:val="0"/>
          <w:i w:val="0"/>
          <w:caps w:val="0"/>
          <w:color w:val="000000"/>
          <w:spacing w:val="0"/>
          <w:w w:val="100"/>
          <w:kern w:val="2"/>
          <w:sz w:val="32"/>
          <w:szCs w:val="32"/>
          <w:lang w:val="en-US" w:eastAsia="zh-CN" w:bidi="ar-SA"/>
        </w:rPr>
        <w:t>：反映</w:t>
      </w:r>
      <w:r>
        <w:rPr>
          <w:rStyle w:val="10"/>
          <w:rFonts w:ascii="仿宋" w:hAnsi="仿宋" w:eastAsia="仿宋"/>
          <w:b w:val="0"/>
          <w:i w:val="0"/>
          <w:caps w:val="0"/>
          <w:color w:val="000000"/>
          <w:spacing w:val="0"/>
          <w:w w:val="100"/>
          <w:kern w:val="2"/>
          <w:sz w:val="32"/>
          <w:szCs w:val="32"/>
          <w:lang w:val="en-US" w:eastAsia="zh-CN" w:bidi="ar-SA"/>
        </w:rPr>
        <w:t>卫生健康</w:t>
      </w:r>
      <w:r>
        <w:rPr>
          <w:rStyle w:val="10"/>
          <w:rFonts w:ascii="仿宋_GB2312" w:eastAsia="仿宋_GB2312"/>
          <w:b w:val="0"/>
          <w:i w:val="0"/>
          <w:caps w:val="0"/>
          <w:color w:val="000000"/>
          <w:spacing w:val="0"/>
          <w:w w:val="100"/>
          <w:kern w:val="2"/>
          <w:sz w:val="32"/>
          <w:szCs w:val="32"/>
          <w:lang w:val="en-US" w:eastAsia="zh-CN" w:bidi="ar-SA"/>
        </w:rPr>
        <w:t>部门所属卫生监督机构的支出；</w:t>
      </w:r>
      <w:r>
        <w:rPr>
          <w:rStyle w:val="10"/>
          <w:rFonts w:ascii="仿宋" w:hAnsi="仿宋" w:eastAsia="仿宋"/>
          <w:b w:val="0"/>
          <w:i w:val="0"/>
          <w:caps w:val="0"/>
          <w:color w:val="000000"/>
          <w:spacing w:val="0"/>
          <w:w w:val="100"/>
          <w:kern w:val="2"/>
          <w:sz w:val="32"/>
          <w:szCs w:val="32"/>
          <w:lang w:val="en-US" w:eastAsia="zh-CN" w:bidi="ar-SA"/>
        </w:rPr>
        <w:t>卫生健康支出</w:t>
      </w:r>
      <w:r>
        <w:rPr>
          <w:rStyle w:val="9"/>
          <w:rFonts w:ascii="仿宋_GB2312" w:eastAsia="仿宋_GB2312"/>
          <w:b w:val="0"/>
          <w:i w:val="0"/>
          <w:caps w:val="0"/>
          <w:color w:val="000000"/>
          <w:spacing w:val="0"/>
          <w:w w:val="100"/>
          <w:kern w:val="2"/>
          <w:sz w:val="32"/>
          <w:szCs w:val="32"/>
          <w:lang w:val="en-US" w:eastAsia="zh-CN" w:bidi="ar-SA"/>
        </w:rPr>
        <w:t>（类）公共卫生（款）妇幼保健机构（项）</w:t>
      </w:r>
      <w:r>
        <w:rPr>
          <w:rStyle w:val="10"/>
          <w:rFonts w:ascii="仿宋_GB2312" w:eastAsia="仿宋_GB2312"/>
          <w:b w:val="0"/>
          <w:i w:val="0"/>
          <w:caps w:val="0"/>
          <w:color w:val="000000"/>
          <w:spacing w:val="0"/>
          <w:w w:val="100"/>
          <w:kern w:val="2"/>
          <w:sz w:val="32"/>
          <w:szCs w:val="32"/>
          <w:lang w:val="en-US" w:eastAsia="zh-CN" w:bidi="ar-SA"/>
        </w:rPr>
        <w:t>：反映</w:t>
      </w:r>
      <w:r>
        <w:rPr>
          <w:rStyle w:val="10"/>
          <w:rFonts w:ascii="仿宋" w:hAnsi="仿宋" w:eastAsia="仿宋"/>
          <w:b w:val="0"/>
          <w:i w:val="0"/>
          <w:caps w:val="0"/>
          <w:color w:val="000000"/>
          <w:spacing w:val="0"/>
          <w:w w:val="100"/>
          <w:kern w:val="2"/>
          <w:sz w:val="32"/>
          <w:szCs w:val="32"/>
          <w:lang w:val="en-US" w:eastAsia="zh-CN" w:bidi="ar-SA"/>
        </w:rPr>
        <w:t>卫生健康部门</w:t>
      </w:r>
      <w:r>
        <w:rPr>
          <w:rStyle w:val="10"/>
          <w:rFonts w:ascii="仿宋_GB2312" w:eastAsia="仿宋_GB2312"/>
          <w:b w:val="0"/>
          <w:i w:val="0"/>
          <w:caps w:val="0"/>
          <w:color w:val="000000"/>
          <w:spacing w:val="0"/>
          <w:w w:val="100"/>
          <w:kern w:val="2"/>
          <w:sz w:val="32"/>
          <w:szCs w:val="32"/>
          <w:lang w:val="en-US" w:eastAsia="zh-CN" w:bidi="ar-SA"/>
        </w:rPr>
        <w:t>所属妇幼保健机构的支出；</w:t>
      </w:r>
      <w:r>
        <w:rPr>
          <w:rStyle w:val="9"/>
          <w:rFonts w:ascii="仿宋_GB2312" w:eastAsia="仿宋_GB2312"/>
          <w:b w:val="0"/>
          <w:i w:val="0"/>
          <w:caps w:val="0"/>
          <w:color w:val="000000"/>
          <w:spacing w:val="0"/>
          <w:w w:val="100"/>
          <w:kern w:val="2"/>
          <w:sz w:val="32"/>
          <w:szCs w:val="32"/>
          <w:lang w:val="en-US" w:eastAsia="zh-CN" w:bidi="ar-SA"/>
        </w:rPr>
        <w:t>卫生健康支出（类）公共卫生（款）基本公共卫生服务（项）</w:t>
      </w:r>
      <w:r>
        <w:rPr>
          <w:rStyle w:val="10"/>
          <w:rFonts w:ascii="仿宋_GB2312" w:eastAsia="仿宋_GB2312"/>
          <w:b w:val="0"/>
          <w:i w:val="0"/>
          <w:caps w:val="0"/>
          <w:color w:val="000000"/>
          <w:spacing w:val="0"/>
          <w:w w:val="100"/>
          <w:kern w:val="2"/>
          <w:sz w:val="32"/>
          <w:szCs w:val="32"/>
          <w:lang w:val="en-US" w:eastAsia="zh-CN" w:bidi="ar-SA"/>
        </w:rPr>
        <w:t>：反映乡镇卫生院、社区卫生机构开展基本公共卫生服务的支出；</w:t>
      </w:r>
      <w:r>
        <w:rPr>
          <w:rStyle w:val="9"/>
          <w:rFonts w:ascii="仿宋_GB2312" w:eastAsia="仿宋_GB2312"/>
          <w:b w:val="0"/>
          <w:i w:val="0"/>
          <w:caps w:val="0"/>
          <w:color w:val="000000"/>
          <w:spacing w:val="0"/>
          <w:w w:val="100"/>
          <w:kern w:val="2"/>
          <w:sz w:val="32"/>
          <w:szCs w:val="32"/>
          <w:lang w:val="en-US" w:eastAsia="zh-CN" w:bidi="ar-SA"/>
        </w:rPr>
        <w:t>卫生健康支出（类）公共卫生（款）重大公共卫生专项（项）</w:t>
      </w:r>
      <w:r>
        <w:rPr>
          <w:rStyle w:val="10"/>
          <w:rFonts w:ascii="仿宋_GB2312" w:eastAsia="仿宋_GB2312"/>
          <w:b w:val="0"/>
          <w:i w:val="0"/>
          <w:caps w:val="0"/>
          <w:color w:val="000000"/>
          <w:spacing w:val="0"/>
          <w:w w:val="100"/>
          <w:kern w:val="2"/>
          <w:sz w:val="32"/>
          <w:szCs w:val="32"/>
          <w:lang w:val="en-US" w:eastAsia="zh-CN" w:bidi="ar-SA"/>
        </w:rPr>
        <w:t>：反映重大疾病预防控制等重大公共卫生服务项目支出；</w:t>
      </w:r>
      <w:r>
        <w:rPr>
          <w:rStyle w:val="10"/>
          <w:rFonts w:ascii="仿宋_GB2312" w:eastAsia="仿宋_GB2312" w:cs="Times New Roman"/>
          <w:b w:val="0"/>
          <w:bCs/>
          <w:i w:val="0"/>
          <w:caps w:val="0"/>
          <w:color w:val="000000"/>
          <w:spacing w:val="0"/>
          <w:w w:val="100"/>
          <w:kern w:val="2"/>
          <w:sz w:val="32"/>
          <w:szCs w:val="32"/>
          <w:lang w:val="en-US" w:eastAsia="zh-CN" w:bidi="ar-SA"/>
        </w:rPr>
        <w:t>卫生健康支出（类）中医药（款）中医药专项（项）</w:t>
      </w:r>
      <w:r>
        <w:rPr>
          <w:rStyle w:val="10"/>
          <w:rFonts w:ascii="仿宋_GB2312" w:eastAsia="仿宋_GB2312"/>
          <w:b w:val="0"/>
          <w:i w:val="0"/>
          <w:caps w:val="0"/>
          <w:color w:val="000000"/>
          <w:spacing w:val="0"/>
          <w:w w:val="100"/>
          <w:kern w:val="2"/>
          <w:sz w:val="32"/>
          <w:szCs w:val="32"/>
          <w:lang w:val="en-US" w:eastAsia="zh-CN" w:bidi="ar-SA"/>
        </w:rPr>
        <w:t>:主要用于中医专项支出：</w:t>
      </w:r>
      <w:r>
        <w:rPr>
          <w:rStyle w:val="9"/>
          <w:rFonts w:ascii="仿宋_GB2312" w:eastAsia="仿宋_GB2312"/>
          <w:b w:val="0"/>
          <w:i w:val="0"/>
          <w:caps w:val="0"/>
          <w:color w:val="000000"/>
          <w:spacing w:val="0"/>
          <w:w w:val="100"/>
          <w:kern w:val="2"/>
          <w:sz w:val="32"/>
          <w:szCs w:val="32"/>
          <w:lang w:val="en-US" w:eastAsia="zh-CN" w:bidi="ar-SA"/>
        </w:rPr>
        <w:t>卫生健康支出</w:t>
      </w:r>
      <w:r>
        <w:rPr>
          <w:rStyle w:val="10"/>
          <w:rFonts w:ascii="仿宋_GB2312" w:eastAsia="仿宋_GB2312"/>
          <w:b w:val="0"/>
          <w:i w:val="0"/>
          <w:caps w:val="0"/>
          <w:color w:val="000000"/>
          <w:spacing w:val="0"/>
          <w:w w:val="100"/>
          <w:kern w:val="2"/>
          <w:sz w:val="32"/>
          <w:szCs w:val="32"/>
          <w:lang w:val="en-US" w:eastAsia="zh-CN" w:bidi="ar-SA"/>
        </w:rPr>
        <w:t>（类）基层医疗卫生机构（款）其他基层医疗卫生机构支出（项）</w:t>
      </w:r>
      <w:r>
        <w:rPr>
          <w:rStyle w:val="9"/>
          <w:rFonts w:ascii="仿宋_GB2312" w:eastAsia="仿宋_GB2312"/>
          <w:b w:val="0"/>
          <w:i w:val="0"/>
          <w:caps w:val="0"/>
          <w:color w:val="000000"/>
          <w:spacing w:val="0"/>
          <w:w w:val="100"/>
          <w:kern w:val="2"/>
          <w:sz w:val="32"/>
          <w:szCs w:val="32"/>
          <w:lang w:val="en-US" w:eastAsia="zh-CN" w:bidi="ar-SA"/>
        </w:rPr>
        <w:t>：反映除乡镇卫生院、城市社区卫生机构以外的其他用于基层医疗卫生机构的支出；卫生健康支出（类）计划生育事务</w:t>
      </w:r>
      <w:r>
        <w:rPr>
          <w:rStyle w:val="10"/>
          <w:rFonts w:ascii="仿宋_GB2312" w:eastAsia="仿宋_GB2312"/>
          <w:b w:val="0"/>
          <w:i w:val="0"/>
          <w:caps w:val="0"/>
          <w:color w:val="000000"/>
          <w:spacing w:val="0"/>
          <w:w w:val="100"/>
          <w:kern w:val="2"/>
          <w:sz w:val="32"/>
          <w:szCs w:val="32"/>
          <w:lang w:val="en-US" w:eastAsia="zh-CN" w:bidi="ar-SA"/>
        </w:rPr>
        <w:t>（款）其他计划生育事务支出（项）</w:t>
      </w:r>
      <w:r>
        <w:rPr>
          <w:rStyle w:val="9"/>
          <w:rFonts w:ascii="仿宋_GB2312" w:eastAsia="仿宋_GB2312"/>
          <w:b w:val="0"/>
          <w:i w:val="0"/>
          <w:caps w:val="0"/>
          <w:color w:val="000000"/>
          <w:spacing w:val="0"/>
          <w:w w:val="100"/>
          <w:kern w:val="2"/>
          <w:sz w:val="32"/>
          <w:szCs w:val="32"/>
          <w:lang w:val="en-US" w:eastAsia="zh-CN" w:bidi="ar-SA"/>
        </w:rPr>
        <w:t>:反映计划生育服务支出；卫生健康支出（类）行政事业单位医疗</w:t>
      </w:r>
      <w:r>
        <w:rPr>
          <w:rStyle w:val="10"/>
          <w:rFonts w:ascii="仿宋_GB2312" w:eastAsia="仿宋_GB2312"/>
          <w:b w:val="0"/>
          <w:i w:val="0"/>
          <w:caps w:val="0"/>
          <w:color w:val="000000"/>
          <w:spacing w:val="0"/>
          <w:w w:val="100"/>
          <w:kern w:val="2"/>
          <w:sz w:val="32"/>
          <w:szCs w:val="32"/>
          <w:lang w:val="en-US" w:eastAsia="zh-CN" w:bidi="ar-SA"/>
        </w:rPr>
        <w:t>（款）  事业单位医疗（项）</w:t>
      </w:r>
      <w:r>
        <w:rPr>
          <w:rStyle w:val="9"/>
          <w:rFonts w:ascii="仿宋_GB2312" w:eastAsia="仿宋_GB2312"/>
          <w:b w:val="0"/>
          <w:i w:val="0"/>
          <w:caps w:val="0"/>
          <w:color w:val="000000"/>
          <w:spacing w:val="0"/>
          <w:w w:val="100"/>
          <w:kern w:val="2"/>
          <w:sz w:val="32"/>
          <w:szCs w:val="32"/>
          <w:lang w:val="en-US" w:eastAsia="zh-CN" w:bidi="ar-SA"/>
        </w:rPr>
        <w:t>:</w:t>
      </w:r>
      <w:r>
        <w:rPr>
          <w:rStyle w:val="9"/>
          <w:rFonts w:ascii="仿宋_GB2312" w:eastAsia="仿宋_GB2312"/>
          <w:b w:val="0"/>
          <w:i w:val="0"/>
          <w:caps w:val="0"/>
          <w:spacing w:val="0"/>
          <w:w w:val="100"/>
          <w:kern w:val="2"/>
          <w:sz w:val="32"/>
          <w:szCs w:val="32"/>
          <w:lang w:val="en-US" w:eastAsia="zh-CN" w:bidi="ar-SA"/>
        </w:rPr>
        <w:t>反映</w:t>
      </w:r>
      <w:r>
        <w:rPr>
          <w:rStyle w:val="9"/>
          <w:rFonts w:ascii="仿宋_GB2312" w:eastAsia="仿宋_GB2312"/>
          <w:b w:val="0"/>
          <w:i w:val="0"/>
          <w:caps w:val="0"/>
          <w:color w:val="000000"/>
          <w:spacing w:val="0"/>
          <w:w w:val="100"/>
          <w:kern w:val="2"/>
          <w:sz w:val="32"/>
          <w:szCs w:val="32"/>
          <w:lang w:val="en-US" w:eastAsia="zh-CN" w:bidi="ar-SA"/>
        </w:rPr>
        <w:t>卫生健康支出中的在职人员医疗保险；卫生健康支出（类）行政事业单位医疗</w:t>
      </w:r>
      <w:r>
        <w:rPr>
          <w:rStyle w:val="10"/>
          <w:rFonts w:ascii="仿宋_GB2312" w:eastAsia="仿宋_GB2312"/>
          <w:b w:val="0"/>
          <w:i w:val="0"/>
          <w:caps w:val="0"/>
          <w:color w:val="000000"/>
          <w:spacing w:val="0"/>
          <w:w w:val="100"/>
          <w:kern w:val="2"/>
          <w:sz w:val="32"/>
          <w:szCs w:val="32"/>
          <w:lang w:val="en-US" w:eastAsia="zh-CN" w:bidi="ar-SA"/>
        </w:rPr>
        <w:t>（款）其他卫生健康支出（项）反映基层医疗单位贫困人口体检支出：</w:t>
      </w:r>
      <w:r>
        <w:rPr>
          <w:rStyle w:val="10"/>
          <w:rFonts w:ascii="仿宋_GB2312" w:eastAsia="仿宋_GB2312"/>
          <w:b w:val="0"/>
          <w:i w:val="0"/>
          <w:caps w:val="0"/>
          <w:spacing w:val="0"/>
          <w:w w:val="100"/>
          <w:kern w:val="2"/>
          <w:sz w:val="32"/>
          <w:szCs w:val="32"/>
          <w:lang w:val="en-US" w:eastAsia="zh-CN" w:bidi="ar-SA"/>
        </w:rPr>
        <w:t>农林水支出（类）扶贫（款）其他扶贫支出（项）主要反映健康扶贫支出。</w:t>
      </w:r>
    </w:p>
    <w:p w14:paraId="7B240C20">
      <w:pPr>
        <w:snapToGrid/>
        <w:spacing w:before="0" w:beforeAutospacing="0" w:after="0" w:afterAutospacing="0" w:line="240" w:lineRule="auto"/>
        <w:ind w:firstLine="640" w:firstLineChars="200"/>
        <w:jc w:val="both"/>
        <w:textAlignment w:val="baseline"/>
        <w:rPr>
          <w:rStyle w:val="9"/>
          <w:rFonts w:ascii="仿宋" w:hAnsi="仿宋" w:eastAsia="仿宋"/>
          <w:b w:val="0"/>
          <w:i w:val="0"/>
          <w:caps w:val="0"/>
          <w:color w:val="000000"/>
          <w:spacing w:val="0"/>
          <w:w w:val="100"/>
          <w:kern w:val="2"/>
          <w:sz w:val="32"/>
          <w:szCs w:val="32"/>
          <w:lang w:val="en-US" w:eastAsia="zh-CN" w:bidi="ar-SA"/>
        </w:rPr>
      </w:pPr>
      <w:r>
        <w:rPr>
          <w:rStyle w:val="10"/>
          <w:rFonts w:ascii="仿宋" w:hAnsi="仿宋" w:eastAsia="仿宋"/>
          <w:b w:val="0"/>
          <w:i w:val="0"/>
          <w:caps w:val="0"/>
          <w:spacing w:val="0"/>
          <w:w w:val="100"/>
          <w:kern w:val="2"/>
          <w:sz w:val="32"/>
          <w:szCs w:val="32"/>
          <w:lang w:val="en-US" w:eastAsia="zh-CN"/>
        </w:rPr>
        <w:t>9.社会保障和就业支出：反映政府在社会保障和就业方面的支出。</w:t>
      </w:r>
      <w:r>
        <w:rPr>
          <w:rStyle w:val="10"/>
          <w:rFonts w:ascii="仿宋" w:hAnsi="仿宋" w:eastAsia="仿宋"/>
          <w:b w:val="0"/>
          <w:i w:val="0"/>
          <w:caps w:val="0"/>
          <w:spacing w:val="0"/>
          <w:w w:val="100"/>
          <w:kern w:val="2"/>
          <w:sz w:val="32"/>
          <w:szCs w:val="32"/>
          <w:lang w:val="en-US" w:eastAsia="zh-CN"/>
        </w:rPr>
        <w:br w:type="textWrapping"/>
      </w:r>
      <w:r>
        <w:rPr>
          <w:rStyle w:val="10"/>
          <w:rFonts w:ascii="仿宋" w:hAnsi="仿宋" w:eastAsia="仿宋"/>
          <w:b w:val="0"/>
          <w:i w:val="0"/>
          <w:caps w:val="0"/>
          <w:spacing w:val="0"/>
          <w:w w:val="100"/>
          <w:kern w:val="2"/>
          <w:sz w:val="32"/>
          <w:szCs w:val="32"/>
          <w:lang w:val="en-US" w:eastAsia="zh-CN"/>
        </w:rPr>
        <w:t>社会保障和就业支出-行政事业单位离退休-机关事业单位基本养老保险缴费支出：反映机关事业单位实施养老保险制度由单位缴纳的基本养老保险支出；</w:t>
      </w:r>
      <w:r>
        <w:rPr>
          <w:rStyle w:val="10"/>
          <w:rFonts w:ascii="仿宋" w:hAnsi="仿宋" w:eastAsia="仿宋"/>
          <w:b w:val="0"/>
          <w:i w:val="0"/>
          <w:caps w:val="0"/>
          <w:spacing w:val="0"/>
          <w:w w:val="100"/>
          <w:kern w:val="2"/>
          <w:sz w:val="32"/>
          <w:szCs w:val="32"/>
          <w:lang w:val="en-US" w:eastAsia="zh-CN"/>
        </w:rPr>
        <w:br w:type="textWrapping"/>
      </w:r>
      <w:r>
        <w:rPr>
          <w:rStyle w:val="10"/>
          <w:rFonts w:ascii="仿宋" w:hAnsi="仿宋" w:eastAsia="仿宋"/>
          <w:b w:val="0"/>
          <w:i w:val="0"/>
          <w:caps w:val="0"/>
          <w:spacing w:val="0"/>
          <w:w w:val="100"/>
          <w:kern w:val="2"/>
          <w:sz w:val="32"/>
          <w:szCs w:val="32"/>
          <w:lang w:val="en-US" w:eastAsia="zh-CN"/>
        </w:rPr>
        <w:t xml:space="preserve">    10.住房保障支出：住房保障支出-住房改革支出-住房公积金：反映行政事业单位按人力资源和社会保障部、财政部规定的基本工资和津贴补贴以及规定比例为职工缴纳的住房公积金。</w:t>
      </w:r>
    </w:p>
    <w:p w14:paraId="3AEBD844">
      <w:pPr>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11.基本支出：指为保障机构正常运转、完成日常工作任务而发生的人员支出和公用支出。</w:t>
      </w:r>
    </w:p>
    <w:p w14:paraId="2D38FE90">
      <w:pPr>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color w:val="000000"/>
          <w:spacing w:val="0"/>
          <w:w w:val="100"/>
          <w:kern w:val="2"/>
          <w:sz w:val="32"/>
          <w:szCs w:val="32"/>
          <w:lang w:val="en-US" w:eastAsia="zh-CN" w:bidi="ar-SA"/>
        </w:rPr>
      </w:pPr>
      <w:r>
        <w:rPr>
          <w:rStyle w:val="10"/>
          <w:rFonts w:ascii="仿宋_GB2312" w:eastAsia="仿宋_GB2312"/>
          <w:b w:val="0"/>
          <w:i w:val="0"/>
          <w:caps w:val="0"/>
          <w:color w:val="000000"/>
          <w:spacing w:val="0"/>
          <w:w w:val="100"/>
          <w:kern w:val="2"/>
          <w:sz w:val="32"/>
          <w:szCs w:val="32"/>
          <w:lang w:val="en-US" w:eastAsia="zh-CN" w:bidi="ar-SA"/>
        </w:rPr>
        <w:t xml:space="preserve">12.项目支出：指在基本支出之外为完成特定行政任务和事业发展目标所发生的支出。 </w:t>
      </w:r>
    </w:p>
    <w:p w14:paraId="24B928B4">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13.“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8D08EEF">
      <w:pPr>
        <w:pStyle w:val="36"/>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color w:val="000000"/>
          <w:spacing w:val="0"/>
          <w:w w:val="100"/>
          <w:sz w:val="32"/>
          <w:szCs w:val="32"/>
          <w:lang w:val="en-US" w:eastAsia="zh-CN" w:bidi="ar-SA"/>
        </w:rPr>
      </w:pPr>
      <w:r>
        <w:rPr>
          <w:rStyle w:val="10"/>
          <w:rFonts w:ascii="仿宋_GB2312" w:eastAsia="仿宋_GB2312"/>
          <w:b w:val="0"/>
          <w:i w:val="0"/>
          <w:caps w:val="0"/>
          <w:color w:val="000000"/>
          <w:spacing w:val="0"/>
          <w:w w:val="100"/>
          <w:sz w:val="32"/>
          <w:szCs w:val="32"/>
          <w:lang w:val="en-US" w:eastAsia="zh-CN" w:bidi="ar-SA"/>
        </w:rPr>
        <w:t>14.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3A869EE">
      <w:pPr>
        <w:snapToGrid/>
        <w:spacing w:before="0" w:beforeAutospacing="0" w:after="0" w:afterAutospacing="0" w:line="600" w:lineRule="exact"/>
        <w:jc w:val="center"/>
        <w:textAlignment w:val="baseline"/>
        <w:rPr>
          <w:rStyle w:val="10"/>
          <w:rFonts w:ascii="黑体" w:hAnsi="黑体" w:eastAsia="黑体"/>
          <w:b w:val="0"/>
          <w:i w:val="0"/>
          <w:caps w:val="0"/>
          <w:color w:val="000000"/>
          <w:spacing w:val="0"/>
          <w:w w:val="100"/>
          <w:kern w:val="2"/>
          <w:sz w:val="44"/>
          <w:szCs w:val="44"/>
          <w:lang w:val="en-US" w:eastAsia="zh-CN" w:bidi="ar-SA"/>
        </w:rPr>
      </w:pPr>
    </w:p>
    <w:p w14:paraId="5A2AF5AD">
      <w:pPr>
        <w:snapToGrid/>
        <w:spacing w:before="0" w:beforeAutospacing="0" w:after="0" w:afterAutospacing="0" w:line="600" w:lineRule="exact"/>
        <w:jc w:val="center"/>
        <w:textAlignment w:val="baseline"/>
        <w:rPr>
          <w:rStyle w:val="10"/>
          <w:rFonts w:ascii="黑体" w:hAnsi="黑体" w:eastAsia="黑体"/>
          <w:b w:val="0"/>
          <w:i w:val="0"/>
          <w:caps w:val="0"/>
          <w:color w:val="000000"/>
          <w:spacing w:val="0"/>
          <w:w w:val="100"/>
          <w:kern w:val="2"/>
          <w:sz w:val="44"/>
          <w:szCs w:val="44"/>
          <w:lang w:val="en-US" w:eastAsia="zh-CN" w:bidi="ar-SA"/>
        </w:rPr>
      </w:pPr>
    </w:p>
    <w:p w14:paraId="63FDE21B">
      <w:pPr>
        <w:snapToGrid/>
        <w:spacing w:before="0" w:beforeAutospacing="0" w:after="0" w:afterAutospacing="0" w:line="600" w:lineRule="exact"/>
        <w:jc w:val="center"/>
        <w:textAlignment w:val="baseline"/>
        <w:outlineLvl w:val="0"/>
        <w:rPr>
          <w:rStyle w:val="16"/>
          <w:rFonts w:ascii="黑体" w:hAnsi="黑体" w:eastAsia="黑体" w:cs="Times New Roman"/>
          <w:b w:val="0"/>
          <w:bCs/>
          <w:i w:val="0"/>
          <w:caps w:val="0"/>
          <w:spacing w:val="0"/>
          <w:w w:val="100"/>
          <w:kern w:val="44"/>
          <w:sz w:val="44"/>
          <w:szCs w:val="44"/>
          <w:lang w:val="en-US" w:eastAsia="zh-CN" w:bidi="ar-SA"/>
        </w:rPr>
      </w:pPr>
      <w:bookmarkStart w:id="17" w:name="_Toc23228"/>
      <w:r>
        <w:rPr>
          <w:rStyle w:val="10"/>
          <w:rFonts w:ascii="黑体" w:hAnsi="黑体" w:eastAsia="黑体"/>
          <w:b w:val="0"/>
          <w:i w:val="0"/>
          <w:caps w:val="0"/>
          <w:color w:val="000000"/>
          <w:spacing w:val="0"/>
          <w:w w:val="100"/>
          <w:kern w:val="2"/>
          <w:sz w:val="44"/>
          <w:szCs w:val="44"/>
          <w:lang w:val="en-US" w:eastAsia="zh-CN" w:bidi="ar-SA"/>
        </w:rPr>
        <w:t>第</w:t>
      </w:r>
      <w:r>
        <w:rPr>
          <w:rStyle w:val="16"/>
          <w:rFonts w:ascii="黑体" w:hAnsi="黑体" w:eastAsia="黑体" w:cs="Times New Roman"/>
          <w:b w:val="0"/>
          <w:bCs/>
          <w:i w:val="0"/>
          <w:caps w:val="0"/>
          <w:spacing w:val="0"/>
          <w:w w:val="100"/>
          <w:kern w:val="44"/>
          <w:sz w:val="44"/>
          <w:szCs w:val="44"/>
          <w:lang w:val="en-US" w:eastAsia="zh-CN" w:bidi="ar-SA"/>
        </w:rPr>
        <w:t>四部分 附件</w:t>
      </w:r>
      <w:bookmarkEnd w:id="17"/>
    </w:p>
    <w:p w14:paraId="31E85B90">
      <w:pPr>
        <w:snapToGrid/>
        <w:spacing w:before="0" w:beforeAutospacing="0" w:after="0" w:afterAutospacing="0" w:line="600" w:lineRule="exact"/>
        <w:jc w:val="left"/>
        <w:textAlignment w:val="baseline"/>
        <w:outlineLvl w:val="1"/>
        <w:rPr>
          <w:rStyle w:val="10"/>
          <w:rFonts w:ascii="方正小标宋简体" w:hAnsi="方正小标宋简体" w:eastAsia="方正小标宋简体"/>
          <w:b w:val="0"/>
          <w:i w:val="0"/>
          <w:caps w:val="0"/>
          <w:spacing w:val="0"/>
          <w:w w:val="100"/>
          <w:kern w:val="2"/>
          <w:sz w:val="32"/>
          <w:szCs w:val="32"/>
          <w:lang w:val="en-US" w:eastAsia="zh-CN" w:bidi="ar-SA"/>
        </w:rPr>
      </w:pPr>
      <w:bookmarkStart w:id="18" w:name="_Toc4980"/>
      <w:r>
        <w:rPr>
          <w:rStyle w:val="10"/>
          <w:rFonts w:ascii="黑体" w:hAnsi="黑体" w:eastAsia="黑体"/>
          <w:b w:val="0"/>
          <w:i w:val="0"/>
          <w:caps w:val="0"/>
          <w:spacing w:val="0"/>
          <w:w w:val="100"/>
          <w:kern w:val="2"/>
          <w:sz w:val="32"/>
          <w:szCs w:val="32"/>
          <w:lang w:val="en-US" w:eastAsia="zh-CN" w:bidi="ar-SA"/>
        </w:rPr>
        <w:t>附件1</w:t>
      </w:r>
      <w:bookmarkEnd w:id="18"/>
    </w:p>
    <w:p w14:paraId="160BEE07">
      <w:pPr>
        <w:snapToGrid/>
        <w:spacing w:before="0" w:beforeAutospacing="0" w:after="0" w:afterAutospacing="0" w:line="600" w:lineRule="exact"/>
        <w:jc w:val="center"/>
        <w:textAlignment w:val="baseline"/>
        <w:rPr>
          <w:rStyle w:val="10"/>
          <w:rFonts w:ascii="方正小标宋简体" w:hAnsi="宋体" w:eastAsia="方正小标宋简体"/>
          <w:b w:val="0"/>
          <w:i w:val="0"/>
          <w:caps w:val="0"/>
          <w:color w:val="000000"/>
          <w:spacing w:val="0"/>
          <w:w w:val="100"/>
          <w:kern w:val="0"/>
          <w:sz w:val="40"/>
          <w:szCs w:val="44"/>
          <w:lang w:val="zh-CN" w:eastAsia="zh-CN" w:bidi="ar-SA"/>
        </w:rPr>
      </w:pPr>
      <w:r>
        <w:rPr>
          <w:rStyle w:val="10"/>
          <w:rFonts w:ascii="方正小标宋简体" w:hAnsi="宋体" w:eastAsia="方正小标宋简体"/>
          <w:b w:val="0"/>
          <w:i w:val="0"/>
          <w:caps w:val="0"/>
          <w:color w:val="000000"/>
          <w:spacing w:val="0"/>
          <w:w w:val="100"/>
          <w:kern w:val="0"/>
          <w:sz w:val="40"/>
          <w:szCs w:val="44"/>
          <w:lang w:val="en-US" w:eastAsia="zh-CN" w:bidi="ar-SA"/>
        </w:rPr>
        <w:t>卫生健康局2020年部门</w:t>
      </w:r>
      <w:r>
        <w:rPr>
          <w:rStyle w:val="10"/>
          <w:rFonts w:ascii="方正小标宋简体" w:hAnsi="宋体" w:eastAsia="方正小标宋简体"/>
          <w:b w:val="0"/>
          <w:i w:val="0"/>
          <w:caps w:val="0"/>
          <w:color w:val="000000"/>
          <w:spacing w:val="0"/>
          <w:w w:val="100"/>
          <w:kern w:val="0"/>
          <w:sz w:val="40"/>
          <w:szCs w:val="44"/>
          <w:lang w:val="zh-CN" w:eastAsia="zh-CN" w:bidi="ar-SA"/>
        </w:rPr>
        <w:t>整体支出绩效评价报告</w:t>
      </w:r>
    </w:p>
    <w:p w14:paraId="72346A78">
      <w:pPr>
        <w:widowControl/>
        <w:snapToGrid/>
        <w:spacing w:before="0" w:beforeAutospacing="0" w:after="0" w:afterAutospacing="0" w:line="580" w:lineRule="exact"/>
        <w:ind w:firstLine="640" w:firstLineChars="200"/>
        <w:jc w:val="center"/>
        <w:textAlignment w:val="baseline"/>
        <w:rPr>
          <w:rStyle w:val="10"/>
          <w:rFonts w:ascii="仿宋_GB2312" w:hAnsi="宋体" w:eastAsia="仿宋_GB2312"/>
          <w:b w:val="0"/>
          <w:i w:val="0"/>
          <w:caps w:val="0"/>
          <w:spacing w:val="0"/>
          <w:w w:val="100"/>
          <w:kern w:val="2"/>
          <w:sz w:val="32"/>
          <w:szCs w:val="32"/>
          <w:lang w:val="en-US" w:eastAsia="zh-CN" w:bidi="ar-SA"/>
        </w:rPr>
      </w:pPr>
      <w:r>
        <w:rPr>
          <w:rStyle w:val="10"/>
          <w:rFonts w:ascii="仿宋_GB2312" w:hAnsi="宋体" w:eastAsia="仿宋_GB2312"/>
          <w:b w:val="0"/>
          <w:i w:val="0"/>
          <w:caps w:val="0"/>
          <w:spacing w:val="0"/>
          <w:w w:val="100"/>
          <w:kern w:val="2"/>
          <w:sz w:val="32"/>
          <w:szCs w:val="32"/>
          <w:lang w:val="en-US" w:eastAsia="zh-CN" w:bidi="ar-SA"/>
        </w:rPr>
        <w:t>（报告范围包括机关和下属单位）</w:t>
      </w:r>
    </w:p>
    <w:p w14:paraId="723CFF32">
      <w:pPr>
        <w:widowControl/>
        <w:snapToGrid w:val="0"/>
        <w:spacing w:before="0" w:beforeAutospacing="0" w:after="0" w:afterAutospacing="0" w:line="580" w:lineRule="exact"/>
        <w:ind w:firstLine="480" w:firstLineChars="200"/>
        <w:jc w:val="left"/>
        <w:textAlignment w:val="baseline"/>
        <w:rPr>
          <w:rStyle w:val="10"/>
          <w:rFonts w:ascii="黑体" w:hAnsi="宋体" w:eastAsia="黑体"/>
          <w:b w:val="0"/>
          <w:i w:val="0"/>
          <w:caps w:val="0"/>
          <w:color w:val="000000"/>
          <w:spacing w:val="0"/>
          <w:w w:val="100"/>
          <w:kern w:val="0"/>
          <w:sz w:val="24"/>
          <w:szCs w:val="32"/>
          <w:lang w:val="en-US" w:eastAsia="zh-CN" w:bidi="ar-SA"/>
        </w:rPr>
      </w:pPr>
    </w:p>
    <w:p w14:paraId="3EAD9D80">
      <w:pPr>
        <w:widowControl/>
        <w:snapToGrid w:val="0"/>
        <w:spacing w:before="0" w:beforeAutospacing="0" w:after="0" w:afterAutospacing="0" w:line="580" w:lineRule="exact"/>
        <w:ind w:firstLine="640" w:firstLineChars="200"/>
        <w:jc w:val="left"/>
        <w:textAlignment w:val="baseline"/>
        <w:outlineLvl w:val="1"/>
        <w:rPr>
          <w:rStyle w:val="10"/>
          <w:rFonts w:ascii="黑体" w:hAnsi="宋体" w:eastAsia="黑体"/>
          <w:b w:val="0"/>
          <w:i w:val="0"/>
          <w:caps w:val="0"/>
          <w:color w:val="000000"/>
          <w:spacing w:val="0"/>
          <w:w w:val="100"/>
          <w:kern w:val="0"/>
          <w:sz w:val="32"/>
          <w:szCs w:val="32"/>
          <w:lang w:val="zh-CN" w:eastAsia="zh-CN" w:bidi="ar-SA"/>
        </w:rPr>
      </w:pPr>
      <w:bookmarkStart w:id="19" w:name="_Toc4482"/>
      <w:r>
        <w:rPr>
          <w:rStyle w:val="10"/>
          <w:rFonts w:ascii="黑体" w:hAnsi="宋体" w:eastAsia="黑体"/>
          <w:b w:val="0"/>
          <w:i w:val="0"/>
          <w:caps w:val="0"/>
          <w:color w:val="000000"/>
          <w:spacing w:val="0"/>
          <w:w w:val="100"/>
          <w:kern w:val="0"/>
          <w:sz w:val="32"/>
          <w:szCs w:val="32"/>
          <w:lang w:val="en-US" w:eastAsia="zh-CN" w:bidi="ar-SA"/>
        </w:rPr>
        <w:t>一、</w:t>
      </w:r>
      <w:r>
        <w:rPr>
          <w:rStyle w:val="10"/>
          <w:rFonts w:ascii="黑体" w:hAnsi="宋体" w:eastAsia="黑体"/>
          <w:b w:val="0"/>
          <w:i w:val="0"/>
          <w:caps w:val="0"/>
          <w:color w:val="000000"/>
          <w:spacing w:val="0"/>
          <w:w w:val="100"/>
          <w:kern w:val="0"/>
          <w:sz w:val="32"/>
          <w:szCs w:val="32"/>
          <w:lang w:val="zh-CN" w:eastAsia="zh-CN" w:bidi="ar-SA"/>
        </w:rPr>
        <w:t>部门（单位）概况</w:t>
      </w:r>
      <w:bookmarkEnd w:id="19"/>
    </w:p>
    <w:p w14:paraId="39841B40">
      <w:pPr>
        <w:widowControl/>
        <w:snapToGrid w:val="0"/>
        <w:spacing w:before="0" w:beforeAutospacing="0" w:after="0" w:afterAutospacing="0" w:line="580" w:lineRule="exact"/>
        <w:ind w:firstLine="640" w:firstLineChars="200"/>
        <w:jc w:val="left"/>
        <w:textAlignment w:val="baseline"/>
        <w:rPr>
          <w:rStyle w:val="10"/>
          <w:rFonts w:ascii="仿宋_GB2312" w:hAnsi="宋体" w:eastAsia="仿宋_GB2312"/>
          <w:b w:val="0"/>
          <w:i w:val="0"/>
          <w:caps w:val="0"/>
          <w:color w:val="000000"/>
          <w:spacing w:val="0"/>
          <w:w w:val="100"/>
          <w:kern w:val="0"/>
          <w:sz w:val="32"/>
          <w:szCs w:val="32"/>
          <w:lang w:val="zh-CN" w:eastAsia="zh-CN" w:bidi="ar-SA"/>
        </w:rPr>
      </w:pPr>
      <w:r>
        <w:rPr>
          <w:rStyle w:val="10"/>
          <w:rFonts w:ascii="仿宋_GB2312" w:hAnsi="宋体" w:eastAsia="仿宋_GB2312"/>
          <w:b w:val="0"/>
          <w:i w:val="0"/>
          <w:caps w:val="0"/>
          <w:color w:val="000000"/>
          <w:spacing w:val="0"/>
          <w:w w:val="100"/>
          <w:kern w:val="0"/>
          <w:sz w:val="32"/>
          <w:szCs w:val="32"/>
          <w:lang w:val="zh-CN" w:eastAsia="zh-CN" w:bidi="ar-SA"/>
        </w:rPr>
        <w:t>（一）机构组成。</w:t>
      </w:r>
    </w:p>
    <w:p w14:paraId="569DCAA1">
      <w:pPr>
        <w:snapToGrid/>
        <w:spacing w:before="0" w:beforeAutospacing="0" w:after="0" w:afterAutospacing="0" w:line="240" w:lineRule="auto"/>
        <w:ind w:firstLine="640" w:firstLineChars="200"/>
        <w:jc w:val="both"/>
        <w:textAlignment w:val="baseline"/>
        <w:rPr>
          <w:rStyle w:val="10"/>
          <w:rFonts w:ascii="仿宋" w:hAnsi="仿宋" w:eastAsia="仿宋"/>
          <w:b w:val="0"/>
          <w:i w:val="0"/>
          <w:caps w:val="0"/>
          <w:spacing w:val="0"/>
          <w:w w:val="100"/>
          <w:kern w:val="2"/>
          <w:sz w:val="32"/>
          <w:szCs w:val="32"/>
          <w:lang w:val="en-US" w:eastAsia="zh-CN"/>
        </w:rPr>
      </w:pPr>
      <w:r>
        <w:rPr>
          <w:rStyle w:val="10"/>
          <w:rFonts w:ascii="仿宋" w:hAnsi="仿宋" w:eastAsia="仿宋"/>
          <w:b w:val="0"/>
          <w:i w:val="0"/>
          <w:caps w:val="0"/>
          <w:spacing w:val="0"/>
          <w:w w:val="100"/>
          <w:kern w:val="2"/>
          <w:sz w:val="32"/>
          <w:szCs w:val="32"/>
          <w:lang w:val="en-US" w:eastAsia="zh-CN"/>
        </w:rPr>
        <w:t>昭化区卫生健康局下属二级单位33个(区人民医院经费独立核算、区社区卫生服务中心纳入局机关核算），其中参照公务员法管理的事业单位1个，其他事业单位31个。</w:t>
      </w:r>
    </w:p>
    <w:p w14:paraId="2F0AF6E8">
      <w:pPr>
        <w:widowControl/>
        <w:snapToGrid w:val="0"/>
        <w:spacing w:before="0" w:beforeAutospacing="0" w:after="0" w:afterAutospacing="0" w:line="580" w:lineRule="exact"/>
        <w:ind w:firstLine="640" w:firstLineChars="200"/>
        <w:jc w:val="left"/>
        <w:textAlignment w:val="baseline"/>
        <w:rPr>
          <w:rStyle w:val="10"/>
          <w:rFonts w:ascii="仿宋_GB2312" w:hAnsi="宋体" w:eastAsia="仿宋_GB2312"/>
          <w:b w:val="0"/>
          <w:i w:val="0"/>
          <w:caps w:val="0"/>
          <w:color w:val="000000"/>
          <w:spacing w:val="0"/>
          <w:w w:val="100"/>
          <w:kern w:val="0"/>
          <w:sz w:val="32"/>
          <w:szCs w:val="32"/>
          <w:lang w:val="zh-CN" w:eastAsia="zh-CN" w:bidi="ar-SA"/>
        </w:rPr>
      </w:pPr>
      <w:r>
        <w:rPr>
          <w:rStyle w:val="10"/>
          <w:rFonts w:ascii="仿宋_GB2312" w:hAnsi="宋体" w:eastAsia="仿宋_GB2312"/>
          <w:b w:val="0"/>
          <w:i w:val="0"/>
          <w:caps w:val="0"/>
          <w:color w:val="000000"/>
          <w:spacing w:val="0"/>
          <w:w w:val="100"/>
          <w:kern w:val="0"/>
          <w:sz w:val="32"/>
          <w:szCs w:val="32"/>
          <w:lang w:val="zh-CN" w:eastAsia="zh-CN" w:bidi="ar-SA"/>
        </w:rPr>
        <w:t>（二）机构职能。</w:t>
      </w:r>
    </w:p>
    <w:p w14:paraId="061431D0">
      <w:pPr>
        <w:widowControl/>
        <w:snapToGrid w:val="0"/>
        <w:spacing w:before="0" w:beforeAutospacing="0" w:after="0" w:afterAutospacing="0" w:line="580" w:lineRule="exact"/>
        <w:ind w:firstLine="640" w:firstLineChars="200"/>
        <w:jc w:val="left"/>
        <w:textAlignment w:val="baseline"/>
        <w:rPr>
          <w:rStyle w:val="10"/>
          <w:rFonts w:ascii="仿宋_GB2312" w:hAnsi="MingLiU" w:eastAsia="仿宋_GB2312"/>
          <w:b w:val="0"/>
          <w:i w:val="0"/>
          <w:caps w:val="0"/>
          <w:spacing w:val="0"/>
          <w:w w:val="100"/>
          <w:kern w:val="2"/>
          <w:sz w:val="32"/>
          <w:szCs w:val="24"/>
          <w:lang w:val="en-US" w:eastAsia="zh-CN" w:bidi="ar-SA"/>
        </w:rPr>
      </w:pPr>
      <w:r>
        <w:rPr>
          <w:rStyle w:val="10"/>
          <w:rFonts w:ascii="仿宋_GB2312" w:hAnsi="MingLiU" w:eastAsia="仿宋_GB2312"/>
          <w:b w:val="0"/>
          <w:i w:val="0"/>
          <w:caps w:val="0"/>
          <w:spacing w:val="0"/>
          <w:w w:val="100"/>
          <w:kern w:val="2"/>
          <w:sz w:val="32"/>
          <w:szCs w:val="24"/>
          <w:lang w:val="en-US" w:eastAsia="zh-CN" w:bidi="ar-SA"/>
        </w:rPr>
        <w:t>(1)组织拟订全区卫生健康政策。(2)牵头推进全区深化医药卫生体制改革。(3)制定并组织落实全区疾病预防控制规划、免疫规划以及严重危害人民健康的艾滋病等重大传染病、寄生虫病、地方病等公共卫生问题的干预措施。（4）贯彻落实国家应对人口老龄化政策措施。（5）贯彻落实国家药物政策和国家基本药物制度。（6）负责职责范围内的职业卫生、放射卫生、环境卫生、学校卫生、公共场所卫生、饮用水卫生等公共卫生的监督管理。（7）制定全区医疗机构、医疗服务行业管理办法并监督实施，建立医疗服务评价和监督管理体系。（8）负责全区计划生育管理和服务工作。(9)负责全区卫生健康工作。(10)贯彻执行国家、省促进中医药事业发展的法律法规，拟订全区中医药中长期发展规划并组织实施，促进中药资源的保护、开发和合理利用，</w:t>
      </w:r>
      <w:r>
        <w:rPr>
          <w:rStyle w:val="10"/>
          <w:rFonts w:ascii="仿宋_GB2312" w:hAnsi="MingLiU" w:eastAsia="仿宋_GB2312"/>
          <w:b w:val="0"/>
          <w:i w:val="0"/>
          <w:caps w:val="0"/>
          <w:color w:val="000000"/>
          <w:spacing w:val="0"/>
          <w:w w:val="100"/>
          <w:kern w:val="2"/>
          <w:sz w:val="32"/>
          <w:szCs w:val="24"/>
          <w:lang w:val="en-US" w:eastAsia="zh-CN" w:bidi="ar-SA"/>
        </w:rPr>
        <w:t>拟订全区中药产业发展规划、产业政策和中药的扶持政策并组织实施。(11)</w:t>
      </w:r>
      <w:r>
        <w:rPr>
          <w:rStyle w:val="10"/>
          <w:rFonts w:ascii="仿宋_GB2312" w:hAnsi="MingLiU" w:eastAsia="仿宋_GB2312"/>
          <w:b w:val="0"/>
          <w:i w:val="0"/>
          <w:caps w:val="0"/>
          <w:spacing w:val="0"/>
          <w:w w:val="100"/>
          <w:kern w:val="2"/>
          <w:sz w:val="32"/>
          <w:szCs w:val="24"/>
          <w:lang w:val="en-US" w:eastAsia="zh-CN" w:bidi="ar-SA"/>
        </w:rPr>
        <w:t xml:space="preserve">负责区确定的保健对象的医疗保健工作。负责区直有关部门（单位）离休干部医疗管理工作。负责重要会议与重大活动的医疗卫生保障工作。（12）指导区计划生育协会的业务工作。（13）依法依规履行卫生健康行业安全生产监督管理职责。负责职责范围内的生态环境保护、审批服务便民化等工作。（14）完成区委、区政府交办的其他任务。                                                                                               </w:t>
      </w:r>
    </w:p>
    <w:p w14:paraId="53EE7880">
      <w:pPr>
        <w:widowControl/>
        <w:snapToGrid w:val="0"/>
        <w:spacing w:before="0" w:beforeAutospacing="0" w:after="0" w:afterAutospacing="0" w:line="580" w:lineRule="exact"/>
        <w:ind w:firstLine="640" w:firstLineChars="200"/>
        <w:jc w:val="left"/>
        <w:textAlignment w:val="baseline"/>
        <w:rPr>
          <w:rStyle w:val="10"/>
          <w:rFonts w:ascii="仿宋_GB2312" w:hAnsi="宋体" w:eastAsia="仿宋_GB2312"/>
          <w:b w:val="0"/>
          <w:i w:val="0"/>
          <w:caps w:val="0"/>
          <w:color w:val="000000"/>
          <w:spacing w:val="0"/>
          <w:w w:val="100"/>
          <w:kern w:val="0"/>
          <w:sz w:val="32"/>
          <w:szCs w:val="32"/>
          <w:lang w:val="zh-CN" w:eastAsia="zh-CN" w:bidi="ar-SA"/>
        </w:rPr>
      </w:pPr>
      <w:r>
        <w:rPr>
          <w:rStyle w:val="10"/>
          <w:rFonts w:ascii="仿宋_GB2312" w:hAnsi="MingLiU" w:eastAsia="仿宋_GB2312"/>
          <w:b w:val="0"/>
          <w:i w:val="0"/>
          <w:caps w:val="0"/>
          <w:spacing w:val="0"/>
          <w:w w:val="100"/>
          <w:kern w:val="2"/>
          <w:sz w:val="32"/>
          <w:szCs w:val="24"/>
          <w:lang w:val="en-US" w:eastAsia="zh-CN" w:bidi="ar-SA"/>
        </w:rPr>
        <w:t>（三）</w:t>
      </w:r>
      <w:r>
        <w:rPr>
          <w:rStyle w:val="10"/>
          <w:rFonts w:ascii="仿宋_GB2312" w:hAnsi="宋体" w:eastAsia="仿宋_GB2312"/>
          <w:b w:val="0"/>
          <w:i w:val="0"/>
          <w:caps w:val="0"/>
          <w:color w:val="000000"/>
          <w:spacing w:val="0"/>
          <w:w w:val="100"/>
          <w:kern w:val="0"/>
          <w:sz w:val="32"/>
          <w:szCs w:val="32"/>
          <w:lang w:val="zh-CN" w:eastAsia="zh-CN" w:bidi="ar-SA"/>
        </w:rPr>
        <w:t>人员概况。</w:t>
      </w:r>
    </w:p>
    <w:p w14:paraId="40A1E3B5">
      <w:pPr>
        <w:widowControl/>
        <w:snapToGrid w:val="0"/>
        <w:spacing w:before="0" w:beforeAutospacing="0" w:after="0" w:afterAutospacing="0" w:line="580" w:lineRule="exact"/>
        <w:ind w:firstLine="640" w:firstLineChars="200"/>
        <w:jc w:val="left"/>
        <w:textAlignment w:val="baseline"/>
        <w:rPr>
          <w:rStyle w:val="10"/>
          <w:rFonts w:ascii="仿宋" w:hAnsi="仿宋" w:eastAsia="仿宋"/>
          <w:b w:val="0"/>
          <w:i w:val="0"/>
          <w:caps w:val="0"/>
          <w:spacing w:val="0"/>
          <w:w w:val="100"/>
          <w:kern w:val="2"/>
          <w:sz w:val="32"/>
          <w:szCs w:val="32"/>
          <w:lang w:val="zh-CN" w:eastAsia="zh-CN"/>
        </w:rPr>
      </w:pPr>
      <w:r>
        <w:rPr>
          <w:rStyle w:val="10"/>
          <w:rFonts w:ascii="仿宋" w:hAnsi="仿宋" w:eastAsia="仿宋"/>
          <w:b w:val="0"/>
          <w:i w:val="0"/>
          <w:caps w:val="0"/>
          <w:spacing w:val="0"/>
          <w:w w:val="100"/>
          <w:kern w:val="2"/>
          <w:sz w:val="32"/>
          <w:szCs w:val="32"/>
          <w:lang w:val="zh-CN" w:eastAsia="zh-CN"/>
        </w:rPr>
        <w:t>卫健系统共有编制658个，其中：行政编制14个，机关工勤编制1个，参公编制11个，其他事业编制632个。2020年预算实有在职编制内人员490人，均为财政全额供给。卫计系统退休人员共174人，其中：行政人员19人，其他事业人员155人；离休人员1人。</w:t>
      </w:r>
      <w:r>
        <w:rPr>
          <w:rStyle w:val="10"/>
          <w:rFonts w:ascii="仿宋" w:hAnsi="仿宋" w:eastAsia="仿宋"/>
          <w:b w:val="0"/>
          <w:i w:val="0"/>
          <w:caps w:val="0"/>
          <w:spacing w:val="0"/>
          <w:w w:val="100"/>
          <w:kern w:val="2"/>
          <w:sz w:val="32"/>
          <w:szCs w:val="32"/>
          <w:lang w:val="zh-CN" w:eastAsia="zh-CN"/>
        </w:rPr>
        <w:br w:type="textWrapping"/>
      </w:r>
      <w:r>
        <w:rPr>
          <w:rStyle w:val="10"/>
          <w:rFonts w:ascii="仿宋" w:hAnsi="仿宋" w:eastAsia="仿宋"/>
          <w:b w:val="0"/>
          <w:i w:val="0"/>
          <w:caps w:val="0"/>
          <w:spacing w:val="0"/>
          <w:w w:val="100"/>
          <w:kern w:val="2"/>
          <w:sz w:val="32"/>
          <w:szCs w:val="32"/>
          <w:lang w:val="en-US" w:eastAsia="zh-CN"/>
        </w:rPr>
        <w:t xml:space="preserve">    </w:t>
      </w:r>
      <w:r>
        <w:rPr>
          <w:rStyle w:val="10"/>
          <w:rFonts w:ascii="仿宋" w:hAnsi="仿宋" w:eastAsia="仿宋"/>
          <w:b w:val="0"/>
          <w:i w:val="0"/>
          <w:caps w:val="0"/>
          <w:spacing w:val="0"/>
          <w:w w:val="100"/>
          <w:kern w:val="2"/>
          <w:sz w:val="32"/>
          <w:szCs w:val="32"/>
          <w:lang w:val="zh-CN" w:eastAsia="zh-CN"/>
        </w:rPr>
        <w:t>局机关核定总编制29名，其中行政编制14名，机关工勤编制1名，参公编制1名，其他事业编制13名。在职人员总数32人，其中行政人员16人，机关工勤人员1人，参公人员1人，其他事业人员14名。</w:t>
      </w:r>
    </w:p>
    <w:p w14:paraId="55846911">
      <w:pPr>
        <w:widowControl/>
        <w:snapToGrid w:val="0"/>
        <w:spacing w:before="0" w:beforeAutospacing="0" w:after="0" w:afterAutospacing="0" w:line="580" w:lineRule="exact"/>
        <w:ind w:firstLine="640" w:firstLineChars="200"/>
        <w:jc w:val="left"/>
        <w:textAlignment w:val="baseline"/>
        <w:outlineLvl w:val="1"/>
        <w:rPr>
          <w:rStyle w:val="10"/>
          <w:rFonts w:ascii="黑体" w:hAnsi="宋体" w:eastAsia="黑体"/>
          <w:b w:val="0"/>
          <w:i w:val="0"/>
          <w:caps w:val="0"/>
          <w:color w:val="000000"/>
          <w:spacing w:val="0"/>
          <w:w w:val="100"/>
          <w:kern w:val="0"/>
          <w:sz w:val="32"/>
          <w:szCs w:val="32"/>
          <w:lang w:val="en-US" w:eastAsia="zh-CN" w:bidi="ar-SA"/>
        </w:rPr>
      </w:pPr>
      <w:r>
        <w:rPr>
          <w:rStyle w:val="10"/>
          <w:rFonts w:ascii="仿宋_GB2312" w:hAnsi="宋体" w:eastAsia="仿宋_GB2312"/>
          <w:b w:val="0"/>
          <w:i w:val="0"/>
          <w:caps w:val="0"/>
          <w:color w:val="000000"/>
          <w:spacing w:val="0"/>
          <w:w w:val="100"/>
          <w:kern w:val="0"/>
          <w:sz w:val="32"/>
          <w:szCs w:val="32"/>
          <w:lang w:val="en-US" w:eastAsia="zh-CN" w:bidi="ar-SA"/>
        </w:rPr>
        <w:t xml:space="preserve"> </w:t>
      </w:r>
      <w:bookmarkStart w:id="20" w:name="_Toc27048"/>
      <w:r>
        <w:rPr>
          <w:rStyle w:val="10"/>
          <w:rFonts w:ascii="黑体" w:hAnsi="宋体" w:eastAsia="黑体"/>
          <w:b w:val="0"/>
          <w:i w:val="0"/>
          <w:caps w:val="0"/>
          <w:color w:val="000000"/>
          <w:spacing w:val="0"/>
          <w:w w:val="100"/>
          <w:kern w:val="0"/>
          <w:sz w:val="32"/>
          <w:szCs w:val="32"/>
          <w:lang w:val="en-US" w:eastAsia="zh-CN" w:bidi="ar-SA"/>
        </w:rPr>
        <w:t>二、部门财政资金收支情况</w:t>
      </w:r>
      <w:bookmarkEnd w:id="20"/>
    </w:p>
    <w:p w14:paraId="7AC1A1E3">
      <w:pPr>
        <w:snapToGrid/>
        <w:spacing w:before="0" w:beforeAutospacing="0" w:after="0" w:afterAutospacing="0" w:line="240" w:lineRule="auto"/>
        <w:ind w:firstLine="640" w:firstLineChars="200"/>
        <w:jc w:val="both"/>
        <w:textAlignment w:val="baseline"/>
        <w:rPr>
          <w:rStyle w:val="10"/>
          <w:rFonts w:ascii="仿宋" w:hAnsi="仿宋" w:eastAsia="仿宋"/>
          <w:b w:val="0"/>
          <w:i w:val="0"/>
          <w:caps w:val="0"/>
          <w:spacing w:val="0"/>
          <w:w w:val="100"/>
          <w:kern w:val="2"/>
          <w:sz w:val="32"/>
          <w:szCs w:val="32"/>
          <w:lang w:val="zh-CN" w:eastAsia="zh-CN"/>
        </w:rPr>
      </w:pPr>
      <w:r>
        <w:rPr>
          <w:rStyle w:val="10"/>
          <w:rFonts w:ascii="仿宋" w:hAnsi="仿宋" w:eastAsia="仿宋"/>
          <w:b w:val="0"/>
          <w:i w:val="0"/>
          <w:caps w:val="0"/>
          <w:spacing w:val="0"/>
          <w:w w:val="100"/>
          <w:kern w:val="2"/>
          <w:sz w:val="32"/>
          <w:szCs w:val="32"/>
          <w:lang w:val="zh-CN" w:eastAsia="zh-CN"/>
        </w:rPr>
        <w:t>（一）部门财政资金收入情况。20</w:t>
      </w:r>
      <w:r>
        <w:rPr>
          <w:rStyle w:val="10"/>
          <w:rFonts w:ascii="仿宋" w:hAnsi="仿宋" w:eastAsia="仿宋"/>
          <w:b w:val="0"/>
          <w:i w:val="0"/>
          <w:caps w:val="0"/>
          <w:spacing w:val="0"/>
          <w:w w:val="100"/>
          <w:kern w:val="2"/>
          <w:sz w:val="32"/>
          <w:szCs w:val="32"/>
          <w:lang w:val="en-US" w:eastAsia="zh-CN"/>
        </w:rPr>
        <w:t>20</w:t>
      </w:r>
      <w:r>
        <w:rPr>
          <w:rStyle w:val="10"/>
          <w:rFonts w:ascii="仿宋" w:hAnsi="仿宋" w:eastAsia="仿宋"/>
          <w:b w:val="0"/>
          <w:i w:val="0"/>
          <w:caps w:val="0"/>
          <w:spacing w:val="0"/>
          <w:w w:val="100"/>
          <w:kern w:val="2"/>
          <w:sz w:val="32"/>
          <w:szCs w:val="32"/>
          <w:lang w:val="zh-CN" w:eastAsia="zh-CN"/>
        </w:rPr>
        <w:t>年财政拨款收入</w:t>
      </w:r>
      <w:r>
        <w:rPr>
          <w:rStyle w:val="10"/>
          <w:rFonts w:ascii="仿宋" w:hAnsi="仿宋" w:eastAsia="仿宋"/>
          <w:b w:val="0"/>
          <w:i w:val="0"/>
          <w:caps w:val="0"/>
          <w:spacing w:val="0"/>
          <w:w w:val="100"/>
          <w:kern w:val="2"/>
          <w:sz w:val="32"/>
          <w:szCs w:val="32"/>
          <w:lang w:val="en-US" w:eastAsia="zh-CN"/>
        </w:rPr>
        <w:t>15009.15</w:t>
      </w:r>
      <w:r>
        <w:rPr>
          <w:rStyle w:val="10"/>
          <w:rFonts w:ascii="仿宋" w:hAnsi="仿宋" w:eastAsia="仿宋"/>
          <w:b w:val="0"/>
          <w:i w:val="0"/>
          <w:caps w:val="0"/>
          <w:spacing w:val="0"/>
          <w:w w:val="100"/>
          <w:kern w:val="2"/>
          <w:sz w:val="32"/>
          <w:szCs w:val="32"/>
          <w:lang w:val="zh-CN" w:eastAsia="zh-CN"/>
        </w:rPr>
        <w:t>万元。</w:t>
      </w:r>
    </w:p>
    <w:p w14:paraId="4325F804">
      <w:pPr>
        <w:snapToGrid/>
        <w:spacing w:before="0" w:beforeAutospacing="0" w:after="0" w:afterAutospacing="0" w:line="240" w:lineRule="auto"/>
        <w:ind w:firstLine="640" w:firstLineChars="200"/>
        <w:jc w:val="both"/>
        <w:textAlignment w:val="baseline"/>
        <w:rPr>
          <w:rStyle w:val="10"/>
          <w:rFonts w:ascii="仿宋" w:hAnsi="仿宋" w:eastAsia="仿宋"/>
          <w:b w:val="0"/>
          <w:i w:val="0"/>
          <w:caps w:val="0"/>
          <w:spacing w:val="0"/>
          <w:w w:val="100"/>
          <w:kern w:val="2"/>
          <w:sz w:val="32"/>
          <w:szCs w:val="32"/>
          <w:lang w:val="zh-CN" w:eastAsia="zh-CN"/>
        </w:rPr>
      </w:pPr>
      <w:r>
        <w:rPr>
          <w:rStyle w:val="10"/>
          <w:rFonts w:ascii="仿宋" w:hAnsi="仿宋" w:eastAsia="仿宋"/>
          <w:b w:val="0"/>
          <w:i w:val="0"/>
          <w:caps w:val="0"/>
          <w:spacing w:val="0"/>
          <w:w w:val="100"/>
          <w:kern w:val="2"/>
          <w:sz w:val="32"/>
          <w:szCs w:val="32"/>
          <w:lang w:val="zh-CN" w:eastAsia="zh-CN"/>
        </w:rPr>
        <w:t>（二）部门财政资金支出情况。20</w:t>
      </w:r>
      <w:r>
        <w:rPr>
          <w:rStyle w:val="10"/>
          <w:rFonts w:ascii="仿宋" w:hAnsi="仿宋" w:eastAsia="仿宋"/>
          <w:b w:val="0"/>
          <w:i w:val="0"/>
          <w:caps w:val="0"/>
          <w:spacing w:val="0"/>
          <w:w w:val="100"/>
          <w:kern w:val="2"/>
          <w:sz w:val="32"/>
          <w:szCs w:val="32"/>
          <w:lang w:val="en-US" w:eastAsia="zh-CN"/>
        </w:rPr>
        <w:t>20</w:t>
      </w:r>
      <w:r>
        <w:rPr>
          <w:rStyle w:val="10"/>
          <w:rFonts w:ascii="仿宋" w:hAnsi="仿宋" w:eastAsia="仿宋"/>
          <w:b w:val="0"/>
          <w:i w:val="0"/>
          <w:caps w:val="0"/>
          <w:spacing w:val="0"/>
          <w:w w:val="100"/>
          <w:kern w:val="2"/>
          <w:sz w:val="32"/>
          <w:szCs w:val="32"/>
          <w:lang w:val="zh-CN" w:eastAsia="zh-CN"/>
        </w:rPr>
        <w:t>年财政拨款支出</w:t>
      </w:r>
      <w:r>
        <w:rPr>
          <w:rStyle w:val="10"/>
          <w:rFonts w:ascii="仿宋" w:hAnsi="仿宋" w:eastAsia="仿宋"/>
          <w:b w:val="0"/>
          <w:i w:val="0"/>
          <w:caps w:val="0"/>
          <w:spacing w:val="0"/>
          <w:w w:val="100"/>
          <w:kern w:val="2"/>
          <w:sz w:val="32"/>
          <w:szCs w:val="32"/>
          <w:lang w:val="en-US" w:eastAsia="zh-CN"/>
        </w:rPr>
        <w:t>15009.15</w:t>
      </w:r>
      <w:r>
        <w:rPr>
          <w:rStyle w:val="10"/>
          <w:rFonts w:ascii="仿宋" w:hAnsi="仿宋" w:eastAsia="仿宋"/>
          <w:b w:val="0"/>
          <w:i w:val="0"/>
          <w:caps w:val="0"/>
          <w:spacing w:val="0"/>
          <w:w w:val="100"/>
          <w:kern w:val="2"/>
          <w:sz w:val="32"/>
          <w:szCs w:val="32"/>
          <w:lang w:val="zh-CN" w:eastAsia="zh-CN"/>
        </w:rPr>
        <w:t>万元。</w:t>
      </w:r>
    </w:p>
    <w:p w14:paraId="0DBC8733">
      <w:pPr>
        <w:widowControl/>
        <w:snapToGrid w:val="0"/>
        <w:spacing w:before="0" w:beforeAutospacing="0" w:after="0" w:afterAutospacing="0" w:line="580" w:lineRule="exact"/>
        <w:ind w:firstLine="640" w:firstLineChars="200"/>
        <w:jc w:val="left"/>
        <w:textAlignment w:val="baseline"/>
        <w:outlineLvl w:val="1"/>
        <w:rPr>
          <w:rStyle w:val="10"/>
          <w:rFonts w:ascii="黑体" w:hAnsi="宋体" w:eastAsia="黑体"/>
          <w:b w:val="0"/>
          <w:i w:val="0"/>
          <w:caps w:val="0"/>
          <w:color w:val="000000"/>
          <w:spacing w:val="0"/>
          <w:w w:val="100"/>
          <w:kern w:val="0"/>
          <w:sz w:val="32"/>
          <w:szCs w:val="32"/>
          <w:lang w:val="en-US" w:eastAsia="zh-CN" w:bidi="ar-SA"/>
        </w:rPr>
      </w:pPr>
      <w:bookmarkStart w:id="21" w:name="_Toc18811"/>
      <w:r>
        <w:rPr>
          <w:rStyle w:val="10"/>
          <w:rFonts w:ascii="黑体" w:hAnsi="宋体" w:eastAsia="黑体"/>
          <w:b w:val="0"/>
          <w:i w:val="0"/>
          <w:caps w:val="0"/>
          <w:color w:val="000000"/>
          <w:spacing w:val="0"/>
          <w:w w:val="100"/>
          <w:kern w:val="0"/>
          <w:sz w:val="32"/>
          <w:szCs w:val="32"/>
          <w:lang w:val="en-US" w:eastAsia="zh-CN" w:bidi="ar-SA"/>
        </w:rPr>
        <w:t>三、部门整体预算绩效管理情况</w:t>
      </w:r>
      <w:bookmarkEnd w:id="21"/>
    </w:p>
    <w:p w14:paraId="105F86EF">
      <w:pPr>
        <w:widowControl/>
        <w:snapToGrid w:val="0"/>
        <w:spacing w:before="0" w:beforeAutospacing="0" w:after="0" w:afterAutospacing="0" w:line="580" w:lineRule="exact"/>
        <w:ind w:firstLine="640" w:firstLineChars="200"/>
        <w:jc w:val="left"/>
        <w:textAlignment w:val="baseline"/>
        <w:rPr>
          <w:rStyle w:val="10"/>
          <w:rFonts w:ascii="仿宋_GB2312" w:hAnsi="宋体" w:eastAsia="仿宋_GB2312"/>
          <w:b w:val="0"/>
          <w:i w:val="0"/>
          <w:caps w:val="0"/>
          <w:color w:val="000000"/>
          <w:spacing w:val="0"/>
          <w:w w:val="100"/>
          <w:kern w:val="0"/>
          <w:sz w:val="32"/>
          <w:szCs w:val="32"/>
          <w:lang w:val="zh-CN" w:eastAsia="zh-CN" w:bidi="ar-SA"/>
        </w:rPr>
      </w:pPr>
      <w:r>
        <w:rPr>
          <w:rStyle w:val="10"/>
          <w:rFonts w:ascii="仿宋_GB2312" w:hAnsi="宋体" w:eastAsia="仿宋_GB2312"/>
          <w:b w:val="0"/>
          <w:i w:val="0"/>
          <w:caps w:val="0"/>
          <w:color w:val="000000"/>
          <w:spacing w:val="0"/>
          <w:w w:val="100"/>
          <w:kern w:val="0"/>
          <w:sz w:val="32"/>
          <w:szCs w:val="32"/>
          <w:lang w:val="zh-CN" w:eastAsia="zh-CN" w:bidi="ar-SA"/>
        </w:rPr>
        <w:t>（一）部门预算管理。</w:t>
      </w:r>
    </w:p>
    <w:p w14:paraId="2427E09D">
      <w:pPr>
        <w:snapToGrid/>
        <w:spacing w:before="0" w:beforeAutospacing="0" w:after="0" w:afterAutospacing="0" w:line="240" w:lineRule="auto"/>
        <w:ind w:firstLine="640" w:firstLineChars="200"/>
        <w:jc w:val="both"/>
        <w:textAlignment w:val="baseline"/>
        <w:rPr>
          <w:rStyle w:val="10"/>
          <w:rFonts w:ascii="仿宋" w:hAnsi="仿宋" w:eastAsia="仿宋"/>
          <w:b w:val="0"/>
          <w:i w:val="0"/>
          <w:caps w:val="0"/>
          <w:spacing w:val="0"/>
          <w:w w:val="100"/>
          <w:kern w:val="2"/>
          <w:sz w:val="32"/>
          <w:szCs w:val="32"/>
          <w:lang w:val="zh-CN" w:eastAsia="zh-CN"/>
        </w:rPr>
      </w:pPr>
      <w:r>
        <w:rPr>
          <w:rStyle w:val="10"/>
          <w:rFonts w:ascii="仿宋" w:hAnsi="仿宋" w:eastAsia="仿宋"/>
          <w:b w:val="0"/>
          <w:i w:val="0"/>
          <w:caps w:val="0"/>
          <w:spacing w:val="0"/>
          <w:w w:val="100"/>
          <w:kern w:val="2"/>
          <w:sz w:val="32"/>
          <w:szCs w:val="32"/>
          <w:lang w:val="zh-CN" w:eastAsia="zh-CN"/>
        </w:rPr>
        <w:t>贯彻执行国家、部门有关财经法规规定，坚持厉行节约，量入为出，降低行政事业成本，提高资金使用效益；合理编制预算，制定绩效目标，统筹安排资金，以保障单位正常运转及绩效目标的完成；定期编制财务报告，如实反映行政事业单位预算执行情况，并进行财务活动分析，以促进财务管理建立，健全内部财务管理制度；对单位经济活动进行财务控制和监督，加强对国有资产管理，防止国有资产流失；创新财务管理制度，降低成本，合理配置资源，以实现社会效益和经济效益最大化，提高资金使用效益。</w:t>
      </w:r>
    </w:p>
    <w:p w14:paraId="6F27792E">
      <w:pPr>
        <w:widowControl/>
        <w:snapToGrid w:val="0"/>
        <w:spacing w:before="0" w:beforeAutospacing="0" w:after="0" w:afterAutospacing="0" w:line="580" w:lineRule="exact"/>
        <w:ind w:firstLine="640" w:firstLineChars="200"/>
        <w:jc w:val="left"/>
        <w:textAlignment w:val="baseline"/>
        <w:rPr>
          <w:rStyle w:val="10"/>
          <w:rFonts w:ascii="仿宋_GB2312" w:hAnsi="宋体" w:eastAsia="仿宋_GB2312"/>
          <w:b w:val="0"/>
          <w:i w:val="0"/>
          <w:caps w:val="0"/>
          <w:color w:val="000000"/>
          <w:spacing w:val="0"/>
          <w:w w:val="100"/>
          <w:kern w:val="0"/>
          <w:sz w:val="32"/>
          <w:szCs w:val="32"/>
          <w:lang w:val="zh-CN" w:eastAsia="zh-CN" w:bidi="ar-SA"/>
        </w:rPr>
      </w:pPr>
      <w:r>
        <w:rPr>
          <w:rStyle w:val="10"/>
          <w:rFonts w:ascii="仿宋_GB2312" w:hAnsi="宋体" w:eastAsia="仿宋_GB2312"/>
          <w:b w:val="0"/>
          <w:i w:val="0"/>
          <w:caps w:val="0"/>
          <w:color w:val="000000"/>
          <w:spacing w:val="0"/>
          <w:w w:val="100"/>
          <w:kern w:val="0"/>
          <w:sz w:val="32"/>
          <w:szCs w:val="32"/>
          <w:lang w:val="zh-CN" w:eastAsia="zh-CN" w:bidi="ar-SA"/>
        </w:rPr>
        <w:t>（二）结果应用情况。</w:t>
      </w:r>
    </w:p>
    <w:p w14:paraId="3F1CA838">
      <w:pPr>
        <w:snapToGrid/>
        <w:spacing w:before="0" w:beforeAutospacing="0" w:after="0" w:afterAutospacing="0" w:line="240" w:lineRule="auto"/>
        <w:ind w:firstLine="640" w:firstLineChars="200"/>
        <w:jc w:val="both"/>
        <w:textAlignment w:val="baseline"/>
        <w:rPr>
          <w:rStyle w:val="10"/>
          <w:rFonts w:ascii="仿宋" w:hAnsi="仿宋" w:eastAsia="仿宋"/>
          <w:b w:val="0"/>
          <w:i w:val="0"/>
          <w:caps w:val="0"/>
          <w:spacing w:val="0"/>
          <w:w w:val="100"/>
          <w:kern w:val="2"/>
          <w:sz w:val="32"/>
          <w:szCs w:val="32"/>
          <w:lang w:val="zh-CN" w:eastAsia="zh-CN"/>
        </w:rPr>
      </w:pPr>
      <w:r>
        <w:rPr>
          <w:rStyle w:val="10"/>
          <w:rFonts w:ascii="仿宋" w:hAnsi="仿宋" w:eastAsia="仿宋"/>
          <w:b w:val="0"/>
          <w:i w:val="0"/>
          <w:caps w:val="0"/>
          <w:spacing w:val="0"/>
          <w:w w:val="100"/>
          <w:kern w:val="2"/>
          <w:sz w:val="32"/>
          <w:szCs w:val="32"/>
          <w:lang w:val="zh-CN" w:eastAsia="zh-CN"/>
        </w:rPr>
        <w:t>20</w:t>
      </w:r>
      <w:r>
        <w:rPr>
          <w:rStyle w:val="10"/>
          <w:rFonts w:ascii="仿宋" w:hAnsi="仿宋" w:eastAsia="仿宋"/>
          <w:b w:val="0"/>
          <w:i w:val="0"/>
          <w:caps w:val="0"/>
          <w:spacing w:val="0"/>
          <w:w w:val="100"/>
          <w:kern w:val="2"/>
          <w:sz w:val="32"/>
          <w:szCs w:val="32"/>
          <w:lang w:val="en-US" w:eastAsia="zh-CN"/>
        </w:rPr>
        <w:t>20</w:t>
      </w:r>
      <w:r>
        <w:rPr>
          <w:rStyle w:val="10"/>
          <w:rFonts w:ascii="仿宋" w:hAnsi="仿宋" w:eastAsia="仿宋"/>
          <w:b w:val="0"/>
          <w:i w:val="0"/>
          <w:caps w:val="0"/>
          <w:spacing w:val="0"/>
          <w:w w:val="100"/>
          <w:kern w:val="2"/>
          <w:sz w:val="32"/>
          <w:szCs w:val="32"/>
          <w:lang w:val="zh-CN" w:eastAsia="zh-CN"/>
        </w:rPr>
        <w:t>年卫生系统财务支出基本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基本完成，在保障机关运转、履行职能职责上整体情况良好。</w:t>
      </w:r>
    </w:p>
    <w:p w14:paraId="6F3DF852">
      <w:pPr>
        <w:widowControl/>
        <w:snapToGrid w:val="0"/>
        <w:spacing w:before="0" w:beforeAutospacing="0" w:after="0" w:afterAutospacing="0" w:line="580" w:lineRule="exact"/>
        <w:ind w:firstLine="640" w:firstLineChars="200"/>
        <w:jc w:val="left"/>
        <w:textAlignment w:val="baseline"/>
        <w:outlineLvl w:val="1"/>
        <w:rPr>
          <w:rStyle w:val="10"/>
          <w:rFonts w:ascii="黑体" w:hAnsi="宋体" w:eastAsia="黑体"/>
          <w:b w:val="0"/>
          <w:i w:val="0"/>
          <w:caps w:val="0"/>
          <w:color w:val="000000"/>
          <w:spacing w:val="0"/>
          <w:w w:val="100"/>
          <w:kern w:val="0"/>
          <w:sz w:val="32"/>
          <w:szCs w:val="32"/>
          <w:lang w:val="en-US" w:eastAsia="zh-CN" w:bidi="ar-SA"/>
        </w:rPr>
      </w:pPr>
      <w:bookmarkStart w:id="22" w:name="_Toc5024"/>
      <w:r>
        <w:rPr>
          <w:rStyle w:val="10"/>
          <w:rFonts w:ascii="黑体" w:hAnsi="宋体" w:eastAsia="黑体"/>
          <w:b w:val="0"/>
          <w:i w:val="0"/>
          <w:caps w:val="0"/>
          <w:color w:val="000000"/>
          <w:spacing w:val="0"/>
          <w:w w:val="100"/>
          <w:kern w:val="0"/>
          <w:sz w:val="32"/>
          <w:szCs w:val="32"/>
          <w:lang w:val="en-US" w:eastAsia="zh-CN" w:bidi="ar-SA"/>
        </w:rPr>
        <w:t>四、评价结论及建议</w:t>
      </w:r>
      <w:bookmarkEnd w:id="22"/>
    </w:p>
    <w:p w14:paraId="4C10A29E">
      <w:pPr>
        <w:snapToGrid/>
        <w:spacing w:before="0" w:beforeAutospacing="0" w:after="0" w:afterAutospacing="0" w:line="600" w:lineRule="atLeast"/>
        <w:ind w:firstLine="640" w:firstLineChars="200"/>
        <w:jc w:val="both"/>
        <w:textAlignment w:val="baseline"/>
        <w:rPr>
          <w:rStyle w:val="10"/>
          <w:rFonts w:ascii="仿宋" w:hAnsi="仿宋" w:eastAsia="仿宋"/>
          <w:b w:val="0"/>
          <w:i w:val="0"/>
          <w:caps w:val="0"/>
          <w:spacing w:val="0"/>
          <w:w w:val="100"/>
          <w:kern w:val="2"/>
          <w:sz w:val="32"/>
          <w:szCs w:val="32"/>
          <w:lang w:val="en-US" w:eastAsia="zh-CN" w:bidi="ar-SA"/>
        </w:rPr>
      </w:pPr>
      <w:r>
        <w:rPr>
          <w:rStyle w:val="10"/>
          <w:rFonts w:ascii="仿宋" w:hAnsi="仿宋" w:eastAsia="仿宋"/>
          <w:b w:val="0"/>
          <w:i w:val="0"/>
          <w:caps w:val="0"/>
          <w:spacing w:val="0"/>
          <w:w w:val="100"/>
          <w:kern w:val="2"/>
          <w:sz w:val="32"/>
          <w:szCs w:val="32"/>
          <w:lang w:val="en-US" w:eastAsia="zh-CN" w:bidi="ar-SA"/>
        </w:rPr>
        <w:t>（一）评价结论。以相关资料为基础，经过认真审核和核对，</w:t>
      </w:r>
      <w:r>
        <w:rPr>
          <w:rStyle w:val="10"/>
          <w:rFonts w:ascii="仿宋_GB2312" w:eastAsia="仿宋_GB2312"/>
          <w:b w:val="0"/>
          <w:i w:val="0"/>
          <w:caps w:val="0"/>
          <w:color w:val="000000"/>
          <w:spacing w:val="0"/>
          <w:w w:val="100"/>
          <w:kern w:val="2"/>
          <w:sz w:val="32"/>
          <w:szCs w:val="32"/>
          <w:lang w:val="en-US" w:eastAsia="zh-CN" w:bidi="ar-SA"/>
        </w:rPr>
        <w:t>本部门对2020年整体支出开展绩效自评，自评得分90分。</w:t>
      </w:r>
    </w:p>
    <w:p w14:paraId="17AB13CB">
      <w:pPr>
        <w:snapToGrid/>
        <w:spacing w:before="0" w:beforeAutospacing="0" w:after="0" w:afterAutospacing="0" w:line="600" w:lineRule="atLeast"/>
        <w:ind w:firstLine="640" w:firstLineChars="200"/>
        <w:jc w:val="both"/>
        <w:textAlignment w:val="baseline"/>
        <w:rPr>
          <w:rStyle w:val="10"/>
          <w:rFonts w:ascii="仿宋_GB2312" w:eastAsia="仿宋_GB2312"/>
          <w:b w:val="0"/>
          <w:i w:val="0"/>
          <w:caps w:val="0"/>
          <w:color w:val="000000"/>
          <w:spacing w:val="0"/>
          <w:w w:val="100"/>
          <w:kern w:val="2"/>
          <w:sz w:val="32"/>
          <w:szCs w:val="32"/>
          <w:lang w:val="zh-CN" w:eastAsia="zh-CN" w:bidi="ar-SA"/>
        </w:rPr>
      </w:pPr>
      <w:r>
        <w:rPr>
          <w:rStyle w:val="10"/>
          <w:rFonts w:ascii="仿宋_GB2312" w:eastAsia="仿宋_GB2312"/>
          <w:b w:val="0"/>
          <w:i w:val="0"/>
          <w:caps w:val="0"/>
          <w:color w:val="000000"/>
          <w:spacing w:val="0"/>
          <w:w w:val="100"/>
          <w:kern w:val="2"/>
          <w:sz w:val="32"/>
          <w:szCs w:val="32"/>
          <w:lang w:val="en-US" w:eastAsia="zh-CN" w:bidi="ar-SA"/>
        </w:rPr>
        <w:t>（二）存在问题。</w:t>
      </w:r>
      <w:r>
        <w:rPr>
          <w:rStyle w:val="10"/>
          <w:rFonts w:ascii="仿宋_GB2312" w:eastAsia="仿宋_GB2312"/>
          <w:b w:val="0"/>
          <w:i w:val="0"/>
          <w:caps w:val="0"/>
          <w:color w:val="000000"/>
          <w:spacing w:val="0"/>
          <w:w w:val="100"/>
          <w:kern w:val="2"/>
          <w:sz w:val="32"/>
          <w:szCs w:val="32"/>
          <w:lang w:val="zh-CN" w:eastAsia="zh-CN" w:bidi="ar-SA"/>
        </w:rPr>
        <w:t>一是内部控制制度还需进一步完善及加强，存在消费结算不及时、公务卡使用没强制执行、部分费用支出控制不好、部分项目监督管理未落实到相关股室（人）等；二是对部分项目未开展系统的绩效评价，把平常的督查工作当作绩效评价工作开展，对预算执行过程疏于监督管理，未进行中期评估，对绩效评价的结果运用不好；三是部份项目经费使用缓慢，主管部门收到资金文件后，拟定使用方案，形成资金使用报告，经批复后才能使用，项目单位等到资金落实后方才实施，导致资金当年不能使用完毕，易形成结转。</w:t>
      </w:r>
    </w:p>
    <w:p w14:paraId="7B9CD181">
      <w:pPr>
        <w:snapToGrid/>
        <w:spacing w:before="0" w:beforeAutospacing="0" w:after="0" w:afterAutospacing="0" w:line="600" w:lineRule="atLeas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 w:hAnsi="仿宋" w:eastAsia="仿宋"/>
          <w:b w:val="0"/>
          <w:i w:val="0"/>
          <w:caps w:val="0"/>
          <w:spacing w:val="0"/>
          <w:w w:val="100"/>
          <w:kern w:val="2"/>
          <w:sz w:val="32"/>
          <w:szCs w:val="32"/>
          <w:lang w:val="en-US" w:eastAsia="zh-CN" w:bidi="ar-SA"/>
        </w:rPr>
        <w:t>（三）改进建议。</w:t>
      </w:r>
      <w:r>
        <w:rPr>
          <w:rStyle w:val="10"/>
          <w:rFonts w:ascii="仿宋_GB2312" w:eastAsia="仿宋_GB2312"/>
          <w:b w:val="0"/>
          <w:i w:val="0"/>
          <w:caps w:val="0"/>
          <w:color w:val="000000"/>
          <w:spacing w:val="0"/>
          <w:w w:val="100"/>
          <w:kern w:val="2"/>
          <w:sz w:val="32"/>
          <w:szCs w:val="32"/>
          <w:lang w:val="en-US" w:eastAsia="zh-CN" w:bidi="ar-SA"/>
        </w:rPr>
        <w:t>一是建立健全单位内部控制制度，制定完善的管理措施，落实责任股室及责任人，组织职工学习相关政策法规，推动单位支出合规性，保障资金使用安全；二是对系统整体开支，加大监督力度，注重资金使用过程中的风险与问题，及早发现及早整改，组织专人开展绩效评价，对绩效评价结果积极运用；三是加快资金使用进度，尽量缩短资金使用方案审批时间，积极协调专项资金及时到位，督促项目单位加快进度，确保当年资金不滞留。</w:t>
      </w:r>
    </w:p>
    <w:p w14:paraId="5E78B7DA">
      <w:pPr>
        <w:snapToGrid/>
        <w:spacing w:before="0" w:beforeAutospacing="0" w:after="0" w:afterAutospacing="0" w:line="580"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p>
    <w:p w14:paraId="605A3438">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仿宋_GB2312" w:hAnsi="仿宋_GB2312"/>
          <w:b w:val="0"/>
          <w:i w:val="0"/>
          <w:caps w:val="0"/>
          <w:spacing w:val="0"/>
          <w:w w:val="100"/>
          <w:sz w:val="21"/>
          <w:szCs w:val="32"/>
        </w:rPr>
      </w:pPr>
    </w:p>
    <w:p w14:paraId="6CA99942">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仿宋_GB2312" w:hAnsi="仿宋_GB2312"/>
          <w:b w:val="0"/>
          <w:i w:val="0"/>
          <w:caps w:val="0"/>
          <w:spacing w:val="0"/>
          <w:w w:val="100"/>
          <w:sz w:val="21"/>
          <w:szCs w:val="32"/>
        </w:rPr>
      </w:pPr>
    </w:p>
    <w:p w14:paraId="269D83F3">
      <w:pPr>
        <w:pStyle w:val="2"/>
        <w:widowControl/>
        <w:pBdr>
          <w:top w:val="none" w:color="auto" w:sz="0" w:space="0"/>
          <w:left w:val="none" w:color="auto" w:sz="0" w:space="0"/>
          <w:bottom w:val="none" w:color="auto" w:sz="0" w:space="0"/>
          <w:right w:val="none" w:color="auto" w:sz="0" w:space="0"/>
        </w:pBdr>
        <w:snapToGrid/>
        <w:spacing w:before="0" w:beforeAutospacing="0" w:after="0" w:afterAutospacing="0" w:line="240" w:lineRule="auto"/>
        <w:ind w:left="0" w:right="0" w:firstLine="420" w:firstLineChars="200"/>
        <w:jc w:val="both"/>
        <w:textAlignment w:val="baseline"/>
        <w:rPr>
          <w:rStyle w:val="10"/>
          <w:rFonts w:ascii="仿宋_GB2312" w:hAnsi="仿宋_GB2312"/>
          <w:b w:val="0"/>
          <w:i w:val="0"/>
          <w:caps w:val="0"/>
          <w:spacing w:val="0"/>
          <w:w w:val="100"/>
          <w:sz w:val="21"/>
          <w:szCs w:val="32"/>
        </w:rPr>
      </w:pPr>
    </w:p>
    <w:p w14:paraId="48775A23">
      <w:pPr>
        <w:snapToGrid/>
        <w:spacing w:before="0" w:beforeAutospacing="0" w:after="0" w:afterAutospacing="0" w:line="600" w:lineRule="exact"/>
        <w:jc w:val="left"/>
        <w:textAlignment w:val="baseline"/>
        <w:rPr>
          <w:rStyle w:val="10"/>
          <w:rFonts w:ascii="黑体" w:hAnsi="黑体" w:eastAsia="黑体"/>
          <w:b w:val="0"/>
          <w:i w:val="0"/>
          <w:caps w:val="0"/>
          <w:spacing w:val="0"/>
          <w:w w:val="100"/>
          <w:kern w:val="2"/>
          <w:sz w:val="32"/>
          <w:szCs w:val="32"/>
          <w:lang w:val="en-US" w:eastAsia="zh-CN" w:bidi="ar-SA"/>
        </w:rPr>
      </w:pPr>
      <w:r>
        <w:rPr>
          <w:rStyle w:val="10"/>
          <w:rFonts w:ascii="黑体" w:hAnsi="黑体" w:eastAsia="黑体"/>
          <w:b w:val="0"/>
          <w:i w:val="0"/>
          <w:caps w:val="0"/>
          <w:spacing w:val="0"/>
          <w:w w:val="100"/>
          <w:kern w:val="2"/>
          <w:sz w:val="32"/>
          <w:szCs w:val="32"/>
          <w:lang w:val="en-US" w:eastAsia="zh-CN" w:bidi="ar-SA"/>
        </w:rPr>
        <w:t>附件2</w:t>
      </w:r>
    </w:p>
    <w:p w14:paraId="754DBAAF">
      <w:pPr>
        <w:snapToGrid/>
        <w:spacing w:before="0" w:beforeAutospacing="0" w:after="0" w:afterAutospacing="0" w:line="600" w:lineRule="exact"/>
        <w:jc w:val="center"/>
        <w:textAlignment w:val="baseline"/>
        <w:rPr>
          <w:rStyle w:val="10"/>
          <w:rFonts w:ascii="方正小标宋简体" w:hAnsi="方正小标宋简体" w:eastAsia="方正小标宋简体"/>
          <w:b w:val="0"/>
          <w:i w:val="0"/>
          <w:caps w:val="0"/>
          <w:spacing w:val="0"/>
          <w:w w:val="100"/>
          <w:kern w:val="2"/>
          <w:sz w:val="44"/>
          <w:szCs w:val="44"/>
          <w:lang w:val="en-US" w:eastAsia="zh-CN" w:bidi="ar-SA"/>
        </w:rPr>
      </w:pPr>
      <w:r>
        <w:rPr>
          <w:rStyle w:val="10"/>
          <w:rFonts w:ascii="方正小标宋简体" w:hAnsi="方正小标宋简体" w:eastAsia="方正小标宋简体"/>
          <w:b w:val="0"/>
          <w:i w:val="0"/>
          <w:caps w:val="0"/>
          <w:spacing w:val="0"/>
          <w:w w:val="100"/>
          <w:kern w:val="2"/>
          <w:sz w:val="44"/>
          <w:szCs w:val="44"/>
          <w:lang w:val="en-US" w:eastAsia="zh-CN" w:bidi="ar-SA"/>
        </w:rPr>
        <w:t>计划生育家庭奖励扶助项目</w:t>
      </w:r>
    </w:p>
    <w:p w14:paraId="1C03E979">
      <w:pPr>
        <w:snapToGrid/>
        <w:spacing w:before="0" w:beforeAutospacing="0" w:after="0" w:afterAutospacing="0" w:line="600" w:lineRule="exact"/>
        <w:jc w:val="center"/>
        <w:textAlignment w:val="baseline"/>
        <w:rPr>
          <w:rStyle w:val="10"/>
          <w:rFonts w:ascii="方正小标宋简体" w:hAnsi="宋体" w:eastAsia="方正小标宋简体"/>
          <w:b w:val="0"/>
          <w:i w:val="0"/>
          <w:caps w:val="0"/>
          <w:color w:val="000000"/>
          <w:spacing w:val="0"/>
          <w:w w:val="100"/>
          <w:kern w:val="0"/>
          <w:sz w:val="44"/>
          <w:szCs w:val="44"/>
          <w:lang w:val="zh-CN" w:eastAsia="zh-CN" w:bidi="ar-SA"/>
        </w:rPr>
      </w:pPr>
      <w:r>
        <w:rPr>
          <w:rStyle w:val="10"/>
          <w:rFonts w:ascii="方正小标宋简体" w:hAnsi="宋体" w:eastAsia="方正小标宋简体"/>
          <w:b w:val="0"/>
          <w:i w:val="0"/>
          <w:caps w:val="0"/>
          <w:color w:val="000000"/>
          <w:spacing w:val="0"/>
          <w:w w:val="100"/>
          <w:kern w:val="0"/>
          <w:sz w:val="44"/>
          <w:szCs w:val="44"/>
          <w:lang w:val="en-US" w:eastAsia="zh-CN" w:bidi="ar-SA"/>
        </w:rPr>
        <w:t>2020年</w:t>
      </w:r>
      <w:r>
        <w:rPr>
          <w:rStyle w:val="10"/>
          <w:rFonts w:ascii="方正小标宋简体" w:hAnsi="宋体" w:eastAsia="方正小标宋简体"/>
          <w:b w:val="0"/>
          <w:i w:val="0"/>
          <w:caps w:val="0"/>
          <w:color w:val="000000"/>
          <w:spacing w:val="0"/>
          <w:w w:val="100"/>
          <w:kern w:val="0"/>
          <w:sz w:val="44"/>
          <w:szCs w:val="44"/>
          <w:lang w:val="zh-CN" w:eastAsia="zh-CN" w:bidi="ar-SA"/>
        </w:rPr>
        <w:t>绩效评价报告</w:t>
      </w:r>
    </w:p>
    <w:p w14:paraId="37C454EE">
      <w:pPr>
        <w:snapToGrid/>
        <w:spacing w:before="0" w:beforeAutospacing="0" w:after="0" w:afterAutospacing="0" w:line="576" w:lineRule="exact"/>
        <w:jc w:val="center"/>
        <w:textAlignment w:val="baseline"/>
        <w:rPr>
          <w:rStyle w:val="10"/>
          <w:rFonts w:ascii="方正小标宋简体" w:hAnsi="方正小标宋简体" w:eastAsia="方正小标宋简体"/>
          <w:b w:val="0"/>
          <w:i w:val="0"/>
          <w:caps w:val="0"/>
          <w:spacing w:val="0"/>
          <w:w w:val="100"/>
          <w:kern w:val="2"/>
          <w:sz w:val="44"/>
          <w:szCs w:val="44"/>
          <w:lang w:val="en-US" w:eastAsia="zh-CN" w:bidi="ar-SA"/>
        </w:rPr>
      </w:pPr>
    </w:p>
    <w:p w14:paraId="4C751D84">
      <w:pPr>
        <w:snapToGrid/>
        <w:spacing w:before="0" w:beforeAutospacing="0" w:after="0" w:afterAutospacing="0" w:line="576" w:lineRule="exact"/>
        <w:jc w:val="center"/>
        <w:textAlignment w:val="baseline"/>
        <w:rPr>
          <w:rStyle w:val="10"/>
          <w:rFonts w:ascii="方正小标宋简体" w:hAnsi="方正小标宋简体" w:eastAsia="方正小标宋简体"/>
          <w:b w:val="0"/>
          <w:i w:val="0"/>
          <w:caps w:val="0"/>
          <w:spacing w:val="0"/>
          <w:w w:val="100"/>
          <w:kern w:val="2"/>
          <w:sz w:val="44"/>
          <w:szCs w:val="44"/>
          <w:lang w:val="en-US" w:eastAsia="zh-CN" w:bidi="ar-SA"/>
        </w:rPr>
      </w:pPr>
    </w:p>
    <w:p w14:paraId="43AA5DF9">
      <w:pPr>
        <w:snapToGrid/>
        <w:spacing w:before="0" w:beforeAutospacing="0" w:after="0" w:afterAutospacing="0" w:line="576" w:lineRule="exact"/>
        <w:ind w:firstLine="640" w:firstLineChars="200"/>
        <w:jc w:val="both"/>
        <w:textAlignment w:val="baseline"/>
        <w:outlineLvl w:val="1"/>
        <w:rPr>
          <w:rStyle w:val="10"/>
          <w:rFonts w:ascii="仿宋_GB2312" w:hAnsi="仿宋_GB2312" w:eastAsia="仿宋_GB2312"/>
          <w:b w:val="0"/>
          <w:i w:val="0"/>
          <w:caps w:val="0"/>
          <w:spacing w:val="0"/>
          <w:w w:val="100"/>
          <w:kern w:val="2"/>
          <w:sz w:val="32"/>
          <w:szCs w:val="32"/>
          <w:lang w:val="en-US" w:eastAsia="zh-CN" w:bidi="ar-SA"/>
        </w:rPr>
      </w:pPr>
      <w:bookmarkStart w:id="23" w:name="_Toc20741"/>
      <w:r>
        <w:rPr>
          <w:rStyle w:val="10"/>
          <w:rFonts w:ascii="黑体" w:hAnsi="黑体" w:eastAsia="黑体"/>
          <w:b w:val="0"/>
          <w:i w:val="0"/>
          <w:caps w:val="0"/>
          <w:spacing w:val="0"/>
          <w:w w:val="100"/>
          <w:kern w:val="2"/>
          <w:sz w:val="32"/>
          <w:szCs w:val="32"/>
          <w:lang w:val="en-US" w:eastAsia="zh-CN" w:bidi="ar-SA"/>
        </w:rPr>
        <w:t>一、项目概况</w:t>
      </w:r>
      <w:bookmarkEnd w:id="23"/>
    </w:p>
    <w:p w14:paraId="17B507BE">
      <w:pPr>
        <w:snapToGrid/>
        <w:spacing w:before="0" w:beforeAutospacing="0" w:after="0" w:afterAutospacing="0" w:line="576" w:lineRule="exact"/>
        <w:ind w:firstLine="643" w:firstLineChars="200"/>
        <w:jc w:val="both"/>
        <w:textAlignment w:val="baseline"/>
        <w:rPr>
          <w:rStyle w:val="10"/>
          <w:rFonts w:ascii="仿宋" w:hAnsi="仿宋" w:eastAsia="仿宋"/>
          <w:b w:val="0"/>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（一）项目资金申报及批复情况。</w:t>
      </w:r>
      <w:r>
        <w:rPr>
          <w:rStyle w:val="10"/>
          <w:rFonts w:ascii="仿宋" w:hAnsi="仿宋" w:eastAsia="仿宋"/>
          <w:b w:val="0"/>
          <w:i w:val="0"/>
          <w:caps w:val="0"/>
          <w:spacing w:val="0"/>
          <w:w w:val="100"/>
          <w:kern w:val="2"/>
          <w:sz w:val="32"/>
          <w:szCs w:val="32"/>
          <w:lang w:val="en-US" w:eastAsia="zh-CN" w:bidi="ar-SA"/>
        </w:rPr>
        <w:t>根据广元市昭化区卫生健康局给市卫健委报送的《关于计划生育家庭奖励和扶助资格确认的报告》（昭卫健【2020】33号），确定2020年计划生育家庭奖励扶助应享受对象6591人，人均960元，预算金额为</w:t>
      </w:r>
      <w:r>
        <w:rPr>
          <w:rStyle w:val="10"/>
          <w:rFonts w:ascii="仿宋_GB2312" w:hAnsi="宋体" w:eastAsia="仿宋_GB2312"/>
          <w:b w:val="0"/>
          <w:i w:val="0"/>
          <w:caps w:val="0"/>
          <w:spacing w:val="0"/>
          <w:w w:val="100"/>
          <w:kern w:val="2"/>
          <w:sz w:val="28"/>
          <w:szCs w:val="28"/>
          <w:lang w:val="en-US" w:eastAsia="zh-CN" w:bidi="ar-SA"/>
        </w:rPr>
        <w:t>632.736</w:t>
      </w:r>
      <w:r>
        <w:rPr>
          <w:rStyle w:val="10"/>
          <w:rFonts w:ascii="仿宋" w:hAnsi="仿宋" w:eastAsia="仿宋"/>
          <w:b w:val="0"/>
          <w:i w:val="0"/>
          <w:caps w:val="0"/>
          <w:spacing w:val="0"/>
          <w:w w:val="100"/>
          <w:kern w:val="2"/>
          <w:sz w:val="32"/>
          <w:szCs w:val="32"/>
          <w:lang w:val="en-US" w:eastAsia="zh-CN" w:bidi="ar-SA"/>
        </w:rPr>
        <w:t>万元，特别扶助应享受对象256人，其中：独生子女死亡183人，每户每人每年补助10320元，预算金额为</w:t>
      </w:r>
      <w:r>
        <w:rPr>
          <w:rStyle w:val="10"/>
          <w:rFonts w:ascii="仿宋_GB2312" w:hAnsi="宋体" w:eastAsia="仿宋_GB2312"/>
          <w:b w:val="0"/>
          <w:i w:val="0"/>
          <w:caps w:val="0"/>
          <w:spacing w:val="0"/>
          <w:w w:val="100"/>
          <w:kern w:val="2"/>
          <w:sz w:val="28"/>
          <w:szCs w:val="28"/>
          <w:lang w:val="en-US" w:eastAsia="zh-CN" w:bidi="ar-SA"/>
        </w:rPr>
        <w:t>188.856</w:t>
      </w:r>
      <w:r>
        <w:rPr>
          <w:rStyle w:val="10"/>
          <w:rFonts w:ascii="仿宋" w:hAnsi="仿宋" w:eastAsia="仿宋"/>
          <w:b w:val="0"/>
          <w:i w:val="0"/>
          <w:caps w:val="0"/>
          <w:spacing w:val="0"/>
          <w:w w:val="100"/>
          <w:kern w:val="2"/>
          <w:sz w:val="32"/>
          <w:szCs w:val="32"/>
          <w:lang w:val="en-US" w:eastAsia="zh-CN" w:bidi="ar-SA"/>
        </w:rPr>
        <w:t>万，独生子女伤残73人，每户每人每年补助</w:t>
      </w:r>
      <w:r>
        <w:rPr>
          <w:rStyle w:val="10"/>
          <w:rFonts w:ascii="仿宋_GB2312" w:hAnsi="宋体" w:eastAsia="仿宋_GB2312"/>
          <w:b w:val="0"/>
          <w:i w:val="0"/>
          <w:caps w:val="0"/>
          <w:spacing w:val="0"/>
          <w:w w:val="100"/>
          <w:kern w:val="2"/>
          <w:sz w:val="28"/>
          <w:szCs w:val="28"/>
          <w:lang w:val="en-US" w:eastAsia="zh-CN" w:bidi="ar-SA"/>
        </w:rPr>
        <w:t>8160</w:t>
      </w:r>
      <w:r>
        <w:rPr>
          <w:rStyle w:val="10"/>
          <w:rFonts w:ascii="仿宋" w:hAnsi="仿宋" w:eastAsia="仿宋"/>
          <w:b w:val="0"/>
          <w:i w:val="0"/>
          <w:caps w:val="0"/>
          <w:spacing w:val="0"/>
          <w:w w:val="100"/>
          <w:kern w:val="2"/>
          <w:sz w:val="32"/>
          <w:szCs w:val="32"/>
          <w:lang w:val="en-US" w:eastAsia="zh-CN" w:bidi="ar-SA"/>
        </w:rPr>
        <w:t>元，预算金额为</w:t>
      </w:r>
      <w:r>
        <w:rPr>
          <w:rStyle w:val="10"/>
          <w:rFonts w:ascii="仿宋_GB2312" w:hAnsi="宋体" w:eastAsia="仿宋_GB2312"/>
          <w:b w:val="0"/>
          <w:i w:val="0"/>
          <w:caps w:val="0"/>
          <w:spacing w:val="0"/>
          <w:w w:val="100"/>
          <w:kern w:val="2"/>
          <w:sz w:val="28"/>
          <w:szCs w:val="28"/>
          <w:lang w:val="en-US" w:eastAsia="zh-CN" w:bidi="ar-SA"/>
        </w:rPr>
        <w:t>59.568</w:t>
      </w:r>
      <w:r>
        <w:rPr>
          <w:rStyle w:val="10"/>
          <w:rFonts w:ascii="仿宋" w:hAnsi="仿宋" w:eastAsia="仿宋"/>
          <w:b w:val="0"/>
          <w:i w:val="0"/>
          <w:caps w:val="0"/>
          <w:spacing w:val="0"/>
          <w:w w:val="100"/>
          <w:kern w:val="2"/>
          <w:sz w:val="32"/>
          <w:szCs w:val="32"/>
          <w:lang w:val="en-US" w:eastAsia="zh-CN" w:bidi="ar-SA"/>
        </w:rPr>
        <w:t>万元，总预算金额为881.16万元。</w:t>
      </w:r>
    </w:p>
    <w:p w14:paraId="32C7889D">
      <w:pPr>
        <w:snapToGrid/>
        <w:spacing w:before="0" w:beforeAutospacing="0" w:after="0" w:afterAutospacing="0" w:line="576" w:lineRule="exact"/>
        <w:ind w:firstLine="643" w:firstLineChars="200"/>
        <w:jc w:val="both"/>
        <w:textAlignment w:val="baseline"/>
        <w:rPr>
          <w:rStyle w:val="10"/>
          <w:rFonts w:ascii="仿宋" w:hAnsi="仿宋" w:eastAsia="仿宋"/>
          <w:b w:val="0"/>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（二）项目绩效目标。</w:t>
      </w:r>
      <w:r>
        <w:rPr>
          <w:rStyle w:val="10"/>
          <w:rFonts w:ascii="仿宋" w:hAnsi="仿宋" w:eastAsia="仿宋"/>
          <w:b w:val="0"/>
          <w:i w:val="0"/>
          <w:caps w:val="0"/>
          <w:spacing w:val="0"/>
          <w:w w:val="100"/>
          <w:kern w:val="2"/>
          <w:sz w:val="32"/>
          <w:szCs w:val="32"/>
          <w:lang w:val="en-US" w:eastAsia="zh-CN" w:bidi="ar-SA"/>
        </w:rPr>
        <w:t>计划生育家庭奖励扶助,主要用于农村只有一个子女或两个女孩的计划生育家庭，夫妇年满60周岁（省定夫妇年满55周岁），由中央或地方财政安排专项资金给予奖励扶持的一项基本计划生育奖励制度；计划生育特别扶助，主要用于城镇或农村独生子女死亡或者伤残、病残后未再生育或收养子女家庭的夫妻。通过项目实施，切实保障计划生育家庭合法权益，构建完善的计划生育家庭社会保障体系，增加计划生育家庭抵御风险的能力。</w:t>
      </w:r>
    </w:p>
    <w:p w14:paraId="11749AFB">
      <w:pPr>
        <w:snapToGrid/>
        <w:spacing w:before="0" w:beforeAutospacing="0" w:after="0" w:afterAutospacing="0" w:line="576" w:lineRule="exact"/>
        <w:ind w:firstLine="643"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（三）项目资金申报相符性。</w:t>
      </w:r>
      <w:r>
        <w:rPr>
          <w:rStyle w:val="10"/>
          <w:rFonts w:ascii="仿宋" w:hAnsi="仿宋" w:eastAsia="仿宋"/>
          <w:b w:val="0"/>
          <w:i w:val="0"/>
          <w:caps w:val="0"/>
          <w:spacing w:val="0"/>
          <w:w w:val="100"/>
          <w:kern w:val="2"/>
          <w:sz w:val="32"/>
          <w:szCs w:val="32"/>
          <w:lang w:val="en-US" w:eastAsia="zh-CN" w:bidi="ar-SA"/>
        </w:rPr>
        <w:t>根据广元市昭化区卫生健康局给市卫健委报送的《关于计划生育家庭奖励和扶助资格确认的报告》（昭卫健【2020】33号），确定2020年计划生育家庭奖励扶助应享受对象6591人，特别扶助应享受对象256人，其中：独生子女死亡183人，独生子女伤残73人。我局于2020年9月根据实际应享受的人数申报财政资金，打卡发放兑现补助。2019年11月，经核实该有4人不符合计划生育家庭奖励扶助享受对象，全部退回已支付的奖扶资金到财政专户，应享受计划生育家庭奖励扶助人数为6587人。</w:t>
      </w:r>
    </w:p>
    <w:p w14:paraId="715577C8">
      <w:pPr>
        <w:snapToGrid/>
        <w:spacing w:before="0" w:beforeAutospacing="0" w:after="0" w:afterAutospacing="0" w:line="576" w:lineRule="exact"/>
        <w:ind w:firstLine="640" w:firstLineChars="200"/>
        <w:jc w:val="both"/>
        <w:textAlignment w:val="baseline"/>
        <w:outlineLvl w:val="1"/>
        <w:rPr>
          <w:rStyle w:val="10"/>
          <w:rFonts w:ascii="仿宋_GB2312" w:hAnsi="仿宋_GB2312" w:eastAsia="仿宋_GB2312"/>
          <w:b w:val="0"/>
          <w:i w:val="0"/>
          <w:caps w:val="0"/>
          <w:spacing w:val="0"/>
          <w:w w:val="100"/>
          <w:kern w:val="2"/>
          <w:sz w:val="32"/>
          <w:szCs w:val="32"/>
          <w:lang w:val="en-US" w:eastAsia="zh-CN" w:bidi="ar-SA"/>
        </w:rPr>
      </w:pPr>
      <w:bookmarkStart w:id="24" w:name="_Toc31559"/>
      <w:r>
        <w:rPr>
          <w:rStyle w:val="10"/>
          <w:rFonts w:ascii="黑体" w:hAnsi="黑体" w:eastAsia="黑体"/>
          <w:b w:val="0"/>
          <w:i w:val="0"/>
          <w:caps w:val="0"/>
          <w:spacing w:val="0"/>
          <w:w w:val="100"/>
          <w:kern w:val="2"/>
          <w:sz w:val="32"/>
          <w:szCs w:val="32"/>
          <w:lang w:val="en-US" w:eastAsia="zh-CN" w:bidi="ar-SA"/>
        </w:rPr>
        <w:t>二、项目实施及管理情况</w:t>
      </w:r>
      <w:bookmarkEnd w:id="24"/>
    </w:p>
    <w:p w14:paraId="534A152A">
      <w:pPr>
        <w:snapToGrid/>
        <w:spacing w:before="0" w:beforeAutospacing="0" w:after="0" w:afterAutospacing="0" w:line="576" w:lineRule="exact"/>
        <w:ind w:firstLine="643" w:firstLineChars="200"/>
        <w:jc w:val="both"/>
        <w:textAlignment w:val="baseline"/>
        <w:rPr>
          <w:rStyle w:val="10"/>
          <w:rFonts w:ascii="楷体_GB2312" w:hAnsi="楷体_GB2312" w:eastAsia="楷体_GB2312" w:cs="楷体_GB2312"/>
          <w:b/>
          <w:bCs/>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（一）资金计划、到位及使用情况</w:t>
      </w:r>
    </w:p>
    <w:p w14:paraId="70483C3C">
      <w:pPr>
        <w:snapToGrid/>
        <w:spacing w:before="0" w:beforeAutospacing="0" w:after="0" w:afterAutospacing="0" w:line="576"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1.资金计划及到位。项目总投资881.16万元，资金为中央、省、市、区四级财政资金。资金按照计划时间到位，资金到位率100%。</w:t>
      </w:r>
    </w:p>
    <w:p w14:paraId="4148AB0F">
      <w:pPr>
        <w:snapToGrid/>
        <w:spacing w:before="0" w:beforeAutospacing="0" w:after="0" w:afterAutospacing="0" w:line="576"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2.资金使用。截止评价时点，项目资金实际支出881.16万元，均是通过财政“一卡通”平台直接支付给个人，程序合规合法，资金支付与预算相符。</w:t>
      </w:r>
    </w:p>
    <w:p w14:paraId="7705493B">
      <w:pPr>
        <w:snapToGrid/>
        <w:spacing w:before="0" w:beforeAutospacing="0" w:after="0" w:afterAutospacing="0" w:line="576" w:lineRule="exact"/>
        <w:ind w:firstLine="643" w:firstLineChars="200"/>
        <w:jc w:val="both"/>
        <w:textAlignment w:val="baseline"/>
        <w:rPr>
          <w:rStyle w:val="10"/>
          <w:rFonts w:ascii="楷体_GB2312" w:hAnsi="楷体_GB2312" w:eastAsia="楷体_GB2312" w:cs="楷体_GB2312"/>
          <w:b/>
          <w:bCs/>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（二）项目财务管理情况</w:t>
      </w:r>
    </w:p>
    <w:p w14:paraId="21EED562">
      <w:pPr>
        <w:snapToGrid/>
        <w:spacing w:before="0" w:beforeAutospacing="0" w:after="0" w:afterAutospacing="0" w:line="576"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我局出台了《卫生计生专项资金管理办法》，严格按照专项资金管理办法，专款专用、专科核算。根据专项资金文件规定申报资金，通过“一卡通”平台，由业务股室录入发放人员信息、卡号，通过财政审核后，财务室填报资金发放申请表，将应兑现的资金打卡发放到人头。</w:t>
      </w:r>
    </w:p>
    <w:p w14:paraId="4E0B895D">
      <w:pPr>
        <w:snapToGrid/>
        <w:spacing w:before="0" w:beforeAutospacing="0" w:after="0" w:afterAutospacing="0" w:line="576" w:lineRule="exact"/>
        <w:ind w:firstLine="643" w:firstLineChars="200"/>
        <w:jc w:val="both"/>
        <w:textAlignment w:val="baseline"/>
        <w:rPr>
          <w:rStyle w:val="10"/>
          <w:rFonts w:ascii="楷体_GB2312" w:hAnsi="楷体_GB2312" w:eastAsia="楷体_GB2312" w:cs="楷体_GB2312"/>
          <w:b/>
          <w:bCs/>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（三）项目组织实施情况</w:t>
      </w:r>
    </w:p>
    <w:p w14:paraId="06D1C18F">
      <w:pPr>
        <w:snapToGrid/>
        <w:spacing w:before="0" w:beforeAutospacing="0" w:after="0" w:afterAutospacing="0" w:line="576"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该项目由享受政策的个人申请、乡镇政府收集、区卫健局组织专人审核，在乡镇张榜公示，公示期满形成文件上报给上级部门，由上级部位根据人数确定各级到位的经费。</w:t>
      </w:r>
    </w:p>
    <w:p w14:paraId="3CB50042">
      <w:pPr>
        <w:snapToGrid/>
        <w:spacing w:before="0" w:beforeAutospacing="0" w:after="0" w:afterAutospacing="0" w:line="576" w:lineRule="exact"/>
        <w:ind w:firstLine="640" w:firstLineChars="200"/>
        <w:jc w:val="both"/>
        <w:textAlignment w:val="baseline"/>
        <w:outlineLvl w:val="1"/>
        <w:rPr>
          <w:rStyle w:val="10"/>
          <w:rFonts w:ascii="仿宋_GB2312" w:hAnsi="仿宋_GB2312" w:eastAsia="仿宋_GB2312"/>
          <w:b w:val="0"/>
          <w:i w:val="0"/>
          <w:caps w:val="0"/>
          <w:spacing w:val="0"/>
          <w:w w:val="100"/>
          <w:kern w:val="2"/>
          <w:sz w:val="32"/>
          <w:szCs w:val="32"/>
          <w:lang w:val="en-US" w:eastAsia="zh-CN" w:bidi="ar-SA"/>
        </w:rPr>
      </w:pPr>
      <w:bookmarkStart w:id="25" w:name="_Toc29533"/>
      <w:r>
        <w:rPr>
          <w:rStyle w:val="10"/>
          <w:rFonts w:ascii="黑体" w:hAnsi="黑体" w:eastAsia="黑体"/>
          <w:b w:val="0"/>
          <w:i w:val="0"/>
          <w:caps w:val="0"/>
          <w:spacing w:val="0"/>
          <w:w w:val="100"/>
          <w:kern w:val="2"/>
          <w:sz w:val="32"/>
          <w:szCs w:val="32"/>
          <w:lang w:val="en-US" w:eastAsia="zh-CN" w:bidi="ar-SA"/>
        </w:rPr>
        <w:t>三、项目绩效情况</w:t>
      </w:r>
      <w:bookmarkEnd w:id="25"/>
    </w:p>
    <w:p w14:paraId="13218BF5">
      <w:pPr>
        <w:snapToGrid/>
        <w:spacing w:before="0" w:beforeAutospacing="0" w:after="0" w:afterAutospacing="0" w:line="576" w:lineRule="exact"/>
        <w:ind w:firstLine="643"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（一）项目完成情况</w:t>
      </w:r>
    </w:p>
    <w:p w14:paraId="0A2FAB96">
      <w:pPr>
        <w:snapToGrid/>
        <w:spacing w:before="0" w:beforeAutospacing="0" w:after="0" w:afterAutospacing="0" w:line="576"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 w:hAnsi="仿宋" w:eastAsia="仿宋"/>
          <w:b w:val="0"/>
          <w:i w:val="0"/>
          <w:caps w:val="0"/>
          <w:spacing w:val="0"/>
          <w:w w:val="100"/>
          <w:kern w:val="2"/>
          <w:sz w:val="32"/>
          <w:szCs w:val="32"/>
          <w:lang w:val="en-US" w:eastAsia="zh-CN" w:bidi="ar-SA"/>
        </w:rPr>
        <w:t>已完成计划生育家庭奖励扶助6587人，计划生育特别扶助256人，共计</w:t>
      </w:r>
      <w:r>
        <w:rPr>
          <w:rStyle w:val="10"/>
          <w:rFonts w:ascii="仿宋_GB2312" w:hAnsi="仿宋_GB2312" w:eastAsia="仿宋_GB2312"/>
          <w:b w:val="0"/>
          <w:i w:val="0"/>
          <w:caps w:val="0"/>
          <w:spacing w:val="0"/>
          <w:w w:val="100"/>
          <w:kern w:val="2"/>
          <w:sz w:val="32"/>
          <w:szCs w:val="32"/>
          <w:lang w:val="en-US" w:eastAsia="zh-CN" w:bidi="ar-SA"/>
        </w:rPr>
        <w:t>881.16万元打卡支付。</w:t>
      </w:r>
    </w:p>
    <w:p w14:paraId="79B7C934">
      <w:pPr>
        <w:snapToGrid/>
        <w:spacing w:before="0" w:beforeAutospacing="0" w:after="0" w:afterAutospacing="0" w:line="576" w:lineRule="exact"/>
        <w:ind w:firstLine="643" w:firstLineChars="200"/>
        <w:jc w:val="both"/>
        <w:textAlignment w:val="baseline"/>
        <w:rPr>
          <w:rStyle w:val="10"/>
          <w:rFonts w:ascii="楷体_GB2312" w:hAnsi="楷体_GB2312" w:eastAsia="楷体_GB2312" w:cs="楷体_GB2312"/>
          <w:b/>
          <w:bCs/>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（二）项目效益情况</w:t>
      </w:r>
    </w:p>
    <w:p w14:paraId="546B1F6A">
      <w:pPr>
        <w:snapToGrid/>
        <w:spacing w:before="0" w:beforeAutospacing="0" w:after="0" w:afterAutospacing="0" w:line="576"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该项目属于民生工程，通过该项目的实施，</w:t>
      </w:r>
      <w:r>
        <w:rPr>
          <w:rStyle w:val="10"/>
          <w:rFonts w:ascii="仿宋" w:hAnsi="仿宋" w:eastAsia="仿宋"/>
          <w:b w:val="0"/>
          <w:i w:val="0"/>
          <w:caps w:val="0"/>
          <w:spacing w:val="0"/>
          <w:w w:val="100"/>
          <w:kern w:val="2"/>
          <w:sz w:val="32"/>
          <w:szCs w:val="32"/>
          <w:lang w:val="en-US" w:eastAsia="zh-CN" w:bidi="ar-SA"/>
        </w:rPr>
        <w:t>切实保障计划生育家庭合法权益，构建完善的计划生育家庭社会保障体系，增加计划生育家庭抵御风险的能力</w:t>
      </w:r>
      <w:r>
        <w:rPr>
          <w:rStyle w:val="10"/>
          <w:rFonts w:ascii="仿宋_GB2312" w:hAnsi="仿宋_GB2312" w:eastAsia="仿宋_GB2312"/>
          <w:b w:val="0"/>
          <w:i w:val="0"/>
          <w:caps w:val="0"/>
          <w:spacing w:val="0"/>
          <w:w w:val="100"/>
          <w:kern w:val="2"/>
          <w:sz w:val="32"/>
          <w:szCs w:val="32"/>
          <w:lang w:val="en-US" w:eastAsia="zh-CN" w:bidi="ar-SA"/>
        </w:rPr>
        <w:t>，实现了社会稳定和谐发展，群众满意度达95%。</w:t>
      </w:r>
    </w:p>
    <w:p w14:paraId="5F51FC7A">
      <w:pPr>
        <w:snapToGrid/>
        <w:spacing w:before="0" w:beforeAutospacing="0" w:after="0" w:afterAutospacing="0" w:line="576" w:lineRule="exact"/>
        <w:ind w:firstLine="640" w:firstLineChars="200"/>
        <w:jc w:val="both"/>
        <w:textAlignment w:val="baseline"/>
        <w:outlineLvl w:val="1"/>
        <w:rPr>
          <w:rStyle w:val="10"/>
          <w:rFonts w:ascii="仿宋_GB2312" w:hAnsi="仿宋_GB2312" w:eastAsia="仿宋_GB2312"/>
          <w:b w:val="0"/>
          <w:i w:val="0"/>
          <w:caps w:val="0"/>
          <w:spacing w:val="0"/>
          <w:w w:val="100"/>
          <w:kern w:val="2"/>
          <w:sz w:val="32"/>
          <w:szCs w:val="32"/>
          <w:lang w:val="en-US" w:eastAsia="zh-CN" w:bidi="ar-SA"/>
        </w:rPr>
      </w:pPr>
      <w:bookmarkStart w:id="26" w:name="_Toc3066"/>
      <w:r>
        <w:rPr>
          <w:rStyle w:val="10"/>
          <w:rFonts w:ascii="黑体" w:hAnsi="黑体" w:eastAsia="黑体"/>
          <w:b w:val="0"/>
          <w:i w:val="0"/>
          <w:caps w:val="0"/>
          <w:spacing w:val="0"/>
          <w:w w:val="100"/>
          <w:kern w:val="2"/>
          <w:sz w:val="32"/>
          <w:szCs w:val="32"/>
          <w:lang w:val="en-US" w:eastAsia="zh-CN" w:bidi="ar-SA"/>
        </w:rPr>
        <w:t>四、问题及建议</w:t>
      </w:r>
      <w:bookmarkEnd w:id="26"/>
    </w:p>
    <w:p w14:paraId="4251F41D">
      <w:pPr>
        <w:snapToGrid/>
        <w:spacing w:before="0" w:beforeAutospacing="0" w:after="0" w:afterAutospacing="0" w:line="576" w:lineRule="exact"/>
        <w:ind w:firstLine="643"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（一）存在的问题。</w:t>
      </w:r>
      <w:r>
        <w:rPr>
          <w:rStyle w:val="10"/>
          <w:rFonts w:ascii="仿宋_GB2312" w:hAnsi="仿宋_GB2312" w:eastAsia="仿宋_GB2312"/>
          <w:b w:val="0"/>
          <w:i w:val="0"/>
          <w:caps w:val="0"/>
          <w:spacing w:val="0"/>
          <w:w w:val="100"/>
          <w:kern w:val="2"/>
          <w:sz w:val="32"/>
          <w:szCs w:val="32"/>
          <w:lang w:val="en-US" w:eastAsia="zh-CN" w:bidi="ar-SA"/>
        </w:rPr>
        <w:t>无</w:t>
      </w:r>
    </w:p>
    <w:p w14:paraId="5D927419">
      <w:pPr>
        <w:snapToGrid/>
        <w:spacing w:before="0" w:beforeAutospacing="0" w:after="0" w:afterAutospacing="0" w:line="580" w:lineRule="exact"/>
        <w:ind w:firstLine="643"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楷体_GB2312" w:hAnsi="楷体_GB2312" w:eastAsia="楷体_GB2312" w:cs="楷体_GB2312"/>
          <w:b/>
          <w:bCs/>
          <w:i w:val="0"/>
          <w:caps w:val="0"/>
          <w:spacing w:val="0"/>
          <w:w w:val="100"/>
          <w:kern w:val="2"/>
          <w:sz w:val="32"/>
          <w:szCs w:val="32"/>
          <w:lang w:val="en-US" w:eastAsia="zh-CN" w:bidi="ar-SA"/>
        </w:rPr>
        <w:t>（二）相关措施建议。</w:t>
      </w:r>
      <w:r>
        <w:rPr>
          <w:rStyle w:val="10"/>
          <w:rFonts w:ascii="仿宋_GB2312" w:hAnsi="仿宋_GB2312" w:eastAsia="仿宋_GB2312"/>
          <w:b w:val="0"/>
          <w:i w:val="0"/>
          <w:caps w:val="0"/>
          <w:spacing w:val="0"/>
          <w:w w:val="100"/>
          <w:kern w:val="2"/>
          <w:sz w:val="32"/>
          <w:szCs w:val="32"/>
          <w:lang w:val="en-US" w:eastAsia="zh-CN" w:bidi="ar-SA"/>
        </w:rPr>
        <w:t>无</w:t>
      </w:r>
    </w:p>
    <w:p w14:paraId="715460A1">
      <w:pPr>
        <w:snapToGrid/>
        <w:spacing w:before="0" w:beforeAutospacing="0" w:after="0" w:afterAutospacing="0" w:line="580" w:lineRule="exact"/>
        <w:jc w:val="both"/>
        <w:textAlignment w:val="baseline"/>
        <w:rPr>
          <w:rStyle w:val="10"/>
          <w:rFonts w:ascii="黑体" w:hAnsi="黑体" w:eastAsia="黑体"/>
          <w:b w:val="0"/>
          <w:i w:val="0"/>
          <w:caps w:val="0"/>
          <w:spacing w:val="0"/>
          <w:w w:val="100"/>
          <w:kern w:val="2"/>
          <w:sz w:val="32"/>
          <w:szCs w:val="32"/>
          <w:lang w:val="en-US" w:eastAsia="zh-CN" w:bidi="ar-SA"/>
        </w:rPr>
      </w:pPr>
    </w:p>
    <w:p w14:paraId="4B2DCADD">
      <w:pPr>
        <w:snapToGrid/>
        <w:spacing w:before="0" w:beforeAutospacing="0" w:after="0" w:afterAutospacing="0" w:line="580" w:lineRule="exact"/>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黑体" w:hAnsi="黑体" w:eastAsia="黑体"/>
          <w:b w:val="0"/>
          <w:i w:val="0"/>
          <w:caps w:val="0"/>
          <w:spacing w:val="0"/>
          <w:w w:val="100"/>
          <w:kern w:val="2"/>
          <w:sz w:val="32"/>
          <w:szCs w:val="32"/>
          <w:lang w:val="en-US" w:eastAsia="zh-CN" w:bidi="ar-SA"/>
        </w:rPr>
        <w:t>附件2</w:t>
      </w:r>
    </w:p>
    <w:p w14:paraId="4A9D3386">
      <w:pPr>
        <w:snapToGrid/>
        <w:spacing w:before="0" w:beforeAutospacing="0" w:after="0" w:afterAutospacing="0" w:line="576" w:lineRule="exact"/>
        <w:ind w:firstLine="640" w:firstLineChars="200"/>
        <w:jc w:val="both"/>
        <w:textAlignment w:val="baseline"/>
        <w:rPr>
          <w:rStyle w:val="10"/>
          <w:rFonts w:ascii="仿宋_GB2312" w:hAnsi="仿宋_GB2312" w:eastAsia="仿宋_GB2312"/>
          <w:b w:val="0"/>
          <w:i w:val="0"/>
          <w:caps w:val="0"/>
          <w:spacing w:val="0"/>
          <w:w w:val="100"/>
          <w:kern w:val="2"/>
          <w:sz w:val="32"/>
          <w:szCs w:val="32"/>
          <w:lang w:val="en-US" w:eastAsia="zh-CN" w:bidi="ar-SA"/>
        </w:rPr>
      </w:pPr>
    </w:p>
    <w:p w14:paraId="4F621146">
      <w:pPr>
        <w:snapToGrid w:val="0"/>
        <w:spacing w:before="0" w:beforeAutospacing="0" w:after="0" w:afterAutospacing="0" w:line="600" w:lineRule="exact"/>
        <w:ind w:firstLine="880" w:firstLineChars="200"/>
        <w:jc w:val="both"/>
        <w:textAlignment w:val="baseline"/>
        <w:rPr>
          <w:rStyle w:val="10"/>
          <w:rFonts w:ascii="方正小标宋简体" w:hAnsi="宋体" w:eastAsia="方正小标宋简体"/>
          <w:b w:val="0"/>
          <w:i w:val="0"/>
          <w:caps w:val="0"/>
          <w:color w:val="000000"/>
          <w:spacing w:val="0"/>
          <w:w w:val="100"/>
          <w:kern w:val="0"/>
          <w:sz w:val="44"/>
          <w:szCs w:val="44"/>
          <w:lang w:val="zh-CN" w:eastAsia="zh-CN" w:bidi="ar-SA"/>
        </w:rPr>
      </w:pPr>
      <w:r>
        <w:rPr>
          <w:rStyle w:val="10"/>
          <w:rFonts w:ascii="方正小标宋简体" w:hAnsi="方正小标宋简体" w:eastAsia="方正小标宋简体"/>
          <w:b w:val="0"/>
          <w:i w:val="0"/>
          <w:caps w:val="0"/>
          <w:spacing w:val="0"/>
          <w:w w:val="100"/>
          <w:kern w:val="2"/>
          <w:sz w:val="44"/>
          <w:szCs w:val="44"/>
          <w:lang w:val="en-US" w:eastAsia="zh-CN" w:bidi="ar-SA"/>
        </w:rPr>
        <w:t>两癌筛查项目</w:t>
      </w:r>
      <w:r>
        <w:rPr>
          <w:rStyle w:val="10"/>
          <w:rFonts w:ascii="方正小标宋简体" w:hAnsi="宋体" w:eastAsia="方正小标宋简体"/>
          <w:b w:val="0"/>
          <w:i w:val="0"/>
          <w:caps w:val="0"/>
          <w:color w:val="000000"/>
          <w:spacing w:val="0"/>
          <w:w w:val="100"/>
          <w:kern w:val="0"/>
          <w:sz w:val="44"/>
          <w:szCs w:val="44"/>
          <w:lang w:val="en-US" w:eastAsia="zh-CN" w:bidi="ar-SA"/>
        </w:rPr>
        <w:t>2020年</w:t>
      </w:r>
      <w:r>
        <w:rPr>
          <w:rStyle w:val="10"/>
          <w:rFonts w:ascii="方正小标宋简体" w:hAnsi="宋体" w:eastAsia="方正小标宋简体"/>
          <w:b w:val="0"/>
          <w:i w:val="0"/>
          <w:caps w:val="0"/>
          <w:color w:val="000000"/>
          <w:spacing w:val="0"/>
          <w:w w:val="100"/>
          <w:kern w:val="0"/>
          <w:sz w:val="44"/>
          <w:szCs w:val="44"/>
          <w:lang w:val="zh-CN" w:eastAsia="zh-CN" w:bidi="ar-SA"/>
        </w:rPr>
        <w:t>绩效评价报告</w:t>
      </w:r>
    </w:p>
    <w:p w14:paraId="367C5597">
      <w:pPr>
        <w:snapToGrid w:val="0"/>
        <w:spacing w:before="0" w:beforeAutospacing="0" w:after="0" w:afterAutospacing="0" w:line="600" w:lineRule="exact"/>
        <w:ind w:firstLine="720"/>
        <w:jc w:val="both"/>
        <w:textAlignment w:val="baseline"/>
        <w:rPr>
          <w:rStyle w:val="10"/>
          <w:rFonts w:ascii="方正小标宋简体" w:hAnsi="宋体" w:eastAsia="方正小标宋简体"/>
          <w:b w:val="0"/>
          <w:i w:val="0"/>
          <w:caps w:val="0"/>
          <w:color w:val="000000"/>
          <w:spacing w:val="0"/>
          <w:w w:val="100"/>
          <w:kern w:val="0"/>
          <w:sz w:val="44"/>
          <w:szCs w:val="44"/>
          <w:lang w:val="zh-CN" w:eastAsia="zh-CN" w:bidi="ar-SA"/>
        </w:rPr>
      </w:pPr>
    </w:p>
    <w:p w14:paraId="0FC739D0">
      <w:pPr>
        <w:snapToGrid w:val="0"/>
        <w:spacing w:before="0" w:beforeAutospacing="0" w:after="0" w:afterAutospacing="0" w:line="600" w:lineRule="exact"/>
        <w:ind w:firstLine="720"/>
        <w:jc w:val="both"/>
        <w:textAlignment w:val="baseline"/>
        <w:outlineLvl w:val="1"/>
        <w:rPr>
          <w:rStyle w:val="10"/>
          <w:rFonts w:ascii="黑体" w:hAnsi="宋体" w:eastAsia="黑体"/>
          <w:b w:val="0"/>
          <w:i w:val="0"/>
          <w:caps w:val="0"/>
          <w:spacing w:val="0"/>
          <w:w w:val="100"/>
          <w:kern w:val="2"/>
          <w:sz w:val="32"/>
          <w:szCs w:val="32"/>
          <w:lang w:val="zh-CN" w:eastAsia="zh-CN" w:bidi="ar-SA"/>
        </w:rPr>
      </w:pPr>
      <w:bookmarkStart w:id="27" w:name="_Toc20276"/>
      <w:r>
        <w:rPr>
          <w:rStyle w:val="10"/>
          <w:rFonts w:ascii="黑体" w:hAnsi="宋体" w:eastAsia="黑体"/>
          <w:b w:val="0"/>
          <w:i w:val="0"/>
          <w:caps w:val="0"/>
          <w:spacing w:val="0"/>
          <w:w w:val="100"/>
          <w:kern w:val="2"/>
          <w:sz w:val="32"/>
          <w:szCs w:val="32"/>
          <w:lang w:val="en-US" w:eastAsia="zh-CN" w:bidi="ar-SA"/>
        </w:rPr>
        <w:t>一、</w:t>
      </w:r>
      <w:r>
        <w:rPr>
          <w:rStyle w:val="10"/>
          <w:rFonts w:ascii="黑体" w:hAnsi="宋体" w:eastAsia="黑体"/>
          <w:b w:val="0"/>
          <w:i w:val="0"/>
          <w:caps w:val="0"/>
          <w:spacing w:val="0"/>
          <w:w w:val="100"/>
          <w:kern w:val="2"/>
          <w:sz w:val="32"/>
          <w:szCs w:val="32"/>
          <w:lang w:val="zh-CN" w:eastAsia="zh-CN" w:bidi="ar-SA"/>
        </w:rPr>
        <w:t>项目概况</w:t>
      </w:r>
      <w:bookmarkEnd w:id="27"/>
    </w:p>
    <w:p w14:paraId="14FEBE89">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（一）项目基本情况。</w:t>
      </w:r>
    </w:p>
    <w:p w14:paraId="7813B05F">
      <w:pPr>
        <w:snapToGrid w:val="0"/>
        <w:spacing w:before="0" w:beforeAutospacing="0" w:after="0" w:afterAutospacing="0" w:line="600" w:lineRule="exact"/>
        <w:ind w:firstLine="640" w:firstLineChars="20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en-US" w:eastAsia="zh-CN" w:bidi="ar-SA"/>
        </w:rPr>
        <w:t>1、</w:t>
      </w:r>
      <w:r>
        <w:rPr>
          <w:rStyle w:val="10"/>
          <w:rFonts w:ascii="仿宋_GB2312" w:hAnsi="宋体" w:eastAsia="仿宋_GB2312"/>
          <w:b w:val="0"/>
          <w:i w:val="0"/>
          <w:caps w:val="0"/>
          <w:spacing w:val="0"/>
          <w:w w:val="100"/>
          <w:kern w:val="2"/>
          <w:sz w:val="32"/>
          <w:szCs w:val="32"/>
          <w:lang w:val="zh-CN" w:eastAsia="zh-CN" w:bidi="ar-SA"/>
        </w:rPr>
        <w:t>项目主管部门:广元市昭化区卫生健康局</w:t>
      </w:r>
    </w:p>
    <w:p w14:paraId="7D2BEEEC">
      <w:pPr>
        <w:snapToGrid w:val="0"/>
        <w:spacing w:before="0" w:beforeAutospacing="0" w:after="0" w:afterAutospacing="0" w:line="600" w:lineRule="exact"/>
        <w:ind w:firstLine="640" w:firstLineChars="20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en-US" w:eastAsia="zh-CN" w:bidi="ar-SA"/>
        </w:rPr>
        <w:t>2、</w:t>
      </w:r>
      <w:r>
        <w:rPr>
          <w:rStyle w:val="10"/>
          <w:rFonts w:ascii="仿宋_GB2312" w:hAnsi="宋体" w:eastAsia="仿宋_GB2312"/>
          <w:b w:val="0"/>
          <w:i w:val="0"/>
          <w:caps w:val="0"/>
          <w:spacing w:val="0"/>
          <w:w w:val="100"/>
          <w:kern w:val="2"/>
          <w:sz w:val="32"/>
          <w:szCs w:val="32"/>
          <w:lang w:val="zh-CN" w:eastAsia="zh-CN" w:bidi="ar-SA"/>
        </w:rPr>
        <w:t>部门职责: 在区卫健局的直接领导下，由区妇幼保健院负责全区妇女“两癌”筛查相关工作，提高全区“两癌”早诊早治率，降低“两癌”死亡率，提高全区妇女健康水平，逐步建立维护妇女健康的长效机制，促进全区妇女身心健康和全区出生人口素质提高。</w:t>
      </w:r>
    </w:p>
    <w:p w14:paraId="10C818F6">
      <w:pPr>
        <w:snapToGrid w:val="0"/>
        <w:spacing w:before="0" w:beforeAutospacing="0" w:after="0" w:afterAutospacing="0" w:line="600" w:lineRule="exact"/>
        <w:ind w:firstLine="640" w:firstLineChars="20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en-US" w:eastAsia="zh-CN" w:bidi="ar-SA"/>
        </w:rPr>
        <w:t>3、</w:t>
      </w:r>
      <w:r>
        <w:rPr>
          <w:rStyle w:val="10"/>
          <w:rFonts w:ascii="仿宋_GB2312" w:hAnsi="宋体" w:eastAsia="仿宋_GB2312"/>
          <w:b w:val="0"/>
          <w:i w:val="0"/>
          <w:caps w:val="0"/>
          <w:spacing w:val="0"/>
          <w:w w:val="100"/>
          <w:kern w:val="2"/>
          <w:sz w:val="32"/>
          <w:szCs w:val="32"/>
          <w:lang w:val="zh-CN" w:eastAsia="zh-CN" w:bidi="ar-SA"/>
        </w:rPr>
        <w:t>项目立项情况</w:t>
      </w:r>
    </w:p>
    <w:p w14:paraId="444BCF39">
      <w:pPr>
        <w:snapToGrid w:val="0"/>
        <w:spacing w:before="0" w:beforeAutospacing="0" w:after="0" w:afterAutospacing="0" w:line="600" w:lineRule="exact"/>
        <w:ind w:firstLine="640" w:firstLineChars="20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根据广财社〔</w:t>
      </w:r>
      <w:r>
        <w:rPr>
          <w:rStyle w:val="10"/>
          <w:rFonts w:ascii="仿宋_GB2312" w:hAnsi="宋体" w:eastAsia="仿宋_GB2312"/>
          <w:b w:val="0"/>
          <w:i w:val="0"/>
          <w:caps w:val="0"/>
          <w:spacing w:val="0"/>
          <w:w w:val="100"/>
          <w:kern w:val="2"/>
          <w:sz w:val="32"/>
          <w:szCs w:val="32"/>
          <w:lang w:val="en-US" w:eastAsia="zh-CN" w:bidi="ar-SA"/>
        </w:rPr>
        <w:t>2020</w:t>
      </w:r>
      <w:r>
        <w:rPr>
          <w:rStyle w:val="10"/>
          <w:rFonts w:ascii="仿宋_GB2312" w:hAnsi="宋体" w:eastAsia="仿宋_GB2312"/>
          <w:b w:val="0"/>
          <w:i w:val="0"/>
          <w:caps w:val="0"/>
          <w:spacing w:val="0"/>
          <w:w w:val="100"/>
          <w:kern w:val="2"/>
          <w:sz w:val="32"/>
          <w:szCs w:val="32"/>
          <w:lang w:val="zh-CN" w:eastAsia="zh-CN" w:bidi="ar-SA"/>
        </w:rPr>
        <w:t>〕</w:t>
      </w:r>
      <w:r>
        <w:rPr>
          <w:rStyle w:val="10"/>
          <w:rFonts w:ascii="仿宋_GB2312" w:hAnsi="宋体" w:eastAsia="仿宋_GB2312"/>
          <w:b w:val="0"/>
          <w:i w:val="0"/>
          <w:caps w:val="0"/>
          <w:spacing w:val="0"/>
          <w:w w:val="100"/>
          <w:kern w:val="2"/>
          <w:sz w:val="32"/>
          <w:szCs w:val="32"/>
          <w:lang w:val="en-US" w:eastAsia="zh-CN" w:bidi="ar-SA"/>
        </w:rPr>
        <w:t>35</w:t>
      </w:r>
      <w:r>
        <w:rPr>
          <w:rStyle w:val="10"/>
          <w:rFonts w:ascii="仿宋_GB2312" w:hAnsi="宋体" w:eastAsia="仿宋_GB2312"/>
          <w:b w:val="0"/>
          <w:i w:val="0"/>
          <w:caps w:val="0"/>
          <w:spacing w:val="0"/>
          <w:w w:val="100"/>
          <w:kern w:val="2"/>
          <w:sz w:val="32"/>
          <w:szCs w:val="32"/>
          <w:lang w:val="zh-CN" w:eastAsia="zh-CN" w:bidi="ar-SA"/>
        </w:rPr>
        <w:t>号文件规定以及《广元市昭化区妇幼保健院关于</w:t>
      </w:r>
      <w:r>
        <w:rPr>
          <w:rStyle w:val="10"/>
          <w:rFonts w:ascii="仿宋_GB2312" w:hAnsi="宋体" w:eastAsia="仿宋_GB2312"/>
          <w:b w:val="0"/>
          <w:i w:val="0"/>
          <w:caps w:val="0"/>
          <w:spacing w:val="0"/>
          <w:w w:val="100"/>
          <w:kern w:val="2"/>
          <w:sz w:val="32"/>
          <w:szCs w:val="32"/>
          <w:lang w:val="en-US" w:eastAsia="zh-CN" w:bidi="ar-SA"/>
        </w:rPr>
        <w:t>2020年妇幼公共卫生专项经费的实施方案</w:t>
      </w:r>
      <w:r>
        <w:rPr>
          <w:rStyle w:val="10"/>
          <w:rFonts w:ascii="仿宋_GB2312" w:hAnsi="宋体" w:eastAsia="仿宋_GB2312"/>
          <w:b w:val="0"/>
          <w:i w:val="0"/>
          <w:caps w:val="0"/>
          <w:spacing w:val="0"/>
          <w:w w:val="100"/>
          <w:kern w:val="2"/>
          <w:sz w:val="32"/>
          <w:szCs w:val="32"/>
          <w:lang w:val="zh-CN" w:eastAsia="zh-CN" w:bidi="ar-SA"/>
        </w:rPr>
        <w:t>》，根据业务工作开展需要等立项。两癌筛查主要内容：对全区范围内</w:t>
      </w:r>
      <w:r>
        <w:rPr>
          <w:rStyle w:val="10"/>
          <w:rFonts w:ascii="仿宋_GB2312" w:hAnsi="宋体" w:eastAsia="仿宋_GB2312"/>
          <w:b w:val="0"/>
          <w:i w:val="0"/>
          <w:caps w:val="0"/>
          <w:spacing w:val="0"/>
          <w:w w:val="100"/>
          <w:kern w:val="2"/>
          <w:sz w:val="32"/>
          <w:szCs w:val="32"/>
          <w:lang w:val="en-US" w:eastAsia="zh-CN" w:bidi="ar-SA"/>
        </w:rPr>
        <w:t>35-64岁妇女</w:t>
      </w:r>
      <w:r>
        <w:rPr>
          <w:rStyle w:val="10"/>
          <w:rFonts w:ascii="仿宋_GB2312" w:hAnsi="宋体" w:eastAsia="仿宋_GB2312"/>
          <w:b w:val="0"/>
          <w:i w:val="0"/>
          <w:caps w:val="0"/>
          <w:spacing w:val="0"/>
          <w:w w:val="100"/>
          <w:kern w:val="2"/>
          <w:sz w:val="32"/>
          <w:szCs w:val="32"/>
          <w:lang w:val="zh-CN" w:eastAsia="zh-CN" w:bidi="ar-SA"/>
        </w:rPr>
        <w:t>开展</w:t>
      </w:r>
      <w:r>
        <w:rPr>
          <w:rStyle w:val="10"/>
          <w:rFonts w:ascii="仿宋_GB2312" w:hAnsi="宋体" w:eastAsia="仿宋_GB2312"/>
          <w:b w:val="0"/>
          <w:i w:val="0"/>
          <w:caps w:val="0"/>
          <w:spacing w:val="0"/>
          <w:w w:val="100"/>
          <w:kern w:val="2"/>
          <w:sz w:val="32"/>
          <w:szCs w:val="32"/>
          <w:lang w:val="en-US" w:eastAsia="zh-CN" w:bidi="ar-SA"/>
        </w:rPr>
        <w:t>“两癌”检查，提升全区妇女人员健康水平</w:t>
      </w:r>
      <w:r>
        <w:rPr>
          <w:rStyle w:val="10"/>
          <w:rFonts w:ascii="仿宋_GB2312" w:hAnsi="宋体" w:eastAsia="仿宋_GB2312"/>
          <w:b w:val="0"/>
          <w:i w:val="0"/>
          <w:caps w:val="0"/>
          <w:spacing w:val="0"/>
          <w:w w:val="100"/>
          <w:kern w:val="2"/>
          <w:sz w:val="32"/>
          <w:szCs w:val="32"/>
          <w:lang w:val="zh-CN" w:eastAsia="zh-CN" w:bidi="ar-SA"/>
        </w:rPr>
        <w:t>。</w:t>
      </w:r>
    </w:p>
    <w:p w14:paraId="13F1A0CB">
      <w:pPr>
        <w:snapToGrid w:val="0"/>
        <w:spacing w:before="0" w:beforeAutospacing="0" w:after="0" w:afterAutospacing="0" w:line="600" w:lineRule="exact"/>
        <w:ind w:firstLine="640" w:firstLineChars="20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en-US" w:eastAsia="zh-CN" w:bidi="ar-SA"/>
        </w:rPr>
        <w:t>4、</w:t>
      </w:r>
      <w:r>
        <w:rPr>
          <w:rStyle w:val="10"/>
          <w:rFonts w:ascii="仿宋_GB2312" w:hAnsi="宋体" w:eastAsia="仿宋_GB2312"/>
          <w:b w:val="0"/>
          <w:i w:val="0"/>
          <w:caps w:val="0"/>
          <w:spacing w:val="0"/>
          <w:w w:val="100"/>
          <w:kern w:val="2"/>
          <w:sz w:val="32"/>
          <w:szCs w:val="32"/>
          <w:lang w:val="zh-CN" w:eastAsia="zh-CN" w:bidi="ar-SA"/>
        </w:rPr>
        <w:t>资金申报依据及批复情况</w:t>
      </w:r>
    </w:p>
    <w:p w14:paraId="6B2FEA52">
      <w:pPr>
        <w:snapToGrid w:val="0"/>
        <w:spacing w:before="0" w:beforeAutospacing="0" w:after="0" w:afterAutospacing="0" w:line="600" w:lineRule="exact"/>
        <w:ind w:firstLine="640" w:firstLineChars="20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en-US" w:eastAsia="zh-CN" w:bidi="ar-SA"/>
        </w:rPr>
        <w:t>2020</w:t>
      </w:r>
      <w:r>
        <w:rPr>
          <w:rStyle w:val="10"/>
          <w:rFonts w:ascii="仿宋_GB2312" w:hAnsi="宋体" w:eastAsia="仿宋_GB2312"/>
          <w:b w:val="0"/>
          <w:i w:val="0"/>
          <w:caps w:val="0"/>
          <w:spacing w:val="0"/>
          <w:w w:val="100"/>
          <w:kern w:val="2"/>
          <w:sz w:val="32"/>
          <w:szCs w:val="32"/>
          <w:lang w:val="zh-CN" w:eastAsia="zh-CN" w:bidi="ar-SA"/>
        </w:rPr>
        <w:t>年区财政局根据广财社〔</w:t>
      </w:r>
      <w:r>
        <w:rPr>
          <w:rStyle w:val="10"/>
          <w:rFonts w:ascii="仿宋_GB2312" w:hAnsi="宋体" w:eastAsia="仿宋_GB2312"/>
          <w:b w:val="0"/>
          <w:i w:val="0"/>
          <w:caps w:val="0"/>
          <w:spacing w:val="0"/>
          <w:w w:val="100"/>
          <w:kern w:val="2"/>
          <w:sz w:val="32"/>
          <w:szCs w:val="32"/>
          <w:lang w:val="en-US" w:eastAsia="zh-CN" w:bidi="ar-SA"/>
        </w:rPr>
        <w:t>2020</w:t>
      </w:r>
      <w:r>
        <w:rPr>
          <w:rStyle w:val="10"/>
          <w:rFonts w:ascii="仿宋_GB2312" w:hAnsi="宋体" w:eastAsia="仿宋_GB2312"/>
          <w:b w:val="0"/>
          <w:i w:val="0"/>
          <w:caps w:val="0"/>
          <w:spacing w:val="0"/>
          <w:w w:val="100"/>
          <w:kern w:val="2"/>
          <w:sz w:val="32"/>
          <w:szCs w:val="32"/>
          <w:lang w:val="zh-CN" w:eastAsia="zh-CN" w:bidi="ar-SA"/>
        </w:rPr>
        <w:t>〕</w:t>
      </w:r>
      <w:r>
        <w:rPr>
          <w:rStyle w:val="10"/>
          <w:rFonts w:ascii="仿宋_GB2312" w:hAnsi="宋体" w:eastAsia="仿宋_GB2312"/>
          <w:b w:val="0"/>
          <w:i w:val="0"/>
          <w:caps w:val="0"/>
          <w:spacing w:val="0"/>
          <w:w w:val="100"/>
          <w:kern w:val="2"/>
          <w:sz w:val="32"/>
          <w:szCs w:val="32"/>
          <w:lang w:val="en-US" w:eastAsia="zh-CN" w:bidi="ar-SA"/>
        </w:rPr>
        <w:t>35</w:t>
      </w:r>
      <w:r>
        <w:rPr>
          <w:rStyle w:val="10"/>
          <w:rFonts w:ascii="仿宋_GB2312" w:hAnsi="宋体" w:eastAsia="仿宋_GB2312"/>
          <w:b w:val="0"/>
          <w:i w:val="0"/>
          <w:caps w:val="0"/>
          <w:spacing w:val="0"/>
          <w:w w:val="100"/>
          <w:kern w:val="2"/>
          <w:sz w:val="32"/>
          <w:szCs w:val="32"/>
          <w:lang w:val="zh-CN" w:eastAsia="zh-CN" w:bidi="ar-SA"/>
        </w:rPr>
        <w:t>号及《四川省卫生健康委员会关于印发</w:t>
      </w:r>
      <w:r>
        <w:rPr>
          <w:rStyle w:val="10"/>
          <w:rFonts w:ascii="仿宋_GB2312" w:hAnsi="宋体" w:eastAsia="仿宋_GB2312"/>
          <w:b w:val="0"/>
          <w:i w:val="0"/>
          <w:caps w:val="0"/>
          <w:spacing w:val="0"/>
          <w:w w:val="100"/>
          <w:kern w:val="2"/>
          <w:sz w:val="32"/>
          <w:szCs w:val="32"/>
          <w:lang w:val="en-US" w:eastAsia="zh-CN" w:bidi="ar-SA"/>
        </w:rPr>
        <w:t>2019年度基本公共卫生服务平移项目实施方案的通知》</w:t>
      </w:r>
      <w:r>
        <w:rPr>
          <w:rStyle w:val="10"/>
          <w:rFonts w:ascii="仿宋_GB2312" w:hAnsi="宋体" w:eastAsia="仿宋_GB2312"/>
          <w:b w:val="0"/>
          <w:i w:val="0"/>
          <w:caps w:val="0"/>
          <w:spacing w:val="0"/>
          <w:w w:val="100"/>
          <w:kern w:val="2"/>
          <w:sz w:val="32"/>
          <w:szCs w:val="32"/>
          <w:lang w:val="zh-CN" w:eastAsia="zh-CN" w:bidi="ar-SA"/>
        </w:rPr>
        <w:t>文件规定下达</w:t>
      </w:r>
      <w:r>
        <w:rPr>
          <w:rStyle w:val="10"/>
          <w:rFonts w:ascii="仿宋_GB2312" w:hAnsi="宋体" w:eastAsia="仿宋_GB2312"/>
          <w:b w:val="0"/>
          <w:i w:val="0"/>
          <w:caps w:val="0"/>
          <w:spacing w:val="0"/>
          <w:w w:val="100"/>
          <w:kern w:val="2"/>
          <w:sz w:val="32"/>
          <w:szCs w:val="32"/>
          <w:lang w:val="en-US" w:eastAsia="zh-CN" w:bidi="ar-SA"/>
        </w:rPr>
        <w:t>2020</w:t>
      </w:r>
      <w:r>
        <w:rPr>
          <w:rStyle w:val="10"/>
          <w:rFonts w:ascii="仿宋_GB2312" w:hAnsi="宋体" w:eastAsia="仿宋_GB2312"/>
          <w:b w:val="0"/>
          <w:i w:val="0"/>
          <w:caps w:val="0"/>
          <w:spacing w:val="0"/>
          <w:w w:val="100"/>
          <w:kern w:val="2"/>
          <w:sz w:val="32"/>
          <w:szCs w:val="32"/>
          <w:lang w:val="zh-CN" w:eastAsia="zh-CN" w:bidi="ar-SA"/>
        </w:rPr>
        <w:t>年两癌筛查补助资金额度共计</w:t>
      </w:r>
      <w:r>
        <w:rPr>
          <w:rStyle w:val="10"/>
          <w:rFonts w:ascii="仿宋_GB2312" w:hAnsi="宋体" w:eastAsia="仿宋_GB2312"/>
          <w:b w:val="0"/>
          <w:i w:val="0"/>
          <w:caps w:val="0"/>
          <w:spacing w:val="0"/>
          <w:w w:val="100"/>
          <w:kern w:val="2"/>
          <w:sz w:val="32"/>
          <w:szCs w:val="32"/>
          <w:lang w:val="en-US" w:eastAsia="zh-CN" w:bidi="ar-SA"/>
        </w:rPr>
        <w:t>24.19</w:t>
      </w:r>
      <w:r>
        <w:rPr>
          <w:rStyle w:val="10"/>
          <w:rFonts w:ascii="仿宋_GB2312" w:hAnsi="宋体" w:eastAsia="仿宋_GB2312"/>
          <w:b w:val="0"/>
          <w:i w:val="0"/>
          <w:caps w:val="0"/>
          <w:spacing w:val="0"/>
          <w:w w:val="100"/>
          <w:kern w:val="2"/>
          <w:sz w:val="32"/>
          <w:szCs w:val="32"/>
          <w:lang w:val="zh-CN" w:eastAsia="zh-CN" w:bidi="ar-SA"/>
        </w:rPr>
        <w:t>万元，其中:中央财政补助</w:t>
      </w:r>
      <w:r>
        <w:rPr>
          <w:rStyle w:val="10"/>
          <w:rFonts w:ascii="仿宋_GB2312" w:hAnsi="宋体" w:eastAsia="仿宋_GB2312"/>
          <w:b w:val="0"/>
          <w:i w:val="0"/>
          <w:caps w:val="0"/>
          <w:spacing w:val="0"/>
          <w:w w:val="100"/>
          <w:kern w:val="2"/>
          <w:sz w:val="32"/>
          <w:szCs w:val="32"/>
          <w:lang w:val="en-US" w:eastAsia="zh-CN" w:bidi="ar-SA"/>
        </w:rPr>
        <w:t>23.04</w:t>
      </w:r>
      <w:r>
        <w:rPr>
          <w:rStyle w:val="10"/>
          <w:rFonts w:ascii="仿宋_GB2312" w:hAnsi="宋体" w:eastAsia="仿宋_GB2312"/>
          <w:b w:val="0"/>
          <w:i w:val="0"/>
          <w:caps w:val="0"/>
          <w:spacing w:val="0"/>
          <w:w w:val="100"/>
          <w:kern w:val="2"/>
          <w:sz w:val="32"/>
          <w:szCs w:val="32"/>
          <w:lang w:val="zh-CN" w:eastAsia="zh-CN" w:bidi="ar-SA"/>
        </w:rPr>
        <w:t>万元、区本级财政配套</w:t>
      </w:r>
      <w:r>
        <w:rPr>
          <w:rStyle w:val="10"/>
          <w:rFonts w:ascii="仿宋_GB2312" w:hAnsi="宋体" w:eastAsia="仿宋_GB2312"/>
          <w:b w:val="0"/>
          <w:i w:val="0"/>
          <w:caps w:val="0"/>
          <w:spacing w:val="0"/>
          <w:w w:val="100"/>
          <w:kern w:val="2"/>
          <w:sz w:val="32"/>
          <w:szCs w:val="32"/>
          <w:lang w:val="en-US" w:eastAsia="zh-CN" w:bidi="ar-SA"/>
        </w:rPr>
        <w:t>1.15</w:t>
      </w:r>
      <w:r>
        <w:rPr>
          <w:rStyle w:val="10"/>
          <w:rFonts w:ascii="仿宋_GB2312" w:hAnsi="宋体" w:eastAsia="仿宋_GB2312"/>
          <w:b w:val="0"/>
          <w:i w:val="0"/>
          <w:caps w:val="0"/>
          <w:spacing w:val="0"/>
          <w:w w:val="100"/>
          <w:kern w:val="2"/>
          <w:sz w:val="32"/>
          <w:szCs w:val="32"/>
          <w:lang w:val="zh-CN" w:eastAsia="zh-CN" w:bidi="ar-SA"/>
        </w:rPr>
        <w:t>万元，</w:t>
      </w:r>
      <w:r>
        <w:rPr>
          <w:rStyle w:val="10"/>
          <w:rFonts w:ascii="仿宋_GB2312" w:hAnsi="宋体" w:eastAsia="仿宋_GB2312"/>
          <w:b w:val="0"/>
          <w:i w:val="0"/>
          <w:caps w:val="0"/>
          <w:spacing w:val="0"/>
          <w:w w:val="100"/>
          <w:kern w:val="2"/>
          <w:sz w:val="32"/>
          <w:szCs w:val="32"/>
          <w:lang w:val="en-US" w:eastAsia="zh-CN" w:bidi="ar-SA"/>
        </w:rPr>
        <w:t>2020</w:t>
      </w:r>
      <w:r>
        <w:rPr>
          <w:rStyle w:val="10"/>
          <w:rFonts w:ascii="仿宋_GB2312" w:hAnsi="宋体" w:eastAsia="仿宋_GB2312"/>
          <w:b w:val="0"/>
          <w:i w:val="0"/>
          <w:caps w:val="0"/>
          <w:spacing w:val="0"/>
          <w:w w:val="100"/>
          <w:kern w:val="2"/>
          <w:sz w:val="32"/>
          <w:szCs w:val="32"/>
          <w:lang w:val="zh-CN" w:eastAsia="zh-CN" w:bidi="ar-SA"/>
        </w:rPr>
        <w:t>年两癌筛查共计补助资金</w:t>
      </w:r>
      <w:r>
        <w:rPr>
          <w:rStyle w:val="10"/>
          <w:rFonts w:ascii="仿宋_GB2312" w:hAnsi="宋体" w:eastAsia="仿宋_GB2312"/>
          <w:b w:val="0"/>
          <w:i w:val="0"/>
          <w:caps w:val="0"/>
          <w:spacing w:val="0"/>
          <w:w w:val="100"/>
          <w:kern w:val="2"/>
          <w:sz w:val="32"/>
          <w:szCs w:val="32"/>
          <w:lang w:val="en-US" w:eastAsia="zh-CN" w:bidi="ar-SA"/>
        </w:rPr>
        <w:t>24.19</w:t>
      </w:r>
      <w:r>
        <w:rPr>
          <w:rStyle w:val="10"/>
          <w:rFonts w:ascii="仿宋_GB2312" w:hAnsi="宋体" w:eastAsia="仿宋_GB2312"/>
          <w:b w:val="0"/>
          <w:i w:val="0"/>
          <w:caps w:val="0"/>
          <w:spacing w:val="0"/>
          <w:w w:val="100"/>
          <w:kern w:val="2"/>
          <w:sz w:val="32"/>
          <w:szCs w:val="32"/>
          <w:lang w:val="zh-CN" w:eastAsia="zh-CN" w:bidi="ar-SA"/>
        </w:rPr>
        <w:t>万元。</w:t>
      </w:r>
    </w:p>
    <w:p w14:paraId="119A3F66">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en-US" w:eastAsia="zh-CN" w:bidi="ar-SA"/>
        </w:rPr>
        <w:t>5</w:t>
      </w:r>
      <w:r>
        <w:rPr>
          <w:rStyle w:val="10"/>
          <w:rFonts w:ascii="仿宋_GB2312" w:hAnsi="宋体" w:eastAsia="仿宋_GB2312"/>
          <w:b w:val="0"/>
          <w:i w:val="0"/>
          <w:caps w:val="0"/>
          <w:spacing w:val="0"/>
          <w:w w:val="100"/>
          <w:kern w:val="2"/>
          <w:sz w:val="32"/>
          <w:szCs w:val="32"/>
          <w:lang w:val="zh-CN" w:eastAsia="zh-CN" w:bidi="ar-SA"/>
        </w:rPr>
        <w:t>、专项资金管理情况</w:t>
      </w:r>
    </w:p>
    <w:p w14:paraId="325C2546">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(1)加强制度建设，进一步完善了财经各项规章制度，</w:t>
      </w:r>
    </w:p>
    <w:p w14:paraId="4558F23F">
      <w:pPr>
        <w:snapToGrid w:val="0"/>
        <w:spacing w:before="0" w:beforeAutospacing="0" w:after="0" w:afterAutospacing="0" w:line="600" w:lineRule="exact"/>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依据资金性质和政策，制定专项资金实施方案，确保专款专用。</w:t>
      </w:r>
    </w:p>
    <w:p w14:paraId="1C77220B">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(2)严格按照各项专项资金使用用途安排该专项资金的支出使用，严格遵守“专款专用”原则，严格落实专项资金的申报、使用审批手续，充分发挥资金使用效益。</w:t>
      </w:r>
    </w:p>
    <w:p w14:paraId="60128C88">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(3)结合本单位的实际工作，制定妇幼公共卫生专项资金实施方案，对费用开支进行规范化管理，安排人员负责管理、监管，层层把关。资金的拨付要有完整的审批程序和手续。</w:t>
      </w:r>
    </w:p>
    <w:p w14:paraId="65E6E82E">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color w:val="FF000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本单位专项资金管理上严格按照项目管理要求，规定专项资金使用范围，专款专用，确保专项资金安全运行。</w:t>
      </w:r>
    </w:p>
    <w:p w14:paraId="7E51A5C1">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（二）项目绩效目标。</w:t>
      </w:r>
    </w:p>
    <w:p w14:paraId="00676F40">
      <w:pPr>
        <w:pStyle w:val="38"/>
        <w:widowControl/>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 xml:space="preserve">1、“两癌”筛查覆盖率达80%; </w:t>
      </w:r>
    </w:p>
    <w:p w14:paraId="24B8E7DE">
      <w:pPr>
        <w:pStyle w:val="38"/>
        <w:widowControl/>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2、提高“两癌”筛查质量，全区“两癌”筛查项目宫颈癌早期诊断比例达到90%以上，乳腺癌早期诊断比例达到60%以上。</w:t>
      </w:r>
    </w:p>
    <w:p w14:paraId="1D526F81">
      <w:pPr>
        <w:pStyle w:val="38"/>
        <w:widowControl/>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3、进一步提高医疗保健人员的技术水平和服务质量，承担妇女“两癌”检查人员培训覆盖率达到95%以上。</w:t>
      </w:r>
    </w:p>
    <w:p w14:paraId="356EEDBF">
      <w:pPr>
        <w:pStyle w:val="38"/>
        <w:widowControl/>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4、逐步提高全区妇女自我保健意识，妇女“两癌”防治知识知晓率达到80%以上。</w:t>
      </w:r>
    </w:p>
    <w:p w14:paraId="11DA76CF">
      <w:pPr>
        <w:pStyle w:val="38"/>
        <w:widowControl/>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5、年度工作完成时间为2020年12月底前。</w:t>
      </w:r>
    </w:p>
    <w:p w14:paraId="639DD91D">
      <w:pPr>
        <w:pStyle w:val="38"/>
        <w:widowControl/>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按照</w:t>
      </w:r>
      <w:r>
        <w:rPr>
          <w:rStyle w:val="10"/>
          <w:rFonts w:ascii="仿宋_GB2312" w:hAnsi="宋体" w:eastAsia="仿宋_GB2312"/>
          <w:b w:val="0"/>
          <w:i w:val="0"/>
          <w:caps w:val="0"/>
          <w:spacing w:val="0"/>
          <w:w w:val="100"/>
          <w:kern w:val="2"/>
          <w:sz w:val="32"/>
          <w:szCs w:val="32"/>
          <w:lang w:val="zh-CN" w:eastAsia="zh-CN" w:bidi="ar-SA"/>
        </w:rPr>
        <w:t>广财社〔</w:t>
      </w:r>
      <w:r>
        <w:rPr>
          <w:rStyle w:val="10"/>
          <w:rFonts w:ascii="仿宋_GB2312" w:hAnsi="宋体" w:eastAsia="仿宋_GB2312"/>
          <w:b w:val="0"/>
          <w:i w:val="0"/>
          <w:caps w:val="0"/>
          <w:spacing w:val="0"/>
          <w:w w:val="100"/>
          <w:kern w:val="2"/>
          <w:sz w:val="32"/>
          <w:szCs w:val="32"/>
          <w:lang w:val="en-US" w:eastAsia="zh-CN" w:bidi="ar-SA"/>
        </w:rPr>
        <w:t>2020</w:t>
      </w:r>
      <w:r>
        <w:rPr>
          <w:rStyle w:val="10"/>
          <w:rFonts w:ascii="仿宋_GB2312" w:hAnsi="宋体" w:eastAsia="仿宋_GB2312"/>
          <w:b w:val="0"/>
          <w:i w:val="0"/>
          <w:caps w:val="0"/>
          <w:spacing w:val="0"/>
          <w:w w:val="100"/>
          <w:kern w:val="2"/>
          <w:sz w:val="32"/>
          <w:szCs w:val="32"/>
          <w:lang w:val="zh-CN" w:eastAsia="zh-CN" w:bidi="ar-SA"/>
        </w:rPr>
        <w:t>〕</w:t>
      </w:r>
      <w:r>
        <w:rPr>
          <w:rStyle w:val="10"/>
          <w:rFonts w:ascii="仿宋_GB2312" w:hAnsi="宋体" w:eastAsia="仿宋_GB2312"/>
          <w:b w:val="0"/>
          <w:i w:val="0"/>
          <w:caps w:val="0"/>
          <w:spacing w:val="0"/>
          <w:w w:val="100"/>
          <w:kern w:val="2"/>
          <w:sz w:val="32"/>
          <w:szCs w:val="32"/>
          <w:lang w:val="en-US" w:eastAsia="zh-CN" w:bidi="ar-SA"/>
        </w:rPr>
        <w:t>35</w:t>
      </w:r>
      <w:r>
        <w:rPr>
          <w:rStyle w:val="10"/>
          <w:rFonts w:ascii="仿宋_GB2312" w:hAnsi="宋体" w:eastAsia="仿宋_GB2312"/>
          <w:b w:val="0"/>
          <w:i w:val="0"/>
          <w:caps w:val="0"/>
          <w:spacing w:val="0"/>
          <w:w w:val="100"/>
          <w:kern w:val="2"/>
          <w:sz w:val="32"/>
          <w:szCs w:val="32"/>
          <w:lang w:val="zh-CN" w:eastAsia="zh-CN" w:bidi="ar-SA"/>
        </w:rPr>
        <w:t>号文件规定以及《四川省卫生健康委员会关于印发</w:t>
      </w:r>
      <w:r>
        <w:rPr>
          <w:rStyle w:val="10"/>
          <w:rFonts w:ascii="仿宋_GB2312" w:hAnsi="宋体" w:eastAsia="仿宋_GB2312"/>
          <w:b w:val="0"/>
          <w:i w:val="0"/>
          <w:caps w:val="0"/>
          <w:spacing w:val="0"/>
          <w:w w:val="100"/>
          <w:kern w:val="2"/>
          <w:sz w:val="32"/>
          <w:szCs w:val="32"/>
          <w:lang w:val="en-US" w:eastAsia="zh-CN" w:bidi="ar-SA"/>
        </w:rPr>
        <w:t>2019年度基本公共卫生服务平移项目实施方案的通知》</w:t>
      </w:r>
      <w:r>
        <w:rPr>
          <w:rStyle w:val="10"/>
          <w:rFonts w:ascii="仿宋_GB2312" w:eastAsia="仿宋_GB2312"/>
          <w:b w:val="0"/>
          <w:i w:val="0"/>
          <w:caps w:val="0"/>
          <w:spacing w:val="0"/>
          <w:w w:val="100"/>
          <w:kern w:val="2"/>
          <w:sz w:val="32"/>
          <w:szCs w:val="32"/>
          <w:lang w:val="en-US" w:eastAsia="zh-CN" w:bidi="ar-SA"/>
        </w:rPr>
        <w:t>，结合我院开展两癌筛查服务工作的实际完成情况，申报项目专项资金，申报内容与下达文件项目内容相符，申报目标合理。</w:t>
      </w:r>
    </w:p>
    <w:p w14:paraId="7D29CC8A">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（三）项目自评步骤及方法。</w:t>
      </w:r>
    </w:p>
    <w:p w14:paraId="0D8B6B6C">
      <w:pPr>
        <w:snapToGrid w:val="0"/>
        <w:spacing w:before="0" w:beforeAutospacing="0" w:after="0" w:afterAutospacing="0" w:line="600" w:lineRule="exact"/>
        <w:ind w:firstLine="72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根据项目实施情况，填列项目支出绩效评价指标表册、收集财政专项资金绩效评价基本情况和问卷调查表册，下发相关资料到相关科室，收集反馈相关情况。</w:t>
      </w:r>
    </w:p>
    <w:p w14:paraId="1BDB1469">
      <w:pPr>
        <w:snapToGrid w:val="0"/>
        <w:spacing w:before="0" w:beforeAutospacing="0" w:after="0" w:afterAutospacing="0" w:line="600" w:lineRule="exact"/>
        <w:ind w:firstLine="720"/>
        <w:jc w:val="both"/>
        <w:textAlignment w:val="baseline"/>
        <w:outlineLvl w:val="1"/>
        <w:rPr>
          <w:rStyle w:val="10"/>
          <w:rFonts w:ascii="黑体" w:hAnsi="宋体" w:eastAsia="黑体"/>
          <w:b w:val="0"/>
          <w:i w:val="0"/>
          <w:caps w:val="0"/>
          <w:spacing w:val="0"/>
          <w:w w:val="100"/>
          <w:kern w:val="2"/>
          <w:sz w:val="32"/>
          <w:szCs w:val="32"/>
          <w:lang w:val="en-US" w:eastAsia="zh-CN" w:bidi="ar-SA"/>
        </w:rPr>
      </w:pPr>
      <w:bookmarkStart w:id="28" w:name="_Toc28488"/>
      <w:r>
        <w:rPr>
          <w:rStyle w:val="10"/>
          <w:rFonts w:ascii="黑体" w:hAnsi="宋体" w:eastAsia="黑体"/>
          <w:b w:val="0"/>
          <w:i w:val="0"/>
          <w:caps w:val="0"/>
          <w:spacing w:val="0"/>
          <w:w w:val="100"/>
          <w:kern w:val="2"/>
          <w:sz w:val="32"/>
          <w:szCs w:val="32"/>
          <w:lang w:val="en-US" w:eastAsia="zh-CN" w:bidi="ar-SA"/>
        </w:rPr>
        <w:t>二、项目资金申报及使用情况</w:t>
      </w:r>
      <w:bookmarkEnd w:id="28"/>
    </w:p>
    <w:p w14:paraId="417BA604">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（一）项目资金申报及批复情况。</w:t>
      </w:r>
    </w:p>
    <w:p w14:paraId="2158AC73">
      <w:pPr>
        <w:snapToGrid w:val="0"/>
        <w:spacing w:before="0" w:beforeAutospacing="0" w:after="0" w:afterAutospacing="0" w:line="600" w:lineRule="exact"/>
        <w:ind w:firstLine="72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两癌筛查项目申报与项目相符，申报目标是合理可行。</w:t>
      </w:r>
    </w:p>
    <w:p w14:paraId="15086EEB">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（二）资金计划、到位及使用情况。</w:t>
      </w:r>
    </w:p>
    <w:p w14:paraId="1EF9F665">
      <w:pPr>
        <w:pStyle w:val="38"/>
        <w:widowControl/>
        <w:snapToGrid/>
        <w:spacing w:before="0" w:beforeAutospacing="0" w:after="0" w:afterAutospacing="0" w:line="240" w:lineRule="auto"/>
        <w:ind w:left="641"/>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1、截止2020年12月31日止，本项目计划资金24.19</w:t>
      </w:r>
    </w:p>
    <w:p w14:paraId="22CD0168">
      <w:pPr>
        <w:pStyle w:val="38"/>
        <w:widowControl/>
        <w:snapToGrid/>
        <w:spacing w:before="0" w:beforeAutospacing="0" w:after="0" w:afterAutospacing="0" w:line="240" w:lineRule="auto"/>
        <w:jc w:val="both"/>
        <w:textAlignment w:val="baseline"/>
        <w:rPr>
          <w:rStyle w:val="10"/>
          <w:rFonts w:ascii="仿宋_GB2312" w:eastAsia="仿宋_GB2312"/>
          <w:b w:val="0"/>
          <w:i w:val="0"/>
          <w:caps w:val="0"/>
          <w:color w:val="FF000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万元，到位资金24.19万元，到位率100%，其中:中央财政补助资金23.04万元、区本级财政配套资金1.15万元</w:t>
      </w:r>
    </w:p>
    <w:p w14:paraId="38DEEE0D">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color w:val="FF0000"/>
          <w:spacing w:val="0"/>
          <w:w w:val="100"/>
          <w:kern w:val="2"/>
          <w:sz w:val="32"/>
          <w:szCs w:val="32"/>
          <w:lang w:val="en-US" w:eastAsia="zh-CN" w:bidi="ar-SA"/>
        </w:rPr>
        <w:t xml:space="preserve">       </w:t>
      </w:r>
      <w:r>
        <w:rPr>
          <w:rStyle w:val="10"/>
          <w:rFonts w:ascii="仿宋_GB2312" w:eastAsia="仿宋_GB2312"/>
          <w:b w:val="0"/>
          <w:i w:val="0"/>
          <w:caps w:val="0"/>
          <w:spacing w:val="0"/>
          <w:w w:val="100"/>
          <w:kern w:val="2"/>
          <w:sz w:val="32"/>
          <w:szCs w:val="32"/>
          <w:lang w:val="en-US" w:eastAsia="zh-CN" w:bidi="ar-SA"/>
        </w:rPr>
        <w:t>2020年两癌筛查项目资金计划及到位情况表</w:t>
      </w:r>
    </w:p>
    <w:tbl>
      <w:tblPr>
        <w:tblStyle w:val="7"/>
        <w:tblW w:w="8100" w:type="dxa"/>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520"/>
        <w:gridCol w:w="1059"/>
        <w:gridCol w:w="1641"/>
        <w:gridCol w:w="1607"/>
        <w:gridCol w:w="1273"/>
      </w:tblGrid>
      <w:tr w14:paraId="09569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3579" w:type="dxa"/>
            <w:gridSpan w:val="2"/>
            <w:tcBorders>
              <w:top w:val="single" w:color="000000" w:sz="4" w:space="0"/>
              <w:left w:val="single" w:color="000000" w:sz="4" w:space="0"/>
              <w:bottom w:val="single" w:color="000000" w:sz="4" w:space="0"/>
              <w:right w:val="single" w:color="000000" w:sz="4" w:space="0"/>
            </w:tcBorders>
            <w:vAlign w:val="top"/>
          </w:tcPr>
          <w:p w14:paraId="205706E1">
            <w:pPr>
              <w:pStyle w:val="38"/>
              <w:widowControl/>
              <w:snapToGrid/>
              <w:spacing w:before="0" w:beforeAutospacing="0" w:after="0" w:afterAutospacing="0" w:line="240" w:lineRule="auto"/>
              <w:ind w:firstLine="480" w:firstLineChars="15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资金计划(万元)</w:t>
            </w:r>
          </w:p>
        </w:tc>
        <w:tc>
          <w:tcPr>
            <w:tcW w:w="1641" w:type="dxa"/>
            <w:tcBorders>
              <w:top w:val="single" w:color="000000" w:sz="4" w:space="0"/>
              <w:left w:val="single" w:color="000000" w:sz="4" w:space="0"/>
              <w:bottom w:val="single" w:color="000000" w:sz="4" w:space="0"/>
              <w:right w:val="single" w:color="000000" w:sz="4" w:space="0"/>
            </w:tcBorders>
            <w:vAlign w:val="top"/>
          </w:tcPr>
          <w:p w14:paraId="109410FF">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资金到位</w:t>
            </w:r>
          </w:p>
        </w:tc>
        <w:tc>
          <w:tcPr>
            <w:tcW w:w="1607" w:type="dxa"/>
            <w:tcBorders>
              <w:top w:val="single" w:color="000000" w:sz="4" w:space="0"/>
              <w:left w:val="single" w:color="000000" w:sz="4" w:space="0"/>
              <w:bottom w:val="single" w:color="000000" w:sz="4" w:space="0"/>
              <w:right w:val="single" w:color="000000" w:sz="4" w:space="0"/>
            </w:tcBorders>
            <w:vAlign w:val="top"/>
          </w:tcPr>
          <w:p w14:paraId="63D23E21">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到位时间</w:t>
            </w:r>
          </w:p>
        </w:tc>
        <w:tc>
          <w:tcPr>
            <w:tcW w:w="1273" w:type="dxa"/>
            <w:tcBorders>
              <w:top w:val="single" w:color="000000" w:sz="4" w:space="0"/>
              <w:left w:val="single" w:color="000000" w:sz="4" w:space="0"/>
              <w:bottom w:val="single" w:color="000000" w:sz="4" w:space="0"/>
              <w:right w:val="single" w:color="000000" w:sz="4" w:space="0"/>
            </w:tcBorders>
            <w:vAlign w:val="top"/>
          </w:tcPr>
          <w:p w14:paraId="4BA95EDB">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到位率</w:t>
            </w:r>
          </w:p>
        </w:tc>
      </w:tr>
      <w:tr w14:paraId="627F6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520" w:type="dxa"/>
            <w:tcBorders>
              <w:top w:val="single" w:color="000000" w:sz="4" w:space="0"/>
              <w:left w:val="single" w:color="000000" w:sz="4" w:space="0"/>
              <w:bottom w:val="single" w:color="000000" w:sz="4" w:space="0"/>
              <w:right w:val="single" w:color="000000" w:sz="4" w:space="0"/>
            </w:tcBorders>
            <w:vAlign w:val="top"/>
          </w:tcPr>
          <w:p w14:paraId="4725FCD1">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中央资级资金</w:t>
            </w:r>
          </w:p>
        </w:tc>
        <w:tc>
          <w:tcPr>
            <w:tcW w:w="1059" w:type="dxa"/>
            <w:tcBorders>
              <w:top w:val="single" w:color="000000" w:sz="4" w:space="0"/>
              <w:left w:val="single" w:color="000000" w:sz="4" w:space="0"/>
              <w:bottom w:val="single" w:color="000000" w:sz="4" w:space="0"/>
              <w:right w:val="single" w:color="000000" w:sz="4" w:space="0"/>
            </w:tcBorders>
            <w:vAlign w:val="top"/>
          </w:tcPr>
          <w:p w14:paraId="3CD581B2">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23.04</w:t>
            </w:r>
          </w:p>
        </w:tc>
        <w:tc>
          <w:tcPr>
            <w:tcW w:w="1641" w:type="dxa"/>
            <w:tcBorders>
              <w:top w:val="single" w:color="000000" w:sz="4" w:space="0"/>
              <w:left w:val="single" w:color="000000" w:sz="4" w:space="0"/>
              <w:bottom w:val="single" w:color="000000" w:sz="4" w:space="0"/>
              <w:right w:val="single" w:color="000000" w:sz="4" w:space="0"/>
            </w:tcBorders>
            <w:vAlign w:val="top"/>
          </w:tcPr>
          <w:p w14:paraId="59C023E8">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23.04</w:t>
            </w:r>
          </w:p>
        </w:tc>
        <w:tc>
          <w:tcPr>
            <w:tcW w:w="1607" w:type="dxa"/>
            <w:tcBorders>
              <w:top w:val="single" w:color="000000" w:sz="4" w:space="0"/>
              <w:left w:val="single" w:color="000000" w:sz="4" w:space="0"/>
              <w:bottom w:val="single" w:color="000000" w:sz="4" w:space="0"/>
              <w:right w:val="single" w:color="000000" w:sz="4" w:space="0"/>
            </w:tcBorders>
            <w:vAlign w:val="top"/>
          </w:tcPr>
          <w:p w14:paraId="2921CC38">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2020.12</w:t>
            </w:r>
          </w:p>
        </w:tc>
        <w:tc>
          <w:tcPr>
            <w:tcW w:w="1273" w:type="dxa"/>
            <w:tcBorders>
              <w:top w:val="single" w:color="000000" w:sz="4" w:space="0"/>
              <w:left w:val="single" w:color="000000" w:sz="4" w:space="0"/>
              <w:bottom w:val="single" w:color="000000" w:sz="4" w:space="0"/>
              <w:right w:val="single" w:color="000000" w:sz="4" w:space="0"/>
            </w:tcBorders>
            <w:vAlign w:val="top"/>
          </w:tcPr>
          <w:p w14:paraId="034ABF2D">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100%</w:t>
            </w:r>
          </w:p>
        </w:tc>
      </w:tr>
      <w:tr w14:paraId="24386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520" w:type="dxa"/>
            <w:tcBorders>
              <w:top w:val="single" w:color="000000" w:sz="4" w:space="0"/>
              <w:left w:val="single" w:color="000000" w:sz="4" w:space="0"/>
              <w:bottom w:val="single" w:color="000000" w:sz="4" w:space="0"/>
              <w:right w:val="single" w:color="000000" w:sz="4" w:space="0"/>
            </w:tcBorders>
            <w:vAlign w:val="top"/>
          </w:tcPr>
          <w:p w14:paraId="4969F8CD">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区本级配套资金</w:t>
            </w:r>
          </w:p>
        </w:tc>
        <w:tc>
          <w:tcPr>
            <w:tcW w:w="1059" w:type="dxa"/>
            <w:tcBorders>
              <w:top w:val="single" w:color="000000" w:sz="4" w:space="0"/>
              <w:left w:val="single" w:color="000000" w:sz="4" w:space="0"/>
              <w:bottom w:val="single" w:color="000000" w:sz="4" w:space="0"/>
              <w:right w:val="single" w:color="000000" w:sz="4" w:space="0"/>
            </w:tcBorders>
            <w:vAlign w:val="top"/>
          </w:tcPr>
          <w:p w14:paraId="67A87BC7">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1.15</w:t>
            </w:r>
          </w:p>
        </w:tc>
        <w:tc>
          <w:tcPr>
            <w:tcW w:w="1641" w:type="dxa"/>
            <w:tcBorders>
              <w:top w:val="single" w:color="000000" w:sz="4" w:space="0"/>
              <w:left w:val="single" w:color="000000" w:sz="4" w:space="0"/>
              <w:bottom w:val="single" w:color="000000" w:sz="4" w:space="0"/>
              <w:right w:val="single" w:color="000000" w:sz="4" w:space="0"/>
            </w:tcBorders>
            <w:vAlign w:val="top"/>
          </w:tcPr>
          <w:p w14:paraId="2C149BED">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1.15</w:t>
            </w:r>
          </w:p>
        </w:tc>
        <w:tc>
          <w:tcPr>
            <w:tcW w:w="1607" w:type="dxa"/>
            <w:tcBorders>
              <w:top w:val="single" w:color="000000" w:sz="4" w:space="0"/>
              <w:left w:val="single" w:color="000000" w:sz="4" w:space="0"/>
              <w:bottom w:val="single" w:color="000000" w:sz="4" w:space="0"/>
              <w:right w:val="single" w:color="000000" w:sz="4" w:space="0"/>
            </w:tcBorders>
            <w:vAlign w:val="top"/>
          </w:tcPr>
          <w:p w14:paraId="3624D502">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2020.12</w:t>
            </w:r>
          </w:p>
        </w:tc>
        <w:tc>
          <w:tcPr>
            <w:tcW w:w="1273" w:type="dxa"/>
            <w:tcBorders>
              <w:top w:val="single" w:color="000000" w:sz="4" w:space="0"/>
              <w:left w:val="single" w:color="000000" w:sz="4" w:space="0"/>
              <w:bottom w:val="single" w:color="000000" w:sz="4" w:space="0"/>
              <w:right w:val="single" w:color="000000" w:sz="4" w:space="0"/>
            </w:tcBorders>
            <w:vAlign w:val="top"/>
          </w:tcPr>
          <w:p w14:paraId="6F9A1165">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100%</w:t>
            </w:r>
          </w:p>
        </w:tc>
      </w:tr>
      <w:tr w14:paraId="68C77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2520" w:type="dxa"/>
            <w:tcBorders>
              <w:top w:val="single" w:color="000000" w:sz="4" w:space="0"/>
              <w:left w:val="single" w:color="000000" w:sz="4" w:space="0"/>
              <w:bottom w:val="single" w:color="000000" w:sz="4" w:space="0"/>
              <w:right w:val="single" w:color="000000" w:sz="4" w:space="0"/>
            </w:tcBorders>
            <w:vAlign w:val="top"/>
          </w:tcPr>
          <w:p w14:paraId="31BDE4ED">
            <w:pPr>
              <w:pStyle w:val="38"/>
              <w:widowControl/>
              <w:snapToGrid/>
              <w:spacing w:before="0" w:beforeAutospacing="0" w:after="0" w:afterAutospacing="0" w:line="240" w:lineRule="auto"/>
              <w:ind w:firstLine="480" w:firstLineChars="15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合计</w:t>
            </w:r>
          </w:p>
        </w:tc>
        <w:tc>
          <w:tcPr>
            <w:tcW w:w="1059" w:type="dxa"/>
            <w:tcBorders>
              <w:top w:val="single" w:color="000000" w:sz="4" w:space="0"/>
              <w:left w:val="single" w:color="000000" w:sz="4" w:space="0"/>
              <w:bottom w:val="single" w:color="000000" w:sz="4" w:space="0"/>
              <w:right w:val="single" w:color="000000" w:sz="4" w:space="0"/>
            </w:tcBorders>
            <w:vAlign w:val="top"/>
          </w:tcPr>
          <w:p w14:paraId="60B0F393">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24.19</w:t>
            </w:r>
          </w:p>
        </w:tc>
        <w:tc>
          <w:tcPr>
            <w:tcW w:w="1641" w:type="dxa"/>
            <w:tcBorders>
              <w:top w:val="single" w:color="000000" w:sz="4" w:space="0"/>
              <w:left w:val="single" w:color="000000" w:sz="4" w:space="0"/>
              <w:bottom w:val="single" w:color="000000" w:sz="4" w:space="0"/>
              <w:right w:val="single" w:color="000000" w:sz="4" w:space="0"/>
            </w:tcBorders>
            <w:vAlign w:val="top"/>
          </w:tcPr>
          <w:p w14:paraId="06DDFA45">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24.19</w:t>
            </w:r>
          </w:p>
        </w:tc>
        <w:tc>
          <w:tcPr>
            <w:tcW w:w="1607" w:type="dxa"/>
            <w:tcBorders>
              <w:top w:val="single" w:color="000000" w:sz="4" w:space="0"/>
              <w:left w:val="single" w:color="000000" w:sz="4" w:space="0"/>
              <w:bottom w:val="single" w:color="000000" w:sz="4" w:space="0"/>
              <w:right w:val="single" w:color="000000" w:sz="4" w:space="0"/>
            </w:tcBorders>
            <w:vAlign w:val="top"/>
          </w:tcPr>
          <w:p w14:paraId="4ECA17F1">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p>
        </w:tc>
        <w:tc>
          <w:tcPr>
            <w:tcW w:w="1273" w:type="dxa"/>
            <w:tcBorders>
              <w:top w:val="single" w:color="000000" w:sz="4" w:space="0"/>
              <w:left w:val="single" w:color="000000" w:sz="4" w:space="0"/>
              <w:bottom w:val="single" w:color="000000" w:sz="4" w:space="0"/>
              <w:right w:val="single" w:color="000000" w:sz="4" w:space="0"/>
            </w:tcBorders>
            <w:vAlign w:val="top"/>
          </w:tcPr>
          <w:p w14:paraId="55705972">
            <w:pPr>
              <w:pStyle w:val="38"/>
              <w:widowControl/>
              <w:snapToGrid/>
              <w:spacing w:before="0" w:beforeAutospacing="0" w:after="0" w:afterAutospacing="0" w:line="240" w:lineRule="auto"/>
              <w:jc w:val="both"/>
              <w:textAlignment w:val="baseline"/>
              <w:rPr>
                <w:rStyle w:val="10"/>
                <w:rFonts w:ascii="仿宋_GB2312" w:eastAsia="仿宋_GB2312"/>
                <w:b w:val="0"/>
                <w:i w:val="0"/>
                <w:caps w:val="0"/>
                <w:spacing w:val="0"/>
                <w:w w:val="100"/>
                <w:kern w:val="2"/>
                <w:sz w:val="32"/>
                <w:szCs w:val="32"/>
                <w:lang w:val="en-US" w:eastAsia="zh-CN" w:bidi="ar-SA"/>
              </w:rPr>
            </w:pPr>
          </w:p>
        </w:tc>
      </w:tr>
    </w:tbl>
    <w:p w14:paraId="3470D07B">
      <w:pPr>
        <w:pStyle w:val="38"/>
        <w:widowControl/>
        <w:snapToGrid/>
        <w:spacing w:before="0" w:beforeAutospacing="0" w:after="0" w:afterAutospacing="0" w:line="240" w:lineRule="auto"/>
        <w:ind w:firstLine="64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2020年两癌筛查项目实际支出355099.2元，支专用材料费241580元(检验试剂)、培训费162元、下乡检查差旅费14939元、外送检验费98418.2元。2020年我区两癌筛查项目任务数宫颈癌、乳腺癌各1800人，实际完成人数宫颈癌1813人、乳腺癌1947人，完成率达104.44%；资金支付占到位资金146.79%。</w:t>
      </w:r>
    </w:p>
    <w:p w14:paraId="33B00F0A">
      <w:pPr>
        <w:pStyle w:val="38"/>
        <w:widowControl/>
        <w:snapToGrid/>
        <w:spacing w:before="0" w:beforeAutospacing="0" w:after="0" w:afterAutospacing="0" w:line="240" w:lineRule="auto"/>
        <w:ind w:firstLine="1120" w:firstLineChars="35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2020年两癌筛查任务完成情况及资金支付进度表</w:t>
      </w:r>
    </w:p>
    <w:tbl>
      <w:tblPr>
        <w:tblStyle w:val="7"/>
        <w:tblW w:w="8744" w:type="dxa"/>
        <w:tblInd w:w="1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1334"/>
        <w:gridCol w:w="1312"/>
        <w:gridCol w:w="1417"/>
        <w:gridCol w:w="1948"/>
        <w:gridCol w:w="1653"/>
      </w:tblGrid>
      <w:tr w14:paraId="5AEA6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080" w:type="dxa"/>
            <w:tcBorders>
              <w:top w:val="single" w:color="000000" w:sz="4" w:space="0"/>
              <w:left w:val="single" w:color="000000" w:sz="4" w:space="0"/>
              <w:bottom w:val="single" w:color="000000" w:sz="4" w:space="0"/>
              <w:right w:val="single" w:color="000000" w:sz="4" w:space="0"/>
            </w:tcBorders>
            <w:vAlign w:val="center"/>
          </w:tcPr>
          <w:p w14:paraId="6B49E460">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项目</w:t>
            </w:r>
          </w:p>
        </w:tc>
        <w:tc>
          <w:tcPr>
            <w:tcW w:w="1334" w:type="dxa"/>
            <w:tcBorders>
              <w:top w:val="single" w:color="000000" w:sz="4" w:space="0"/>
              <w:left w:val="single" w:color="000000" w:sz="4" w:space="0"/>
              <w:bottom w:val="single" w:color="000000" w:sz="4" w:space="0"/>
              <w:right w:val="single" w:color="000000" w:sz="4" w:space="0"/>
            </w:tcBorders>
            <w:vAlign w:val="center"/>
          </w:tcPr>
          <w:p w14:paraId="417527D3">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任务数</w:t>
            </w:r>
          </w:p>
        </w:tc>
        <w:tc>
          <w:tcPr>
            <w:tcW w:w="1312" w:type="dxa"/>
            <w:tcBorders>
              <w:top w:val="single" w:color="000000" w:sz="4" w:space="0"/>
              <w:left w:val="single" w:color="000000" w:sz="4" w:space="0"/>
              <w:bottom w:val="single" w:color="000000" w:sz="4" w:space="0"/>
              <w:right w:val="single" w:color="000000" w:sz="4" w:space="0"/>
            </w:tcBorders>
            <w:vAlign w:val="center"/>
          </w:tcPr>
          <w:p w14:paraId="59EFDC68">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完成数</w:t>
            </w:r>
          </w:p>
        </w:tc>
        <w:tc>
          <w:tcPr>
            <w:tcW w:w="1417" w:type="dxa"/>
            <w:tcBorders>
              <w:top w:val="single" w:color="000000" w:sz="4" w:space="0"/>
              <w:left w:val="single" w:color="000000" w:sz="4" w:space="0"/>
              <w:bottom w:val="single" w:color="000000" w:sz="4" w:space="0"/>
              <w:right w:val="single" w:color="000000" w:sz="4" w:space="0"/>
            </w:tcBorders>
            <w:vAlign w:val="center"/>
          </w:tcPr>
          <w:p w14:paraId="02765547">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完成进度</w:t>
            </w:r>
          </w:p>
        </w:tc>
        <w:tc>
          <w:tcPr>
            <w:tcW w:w="1948" w:type="dxa"/>
            <w:tcBorders>
              <w:top w:val="single" w:color="000000" w:sz="4" w:space="0"/>
              <w:left w:val="single" w:color="000000" w:sz="4" w:space="0"/>
              <w:bottom w:val="single" w:color="000000" w:sz="4" w:space="0"/>
              <w:right w:val="single" w:color="000000" w:sz="4" w:space="0"/>
            </w:tcBorders>
            <w:vAlign w:val="center"/>
          </w:tcPr>
          <w:p w14:paraId="3E502878">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资金使用(元)</w:t>
            </w:r>
          </w:p>
        </w:tc>
        <w:tc>
          <w:tcPr>
            <w:tcW w:w="1653" w:type="dxa"/>
            <w:tcBorders>
              <w:top w:val="single" w:color="000000" w:sz="4" w:space="0"/>
              <w:left w:val="single" w:color="000000" w:sz="4" w:space="0"/>
              <w:bottom w:val="single" w:color="000000" w:sz="4" w:space="0"/>
              <w:right w:val="single" w:color="000000" w:sz="4" w:space="0"/>
            </w:tcBorders>
            <w:vAlign w:val="center"/>
          </w:tcPr>
          <w:p w14:paraId="0A8AF7C3">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支付进度</w:t>
            </w:r>
          </w:p>
        </w:tc>
      </w:tr>
      <w:tr w14:paraId="3A0E3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080" w:type="dxa"/>
            <w:tcBorders>
              <w:top w:val="single" w:color="000000" w:sz="4" w:space="0"/>
              <w:left w:val="single" w:color="000000" w:sz="4" w:space="0"/>
              <w:bottom w:val="single" w:color="000000" w:sz="4" w:space="0"/>
              <w:right w:val="single" w:color="000000" w:sz="4" w:space="0"/>
            </w:tcBorders>
            <w:vAlign w:val="center"/>
          </w:tcPr>
          <w:p w14:paraId="02936196">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宫颈癌</w:t>
            </w:r>
          </w:p>
        </w:tc>
        <w:tc>
          <w:tcPr>
            <w:tcW w:w="1334" w:type="dxa"/>
            <w:tcBorders>
              <w:top w:val="single" w:color="000000" w:sz="4" w:space="0"/>
              <w:left w:val="single" w:color="000000" w:sz="4" w:space="0"/>
              <w:bottom w:val="single" w:color="000000" w:sz="4" w:space="0"/>
              <w:right w:val="single" w:color="000000" w:sz="4" w:space="0"/>
            </w:tcBorders>
            <w:vAlign w:val="center"/>
          </w:tcPr>
          <w:p w14:paraId="17CF8172">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1800人</w:t>
            </w:r>
          </w:p>
        </w:tc>
        <w:tc>
          <w:tcPr>
            <w:tcW w:w="1312" w:type="dxa"/>
            <w:tcBorders>
              <w:top w:val="single" w:color="000000" w:sz="4" w:space="0"/>
              <w:left w:val="single" w:color="000000" w:sz="4" w:space="0"/>
              <w:bottom w:val="single" w:color="000000" w:sz="4" w:space="0"/>
              <w:right w:val="single" w:color="000000" w:sz="4" w:space="0"/>
            </w:tcBorders>
            <w:vAlign w:val="center"/>
          </w:tcPr>
          <w:p w14:paraId="5BDF8151">
            <w:pPr>
              <w:pStyle w:val="38"/>
              <w:widowControl/>
              <w:snapToGrid/>
              <w:spacing w:before="0" w:beforeAutospacing="0" w:after="0" w:afterAutospacing="0" w:line="240" w:lineRule="auto"/>
              <w:ind w:firstLine="140" w:firstLineChars="50"/>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1813人</w:t>
            </w:r>
          </w:p>
        </w:tc>
        <w:tc>
          <w:tcPr>
            <w:tcW w:w="1417" w:type="dxa"/>
            <w:tcBorders>
              <w:top w:val="single" w:color="000000" w:sz="4" w:space="0"/>
              <w:left w:val="single" w:color="000000" w:sz="4" w:space="0"/>
              <w:bottom w:val="single" w:color="000000" w:sz="4" w:space="0"/>
              <w:right w:val="single" w:color="000000" w:sz="4" w:space="0"/>
            </w:tcBorders>
            <w:vAlign w:val="center"/>
          </w:tcPr>
          <w:p w14:paraId="2156F27C">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100.72%</w:t>
            </w:r>
          </w:p>
        </w:tc>
        <w:tc>
          <w:tcPr>
            <w:tcW w:w="1948" w:type="dxa"/>
            <w:vMerge w:val="restart"/>
            <w:tcBorders>
              <w:top w:val="single" w:color="000000" w:sz="4" w:space="0"/>
              <w:left w:val="single" w:color="000000" w:sz="4" w:space="0"/>
              <w:bottom w:val="single" w:color="000000" w:sz="4" w:space="0"/>
              <w:right w:val="single" w:color="000000" w:sz="4" w:space="0"/>
            </w:tcBorders>
            <w:vAlign w:val="center"/>
          </w:tcPr>
          <w:p w14:paraId="42FC0FF0">
            <w:pPr>
              <w:pStyle w:val="38"/>
              <w:widowControl/>
              <w:snapToGrid/>
              <w:spacing w:before="0" w:beforeAutospacing="0" w:after="0" w:afterAutospacing="0" w:line="240" w:lineRule="auto"/>
              <w:ind w:firstLine="420" w:firstLineChars="150"/>
              <w:jc w:val="both"/>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355099.2</w:t>
            </w:r>
          </w:p>
        </w:tc>
        <w:tc>
          <w:tcPr>
            <w:tcW w:w="1653" w:type="dxa"/>
            <w:vMerge w:val="restart"/>
            <w:tcBorders>
              <w:top w:val="single" w:color="000000" w:sz="4" w:space="0"/>
              <w:left w:val="single" w:color="000000" w:sz="4" w:space="0"/>
              <w:bottom w:val="single" w:color="000000" w:sz="4" w:space="0"/>
              <w:right w:val="single" w:color="000000" w:sz="4" w:space="0"/>
            </w:tcBorders>
            <w:vAlign w:val="center"/>
          </w:tcPr>
          <w:p w14:paraId="07C0B481">
            <w:pPr>
              <w:pStyle w:val="38"/>
              <w:widowControl/>
              <w:snapToGrid/>
              <w:spacing w:before="0" w:beforeAutospacing="0" w:after="0" w:afterAutospacing="0" w:line="240" w:lineRule="auto"/>
              <w:ind w:firstLine="420" w:firstLineChars="150"/>
              <w:jc w:val="both"/>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146.79%</w:t>
            </w:r>
          </w:p>
        </w:tc>
      </w:tr>
      <w:tr w14:paraId="79E32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080" w:type="dxa"/>
            <w:tcBorders>
              <w:top w:val="single" w:color="000000" w:sz="4" w:space="0"/>
              <w:left w:val="single" w:color="000000" w:sz="4" w:space="0"/>
              <w:bottom w:val="single" w:color="000000" w:sz="4" w:space="0"/>
              <w:right w:val="single" w:color="000000" w:sz="4" w:space="0"/>
            </w:tcBorders>
            <w:vAlign w:val="center"/>
          </w:tcPr>
          <w:p w14:paraId="5E3BCF91">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乳腺癌</w:t>
            </w:r>
          </w:p>
        </w:tc>
        <w:tc>
          <w:tcPr>
            <w:tcW w:w="1334" w:type="dxa"/>
            <w:tcBorders>
              <w:top w:val="single" w:color="000000" w:sz="4" w:space="0"/>
              <w:left w:val="single" w:color="000000" w:sz="4" w:space="0"/>
              <w:bottom w:val="single" w:color="000000" w:sz="4" w:space="0"/>
              <w:right w:val="single" w:color="000000" w:sz="4" w:space="0"/>
            </w:tcBorders>
            <w:vAlign w:val="center"/>
          </w:tcPr>
          <w:p w14:paraId="56107F51">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1800人</w:t>
            </w:r>
          </w:p>
        </w:tc>
        <w:tc>
          <w:tcPr>
            <w:tcW w:w="1312" w:type="dxa"/>
            <w:tcBorders>
              <w:top w:val="single" w:color="000000" w:sz="4" w:space="0"/>
              <w:left w:val="single" w:color="000000" w:sz="4" w:space="0"/>
              <w:bottom w:val="single" w:color="000000" w:sz="4" w:space="0"/>
              <w:right w:val="single" w:color="000000" w:sz="4" w:space="0"/>
            </w:tcBorders>
            <w:vAlign w:val="center"/>
          </w:tcPr>
          <w:p w14:paraId="28C8D915">
            <w:pPr>
              <w:pStyle w:val="38"/>
              <w:widowControl/>
              <w:snapToGrid/>
              <w:spacing w:before="0" w:beforeAutospacing="0" w:after="0" w:afterAutospacing="0" w:line="240" w:lineRule="auto"/>
              <w:ind w:firstLine="140" w:firstLineChars="50"/>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1947人</w:t>
            </w:r>
          </w:p>
        </w:tc>
        <w:tc>
          <w:tcPr>
            <w:tcW w:w="1417" w:type="dxa"/>
            <w:tcBorders>
              <w:top w:val="single" w:color="000000" w:sz="4" w:space="0"/>
              <w:left w:val="single" w:color="000000" w:sz="4" w:space="0"/>
              <w:bottom w:val="single" w:color="000000" w:sz="4" w:space="0"/>
              <w:right w:val="single" w:color="000000" w:sz="4" w:space="0"/>
            </w:tcBorders>
            <w:vAlign w:val="center"/>
          </w:tcPr>
          <w:p w14:paraId="1B664763">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108.17%</w:t>
            </w:r>
          </w:p>
        </w:tc>
        <w:tc>
          <w:tcPr>
            <w:tcW w:w="1948" w:type="dxa"/>
            <w:vMerge w:val="continue"/>
            <w:tcBorders>
              <w:top w:val="single" w:color="000000" w:sz="4" w:space="0"/>
              <w:left w:val="single" w:color="000000" w:sz="4" w:space="0"/>
              <w:bottom w:val="single" w:color="000000" w:sz="4" w:space="0"/>
              <w:right w:val="single" w:color="000000" w:sz="4" w:space="0"/>
            </w:tcBorders>
            <w:vAlign w:val="center"/>
          </w:tcPr>
          <w:p w14:paraId="32429A58">
            <w:pPr>
              <w:pStyle w:val="38"/>
              <w:widowControl/>
              <w:snapToGrid/>
              <w:spacing w:before="0" w:beforeAutospacing="0" w:after="0" w:afterAutospacing="0" w:line="240" w:lineRule="auto"/>
              <w:ind w:firstLine="420" w:firstLineChars="150"/>
              <w:jc w:val="center"/>
              <w:textAlignment w:val="baseline"/>
              <w:rPr>
                <w:rStyle w:val="10"/>
                <w:rFonts w:ascii="仿宋_GB2312" w:eastAsia="仿宋_GB2312"/>
                <w:b w:val="0"/>
                <w:i w:val="0"/>
                <w:caps w:val="0"/>
                <w:spacing w:val="0"/>
                <w:w w:val="100"/>
                <w:kern w:val="2"/>
                <w:sz w:val="28"/>
                <w:szCs w:val="28"/>
                <w:lang w:val="en-US" w:eastAsia="zh-CN" w:bidi="ar-SA"/>
              </w:rPr>
            </w:pPr>
          </w:p>
        </w:tc>
        <w:tc>
          <w:tcPr>
            <w:tcW w:w="1653" w:type="dxa"/>
            <w:vMerge w:val="continue"/>
            <w:tcBorders>
              <w:top w:val="single" w:color="000000" w:sz="4" w:space="0"/>
              <w:left w:val="single" w:color="000000" w:sz="4" w:space="0"/>
              <w:bottom w:val="single" w:color="000000" w:sz="4" w:space="0"/>
              <w:right w:val="single" w:color="000000" w:sz="4" w:space="0"/>
            </w:tcBorders>
            <w:vAlign w:val="center"/>
          </w:tcPr>
          <w:p w14:paraId="5EE20699">
            <w:pPr>
              <w:pStyle w:val="38"/>
              <w:widowControl/>
              <w:snapToGrid/>
              <w:spacing w:before="0" w:beforeAutospacing="0" w:after="0" w:afterAutospacing="0" w:line="240" w:lineRule="auto"/>
              <w:ind w:firstLine="280" w:firstLineChars="100"/>
              <w:jc w:val="center"/>
              <w:textAlignment w:val="baseline"/>
              <w:rPr>
                <w:rStyle w:val="10"/>
                <w:rFonts w:ascii="仿宋_GB2312" w:eastAsia="仿宋_GB2312"/>
                <w:b w:val="0"/>
                <w:i w:val="0"/>
                <w:caps w:val="0"/>
                <w:spacing w:val="0"/>
                <w:w w:val="100"/>
                <w:kern w:val="2"/>
                <w:sz w:val="28"/>
                <w:szCs w:val="28"/>
                <w:lang w:val="en-US" w:eastAsia="zh-CN" w:bidi="ar-SA"/>
              </w:rPr>
            </w:pPr>
          </w:p>
        </w:tc>
      </w:tr>
      <w:tr w14:paraId="40540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080" w:type="dxa"/>
            <w:tcBorders>
              <w:top w:val="single" w:color="000000" w:sz="4" w:space="0"/>
              <w:left w:val="single" w:color="000000" w:sz="4" w:space="0"/>
              <w:bottom w:val="single" w:color="000000" w:sz="4" w:space="0"/>
              <w:right w:val="single" w:color="000000" w:sz="4" w:space="0"/>
            </w:tcBorders>
            <w:vAlign w:val="center"/>
          </w:tcPr>
          <w:p w14:paraId="19D18702">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合计</w:t>
            </w:r>
          </w:p>
        </w:tc>
        <w:tc>
          <w:tcPr>
            <w:tcW w:w="1334" w:type="dxa"/>
            <w:tcBorders>
              <w:top w:val="single" w:color="000000" w:sz="4" w:space="0"/>
              <w:left w:val="single" w:color="000000" w:sz="4" w:space="0"/>
              <w:bottom w:val="single" w:color="000000" w:sz="4" w:space="0"/>
              <w:right w:val="single" w:color="000000" w:sz="4" w:space="0"/>
            </w:tcBorders>
            <w:vAlign w:val="center"/>
          </w:tcPr>
          <w:p w14:paraId="6444297D">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3600人</w:t>
            </w:r>
          </w:p>
        </w:tc>
        <w:tc>
          <w:tcPr>
            <w:tcW w:w="1312" w:type="dxa"/>
            <w:tcBorders>
              <w:top w:val="single" w:color="000000" w:sz="4" w:space="0"/>
              <w:left w:val="single" w:color="000000" w:sz="4" w:space="0"/>
              <w:bottom w:val="single" w:color="000000" w:sz="4" w:space="0"/>
              <w:right w:val="single" w:color="000000" w:sz="4" w:space="0"/>
            </w:tcBorders>
            <w:vAlign w:val="center"/>
          </w:tcPr>
          <w:p w14:paraId="16569C30">
            <w:pPr>
              <w:pStyle w:val="38"/>
              <w:widowControl/>
              <w:snapToGrid/>
              <w:spacing w:before="0" w:beforeAutospacing="0" w:after="0" w:afterAutospacing="0" w:line="240" w:lineRule="auto"/>
              <w:ind w:firstLine="140" w:firstLineChars="50"/>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4621人</w:t>
            </w:r>
          </w:p>
        </w:tc>
        <w:tc>
          <w:tcPr>
            <w:tcW w:w="1417" w:type="dxa"/>
            <w:tcBorders>
              <w:top w:val="single" w:color="000000" w:sz="4" w:space="0"/>
              <w:left w:val="single" w:color="000000" w:sz="4" w:space="0"/>
              <w:bottom w:val="single" w:color="000000" w:sz="4" w:space="0"/>
              <w:right w:val="single" w:color="000000" w:sz="4" w:space="0"/>
            </w:tcBorders>
            <w:vAlign w:val="center"/>
          </w:tcPr>
          <w:p w14:paraId="3C588308">
            <w:pPr>
              <w:pStyle w:val="38"/>
              <w:widowControl/>
              <w:snapToGrid/>
              <w:spacing w:before="0" w:beforeAutospacing="0" w:after="0" w:afterAutospacing="0" w:line="240" w:lineRule="auto"/>
              <w:jc w:val="center"/>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104.44%</w:t>
            </w:r>
          </w:p>
        </w:tc>
        <w:tc>
          <w:tcPr>
            <w:tcW w:w="1948" w:type="dxa"/>
            <w:tcBorders>
              <w:top w:val="single" w:color="000000" w:sz="4" w:space="0"/>
              <w:left w:val="single" w:color="000000" w:sz="4" w:space="0"/>
              <w:bottom w:val="single" w:color="000000" w:sz="4" w:space="0"/>
              <w:right w:val="single" w:color="000000" w:sz="4" w:space="0"/>
            </w:tcBorders>
            <w:vAlign w:val="center"/>
          </w:tcPr>
          <w:p w14:paraId="1D8D5ED1">
            <w:pPr>
              <w:pStyle w:val="38"/>
              <w:widowControl/>
              <w:snapToGrid/>
              <w:spacing w:before="0" w:beforeAutospacing="0" w:after="0" w:afterAutospacing="0" w:line="240" w:lineRule="auto"/>
              <w:ind w:firstLine="420" w:firstLineChars="150"/>
              <w:jc w:val="both"/>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355099.2</w:t>
            </w:r>
          </w:p>
        </w:tc>
        <w:tc>
          <w:tcPr>
            <w:tcW w:w="1653" w:type="dxa"/>
            <w:tcBorders>
              <w:top w:val="single" w:color="000000" w:sz="4" w:space="0"/>
              <w:left w:val="single" w:color="000000" w:sz="4" w:space="0"/>
              <w:bottom w:val="single" w:color="000000" w:sz="4" w:space="0"/>
              <w:right w:val="single" w:color="000000" w:sz="4" w:space="0"/>
            </w:tcBorders>
            <w:vAlign w:val="center"/>
          </w:tcPr>
          <w:p w14:paraId="19F61B6B">
            <w:pPr>
              <w:pStyle w:val="38"/>
              <w:widowControl/>
              <w:snapToGrid/>
              <w:spacing w:before="0" w:beforeAutospacing="0" w:after="0" w:afterAutospacing="0" w:line="240" w:lineRule="auto"/>
              <w:ind w:firstLine="420" w:firstLineChars="150"/>
              <w:jc w:val="both"/>
              <w:textAlignment w:val="baseline"/>
              <w:rPr>
                <w:rStyle w:val="10"/>
                <w:rFonts w:ascii="仿宋_GB2312" w:eastAsia="仿宋_GB2312"/>
                <w:b w:val="0"/>
                <w:i w:val="0"/>
                <w:caps w:val="0"/>
                <w:spacing w:val="0"/>
                <w:w w:val="100"/>
                <w:kern w:val="2"/>
                <w:sz w:val="28"/>
                <w:szCs w:val="28"/>
                <w:lang w:val="en-US" w:eastAsia="zh-CN" w:bidi="ar-SA"/>
              </w:rPr>
            </w:pPr>
            <w:r>
              <w:rPr>
                <w:rStyle w:val="10"/>
                <w:rFonts w:ascii="仿宋_GB2312" w:eastAsia="仿宋_GB2312"/>
                <w:b w:val="0"/>
                <w:i w:val="0"/>
                <w:caps w:val="0"/>
                <w:spacing w:val="0"/>
                <w:w w:val="100"/>
                <w:kern w:val="2"/>
                <w:sz w:val="28"/>
                <w:szCs w:val="28"/>
                <w:lang w:val="en-US" w:eastAsia="zh-CN" w:bidi="ar-SA"/>
              </w:rPr>
              <w:t>146.79%</w:t>
            </w:r>
          </w:p>
        </w:tc>
      </w:tr>
    </w:tbl>
    <w:p w14:paraId="7E197BBE">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2020年区财政支付以前年度结转补助资金124699.2元，支付2020年度补助资金230400元，支付率为146.79%。</w:t>
      </w:r>
    </w:p>
    <w:p w14:paraId="0F6E14D7">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（三）项目财务管理情况。</w:t>
      </w:r>
    </w:p>
    <w:p w14:paraId="08710050">
      <w:pPr>
        <w:pStyle w:val="38"/>
        <w:widowControl/>
        <w:snapToGrid/>
        <w:spacing w:before="0" w:beforeAutospacing="0" w:after="0" w:afterAutospacing="0" w:line="560" w:lineRule="exact"/>
        <w:ind w:firstLine="640" w:firstLineChars="20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hAnsi="仿宋_GB2312" w:eastAsia="仿宋_GB2312"/>
          <w:b w:val="0"/>
          <w:i w:val="0"/>
          <w:caps w:val="0"/>
          <w:spacing w:val="0"/>
          <w:w w:val="100"/>
          <w:kern w:val="0"/>
          <w:sz w:val="32"/>
          <w:szCs w:val="32"/>
          <w:lang w:val="en-US" w:eastAsia="zh-CN" w:bidi="ar-SA"/>
        </w:rPr>
        <w:t>(1)加强制度建设，</w:t>
      </w:r>
      <w:r>
        <w:rPr>
          <w:rStyle w:val="10"/>
          <w:rFonts w:ascii="仿宋_GB2312" w:eastAsia="仿宋_GB2312"/>
          <w:b w:val="0"/>
          <w:i w:val="0"/>
          <w:caps w:val="0"/>
          <w:spacing w:val="0"/>
          <w:w w:val="100"/>
          <w:kern w:val="2"/>
          <w:sz w:val="32"/>
          <w:szCs w:val="32"/>
          <w:lang w:val="en-US" w:eastAsia="zh-CN" w:bidi="ar-SA"/>
        </w:rPr>
        <w:t>进一步完善了财经各项规章制度</w:t>
      </w:r>
      <w:r>
        <w:rPr>
          <w:rStyle w:val="10"/>
          <w:rFonts w:ascii="仿宋_GB2312" w:hAnsi="宋体" w:eastAsia="仿宋_GB2312"/>
          <w:b w:val="0"/>
          <w:i w:val="0"/>
          <w:caps w:val="0"/>
          <w:spacing w:val="0"/>
          <w:w w:val="100"/>
          <w:kern w:val="2"/>
          <w:sz w:val="32"/>
          <w:szCs w:val="32"/>
          <w:lang w:val="en-US" w:eastAsia="zh-CN" w:bidi="ar-SA"/>
        </w:rPr>
        <w:t>，</w:t>
      </w:r>
    </w:p>
    <w:p w14:paraId="2A6A8C33">
      <w:pPr>
        <w:pStyle w:val="38"/>
        <w:widowControl/>
        <w:snapToGrid/>
        <w:spacing w:before="0" w:beforeAutospacing="0" w:after="0" w:afterAutospacing="0" w:line="560" w:lineRule="exact"/>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依据资金性质和政策，制定专项资金实施方案，确保专款专用。</w:t>
      </w:r>
    </w:p>
    <w:p w14:paraId="0A22D0A2">
      <w:pPr>
        <w:pStyle w:val="38"/>
        <w:widowControl/>
        <w:snapToGrid/>
        <w:spacing w:before="0" w:beforeAutospacing="0" w:after="0" w:afterAutospacing="0" w:line="560" w:lineRule="exact"/>
        <w:ind w:firstLine="640" w:firstLineChars="200"/>
        <w:jc w:val="both"/>
        <w:textAlignment w:val="baseline"/>
        <w:rPr>
          <w:rStyle w:val="10"/>
          <w:rFonts w:ascii="仿宋_GB2312" w:hAnsi="宋体" w:eastAsia="仿宋_GB2312"/>
          <w:b w:val="0"/>
          <w:i w:val="0"/>
          <w:caps w:val="0"/>
          <w:spacing w:val="0"/>
          <w:w w:val="100"/>
          <w:kern w:val="0"/>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(2)严格按照专项资金使用用途安排该专项资金的支出使用，严格遵守“专款专用”原则，严格落实专项资金的申报、使用审批手续。安排人员负责管理、监管，层层把关。资金的拨付要有完整的审批程序和手续。</w:t>
      </w:r>
    </w:p>
    <w:p w14:paraId="59FB414A">
      <w:pPr>
        <w:snapToGrid/>
        <w:spacing w:before="0" w:beforeAutospacing="0" w:after="0" w:afterAutospacing="0" w:line="240" w:lineRule="auto"/>
        <w:ind w:left="645"/>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(3)对专项资金实行专账核算、专账管理，财务处理及</w:t>
      </w:r>
    </w:p>
    <w:p w14:paraId="25536E54">
      <w:pPr>
        <w:snapToGrid/>
        <w:spacing w:before="0" w:beforeAutospacing="0" w:after="0" w:afterAutospacing="0" w:line="240" w:lineRule="auto"/>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eastAsia="仿宋_GB2312"/>
          <w:b w:val="0"/>
          <w:i w:val="0"/>
          <w:caps w:val="0"/>
          <w:spacing w:val="0"/>
          <w:w w:val="100"/>
          <w:kern w:val="2"/>
          <w:sz w:val="32"/>
          <w:szCs w:val="32"/>
          <w:lang w:val="en-US" w:eastAsia="zh-CN" w:bidi="ar-SA"/>
        </w:rPr>
        <w:t>时，会计核算规范。</w:t>
      </w:r>
    </w:p>
    <w:p w14:paraId="40F5FAC6">
      <w:pPr>
        <w:snapToGrid w:val="0"/>
        <w:spacing w:before="0" w:beforeAutospacing="0" w:after="0" w:afterAutospacing="0" w:line="600" w:lineRule="exact"/>
        <w:ind w:firstLine="720"/>
        <w:jc w:val="both"/>
        <w:textAlignment w:val="baseline"/>
        <w:outlineLvl w:val="1"/>
        <w:rPr>
          <w:rStyle w:val="10"/>
          <w:rFonts w:ascii="黑体" w:hAnsi="宋体" w:eastAsia="黑体"/>
          <w:b w:val="0"/>
          <w:i w:val="0"/>
          <w:caps w:val="0"/>
          <w:spacing w:val="0"/>
          <w:w w:val="100"/>
          <w:kern w:val="2"/>
          <w:sz w:val="32"/>
          <w:szCs w:val="32"/>
          <w:lang w:val="en-US" w:eastAsia="zh-CN" w:bidi="ar-SA"/>
        </w:rPr>
      </w:pPr>
      <w:bookmarkStart w:id="29" w:name="_Toc24309"/>
      <w:r>
        <w:rPr>
          <w:rStyle w:val="10"/>
          <w:rFonts w:ascii="黑体" w:hAnsi="宋体" w:eastAsia="黑体"/>
          <w:b w:val="0"/>
          <w:i w:val="0"/>
          <w:caps w:val="0"/>
          <w:spacing w:val="0"/>
          <w:w w:val="100"/>
          <w:kern w:val="2"/>
          <w:sz w:val="32"/>
          <w:szCs w:val="32"/>
          <w:lang w:val="en-US" w:eastAsia="zh-CN" w:bidi="ar-SA"/>
        </w:rPr>
        <w:t>三、项目实施及管理情况</w:t>
      </w:r>
      <w:bookmarkEnd w:id="29"/>
    </w:p>
    <w:p w14:paraId="188176D9">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（一）项目组织架构及实施流程。</w:t>
      </w:r>
    </w:p>
    <w:p w14:paraId="2EDA1A9B">
      <w:pPr>
        <w:snapToGrid/>
        <w:spacing w:before="0" w:beforeAutospacing="0" w:after="0" w:afterAutospacing="0" w:line="240" w:lineRule="auto"/>
        <w:ind w:left="645"/>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1、项目管理组织架构</w:t>
      </w:r>
    </w:p>
    <w:p w14:paraId="1E39B6D3">
      <w:pPr>
        <w:snapToGrid/>
        <w:spacing w:before="0" w:beforeAutospacing="0" w:after="0" w:afterAutospacing="0" w:line="240" w:lineRule="auto"/>
        <w:ind w:left="645"/>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本项目主管部门:昭化区卫健局，项目实施单位:昭化</w:t>
      </w:r>
    </w:p>
    <w:p w14:paraId="037B3EC5">
      <w:pPr>
        <w:snapToGrid/>
        <w:spacing w:before="0" w:beforeAutospacing="0" w:after="0" w:afterAutospacing="0" w:line="240" w:lineRule="auto"/>
        <w:jc w:val="both"/>
        <w:textAlignment w:val="baseline"/>
        <w:rPr>
          <w:rStyle w:val="10"/>
          <w:rFonts w:ascii="仿宋_GB2312" w:eastAsia="仿宋_GB2312"/>
          <w:b w:val="0"/>
          <w:i w:val="0"/>
          <w:caps w:val="0"/>
          <w:color w:val="FF000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区保健院，项目开展实施部门:昭化区保健院项目办、保健院保健部，实施科室:检验科、功能科、妇科。资金管理:昭化区财政局、财政局社保股，昭化区卫健局、卫健局计财股、卫健局妇幼股，昭化区保健院、保健院财务科、保健部。</w:t>
      </w:r>
    </w:p>
    <w:p w14:paraId="20698BFD">
      <w:pPr>
        <w:snapToGrid/>
        <w:spacing w:before="0" w:beforeAutospacing="0" w:after="0" w:afterAutospacing="0" w:line="240" w:lineRule="auto"/>
        <w:ind w:left="75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2、实施流程</w:t>
      </w:r>
    </w:p>
    <w:p w14:paraId="6EC4909E">
      <w:pPr>
        <w:snapToGrid w:val="0"/>
        <w:spacing w:before="0" w:beforeAutospacing="0" w:after="0" w:afterAutospacing="0" w:line="600" w:lineRule="exact"/>
        <w:ind w:firstLine="72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农村35-64岁妇女持本人身份证件到门诊二楼妇科门诊进行登记，签署《知情同意书》，护士将《免费乳腺癌筛查服务个案登记表》和《免费宫颈癌筛查服务个案登记表》交至患者，由患者携带至相关科室检查；检查流程: [ 超声处]行乳腺超声检查→[普外科]行乳腺视诊、触诊→(初筛结果异常/可疑者到[放射科]另行乳腺X线检查。)→乳腺初筛结果正常者到[妇科]行妇科检查和宫颈细胞学检查→检查结束→交表</w:t>
      </w:r>
    </w:p>
    <w:p w14:paraId="5D459555">
      <w:pPr>
        <w:snapToGrid w:val="0"/>
        <w:spacing w:before="0" w:beforeAutospacing="0" w:after="0" w:afterAutospacing="0" w:line="600" w:lineRule="exact"/>
        <w:ind w:firstLine="72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宫颈癌筛查:对初筛结果异常/可疑病例人员到门诊二楼领个案表，到[妇科门诊]进行阴道镜检查。</w:t>
      </w:r>
    </w:p>
    <w:p w14:paraId="0B64D9BC">
      <w:pPr>
        <w:snapToGrid w:val="0"/>
        <w:spacing w:before="0" w:beforeAutospacing="0" w:after="0" w:afterAutospacing="0" w:line="600" w:lineRule="exact"/>
        <w:ind w:firstLine="72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项目开展后，每季度由保健部收集相关资料报财务科填写财政专项资金申报表，报卫健局妇幼股、计财股、分管领导审核，报财政局社保股审核、财政局分管领导审批后进行支付。</w:t>
      </w:r>
    </w:p>
    <w:p w14:paraId="03F60B87">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（二）项目管理情况。</w:t>
      </w:r>
    </w:p>
    <w:p w14:paraId="7ECAD056">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该项目严格按照相关法律法规及相关管理制度进行实施。</w:t>
      </w:r>
    </w:p>
    <w:p w14:paraId="06912D2F">
      <w:pPr>
        <w:numPr>
          <w:ilvl w:val="0"/>
          <w:numId w:val="9"/>
        </w:num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项目监管情况。</w:t>
      </w:r>
    </w:p>
    <w:p w14:paraId="10E2EC64">
      <w:pPr>
        <w:snapToGrid w:val="0"/>
        <w:spacing w:before="0" w:beforeAutospacing="0" w:after="0" w:afterAutospacing="0" w:line="600" w:lineRule="exact"/>
        <w:ind w:firstLine="720"/>
        <w:jc w:val="both"/>
        <w:textAlignment w:val="baseline"/>
        <w:rPr>
          <w:rStyle w:val="10"/>
          <w:rFonts w:ascii="仿宋_GB2312" w:hAnsi="宋体" w:eastAsia="仿宋_GB2312"/>
          <w:b w:val="0"/>
          <w:i w:val="0"/>
          <w:caps w:val="0"/>
          <w:spacing w:val="0"/>
          <w:w w:val="100"/>
          <w:kern w:val="2"/>
          <w:sz w:val="32"/>
          <w:szCs w:val="32"/>
          <w:lang w:val="zh-CN" w:eastAsia="zh-CN" w:bidi="ar-SA"/>
        </w:rPr>
      </w:pPr>
      <w:r>
        <w:rPr>
          <w:rStyle w:val="10"/>
          <w:rFonts w:ascii="仿宋_GB2312" w:hAnsi="宋体" w:eastAsia="仿宋_GB2312"/>
          <w:b w:val="0"/>
          <w:i w:val="0"/>
          <w:caps w:val="0"/>
          <w:spacing w:val="0"/>
          <w:w w:val="100"/>
          <w:kern w:val="2"/>
          <w:sz w:val="32"/>
          <w:szCs w:val="32"/>
          <w:lang w:val="zh-CN" w:eastAsia="zh-CN" w:bidi="ar-SA"/>
        </w:rPr>
        <w:t>说明项目主管部门为加强项目管理所采取的监管手段、监管程序、监管工作开展情况及实现的效果等。</w:t>
      </w:r>
    </w:p>
    <w:p w14:paraId="77A7A71C">
      <w:pPr>
        <w:snapToGrid w:val="0"/>
        <w:spacing w:before="0" w:beforeAutospacing="0" w:after="0" w:afterAutospacing="0" w:line="600" w:lineRule="exact"/>
        <w:ind w:firstLine="720"/>
        <w:jc w:val="both"/>
        <w:textAlignment w:val="baseline"/>
        <w:outlineLvl w:val="1"/>
        <w:rPr>
          <w:rStyle w:val="10"/>
          <w:rFonts w:ascii="仿宋_GB2312" w:hAnsi="宋体" w:eastAsia="仿宋_GB2312"/>
          <w:b w:val="0"/>
          <w:i w:val="0"/>
          <w:caps w:val="0"/>
          <w:spacing w:val="0"/>
          <w:w w:val="100"/>
          <w:kern w:val="2"/>
          <w:sz w:val="32"/>
          <w:szCs w:val="32"/>
          <w:lang w:val="zh-CN" w:eastAsia="zh-CN" w:bidi="ar-SA"/>
        </w:rPr>
      </w:pPr>
      <w:bookmarkStart w:id="30" w:name="_Toc14493"/>
      <w:r>
        <w:rPr>
          <w:rStyle w:val="10"/>
          <w:rFonts w:ascii="黑体" w:hAnsi="宋体" w:eastAsia="黑体"/>
          <w:b w:val="0"/>
          <w:i w:val="0"/>
          <w:caps w:val="0"/>
          <w:spacing w:val="0"/>
          <w:w w:val="100"/>
          <w:kern w:val="2"/>
          <w:sz w:val="32"/>
          <w:szCs w:val="32"/>
          <w:lang w:val="en-US" w:eastAsia="zh-CN" w:bidi="ar-SA"/>
        </w:rPr>
        <w:t>四、项目绩效情况</w:t>
      </w:r>
      <w:bookmarkEnd w:id="30"/>
      <w:r>
        <w:rPr>
          <w:rStyle w:val="10"/>
          <w:rFonts w:ascii="仿宋_GB2312" w:hAnsi="宋体" w:eastAsia="仿宋_GB2312"/>
          <w:b w:val="0"/>
          <w:i w:val="0"/>
          <w:caps w:val="0"/>
          <w:spacing w:val="0"/>
          <w:w w:val="100"/>
          <w:kern w:val="2"/>
          <w:sz w:val="32"/>
          <w:szCs w:val="32"/>
          <w:lang w:val="zh-CN" w:eastAsia="zh-CN" w:bidi="ar-SA"/>
        </w:rPr>
        <w:tab/>
      </w:r>
    </w:p>
    <w:p w14:paraId="61CCAFE7">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（一）项目完成情况。</w:t>
      </w:r>
    </w:p>
    <w:p w14:paraId="1373CB6E">
      <w:pPr>
        <w:snapToGrid w:val="0"/>
        <w:spacing w:before="0" w:beforeAutospacing="0" w:after="0" w:afterAutospacing="0" w:line="600" w:lineRule="exact"/>
        <w:ind w:firstLine="720"/>
        <w:jc w:val="both"/>
        <w:textAlignment w:val="baseline"/>
        <w:rPr>
          <w:rStyle w:val="10"/>
          <w:rFonts w:ascii="仿宋_GB2312" w:eastAsia="仿宋_GB2312"/>
          <w:b w:val="0"/>
          <w:i w:val="0"/>
          <w:caps w:val="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2020年我区两癌筛查任务数为宫颈癌、乳腺癌各1800人次，实际完成宫颈癌检查1813人次、完成率达100.72%，实际完成乳腺癌检查1947人次、完成率达108.17%，上级要求达两癌筛查覆盖率达80%以上,申请财政专项资金补助结算标准按宫颈癌49元/人、乳腺癌按79元/人结算。</w:t>
      </w:r>
    </w:p>
    <w:p w14:paraId="649E01A4">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（二）项目效益情况。</w:t>
      </w:r>
    </w:p>
    <w:p w14:paraId="45006B0C">
      <w:pPr>
        <w:pStyle w:val="38"/>
        <w:widowControl/>
        <w:snapToGrid/>
        <w:spacing w:before="0" w:beforeAutospacing="0" w:after="0" w:afterAutospacing="0" w:line="240" w:lineRule="auto"/>
        <w:ind w:firstLine="640" w:firstLineChars="200"/>
        <w:jc w:val="both"/>
        <w:textAlignment w:val="baseline"/>
        <w:rPr>
          <w:rStyle w:val="10"/>
          <w:rFonts w:ascii="仿宋_GB2312" w:eastAsia="仿宋_GB2312"/>
          <w:b w:val="0"/>
          <w:i w:val="0"/>
          <w:caps w:val="0"/>
          <w:color w:val="FF0000"/>
          <w:spacing w:val="0"/>
          <w:w w:val="100"/>
          <w:kern w:val="2"/>
          <w:sz w:val="32"/>
          <w:szCs w:val="32"/>
          <w:lang w:val="en-US" w:eastAsia="zh-CN" w:bidi="ar-SA"/>
        </w:rPr>
      </w:pPr>
      <w:r>
        <w:rPr>
          <w:rStyle w:val="10"/>
          <w:rFonts w:ascii="仿宋_GB2312" w:eastAsia="仿宋_GB2312"/>
          <w:b w:val="0"/>
          <w:i w:val="0"/>
          <w:caps w:val="0"/>
          <w:spacing w:val="0"/>
          <w:w w:val="100"/>
          <w:kern w:val="2"/>
          <w:sz w:val="32"/>
          <w:szCs w:val="32"/>
          <w:lang w:val="en-US" w:eastAsia="zh-CN" w:bidi="ar-SA"/>
        </w:rPr>
        <w:t>通过两癌筛查项目的开展，对全区35-64岁妇女进行宫颈癌检查和乳腺癌检查，“两癌”筛查覆盖率达80%;提高“两癌”筛查质量，全区“两癌”筛查项目宫颈癌早期诊断比例达到90%以上，乳腺癌早期诊断比例达到60%以上。</w:t>
      </w:r>
    </w:p>
    <w:p w14:paraId="67ABC9A4">
      <w:pPr>
        <w:snapToGrid w:val="0"/>
        <w:spacing w:before="0" w:beforeAutospacing="0" w:after="0" w:afterAutospacing="0" w:line="600" w:lineRule="exact"/>
        <w:ind w:firstLine="720"/>
        <w:jc w:val="both"/>
        <w:textAlignment w:val="baseline"/>
        <w:outlineLvl w:val="1"/>
        <w:rPr>
          <w:rStyle w:val="10"/>
          <w:rFonts w:ascii="黑体" w:hAnsi="宋体" w:eastAsia="黑体"/>
          <w:b w:val="0"/>
          <w:i w:val="0"/>
          <w:caps w:val="0"/>
          <w:spacing w:val="0"/>
          <w:w w:val="100"/>
          <w:kern w:val="2"/>
          <w:sz w:val="32"/>
          <w:szCs w:val="32"/>
          <w:lang w:val="en-US" w:eastAsia="zh-CN" w:bidi="ar-SA"/>
        </w:rPr>
      </w:pPr>
      <w:bookmarkStart w:id="31" w:name="_Toc10315"/>
      <w:r>
        <w:rPr>
          <w:rStyle w:val="10"/>
          <w:rFonts w:ascii="黑体" w:hAnsi="宋体" w:eastAsia="黑体"/>
          <w:b w:val="0"/>
          <w:i w:val="0"/>
          <w:caps w:val="0"/>
          <w:spacing w:val="0"/>
          <w:w w:val="100"/>
          <w:kern w:val="2"/>
          <w:sz w:val="32"/>
          <w:szCs w:val="32"/>
          <w:lang w:val="en-US" w:eastAsia="zh-CN" w:bidi="ar-SA"/>
        </w:rPr>
        <w:t>五、评价结论及建议</w:t>
      </w:r>
      <w:bookmarkEnd w:id="31"/>
    </w:p>
    <w:p w14:paraId="244736C3">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（一）评价结论。</w:t>
      </w:r>
    </w:p>
    <w:p w14:paraId="24FC302C">
      <w:pPr>
        <w:pStyle w:val="38"/>
        <w:widowControl/>
        <w:snapToGrid/>
        <w:spacing w:before="0" w:beforeAutospacing="0" w:after="0" w:afterAutospacing="0" w:line="240" w:lineRule="auto"/>
        <w:ind w:firstLine="640" w:firstLineChars="200"/>
        <w:jc w:val="both"/>
        <w:textAlignment w:val="baseline"/>
        <w:rPr>
          <w:rStyle w:val="10"/>
          <w:rFonts w:ascii="仿宋_GB2312" w:hAnsi="宋体" w:eastAsia="仿宋_GB2312"/>
          <w:b w:val="0"/>
          <w:i w:val="0"/>
          <w:caps w:val="0"/>
          <w:color w:val="FF0000"/>
          <w:spacing w:val="0"/>
          <w:w w:val="100"/>
          <w:kern w:val="2"/>
          <w:sz w:val="32"/>
          <w:szCs w:val="32"/>
          <w:lang w:val="zh-CN" w:eastAsia="zh-CN" w:bidi="ar-SA"/>
        </w:rPr>
      </w:pPr>
      <w:r>
        <w:rPr>
          <w:rStyle w:val="10"/>
          <w:rFonts w:ascii="仿宋_GB2312" w:hAnsi="仿宋_GB2312" w:eastAsia="仿宋_GB2312"/>
          <w:b w:val="0"/>
          <w:i w:val="0"/>
          <w:caps w:val="0"/>
          <w:spacing w:val="0"/>
          <w:w w:val="100"/>
          <w:kern w:val="2"/>
          <w:sz w:val="32"/>
          <w:szCs w:val="32"/>
          <w:lang w:val="en-US" w:eastAsia="zh-CN" w:bidi="ar-SA"/>
        </w:rPr>
        <w:t>2020年在上级主管部门的领导下，深入贯彻落实党的十九大精神、以及习近平来川讲话的重要精神，</w:t>
      </w:r>
      <w:r>
        <w:rPr>
          <w:rStyle w:val="10"/>
          <w:rFonts w:ascii="仿宋_GB2312" w:hAnsi="仿宋_GB2312" w:eastAsia="仿宋_GB2312"/>
          <w:b w:val="0"/>
          <w:i w:val="0"/>
          <w:caps w:val="0"/>
          <w:spacing w:val="0"/>
          <w:w w:val="100"/>
          <w:kern w:val="0"/>
          <w:sz w:val="32"/>
          <w:szCs w:val="32"/>
          <w:lang w:val="en-US" w:eastAsia="zh-CN" w:bidi="ar-SA"/>
        </w:rPr>
        <w:t>通过开展“守初心、担使命、找差距、抓落实”主题教育活动学习，进一步开展好妇幼公共卫生服务工作，规范妇幼公共卫生资金的使用与管理，为广大妇女儿童的健康更好地服务，</w:t>
      </w:r>
      <w:r>
        <w:rPr>
          <w:rStyle w:val="10"/>
          <w:rFonts w:ascii="仿宋_GB2312" w:hAnsi="微软雅黑" w:eastAsia="仿宋_GB2312"/>
          <w:b w:val="0"/>
          <w:i w:val="0"/>
          <w:caps w:val="0"/>
          <w:spacing w:val="0"/>
          <w:w w:val="100"/>
          <w:kern w:val="2"/>
          <w:sz w:val="32"/>
          <w:szCs w:val="32"/>
          <w:lang w:val="en-US" w:eastAsia="zh-CN"/>
        </w:rPr>
        <w:t>该项目社会综合效益良好，财政项目支出合理、规范、有效。两癌筛查从项目立项开始，做到有依有据，在资金管理上做到专款专用，通过本项目的实施，</w:t>
      </w:r>
      <w:r>
        <w:rPr>
          <w:rStyle w:val="10"/>
          <w:rFonts w:ascii="仿宋_GB2312" w:eastAsia="仿宋_GB2312"/>
          <w:b w:val="0"/>
          <w:i w:val="0"/>
          <w:caps w:val="0"/>
          <w:spacing w:val="0"/>
          <w:w w:val="100"/>
          <w:kern w:val="2"/>
          <w:sz w:val="32"/>
          <w:szCs w:val="32"/>
          <w:lang w:val="en-US" w:eastAsia="zh-CN" w:bidi="ar-SA"/>
        </w:rPr>
        <w:t>“两癌”筛查覆盖率达80%;提高“两癌”筛查质量，全区“两癌”筛查项目宫颈癌早期诊断比例达到90%以上，乳腺癌早期诊断比例达到60%以上，做到早发现早治理。人口素质不断提升，推动了昭化区经济社会发展，</w:t>
      </w:r>
      <w:r>
        <w:rPr>
          <w:rStyle w:val="10"/>
          <w:rFonts w:ascii="仿宋_GB2312" w:hAnsi="微软雅黑" w:eastAsia="仿宋_GB2312"/>
          <w:b w:val="0"/>
          <w:i w:val="0"/>
          <w:caps w:val="0"/>
          <w:spacing w:val="0"/>
          <w:w w:val="100"/>
          <w:kern w:val="2"/>
          <w:sz w:val="32"/>
          <w:szCs w:val="32"/>
          <w:lang w:val="en-US" w:eastAsia="zh-CN"/>
        </w:rPr>
        <w:t>取得较好的社会效益</w:t>
      </w:r>
      <w:r>
        <w:rPr>
          <w:rStyle w:val="10"/>
          <w:rFonts w:ascii="仿宋_GB2312" w:hAnsi="宋体" w:eastAsia="仿宋_GB2312"/>
          <w:b w:val="0"/>
          <w:i w:val="0"/>
          <w:caps w:val="0"/>
          <w:spacing w:val="0"/>
          <w:w w:val="100"/>
          <w:kern w:val="2"/>
          <w:sz w:val="32"/>
          <w:szCs w:val="32"/>
          <w:lang w:val="zh-CN" w:eastAsia="zh-CN" w:bidi="ar-SA"/>
        </w:rPr>
        <w:t>。</w:t>
      </w:r>
    </w:p>
    <w:p w14:paraId="19BC059A">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（二）存在的问题。</w:t>
      </w:r>
    </w:p>
    <w:p w14:paraId="5BD6690F">
      <w:pPr>
        <w:widowControl/>
        <w:snapToGrid/>
        <w:spacing w:before="0" w:beforeAutospacing="0" w:after="0" w:afterAutospacing="0" w:line="600" w:lineRule="exact"/>
        <w:ind w:firstLine="640" w:firstLineChars="200"/>
        <w:jc w:val="left"/>
        <w:textAlignment w:val="baseline"/>
        <w:rPr>
          <w:rStyle w:val="10"/>
          <w:rFonts w:ascii="仿宋_GB2312" w:hAnsi="仿宋_GB2312" w:eastAsia="仿宋_GB2312"/>
          <w:b w:val="0"/>
          <w:i w:val="0"/>
          <w:caps w:val="0"/>
          <w:spacing w:val="0"/>
          <w:w w:val="100"/>
          <w:kern w:val="0"/>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（1）对于绩效评价的认识不够深入，经验不足，把预算绩效简单等同于工作目标、工作考核和业务管理。</w:t>
      </w:r>
    </w:p>
    <w:p w14:paraId="103BF539">
      <w:pPr>
        <w:widowControl/>
        <w:snapToGrid/>
        <w:spacing w:before="0" w:beforeAutospacing="0" w:after="0" w:afterAutospacing="0" w:line="600" w:lineRule="exact"/>
        <w:ind w:firstLine="640" w:firstLineChars="200"/>
        <w:jc w:val="left"/>
        <w:textAlignment w:val="baseline"/>
        <w:rPr>
          <w:rStyle w:val="10"/>
          <w:rFonts w:ascii="仿宋_GB2312" w:hAnsi="仿宋_GB2312" w:eastAsia="仿宋_GB2312"/>
          <w:b w:val="0"/>
          <w:i w:val="0"/>
          <w:caps w:val="0"/>
          <w:spacing w:val="0"/>
          <w:w w:val="100"/>
          <w:kern w:val="0"/>
          <w:sz w:val="32"/>
          <w:szCs w:val="32"/>
          <w:lang w:val="en-US" w:eastAsia="zh-CN" w:bidi="ar-SA"/>
        </w:rPr>
      </w:pPr>
      <w:r>
        <w:rPr>
          <w:rStyle w:val="10"/>
          <w:rFonts w:ascii="仿宋_GB2312" w:hAnsi="仿宋_GB2312" w:eastAsia="仿宋_GB2312"/>
          <w:b w:val="0"/>
          <w:i w:val="0"/>
          <w:caps w:val="0"/>
          <w:spacing w:val="0"/>
          <w:w w:val="100"/>
          <w:kern w:val="2"/>
          <w:sz w:val="32"/>
          <w:szCs w:val="32"/>
          <w:lang w:val="en-US" w:eastAsia="zh-CN" w:bidi="ar-SA"/>
        </w:rPr>
        <w:t>（2）绩效目标和指标往往根据项目实际完成情况制定，对项目执行过程有效约束不够，存在一定的偏差。</w:t>
      </w:r>
    </w:p>
    <w:p w14:paraId="31AE1664">
      <w:pPr>
        <w:snapToGrid w:val="0"/>
        <w:spacing w:before="0" w:beforeAutospacing="0" w:after="0" w:afterAutospacing="0" w:line="600" w:lineRule="exact"/>
        <w:ind w:firstLine="720"/>
        <w:jc w:val="both"/>
        <w:textAlignment w:val="baseline"/>
        <w:rPr>
          <w:rStyle w:val="10"/>
          <w:rFonts w:ascii="楷体_GB2312" w:hAnsi="宋体" w:eastAsia="楷体_GB2312"/>
          <w:b/>
          <w:i w:val="0"/>
          <w:caps w:val="0"/>
          <w:spacing w:val="0"/>
          <w:w w:val="100"/>
          <w:kern w:val="2"/>
          <w:sz w:val="32"/>
          <w:szCs w:val="32"/>
          <w:lang w:val="zh-CN" w:eastAsia="zh-CN" w:bidi="ar-SA"/>
        </w:rPr>
      </w:pPr>
      <w:r>
        <w:rPr>
          <w:rStyle w:val="10"/>
          <w:rFonts w:ascii="楷体_GB2312" w:hAnsi="宋体" w:eastAsia="楷体_GB2312"/>
          <w:b/>
          <w:i w:val="0"/>
          <w:caps w:val="0"/>
          <w:spacing w:val="0"/>
          <w:w w:val="100"/>
          <w:kern w:val="2"/>
          <w:sz w:val="32"/>
          <w:szCs w:val="32"/>
          <w:lang w:val="zh-CN" w:eastAsia="zh-CN" w:bidi="ar-SA"/>
        </w:rPr>
        <w:t>（三）相关建议。</w:t>
      </w:r>
    </w:p>
    <w:p w14:paraId="108F3042">
      <w:pPr>
        <w:snapToGrid/>
        <w:spacing w:before="0" w:beforeAutospacing="0" w:after="0" w:afterAutospacing="0" w:line="580" w:lineRule="exact"/>
        <w:ind w:firstLine="640"/>
        <w:jc w:val="both"/>
        <w:textAlignment w:val="baseline"/>
        <w:rPr>
          <w:rStyle w:val="10"/>
          <w:rFonts w:ascii="仿宋_GB2312" w:hAnsi="仿宋_GB2312" w:eastAsia="仿宋_GB2312"/>
          <w:b w:val="0"/>
          <w:i w:val="0"/>
          <w:caps w:val="0"/>
          <w:spacing w:val="0"/>
          <w:w w:val="100"/>
          <w:kern w:val="2"/>
          <w:sz w:val="32"/>
          <w:szCs w:val="32"/>
          <w:lang w:val="en-US" w:eastAsia="zh-CN" w:bidi="ar-SA"/>
        </w:rPr>
      </w:pPr>
      <w:r>
        <w:rPr>
          <w:rStyle w:val="10"/>
          <w:rFonts w:ascii="仿宋_GB2312" w:hAnsi="微软雅黑" w:eastAsia="仿宋_GB2312"/>
          <w:b w:val="0"/>
          <w:i w:val="0"/>
          <w:caps w:val="0"/>
          <w:spacing w:val="0"/>
          <w:w w:val="100"/>
          <w:kern w:val="2"/>
          <w:sz w:val="32"/>
          <w:szCs w:val="32"/>
          <w:lang w:val="en-US" w:eastAsia="zh-CN"/>
        </w:rPr>
        <w:t>一是加大两癌筛查的宣传力度。以便群众了解两癌筛查的重要性，以提升人口素质。积极学习其他地方先进经验，以提高我区筛查覆盖率；二是积极实践探索、持续改进完善，进一步增强绩效意识，促进我区经济和社会和谐发展。</w:t>
      </w:r>
    </w:p>
    <w:p w14:paraId="666A2870">
      <w:pPr>
        <w:snapToGrid/>
        <w:spacing w:before="0" w:beforeAutospacing="0" w:after="0" w:afterAutospacing="0" w:line="600" w:lineRule="exact"/>
        <w:jc w:val="center"/>
        <w:textAlignment w:val="baseline"/>
        <w:rPr>
          <w:rStyle w:val="10"/>
          <w:rFonts w:ascii="方正小标宋简体" w:hAnsi="宋体" w:eastAsia="方正小标宋简体"/>
          <w:b w:val="0"/>
          <w:i w:val="0"/>
          <w:caps w:val="0"/>
          <w:color w:val="000000"/>
          <w:spacing w:val="0"/>
          <w:w w:val="100"/>
          <w:kern w:val="0"/>
          <w:sz w:val="44"/>
          <w:szCs w:val="44"/>
          <w:lang w:val="en-US" w:eastAsia="zh-CN" w:bidi="ar-SA"/>
        </w:rPr>
      </w:pPr>
    </w:p>
    <w:p w14:paraId="475967BE">
      <w:pPr>
        <w:widowControl/>
        <w:snapToGrid/>
        <w:spacing w:before="0" w:beforeAutospacing="0" w:after="0" w:afterAutospacing="0" w:line="240" w:lineRule="auto"/>
        <w:jc w:val="left"/>
        <w:textAlignment w:val="baseline"/>
        <w:rPr>
          <w:rStyle w:val="16"/>
          <w:rFonts w:ascii="黑体" w:hAnsi="黑体" w:eastAsia="黑体" w:cs="Times New Roman"/>
          <w:b w:val="0"/>
          <w:bCs/>
          <w:i w:val="0"/>
          <w:caps w:val="0"/>
          <w:spacing w:val="0"/>
          <w:w w:val="100"/>
          <w:kern w:val="44"/>
          <w:sz w:val="44"/>
          <w:szCs w:val="44"/>
          <w:lang w:val="en-US" w:eastAsia="zh-CN" w:bidi="ar-SA"/>
        </w:rPr>
      </w:pPr>
    </w:p>
    <w:p w14:paraId="5EAFFC67">
      <w:pPr>
        <w:widowControl/>
        <w:snapToGrid/>
        <w:spacing w:before="0" w:beforeAutospacing="0" w:after="0" w:afterAutospacing="0" w:line="240" w:lineRule="auto"/>
        <w:jc w:val="left"/>
        <w:textAlignment w:val="baseline"/>
        <w:rPr>
          <w:rStyle w:val="16"/>
          <w:rFonts w:ascii="黑体" w:hAnsi="黑体" w:eastAsia="黑体" w:cs="Times New Roman"/>
          <w:b w:val="0"/>
          <w:bCs/>
          <w:i w:val="0"/>
          <w:caps w:val="0"/>
          <w:spacing w:val="0"/>
          <w:w w:val="100"/>
          <w:kern w:val="44"/>
          <w:sz w:val="44"/>
          <w:szCs w:val="44"/>
          <w:lang w:val="en-US" w:eastAsia="zh-CN" w:bidi="ar-SA"/>
        </w:rPr>
      </w:pPr>
      <w:r>
        <w:rPr>
          <w:rStyle w:val="16"/>
          <w:rFonts w:ascii="黑体" w:hAnsi="黑体" w:eastAsia="黑体" w:cs="Times New Roman"/>
          <w:b w:val="0"/>
          <w:bCs/>
          <w:i w:val="0"/>
          <w:caps w:val="0"/>
          <w:spacing w:val="0"/>
          <w:w w:val="100"/>
          <w:kern w:val="44"/>
          <w:sz w:val="44"/>
          <w:szCs w:val="44"/>
          <w:lang w:val="en-US" w:eastAsia="zh-CN" w:bidi="ar-SA"/>
        </w:rPr>
        <w:br w:type="page"/>
      </w:r>
    </w:p>
    <w:p w14:paraId="759663B6">
      <w:pPr>
        <w:widowControl/>
        <w:snapToGrid/>
        <w:spacing w:before="0" w:beforeAutospacing="0" w:after="0" w:afterAutospacing="0" w:line="240" w:lineRule="auto"/>
        <w:jc w:val="left"/>
        <w:textAlignment w:val="baseline"/>
        <w:outlineLvl w:val="0"/>
        <w:rPr>
          <w:rStyle w:val="16"/>
          <w:rFonts w:ascii="黑体" w:hAnsi="黑体" w:eastAsia="黑体" w:cs="Times New Roman"/>
          <w:b w:val="0"/>
          <w:bCs/>
          <w:i w:val="0"/>
          <w:caps w:val="0"/>
          <w:spacing w:val="0"/>
          <w:w w:val="100"/>
          <w:kern w:val="44"/>
          <w:sz w:val="44"/>
          <w:szCs w:val="44"/>
          <w:lang w:val="en-US" w:eastAsia="zh-CN" w:bidi="ar-SA"/>
        </w:rPr>
      </w:pPr>
      <w:r>
        <w:rPr>
          <w:rStyle w:val="16"/>
          <w:rFonts w:ascii="黑体" w:hAnsi="黑体" w:eastAsia="黑体" w:cs="Times New Roman"/>
          <w:b w:val="0"/>
          <w:bCs/>
          <w:i w:val="0"/>
          <w:caps w:val="0"/>
          <w:spacing w:val="0"/>
          <w:w w:val="100"/>
          <w:kern w:val="44"/>
          <w:sz w:val="44"/>
          <w:szCs w:val="44"/>
          <w:lang w:val="en-US" w:eastAsia="zh-CN" w:bidi="ar-SA"/>
        </w:rPr>
        <w:t xml:space="preserve">           </w:t>
      </w:r>
      <w:bookmarkStart w:id="32" w:name="_Toc16191"/>
      <w:r>
        <w:rPr>
          <w:rStyle w:val="10"/>
          <w:rFonts w:ascii="黑体" w:hAnsi="黑体" w:eastAsia="黑体"/>
          <w:b w:val="0"/>
          <w:i w:val="0"/>
          <w:caps w:val="0"/>
          <w:color w:val="000000"/>
          <w:spacing w:val="0"/>
          <w:w w:val="100"/>
          <w:kern w:val="2"/>
          <w:sz w:val="44"/>
          <w:szCs w:val="44"/>
          <w:lang w:val="en-US" w:eastAsia="zh-CN" w:bidi="ar-SA"/>
        </w:rPr>
        <w:t>第</w:t>
      </w:r>
      <w:r>
        <w:rPr>
          <w:rStyle w:val="16"/>
          <w:rFonts w:ascii="黑体" w:hAnsi="黑体" w:eastAsia="黑体" w:cs="Times New Roman"/>
          <w:b w:val="0"/>
          <w:bCs/>
          <w:i w:val="0"/>
          <w:caps w:val="0"/>
          <w:spacing w:val="0"/>
          <w:w w:val="100"/>
          <w:kern w:val="44"/>
          <w:sz w:val="44"/>
          <w:szCs w:val="44"/>
          <w:lang w:val="en-US" w:eastAsia="zh-CN" w:bidi="ar-SA"/>
        </w:rPr>
        <w:t>五部分 附表</w:t>
      </w:r>
      <w:bookmarkEnd w:id="32"/>
    </w:p>
    <w:p w14:paraId="265EA10F">
      <w:pPr>
        <w:snapToGrid/>
        <w:spacing w:before="0" w:beforeAutospacing="0" w:after="0" w:afterAutospacing="0" w:line="600" w:lineRule="exact"/>
        <w:jc w:val="center"/>
        <w:textAlignment w:val="baseline"/>
        <w:rPr>
          <w:rStyle w:val="10"/>
          <w:rFonts w:ascii="仿宋" w:hAnsi="仿宋" w:eastAsia="仿宋"/>
          <w:b/>
          <w:i w:val="0"/>
          <w:caps w:val="0"/>
          <w:color w:val="000000"/>
          <w:spacing w:val="0"/>
          <w:w w:val="100"/>
          <w:kern w:val="2"/>
          <w:sz w:val="44"/>
          <w:szCs w:val="44"/>
          <w:lang w:val="en-US" w:eastAsia="zh-CN" w:bidi="ar-SA"/>
        </w:rPr>
      </w:pPr>
    </w:p>
    <w:p w14:paraId="30CC94A3">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0"/>
          <w:rFonts w:ascii="仿宋" w:hAnsi="仿宋" w:eastAsia="仿宋" w:cs="Times New Roman"/>
          <w:b w:val="0"/>
          <w:bCs/>
          <w:i w:val="0"/>
          <w:caps w:val="0"/>
          <w:color w:val="000000"/>
          <w:spacing w:val="0"/>
          <w:w w:val="100"/>
          <w:kern w:val="2"/>
          <w:sz w:val="32"/>
          <w:szCs w:val="32"/>
          <w:lang w:val="en-US" w:eastAsia="zh-CN" w:bidi="ar-SA"/>
        </w:rPr>
        <w:t>一、收</w:t>
      </w:r>
      <w:r>
        <w:rPr>
          <w:rStyle w:val="17"/>
          <w:rFonts w:ascii="仿宋" w:hAnsi="仿宋" w:eastAsia="仿宋"/>
          <w:b w:val="0"/>
          <w:bCs w:val="0"/>
          <w:i w:val="0"/>
          <w:caps w:val="0"/>
          <w:spacing w:val="0"/>
          <w:w w:val="100"/>
          <w:kern w:val="2"/>
          <w:sz w:val="32"/>
          <w:szCs w:val="32"/>
          <w:lang w:val="en-US" w:eastAsia="zh-CN" w:bidi="ar-SA"/>
        </w:rPr>
        <w:t>入支出决算总表</w:t>
      </w:r>
    </w:p>
    <w:p w14:paraId="64873403">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0"/>
          <w:rFonts w:ascii="仿宋" w:hAnsi="仿宋" w:eastAsia="仿宋" w:cs="Times New Roman"/>
          <w:b w:val="0"/>
          <w:bCs/>
          <w:i w:val="0"/>
          <w:caps w:val="0"/>
          <w:color w:val="000000"/>
          <w:spacing w:val="0"/>
          <w:w w:val="100"/>
          <w:kern w:val="2"/>
          <w:sz w:val="32"/>
          <w:szCs w:val="32"/>
          <w:lang w:val="en-US" w:eastAsia="zh-CN" w:bidi="ar-SA"/>
        </w:rPr>
        <w:t>二、收</w:t>
      </w:r>
      <w:r>
        <w:rPr>
          <w:rStyle w:val="17"/>
          <w:rFonts w:ascii="仿宋" w:hAnsi="仿宋" w:eastAsia="仿宋"/>
          <w:b w:val="0"/>
          <w:bCs w:val="0"/>
          <w:i w:val="0"/>
          <w:caps w:val="0"/>
          <w:spacing w:val="0"/>
          <w:w w:val="100"/>
          <w:kern w:val="2"/>
          <w:sz w:val="32"/>
          <w:szCs w:val="32"/>
          <w:lang w:val="en-US" w:eastAsia="zh-CN" w:bidi="ar-SA"/>
        </w:rPr>
        <w:t>入决算表</w:t>
      </w:r>
    </w:p>
    <w:p w14:paraId="224AAA5A">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三、</w:t>
      </w:r>
      <w:r>
        <w:rPr>
          <w:rStyle w:val="10"/>
          <w:rFonts w:ascii="仿宋" w:hAnsi="仿宋" w:eastAsia="仿宋" w:cs="Times New Roman"/>
          <w:b w:val="0"/>
          <w:bCs/>
          <w:i w:val="0"/>
          <w:caps w:val="0"/>
          <w:color w:val="000000"/>
          <w:spacing w:val="0"/>
          <w:w w:val="100"/>
          <w:kern w:val="2"/>
          <w:sz w:val="32"/>
          <w:szCs w:val="32"/>
          <w:lang w:val="en-US" w:eastAsia="zh-CN" w:bidi="ar-SA"/>
        </w:rPr>
        <w:t>支</w:t>
      </w:r>
      <w:r>
        <w:rPr>
          <w:rStyle w:val="17"/>
          <w:rFonts w:ascii="仿宋" w:hAnsi="仿宋" w:eastAsia="仿宋"/>
          <w:b w:val="0"/>
          <w:bCs w:val="0"/>
          <w:i w:val="0"/>
          <w:caps w:val="0"/>
          <w:spacing w:val="0"/>
          <w:w w:val="100"/>
          <w:kern w:val="2"/>
          <w:sz w:val="32"/>
          <w:szCs w:val="32"/>
          <w:lang w:val="en-US" w:eastAsia="zh-CN" w:bidi="ar-SA"/>
        </w:rPr>
        <w:t>出决算表</w:t>
      </w:r>
    </w:p>
    <w:p w14:paraId="0A30D2B2">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val="0"/>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四、</w:t>
      </w:r>
      <w:r>
        <w:rPr>
          <w:rStyle w:val="10"/>
          <w:rFonts w:ascii="仿宋" w:hAnsi="仿宋" w:eastAsia="仿宋" w:cs="Times New Roman"/>
          <w:b w:val="0"/>
          <w:bCs/>
          <w:i w:val="0"/>
          <w:caps w:val="0"/>
          <w:color w:val="000000"/>
          <w:spacing w:val="0"/>
          <w:w w:val="100"/>
          <w:kern w:val="2"/>
          <w:sz w:val="32"/>
          <w:szCs w:val="32"/>
          <w:lang w:val="en-US" w:eastAsia="zh-CN" w:bidi="ar-SA"/>
        </w:rPr>
        <w:t>财</w:t>
      </w:r>
      <w:r>
        <w:rPr>
          <w:rStyle w:val="17"/>
          <w:rFonts w:ascii="仿宋" w:hAnsi="仿宋" w:eastAsia="仿宋"/>
          <w:b w:val="0"/>
          <w:bCs w:val="0"/>
          <w:i w:val="0"/>
          <w:caps w:val="0"/>
          <w:spacing w:val="0"/>
          <w:w w:val="100"/>
          <w:kern w:val="2"/>
          <w:sz w:val="32"/>
          <w:szCs w:val="32"/>
          <w:lang w:val="en-US" w:eastAsia="zh-CN" w:bidi="ar-SA"/>
        </w:rPr>
        <w:t>政拨款收入支出决算总表</w:t>
      </w:r>
    </w:p>
    <w:p w14:paraId="0FD74142">
      <w:pPr>
        <w:pStyle w:val="13"/>
        <w:keepLines/>
        <w:widowControl/>
        <w:snapToGrid/>
        <w:spacing w:before="260" w:beforeAutospacing="0" w:after="260" w:afterAutospacing="0" w:line="416" w:lineRule="auto"/>
        <w:jc w:val="both"/>
        <w:textAlignment w:val="baseline"/>
        <w:rPr>
          <w:rStyle w:val="17"/>
          <w:rFonts w:ascii="仿宋" w:hAnsi="仿宋" w:eastAsia="仿宋"/>
          <w:b w:val="0"/>
          <w:bCs w:val="0"/>
          <w:i w:val="0"/>
          <w:caps w:val="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五、</w:t>
      </w:r>
      <w:r>
        <w:rPr>
          <w:rStyle w:val="10"/>
          <w:rFonts w:ascii="仿宋" w:hAnsi="仿宋" w:eastAsia="仿宋" w:cs="Times New Roman"/>
          <w:b w:val="0"/>
          <w:bCs/>
          <w:i w:val="0"/>
          <w:caps w:val="0"/>
          <w:color w:val="000000"/>
          <w:spacing w:val="0"/>
          <w:w w:val="100"/>
          <w:kern w:val="2"/>
          <w:sz w:val="32"/>
          <w:szCs w:val="32"/>
          <w:lang w:val="en-US" w:eastAsia="zh-CN" w:bidi="ar-SA"/>
        </w:rPr>
        <w:t>财</w:t>
      </w:r>
      <w:r>
        <w:rPr>
          <w:rStyle w:val="17"/>
          <w:rFonts w:ascii="仿宋" w:hAnsi="仿宋" w:eastAsia="仿宋"/>
          <w:b w:val="0"/>
          <w:bCs w:val="0"/>
          <w:i w:val="0"/>
          <w:caps w:val="0"/>
          <w:spacing w:val="0"/>
          <w:w w:val="100"/>
          <w:kern w:val="2"/>
          <w:sz w:val="32"/>
          <w:szCs w:val="32"/>
          <w:lang w:val="en-US" w:eastAsia="zh-CN" w:bidi="ar-SA"/>
        </w:rPr>
        <w:t>政拨款支出决算明细表</w:t>
      </w:r>
    </w:p>
    <w:p w14:paraId="28739678">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六、</w:t>
      </w:r>
      <w:r>
        <w:rPr>
          <w:rStyle w:val="10"/>
          <w:rFonts w:ascii="仿宋" w:hAnsi="仿宋" w:eastAsia="仿宋" w:cs="Times New Roman"/>
          <w:b w:val="0"/>
          <w:bCs/>
          <w:i w:val="0"/>
          <w:caps w:val="0"/>
          <w:color w:val="000000"/>
          <w:spacing w:val="0"/>
          <w:w w:val="100"/>
          <w:kern w:val="2"/>
          <w:sz w:val="32"/>
          <w:szCs w:val="32"/>
          <w:lang w:val="en-US" w:eastAsia="zh-CN" w:bidi="ar-SA"/>
        </w:rPr>
        <w:t>一</w:t>
      </w:r>
      <w:r>
        <w:rPr>
          <w:rStyle w:val="17"/>
          <w:rFonts w:ascii="仿宋" w:hAnsi="仿宋" w:eastAsia="仿宋"/>
          <w:b w:val="0"/>
          <w:bCs w:val="0"/>
          <w:i w:val="0"/>
          <w:caps w:val="0"/>
          <w:spacing w:val="0"/>
          <w:w w:val="100"/>
          <w:kern w:val="2"/>
          <w:sz w:val="32"/>
          <w:szCs w:val="32"/>
          <w:lang w:val="en-US" w:eastAsia="zh-CN" w:bidi="ar-SA"/>
        </w:rPr>
        <w:t>般公共预算财政拨款支出决算表</w:t>
      </w:r>
    </w:p>
    <w:p w14:paraId="50485625">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七、</w:t>
      </w:r>
      <w:r>
        <w:rPr>
          <w:rStyle w:val="10"/>
          <w:rFonts w:ascii="仿宋" w:hAnsi="仿宋" w:eastAsia="仿宋" w:cs="Times New Roman"/>
          <w:b w:val="0"/>
          <w:bCs/>
          <w:i w:val="0"/>
          <w:caps w:val="0"/>
          <w:color w:val="000000"/>
          <w:spacing w:val="0"/>
          <w:w w:val="100"/>
          <w:kern w:val="2"/>
          <w:sz w:val="32"/>
          <w:szCs w:val="32"/>
          <w:lang w:val="en-US" w:eastAsia="zh-CN" w:bidi="ar-SA"/>
        </w:rPr>
        <w:t>一</w:t>
      </w:r>
      <w:r>
        <w:rPr>
          <w:rStyle w:val="17"/>
          <w:rFonts w:ascii="仿宋" w:hAnsi="仿宋" w:eastAsia="仿宋"/>
          <w:b w:val="0"/>
          <w:bCs w:val="0"/>
          <w:i w:val="0"/>
          <w:caps w:val="0"/>
          <w:spacing w:val="0"/>
          <w:w w:val="100"/>
          <w:kern w:val="2"/>
          <w:sz w:val="32"/>
          <w:szCs w:val="32"/>
          <w:lang w:val="en-US" w:eastAsia="zh-CN" w:bidi="ar-SA"/>
        </w:rPr>
        <w:t>般公共预算财政拨款支出决算明细表</w:t>
      </w:r>
    </w:p>
    <w:p w14:paraId="222F5CE7">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八、</w:t>
      </w:r>
      <w:r>
        <w:rPr>
          <w:rStyle w:val="10"/>
          <w:rFonts w:ascii="仿宋" w:hAnsi="仿宋" w:eastAsia="仿宋" w:cs="Times New Roman"/>
          <w:b w:val="0"/>
          <w:bCs/>
          <w:i w:val="0"/>
          <w:caps w:val="0"/>
          <w:color w:val="000000"/>
          <w:spacing w:val="0"/>
          <w:w w:val="100"/>
          <w:kern w:val="2"/>
          <w:sz w:val="32"/>
          <w:szCs w:val="32"/>
          <w:lang w:val="en-US" w:eastAsia="zh-CN" w:bidi="ar-SA"/>
        </w:rPr>
        <w:t>一</w:t>
      </w:r>
      <w:r>
        <w:rPr>
          <w:rStyle w:val="17"/>
          <w:rFonts w:ascii="仿宋" w:hAnsi="仿宋" w:eastAsia="仿宋"/>
          <w:b w:val="0"/>
          <w:bCs w:val="0"/>
          <w:i w:val="0"/>
          <w:caps w:val="0"/>
          <w:spacing w:val="0"/>
          <w:w w:val="100"/>
          <w:kern w:val="2"/>
          <w:sz w:val="32"/>
          <w:szCs w:val="32"/>
          <w:lang w:val="en-US" w:eastAsia="zh-CN" w:bidi="ar-SA"/>
        </w:rPr>
        <w:t>般公共预算财政拨款基本支出决算表</w:t>
      </w:r>
    </w:p>
    <w:p w14:paraId="690BC83F">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九、</w:t>
      </w:r>
      <w:r>
        <w:rPr>
          <w:rStyle w:val="10"/>
          <w:rFonts w:ascii="仿宋" w:hAnsi="仿宋" w:eastAsia="仿宋" w:cs="Times New Roman"/>
          <w:b w:val="0"/>
          <w:bCs/>
          <w:i w:val="0"/>
          <w:caps w:val="0"/>
          <w:color w:val="000000"/>
          <w:spacing w:val="0"/>
          <w:w w:val="100"/>
          <w:kern w:val="2"/>
          <w:sz w:val="32"/>
          <w:szCs w:val="32"/>
          <w:lang w:val="en-US" w:eastAsia="zh-CN" w:bidi="ar-SA"/>
        </w:rPr>
        <w:t>一</w:t>
      </w:r>
      <w:r>
        <w:rPr>
          <w:rStyle w:val="17"/>
          <w:rFonts w:ascii="仿宋" w:hAnsi="仿宋" w:eastAsia="仿宋"/>
          <w:b w:val="0"/>
          <w:bCs w:val="0"/>
          <w:i w:val="0"/>
          <w:caps w:val="0"/>
          <w:spacing w:val="0"/>
          <w:w w:val="100"/>
          <w:kern w:val="2"/>
          <w:sz w:val="32"/>
          <w:szCs w:val="32"/>
          <w:lang w:val="en-US" w:eastAsia="zh-CN" w:bidi="ar-SA"/>
        </w:rPr>
        <w:t>般公共预算财政拨款项目支出决算表</w:t>
      </w:r>
    </w:p>
    <w:p w14:paraId="40B0AD7C">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十、</w:t>
      </w:r>
      <w:r>
        <w:rPr>
          <w:rStyle w:val="10"/>
          <w:rFonts w:ascii="仿宋" w:hAnsi="仿宋" w:eastAsia="仿宋" w:cs="Times New Roman"/>
          <w:b w:val="0"/>
          <w:bCs/>
          <w:i w:val="0"/>
          <w:caps w:val="0"/>
          <w:color w:val="000000"/>
          <w:spacing w:val="0"/>
          <w:w w:val="100"/>
          <w:kern w:val="2"/>
          <w:sz w:val="32"/>
          <w:szCs w:val="32"/>
          <w:lang w:val="en-US" w:eastAsia="zh-CN" w:bidi="ar-SA"/>
        </w:rPr>
        <w:t>一</w:t>
      </w:r>
      <w:r>
        <w:rPr>
          <w:rStyle w:val="17"/>
          <w:rFonts w:ascii="仿宋" w:hAnsi="仿宋" w:eastAsia="仿宋"/>
          <w:b w:val="0"/>
          <w:bCs w:val="0"/>
          <w:i w:val="0"/>
          <w:caps w:val="0"/>
          <w:spacing w:val="0"/>
          <w:w w:val="100"/>
          <w:kern w:val="2"/>
          <w:sz w:val="32"/>
          <w:szCs w:val="32"/>
          <w:lang w:val="en-US" w:eastAsia="zh-CN" w:bidi="ar-SA"/>
        </w:rPr>
        <w:t>般公共预算财政拨款“三公”经费支出决算表</w:t>
      </w:r>
    </w:p>
    <w:p w14:paraId="654678AA">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十一、</w:t>
      </w:r>
      <w:r>
        <w:rPr>
          <w:rStyle w:val="10"/>
          <w:rFonts w:ascii="仿宋" w:hAnsi="仿宋" w:eastAsia="仿宋" w:cs="Times New Roman"/>
          <w:b w:val="0"/>
          <w:bCs/>
          <w:i w:val="0"/>
          <w:caps w:val="0"/>
          <w:color w:val="000000"/>
          <w:spacing w:val="0"/>
          <w:w w:val="100"/>
          <w:kern w:val="2"/>
          <w:sz w:val="32"/>
          <w:szCs w:val="32"/>
          <w:lang w:val="en-US" w:eastAsia="zh-CN" w:bidi="ar-SA"/>
        </w:rPr>
        <w:t>政</w:t>
      </w:r>
      <w:r>
        <w:rPr>
          <w:rStyle w:val="17"/>
          <w:rFonts w:ascii="仿宋" w:hAnsi="仿宋" w:eastAsia="仿宋"/>
          <w:b w:val="0"/>
          <w:bCs w:val="0"/>
          <w:i w:val="0"/>
          <w:caps w:val="0"/>
          <w:spacing w:val="0"/>
          <w:w w:val="100"/>
          <w:kern w:val="2"/>
          <w:sz w:val="32"/>
          <w:szCs w:val="32"/>
          <w:lang w:val="en-US" w:eastAsia="zh-CN" w:bidi="ar-SA"/>
        </w:rPr>
        <w:t>府性基金预算财政拨款收入支出决算表</w:t>
      </w:r>
    </w:p>
    <w:p w14:paraId="1E62F891">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十二、</w:t>
      </w:r>
      <w:r>
        <w:rPr>
          <w:rStyle w:val="10"/>
          <w:rFonts w:ascii="仿宋" w:hAnsi="仿宋" w:eastAsia="仿宋" w:cs="Times New Roman"/>
          <w:b w:val="0"/>
          <w:bCs/>
          <w:i w:val="0"/>
          <w:caps w:val="0"/>
          <w:color w:val="000000"/>
          <w:spacing w:val="0"/>
          <w:w w:val="100"/>
          <w:kern w:val="2"/>
          <w:sz w:val="32"/>
          <w:szCs w:val="32"/>
          <w:lang w:val="en-US" w:eastAsia="zh-CN" w:bidi="ar-SA"/>
        </w:rPr>
        <w:t>政</w:t>
      </w:r>
      <w:r>
        <w:rPr>
          <w:rStyle w:val="17"/>
          <w:rFonts w:ascii="仿宋" w:hAnsi="仿宋" w:eastAsia="仿宋"/>
          <w:b w:val="0"/>
          <w:bCs w:val="0"/>
          <w:i w:val="0"/>
          <w:caps w:val="0"/>
          <w:spacing w:val="0"/>
          <w:w w:val="100"/>
          <w:kern w:val="2"/>
          <w:sz w:val="32"/>
          <w:szCs w:val="32"/>
          <w:lang w:val="en-US" w:eastAsia="zh-CN" w:bidi="ar-SA"/>
        </w:rPr>
        <w:t>府性基金预算财政拨款“三公”经费支出决算表</w:t>
      </w:r>
    </w:p>
    <w:p w14:paraId="7AA0230B">
      <w:pPr>
        <w:pStyle w:val="13"/>
        <w:keepLines/>
        <w:widowControl/>
        <w:snapToGrid/>
        <w:spacing w:before="260" w:beforeAutospacing="0" w:after="260" w:afterAutospacing="0" w:line="416" w:lineRule="auto"/>
        <w:jc w:val="both"/>
        <w:textAlignment w:val="baseline"/>
        <w:rPr>
          <w:rStyle w:val="17"/>
          <w:rFonts w:ascii="仿宋" w:hAnsi="仿宋" w:eastAsia="仿宋"/>
          <w:b w:val="0"/>
          <w:bCs w:val="0"/>
          <w:i w:val="0"/>
          <w:caps w:val="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十三、国有资本经营预算财政拨款收入支出决算表</w:t>
      </w:r>
    </w:p>
    <w:p w14:paraId="15752E0B">
      <w:pPr>
        <w:pStyle w:val="13"/>
        <w:keepLines/>
        <w:widowControl/>
        <w:snapToGrid/>
        <w:spacing w:before="260" w:beforeAutospacing="0" w:after="260" w:afterAutospacing="0" w:line="416" w:lineRule="auto"/>
        <w:jc w:val="both"/>
        <w:textAlignment w:val="baseline"/>
        <w:rPr>
          <w:rStyle w:val="10"/>
          <w:rFonts w:ascii="仿宋" w:hAnsi="仿宋" w:eastAsia="仿宋" w:cs="Times New Roman"/>
          <w:b/>
          <w:bCs/>
          <w:i w:val="0"/>
          <w:caps w:val="0"/>
          <w:color w:val="000000"/>
          <w:spacing w:val="0"/>
          <w:w w:val="100"/>
          <w:kern w:val="2"/>
          <w:sz w:val="32"/>
          <w:szCs w:val="32"/>
          <w:lang w:val="en-US" w:eastAsia="zh-CN" w:bidi="ar-SA"/>
        </w:rPr>
      </w:pPr>
      <w:r>
        <w:rPr>
          <w:rStyle w:val="17"/>
          <w:rFonts w:ascii="仿宋" w:hAnsi="仿宋" w:eastAsia="仿宋"/>
          <w:b w:val="0"/>
          <w:bCs w:val="0"/>
          <w:i w:val="0"/>
          <w:caps w:val="0"/>
          <w:spacing w:val="0"/>
          <w:w w:val="100"/>
          <w:kern w:val="2"/>
          <w:sz w:val="32"/>
          <w:szCs w:val="32"/>
          <w:lang w:val="en-US" w:eastAsia="zh-CN" w:bidi="ar-SA"/>
        </w:rPr>
        <w:t>十四、</w:t>
      </w:r>
      <w:r>
        <w:rPr>
          <w:rStyle w:val="10"/>
          <w:rFonts w:ascii="仿宋" w:hAnsi="仿宋" w:eastAsia="仿宋" w:cs="Times New Roman"/>
          <w:b w:val="0"/>
          <w:bCs/>
          <w:i w:val="0"/>
          <w:caps w:val="0"/>
          <w:color w:val="000000"/>
          <w:spacing w:val="0"/>
          <w:w w:val="100"/>
          <w:kern w:val="2"/>
          <w:sz w:val="32"/>
          <w:szCs w:val="32"/>
          <w:lang w:val="en-US" w:eastAsia="zh-CN" w:bidi="ar-SA"/>
        </w:rPr>
        <w:t>国</w:t>
      </w:r>
      <w:r>
        <w:rPr>
          <w:rStyle w:val="17"/>
          <w:rFonts w:ascii="仿宋" w:hAnsi="仿宋" w:eastAsia="仿宋"/>
          <w:b w:val="0"/>
          <w:bCs w:val="0"/>
          <w:i w:val="0"/>
          <w:caps w:val="0"/>
          <w:spacing w:val="0"/>
          <w:w w:val="100"/>
          <w:kern w:val="2"/>
          <w:sz w:val="32"/>
          <w:szCs w:val="32"/>
          <w:lang w:val="en-US" w:eastAsia="zh-CN" w:bidi="ar-SA"/>
        </w:rPr>
        <w:t>有资本经营预算财政拨款支出决算表</w:t>
      </w:r>
    </w:p>
    <w:sectPr>
      <w:footerReference r:id="rId6" w:type="default"/>
      <w:pgSz w:w="11906" w:h="16838"/>
      <w:pgMar w:top="1440" w:right="1800" w:bottom="1440" w:left="1800" w:header="851" w:footer="992" w:gutter="0"/>
      <w:lnNumType w:countBy="0"/>
      <w:pgNumType w:fmt="decimal" w:start="1"/>
      <w:cols w:space="720"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94114C-DF06-4CEC-BE09-7A273F4B25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2F073B07-D7E8-4AEC-B51A-6A516BAC8F86}"/>
  </w:font>
  <w:font w:name="Cambria">
    <w:panose1 w:val="02040503050406030204"/>
    <w:charset w:val="00"/>
    <w:family w:val="roman"/>
    <w:pitch w:val="default"/>
    <w:sig w:usb0="E00006FF" w:usb1="420024FF" w:usb2="02000000" w:usb3="00000000" w:csb0="2000019F" w:csb1="00000000"/>
    <w:embedRegular r:id="rId3" w:fontKey="{CB7F6E64-B93F-4BDA-AD9D-7FAF0E4AAA06}"/>
  </w:font>
  <w:font w:name="仿宋">
    <w:panose1 w:val="02010609060101010101"/>
    <w:charset w:val="86"/>
    <w:family w:val="auto"/>
    <w:pitch w:val="default"/>
    <w:sig w:usb0="800002BF" w:usb1="38CF7CFA" w:usb2="00000016" w:usb3="00000000" w:csb0="00040001" w:csb1="00000000"/>
    <w:embedRegular r:id="rId4" w:fontKey="{3779D83F-EAF7-41FA-B19C-A6B5528F4040}"/>
  </w:font>
  <w:font w:name="方正小标宋简体">
    <w:panose1 w:val="02000000000000000000"/>
    <w:charset w:val="86"/>
    <w:family w:val="script"/>
    <w:pitch w:val="default"/>
    <w:sig w:usb0="00000001" w:usb1="08000000" w:usb2="00000000" w:usb3="00000000" w:csb0="00040000" w:csb1="00000000"/>
    <w:embedRegular r:id="rId5" w:fontKey="{1E2D89F4-A2F8-48D9-9F0D-17A0AFE7A6D7}"/>
  </w:font>
  <w:font w:name="方正楷体_GB2312">
    <w:altName w:val="楷体_GB2312"/>
    <w:panose1 w:val="02000000000000000000"/>
    <w:charset w:val="86"/>
    <w:family w:val="auto"/>
    <w:pitch w:val="default"/>
    <w:sig w:usb0="00000000" w:usb1="00000000" w:usb2="00000012" w:usb3="00000000" w:csb0="00040001" w:csb1="00000000"/>
    <w:embedRegular r:id="rId6" w:fontKey="{A6552D10-2880-4624-B8E7-DE8F5624E685}"/>
  </w:font>
  <w:font w:name="MingLiU">
    <w:altName w:val="PMingLiU-ExtB"/>
    <w:panose1 w:val="02020509000000000000"/>
    <w:charset w:val="88"/>
    <w:family w:val="modern"/>
    <w:pitch w:val="default"/>
    <w:sig w:usb0="00000000" w:usb1="00000000" w:usb2="00000016" w:usb3="00000000" w:csb0="00100001" w:csb1="00000000"/>
    <w:embedRegular r:id="rId7" w:fontKey="{7CF54DA2-7A41-42E1-8E4B-BF26E4B997F0}"/>
  </w:font>
  <w:font w:name="楷体_GB2312">
    <w:panose1 w:val="02010609030101010101"/>
    <w:charset w:val="86"/>
    <w:family w:val="modern"/>
    <w:pitch w:val="default"/>
    <w:sig w:usb0="00000001" w:usb1="080E0000" w:usb2="00000000" w:usb3="00000000" w:csb0="00040000" w:csb1="00000000"/>
    <w:embedRegular r:id="rId8" w:fontKey="{47559233-4AE8-4E00-9B54-771B31603C9C}"/>
  </w:font>
  <w:font w:name="微软雅黑">
    <w:panose1 w:val="020B0503020204020204"/>
    <w:charset w:val="86"/>
    <w:family w:val="swiss"/>
    <w:pitch w:val="default"/>
    <w:sig w:usb0="80000287" w:usb1="2ACF3C50" w:usb2="00000016" w:usb3="00000000" w:csb0="0004001F" w:csb1="00000000"/>
    <w:embedRegular r:id="rId9" w:fontKey="{AB5FE78E-1772-4F5B-A15E-42332FA9F9C9}"/>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0CF30">
    <w:pPr>
      <w:pStyle w:val="5"/>
      <w:widowControl/>
      <w:snapToGrid w:val="0"/>
      <w:jc w:val="center"/>
      <w:textAlignment w:val="baseline"/>
      <w:rPr>
        <w:rStyle w:val="10"/>
        <w:kern w:val="0"/>
        <w:sz w:val="18"/>
        <w:szCs w:val="20"/>
        <w:lang w:bidi="ar-SA"/>
      </w:rPr>
    </w:pPr>
  </w:p>
  <w:p w14:paraId="78E9FA04">
    <w:pPr>
      <w:pStyle w:val="5"/>
      <w:widowControl/>
      <w:snapToGrid w:val="0"/>
      <w:jc w:val="left"/>
      <w:textAlignment w:val="baseline"/>
      <w:rPr>
        <w:rStyle w:val="10"/>
        <w:kern w:val="0"/>
        <w:sz w:val="18"/>
        <w:szCs w:val="20"/>
        <w:lang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35AB">
    <w:pPr>
      <w:pStyle w:val="5"/>
      <w:widowControl/>
      <w:snapToGrid w:val="0"/>
      <w:jc w:val="center"/>
      <w:textAlignment w:val="baseline"/>
      <w:rPr>
        <w:rStyle w:val="10"/>
        <w:kern w:val="0"/>
        <w:sz w:val="18"/>
        <w:szCs w:val="20"/>
        <w:lang w:bidi="ar-SA"/>
      </w:rPr>
    </w:pPr>
  </w:p>
  <w:p w14:paraId="09758FEB">
    <w:pPr>
      <w:pStyle w:val="5"/>
      <w:widowControl/>
      <w:snapToGrid w:val="0"/>
      <w:jc w:val="left"/>
      <w:textAlignment w:val="baseline"/>
      <w:rPr>
        <w:rStyle w:val="10"/>
        <w:kern w:val="0"/>
        <w:sz w:val="18"/>
        <w:szCs w:val="20"/>
        <w:lang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FBE27">
    <w:pPr>
      <w:pStyle w:val="5"/>
      <w:widowControl/>
      <w:snapToGrid w:val="0"/>
      <w:jc w:val="center"/>
      <w:textAlignment w:val="baseline"/>
      <w:rPr>
        <w:rStyle w:val="10"/>
        <w:kern w:val="0"/>
        <w:sz w:val="18"/>
        <w:szCs w:val="20"/>
        <w:lang w:bidi="ar-SA"/>
      </w:rPr>
    </w:pPr>
    <w:r>
      <w:rPr>
        <w:sz w:val="18"/>
      </w:rP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0AFFA4DA">
                <w:pPr>
                  <w:pStyle w:val="5"/>
                </w:pPr>
                <w:r>
                  <w:fldChar w:fldCharType="begin"/>
                </w:r>
                <w:r>
                  <w:instrText xml:space="preserve"> PAGE  \* MERGEFORMAT </w:instrText>
                </w:r>
                <w:r>
                  <w:fldChar w:fldCharType="separate"/>
                </w:r>
                <w:r>
                  <w:t>1</w:t>
                </w:r>
                <w:r>
                  <w:fldChar w:fldCharType="end"/>
                </w:r>
              </w:p>
            </w:txbxContent>
          </v:textbox>
        </v:shape>
      </w:pict>
    </w:r>
    <w:r>
      <w:rPr>
        <w:rStyle w:val="10"/>
        <w:kern w:val="0"/>
        <w:sz w:val="18"/>
        <w:szCs w:val="20"/>
        <w:lang w:bidi="ar-SA"/>
      </w:rPr>
      <w:pict>
        <v:shape id="_x0000_s4098" o:spid="_x0000_s4098" o:spt="202" type="#_x0000_t202" style="position:absolute;left:0pt;margin-top:0pt;height:144pt;width:144pt;mso-position-horizontal:center;mso-position-horizontal-relative:margin;z-index:251659264;mso-width-relative:page;mso-height-relative:page;" filled="f" stroked="f" coordsize="21600,21600">
          <v:path/>
          <v:fill on="f" focussize="0,0"/>
          <v:stroke on="f"/>
          <v:imagedata o:title=""/>
          <o:lock v:ext="edit"/>
          <v:textbox inset="0mm,0mm,0mm,0mm">
            <w:txbxContent>
              <w:p w14:paraId="141565D2">
                <w:pPr>
                  <w:pStyle w:val="5"/>
                  <w:widowControl/>
                  <w:snapToGrid w:val="0"/>
                  <w:jc w:val="center"/>
                  <w:textAlignment w:val="baseline"/>
                  <w:rPr>
                    <w:rStyle w:val="10"/>
                    <w:kern w:val="0"/>
                    <w:sz w:val="18"/>
                    <w:szCs w:val="20"/>
                    <w:lang w:bidi="ar-SA"/>
                  </w:rPr>
                </w:pPr>
              </w:p>
              <w:p w14:paraId="3975C1D7">
                <w:pPr>
                  <w:jc w:val="both"/>
                  <w:textAlignment w:val="baseline"/>
                  <w:rPr>
                    <w:rStyle w:val="10"/>
                    <w:kern w:val="2"/>
                    <w:sz w:val="21"/>
                    <w:szCs w:val="24"/>
                    <w:lang w:val="en-US" w:eastAsia="zh-CN" w:bidi="ar-SA"/>
                  </w:rPr>
                </w:pPr>
              </w:p>
            </w:txbxContent>
          </v:textbox>
        </v:shape>
      </w:pict>
    </w:r>
  </w:p>
  <w:p w14:paraId="3F144591">
    <w:pPr>
      <w:pStyle w:val="5"/>
      <w:widowControl/>
      <w:snapToGrid w:val="0"/>
      <w:jc w:val="left"/>
      <w:textAlignment w:val="baseline"/>
      <w:rPr>
        <w:rStyle w:val="10"/>
        <w:kern w:val="0"/>
        <w:sz w:val="18"/>
        <w:szCs w:val="20"/>
        <w:lang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08EEF">
    <w:pPr>
      <w:pStyle w:val="6"/>
      <w:widowControl/>
      <w:pBdr>
        <w:bottom w:val="none" w:color="auto" w:sz="0" w:space="0"/>
      </w:pBdr>
      <w:snapToGrid w:val="0"/>
      <w:jc w:val="center"/>
      <w:textAlignment w:val="baseline"/>
      <w:rPr>
        <w:rStyle w:val="10"/>
        <w:kern w:val="0"/>
        <w:sz w:val="18"/>
        <w:szCs w:val="20"/>
        <w:lang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91D6C"/>
    <w:multiLevelType w:val="singleLevel"/>
    <w:tmpl w:val="8ED91D6C"/>
    <w:lvl w:ilvl="0" w:tentative="0">
      <w:start w:val="3"/>
      <w:numFmt w:val="decimal"/>
      <w:lvlText w:val="%1."/>
      <w:lvlJc w:val="left"/>
      <w:pPr>
        <w:widowControl/>
        <w:textAlignment w:val="baseline"/>
      </w:pPr>
      <w:rPr>
        <w:rStyle w:val="10"/>
      </w:rPr>
    </w:lvl>
  </w:abstractNum>
  <w:abstractNum w:abstractNumId="1">
    <w:nsid w:val="96857250"/>
    <w:multiLevelType w:val="singleLevel"/>
    <w:tmpl w:val="96857250"/>
    <w:lvl w:ilvl="0" w:tentative="0">
      <w:start w:val="1"/>
      <w:numFmt w:val="decimal"/>
      <w:suff w:val="nothing"/>
      <w:lvlText w:val="（%1）"/>
      <w:lvlJc w:val="left"/>
      <w:pPr>
        <w:widowControl/>
        <w:textAlignment w:val="baseline"/>
      </w:pPr>
      <w:rPr>
        <w:rStyle w:val="10"/>
      </w:rPr>
    </w:lvl>
  </w:abstractNum>
  <w:abstractNum w:abstractNumId="2">
    <w:nsid w:val="C336CEAE"/>
    <w:multiLevelType w:val="singleLevel"/>
    <w:tmpl w:val="C336CEAE"/>
    <w:lvl w:ilvl="0" w:tentative="0">
      <w:start w:val="1"/>
      <w:numFmt w:val="decimal"/>
      <w:lvlText w:val="%1."/>
      <w:lvlJc w:val="left"/>
      <w:pPr>
        <w:widowControl/>
        <w:textAlignment w:val="baseline"/>
      </w:pPr>
      <w:rPr>
        <w:rStyle w:val="10"/>
      </w:rPr>
    </w:lvl>
  </w:abstractNum>
  <w:abstractNum w:abstractNumId="3">
    <w:nsid w:val="CF652CEC"/>
    <w:multiLevelType w:val="singleLevel"/>
    <w:tmpl w:val="CF652CEC"/>
    <w:lvl w:ilvl="0" w:tentative="0">
      <w:start w:val="9"/>
      <w:numFmt w:val="chineseCounting"/>
      <w:suff w:val="nothing"/>
      <w:lvlText w:val="%1、"/>
      <w:lvlJc w:val="left"/>
      <w:pPr>
        <w:widowControl/>
        <w:textAlignment w:val="baseline"/>
      </w:pPr>
      <w:rPr>
        <w:rStyle w:val="10"/>
      </w:rPr>
    </w:lvl>
  </w:abstractNum>
  <w:abstractNum w:abstractNumId="4">
    <w:nsid w:val="E2FA047D"/>
    <w:multiLevelType w:val="singleLevel"/>
    <w:tmpl w:val="E2FA047D"/>
    <w:lvl w:ilvl="0" w:tentative="0">
      <w:start w:val="3"/>
      <w:numFmt w:val="chineseCounting"/>
      <w:suff w:val="space"/>
      <w:lvlText w:val="第%1部分"/>
      <w:lvlJc w:val="left"/>
      <w:pPr>
        <w:widowControl/>
        <w:textAlignment w:val="baseline"/>
      </w:pPr>
      <w:rPr>
        <w:rStyle w:val="10"/>
      </w:rPr>
    </w:lvl>
  </w:abstractNum>
  <w:abstractNum w:abstractNumId="5">
    <w:nsid w:val="1272550B"/>
    <w:multiLevelType w:val="multilevel"/>
    <w:tmpl w:val="1272550B"/>
    <w:lvl w:ilvl="0" w:tentative="0">
      <w:start w:val="1"/>
      <w:numFmt w:val="japaneseCounting"/>
      <w:lvlText w:val="%1、"/>
      <w:lvlJc w:val="left"/>
      <w:pPr>
        <w:widowControl/>
        <w:ind w:left="1360" w:hanging="720"/>
        <w:textAlignment w:val="baseline"/>
      </w:pPr>
      <w:rPr>
        <w:rStyle w:val="10"/>
        <w:b w:val="0"/>
      </w:rPr>
    </w:lvl>
    <w:lvl w:ilvl="1" w:tentative="0">
      <w:start w:val="1"/>
      <w:numFmt w:val="lowerLetter"/>
      <w:lvlText w:val="%1)"/>
      <w:lvlJc w:val="left"/>
      <w:pPr>
        <w:widowControl/>
        <w:ind w:left="1480" w:hanging="420"/>
        <w:textAlignment w:val="baseline"/>
      </w:pPr>
      <w:rPr>
        <w:rStyle w:val="10"/>
      </w:rPr>
    </w:lvl>
    <w:lvl w:ilvl="2" w:tentative="0">
      <w:start w:val="1"/>
      <w:numFmt w:val="lowerRoman"/>
      <w:lvlText w:val="%1."/>
      <w:lvlJc w:val="right"/>
      <w:pPr>
        <w:widowControl/>
        <w:ind w:left="1900" w:hanging="420"/>
        <w:textAlignment w:val="baseline"/>
      </w:pPr>
      <w:rPr>
        <w:rStyle w:val="10"/>
      </w:rPr>
    </w:lvl>
    <w:lvl w:ilvl="3" w:tentative="0">
      <w:start w:val="1"/>
      <w:numFmt w:val="decimal"/>
      <w:lvlText w:val="%1."/>
      <w:lvlJc w:val="left"/>
      <w:pPr>
        <w:widowControl/>
        <w:ind w:left="2320" w:hanging="420"/>
        <w:textAlignment w:val="baseline"/>
      </w:pPr>
      <w:rPr>
        <w:rStyle w:val="10"/>
      </w:rPr>
    </w:lvl>
    <w:lvl w:ilvl="4" w:tentative="0">
      <w:start w:val="1"/>
      <w:numFmt w:val="lowerLetter"/>
      <w:lvlText w:val="%1)"/>
      <w:lvlJc w:val="left"/>
      <w:pPr>
        <w:widowControl/>
        <w:ind w:left="2740" w:hanging="420"/>
        <w:textAlignment w:val="baseline"/>
      </w:pPr>
      <w:rPr>
        <w:rStyle w:val="10"/>
      </w:rPr>
    </w:lvl>
    <w:lvl w:ilvl="5" w:tentative="0">
      <w:start w:val="1"/>
      <w:numFmt w:val="lowerRoman"/>
      <w:lvlText w:val="%1."/>
      <w:lvlJc w:val="right"/>
      <w:pPr>
        <w:widowControl/>
        <w:ind w:left="3160" w:hanging="420"/>
        <w:textAlignment w:val="baseline"/>
      </w:pPr>
      <w:rPr>
        <w:rStyle w:val="10"/>
      </w:rPr>
    </w:lvl>
    <w:lvl w:ilvl="6" w:tentative="0">
      <w:start w:val="1"/>
      <w:numFmt w:val="decimal"/>
      <w:lvlText w:val="%1."/>
      <w:lvlJc w:val="left"/>
      <w:pPr>
        <w:widowControl/>
        <w:ind w:left="3580" w:hanging="420"/>
        <w:textAlignment w:val="baseline"/>
      </w:pPr>
      <w:rPr>
        <w:rStyle w:val="10"/>
      </w:rPr>
    </w:lvl>
    <w:lvl w:ilvl="7" w:tentative="0">
      <w:start w:val="1"/>
      <w:numFmt w:val="lowerLetter"/>
      <w:lvlText w:val="%1)"/>
      <w:lvlJc w:val="left"/>
      <w:pPr>
        <w:widowControl/>
        <w:ind w:left="4000" w:hanging="420"/>
        <w:textAlignment w:val="baseline"/>
      </w:pPr>
      <w:rPr>
        <w:rStyle w:val="10"/>
      </w:rPr>
    </w:lvl>
    <w:lvl w:ilvl="8" w:tentative="0">
      <w:start w:val="1"/>
      <w:numFmt w:val="lowerRoman"/>
      <w:lvlText w:val="%1."/>
      <w:lvlJc w:val="right"/>
      <w:pPr>
        <w:widowControl/>
        <w:ind w:left="4420" w:hanging="420"/>
        <w:textAlignment w:val="baseline"/>
      </w:pPr>
      <w:rPr>
        <w:rStyle w:val="10"/>
      </w:rPr>
    </w:lvl>
  </w:abstractNum>
  <w:abstractNum w:abstractNumId="6">
    <w:nsid w:val="1618D624"/>
    <w:multiLevelType w:val="singleLevel"/>
    <w:tmpl w:val="1618D624"/>
    <w:lvl w:ilvl="0" w:tentative="0">
      <w:start w:val="2"/>
      <w:numFmt w:val="chineseCounting"/>
      <w:suff w:val="nothing"/>
      <w:lvlText w:val="%1、"/>
      <w:lvlJc w:val="left"/>
      <w:pPr>
        <w:widowControl/>
        <w:textAlignment w:val="baseline"/>
      </w:pPr>
      <w:rPr>
        <w:rStyle w:val="10"/>
      </w:rPr>
    </w:lvl>
  </w:abstractNum>
  <w:abstractNum w:abstractNumId="7">
    <w:nsid w:val="44677555"/>
    <w:multiLevelType w:val="singleLevel"/>
    <w:tmpl w:val="44677555"/>
    <w:lvl w:ilvl="0" w:tentative="0">
      <w:start w:val="3"/>
      <w:numFmt w:val="chineseCounting"/>
      <w:suff w:val="nothing"/>
      <w:lvlText w:val="（%1）"/>
      <w:lvlJc w:val="left"/>
      <w:pPr>
        <w:widowControl/>
        <w:textAlignment w:val="baseline"/>
      </w:pPr>
      <w:rPr>
        <w:rStyle w:val="10"/>
      </w:rPr>
    </w:lvl>
  </w:abstractNum>
  <w:abstractNum w:abstractNumId="8">
    <w:nsid w:val="6ED61FA3"/>
    <w:multiLevelType w:val="singleLevel"/>
    <w:tmpl w:val="6ED61FA3"/>
    <w:lvl w:ilvl="0" w:tentative="0">
      <w:start w:val="1"/>
      <w:numFmt w:val="decimal"/>
      <w:lvlText w:val="%1."/>
      <w:lvlJc w:val="left"/>
      <w:pPr>
        <w:widowControl/>
        <w:textAlignment w:val="baseline"/>
      </w:pPr>
      <w:rPr>
        <w:rStyle w:val="10"/>
      </w:rPr>
    </w:lvl>
  </w:abstractNum>
  <w:num w:numId="1">
    <w:abstractNumId w:val="0"/>
  </w:num>
  <w:num w:numId="2">
    <w:abstractNumId w:val="6"/>
  </w:num>
  <w:num w:numId="3">
    <w:abstractNumId w:val="8"/>
  </w:num>
  <w:num w:numId="4">
    <w:abstractNumId w:val="5"/>
  </w:num>
  <w:num w:numId="5">
    <w:abstractNumId w:val="3"/>
  </w:num>
  <w:num w:numId="6">
    <w:abstractNumId w:val="2"/>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documentProtection w:enforcement="0"/>
  <w:defaultTabStop w:val="420"/>
  <w:displayHorizontalDrawingGridEvery w:val="1"/>
  <w:displayVerticalDrawingGridEvery w:val="1"/>
  <w:doNotUseMarginsForDrawingGridOrigin w:val="1"/>
  <w:drawingGridHorizontalOrigin w:val="1800"/>
  <w:drawingGridVerticalOrigin w:val="1440"/>
  <w:hdrShapeDefaults>
    <o:shapelayout v:ext="edit">
      <o:idmap v:ext="edit" data="3,4"/>
    </o:shapelayout>
  </w:hdrShapeDefaults>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docVars>
    <w:docVar w:name="commondata" w:val="eyJoZGlkIjoiMGVhYTg4NGNkZWJkODFjNzcyZDRjM2M4Y2UzNjI5ZmUifQ=="/>
  </w:docVars>
  <w:rsids>
    <w:rsidRoot w:val="00000000"/>
    <w:rsid w:val="00103CB7"/>
    <w:rsid w:val="002116D7"/>
    <w:rsid w:val="003A621C"/>
    <w:rsid w:val="003C5488"/>
    <w:rsid w:val="005510D3"/>
    <w:rsid w:val="0068220B"/>
    <w:rsid w:val="1AC9700C"/>
    <w:rsid w:val="210335E7"/>
    <w:rsid w:val="425A0117"/>
    <w:rsid w:val="54091C4C"/>
    <w:rsid w:val="56216053"/>
    <w:rsid w:val="57765794"/>
    <w:rsid w:val="770D49B5"/>
    <w:rsid w:val="7F7645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1"/>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BodyText1I2"/>
    <w:basedOn w:val="3"/>
    <w:qFormat/>
    <w:uiPriority w:val="0"/>
    <w:pPr>
      <w:pBdr>
        <w:top w:val="none" w:color="auto" w:sz="0" w:space="0"/>
        <w:left w:val="none" w:color="auto" w:sz="0" w:space="0"/>
        <w:bottom w:val="none" w:color="auto" w:sz="0" w:space="0"/>
        <w:right w:val="none" w:color="auto" w:sz="0" w:space="0"/>
      </w:pBdr>
      <w:kinsoku/>
      <w:wordWrap/>
      <w:overflowPunct/>
      <w:autoSpaceDE/>
      <w:autoSpaceDN/>
      <w:bidi w:val="0"/>
      <w:spacing w:before="0" w:after="0" w:line="240" w:lineRule="auto"/>
      <w:ind w:left="0" w:right="0" w:firstLine="420" w:firstLineChars="200"/>
      <w:jc w:val="both"/>
      <w:textAlignment w:val="auto"/>
    </w:pPr>
  </w:style>
  <w:style w:type="paragraph" w:customStyle="1" w:styleId="3">
    <w:name w:val="BodyTextIndent"/>
    <w:basedOn w:val="1"/>
    <w:qFormat/>
    <w:uiPriority w:val="0"/>
    <w:pPr>
      <w:pBdr>
        <w:top w:val="none" w:color="auto" w:sz="0" w:space="0"/>
        <w:left w:val="none" w:color="auto" w:sz="0" w:space="0"/>
        <w:bottom w:val="none" w:color="auto" w:sz="0" w:space="0"/>
        <w:right w:val="none" w:color="auto" w:sz="0" w:space="0"/>
      </w:pBdr>
      <w:kinsoku/>
      <w:wordWrap/>
      <w:overflowPunct/>
      <w:autoSpaceDE/>
      <w:autoSpaceDN/>
      <w:bidi w:val="0"/>
      <w:spacing w:before="0" w:after="0" w:line="240" w:lineRule="auto"/>
      <w:ind w:left="0" w:right="0" w:firstLine="643"/>
      <w:jc w:val="both"/>
      <w:textAlignment w:val="auto"/>
    </w:pPr>
    <w:rPr>
      <w:rFonts w:ascii="Times New Roman" w:hAnsi="Times New Roman" w:eastAsia="仿宋_GB2312"/>
      <w:b/>
      <w:color w:val="000000"/>
      <w:kern w:val="2"/>
      <w:position w:val="0"/>
      <w:sz w:val="32"/>
      <w:szCs w:val="24"/>
      <w:lang w:val="en-US" w:eastAsia="zh-CN" w:bidi="ar-SA"/>
    </w:rPr>
  </w:style>
  <w:style w:type="paragraph" w:styleId="4">
    <w:name w:val="Salutation"/>
    <w:basedOn w:val="1"/>
    <w:next w:val="1"/>
    <w:qFormat/>
    <w:uiPriority w:val="0"/>
    <w:pPr>
      <w:jc w:val="both"/>
      <w:textAlignment w:val="baseline"/>
    </w:pPr>
    <w:rPr>
      <w:rFonts w:ascii="Times New Roman" w:hAnsi="Times New Roman"/>
      <w:kern w:val="2"/>
      <w:sz w:val="21"/>
      <w:szCs w:val="20"/>
      <w:lang w:val="en-US" w:eastAsia="zh-CN" w:bidi="ar-SA"/>
    </w:rPr>
  </w:style>
  <w:style w:type="paragraph" w:styleId="5">
    <w:name w:val="footer"/>
    <w:basedOn w:val="1"/>
    <w:link w:val="24"/>
    <w:qFormat/>
    <w:uiPriority w:val="0"/>
    <w:pPr>
      <w:tabs>
        <w:tab w:val="center" w:pos="4153"/>
        <w:tab w:val="right" w:pos="8306"/>
      </w:tabs>
      <w:snapToGrid w:val="0"/>
      <w:jc w:val="left"/>
      <w:textAlignment w:val="baseline"/>
    </w:pPr>
    <w:rPr>
      <w:kern w:val="0"/>
      <w:sz w:val="18"/>
      <w:szCs w:val="20"/>
      <w:lang w:bidi="ar-SA"/>
    </w:rPr>
  </w:style>
  <w:style w:type="paragraph" w:styleId="6">
    <w:name w:val="header"/>
    <w:basedOn w:val="1"/>
    <w:link w:val="25"/>
    <w:semiHidden/>
    <w:qFormat/>
    <w:uiPriority w:val="0"/>
    <w:pPr>
      <w:pBdr>
        <w:bottom w:val="single" w:color="000000" w:sz="6" w:space="1"/>
      </w:pBdr>
      <w:tabs>
        <w:tab w:val="center" w:pos="4153"/>
        <w:tab w:val="right" w:pos="8306"/>
      </w:tabs>
      <w:snapToGrid w:val="0"/>
      <w:jc w:val="center"/>
      <w:textAlignment w:val="baseline"/>
    </w:pPr>
    <w:rPr>
      <w:kern w:val="0"/>
      <w:sz w:val="18"/>
      <w:szCs w:val="20"/>
      <w:lang w:bidi="ar-SA"/>
    </w:rPr>
  </w:style>
  <w:style w:type="character" w:styleId="9">
    <w:name w:val="Strong"/>
    <w:basedOn w:val="10"/>
    <w:link w:val="1"/>
    <w:qFormat/>
    <w:uiPriority w:val="0"/>
    <w:rPr>
      <w:b/>
    </w:rPr>
  </w:style>
  <w:style w:type="character" w:customStyle="1" w:styleId="10">
    <w:name w:val="NormalCharacter"/>
    <w:link w:val="1"/>
    <w:qFormat/>
    <w:uiPriority w:val="0"/>
  </w:style>
  <w:style w:type="character" w:styleId="11">
    <w:name w:val="Hyperlink"/>
    <w:basedOn w:val="10"/>
    <w:link w:val="1"/>
    <w:qFormat/>
    <w:uiPriority w:val="0"/>
    <w:rPr>
      <w:color w:val="0000FF"/>
      <w:u w:val="single"/>
    </w:rPr>
  </w:style>
  <w:style w:type="paragraph" w:customStyle="1" w:styleId="12">
    <w:name w:val="Heading1"/>
    <w:basedOn w:val="1"/>
    <w:next w:val="1"/>
    <w:link w:val="16"/>
    <w:qFormat/>
    <w:uiPriority w:val="0"/>
    <w:pPr>
      <w:keepNext/>
      <w:keepLines/>
      <w:spacing w:before="340" w:after="330" w:line="578" w:lineRule="auto"/>
      <w:jc w:val="both"/>
      <w:textAlignment w:val="baseline"/>
    </w:pPr>
    <w:rPr>
      <w:rFonts w:cs="Times New Roman"/>
      <w:b/>
      <w:bCs/>
      <w:kern w:val="44"/>
      <w:sz w:val="44"/>
      <w:szCs w:val="44"/>
      <w:lang w:val="en-US" w:eastAsia="zh-CN" w:bidi="ar-SA"/>
    </w:rPr>
  </w:style>
  <w:style w:type="paragraph" w:customStyle="1" w:styleId="13">
    <w:name w:val="Heading2"/>
    <w:basedOn w:val="1"/>
    <w:next w:val="1"/>
    <w:link w:val="17"/>
    <w:qFormat/>
    <w:uiPriority w:val="0"/>
    <w:pPr>
      <w:keepNext/>
      <w:keepLines/>
      <w:spacing w:before="260" w:after="260" w:line="416" w:lineRule="auto"/>
      <w:jc w:val="both"/>
      <w:textAlignment w:val="baseline"/>
    </w:pPr>
    <w:rPr>
      <w:rFonts w:ascii="Cambria" w:hAnsi="Cambria" w:cs="Times New Roman"/>
      <w:b/>
      <w:bCs/>
      <w:kern w:val="2"/>
      <w:sz w:val="32"/>
      <w:szCs w:val="32"/>
      <w:lang w:val="en-US" w:eastAsia="zh-CN" w:bidi="ar-SA"/>
    </w:rPr>
  </w:style>
  <w:style w:type="paragraph" w:customStyle="1" w:styleId="14">
    <w:name w:val="Heading3"/>
    <w:basedOn w:val="1"/>
    <w:next w:val="1"/>
    <w:link w:val="18"/>
    <w:qFormat/>
    <w:uiPriority w:val="0"/>
    <w:pPr>
      <w:keepNext/>
      <w:keepLines/>
      <w:spacing w:before="260" w:after="260" w:line="416" w:lineRule="auto"/>
      <w:jc w:val="both"/>
      <w:textAlignment w:val="baseline"/>
    </w:pPr>
    <w:rPr>
      <w:rFonts w:cs="Times New Roman"/>
      <w:b/>
      <w:bCs/>
      <w:kern w:val="2"/>
      <w:sz w:val="32"/>
      <w:szCs w:val="32"/>
      <w:lang w:val="en-US" w:eastAsia="zh-CN" w:bidi="ar-SA"/>
    </w:rPr>
  </w:style>
  <w:style w:type="table" w:customStyle="1" w:styleId="15">
    <w:name w:val="TableNormal"/>
    <w:qFormat/>
    <w:uiPriority w:val="0"/>
  </w:style>
  <w:style w:type="character" w:customStyle="1" w:styleId="16">
    <w:name w:val="UserStyle_0"/>
    <w:basedOn w:val="10"/>
    <w:link w:val="12"/>
    <w:qFormat/>
    <w:locked/>
    <w:uiPriority w:val="0"/>
    <w:rPr>
      <w:rFonts w:ascii="Times New Roman" w:hAnsi="Times New Roman" w:cs="Times New Roman"/>
      <w:b/>
      <w:bCs/>
      <w:kern w:val="44"/>
      <w:sz w:val="44"/>
      <w:szCs w:val="44"/>
    </w:rPr>
  </w:style>
  <w:style w:type="character" w:customStyle="1" w:styleId="17">
    <w:name w:val="UserStyle_1"/>
    <w:basedOn w:val="10"/>
    <w:link w:val="13"/>
    <w:qFormat/>
    <w:locked/>
    <w:uiPriority w:val="0"/>
    <w:rPr>
      <w:rFonts w:ascii="Cambria" w:hAnsi="Cambria" w:eastAsia="宋体" w:cs="Times New Roman"/>
      <w:b/>
      <w:bCs/>
      <w:kern w:val="2"/>
      <w:sz w:val="32"/>
      <w:szCs w:val="32"/>
    </w:rPr>
  </w:style>
  <w:style w:type="character" w:customStyle="1" w:styleId="18">
    <w:name w:val="UserStyle_2"/>
    <w:basedOn w:val="10"/>
    <w:link w:val="14"/>
    <w:qFormat/>
    <w:locked/>
    <w:uiPriority w:val="0"/>
    <w:rPr>
      <w:rFonts w:ascii="Times New Roman" w:hAnsi="Times New Roman" w:cs="Times New Roman"/>
      <w:b/>
      <w:bCs/>
      <w:kern w:val="2"/>
      <w:sz w:val="32"/>
      <w:szCs w:val="32"/>
    </w:rPr>
  </w:style>
  <w:style w:type="paragraph" w:customStyle="1" w:styleId="19">
    <w:name w:val="BodyText"/>
    <w:basedOn w:val="1"/>
    <w:link w:val="20"/>
    <w:qFormat/>
    <w:uiPriority w:val="0"/>
    <w:pPr>
      <w:jc w:val="both"/>
      <w:textAlignment w:val="baseline"/>
    </w:pPr>
    <w:rPr>
      <w:rFonts w:ascii="仿宋_GB2312" w:eastAsia="仿宋_GB2312"/>
      <w:kern w:val="0"/>
      <w:sz w:val="24"/>
      <w:szCs w:val="20"/>
      <w:lang w:bidi="ar-SA"/>
    </w:rPr>
  </w:style>
  <w:style w:type="character" w:customStyle="1" w:styleId="20">
    <w:name w:val="UserStyle_3"/>
    <w:link w:val="19"/>
    <w:qFormat/>
    <w:locked/>
    <w:uiPriority w:val="0"/>
    <w:rPr>
      <w:rFonts w:ascii="仿宋_GB2312" w:hAnsi="Times New Roman" w:eastAsia="仿宋_GB2312"/>
      <w:sz w:val="24"/>
    </w:rPr>
  </w:style>
  <w:style w:type="paragraph" w:customStyle="1" w:styleId="21">
    <w:name w:val="TOC3"/>
    <w:basedOn w:val="1"/>
    <w:next w:val="1"/>
    <w:qFormat/>
    <w:uiPriority w:val="0"/>
    <w:pPr>
      <w:tabs>
        <w:tab w:val="right" w:leader="dot" w:pos="8296"/>
      </w:tabs>
      <w:ind w:left="840" w:leftChars="400"/>
      <w:jc w:val="both"/>
      <w:textAlignment w:val="baseline"/>
    </w:pPr>
  </w:style>
  <w:style w:type="paragraph" w:customStyle="1" w:styleId="22">
    <w:name w:val="Acetate"/>
    <w:basedOn w:val="1"/>
    <w:link w:val="23"/>
    <w:qFormat/>
    <w:uiPriority w:val="0"/>
    <w:pPr>
      <w:jc w:val="both"/>
      <w:textAlignment w:val="baseline"/>
    </w:pPr>
    <w:rPr>
      <w:kern w:val="2"/>
      <w:sz w:val="18"/>
      <w:szCs w:val="18"/>
      <w:lang w:val="en-US" w:eastAsia="zh-CN" w:bidi="ar-SA"/>
    </w:rPr>
  </w:style>
  <w:style w:type="character" w:customStyle="1" w:styleId="23">
    <w:name w:val="UserStyle_4"/>
    <w:basedOn w:val="10"/>
    <w:link w:val="22"/>
    <w:semiHidden/>
    <w:qFormat/>
    <w:locked/>
    <w:uiPriority w:val="0"/>
    <w:rPr>
      <w:rFonts w:ascii="Times New Roman" w:hAnsi="Times New Roman"/>
      <w:kern w:val="2"/>
      <w:sz w:val="18"/>
      <w:szCs w:val="18"/>
    </w:rPr>
  </w:style>
  <w:style w:type="character" w:customStyle="1" w:styleId="24">
    <w:name w:val="UserStyle_5"/>
    <w:link w:val="5"/>
    <w:qFormat/>
    <w:locked/>
    <w:uiPriority w:val="0"/>
    <w:rPr>
      <w:sz w:val="18"/>
    </w:rPr>
  </w:style>
  <w:style w:type="character" w:customStyle="1" w:styleId="25">
    <w:name w:val="UserStyle_6"/>
    <w:link w:val="6"/>
    <w:semiHidden/>
    <w:qFormat/>
    <w:locked/>
    <w:uiPriority w:val="0"/>
    <w:rPr>
      <w:sz w:val="18"/>
    </w:rPr>
  </w:style>
  <w:style w:type="paragraph" w:customStyle="1" w:styleId="26">
    <w:name w:val="TOC1"/>
    <w:basedOn w:val="1"/>
    <w:next w:val="1"/>
    <w:qFormat/>
    <w:uiPriority w:val="0"/>
    <w:pPr>
      <w:tabs>
        <w:tab w:val="right" w:leader="dot" w:pos="8296"/>
      </w:tabs>
      <w:spacing w:before="93"/>
      <w:jc w:val="center"/>
      <w:textAlignment w:val="baseline"/>
    </w:pPr>
    <w:rPr>
      <w:rFonts w:ascii="仿宋" w:hAnsi="仿宋" w:eastAsia="仿宋"/>
      <w:kern w:val="2"/>
      <w:sz w:val="28"/>
      <w:szCs w:val="28"/>
      <w:lang w:val="en-US" w:eastAsia="zh-CN" w:bidi="ar-SA"/>
    </w:rPr>
  </w:style>
  <w:style w:type="paragraph" w:customStyle="1" w:styleId="27">
    <w:name w:val="TOC2"/>
    <w:basedOn w:val="1"/>
    <w:next w:val="1"/>
    <w:qFormat/>
    <w:uiPriority w:val="0"/>
    <w:pPr>
      <w:tabs>
        <w:tab w:val="right" w:leader="dot" w:pos="8296"/>
      </w:tabs>
      <w:ind w:left="420" w:leftChars="200"/>
      <w:jc w:val="both"/>
      <w:textAlignment w:val="baseline"/>
    </w:pPr>
  </w:style>
  <w:style w:type="paragraph" w:customStyle="1" w:styleId="28">
    <w:name w:val="HtmlNormal"/>
    <w:basedOn w:val="1"/>
    <w:qFormat/>
    <w:uiPriority w:val="0"/>
    <w:pPr>
      <w:spacing w:before="100" w:beforeAutospacing="1" w:after="100" w:afterAutospacing="1"/>
      <w:ind w:left="0" w:right="0"/>
      <w:jc w:val="left"/>
      <w:textAlignment w:val="baseline"/>
    </w:pPr>
    <w:rPr>
      <w:kern w:val="0"/>
      <w:sz w:val="24"/>
      <w:szCs w:val="24"/>
      <w:lang w:val="en-US" w:eastAsia="zh-CN"/>
    </w:rPr>
  </w:style>
  <w:style w:type="character" w:customStyle="1" w:styleId="29">
    <w:name w:val="UserStyle_7"/>
    <w:basedOn w:val="10"/>
    <w:link w:val="1"/>
    <w:semiHidden/>
    <w:qFormat/>
    <w:uiPriority w:val="0"/>
    <w:rPr>
      <w:rFonts w:ascii="Times New Roman" w:hAnsi="Times New Roman"/>
      <w:sz w:val="18"/>
      <w:szCs w:val="18"/>
    </w:rPr>
  </w:style>
  <w:style w:type="character" w:customStyle="1" w:styleId="30">
    <w:name w:val="UserStyle_8"/>
    <w:basedOn w:val="10"/>
    <w:link w:val="1"/>
    <w:semiHidden/>
    <w:qFormat/>
    <w:uiPriority w:val="0"/>
    <w:rPr>
      <w:rFonts w:ascii="Times New Roman" w:hAnsi="Times New Roman"/>
      <w:sz w:val="18"/>
      <w:szCs w:val="18"/>
    </w:rPr>
  </w:style>
  <w:style w:type="character" w:customStyle="1" w:styleId="31">
    <w:name w:val="UserStyle_9"/>
    <w:basedOn w:val="10"/>
    <w:link w:val="1"/>
    <w:semiHidden/>
    <w:qFormat/>
    <w:uiPriority w:val="0"/>
    <w:rPr>
      <w:rFonts w:ascii="Times New Roman" w:hAnsi="Times New Roman"/>
      <w:sz w:val="24"/>
      <w:szCs w:val="24"/>
    </w:rPr>
  </w:style>
  <w:style w:type="paragraph" w:customStyle="1" w:styleId="32">
    <w:name w:val="UserStyle_10"/>
    <w:qFormat/>
    <w:uiPriority w:val="0"/>
    <w:pPr>
      <w:widowControl/>
      <w:ind w:leftChars="200"/>
      <w:textAlignment w:val="baseline"/>
    </w:pPr>
    <w:rPr>
      <w:rFonts w:ascii="Times New Roman" w:hAnsi="Times New Roman" w:eastAsia="宋体" w:cstheme="minorBidi"/>
      <w:lang w:val="en-US" w:eastAsia="zh-CN" w:bidi="ar-SA"/>
    </w:rPr>
  </w:style>
  <w:style w:type="paragraph" w:customStyle="1" w:styleId="33">
    <w:name w:val="UserStyle_11"/>
    <w:basedOn w:val="1"/>
    <w:qFormat/>
    <w:uiPriority w:val="0"/>
    <w:pPr>
      <w:ind w:firstLine="420" w:firstLineChars="200"/>
      <w:jc w:val="both"/>
      <w:textAlignment w:val="baseline"/>
    </w:pPr>
  </w:style>
  <w:style w:type="paragraph" w:customStyle="1" w:styleId="34">
    <w:name w:val="UserStyle_12"/>
    <w:qFormat/>
    <w:uiPriority w:val="0"/>
    <w:pPr>
      <w:widowControl/>
      <w:textAlignment w:val="baseline"/>
    </w:pPr>
    <w:rPr>
      <w:rFonts w:ascii="Times New Roman" w:hAnsi="Times New Roman" w:eastAsia="宋体" w:cstheme="minorBidi"/>
      <w:lang w:val="en-US" w:eastAsia="zh-CN" w:bidi="ar-SA"/>
    </w:rPr>
  </w:style>
  <w:style w:type="paragraph" w:customStyle="1" w:styleId="35">
    <w:name w:val="UserStyle_13"/>
    <w:basedOn w:val="12"/>
    <w:next w:val="1"/>
    <w:qFormat/>
    <w:uiPriority w:val="0"/>
    <w:pPr>
      <w:keepNext/>
      <w:keepLines/>
      <w:widowControl/>
      <w:spacing w:before="480" w:after="0" w:line="276" w:lineRule="auto"/>
      <w:jc w:val="left"/>
      <w:textAlignment w:val="baseline"/>
    </w:pPr>
    <w:rPr>
      <w:rFonts w:ascii="Cambria" w:hAnsi="Cambria" w:cs="Times New Roman"/>
      <w:color w:val="365F91"/>
      <w:kern w:val="0"/>
      <w:sz w:val="28"/>
      <w:szCs w:val="28"/>
      <w:lang w:val="en-US" w:eastAsia="zh-CN" w:bidi="ar-SA"/>
    </w:rPr>
  </w:style>
  <w:style w:type="paragraph" w:customStyle="1" w:styleId="36">
    <w:name w:val="UserStyle_14"/>
    <w:qFormat/>
    <w:uiPriority w:val="0"/>
    <w:pPr>
      <w:textAlignment w:val="baseline"/>
    </w:pPr>
    <w:rPr>
      <w:rFonts w:ascii="仿宋" w:hAnsi="Times New Roman" w:eastAsia="仿宋" w:cstheme="minorBidi"/>
      <w:color w:val="000000"/>
      <w:sz w:val="24"/>
      <w:szCs w:val="24"/>
      <w:lang w:val="en-US" w:eastAsia="zh-CN" w:bidi="ar-SA"/>
    </w:rPr>
  </w:style>
  <w:style w:type="paragraph" w:customStyle="1" w:styleId="37">
    <w:name w:val="UserStyle_15"/>
    <w:basedOn w:val="12"/>
    <w:next w:val="1"/>
    <w:qFormat/>
    <w:uiPriority w:val="0"/>
    <w:pPr>
      <w:keepNext/>
      <w:keepLines/>
      <w:widowControl/>
      <w:spacing w:before="480" w:after="0" w:line="276" w:lineRule="auto"/>
      <w:jc w:val="left"/>
      <w:textAlignment w:val="baseline"/>
    </w:pPr>
    <w:rPr>
      <w:rFonts w:ascii="Cambria" w:hAnsi="Cambria" w:cs="Times New Roman"/>
      <w:color w:val="365F91"/>
      <w:kern w:val="0"/>
      <w:sz w:val="28"/>
      <w:szCs w:val="28"/>
      <w:lang w:val="en-US" w:eastAsia="zh-CN" w:bidi="ar-SA"/>
    </w:rPr>
  </w:style>
  <w:style w:type="paragraph" w:customStyle="1" w:styleId="38">
    <w:name w:val="UserStyle_16"/>
    <w:qFormat/>
    <w:uiPriority w:val="0"/>
    <w:pPr>
      <w:widowControl/>
      <w:jc w:val="both"/>
      <w:textAlignment w:val="baseline"/>
    </w:pPr>
    <w:rPr>
      <w:rFonts w:ascii="Times New Roman" w:hAnsi="Times New Roman" w:eastAsia="宋体" w:cstheme="minorBidi"/>
      <w:kern w:val="2"/>
      <w:sz w:val="21"/>
      <w:szCs w:val="21"/>
      <w:lang w:val="en-US" w:eastAsia="zh-CN" w:bidi="ar-SA"/>
    </w:rPr>
  </w:style>
  <w:style w:type="paragraph" w:customStyle="1" w:styleId="39">
    <w:name w:val="WPSOffice手动目录 1"/>
    <w:qFormat/>
    <w:uiPriority w:val="0"/>
    <w:pPr>
      <w:ind w:leftChars="0"/>
    </w:pPr>
    <w:rPr>
      <w:rFonts w:ascii="Times New Roman" w:hAnsi="Times New Roman" w:eastAsia="宋体" w:cstheme="minorBidi"/>
      <w:sz w:val="20"/>
      <w:szCs w:val="20"/>
    </w:rPr>
  </w:style>
  <w:style w:type="paragraph" w:customStyle="1" w:styleId="40">
    <w:name w:val="WPSOffice手动目录 2"/>
    <w:qFormat/>
    <w:uiPriority w:val="0"/>
    <w:pPr>
      <w:ind w:leftChars="200"/>
    </w:pPr>
    <w:rPr>
      <w:rFonts w:ascii="Times New Roman" w:hAnsi="Times New Roman" w:eastAsia="宋体"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Pages>
  <Words>21011</Words>
  <Characters>23113</Characters>
  <TotalTime>12</TotalTime>
  <ScaleCrop>false</ScaleCrop>
  <LinksUpToDate>false</LinksUpToDate>
  <CharactersWithSpaces>23370</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2022-09-29T02:08:00Z</dcterms:created>
  <dc:creator>Administrator</dc:creator>
  <cp:lastModifiedBy>昭化融媒体</cp:lastModifiedBy>
  <dcterms:modified xsi:type="dcterms:W3CDTF">2024-08-01T09:08:45Z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DBEA8415C99F46CDB7D928F932C9808F</vt:lpwstr>
  </property>
</Properties>
</file>