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F60CBF">
      <w:pPr>
        <w:wordWrap/>
        <w:snapToGrid/>
        <w:spacing w:line="240" w:lineRule="auto"/>
        <w:ind w:left="0" w:leftChars="0" w:right="0" w:firstLine="0" w:firstLineChars="0"/>
        <w:jc w:val="left"/>
        <w:outlineLvl w:val="9"/>
        <w:rPr>
          <w:rFonts w:ascii="方正小标宋简体" w:hAnsi="宋体" w:eastAsia="方正小标宋简体"/>
          <w:color w:val="000000"/>
          <w:sz w:val="72"/>
          <w:szCs w:val="72"/>
        </w:rPr>
      </w:pPr>
      <w:bookmarkStart w:id="0" w:name="_Toc15306267"/>
    </w:p>
    <w:p w14:paraId="6FADF4EF">
      <w:pPr>
        <w:wordWrap/>
        <w:snapToGrid/>
        <w:spacing w:line="240" w:lineRule="auto"/>
        <w:ind w:left="0" w:leftChars="0" w:right="0" w:firstLine="0" w:firstLineChars="0"/>
        <w:jc w:val="left"/>
        <w:outlineLvl w:val="9"/>
        <w:rPr>
          <w:rFonts w:ascii="方正小标宋简体" w:hAnsi="宋体" w:eastAsia="方正小标宋简体"/>
          <w:color w:val="000000"/>
          <w:sz w:val="72"/>
          <w:szCs w:val="72"/>
        </w:rPr>
      </w:pPr>
    </w:p>
    <w:p w14:paraId="2403EB6B">
      <w:pPr>
        <w:wordWrap/>
        <w:snapToGrid/>
        <w:spacing w:line="240" w:lineRule="auto"/>
        <w:ind w:left="0" w:leftChars="0" w:right="0" w:firstLine="0" w:firstLineChars="0"/>
        <w:jc w:val="left"/>
        <w:outlineLvl w:val="9"/>
        <w:rPr>
          <w:rFonts w:ascii="方正小标宋简体" w:hAnsi="宋体" w:eastAsia="方正小标宋简体"/>
          <w:color w:val="000000"/>
          <w:sz w:val="72"/>
          <w:szCs w:val="72"/>
        </w:rPr>
      </w:pPr>
    </w:p>
    <w:p w14:paraId="3A86C74A">
      <w:pPr>
        <w:wordWrap/>
        <w:snapToGrid/>
        <w:spacing w:line="240" w:lineRule="auto"/>
        <w:ind w:left="0" w:leftChars="0" w:right="0" w:firstLine="0" w:firstLineChars="0"/>
        <w:jc w:val="left"/>
        <w:outlineLvl w:val="9"/>
        <w:rPr>
          <w:rFonts w:ascii="方正小标宋简体" w:hAnsi="宋体" w:eastAsia="方正小标宋简体"/>
          <w:color w:val="000000"/>
          <w:sz w:val="144"/>
          <w:szCs w:val="144"/>
        </w:rPr>
      </w:pPr>
    </w:p>
    <w:p w14:paraId="5327F918">
      <w:pPr>
        <w:wordWrap/>
        <w:adjustRightInd w:val="0"/>
        <w:snapToGrid/>
        <w:spacing w:line="240" w:lineRule="auto"/>
        <w:ind w:left="0" w:leftChars="0" w:right="0" w:firstLine="0" w:firstLineChars="0"/>
        <w:jc w:val="center"/>
        <w:outlineLvl w:val="9"/>
        <w:rPr>
          <w:rFonts w:hint="eastAsia" w:ascii="方正小标宋简体" w:hAnsi="方正小标宋简体" w:eastAsia="方正小标宋简体" w:cs="方正小标宋简体"/>
          <w:color w:val="000000"/>
          <w:sz w:val="56"/>
          <w:szCs w:val="56"/>
        </w:rPr>
      </w:pPr>
      <w:bookmarkStart w:id="1" w:name="_Toc15377425"/>
      <w:bookmarkStart w:id="2" w:name="_Toc15396597"/>
      <w:bookmarkStart w:id="3" w:name="_Toc15378441"/>
      <w:bookmarkStart w:id="4" w:name="_Toc15377193"/>
      <w:bookmarkStart w:id="5" w:name="_Toc15396475"/>
      <w:r>
        <w:rPr>
          <w:rFonts w:hint="eastAsia" w:ascii="方正小标宋简体" w:hAnsi="方正小标宋简体" w:eastAsia="方正小标宋简体" w:cs="方正小标宋简体"/>
          <w:color w:val="000000"/>
          <w:sz w:val="56"/>
          <w:szCs w:val="56"/>
          <w:lang w:eastAsia="zh-CN"/>
        </w:rPr>
        <w:t>2020</w:t>
      </w:r>
      <w:r>
        <w:rPr>
          <w:rFonts w:hint="eastAsia" w:ascii="方正小标宋简体" w:hAnsi="方正小标宋简体" w:eastAsia="方正小标宋简体" w:cs="方正小标宋简体"/>
          <w:color w:val="000000"/>
          <w:sz w:val="56"/>
          <w:szCs w:val="56"/>
        </w:rPr>
        <w:t>年度</w:t>
      </w:r>
      <w:bookmarkEnd w:id="1"/>
      <w:bookmarkEnd w:id="2"/>
      <w:bookmarkEnd w:id="3"/>
      <w:bookmarkEnd w:id="4"/>
      <w:bookmarkEnd w:id="5"/>
    </w:p>
    <w:bookmarkEnd w:id="0"/>
    <w:p w14:paraId="5A8C6210">
      <w:pPr>
        <w:wordWrap/>
        <w:adjustRightInd w:val="0"/>
        <w:snapToGrid/>
        <w:spacing w:line="240" w:lineRule="auto"/>
        <w:ind w:left="0" w:leftChars="0" w:right="0" w:firstLine="0" w:firstLineChars="0"/>
        <w:jc w:val="center"/>
        <w:outlineLvl w:val="9"/>
        <w:rPr>
          <w:rFonts w:hint="eastAsia" w:ascii="方正小标宋简体" w:hAnsi="方正小标宋简体" w:eastAsia="方正小标宋简体" w:cs="方正小标宋简体"/>
          <w:color w:val="000000"/>
          <w:sz w:val="56"/>
          <w:szCs w:val="56"/>
          <w:lang w:eastAsia="zh-CN"/>
        </w:rPr>
      </w:pPr>
      <w:bookmarkStart w:id="6" w:name="_Toc15396476"/>
      <w:bookmarkStart w:id="7" w:name="_Toc15377426"/>
      <w:bookmarkStart w:id="8" w:name="_Toc15306268"/>
      <w:bookmarkStart w:id="9" w:name="_Toc15378442"/>
      <w:bookmarkStart w:id="10" w:name="_Toc15396598"/>
      <w:bookmarkStart w:id="11" w:name="_Toc15377194"/>
      <w:r>
        <w:rPr>
          <w:rFonts w:hint="eastAsia" w:ascii="方正小标宋简体" w:hAnsi="方正小标宋简体" w:eastAsia="方正小标宋简体" w:cs="方正小标宋简体"/>
          <w:color w:val="000000"/>
          <w:sz w:val="56"/>
          <w:szCs w:val="56"/>
          <w:lang w:eastAsia="zh-CN"/>
        </w:rPr>
        <w:t>四川省</w:t>
      </w:r>
      <w:r>
        <w:rPr>
          <w:rFonts w:hint="eastAsia" w:ascii="方正小标宋简体" w:hAnsi="方正小标宋简体" w:eastAsia="方正小标宋简体" w:cs="方正小标宋简体"/>
          <w:color w:val="000000"/>
          <w:sz w:val="56"/>
          <w:szCs w:val="56"/>
        </w:rPr>
        <w:t>广元市昭化区</w:t>
      </w:r>
      <w:r>
        <w:rPr>
          <w:rFonts w:hint="eastAsia" w:ascii="方正小标宋简体" w:hAnsi="方正小标宋简体" w:eastAsia="方正小标宋简体" w:cs="方正小标宋简体"/>
          <w:color w:val="000000"/>
          <w:sz w:val="56"/>
          <w:szCs w:val="56"/>
          <w:lang w:eastAsia="zh-CN"/>
        </w:rPr>
        <w:t>王家镇</w:t>
      </w:r>
    </w:p>
    <w:p w14:paraId="7EE100EB">
      <w:pPr>
        <w:wordWrap/>
        <w:adjustRightInd w:val="0"/>
        <w:snapToGrid/>
        <w:spacing w:line="240" w:lineRule="auto"/>
        <w:ind w:left="0" w:leftChars="0" w:right="0" w:firstLine="0" w:firstLineChars="0"/>
        <w:jc w:val="center"/>
        <w:outlineLvl w:val="9"/>
        <w:rPr>
          <w:rFonts w:hint="eastAsia" w:ascii="方正小标宋简体" w:hAnsi="方正小标宋简体" w:eastAsia="方正小标宋简体" w:cs="方正小标宋简体"/>
          <w:color w:val="000000"/>
          <w:sz w:val="56"/>
          <w:szCs w:val="56"/>
          <w:lang w:val="en-US" w:eastAsia="zh-CN"/>
        </w:rPr>
      </w:pPr>
      <w:r>
        <w:rPr>
          <w:rFonts w:hint="eastAsia" w:ascii="方正小标宋简体" w:hAnsi="方正小标宋简体" w:eastAsia="方正小标宋简体" w:cs="方正小标宋简体"/>
          <w:color w:val="000000"/>
          <w:sz w:val="56"/>
          <w:szCs w:val="56"/>
          <w:lang w:eastAsia="zh-CN"/>
        </w:rPr>
        <w:t>初级中学</w:t>
      </w:r>
      <w:r>
        <w:rPr>
          <w:rFonts w:hint="eastAsia" w:ascii="方正小标宋简体" w:hAnsi="方正小标宋简体" w:eastAsia="方正小标宋简体" w:cs="方正小标宋简体"/>
          <w:color w:val="000000"/>
          <w:sz w:val="56"/>
          <w:szCs w:val="56"/>
        </w:rPr>
        <w:t>决算</w:t>
      </w:r>
      <w:bookmarkEnd w:id="6"/>
      <w:bookmarkEnd w:id="7"/>
      <w:bookmarkEnd w:id="8"/>
      <w:bookmarkEnd w:id="9"/>
      <w:bookmarkEnd w:id="10"/>
      <w:bookmarkEnd w:id="11"/>
    </w:p>
    <w:p w14:paraId="420B99B0">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bookmarkStart w:id="12" w:name="_Toc15377196"/>
      <w:bookmarkStart w:id="13" w:name="_Toc15396599"/>
      <w:r>
        <w:rPr>
          <w:rFonts w:hint="eastAsia" w:ascii="黑体" w:hAnsi="黑体" w:eastAsia="黑体"/>
          <w:color w:val="000000"/>
          <w:sz w:val="48"/>
          <w:szCs w:val="48"/>
        </w:rPr>
        <w:t>目录</w:t>
      </w:r>
    </w:p>
    <w:p w14:paraId="144E017B">
      <w:pPr>
        <w:widowControl/>
        <w:jc w:val="center"/>
        <w:rPr>
          <w:rFonts w:ascii="黑体" w:hAnsi="黑体" w:eastAsia="黑体"/>
          <w:sz w:val="28"/>
          <w:szCs w:val="28"/>
        </w:rPr>
      </w:pPr>
    </w:p>
    <w:p w14:paraId="2DE8EC50">
      <w:pPr>
        <w:pStyle w:val="13"/>
      </w:pPr>
      <w:r>
        <w:rPr>
          <w:rFonts w:hint="eastAsia"/>
        </w:rPr>
        <w:t>公开时间：</w:t>
      </w:r>
      <w:r>
        <w:t>2021</w:t>
      </w:r>
      <w:r>
        <w:rPr>
          <w:rFonts w:hint="eastAsia"/>
        </w:rPr>
        <w:t>年9月</w:t>
      </w:r>
      <w:r>
        <w:rPr>
          <w:rFonts w:hint="eastAsia"/>
          <w:lang w:val="en-US" w:eastAsia="zh-CN"/>
        </w:rPr>
        <w:t>30</w:t>
      </w:r>
      <w:r>
        <w:rPr>
          <w:rFonts w:hint="eastAsia"/>
        </w:rPr>
        <w:t>日</w:t>
      </w:r>
    </w:p>
    <w:p w14:paraId="3BF8CD86"/>
    <w:p w14:paraId="619C2A5E">
      <w:pPr>
        <w:pStyle w:val="13"/>
        <w:adjustRightInd w:val="0"/>
        <w:snapToGrid w:val="0"/>
        <w:spacing w:before="0" w:line="440" w:lineRule="exact"/>
        <w:jc w:val="left"/>
        <w:rPr>
          <w:rFonts w:ascii="Times New Roman" w:hAnsi="Times New Roman" w:eastAsia="宋体"/>
          <w:sz w:val="32"/>
          <w:szCs w:val="32"/>
        </w:rPr>
      </w:pPr>
      <w:r>
        <w:rPr>
          <w:rFonts w:hint="eastAsia" w:ascii="Times New Roman" w:hAnsi="Times New Roman" w:eastAsia="宋体"/>
          <w:sz w:val="32"/>
          <w:szCs w:val="32"/>
        </w:rPr>
        <w:t>第一部分  单位概况</w:t>
      </w:r>
    </w:p>
    <w:p w14:paraId="6FEF7205">
      <w:pPr>
        <w:pStyle w:val="15"/>
        <w:adjustRightInd w:val="0"/>
        <w:snapToGrid w:val="0"/>
        <w:spacing w:line="440" w:lineRule="exact"/>
        <w:jc w:val="left"/>
        <w:rPr>
          <w:rFonts w:hint="eastAsia" w:eastAsia="宋体"/>
          <w:sz w:val="28"/>
          <w:szCs w:val="28"/>
          <w:lang w:eastAsia="zh-CN"/>
        </w:rPr>
      </w:pPr>
      <w:r>
        <w:rPr>
          <w:rFonts w:hint="eastAsia"/>
          <w:sz w:val="32"/>
          <w:szCs w:val="32"/>
        </w:rPr>
        <w:t>一、基本职能及主要工作</w:t>
      </w:r>
      <w:r>
        <w:rPr>
          <w:sz w:val="28"/>
          <w:szCs w:val="28"/>
        </w:rPr>
        <w:tab/>
      </w:r>
      <w:r>
        <w:rPr>
          <w:rFonts w:hint="eastAsia"/>
          <w:sz w:val="28"/>
          <w:szCs w:val="28"/>
          <w:lang w:val="en-US" w:eastAsia="zh-CN"/>
        </w:rPr>
        <w:t>3</w:t>
      </w:r>
    </w:p>
    <w:p w14:paraId="2ABE65E3">
      <w:pPr>
        <w:pStyle w:val="15"/>
        <w:adjustRightInd w:val="0"/>
        <w:snapToGrid w:val="0"/>
        <w:spacing w:line="440" w:lineRule="exact"/>
        <w:jc w:val="left"/>
        <w:rPr>
          <w:rFonts w:hint="eastAsia"/>
          <w:sz w:val="28"/>
          <w:szCs w:val="28"/>
        </w:rPr>
      </w:pPr>
      <w:r>
        <w:rPr>
          <w:rFonts w:hint="eastAsia"/>
          <w:sz w:val="28"/>
          <w:szCs w:val="28"/>
        </w:rPr>
        <w:t>二、机构设置</w:t>
      </w:r>
      <w:r>
        <w:rPr>
          <w:sz w:val="28"/>
          <w:szCs w:val="28"/>
        </w:rPr>
        <w:tab/>
      </w:r>
      <w:r>
        <w:rPr>
          <w:rFonts w:hint="eastAsia"/>
          <w:sz w:val="28"/>
          <w:szCs w:val="28"/>
        </w:rPr>
        <w:t>7</w:t>
      </w:r>
    </w:p>
    <w:p w14:paraId="63909EE7">
      <w:pPr>
        <w:pStyle w:val="13"/>
        <w:adjustRightInd w:val="0"/>
        <w:snapToGrid w:val="0"/>
        <w:spacing w:before="0" w:line="440" w:lineRule="exact"/>
        <w:jc w:val="left"/>
        <w:rPr>
          <w:rFonts w:ascii="Times New Roman" w:hAnsi="Times New Roman" w:eastAsia="宋体"/>
          <w:sz w:val="28"/>
          <w:szCs w:val="28"/>
        </w:rPr>
      </w:pPr>
      <w:r>
        <w:rPr>
          <w:rFonts w:hint="eastAsia" w:ascii="Times New Roman" w:hAnsi="Times New Roman" w:eastAsia="宋体"/>
          <w:sz w:val="28"/>
          <w:szCs w:val="28"/>
        </w:rPr>
        <w:t xml:space="preserve">第二部分  </w:t>
      </w:r>
      <w:r>
        <w:rPr>
          <w:rFonts w:ascii="Times New Roman" w:hAnsi="Times New Roman" w:eastAsia="宋体"/>
          <w:sz w:val="28"/>
          <w:szCs w:val="28"/>
        </w:rPr>
        <w:t>2020</w:t>
      </w:r>
      <w:r>
        <w:rPr>
          <w:rFonts w:hint="eastAsia" w:ascii="Times New Roman" w:hAnsi="Times New Roman" w:eastAsia="宋体"/>
          <w:sz w:val="28"/>
          <w:szCs w:val="28"/>
        </w:rPr>
        <w:t>年单位决算情况说明</w:t>
      </w:r>
    </w:p>
    <w:p w14:paraId="414E0B28">
      <w:pPr>
        <w:pStyle w:val="15"/>
        <w:adjustRightInd w:val="0"/>
        <w:snapToGrid w:val="0"/>
        <w:spacing w:line="440" w:lineRule="exact"/>
        <w:jc w:val="left"/>
        <w:rPr>
          <w:rFonts w:hint="eastAsia" w:eastAsia="宋体"/>
          <w:sz w:val="28"/>
          <w:szCs w:val="28"/>
          <w:lang w:eastAsia="zh-CN"/>
        </w:rPr>
      </w:pPr>
      <w:r>
        <w:rPr>
          <w:rFonts w:hint="eastAsia"/>
          <w:sz w:val="28"/>
          <w:szCs w:val="28"/>
        </w:rPr>
        <w:t>一、收入支出决算总体情况说明</w:t>
      </w:r>
      <w:r>
        <w:rPr>
          <w:sz w:val="28"/>
          <w:szCs w:val="28"/>
        </w:rPr>
        <w:tab/>
      </w:r>
      <w:r>
        <w:rPr>
          <w:rFonts w:hint="eastAsia"/>
          <w:sz w:val="28"/>
          <w:szCs w:val="28"/>
          <w:lang w:val="en-US" w:eastAsia="zh-CN"/>
        </w:rPr>
        <w:t>8</w:t>
      </w:r>
    </w:p>
    <w:p w14:paraId="58AC9F52">
      <w:pPr>
        <w:pStyle w:val="15"/>
        <w:adjustRightInd w:val="0"/>
        <w:snapToGrid w:val="0"/>
        <w:spacing w:line="440" w:lineRule="exact"/>
        <w:jc w:val="left"/>
        <w:rPr>
          <w:rFonts w:hint="eastAsia" w:eastAsia="宋体"/>
          <w:sz w:val="28"/>
          <w:szCs w:val="28"/>
          <w:lang w:eastAsia="zh-CN"/>
        </w:rPr>
      </w:pPr>
      <w:r>
        <w:rPr>
          <w:rFonts w:hint="eastAsia"/>
          <w:sz w:val="28"/>
          <w:szCs w:val="28"/>
        </w:rPr>
        <w:t>二、收入决算情况说明</w:t>
      </w:r>
      <w:r>
        <w:rPr>
          <w:sz w:val="28"/>
          <w:szCs w:val="28"/>
        </w:rPr>
        <w:tab/>
      </w:r>
      <w:r>
        <w:rPr>
          <w:rFonts w:hint="eastAsia"/>
          <w:sz w:val="28"/>
          <w:szCs w:val="28"/>
          <w:lang w:val="en-US" w:eastAsia="zh-CN"/>
        </w:rPr>
        <w:t>8</w:t>
      </w:r>
    </w:p>
    <w:p w14:paraId="41E17083">
      <w:pPr>
        <w:pStyle w:val="15"/>
        <w:adjustRightInd w:val="0"/>
        <w:snapToGrid w:val="0"/>
        <w:spacing w:line="440" w:lineRule="exact"/>
        <w:jc w:val="left"/>
        <w:rPr>
          <w:rFonts w:hint="eastAsia"/>
          <w:sz w:val="28"/>
          <w:szCs w:val="28"/>
        </w:rPr>
      </w:pPr>
      <w:r>
        <w:rPr>
          <w:rFonts w:hint="eastAsia"/>
          <w:sz w:val="28"/>
          <w:szCs w:val="28"/>
        </w:rPr>
        <w:t>三、支出决算情况说明</w:t>
      </w:r>
      <w:r>
        <w:rPr>
          <w:sz w:val="28"/>
          <w:szCs w:val="28"/>
        </w:rPr>
        <w:tab/>
      </w:r>
      <w:r>
        <w:rPr>
          <w:rFonts w:hint="eastAsia"/>
          <w:sz w:val="28"/>
          <w:szCs w:val="28"/>
        </w:rPr>
        <w:t>8</w:t>
      </w:r>
    </w:p>
    <w:p w14:paraId="67BAA4BA">
      <w:pPr>
        <w:pStyle w:val="15"/>
        <w:adjustRightInd w:val="0"/>
        <w:snapToGrid w:val="0"/>
        <w:spacing w:line="440" w:lineRule="exact"/>
        <w:jc w:val="left"/>
        <w:rPr>
          <w:rFonts w:hint="eastAsia"/>
          <w:sz w:val="28"/>
          <w:szCs w:val="28"/>
        </w:rPr>
      </w:pPr>
      <w:r>
        <w:rPr>
          <w:rFonts w:hint="eastAsia"/>
          <w:sz w:val="28"/>
          <w:szCs w:val="28"/>
        </w:rPr>
        <w:t>四、财政拨款收入支出决算总体情况说明</w:t>
      </w:r>
      <w:r>
        <w:rPr>
          <w:sz w:val="28"/>
          <w:szCs w:val="28"/>
        </w:rPr>
        <w:tab/>
      </w:r>
      <w:r>
        <w:rPr>
          <w:rFonts w:hint="eastAsia"/>
          <w:sz w:val="28"/>
          <w:szCs w:val="28"/>
        </w:rPr>
        <w:t>8</w:t>
      </w:r>
    </w:p>
    <w:p w14:paraId="4E36E58B">
      <w:pPr>
        <w:pStyle w:val="15"/>
        <w:adjustRightInd w:val="0"/>
        <w:snapToGrid w:val="0"/>
        <w:spacing w:line="440" w:lineRule="exact"/>
        <w:jc w:val="left"/>
        <w:rPr>
          <w:rFonts w:hint="eastAsia"/>
          <w:sz w:val="28"/>
          <w:szCs w:val="28"/>
        </w:rPr>
      </w:pPr>
      <w:r>
        <w:rPr>
          <w:rFonts w:hint="eastAsia"/>
          <w:sz w:val="28"/>
          <w:szCs w:val="28"/>
        </w:rPr>
        <w:t>五、一般公共预算财政拨款支出决算情况说明</w:t>
      </w:r>
      <w:r>
        <w:rPr>
          <w:sz w:val="28"/>
          <w:szCs w:val="28"/>
        </w:rPr>
        <w:tab/>
      </w:r>
      <w:r>
        <w:rPr>
          <w:sz w:val="28"/>
          <w:szCs w:val="28"/>
        </w:rPr>
        <w:t>8</w:t>
      </w:r>
    </w:p>
    <w:p w14:paraId="57069417">
      <w:pPr>
        <w:pStyle w:val="15"/>
        <w:adjustRightInd w:val="0"/>
        <w:snapToGrid w:val="0"/>
        <w:spacing w:line="440" w:lineRule="exact"/>
        <w:jc w:val="left"/>
        <w:rPr>
          <w:rFonts w:hint="eastAsia"/>
          <w:sz w:val="28"/>
          <w:szCs w:val="28"/>
        </w:rPr>
      </w:pPr>
      <w:r>
        <w:rPr>
          <w:rFonts w:hint="eastAsia"/>
          <w:sz w:val="28"/>
          <w:szCs w:val="28"/>
        </w:rPr>
        <w:t>六、一般公共预算财政拨款基本支出决算情况说明</w:t>
      </w:r>
      <w:r>
        <w:rPr>
          <w:sz w:val="28"/>
          <w:szCs w:val="28"/>
        </w:rPr>
        <w:tab/>
      </w:r>
      <w:r>
        <w:rPr>
          <w:rFonts w:hint="eastAsia"/>
          <w:sz w:val="28"/>
          <w:szCs w:val="28"/>
        </w:rPr>
        <w:t>9</w:t>
      </w:r>
    </w:p>
    <w:p w14:paraId="6879426E">
      <w:pPr>
        <w:pStyle w:val="15"/>
        <w:adjustRightInd w:val="0"/>
        <w:snapToGrid w:val="0"/>
        <w:spacing w:line="440" w:lineRule="exact"/>
        <w:jc w:val="left"/>
        <w:rPr>
          <w:rFonts w:hint="default" w:eastAsia="宋体"/>
          <w:sz w:val="28"/>
          <w:szCs w:val="28"/>
          <w:lang w:val="en-US" w:eastAsia="zh-CN"/>
        </w:rPr>
      </w:pPr>
      <w:r>
        <w:rPr>
          <w:rFonts w:hint="eastAsia"/>
          <w:sz w:val="28"/>
          <w:szCs w:val="28"/>
        </w:rPr>
        <w:t>七、“三公”经费财政拨款支出决算情况说明</w:t>
      </w:r>
      <w:r>
        <w:rPr>
          <w:rFonts w:hint="eastAsia"/>
          <w:sz w:val="28"/>
          <w:szCs w:val="28"/>
        </w:rPr>
        <w:tab/>
      </w:r>
      <w:r>
        <w:rPr>
          <w:rFonts w:hint="eastAsia"/>
          <w:sz w:val="28"/>
          <w:szCs w:val="28"/>
          <w:lang w:val="en-US" w:eastAsia="zh-CN"/>
        </w:rPr>
        <w:t>10</w:t>
      </w:r>
    </w:p>
    <w:p w14:paraId="5F90AEB0">
      <w:pPr>
        <w:pStyle w:val="15"/>
        <w:adjustRightInd w:val="0"/>
        <w:snapToGrid w:val="0"/>
        <w:spacing w:line="440" w:lineRule="exact"/>
        <w:jc w:val="left"/>
        <w:rPr>
          <w:rFonts w:hint="eastAsia" w:eastAsia="宋体"/>
          <w:sz w:val="28"/>
          <w:szCs w:val="28"/>
          <w:lang w:eastAsia="zh-CN"/>
        </w:rPr>
      </w:pPr>
      <w:r>
        <w:rPr>
          <w:rFonts w:hint="eastAsia"/>
          <w:sz w:val="28"/>
          <w:szCs w:val="28"/>
        </w:rPr>
        <w:t>八、政府性基金预算支出决算情况说明</w:t>
      </w:r>
      <w:r>
        <w:rPr>
          <w:rFonts w:hint="eastAsia"/>
          <w:sz w:val="28"/>
          <w:szCs w:val="28"/>
        </w:rPr>
        <w:tab/>
      </w:r>
      <w:r>
        <w:rPr>
          <w:sz w:val="28"/>
          <w:szCs w:val="28"/>
        </w:rPr>
        <w:t>1</w:t>
      </w:r>
      <w:r>
        <w:rPr>
          <w:rFonts w:hint="eastAsia"/>
          <w:sz w:val="28"/>
          <w:szCs w:val="28"/>
          <w:lang w:val="en-US" w:eastAsia="zh-CN"/>
        </w:rPr>
        <w:t>1</w:t>
      </w:r>
    </w:p>
    <w:p w14:paraId="27F10623">
      <w:pPr>
        <w:pStyle w:val="15"/>
        <w:adjustRightInd w:val="0"/>
        <w:snapToGrid w:val="0"/>
        <w:spacing w:line="440" w:lineRule="exact"/>
        <w:jc w:val="left"/>
        <w:rPr>
          <w:rFonts w:hint="eastAsia"/>
          <w:sz w:val="28"/>
          <w:szCs w:val="28"/>
        </w:rPr>
      </w:pPr>
      <w:r>
        <w:rPr>
          <w:rFonts w:hint="eastAsia"/>
          <w:sz w:val="28"/>
          <w:szCs w:val="28"/>
        </w:rPr>
        <w:t>九、国有资本经营预算支出决算情况说明</w:t>
      </w:r>
      <w:r>
        <w:rPr>
          <w:rFonts w:hint="eastAsia"/>
          <w:sz w:val="28"/>
          <w:szCs w:val="28"/>
        </w:rPr>
        <w:tab/>
      </w:r>
      <w:r>
        <w:rPr>
          <w:sz w:val="28"/>
          <w:szCs w:val="28"/>
        </w:rPr>
        <w:t>1</w:t>
      </w:r>
      <w:r>
        <w:rPr>
          <w:rFonts w:hint="eastAsia"/>
          <w:sz w:val="28"/>
          <w:szCs w:val="28"/>
        </w:rPr>
        <w:t>1</w:t>
      </w:r>
    </w:p>
    <w:p w14:paraId="7BBD2AB0">
      <w:pPr>
        <w:pStyle w:val="15"/>
        <w:adjustRightInd w:val="0"/>
        <w:snapToGrid w:val="0"/>
        <w:spacing w:line="440" w:lineRule="exact"/>
        <w:jc w:val="left"/>
        <w:rPr>
          <w:rFonts w:hint="eastAsia"/>
          <w:sz w:val="28"/>
          <w:szCs w:val="28"/>
        </w:rPr>
      </w:pPr>
      <w:r>
        <w:rPr>
          <w:rFonts w:hint="eastAsia"/>
          <w:sz w:val="28"/>
          <w:szCs w:val="28"/>
        </w:rPr>
        <w:t>十、其他重要事项的情况说明</w:t>
      </w:r>
      <w:r>
        <w:rPr>
          <w:rFonts w:hint="eastAsia"/>
          <w:sz w:val="28"/>
          <w:szCs w:val="28"/>
        </w:rPr>
        <w:tab/>
      </w:r>
      <w:r>
        <w:rPr>
          <w:sz w:val="28"/>
          <w:szCs w:val="28"/>
        </w:rPr>
        <w:t>1</w:t>
      </w:r>
      <w:r>
        <w:rPr>
          <w:rFonts w:hint="eastAsia"/>
          <w:sz w:val="28"/>
          <w:szCs w:val="28"/>
        </w:rPr>
        <w:t>1</w:t>
      </w:r>
    </w:p>
    <w:p w14:paraId="6B81FE24">
      <w:pPr>
        <w:pStyle w:val="13"/>
        <w:adjustRightInd w:val="0"/>
        <w:snapToGrid w:val="0"/>
        <w:spacing w:before="0" w:line="440" w:lineRule="exact"/>
        <w:jc w:val="left"/>
        <w:rPr>
          <w:rFonts w:hint="eastAsia" w:ascii="Times New Roman" w:hAnsi="Times New Roman" w:eastAsia="宋体"/>
          <w:sz w:val="28"/>
          <w:szCs w:val="28"/>
          <w:lang w:eastAsia="zh-CN"/>
        </w:rPr>
      </w:pPr>
      <w:r>
        <w:rPr>
          <w:rFonts w:hint="eastAsia" w:ascii="Times New Roman" w:hAnsi="Times New Roman" w:eastAsia="宋体"/>
          <w:sz w:val="28"/>
          <w:szCs w:val="28"/>
        </w:rPr>
        <w:t>第三部分  名词解释</w:t>
      </w:r>
      <w:r>
        <w:rPr>
          <w:rFonts w:ascii="Times New Roman" w:hAnsi="Times New Roman" w:eastAsia="宋体"/>
          <w:sz w:val="28"/>
          <w:szCs w:val="28"/>
        </w:rPr>
        <w:tab/>
      </w:r>
      <w:r>
        <w:rPr>
          <w:rFonts w:ascii="Times New Roman" w:hAnsi="Times New Roman" w:eastAsia="宋体"/>
          <w:sz w:val="28"/>
          <w:szCs w:val="28"/>
        </w:rPr>
        <w:t>1</w:t>
      </w:r>
      <w:r>
        <w:rPr>
          <w:rFonts w:hint="eastAsia" w:ascii="Times New Roman" w:hAnsi="Times New Roman" w:eastAsia="宋体"/>
          <w:sz w:val="28"/>
          <w:szCs w:val="28"/>
          <w:lang w:val="en-US" w:eastAsia="zh-CN"/>
        </w:rPr>
        <w:t>5</w:t>
      </w:r>
    </w:p>
    <w:p w14:paraId="151D385A">
      <w:pPr>
        <w:pStyle w:val="13"/>
        <w:adjustRightInd w:val="0"/>
        <w:snapToGrid w:val="0"/>
        <w:spacing w:before="0" w:line="440" w:lineRule="exact"/>
        <w:jc w:val="left"/>
        <w:rPr>
          <w:rFonts w:hint="eastAsia" w:ascii="Times New Roman" w:hAnsi="Times New Roman" w:eastAsia="宋体"/>
          <w:sz w:val="28"/>
          <w:szCs w:val="28"/>
          <w:lang w:eastAsia="zh-CN"/>
        </w:rPr>
      </w:pPr>
      <w:r>
        <w:rPr>
          <w:rFonts w:hint="eastAsia" w:ascii="Times New Roman" w:hAnsi="Times New Roman" w:eastAsia="宋体"/>
          <w:sz w:val="28"/>
          <w:szCs w:val="28"/>
        </w:rPr>
        <w:t>第四部分  附件</w:t>
      </w:r>
      <w:r>
        <w:rPr>
          <w:rFonts w:ascii="Times New Roman" w:hAnsi="Times New Roman" w:eastAsia="宋体"/>
          <w:sz w:val="28"/>
          <w:szCs w:val="28"/>
        </w:rPr>
        <w:tab/>
      </w:r>
      <w:r>
        <w:rPr>
          <w:rFonts w:ascii="Times New Roman" w:hAnsi="Times New Roman" w:eastAsia="宋体"/>
          <w:sz w:val="28"/>
          <w:szCs w:val="28"/>
        </w:rPr>
        <w:t>1</w:t>
      </w:r>
      <w:r>
        <w:rPr>
          <w:rFonts w:hint="eastAsia" w:ascii="Times New Roman" w:hAnsi="Times New Roman" w:eastAsia="宋体"/>
          <w:sz w:val="28"/>
          <w:szCs w:val="28"/>
          <w:lang w:val="en-US" w:eastAsia="zh-CN"/>
        </w:rPr>
        <w:t>7</w:t>
      </w:r>
    </w:p>
    <w:p w14:paraId="1895A49C">
      <w:pPr>
        <w:pStyle w:val="13"/>
        <w:adjustRightInd w:val="0"/>
        <w:snapToGrid w:val="0"/>
        <w:spacing w:before="0" w:line="440" w:lineRule="exact"/>
        <w:jc w:val="left"/>
        <w:rPr>
          <w:rFonts w:hint="eastAsia" w:ascii="Times New Roman" w:hAnsi="Times New Roman" w:eastAsia="宋体"/>
          <w:sz w:val="28"/>
          <w:szCs w:val="28"/>
          <w:lang w:eastAsia="zh-CN"/>
        </w:rPr>
      </w:pPr>
      <w:r>
        <w:rPr>
          <w:rFonts w:hint="eastAsia"/>
          <w:sz w:val="28"/>
          <w:szCs w:val="28"/>
          <w:lang w:val="en-US" w:eastAsia="zh-CN"/>
        </w:rPr>
        <w:t xml:space="preserve">          </w:t>
      </w:r>
      <w:r>
        <w:rPr>
          <w:rFonts w:hint="eastAsia" w:ascii="Times New Roman" w:hAnsi="Times New Roman" w:eastAsia="宋体"/>
          <w:sz w:val="28"/>
          <w:szCs w:val="28"/>
        </w:rPr>
        <w:t>附件</w:t>
      </w:r>
      <w:r>
        <w:rPr>
          <w:rFonts w:hint="eastAsia" w:ascii="Times New Roman" w:hAnsi="Times New Roman" w:eastAsia="宋体"/>
          <w:sz w:val="28"/>
          <w:szCs w:val="28"/>
          <w:lang w:val="en-US" w:eastAsia="zh-CN"/>
        </w:rPr>
        <w:t>1</w:t>
      </w:r>
      <w:r>
        <w:rPr>
          <w:rFonts w:ascii="Times New Roman" w:hAnsi="Times New Roman" w:eastAsia="宋体"/>
          <w:sz w:val="28"/>
          <w:szCs w:val="28"/>
        </w:rPr>
        <w:tab/>
      </w:r>
      <w:r>
        <w:rPr>
          <w:rFonts w:ascii="Times New Roman" w:hAnsi="Times New Roman" w:eastAsia="宋体"/>
          <w:sz w:val="28"/>
          <w:szCs w:val="28"/>
        </w:rPr>
        <w:t>1</w:t>
      </w:r>
      <w:r>
        <w:rPr>
          <w:rFonts w:hint="eastAsia" w:ascii="Times New Roman" w:hAnsi="Times New Roman" w:eastAsia="宋体"/>
          <w:sz w:val="28"/>
          <w:szCs w:val="28"/>
          <w:lang w:val="en-US" w:eastAsia="zh-CN"/>
        </w:rPr>
        <w:t>7</w:t>
      </w:r>
    </w:p>
    <w:p w14:paraId="57D2B88B">
      <w:pPr>
        <w:pStyle w:val="13"/>
        <w:adjustRightInd w:val="0"/>
        <w:snapToGrid w:val="0"/>
        <w:spacing w:before="0" w:line="440" w:lineRule="exact"/>
        <w:jc w:val="left"/>
        <w:rPr>
          <w:rFonts w:hint="default" w:ascii="Times New Roman" w:hAnsi="Times New Roman" w:eastAsia="宋体"/>
          <w:sz w:val="28"/>
          <w:szCs w:val="28"/>
          <w:lang w:val="en-US" w:eastAsia="zh-CN"/>
        </w:rPr>
      </w:pPr>
      <w:r>
        <w:rPr>
          <w:rFonts w:hint="eastAsia"/>
          <w:sz w:val="28"/>
          <w:szCs w:val="28"/>
          <w:lang w:val="en-US" w:eastAsia="zh-CN"/>
        </w:rPr>
        <w:t xml:space="preserve">          </w:t>
      </w:r>
      <w:r>
        <w:rPr>
          <w:rFonts w:hint="eastAsia" w:ascii="Times New Roman" w:hAnsi="Times New Roman" w:eastAsia="宋体"/>
          <w:sz w:val="28"/>
          <w:szCs w:val="28"/>
        </w:rPr>
        <w:t>附件</w:t>
      </w:r>
      <w:r>
        <w:rPr>
          <w:rFonts w:hint="eastAsia" w:ascii="Times New Roman" w:hAnsi="Times New Roman" w:eastAsia="宋体"/>
          <w:sz w:val="28"/>
          <w:szCs w:val="28"/>
          <w:lang w:val="en-US" w:eastAsia="zh-CN"/>
        </w:rPr>
        <w:t>2</w:t>
      </w:r>
      <w:r>
        <w:rPr>
          <w:rFonts w:ascii="Times New Roman" w:hAnsi="Times New Roman" w:eastAsia="宋体"/>
          <w:sz w:val="28"/>
          <w:szCs w:val="28"/>
        </w:rPr>
        <w:tab/>
      </w:r>
      <w:r>
        <w:rPr>
          <w:rFonts w:hint="eastAsia" w:ascii="Times New Roman" w:hAnsi="Times New Roman" w:eastAsia="宋体"/>
          <w:sz w:val="28"/>
          <w:szCs w:val="28"/>
          <w:lang w:val="en-US" w:eastAsia="zh-CN"/>
        </w:rPr>
        <w:t>20</w:t>
      </w:r>
    </w:p>
    <w:p w14:paraId="7F9ACFE5">
      <w:pPr>
        <w:pStyle w:val="13"/>
        <w:adjustRightInd w:val="0"/>
        <w:snapToGrid w:val="0"/>
        <w:spacing w:before="0" w:line="440" w:lineRule="exact"/>
        <w:jc w:val="left"/>
        <w:rPr>
          <w:rFonts w:hint="eastAsia" w:ascii="Times New Roman" w:hAnsi="Times New Roman" w:eastAsia="宋体"/>
          <w:sz w:val="28"/>
          <w:szCs w:val="28"/>
          <w:lang w:eastAsia="zh-CN"/>
        </w:rPr>
      </w:pPr>
      <w:r>
        <w:rPr>
          <w:rFonts w:hint="eastAsia" w:ascii="Times New Roman" w:hAnsi="Times New Roman" w:eastAsia="宋体"/>
          <w:sz w:val="28"/>
          <w:szCs w:val="28"/>
        </w:rPr>
        <w:t>第五部分  附表</w:t>
      </w:r>
      <w:r>
        <w:rPr>
          <w:rFonts w:ascii="Times New Roman" w:hAnsi="Times New Roman" w:eastAsia="宋体"/>
          <w:sz w:val="28"/>
          <w:szCs w:val="28"/>
        </w:rPr>
        <w:tab/>
      </w:r>
      <w:r>
        <w:rPr>
          <w:rFonts w:hint="eastAsia" w:ascii="Times New Roman" w:hAnsi="Times New Roman" w:eastAsia="宋体"/>
          <w:sz w:val="28"/>
          <w:szCs w:val="28"/>
        </w:rPr>
        <w:t>2</w:t>
      </w:r>
      <w:r>
        <w:rPr>
          <w:rFonts w:hint="eastAsia" w:ascii="Times New Roman" w:hAnsi="Times New Roman" w:eastAsia="宋体"/>
          <w:sz w:val="28"/>
          <w:szCs w:val="28"/>
          <w:lang w:val="en-US" w:eastAsia="zh-CN"/>
        </w:rPr>
        <w:t>3</w:t>
      </w:r>
    </w:p>
    <w:p w14:paraId="5AA7A015">
      <w:pPr>
        <w:pStyle w:val="15"/>
        <w:adjustRightInd w:val="0"/>
        <w:snapToGrid w:val="0"/>
        <w:spacing w:line="440" w:lineRule="exact"/>
        <w:jc w:val="left"/>
        <w:rPr>
          <w:rFonts w:hint="eastAsia" w:eastAsia="宋体"/>
          <w:sz w:val="28"/>
          <w:szCs w:val="28"/>
          <w:lang w:eastAsia="zh-CN"/>
        </w:rPr>
      </w:pPr>
      <w:r>
        <w:rPr>
          <w:rFonts w:hint="eastAsia"/>
          <w:sz w:val="28"/>
          <w:szCs w:val="28"/>
        </w:rPr>
        <w:t>一、收入支出决算总表</w:t>
      </w:r>
      <w:r>
        <w:rPr>
          <w:sz w:val="28"/>
          <w:szCs w:val="28"/>
        </w:rPr>
        <w:tab/>
      </w:r>
      <w:r>
        <w:rPr>
          <w:rFonts w:hint="eastAsia"/>
          <w:sz w:val="28"/>
          <w:szCs w:val="28"/>
        </w:rPr>
        <w:t>2</w:t>
      </w:r>
      <w:r>
        <w:rPr>
          <w:rFonts w:hint="eastAsia"/>
          <w:sz w:val="28"/>
          <w:szCs w:val="28"/>
          <w:lang w:val="en-US" w:eastAsia="zh-CN"/>
        </w:rPr>
        <w:t>3</w:t>
      </w:r>
    </w:p>
    <w:p w14:paraId="65D2442E">
      <w:pPr>
        <w:pStyle w:val="15"/>
        <w:adjustRightInd w:val="0"/>
        <w:snapToGrid w:val="0"/>
        <w:spacing w:line="440" w:lineRule="exact"/>
        <w:jc w:val="left"/>
        <w:rPr>
          <w:rFonts w:hint="eastAsia" w:eastAsia="宋体"/>
          <w:sz w:val="28"/>
          <w:szCs w:val="28"/>
          <w:lang w:eastAsia="zh-CN"/>
        </w:rPr>
      </w:pPr>
      <w:r>
        <w:rPr>
          <w:rFonts w:hint="eastAsia"/>
          <w:sz w:val="28"/>
          <w:szCs w:val="28"/>
        </w:rPr>
        <w:t>二、收入决算表</w:t>
      </w:r>
      <w:r>
        <w:rPr>
          <w:sz w:val="28"/>
          <w:szCs w:val="28"/>
        </w:rPr>
        <w:tab/>
      </w:r>
      <w:r>
        <w:rPr>
          <w:rFonts w:hint="eastAsia"/>
          <w:sz w:val="28"/>
          <w:szCs w:val="28"/>
        </w:rPr>
        <w:t>2</w:t>
      </w:r>
      <w:r>
        <w:rPr>
          <w:rFonts w:hint="eastAsia"/>
          <w:sz w:val="28"/>
          <w:szCs w:val="28"/>
          <w:lang w:val="en-US" w:eastAsia="zh-CN"/>
        </w:rPr>
        <w:t>3</w:t>
      </w:r>
    </w:p>
    <w:p w14:paraId="4CDAC79D">
      <w:pPr>
        <w:pStyle w:val="15"/>
        <w:adjustRightInd w:val="0"/>
        <w:snapToGrid w:val="0"/>
        <w:spacing w:line="440" w:lineRule="exact"/>
        <w:jc w:val="left"/>
        <w:rPr>
          <w:rFonts w:hint="eastAsia" w:eastAsia="宋体"/>
          <w:sz w:val="28"/>
          <w:szCs w:val="28"/>
          <w:lang w:eastAsia="zh-CN"/>
        </w:rPr>
      </w:pPr>
      <w:r>
        <w:rPr>
          <w:rFonts w:hint="eastAsia"/>
          <w:sz w:val="28"/>
          <w:szCs w:val="28"/>
        </w:rPr>
        <w:t>三、支出决算表</w:t>
      </w:r>
      <w:r>
        <w:rPr>
          <w:sz w:val="28"/>
          <w:szCs w:val="28"/>
        </w:rPr>
        <w:tab/>
      </w:r>
      <w:r>
        <w:rPr>
          <w:rFonts w:hint="eastAsia"/>
          <w:sz w:val="28"/>
          <w:szCs w:val="28"/>
        </w:rPr>
        <w:t>2</w:t>
      </w:r>
      <w:r>
        <w:rPr>
          <w:rFonts w:hint="eastAsia"/>
          <w:sz w:val="28"/>
          <w:szCs w:val="28"/>
          <w:lang w:val="en-US" w:eastAsia="zh-CN"/>
        </w:rPr>
        <w:t>3</w:t>
      </w:r>
    </w:p>
    <w:p w14:paraId="3FBB7F28">
      <w:pPr>
        <w:pStyle w:val="15"/>
        <w:adjustRightInd w:val="0"/>
        <w:snapToGrid w:val="0"/>
        <w:spacing w:line="440" w:lineRule="exact"/>
        <w:jc w:val="left"/>
        <w:rPr>
          <w:rFonts w:hint="default" w:eastAsia="宋体"/>
          <w:sz w:val="28"/>
          <w:szCs w:val="28"/>
          <w:lang w:val="en-US" w:eastAsia="zh-CN"/>
        </w:rPr>
      </w:pPr>
      <w:r>
        <w:rPr>
          <w:rFonts w:hint="eastAsia"/>
          <w:sz w:val="28"/>
          <w:szCs w:val="28"/>
        </w:rPr>
        <w:t>四、财政拨款收入支出决算总表</w:t>
      </w:r>
      <w:r>
        <w:rPr>
          <w:sz w:val="28"/>
          <w:szCs w:val="28"/>
        </w:rPr>
        <w:tab/>
      </w:r>
      <w:r>
        <w:rPr>
          <w:rFonts w:hint="eastAsia"/>
          <w:sz w:val="28"/>
          <w:szCs w:val="28"/>
        </w:rPr>
        <w:t>2</w:t>
      </w:r>
      <w:r>
        <w:rPr>
          <w:rFonts w:hint="eastAsia"/>
          <w:sz w:val="28"/>
          <w:szCs w:val="28"/>
          <w:lang w:val="en-US" w:eastAsia="zh-CN"/>
        </w:rPr>
        <w:t>3</w:t>
      </w:r>
    </w:p>
    <w:p w14:paraId="63C56B3B">
      <w:pPr>
        <w:pStyle w:val="15"/>
        <w:adjustRightInd w:val="0"/>
        <w:snapToGrid w:val="0"/>
        <w:spacing w:line="440" w:lineRule="exact"/>
        <w:jc w:val="left"/>
        <w:rPr>
          <w:rFonts w:hint="eastAsia" w:eastAsia="宋体"/>
          <w:sz w:val="28"/>
          <w:szCs w:val="28"/>
          <w:lang w:eastAsia="zh-CN"/>
        </w:rPr>
      </w:pPr>
      <w:r>
        <w:rPr>
          <w:rFonts w:hint="eastAsia"/>
          <w:sz w:val="28"/>
          <w:szCs w:val="28"/>
        </w:rPr>
        <w:t>五、财政拨款支出决算明细表</w:t>
      </w:r>
      <w:r>
        <w:rPr>
          <w:sz w:val="28"/>
          <w:szCs w:val="28"/>
        </w:rPr>
        <w:tab/>
      </w:r>
      <w:r>
        <w:rPr>
          <w:rFonts w:hint="eastAsia"/>
          <w:sz w:val="28"/>
          <w:szCs w:val="28"/>
        </w:rPr>
        <w:t>2</w:t>
      </w:r>
      <w:r>
        <w:rPr>
          <w:rFonts w:hint="eastAsia"/>
          <w:sz w:val="28"/>
          <w:szCs w:val="28"/>
          <w:lang w:val="en-US" w:eastAsia="zh-CN"/>
        </w:rPr>
        <w:t>3</w:t>
      </w:r>
    </w:p>
    <w:p w14:paraId="45FB35A8">
      <w:pPr>
        <w:pStyle w:val="15"/>
        <w:adjustRightInd w:val="0"/>
        <w:snapToGrid w:val="0"/>
        <w:spacing w:line="440" w:lineRule="exact"/>
        <w:jc w:val="left"/>
        <w:rPr>
          <w:rFonts w:hint="eastAsia" w:eastAsia="宋体"/>
          <w:sz w:val="28"/>
          <w:szCs w:val="28"/>
          <w:lang w:eastAsia="zh-CN"/>
        </w:rPr>
      </w:pPr>
      <w:r>
        <w:rPr>
          <w:rFonts w:hint="eastAsia"/>
          <w:sz w:val="28"/>
          <w:szCs w:val="28"/>
        </w:rPr>
        <w:t>六、一般公共预算财政拨款支出决算表</w:t>
      </w:r>
      <w:r>
        <w:rPr>
          <w:sz w:val="28"/>
          <w:szCs w:val="28"/>
        </w:rPr>
        <w:tab/>
      </w:r>
      <w:r>
        <w:rPr>
          <w:rFonts w:hint="eastAsia"/>
          <w:sz w:val="28"/>
          <w:szCs w:val="28"/>
        </w:rPr>
        <w:t>2</w:t>
      </w:r>
      <w:r>
        <w:rPr>
          <w:rFonts w:hint="eastAsia"/>
          <w:sz w:val="28"/>
          <w:szCs w:val="28"/>
          <w:lang w:val="en-US" w:eastAsia="zh-CN"/>
        </w:rPr>
        <w:t>3</w:t>
      </w:r>
    </w:p>
    <w:p w14:paraId="793AA63A">
      <w:pPr>
        <w:pStyle w:val="15"/>
        <w:adjustRightInd w:val="0"/>
        <w:snapToGrid w:val="0"/>
        <w:spacing w:line="440" w:lineRule="exact"/>
        <w:jc w:val="left"/>
        <w:rPr>
          <w:rFonts w:hint="eastAsia" w:eastAsia="宋体"/>
          <w:sz w:val="28"/>
          <w:szCs w:val="28"/>
          <w:lang w:eastAsia="zh-CN"/>
        </w:rPr>
      </w:pPr>
      <w:r>
        <w:rPr>
          <w:rFonts w:hint="eastAsia"/>
          <w:sz w:val="28"/>
          <w:szCs w:val="28"/>
        </w:rPr>
        <w:t>七、一般公共预算财政拨款支出决算明细表</w:t>
      </w:r>
      <w:r>
        <w:rPr>
          <w:sz w:val="28"/>
          <w:szCs w:val="28"/>
        </w:rPr>
        <w:tab/>
      </w:r>
      <w:r>
        <w:rPr>
          <w:rFonts w:hint="eastAsia"/>
          <w:sz w:val="28"/>
          <w:szCs w:val="28"/>
        </w:rPr>
        <w:t>2</w:t>
      </w:r>
      <w:r>
        <w:rPr>
          <w:rFonts w:hint="eastAsia"/>
          <w:sz w:val="28"/>
          <w:szCs w:val="28"/>
          <w:lang w:val="en-US" w:eastAsia="zh-CN"/>
        </w:rPr>
        <w:t>3</w:t>
      </w:r>
    </w:p>
    <w:p w14:paraId="10F8ED2A">
      <w:pPr>
        <w:pStyle w:val="15"/>
        <w:adjustRightInd w:val="0"/>
        <w:snapToGrid w:val="0"/>
        <w:spacing w:line="440" w:lineRule="exact"/>
        <w:jc w:val="left"/>
        <w:rPr>
          <w:rFonts w:hint="eastAsia" w:eastAsia="宋体"/>
          <w:sz w:val="28"/>
          <w:szCs w:val="28"/>
          <w:lang w:eastAsia="zh-CN"/>
        </w:rPr>
      </w:pPr>
      <w:r>
        <w:rPr>
          <w:rFonts w:hint="eastAsia"/>
          <w:sz w:val="28"/>
          <w:szCs w:val="28"/>
        </w:rPr>
        <w:t>八、一般公共预算财政拨款基本支出决算表</w:t>
      </w:r>
      <w:r>
        <w:rPr>
          <w:sz w:val="28"/>
          <w:szCs w:val="28"/>
        </w:rPr>
        <w:tab/>
      </w:r>
      <w:r>
        <w:rPr>
          <w:rFonts w:hint="eastAsia"/>
          <w:sz w:val="28"/>
          <w:szCs w:val="28"/>
        </w:rPr>
        <w:t>2</w:t>
      </w:r>
      <w:r>
        <w:rPr>
          <w:rFonts w:hint="eastAsia"/>
          <w:sz w:val="28"/>
          <w:szCs w:val="28"/>
          <w:lang w:val="en-US" w:eastAsia="zh-CN"/>
        </w:rPr>
        <w:t>3</w:t>
      </w:r>
    </w:p>
    <w:p w14:paraId="3635167F">
      <w:pPr>
        <w:pStyle w:val="15"/>
        <w:adjustRightInd w:val="0"/>
        <w:snapToGrid w:val="0"/>
        <w:spacing w:line="440" w:lineRule="exact"/>
        <w:jc w:val="left"/>
        <w:rPr>
          <w:rFonts w:hint="eastAsia" w:eastAsia="宋体"/>
          <w:sz w:val="28"/>
          <w:szCs w:val="28"/>
          <w:lang w:eastAsia="zh-CN"/>
        </w:rPr>
      </w:pPr>
      <w:r>
        <w:rPr>
          <w:rFonts w:hint="eastAsia"/>
          <w:sz w:val="28"/>
          <w:szCs w:val="28"/>
        </w:rPr>
        <w:t>九、一般公共预算财政拨款项目支出决算表</w:t>
      </w:r>
      <w:r>
        <w:rPr>
          <w:sz w:val="28"/>
          <w:szCs w:val="28"/>
        </w:rPr>
        <w:tab/>
      </w:r>
      <w:r>
        <w:rPr>
          <w:rFonts w:hint="eastAsia"/>
          <w:sz w:val="28"/>
          <w:szCs w:val="28"/>
        </w:rPr>
        <w:t>2</w:t>
      </w:r>
      <w:r>
        <w:rPr>
          <w:rFonts w:hint="eastAsia"/>
          <w:sz w:val="28"/>
          <w:szCs w:val="28"/>
          <w:lang w:val="en-US" w:eastAsia="zh-CN"/>
        </w:rPr>
        <w:t>3</w:t>
      </w:r>
    </w:p>
    <w:p w14:paraId="6EAE14AF">
      <w:pPr>
        <w:pStyle w:val="15"/>
        <w:adjustRightInd w:val="0"/>
        <w:snapToGrid w:val="0"/>
        <w:spacing w:line="440" w:lineRule="exact"/>
        <w:jc w:val="left"/>
        <w:rPr>
          <w:rFonts w:hint="eastAsia" w:eastAsia="宋体"/>
          <w:sz w:val="28"/>
          <w:szCs w:val="28"/>
          <w:lang w:eastAsia="zh-CN"/>
        </w:rPr>
      </w:pPr>
      <w:r>
        <w:rPr>
          <w:rFonts w:hint="eastAsia"/>
          <w:sz w:val="28"/>
          <w:szCs w:val="28"/>
        </w:rPr>
        <w:t>十、一般公共预算财政拨款“三公”经费支出决算表</w:t>
      </w:r>
      <w:r>
        <w:rPr>
          <w:sz w:val="28"/>
          <w:szCs w:val="28"/>
        </w:rPr>
        <w:tab/>
      </w:r>
      <w:r>
        <w:rPr>
          <w:rFonts w:hint="eastAsia"/>
          <w:sz w:val="28"/>
          <w:szCs w:val="28"/>
        </w:rPr>
        <w:t>2</w:t>
      </w:r>
      <w:r>
        <w:rPr>
          <w:rFonts w:hint="eastAsia"/>
          <w:sz w:val="28"/>
          <w:szCs w:val="28"/>
          <w:lang w:val="en-US" w:eastAsia="zh-CN"/>
        </w:rPr>
        <w:t>3</w:t>
      </w:r>
    </w:p>
    <w:p w14:paraId="34713084">
      <w:pPr>
        <w:pStyle w:val="15"/>
        <w:adjustRightInd w:val="0"/>
        <w:snapToGrid w:val="0"/>
        <w:spacing w:line="440" w:lineRule="exact"/>
        <w:jc w:val="left"/>
        <w:rPr>
          <w:rFonts w:hint="eastAsia" w:eastAsia="宋体"/>
          <w:sz w:val="28"/>
          <w:szCs w:val="28"/>
          <w:lang w:eastAsia="zh-CN"/>
        </w:rPr>
      </w:pPr>
      <w:r>
        <w:rPr>
          <w:rFonts w:hint="eastAsia"/>
          <w:sz w:val="28"/>
          <w:szCs w:val="28"/>
        </w:rPr>
        <w:t>十一、政府性基金预算财政拨款收入支出决算表</w:t>
      </w:r>
      <w:r>
        <w:rPr>
          <w:sz w:val="28"/>
          <w:szCs w:val="28"/>
        </w:rPr>
        <w:tab/>
      </w:r>
      <w:r>
        <w:rPr>
          <w:rFonts w:hint="eastAsia"/>
          <w:sz w:val="28"/>
          <w:szCs w:val="28"/>
        </w:rPr>
        <w:t>2</w:t>
      </w:r>
      <w:r>
        <w:rPr>
          <w:rFonts w:hint="eastAsia"/>
          <w:sz w:val="28"/>
          <w:szCs w:val="28"/>
          <w:lang w:val="en-US" w:eastAsia="zh-CN"/>
        </w:rPr>
        <w:t>3</w:t>
      </w:r>
    </w:p>
    <w:p w14:paraId="6B678526">
      <w:pPr>
        <w:pStyle w:val="15"/>
        <w:adjustRightInd w:val="0"/>
        <w:snapToGrid w:val="0"/>
        <w:spacing w:line="440" w:lineRule="exact"/>
        <w:jc w:val="left"/>
        <w:rPr>
          <w:rFonts w:hint="eastAsia" w:eastAsia="宋体"/>
          <w:sz w:val="28"/>
          <w:szCs w:val="28"/>
          <w:lang w:eastAsia="zh-CN"/>
        </w:rPr>
      </w:pPr>
      <w:r>
        <w:rPr>
          <w:rFonts w:hint="eastAsia"/>
          <w:sz w:val="28"/>
          <w:szCs w:val="28"/>
        </w:rPr>
        <w:t>十二、政府性基金预算财政拨款“三公”经费支出决算表</w:t>
      </w:r>
      <w:r>
        <w:rPr>
          <w:sz w:val="28"/>
          <w:szCs w:val="28"/>
        </w:rPr>
        <w:tab/>
      </w:r>
      <w:r>
        <w:rPr>
          <w:rFonts w:hint="eastAsia"/>
          <w:sz w:val="28"/>
          <w:szCs w:val="28"/>
        </w:rPr>
        <w:t>2</w:t>
      </w:r>
      <w:r>
        <w:rPr>
          <w:rFonts w:hint="eastAsia"/>
          <w:sz w:val="28"/>
          <w:szCs w:val="28"/>
          <w:lang w:val="en-US" w:eastAsia="zh-CN"/>
        </w:rPr>
        <w:t>3</w:t>
      </w:r>
    </w:p>
    <w:p w14:paraId="004E9814">
      <w:pPr>
        <w:pStyle w:val="15"/>
        <w:adjustRightInd w:val="0"/>
        <w:snapToGrid w:val="0"/>
        <w:spacing w:line="440" w:lineRule="exact"/>
        <w:jc w:val="left"/>
        <w:rPr>
          <w:rFonts w:hint="eastAsia" w:eastAsia="宋体"/>
          <w:sz w:val="28"/>
          <w:szCs w:val="28"/>
          <w:lang w:eastAsia="zh-CN"/>
        </w:rPr>
      </w:pPr>
      <w:r>
        <w:rPr>
          <w:rFonts w:hint="eastAsia"/>
          <w:sz w:val="28"/>
          <w:szCs w:val="28"/>
        </w:rPr>
        <w:t>十三、国有资本经营预算财政拨款收入支出决算表</w:t>
      </w:r>
      <w:r>
        <w:rPr>
          <w:sz w:val="28"/>
          <w:szCs w:val="28"/>
        </w:rPr>
        <w:tab/>
      </w:r>
      <w:r>
        <w:rPr>
          <w:rFonts w:hint="eastAsia"/>
          <w:sz w:val="28"/>
          <w:szCs w:val="28"/>
        </w:rPr>
        <w:t>2</w:t>
      </w:r>
      <w:r>
        <w:rPr>
          <w:rFonts w:hint="eastAsia"/>
          <w:sz w:val="28"/>
          <w:szCs w:val="28"/>
          <w:lang w:val="en-US" w:eastAsia="zh-CN"/>
        </w:rPr>
        <w:t>3</w:t>
      </w:r>
    </w:p>
    <w:p w14:paraId="29E6F690">
      <w:pPr>
        <w:pStyle w:val="15"/>
        <w:adjustRightInd w:val="0"/>
        <w:snapToGrid w:val="0"/>
        <w:spacing w:line="440" w:lineRule="exact"/>
        <w:jc w:val="left"/>
        <w:rPr>
          <w:rFonts w:hint="eastAsia" w:eastAsia="宋体"/>
          <w:sz w:val="28"/>
          <w:szCs w:val="28"/>
          <w:lang w:eastAsia="zh-CN"/>
        </w:rPr>
      </w:pPr>
      <w:r>
        <w:rPr>
          <w:rFonts w:hint="eastAsia"/>
          <w:sz w:val="28"/>
          <w:szCs w:val="28"/>
        </w:rPr>
        <w:t>十四、国有资本经营预算财政拨款支出决算表</w:t>
      </w:r>
      <w:r>
        <w:rPr>
          <w:sz w:val="28"/>
          <w:szCs w:val="28"/>
        </w:rPr>
        <w:tab/>
      </w:r>
      <w:r>
        <w:rPr>
          <w:rFonts w:hint="eastAsia"/>
          <w:sz w:val="28"/>
          <w:szCs w:val="28"/>
        </w:rPr>
        <w:t>2</w:t>
      </w:r>
      <w:r>
        <w:rPr>
          <w:rFonts w:hint="eastAsia"/>
          <w:sz w:val="28"/>
          <w:szCs w:val="28"/>
          <w:lang w:val="en-US" w:eastAsia="zh-CN"/>
        </w:rPr>
        <w:t>3</w:t>
      </w:r>
    </w:p>
    <w:p w14:paraId="18A8D733">
      <w:pPr>
        <w:widowControl/>
        <w:spacing w:line="440" w:lineRule="exact"/>
        <w:jc w:val="left"/>
        <w:rPr>
          <w:rFonts w:hint="eastAsia"/>
          <w:sz w:val="32"/>
          <w:szCs w:val="32"/>
        </w:rPr>
      </w:pPr>
    </w:p>
    <w:p w14:paraId="4110C2D8">
      <w:pPr>
        <w:pStyle w:val="4"/>
        <w:rPr>
          <w:rFonts w:hint="eastAsia"/>
        </w:rPr>
      </w:pPr>
    </w:p>
    <w:p w14:paraId="0050DC6A">
      <w:pPr>
        <w:rPr>
          <w:rFonts w:hint="eastAsia"/>
        </w:rPr>
      </w:pPr>
    </w:p>
    <w:p w14:paraId="12AF6327">
      <w:pPr>
        <w:pStyle w:val="4"/>
        <w:rPr>
          <w:rFonts w:hint="eastAsia"/>
        </w:rPr>
      </w:pPr>
    </w:p>
    <w:p w14:paraId="443D422B">
      <w:pPr>
        <w:rPr>
          <w:rFonts w:hint="eastAsia"/>
        </w:rPr>
      </w:pPr>
    </w:p>
    <w:p w14:paraId="25FD53AA">
      <w:pPr>
        <w:pStyle w:val="4"/>
        <w:rPr>
          <w:rFonts w:hint="eastAsia"/>
        </w:rPr>
      </w:pPr>
    </w:p>
    <w:p w14:paraId="48FA915F">
      <w:pPr>
        <w:rPr>
          <w:rFonts w:hint="eastAsia"/>
        </w:rPr>
      </w:pPr>
    </w:p>
    <w:p w14:paraId="7A1926BA">
      <w:pPr>
        <w:pStyle w:val="4"/>
        <w:rPr>
          <w:rFonts w:hint="eastAsia"/>
        </w:rPr>
      </w:pPr>
    </w:p>
    <w:p w14:paraId="107C652C">
      <w:pPr>
        <w:rPr>
          <w:rFonts w:hint="eastAsia"/>
        </w:rPr>
      </w:pPr>
    </w:p>
    <w:p w14:paraId="05A8A763">
      <w:pPr>
        <w:pStyle w:val="4"/>
        <w:rPr>
          <w:rFonts w:hint="eastAsia"/>
        </w:rPr>
      </w:pPr>
    </w:p>
    <w:p w14:paraId="07F6B7CA">
      <w:pPr>
        <w:rPr>
          <w:rFonts w:hint="eastAsia"/>
        </w:rPr>
      </w:pPr>
    </w:p>
    <w:p w14:paraId="7EEA23EE">
      <w:pPr>
        <w:pStyle w:val="4"/>
        <w:rPr>
          <w:rFonts w:hint="eastAsia"/>
        </w:rPr>
      </w:pPr>
    </w:p>
    <w:p w14:paraId="72C97CBE">
      <w:pPr>
        <w:rPr>
          <w:rFonts w:hint="eastAsia"/>
        </w:rPr>
      </w:pPr>
    </w:p>
    <w:p w14:paraId="556D77C8">
      <w:pPr>
        <w:wordWrap/>
        <w:snapToGrid/>
        <w:spacing w:before="0" w:beforeLines="0" w:after="0" w:afterLines="0" w:line="240" w:lineRule="auto"/>
        <w:ind w:left="0" w:leftChars="0" w:right="0" w:firstLine="0" w:firstLineChars="0"/>
        <w:jc w:val="left"/>
      </w:pPr>
    </w:p>
    <w:p w14:paraId="4ABD33E8">
      <w:pPr>
        <w:widowControl/>
        <w:wordWrap/>
        <w:snapToGrid/>
        <w:spacing w:line="240" w:lineRule="auto"/>
        <w:ind w:left="0" w:leftChars="0" w:right="0" w:firstLine="0" w:firstLineChars="0"/>
        <w:jc w:val="left"/>
        <w:rPr>
          <w:rFonts w:ascii="仿宋" w:hAnsi="仿宋" w:eastAsia="仿宋"/>
          <w:bCs/>
          <w:kern w:val="44"/>
          <w:sz w:val="24"/>
        </w:rPr>
      </w:pPr>
      <w:r>
        <w:rPr>
          <w:rFonts w:ascii="仿宋" w:hAnsi="仿宋" w:eastAsia="仿宋"/>
          <w:b/>
          <w:sz w:val="24"/>
        </w:rPr>
        <w:br w:type="page"/>
      </w:r>
    </w:p>
    <w:p w14:paraId="1B2CCFFC">
      <w:pPr>
        <w:pStyle w:val="3"/>
        <w:wordWrap/>
        <w:snapToGrid/>
        <w:spacing w:before="0" w:after="0" w:line="240" w:lineRule="auto"/>
        <w:ind w:left="0" w:leftChars="0" w:right="0" w:firstLine="0" w:firstLineChars="0"/>
        <w:jc w:val="center"/>
        <w:outlineLvl w:val="0"/>
        <w:rPr>
          <w:rStyle w:val="36"/>
          <w:rFonts w:ascii="黑体" w:hAnsi="黑体" w:eastAsia="黑体"/>
          <w:b/>
          <w:bCs w:val="0"/>
        </w:rPr>
      </w:pPr>
      <w:bookmarkStart w:id="14" w:name="_Toc23975"/>
      <w:r>
        <w:rPr>
          <w:rFonts w:hint="eastAsia" w:ascii="黑体" w:hAnsi="黑体" w:eastAsia="黑体"/>
          <w:b w:val="0"/>
        </w:rPr>
        <w:t xml:space="preserve">第一部分 </w:t>
      </w:r>
      <w:r>
        <w:rPr>
          <w:rStyle w:val="36"/>
          <w:rFonts w:hint="eastAsia" w:ascii="黑体" w:hAnsi="黑体" w:eastAsia="黑体"/>
          <w:b w:val="0"/>
          <w:bCs w:val="0"/>
        </w:rPr>
        <w:t>部门概况</w:t>
      </w:r>
      <w:bookmarkEnd w:id="12"/>
      <w:bookmarkEnd w:id="13"/>
      <w:bookmarkEnd w:id="14"/>
    </w:p>
    <w:p w14:paraId="3D7FD62D">
      <w:pPr>
        <w:pStyle w:val="4"/>
        <w:rPr>
          <w:rStyle w:val="44"/>
          <w:rFonts w:ascii="仿宋" w:hAnsi="仿宋" w:eastAsia="仿宋"/>
          <w:b/>
          <w:bCs/>
        </w:rPr>
      </w:pPr>
      <w:bookmarkStart w:id="15" w:name="_Toc15377197"/>
      <w:bookmarkStart w:id="16" w:name="_Toc15396600"/>
      <w:r>
        <w:rPr>
          <w:rFonts w:hint="eastAsia" w:ascii="黑体" w:hAnsi="黑体" w:eastAsia="黑体"/>
          <w:b w:val="0"/>
          <w:color w:val="000000"/>
        </w:rPr>
        <w:t>一、基</w:t>
      </w:r>
      <w:r>
        <w:rPr>
          <w:rStyle w:val="44"/>
          <w:rFonts w:hint="eastAsia" w:ascii="黑体" w:hAnsi="黑体" w:eastAsia="黑体"/>
          <w:b/>
          <w:bCs/>
        </w:rPr>
        <w:t>本职能及主要工作</w:t>
      </w:r>
      <w:bookmarkEnd w:id="15"/>
      <w:bookmarkEnd w:id="16"/>
    </w:p>
    <w:p w14:paraId="71B6958C">
      <w:pPr>
        <w:pStyle w:val="2"/>
        <w:adjustRightInd w:val="0"/>
        <w:spacing w:beforeLines="0" w:line="500" w:lineRule="exact"/>
        <w:ind w:firstLine="643" w:firstLineChars="200"/>
        <w:outlineLvl w:val="2"/>
        <w:rPr>
          <w:rFonts w:ascii="仿宋" w:hAnsi="仿宋" w:eastAsia="仿宋"/>
          <w:b/>
          <w:kern w:val="2"/>
          <w:sz w:val="32"/>
          <w:szCs w:val="32"/>
        </w:rPr>
      </w:pPr>
      <w:bookmarkStart w:id="17" w:name="_Toc15377200"/>
      <w:bookmarkStart w:id="18" w:name="_Toc15396601"/>
      <w:r>
        <w:rPr>
          <w:rFonts w:hint="eastAsia" w:ascii="仿宋" w:hAnsi="仿宋" w:eastAsia="仿宋"/>
          <w:b/>
          <w:kern w:val="2"/>
          <w:sz w:val="32"/>
          <w:szCs w:val="32"/>
        </w:rPr>
        <w:t>（一）基本</w:t>
      </w:r>
      <w:r>
        <w:rPr>
          <w:rFonts w:ascii="仿宋" w:hAnsi="仿宋" w:eastAsia="仿宋"/>
          <w:b/>
          <w:kern w:val="2"/>
          <w:sz w:val="32"/>
          <w:szCs w:val="32"/>
        </w:rPr>
        <w:t>职能</w:t>
      </w:r>
    </w:p>
    <w:p w14:paraId="4FF299C3">
      <w:pPr>
        <w:pStyle w:val="2"/>
        <w:adjustRightInd w:val="0"/>
        <w:spacing w:beforeLines="0" w:line="500" w:lineRule="exact"/>
        <w:ind w:firstLine="640" w:firstLineChars="200"/>
        <w:outlineLvl w:val="2"/>
        <w:rPr>
          <w:rFonts w:ascii="仿宋" w:hAnsi="仿宋" w:eastAsia="仿宋"/>
          <w:kern w:val="2"/>
          <w:sz w:val="32"/>
          <w:szCs w:val="32"/>
        </w:rPr>
      </w:pPr>
      <w:r>
        <w:rPr>
          <w:rFonts w:hint="eastAsia" w:ascii="仿宋" w:hAnsi="仿宋" w:eastAsia="仿宋"/>
          <w:kern w:val="2"/>
          <w:sz w:val="32"/>
          <w:szCs w:val="32"/>
        </w:rPr>
        <w:t>1.贯彻党的教育方针，坚持社会主义办学方向，实行教育与生产劳动相结合，对学生进行德育、智育、体育、美育和劳动等方面的教育。</w:t>
      </w:r>
    </w:p>
    <w:p w14:paraId="4432761F">
      <w:pPr>
        <w:pStyle w:val="2"/>
        <w:adjustRightInd w:val="0"/>
        <w:spacing w:beforeLines="0" w:line="500" w:lineRule="exact"/>
        <w:ind w:firstLine="640" w:firstLineChars="200"/>
        <w:outlineLvl w:val="2"/>
        <w:rPr>
          <w:rFonts w:hint="eastAsia" w:ascii="仿宋" w:hAnsi="仿宋" w:eastAsia="仿宋"/>
          <w:kern w:val="2"/>
          <w:sz w:val="32"/>
          <w:szCs w:val="32"/>
        </w:rPr>
      </w:pPr>
      <w:r>
        <w:rPr>
          <w:rFonts w:hint="eastAsia" w:ascii="仿宋" w:hAnsi="仿宋" w:eastAsia="仿宋"/>
          <w:kern w:val="2"/>
          <w:sz w:val="32"/>
          <w:szCs w:val="32"/>
        </w:rPr>
        <w:t>2.用科学的发展观指导教育教学工作。加强教育科研工作，推动校本教育的健康发展。加强教学管理，不断推进新课程改革，全面提高教学质量。</w:t>
      </w:r>
    </w:p>
    <w:p w14:paraId="4817B071">
      <w:pPr>
        <w:pStyle w:val="2"/>
        <w:adjustRightInd w:val="0"/>
        <w:spacing w:beforeLines="0" w:line="500" w:lineRule="exact"/>
        <w:ind w:firstLine="640" w:firstLineChars="200"/>
        <w:outlineLvl w:val="2"/>
        <w:rPr>
          <w:rFonts w:hint="eastAsia" w:ascii="仿宋" w:hAnsi="仿宋" w:eastAsia="仿宋"/>
          <w:kern w:val="2"/>
          <w:sz w:val="32"/>
          <w:szCs w:val="32"/>
        </w:rPr>
      </w:pPr>
      <w:r>
        <w:rPr>
          <w:rFonts w:hint="eastAsia" w:ascii="仿宋" w:hAnsi="仿宋" w:eastAsia="仿宋"/>
          <w:kern w:val="2"/>
          <w:sz w:val="32"/>
          <w:szCs w:val="32"/>
        </w:rPr>
        <w:t>3.负责配合各级人民政府依法动员、组织适龄儿童、少年入学，严格控制学生辍学，依法保证适龄儿童、少年接受九年义务教育。</w:t>
      </w:r>
    </w:p>
    <w:p w14:paraId="4BA33B35">
      <w:pPr>
        <w:pStyle w:val="2"/>
        <w:adjustRightInd w:val="0"/>
        <w:spacing w:beforeLines="0" w:line="500" w:lineRule="exact"/>
        <w:ind w:firstLine="640" w:firstLineChars="200"/>
        <w:outlineLvl w:val="2"/>
        <w:rPr>
          <w:rFonts w:hint="eastAsia" w:ascii="仿宋" w:hAnsi="仿宋" w:eastAsia="仿宋"/>
          <w:kern w:val="2"/>
          <w:sz w:val="32"/>
          <w:szCs w:val="32"/>
        </w:rPr>
      </w:pPr>
      <w:r>
        <w:rPr>
          <w:rFonts w:hint="eastAsia" w:ascii="仿宋" w:hAnsi="仿宋" w:eastAsia="仿宋"/>
          <w:kern w:val="2"/>
          <w:sz w:val="32"/>
          <w:szCs w:val="32"/>
        </w:rPr>
        <w:t>4.继续深化人事制度改革，完善学校内部管理，做好后勤保障工作。</w:t>
      </w:r>
    </w:p>
    <w:p w14:paraId="22E0FF41">
      <w:pPr>
        <w:pStyle w:val="2"/>
        <w:adjustRightInd w:val="0"/>
        <w:spacing w:beforeLines="0" w:line="500" w:lineRule="exact"/>
        <w:ind w:firstLine="640" w:firstLineChars="200"/>
        <w:outlineLvl w:val="2"/>
        <w:rPr>
          <w:rFonts w:hint="eastAsia" w:ascii="仿宋" w:hAnsi="仿宋" w:eastAsia="仿宋"/>
          <w:kern w:val="2"/>
          <w:sz w:val="32"/>
          <w:szCs w:val="32"/>
        </w:rPr>
      </w:pPr>
      <w:r>
        <w:rPr>
          <w:rFonts w:hint="eastAsia" w:ascii="仿宋" w:hAnsi="仿宋" w:eastAsia="仿宋"/>
          <w:kern w:val="2"/>
          <w:sz w:val="32"/>
          <w:szCs w:val="32"/>
        </w:rPr>
        <w:t>5.负责科学管理、合理使用学校的设施和经费，并积极筹措资金，改善办学条件。</w:t>
      </w:r>
    </w:p>
    <w:p w14:paraId="1B987E6E">
      <w:pPr>
        <w:pStyle w:val="2"/>
        <w:adjustRightInd w:val="0"/>
        <w:spacing w:beforeLines="0" w:line="500" w:lineRule="exact"/>
        <w:ind w:firstLine="640" w:firstLineChars="200"/>
        <w:outlineLvl w:val="2"/>
        <w:rPr>
          <w:rFonts w:hint="eastAsia" w:ascii="仿宋" w:hAnsi="仿宋" w:eastAsia="仿宋"/>
          <w:kern w:val="2"/>
          <w:sz w:val="32"/>
          <w:szCs w:val="32"/>
        </w:rPr>
      </w:pPr>
      <w:r>
        <w:rPr>
          <w:rFonts w:hint="eastAsia" w:ascii="仿宋" w:hAnsi="仿宋" w:eastAsia="仿宋"/>
          <w:kern w:val="2"/>
          <w:sz w:val="32"/>
          <w:szCs w:val="32"/>
        </w:rPr>
        <w:t>6.负责维护学校、师生的合法权益，有权拒绝任何组织和个人对教育教学活动进行非法干扰。</w:t>
      </w:r>
    </w:p>
    <w:p w14:paraId="18D36418">
      <w:pPr>
        <w:pStyle w:val="2"/>
        <w:adjustRightInd w:val="0"/>
        <w:spacing w:beforeLines="0" w:line="500" w:lineRule="exact"/>
        <w:ind w:firstLine="640" w:firstLineChars="200"/>
        <w:outlineLvl w:val="2"/>
        <w:rPr>
          <w:rFonts w:hint="eastAsia" w:ascii="仿宋" w:hAnsi="仿宋" w:eastAsia="仿宋"/>
          <w:kern w:val="2"/>
          <w:sz w:val="32"/>
          <w:szCs w:val="32"/>
        </w:rPr>
      </w:pPr>
      <w:r>
        <w:rPr>
          <w:rFonts w:hint="eastAsia" w:ascii="仿宋" w:hAnsi="仿宋" w:eastAsia="仿宋"/>
          <w:kern w:val="2"/>
          <w:sz w:val="32"/>
          <w:szCs w:val="32"/>
        </w:rPr>
        <w:t>7.负责创建绿色校园、文明校园和平安校园。</w:t>
      </w:r>
    </w:p>
    <w:p w14:paraId="41D1DD61">
      <w:pPr>
        <w:pStyle w:val="2"/>
        <w:adjustRightInd w:val="0"/>
        <w:spacing w:beforeLines="0" w:line="500" w:lineRule="exact"/>
        <w:ind w:firstLine="640" w:firstLineChars="200"/>
        <w:outlineLvl w:val="2"/>
        <w:rPr>
          <w:rFonts w:hint="eastAsia" w:ascii="仿宋" w:hAnsi="仿宋" w:eastAsia="仿宋"/>
          <w:kern w:val="2"/>
          <w:sz w:val="32"/>
          <w:szCs w:val="32"/>
        </w:rPr>
      </w:pPr>
      <w:r>
        <w:rPr>
          <w:rFonts w:hint="eastAsia" w:ascii="仿宋" w:hAnsi="仿宋" w:eastAsia="仿宋"/>
          <w:kern w:val="2"/>
          <w:sz w:val="32"/>
          <w:szCs w:val="32"/>
        </w:rPr>
        <w:t>8.负责关心教职工生活，发挥教代会职能作用。</w:t>
      </w:r>
    </w:p>
    <w:p w14:paraId="6A442827">
      <w:pPr>
        <w:ind w:firstLine="640" w:firstLineChars="200"/>
        <w:rPr>
          <w:rFonts w:ascii="仿宋" w:hAnsi="仿宋" w:eastAsia="仿宋"/>
          <w:sz w:val="32"/>
          <w:szCs w:val="32"/>
        </w:rPr>
      </w:pPr>
      <w:r>
        <w:rPr>
          <w:rFonts w:hint="eastAsia" w:ascii="仿宋" w:hAnsi="仿宋" w:eastAsia="仿宋"/>
          <w:sz w:val="32"/>
          <w:szCs w:val="32"/>
        </w:rPr>
        <w:t>9.承办上级交办的其他事项。</w:t>
      </w:r>
    </w:p>
    <w:p w14:paraId="61DC0371">
      <w:pPr>
        <w:pStyle w:val="2"/>
        <w:adjustRightInd w:val="0"/>
        <w:spacing w:beforeLines="0" w:line="500" w:lineRule="exact"/>
        <w:ind w:firstLine="643" w:firstLineChars="200"/>
        <w:outlineLvl w:val="2"/>
        <w:rPr>
          <w:rFonts w:ascii="仿宋" w:hAnsi="仿宋" w:eastAsia="仿宋"/>
          <w:b/>
          <w:kern w:val="2"/>
          <w:sz w:val="32"/>
          <w:szCs w:val="32"/>
        </w:rPr>
      </w:pPr>
      <w:r>
        <w:rPr>
          <w:rFonts w:hint="eastAsia" w:ascii="仿宋" w:hAnsi="仿宋" w:eastAsia="仿宋"/>
          <w:b/>
          <w:kern w:val="2"/>
          <w:sz w:val="32"/>
          <w:szCs w:val="32"/>
        </w:rPr>
        <w:t>（二）</w:t>
      </w:r>
      <w:r>
        <w:rPr>
          <w:rFonts w:ascii="仿宋" w:hAnsi="仿宋" w:eastAsia="仿宋"/>
          <w:b/>
          <w:kern w:val="2"/>
          <w:sz w:val="32"/>
          <w:szCs w:val="32"/>
        </w:rPr>
        <w:t>2020 年重点工作完成情况</w:t>
      </w:r>
    </w:p>
    <w:p w14:paraId="0769FD37">
      <w:pPr>
        <w:pStyle w:val="2"/>
        <w:adjustRightInd w:val="0"/>
        <w:spacing w:beforeLines="0" w:line="500" w:lineRule="exact"/>
        <w:ind w:firstLine="643" w:firstLineChars="200"/>
        <w:outlineLvl w:val="2"/>
        <w:rPr>
          <w:rFonts w:ascii="仿宋" w:hAnsi="仿宋" w:eastAsia="仿宋"/>
          <w:b/>
          <w:kern w:val="2"/>
          <w:sz w:val="32"/>
          <w:szCs w:val="32"/>
        </w:rPr>
      </w:pPr>
      <w:r>
        <w:rPr>
          <w:rFonts w:ascii="仿宋" w:hAnsi="仿宋" w:eastAsia="仿宋"/>
          <w:b/>
          <w:kern w:val="2"/>
          <w:sz w:val="32"/>
          <w:szCs w:val="32"/>
        </w:rPr>
        <w:t>（</w:t>
      </w:r>
      <w:r>
        <w:rPr>
          <w:rFonts w:hint="eastAsia" w:ascii="仿宋" w:hAnsi="仿宋" w:eastAsia="仿宋"/>
          <w:b/>
          <w:kern w:val="2"/>
          <w:sz w:val="32"/>
          <w:szCs w:val="32"/>
        </w:rPr>
        <w:t>1）</w:t>
      </w:r>
      <w:r>
        <w:rPr>
          <w:rFonts w:ascii="仿宋" w:hAnsi="仿宋" w:eastAsia="仿宋"/>
          <w:b/>
          <w:kern w:val="2"/>
          <w:sz w:val="32"/>
          <w:szCs w:val="32"/>
        </w:rPr>
        <w:t xml:space="preserve">学生成长 </w:t>
      </w:r>
    </w:p>
    <w:p w14:paraId="76C55BD6">
      <w:pPr>
        <w:pStyle w:val="2"/>
        <w:adjustRightInd w:val="0"/>
        <w:spacing w:beforeLines="0" w:line="500" w:lineRule="exact"/>
        <w:ind w:firstLine="640" w:firstLineChars="200"/>
        <w:outlineLvl w:val="2"/>
        <w:rPr>
          <w:rFonts w:ascii="仿宋" w:hAnsi="仿宋" w:eastAsia="仿宋"/>
          <w:kern w:val="2"/>
          <w:sz w:val="32"/>
          <w:szCs w:val="32"/>
        </w:rPr>
      </w:pPr>
      <w:r>
        <w:rPr>
          <w:rFonts w:ascii="仿宋" w:hAnsi="仿宋" w:eastAsia="仿宋"/>
          <w:kern w:val="2"/>
          <w:sz w:val="32"/>
          <w:szCs w:val="32"/>
        </w:rPr>
        <w:t xml:space="preserve">1、保障安全和学业 我们把安全管理放在学校工作第一位。安全管理网络健全、责任明确，措施有力。通过学习、培训、讲座、系列活动等，为全校师生保驾护航。 </w:t>
      </w:r>
    </w:p>
    <w:p w14:paraId="7F54EED4">
      <w:pPr>
        <w:pStyle w:val="2"/>
        <w:adjustRightInd w:val="0"/>
        <w:spacing w:beforeLines="0" w:line="500" w:lineRule="exact"/>
        <w:ind w:firstLine="640" w:firstLineChars="200"/>
        <w:outlineLvl w:val="2"/>
        <w:rPr>
          <w:rFonts w:ascii="仿宋" w:hAnsi="仿宋" w:eastAsia="仿宋"/>
          <w:kern w:val="2"/>
          <w:sz w:val="32"/>
          <w:szCs w:val="32"/>
        </w:rPr>
      </w:pPr>
      <w:r>
        <w:rPr>
          <w:rFonts w:ascii="仿宋" w:hAnsi="仿宋" w:eastAsia="仿宋"/>
          <w:kern w:val="2"/>
          <w:sz w:val="32"/>
          <w:szCs w:val="32"/>
        </w:rPr>
        <w:t xml:space="preserve"> 2、规范管理，外化于行。 </w:t>
      </w:r>
    </w:p>
    <w:p w14:paraId="4EB8C7A8">
      <w:pPr>
        <w:pStyle w:val="2"/>
        <w:adjustRightInd w:val="0"/>
        <w:spacing w:beforeLines="0" w:line="500" w:lineRule="exact"/>
        <w:ind w:firstLine="640" w:firstLineChars="200"/>
        <w:outlineLvl w:val="2"/>
        <w:rPr>
          <w:rFonts w:ascii="仿宋" w:hAnsi="仿宋" w:eastAsia="仿宋"/>
          <w:kern w:val="2"/>
          <w:sz w:val="32"/>
          <w:szCs w:val="32"/>
        </w:rPr>
      </w:pPr>
      <w:r>
        <w:rPr>
          <w:rFonts w:ascii="仿宋" w:hAnsi="仿宋" w:eastAsia="仿宋"/>
          <w:kern w:val="2"/>
          <w:sz w:val="32"/>
          <w:szCs w:val="32"/>
        </w:rPr>
        <w:t>聚焦八大模块：即仪容仪表、财产管理、小红帽自主管理、课间安全、食堂就餐、文明就寝、桌椅摆放、学习向上。分块管理、分人负责。成就了学生好习惯、好形象。培养了学生个性品质和合作意识，打造了高效课堂，提高了学习效率。学生常规管理上，让学生参与其中，通过学生自主管理，教师调控，形成了人人有事做，事事有人管的良好局面。 学校重视学生全面的兴趣特长，大力实施“2+1”项目。</w:t>
      </w:r>
    </w:p>
    <w:p w14:paraId="2CD84216">
      <w:pPr>
        <w:pStyle w:val="2"/>
        <w:adjustRightInd w:val="0"/>
        <w:spacing w:beforeLines="0" w:line="500" w:lineRule="exact"/>
        <w:ind w:firstLine="640" w:firstLineChars="200"/>
        <w:outlineLvl w:val="2"/>
        <w:rPr>
          <w:rFonts w:ascii="仿宋" w:hAnsi="仿宋" w:eastAsia="仿宋"/>
          <w:kern w:val="2"/>
          <w:sz w:val="32"/>
          <w:szCs w:val="32"/>
        </w:rPr>
      </w:pPr>
      <w:r>
        <w:rPr>
          <w:rFonts w:ascii="仿宋" w:hAnsi="仿宋" w:eastAsia="仿宋"/>
          <w:kern w:val="2"/>
          <w:sz w:val="32"/>
          <w:szCs w:val="32"/>
        </w:rPr>
        <w:t xml:space="preserve">3、关注他人和社会 我们引导学生放眼窗外，关注社会。通过德育系列活动，达到立德树人；开展了扶贫日捐助、做小小宣传员深入村社开展脱贫攻坚知识宣讲等活动，让学生学会关心帮助他人；让学生走出校园，在调查、参观中培养综合能力；通过旅学研行、远足、野炊、深入社区义务服务等活动，进行主题学习、观察记录、动手实践，让学生与自然共生，与文化同行，和春天拥抱。 </w:t>
      </w:r>
    </w:p>
    <w:p w14:paraId="2FAF9BEC">
      <w:pPr>
        <w:pStyle w:val="2"/>
        <w:adjustRightInd w:val="0"/>
        <w:spacing w:beforeLines="0" w:line="500" w:lineRule="exact"/>
        <w:ind w:firstLine="643" w:firstLineChars="200"/>
        <w:outlineLvl w:val="2"/>
        <w:rPr>
          <w:rFonts w:ascii="仿宋" w:hAnsi="仿宋" w:eastAsia="仿宋"/>
          <w:b/>
          <w:kern w:val="2"/>
          <w:sz w:val="32"/>
          <w:szCs w:val="32"/>
        </w:rPr>
      </w:pPr>
      <w:r>
        <w:rPr>
          <w:rFonts w:ascii="仿宋" w:hAnsi="仿宋" w:eastAsia="仿宋"/>
          <w:b/>
          <w:kern w:val="2"/>
          <w:sz w:val="32"/>
          <w:szCs w:val="32"/>
        </w:rPr>
        <w:t>（</w:t>
      </w:r>
      <w:r>
        <w:rPr>
          <w:rFonts w:hint="eastAsia" w:ascii="仿宋" w:hAnsi="仿宋" w:eastAsia="仿宋"/>
          <w:b/>
          <w:kern w:val="2"/>
          <w:sz w:val="32"/>
          <w:szCs w:val="32"/>
        </w:rPr>
        <w:t>2</w:t>
      </w:r>
      <w:r>
        <w:rPr>
          <w:rFonts w:ascii="仿宋" w:hAnsi="仿宋" w:eastAsia="仿宋"/>
          <w:b/>
          <w:kern w:val="2"/>
          <w:sz w:val="32"/>
          <w:szCs w:val="32"/>
        </w:rPr>
        <w:t xml:space="preserve">）教师发展 </w:t>
      </w:r>
    </w:p>
    <w:p w14:paraId="59193F5E">
      <w:pPr>
        <w:autoSpaceDE w:val="0"/>
        <w:autoSpaceDN w:val="0"/>
        <w:adjustRightInd w:val="0"/>
        <w:spacing w:line="360" w:lineRule="auto"/>
        <w:ind w:firstLine="643"/>
        <w:jc w:val="left"/>
        <w:rPr>
          <w:rFonts w:ascii="??_GB2312" w:hAnsi="??_GB2312" w:eastAsia="楷体" w:cs="??_GB2312"/>
          <w:b/>
          <w:bCs/>
          <w:kern w:val="0"/>
          <w:sz w:val="32"/>
          <w:szCs w:val="32"/>
        </w:rPr>
      </w:pPr>
      <w:r>
        <w:rPr>
          <w:rFonts w:ascii="??_GB2312" w:hAnsi="??_GB2312" w:cs="??_GB2312"/>
          <w:b/>
          <w:bCs/>
          <w:kern w:val="0"/>
          <w:sz w:val="32"/>
          <w:szCs w:val="32"/>
        </w:rPr>
        <w:t>1.</w:t>
      </w:r>
      <w:r>
        <w:rPr>
          <w:rFonts w:hint="eastAsia" w:ascii="楷体" w:hAnsi="??_GB2312" w:eastAsia="楷体" w:cs="楷体"/>
          <w:b/>
          <w:bCs/>
          <w:kern w:val="0"/>
          <w:sz w:val="32"/>
          <w:szCs w:val="32"/>
          <w:lang w:val="zh-CN"/>
        </w:rPr>
        <w:t>加强教师队伍，促教师队伍的整体化成长</w:t>
      </w:r>
    </w:p>
    <w:p w14:paraId="4BA3196C">
      <w:pPr>
        <w:autoSpaceDE w:val="0"/>
        <w:autoSpaceDN w:val="0"/>
        <w:adjustRightInd w:val="0"/>
        <w:spacing w:line="360" w:lineRule="auto"/>
        <w:ind w:firstLine="640"/>
        <w:jc w:val="left"/>
        <w:rPr>
          <w:rFonts w:ascii="仿宋" w:hAnsi="仿宋" w:eastAsia="仿宋"/>
          <w:sz w:val="32"/>
          <w:szCs w:val="32"/>
        </w:rPr>
      </w:pPr>
      <w:r>
        <w:rPr>
          <w:rFonts w:hint="eastAsia" w:ascii="仿宋" w:hAnsi="仿宋" w:eastAsia="仿宋"/>
          <w:sz w:val="32"/>
          <w:szCs w:val="32"/>
          <w:lang w:val="zh-CN"/>
        </w:rPr>
        <w:t>树立生存意识，全校教师明确，教师是学校之本，是学校成败兴衰的关键，是学校发展的有力保障。一是落实教师个人发展目标，采取对不同年龄段教师设置不同的发展计划，并做好过程监督和平台搭建工作。二是积极鼓励教师参加各级各类的培训，学习后进行培训知识的运用提升，采取培训经验分享，分享后教科室签字才能报账。三是鼓励教师参加教育教学大比武，促进个人教学课堂水平的提升，鼓励教师参加，校内初赛，教研组共同打磨，集体作战。本年度的四川省优课大赛，我校周安琼老师和赵爽老师分别获得省优课一等奖和三等奖。广元市教师教学大比武我校的信息技术、美术代表昭化区初中学段两个学科，获得广元市教学大比武一等奖。通过推荐、考核、评选了广元市初中历史学科</w:t>
      </w:r>
      <w:r>
        <w:rPr>
          <w:rFonts w:ascii="仿宋" w:hAnsi="仿宋" w:eastAsia="仿宋"/>
          <w:sz w:val="32"/>
          <w:szCs w:val="32"/>
          <w:lang w:val="zh-CN"/>
        </w:rPr>
        <w:t>“</w:t>
      </w:r>
      <w:r>
        <w:rPr>
          <w:rFonts w:hint="eastAsia" w:ascii="仿宋" w:hAnsi="仿宋" w:eastAsia="仿宋"/>
          <w:sz w:val="32"/>
          <w:szCs w:val="32"/>
          <w:lang w:val="zh-CN"/>
        </w:rPr>
        <w:t>名教师</w:t>
      </w:r>
      <w:r>
        <w:rPr>
          <w:rFonts w:ascii="仿宋" w:hAnsi="仿宋" w:eastAsia="仿宋"/>
          <w:sz w:val="32"/>
          <w:szCs w:val="32"/>
          <w:lang w:val="zh-CN"/>
        </w:rPr>
        <w:t>”</w:t>
      </w:r>
      <w:r>
        <w:rPr>
          <w:rFonts w:hint="eastAsia" w:ascii="仿宋" w:hAnsi="仿宋" w:eastAsia="仿宋"/>
          <w:sz w:val="32"/>
          <w:szCs w:val="32"/>
          <w:lang w:val="zh-CN"/>
        </w:rPr>
        <w:t>一名，姚国兴老师。四是做好</w:t>
      </w:r>
      <w:r>
        <w:rPr>
          <w:rFonts w:ascii="仿宋" w:hAnsi="仿宋" w:eastAsia="仿宋"/>
          <w:sz w:val="32"/>
          <w:szCs w:val="32"/>
          <w:lang w:val="zh-CN"/>
        </w:rPr>
        <w:t>“</w:t>
      </w:r>
      <w:r>
        <w:rPr>
          <w:rFonts w:hint="eastAsia" w:ascii="仿宋" w:hAnsi="仿宋" w:eastAsia="仿宋"/>
          <w:sz w:val="32"/>
          <w:szCs w:val="32"/>
          <w:lang w:val="zh-CN"/>
        </w:rPr>
        <w:t>青蓝工程</w:t>
      </w:r>
      <w:r>
        <w:rPr>
          <w:rFonts w:ascii="仿宋" w:hAnsi="仿宋" w:eastAsia="仿宋"/>
          <w:sz w:val="32"/>
          <w:szCs w:val="32"/>
          <w:lang w:val="zh-CN"/>
        </w:rPr>
        <w:t>”</w:t>
      </w:r>
      <w:r>
        <w:rPr>
          <w:rFonts w:hint="eastAsia" w:ascii="仿宋" w:hAnsi="仿宋" w:eastAsia="仿宋"/>
          <w:sz w:val="32"/>
          <w:szCs w:val="32"/>
          <w:lang w:val="zh-CN"/>
        </w:rPr>
        <w:t>、</w:t>
      </w:r>
      <w:r>
        <w:rPr>
          <w:rFonts w:ascii="仿宋" w:hAnsi="仿宋" w:eastAsia="仿宋"/>
          <w:sz w:val="32"/>
          <w:szCs w:val="32"/>
          <w:lang w:val="zh-CN"/>
        </w:rPr>
        <w:t>“</w:t>
      </w:r>
      <w:r>
        <w:rPr>
          <w:rFonts w:hint="eastAsia" w:ascii="仿宋" w:hAnsi="仿宋" w:eastAsia="仿宋"/>
          <w:sz w:val="32"/>
          <w:szCs w:val="32"/>
          <w:lang w:val="zh-CN"/>
        </w:rPr>
        <w:t>年级、学科捆绑</w:t>
      </w:r>
      <w:r>
        <w:rPr>
          <w:rFonts w:ascii="仿宋" w:hAnsi="仿宋" w:eastAsia="仿宋"/>
          <w:sz w:val="32"/>
          <w:szCs w:val="32"/>
          <w:lang w:val="zh-CN"/>
        </w:rPr>
        <w:t>”</w:t>
      </w:r>
      <w:r>
        <w:rPr>
          <w:rFonts w:hint="eastAsia" w:ascii="仿宋" w:hAnsi="仿宋" w:eastAsia="仿宋"/>
          <w:sz w:val="32"/>
          <w:szCs w:val="32"/>
          <w:lang w:val="zh-CN"/>
        </w:rPr>
        <w:t>考核，促进教师有效的交流和团结协作。</w:t>
      </w:r>
    </w:p>
    <w:p w14:paraId="3CA00090">
      <w:pPr>
        <w:autoSpaceDE w:val="0"/>
        <w:autoSpaceDN w:val="0"/>
        <w:adjustRightInd w:val="0"/>
        <w:spacing w:line="360" w:lineRule="auto"/>
        <w:ind w:firstLine="643"/>
        <w:jc w:val="left"/>
        <w:rPr>
          <w:rFonts w:ascii="??_GB2312" w:hAnsi="??_GB2312" w:cs="??_GB2312"/>
          <w:b/>
          <w:bCs/>
          <w:kern w:val="0"/>
          <w:sz w:val="32"/>
          <w:szCs w:val="32"/>
        </w:rPr>
      </w:pPr>
      <w:r>
        <w:rPr>
          <w:rFonts w:ascii="??_GB2312" w:hAnsi="??_GB2312" w:cs="??_GB2312"/>
          <w:b/>
          <w:bCs/>
          <w:kern w:val="0"/>
          <w:sz w:val="32"/>
          <w:szCs w:val="32"/>
        </w:rPr>
        <w:t>2.</w:t>
      </w:r>
      <w:r>
        <w:rPr>
          <w:rFonts w:hint="eastAsia" w:ascii="宋体" w:hAnsi="??_GB2312" w:cs="宋体"/>
          <w:b/>
          <w:bCs/>
          <w:kern w:val="0"/>
          <w:sz w:val="32"/>
          <w:szCs w:val="32"/>
          <w:lang w:val="zh-CN"/>
        </w:rPr>
        <w:t>加强教学过程管理，促进教学质量的提升。</w:t>
      </w:r>
    </w:p>
    <w:p w14:paraId="4574DEE2">
      <w:pPr>
        <w:autoSpaceDE w:val="0"/>
        <w:autoSpaceDN w:val="0"/>
        <w:adjustRightInd w:val="0"/>
        <w:spacing w:line="360" w:lineRule="auto"/>
        <w:ind w:firstLine="640"/>
        <w:jc w:val="left"/>
        <w:rPr>
          <w:rFonts w:hint="eastAsia" w:ascii="仿宋" w:hAnsi="仿宋" w:eastAsia="仿宋"/>
          <w:sz w:val="32"/>
          <w:szCs w:val="32"/>
          <w:lang w:val="zh-CN"/>
        </w:rPr>
      </w:pPr>
      <w:r>
        <w:rPr>
          <w:rFonts w:hint="eastAsia" w:ascii="仿宋" w:hAnsi="仿宋" w:eastAsia="仿宋"/>
          <w:sz w:val="32"/>
          <w:szCs w:val="32"/>
          <w:lang w:val="zh-CN"/>
        </w:rPr>
        <w:t>教学工作是学校的中心工作，教育教学质量是学校的生命线。一是以新完善的《王家初级中学教学常规管理办法》为导向备课时做到备教材、备学生、备教法。二是扎实开展好教学成绩分析，做到用数据说话，用数据导向。三是做好常规分成，差异化教学，利用课后延时服务对学生有针对性辅导。四是认真学习中考的各项改革文件的学习，探究其中的主要变化点，探讨其中的应对策略，集体作战，共同攻坚。</w:t>
      </w:r>
    </w:p>
    <w:p w14:paraId="7BFDD51A">
      <w:pPr>
        <w:autoSpaceDE w:val="0"/>
        <w:autoSpaceDN w:val="0"/>
        <w:adjustRightInd w:val="0"/>
        <w:spacing w:line="360" w:lineRule="auto"/>
        <w:ind w:firstLine="643"/>
        <w:jc w:val="left"/>
        <w:rPr>
          <w:rFonts w:ascii="楷体" w:hAnsi="??_GB2312" w:eastAsia="楷体" w:cs="楷体"/>
          <w:b/>
          <w:bCs/>
          <w:kern w:val="0"/>
          <w:sz w:val="32"/>
          <w:szCs w:val="32"/>
          <w:lang w:val="zh-CN"/>
        </w:rPr>
      </w:pPr>
      <w:r>
        <w:rPr>
          <w:rFonts w:ascii="??_GB2312" w:hAnsi="??_GB2312" w:cs="??_GB2312"/>
          <w:b/>
          <w:bCs/>
          <w:kern w:val="0"/>
          <w:sz w:val="32"/>
          <w:szCs w:val="32"/>
        </w:rPr>
        <w:t>3.</w:t>
      </w:r>
      <w:r>
        <w:rPr>
          <w:rFonts w:hint="eastAsia" w:ascii="宋体" w:hAnsi="??_GB2312" w:cs="宋体"/>
          <w:b/>
          <w:bCs/>
          <w:kern w:val="0"/>
          <w:sz w:val="32"/>
          <w:szCs w:val="32"/>
          <w:lang w:val="zh-CN"/>
        </w:rPr>
        <w:t>加强教研科研，总结教育教学成果</w:t>
      </w:r>
    </w:p>
    <w:p w14:paraId="28E3807C">
      <w:pPr>
        <w:autoSpaceDE w:val="0"/>
        <w:autoSpaceDN w:val="0"/>
        <w:adjustRightInd w:val="0"/>
        <w:spacing w:line="360" w:lineRule="auto"/>
        <w:ind w:firstLine="640"/>
        <w:jc w:val="left"/>
        <w:rPr>
          <w:rFonts w:hint="eastAsia" w:ascii="仿宋" w:hAnsi="仿宋" w:eastAsia="仿宋" w:cs="??_GB2312"/>
          <w:kern w:val="0"/>
          <w:sz w:val="32"/>
          <w:szCs w:val="32"/>
        </w:rPr>
      </w:pPr>
      <w:r>
        <w:rPr>
          <w:rFonts w:hint="eastAsia" w:ascii="仿宋" w:hAnsi="仿宋" w:eastAsia="仿宋"/>
          <w:kern w:val="0"/>
          <w:sz w:val="32"/>
          <w:szCs w:val="32"/>
          <w:lang w:val="zh-CN"/>
        </w:rPr>
        <w:t>好教师看课堂，成名师看教研。针对我校教师，教育教学能力强，部分教师是全区学科的骨干，但是理论总结能力弱，主要以《王家初级中学教研工作方案》开展教研工作</w:t>
      </w:r>
      <w:r>
        <w:rPr>
          <w:rFonts w:hint="eastAsia" w:ascii="仿宋" w:hAnsi="仿宋" w:eastAsia="仿宋"/>
          <w:b/>
          <w:bCs/>
          <w:kern w:val="0"/>
          <w:sz w:val="32"/>
          <w:szCs w:val="32"/>
          <w:lang w:val="zh-CN"/>
        </w:rPr>
        <w:t>一是</w:t>
      </w:r>
      <w:r>
        <w:rPr>
          <w:rFonts w:hint="eastAsia" w:ascii="仿宋" w:hAnsi="仿宋" w:eastAsia="仿宋"/>
          <w:kern w:val="0"/>
          <w:sz w:val="32"/>
          <w:szCs w:val="32"/>
          <w:lang w:val="zh-CN"/>
        </w:rPr>
        <w:t>用小课题促专业发展和教育教学实力提升，我校姚国兴教师区级课题《</w:t>
      </w:r>
      <w:r>
        <w:rPr>
          <w:rFonts w:ascii="仿宋" w:hAnsi="仿宋" w:eastAsia="仿宋"/>
          <w:kern w:val="0"/>
          <w:sz w:val="32"/>
          <w:szCs w:val="32"/>
          <w:lang w:val="zh-CN"/>
        </w:rPr>
        <w:t>“</w:t>
      </w:r>
      <w:r>
        <w:rPr>
          <w:rFonts w:hint="eastAsia" w:ascii="仿宋" w:hAnsi="仿宋" w:eastAsia="仿宋"/>
          <w:kern w:val="0"/>
          <w:sz w:val="32"/>
          <w:szCs w:val="32"/>
          <w:lang w:val="zh-CN"/>
        </w:rPr>
        <w:t>框架式导学案</w:t>
      </w:r>
      <w:r>
        <w:rPr>
          <w:rFonts w:ascii="仿宋" w:hAnsi="仿宋" w:eastAsia="仿宋" w:cs="??_GB2312"/>
          <w:kern w:val="0"/>
          <w:sz w:val="32"/>
          <w:szCs w:val="32"/>
        </w:rPr>
        <w:t>+</w:t>
      </w:r>
      <w:r>
        <w:rPr>
          <w:rFonts w:hint="eastAsia" w:ascii="仿宋" w:hAnsi="仿宋" w:eastAsia="仿宋"/>
          <w:kern w:val="0"/>
          <w:sz w:val="32"/>
          <w:szCs w:val="32"/>
          <w:lang w:val="zh-CN"/>
        </w:rPr>
        <w:t>微课</w:t>
      </w:r>
      <w:r>
        <w:rPr>
          <w:rFonts w:ascii="仿宋" w:hAnsi="仿宋" w:eastAsia="仿宋"/>
          <w:kern w:val="0"/>
          <w:sz w:val="32"/>
          <w:szCs w:val="32"/>
          <w:lang w:val="zh-CN"/>
        </w:rPr>
        <w:t>”</w:t>
      </w:r>
      <w:r>
        <w:rPr>
          <w:rFonts w:hint="eastAsia" w:ascii="仿宋" w:hAnsi="仿宋" w:eastAsia="仿宋"/>
          <w:kern w:val="0"/>
          <w:sz w:val="32"/>
          <w:szCs w:val="32"/>
          <w:lang w:val="zh-CN"/>
        </w:rPr>
        <w:t>提高初中历史课堂效率的有效性研究》和艺体组教师《农村初中艺体特长生校本培养策略实践研究》的两个区级课题已经完成了第一阶段的教研总结，进入第二阶段的工作提经验阶段。</w:t>
      </w:r>
      <w:r>
        <w:rPr>
          <w:rFonts w:hint="eastAsia" w:ascii="仿宋" w:hAnsi="仿宋" w:eastAsia="仿宋"/>
          <w:b/>
          <w:bCs/>
          <w:kern w:val="0"/>
          <w:sz w:val="32"/>
          <w:szCs w:val="32"/>
          <w:lang w:val="zh-CN"/>
        </w:rPr>
        <w:t>二是</w:t>
      </w:r>
      <w:r>
        <w:rPr>
          <w:rFonts w:hint="eastAsia" w:ascii="仿宋" w:hAnsi="仿宋" w:eastAsia="仿宋"/>
          <w:kern w:val="0"/>
          <w:sz w:val="32"/>
          <w:szCs w:val="32"/>
          <w:lang w:val="zh-CN"/>
        </w:rPr>
        <w:t>加强教师理论学习，并加强个人教学反思，形成文本并总结推广；</w:t>
      </w:r>
      <w:r>
        <w:rPr>
          <w:rFonts w:hint="eastAsia" w:ascii="仿宋" w:hAnsi="仿宋" w:eastAsia="仿宋"/>
          <w:b/>
          <w:bCs/>
          <w:kern w:val="0"/>
          <w:sz w:val="32"/>
          <w:szCs w:val="32"/>
          <w:lang w:val="zh-CN"/>
        </w:rPr>
        <w:t>三是</w:t>
      </w:r>
      <w:r>
        <w:rPr>
          <w:rFonts w:hint="eastAsia" w:ascii="仿宋" w:hAnsi="仿宋" w:eastAsia="仿宋"/>
          <w:kern w:val="0"/>
          <w:sz w:val="32"/>
          <w:szCs w:val="32"/>
          <w:lang w:val="zh-CN"/>
        </w:rPr>
        <w:t>评课、议课改变谈怎样更好，怎样更有效。课堂亮点总结提炼化，做好详细记载，课堂打造推广。</w:t>
      </w:r>
    </w:p>
    <w:p w14:paraId="3DBC41E6">
      <w:pPr>
        <w:pStyle w:val="4"/>
        <w:rPr>
          <w:rStyle w:val="44"/>
          <w:b/>
          <w:bCs/>
        </w:rPr>
      </w:pPr>
      <w:r>
        <w:rPr>
          <w:rFonts w:hint="eastAsia" w:ascii="黑体" w:eastAsia="黑体"/>
          <w:b w:val="0"/>
          <w:color w:val="000000"/>
        </w:rPr>
        <w:t>二、</w:t>
      </w:r>
      <w:r>
        <w:rPr>
          <w:rFonts w:hint="eastAsia" w:ascii="黑体" w:hAnsi="黑体" w:eastAsia="黑体"/>
          <w:b w:val="0"/>
          <w:color w:val="000000"/>
        </w:rPr>
        <w:t>机</w:t>
      </w:r>
      <w:r>
        <w:rPr>
          <w:rStyle w:val="44"/>
          <w:rFonts w:hint="eastAsia" w:ascii="黑体" w:hAnsi="黑体" w:eastAsia="黑体"/>
          <w:b/>
          <w:bCs/>
        </w:rPr>
        <w:t>构设置</w:t>
      </w:r>
      <w:bookmarkEnd w:id="17"/>
      <w:bookmarkEnd w:id="18"/>
    </w:p>
    <w:p w14:paraId="5591345D">
      <w:pPr>
        <w:snapToGrid w:val="0"/>
        <w:spacing w:line="520" w:lineRule="exact"/>
        <w:ind w:firstLine="640" w:firstLineChars="200"/>
        <w:rPr>
          <w:rFonts w:hint="eastAsia" w:ascii="仿宋" w:hAnsi="仿宋" w:eastAsia="仿宋"/>
          <w:sz w:val="32"/>
          <w:szCs w:val="32"/>
        </w:rPr>
      </w:pPr>
      <w:r>
        <w:rPr>
          <w:rFonts w:hint="eastAsia" w:ascii="仿宋" w:hAnsi="仿宋" w:eastAsia="仿宋"/>
          <w:color w:val="000000"/>
          <w:sz w:val="32"/>
          <w:szCs w:val="32"/>
        </w:rPr>
        <w:t>本单位为广元市昭化区教育局所属的二级预算单位，单位性质为财政补助事业单位。2020年末共有学生298人，在职教职工39人</w:t>
      </w:r>
      <w:r>
        <w:rPr>
          <w:rFonts w:hint="eastAsia" w:ascii="仿宋" w:hAnsi="仿宋" w:eastAsia="仿宋"/>
          <w:sz w:val="32"/>
          <w:szCs w:val="32"/>
        </w:rPr>
        <w:t>。</w:t>
      </w:r>
    </w:p>
    <w:p w14:paraId="537DAB99">
      <w:pPr>
        <w:widowControl/>
        <w:wordWrap/>
        <w:snapToGrid/>
        <w:spacing w:line="240" w:lineRule="auto"/>
        <w:ind w:left="0" w:leftChars="0" w:right="0" w:firstLine="0" w:firstLineChars="0"/>
        <w:jc w:val="left"/>
        <w:rPr>
          <w:rFonts w:ascii="仿宋" w:hAnsi="仿宋" w:eastAsia="仿宋"/>
          <w:color w:val="000000"/>
          <w:kern w:val="0"/>
          <w:sz w:val="32"/>
          <w:szCs w:val="32"/>
        </w:rPr>
      </w:pPr>
      <w:r>
        <w:rPr>
          <w:rFonts w:ascii="仿宋" w:hAnsi="仿宋" w:eastAsia="仿宋"/>
          <w:color w:val="000000"/>
          <w:sz w:val="32"/>
          <w:szCs w:val="32"/>
        </w:rPr>
        <w:br w:type="page"/>
      </w:r>
    </w:p>
    <w:p w14:paraId="1DEB4571">
      <w:pPr>
        <w:pStyle w:val="3"/>
        <w:wordWrap/>
        <w:snapToGrid/>
        <w:spacing w:before="0" w:after="0" w:line="240" w:lineRule="auto"/>
        <w:ind w:left="0" w:leftChars="0" w:right="0" w:firstLine="0" w:firstLineChars="0"/>
        <w:jc w:val="center"/>
        <w:rPr>
          <w:rStyle w:val="36"/>
          <w:rFonts w:ascii="黑体" w:hAnsi="黑体" w:eastAsia="黑体"/>
          <w:b w:val="0"/>
          <w:bCs w:val="0"/>
        </w:rPr>
      </w:pPr>
      <w:bookmarkStart w:id="19" w:name="_Toc15396602"/>
      <w:bookmarkStart w:id="20" w:name="_Toc5345"/>
      <w:bookmarkStart w:id="21" w:name="_Toc15377204"/>
      <w:r>
        <w:rPr>
          <w:rFonts w:hint="eastAsia" w:ascii="黑体" w:hAnsi="黑体" w:eastAsia="黑体"/>
          <w:b w:val="0"/>
          <w:color w:val="000000"/>
        </w:rPr>
        <w:t>第二部分</w:t>
      </w:r>
      <w:r>
        <w:rPr>
          <w:rFonts w:hint="eastAsia" w:ascii="黑体" w:hAnsi="黑体" w:eastAsia="黑体"/>
          <w:color w:val="000000"/>
        </w:rPr>
        <w:t xml:space="preserve"> </w:t>
      </w:r>
      <w:r>
        <w:rPr>
          <w:rStyle w:val="36"/>
          <w:rFonts w:hint="eastAsia" w:ascii="黑体" w:hAnsi="黑体" w:eastAsia="黑体"/>
          <w:b w:val="0"/>
          <w:bCs w:val="0"/>
          <w:lang w:eastAsia="zh-CN"/>
        </w:rPr>
        <w:t>2020</w:t>
      </w:r>
      <w:r>
        <w:rPr>
          <w:rStyle w:val="36"/>
          <w:rFonts w:hint="eastAsia" w:ascii="黑体" w:hAnsi="黑体" w:eastAsia="黑体"/>
          <w:b w:val="0"/>
          <w:bCs w:val="0"/>
        </w:rPr>
        <w:t>年度部门决算情况说明</w:t>
      </w:r>
      <w:bookmarkEnd w:id="19"/>
      <w:bookmarkEnd w:id="20"/>
      <w:bookmarkEnd w:id="21"/>
    </w:p>
    <w:p w14:paraId="619769AC">
      <w:pPr>
        <w:wordWrap/>
        <w:snapToGrid/>
        <w:spacing w:line="240" w:lineRule="auto"/>
        <w:ind w:left="0" w:leftChars="0" w:right="0" w:firstLine="0" w:firstLineChars="0"/>
        <w:jc w:val="left"/>
      </w:pPr>
    </w:p>
    <w:p w14:paraId="33715701">
      <w:pPr>
        <w:pStyle w:val="24"/>
        <w:widowControl w:val="0"/>
        <w:numPr>
          <w:ilvl w:val="0"/>
          <w:numId w:val="1"/>
        </w:numPr>
        <w:wordWrap/>
        <w:snapToGrid/>
        <w:spacing w:line="240" w:lineRule="auto"/>
        <w:ind w:left="0" w:leftChars="0" w:right="0" w:firstLine="600" w:firstLineChars="200"/>
        <w:jc w:val="left"/>
        <w:textAlignment w:val="auto"/>
        <w:outlineLvl w:val="1"/>
        <w:rPr>
          <w:rStyle w:val="37"/>
          <w:rFonts w:hint="eastAsia" w:ascii="黑体" w:hAnsi="黑体" w:eastAsia="黑体" w:cs="黑体"/>
          <w:b w:val="0"/>
          <w:bCs w:val="0"/>
          <w:sz w:val="30"/>
          <w:szCs w:val="30"/>
        </w:rPr>
      </w:pPr>
      <w:bookmarkStart w:id="22" w:name="_Toc15377205"/>
      <w:bookmarkStart w:id="23" w:name="_Toc32302"/>
      <w:bookmarkStart w:id="24" w:name="_Toc15396603"/>
      <w:r>
        <w:rPr>
          <w:rFonts w:hint="eastAsia" w:ascii="黑体" w:hAnsi="黑体" w:eastAsia="黑体" w:cs="黑体"/>
          <w:b w:val="0"/>
          <w:bCs w:val="0"/>
          <w:color w:val="000000"/>
          <w:sz w:val="30"/>
          <w:szCs w:val="30"/>
        </w:rPr>
        <w:t>收</w:t>
      </w:r>
      <w:r>
        <w:rPr>
          <w:rStyle w:val="37"/>
          <w:rFonts w:hint="eastAsia" w:ascii="黑体" w:hAnsi="黑体" w:eastAsia="黑体" w:cs="黑体"/>
          <w:b w:val="0"/>
          <w:bCs w:val="0"/>
          <w:sz w:val="30"/>
          <w:szCs w:val="30"/>
        </w:rPr>
        <w:t>入支出决算总体情况说明</w:t>
      </w:r>
      <w:bookmarkEnd w:id="22"/>
      <w:bookmarkEnd w:id="23"/>
      <w:bookmarkEnd w:id="24"/>
    </w:p>
    <w:p w14:paraId="65D7FBCE">
      <w:pPr>
        <w:pStyle w:val="2"/>
        <w:ind w:firstLine="640" w:firstLineChars="200"/>
        <w:rPr>
          <w:rFonts w:hint="eastAsia" w:ascii="仿宋" w:hAnsi="仿宋" w:eastAsia="仿宋"/>
          <w:sz w:val="32"/>
          <w:szCs w:val="32"/>
        </w:rPr>
      </w:pPr>
      <w:r>
        <w:rPr>
          <w:rFonts w:ascii="仿宋" w:hAnsi="仿宋" w:eastAsia="仿宋"/>
          <w:color w:val="000000"/>
          <w:sz w:val="32"/>
          <w:szCs w:val="32"/>
        </w:rPr>
        <w:t>2020</w:t>
      </w:r>
      <w:r>
        <w:rPr>
          <w:rFonts w:hint="eastAsia" w:ascii="仿宋" w:hAnsi="仿宋" w:eastAsia="仿宋"/>
          <w:color w:val="000000"/>
          <w:sz w:val="32"/>
          <w:szCs w:val="32"/>
        </w:rPr>
        <w:t>年度</w:t>
      </w:r>
      <w:r>
        <w:rPr>
          <w:rFonts w:hint="eastAsia" w:ascii="仿宋" w:hAnsi="仿宋" w:eastAsia="仿宋"/>
          <w:color w:val="000000"/>
          <w:sz w:val="32"/>
          <w:szCs w:val="32"/>
          <w:lang w:eastAsia="zh-CN"/>
        </w:rPr>
        <w:t>王家初级中学</w:t>
      </w:r>
      <w:r>
        <w:rPr>
          <w:rFonts w:hint="eastAsia" w:ascii="仿宋" w:hAnsi="仿宋" w:eastAsia="仿宋"/>
          <w:sz w:val="32"/>
          <w:szCs w:val="32"/>
        </w:rPr>
        <w:t>收、支总计1028.72万元。与</w:t>
      </w:r>
      <w:r>
        <w:rPr>
          <w:rFonts w:ascii="仿宋" w:hAnsi="仿宋" w:eastAsia="仿宋"/>
          <w:sz w:val="32"/>
          <w:szCs w:val="32"/>
        </w:rPr>
        <w:t>2019</w:t>
      </w:r>
      <w:r>
        <w:rPr>
          <w:rFonts w:hint="eastAsia" w:ascii="仿宋" w:hAnsi="仿宋" w:eastAsia="仿宋"/>
          <w:sz w:val="32"/>
          <w:szCs w:val="32"/>
        </w:rPr>
        <w:t>年相比收、支总计各减少39.</w:t>
      </w:r>
      <w:r>
        <w:rPr>
          <w:rFonts w:hint="eastAsia" w:ascii="仿宋" w:hAnsi="仿宋" w:eastAsia="仿宋"/>
          <w:sz w:val="32"/>
          <w:szCs w:val="32"/>
          <w:lang w:val="en-US" w:eastAsia="zh-CN"/>
        </w:rPr>
        <w:t>20</w:t>
      </w:r>
      <w:r>
        <w:rPr>
          <w:rFonts w:hint="eastAsia" w:ascii="仿宋" w:hAnsi="仿宋" w:eastAsia="仿宋"/>
          <w:sz w:val="32"/>
          <w:szCs w:val="32"/>
        </w:rPr>
        <w:t>万元，减少3.67</w:t>
      </w:r>
      <w:r>
        <w:rPr>
          <w:rFonts w:ascii="仿宋" w:hAnsi="仿宋" w:eastAsia="仿宋"/>
          <w:sz w:val="32"/>
          <w:szCs w:val="32"/>
        </w:rPr>
        <w:t>%</w:t>
      </w:r>
      <w:r>
        <w:rPr>
          <w:rFonts w:hint="eastAsia" w:ascii="仿宋" w:hAnsi="仿宋" w:eastAsia="仿宋"/>
          <w:sz w:val="32"/>
          <w:szCs w:val="32"/>
        </w:rPr>
        <w:t>。主要变动原因是人员经费减少和项目</w:t>
      </w:r>
      <w:r>
        <w:rPr>
          <w:rFonts w:ascii="仿宋" w:hAnsi="仿宋" w:eastAsia="仿宋"/>
          <w:sz w:val="32"/>
          <w:szCs w:val="32"/>
        </w:rPr>
        <w:t>支出</w:t>
      </w:r>
      <w:r>
        <w:rPr>
          <w:rFonts w:hint="eastAsia" w:ascii="仿宋" w:hAnsi="仿宋" w:eastAsia="仿宋"/>
          <w:sz w:val="32"/>
          <w:szCs w:val="32"/>
        </w:rPr>
        <w:t>减少。</w:t>
      </w:r>
    </w:p>
    <w:p w14:paraId="5665B025">
      <w:pPr>
        <w:pStyle w:val="24"/>
        <w:widowControl w:val="0"/>
        <w:numPr>
          <w:ilvl w:val="0"/>
          <w:numId w:val="1"/>
        </w:numPr>
        <w:wordWrap/>
        <w:snapToGrid/>
        <w:spacing w:line="240" w:lineRule="auto"/>
        <w:ind w:left="0" w:leftChars="0" w:right="0" w:firstLine="600" w:firstLineChars="200"/>
        <w:jc w:val="left"/>
        <w:textAlignment w:val="auto"/>
        <w:outlineLvl w:val="1"/>
        <w:rPr>
          <w:rStyle w:val="37"/>
          <w:rFonts w:hint="eastAsia" w:ascii="黑体" w:hAnsi="黑体" w:eastAsia="黑体" w:cs="黑体"/>
          <w:b w:val="0"/>
          <w:bCs w:val="0"/>
          <w:sz w:val="30"/>
          <w:szCs w:val="30"/>
        </w:rPr>
      </w:pPr>
      <w:bookmarkStart w:id="25" w:name="_Toc15377206"/>
      <w:bookmarkStart w:id="26" w:name="_Toc15396604"/>
      <w:bookmarkStart w:id="27" w:name="_Toc27754"/>
      <w:r>
        <w:rPr>
          <w:rFonts w:hint="eastAsia" w:ascii="黑体" w:hAnsi="黑体" w:eastAsia="黑体" w:cs="黑体"/>
          <w:b w:val="0"/>
          <w:bCs w:val="0"/>
          <w:color w:val="000000"/>
          <w:sz w:val="30"/>
          <w:szCs w:val="30"/>
        </w:rPr>
        <w:t>收</w:t>
      </w:r>
      <w:r>
        <w:rPr>
          <w:rStyle w:val="37"/>
          <w:rFonts w:hint="eastAsia" w:ascii="黑体" w:hAnsi="黑体" w:eastAsia="黑体" w:cs="黑体"/>
          <w:b w:val="0"/>
          <w:bCs w:val="0"/>
          <w:sz w:val="30"/>
          <w:szCs w:val="30"/>
        </w:rPr>
        <w:t>入决算情况说明</w:t>
      </w:r>
      <w:bookmarkEnd w:id="25"/>
      <w:bookmarkEnd w:id="26"/>
      <w:bookmarkEnd w:id="27"/>
    </w:p>
    <w:p w14:paraId="10359949">
      <w:pPr>
        <w:spacing w:line="600" w:lineRule="exact"/>
        <w:ind w:firstLine="640" w:firstLineChars="200"/>
        <w:outlineLvl w:val="1"/>
        <w:rPr>
          <w:rFonts w:hint="eastAsia" w:ascii="仿宋" w:hAnsi="仿宋" w:eastAsia="仿宋"/>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年本年收入合计1028.72万元，其中：一般公共预算财政拨款收入1028.72万元，占100</w:t>
      </w:r>
      <w:r>
        <w:rPr>
          <w:rFonts w:ascii="仿宋" w:hAnsi="仿宋" w:eastAsia="仿宋"/>
          <w:color w:val="000000"/>
          <w:sz w:val="32"/>
          <w:szCs w:val="32"/>
        </w:rPr>
        <w:t>%</w:t>
      </w:r>
      <w:r>
        <w:rPr>
          <w:rFonts w:hint="eastAsia" w:ascii="仿宋" w:hAnsi="仿宋" w:eastAsia="仿宋"/>
          <w:color w:val="000000"/>
          <w:sz w:val="32"/>
          <w:szCs w:val="32"/>
        </w:rPr>
        <w:t>；政府性基金预算财政拨款收入0万元，占0</w:t>
      </w:r>
      <w:r>
        <w:rPr>
          <w:rFonts w:ascii="仿宋" w:hAnsi="仿宋" w:eastAsia="仿宋"/>
          <w:color w:val="000000"/>
          <w:sz w:val="32"/>
          <w:szCs w:val="32"/>
        </w:rPr>
        <w:t>%</w:t>
      </w:r>
      <w:r>
        <w:rPr>
          <w:rFonts w:hint="eastAsia" w:ascii="仿宋" w:hAnsi="仿宋" w:eastAsia="仿宋"/>
          <w:color w:val="000000"/>
          <w:sz w:val="32"/>
          <w:szCs w:val="32"/>
        </w:rPr>
        <w:t>；上级补助收入0万元，占0</w:t>
      </w:r>
      <w:r>
        <w:rPr>
          <w:rFonts w:ascii="仿宋" w:hAnsi="仿宋" w:eastAsia="仿宋"/>
          <w:color w:val="000000"/>
          <w:sz w:val="32"/>
          <w:szCs w:val="32"/>
        </w:rPr>
        <w:t>%</w:t>
      </w:r>
      <w:r>
        <w:rPr>
          <w:rFonts w:hint="eastAsia" w:ascii="仿宋" w:hAnsi="仿宋" w:eastAsia="仿宋"/>
          <w:color w:val="000000"/>
          <w:sz w:val="32"/>
          <w:szCs w:val="32"/>
        </w:rPr>
        <w:t>；事业收入0万元，占0</w:t>
      </w:r>
      <w:r>
        <w:rPr>
          <w:rFonts w:ascii="仿宋" w:hAnsi="仿宋" w:eastAsia="仿宋"/>
          <w:color w:val="000000"/>
          <w:sz w:val="32"/>
          <w:szCs w:val="32"/>
        </w:rPr>
        <w:t>%</w:t>
      </w:r>
      <w:r>
        <w:rPr>
          <w:rFonts w:hint="eastAsia" w:ascii="仿宋" w:hAnsi="仿宋" w:eastAsia="仿宋"/>
          <w:color w:val="000000"/>
          <w:sz w:val="32"/>
          <w:szCs w:val="32"/>
        </w:rPr>
        <w:t>；经营收入0万元，占0</w:t>
      </w:r>
      <w:r>
        <w:rPr>
          <w:rFonts w:ascii="仿宋" w:hAnsi="仿宋" w:eastAsia="仿宋"/>
          <w:color w:val="000000"/>
          <w:sz w:val="32"/>
          <w:szCs w:val="32"/>
        </w:rPr>
        <w:t>%</w:t>
      </w:r>
      <w:r>
        <w:rPr>
          <w:rFonts w:hint="eastAsia" w:ascii="仿宋" w:hAnsi="仿宋" w:eastAsia="仿宋"/>
          <w:color w:val="000000"/>
          <w:sz w:val="32"/>
          <w:szCs w:val="32"/>
        </w:rPr>
        <w:t>；附属单位上缴收入0万元，占0</w:t>
      </w:r>
      <w:r>
        <w:rPr>
          <w:rFonts w:ascii="仿宋" w:hAnsi="仿宋" w:eastAsia="仿宋"/>
          <w:color w:val="000000"/>
          <w:sz w:val="32"/>
          <w:szCs w:val="32"/>
        </w:rPr>
        <w:t>%</w:t>
      </w:r>
      <w:r>
        <w:rPr>
          <w:rFonts w:hint="eastAsia" w:ascii="仿宋" w:hAnsi="仿宋" w:eastAsia="仿宋"/>
          <w:color w:val="000000"/>
          <w:sz w:val="32"/>
          <w:szCs w:val="32"/>
        </w:rPr>
        <w:t>；其他收入0万元，占0</w:t>
      </w:r>
      <w:r>
        <w:rPr>
          <w:rFonts w:ascii="仿宋" w:hAnsi="仿宋" w:eastAsia="仿宋"/>
          <w:color w:val="000000"/>
          <w:sz w:val="32"/>
          <w:szCs w:val="32"/>
        </w:rPr>
        <w:t>%</w:t>
      </w:r>
      <w:r>
        <w:rPr>
          <w:rFonts w:hint="eastAsia" w:ascii="仿宋" w:hAnsi="仿宋" w:eastAsia="仿宋"/>
          <w:color w:val="000000"/>
          <w:sz w:val="32"/>
          <w:szCs w:val="32"/>
        </w:rPr>
        <w:t>。</w:t>
      </w:r>
    </w:p>
    <w:p w14:paraId="7E56DF1C">
      <w:pPr>
        <w:pStyle w:val="24"/>
        <w:widowControl w:val="0"/>
        <w:numPr>
          <w:ilvl w:val="0"/>
          <w:numId w:val="1"/>
        </w:numPr>
        <w:wordWrap/>
        <w:snapToGrid/>
        <w:spacing w:line="240" w:lineRule="auto"/>
        <w:ind w:left="0" w:leftChars="0" w:right="0" w:firstLine="600" w:firstLineChars="200"/>
        <w:jc w:val="left"/>
        <w:textAlignment w:val="auto"/>
        <w:outlineLvl w:val="1"/>
        <w:rPr>
          <w:rFonts w:hint="eastAsia" w:ascii="黑体" w:hAnsi="黑体" w:eastAsia="黑体" w:cs="黑体"/>
          <w:b w:val="0"/>
          <w:bCs w:val="0"/>
          <w:color w:val="000000"/>
          <w:sz w:val="30"/>
          <w:szCs w:val="30"/>
        </w:rPr>
      </w:pPr>
      <w:bookmarkStart w:id="28" w:name="_Toc5113"/>
      <w:bookmarkStart w:id="29" w:name="_Toc15377207"/>
      <w:bookmarkStart w:id="30" w:name="_Toc15396605"/>
      <w:r>
        <w:rPr>
          <w:rFonts w:hint="eastAsia" w:ascii="黑体" w:hAnsi="黑体" w:eastAsia="黑体" w:cs="黑体"/>
          <w:b w:val="0"/>
          <w:bCs w:val="0"/>
          <w:color w:val="000000"/>
          <w:sz w:val="30"/>
          <w:szCs w:val="30"/>
        </w:rPr>
        <w:t>支出决算情况说明</w:t>
      </w:r>
      <w:bookmarkEnd w:id="28"/>
      <w:bookmarkEnd w:id="29"/>
      <w:bookmarkEnd w:id="30"/>
      <w:bookmarkStart w:id="31" w:name="_Toc15396606"/>
      <w:bookmarkStart w:id="32" w:name="_Toc15377208"/>
    </w:p>
    <w:p w14:paraId="4017E8C9">
      <w:pPr>
        <w:pStyle w:val="2"/>
        <w:ind w:firstLine="640" w:firstLineChars="200"/>
        <w:rPr>
          <w:rFonts w:hint="eastAsia" w:ascii="仿宋" w:hAnsi="仿宋" w:eastAsia="仿宋"/>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年本年支出合计1028.72万元，其中：基本支出688.72万元，占66.95</w:t>
      </w:r>
      <w:r>
        <w:rPr>
          <w:rFonts w:ascii="仿宋" w:hAnsi="仿宋" w:eastAsia="仿宋"/>
          <w:color w:val="000000"/>
          <w:sz w:val="32"/>
          <w:szCs w:val="32"/>
        </w:rPr>
        <w:t>%</w:t>
      </w:r>
      <w:r>
        <w:rPr>
          <w:rFonts w:hint="eastAsia" w:ascii="仿宋" w:hAnsi="仿宋" w:eastAsia="仿宋"/>
          <w:color w:val="000000"/>
          <w:sz w:val="32"/>
          <w:szCs w:val="32"/>
        </w:rPr>
        <w:t>；项目支出340万元，占33.05</w:t>
      </w:r>
      <w:r>
        <w:rPr>
          <w:rFonts w:ascii="仿宋" w:hAnsi="仿宋" w:eastAsia="仿宋"/>
          <w:color w:val="000000"/>
          <w:sz w:val="32"/>
          <w:szCs w:val="32"/>
        </w:rPr>
        <w:t>%</w:t>
      </w:r>
      <w:r>
        <w:rPr>
          <w:rFonts w:hint="eastAsia" w:ascii="仿宋" w:hAnsi="仿宋" w:eastAsia="仿宋"/>
          <w:color w:val="000000"/>
          <w:sz w:val="32"/>
          <w:szCs w:val="32"/>
        </w:rPr>
        <w:t>；上缴上级支出0万元，占0</w:t>
      </w:r>
      <w:r>
        <w:rPr>
          <w:rFonts w:ascii="仿宋" w:hAnsi="仿宋" w:eastAsia="仿宋"/>
          <w:color w:val="000000"/>
          <w:sz w:val="32"/>
          <w:szCs w:val="32"/>
        </w:rPr>
        <w:t>%</w:t>
      </w:r>
      <w:r>
        <w:rPr>
          <w:rFonts w:hint="eastAsia" w:ascii="仿宋" w:hAnsi="仿宋" w:eastAsia="仿宋"/>
          <w:color w:val="000000"/>
          <w:sz w:val="32"/>
          <w:szCs w:val="32"/>
        </w:rPr>
        <w:t>；经营支出0万元，占0</w:t>
      </w:r>
      <w:r>
        <w:rPr>
          <w:rFonts w:ascii="仿宋" w:hAnsi="仿宋" w:eastAsia="仿宋"/>
          <w:color w:val="000000"/>
          <w:sz w:val="32"/>
          <w:szCs w:val="32"/>
        </w:rPr>
        <w:t>%</w:t>
      </w:r>
      <w:r>
        <w:rPr>
          <w:rFonts w:hint="eastAsia" w:ascii="仿宋" w:hAnsi="仿宋" w:eastAsia="仿宋"/>
          <w:color w:val="000000"/>
          <w:sz w:val="32"/>
          <w:szCs w:val="32"/>
        </w:rPr>
        <w:t>；对附属单位补助支出0万元，占0</w:t>
      </w:r>
      <w:r>
        <w:rPr>
          <w:rFonts w:ascii="仿宋" w:hAnsi="仿宋" w:eastAsia="仿宋"/>
          <w:color w:val="000000"/>
          <w:sz w:val="32"/>
          <w:szCs w:val="32"/>
        </w:rPr>
        <w:t>%</w:t>
      </w:r>
      <w:r>
        <w:rPr>
          <w:rFonts w:hint="eastAsia" w:ascii="仿宋" w:hAnsi="仿宋" w:eastAsia="仿宋"/>
          <w:color w:val="000000"/>
          <w:sz w:val="32"/>
          <w:szCs w:val="32"/>
        </w:rPr>
        <w:t>。</w:t>
      </w:r>
    </w:p>
    <w:p w14:paraId="77899481">
      <w:pPr>
        <w:pStyle w:val="24"/>
        <w:widowControl w:val="0"/>
        <w:numPr>
          <w:ilvl w:val="0"/>
          <w:numId w:val="1"/>
        </w:numPr>
        <w:wordWrap/>
        <w:snapToGrid/>
        <w:spacing w:line="240" w:lineRule="auto"/>
        <w:ind w:left="0" w:leftChars="0" w:right="0" w:firstLine="600" w:firstLineChars="200"/>
        <w:jc w:val="left"/>
        <w:textAlignment w:val="auto"/>
        <w:outlineLvl w:val="1"/>
        <w:rPr>
          <w:rFonts w:hint="eastAsia" w:ascii="黑体" w:hAnsi="黑体" w:eastAsia="黑体" w:cs="黑体"/>
          <w:b w:val="0"/>
          <w:bCs w:val="0"/>
          <w:color w:val="000000"/>
          <w:sz w:val="30"/>
          <w:szCs w:val="30"/>
        </w:rPr>
      </w:pPr>
      <w:bookmarkStart w:id="33" w:name="_Toc13428"/>
      <w:r>
        <w:rPr>
          <w:rFonts w:hint="eastAsia" w:ascii="黑体" w:hAnsi="黑体" w:eastAsia="黑体" w:cs="黑体"/>
          <w:b w:val="0"/>
          <w:bCs w:val="0"/>
          <w:color w:val="000000"/>
          <w:sz w:val="30"/>
          <w:szCs w:val="30"/>
        </w:rPr>
        <w:t>财政拨款收入支出决算总体情况说明</w:t>
      </w:r>
      <w:bookmarkEnd w:id="31"/>
      <w:bookmarkEnd w:id="32"/>
      <w:bookmarkEnd w:id="33"/>
      <w:bookmarkStart w:id="34" w:name="_Toc15396607"/>
      <w:bookmarkStart w:id="35" w:name="_Toc15377209"/>
    </w:p>
    <w:p w14:paraId="63147C99">
      <w:pPr>
        <w:spacing w:line="600" w:lineRule="exact"/>
        <w:ind w:firstLine="640" w:firstLineChars="200"/>
        <w:rPr>
          <w:rFonts w:hint="eastAsia" w:ascii="仿宋" w:hAnsi="仿宋" w:eastAsia="仿宋"/>
          <w:sz w:val="32"/>
          <w:szCs w:val="32"/>
        </w:rPr>
      </w:pPr>
      <w:r>
        <w:rPr>
          <w:rFonts w:ascii="仿宋" w:hAnsi="仿宋" w:eastAsia="仿宋"/>
          <w:color w:val="000000"/>
          <w:sz w:val="32"/>
          <w:szCs w:val="32"/>
        </w:rPr>
        <w:t>2020</w:t>
      </w:r>
      <w:r>
        <w:rPr>
          <w:rFonts w:hint="eastAsia" w:ascii="仿宋" w:hAnsi="仿宋" w:eastAsia="仿宋"/>
          <w:color w:val="000000"/>
          <w:sz w:val="32"/>
          <w:szCs w:val="32"/>
        </w:rPr>
        <w:t>年财政拨款收、支总计1028.72万元。与</w:t>
      </w:r>
      <w:r>
        <w:rPr>
          <w:rFonts w:ascii="仿宋" w:hAnsi="仿宋" w:eastAsia="仿宋"/>
          <w:color w:val="000000"/>
          <w:sz w:val="32"/>
          <w:szCs w:val="32"/>
        </w:rPr>
        <w:t>2019</w:t>
      </w:r>
      <w:r>
        <w:rPr>
          <w:rFonts w:hint="eastAsia" w:ascii="仿宋" w:hAnsi="仿宋" w:eastAsia="仿宋"/>
          <w:color w:val="000000"/>
          <w:sz w:val="32"/>
          <w:szCs w:val="32"/>
        </w:rPr>
        <w:t>年相比，财政拨款收、支总计</w:t>
      </w:r>
      <w:r>
        <w:rPr>
          <w:rFonts w:hint="eastAsia" w:ascii="仿宋" w:hAnsi="仿宋" w:eastAsia="仿宋"/>
          <w:sz w:val="32"/>
          <w:szCs w:val="32"/>
        </w:rPr>
        <w:t>各减少39.</w:t>
      </w:r>
      <w:r>
        <w:rPr>
          <w:rFonts w:hint="eastAsia" w:ascii="仿宋" w:hAnsi="仿宋" w:eastAsia="仿宋"/>
          <w:sz w:val="32"/>
          <w:szCs w:val="32"/>
          <w:lang w:val="en-US" w:eastAsia="zh-CN"/>
        </w:rPr>
        <w:t>2</w:t>
      </w:r>
      <w:r>
        <w:rPr>
          <w:rFonts w:hint="eastAsia" w:ascii="仿宋" w:hAnsi="仿宋" w:eastAsia="仿宋"/>
          <w:sz w:val="32"/>
          <w:szCs w:val="32"/>
        </w:rPr>
        <w:t>万元，减少3.67</w:t>
      </w:r>
      <w:r>
        <w:rPr>
          <w:rFonts w:ascii="仿宋" w:hAnsi="仿宋" w:eastAsia="仿宋"/>
          <w:sz w:val="32"/>
          <w:szCs w:val="32"/>
        </w:rPr>
        <w:t>%</w:t>
      </w:r>
      <w:r>
        <w:rPr>
          <w:rFonts w:hint="eastAsia" w:ascii="仿宋" w:hAnsi="仿宋" w:eastAsia="仿宋"/>
          <w:sz w:val="32"/>
          <w:szCs w:val="32"/>
        </w:rPr>
        <w:t>。主要变动原因是人员经费减少和项目</w:t>
      </w:r>
      <w:r>
        <w:rPr>
          <w:rFonts w:ascii="仿宋" w:hAnsi="仿宋" w:eastAsia="仿宋"/>
          <w:sz w:val="32"/>
          <w:szCs w:val="32"/>
        </w:rPr>
        <w:t>支出</w:t>
      </w:r>
      <w:r>
        <w:rPr>
          <w:rFonts w:hint="eastAsia" w:ascii="仿宋" w:hAnsi="仿宋" w:eastAsia="仿宋"/>
          <w:sz w:val="32"/>
          <w:szCs w:val="32"/>
        </w:rPr>
        <w:t>减少。</w:t>
      </w:r>
    </w:p>
    <w:p w14:paraId="354DAE43">
      <w:pPr>
        <w:pStyle w:val="24"/>
        <w:widowControl w:val="0"/>
        <w:numPr>
          <w:ilvl w:val="0"/>
          <w:numId w:val="1"/>
        </w:numPr>
        <w:wordWrap/>
        <w:snapToGrid/>
        <w:spacing w:line="240" w:lineRule="auto"/>
        <w:ind w:left="0" w:leftChars="0" w:right="0" w:firstLine="600" w:firstLineChars="200"/>
        <w:jc w:val="left"/>
        <w:textAlignment w:val="auto"/>
        <w:outlineLvl w:val="1"/>
        <w:rPr>
          <w:rFonts w:hint="eastAsia" w:ascii="黑体" w:hAnsi="黑体" w:eastAsia="黑体" w:cs="黑体"/>
          <w:b w:val="0"/>
          <w:bCs w:val="0"/>
          <w:color w:val="000000"/>
          <w:sz w:val="30"/>
          <w:szCs w:val="30"/>
        </w:rPr>
      </w:pPr>
      <w:bookmarkStart w:id="36" w:name="_Toc957"/>
      <w:r>
        <w:rPr>
          <w:rFonts w:hint="eastAsia" w:ascii="黑体" w:hAnsi="黑体" w:eastAsia="黑体" w:cs="黑体"/>
          <w:b w:val="0"/>
          <w:bCs w:val="0"/>
          <w:color w:val="000000"/>
          <w:sz w:val="30"/>
          <w:szCs w:val="30"/>
        </w:rPr>
        <w:t>一般公共预算财政拨款支出决算情况说明</w:t>
      </w:r>
      <w:bookmarkEnd w:id="34"/>
      <w:bookmarkEnd w:id="35"/>
      <w:bookmarkEnd w:id="36"/>
      <w:bookmarkStart w:id="37" w:name="_Toc15377214"/>
      <w:bookmarkStart w:id="38" w:name="_Toc15396608"/>
    </w:p>
    <w:p w14:paraId="53AA7DB6">
      <w:pPr>
        <w:spacing w:line="600" w:lineRule="exact"/>
        <w:ind w:firstLine="643" w:firstLineChars="200"/>
        <w:outlineLvl w:val="2"/>
        <w:rPr>
          <w:rFonts w:ascii="仿宋" w:hAnsi="仿宋" w:eastAsia="仿宋"/>
          <w:b/>
          <w:color w:val="000000"/>
          <w:sz w:val="32"/>
          <w:szCs w:val="32"/>
        </w:rPr>
      </w:pPr>
      <w:bookmarkStart w:id="39" w:name="_Toc24870"/>
      <w:bookmarkStart w:id="40" w:name="_Toc15377210"/>
      <w:r>
        <w:rPr>
          <w:rFonts w:hint="eastAsia" w:ascii="仿宋" w:hAnsi="仿宋" w:eastAsia="仿宋"/>
          <w:b/>
          <w:color w:val="000000"/>
          <w:sz w:val="32"/>
          <w:szCs w:val="32"/>
        </w:rPr>
        <w:t>（一）一般公共预算财政拨款支出决算总体情况</w:t>
      </w:r>
    </w:p>
    <w:p w14:paraId="584A194F">
      <w:pPr>
        <w:spacing w:line="600" w:lineRule="exact"/>
        <w:ind w:firstLine="640" w:firstLineChars="200"/>
        <w:rPr>
          <w:rFonts w:ascii="仿宋" w:hAnsi="仿宋" w:eastAsia="仿宋"/>
          <w:sz w:val="32"/>
          <w:szCs w:val="32"/>
        </w:rPr>
      </w:pPr>
      <w:r>
        <w:rPr>
          <w:rFonts w:ascii="仿宋" w:hAnsi="仿宋" w:eastAsia="仿宋"/>
          <w:color w:val="000000"/>
          <w:sz w:val="32"/>
          <w:szCs w:val="32"/>
        </w:rPr>
        <w:t>2020</w:t>
      </w:r>
      <w:r>
        <w:rPr>
          <w:rFonts w:hint="eastAsia" w:ascii="仿宋" w:hAnsi="仿宋" w:eastAsia="仿宋"/>
          <w:color w:val="000000"/>
          <w:sz w:val="32"/>
          <w:szCs w:val="32"/>
        </w:rPr>
        <w:t>年一般公共预算财政拨款支出1028.72万元，占本年支出合计的</w:t>
      </w:r>
      <w:r>
        <w:rPr>
          <w:rFonts w:hint="eastAsia" w:ascii="仿宋" w:hAnsi="仿宋" w:eastAsia="仿宋"/>
          <w:sz w:val="32"/>
          <w:szCs w:val="32"/>
        </w:rPr>
        <w:t>100</w:t>
      </w:r>
      <w:r>
        <w:rPr>
          <w:rFonts w:ascii="仿宋" w:hAnsi="仿宋" w:eastAsia="仿宋"/>
          <w:sz w:val="32"/>
          <w:szCs w:val="32"/>
        </w:rPr>
        <w:t>%</w:t>
      </w:r>
      <w:r>
        <w:rPr>
          <w:rFonts w:hint="eastAsia" w:ascii="仿宋" w:hAnsi="仿宋" w:eastAsia="仿宋"/>
          <w:sz w:val="32"/>
          <w:szCs w:val="32"/>
        </w:rPr>
        <w:t>。与</w:t>
      </w:r>
      <w:r>
        <w:rPr>
          <w:rFonts w:ascii="仿宋" w:hAnsi="仿宋" w:eastAsia="仿宋"/>
          <w:sz w:val="32"/>
          <w:szCs w:val="32"/>
        </w:rPr>
        <w:t>2019</w:t>
      </w:r>
      <w:r>
        <w:rPr>
          <w:rFonts w:hint="eastAsia" w:ascii="仿宋" w:hAnsi="仿宋" w:eastAsia="仿宋"/>
          <w:sz w:val="32"/>
          <w:szCs w:val="32"/>
        </w:rPr>
        <w:t>年相比，一般公共预算财政拨款减少39.</w:t>
      </w:r>
      <w:r>
        <w:rPr>
          <w:rFonts w:hint="eastAsia" w:ascii="仿宋" w:hAnsi="仿宋" w:eastAsia="仿宋"/>
          <w:sz w:val="32"/>
          <w:szCs w:val="32"/>
          <w:lang w:val="en-US" w:eastAsia="zh-CN"/>
        </w:rPr>
        <w:t>2</w:t>
      </w:r>
      <w:r>
        <w:rPr>
          <w:rFonts w:hint="eastAsia" w:ascii="仿宋" w:hAnsi="仿宋" w:eastAsia="仿宋"/>
          <w:sz w:val="32"/>
          <w:szCs w:val="32"/>
        </w:rPr>
        <w:t>万元</w:t>
      </w:r>
      <w:r>
        <w:rPr>
          <w:rFonts w:hint="eastAsia" w:ascii="仿宋" w:hAnsi="仿宋" w:eastAsia="仿宋"/>
          <w:color w:val="000000"/>
          <w:sz w:val="32"/>
          <w:szCs w:val="32"/>
        </w:rPr>
        <w:t>，</w:t>
      </w:r>
      <w:r>
        <w:rPr>
          <w:rFonts w:hint="eastAsia" w:ascii="仿宋" w:hAnsi="仿宋" w:eastAsia="仿宋"/>
          <w:sz w:val="32"/>
          <w:szCs w:val="32"/>
        </w:rPr>
        <w:t>减少3.67</w:t>
      </w:r>
      <w:r>
        <w:rPr>
          <w:rFonts w:ascii="仿宋" w:hAnsi="仿宋" w:eastAsia="仿宋"/>
          <w:sz w:val="32"/>
          <w:szCs w:val="32"/>
        </w:rPr>
        <w:t>%</w:t>
      </w:r>
      <w:r>
        <w:rPr>
          <w:rFonts w:hint="eastAsia" w:ascii="仿宋" w:hAnsi="仿宋" w:eastAsia="仿宋"/>
          <w:color w:val="000000"/>
          <w:sz w:val="32"/>
          <w:szCs w:val="32"/>
        </w:rPr>
        <w:t>。主要变动原因是</w:t>
      </w:r>
      <w:r>
        <w:rPr>
          <w:rFonts w:hint="eastAsia" w:ascii="仿宋" w:hAnsi="仿宋" w:eastAsia="仿宋"/>
          <w:sz w:val="32"/>
          <w:szCs w:val="32"/>
        </w:rPr>
        <w:t>人员经费减少和项目</w:t>
      </w:r>
      <w:r>
        <w:rPr>
          <w:rFonts w:ascii="仿宋" w:hAnsi="仿宋" w:eastAsia="仿宋"/>
          <w:sz w:val="32"/>
          <w:szCs w:val="32"/>
        </w:rPr>
        <w:t>支出</w:t>
      </w:r>
      <w:r>
        <w:rPr>
          <w:rFonts w:hint="eastAsia" w:ascii="仿宋" w:hAnsi="仿宋" w:eastAsia="仿宋"/>
          <w:sz w:val="32"/>
          <w:szCs w:val="32"/>
        </w:rPr>
        <w:t>减少。</w:t>
      </w:r>
    </w:p>
    <w:p w14:paraId="60BA874C">
      <w:pPr>
        <w:spacing w:line="60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（二）一般公共预算财政拨款支出决算结构情况</w:t>
      </w:r>
    </w:p>
    <w:p w14:paraId="0894B331">
      <w:pPr>
        <w:spacing w:line="600" w:lineRule="exact"/>
        <w:ind w:firstLine="800" w:firstLineChars="250"/>
        <w:rPr>
          <w:rFonts w:ascii="仿宋" w:hAnsi="仿宋" w:eastAsia="仿宋"/>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年一般公共预算财政拨款支出1028.72万元，主要用于以下方面</w:t>
      </w:r>
      <w:r>
        <w:rPr>
          <w:rFonts w:ascii="仿宋" w:hAnsi="仿宋" w:eastAsia="仿宋"/>
          <w:color w:val="000000"/>
          <w:sz w:val="32"/>
          <w:szCs w:val="32"/>
        </w:rPr>
        <w:t>:</w:t>
      </w:r>
      <w:r>
        <w:rPr>
          <w:rFonts w:hint="eastAsia" w:ascii="仿宋" w:hAnsi="仿宋" w:eastAsia="仿宋"/>
          <w:b/>
          <w:color w:val="000000"/>
          <w:sz w:val="32"/>
          <w:szCs w:val="32"/>
        </w:rPr>
        <w:t>教育支出（类）</w:t>
      </w:r>
      <w:r>
        <w:rPr>
          <w:rFonts w:hint="eastAsia" w:ascii="仿宋" w:hAnsi="仿宋" w:eastAsia="仿宋"/>
          <w:color w:val="000000"/>
          <w:sz w:val="32"/>
          <w:szCs w:val="32"/>
        </w:rPr>
        <w:t>1028.72万元，占</w:t>
      </w:r>
      <w:r>
        <w:rPr>
          <w:rFonts w:ascii="仿宋" w:hAnsi="仿宋" w:eastAsia="仿宋"/>
          <w:color w:val="000000"/>
          <w:sz w:val="32"/>
          <w:szCs w:val="32"/>
        </w:rPr>
        <w:t>100%</w:t>
      </w:r>
      <w:r>
        <w:rPr>
          <w:rFonts w:hint="eastAsia" w:ascii="仿宋" w:hAnsi="仿宋" w:eastAsia="仿宋"/>
          <w:color w:val="000000"/>
          <w:sz w:val="32"/>
          <w:szCs w:val="32"/>
        </w:rPr>
        <w:t>。</w:t>
      </w:r>
    </w:p>
    <w:bookmarkEnd w:id="39"/>
    <w:bookmarkEnd w:id="40"/>
    <w:p w14:paraId="41738BD5">
      <w:pPr>
        <w:spacing w:line="600" w:lineRule="exact"/>
        <w:ind w:firstLine="643" w:firstLineChars="200"/>
        <w:outlineLvl w:val="2"/>
        <w:rPr>
          <w:rFonts w:ascii="仿宋" w:hAnsi="仿宋" w:eastAsia="仿宋"/>
          <w:b/>
          <w:color w:val="000000"/>
          <w:sz w:val="32"/>
          <w:szCs w:val="32"/>
        </w:rPr>
      </w:pPr>
      <w:bookmarkStart w:id="41" w:name="_Toc12572"/>
      <w:r>
        <w:rPr>
          <w:rFonts w:hint="eastAsia" w:ascii="仿宋" w:hAnsi="仿宋" w:eastAsia="仿宋"/>
          <w:b/>
          <w:color w:val="000000"/>
          <w:sz w:val="32"/>
          <w:szCs w:val="32"/>
        </w:rPr>
        <w:t>（三）一般公共预算财政拨款支出决算具体情况</w:t>
      </w:r>
    </w:p>
    <w:p w14:paraId="7B2D9F6E">
      <w:pPr>
        <w:spacing w:line="600" w:lineRule="exact"/>
        <w:ind w:firstLine="640" w:firstLineChars="200"/>
        <w:outlineLvl w:val="2"/>
        <w:rPr>
          <w:rFonts w:ascii="仿宋" w:hAnsi="仿宋" w:eastAsia="仿宋"/>
          <w:color w:val="FF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年一般公共预算支出决算数为1028.72万元，</w:t>
      </w:r>
      <w:r>
        <w:rPr>
          <w:rStyle w:val="20"/>
          <w:rFonts w:hint="eastAsia" w:ascii="仿宋" w:hAnsi="仿宋" w:eastAsia="仿宋"/>
          <w:b w:val="0"/>
          <w:bCs/>
          <w:color w:val="000000"/>
          <w:sz w:val="32"/>
          <w:szCs w:val="32"/>
        </w:rPr>
        <w:t>完成预算100</w:t>
      </w:r>
      <w:r>
        <w:rPr>
          <w:rStyle w:val="20"/>
          <w:rFonts w:ascii="仿宋" w:hAnsi="仿宋" w:eastAsia="仿宋"/>
          <w:b w:val="0"/>
          <w:bCs/>
          <w:color w:val="000000"/>
          <w:sz w:val="32"/>
          <w:szCs w:val="32"/>
        </w:rPr>
        <w:t>%</w:t>
      </w:r>
      <w:r>
        <w:rPr>
          <w:rStyle w:val="20"/>
          <w:rFonts w:hint="eastAsia" w:ascii="仿宋" w:hAnsi="仿宋" w:eastAsia="仿宋"/>
          <w:b w:val="0"/>
          <w:bCs/>
          <w:color w:val="000000"/>
          <w:sz w:val="32"/>
          <w:szCs w:val="32"/>
        </w:rPr>
        <w:t>。其中：</w:t>
      </w:r>
    </w:p>
    <w:p w14:paraId="0F2A7488">
      <w:pPr>
        <w:spacing w:line="600" w:lineRule="exact"/>
        <w:ind w:firstLine="640" w:firstLineChars="200"/>
        <w:rPr>
          <w:rStyle w:val="20"/>
          <w:rFonts w:hint="eastAsia" w:ascii="仿宋" w:hAnsi="仿宋" w:eastAsia="仿宋"/>
          <w:b w:val="0"/>
          <w:bCs/>
          <w:color w:val="000000"/>
          <w:sz w:val="32"/>
          <w:szCs w:val="32"/>
        </w:rPr>
      </w:pPr>
      <w:r>
        <w:rPr>
          <w:rStyle w:val="20"/>
          <w:rFonts w:ascii="仿宋" w:hAnsi="仿宋" w:eastAsia="仿宋"/>
          <w:b w:val="0"/>
          <w:bCs/>
          <w:color w:val="000000"/>
          <w:sz w:val="32"/>
          <w:szCs w:val="32"/>
        </w:rPr>
        <w:t>1</w:t>
      </w:r>
      <w:r>
        <w:rPr>
          <w:rStyle w:val="20"/>
          <w:rFonts w:hint="eastAsia" w:ascii="仿宋" w:hAnsi="仿宋" w:eastAsia="仿宋"/>
          <w:b w:val="0"/>
          <w:bCs/>
          <w:color w:val="000000"/>
          <w:sz w:val="32"/>
          <w:szCs w:val="32"/>
        </w:rPr>
        <w:t>.教育（205）普通教育（20502）初中教育</w:t>
      </w:r>
      <w:r>
        <w:rPr>
          <w:rStyle w:val="20"/>
          <w:rFonts w:hint="eastAsia" w:ascii="仿宋" w:hAnsi="仿宋" w:eastAsia="仿宋"/>
          <w:bCs/>
          <w:color w:val="000000"/>
          <w:sz w:val="32"/>
          <w:szCs w:val="32"/>
        </w:rPr>
        <w:t>（2050203）</w:t>
      </w:r>
      <w:r>
        <w:rPr>
          <w:rStyle w:val="20"/>
          <w:rFonts w:ascii="仿宋" w:hAnsi="仿宋" w:eastAsia="仿宋"/>
          <w:bCs/>
          <w:color w:val="000000"/>
          <w:sz w:val="32"/>
          <w:szCs w:val="32"/>
        </w:rPr>
        <w:t>:</w:t>
      </w:r>
      <w:r>
        <w:rPr>
          <w:rStyle w:val="20"/>
          <w:rFonts w:hint="eastAsia" w:ascii="仿宋" w:hAnsi="仿宋" w:eastAsia="仿宋"/>
          <w:b w:val="0"/>
          <w:bCs/>
          <w:color w:val="000000"/>
          <w:sz w:val="32"/>
          <w:szCs w:val="32"/>
        </w:rPr>
        <w:t>支出决算为688.72万元，完成预算100</w:t>
      </w:r>
      <w:r>
        <w:rPr>
          <w:rStyle w:val="20"/>
          <w:rFonts w:ascii="仿宋" w:hAnsi="仿宋" w:eastAsia="仿宋"/>
          <w:b w:val="0"/>
          <w:bCs/>
          <w:color w:val="000000"/>
          <w:sz w:val="32"/>
          <w:szCs w:val="32"/>
        </w:rPr>
        <w:t>%</w:t>
      </w:r>
      <w:r>
        <w:rPr>
          <w:rStyle w:val="20"/>
          <w:rFonts w:hint="eastAsia" w:ascii="仿宋" w:hAnsi="仿宋" w:eastAsia="仿宋"/>
          <w:b w:val="0"/>
          <w:bCs/>
          <w:color w:val="000000"/>
          <w:sz w:val="32"/>
          <w:szCs w:val="32"/>
        </w:rPr>
        <w:t>。</w:t>
      </w:r>
    </w:p>
    <w:p w14:paraId="451F9277">
      <w:pPr>
        <w:pStyle w:val="24"/>
        <w:widowControl w:val="0"/>
        <w:numPr>
          <w:ilvl w:val="0"/>
          <w:numId w:val="0"/>
        </w:numPr>
        <w:wordWrap/>
        <w:snapToGrid/>
        <w:spacing w:line="240" w:lineRule="auto"/>
        <w:ind w:leftChars="200" w:right="0" w:rightChars="0"/>
        <w:jc w:val="left"/>
        <w:textAlignment w:val="auto"/>
        <w:outlineLvl w:val="1"/>
        <w:rPr>
          <w:rFonts w:hint="eastAsia" w:ascii="黑体" w:hAnsi="黑体" w:eastAsia="黑体" w:cs="黑体"/>
          <w:b/>
          <w:color w:val="000000"/>
          <w:sz w:val="30"/>
          <w:szCs w:val="30"/>
          <w:lang w:val="en-US" w:eastAsia="zh-CN"/>
        </w:rPr>
      </w:pPr>
      <w:r>
        <w:rPr>
          <w:rStyle w:val="20"/>
          <w:rFonts w:ascii="仿宋" w:hAnsi="仿宋" w:eastAsia="仿宋"/>
          <w:b w:val="0"/>
          <w:bCs w:val="0"/>
          <w:color w:val="000000"/>
          <w:sz w:val="32"/>
          <w:szCs w:val="32"/>
        </w:rPr>
        <w:t>2</w:t>
      </w:r>
      <w:r>
        <w:rPr>
          <w:rStyle w:val="20"/>
          <w:rFonts w:hint="eastAsia" w:ascii="仿宋" w:hAnsi="仿宋" w:eastAsia="仿宋"/>
          <w:b w:val="0"/>
          <w:bCs w:val="0"/>
          <w:color w:val="000000"/>
          <w:sz w:val="32"/>
          <w:szCs w:val="32"/>
        </w:rPr>
        <w:t>.教育（205）普通教育（20502）其他普通教育支出</w:t>
      </w:r>
      <w:r>
        <w:rPr>
          <w:rStyle w:val="20"/>
          <w:rFonts w:hint="eastAsia" w:ascii="仿宋" w:hAnsi="仿宋" w:eastAsia="仿宋"/>
          <w:b/>
          <w:bCs/>
          <w:color w:val="000000"/>
          <w:sz w:val="32"/>
          <w:szCs w:val="32"/>
        </w:rPr>
        <w:t>（2050299）</w:t>
      </w:r>
      <w:r>
        <w:rPr>
          <w:rStyle w:val="20"/>
          <w:rFonts w:ascii="仿宋" w:hAnsi="仿宋" w:eastAsia="仿宋"/>
          <w:bCs/>
          <w:color w:val="000000"/>
          <w:sz w:val="32"/>
          <w:szCs w:val="32"/>
        </w:rPr>
        <w:t>:</w:t>
      </w:r>
      <w:r>
        <w:rPr>
          <w:rStyle w:val="20"/>
          <w:rFonts w:hint="eastAsia" w:ascii="仿宋" w:hAnsi="仿宋" w:eastAsia="仿宋"/>
          <w:b w:val="0"/>
          <w:bCs/>
          <w:color w:val="000000"/>
          <w:sz w:val="32"/>
          <w:szCs w:val="32"/>
        </w:rPr>
        <w:t>支出决算为340万元，完成预算100</w:t>
      </w:r>
      <w:r>
        <w:rPr>
          <w:rStyle w:val="20"/>
          <w:rFonts w:ascii="仿宋" w:hAnsi="仿宋" w:eastAsia="仿宋"/>
          <w:b w:val="0"/>
          <w:bCs/>
          <w:color w:val="000000"/>
          <w:sz w:val="32"/>
          <w:szCs w:val="32"/>
        </w:rPr>
        <w:t>%</w:t>
      </w:r>
      <w:r>
        <w:rPr>
          <w:rStyle w:val="20"/>
          <w:rFonts w:hint="eastAsia" w:ascii="仿宋" w:hAnsi="仿宋" w:eastAsia="仿宋"/>
          <w:b w:val="0"/>
          <w:bCs/>
          <w:color w:val="000000"/>
          <w:sz w:val="32"/>
          <w:szCs w:val="32"/>
        </w:rPr>
        <w:t>。</w:t>
      </w:r>
    </w:p>
    <w:p w14:paraId="231EBC46">
      <w:pPr>
        <w:pStyle w:val="24"/>
        <w:widowControl w:val="0"/>
        <w:numPr>
          <w:ilvl w:val="0"/>
          <w:numId w:val="0"/>
        </w:numPr>
        <w:wordWrap/>
        <w:snapToGrid/>
        <w:spacing w:line="240" w:lineRule="auto"/>
        <w:ind w:right="0" w:rightChars="0" w:firstLine="602" w:firstLineChars="200"/>
        <w:jc w:val="both"/>
        <w:textAlignment w:val="auto"/>
        <w:outlineLvl w:val="1"/>
        <w:rPr>
          <w:rStyle w:val="37"/>
          <w:rFonts w:hint="eastAsia" w:ascii="黑体" w:hAnsi="黑体" w:eastAsia="黑体" w:cs="黑体"/>
          <w:b w:val="0"/>
          <w:sz w:val="30"/>
          <w:szCs w:val="30"/>
        </w:rPr>
      </w:pPr>
      <w:r>
        <w:rPr>
          <w:rFonts w:hint="eastAsia" w:ascii="黑体" w:hAnsi="黑体" w:eastAsia="黑体" w:cs="黑体"/>
          <w:b/>
          <w:color w:val="000000"/>
          <w:sz w:val="30"/>
          <w:szCs w:val="30"/>
          <w:lang w:val="en-US" w:eastAsia="zh-CN"/>
        </w:rPr>
        <w:t>六</w:t>
      </w:r>
      <w:r>
        <w:rPr>
          <w:rFonts w:hint="eastAsia" w:ascii="黑体" w:hAnsi="黑体" w:eastAsia="黑体" w:cs="黑体"/>
          <w:b w:val="0"/>
          <w:bCs w:val="0"/>
          <w:color w:val="000000"/>
          <w:sz w:val="30"/>
          <w:szCs w:val="30"/>
          <w:lang w:val="en-US" w:eastAsia="zh-CN"/>
        </w:rPr>
        <w:t>、</w:t>
      </w:r>
      <w:r>
        <w:rPr>
          <w:rFonts w:hint="eastAsia" w:ascii="黑体" w:hAnsi="黑体" w:eastAsia="黑体" w:cs="黑体"/>
          <w:b w:val="0"/>
          <w:bCs w:val="0"/>
          <w:color w:val="000000"/>
          <w:sz w:val="30"/>
          <w:szCs w:val="30"/>
        </w:rPr>
        <w:t>一般公共预算财政拨款基本支出决算情况说明</w:t>
      </w:r>
      <w:bookmarkEnd w:id="37"/>
      <w:bookmarkEnd w:id="38"/>
      <w:bookmarkEnd w:id="41"/>
      <w:bookmarkStart w:id="42" w:name="_Toc15396609"/>
      <w:bookmarkStart w:id="43" w:name="_Toc15377215"/>
    </w:p>
    <w:p w14:paraId="7FA89196">
      <w:pPr>
        <w:widowControl/>
        <w:ind w:firstLine="640" w:firstLineChars="200"/>
        <w:rPr>
          <w:rFonts w:ascii="仿宋" w:hAnsi="仿宋" w:eastAsia="仿宋"/>
          <w:color w:val="000000"/>
          <w:sz w:val="32"/>
          <w:szCs w:val="32"/>
        </w:rPr>
      </w:pPr>
      <w:bookmarkStart w:id="44" w:name="_Toc10333"/>
      <w:r>
        <w:rPr>
          <w:rFonts w:ascii="仿宋" w:hAnsi="仿宋" w:eastAsia="仿宋"/>
          <w:color w:val="000000"/>
          <w:sz w:val="32"/>
          <w:szCs w:val="32"/>
        </w:rPr>
        <w:t>2020</w:t>
      </w:r>
      <w:r>
        <w:rPr>
          <w:rFonts w:hint="eastAsia" w:ascii="仿宋" w:hAnsi="仿宋" w:eastAsia="仿宋"/>
          <w:color w:val="000000"/>
          <w:sz w:val="32"/>
          <w:szCs w:val="32"/>
        </w:rPr>
        <w:t>年一般公共预算财政拨款基本支出688.72万元，其中：</w:t>
      </w:r>
    </w:p>
    <w:p w14:paraId="4B900571">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人员经费62</w:t>
      </w:r>
      <w:r>
        <w:rPr>
          <w:rFonts w:hint="eastAsia" w:ascii="仿宋" w:hAnsi="仿宋" w:eastAsia="仿宋"/>
          <w:color w:val="000000"/>
          <w:sz w:val="32"/>
          <w:szCs w:val="32"/>
          <w:lang w:val="en-US" w:eastAsia="zh-CN"/>
        </w:rPr>
        <w:t>3万</w:t>
      </w:r>
      <w:r>
        <w:rPr>
          <w:rFonts w:hint="eastAsia" w:ascii="仿宋" w:hAnsi="仿宋" w:eastAsia="仿宋"/>
          <w:color w:val="000000"/>
          <w:sz w:val="32"/>
          <w:szCs w:val="32"/>
        </w:rPr>
        <w:t>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color w:val="000000"/>
          <w:sz w:val="32"/>
          <w:szCs w:val="32"/>
        </w:rPr>
        <w:br w:type="textWrapping"/>
      </w:r>
      <w:r>
        <w:rPr>
          <w:rFonts w:hint="eastAsia" w:ascii="仿宋" w:hAnsi="仿宋" w:eastAsia="仿宋"/>
          <w:color w:val="000000"/>
          <w:sz w:val="32"/>
          <w:szCs w:val="32"/>
        </w:rPr>
        <w:t>　　日常公用经费65.7</w:t>
      </w:r>
      <w:r>
        <w:rPr>
          <w:rFonts w:hint="eastAsia" w:ascii="仿宋" w:hAnsi="仿宋" w:eastAsia="仿宋"/>
          <w:color w:val="000000"/>
          <w:sz w:val="32"/>
          <w:szCs w:val="32"/>
          <w:lang w:val="en-US" w:eastAsia="zh-CN"/>
        </w:rPr>
        <w:t>3</w:t>
      </w:r>
      <w:r>
        <w:rPr>
          <w:rFonts w:hint="eastAsia" w:ascii="仿宋" w:hAnsi="仿宋" w:eastAsia="仿宋"/>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14:paraId="5787A3F9">
      <w:pPr>
        <w:pStyle w:val="24"/>
        <w:widowControl w:val="0"/>
        <w:numPr>
          <w:ilvl w:val="0"/>
          <w:numId w:val="0"/>
        </w:numPr>
        <w:wordWrap/>
        <w:snapToGrid/>
        <w:spacing w:line="240" w:lineRule="auto"/>
        <w:ind w:leftChars="200" w:right="0" w:rightChars="0"/>
        <w:jc w:val="left"/>
        <w:textAlignment w:val="auto"/>
        <w:outlineLvl w:val="1"/>
        <w:rPr>
          <w:rFonts w:hint="eastAsia" w:ascii="黑体" w:hAnsi="黑体" w:eastAsia="黑体" w:cs="黑体"/>
          <w:b w:val="0"/>
          <w:bCs w:val="0"/>
          <w:color w:val="000000"/>
          <w:sz w:val="30"/>
          <w:szCs w:val="30"/>
          <w:lang w:val="en-US" w:eastAsia="zh-CN"/>
        </w:rPr>
      </w:pPr>
      <w:r>
        <w:rPr>
          <w:rFonts w:hint="eastAsia" w:ascii="黑体" w:hAnsi="黑体" w:eastAsia="黑体" w:cs="黑体"/>
          <w:b w:val="0"/>
          <w:bCs w:val="0"/>
          <w:color w:val="000000"/>
          <w:sz w:val="30"/>
          <w:szCs w:val="30"/>
          <w:lang w:val="en-US" w:eastAsia="zh-CN"/>
        </w:rPr>
        <w:t>七、“三公”经费财政拨款支出决算情况说明</w:t>
      </w:r>
      <w:bookmarkEnd w:id="42"/>
      <w:bookmarkEnd w:id="43"/>
      <w:bookmarkEnd w:id="44"/>
      <w:bookmarkStart w:id="45" w:name="_Toc15377218"/>
      <w:bookmarkStart w:id="46" w:name="_Toc15396610"/>
    </w:p>
    <w:p w14:paraId="3EF7ED98">
      <w:pPr>
        <w:spacing w:line="600" w:lineRule="exact"/>
        <w:ind w:firstLine="640"/>
        <w:outlineLvl w:val="2"/>
        <w:rPr>
          <w:rFonts w:ascii="仿宋" w:hAnsi="仿宋" w:eastAsia="仿宋"/>
          <w:b/>
          <w:color w:val="000000"/>
          <w:sz w:val="32"/>
          <w:szCs w:val="32"/>
        </w:rPr>
      </w:pPr>
      <w:bookmarkStart w:id="47" w:name="_Toc15377216"/>
      <w:bookmarkStart w:id="48" w:name="_Toc24782"/>
      <w:r>
        <w:rPr>
          <w:rFonts w:hint="eastAsia" w:ascii="仿宋" w:hAnsi="仿宋" w:eastAsia="仿宋"/>
          <w:b/>
          <w:color w:val="000000"/>
          <w:sz w:val="32"/>
          <w:szCs w:val="32"/>
        </w:rPr>
        <w:t>（一）“三公”经费财政拨款支出决算总体情况说明</w:t>
      </w:r>
      <w:bookmarkEnd w:id="47"/>
    </w:p>
    <w:p w14:paraId="371EDCDD">
      <w:pPr>
        <w:spacing w:line="600" w:lineRule="exact"/>
        <w:ind w:firstLine="640"/>
        <w:rPr>
          <w:rFonts w:ascii="仿宋" w:hAnsi="仿宋" w:eastAsia="仿宋"/>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年“三公”经费财政拨款支出决算为2.58万元，完成预算99.42</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_GB2312" w:eastAsia="仿宋_GB2312"/>
          <w:color w:val="000000"/>
          <w:sz w:val="32"/>
          <w:szCs w:val="32"/>
        </w:rPr>
        <w:t>主要原因是严格执行</w:t>
      </w:r>
      <w:r>
        <w:rPr>
          <w:rFonts w:hint="eastAsia" w:ascii="仿宋_GB2312" w:eastAsia="仿宋_GB2312"/>
          <w:color w:val="000000"/>
          <w:sz w:val="32"/>
          <w:szCs w:val="32"/>
          <w:lang w:eastAsia="zh-CN"/>
        </w:rPr>
        <w:t>中央八项规定</w:t>
      </w:r>
      <w:r>
        <w:rPr>
          <w:rFonts w:hint="eastAsia" w:ascii="仿宋_GB2312" w:eastAsia="仿宋_GB2312"/>
          <w:color w:val="000000"/>
          <w:sz w:val="32"/>
          <w:szCs w:val="32"/>
        </w:rPr>
        <w:t>，加强公务接待管理。</w:t>
      </w:r>
    </w:p>
    <w:p w14:paraId="1E7A8FFD">
      <w:pPr>
        <w:spacing w:line="600" w:lineRule="exact"/>
        <w:ind w:firstLine="640"/>
        <w:outlineLvl w:val="2"/>
        <w:rPr>
          <w:rFonts w:ascii="仿宋" w:hAnsi="仿宋" w:eastAsia="仿宋"/>
          <w:b/>
          <w:color w:val="000000"/>
          <w:sz w:val="32"/>
          <w:szCs w:val="32"/>
        </w:rPr>
      </w:pPr>
      <w:bookmarkStart w:id="49" w:name="_Toc15377217"/>
      <w:r>
        <w:rPr>
          <w:rFonts w:hint="eastAsia" w:ascii="仿宋" w:hAnsi="仿宋" w:eastAsia="仿宋"/>
          <w:b/>
          <w:color w:val="000000"/>
          <w:sz w:val="32"/>
          <w:szCs w:val="32"/>
        </w:rPr>
        <w:t>（二）“三公”经费财政拨款支出决算具体情况说明</w:t>
      </w:r>
      <w:bookmarkEnd w:id="49"/>
    </w:p>
    <w:p w14:paraId="1B598299">
      <w:pPr>
        <w:spacing w:line="600" w:lineRule="exact"/>
        <w:ind w:firstLine="640"/>
        <w:rPr>
          <w:rFonts w:hint="eastAsia" w:ascii="仿宋_GB2312" w:eastAsia="仿宋_GB2312"/>
          <w:color w:val="auto"/>
          <w:sz w:val="32"/>
          <w:szCs w:val="32"/>
          <w:highlight w:val="none"/>
          <w:lang w:val="en-US" w:eastAsia="zh-CN"/>
        </w:rPr>
      </w:pPr>
      <w:r>
        <w:rPr>
          <w:rFonts w:ascii="仿宋" w:hAnsi="仿宋" w:eastAsia="仿宋"/>
          <w:color w:val="000000"/>
          <w:sz w:val="32"/>
          <w:szCs w:val="32"/>
        </w:rPr>
        <w:t>2020</w:t>
      </w:r>
      <w:r>
        <w:rPr>
          <w:rFonts w:hint="eastAsia" w:ascii="仿宋" w:hAnsi="仿宋" w:eastAsia="仿宋"/>
          <w:color w:val="000000"/>
          <w:sz w:val="32"/>
          <w:szCs w:val="32"/>
        </w:rPr>
        <w:t>年“三公”经费财政拨款支出决算中，因公出国（境）费支出决算0万元，占0</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；公务用车购置及运行维护费支出决算0万元，占0</w:t>
      </w:r>
      <w:r>
        <w:rPr>
          <w:rFonts w:ascii="仿宋" w:hAnsi="仿宋" w:eastAsia="仿宋"/>
          <w:color w:val="000000"/>
          <w:sz w:val="32"/>
          <w:szCs w:val="32"/>
        </w:rPr>
        <w:t>%</w:t>
      </w:r>
      <w:r>
        <w:rPr>
          <w:rFonts w:hint="eastAsia" w:ascii="仿宋" w:hAnsi="仿宋" w:eastAsia="仿宋"/>
          <w:color w:val="000000"/>
          <w:sz w:val="32"/>
          <w:szCs w:val="32"/>
        </w:rPr>
        <w:t>；公务接待费支出决算2.58万元，占100</w:t>
      </w:r>
      <w:r>
        <w:rPr>
          <w:rFonts w:ascii="仿宋" w:hAnsi="仿宋" w:eastAsia="仿宋"/>
          <w:color w:val="000000"/>
          <w:sz w:val="32"/>
          <w:szCs w:val="32"/>
        </w:rPr>
        <w:t>%</w:t>
      </w:r>
      <w:r>
        <w:rPr>
          <w:rFonts w:hint="eastAsia" w:ascii="仿宋" w:hAnsi="仿宋" w:eastAsia="仿宋"/>
          <w:color w:val="000000"/>
          <w:sz w:val="32"/>
          <w:szCs w:val="32"/>
        </w:rPr>
        <w:t>。具体情况如</w:t>
      </w:r>
      <w:r>
        <w:rPr>
          <w:rFonts w:ascii="仿宋_GB2312" w:eastAsia="仿宋_GB2312"/>
          <w:b/>
          <w:color w:val="000000"/>
          <w:sz w:val="32"/>
          <w:szCs w:val="32"/>
        </w:rPr>
        <w:t>1.</w:t>
      </w:r>
      <w:r>
        <w:rPr>
          <w:rFonts w:hint="eastAsia" w:ascii="仿宋_GB2312" w:eastAsia="仿宋_GB2312"/>
          <w:b/>
          <w:color w:val="000000"/>
          <w:sz w:val="32"/>
          <w:szCs w:val="32"/>
        </w:rPr>
        <w:t>因公出国（境）经费支出</w:t>
      </w:r>
      <w:r>
        <w:rPr>
          <w:rFonts w:hint="eastAsia" w:ascii="仿宋_GB2312" w:eastAsia="仿宋_GB2312"/>
          <w:b/>
          <w:color w:val="000000"/>
          <w:sz w:val="32"/>
          <w:szCs w:val="32"/>
          <w:lang w:val="en-US" w:eastAsia="zh-CN"/>
        </w:rPr>
        <w:t>0</w:t>
      </w:r>
      <w:r>
        <w:rPr>
          <w:rFonts w:hint="eastAsia" w:ascii="仿宋_GB2312" w:eastAsia="仿宋_GB2312"/>
          <w:color w:val="000000"/>
          <w:sz w:val="32"/>
          <w:szCs w:val="32"/>
        </w:rPr>
        <w:t>万元，</w:t>
      </w:r>
      <w:r>
        <w:rPr>
          <w:rFonts w:hint="eastAsia" w:ascii="仿宋_GB2312" w:eastAsia="仿宋_GB2312"/>
          <w:color w:val="auto"/>
          <w:sz w:val="32"/>
          <w:szCs w:val="32"/>
          <w:highlight w:val="none"/>
          <w:lang w:eastAsia="zh-CN"/>
        </w:rPr>
        <w:t>年初未安排预算，</w:t>
      </w:r>
      <w:r>
        <w:rPr>
          <w:rFonts w:hint="eastAsia" w:ascii="仿宋_GB2312" w:eastAsia="仿宋_GB2312"/>
          <w:color w:val="auto"/>
          <w:sz w:val="32"/>
          <w:szCs w:val="32"/>
          <w:highlight w:val="none"/>
        </w:rPr>
        <w:t>因公出国（境）支出决算</w:t>
      </w:r>
      <w:r>
        <w:rPr>
          <w:rFonts w:hint="eastAsia" w:ascii="仿宋_GB2312" w:eastAsia="仿宋_GB2312"/>
          <w:color w:val="auto"/>
          <w:sz w:val="32"/>
          <w:szCs w:val="32"/>
          <w:highlight w:val="none"/>
          <w:lang w:eastAsia="zh-CN"/>
        </w:rPr>
        <w:t>较</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20</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无变化。</w:t>
      </w:r>
      <w:r>
        <w:rPr>
          <w:rFonts w:hint="eastAsia" w:ascii="仿宋_GB2312" w:eastAsia="仿宋_GB2312"/>
          <w:color w:val="auto"/>
          <w:sz w:val="32"/>
          <w:szCs w:val="32"/>
          <w:highlight w:val="none"/>
          <w:lang w:val="en-US" w:eastAsia="zh-CN"/>
        </w:rPr>
        <w:t xml:space="preserve"> </w:t>
      </w:r>
    </w:p>
    <w:p w14:paraId="353A5DDC">
      <w:pPr>
        <w:spacing w:line="600" w:lineRule="exact"/>
        <w:ind w:firstLine="640"/>
        <w:rPr>
          <w:rFonts w:ascii="仿宋" w:hAnsi="仿宋" w:eastAsia="仿宋"/>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eastAsia="仿宋_GB2312"/>
          <w:b/>
          <w:color w:val="000000"/>
          <w:sz w:val="32"/>
          <w:szCs w:val="32"/>
          <w:lang w:val="en-US" w:eastAsia="zh-CN"/>
        </w:rPr>
        <w:t>0</w:t>
      </w:r>
      <w:r>
        <w:rPr>
          <w:rFonts w:hint="eastAsia" w:ascii="仿宋_GB2312" w:eastAsia="仿宋_GB2312"/>
          <w:color w:val="000000"/>
          <w:sz w:val="32"/>
          <w:szCs w:val="32"/>
        </w:rPr>
        <w:t>万元,</w:t>
      </w:r>
      <w:r>
        <w:rPr>
          <w:rFonts w:hint="eastAsia" w:ascii="仿宋_GB2312" w:eastAsia="仿宋_GB2312"/>
          <w:color w:val="auto"/>
          <w:sz w:val="32"/>
          <w:szCs w:val="32"/>
          <w:highlight w:val="none"/>
          <w:lang w:eastAsia="zh-CN"/>
        </w:rPr>
        <w:t>年初未安排预算，</w:t>
      </w:r>
      <w:r>
        <w:rPr>
          <w:rFonts w:hint="eastAsia" w:ascii="仿宋_GB2312" w:eastAsia="仿宋_GB2312"/>
          <w:color w:val="auto"/>
          <w:sz w:val="32"/>
          <w:szCs w:val="32"/>
          <w:highlight w:val="none"/>
        </w:rPr>
        <w:t>公务用车</w:t>
      </w:r>
      <w:bookmarkStart w:id="73" w:name="_GoBack"/>
      <w:bookmarkEnd w:id="73"/>
      <w:r>
        <w:rPr>
          <w:rFonts w:hint="eastAsia" w:ascii="仿宋_GB2312" w:eastAsia="仿宋_GB2312"/>
          <w:color w:val="auto"/>
          <w:sz w:val="32"/>
          <w:szCs w:val="32"/>
          <w:highlight w:val="none"/>
        </w:rPr>
        <w:t>购置及运行维护费支出决算</w:t>
      </w:r>
      <w:r>
        <w:rPr>
          <w:rFonts w:hint="eastAsia" w:ascii="仿宋_GB2312" w:eastAsia="仿宋_GB2312"/>
          <w:color w:val="auto"/>
          <w:sz w:val="32"/>
          <w:szCs w:val="32"/>
          <w:highlight w:val="none"/>
          <w:lang w:eastAsia="zh-CN"/>
        </w:rPr>
        <w:t>较</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20</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无变化</w:t>
      </w:r>
      <w:r>
        <w:rPr>
          <w:rFonts w:hint="eastAsia" w:ascii="仿宋_GB2312" w:eastAsia="仿宋_GB2312"/>
          <w:color w:val="auto"/>
          <w:sz w:val="32"/>
          <w:szCs w:val="32"/>
          <w:highlight w:val="none"/>
        </w:rPr>
        <w:t>。</w:t>
      </w:r>
      <w:r>
        <w:rPr>
          <w:rFonts w:hint="eastAsia" w:ascii="仿宋" w:hAnsi="仿宋" w:eastAsia="仿宋"/>
          <w:color w:val="000000"/>
          <w:sz w:val="32"/>
          <w:szCs w:val="32"/>
        </w:rPr>
        <w:t>具体情况如：</w:t>
      </w:r>
    </w:p>
    <w:p w14:paraId="15846A80">
      <w:pPr>
        <w:spacing w:line="600" w:lineRule="exact"/>
        <w:ind w:firstLine="640"/>
        <w:rPr>
          <w:rFonts w:hint="eastAsia" w:ascii="仿宋_GB2312" w:eastAsia="仿宋_GB2312"/>
          <w:color w:val="auto"/>
          <w:sz w:val="32"/>
          <w:szCs w:val="32"/>
          <w:highlight w:val="none"/>
          <w:lang w:val="en-US" w:eastAsia="zh-CN"/>
        </w:rPr>
      </w:pPr>
      <w:r>
        <w:rPr>
          <w:rFonts w:ascii="仿宋_GB2312" w:eastAsia="仿宋_GB2312"/>
          <w:b/>
          <w:color w:val="000000"/>
          <w:sz w:val="32"/>
          <w:szCs w:val="32"/>
        </w:rPr>
        <w:t>1.</w:t>
      </w:r>
      <w:r>
        <w:rPr>
          <w:rFonts w:hint="eastAsia" w:ascii="仿宋_GB2312" w:eastAsia="仿宋_GB2312"/>
          <w:b/>
          <w:color w:val="000000"/>
          <w:sz w:val="32"/>
          <w:szCs w:val="32"/>
        </w:rPr>
        <w:t>因公出国（境）经费支出</w:t>
      </w:r>
      <w:r>
        <w:rPr>
          <w:rFonts w:hint="eastAsia" w:ascii="仿宋_GB2312" w:eastAsia="仿宋_GB2312"/>
          <w:b/>
          <w:color w:val="000000"/>
          <w:sz w:val="32"/>
          <w:szCs w:val="32"/>
          <w:lang w:val="en-US" w:eastAsia="zh-CN"/>
        </w:rPr>
        <w:t>0</w:t>
      </w:r>
      <w:r>
        <w:rPr>
          <w:rFonts w:hint="eastAsia" w:ascii="仿宋_GB2312" w:eastAsia="仿宋_GB2312"/>
          <w:color w:val="000000"/>
          <w:sz w:val="32"/>
          <w:szCs w:val="32"/>
        </w:rPr>
        <w:t>万元，</w:t>
      </w:r>
      <w:r>
        <w:rPr>
          <w:rFonts w:hint="eastAsia" w:ascii="仿宋_GB2312" w:eastAsia="仿宋_GB2312"/>
          <w:color w:val="auto"/>
          <w:sz w:val="32"/>
          <w:szCs w:val="32"/>
          <w:highlight w:val="none"/>
          <w:lang w:eastAsia="zh-CN"/>
        </w:rPr>
        <w:t>年初未安排预算，</w:t>
      </w:r>
      <w:r>
        <w:rPr>
          <w:rFonts w:hint="eastAsia" w:ascii="仿宋_GB2312" w:eastAsia="仿宋_GB2312"/>
          <w:color w:val="auto"/>
          <w:sz w:val="32"/>
          <w:szCs w:val="32"/>
          <w:highlight w:val="none"/>
        </w:rPr>
        <w:t>因公出国（境）支出决算</w:t>
      </w:r>
      <w:r>
        <w:rPr>
          <w:rFonts w:hint="eastAsia" w:ascii="仿宋_GB2312" w:eastAsia="仿宋_GB2312"/>
          <w:color w:val="auto"/>
          <w:sz w:val="32"/>
          <w:szCs w:val="32"/>
          <w:highlight w:val="none"/>
          <w:lang w:eastAsia="zh-CN"/>
        </w:rPr>
        <w:t>较</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20</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无变化。</w:t>
      </w:r>
      <w:r>
        <w:rPr>
          <w:rFonts w:hint="eastAsia" w:ascii="仿宋_GB2312" w:eastAsia="仿宋_GB2312"/>
          <w:color w:val="auto"/>
          <w:sz w:val="32"/>
          <w:szCs w:val="32"/>
          <w:highlight w:val="none"/>
          <w:lang w:val="en-US" w:eastAsia="zh-CN"/>
        </w:rPr>
        <w:t xml:space="preserve"> </w:t>
      </w:r>
    </w:p>
    <w:p w14:paraId="1159F68F">
      <w:pPr>
        <w:spacing w:line="600" w:lineRule="exact"/>
        <w:ind w:firstLine="640"/>
        <w:rPr>
          <w:rFonts w:ascii="仿宋_GB2312" w:eastAsia="仿宋_GB2312"/>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eastAsia="仿宋_GB2312"/>
          <w:b/>
          <w:color w:val="000000"/>
          <w:sz w:val="32"/>
          <w:szCs w:val="32"/>
          <w:lang w:val="en-US" w:eastAsia="zh-CN"/>
        </w:rPr>
        <w:t>0</w:t>
      </w:r>
      <w:r>
        <w:rPr>
          <w:rFonts w:hint="eastAsia" w:ascii="仿宋_GB2312" w:eastAsia="仿宋_GB2312"/>
          <w:color w:val="000000"/>
          <w:sz w:val="32"/>
          <w:szCs w:val="32"/>
        </w:rPr>
        <w:t>万元,</w:t>
      </w:r>
      <w:r>
        <w:rPr>
          <w:rFonts w:hint="eastAsia" w:ascii="仿宋_GB2312" w:eastAsia="仿宋_GB2312"/>
          <w:color w:val="auto"/>
          <w:sz w:val="32"/>
          <w:szCs w:val="32"/>
          <w:highlight w:val="none"/>
          <w:lang w:eastAsia="zh-CN"/>
        </w:rPr>
        <w:t>年初未安排预算，</w:t>
      </w:r>
      <w:r>
        <w:rPr>
          <w:rFonts w:hint="eastAsia" w:ascii="仿宋_GB2312" w:eastAsia="仿宋_GB2312"/>
          <w:color w:val="auto"/>
          <w:sz w:val="32"/>
          <w:szCs w:val="32"/>
          <w:highlight w:val="none"/>
        </w:rPr>
        <w:t>公务用车购置及运行维护费支出决算</w:t>
      </w:r>
      <w:r>
        <w:rPr>
          <w:rFonts w:hint="eastAsia" w:ascii="仿宋_GB2312" w:eastAsia="仿宋_GB2312"/>
          <w:color w:val="auto"/>
          <w:sz w:val="32"/>
          <w:szCs w:val="32"/>
          <w:highlight w:val="none"/>
          <w:lang w:eastAsia="zh-CN"/>
        </w:rPr>
        <w:t>较</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20</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无变化</w:t>
      </w:r>
      <w:r>
        <w:rPr>
          <w:rFonts w:hint="eastAsia" w:ascii="仿宋_GB2312" w:eastAsia="仿宋_GB2312"/>
          <w:color w:val="auto"/>
          <w:sz w:val="32"/>
          <w:szCs w:val="32"/>
          <w:highlight w:val="none"/>
        </w:rPr>
        <w:t>。</w:t>
      </w:r>
    </w:p>
    <w:p w14:paraId="3AED7D22">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hint="eastAsia" w:ascii="仿宋" w:hAnsi="仿宋" w:eastAsia="仿宋"/>
          <w:color w:val="000000"/>
          <w:sz w:val="32"/>
          <w:szCs w:val="32"/>
        </w:rPr>
        <w:t>2.58</w:t>
      </w:r>
      <w:r>
        <w:rPr>
          <w:rFonts w:hint="eastAsia" w:ascii="仿宋_GB2312" w:eastAsia="仿宋_GB2312"/>
          <w:color w:val="000000"/>
          <w:sz w:val="32"/>
          <w:szCs w:val="32"/>
        </w:rPr>
        <w:t>万元，</w:t>
      </w:r>
      <w:r>
        <w:rPr>
          <w:rStyle w:val="20"/>
          <w:rFonts w:hint="eastAsia" w:ascii="仿宋" w:hAnsi="仿宋" w:eastAsia="仿宋"/>
          <w:b w:val="0"/>
          <w:bCs/>
          <w:color w:val="000000"/>
          <w:sz w:val="32"/>
          <w:szCs w:val="32"/>
        </w:rPr>
        <w:t>完成预算99.42</w:t>
      </w:r>
      <w:r>
        <w:rPr>
          <w:rStyle w:val="20"/>
          <w:rFonts w:ascii="仿宋" w:hAnsi="仿宋" w:eastAsia="仿宋"/>
          <w:b w:val="0"/>
          <w:bCs/>
          <w:color w:val="000000"/>
          <w:sz w:val="32"/>
          <w:szCs w:val="32"/>
        </w:rPr>
        <w:t>%</w:t>
      </w:r>
      <w:r>
        <w:rPr>
          <w:rStyle w:val="20"/>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w:t>
      </w:r>
      <w:r>
        <w:rPr>
          <w:rFonts w:ascii="仿宋_GB2312" w:eastAsia="仿宋_GB2312"/>
          <w:sz w:val="32"/>
          <w:szCs w:val="32"/>
        </w:rPr>
        <w:t>2019</w:t>
      </w:r>
      <w:r>
        <w:rPr>
          <w:rFonts w:hint="eastAsia" w:ascii="仿宋_GB2312" w:eastAsia="仿宋_GB2312"/>
          <w:sz w:val="32"/>
          <w:szCs w:val="32"/>
        </w:rPr>
        <w:t>年减少0.1</w:t>
      </w:r>
      <w:r>
        <w:rPr>
          <w:rFonts w:hint="eastAsia" w:ascii="仿宋_GB2312" w:eastAsia="仿宋_GB2312"/>
          <w:sz w:val="32"/>
          <w:szCs w:val="32"/>
          <w:lang w:val="en-US" w:eastAsia="zh-CN"/>
        </w:rPr>
        <w:t>4</w:t>
      </w:r>
      <w:r>
        <w:rPr>
          <w:rFonts w:hint="eastAsia" w:ascii="仿宋_GB2312" w:eastAsia="仿宋_GB2312"/>
          <w:sz w:val="32"/>
          <w:szCs w:val="32"/>
        </w:rPr>
        <w:t>万元，下降5.00</w:t>
      </w:r>
      <w:r>
        <w:rPr>
          <w:rFonts w:ascii="仿宋_GB2312" w:eastAsia="仿宋_GB2312"/>
          <w:sz w:val="32"/>
          <w:szCs w:val="32"/>
        </w:rPr>
        <w:t>%</w:t>
      </w:r>
      <w:r>
        <w:rPr>
          <w:rFonts w:hint="eastAsia" w:ascii="仿宋_GB2312" w:eastAsia="仿宋_GB2312"/>
          <w:sz w:val="32"/>
          <w:szCs w:val="32"/>
        </w:rPr>
        <w:t>。</w:t>
      </w:r>
      <w:r>
        <w:rPr>
          <w:rFonts w:hint="eastAsia" w:ascii="仿宋_GB2312" w:eastAsia="仿宋_GB2312"/>
          <w:color w:val="000000"/>
          <w:sz w:val="32"/>
          <w:szCs w:val="32"/>
        </w:rPr>
        <w:t>主要原因是严格执行</w:t>
      </w:r>
      <w:r>
        <w:rPr>
          <w:rFonts w:hint="eastAsia" w:ascii="仿宋_GB2312" w:eastAsia="仿宋_GB2312"/>
          <w:color w:val="000000"/>
          <w:sz w:val="32"/>
          <w:szCs w:val="32"/>
          <w:lang w:eastAsia="zh-CN"/>
        </w:rPr>
        <w:t>中央八项规定</w:t>
      </w:r>
      <w:r>
        <w:rPr>
          <w:rFonts w:hint="eastAsia" w:ascii="仿宋_GB2312" w:eastAsia="仿宋_GB2312"/>
          <w:color w:val="000000"/>
          <w:sz w:val="32"/>
          <w:szCs w:val="32"/>
        </w:rPr>
        <w:t>，加强公务接待管理。其中：</w:t>
      </w:r>
    </w:p>
    <w:p w14:paraId="51913AEC">
      <w:pPr>
        <w:spacing w:line="600" w:lineRule="exact"/>
        <w:ind w:left="0" w:leftChars="0" w:firstLine="643" w:firstLineChars="200"/>
        <w:rPr>
          <w:rFonts w:ascii="仿宋_GB2312" w:eastAsia="仿宋_GB2312"/>
          <w:color w:val="000000"/>
          <w:sz w:val="32"/>
          <w:szCs w:val="32"/>
        </w:rPr>
      </w:pPr>
      <w:r>
        <w:rPr>
          <w:rFonts w:hint="eastAsia" w:ascii="仿宋" w:hAnsi="仿宋" w:eastAsia="仿宋"/>
          <w:b/>
          <w:color w:val="000000"/>
          <w:sz w:val="32"/>
          <w:szCs w:val="32"/>
        </w:rPr>
        <w:t>国内公务接待支出</w:t>
      </w:r>
      <w:r>
        <w:rPr>
          <w:rFonts w:hint="eastAsia" w:ascii="仿宋" w:hAnsi="仿宋" w:eastAsia="仿宋"/>
          <w:color w:val="000000"/>
          <w:sz w:val="32"/>
          <w:szCs w:val="32"/>
        </w:rPr>
        <w:t>2.58</w:t>
      </w:r>
      <w:r>
        <w:rPr>
          <w:rFonts w:hint="eastAsia" w:ascii="仿宋_GB2312" w:eastAsia="仿宋_GB2312"/>
          <w:color w:val="000000"/>
          <w:sz w:val="32"/>
          <w:szCs w:val="32"/>
        </w:rPr>
        <w:t>万元，主要用于执行公务、开展业务活动开支的交通费、住宿费、用餐费等。国内公务接待185批次，575人次（不包括陪同人员），共计支出2.58万元，具体内容包括：教育教学开展业务活动，专家讲座团队接待，相邻学校和单位交流活动等。</w:t>
      </w:r>
    </w:p>
    <w:p w14:paraId="629C5958">
      <w:pPr>
        <w:pStyle w:val="24"/>
        <w:widowControl w:val="0"/>
        <w:numPr>
          <w:ilvl w:val="0"/>
          <w:numId w:val="0"/>
        </w:numPr>
        <w:wordWrap/>
        <w:snapToGrid/>
        <w:spacing w:line="240" w:lineRule="auto"/>
        <w:ind w:left="0" w:leftChars="0" w:right="0" w:rightChars="0" w:firstLine="643" w:firstLineChars="200"/>
        <w:jc w:val="left"/>
        <w:textAlignment w:val="auto"/>
        <w:outlineLvl w:val="1"/>
        <w:rPr>
          <w:rFonts w:hint="eastAsia" w:ascii="仿宋_GB2312" w:eastAsia="仿宋_GB2312"/>
          <w:color w:val="000000"/>
          <w:sz w:val="32"/>
          <w:szCs w:val="32"/>
        </w:rPr>
      </w:pPr>
      <w:r>
        <w:rPr>
          <w:rFonts w:hint="eastAsia" w:ascii="仿宋" w:hAnsi="仿宋" w:eastAsia="仿宋"/>
          <w:b/>
          <w:color w:val="000000"/>
          <w:sz w:val="32"/>
          <w:szCs w:val="32"/>
        </w:rPr>
        <w:t>外事接待支出</w:t>
      </w:r>
      <w:r>
        <w:rPr>
          <w:rFonts w:hint="eastAsia" w:ascii="仿宋" w:hAnsi="仿宋" w:eastAsia="仿宋"/>
          <w:color w:val="000000"/>
          <w:sz w:val="32"/>
          <w:szCs w:val="32"/>
        </w:rPr>
        <w:t>0</w:t>
      </w:r>
      <w:r>
        <w:rPr>
          <w:rFonts w:hint="eastAsia" w:ascii="仿宋_GB2312" w:eastAsia="仿宋_GB2312"/>
          <w:color w:val="000000"/>
          <w:sz w:val="32"/>
          <w:szCs w:val="32"/>
        </w:rPr>
        <w:t>万元，外事接待0批次，0人，共计支出0万元。</w:t>
      </w:r>
    </w:p>
    <w:p w14:paraId="28B446BC">
      <w:pPr>
        <w:pStyle w:val="24"/>
        <w:widowControl w:val="0"/>
        <w:numPr>
          <w:ilvl w:val="0"/>
          <w:numId w:val="0"/>
        </w:numPr>
        <w:wordWrap/>
        <w:snapToGrid/>
        <w:spacing w:line="240" w:lineRule="auto"/>
        <w:ind w:leftChars="200" w:right="0" w:rightChars="0"/>
        <w:jc w:val="left"/>
        <w:textAlignment w:val="auto"/>
        <w:outlineLvl w:val="1"/>
        <w:rPr>
          <w:rFonts w:hint="eastAsia" w:ascii="黑体" w:hAnsi="黑体" w:eastAsia="黑体" w:cs="黑体"/>
          <w:b w:val="0"/>
          <w:bCs w:val="0"/>
          <w:color w:val="000000"/>
          <w:sz w:val="30"/>
          <w:szCs w:val="30"/>
          <w:lang w:val="en-US" w:eastAsia="zh-CN"/>
        </w:rPr>
      </w:pPr>
      <w:r>
        <w:rPr>
          <w:rFonts w:hint="eastAsia" w:ascii="黑体" w:hAnsi="黑体" w:eastAsia="黑体" w:cs="黑体"/>
          <w:b w:val="0"/>
          <w:bCs w:val="0"/>
          <w:color w:val="000000"/>
          <w:sz w:val="32"/>
          <w:szCs w:val="32"/>
          <w:lang w:eastAsia="zh-CN"/>
        </w:rPr>
        <w:t>八、</w:t>
      </w:r>
      <w:r>
        <w:rPr>
          <w:rFonts w:hint="eastAsia" w:ascii="黑体" w:hAnsi="黑体" w:eastAsia="黑体" w:cs="黑体"/>
          <w:b w:val="0"/>
          <w:bCs w:val="0"/>
          <w:color w:val="000000"/>
          <w:sz w:val="30"/>
          <w:szCs w:val="30"/>
          <w:lang w:val="en-US" w:eastAsia="zh-CN"/>
        </w:rPr>
        <w:t>政府性基金预算支出决算情况说明</w:t>
      </w:r>
      <w:bookmarkEnd w:id="45"/>
      <w:bookmarkEnd w:id="46"/>
      <w:bookmarkEnd w:id="48"/>
      <w:bookmarkStart w:id="50" w:name="_Toc15396611"/>
      <w:bookmarkStart w:id="51" w:name="_Toc15377219"/>
      <w:bookmarkStart w:id="52" w:name="_Toc6994"/>
    </w:p>
    <w:p w14:paraId="278E453F">
      <w:pPr>
        <w:pStyle w:val="24"/>
        <w:widowControl w:val="0"/>
        <w:numPr>
          <w:ilvl w:val="0"/>
          <w:numId w:val="0"/>
        </w:numPr>
        <w:wordWrap/>
        <w:snapToGrid/>
        <w:spacing w:line="240" w:lineRule="auto"/>
        <w:ind w:right="0" w:rightChars="0" w:firstLine="640" w:firstLineChars="200"/>
        <w:jc w:val="left"/>
        <w:textAlignment w:val="auto"/>
        <w:outlineLvl w:val="1"/>
        <w:rPr>
          <w:rFonts w:ascii="仿宋_GB2312" w:eastAsia="仿宋_GB2312"/>
          <w:color w:val="000000"/>
          <w:sz w:val="32"/>
          <w:szCs w:val="32"/>
        </w:rPr>
      </w:pPr>
      <w:r>
        <w:rPr>
          <w:rFonts w:ascii="仿宋_GB2312" w:eastAsia="仿宋_GB2312"/>
          <w:color w:val="000000"/>
          <w:sz w:val="32"/>
          <w:szCs w:val="32"/>
        </w:rPr>
        <w:t>2020</w:t>
      </w:r>
      <w:r>
        <w:rPr>
          <w:rFonts w:hint="eastAsia" w:ascii="仿宋_GB2312" w:eastAsia="仿宋_GB2312"/>
          <w:color w:val="000000"/>
          <w:sz w:val="32"/>
          <w:szCs w:val="32"/>
        </w:rPr>
        <w:t>年政府性基金预算拨款支出0万元。2020年本单位未在政府性基金预算拨款安排</w:t>
      </w:r>
      <w:r>
        <w:rPr>
          <w:rFonts w:hint="eastAsia" w:ascii="仿宋_GB2312" w:eastAsia="仿宋_GB2312"/>
          <w:color w:val="000000"/>
          <w:sz w:val="32"/>
          <w:szCs w:val="32"/>
          <w:lang w:eastAsia="zh-CN"/>
        </w:rPr>
        <w:t>“三公”经费</w:t>
      </w:r>
      <w:r>
        <w:rPr>
          <w:rFonts w:hint="eastAsia" w:ascii="仿宋_GB2312" w:eastAsia="仿宋_GB2312"/>
          <w:color w:val="000000"/>
          <w:sz w:val="32"/>
          <w:szCs w:val="32"/>
        </w:rPr>
        <w:t>支出。</w:t>
      </w:r>
    </w:p>
    <w:p w14:paraId="042E35B9">
      <w:pPr>
        <w:pStyle w:val="24"/>
        <w:widowControl w:val="0"/>
        <w:numPr>
          <w:ilvl w:val="0"/>
          <w:numId w:val="0"/>
        </w:numPr>
        <w:wordWrap/>
        <w:snapToGrid/>
        <w:spacing w:line="240" w:lineRule="auto"/>
        <w:ind w:leftChars="200" w:right="0" w:rightChars="0"/>
        <w:jc w:val="left"/>
        <w:textAlignment w:val="auto"/>
        <w:outlineLvl w:val="1"/>
        <w:rPr>
          <w:rFonts w:hint="eastAsia" w:ascii="黑体" w:hAnsi="黑体" w:eastAsia="黑体" w:cs="黑体"/>
          <w:b w:val="0"/>
          <w:bCs w:val="0"/>
          <w:color w:val="000000"/>
          <w:sz w:val="30"/>
          <w:szCs w:val="30"/>
          <w:lang w:val="en-US" w:eastAsia="zh-CN"/>
        </w:rPr>
      </w:pPr>
      <w:r>
        <w:rPr>
          <w:rFonts w:hint="eastAsia" w:ascii="黑体" w:hAnsi="黑体" w:eastAsia="黑体" w:cs="黑体"/>
          <w:b w:val="0"/>
          <w:bCs w:val="0"/>
          <w:color w:val="000000"/>
          <w:sz w:val="30"/>
          <w:szCs w:val="30"/>
          <w:lang w:val="en-US" w:eastAsia="zh-CN"/>
        </w:rPr>
        <w:t>九、国有资本经营预算支出决算情况说明</w:t>
      </w:r>
      <w:bookmarkEnd w:id="50"/>
      <w:bookmarkEnd w:id="51"/>
      <w:bookmarkEnd w:id="52"/>
      <w:bookmarkStart w:id="53" w:name="_Toc15377221"/>
      <w:bookmarkStart w:id="54" w:name="_Toc15396612"/>
    </w:p>
    <w:p w14:paraId="4FA4122C">
      <w:pPr>
        <w:spacing w:line="600" w:lineRule="exact"/>
        <w:ind w:firstLine="640"/>
        <w:rPr>
          <w:rFonts w:hint="eastAsia" w:ascii="仿宋_GB2312" w:eastAsia="仿宋_GB2312"/>
          <w:color w:val="000000"/>
          <w:sz w:val="32"/>
          <w:szCs w:val="32"/>
        </w:rPr>
      </w:pPr>
      <w:r>
        <w:rPr>
          <w:rFonts w:ascii="仿宋_GB2312" w:eastAsia="仿宋_GB2312"/>
          <w:color w:val="000000"/>
          <w:sz w:val="32"/>
          <w:szCs w:val="32"/>
        </w:rPr>
        <w:t>2020</w:t>
      </w:r>
      <w:r>
        <w:rPr>
          <w:rFonts w:hint="eastAsia" w:ascii="仿宋_GB2312" w:eastAsia="仿宋_GB2312"/>
          <w:color w:val="000000"/>
          <w:sz w:val="32"/>
          <w:szCs w:val="32"/>
        </w:rPr>
        <w:t>年国有资本经营预算拨款支出0万元。</w:t>
      </w:r>
    </w:p>
    <w:p w14:paraId="23A985E5">
      <w:pPr>
        <w:pStyle w:val="24"/>
        <w:widowControl w:val="0"/>
        <w:numPr>
          <w:ilvl w:val="0"/>
          <w:numId w:val="0"/>
        </w:numPr>
        <w:wordWrap/>
        <w:snapToGrid/>
        <w:spacing w:line="240" w:lineRule="auto"/>
        <w:ind w:leftChars="200" w:right="0" w:rightChars="0"/>
        <w:jc w:val="left"/>
        <w:textAlignment w:val="auto"/>
        <w:outlineLvl w:val="1"/>
        <w:rPr>
          <w:rStyle w:val="37"/>
          <w:rFonts w:hint="eastAsia" w:ascii="黑体" w:hAnsi="黑体" w:eastAsia="黑体" w:cs="黑体"/>
          <w:sz w:val="30"/>
          <w:szCs w:val="30"/>
        </w:rPr>
      </w:pPr>
      <w:bookmarkStart w:id="55" w:name="_Toc10925"/>
      <w:r>
        <w:rPr>
          <w:rFonts w:hint="eastAsia" w:ascii="黑体" w:hAnsi="黑体" w:eastAsia="黑体" w:cs="黑体"/>
          <w:b w:val="0"/>
          <w:bCs w:val="0"/>
          <w:color w:val="000000"/>
          <w:sz w:val="30"/>
          <w:szCs w:val="30"/>
          <w:lang w:val="en-US" w:eastAsia="zh-CN"/>
        </w:rPr>
        <w:t>十、其他重要事项的情况说</w:t>
      </w:r>
      <w:r>
        <w:rPr>
          <w:rStyle w:val="37"/>
          <w:rFonts w:hint="eastAsia" w:ascii="黑体" w:hAnsi="黑体" w:eastAsia="黑体" w:cs="黑体"/>
          <w:b w:val="0"/>
          <w:sz w:val="30"/>
          <w:szCs w:val="30"/>
        </w:rPr>
        <w:t>明</w:t>
      </w:r>
      <w:bookmarkEnd w:id="53"/>
      <w:bookmarkEnd w:id="54"/>
      <w:bookmarkEnd w:id="55"/>
    </w:p>
    <w:p w14:paraId="4AAFD1E4">
      <w:pPr>
        <w:widowControl w:val="0"/>
        <w:wordWrap/>
        <w:snapToGrid/>
        <w:spacing w:line="240" w:lineRule="auto"/>
        <w:ind w:left="0" w:leftChars="0" w:right="0" w:firstLine="602" w:firstLineChars="200"/>
        <w:jc w:val="left"/>
        <w:textAlignment w:val="auto"/>
        <w:outlineLvl w:val="2"/>
        <w:rPr>
          <w:rFonts w:hint="eastAsia" w:ascii="仿宋_GB2312" w:hAnsi="仿宋_GB2312" w:eastAsia="仿宋_GB2312" w:cs="仿宋_GB2312"/>
          <w:color w:val="000000"/>
          <w:sz w:val="30"/>
          <w:szCs w:val="30"/>
        </w:rPr>
      </w:pPr>
      <w:bookmarkStart w:id="56" w:name="_Toc3801"/>
      <w:bookmarkStart w:id="57" w:name="_Toc15377222"/>
      <w:r>
        <w:rPr>
          <w:rFonts w:hint="eastAsia" w:ascii="仿宋_GB2312" w:hAnsi="仿宋_GB2312" w:eastAsia="仿宋_GB2312" w:cs="仿宋_GB2312"/>
          <w:b/>
          <w:color w:val="000000"/>
          <w:sz w:val="30"/>
          <w:szCs w:val="30"/>
        </w:rPr>
        <w:t>（一）机关运行经费支出情况</w:t>
      </w:r>
      <w:bookmarkEnd w:id="56"/>
      <w:bookmarkEnd w:id="57"/>
    </w:p>
    <w:p w14:paraId="3A259EAB">
      <w:pPr>
        <w:widowControl w:val="0"/>
        <w:wordWrap/>
        <w:autoSpaceDE w:val="0"/>
        <w:autoSpaceDN w:val="0"/>
        <w:adjustRightInd w:val="0"/>
        <w:snapToGrid/>
        <w:spacing w:line="240" w:lineRule="auto"/>
        <w:ind w:left="0" w:leftChars="0" w:right="0" w:firstLine="640" w:firstLineChars="200"/>
        <w:jc w:val="left"/>
        <w:textAlignment w:val="auto"/>
        <w:outlineLvl w:val="2"/>
        <w:rPr>
          <w:rFonts w:hint="eastAsia" w:ascii="仿宋_GB2312" w:hAnsi="Times New Roman" w:eastAsia="仿宋_GB2312" w:cs="Times New Roman"/>
          <w:color w:val="000000"/>
          <w:sz w:val="32"/>
          <w:szCs w:val="32"/>
        </w:rPr>
      </w:pPr>
      <w:bookmarkStart w:id="58" w:name="_Toc32467"/>
      <w:bookmarkStart w:id="59" w:name="_Toc15377223"/>
      <w:r>
        <w:rPr>
          <w:rFonts w:hint="eastAsia" w:ascii="仿宋_GB2312" w:eastAsia="仿宋_GB2312"/>
          <w:color w:val="000000"/>
          <w:sz w:val="32"/>
          <w:szCs w:val="32"/>
        </w:rPr>
        <w:t>2020年，</w:t>
      </w:r>
      <w:r>
        <w:rPr>
          <w:rFonts w:hint="eastAsia" w:ascii="仿宋_GB2312" w:eastAsia="仿宋_GB2312"/>
          <w:sz w:val="32"/>
          <w:szCs w:val="32"/>
        </w:rPr>
        <w:t>我部门</w:t>
      </w:r>
      <w:r>
        <w:rPr>
          <w:rFonts w:hint="eastAsia" w:ascii="仿宋_GB2312" w:eastAsia="仿宋_GB2312"/>
          <w:color w:val="000000"/>
          <w:sz w:val="32"/>
          <w:szCs w:val="32"/>
        </w:rPr>
        <w:t>运行经费支出0元，比2019年</w:t>
      </w:r>
      <w:r>
        <w:rPr>
          <w:rFonts w:hint="eastAsia" w:ascii="仿宋_GB2312" w:eastAsia="仿宋_GB2312"/>
          <w:color w:val="000000"/>
          <w:sz w:val="32"/>
          <w:szCs w:val="32"/>
          <w:lang w:val="en-US" w:eastAsia="zh-CN"/>
        </w:rPr>
        <w:t>预算持平</w:t>
      </w:r>
      <w:r>
        <w:rPr>
          <w:rFonts w:hint="eastAsia" w:ascii="仿宋_GB2312" w:eastAsia="仿宋_GB2312"/>
          <w:color w:val="000000"/>
          <w:sz w:val="32"/>
          <w:szCs w:val="32"/>
        </w:rPr>
        <w:t>。主要原因是</w:t>
      </w:r>
      <w:r>
        <w:rPr>
          <w:rFonts w:hint="eastAsia" w:ascii="仿宋_GB2312" w:hAnsi="Times New Roman" w:eastAsia="仿宋_GB2312" w:cs="Times New Roman"/>
          <w:color w:val="000000"/>
          <w:sz w:val="32"/>
          <w:szCs w:val="32"/>
        </w:rPr>
        <w:t>本单位为事业单位，无机关运行经费支出。</w:t>
      </w:r>
    </w:p>
    <w:p w14:paraId="7ADFD582">
      <w:pPr>
        <w:widowControl w:val="0"/>
        <w:wordWrap/>
        <w:autoSpaceDE w:val="0"/>
        <w:autoSpaceDN w:val="0"/>
        <w:adjustRightInd w:val="0"/>
        <w:snapToGrid/>
        <w:spacing w:line="240" w:lineRule="auto"/>
        <w:ind w:left="0" w:leftChars="0" w:right="0" w:firstLine="602" w:firstLineChars="200"/>
        <w:jc w:val="left"/>
        <w:textAlignment w:val="auto"/>
        <w:outlineLvl w:val="2"/>
        <w:rPr>
          <w:rFonts w:hint="eastAsia"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（二）政府采购支出情况</w:t>
      </w:r>
      <w:bookmarkEnd w:id="58"/>
      <w:bookmarkEnd w:id="59"/>
    </w:p>
    <w:p w14:paraId="4A6B088E">
      <w:pPr>
        <w:widowControl w:val="0"/>
        <w:wordWrap/>
        <w:autoSpaceDE w:val="0"/>
        <w:autoSpaceDN w:val="0"/>
        <w:adjustRightInd w:val="0"/>
        <w:snapToGrid/>
        <w:spacing w:line="240" w:lineRule="auto"/>
        <w:ind w:left="0" w:leftChars="0" w:right="0" w:firstLine="640" w:firstLineChars="200"/>
        <w:jc w:val="left"/>
        <w:textAlignment w:val="auto"/>
        <w:outlineLvl w:val="2"/>
        <w:rPr>
          <w:rFonts w:hint="eastAsia" w:ascii="仿宋_GB2312" w:eastAsia="仿宋_GB2312"/>
          <w:color w:val="auto"/>
          <w:sz w:val="32"/>
          <w:szCs w:val="32"/>
          <w:highlight w:val="none"/>
        </w:rPr>
      </w:pPr>
      <w:bookmarkStart w:id="60" w:name="_Toc15377224"/>
      <w:bookmarkStart w:id="61" w:name="_Toc8150"/>
      <w:r>
        <w:rPr>
          <w:rFonts w:ascii="仿宋_GB2312" w:eastAsia="仿宋_GB2312"/>
          <w:color w:val="auto"/>
          <w:sz w:val="32"/>
          <w:szCs w:val="32"/>
          <w:highlight w:val="none"/>
        </w:rPr>
        <w:t>2020</w:t>
      </w:r>
      <w:r>
        <w:rPr>
          <w:rFonts w:hint="eastAsia" w:ascii="仿宋_GB2312" w:eastAsia="仿宋_GB2312"/>
          <w:color w:val="auto"/>
          <w:sz w:val="32"/>
          <w:szCs w:val="32"/>
          <w:highlight w:val="none"/>
        </w:rPr>
        <w:t>年，政府采购支出总额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年初未安排预算</w:t>
      </w:r>
      <w:r>
        <w:rPr>
          <w:rFonts w:hint="eastAsia" w:ascii="仿宋_GB2312" w:eastAsia="仿宋_GB2312"/>
          <w:color w:val="auto"/>
          <w:sz w:val="32"/>
          <w:szCs w:val="32"/>
          <w:highlight w:val="none"/>
        </w:rPr>
        <w:t>。</w:t>
      </w:r>
    </w:p>
    <w:p w14:paraId="73539BCB">
      <w:pPr>
        <w:widowControl w:val="0"/>
        <w:wordWrap/>
        <w:autoSpaceDE w:val="0"/>
        <w:autoSpaceDN w:val="0"/>
        <w:adjustRightInd w:val="0"/>
        <w:snapToGrid/>
        <w:spacing w:line="240" w:lineRule="auto"/>
        <w:ind w:left="0" w:leftChars="0" w:right="0" w:firstLine="602" w:firstLineChars="200"/>
        <w:jc w:val="left"/>
        <w:textAlignment w:val="auto"/>
        <w:outlineLvl w:val="2"/>
        <w:rPr>
          <w:rFonts w:hint="eastAsia"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（三）国有资产占有使用情况</w:t>
      </w:r>
      <w:bookmarkEnd w:id="60"/>
      <w:bookmarkEnd w:id="61"/>
    </w:p>
    <w:p w14:paraId="7BA409A6">
      <w:pPr>
        <w:widowControl w:val="0"/>
        <w:wordWrap/>
        <w:autoSpaceDE w:val="0"/>
        <w:autoSpaceDN w:val="0"/>
        <w:adjustRightInd w:val="0"/>
        <w:snapToGrid/>
        <w:spacing w:line="240" w:lineRule="auto"/>
        <w:ind w:left="0" w:leftChars="0" w:right="0" w:firstLine="640" w:firstLineChars="200"/>
        <w:jc w:val="left"/>
        <w:textAlignment w:val="auto"/>
        <w:rPr>
          <w:rFonts w:ascii="仿宋" w:hAnsi="仿宋" w:eastAsia="仿宋"/>
          <w:b/>
          <w:color w:val="FF0000"/>
          <w:sz w:val="32"/>
          <w:szCs w:val="32"/>
        </w:rPr>
      </w:pPr>
      <w:r>
        <w:rPr>
          <w:rFonts w:hint="eastAsia" w:ascii="仿宋_GB2312" w:hAnsi="Times New Roman" w:eastAsia="仿宋_GB2312" w:cs="Times New Roman"/>
          <w:color w:val="auto"/>
          <w:sz w:val="32"/>
          <w:szCs w:val="32"/>
          <w:highlight w:val="none"/>
          <w:lang w:eastAsia="zh-CN"/>
        </w:rPr>
        <w:t>截至2020年12月31日，</w:t>
      </w:r>
      <w:r>
        <w:rPr>
          <w:rFonts w:hint="eastAsia" w:ascii="仿宋_GB2312" w:hAnsi="Times New Roman" w:eastAsia="仿宋_GB2312" w:cs="Times New Roman"/>
          <w:color w:val="auto"/>
          <w:sz w:val="32"/>
          <w:szCs w:val="32"/>
          <w:highlight w:val="none"/>
          <w:lang w:val="en-US" w:eastAsia="zh-CN"/>
        </w:rPr>
        <w:t>我单位</w:t>
      </w:r>
      <w:r>
        <w:rPr>
          <w:rFonts w:hint="eastAsia" w:ascii="仿宋_GB2312" w:hAnsi="Times New Roman" w:eastAsia="仿宋_GB2312" w:cs="Times New Roman"/>
          <w:color w:val="auto"/>
          <w:sz w:val="32"/>
          <w:szCs w:val="32"/>
          <w:highlight w:val="none"/>
          <w:lang w:eastAsia="zh-CN"/>
        </w:rPr>
        <w:t>共有车辆0辆，其中：主要领导干部用车0辆、机要通信用车0辆、应急保障用车0辆、其他用车0辆，其他用车主要是用于流动文化车及流动图书车单价50万元以上通用设备0台（套），单价100万元以上专用设备0台（套）</w:t>
      </w:r>
      <w:r>
        <w:rPr>
          <w:rFonts w:hint="eastAsia" w:ascii="仿宋_GB2312" w:hAnsi="仿宋_GB2312" w:eastAsia="仿宋_GB2312" w:cs="仿宋_GB2312"/>
          <w:color w:val="000000"/>
          <w:sz w:val="30"/>
          <w:szCs w:val="30"/>
          <w:lang w:eastAsia="zh-CN"/>
        </w:rPr>
        <w:t>。</w:t>
      </w:r>
    </w:p>
    <w:p w14:paraId="5E15C952">
      <w:pPr>
        <w:autoSpaceDE w:val="0"/>
        <w:autoSpaceDN w:val="0"/>
        <w:adjustRightInd w:val="0"/>
        <w:spacing w:line="600" w:lineRule="exact"/>
        <w:ind w:firstLine="643"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（四）预算绩效管理情况。</w:t>
      </w:r>
    </w:p>
    <w:p w14:paraId="7F9C82CD">
      <w:pPr>
        <w:snapToGrid w:val="0"/>
        <w:spacing w:line="4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本</w:t>
      </w:r>
      <w:r>
        <w:rPr>
          <w:rFonts w:hint="eastAsia" w:ascii="仿宋_GB2312" w:eastAsia="仿宋_GB2312"/>
          <w:color w:val="000000"/>
          <w:sz w:val="32"/>
          <w:szCs w:val="32"/>
          <w:lang w:eastAsia="zh-CN"/>
        </w:rPr>
        <w:t>单位</w:t>
      </w:r>
      <w:r>
        <w:rPr>
          <w:rFonts w:hint="eastAsia" w:ascii="仿宋_GB2312" w:eastAsia="仿宋_GB2312"/>
          <w:color w:val="000000"/>
          <w:sz w:val="32"/>
          <w:szCs w:val="32"/>
        </w:rPr>
        <w:t>按要求对2020年整体支出开展绩效自评，从评价情况来看学校整体支出绩效评价自评结果良好，全年基本支出保障了部分的正常运行和日常工作的正常开展，项目支出保障了重点工作的开展，各项支出均达到了预期的绩效管理目标。</w:t>
      </w:r>
    </w:p>
    <w:p w14:paraId="753C08FF">
      <w:pPr>
        <w:snapToGrid w:val="0"/>
        <w:spacing w:line="4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存在的问题：一是绩效评价管理工作制度建设有待进一步加强，绩效管理缺乏系统性；二是缺乏绩效评价专业人才，现有评价工作人员的知识体系和业务技能还需进一步提高，以适应绩效评价工作相关要求。</w:t>
      </w:r>
    </w:p>
    <w:p w14:paraId="30C03F24">
      <w:pPr>
        <w:snapToGrid w:val="0"/>
        <w:spacing w:line="4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下一步改进措施：</w:t>
      </w:r>
      <w:r>
        <w:rPr>
          <w:rFonts w:hint="eastAsia"/>
          <w:color w:val="000000"/>
          <w:sz w:val="32"/>
          <w:szCs w:val="32"/>
        </w:rPr>
        <w:t>一是</w:t>
      </w:r>
      <w:r>
        <w:rPr>
          <w:rFonts w:hint="eastAsia" w:ascii="仿宋_GB2312" w:eastAsia="仿宋_GB2312"/>
          <w:color w:val="000000"/>
          <w:sz w:val="32"/>
          <w:szCs w:val="32"/>
        </w:rPr>
        <w:t>进一步加强绩效评价管理制度建设；二是建立有效的绩效管理体系；</w:t>
      </w:r>
      <w:r>
        <w:rPr>
          <w:rFonts w:hint="eastAsia"/>
          <w:color w:val="000000"/>
          <w:sz w:val="32"/>
          <w:szCs w:val="32"/>
        </w:rPr>
        <w:t>三是</w:t>
      </w:r>
      <w:r>
        <w:rPr>
          <w:rFonts w:hint="eastAsia" w:ascii="仿宋_GB2312" w:eastAsia="仿宋_GB2312"/>
          <w:color w:val="000000"/>
          <w:sz w:val="32"/>
          <w:szCs w:val="32"/>
        </w:rPr>
        <w:t>强化绩效管理数据分析，强化绩效管理数据运用；四是强化绩效评价专业技能的培训；五是探索与预算编制相结合的财政绩效管理，</w:t>
      </w:r>
      <w:r>
        <w:rPr>
          <w:rFonts w:hint="eastAsia" w:ascii="仿宋_GB2312" w:eastAsia="仿宋_GB2312"/>
          <w:color w:val="000000"/>
          <w:sz w:val="32"/>
          <w:szCs w:val="32"/>
          <w:lang w:eastAsia="zh-CN"/>
        </w:rPr>
        <w:t>将</w:t>
      </w:r>
      <w:r>
        <w:rPr>
          <w:rFonts w:hint="eastAsia" w:ascii="仿宋_GB2312" w:eastAsia="仿宋_GB2312"/>
          <w:color w:val="000000"/>
          <w:sz w:val="32"/>
          <w:szCs w:val="32"/>
        </w:rPr>
        <w:t>绩效评价逐步从事后评价延伸至事前、事中评价。</w:t>
      </w:r>
    </w:p>
    <w:p w14:paraId="461E25F5">
      <w:pPr>
        <w:pStyle w:val="7"/>
        <w:rPr>
          <w:rFonts w:hint="default"/>
          <w:lang w:val="en-US" w:eastAsia="zh-CN"/>
        </w:rPr>
      </w:pPr>
    </w:p>
    <w:p w14:paraId="50D8FA92">
      <w:pPr>
        <w:rPr>
          <w:rFonts w:hint="eastAsia" w:ascii="仿宋_GB2312" w:hAnsi="仿宋_GB2312" w:eastAsia="仿宋_GB2312" w:cs="仿宋_GB2312"/>
          <w:b w:val="0"/>
          <w:bCs/>
          <w:color w:val="auto"/>
          <w:sz w:val="30"/>
          <w:szCs w:val="30"/>
        </w:rPr>
      </w:pPr>
      <w:r>
        <w:rPr>
          <w:rFonts w:hint="eastAsia" w:ascii="仿宋_GB2312" w:hAnsi="仿宋_GB2312" w:eastAsia="仿宋_GB2312" w:cs="仿宋_GB2312"/>
          <w:b w:val="0"/>
          <w:bCs/>
          <w:color w:val="auto"/>
          <w:sz w:val="30"/>
          <w:szCs w:val="30"/>
        </w:rPr>
        <w:br w:type="page"/>
      </w:r>
    </w:p>
    <w:p w14:paraId="654618D0">
      <w:pPr>
        <w:rPr>
          <w:rFonts w:hint="eastAsia"/>
          <w:lang w:eastAsia="zh-CN"/>
        </w:rPr>
      </w:pPr>
      <w:bookmarkStart w:id="62" w:name="_Toc15377226"/>
    </w:p>
    <w:tbl>
      <w:tblPr>
        <w:tblStyle w:val="18"/>
        <w:tblW w:w="8000" w:type="dxa"/>
        <w:jc w:val="center"/>
        <w:tblLayout w:type="fixed"/>
        <w:tblCellMar>
          <w:top w:w="0" w:type="dxa"/>
          <w:left w:w="0" w:type="dxa"/>
          <w:bottom w:w="0" w:type="dxa"/>
          <w:right w:w="0" w:type="dxa"/>
        </w:tblCellMar>
      </w:tblPr>
      <w:tblGrid>
        <w:gridCol w:w="590"/>
        <w:gridCol w:w="1103"/>
        <w:gridCol w:w="1079"/>
        <w:gridCol w:w="1535"/>
        <w:gridCol w:w="1758"/>
        <w:gridCol w:w="1935"/>
      </w:tblGrid>
      <w:tr w14:paraId="2013D27F">
        <w:tblPrEx>
          <w:tblCellMar>
            <w:top w:w="0" w:type="dxa"/>
            <w:left w:w="0" w:type="dxa"/>
            <w:bottom w:w="0" w:type="dxa"/>
            <w:right w:w="0" w:type="dxa"/>
          </w:tblCellMar>
        </w:tblPrEx>
        <w:trPr>
          <w:trHeight w:val="1256" w:hRule="atLeast"/>
          <w:jc w:val="center"/>
        </w:trPr>
        <w:tc>
          <w:tcPr>
            <w:tcW w:w="8000" w:type="dxa"/>
            <w:gridSpan w:val="6"/>
            <w:tcBorders>
              <w:top w:val="nil"/>
              <w:left w:val="nil"/>
              <w:bottom w:val="nil"/>
              <w:right w:val="nil"/>
            </w:tcBorders>
            <w:noWrap w:val="0"/>
            <w:tcMar>
              <w:top w:w="15" w:type="dxa"/>
              <w:left w:w="15" w:type="dxa"/>
              <w:right w:w="15" w:type="dxa"/>
            </w:tcMar>
            <w:vAlign w:val="center"/>
          </w:tcPr>
          <w:p w14:paraId="79E72AC3">
            <w:pPr>
              <w:widowControl/>
              <w:jc w:val="center"/>
              <w:textAlignment w:val="center"/>
              <w:rPr>
                <w:rFonts w:hint="eastAsia" w:ascii="宋体" w:hAnsi="宋体" w:eastAsia="宋体" w:cs="宋体"/>
                <w:b/>
                <w:bCs/>
                <w:color w:val="auto"/>
                <w:kern w:val="0"/>
                <w:sz w:val="36"/>
                <w:szCs w:val="36"/>
                <w:highlight w:val="none"/>
                <w:lang w:eastAsia="zh-CN" w:bidi="ar"/>
              </w:rPr>
            </w:pPr>
            <w:r>
              <w:rPr>
                <w:rFonts w:hint="eastAsia" w:ascii="宋体" w:hAnsi="宋体" w:cs="宋体"/>
                <w:b/>
                <w:bCs/>
                <w:color w:val="auto"/>
                <w:kern w:val="0"/>
                <w:sz w:val="36"/>
                <w:szCs w:val="36"/>
                <w:highlight w:val="none"/>
                <w:lang w:bidi="ar"/>
              </w:rPr>
              <w:t>项目绩效目标完成情况表</w:t>
            </w:r>
          </w:p>
          <w:p w14:paraId="61A15BE8">
            <w:pPr>
              <w:widowControl/>
              <w:jc w:val="center"/>
              <w:textAlignment w:val="center"/>
              <w:rPr>
                <w:rFonts w:ascii="宋体" w:cs="宋体"/>
                <w:color w:val="auto"/>
                <w:sz w:val="36"/>
                <w:szCs w:val="36"/>
                <w:highlight w:val="none"/>
              </w:rPr>
            </w:pPr>
            <w:r>
              <w:rPr>
                <w:rFonts w:ascii="宋体" w:hAnsi="宋体" w:cs="宋体"/>
                <w:color w:val="auto"/>
                <w:kern w:val="0"/>
                <w:sz w:val="36"/>
                <w:szCs w:val="36"/>
                <w:highlight w:val="none"/>
                <w:lang w:bidi="ar"/>
              </w:rPr>
              <w:t>(2020</w:t>
            </w:r>
            <w:r>
              <w:rPr>
                <w:rFonts w:hint="eastAsia" w:ascii="宋体" w:hAnsi="宋体" w:cs="宋体"/>
                <w:color w:val="auto"/>
                <w:kern w:val="0"/>
                <w:sz w:val="36"/>
                <w:szCs w:val="36"/>
                <w:highlight w:val="none"/>
                <w:lang w:bidi="ar"/>
              </w:rPr>
              <w:t>年度</w:t>
            </w:r>
            <w:r>
              <w:rPr>
                <w:rFonts w:ascii="宋体" w:hAnsi="宋体" w:cs="宋体"/>
                <w:color w:val="auto"/>
                <w:kern w:val="0"/>
                <w:sz w:val="36"/>
                <w:szCs w:val="36"/>
                <w:highlight w:val="none"/>
                <w:lang w:bidi="ar"/>
              </w:rPr>
              <w:t>)</w:t>
            </w:r>
          </w:p>
        </w:tc>
      </w:tr>
      <w:tr w14:paraId="473BF9B9">
        <w:tblPrEx>
          <w:tblCellMar>
            <w:top w:w="0" w:type="dxa"/>
            <w:left w:w="0" w:type="dxa"/>
            <w:bottom w:w="0" w:type="dxa"/>
            <w:right w:w="0" w:type="dxa"/>
          </w:tblCellMar>
        </w:tblPrEx>
        <w:trPr>
          <w:trHeight w:val="481" w:hRule="atLeast"/>
          <w:jc w:val="center"/>
        </w:trPr>
        <w:tc>
          <w:tcPr>
            <w:tcW w:w="277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FE7648">
            <w:pPr>
              <w:widowControl/>
              <w:jc w:val="center"/>
              <w:textAlignment w:val="center"/>
              <w:rPr>
                <w:rFonts w:ascii="宋体" w:cs="宋体"/>
                <w:color w:val="auto"/>
                <w:sz w:val="24"/>
                <w:highlight w:val="none"/>
              </w:rPr>
            </w:pPr>
            <w:r>
              <w:rPr>
                <w:rFonts w:hint="eastAsia" w:ascii="宋体" w:hAnsi="宋体" w:cs="宋体"/>
                <w:color w:val="auto"/>
                <w:kern w:val="0"/>
                <w:sz w:val="24"/>
                <w:highlight w:val="none"/>
                <w:lang w:bidi="ar"/>
              </w:rPr>
              <w:t>项目名称</w:t>
            </w:r>
          </w:p>
        </w:tc>
        <w:tc>
          <w:tcPr>
            <w:tcW w:w="522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E3F72A">
            <w:pPr>
              <w:widowControl/>
              <w:jc w:val="center"/>
              <w:textAlignment w:val="center"/>
              <w:rPr>
                <w:rFonts w:ascii="宋体" w:cs="宋体"/>
                <w:color w:val="auto"/>
                <w:sz w:val="24"/>
                <w:highlight w:val="none"/>
              </w:rPr>
            </w:pPr>
          </w:p>
        </w:tc>
      </w:tr>
      <w:tr w14:paraId="6154BFDA">
        <w:tblPrEx>
          <w:tblCellMar>
            <w:top w:w="0" w:type="dxa"/>
            <w:left w:w="0" w:type="dxa"/>
            <w:bottom w:w="0" w:type="dxa"/>
            <w:right w:w="0" w:type="dxa"/>
          </w:tblCellMar>
        </w:tblPrEx>
        <w:trPr>
          <w:trHeight w:val="481" w:hRule="atLeast"/>
          <w:jc w:val="center"/>
        </w:trPr>
        <w:tc>
          <w:tcPr>
            <w:tcW w:w="277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DE2929">
            <w:pPr>
              <w:widowControl/>
              <w:jc w:val="center"/>
              <w:textAlignment w:val="center"/>
              <w:rPr>
                <w:rFonts w:hint="eastAsia" w:ascii="宋体" w:eastAsia="宋体" w:cs="宋体"/>
                <w:color w:val="auto"/>
                <w:sz w:val="24"/>
                <w:highlight w:val="none"/>
                <w:lang w:eastAsia="zh-CN"/>
              </w:rPr>
            </w:pPr>
            <w:r>
              <w:rPr>
                <w:rFonts w:hint="eastAsia" w:ascii="宋体" w:hAnsi="宋体" w:cs="宋体"/>
                <w:color w:val="auto"/>
                <w:kern w:val="0"/>
                <w:sz w:val="24"/>
                <w:highlight w:val="none"/>
                <w:lang w:bidi="ar"/>
              </w:rPr>
              <w:t>预算</w:t>
            </w:r>
            <w:r>
              <w:rPr>
                <w:rFonts w:hint="eastAsia" w:ascii="宋体" w:hAnsi="宋体" w:cs="宋体"/>
                <w:color w:val="auto"/>
                <w:kern w:val="0"/>
                <w:sz w:val="24"/>
                <w:highlight w:val="none"/>
                <w:lang w:eastAsia="zh-CN" w:bidi="ar"/>
              </w:rPr>
              <w:t>部门</w:t>
            </w:r>
          </w:p>
        </w:tc>
        <w:tc>
          <w:tcPr>
            <w:tcW w:w="522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721456">
            <w:pPr>
              <w:widowControl/>
              <w:jc w:val="center"/>
              <w:textAlignment w:val="center"/>
              <w:rPr>
                <w:rFonts w:ascii="宋体" w:cs="宋体"/>
                <w:color w:val="auto"/>
                <w:sz w:val="24"/>
                <w:highlight w:val="none"/>
              </w:rPr>
            </w:pPr>
          </w:p>
        </w:tc>
      </w:tr>
      <w:tr w14:paraId="4509493F">
        <w:tblPrEx>
          <w:tblCellMar>
            <w:top w:w="0" w:type="dxa"/>
            <w:left w:w="0" w:type="dxa"/>
            <w:bottom w:w="0" w:type="dxa"/>
            <w:right w:w="0" w:type="dxa"/>
          </w:tblCellMar>
        </w:tblPrEx>
        <w:trPr>
          <w:trHeight w:val="481" w:hRule="atLeast"/>
          <w:jc w:val="center"/>
        </w:trPr>
        <w:tc>
          <w:tcPr>
            <w:tcW w:w="59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0D2BC2">
            <w:pPr>
              <w:widowControl/>
              <w:jc w:val="center"/>
              <w:textAlignment w:val="center"/>
              <w:rPr>
                <w:rFonts w:ascii="宋体" w:cs="宋体"/>
                <w:color w:val="auto"/>
                <w:sz w:val="24"/>
                <w:highlight w:val="none"/>
              </w:rPr>
            </w:pPr>
            <w:r>
              <w:rPr>
                <w:rFonts w:hint="eastAsia" w:ascii="宋体" w:hAnsi="宋体" w:cs="宋体"/>
                <w:color w:val="auto"/>
                <w:kern w:val="0"/>
                <w:sz w:val="24"/>
                <w:highlight w:val="none"/>
                <w:lang w:bidi="ar"/>
              </w:rPr>
              <w:t>预算执行情况</w:t>
            </w:r>
            <w:r>
              <w:rPr>
                <w:rFonts w:ascii="宋体" w:hAnsi="宋体" w:cs="宋体"/>
                <w:color w:val="auto"/>
                <w:kern w:val="0"/>
                <w:sz w:val="24"/>
                <w:highlight w:val="none"/>
                <w:lang w:bidi="ar"/>
              </w:rPr>
              <w:t>(</w:t>
            </w:r>
            <w:r>
              <w:rPr>
                <w:rFonts w:hint="eastAsia" w:ascii="宋体" w:hAnsi="宋体" w:cs="宋体"/>
                <w:color w:val="auto"/>
                <w:kern w:val="0"/>
                <w:sz w:val="24"/>
                <w:highlight w:val="none"/>
                <w:lang w:bidi="ar"/>
              </w:rPr>
              <w:t>万元</w:t>
            </w:r>
            <w:r>
              <w:rPr>
                <w:rFonts w:ascii="宋体" w:hAnsi="宋体" w:cs="宋体"/>
                <w:color w:val="auto"/>
                <w:kern w:val="0"/>
                <w:sz w:val="24"/>
                <w:highlight w:val="none"/>
                <w:lang w:bidi="ar"/>
              </w:rPr>
              <w:t>)</w:t>
            </w:r>
          </w:p>
        </w:tc>
        <w:tc>
          <w:tcPr>
            <w:tcW w:w="218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20F332">
            <w:pPr>
              <w:widowControl/>
              <w:jc w:val="center"/>
              <w:textAlignment w:val="center"/>
              <w:rPr>
                <w:rFonts w:ascii="宋体" w:cs="宋体"/>
                <w:color w:val="auto"/>
                <w:sz w:val="24"/>
                <w:highlight w:val="none"/>
              </w:rPr>
            </w:pPr>
            <w:r>
              <w:rPr>
                <w:rFonts w:hint="eastAsia" w:ascii="宋体" w:hAnsi="宋体" w:cs="宋体"/>
                <w:color w:val="auto"/>
                <w:kern w:val="0"/>
                <w:sz w:val="24"/>
                <w:highlight w:val="none"/>
                <w:lang w:bidi="ar"/>
              </w:rPr>
              <w:t>预算数</w:t>
            </w:r>
            <w:r>
              <w:rPr>
                <w:rFonts w:ascii="宋体" w:hAnsi="宋体" w:cs="宋体"/>
                <w:color w:val="auto"/>
                <w:kern w:val="0"/>
                <w:sz w:val="24"/>
                <w:highlight w:val="none"/>
                <w:lang w:bidi="ar"/>
              </w:rPr>
              <w:t>:</w:t>
            </w:r>
          </w:p>
        </w:tc>
        <w:tc>
          <w:tcPr>
            <w:tcW w:w="15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F5E0ED">
            <w:pPr>
              <w:widowControl/>
              <w:jc w:val="center"/>
              <w:textAlignment w:val="center"/>
              <w:rPr>
                <w:rFonts w:ascii="宋体" w:cs="宋体"/>
                <w:color w:val="auto"/>
                <w:sz w:val="24"/>
                <w:highlight w:val="none"/>
              </w:rPr>
            </w:pPr>
          </w:p>
        </w:tc>
        <w:tc>
          <w:tcPr>
            <w:tcW w:w="1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1F8B8B">
            <w:pPr>
              <w:widowControl/>
              <w:jc w:val="center"/>
              <w:textAlignment w:val="center"/>
              <w:rPr>
                <w:rFonts w:ascii="宋体" w:cs="宋体"/>
                <w:color w:val="auto"/>
                <w:sz w:val="24"/>
                <w:highlight w:val="none"/>
              </w:rPr>
            </w:pPr>
            <w:r>
              <w:rPr>
                <w:rFonts w:hint="eastAsia" w:ascii="宋体" w:hAnsi="宋体" w:cs="宋体"/>
                <w:color w:val="auto"/>
                <w:kern w:val="0"/>
                <w:sz w:val="24"/>
                <w:highlight w:val="none"/>
                <w:lang w:bidi="ar"/>
              </w:rPr>
              <w:t>执行数</w:t>
            </w:r>
            <w:r>
              <w:rPr>
                <w:rFonts w:ascii="宋体" w:hAnsi="宋体" w:cs="宋体"/>
                <w:color w:val="auto"/>
                <w:kern w:val="0"/>
                <w:sz w:val="24"/>
                <w:highlight w:val="none"/>
                <w:lang w:bidi="ar"/>
              </w:rPr>
              <w:t>:</w:t>
            </w:r>
          </w:p>
        </w:tc>
        <w:tc>
          <w:tcPr>
            <w:tcW w:w="1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93267A">
            <w:pPr>
              <w:widowControl/>
              <w:jc w:val="center"/>
              <w:textAlignment w:val="center"/>
              <w:rPr>
                <w:rFonts w:ascii="宋体" w:cs="宋体"/>
                <w:color w:val="auto"/>
                <w:sz w:val="24"/>
                <w:highlight w:val="none"/>
              </w:rPr>
            </w:pPr>
          </w:p>
        </w:tc>
      </w:tr>
      <w:tr w14:paraId="41D690A6">
        <w:tblPrEx>
          <w:tblCellMar>
            <w:top w:w="0" w:type="dxa"/>
            <w:left w:w="0" w:type="dxa"/>
            <w:bottom w:w="0" w:type="dxa"/>
            <w:right w:w="0" w:type="dxa"/>
          </w:tblCellMar>
        </w:tblPrEx>
        <w:trPr>
          <w:trHeight w:val="481" w:hRule="atLeast"/>
          <w:jc w:val="center"/>
        </w:trPr>
        <w:tc>
          <w:tcPr>
            <w:tcW w:w="5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EDF51A">
            <w:pPr>
              <w:jc w:val="center"/>
              <w:rPr>
                <w:rFonts w:ascii="宋体" w:cs="宋体"/>
                <w:color w:val="auto"/>
                <w:sz w:val="24"/>
                <w:highlight w:val="none"/>
              </w:rPr>
            </w:pPr>
          </w:p>
        </w:tc>
        <w:tc>
          <w:tcPr>
            <w:tcW w:w="218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602A4A">
            <w:pPr>
              <w:widowControl/>
              <w:jc w:val="center"/>
              <w:textAlignment w:val="center"/>
              <w:rPr>
                <w:rFonts w:ascii="宋体" w:cs="宋体"/>
                <w:color w:val="auto"/>
                <w:sz w:val="24"/>
                <w:highlight w:val="none"/>
              </w:rPr>
            </w:pPr>
            <w:r>
              <w:rPr>
                <w:rFonts w:hint="eastAsia" w:ascii="宋体" w:hAnsi="宋体" w:cs="宋体"/>
                <w:color w:val="auto"/>
                <w:kern w:val="0"/>
                <w:sz w:val="24"/>
                <w:highlight w:val="none"/>
                <w:lang w:bidi="ar"/>
              </w:rPr>
              <w:t>其中</w:t>
            </w:r>
            <w:r>
              <w:rPr>
                <w:rFonts w:ascii="宋体" w:cs="宋体"/>
                <w:color w:val="auto"/>
                <w:kern w:val="0"/>
                <w:sz w:val="24"/>
                <w:highlight w:val="none"/>
                <w:lang w:bidi="ar"/>
              </w:rPr>
              <w:t>-</w:t>
            </w:r>
            <w:r>
              <w:rPr>
                <w:rFonts w:hint="eastAsia" w:ascii="宋体" w:hAnsi="宋体" w:cs="宋体"/>
                <w:color w:val="auto"/>
                <w:kern w:val="0"/>
                <w:sz w:val="24"/>
                <w:highlight w:val="none"/>
                <w:lang w:bidi="ar"/>
              </w:rPr>
              <w:t>财政拨款</w:t>
            </w:r>
            <w:r>
              <w:rPr>
                <w:rFonts w:ascii="宋体" w:hAnsi="宋体" w:cs="宋体"/>
                <w:color w:val="auto"/>
                <w:kern w:val="0"/>
                <w:sz w:val="24"/>
                <w:highlight w:val="none"/>
                <w:lang w:bidi="ar"/>
              </w:rPr>
              <w:t>:</w:t>
            </w:r>
          </w:p>
        </w:tc>
        <w:tc>
          <w:tcPr>
            <w:tcW w:w="15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5535A5">
            <w:pPr>
              <w:widowControl/>
              <w:jc w:val="center"/>
              <w:textAlignment w:val="center"/>
              <w:rPr>
                <w:rFonts w:ascii="宋体" w:cs="宋体"/>
                <w:color w:val="auto"/>
                <w:sz w:val="24"/>
                <w:highlight w:val="none"/>
              </w:rPr>
            </w:pPr>
          </w:p>
        </w:tc>
        <w:tc>
          <w:tcPr>
            <w:tcW w:w="1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A40787">
            <w:pPr>
              <w:widowControl/>
              <w:jc w:val="center"/>
              <w:textAlignment w:val="center"/>
              <w:rPr>
                <w:rFonts w:ascii="宋体" w:cs="宋体"/>
                <w:color w:val="auto"/>
                <w:sz w:val="24"/>
                <w:highlight w:val="none"/>
              </w:rPr>
            </w:pPr>
            <w:r>
              <w:rPr>
                <w:rFonts w:hint="eastAsia" w:ascii="宋体" w:hAnsi="宋体" w:cs="宋体"/>
                <w:color w:val="auto"/>
                <w:kern w:val="0"/>
                <w:sz w:val="24"/>
                <w:highlight w:val="none"/>
                <w:lang w:bidi="ar"/>
              </w:rPr>
              <w:t>其中</w:t>
            </w:r>
            <w:r>
              <w:rPr>
                <w:rFonts w:ascii="宋体" w:cs="宋体"/>
                <w:color w:val="auto"/>
                <w:kern w:val="0"/>
                <w:sz w:val="24"/>
                <w:highlight w:val="none"/>
                <w:lang w:bidi="ar"/>
              </w:rPr>
              <w:t>-</w:t>
            </w:r>
            <w:r>
              <w:rPr>
                <w:rFonts w:hint="eastAsia" w:ascii="宋体" w:hAnsi="宋体" w:cs="宋体"/>
                <w:color w:val="auto"/>
                <w:kern w:val="0"/>
                <w:sz w:val="24"/>
                <w:highlight w:val="none"/>
                <w:lang w:bidi="ar"/>
              </w:rPr>
              <w:t>财政拨款</w:t>
            </w:r>
            <w:r>
              <w:rPr>
                <w:rFonts w:ascii="宋体" w:hAnsi="宋体" w:cs="宋体"/>
                <w:color w:val="auto"/>
                <w:kern w:val="0"/>
                <w:sz w:val="24"/>
                <w:highlight w:val="none"/>
                <w:lang w:bidi="ar"/>
              </w:rPr>
              <w:t>:</w:t>
            </w:r>
          </w:p>
        </w:tc>
        <w:tc>
          <w:tcPr>
            <w:tcW w:w="1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C3DA2D">
            <w:pPr>
              <w:widowControl/>
              <w:jc w:val="center"/>
              <w:textAlignment w:val="center"/>
              <w:rPr>
                <w:rFonts w:ascii="宋体" w:cs="宋体"/>
                <w:color w:val="auto"/>
                <w:sz w:val="24"/>
                <w:highlight w:val="none"/>
              </w:rPr>
            </w:pPr>
          </w:p>
        </w:tc>
      </w:tr>
      <w:tr w14:paraId="4A9356DD">
        <w:tblPrEx>
          <w:tblCellMar>
            <w:top w:w="0" w:type="dxa"/>
            <w:left w:w="0" w:type="dxa"/>
            <w:bottom w:w="0" w:type="dxa"/>
            <w:right w:w="0" w:type="dxa"/>
          </w:tblCellMar>
        </w:tblPrEx>
        <w:trPr>
          <w:trHeight w:val="1132" w:hRule="atLeast"/>
          <w:jc w:val="center"/>
        </w:trPr>
        <w:tc>
          <w:tcPr>
            <w:tcW w:w="5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7E6E79">
            <w:pPr>
              <w:jc w:val="center"/>
              <w:rPr>
                <w:rFonts w:ascii="宋体" w:cs="宋体"/>
                <w:color w:val="auto"/>
                <w:sz w:val="24"/>
                <w:highlight w:val="none"/>
              </w:rPr>
            </w:pPr>
          </w:p>
        </w:tc>
        <w:tc>
          <w:tcPr>
            <w:tcW w:w="218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AF91B7">
            <w:pPr>
              <w:widowControl/>
              <w:jc w:val="center"/>
              <w:textAlignment w:val="center"/>
              <w:rPr>
                <w:rFonts w:ascii="宋体" w:cs="宋体"/>
                <w:color w:val="auto"/>
                <w:sz w:val="24"/>
                <w:highlight w:val="none"/>
              </w:rPr>
            </w:pPr>
            <w:r>
              <w:rPr>
                <w:rFonts w:hint="eastAsia" w:ascii="宋体" w:hAnsi="宋体" w:cs="宋体"/>
                <w:color w:val="auto"/>
                <w:kern w:val="0"/>
                <w:sz w:val="24"/>
                <w:highlight w:val="none"/>
                <w:lang w:bidi="ar"/>
              </w:rPr>
              <w:t>其它资金</w:t>
            </w:r>
            <w:r>
              <w:rPr>
                <w:rFonts w:ascii="宋体" w:hAnsi="宋体" w:cs="宋体"/>
                <w:color w:val="auto"/>
                <w:kern w:val="0"/>
                <w:sz w:val="24"/>
                <w:highlight w:val="none"/>
                <w:lang w:bidi="ar"/>
              </w:rPr>
              <w:t>:</w:t>
            </w:r>
          </w:p>
        </w:tc>
        <w:tc>
          <w:tcPr>
            <w:tcW w:w="15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911B47">
            <w:pPr>
              <w:widowControl/>
              <w:jc w:val="center"/>
              <w:textAlignment w:val="center"/>
              <w:rPr>
                <w:rFonts w:ascii="宋体" w:cs="宋体"/>
                <w:color w:val="auto"/>
                <w:sz w:val="24"/>
                <w:highlight w:val="none"/>
              </w:rPr>
            </w:pPr>
          </w:p>
        </w:tc>
        <w:tc>
          <w:tcPr>
            <w:tcW w:w="1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609B29">
            <w:pPr>
              <w:widowControl/>
              <w:jc w:val="center"/>
              <w:textAlignment w:val="center"/>
              <w:rPr>
                <w:rFonts w:ascii="宋体" w:cs="宋体"/>
                <w:color w:val="auto"/>
                <w:sz w:val="24"/>
                <w:highlight w:val="none"/>
              </w:rPr>
            </w:pPr>
            <w:r>
              <w:rPr>
                <w:rFonts w:hint="eastAsia" w:ascii="宋体" w:hAnsi="宋体" w:cs="宋体"/>
                <w:color w:val="auto"/>
                <w:kern w:val="0"/>
                <w:sz w:val="24"/>
                <w:highlight w:val="none"/>
                <w:lang w:bidi="ar"/>
              </w:rPr>
              <w:t>其它资金</w:t>
            </w:r>
            <w:r>
              <w:rPr>
                <w:rFonts w:ascii="宋体" w:hAnsi="宋体" w:cs="宋体"/>
                <w:color w:val="auto"/>
                <w:kern w:val="0"/>
                <w:sz w:val="24"/>
                <w:highlight w:val="none"/>
                <w:lang w:bidi="ar"/>
              </w:rPr>
              <w:t>:</w:t>
            </w:r>
          </w:p>
        </w:tc>
        <w:tc>
          <w:tcPr>
            <w:tcW w:w="1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B38C66">
            <w:pPr>
              <w:jc w:val="center"/>
              <w:rPr>
                <w:rFonts w:ascii="宋体" w:cs="宋体"/>
                <w:color w:val="auto"/>
                <w:sz w:val="24"/>
                <w:highlight w:val="none"/>
              </w:rPr>
            </w:pPr>
          </w:p>
        </w:tc>
      </w:tr>
      <w:tr w14:paraId="63C3EAA6">
        <w:tblPrEx>
          <w:tblCellMar>
            <w:top w:w="0" w:type="dxa"/>
            <w:left w:w="0" w:type="dxa"/>
            <w:bottom w:w="0" w:type="dxa"/>
            <w:right w:w="0" w:type="dxa"/>
          </w:tblCellMar>
        </w:tblPrEx>
        <w:trPr>
          <w:trHeight w:val="481" w:hRule="atLeast"/>
          <w:jc w:val="center"/>
        </w:trPr>
        <w:tc>
          <w:tcPr>
            <w:tcW w:w="59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C873B1">
            <w:pPr>
              <w:widowControl/>
              <w:jc w:val="center"/>
              <w:textAlignment w:val="center"/>
              <w:rPr>
                <w:rFonts w:ascii="宋体" w:cs="宋体"/>
                <w:color w:val="auto"/>
                <w:sz w:val="24"/>
                <w:highlight w:val="none"/>
              </w:rPr>
            </w:pPr>
            <w:r>
              <w:rPr>
                <w:rFonts w:hint="eastAsia" w:ascii="宋体" w:hAnsi="宋体" w:cs="宋体"/>
                <w:color w:val="auto"/>
                <w:kern w:val="0"/>
                <w:sz w:val="24"/>
                <w:highlight w:val="none"/>
                <w:lang w:bidi="ar"/>
              </w:rPr>
              <w:t>年度目标完成情况</w:t>
            </w:r>
          </w:p>
        </w:tc>
        <w:tc>
          <w:tcPr>
            <w:tcW w:w="371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0D244B">
            <w:pPr>
              <w:widowControl/>
              <w:jc w:val="center"/>
              <w:textAlignment w:val="center"/>
              <w:rPr>
                <w:rFonts w:ascii="宋体" w:cs="宋体"/>
                <w:color w:val="auto"/>
                <w:sz w:val="24"/>
                <w:highlight w:val="none"/>
              </w:rPr>
            </w:pPr>
            <w:r>
              <w:rPr>
                <w:rFonts w:hint="eastAsia" w:ascii="宋体" w:hAnsi="宋体" w:cs="宋体"/>
                <w:color w:val="auto"/>
                <w:kern w:val="0"/>
                <w:sz w:val="24"/>
                <w:highlight w:val="none"/>
                <w:lang w:bidi="ar"/>
              </w:rPr>
              <w:t>预期目标</w:t>
            </w:r>
          </w:p>
        </w:tc>
        <w:tc>
          <w:tcPr>
            <w:tcW w:w="369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A546B8">
            <w:pPr>
              <w:widowControl/>
              <w:jc w:val="center"/>
              <w:textAlignment w:val="center"/>
              <w:rPr>
                <w:rFonts w:ascii="宋体" w:cs="宋体"/>
                <w:color w:val="auto"/>
                <w:sz w:val="24"/>
                <w:highlight w:val="none"/>
              </w:rPr>
            </w:pPr>
            <w:r>
              <w:rPr>
                <w:rFonts w:hint="eastAsia" w:ascii="宋体" w:hAnsi="宋体" w:cs="宋体"/>
                <w:color w:val="auto"/>
                <w:kern w:val="0"/>
                <w:sz w:val="24"/>
                <w:highlight w:val="none"/>
                <w:lang w:bidi="ar"/>
              </w:rPr>
              <w:t>实际完成目标</w:t>
            </w:r>
          </w:p>
        </w:tc>
      </w:tr>
      <w:tr w14:paraId="6F611FE9">
        <w:tblPrEx>
          <w:tblCellMar>
            <w:top w:w="0" w:type="dxa"/>
            <w:left w:w="0" w:type="dxa"/>
            <w:bottom w:w="0" w:type="dxa"/>
            <w:right w:w="0" w:type="dxa"/>
          </w:tblCellMar>
        </w:tblPrEx>
        <w:trPr>
          <w:trHeight w:val="1161" w:hRule="atLeast"/>
          <w:jc w:val="center"/>
        </w:trPr>
        <w:tc>
          <w:tcPr>
            <w:tcW w:w="5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E79598">
            <w:pPr>
              <w:jc w:val="center"/>
              <w:rPr>
                <w:rFonts w:ascii="宋体" w:cs="宋体"/>
                <w:color w:val="auto"/>
                <w:sz w:val="24"/>
                <w:highlight w:val="none"/>
              </w:rPr>
            </w:pPr>
          </w:p>
        </w:tc>
        <w:tc>
          <w:tcPr>
            <w:tcW w:w="371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DEDB0C">
            <w:pPr>
              <w:widowControl/>
              <w:jc w:val="center"/>
              <w:textAlignment w:val="center"/>
              <w:rPr>
                <w:rFonts w:ascii="宋体" w:cs="宋体"/>
                <w:color w:val="auto"/>
                <w:sz w:val="24"/>
                <w:highlight w:val="none"/>
              </w:rPr>
            </w:pPr>
          </w:p>
        </w:tc>
        <w:tc>
          <w:tcPr>
            <w:tcW w:w="369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FC4E02">
            <w:pPr>
              <w:widowControl/>
              <w:jc w:val="center"/>
              <w:textAlignment w:val="center"/>
              <w:rPr>
                <w:rFonts w:ascii="宋体" w:cs="宋体"/>
                <w:color w:val="auto"/>
                <w:sz w:val="24"/>
                <w:highlight w:val="none"/>
              </w:rPr>
            </w:pPr>
          </w:p>
        </w:tc>
      </w:tr>
      <w:tr w14:paraId="322F34F3">
        <w:tblPrEx>
          <w:tblCellMar>
            <w:top w:w="0" w:type="dxa"/>
            <w:left w:w="0" w:type="dxa"/>
            <w:bottom w:w="0" w:type="dxa"/>
            <w:right w:w="0" w:type="dxa"/>
          </w:tblCellMar>
        </w:tblPrEx>
        <w:trPr>
          <w:trHeight w:val="1189" w:hRule="atLeast"/>
          <w:jc w:val="center"/>
        </w:trPr>
        <w:tc>
          <w:tcPr>
            <w:tcW w:w="59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2EC27652">
            <w:pPr>
              <w:widowControl/>
              <w:jc w:val="center"/>
              <w:textAlignment w:val="center"/>
              <w:rPr>
                <w:rFonts w:ascii="宋体" w:cs="宋体"/>
                <w:color w:val="auto"/>
                <w:sz w:val="24"/>
                <w:highlight w:val="none"/>
              </w:rPr>
            </w:pPr>
            <w:r>
              <w:rPr>
                <w:rFonts w:hint="eastAsia" w:ascii="宋体" w:hAnsi="宋体" w:cs="宋体"/>
                <w:color w:val="auto"/>
                <w:sz w:val="24"/>
                <w:highlight w:val="none"/>
              </w:rPr>
              <w:t>绩效指标完成情况</w:t>
            </w:r>
          </w:p>
        </w:tc>
        <w:tc>
          <w:tcPr>
            <w:tcW w:w="11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565AAB">
            <w:pPr>
              <w:widowControl/>
              <w:jc w:val="center"/>
              <w:textAlignment w:val="center"/>
              <w:rPr>
                <w:rFonts w:ascii="宋体" w:cs="宋体"/>
                <w:color w:val="auto"/>
                <w:sz w:val="24"/>
                <w:highlight w:val="none"/>
              </w:rPr>
            </w:pPr>
            <w:r>
              <w:rPr>
                <w:rFonts w:hint="eastAsia" w:ascii="宋体" w:hAnsi="宋体" w:cs="宋体"/>
                <w:color w:val="auto"/>
                <w:kern w:val="0"/>
                <w:sz w:val="24"/>
                <w:highlight w:val="none"/>
                <w:lang w:bidi="ar"/>
              </w:rPr>
              <w:t>一级指标</w:t>
            </w:r>
          </w:p>
        </w:tc>
        <w:tc>
          <w:tcPr>
            <w:tcW w:w="1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448BBD">
            <w:pPr>
              <w:widowControl/>
              <w:jc w:val="center"/>
              <w:textAlignment w:val="center"/>
              <w:rPr>
                <w:rFonts w:ascii="宋体" w:cs="宋体"/>
                <w:color w:val="auto"/>
                <w:sz w:val="24"/>
                <w:highlight w:val="none"/>
              </w:rPr>
            </w:pPr>
            <w:r>
              <w:rPr>
                <w:rFonts w:hint="eastAsia" w:ascii="宋体" w:hAnsi="宋体" w:cs="宋体"/>
                <w:color w:val="auto"/>
                <w:kern w:val="0"/>
                <w:sz w:val="24"/>
                <w:highlight w:val="none"/>
                <w:lang w:bidi="ar"/>
              </w:rPr>
              <w:t>二级指标</w:t>
            </w:r>
          </w:p>
        </w:tc>
        <w:tc>
          <w:tcPr>
            <w:tcW w:w="15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0458C4">
            <w:pPr>
              <w:widowControl/>
              <w:jc w:val="center"/>
              <w:textAlignment w:val="center"/>
              <w:rPr>
                <w:rFonts w:ascii="宋体" w:cs="宋体"/>
                <w:color w:val="auto"/>
                <w:sz w:val="24"/>
                <w:highlight w:val="none"/>
              </w:rPr>
            </w:pPr>
            <w:r>
              <w:rPr>
                <w:rFonts w:hint="eastAsia" w:ascii="宋体" w:hAnsi="宋体" w:cs="宋体"/>
                <w:color w:val="auto"/>
                <w:kern w:val="0"/>
                <w:sz w:val="24"/>
                <w:highlight w:val="none"/>
                <w:lang w:bidi="ar"/>
              </w:rPr>
              <w:t>三级指标</w:t>
            </w:r>
          </w:p>
        </w:tc>
        <w:tc>
          <w:tcPr>
            <w:tcW w:w="1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D53CA5">
            <w:pPr>
              <w:widowControl/>
              <w:jc w:val="center"/>
              <w:textAlignment w:val="center"/>
              <w:rPr>
                <w:rFonts w:ascii="宋体" w:cs="宋体"/>
                <w:color w:val="auto"/>
                <w:sz w:val="24"/>
                <w:highlight w:val="none"/>
              </w:rPr>
            </w:pPr>
            <w:r>
              <w:rPr>
                <w:rFonts w:hint="eastAsia" w:ascii="宋体" w:hAnsi="宋体" w:cs="宋体"/>
                <w:color w:val="auto"/>
                <w:kern w:val="0"/>
                <w:sz w:val="24"/>
                <w:highlight w:val="none"/>
                <w:lang w:bidi="ar"/>
              </w:rPr>
              <w:t>预期指标值</w:t>
            </w:r>
            <w:r>
              <w:rPr>
                <w:rFonts w:ascii="宋体" w:hAnsi="宋体" w:cs="宋体"/>
                <w:color w:val="auto"/>
                <w:kern w:val="0"/>
                <w:sz w:val="24"/>
                <w:highlight w:val="none"/>
                <w:lang w:bidi="ar"/>
              </w:rPr>
              <w:t>(</w:t>
            </w:r>
            <w:r>
              <w:rPr>
                <w:rFonts w:hint="eastAsia" w:ascii="宋体" w:hAnsi="宋体" w:cs="宋体"/>
                <w:color w:val="auto"/>
                <w:kern w:val="0"/>
                <w:sz w:val="24"/>
                <w:highlight w:val="none"/>
                <w:lang w:bidi="ar"/>
              </w:rPr>
              <w:t>包含数字及文字描述</w:t>
            </w:r>
            <w:r>
              <w:rPr>
                <w:rFonts w:ascii="宋体" w:hAnsi="宋体" w:cs="宋体"/>
                <w:color w:val="auto"/>
                <w:kern w:val="0"/>
                <w:sz w:val="24"/>
                <w:highlight w:val="none"/>
                <w:lang w:bidi="ar"/>
              </w:rPr>
              <w:t>)</w:t>
            </w:r>
          </w:p>
        </w:tc>
        <w:tc>
          <w:tcPr>
            <w:tcW w:w="1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83E4D9">
            <w:pPr>
              <w:widowControl/>
              <w:jc w:val="center"/>
              <w:textAlignment w:val="center"/>
              <w:rPr>
                <w:rFonts w:ascii="宋体" w:cs="宋体"/>
                <w:color w:val="auto"/>
                <w:sz w:val="24"/>
                <w:highlight w:val="none"/>
              </w:rPr>
            </w:pPr>
            <w:r>
              <w:rPr>
                <w:rFonts w:hint="eastAsia" w:ascii="宋体" w:hAnsi="宋体" w:cs="宋体"/>
                <w:color w:val="auto"/>
                <w:kern w:val="0"/>
                <w:sz w:val="24"/>
                <w:highlight w:val="none"/>
                <w:lang w:bidi="ar"/>
              </w:rPr>
              <w:t>实际完成指标值</w:t>
            </w:r>
            <w:r>
              <w:rPr>
                <w:rFonts w:ascii="宋体" w:hAnsi="宋体" w:cs="宋体"/>
                <w:color w:val="auto"/>
                <w:kern w:val="0"/>
                <w:sz w:val="24"/>
                <w:highlight w:val="none"/>
                <w:lang w:bidi="ar"/>
              </w:rPr>
              <w:t>(</w:t>
            </w:r>
            <w:r>
              <w:rPr>
                <w:rFonts w:hint="eastAsia" w:ascii="宋体" w:hAnsi="宋体" w:cs="宋体"/>
                <w:color w:val="auto"/>
                <w:kern w:val="0"/>
                <w:sz w:val="24"/>
                <w:highlight w:val="none"/>
                <w:lang w:bidi="ar"/>
              </w:rPr>
              <w:t>包含数字及文字描述</w:t>
            </w:r>
            <w:r>
              <w:rPr>
                <w:rFonts w:ascii="宋体" w:hAnsi="宋体" w:cs="宋体"/>
                <w:color w:val="auto"/>
                <w:kern w:val="0"/>
                <w:sz w:val="24"/>
                <w:highlight w:val="none"/>
                <w:lang w:bidi="ar"/>
              </w:rPr>
              <w:t>)</w:t>
            </w:r>
          </w:p>
        </w:tc>
      </w:tr>
      <w:tr w14:paraId="1F94B225">
        <w:tblPrEx>
          <w:tblCellMar>
            <w:top w:w="0" w:type="dxa"/>
            <w:left w:w="0" w:type="dxa"/>
            <w:bottom w:w="0" w:type="dxa"/>
            <w:right w:w="0" w:type="dxa"/>
          </w:tblCellMar>
        </w:tblPrEx>
        <w:trPr>
          <w:trHeight w:val="835" w:hRule="atLeast"/>
          <w:jc w:val="center"/>
        </w:trPr>
        <w:tc>
          <w:tcPr>
            <w:tcW w:w="590" w:type="dxa"/>
            <w:vMerge w:val="continue"/>
            <w:tcBorders>
              <w:left w:val="single" w:color="000000" w:sz="4" w:space="0"/>
              <w:right w:val="single" w:color="000000" w:sz="4" w:space="0"/>
            </w:tcBorders>
            <w:noWrap w:val="0"/>
            <w:tcMar>
              <w:top w:w="15" w:type="dxa"/>
              <w:left w:w="15" w:type="dxa"/>
              <w:right w:w="15" w:type="dxa"/>
            </w:tcMar>
            <w:vAlign w:val="center"/>
          </w:tcPr>
          <w:p w14:paraId="56C98447">
            <w:pPr>
              <w:widowControl/>
              <w:jc w:val="center"/>
              <w:textAlignment w:val="center"/>
              <w:rPr>
                <w:rFonts w:ascii="宋体" w:cs="宋体"/>
                <w:color w:val="auto"/>
                <w:sz w:val="24"/>
                <w:highlight w:val="none"/>
              </w:rPr>
            </w:pPr>
          </w:p>
        </w:tc>
        <w:tc>
          <w:tcPr>
            <w:tcW w:w="11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6BE4CB">
            <w:pPr>
              <w:widowControl/>
              <w:jc w:val="center"/>
              <w:textAlignment w:val="center"/>
              <w:rPr>
                <w:rFonts w:ascii="宋体" w:cs="宋体"/>
                <w:color w:val="auto"/>
                <w:sz w:val="24"/>
                <w:highlight w:val="none"/>
              </w:rPr>
            </w:pPr>
            <w:r>
              <w:rPr>
                <w:rFonts w:hint="eastAsia" w:ascii="宋体" w:hAnsi="宋体" w:cs="宋体"/>
                <w:color w:val="auto"/>
                <w:kern w:val="0"/>
                <w:sz w:val="24"/>
                <w:highlight w:val="none"/>
                <w:lang w:bidi="ar"/>
              </w:rPr>
              <w:t>项目完成指标</w:t>
            </w:r>
          </w:p>
        </w:tc>
        <w:tc>
          <w:tcPr>
            <w:tcW w:w="1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A73644">
            <w:pPr>
              <w:widowControl/>
              <w:jc w:val="center"/>
              <w:textAlignment w:val="center"/>
              <w:rPr>
                <w:rFonts w:ascii="宋体" w:cs="宋体"/>
                <w:color w:val="auto"/>
                <w:sz w:val="24"/>
                <w:highlight w:val="none"/>
              </w:rPr>
            </w:pPr>
          </w:p>
        </w:tc>
        <w:tc>
          <w:tcPr>
            <w:tcW w:w="15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D791CE">
            <w:pPr>
              <w:widowControl/>
              <w:jc w:val="center"/>
              <w:textAlignment w:val="center"/>
              <w:rPr>
                <w:rFonts w:ascii="宋体" w:cs="宋体"/>
                <w:color w:val="auto"/>
                <w:sz w:val="24"/>
                <w:highlight w:val="none"/>
              </w:rPr>
            </w:pPr>
          </w:p>
        </w:tc>
        <w:tc>
          <w:tcPr>
            <w:tcW w:w="1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E65ED6">
            <w:pPr>
              <w:widowControl/>
              <w:jc w:val="center"/>
              <w:textAlignment w:val="center"/>
              <w:rPr>
                <w:rFonts w:ascii="宋体" w:cs="宋体"/>
                <w:color w:val="auto"/>
                <w:sz w:val="24"/>
                <w:highlight w:val="none"/>
              </w:rPr>
            </w:pPr>
          </w:p>
        </w:tc>
        <w:tc>
          <w:tcPr>
            <w:tcW w:w="1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9084B0">
            <w:pPr>
              <w:widowControl/>
              <w:jc w:val="center"/>
              <w:textAlignment w:val="center"/>
              <w:rPr>
                <w:rFonts w:ascii="宋体" w:cs="宋体"/>
                <w:color w:val="auto"/>
                <w:sz w:val="24"/>
                <w:highlight w:val="none"/>
              </w:rPr>
            </w:pPr>
          </w:p>
        </w:tc>
      </w:tr>
      <w:tr w14:paraId="25A431AE">
        <w:tblPrEx>
          <w:tblCellMar>
            <w:top w:w="0" w:type="dxa"/>
            <w:left w:w="0" w:type="dxa"/>
            <w:bottom w:w="0" w:type="dxa"/>
            <w:right w:w="0" w:type="dxa"/>
          </w:tblCellMar>
        </w:tblPrEx>
        <w:trPr>
          <w:trHeight w:val="835" w:hRule="atLeast"/>
          <w:jc w:val="center"/>
        </w:trPr>
        <w:tc>
          <w:tcPr>
            <w:tcW w:w="590" w:type="dxa"/>
            <w:vMerge w:val="continue"/>
            <w:tcBorders>
              <w:left w:val="single" w:color="000000" w:sz="4" w:space="0"/>
              <w:right w:val="single" w:color="000000" w:sz="4" w:space="0"/>
            </w:tcBorders>
            <w:noWrap w:val="0"/>
            <w:tcMar>
              <w:top w:w="15" w:type="dxa"/>
              <w:left w:w="15" w:type="dxa"/>
              <w:right w:w="15" w:type="dxa"/>
            </w:tcMar>
            <w:vAlign w:val="center"/>
          </w:tcPr>
          <w:p w14:paraId="399B1474">
            <w:pPr>
              <w:widowControl/>
              <w:jc w:val="center"/>
              <w:textAlignment w:val="center"/>
              <w:rPr>
                <w:rFonts w:ascii="宋体" w:cs="宋体"/>
                <w:color w:val="auto"/>
                <w:sz w:val="24"/>
                <w:highlight w:val="none"/>
              </w:rPr>
            </w:pPr>
          </w:p>
        </w:tc>
        <w:tc>
          <w:tcPr>
            <w:tcW w:w="11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552657">
            <w:pPr>
              <w:widowControl/>
              <w:jc w:val="center"/>
              <w:textAlignment w:val="center"/>
              <w:rPr>
                <w:rFonts w:ascii="宋体" w:cs="宋体"/>
                <w:color w:val="auto"/>
                <w:sz w:val="24"/>
                <w:highlight w:val="none"/>
              </w:rPr>
            </w:pPr>
            <w:r>
              <w:rPr>
                <w:rFonts w:hint="eastAsia" w:ascii="宋体" w:hAnsi="宋体" w:cs="宋体"/>
                <w:color w:val="auto"/>
                <w:kern w:val="0"/>
                <w:sz w:val="24"/>
                <w:highlight w:val="none"/>
                <w:lang w:bidi="ar"/>
              </w:rPr>
              <w:t>项目完成指标</w:t>
            </w:r>
          </w:p>
        </w:tc>
        <w:tc>
          <w:tcPr>
            <w:tcW w:w="1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20AB6D">
            <w:pPr>
              <w:widowControl/>
              <w:jc w:val="center"/>
              <w:textAlignment w:val="center"/>
              <w:rPr>
                <w:rFonts w:ascii="宋体" w:cs="宋体"/>
                <w:color w:val="auto"/>
                <w:sz w:val="24"/>
                <w:highlight w:val="none"/>
              </w:rPr>
            </w:pPr>
          </w:p>
        </w:tc>
        <w:tc>
          <w:tcPr>
            <w:tcW w:w="15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AEB7B7">
            <w:pPr>
              <w:widowControl/>
              <w:jc w:val="center"/>
              <w:textAlignment w:val="center"/>
              <w:rPr>
                <w:rFonts w:ascii="宋体" w:cs="宋体"/>
                <w:color w:val="auto"/>
                <w:sz w:val="24"/>
                <w:highlight w:val="none"/>
              </w:rPr>
            </w:pPr>
          </w:p>
        </w:tc>
        <w:tc>
          <w:tcPr>
            <w:tcW w:w="1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87EB30">
            <w:pPr>
              <w:widowControl/>
              <w:jc w:val="center"/>
              <w:textAlignment w:val="center"/>
              <w:rPr>
                <w:rFonts w:ascii="宋体" w:cs="宋体"/>
                <w:color w:val="auto"/>
                <w:sz w:val="24"/>
                <w:highlight w:val="none"/>
              </w:rPr>
            </w:pPr>
          </w:p>
        </w:tc>
        <w:tc>
          <w:tcPr>
            <w:tcW w:w="1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C92044">
            <w:pPr>
              <w:widowControl/>
              <w:jc w:val="center"/>
              <w:textAlignment w:val="center"/>
              <w:rPr>
                <w:rFonts w:ascii="宋体" w:cs="宋体"/>
                <w:color w:val="auto"/>
                <w:sz w:val="24"/>
                <w:highlight w:val="none"/>
              </w:rPr>
            </w:pPr>
          </w:p>
        </w:tc>
      </w:tr>
      <w:tr w14:paraId="062F8D7B">
        <w:tblPrEx>
          <w:tblCellMar>
            <w:top w:w="0" w:type="dxa"/>
            <w:left w:w="0" w:type="dxa"/>
            <w:bottom w:w="0" w:type="dxa"/>
            <w:right w:w="0" w:type="dxa"/>
          </w:tblCellMar>
        </w:tblPrEx>
        <w:trPr>
          <w:trHeight w:val="835" w:hRule="atLeast"/>
          <w:jc w:val="center"/>
        </w:trPr>
        <w:tc>
          <w:tcPr>
            <w:tcW w:w="590" w:type="dxa"/>
            <w:vMerge w:val="continue"/>
            <w:tcBorders>
              <w:left w:val="single" w:color="000000" w:sz="4" w:space="0"/>
              <w:right w:val="single" w:color="000000" w:sz="4" w:space="0"/>
            </w:tcBorders>
            <w:noWrap w:val="0"/>
            <w:tcMar>
              <w:top w:w="15" w:type="dxa"/>
              <w:left w:w="15" w:type="dxa"/>
              <w:right w:w="15" w:type="dxa"/>
            </w:tcMar>
            <w:vAlign w:val="center"/>
          </w:tcPr>
          <w:p w14:paraId="68340D38">
            <w:pPr>
              <w:widowControl/>
              <w:jc w:val="center"/>
              <w:textAlignment w:val="center"/>
              <w:rPr>
                <w:rFonts w:ascii="宋体" w:cs="宋体"/>
                <w:color w:val="auto"/>
                <w:sz w:val="24"/>
                <w:highlight w:val="none"/>
              </w:rPr>
            </w:pPr>
          </w:p>
        </w:tc>
        <w:tc>
          <w:tcPr>
            <w:tcW w:w="11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3D52AC">
            <w:pPr>
              <w:widowControl/>
              <w:jc w:val="center"/>
              <w:textAlignment w:val="center"/>
              <w:rPr>
                <w:rFonts w:ascii="宋体" w:cs="宋体"/>
                <w:color w:val="auto"/>
                <w:sz w:val="24"/>
                <w:highlight w:val="none"/>
              </w:rPr>
            </w:pPr>
            <w:r>
              <w:rPr>
                <w:rFonts w:hint="eastAsia" w:ascii="宋体" w:hAnsi="宋体" w:cs="宋体"/>
                <w:color w:val="auto"/>
                <w:kern w:val="0"/>
                <w:sz w:val="24"/>
                <w:highlight w:val="none"/>
                <w:lang w:bidi="ar"/>
              </w:rPr>
              <w:t>项目完成指标</w:t>
            </w:r>
          </w:p>
        </w:tc>
        <w:tc>
          <w:tcPr>
            <w:tcW w:w="1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814802">
            <w:pPr>
              <w:widowControl/>
              <w:jc w:val="center"/>
              <w:textAlignment w:val="center"/>
              <w:rPr>
                <w:rFonts w:ascii="宋体" w:cs="宋体"/>
                <w:color w:val="auto"/>
                <w:sz w:val="24"/>
                <w:highlight w:val="none"/>
              </w:rPr>
            </w:pPr>
          </w:p>
        </w:tc>
        <w:tc>
          <w:tcPr>
            <w:tcW w:w="15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061B19">
            <w:pPr>
              <w:widowControl/>
              <w:jc w:val="center"/>
              <w:textAlignment w:val="center"/>
              <w:rPr>
                <w:rFonts w:ascii="宋体" w:cs="宋体"/>
                <w:color w:val="auto"/>
                <w:sz w:val="24"/>
                <w:highlight w:val="none"/>
              </w:rPr>
            </w:pPr>
          </w:p>
        </w:tc>
        <w:tc>
          <w:tcPr>
            <w:tcW w:w="1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A1005D">
            <w:pPr>
              <w:widowControl/>
              <w:jc w:val="center"/>
              <w:textAlignment w:val="center"/>
              <w:rPr>
                <w:rFonts w:ascii="宋体" w:cs="宋体"/>
                <w:color w:val="auto"/>
                <w:sz w:val="24"/>
                <w:highlight w:val="none"/>
              </w:rPr>
            </w:pPr>
          </w:p>
        </w:tc>
        <w:tc>
          <w:tcPr>
            <w:tcW w:w="1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DAC9AE">
            <w:pPr>
              <w:widowControl/>
              <w:jc w:val="center"/>
              <w:textAlignment w:val="center"/>
              <w:rPr>
                <w:rFonts w:ascii="宋体" w:cs="宋体"/>
                <w:color w:val="auto"/>
                <w:sz w:val="24"/>
                <w:highlight w:val="none"/>
              </w:rPr>
            </w:pPr>
          </w:p>
        </w:tc>
      </w:tr>
      <w:tr w14:paraId="68E879F2">
        <w:tblPrEx>
          <w:tblCellMar>
            <w:top w:w="0" w:type="dxa"/>
            <w:left w:w="0" w:type="dxa"/>
            <w:bottom w:w="0" w:type="dxa"/>
            <w:right w:w="0" w:type="dxa"/>
          </w:tblCellMar>
        </w:tblPrEx>
        <w:trPr>
          <w:trHeight w:val="835" w:hRule="atLeast"/>
          <w:jc w:val="center"/>
        </w:trPr>
        <w:tc>
          <w:tcPr>
            <w:tcW w:w="590" w:type="dxa"/>
            <w:vMerge w:val="continue"/>
            <w:tcBorders>
              <w:left w:val="single" w:color="000000" w:sz="4" w:space="0"/>
              <w:right w:val="single" w:color="000000" w:sz="4" w:space="0"/>
            </w:tcBorders>
            <w:noWrap w:val="0"/>
            <w:tcMar>
              <w:top w:w="15" w:type="dxa"/>
              <w:left w:w="15" w:type="dxa"/>
              <w:right w:w="15" w:type="dxa"/>
            </w:tcMar>
            <w:vAlign w:val="center"/>
          </w:tcPr>
          <w:p w14:paraId="52749FB3">
            <w:pPr>
              <w:widowControl/>
              <w:jc w:val="center"/>
              <w:textAlignment w:val="center"/>
              <w:rPr>
                <w:rFonts w:ascii="宋体" w:cs="宋体"/>
                <w:color w:val="auto"/>
                <w:sz w:val="24"/>
                <w:highlight w:val="none"/>
              </w:rPr>
            </w:pPr>
          </w:p>
        </w:tc>
        <w:tc>
          <w:tcPr>
            <w:tcW w:w="11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0DA6CE">
            <w:pPr>
              <w:widowControl/>
              <w:jc w:val="center"/>
              <w:textAlignment w:val="center"/>
              <w:rPr>
                <w:rFonts w:ascii="宋体" w:cs="宋体"/>
                <w:color w:val="auto"/>
                <w:kern w:val="0"/>
                <w:sz w:val="24"/>
                <w:highlight w:val="none"/>
                <w:lang w:bidi="ar"/>
              </w:rPr>
            </w:pPr>
            <w:r>
              <w:rPr>
                <w:rFonts w:hint="eastAsia" w:ascii="宋体" w:hAnsi="宋体" w:cs="宋体"/>
                <w:color w:val="auto"/>
                <w:kern w:val="0"/>
                <w:sz w:val="24"/>
                <w:highlight w:val="none"/>
                <w:lang w:bidi="ar"/>
              </w:rPr>
              <w:t>项目完成指标</w:t>
            </w:r>
          </w:p>
        </w:tc>
        <w:tc>
          <w:tcPr>
            <w:tcW w:w="1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B69F21">
            <w:pPr>
              <w:widowControl/>
              <w:jc w:val="center"/>
              <w:textAlignment w:val="center"/>
              <w:rPr>
                <w:rFonts w:ascii="宋体" w:cs="宋体"/>
                <w:color w:val="auto"/>
                <w:sz w:val="24"/>
                <w:highlight w:val="none"/>
              </w:rPr>
            </w:pPr>
          </w:p>
        </w:tc>
        <w:tc>
          <w:tcPr>
            <w:tcW w:w="15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7AF436">
            <w:pPr>
              <w:widowControl/>
              <w:jc w:val="center"/>
              <w:textAlignment w:val="center"/>
              <w:rPr>
                <w:rFonts w:ascii="宋体" w:cs="宋体"/>
                <w:color w:val="auto"/>
                <w:sz w:val="24"/>
                <w:highlight w:val="none"/>
              </w:rPr>
            </w:pPr>
          </w:p>
        </w:tc>
        <w:tc>
          <w:tcPr>
            <w:tcW w:w="1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8E1399">
            <w:pPr>
              <w:widowControl/>
              <w:jc w:val="center"/>
              <w:textAlignment w:val="center"/>
              <w:rPr>
                <w:rFonts w:ascii="宋体" w:cs="宋体"/>
                <w:color w:val="auto"/>
                <w:sz w:val="24"/>
                <w:highlight w:val="none"/>
              </w:rPr>
            </w:pPr>
          </w:p>
        </w:tc>
        <w:tc>
          <w:tcPr>
            <w:tcW w:w="1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870C8D">
            <w:pPr>
              <w:widowControl/>
              <w:jc w:val="center"/>
              <w:textAlignment w:val="center"/>
              <w:rPr>
                <w:rFonts w:ascii="宋体" w:cs="宋体"/>
                <w:color w:val="auto"/>
                <w:sz w:val="24"/>
                <w:highlight w:val="none"/>
              </w:rPr>
            </w:pPr>
          </w:p>
        </w:tc>
      </w:tr>
      <w:tr w14:paraId="33C15995">
        <w:tblPrEx>
          <w:tblCellMar>
            <w:top w:w="0" w:type="dxa"/>
            <w:left w:w="0" w:type="dxa"/>
            <w:bottom w:w="0" w:type="dxa"/>
            <w:right w:w="0" w:type="dxa"/>
          </w:tblCellMar>
        </w:tblPrEx>
        <w:trPr>
          <w:trHeight w:val="835" w:hRule="atLeast"/>
          <w:jc w:val="center"/>
        </w:trPr>
        <w:tc>
          <w:tcPr>
            <w:tcW w:w="590" w:type="dxa"/>
            <w:vMerge w:val="continue"/>
            <w:tcBorders>
              <w:left w:val="single" w:color="000000" w:sz="4" w:space="0"/>
              <w:right w:val="single" w:color="000000" w:sz="4" w:space="0"/>
            </w:tcBorders>
            <w:noWrap w:val="0"/>
            <w:tcMar>
              <w:top w:w="15" w:type="dxa"/>
              <w:left w:w="15" w:type="dxa"/>
              <w:right w:w="15" w:type="dxa"/>
            </w:tcMar>
            <w:vAlign w:val="center"/>
          </w:tcPr>
          <w:p w14:paraId="3CB22C71">
            <w:pPr>
              <w:widowControl/>
              <w:jc w:val="center"/>
              <w:textAlignment w:val="center"/>
              <w:rPr>
                <w:rFonts w:ascii="宋体" w:cs="宋体"/>
                <w:color w:val="auto"/>
                <w:sz w:val="24"/>
                <w:highlight w:val="none"/>
              </w:rPr>
            </w:pPr>
          </w:p>
        </w:tc>
        <w:tc>
          <w:tcPr>
            <w:tcW w:w="11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B7B332">
            <w:pPr>
              <w:widowControl/>
              <w:jc w:val="center"/>
              <w:textAlignment w:val="center"/>
              <w:rPr>
                <w:rFonts w:ascii="宋体" w:cs="宋体"/>
                <w:color w:val="auto"/>
                <w:sz w:val="24"/>
                <w:highlight w:val="none"/>
              </w:rPr>
            </w:pPr>
            <w:r>
              <w:rPr>
                <w:rFonts w:hint="eastAsia" w:ascii="宋体" w:hAnsi="宋体" w:cs="宋体"/>
                <w:color w:val="auto"/>
                <w:kern w:val="0"/>
                <w:sz w:val="24"/>
                <w:highlight w:val="none"/>
                <w:lang w:bidi="ar"/>
              </w:rPr>
              <w:t>项目完成指标</w:t>
            </w:r>
          </w:p>
        </w:tc>
        <w:tc>
          <w:tcPr>
            <w:tcW w:w="1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635F9C">
            <w:pPr>
              <w:widowControl/>
              <w:jc w:val="center"/>
              <w:textAlignment w:val="center"/>
              <w:rPr>
                <w:rFonts w:ascii="宋体" w:cs="宋体"/>
                <w:color w:val="auto"/>
                <w:sz w:val="24"/>
                <w:highlight w:val="none"/>
              </w:rPr>
            </w:pPr>
          </w:p>
        </w:tc>
        <w:tc>
          <w:tcPr>
            <w:tcW w:w="15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185246">
            <w:pPr>
              <w:widowControl/>
              <w:jc w:val="center"/>
              <w:textAlignment w:val="center"/>
              <w:rPr>
                <w:rFonts w:ascii="宋体" w:cs="宋体"/>
                <w:color w:val="auto"/>
                <w:sz w:val="24"/>
                <w:highlight w:val="none"/>
              </w:rPr>
            </w:pPr>
          </w:p>
        </w:tc>
        <w:tc>
          <w:tcPr>
            <w:tcW w:w="1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2050FB">
            <w:pPr>
              <w:widowControl/>
              <w:jc w:val="center"/>
              <w:textAlignment w:val="center"/>
              <w:rPr>
                <w:rFonts w:ascii="宋体" w:cs="宋体"/>
                <w:color w:val="auto"/>
                <w:sz w:val="24"/>
                <w:highlight w:val="none"/>
              </w:rPr>
            </w:pPr>
          </w:p>
        </w:tc>
        <w:tc>
          <w:tcPr>
            <w:tcW w:w="1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3E5CAE">
            <w:pPr>
              <w:widowControl/>
              <w:jc w:val="center"/>
              <w:textAlignment w:val="center"/>
              <w:rPr>
                <w:rFonts w:ascii="宋体" w:cs="宋体"/>
                <w:color w:val="auto"/>
                <w:sz w:val="24"/>
                <w:highlight w:val="none"/>
              </w:rPr>
            </w:pPr>
          </w:p>
        </w:tc>
      </w:tr>
      <w:tr w14:paraId="42EFB064">
        <w:tblPrEx>
          <w:tblCellMar>
            <w:top w:w="0" w:type="dxa"/>
            <w:left w:w="0" w:type="dxa"/>
            <w:bottom w:w="0" w:type="dxa"/>
            <w:right w:w="0" w:type="dxa"/>
          </w:tblCellMar>
        </w:tblPrEx>
        <w:trPr>
          <w:trHeight w:val="481" w:hRule="atLeast"/>
          <w:jc w:val="center"/>
        </w:trPr>
        <w:tc>
          <w:tcPr>
            <w:tcW w:w="590" w:type="dxa"/>
            <w:vMerge w:val="continue"/>
            <w:tcBorders>
              <w:left w:val="single" w:color="000000" w:sz="4" w:space="0"/>
              <w:right w:val="single" w:color="000000" w:sz="4" w:space="0"/>
            </w:tcBorders>
            <w:noWrap w:val="0"/>
            <w:tcMar>
              <w:top w:w="15" w:type="dxa"/>
              <w:left w:w="15" w:type="dxa"/>
              <w:right w:w="15" w:type="dxa"/>
            </w:tcMar>
            <w:vAlign w:val="center"/>
          </w:tcPr>
          <w:p w14:paraId="6D1CB270">
            <w:pPr>
              <w:widowControl/>
              <w:jc w:val="center"/>
              <w:textAlignment w:val="center"/>
              <w:rPr>
                <w:rFonts w:ascii="宋体" w:cs="宋体"/>
                <w:color w:val="auto"/>
                <w:sz w:val="24"/>
                <w:highlight w:val="none"/>
              </w:rPr>
            </w:pPr>
          </w:p>
        </w:tc>
        <w:tc>
          <w:tcPr>
            <w:tcW w:w="11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00CFF6">
            <w:pPr>
              <w:widowControl/>
              <w:jc w:val="center"/>
              <w:textAlignment w:val="center"/>
              <w:rPr>
                <w:rFonts w:ascii="宋体" w:cs="宋体"/>
                <w:color w:val="auto"/>
                <w:sz w:val="24"/>
                <w:highlight w:val="none"/>
              </w:rPr>
            </w:pPr>
            <w:r>
              <w:rPr>
                <w:rFonts w:hint="eastAsia" w:ascii="宋体" w:hAnsi="宋体" w:cs="宋体"/>
                <w:color w:val="auto"/>
                <w:kern w:val="0"/>
                <w:sz w:val="24"/>
                <w:highlight w:val="none"/>
                <w:lang w:bidi="ar"/>
              </w:rPr>
              <w:t>效益指标</w:t>
            </w:r>
          </w:p>
        </w:tc>
        <w:tc>
          <w:tcPr>
            <w:tcW w:w="1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FCB87B">
            <w:pPr>
              <w:widowControl/>
              <w:jc w:val="center"/>
              <w:textAlignment w:val="center"/>
              <w:rPr>
                <w:rFonts w:ascii="宋体" w:cs="宋体"/>
                <w:color w:val="auto"/>
                <w:sz w:val="24"/>
                <w:highlight w:val="none"/>
              </w:rPr>
            </w:pPr>
          </w:p>
        </w:tc>
        <w:tc>
          <w:tcPr>
            <w:tcW w:w="15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89D8F5">
            <w:pPr>
              <w:widowControl/>
              <w:jc w:val="center"/>
              <w:textAlignment w:val="center"/>
              <w:rPr>
                <w:rFonts w:ascii="宋体" w:cs="宋体"/>
                <w:color w:val="auto"/>
                <w:sz w:val="24"/>
                <w:highlight w:val="none"/>
              </w:rPr>
            </w:pPr>
          </w:p>
        </w:tc>
        <w:tc>
          <w:tcPr>
            <w:tcW w:w="1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5573AA">
            <w:pPr>
              <w:widowControl/>
              <w:jc w:val="center"/>
              <w:textAlignment w:val="center"/>
              <w:rPr>
                <w:rFonts w:ascii="宋体" w:cs="宋体"/>
                <w:color w:val="auto"/>
                <w:sz w:val="24"/>
                <w:highlight w:val="none"/>
              </w:rPr>
            </w:pPr>
          </w:p>
        </w:tc>
        <w:tc>
          <w:tcPr>
            <w:tcW w:w="1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80D90E">
            <w:pPr>
              <w:widowControl/>
              <w:jc w:val="center"/>
              <w:textAlignment w:val="center"/>
              <w:rPr>
                <w:rFonts w:ascii="宋体" w:cs="宋体"/>
                <w:color w:val="auto"/>
                <w:sz w:val="24"/>
                <w:highlight w:val="none"/>
              </w:rPr>
            </w:pPr>
          </w:p>
        </w:tc>
      </w:tr>
      <w:tr w14:paraId="26D542C1">
        <w:tblPrEx>
          <w:tblCellMar>
            <w:top w:w="0" w:type="dxa"/>
            <w:left w:w="0" w:type="dxa"/>
            <w:bottom w:w="0" w:type="dxa"/>
            <w:right w:w="0" w:type="dxa"/>
          </w:tblCellMar>
        </w:tblPrEx>
        <w:trPr>
          <w:trHeight w:val="481" w:hRule="atLeast"/>
          <w:jc w:val="center"/>
        </w:trPr>
        <w:tc>
          <w:tcPr>
            <w:tcW w:w="590" w:type="dxa"/>
            <w:vMerge w:val="continue"/>
            <w:tcBorders>
              <w:left w:val="single" w:color="000000" w:sz="4" w:space="0"/>
              <w:right w:val="single" w:color="000000" w:sz="4" w:space="0"/>
            </w:tcBorders>
            <w:noWrap w:val="0"/>
            <w:tcMar>
              <w:top w:w="15" w:type="dxa"/>
              <w:left w:w="15" w:type="dxa"/>
              <w:right w:w="15" w:type="dxa"/>
            </w:tcMar>
            <w:vAlign w:val="center"/>
          </w:tcPr>
          <w:p w14:paraId="74EA91AC">
            <w:pPr>
              <w:widowControl/>
              <w:jc w:val="center"/>
              <w:textAlignment w:val="center"/>
              <w:rPr>
                <w:rFonts w:ascii="宋体" w:cs="宋体"/>
                <w:color w:val="auto"/>
                <w:sz w:val="24"/>
                <w:highlight w:val="none"/>
              </w:rPr>
            </w:pPr>
          </w:p>
        </w:tc>
        <w:tc>
          <w:tcPr>
            <w:tcW w:w="11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5A7AA7">
            <w:pPr>
              <w:widowControl/>
              <w:jc w:val="center"/>
              <w:textAlignment w:val="center"/>
              <w:rPr>
                <w:rFonts w:ascii="宋体" w:cs="宋体"/>
                <w:color w:val="auto"/>
                <w:sz w:val="24"/>
                <w:highlight w:val="none"/>
              </w:rPr>
            </w:pPr>
            <w:r>
              <w:rPr>
                <w:rFonts w:hint="eastAsia" w:ascii="宋体" w:hAnsi="宋体" w:cs="宋体"/>
                <w:color w:val="auto"/>
                <w:kern w:val="0"/>
                <w:sz w:val="24"/>
                <w:highlight w:val="none"/>
                <w:lang w:bidi="ar"/>
              </w:rPr>
              <w:t>效益指标</w:t>
            </w:r>
          </w:p>
        </w:tc>
        <w:tc>
          <w:tcPr>
            <w:tcW w:w="1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1D06C2">
            <w:pPr>
              <w:widowControl/>
              <w:jc w:val="center"/>
              <w:textAlignment w:val="center"/>
              <w:rPr>
                <w:rFonts w:ascii="宋体" w:cs="宋体"/>
                <w:color w:val="auto"/>
                <w:sz w:val="24"/>
                <w:highlight w:val="none"/>
              </w:rPr>
            </w:pPr>
          </w:p>
        </w:tc>
        <w:tc>
          <w:tcPr>
            <w:tcW w:w="15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5C701C">
            <w:pPr>
              <w:widowControl/>
              <w:jc w:val="center"/>
              <w:textAlignment w:val="center"/>
              <w:rPr>
                <w:rFonts w:ascii="宋体" w:cs="宋体"/>
                <w:color w:val="auto"/>
                <w:sz w:val="24"/>
                <w:highlight w:val="none"/>
              </w:rPr>
            </w:pPr>
          </w:p>
        </w:tc>
        <w:tc>
          <w:tcPr>
            <w:tcW w:w="1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727B2E">
            <w:pPr>
              <w:widowControl/>
              <w:jc w:val="center"/>
              <w:textAlignment w:val="center"/>
              <w:rPr>
                <w:rFonts w:ascii="宋体" w:cs="宋体"/>
                <w:color w:val="auto"/>
                <w:sz w:val="24"/>
                <w:highlight w:val="none"/>
              </w:rPr>
            </w:pPr>
          </w:p>
        </w:tc>
        <w:tc>
          <w:tcPr>
            <w:tcW w:w="1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A20B6E">
            <w:pPr>
              <w:widowControl/>
              <w:jc w:val="center"/>
              <w:textAlignment w:val="center"/>
              <w:rPr>
                <w:rFonts w:ascii="宋体" w:cs="宋体"/>
                <w:color w:val="auto"/>
                <w:sz w:val="24"/>
                <w:highlight w:val="none"/>
              </w:rPr>
            </w:pPr>
          </w:p>
        </w:tc>
      </w:tr>
      <w:tr w14:paraId="170B9A57">
        <w:tblPrEx>
          <w:tblCellMar>
            <w:top w:w="0" w:type="dxa"/>
            <w:left w:w="0" w:type="dxa"/>
            <w:bottom w:w="0" w:type="dxa"/>
            <w:right w:w="0" w:type="dxa"/>
          </w:tblCellMar>
        </w:tblPrEx>
        <w:trPr>
          <w:trHeight w:val="633" w:hRule="atLeast"/>
          <w:jc w:val="center"/>
        </w:trPr>
        <w:tc>
          <w:tcPr>
            <w:tcW w:w="59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47DED99F">
            <w:pPr>
              <w:widowControl/>
              <w:jc w:val="center"/>
              <w:textAlignment w:val="center"/>
              <w:rPr>
                <w:rFonts w:ascii="宋体" w:cs="宋体"/>
                <w:color w:val="auto"/>
                <w:sz w:val="24"/>
                <w:highlight w:val="none"/>
              </w:rPr>
            </w:pPr>
          </w:p>
        </w:tc>
        <w:tc>
          <w:tcPr>
            <w:tcW w:w="11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03FAAD">
            <w:pPr>
              <w:widowControl/>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满意度</w:t>
            </w:r>
          </w:p>
          <w:p w14:paraId="1279F83B">
            <w:pPr>
              <w:widowControl/>
              <w:jc w:val="center"/>
              <w:textAlignment w:val="center"/>
              <w:rPr>
                <w:rFonts w:ascii="宋体" w:cs="宋体"/>
                <w:color w:val="auto"/>
                <w:sz w:val="24"/>
                <w:highlight w:val="none"/>
              </w:rPr>
            </w:pPr>
            <w:r>
              <w:rPr>
                <w:rFonts w:hint="eastAsia" w:ascii="宋体" w:hAnsi="宋体" w:cs="宋体"/>
                <w:color w:val="auto"/>
                <w:kern w:val="0"/>
                <w:sz w:val="24"/>
                <w:highlight w:val="none"/>
                <w:lang w:bidi="ar"/>
              </w:rPr>
              <w:t>指标</w:t>
            </w:r>
          </w:p>
        </w:tc>
        <w:tc>
          <w:tcPr>
            <w:tcW w:w="1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0F4548">
            <w:pPr>
              <w:widowControl/>
              <w:jc w:val="center"/>
              <w:textAlignment w:val="center"/>
              <w:rPr>
                <w:rFonts w:ascii="宋体" w:cs="宋体"/>
                <w:color w:val="auto"/>
                <w:sz w:val="24"/>
                <w:highlight w:val="none"/>
              </w:rPr>
            </w:pPr>
          </w:p>
        </w:tc>
        <w:tc>
          <w:tcPr>
            <w:tcW w:w="15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B3BC82">
            <w:pPr>
              <w:widowControl/>
              <w:jc w:val="center"/>
              <w:textAlignment w:val="center"/>
              <w:rPr>
                <w:rFonts w:ascii="宋体" w:cs="宋体"/>
                <w:color w:val="auto"/>
                <w:sz w:val="24"/>
                <w:highlight w:val="none"/>
              </w:rPr>
            </w:pPr>
          </w:p>
        </w:tc>
        <w:tc>
          <w:tcPr>
            <w:tcW w:w="1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6E8517">
            <w:pPr>
              <w:widowControl/>
              <w:jc w:val="center"/>
              <w:textAlignment w:val="center"/>
              <w:rPr>
                <w:rFonts w:ascii="宋体" w:cs="宋体"/>
                <w:color w:val="auto"/>
                <w:sz w:val="24"/>
                <w:highlight w:val="none"/>
              </w:rPr>
            </w:pPr>
          </w:p>
        </w:tc>
        <w:tc>
          <w:tcPr>
            <w:tcW w:w="1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F58637">
            <w:pPr>
              <w:widowControl/>
              <w:jc w:val="center"/>
              <w:textAlignment w:val="center"/>
              <w:rPr>
                <w:rFonts w:hint="eastAsia" w:ascii="宋体" w:eastAsia="宋体" w:cs="宋体"/>
                <w:color w:val="auto"/>
                <w:sz w:val="24"/>
                <w:highlight w:val="none"/>
                <w:lang w:eastAsia="zh-CN"/>
              </w:rPr>
            </w:pPr>
            <w:r>
              <w:rPr>
                <w:rFonts w:hint="eastAsia" w:ascii="宋体" w:cs="宋体"/>
                <w:color w:val="auto"/>
                <w:sz w:val="24"/>
                <w:highlight w:val="none"/>
                <w:lang w:eastAsia="zh-CN"/>
              </w:rPr>
              <w:t>此表无数据</w:t>
            </w:r>
          </w:p>
        </w:tc>
      </w:tr>
    </w:tbl>
    <w:p w14:paraId="643D9A48">
      <w:pPr>
        <w:widowControl/>
        <w:jc w:val="left"/>
        <w:rPr>
          <w:rFonts w:ascii="仿宋_GB2312" w:eastAsia="仿宋_GB2312"/>
          <w:b/>
          <w:color w:val="auto"/>
          <w:sz w:val="32"/>
          <w:szCs w:val="32"/>
          <w:highlight w:val="none"/>
        </w:rPr>
      </w:pPr>
    </w:p>
    <w:p w14:paraId="3642B356">
      <w:pPr>
        <w:spacing w:line="580" w:lineRule="exact"/>
        <w:ind w:firstLine="640" w:firstLineChars="200"/>
        <w:rPr>
          <w:rFonts w:ascii="仿宋_GB2312" w:hAnsi="仿宋_GB2312" w:eastAsia="仿宋_GB2312" w:cs="仿宋_GB2312"/>
          <w:color w:val="auto"/>
          <w:sz w:val="32"/>
          <w:szCs w:val="32"/>
          <w:highlight w:val="none"/>
        </w:rPr>
      </w:pPr>
      <w:r>
        <w:rPr>
          <w:rFonts w:ascii="楷体_GB2312" w:hAnsi="楷体_GB2312" w:eastAsia="楷体_GB2312" w:cs="楷体_GB2312"/>
          <w:color w:val="auto"/>
          <w:sz w:val="32"/>
          <w:szCs w:val="32"/>
          <w:highlight w:val="none"/>
        </w:rPr>
        <w:t>2.</w:t>
      </w:r>
      <w:r>
        <w:rPr>
          <w:rFonts w:hint="eastAsia" w:ascii="楷体_GB2312" w:hAnsi="楷体_GB2312" w:eastAsia="楷体_GB2312" w:cs="楷体_GB2312"/>
          <w:color w:val="auto"/>
          <w:sz w:val="32"/>
          <w:szCs w:val="32"/>
          <w:highlight w:val="none"/>
        </w:rPr>
        <w:t>部门绩效评价结果。</w:t>
      </w:r>
    </w:p>
    <w:p w14:paraId="2913C035">
      <w:pPr>
        <w:spacing w:line="58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本部门按要求对</w:t>
      </w:r>
      <w:r>
        <w:rPr>
          <w:rFonts w:ascii="仿宋_GB2312" w:hAnsi="仿宋_GB2312" w:eastAsia="仿宋_GB2312" w:cs="仿宋_GB2312"/>
          <w:color w:val="auto"/>
          <w:sz w:val="32"/>
          <w:szCs w:val="32"/>
          <w:highlight w:val="none"/>
        </w:rPr>
        <w:t>2020</w:t>
      </w:r>
      <w:r>
        <w:rPr>
          <w:rFonts w:hint="eastAsia" w:ascii="仿宋_GB2312" w:hAnsi="仿宋_GB2312" w:eastAsia="仿宋_GB2312" w:cs="仿宋_GB2312"/>
          <w:color w:val="auto"/>
          <w:sz w:val="32"/>
          <w:szCs w:val="32"/>
          <w:highlight w:val="none"/>
        </w:rPr>
        <w:t>年部门整体支出绩效评价情况开展自评，《</w:t>
      </w:r>
      <w:r>
        <w:rPr>
          <w:rFonts w:hint="eastAsia" w:ascii="仿宋_GB2312" w:hAnsi="仿宋_GB2312" w:eastAsia="仿宋_GB2312" w:cs="仿宋_GB2312"/>
          <w:color w:val="auto"/>
          <w:sz w:val="32"/>
          <w:szCs w:val="32"/>
          <w:highlight w:val="none"/>
          <w:lang w:val="en-US" w:eastAsia="zh-CN"/>
        </w:rPr>
        <w:t>广元市昭化区王家镇初级中学</w:t>
      </w:r>
      <w:r>
        <w:rPr>
          <w:rFonts w:ascii="仿宋_GB2312" w:hAnsi="仿宋_GB2312" w:eastAsia="仿宋_GB2312" w:cs="仿宋_GB2312"/>
          <w:color w:val="auto"/>
          <w:sz w:val="32"/>
          <w:szCs w:val="32"/>
          <w:highlight w:val="none"/>
        </w:rPr>
        <w:t>2020</w:t>
      </w:r>
      <w:r>
        <w:rPr>
          <w:rFonts w:hint="eastAsia" w:ascii="仿宋_GB2312" w:hAnsi="仿宋_GB2312" w:eastAsia="仿宋_GB2312" w:cs="仿宋_GB2312"/>
          <w:color w:val="auto"/>
          <w:sz w:val="32"/>
          <w:szCs w:val="32"/>
          <w:highlight w:val="none"/>
        </w:rPr>
        <w:t>年部门整体支出绩效评价报告》见附件（附件</w:t>
      </w:r>
      <w:r>
        <w:rPr>
          <w:rFonts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rPr>
        <w:t>）。</w:t>
      </w:r>
    </w:p>
    <w:p w14:paraId="684DDDD3">
      <w:pPr>
        <w:spacing w:line="580" w:lineRule="exact"/>
        <w:ind w:firstLine="640" w:firstLineChars="200"/>
        <w:rPr>
          <w:rFonts w:ascii="仿宋_GB2312" w:eastAsia="仿宋_GB2312"/>
          <w:b/>
          <w:color w:val="auto"/>
          <w:sz w:val="32"/>
          <w:szCs w:val="32"/>
          <w:highlight w:val="none"/>
        </w:rPr>
      </w:pPr>
      <w:r>
        <w:rPr>
          <w:rFonts w:hint="eastAsia" w:ascii="仿宋_GB2312" w:hAnsi="仿宋_GB2312" w:eastAsia="仿宋_GB2312" w:cs="仿宋_GB2312"/>
          <w:color w:val="auto"/>
          <w:sz w:val="32"/>
          <w:szCs w:val="32"/>
          <w:highlight w:val="none"/>
        </w:rPr>
        <w:t>本部门在</w:t>
      </w:r>
      <w:r>
        <w:rPr>
          <w:rFonts w:ascii="仿宋_GB2312" w:hAnsi="仿宋_GB2312" w:eastAsia="仿宋_GB2312" w:cs="仿宋_GB2312"/>
          <w:color w:val="auto"/>
          <w:sz w:val="32"/>
          <w:szCs w:val="32"/>
          <w:highlight w:val="none"/>
        </w:rPr>
        <w:t>2020</w:t>
      </w:r>
      <w:r>
        <w:rPr>
          <w:rFonts w:hint="eastAsia" w:ascii="仿宋_GB2312" w:hAnsi="仿宋_GB2312" w:eastAsia="仿宋_GB2312" w:cs="仿宋_GB2312"/>
          <w:color w:val="auto"/>
          <w:sz w:val="32"/>
          <w:szCs w:val="32"/>
          <w:highlight w:val="none"/>
        </w:rPr>
        <w:t>年度部门决算中</w:t>
      </w:r>
      <w:r>
        <w:rPr>
          <w:rFonts w:hint="eastAsia" w:ascii="仿宋_GB2312" w:hAnsi="仿宋_GB2312" w:eastAsia="仿宋_GB2312" w:cs="仿宋_GB2312"/>
          <w:color w:val="auto"/>
          <w:sz w:val="32"/>
          <w:szCs w:val="32"/>
          <w:highlight w:val="none"/>
          <w:lang w:eastAsia="zh-CN"/>
        </w:rPr>
        <w:t>无</w:t>
      </w:r>
      <w:r>
        <w:rPr>
          <w:rFonts w:hint="eastAsia" w:ascii="仿宋_GB2312" w:hAnsi="仿宋_GB2312" w:eastAsia="仿宋_GB2312" w:cs="仿宋_GB2312"/>
          <w:color w:val="auto"/>
          <w:sz w:val="32"/>
          <w:szCs w:val="32"/>
          <w:highlight w:val="none"/>
        </w:rPr>
        <w:t>项目，</w:t>
      </w:r>
      <w:r>
        <w:rPr>
          <w:rFonts w:hint="eastAsia" w:ascii="仿宋_GB2312" w:hAnsi="仿宋_GB2312" w:eastAsia="仿宋_GB2312" w:cs="仿宋_GB2312"/>
          <w:color w:val="auto"/>
          <w:sz w:val="32"/>
          <w:szCs w:val="32"/>
          <w:highlight w:val="none"/>
          <w:lang w:eastAsia="zh-CN"/>
        </w:rPr>
        <w:t>未开展项目绩效评价，</w:t>
      </w:r>
      <w:r>
        <w:rPr>
          <w:rFonts w:hint="eastAsia" w:ascii="仿宋_GB2312" w:hAnsi="仿宋_GB2312" w:eastAsia="仿宋_GB2312" w:cs="仿宋_GB2312"/>
          <w:color w:val="auto"/>
          <w:sz w:val="32"/>
          <w:szCs w:val="32"/>
          <w:highlight w:val="none"/>
        </w:rPr>
        <w:t>《项目</w:t>
      </w:r>
      <w:r>
        <w:rPr>
          <w:rFonts w:ascii="仿宋_GB2312" w:hAnsi="仿宋_GB2312" w:eastAsia="仿宋_GB2312" w:cs="仿宋_GB2312"/>
          <w:color w:val="auto"/>
          <w:sz w:val="32"/>
          <w:szCs w:val="32"/>
          <w:highlight w:val="none"/>
        </w:rPr>
        <w:t>2020</w:t>
      </w:r>
      <w:r>
        <w:rPr>
          <w:rFonts w:hint="eastAsia" w:ascii="仿宋_GB2312" w:hAnsi="仿宋_GB2312" w:eastAsia="仿宋_GB2312" w:cs="仿宋_GB2312"/>
          <w:color w:val="auto"/>
          <w:sz w:val="32"/>
          <w:szCs w:val="32"/>
          <w:highlight w:val="none"/>
        </w:rPr>
        <w:t>年绩效评价报告》见附件（附件</w:t>
      </w:r>
      <w:r>
        <w:rPr>
          <w:rFonts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rPr>
        <w:t>）。</w:t>
      </w:r>
    </w:p>
    <w:p w14:paraId="0C0B9873">
      <w:pPr>
        <w:widowControl/>
        <w:jc w:val="left"/>
        <w:rPr>
          <w:rFonts w:ascii="仿宋_GB2312" w:eastAsia="仿宋_GB2312"/>
          <w:b/>
          <w:color w:val="auto"/>
          <w:sz w:val="32"/>
          <w:szCs w:val="32"/>
          <w:highlight w:val="none"/>
        </w:rPr>
      </w:pPr>
    </w:p>
    <w:p w14:paraId="3E132115">
      <w:pPr>
        <w:pStyle w:val="4"/>
        <w:rPr>
          <w:rFonts w:ascii="仿宋_GB2312" w:eastAsia="仿宋_GB2312"/>
          <w:b w:val="0"/>
          <w:color w:val="auto"/>
          <w:sz w:val="32"/>
          <w:szCs w:val="32"/>
          <w:highlight w:val="none"/>
        </w:rPr>
      </w:pPr>
    </w:p>
    <w:p w14:paraId="00DFFC37">
      <w:pPr>
        <w:rPr>
          <w:rFonts w:ascii="仿宋_GB2312" w:eastAsia="仿宋_GB2312"/>
          <w:b/>
          <w:color w:val="auto"/>
          <w:sz w:val="32"/>
          <w:szCs w:val="32"/>
          <w:highlight w:val="none"/>
        </w:rPr>
      </w:pPr>
    </w:p>
    <w:p w14:paraId="554503F3">
      <w:pPr>
        <w:pStyle w:val="4"/>
        <w:rPr>
          <w:rFonts w:ascii="仿宋_GB2312" w:eastAsia="仿宋_GB2312"/>
          <w:b w:val="0"/>
          <w:color w:val="auto"/>
          <w:sz w:val="32"/>
          <w:szCs w:val="32"/>
          <w:highlight w:val="none"/>
        </w:rPr>
      </w:pPr>
    </w:p>
    <w:p w14:paraId="4049A6F7">
      <w:pPr>
        <w:rPr>
          <w:rFonts w:ascii="仿宋_GB2312" w:eastAsia="仿宋_GB2312"/>
          <w:b/>
          <w:color w:val="auto"/>
          <w:sz w:val="32"/>
          <w:szCs w:val="32"/>
          <w:highlight w:val="none"/>
        </w:rPr>
      </w:pPr>
    </w:p>
    <w:p w14:paraId="4781035E">
      <w:pPr>
        <w:pStyle w:val="4"/>
        <w:rPr>
          <w:rFonts w:ascii="仿宋_GB2312" w:eastAsia="仿宋_GB2312"/>
          <w:b w:val="0"/>
          <w:color w:val="auto"/>
          <w:sz w:val="32"/>
          <w:szCs w:val="32"/>
          <w:highlight w:val="none"/>
        </w:rPr>
      </w:pPr>
    </w:p>
    <w:p w14:paraId="2DE837AC">
      <w:pPr>
        <w:rPr>
          <w:rFonts w:ascii="仿宋_GB2312" w:eastAsia="仿宋_GB2312"/>
          <w:b/>
          <w:color w:val="auto"/>
          <w:sz w:val="32"/>
          <w:szCs w:val="32"/>
          <w:highlight w:val="none"/>
        </w:rPr>
      </w:pPr>
    </w:p>
    <w:p w14:paraId="23DDF6B9">
      <w:pPr>
        <w:pStyle w:val="4"/>
        <w:rPr>
          <w:rFonts w:ascii="仿宋_GB2312" w:eastAsia="仿宋_GB2312"/>
          <w:b w:val="0"/>
          <w:color w:val="auto"/>
          <w:sz w:val="32"/>
          <w:szCs w:val="32"/>
          <w:highlight w:val="none"/>
        </w:rPr>
      </w:pPr>
    </w:p>
    <w:p w14:paraId="08473F2B">
      <w:pPr>
        <w:rPr>
          <w:rFonts w:ascii="仿宋_GB2312" w:eastAsia="仿宋_GB2312"/>
          <w:b/>
          <w:color w:val="auto"/>
          <w:sz w:val="32"/>
          <w:szCs w:val="32"/>
          <w:highlight w:val="none"/>
        </w:rPr>
      </w:pPr>
    </w:p>
    <w:p w14:paraId="5798CAC0">
      <w:pPr>
        <w:pStyle w:val="4"/>
        <w:rPr>
          <w:rFonts w:ascii="仿宋_GB2312" w:eastAsia="仿宋_GB2312"/>
          <w:b w:val="0"/>
          <w:color w:val="auto"/>
          <w:sz w:val="32"/>
          <w:szCs w:val="32"/>
          <w:highlight w:val="none"/>
        </w:rPr>
      </w:pPr>
    </w:p>
    <w:p w14:paraId="4E2DB0D2">
      <w:pPr>
        <w:spacing w:line="600" w:lineRule="exact"/>
        <w:jc w:val="left"/>
        <w:rPr>
          <w:rFonts w:ascii="宋体"/>
          <w:b/>
          <w:color w:val="000000"/>
          <w:sz w:val="44"/>
          <w:szCs w:val="44"/>
        </w:rPr>
      </w:pPr>
    </w:p>
    <w:p w14:paraId="682EBA67">
      <w:pPr>
        <w:numPr>
          <w:ilvl w:val="0"/>
          <w:numId w:val="2"/>
        </w:numPr>
        <w:spacing w:line="600" w:lineRule="exact"/>
        <w:ind w:firstLine="660" w:firstLineChars="150"/>
        <w:jc w:val="center"/>
        <w:outlineLvl w:val="0"/>
        <w:rPr>
          <w:rStyle w:val="45"/>
          <w:rFonts w:ascii="黑体" w:hAnsi="黑体" w:eastAsia="黑体"/>
          <w:b w:val="0"/>
          <w:color w:val="auto"/>
          <w:highlight w:val="none"/>
        </w:rPr>
      </w:pPr>
      <w:r>
        <w:rPr>
          <w:rFonts w:hint="eastAsia" w:ascii="黑体" w:hAnsi="黑体" w:eastAsia="黑体"/>
          <w:color w:val="auto"/>
          <w:sz w:val="44"/>
          <w:szCs w:val="44"/>
          <w:highlight w:val="none"/>
        </w:rPr>
        <w:t>名</w:t>
      </w:r>
      <w:r>
        <w:rPr>
          <w:rStyle w:val="45"/>
          <w:rFonts w:hint="eastAsia" w:ascii="黑体" w:hAnsi="黑体" w:eastAsia="黑体"/>
          <w:b w:val="0"/>
          <w:color w:val="auto"/>
          <w:highlight w:val="none"/>
        </w:rPr>
        <w:t>词解释</w:t>
      </w:r>
    </w:p>
    <w:p w14:paraId="24DFC62F">
      <w:pPr>
        <w:spacing w:line="600" w:lineRule="exact"/>
        <w:jc w:val="left"/>
        <w:rPr>
          <w:rFonts w:ascii="宋体"/>
          <w:b/>
          <w:color w:val="auto"/>
          <w:sz w:val="44"/>
          <w:szCs w:val="44"/>
          <w:highlight w:val="none"/>
        </w:rPr>
      </w:pPr>
    </w:p>
    <w:p w14:paraId="476117B3">
      <w:pPr>
        <w:pStyle w:val="23"/>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w:t>
      </w:r>
      <w:r>
        <w:rPr>
          <w:rFonts w:hint="eastAsia" w:ascii="仿宋_GB2312" w:eastAsia="仿宋_GB2312"/>
          <w:color w:val="auto"/>
          <w:sz w:val="32"/>
          <w:szCs w:val="32"/>
          <w:highlight w:val="none"/>
        </w:rPr>
        <w:t>财政拨款收入：指单位从同级财政部门取得的财政预算资金。</w:t>
      </w:r>
    </w:p>
    <w:p w14:paraId="2C79FCCE">
      <w:pPr>
        <w:pStyle w:val="23"/>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2</w:t>
      </w:r>
      <w:r>
        <w:rPr>
          <w:rFonts w:ascii="仿宋_GB2312" w:eastAsia="仿宋_GB2312"/>
          <w:color w:val="auto"/>
          <w:sz w:val="32"/>
          <w:szCs w:val="32"/>
          <w:highlight w:val="none"/>
        </w:rPr>
        <w:t>.</w:t>
      </w:r>
      <w:r>
        <w:rPr>
          <w:rFonts w:hint="eastAsia" w:ascii="仿宋_GB2312" w:eastAsia="仿宋_GB2312"/>
          <w:color w:val="auto"/>
          <w:sz w:val="32"/>
          <w:szCs w:val="32"/>
          <w:highlight w:val="none"/>
          <w:lang w:eastAsia="zh-CN"/>
        </w:rPr>
        <w:t>使用非财政拨款结余</w:t>
      </w:r>
      <w:r>
        <w:rPr>
          <w:rFonts w:hint="eastAsia" w:ascii="仿宋_GB2312" w:eastAsia="仿宋_GB2312"/>
          <w:color w:val="auto"/>
          <w:sz w:val="32"/>
          <w:szCs w:val="32"/>
          <w:highlight w:val="none"/>
        </w:rPr>
        <w:t>：指事业单位</w:t>
      </w:r>
      <w:r>
        <w:rPr>
          <w:rFonts w:hint="eastAsia" w:ascii="仿宋_GB2312" w:eastAsia="仿宋_GB2312"/>
          <w:color w:val="auto"/>
          <w:sz w:val="32"/>
          <w:szCs w:val="32"/>
          <w:highlight w:val="none"/>
          <w:lang w:eastAsia="zh-CN"/>
        </w:rPr>
        <w:t>使用以前年度积累的非财政拨款结余弥补当年收支差额的金额。</w:t>
      </w:r>
      <w:r>
        <w:rPr>
          <w:rFonts w:ascii="仿宋_GB2312" w:eastAsia="仿宋_GB2312"/>
          <w:color w:val="auto"/>
          <w:sz w:val="32"/>
          <w:szCs w:val="32"/>
          <w:highlight w:val="none"/>
        </w:rPr>
        <w:t xml:space="preserve"> </w:t>
      </w:r>
    </w:p>
    <w:p w14:paraId="1ED5DDCA">
      <w:pPr>
        <w:pStyle w:val="23"/>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3</w:t>
      </w:r>
      <w:r>
        <w:rPr>
          <w:rFonts w:ascii="仿宋_GB2312" w:eastAsia="仿宋_GB2312"/>
          <w:color w:val="auto"/>
          <w:sz w:val="32"/>
          <w:szCs w:val="32"/>
          <w:highlight w:val="none"/>
        </w:rPr>
        <w:t>.</w:t>
      </w:r>
      <w:r>
        <w:rPr>
          <w:rFonts w:hint="eastAsia" w:ascii="仿宋_GB2312" w:eastAsia="仿宋_GB2312"/>
          <w:color w:val="auto"/>
          <w:sz w:val="32"/>
          <w:szCs w:val="32"/>
          <w:highlight w:val="none"/>
        </w:rPr>
        <w:t>年初结转和结余：指以前年度尚未完成、结转到本年按有关规定继续使用的资金。</w:t>
      </w:r>
      <w:r>
        <w:rPr>
          <w:rFonts w:ascii="仿宋_GB2312" w:eastAsia="仿宋_GB2312"/>
          <w:color w:val="auto"/>
          <w:sz w:val="32"/>
          <w:szCs w:val="32"/>
          <w:highlight w:val="none"/>
        </w:rPr>
        <w:t xml:space="preserve"> </w:t>
      </w:r>
    </w:p>
    <w:p w14:paraId="2F73E718">
      <w:pPr>
        <w:pStyle w:val="23"/>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4</w:t>
      </w:r>
      <w:r>
        <w:rPr>
          <w:rFonts w:ascii="仿宋_GB2312" w:eastAsia="仿宋_GB2312"/>
          <w:color w:val="auto"/>
          <w:sz w:val="32"/>
          <w:szCs w:val="32"/>
          <w:highlight w:val="none"/>
        </w:rPr>
        <w:t>.</w:t>
      </w:r>
      <w:r>
        <w:rPr>
          <w:rFonts w:hint="eastAsia" w:ascii="仿宋_GB2312" w:eastAsia="仿宋_GB2312"/>
          <w:color w:val="auto"/>
          <w:sz w:val="32"/>
          <w:szCs w:val="32"/>
          <w:highlight w:val="none"/>
        </w:rPr>
        <w:t>结余分配：指事业单位按照会计制度规定</w:t>
      </w:r>
      <w:r>
        <w:rPr>
          <w:rFonts w:hint="eastAsia" w:ascii="仿宋_GB2312" w:eastAsia="仿宋_GB2312"/>
          <w:color w:val="auto"/>
          <w:sz w:val="32"/>
          <w:szCs w:val="32"/>
          <w:highlight w:val="none"/>
          <w:lang w:eastAsia="zh-CN"/>
        </w:rPr>
        <w:t>缴纳的所得税、提取的专用结余以及转入非财政拨款结余的金额</w:t>
      </w:r>
      <w:r>
        <w:rPr>
          <w:rFonts w:hint="eastAsia" w:ascii="仿宋_GB2312" w:eastAsia="仿宋_GB2312"/>
          <w:color w:val="auto"/>
          <w:sz w:val="32"/>
          <w:szCs w:val="32"/>
          <w:highlight w:val="none"/>
        </w:rPr>
        <w:t>等。</w:t>
      </w:r>
    </w:p>
    <w:p w14:paraId="22E5523C">
      <w:pPr>
        <w:pStyle w:val="23"/>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5</w:t>
      </w:r>
      <w:r>
        <w:rPr>
          <w:rFonts w:hint="eastAsia" w:ascii="仿宋_GB2312" w:eastAsia="仿宋_GB2312"/>
          <w:color w:val="auto"/>
          <w:sz w:val="32"/>
          <w:szCs w:val="32"/>
          <w:highlight w:val="none"/>
        </w:rPr>
        <w:t>、年末结转和结余：指单位按有关规定结转到下年或以后年度继续使用的资金。</w:t>
      </w:r>
    </w:p>
    <w:p w14:paraId="1C3F6FEE">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6</w:t>
      </w:r>
      <w:r>
        <w:rPr>
          <w:rFonts w:ascii="仿宋_GB2312" w:eastAsia="仿宋_GB2312"/>
          <w:color w:val="auto"/>
          <w:sz w:val="32"/>
          <w:szCs w:val="32"/>
          <w:highlight w:val="none"/>
        </w:rPr>
        <w:t>.</w:t>
      </w:r>
      <w:r>
        <w:rPr>
          <w:rFonts w:hint="eastAsia" w:ascii="仿宋_GB2312" w:eastAsia="仿宋_GB2312"/>
          <w:color w:val="auto"/>
          <w:sz w:val="32"/>
          <w:szCs w:val="32"/>
          <w:highlight w:val="none"/>
        </w:rPr>
        <w:t>教育（类）</w:t>
      </w:r>
      <w:r>
        <w:rPr>
          <w:rFonts w:hint="eastAsia" w:ascii="仿宋_GB2312" w:eastAsia="仿宋_GB2312"/>
          <w:color w:val="auto"/>
          <w:sz w:val="32"/>
          <w:szCs w:val="32"/>
          <w:highlight w:val="none"/>
          <w:lang w:val="en-US" w:eastAsia="zh-CN"/>
        </w:rPr>
        <w:t>205</w:t>
      </w:r>
      <w:r>
        <w:rPr>
          <w:rFonts w:hint="eastAsia" w:ascii="仿宋_GB2312" w:eastAsia="仿宋_GB2312"/>
          <w:color w:val="auto"/>
          <w:sz w:val="32"/>
          <w:szCs w:val="32"/>
          <w:highlight w:val="none"/>
        </w:rPr>
        <w:t>（款）</w:t>
      </w:r>
      <w:r>
        <w:rPr>
          <w:rFonts w:hint="eastAsia" w:ascii="仿宋_GB2312" w:eastAsia="仿宋_GB2312"/>
          <w:color w:val="auto"/>
          <w:sz w:val="32"/>
          <w:szCs w:val="32"/>
          <w:highlight w:val="none"/>
          <w:lang w:val="en-US" w:eastAsia="zh-CN"/>
        </w:rPr>
        <w:t>02</w:t>
      </w:r>
      <w:r>
        <w:rPr>
          <w:rFonts w:hint="eastAsia" w:ascii="仿宋_GB2312" w:eastAsia="仿宋_GB2312"/>
          <w:color w:val="auto"/>
          <w:sz w:val="32"/>
          <w:szCs w:val="32"/>
          <w:highlight w:val="none"/>
        </w:rPr>
        <w:t>（项）</w:t>
      </w:r>
      <w:r>
        <w:rPr>
          <w:rFonts w:hint="eastAsia" w:ascii="仿宋_GB2312" w:eastAsia="仿宋_GB2312"/>
          <w:color w:val="auto"/>
          <w:sz w:val="32"/>
          <w:szCs w:val="32"/>
          <w:highlight w:val="none"/>
          <w:lang w:val="en-US" w:eastAsia="zh-CN"/>
        </w:rPr>
        <w:t>03</w:t>
      </w:r>
      <w:r>
        <w:rPr>
          <w:rFonts w:hint="eastAsia" w:ascii="仿宋_GB2312" w:eastAsia="仿宋_GB2312"/>
          <w:color w:val="auto"/>
          <w:sz w:val="32"/>
          <w:szCs w:val="32"/>
          <w:highlight w:val="none"/>
        </w:rPr>
        <w:t>：指</w:t>
      </w:r>
      <w:r>
        <w:rPr>
          <w:rFonts w:hint="eastAsia" w:ascii="仿宋_GB2312" w:eastAsia="仿宋_GB2312"/>
          <w:color w:val="auto"/>
          <w:sz w:val="32"/>
          <w:szCs w:val="32"/>
          <w:highlight w:val="none"/>
          <w:lang w:eastAsia="zh-CN"/>
        </w:rPr>
        <w:t>初中教育</w:t>
      </w:r>
      <w:r>
        <w:rPr>
          <w:rFonts w:hint="eastAsia" w:ascii="仿宋_GB2312" w:eastAsia="仿宋_GB2312"/>
          <w:color w:val="auto"/>
          <w:sz w:val="32"/>
          <w:szCs w:val="32"/>
          <w:highlight w:val="none"/>
        </w:rPr>
        <w:t>。</w:t>
      </w:r>
    </w:p>
    <w:p w14:paraId="11929FEA">
      <w:pPr>
        <w:ind w:firstLine="640" w:firstLineChars="200"/>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7.其他普通教育支出</w:t>
      </w:r>
      <w:r>
        <w:rPr>
          <w:rFonts w:hint="eastAsia" w:ascii="仿宋_GB2312" w:eastAsia="仿宋_GB2312"/>
          <w:color w:val="auto"/>
          <w:sz w:val="32"/>
          <w:szCs w:val="32"/>
          <w:highlight w:val="none"/>
        </w:rPr>
        <w:t>（类）</w:t>
      </w:r>
      <w:r>
        <w:rPr>
          <w:rFonts w:hint="eastAsia" w:ascii="仿宋_GB2312" w:eastAsia="仿宋_GB2312"/>
          <w:color w:val="auto"/>
          <w:sz w:val="32"/>
          <w:szCs w:val="32"/>
          <w:highlight w:val="none"/>
          <w:lang w:val="en-US" w:eastAsia="zh-CN"/>
        </w:rPr>
        <w:t>205</w:t>
      </w:r>
      <w:r>
        <w:rPr>
          <w:rFonts w:hint="eastAsia" w:ascii="仿宋_GB2312" w:eastAsia="仿宋_GB2312"/>
          <w:color w:val="auto"/>
          <w:sz w:val="32"/>
          <w:szCs w:val="32"/>
          <w:highlight w:val="none"/>
        </w:rPr>
        <w:t>（款）</w:t>
      </w:r>
      <w:r>
        <w:rPr>
          <w:rFonts w:hint="eastAsia" w:ascii="仿宋_GB2312" w:eastAsia="仿宋_GB2312"/>
          <w:color w:val="auto"/>
          <w:sz w:val="32"/>
          <w:szCs w:val="32"/>
          <w:highlight w:val="none"/>
          <w:lang w:val="en-US" w:eastAsia="zh-CN"/>
        </w:rPr>
        <w:t>02</w:t>
      </w:r>
      <w:r>
        <w:rPr>
          <w:rFonts w:hint="eastAsia" w:ascii="仿宋_GB2312" w:eastAsia="仿宋_GB2312"/>
          <w:color w:val="auto"/>
          <w:sz w:val="32"/>
          <w:szCs w:val="32"/>
          <w:highlight w:val="none"/>
        </w:rPr>
        <w:t>（项）</w:t>
      </w:r>
      <w:r>
        <w:rPr>
          <w:rFonts w:hint="eastAsia" w:ascii="仿宋_GB2312" w:eastAsia="仿宋_GB2312"/>
          <w:color w:val="auto"/>
          <w:sz w:val="32"/>
          <w:szCs w:val="32"/>
          <w:highlight w:val="none"/>
          <w:lang w:val="en-US" w:eastAsia="zh-CN"/>
        </w:rPr>
        <w:t>99：指用于其他普通教育支出。</w:t>
      </w:r>
    </w:p>
    <w:p w14:paraId="6147B374">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8</w:t>
      </w:r>
      <w:r>
        <w:rPr>
          <w:rFonts w:ascii="仿宋_GB2312" w:eastAsia="仿宋_GB2312"/>
          <w:color w:val="auto"/>
          <w:sz w:val="32"/>
          <w:szCs w:val="32"/>
          <w:highlight w:val="none"/>
        </w:rPr>
        <w:t>.</w:t>
      </w:r>
      <w:r>
        <w:rPr>
          <w:rFonts w:hint="eastAsia" w:ascii="仿宋_GB2312" w:eastAsia="仿宋_GB2312"/>
          <w:color w:val="auto"/>
          <w:sz w:val="32"/>
          <w:szCs w:val="32"/>
          <w:highlight w:val="none"/>
        </w:rPr>
        <w:t>基本支出：指为保障机构正常运转、完成日常工作任务而发生的人员支出和公用支出。</w:t>
      </w:r>
    </w:p>
    <w:p w14:paraId="6D5301A7">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9</w:t>
      </w:r>
      <w:r>
        <w:rPr>
          <w:rFonts w:ascii="仿宋_GB2312" w:eastAsia="仿宋_GB2312"/>
          <w:color w:val="auto"/>
          <w:sz w:val="32"/>
          <w:szCs w:val="32"/>
          <w:highlight w:val="none"/>
        </w:rPr>
        <w:t>.</w:t>
      </w:r>
      <w:r>
        <w:rPr>
          <w:rFonts w:hint="eastAsia" w:ascii="仿宋_GB2312" w:eastAsia="仿宋_GB2312"/>
          <w:color w:val="auto"/>
          <w:sz w:val="32"/>
          <w:szCs w:val="32"/>
          <w:highlight w:val="none"/>
        </w:rPr>
        <w:t>项目支出：指在基本支出之外为完成特定行政任务和事业发展目标所发生的支出。</w:t>
      </w:r>
      <w:r>
        <w:rPr>
          <w:rFonts w:ascii="仿宋_GB2312" w:eastAsia="仿宋_GB2312"/>
          <w:color w:val="auto"/>
          <w:sz w:val="32"/>
          <w:szCs w:val="32"/>
          <w:highlight w:val="none"/>
        </w:rPr>
        <w:t xml:space="preserve"> </w:t>
      </w:r>
    </w:p>
    <w:p w14:paraId="126B2DAD">
      <w:pPr>
        <w:pStyle w:val="23"/>
        <w:spacing w:line="560" w:lineRule="exact"/>
        <w:ind w:firstLine="640" w:firstLineChars="200"/>
        <w:rPr>
          <w:rFonts w:ascii="仿宋_GB2312" w:eastAsia="仿宋_GB2312" w:cs="黑体"/>
          <w:sz w:val="32"/>
          <w:szCs w:val="32"/>
        </w:rPr>
      </w:pPr>
      <w:r>
        <w:rPr>
          <w:rFonts w:hint="eastAsia" w:ascii="仿宋_GB2312" w:eastAsia="仿宋_GB2312"/>
          <w:color w:val="auto"/>
          <w:sz w:val="32"/>
          <w:szCs w:val="32"/>
          <w:highlight w:val="none"/>
          <w:lang w:val="en-US" w:eastAsia="zh-CN"/>
        </w:rPr>
        <w:t>10</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“三公”经费：</w:t>
      </w:r>
      <w:r>
        <w:rPr>
          <w:rFonts w:hint="eastAsia" w:ascii="仿宋" w:hAnsi="仿宋" w:eastAsia="仿宋" w:cs="仿宋"/>
          <w:sz w:val="32"/>
          <w:szCs w:val="32"/>
        </w:rPr>
        <w:t>指部门用财政拨款安排的因公出国（境）费、公务用车购置及运行费和公务接待费。其中，因公出国（境）费反映单位公务出国（境）的国际旅费、国外城市间交通费、住宿费、伙食费、培训费、公杂费等支出；公务接待费反映单位按规定开支的各类公务接待（含外宾接待）支出。</w:t>
      </w:r>
    </w:p>
    <w:p w14:paraId="20485652">
      <w:pPr>
        <w:spacing w:line="600" w:lineRule="exact"/>
        <w:jc w:val="center"/>
        <w:outlineLvl w:val="0"/>
        <w:rPr>
          <w:rFonts w:hint="eastAsia" w:ascii="黑体" w:hAnsi="黑体" w:eastAsia="黑体"/>
          <w:bCs/>
          <w:kern w:val="44"/>
          <w:sz w:val="44"/>
          <w:szCs w:val="44"/>
        </w:rPr>
      </w:pPr>
      <w:r>
        <w:rPr>
          <w:rFonts w:ascii="宋体"/>
          <w:b/>
          <w:color w:val="000000"/>
          <w:sz w:val="44"/>
          <w:szCs w:val="44"/>
        </w:rPr>
        <w:br w:type="page"/>
      </w:r>
      <w:bookmarkStart w:id="63" w:name="_Toc15396614"/>
      <w:r>
        <w:rPr>
          <w:rFonts w:hint="eastAsia" w:ascii="黑体" w:hAnsi="黑体" w:eastAsia="黑体"/>
          <w:color w:val="000000"/>
          <w:sz w:val="44"/>
          <w:szCs w:val="44"/>
        </w:rPr>
        <w:t>第</w:t>
      </w:r>
      <w:r>
        <w:rPr>
          <w:rStyle w:val="43"/>
          <w:rFonts w:hint="eastAsia" w:ascii="黑体" w:hAnsi="黑体" w:eastAsia="黑体"/>
          <w:b w:val="0"/>
        </w:rPr>
        <w:t>四部分</w:t>
      </w:r>
      <w:r>
        <w:rPr>
          <w:rStyle w:val="43"/>
          <w:rFonts w:hint="eastAsia" w:ascii="黑体" w:hAnsi="黑体" w:eastAsia="黑体"/>
          <w:b w:val="0"/>
          <w:lang w:val="en-US" w:eastAsia="zh-CN"/>
        </w:rPr>
        <w:t xml:space="preserve"> </w:t>
      </w:r>
      <w:r>
        <w:rPr>
          <w:rStyle w:val="43"/>
          <w:rFonts w:hint="eastAsia" w:ascii="黑体" w:hAnsi="黑体" w:eastAsia="黑体"/>
          <w:b w:val="0"/>
        </w:rPr>
        <w:t>附件</w:t>
      </w:r>
      <w:bookmarkEnd w:id="63"/>
    </w:p>
    <w:p w14:paraId="74523658">
      <w:pPr>
        <w:pStyle w:val="4"/>
        <w:numPr>
          <w:ilvl w:val="0"/>
          <w:numId w:val="0"/>
        </w:numPr>
        <w:ind w:leftChars="150"/>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附件1</w:t>
      </w:r>
    </w:p>
    <w:p w14:paraId="313266DC">
      <w:pPr>
        <w:spacing w:line="600" w:lineRule="exact"/>
        <w:jc w:val="center"/>
        <w:rPr>
          <w:rFonts w:hint="eastAsia" w:ascii="方正小标宋简体" w:hAnsi="宋体" w:eastAsia="方正小标宋简体"/>
          <w:color w:val="000000"/>
          <w:kern w:val="0"/>
          <w:sz w:val="40"/>
          <w:szCs w:val="44"/>
          <w:lang w:eastAsia="zh-CN"/>
        </w:rPr>
      </w:pPr>
      <w:r>
        <w:rPr>
          <w:rFonts w:hint="eastAsia" w:ascii="方正小标宋简体" w:hAnsi="宋体" w:eastAsia="方正小标宋简体"/>
          <w:color w:val="000000"/>
          <w:kern w:val="0"/>
          <w:sz w:val="40"/>
          <w:szCs w:val="44"/>
        </w:rPr>
        <w:t>广元市昭化区王家</w:t>
      </w:r>
      <w:r>
        <w:rPr>
          <w:rFonts w:hint="eastAsia" w:ascii="方正小标宋简体" w:hAnsi="宋体" w:eastAsia="方正小标宋简体"/>
          <w:color w:val="000000"/>
          <w:kern w:val="0"/>
          <w:sz w:val="40"/>
          <w:szCs w:val="44"/>
          <w:lang w:val="en-US" w:eastAsia="zh-CN"/>
        </w:rPr>
        <w:t>镇</w:t>
      </w:r>
      <w:r>
        <w:rPr>
          <w:rFonts w:hint="eastAsia" w:ascii="方正小标宋简体" w:hAnsi="宋体" w:eastAsia="方正小标宋简体"/>
          <w:color w:val="000000"/>
          <w:kern w:val="0"/>
          <w:sz w:val="40"/>
          <w:szCs w:val="44"/>
          <w:lang w:eastAsia="zh-CN"/>
        </w:rPr>
        <w:t>初级中学</w:t>
      </w:r>
    </w:p>
    <w:p w14:paraId="48B2BF98">
      <w:pPr>
        <w:spacing w:line="600" w:lineRule="exact"/>
        <w:jc w:val="center"/>
        <w:rPr>
          <w:rFonts w:ascii="方正小标宋简体" w:hAnsi="宋体" w:eastAsia="方正小标宋简体"/>
          <w:color w:val="000000"/>
          <w:kern w:val="0"/>
          <w:sz w:val="40"/>
          <w:szCs w:val="44"/>
          <w:lang w:val="zh-CN"/>
        </w:rPr>
      </w:pPr>
      <w:r>
        <w:rPr>
          <w:rFonts w:ascii="方正小标宋简体" w:hAnsi="宋体" w:eastAsia="方正小标宋简体"/>
          <w:color w:val="000000"/>
          <w:kern w:val="0"/>
          <w:sz w:val="40"/>
          <w:szCs w:val="44"/>
        </w:rPr>
        <w:t>2020</w:t>
      </w:r>
      <w:r>
        <w:rPr>
          <w:rFonts w:hint="eastAsia" w:ascii="方正小标宋简体" w:hAnsi="宋体" w:eastAsia="方正小标宋简体"/>
          <w:color w:val="000000"/>
          <w:kern w:val="0"/>
          <w:sz w:val="40"/>
          <w:szCs w:val="44"/>
        </w:rPr>
        <w:t>年单位</w:t>
      </w:r>
      <w:r>
        <w:rPr>
          <w:rFonts w:hint="eastAsia" w:ascii="方正小标宋简体" w:hAnsi="宋体" w:eastAsia="方正小标宋简体"/>
          <w:color w:val="000000"/>
          <w:kern w:val="0"/>
          <w:sz w:val="40"/>
          <w:szCs w:val="44"/>
          <w:lang w:val="zh-CN"/>
        </w:rPr>
        <w:t>整体支出绩效评价报告</w:t>
      </w:r>
    </w:p>
    <w:p w14:paraId="3F686CD8">
      <w:pPr>
        <w:widowControl/>
        <w:adjustRightInd w:val="0"/>
        <w:snapToGrid w:val="0"/>
        <w:spacing w:line="580" w:lineRule="exact"/>
        <w:ind w:firstLine="480" w:firstLineChars="200"/>
        <w:contextualSpacing/>
        <w:jc w:val="left"/>
        <w:rPr>
          <w:rFonts w:ascii="黑体" w:hAnsi="宋体" w:eastAsia="黑体" w:cs="宋体"/>
          <w:color w:val="000000"/>
          <w:kern w:val="0"/>
          <w:sz w:val="24"/>
          <w:szCs w:val="32"/>
          <w:shd w:val="clear" w:color="auto" w:fill="FFFFFF"/>
        </w:rPr>
      </w:pPr>
    </w:p>
    <w:p w14:paraId="01CB203B">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lang w:val="zh-CN"/>
        </w:rPr>
      </w:pPr>
      <w:r>
        <w:rPr>
          <w:rFonts w:hint="eastAsia" w:ascii="黑体" w:hAnsi="宋体" w:eastAsia="黑体" w:cs="宋体"/>
          <w:color w:val="000000"/>
          <w:kern w:val="0"/>
          <w:sz w:val="32"/>
          <w:szCs w:val="32"/>
          <w:shd w:val="clear" w:color="auto" w:fill="FFFFFF"/>
        </w:rPr>
        <w:t>一、</w:t>
      </w:r>
      <w:r>
        <w:rPr>
          <w:rFonts w:hint="eastAsia" w:ascii="黑体" w:hAnsi="宋体" w:eastAsia="黑体" w:cs="宋体"/>
          <w:color w:val="000000"/>
          <w:kern w:val="0"/>
          <w:sz w:val="32"/>
          <w:szCs w:val="32"/>
          <w:shd w:val="clear" w:color="auto" w:fill="FFFFFF"/>
          <w:lang w:val="zh-CN"/>
        </w:rPr>
        <w:t>单位（单位）概况</w:t>
      </w:r>
    </w:p>
    <w:p w14:paraId="6B0FF076">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（一）机构组成。</w:t>
      </w:r>
    </w:p>
    <w:p w14:paraId="5AC08972">
      <w:pPr>
        <w:spacing w:line="560" w:lineRule="exact"/>
        <w:ind w:firstLine="800" w:firstLineChars="250"/>
        <w:rPr>
          <w:rFonts w:ascii="仿宋" w:hAnsi="仿宋" w:eastAsia="仿宋"/>
          <w:sz w:val="32"/>
          <w:szCs w:val="32"/>
        </w:rPr>
      </w:pPr>
      <w:r>
        <w:rPr>
          <w:rFonts w:hint="eastAsia" w:ascii="仿宋" w:hAnsi="仿宋" w:eastAsia="仿宋"/>
          <w:color w:val="000000"/>
          <w:sz w:val="32"/>
          <w:szCs w:val="32"/>
        </w:rPr>
        <w:t>本单位为广元市昭化区教育局所属的二级预算单位，单位性质为财政补助事业单位。</w:t>
      </w:r>
    </w:p>
    <w:p w14:paraId="7AD86B78">
      <w:pPr>
        <w:widowControl/>
        <w:numPr>
          <w:ilvl w:val="0"/>
          <w:numId w:val="3"/>
        </w:numPr>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机构职能。</w:t>
      </w:r>
    </w:p>
    <w:p w14:paraId="6E8D00D8">
      <w:pPr>
        <w:pStyle w:val="2"/>
        <w:adjustRightInd w:val="0"/>
        <w:spacing w:beforeLines="0" w:line="500" w:lineRule="exact"/>
        <w:ind w:firstLine="640" w:firstLineChars="200"/>
        <w:outlineLvl w:val="2"/>
        <w:rPr>
          <w:rFonts w:hint="eastAsia" w:ascii="仿宋" w:hAnsi="仿宋" w:eastAsia="仿宋" w:cs="Arial"/>
          <w:color w:val="333333"/>
          <w:sz w:val="32"/>
          <w:szCs w:val="32"/>
          <w:shd w:val="clear" w:color="auto" w:fill="FFFFFF"/>
        </w:rPr>
      </w:pPr>
      <w:r>
        <w:rPr>
          <w:rFonts w:hint="eastAsia" w:ascii="仿宋" w:hAnsi="仿宋" w:eastAsia="仿宋"/>
          <w:kern w:val="2"/>
          <w:sz w:val="32"/>
          <w:szCs w:val="32"/>
        </w:rPr>
        <w:t>1、</w:t>
      </w:r>
      <w:r>
        <w:rPr>
          <w:rFonts w:ascii="Arial" w:hAnsi="Arial" w:cs="Arial"/>
          <w:color w:val="333333"/>
          <w:shd w:val="clear" w:color="auto" w:fill="FFFFFF"/>
        </w:rPr>
        <w:t xml:space="preserve"> </w:t>
      </w:r>
      <w:r>
        <w:rPr>
          <w:rFonts w:ascii="仿宋" w:hAnsi="仿宋" w:eastAsia="仿宋" w:cs="Arial"/>
          <w:color w:val="333333"/>
          <w:sz w:val="32"/>
          <w:szCs w:val="32"/>
          <w:shd w:val="clear" w:color="auto" w:fill="FFFFFF"/>
        </w:rPr>
        <w:t>宣传贯彻执行党和国家的教育方针、教育政策、教育法律和法规，贯彻执行上级教育行政部门的各项规章制度。</w:t>
      </w:r>
    </w:p>
    <w:p w14:paraId="25F03402">
      <w:pPr>
        <w:pStyle w:val="2"/>
        <w:adjustRightInd w:val="0"/>
        <w:spacing w:beforeLines="0" w:line="500" w:lineRule="exact"/>
        <w:ind w:firstLine="800" w:firstLineChars="250"/>
        <w:outlineLvl w:val="2"/>
        <w:rPr>
          <w:rFonts w:hint="eastAsia" w:ascii="仿宋" w:hAnsi="仿宋" w:eastAsia="仿宋"/>
          <w:kern w:val="2"/>
          <w:sz w:val="32"/>
          <w:szCs w:val="32"/>
        </w:rPr>
      </w:pPr>
      <w:r>
        <w:rPr>
          <w:rFonts w:hint="eastAsia" w:ascii="仿宋" w:hAnsi="仿宋" w:eastAsia="仿宋" w:cs="Arial"/>
          <w:color w:val="333333"/>
          <w:sz w:val="32"/>
          <w:szCs w:val="32"/>
          <w:shd w:val="clear" w:color="auto" w:fill="FFFFFF"/>
        </w:rPr>
        <w:t>2、</w:t>
      </w:r>
      <w:r>
        <w:rPr>
          <w:rFonts w:ascii="仿宋" w:hAnsi="仿宋" w:eastAsia="仿宋" w:cs="Arial"/>
          <w:color w:val="333333"/>
          <w:sz w:val="32"/>
          <w:szCs w:val="32"/>
          <w:shd w:val="clear" w:color="auto" w:fill="FFFFFF"/>
        </w:rPr>
        <w:t>按照九年义务教育课程计划，开齐课程，开足课时，认真实施中小学的教育教学管理，全面推进素质教育，全面提高教育教学质量。</w:t>
      </w:r>
    </w:p>
    <w:p w14:paraId="0CD18981">
      <w:pPr>
        <w:pStyle w:val="2"/>
        <w:adjustRightInd w:val="0"/>
        <w:spacing w:beforeLines="0" w:line="500" w:lineRule="exact"/>
        <w:ind w:firstLine="640" w:firstLineChars="200"/>
        <w:outlineLvl w:val="2"/>
        <w:rPr>
          <w:rFonts w:hint="eastAsia" w:ascii="仿宋" w:hAnsi="仿宋" w:eastAsia="仿宋"/>
          <w:kern w:val="2"/>
          <w:sz w:val="32"/>
          <w:szCs w:val="32"/>
        </w:rPr>
      </w:pPr>
      <w:r>
        <w:rPr>
          <w:rFonts w:hint="eastAsia" w:ascii="仿宋" w:hAnsi="仿宋" w:eastAsia="仿宋"/>
          <w:kern w:val="2"/>
          <w:sz w:val="32"/>
          <w:szCs w:val="32"/>
        </w:rPr>
        <w:t>3、用科学的发展观指导教育教学工作。加强教育科研工作，推动校本教育的健康发展。加强教学管理，不断推进新课程改革，全面提高教学质量。</w:t>
      </w:r>
    </w:p>
    <w:p w14:paraId="01CD6B0C">
      <w:pPr>
        <w:pStyle w:val="2"/>
        <w:adjustRightInd w:val="0"/>
        <w:spacing w:beforeLines="0" w:line="500" w:lineRule="exact"/>
        <w:ind w:firstLine="640" w:firstLineChars="200"/>
        <w:outlineLvl w:val="2"/>
        <w:rPr>
          <w:rFonts w:hint="eastAsia" w:ascii="仿宋" w:hAnsi="仿宋" w:eastAsia="仿宋"/>
          <w:kern w:val="2"/>
          <w:sz w:val="32"/>
          <w:szCs w:val="32"/>
        </w:rPr>
      </w:pPr>
      <w:r>
        <w:rPr>
          <w:rFonts w:hint="eastAsia" w:ascii="仿宋" w:hAnsi="仿宋" w:eastAsia="仿宋"/>
          <w:kern w:val="2"/>
          <w:sz w:val="32"/>
          <w:szCs w:val="32"/>
        </w:rPr>
        <w:t>4、负责配合各级人民政府依法动员、组织适龄儿童、少年入学，严格控制学生辍学，依法保证适龄儿童、少年接受九年义务教育。</w:t>
      </w:r>
    </w:p>
    <w:p w14:paraId="046ABA69">
      <w:pPr>
        <w:pStyle w:val="2"/>
        <w:adjustRightInd w:val="0"/>
        <w:spacing w:beforeLines="0" w:line="500" w:lineRule="exact"/>
        <w:ind w:firstLine="640" w:firstLineChars="200"/>
        <w:outlineLvl w:val="2"/>
        <w:rPr>
          <w:rFonts w:hint="eastAsia" w:ascii="仿宋" w:hAnsi="仿宋" w:eastAsia="仿宋"/>
          <w:kern w:val="2"/>
          <w:sz w:val="32"/>
          <w:szCs w:val="32"/>
        </w:rPr>
      </w:pPr>
      <w:r>
        <w:rPr>
          <w:rFonts w:hint="eastAsia" w:ascii="仿宋" w:hAnsi="仿宋" w:eastAsia="仿宋"/>
          <w:kern w:val="2"/>
          <w:sz w:val="32"/>
          <w:szCs w:val="32"/>
        </w:rPr>
        <w:t>5、继续深化人事制度改革，完善学校内部管理，做好后勤保障工作。</w:t>
      </w:r>
    </w:p>
    <w:p w14:paraId="4075916E">
      <w:pPr>
        <w:pStyle w:val="2"/>
        <w:adjustRightInd w:val="0"/>
        <w:spacing w:beforeLines="0" w:line="500" w:lineRule="exact"/>
        <w:ind w:firstLine="640" w:firstLineChars="200"/>
        <w:outlineLvl w:val="2"/>
        <w:rPr>
          <w:rFonts w:hint="eastAsia" w:ascii="仿宋" w:hAnsi="仿宋" w:eastAsia="仿宋"/>
          <w:kern w:val="2"/>
          <w:sz w:val="32"/>
          <w:szCs w:val="32"/>
        </w:rPr>
      </w:pPr>
      <w:r>
        <w:rPr>
          <w:rFonts w:hint="eastAsia" w:ascii="仿宋" w:hAnsi="仿宋" w:eastAsia="仿宋"/>
          <w:kern w:val="2"/>
          <w:sz w:val="32"/>
          <w:szCs w:val="32"/>
        </w:rPr>
        <w:t>6、负责科学管理、合理使用学校的设施和经费，并积极筹措资金，改善办学条件。</w:t>
      </w:r>
    </w:p>
    <w:p w14:paraId="6474526E">
      <w:pPr>
        <w:pStyle w:val="2"/>
        <w:adjustRightInd w:val="0"/>
        <w:spacing w:beforeLines="0" w:line="500" w:lineRule="exact"/>
        <w:ind w:firstLine="640" w:firstLineChars="200"/>
        <w:outlineLvl w:val="2"/>
        <w:rPr>
          <w:rFonts w:hint="eastAsia" w:ascii="仿宋" w:hAnsi="仿宋" w:eastAsia="仿宋"/>
          <w:kern w:val="2"/>
          <w:sz w:val="32"/>
          <w:szCs w:val="32"/>
        </w:rPr>
      </w:pPr>
      <w:r>
        <w:rPr>
          <w:rFonts w:hint="eastAsia" w:ascii="仿宋" w:hAnsi="仿宋" w:eastAsia="仿宋"/>
          <w:kern w:val="2"/>
          <w:sz w:val="32"/>
          <w:szCs w:val="32"/>
        </w:rPr>
        <w:t>7、负责维护学校、师生的合法权益，有权拒绝任何组织和个人对教育教学活动进行非法干扰。</w:t>
      </w:r>
    </w:p>
    <w:p w14:paraId="24193210">
      <w:pPr>
        <w:pStyle w:val="2"/>
        <w:adjustRightInd w:val="0"/>
        <w:spacing w:beforeLines="0" w:line="500" w:lineRule="exact"/>
        <w:ind w:firstLine="640" w:firstLineChars="200"/>
        <w:outlineLvl w:val="2"/>
        <w:rPr>
          <w:rFonts w:hint="eastAsia" w:ascii="仿宋" w:hAnsi="仿宋" w:eastAsia="仿宋"/>
          <w:kern w:val="2"/>
          <w:sz w:val="32"/>
          <w:szCs w:val="32"/>
        </w:rPr>
      </w:pPr>
      <w:r>
        <w:rPr>
          <w:rFonts w:hint="eastAsia" w:ascii="仿宋" w:hAnsi="仿宋" w:eastAsia="仿宋"/>
          <w:kern w:val="2"/>
          <w:sz w:val="32"/>
          <w:szCs w:val="32"/>
        </w:rPr>
        <w:t>8、负责创建绿色校园、文明校园和平安校园。</w:t>
      </w:r>
    </w:p>
    <w:p w14:paraId="6933BE31">
      <w:pPr>
        <w:pStyle w:val="2"/>
        <w:adjustRightInd w:val="0"/>
        <w:spacing w:beforeLines="0" w:line="500" w:lineRule="exact"/>
        <w:ind w:firstLine="640" w:firstLineChars="200"/>
        <w:outlineLvl w:val="2"/>
        <w:rPr>
          <w:rFonts w:hint="eastAsia" w:ascii="仿宋" w:hAnsi="仿宋" w:eastAsia="仿宋"/>
          <w:kern w:val="2"/>
          <w:sz w:val="32"/>
          <w:szCs w:val="32"/>
        </w:rPr>
      </w:pPr>
      <w:r>
        <w:rPr>
          <w:rFonts w:hint="eastAsia" w:ascii="仿宋" w:hAnsi="仿宋" w:eastAsia="仿宋"/>
          <w:kern w:val="2"/>
          <w:sz w:val="32"/>
          <w:szCs w:val="32"/>
        </w:rPr>
        <w:t>9、负责关心教职工生活，发挥教代会职能作用。</w:t>
      </w:r>
    </w:p>
    <w:p w14:paraId="3E1D9AA1">
      <w:pPr>
        <w:adjustRightInd w:val="0"/>
        <w:snapToGrid w:val="0"/>
        <w:spacing w:before="93" w:beforeLines="30" w:line="560" w:lineRule="exact"/>
        <w:ind w:firstLine="672" w:firstLineChars="210"/>
        <w:rPr>
          <w:rFonts w:hint="eastAsia" w:ascii="仿宋_GB2312" w:eastAsia="仿宋_GB2312"/>
          <w:bCs/>
          <w:color w:val="000000"/>
          <w:kern w:val="0"/>
          <w:sz w:val="32"/>
          <w:szCs w:val="32"/>
        </w:rPr>
      </w:pPr>
      <w:r>
        <w:rPr>
          <w:rFonts w:hint="eastAsia" w:ascii="仿宋" w:hAnsi="仿宋" w:eastAsia="仿宋"/>
          <w:sz w:val="32"/>
          <w:szCs w:val="32"/>
        </w:rPr>
        <w:t>10、承办上级交办的其他事项。</w:t>
      </w:r>
    </w:p>
    <w:p w14:paraId="7A6951DA">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（三）人员概况。</w:t>
      </w:r>
    </w:p>
    <w:p w14:paraId="11E17064">
      <w:pPr>
        <w:adjustRightInd w:val="0"/>
        <w:snapToGrid w:val="0"/>
        <w:spacing w:before="93" w:beforeLines="30" w:line="560" w:lineRule="exact"/>
        <w:ind w:firstLine="672" w:firstLineChars="210"/>
        <w:rPr>
          <w:rFonts w:hint="eastAsia" w:ascii="仿宋_GB2312" w:eastAsia="仿宋_GB2312"/>
          <w:bCs/>
          <w:color w:val="000000"/>
          <w:kern w:val="0"/>
          <w:sz w:val="32"/>
          <w:szCs w:val="32"/>
          <w:lang w:val="zh-CN"/>
        </w:rPr>
      </w:pPr>
      <w:r>
        <w:rPr>
          <w:rFonts w:hint="eastAsia" w:ascii="仿宋_GB2312" w:eastAsia="仿宋_GB2312"/>
          <w:bCs/>
          <w:color w:val="000000"/>
          <w:kern w:val="0"/>
          <w:sz w:val="32"/>
          <w:szCs w:val="32"/>
        </w:rPr>
        <w:t>2020年事业人员39人，其中：专业技术人员38人，事业工勤人员1人。</w:t>
      </w:r>
    </w:p>
    <w:p w14:paraId="7414D0AB">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二、单位财政资金收支情况</w:t>
      </w:r>
    </w:p>
    <w:p w14:paraId="5D2C7007">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（一）单位财政资金收入情况。</w:t>
      </w:r>
    </w:p>
    <w:p w14:paraId="3D0247A2">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2020年收入1028.7242万元，其中：一般公共预算财政拨款收入1028.7242万元，政府性基金预算财政拨款0万元。</w:t>
      </w:r>
    </w:p>
    <w:p w14:paraId="2A319590">
      <w:pPr>
        <w:widowControl/>
        <w:numPr>
          <w:ilvl w:val="0"/>
          <w:numId w:val="3"/>
        </w:numPr>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单位财政资金支出情况。</w:t>
      </w:r>
    </w:p>
    <w:p w14:paraId="08205185">
      <w:pPr>
        <w:spacing w:line="560" w:lineRule="exact"/>
        <w:ind w:firstLine="640" w:firstLineChars="200"/>
        <w:rPr>
          <w:lang w:val="zh-CN"/>
        </w:rPr>
      </w:pPr>
      <w:r>
        <w:rPr>
          <w:rFonts w:hint="eastAsia" w:ascii="仿宋" w:hAnsi="仿宋" w:eastAsia="仿宋"/>
          <w:color w:val="000000"/>
          <w:sz w:val="32"/>
          <w:szCs w:val="32"/>
        </w:rPr>
        <w:t>2020年支出1028.7242万元，其中：基本支出688.7242万元，项目支出340万元。</w:t>
      </w:r>
    </w:p>
    <w:p w14:paraId="682812D7">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三、单位整体预算绩效管理情况</w:t>
      </w:r>
    </w:p>
    <w:p w14:paraId="5CEDB0C0">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（一）单位预算管理。</w:t>
      </w:r>
    </w:p>
    <w:p w14:paraId="21A8094B">
      <w:pPr>
        <w:spacing w:line="56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预算管理情况较好。单位相关管理制度总体上得到有效执行，基本支出、项目支出符合国家财经法规、财务管理制度规定，符合预算批复的用途；重大项目支出按规定经过评估论证；各项支出和资金拨付有完整的审批程序和手续；资金使用过程中无截留、挤占、挪用、虚列支出等情况。单位内控制度完整包含了预算资金管理、内部财务管理、会计核算等方面。单位已按照规定时限和内容公开2020年度预算信息；单位财务核算信息及预、决算编制所依据的会计基础信息准确、完善。</w:t>
      </w:r>
    </w:p>
    <w:p w14:paraId="443F58E4">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（二）结果应用情况。</w:t>
      </w:r>
    </w:p>
    <w:p w14:paraId="44848B67">
      <w:pPr>
        <w:spacing w:line="580" w:lineRule="exact"/>
        <w:ind w:firstLine="640" w:firstLineChars="200"/>
        <w:rPr>
          <w:rFonts w:hint="eastAsia" w:ascii="仿宋_GB2312" w:hAnsi="宋体" w:eastAsia="仿宋_GB2312" w:cs="仿宋_GB2312"/>
          <w:color w:val="000000"/>
          <w:sz w:val="32"/>
          <w:szCs w:val="32"/>
          <w:shd w:val="clear" w:color="080000" w:fill="FFFFFF"/>
        </w:rPr>
      </w:pPr>
      <w:r>
        <w:rPr>
          <w:rFonts w:hint="eastAsia" w:ascii="仿宋_GB2312" w:hAnsi="宋体" w:eastAsia="仿宋_GB2312" w:cs="仿宋_GB2312"/>
          <w:color w:val="000000"/>
          <w:sz w:val="32"/>
          <w:szCs w:val="32"/>
          <w:shd w:val="clear" w:color="080000" w:fill="FFFFFF"/>
        </w:rPr>
        <w:t>评价结果作为改进预算管理和安排以后年度预算的重要依据。同时根据绩效自评情况，不断补充完善绩效评价指标。      </w:t>
      </w:r>
    </w:p>
    <w:p w14:paraId="4EC7CEF3">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四、评价结论及建议</w:t>
      </w:r>
    </w:p>
    <w:p w14:paraId="3C8CBBB1">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（一）评价结论。</w:t>
      </w:r>
    </w:p>
    <w:p w14:paraId="52516ED2">
      <w:pPr>
        <w:spacing w:line="56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通过自评，大部分项目实际完成绩效值均已达到预期绩效指标，项目实施效果明显，达到预期要求，提高了资金的使用效益，个别项目绩效指标有待改善。</w:t>
      </w:r>
    </w:p>
    <w:p w14:paraId="7FB3F48F">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（二）改进建议。</w:t>
      </w:r>
    </w:p>
    <w:p w14:paraId="1070F136">
      <w:pPr>
        <w:spacing w:line="56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1.加强培训，扩大培训范围。对预算编审人员进行再培训，进一步统一认识，充实业务知识，精准编制预算。</w:t>
      </w:r>
    </w:p>
    <w:p w14:paraId="6F517CB8">
      <w:pPr>
        <w:spacing w:line="56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2.督促预算项目负责人加强项目管理。在布置预算绩效管理工作时，相关负责人已督促各项目负责人从预算编制开始，收集、汇总项目</w:t>
      </w:r>
    </w:p>
    <w:p w14:paraId="270801EF">
      <w:pPr>
        <w:spacing w:line="560" w:lineRule="exact"/>
        <w:ind w:firstLine="640" w:firstLineChars="200"/>
        <w:rPr>
          <w:rFonts w:ascii="仿宋_GB2312" w:hAnsi="仿宋_GB2312" w:eastAsia="仿宋_GB2312" w:cs="仿宋_GB2312"/>
          <w:sz w:val="32"/>
          <w:szCs w:val="32"/>
        </w:rPr>
      </w:pPr>
      <w:r>
        <w:rPr>
          <w:rFonts w:hint="eastAsia" w:ascii="仿宋" w:hAnsi="仿宋" w:eastAsia="仿宋"/>
          <w:color w:val="000000"/>
          <w:sz w:val="32"/>
          <w:szCs w:val="32"/>
        </w:rPr>
        <w:t>各个阶段的痕迹资料，做好项目档案管理，提醒和督促加快资金拨付和使用。</w:t>
      </w:r>
    </w:p>
    <w:p w14:paraId="35FC2C17">
      <w:pPr>
        <w:spacing w:line="600" w:lineRule="exact"/>
        <w:jc w:val="both"/>
        <w:outlineLvl w:val="0"/>
        <w:rPr>
          <w:rFonts w:hint="eastAsia" w:ascii="黑体" w:hAnsi="黑体" w:eastAsia="黑体"/>
          <w:color w:val="000000"/>
          <w:sz w:val="44"/>
          <w:szCs w:val="44"/>
        </w:rPr>
      </w:pPr>
    </w:p>
    <w:p w14:paraId="0CA5B740">
      <w:pPr>
        <w:spacing w:line="600" w:lineRule="exact"/>
        <w:jc w:val="both"/>
        <w:outlineLvl w:val="0"/>
        <w:rPr>
          <w:rFonts w:hint="eastAsia" w:ascii="黑体" w:hAnsi="黑体" w:eastAsia="黑体"/>
          <w:color w:val="000000"/>
          <w:sz w:val="44"/>
          <w:szCs w:val="44"/>
        </w:rPr>
      </w:pPr>
    </w:p>
    <w:p w14:paraId="6B3496E2">
      <w:pPr>
        <w:pStyle w:val="4"/>
        <w:rPr>
          <w:rFonts w:hint="eastAsia" w:ascii="黑体" w:hAnsi="黑体" w:eastAsia="黑体"/>
          <w:color w:val="000000"/>
          <w:sz w:val="44"/>
          <w:szCs w:val="44"/>
        </w:rPr>
      </w:pPr>
    </w:p>
    <w:p w14:paraId="12B089A7">
      <w:pPr>
        <w:rPr>
          <w:rFonts w:hint="eastAsia"/>
        </w:rPr>
      </w:pPr>
    </w:p>
    <w:p w14:paraId="4F0596AE">
      <w:pPr>
        <w:spacing w:line="580" w:lineRule="exact"/>
        <w:rPr>
          <w:rFonts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附件</w:t>
      </w:r>
      <w:r>
        <w:rPr>
          <w:rFonts w:ascii="黑体" w:hAnsi="黑体" w:eastAsia="黑体" w:cs="黑体"/>
          <w:color w:val="auto"/>
          <w:sz w:val="32"/>
          <w:szCs w:val="32"/>
          <w:highlight w:val="none"/>
        </w:rPr>
        <w:t>2</w:t>
      </w:r>
    </w:p>
    <w:p w14:paraId="5F0B25BB">
      <w:pPr>
        <w:spacing w:line="600" w:lineRule="exact"/>
        <w:jc w:val="center"/>
        <w:rPr>
          <w:rFonts w:hint="eastAsia" w:ascii="黑体" w:hAnsi="黑体" w:eastAsia="黑体" w:cs="黑体"/>
          <w:color w:val="auto"/>
          <w:kern w:val="0"/>
          <w:sz w:val="44"/>
          <w:szCs w:val="44"/>
          <w:highlight w:val="none"/>
          <w:lang w:val="zh-CN"/>
        </w:rPr>
      </w:pPr>
      <w:r>
        <w:rPr>
          <w:rFonts w:hint="eastAsia" w:ascii="黑体" w:hAnsi="黑体" w:eastAsia="黑体" w:cs="黑体"/>
          <w:color w:val="auto"/>
          <w:kern w:val="0"/>
          <w:sz w:val="44"/>
          <w:szCs w:val="44"/>
          <w:highlight w:val="none"/>
          <w:lang w:eastAsia="zh-CN"/>
        </w:rPr>
        <w:t>项目</w:t>
      </w:r>
      <w:r>
        <w:rPr>
          <w:rFonts w:hint="eastAsia" w:ascii="黑体" w:hAnsi="黑体" w:eastAsia="黑体" w:cs="黑体"/>
          <w:color w:val="auto"/>
          <w:kern w:val="0"/>
          <w:sz w:val="44"/>
          <w:szCs w:val="44"/>
          <w:highlight w:val="none"/>
        </w:rPr>
        <w:t>2020年</w:t>
      </w:r>
      <w:r>
        <w:rPr>
          <w:rFonts w:hint="eastAsia" w:ascii="黑体" w:hAnsi="黑体" w:eastAsia="黑体" w:cs="黑体"/>
          <w:color w:val="auto"/>
          <w:kern w:val="0"/>
          <w:sz w:val="44"/>
          <w:szCs w:val="44"/>
          <w:highlight w:val="none"/>
          <w:lang w:val="zh-CN"/>
        </w:rPr>
        <w:t>绩效评价报告</w:t>
      </w:r>
    </w:p>
    <w:p w14:paraId="6AB8A1AA">
      <w:pPr>
        <w:pStyle w:val="4"/>
        <w:keepNext/>
        <w:keepLines/>
        <w:pageBreakBefore w:val="0"/>
        <w:widowControl w:val="0"/>
        <w:kinsoku/>
        <w:wordWrap/>
        <w:overflowPunct/>
        <w:topLinePunct w:val="0"/>
        <w:autoSpaceDE/>
        <w:autoSpaceDN/>
        <w:bidi w:val="0"/>
        <w:adjustRightInd/>
        <w:snapToGrid w:val="0"/>
        <w:spacing w:before="0" w:after="0" w:line="600" w:lineRule="atLeast"/>
        <w:textAlignment w:val="auto"/>
        <w:rPr>
          <w:lang w:val="zh-CN"/>
        </w:rPr>
      </w:pPr>
    </w:p>
    <w:p w14:paraId="01DA1CE4">
      <w:pPr>
        <w:adjustRightInd w:val="0"/>
        <w:snapToGrid w:val="0"/>
        <w:spacing w:line="600" w:lineRule="exact"/>
        <w:ind w:firstLine="720"/>
        <w:rPr>
          <w:rFonts w:ascii="黑体" w:hAnsi="宋体" w:eastAsia="黑体"/>
          <w:color w:val="auto"/>
          <w:sz w:val="32"/>
          <w:szCs w:val="32"/>
          <w:highlight w:val="none"/>
          <w:lang w:val="zh-CN"/>
        </w:rPr>
      </w:pPr>
      <w:r>
        <w:rPr>
          <w:rFonts w:hint="eastAsia" w:ascii="黑体" w:hAnsi="宋体" w:eastAsia="黑体"/>
          <w:color w:val="auto"/>
          <w:sz w:val="32"/>
          <w:szCs w:val="32"/>
          <w:highlight w:val="none"/>
        </w:rPr>
        <w:t>一、</w:t>
      </w:r>
      <w:r>
        <w:rPr>
          <w:rFonts w:hint="eastAsia" w:ascii="黑体" w:hAnsi="宋体" w:eastAsia="黑体"/>
          <w:color w:val="auto"/>
          <w:sz w:val="32"/>
          <w:szCs w:val="32"/>
          <w:highlight w:val="none"/>
          <w:lang w:val="zh-CN"/>
        </w:rPr>
        <w:t>项目概况</w:t>
      </w:r>
    </w:p>
    <w:p w14:paraId="10CAF8C5">
      <w:pPr>
        <w:adjustRightInd w:val="0"/>
        <w:snapToGrid w:val="0"/>
        <w:spacing w:line="600" w:lineRule="exact"/>
        <w:ind w:firstLine="720"/>
        <w:rPr>
          <w:rFonts w:ascii="楷体_GB2312" w:hAnsi="宋体" w:eastAsia="楷体_GB2312"/>
          <w:b/>
          <w:color w:val="auto"/>
          <w:sz w:val="32"/>
          <w:szCs w:val="32"/>
          <w:highlight w:val="none"/>
          <w:lang w:val="zh-CN"/>
        </w:rPr>
      </w:pPr>
      <w:r>
        <w:rPr>
          <w:rFonts w:hint="eastAsia" w:ascii="楷体_GB2312" w:hAnsi="宋体" w:eastAsia="楷体_GB2312"/>
          <w:b/>
          <w:color w:val="auto"/>
          <w:sz w:val="32"/>
          <w:szCs w:val="32"/>
          <w:highlight w:val="none"/>
          <w:lang w:val="zh-CN"/>
        </w:rPr>
        <w:t>（一）项目基本情况。</w:t>
      </w:r>
    </w:p>
    <w:p w14:paraId="1EFB4301">
      <w:pPr>
        <w:adjustRightInd w:val="0"/>
        <w:snapToGrid w:val="0"/>
        <w:spacing w:line="600" w:lineRule="exact"/>
        <w:ind w:firstLine="720"/>
        <w:rPr>
          <w:rFonts w:ascii="仿宋_GB2312" w:hAnsi="宋体" w:eastAsia="仿宋_GB2312"/>
          <w:color w:val="auto"/>
          <w:sz w:val="32"/>
          <w:szCs w:val="32"/>
          <w:highlight w:val="none"/>
          <w:lang w:val="zh-CN"/>
        </w:rPr>
      </w:pPr>
      <w:r>
        <w:rPr>
          <w:rFonts w:hint="eastAsia" w:ascii="仿宋_GB2312" w:hAnsi="仿宋_GB2312" w:eastAsia="仿宋_GB2312" w:cs="仿宋_GB2312"/>
          <w:color w:val="auto"/>
          <w:sz w:val="32"/>
          <w:szCs w:val="32"/>
          <w:highlight w:val="none"/>
        </w:rPr>
        <w:t>本部门在</w:t>
      </w:r>
      <w:r>
        <w:rPr>
          <w:rFonts w:ascii="仿宋_GB2312" w:hAnsi="仿宋_GB2312" w:eastAsia="仿宋_GB2312" w:cs="仿宋_GB2312"/>
          <w:color w:val="auto"/>
          <w:sz w:val="32"/>
          <w:szCs w:val="32"/>
          <w:highlight w:val="none"/>
        </w:rPr>
        <w:t>2020</w:t>
      </w:r>
      <w:r>
        <w:rPr>
          <w:rFonts w:hint="eastAsia" w:ascii="仿宋_GB2312" w:hAnsi="仿宋_GB2312" w:eastAsia="仿宋_GB2312" w:cs="仿宋_GB2312"/>
          <w:color w:val="auto"/>
          <w:sz w:val="32"/>
          <w:szCs w:val="32"/>
          <w:highlight w:val="none"/>
        </w:rPr>
        <w:t>年度部门决算中</w:t>
      </w:r>
      <w:r>
        <w:rPr>
          <w:rFonts w:hint="eastAsia" w:ascii="仿宋_GB2312" w:hAnsi="仿宋_GB2312" w:eastAsia="仿宋_GB2312" w:cs="仿宋_GB2312"/>
          <w:color w:val="auto"/>
          <w:sz w:val="32"/>
          <w:szCs w:val="32"/>
          <w:highlight w:val="none"/>
          <w:lang w:eastAsia="zh-CN"/>
        </w:rPr>
        <w:t>无</w:t>
      </w:r>
      <w:r>
        <w:rPr>
          <w:rFonts w:hint="eastAsia" w:ascii="仿宋_GB2312" w:hAnsi="仿宋_GB2312" w:eastAsia="仿宋_GB2312" w:cs="仿宋_GB2312"/>
          <w:color w:val="auto"/>
          <w:sz w:val="32"/>
          <w:szCs w:val="32"/>
          <w:highlight w:val="none"/>
        </w:rPr>
        <w:t>项目，</w:t>
      </w:r>
      <w:r>
        <w:rPr>
          <w:rFonts w:hint="eastAsia" w:ascii="仿宋_GB2312" w:hAnsi="仿宋_GB2312" w:eastAsia="仿宋_GB2312" w:cs="仿宋_GB2312"/>
          <w:color w:val="auto"/>
          <w:sz w:val="32"/>
          <w:szCs w:val="32"/>
          <w:highlight w:val="none"/>
          <w:lang w:eastAsia="zh-CN"/>
        </w:rPr>
        <w:t>未开展项目绩效评价。</w:t>
      </w:r>
    </w:p>
    <w:p w14:paraId="5F98A569">
      <w:pPr>
        <w:adjustRightInd w:val="0"/>
        <w:snapToGrid w:val="0"/>
        <w:spacing w:line="600" w:lineRule="exact"/>
        <w:ind w:firstLine="720"/>
        <w:rPr>
          <w:rFonts w:ascii="楷体_GB2312" w:hAnsi="宋体" w:eastAsia="楷体_GB2312"/>
          <w:b/>
          <w:color w:val="auto"/>
          <w:sz w:val="32"/>
          <w:szCs w:val="32"/>
          <w:highlight w:val="none"/>
          <w:lang w:val="zh-CN"/>
        </w:rPr>
      </w:pPr>
      <w:r>
        <w:rPr>
          <w:rFonts w:hint="eastAsia" w:ascii="楷体_GB2312" w:hAnsi="宋体" w:eastAsia="楷体_GB2312"/>
          <w:b/>
          <w:color w:val="auto"/>
          <w:sz w:val="32"/>
          <w:szCs w:val="32"/>
          <w:highlight w:val="none"/>
          <w:lang w:val="zh-CN"/>
        </w:rPr>
        <w:t>（二）项目绩效目标。</w:t>
      </w:r>
    </w:p>
    <w:p w14:paraId="3A91B50C">
      <w:pPr>
        <w:adjustRightInd w:val="0"/>
        <w:snapToGrid w:val="0"/>
        <w:spacing w:line="600" w:lineRule="exact"/>
        <w:ind w:firstLine="72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本部门在</w:t>
      </w:r>
      <w:r>
        <w:rPr>
          <w:rFonts w:ascii="仿宋_GB2312" w:hAnsi="仿宋_GB2312" w:eastAsia="仿宋_GB2312" w:cs="仿宋_GB2312"/>
          <w:color w:val="auto"/>
          <w:sz w:val="32"/>
          <w:szCs w:val="32"/>
          <w:highlight w:val="none"/>
        </w:rPr>
        <w:t>2020</w:t>
      </w:r>
      <w:r>
        <w:rPr>
          <w:rFonts w:hint="eastAsia" w:ascii="仿宋_GB2312" w:hAnsi="仿宋_GB2312" w:eastAsia="仿宋_GB2312" w:cs="仿宋_GB2312"/>
          <w:color w:val="auto"/>
          <w:sz w:val="32"/>
          <w:szCs w:val="32"/>
          <w:highlight w:val="none"/>
        </w:rPr>
        <w:t>年度部门决算中</w:t>
      </w:r>
      <w:r>
        <w:rPr>
          <w:rFonts w:hint="eastAsia" w:ascii="仿宋_GB2312" w:hAnsi="仿宋_GB2312" w:eastAsia="仿宋_GB2312" w:cs="仿宋_GB2312"/>
          <w:color w:val="auto"/>
          <w:sz w:val="32"/>
          <w:szCs w:val="32"/>
          <w:highlight w:val="none"/>
          <w:lang w:eastAsia="zh-CN"/>
        </w:rPr>
        <w:t>无</w:t>
      </w:r>
      <w:r>
        <w:rPr>
          <w:rFonts w:hint="eastAsia" w:ascii="仿宋_GB2312" w:hAnsi="仿宋_GB2312" w:eastAsia="仿宋_GB2312" w:cs="仿宋_GB2312"/>
          <w:color w:val="auto"/>
          <w:sz w:val="32"/>
          <w:szCs w:val="32"/>
          <w:highlight w:val="none"/>
        </w:rPr>
        <w:t>项目，</w:t>
      </w:r>
      <w:r>
        <w:rPr>
          <w:rFonts w:hint="eastAsia" w:ascii="仿宋_GB2312" w:hAnsi="仿宋_GB2312" w:eastAsia="仿宋_GB2312" w:cs="仿宋_GB2312"/>
          <w:color w:val="auto"/>
          <w:sz w:val="32"/>
          <w:szCs w:val="32"/>
          <w:highlight w:val="none"/>
          <w:lang w:eastAsia="zh-CN"/>
        </w:rPr>
        <w:t>未开展项目绩效评价。</w:t>
      </w:r>
    </w:p>
    <w:p w14:paraId="649232A5">
      <w:pPr>
        <w:adjustRightInd w:val="0"/>
        <w:snapToGrid w:val="0"/>
        <w:spacing w:line="600" w:lineRule="exact"/>
        <w:ind w:firstLine="720"/>
        <w:rPr>
          <w:rFonts w:ascii="楷体_GB2312" w:hAnsi="宋体" w:eastAsia="楷体_GB2312"/>
          <w:b/>
          <w:color w:val="auto"/>
          <w:sz w:val="32"/>
          <w:szCs w:val="32"/>
          <w:highlight w:val="none"/>
          <w:lang w:val="zh-CN"/>
        </w:rPr>
      </w:pPr>
      <w:r>
        <w:rPr>
          <w:rFonts w:hint="eastAsia" w:ascii="楷体_GB2312" w:hAnsi="宋体" w:eastAsia="楷体_GB2312"/>
          <w:b/>
          <w:color w:val="auto"/>
          <w:sz w:val="32"/>
          <w:szCs w:val="32"/>
          <w:highlight w:val="none"/>
          <w:lang w:val="zh-CN"/>
        </w:rPr>
        <w:t>（三）项目自评步骤及方法。</w:t>
      </w:r>
    </w:p>
    <w:p w14:paraId="0DB5366D">
      <w:pPr>
        <w:adjustRightInd w:val="0"/>
        <w:snapToGrid w:val="0"/>
        <w:spacing w:line="600" w:lineRule="exact"/>
        <w:ind w:firstLine="72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本部门在</w:t>
      </w:r>
      <w:r>
        <w:rPr>
          <w:rFonts w:ascii="仿宋_GB2312" w:hAnsi="仿宋_GB2312" w:eastAsia="仿宋_GB2312" w:cs="仿宋_GB2312"/>
          <w:color w:val="auto"/>
          <w:sz w:val="32"/>
          <w:szCs w:val="32"/>
          <w:highlight w:val="none"/>
        </w:rPr>
        <w:t>2020</w:t>
      </w:r>
      <w:r>
        <w:rPr>
          <w:rFonts w:hint="eastAsia" w:ascii="仿宋_GB2312" w:hAnsi="仿宋_GB2312" w:eastAsia="仿宋_GB2312" w:cs="仿宋_GB2312"/>
          <w:color w:val="auto"/>
          <w:sz w:val="32"/>
          <w:szCs w:val="32"/>
          <w:highlight w:val="none"/>
        </w:rPr>
        <w:t>年度部门决算中</w:t>
      </w:r>
      <w:r>
        <w:rPr>
          <w:rFonts w:hint="eastAsia" w:ascii="仿宋_GB2312" w:hAnsi="仿宋_GB2312" w:eastAsia="仿宋_GB2312" w:cs="仿宋_GB2312"/>
          <w:color w:val="auto"/>
          <w:sz w:val="32"/>
          <w:szCs w:val="32"/>
          <w:highlight w:val="none"/>
          <w:lang w:eastAsia="zh-CN"/>
        </w:rPr>
        <w:t>无</w:t>
      </w:r>
      <w:r>
        <w:rPr>
          <w:rFonts w:hint="eastAsia" w:ascii="仿宋_GB2312" w:hAnsi="仿宋_GB2312" w:eastAsia="仿宋_GB2312" w:cs="仿宋_GB2312"/>
          <w:color w:val="auto"/>
          <w:sz w:val="32"/>
          <w:szCs w:val="32"/>
          <w:highlight w:val="none"/>
        </w:rPr>
        <w:t>项目，</w:t>
      </w:r>
      <w:r>
        <w:rPr>
          <w:rFonts w:hint="eastAsia" w:ascii="仿宋_GB2312" w:hAnsi="仿宋_GB2312" w:eastAsia="仿宋_GB2312" w:cs="仿宋_GB2312"/>
          <w:color w:val="auto"/>
          <w:sz w:val="32"/>
          <w:szCs w:val="32"/>
          <w:highlight w:val="none"/>
          <w:lang w:eastAsia="zh-CN"/>
        </w:rPr>
        <w:t>未开展项目绩效评价。</w:t>
      </w:r>
    </w:p>
    <w:p w14:paraId="7317CE15">
      <w:pPr>
        <w:adjustRightInd w:val="0"/>
        <w:snapToGrid w:val="0"/>
        <w:spacing w:line="600" w:lineRule="exact"/>
        <w:ind w:firstLine="720"/>
        <w:rPr>
          <w:rFonts w:ascii="黑体" w:hAnsi="宋体" w:eastAsia="黑体"/>
          <w:color w:val="auto"/>
          <w:sz w:val="32"/>
          <w:szCs w:val="32"/>
          <w:highlight w:val="none"/>
        </w:rPr>
      </w:pPr>
      <w:r>
        <w:rPr>
          <w:rFonts w:hint="eastAsia" w:ascii="黑体" w:hAnsi="宋体" w:eastAsia="黑体"/>
          <w:color w:val="auto"/>
          <w:sz w:val="32"/>
          <w:szCs w:val="32"/>
          <w:highlight w:val="none"/>
        </w:rPr>
        <w:t>二、项目资金申报及使用情况</w:t>
      </w:r>
    </w:p>
    <w:p w14:paraId="0E7EC252">
      <w:pPr>
        <w:adjustRightInd w:val="0"/>
        <w:snapToGrid w:val="0"/>
        <w:spacing w:line="600" w:lineRule="exact"/>
        <w:ind w:firstLine="720"/>
        <w:rPr>
          <w:rFonts w:ascii="楷体_GB2312" w:hAnsi="宋体" w:eastAsia="楷体_GB2312"/>
          <w:b/>
          <w:color w:val="auto"/>
          <w:sz w:val="32"/>
          <w:szCs w:val="32"/>
          <w:highlight w:val="none"/>
          <w:lang w:val="zh-CN"/>
        </w:rPr>
      </w:pPr>
      <w:r>
        <w:rPr>
          <w:rFonts w:hint="eastAsia" w:ascii="楷体_GB2312" w:hAnsi="宋体" w:eastAsia="楷体_GB2312"/>
          <w:b/>
          <w:color w:val="auto"/>
          <w:sz w:val="32"/>
          <w:szCs w:val="32"/>
          <w:highlight w:val="none"/>
          <w:lang w:val="zh-CN"/>
        </w:rPr>
        <w:t>（一）项目资金申报及批复情况。</w:t>
      </w:r>
    </w:p>
    <w:p w14:paraId="7D103FF4">
      <w:pPr>
        <w:adjustRightInd w:val="0"/>
        <w:snapToGrid w:val="0"/>
        <w:spacing w:line="600" w:lineRule="exact"/>
        <w:ind w:firstLine="72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本部门在</w:t>
      </w:r>
      <w:r>
        <w:rPr>
          <w:rFonts w:ascii="仿宋_GB2312" w:hAnsi="仿宋_GB2312" w:eastAsia="仿宋_GB2312" w:cs="仿宋_GB2312"/>
          <w:color w:val="auto"/>
          <w:sz w:val="32"/>
          <w:szCs w:val="32"/>
          <w:highlight w:val="none"/>
        </w:rPr>
        <w:t>2020</w:t>
      </w:r>
      <w:r>
        <w:rPr>
          <w:rFonts w:hint="eastAsia" w:ascii="仿宋_GB2312" w:hAnsi="仿宋_GB2312" w:eastAsia="仿宋_GB2312" w:cs="仿宋_GB2312"/>
          <w:color w:val="auto"/>
          <w:sz w:val="32"/>
          <w:szCs w:val="32"/>
          <w:highlight w:val="none"/>
        </w:rPr>
        <w:t>年度部门决算中</w:t>
      </w:r>
      <w:r>
        <w:rPr>
          <w:rFonts w:hint="eastAsia" w:ascii="仿宋_GB2312" w:hAnsi="仿宋_GB2312" w:eastAsia="仿宋_GB2312" w:cs="仿宋_GB2312"/>
          <w:color w:val="auto"/>
          <w:sz w:val="32"/>
          <w:szCs w:val="32"/>
          <w:highlight w:val="none"/>
          <w:lang w:eastAsia="zh-CN"/>
        </w:rPr>
        <w:t>无</w:t>
      </w:r>
      <w:r>
        <w:rPr>
          <w:rFonts w:hint="eastAsia" w:ascii="仿宋_GB2312" w:hAnsi="仿宋_GB2312" w:eastAsia="仿宋_GB2312" w:cs="仿宋_GB2312"/>
          <w:color w:val="auto"/>
          <w:sz w:val="32"/>
          <w:szCs w:val="32"/>
          <w:highlight w:val="none"/>
        </w:rPr>
        <w:t>项目，</w:t>
      </w:r>
      <w:r>
        <w:rPr>
          <w:rFonts w:hint="eastAsia" w:ascii="仿宋_GB2312" w:hAnsi="仿宋_GB2312" w:eastAsia="仿宋_GB2312" w:cs="仿宋_GB2312"/>
          <w:color w:val="auto"/>
          <w:sz w:val="32"/>
          <w:szCs w:val="32"/>
          <w:highlight w:val="none"/>
          <w:lang w:eastAsia="zh-CN"/>
        </w:rPr>
        <w:t>未开展项目绩效评价。</w:t>
      </w:r>
    </w:p>
    <w:p w14:paraId="38AACFB7">
      <w:pPr>
        <w:adjustRightInd w:val="0"/>
        <w:snapToGrid w:val="0"/>
        <w:spacing w:line="600" w:lineRule="exact"/>
        <w:ind w:firstLine="720"/>
        <w:rPr>
          <w:rFonts w:ascii="仿宋_GB2312" w:hAnsi="宋体" w:eastAsia="仿宋_GB2312"/>
          <w:color w:val="auto"/>
          <w:sz w:val="32"/>
          <w:szCs w:val="32"/>
          <w:highlight w:val="none"/>
          <w:lang w:val="zh-CN"/>
        </w:rPr>
      </w:pPr>
      <w:r>
        <w:rPr>
          <w:rFonts w:hint="eastAsia" w:ascii="楷体_GB2312" w:hAnsi="宋体" w:eastAsia="楷体_GB2312"/>
          <w:b/>
          <w:color w:val="auto"/>
          <w:sz w:val="32"/>
          <w:szCs w:val="32"/>
          <w:highlight w:val="none"/>
          <w:lang w:val="zh-CN"/>
        </w:rPr>
        <w:t>（二）资金计划、到位及使用情况（可用表格形式反映）。</w:t>
      </w:r>
    </w:p>
    <w:p w14:paraId="35F29BC6">
      <w:pPr>
        <w:adjustRightInd w:val="0"/>
        <w:snapToGrid w:val="0"/>
        <w:spacing w:line="600" w:lineRule="exact"/>
        <w:ind w:firstLine="72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本部门在</w:t>
      </w:r>
      <w:r>
        <w:rPr>
          <w:rFonts w:ascii="仿宋_GB2312" w:hAnsi="仿宋_GB2312" w:eastAsia="仿宋_GB2312" w:cs="仿宋_GB2312"/>
          <w:color w:val="auto"/>
          <w:sz w:val="32"/>
          <w:szCs w:val="32"/>
          <w:highlight w:val="none"/>
        </w:rPr>
        <w:t>2020</w:t>
      </w:r>
      <w:r>
        <w:rPr>
          <w:rFonts w:hint="eastAsia" w:ascii="仿宋_GB2312" w:hAnsi="仿宋_GB2312" w:eastAsia="仿宋_GB2312" w:cs="仿宋_GB2312"/>
          <w:color w:val="auto"/>
          <w:sz w:val="32"/>
          <w:szCs w:val="32"/>
          <w:highlight w:val="none"/>
        </w:rPr>
        <w:t>年度部门决算中</w:t>
      </w:r>
      <w:r>
        <w:rPr>
          <w:rFonts w:hint="eastAsia" w:ascii="仿宋_GB2312" w:hAnsi="仿宋_GB2312" w:eastAsia="仿宋_GB2312" w:cs="仿宋_GB2312"/>
          <w:color w:val="auto"/>
          <w:sz w:val="32"/>
          <w:szCs w:val="32"/>
          <w:highlight w:val="none"/>
          <w:lang w:eastAsia="zh-CN"/>
        </w:rPr>
        <w:t>无</w:t>
      </w:r>
      <w:r>
        <w:rPr>
          <w:rFonts w:hint="eastAsia" w:ascii="仿宋_GB2312" w:hAnsi="仿宋_GB2312" w:eastAsia="仿宋_GB2312" w:cs="仿宋_GB2312"/>
          <w:color w:val="auto"/>
          <w:sz w:val="32"/>
          <w:szCs w:val="32"/>
          <w:highlight w:val="none"/>
        </w:rPr>
        <w:t>项目，</w:t>
      </w:r>
      <w:r>
        <w:rPr>
          <w:rFonts w:hint="eastAsia" w:ascii="仿宋_GB2312" w:hAnsi="仿宋_GB2312" w:eastAsia="仿宋_GB2312" w:cs="仿宋_GB2312"/>
          <w:color w:val="auto"/>
          <w:sz w:val="32"/>
          <w:szCs w:val="32"/>
          <w:highlight w:val="none"/>
          <w:lang w:eastAsia="zh-CN"/>
        </w:rPr>
        <w:t>未开展项目绩效评价。</w:t>
      </w:r>
    </w:p>
    <w:p w14:paraId="62E89AED">
      <w:pPr>
        <w:adjustRightInd w:val="0"/>
        <w:snapToGrid w:val="0"/>
        <w:spacing w:line="600" w:lineRule="exact"/>
        <w:ind w:firstLine="720"/>
        <w:rPr>
          <w:rFonts w:ascii="楷体_GB2312" w:hAnsi="宋体" w:eastAsia="楷体_GB2312"/>
          <w:b/>
          <w:color w:val="auto"/>
          <w:sz w:val="32"/>
          <w:szCs w:val="32"/>
          <w:highlight w:val="none"/>
          <w:lang w:val="zh-CN"/>
        </w:rPr>
      </w:pPr>
      <w:r>
        <w:rPr>
          <w:rFonts w:hint="eastAsia" w:ascii="楷体_GB2312" w:hAnsi="宋体" w:eastAsia="楷体_GB2312"/>
          <w:b/>
          <w:color w:val="auto"/>
          <w:sz w:val="32"/>
          <w:szCs w:val="32"/>
          <w:highlight w:val="none"/>
          <w:lang w:val="zh-CN"/>
        </w:rPr>
        <w:t>（三）项目财务管理情况。</w:t>
      </w:r>
    </w:p>
    <w:p w14:paraId="322BF411">
      <w:pPr>
        <w:adjustRightInd w:val="0"/>
        <w:snapToGrid w:val="0"/>
        <w:spacing w:line="600" w:lineRule="exact"/>
        <w:ind w:firstLine="72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本部门在</w:t>
      </w:r>
      <w:r>
        <w:rPr>
          <w:rFonts w:ascii="仿宋_GB2312" w:hAnsi="仿宋_GB2312" w:eastAsia="仿宋_GB2312" w:cs="仿宋_GB2312"/>
          <w:color w:val="auto"/>
          <w:sz w:val="32"/>
          <w:szCs w:val="32"/>
          <w:highlight w:val="none"/>
        </w:rPr>
        <w:t>2020</w:t>
      </w:r>
      <w:r>
        <w:rPr>
          <w:rFonts w:hint="eastAsia" w:ascii="仿宋_GB2312" w:hAnsi="仿宋_GB2312" w:eastAsia="仿宋_GB2312" w:cs="仿宋_GB2312"/>
          <w:color w:val="auto"/>
          <w:sz w:val="32"/>
          <w:szCs w:val="32"/>
          <w:highlight w:val="none"/>
        </w:rPr>
        <w:t>年度部门决算中</w:t>
      </w:r>
      <w:r>
        <w:rPr>
          <w:rFonts w:hint="eastAsia" w:ascii="仿宋_GB2312" w:hAnsi="仿宋_GB2312" w:eastAsia="仿宋_GB2312" w:cs="仿宋_GB2312"/>
          <w:color w:val="auto"/>
          <w:sz w:val="32"/>
          <w:szCs w:val="32"/>
          <w:highlight w:val="none"/>
          <w:lang w:eastAsia="zh-CN"/>
        </w:rPr>
        <w:t>无</w:t>
      </w:r>
      <w:r>
        <w:rPr>
          <w:rFonts w:hint="eastAsia" w:ascii="仿宋_GB2312" w:hAnsi="仿宋_GB2312" w:eastAsia="仿宋_GB2312" w:cs="仿宋_GB2312"/>
          <w:color w:val="auto"/>
          <w:sz w:val="32"/>
          <w:szCs w:val="32"/>
          <w:highlight w:val="none"/>
        </w:rPr>
        <w:t>项目，</w:t>
      </w:r>
      <w:r>
        <w:rPr>
          <w:rFonts w:hint="eastAsia" w:ascii="仿宋_GB2312" w:hAnsi="仿宋_GB2312" w:eastAsia="仿宋_GB2312" w:cs="仿宋_GB2312"/>
          <w:color w:val="auto"/>
          <w:sz w:val="32"/>
          <w:szCs w:val="32"/>
          <w:highlight w:val="none"/>
          <w:lang w:eastAsia="zh-CN"/>
        </w:rPr>
        <w:t>未开展项目绩效评价。</w:t>
      </w:r>
    </w:p>
    <w:p w14:paraId="4FB22C63">
      <w:pPr>
        <w:adjustRightInd w:val="0"/>
        <w:snapToGrid w:val="0"/>
        <w:spacing w:line="600" w:lineRule="exact"/>
        <w:ind w:firstLine="720"/>
        <w:rPr>
          <w:rFonts w:ascii="黑体" w:hAnsi="宋体" w:eastAsia="黑体"/>
          <w:color w:val="auto"/>
          <w:sz w:val="32"/>
          <w:szCs w:val="32"/>
          <w:highlight w:val="none"/>
        </w:rPr>
      </w:pPr>
      <w:r>
        <w:rPr>
          <w:rFonts w:hint="eastAsia" w:ascii="黑体" w:hAnsi="宋体" w:eastAsia="黑体"/>
          <w:color w:val="auto"/>
          <w:sz w:val="32"/>
          <w:szCs w:val="32"/>
          <w:highlight w:val="none"/>
        </w:rPr>
        <w:t>三、项目实施及管理情况</w:t>
      </w:r>
    </w:p>
    <w:p w14:paraId="7038D2ED">
      <w:pPr>
        <w:adjustRightInd w:val="0"/>
        <w:snapToGrid w:val="0"/>
        <w:spacing w:line="600" w:lineRule="exact"/>
        <w:ind w:firstLine="72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本部门在</w:t>
      </w:r>
      <w:r>
        <w:rPr>
          <w:rFonts w:ascii="仿宋_GB2312" w:hAnsi="仿宋_GB2312" w:eastAsia="仿宋_GB2312" w:cs="仿宋_GB2312"/>
          <w:color w:val="auto"/>
          <w:sz w:val="32"/>
          <w:szCs w:val="32"/>
          <w:highlight w:val="none"/>
        </w:rPr>
        <w:t>2020</w:t>
      </w:r>
      <w:r>
        <w:rPr>
          <w:rFonts w:hint="eastAsia" w:ascii="仿宋_GB2312" w:hAnsi="仿宋_GB2312" w:eastAsia="仿宋_GB2312" w:cs="仿宋_GB2312"/>
          <w:color w:val="auto"/>
          <w:sz w:val="32"/>
          <w:szCs w:val="32"/>
          <w:highlight w:val="none"/>
        </w:rPr>
        <w:t>年度部门决算中</w:t>
      </w:r>
      <w:r>
        <w:rPr>
          <w:rFonts w:hint="eastAsia" w:ascii="仿宋_GB2312" w:hAnsi="仿宋_GB2312" w:eastAsia="仿宋_GB2312" w:cs="仿宋_GB2312"/>
          <w:color w:val="auto"/>
          <w:sz w:val="32"/>
          <w:szCs w:val="32"/>
          <w:highlight w:val="none"/>
          <w:lang w:eastAsia="zh-CN"/>
        </w:rPr>
        <w:t>无</w:t>
      </w:r>
      <w:r>
        <w:rPr>
          <w:rFonts w:hint="eastAsia" w:ascii="仿宋_GB2312" w:hAnsi="仿宋_GB2312" w:eastAsia="仿宋_GB2312" w:cs="仿宋_GB2312"/>
          <w:color w:val="auto"/>
          <w:sz w:val="32"/>
          <w:szCs w:val="32"/>
          <w:highlight w:val="none"/>
        </w:rPr>
        <w:t>项目，</w:t>
      </w:r>
      <w:r>
        <w:rPr>
          <w:rFonts w:hint="eastAsia" w:ascii="仿宋_GB2312" w:hAnsi="仿宋_GB2312" w:eastAsia="仿宋_GB2312" w:cs="仿宋_GB2312"/>
          <w:color w:val="auto"/>
          <w:sz w:val="32"/>
          <w:szCs w:val="32"/>
          <w:highlight w:val="none"/>
          <w:lang w:eastAsia="zh-CN"/>
        </w:rPr>
        <w:t>未开展项目绩效评价。</w:t>
      </w:r>
    </w:p>
    <w:p w14:paraId="6D826740">
      <w:pPr>
        <w:adjustRightInd w:val="0"/>
        <w:snapToGrid w:val="0"/>
        <w:spacing w:line="600" w:lineRule="exact"/>
        <w:ind w:firstLine="720"/>
        <w:rPr>
          <w:rFonts w:hint="eastAsia" w:ascii="楷体_GB2312" w:hAnsi="宋体" w:eastAsia="楷体_GB2312"/>
          <w:b/>
          <w:color w:val="auto"/>
          <w:sz w:val="32"/>
          <w:szCs w:val="32"/>
          <w:highlight w:val="none"/>
          <w:lang w:val="zh-CN"/>
        </w:rPr>
      </w:pPr>
      <w:r>
        <w:rPr>
          <w:rFonts w:hint="eastAsia" w:ascii="楷体_GB2312" w:hAnsi="宋体" w:eastAsia="楷体_GB2312"/>
          <w:b/>
          <w:color w:val="auto"/>
          <w:sz w:val="32"/>
          <w:szCs w:val="32"/>
          <w:highlight w:val="none"/>
          <w:lang w:val="zh-CN"/>
        </w:rPr>
        <w:t>（一）项目组织架构及实施流程。</w:t>
      </w:r>
    </w:p>
    <w:p w14:paraId="5BC592F9">
      <w:pPr>
        <w:adjustRightInd w:val="0"/>
        <w:snapToGrid w:val="0"/>
        <w:spacing w:line="600" w:lineRule="exact"/>
        <w:ind w:firstLine="720"/>
        <w:rPr>
          <w:rFonts w:hint="eastAsia" w:ascii="楷体_GB2312" w:hAnsi="宋体" w:eastAsia="楷体_GB2312"/>
          <w:b/>
          <w:color w:val="auto"/>
          <w:sz w:val="32"/>
          <w:szCs w:val="32"/>
          <w:highlight w:val="none"/>
          <w:lang w:val="zh-CN"/>
        </w:rPr>
      </w:pPr>
      <w:r>
        <w:rPr>
          <w:rFonts w:hint="eastAsia" w:ascii="仿宋_GB2312" w:hAnsi="仿宋_GB2312" w:eastAsia="仿宋_GB2312" w:cs="仿宋_GB2312"/>
          <w:color w:val="auto"/>
          <w:sz w:val="32"/>
          <w:szCs w:val="32"/>
          <w:highlight w:val="none"/>
        </w:rPr>
        <w:t>本部门在</w:t>
      </w:r>
      <w:r>
        <w:rPr>
          <w:rFonts w:ascii="仿宋_GB2312" w:hAnsi="仿宋_GB2312" w:eastAsia="仿宋_GB2312" w:cs="仿宋_GB2312"/>
          <w:color w:val="auto"/>
          <w:sz w:val="32"/>
          <w:szCs w:val="32"/>
          <w:highlight w:val="none"/>
        </w:rPr>
        <w:t>2020</w:t>
      </w:r>
      <w:r>
        <w:rPr>
          <w:rFonts w:hint="eastAsia" w:ascii="仿宋_GB2312" w:hAnsi="仿宋_GB2312" w:eastAsia="仿宋_GB2312" w:cs="仿宋_GB2312"/>
          <w:color w:val="auto"/>
          <w:sz w:val="32"/>
          <w:szCs w:val="32"/>
          <w:highlight w:val="none"/>
        </w:rPr>
        <w:t>年度部门决算中</w:t>
      </w:r>
      <w:r>
        <w:rPr>
          <w:rFonts w:hint="eastAsia" w:ascii="仿宋_GB2312" w:hAnsi="仿宋_GB2312" w:eastAsia="仿宋_GB2312" w:cs="仿宋_GB2312"/>
          <w:color w:val="auto"/>
          <w:sz w:val="32"/>
          <w:szCs w:val="32"/>
          <w:highlight w:val="none"/>
          <w:lang w:eastAsia="zh-CN"/>
        </w:rPr>
        <w:t>无</w:t>
      </w:r>
      <w:r>
        <w:rPr>
          <w:rFonts w:hint="eastAsia" w:ascii="仿宋_GB2312" w:hAnsi="仿宋_GB2312" w:eastAsia="仿宋_GB2312" w:cs="仿宋_GB2312"/>
          <w:color w:val="auto"/>
          <w:sz w:val="32"/>
          <w:szCs w:val="32"/>
          <w:highlight w:val="none"/>
        </w:rPr>
        <w:t>项目，</w:t>
      </w:r>
      <w:r>
        <w:rPr>
          <w:rFonts w:hint="eastAsia" w:ascii="仿宋_GB2312" w:hAnsi="仿宋_GB2312" w:eastAsia="仿宋_GB2312" w:cs="仿宋_GB2312"/>
          <w:color w:val="auto"/>
          <w:sz w:val="32"/>
          <w:szCs w:val="32"/>
          <w:highlight w:val="none"/>
          <w:lang w:eastAsia="zh-CN"/>
        </w:rPr>
        <w:t>未开展项目绩效评价。</w:t>
      </w:r>
    </w:p>
    <w:p w14:paraId="6D7AA28C">
      <w:pPr>
        <w:numPr>
          <w:ilvl w:val="0"/>
          <w:numId w:val="4"/>
        </w:numPr>
        <w:adjustRightInd w:val="0"/>
        <w:snapToGrid w:val="0"/>
        <w:spacing w:line="600" w:lineRule="exact"/>
        <w:ind w:firstLine="720"/>
        <w:rPr>
          <w:rFonts w:hint="eastAsia" w:ascii="楷体_GB2312" w:hAnsi="宋体" w:eastAsia="楷体_GB2312"/>
          <w:b/>
          <w:color w:val="auto"/>
          <w:sz w:val="32"/>
          <w:szCs w:val="32"/>
          <w:highlight w:val="none"/>
          <w:lang w:val="zh-CN"/>
        </w:rPr>
      </w:pPr>
      <w:r>
        <w:rPr>
          <w:rFonts w:hint="eastAsia" w:ascii="楷体_GB2312" w:hAnsi="宋体" w:eastAsia="楷体_GB2312"/>
          <w:b/>
          <w:color w:val="auto"/>
          <w:sz w:val="32"/>
          <w:szCs w:val="32"/>
          <w:highlight w:val="none"/>
          <w:lang w:val="zh-CN"/>
        </w:rPr>
        <w:t>项目管理情况。</w:t>
      </w:r>
    </w:p>
    <w:p w14:paraId="7A790D21">
      <w:pPr>
        <w:numPr>
          <w:ilvl w:val="0"/>
          <w:numId w:val="4"/>
        </w:numPr>
        <w:adjustRightInd w:val="0"/>
        <w:snapToGrid w:val="0"/>
        <w:spacing w:line="600" w:lineRule="exact"/>
        <w:ind w:firstLine="720"/>
        <w:rPr>
          <w:rFonts w:ascii="仿宋_GB2312" w:hAnsi="宋体" w:eastAsia="仿宋_GB2312"/>
          <w:color w:val="auto"/>
          <w:sz w:val="32"/>
          <w:szCs w:val="32"/>
          <w:highlight w:val="none"/>
          <w:lang w:val="zh-CN"/>
        </w:rPr>
      </w:pPr>
      <w:r>
        <w:rPr>
          <w:rFonts w:hint="eastAsia" w:ascii="仿宋_GB2312" w:hAnsi="仿宋_GB2312" w:eastAsia="仿宋_GB2312" w:cs="仿宋_GB2312"/>
          <w:color w:val="auto"/>
          <w:sz w:val="32"/>
          <w:szCs w:val="32"/>
          <w:highlight w:val="none"/>
        </w:rPr>
        <w:t>本部门在</w:t>
      </w:r>
      <w:r>
        <w:rPr>
          <w:rFonts w:ascii="仿宋_GB2312" w:hAnsi="仿宋_GB2312" w:eastAsia="仿宋_GB2312" w:cs="仿宋_GB2312"/>
          <w:color w:val="auto"/>
          <w:sz w:val="32"/>
          <w:szCs w:val="32"/>
          <w:highlight w:val="none"/>
        </w:rPr>
        <w:t>2020</w:t>
      </w:r>
      <w:r>
        <w:rPr>
          <w:rFonts w:hint="eastAsia" w:ascii="仿宋_GB2312" w:hAnsi="仿宋_GB2312" w:eastAsia="仿宋_GB2312" w:cs="仿宋_GB2312"/>
          <w:color w:val="auto"/>
          <w:sz w:val="32"/>
          <w:szCs w:val="32"/>
          <w:highlight w:val="none"/>
        </w:rPr>
        <w:t>年度部门决算中</w:t>
      </w:r>
      <w:r>
        <w:rPr>
          <w:rFonts w:hint="eastAsia" w:ascii="仿宋_GB2312" w:hAnsi="仿宋_GB2312" w:eastAsia="仿宋_GB2312" w:cs="仿宋_GB2312"/>
          <w:color w:val="auto"/>
          <w:sz w:val="32"/>
          <w:szCs w:val="32"/>
          <w:highlight w:val="none"/>
          <w:lang w:eastAsia="zh-CN"/>
        </w:rPr>
        <w:t>无</w:t>
      </w:r>
      <w:r>
        <w:rPr>
          <w:rFonts w:hint="eastAsia" w:ascii="仿宋_GB2312" w:hAnsi="仿宋_GB2312" w:eastAsia="仿宋_GB2312" w:cs="仿宋_GB2312"/>
          <w:color w:val="auto"/>
          <w:sz w:val="32"/>
          <w:szCs w:val="32"/>
          <w:highlight w:val="none"/>
        </w:rPr>
        <w:t>项目，</w:t>
      </w:r>
      <w:r>
        <w:rPr>
          <w:rFonts w:hint="eastAsia" w:ascii="仿宋_GB2312" w:hAnsi="仿宋_GB2312" w:eastAsia="仿宋_GB2312" w:cs="仿宋_GB2312"/>
          <w:color w:val="auto"/>
          <w:sz w:val="32"/>
          <w:szCs w:val="32"/>
          <w:highlight w:val="none"/>
          <w:lang w:eastAsia="zh-CN"/>
        </w:rPr>
        <w:t>未开展项目绩效评价。</w:t>
      </w:r>
    </w:p>
    <w:p w14:paraId="08B12659">
      <w:pPr>
        <w:numPr>
          <w:ilvl w:val="0"/>
          <w:numId w:val="4"/>
        </w:numPr>
        <w:adjustRightInd w:val="0"/>
        <w:snapToGrid w:val="0"/>
        <w:spacing w:line="600" w:lineRule="exact"/>
        <w:ind w:left="0" w:leftChars="0" w:firstLine="720" w:firstLineChars="0"/>
        <w:rPr>
          <w:rFonts w:hint="eastAsia" w:ascii="仿宋_GB2312" w:hAnsi="仿宋_GB2312" w:eastAsia="仿宋_GB2312" w:cs="仿宋_GB2312"/>
          <w:color w:val="auto"/>
          <w:sz w:val="32"/>
          <w:szCs w:val="32"/>
          <w:highlight w:val="none"/>
          <w:lang w:eastAsia="zh-CN"/>
        </w:rPr>
      </w:pPr>
      <w:r>
        <w:rPr>
          <w:rFonts w:hint="eastAsia" w:ascii="楷体_GB2312" w:hAnsi="宋体" w:eastAsia="楷体_GB2312"/>
          <w:b/>
          <w:color w:val="auto"/>
          <w:sz w:val="32"/>
          <w:szCs w:val="32"/>
          <w:highlight w:val="none"/>
          <w:lang w:val="zh-CN"/>
        </w:rPr>
        <w:t>项目监管情况。</w:t>
      </w:r>
    </w:p>
    <w:p w14:paraId="60BDB224">
      <w:pPr>
        <w:numPr>
          <w:ilvl w:val="0"/>
          <w:numId w:val="0"/>
        </w:numPr>
        <w:adjustRightInd w:val="0"/>
        <w:snapToGrid w:val="0"/>
        <w:spacing w:line="600" w:lineRule="exact"/>
        <w:ind w:left="720" w:leftChars="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本部门在</w:t>
      </w:r>
      <w:r>
        <w:rPr>
          <w:rFonts w:ascii="仿宋_GB2312" w:hAnsi="仿宋_GB2312" w:eastAsia="仿宋_GB2312" w:cs="仿宋_GB2312"/>
          <w:color w:val="auto"/>
          <w:sz w:val="32"/>
          <w:szCs w:val="32"/>
          <w:highlight w:val="none"/>
        </w:rPr>
        <w:t>2020</w:t>
      </w:r>
      <w:r>
        <w:rPr>
          <w:rFonts w:hint="eastAsia" w:ascii="仿宋_GB2312" w:hAnsi="仿宋_GB2312" w:eastAsia="仿宋_GB2312" w:cs="仿宋_GB2312"/>
          <w:color w:val="auto"/>
          <w:sz w:val="32"/>
          <w:szCs w:val="32"/>
          <w:highlight w:val="none"/>
        </w:rPr>
        <w:t>年度部门决算中</w:t>
      </w:r>
      <w:r>
        <w:rPr>
          <w:rFonts w:hint="eastAsia" w:ascii="仿宋_GB2312" w:hAnsi="仿宋_GB2312" w:eastAsia="仿宋_GB2312" w:cs="仿宋_GB2312"/>
          <w:color w:val="auto"/>
          <w:sz w:val="32"/>
          <w:szCs w:val="32"/>
          <w:highlight w:val="none"/>
          <w:lang w:eastAsia="zh-CN"/>
        </w:rPr>
        <w:t>无</w:t>
      </w:r>
      <w:r>
        <w:rPr>
          <w:rFonts w:hint="eastAsia" w:ascii="仿宋_GB2312" w:hAnsi="仿宋_GB2312" w:eastAsia="仿宋_GB2312" w:cs="仿宋_GB2312"/>
          <w:color w:val="auto"/>
          <w:sz w:val="32"/>
          <w:szCs w:val="32"/>
          <w:highlight w:val="none"/>
        </w:rPr>
        <w:t>项目，</w:t>
      </w:r>
      <w:r>
        <w:rPr>
          <w:rFonts w:hint="eastAsia" w:ascii="仿宋_GB2312" w:hAnsi="仿宋_GB2312" w:eastAsia="仿宋_GB2312" w:cs="仿宋_GB2312"/>
          <w:color w:val="auto"/>
          <w:sz w:val="32"/>
          <w:szCs w:val="32"/>
          <w:highlight w:val="none"/>
          <w:lang w:eastAsia="zh-CN"/>
        </w:rPr>
        <w:t>未开展项目绩效评价。</w:t>
      </w:r>
    </w:p>
    <w:p w14:paraId="3326A9D0">
      <w:pPr>
        <w:numPr>
          <w:ilvl w:val="0"/>
          <w:numId w:val="0"/>
        </w:numPr>
        <w:adjustRightInd w:val="0"/>
        <w:snapToGrid w:val="0"/>
        <w:spacing w:line="600" w:lineRule="exact"/>
        <w:ind w:left="720" w:leftChars="0"/>
        <w:rPr>
          <w:rFonts w:ascii="仿宋_GB2312" w:hAnsi="宋体" w:eastAsia="仿宋_GB2312"/>
          <w:color w:val="auto"/>
          <w:sz w:val="32"/>
          <w:szCs w:val="32"/>
          <w:highlight w:val="none"/>
          <w:lang w:val="zh-CN"/>
        </w:rPr>
      </w:pPr>
      <w:r>
        <w:rPr>
          <w:rFonts w:hint="eastAsia" w:ascii="黑体" w:hAnsi="宋体" w:eastAsia="黑体"/>
          <w:color w:val="auto"/>
          <w:sz w:val="32"/>
          <w:szCs w:val="32"/>
          <w:highlight w:val="none"/>
        </w:rPr>
        <w:t>四、项目绩效情况</w:t>
      </w:r>
      <w:r>
        <w:rPr>
          <w:rFonts w:ascii="仿宋_GB2312" w:hAnsi="宋体" w:eastAsia="仿宋_GB2312"/>
          <w:color w:val="auto"/>
          <w:sz w:val="32"/>
          <w:szCs w:val="32"/>
          <w:highlight w:val="none"/>
          <w:lang w:val="zh-CN"/>
        </w:rPr>
        <w:tab/>
      </w:r>
    </w:p>
    <w:p w14:paraId="2717D3D1">
      <w:pPr>
        <w:adjustRightInd w:val="0"/>
        <w:snapToGrid w:val="0"/>
        <w:spacing w:line="600" w:lineRule="exact"/>
        <w:ind w:firstLine="720"/>
        <w:rPr>
          <w:rFonts w:ascii="楷体_GB2312" w:hAnsi="宋体" w:eastAsia="楷体_GB2312"/>
          <w:b/>
          <w:color w:val="auto"/>
          <w:sz w:val="32"/>
          <w:szCs w:val="32"/>
          <w:highlight w:val="none"/>
          <w:lang w:val="zh-CN"/>
        </w:rPr>
      </w:pPr>
      <w:r>
        <w:rPr>
          <w:rFonts w:hint="eastAsia" w:ascii="楷体_GB2312" w:hAnsi="宋体" w:eastAsia="楷体_GB2312"/>
          <w:b/>
          <w:color w:val="auto"/>
          <w:sz w:val="32"/>
          <w:szCs w:val="32"/>
          <w:highlight w:val="none"/>
          <w:lang w:val="zh-CN"/>
        </w:rPr>
        <w:t>（一）项目完成情况。</w:t>
      </w:r>
    </w:p>
    <w:p w14:paraId="33E8DECD">
      <w:pPr>
        <w:adjustRightInd w:val="0"/>
        <w:snapToGrid w:val="0"/>
        <w:spacing w:line="600" w:lineRule="exact"/>
        <w:ind w:firstLine="72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本部门在</w:t>
      </w:r>
      <w:r>
        <w:rPr>
          <w:rFonts w:ascii="仿宋_GB2312" w:hAnsi="仿宋_GB2312" w:eastAsia="仿宋_GB2312" w:cs="仿宋_GB2312"/>
          <w:color w:val="auto"/>
          <w:sz w:val="32"/>
          <w:szCs w:val="32"/>
          <w:highlight w:val="none"/>
        </w:rPr>
        <w:t>2020</w:t>
      </w:r>
      <w:r>
        <w:rPr>
          <w:rFonts w:hint="eastAsia" w:ascii="仿宋_GB2312" w:hAnsi="仿宋_GB2312" w:eastAsia="仿宋_GB2312" w:cs="仿宋_GB2312"/>
          <w:color w:val="auto"/>
          <w:sz w:val="32"/>
          <w:szCs w:val="32"/>
          <w:highlight w:val="none"/>
        </w:rPr>
        <w:t>年度部门决算中</w:t>
      </w:r>
      <w:r>
        <w:rPr>
          <w:rFonts w:hint="eastAsia" w:ascii="仿宋_GB2312" w:hAnsi="仿宋_GB2312" w:eastAsia="仿宋_GB2312" w:cs="仿宋_GB2312"/>
          <w:color w:val="auto"/>
          <w:sz w:val="32"/>
          <w:szCs w:val="32"/>
          <w:highlight w:val="none"/>
          <w:lang w:eastAsia="zh-CN"/>
        </w:rPr>
        <w:t>无</w:t>
      </w:r>
      <w:r>
        <w:rPr>
          <w:rFonts w:hint="eastAsia" w:ascii="仿宋_GB2312" w:hAnsi="仿宋_GB2312" w:eastAsia="仿宋_GB2312" w:cs="仿宋_GB2312"/>
          <w:color w:val="auto"/>
          <w:sz w:val="32"/>
          <w:szCs w:val="32"/>
          <w:highlight w:val="none"/>
        </w:rPr>
        <w:t>项目，</w:t>
      </w:r>
      <w:r>
        <w:rPr>
          <w:rFonts w:hint="eastAsia" w:ascii="仿宋_GB2312" w:hAnsi="仿宋_GB2312" w:eastAsia="仿宋_GB2312" w:cs="仿宋_GB2312"/>
          <w:color w:val="auto"/>
          <w:sz w:val="32"/>
          <w:szCs w:val="32"/>
          <w:highlight w:val="none"/>
          <w:lang w:eastAsia="zh-CN"/>
        </w:rPr>
        <w:t>未开展项目绩效评价。</w:t>
      </w:r>
    </w:p>
    <w:p w14:paraId="2BC228F6">
      <w:pPr>
        <w:adjustRightInd w:val="0"/>
        <w:snapToGrid w:val="0"/>
        <w:spacing w:line="600" w:lineRule="exact"/>
        <w:ind w:firstLine="720"/>
        <w:rPr>
          <w:rFonts w:ascii="楷体_GB2312" w:hAnsi="宋体" w:eastAsia="楷体_GB2312"/>
          <w:b/>
          <w:color w:val="auto"/>
          <w:sz w:val="32"/>
          <w:szCs w:val="32"/>
          <w:highlight w:val="none"/>
          <w:lang w:val="zh-CN"/>
        </w:rPr>
      </w:pPr>
      <w:r>
        <w:rPr>
          <w:rFonts w:hint="eastAsia" w:ascii="楷体_GB2312" w:hAnsi="宋体" w:eastAsia="楷体_GB2312"/>
          <w:b/>
          <w:color w:val="auto"/>
          <w:sz w:val="32"/>
          <w:szCs w:val="32"/>
          <w:highlight w:val="none"/>
          <w:lang w:val="zh-CN"/>
        </w:rPr>
        <w:t>（二）项目效益情况。</w:t>
      </w:r>
    </w:p>
    <w:p w14:paraId="277BC88A">
      <w:pPr>
        <w:adjustRightInd w:val="0"/>
        <w:snapToGrid w:val="0"/>
        <w:spacing w:line="600" w:lineRule="exact"/>
        <w:ind w:firstLine="72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本部门在</w:t>
      </w:r>
      <w:r>
        <w:rPr>
          <w:rFonts w:ascii="仿宋_GB2312" w:hAnsi="仿宋_GB2312" w:eastAsia="仿宋_GB2312" w:cs="仿宋_GB2312"/>
          <w:color w:val="auto"/>
          <w:sz w:val="32"/>
          <w:szCs w:val="32"/>
          <w:highlight w:val="none"/>
        </w:rPr>
        <w:t>2020</w:t>
      </w:r>
      <w:r>
        <w:rPr>
          <w:rFonts w:hint="eastAsia" w:ascii="仿宋_GB2312" w:hAnsi="仿宋_GB2312" w:eastAsia="仿宋_GB2312" w:cs="仿宋_GB2312"/>
          <w:color w:val="auto"/>
          <w:sz w:val="32"/>
          <w:szCs w:val="32"/>
          <w:highlight w:val="none"/>
        </w:rPr>
        <w:t>年度部门决算中</w:t>
      </w:r>
      <w:r>
        <w:rPr>
          <w:rFonts w:hint="eastAsia" w:ascii="仿宋_GB2312" w:hAnsi="仿宋_GB2312" w:eastAsia="仿宋_GB2312" w:cs="仿宋_GB2312"/>
          <w:color w:val="auto"/>
          <w:sz w:val="32"/>
          <w:szCs w:val="32"/>
          <w:highlight w:val="none"/>
          <w:lang w:eastAsia="zh-CN"/>
        </w:rPr>
        <w:t>无</w:t>
      </w:r>
      <w:r>
        <w:rPr>
          <w:rFonts w:hint="eastAsia" w:ascii="仿宋_GB2312" w:hAnsi="仿宋_GB2312" w:eastAsia="仿宋_GB2312" w:cs="仿宋_GB2312"/>
          <w:color w:val="auto"/>
          <w:sz w:val="32"/>
          <w:szCs w:val="32"/>
          <w:highlight w:val="none"/>
        </w:rPr>
        <w:t>项目，</w:t>
      </w:r>
      <w:r>
        <w:rPr>
          <w:rFonts w:hint="eastAsia" w:ascii="仿宋_GB2312" w:hAnsi="仿宋_GB2312" w:eastAsia="仿宋_GB2312" w:cs="仿宋_GB2312"/>
          <w:color w:val="auto"/>
          <w:sz w:val="32"/>
          <w:szCs w:val="32"/>
          <w:highlight w:val="none"/>
          <w:lang w:eastAsia="zh-CN"/>
        </w:rPr>
        <w:t>未开展项目绩效评价。</w:t>
      </w:r>
    </w:p>
    <w:p w14:paraId="42630E02">
      <w:pPr>
        <w:adjustRightInd w:val="0"/>
        <w:snapToGrid w:val="0"/>
        <w:spacing w:line="600" w:lineRule="exact"/>
        <w:ind w:firstLine="720"/>
        <w:rPr>
          <w:rFonts w:ascii="黑体" w:hAnsi="宋体" w:eastAsia="黑体"/>
          <w:color w:val="auto"/>
          <w:sz w:val="32"/>
          <w:szCs w:val="32"/>
          <w:highlight w:val="none"/>
        </w:rPr>
      </w:pPr>
      <w:r>
        <w:rPr>
          <w:rFonts w:hint="eastAsia" w:ascii="黑体" w:hAnsi="宋体" w:eastAsia="黑体"/>
          <w:color w:val="auto"/>
          <w:sz w:val="32"/>
          <w:szCs w:val="32"/>
          <w:highlight w:val="none"/>
        </w:rPr>
        <w:t>五、评价结论及建议</w:t>
      </w:r>
    </w:p>
    <w:p w14:paraId="74EB9934">
      <w:pPr>
        <w:adjustRightInd w:val="0"/>
        <w:snapToGrid w:val="0"/>
        <w:spacing w:line="600" w:lineRule="exact"/>
        <w:ind w:firstLine="720"/>
        <w:rPr>
          <w:rFonts w:ascii="楷体_GB2312" w:hAnsi="宋体" w:eastAsia="楷体_GB2312"/>
          <w:b/>
          <w:color w:val="auto"/>
          <w:sz w:val="32"/>
          <w:szCs w:val="32"/>
          <w:highlight w:val="none"/>
          <w:lang w:val="zh-CN"/>
        </w:rPr>
      </w:pPr>
      <w:r>
        <w:rPr>
          <w:rFonts w:hint="eastAsia" w:ascii="楷体_GB2312" w:hAnsi="宋体" w:eastAsia="楷体_GB2312"/>
          <w:b/>
          <w:color w:val="auto"/>
          <w:sz w:val="32"/>
          <w:szCs w:val="32"/>
          <w:highlight w:val="none"/>
          <w:lang w:val="zh-CN"/>
        </w:rPr>
        <w:t>（一）评价结论。</w:t>
      </w:r>
    </w:p>
    <w:p w14:paraId="02B936AC">
      <w:pPr>
        <w:adjustRightInd w:val="0"/>
        <w:snapToGrid w:val="0"/>
        <w:spacing w:line="600" w:lineRule="exact"/>
        <w:ind w:firstLine="72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本部门在</w:t>
      </w:r>
      <w:r>
        <w:rPr>
          <w:rFonts w:ascii="仿宋_GB2312" w:hAnsi="仿宋_GB2312" w:eastAsia="仿宋_GB2312" w:cs="仿宋_GB2312"/>
          <w:color w:val="auto"/>
          <w:sz w:val="32"/>
          <w:szCs w:val="32"/>
          <w:highlight w:val="none"/>
        </w:rPr>
        <w:t>2020</w:t>
      </w:r>
      <w:r>
        <w:rPr>
          <w:rFonts w:hint="eastAsia" w:ascii="仿宋_GB2312" w:hAnsi="仿宋_GB2312" w:eastAsia="仿宋_GB2312" w:cs="仿宋_GB2312"/>
          <w:color w:val="auto"/>
          <w:sz w:val="32"/>
          <w:szCs w:val="32"/>
          <w:highlight w:val="none"/>
        </w:rPr>
        <w:t>年度部门决算中</w:t>
      </w:r>
      <w:r>
        <w:rPr>
          <w:rFonts w:hint="eastAsia" w:ascii="仿宋_GB2312" w:hAnsi="仿宋_GB2312" w:eastAsia="仿宋_GB2312" w:cs="仿宋_GB2312"/>
          <w:color w:val="auto"/>
          <w:sz w:val="32"/>
          <w:szCs w:val="32"/>
          <w:highlight w:val="none"/>
          <w:lang w:eastAsia="zh-CN"/>
        </w:rPr>
        <w:t>无</w:t>
      </w:r>
      <w:r>
        <w:rPr>
          <w:rFonts w:hint="eastAsia" w:ascii="仿宋_GB2312" w:hAnsi="仿宋_GB2312" w:eastAsia="仿宋_GB2312" w:cs="仿宋_GB2312"/>
          <w:color w:val="auto"/>
          <w:sz w:val="32"/>
          <w:szCs w:val="32"/>
          <w:highlight w:val="none"/>
        </w:rPr>
        <w:t>项目，</w:t>
      </w:r>
      <w:r>
        <w:rPr>
          <w:rFonts w:hint="eastAsia" w:ascii="仿宋_GB2312" w:hAnsi="仿宋_GB2312" w:eastAsia="仿宋_GB2312" w:cs="仿宋_GB2312"/>
          <w:color w:val="auto"/>
          <w:sz w:val="32"/>
          <w:szCs w:val="32"/>
          <w:highlight w:val="none"/>
          <w:lang w:eastAsia="zh-CN"/>
        </w:rPr>
        <w:t>未开展项目绩效评价。</w:t>
      </w:r>
    </w:p>
    <w:p w14:paraId="337AA57A">
      <w:pPr>
        <w:adjustRightInd w:val="0"/>
        <w:snapToGrid w:val="0"/>
        <w:spacing w:line="600" w:lineRule="exact"/>
        <w:ind w:firstLine="720"/>
        <w:rPr>
          <w:rFonts w:ascii="楷体_GB2312" w:hAnsi="宋体" w:eastAsia="楷体_GB2312"/>
          <w:b/>
          <w:color w:val="auto"/>
          <w:sz w:val="32"/>
          <w:szCs w:val="32"/>
          <w:highlight w:val="none"/>
          <w:lang w:val="zh-CN"/>
        </w:rPr>
      </w:pPr>
      <w:r>
        <w:rPr>
          <w:rFonts w:hint="eastAsia" w:ascii="楷体_GB2312" w:hAnsi="宋体" w:eastAsia="楷体_GB2312"/>
          <w:b/>
          <w:color w:val="auto"/>
          <w:sz w:val="32"/>
          <w:szCs w:val="32"/>
          <w:highlight w:val="none"/>
          <w:lang w:val="zh-CN"/>
        </w:rPr>
        <w:t>（二）存在的问题。</w:t>
      </w:r>
    </w:p>
    <w:p w14:paraId="237F70BA">
      <w:pPr>
        <w:adjustRightInd w:val="0"/>
        <w:snapToGrid w:val="0"/>
        <w:spacing w:line="600" w:lineRule="exact"/>
        <w:ind w:firstLine="640" w:firstLineChars="200"/>
        <w:rPr>
          <w:rFonts w:ascii="仿宋_GB2312" w:hAnsi="宋体" w:eastAsia="仿宋_GB2312"/>
          <w:color w:val="auto"/>
          <w:sz w:val="32"/>
          <w:szCs w:val="32"/>
          <w:highlight w:val="none"/>
          <w:lang w:val="zh-CN"/>
        </w:rPr>
      </w:pPr>
      <w:r>
        <w:rPr>
          <w:rFonts w:hint="eastAsia" w:ascii="仿宋_GB2312" w:hAnsi="仿宋_GB2312" w:eastAsia="仿宋_GB2312" w:cs="仿宋_GB2312"/>
          <w:color w:val="auto"/>
          <w:sz w:val="32"/>
          <w:szCs w:val="32"/>
          <w:highlight w:val="none"/>
        </w:rPr>
        <w:t>本部门在</w:t>
      </w:r>
      <w:r>
        <w:rPr>
          <w:rFonts w:ascii="仿宋_GB2312" w:hAnsi="仿宋_GB2312" w:eastAsia="仿宋_GB2312" w:cs="仿宋_GB2312"/>
          <w:color w:val="auto"/>
          <w:sz w:val="32"/>
          <w:szCs w:val="32"/>
          <w:highlight w:val="none"/>
        </w:rPr>
        <w:t>2020</w:t>
      </w:r>
      <w:r>
        <w:rPr>
          <w:rFonts w:hint="eastAsia" w:ascii="仿宋_GB2312" w:hAnsi="仿宋_GB2312" w:eastAsia="仿宋_GB2312" w:cs="仿宋_GB2312"/>
          <w:color w:val="auto"/>
          <w:sz w:val="32"/>
          <w:szCs w:val="32"/>
          <w:highlight w:val="none"/>
        </w:rPr>
        <w:t>年度部门决算中</w:t>
      </w:r>
      <w:r>
        <w:rPr>
          <w:rFonts w:hint="eastAsia" w:ascii="仿宋_GB2312" w:hAnsi="仿宋_GB2312" w:eastAsia="仿宋_GB2312" w:cs="仿宋_GB2312"/>
          <w:color w:val="auto"/>
          <w:sz w:val="32"/>
          <w:szCs w:val="32"/>
          <w:highlight w:val="none"/>
          <w:lang w:eastAsia="zh-CN"/>
        </w:rPr>
        <w:t>无</w:t>
      </w:r>
      <w:r>
        <w:rPr>
          <w:rFonts w:hint="eastAsia" w:ascii="仿宋_GB2312" w:hAnsi="仿宋_GB2312" w:eastAsia="仿宋_GB2312" w:cs="仿宋_GB2312"/>
          <w:color w:val="auto"/>
          <w:sz w:val="32"/>
          <w:szCs w:val="32"/>
          <w:highlight w:val="none"/>
        </w:rPr>
        <w:t>项目，</w:t>
      </w:r>
      <w:r>
        <w:rPr>
          <w:rFonts w:hint="eastAsia" w:ascii="仿宋_GB2312" w:hAnsi="仿宋_GB2312" w:eastAsia="仿宋_GB2312" w:cs="仿宋_GB2312"/>
          <w:color w:val="auto"/>
          <w:sz w:val="32"/>
          <w:szCs w:val="32"/>
          <w:highlight w:val="none"/>
          <w:lang w:eastAsia="zh-CN"/>
        </w:rPr>
        <w:t>未开展项目绩效评价</w:t>
      </w:r>
      <w:r>
        <w:rPr>
          <w:rFonts w:hint="eastAsia" w:ascii="仿宋_GB2312" w:hAnsi="宋体" w:eastAsia="仿宋_GB2312"/>
          <w:color w:val="auto"/>
          <w:sz w:val="32"/>
          <w:szCs w:val="32"/>
          <w:highlight w:val="none"/>
          <w:lang w:val="zh-CN"/>
        </w:rPr>
        <w:t>。</w:t>
      </w:r>
      <w:r>
        <w:rPr>
          <w:rFonts w:ascii="仿宋_GB2312" w:hAnsi="宋体" w:eastAsia="仿宋_GB2312"/>
          <w:color w:val="auto"/>
          <w:sz w:val="32"/>
          <w:szCs w:val="32"/>
          <w:highlight w:val="none"/>
          <w:lang w:val="zh-CN"/>
        </w:rPr>
        <w:tab/>
      </w:r>
    </w:p>
    <w:p w14:paraId="0285A9CF">
      <w:pPr>
        <w:adjustRightInd w:val="0"/>
        <w:snapToGrid w:val="0"/>
        <w:spacing w:line="600" w:lineRule="exact"/>
        <w:ind w:firstLine="720"/>
        <w:rPr>
          <w:rFonts w:ascii="楷体_GB2312" w:hAnsi="宋体" w:eastAsia="楷体_GB2312"/>
          <w:b/>
          <w:color w:val="auto"/>
          <w:sz w:val="32"/>
          <w:szCs w:val="32"/>
          <w:highlight w:val="none"/>
          <w:lang w:val="zh-CN"/>
        </w:rPr>
      </w:pPr>
      <w:r>
        <w:rPr>
          <w:rFonts w:hint="eastAsia" w:ascii="楷体_GB2312" w:hAnsi="宋体" w:eastAsia="楷体_GB2312"/>
          <w:b/>
          <w:color w:val="auto"/>
          <w:sz w:val="32"/>
          <w:szCs w:val="32"/>
          <w:highlight w:val="none"/>
          <w:lang w:val="zh-CN"/>
        </w:rPr>
        <w:t>（三）相关建议。</w:t>
      </w:r>
    </w:p>
    <w:p w14:paraId="7E0B6424">
      <w:pPr>
        <w:widowControl/>
        <w:ind w:firstLine="640" w:firstLineChars="200"/>
        <w:jc w:val="left"/>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本部门在</w:t>
      </w:r>
      <w:r>
        <w:rPr>
          <w:rFonts w:ascii="仿宋_GB2312" w:hAnsi="仿宋_GB2312" w:eastAsia="仿宋_GB2312" w:cs="仿宋_GB2312"/>
          <w:color w:val="auto"/>
          <w:sz w:val="32"/>
          <w:szCs w:val="32"/>
          <w:highlight w:val="none"/>
        </w:rPr>
        <w:t>2020</w:t>
      </w:r>
      <w:r>
        <w:rPr>
          <w:rFonts w:hint="eastAsia" w:ascii="仿宋_GB2312" w:hAnsi="仿宋_GB2312" w:eastAsia="仿宋_GB2312" w:cs="仿宋_GB2312"/>
          <w:color w:val="auto"/>
          <w:sz w:val="32"/>
          <w:szCs w:val="32"/>
          <w:highlight w:val="none"/>
        </w:rPr>
        <w:t>年度部门决算中</w:t>
      </w:r>
      <w:r>
        <w:rPr>
          <w:rFonts w:hint="eastAsia" w:ascii="仿宋_GB2312" w:hAnsi="仿宋_GB2312" w:eastAsia="仿宋_GB2312" w:cs="仿宋_GB2312"/>
          <w:color w:val="auto"/>
          <w:sz w:val="32"/>
          <w:szCs w:val="32"/>
          <w:highlight w:val="none"/>
          <w:lang w:eastAsia="zh-CN"/>
        </w:rPr>
        <w:t>无</w:t>
      </w:r>
      <w:r>
        <w:rPr>
          <w:rFonts w:hint="eastAsia" w:ascii="仿宋_GB2312" w:hAnsi="仿宋_GB2312" w:eastAsia="仿宋_GB2312" w:cs="仿宋_GB2312"/>
          <w:color w:val="auto"/>
          <w:sz w:val="32"/>
          <w:szCs w:val="32"/>
          <w:highlight w:val="none"/>
        </w:rPr>
        <w:t>项目，</w:t>
      </w:r>
      <w:r>
        <w:rPr>
          <w:rFonts w:hint="eastAsia" w:ascii="仿宋_GB2312" w:hAnsi="仿宋_GB2312" w:eastAsia="仿宋_GB2312" w:cs="仿宋_GB2312"/>
          <w:color w:val="auto"/>
          <w:sz w:val="32"/>
          <w:szCs w:val="32"/>
          <w:highlight w:val="none"/>
          <w:lang w:eastAsia="zh-CN"/>
        </w:rPr>
        <w:t>未开展项目绩效评价。</w:t>
      </w:r>
    </w:p>
    <w:p w14:paraId="2B86FE7F">
      <w:pPr>
        <w:widowControl/>
        <w:jc w:val="left"/>
        <w:rPr>
          <w:rStyle w:val="45"/>
          <w:rFonts w:ascii="黑体" w:hAnsi="黑体" w:eastAsia="黑体"/>
          <w:b w:val="0"/>
          <w:color w:val="auto"/>
          <w:highlight w:val="none"/>
        </w:rPr>
      </w:pPr>
    </w:p>
    <w:p w14:paraId="25678B78">
      <w:pPr>
        <w:spacing w:line="600" w:lineRule="exact"/>
        <w:jc w:val="center"/>
        <w:outlineLvl w:val="0"/>
        <w:rPr>
          <w:rStyle w:val="45"/>
          <w:rFonts w:hint="eastAsia" w:ascii="黑体" w:hAnsi="黑体" w:eastAsia="黑体"/>
          <w:b w:val="0"/>
          <w:color w:val="auto"/>
          <w:highlight w:val="none"/>
        </w:rPr>
      </w:pPr>
      <w:r>
        <w:rPr>
          <w:rStyle w:val="45"/>
          <w:rFonts w:ascii="黑体" w:hAnsi="黑体" w:eastAsia="黑体"/>
          <w:b w:val="0"/>
          <w:color w:val="auto"/>
          <w:highlight w:val="none"/>
        </w:rPr>
        <w:br w:type="page"/>
      </w:r>
      <w:r>
        <w:rPr>
          <w:rStyle w:val="45"/>
          <w:rFonts w:hint="eastAsia" w:ascii="黑体" w:hAnsi="黑体" w:eastAsia="黑体"/>
          <w:b w:val="0"/>
          <w:color w:val="auto"/>
          <w:highlight w:val="none"/>
          <w:lang w:val="en-US" w:eastAsia="zh-CN"/>
        </w:rPr>
        <w:t xml:space="preserve">第五部分 </w:t>
      </w:r>
      <w:r>
        <w:rPr>
          <w:rStyle w:val="45"/>
          <w:rFonts w:hint="eastAsia" w:ascii="黑体" w:hAnsi="黑体" w:eastAsia="黑体"/>
          <w:b w:val="0"/>
          <w:color w:val="auto"/>
          <w:highlight w:val="none"/>
        </w:rPr>
        <w:t>附表</w:t>
      </w:r>
    </w:p>
    <w:p w14:paraId="2BA9320B">
      <w:pPr>
        <w:numPr>
          <w:ilvl w:val="0"/>
          <w:numId w:val="0"/>
        </w:numPr>
        <w:spacing w:line="600" w:lineRule="exact"/>
        <w:jc w:val="both"/>
        <w:outlineLvl w:val="0"/>
        <w:rPr>
          <w:rStyle w:val="42"/>
          <w:rFonts w:hint="eastAsia" w:ascii="仿宋" w:hAnsi="仿宋" w:eastAsia="仿宋" w:cs="Times New Roman"/>
          <w:b w:val="0"/>
          <w:bCs w:val="0"/>
          <w:color w:val="auto"/>
          <w:highlight w:val="none"/>
          <w:lang w:val="en-US" w:eastAsia="zh-CN" w:bidi="ar-SA"/>
        </w:rPr>
      </w:pPr>
      <w:r>
        <w:rPr>
          <w:rStyle w:val="42"/>
          <w:rFonts w:hint="eastAsia" w:ascii="仿宋" w:hAnsi="仿宋" w:eastAsia="仿宋" w:cs="Times New Roman"/>
          <w:b w:val="0"/>
          <w:bCs w:val="0"/>
          <w:color w:val="auto"/>
          <w:highlight w:val="none"/>
          <w:lang w:val="en-US" w:eastAsia="zh-CN" w:bidi="ar-SA"/>
        </w:rPr>
        <w:t>一、收入支出决算总表</w:t>
      </w:r>
    </w:p>
    <w:p w14:paraId="76A04F8C">
      <w:pPr>
        <w:pStyle w:val="4"/>
        <w:rPr>
          <w:rStyle w:val="42"/>
          <w:rFonts w:hint="eastAsia" w:ascii="仿宋" w:hAnsi="仿宋" w:eastAsia="仿宋" w:cs="Times New Roman"/>
          <w:b w:val="0"/>
          <w:bCs w:val="0"/>
          <w:color w:val="auto"/>
          <w:highlight w:val="none"/>
          <w:lang w:val="en-US" w:eastAsia="zh-CN" w:bidi="ar-SA"/>
        </w:rPr>
      </w:pPr>
      <w:r>
        <w:rPr>
          <w:rStyle w:val="42"/>
          <w:rFonts w:hint="eastAsia" w:ascii="仿宋" w:hAnsi="仿宋" w:eastAsia="仿宋" w:cs="Times New Roman"/>
          <w:b w:val="0"/>
          <w:bCs w:val="0"/>
          <w:color w:val="auto"/>
          <w:highlight w:val="none"/>
          <w:lang w:val="en-US" w:eastAsia="zh-CN" w:bidi="ar-SA"/>
        </w:rPr>
        <w:t>二、收入决算表</w:t>
      </w:r>
    </w:p>
    <w:p w14:paraId="556AB693">
      <w:pPr>
        <w:pStyle w:val="4"/>
        <w:rPr>
          <w:rStyle w:val="42"/>
          <w:rFonts w:hint="eastAsia" w:ascii="仿宋" w:hAnsi="仿宋" w:eastAsia="仿宋" w:cs="Times New Roman"/>
          <w:b w:val="0"/>
          <w:bCs w:val="0"/>
          <w:color w:val="auto"/>
          <w:highlight w:val="none"/>
          <w:lang w:val="en-US" w:eastAsia="zh-CN" w:bidi="ar-SA"/>
        </w:rPr>
      </w:pPr>
      <w:r>
        <w:rPr>
          <w:rStyle w:val="42"/>
          <w:rFonts w:hint="eastAsia" w:ascii="仿宋" w:hAnsi="仿宋" w:eastAsia="仿宋" w:cs="Times New Roman"/>
          <w:b w:val="0"/>
          <w:bCs w:val="0"/>
          <w:color w:val="auto"/>
          <w:highlight w:val="none"/>
          <w:lang w:val="en-US" w:eastAsia="zh-CN" w:bidi="ar-SA"/>
        </w:rPr>
        <w:t>三、支出决算表</w:t>
      </w:r>
    </w:p>
    <w:p w14:paraId="77C90BB4">
      <w:pPr>
        <w:pStyle w:val="4"/>
        <w:rPr>
          <w:rFonts w:ascii="仿宋" w:hAnsi="仿宋" w:eastAsia="仿宋"/>
          <w:b w:val="0"/>
          <w:color w:val="auto"/>
          <w:highlight w:val="none"/>
        </w:rPr>
      </w:pPr>
      <w:bookmarkStart w:id="64" w:name="_Toc15396622"/>
      <w:r>
        <w:rPr>
          <w:rStyle w:val="42"/>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42"/>
          <w:rFonts w:hint="eastAsia" w:ascii="仿宋" w:hAnsi="仿宋" w:eastAsia="仿宋"/>
          <w:b w:val="0"/>
          <w:bCs w:val="0"/>
          <w:color w:val="auto"/>
          <w:highlight w:val="none"/>
        </w:rPr>
        <w:t>政拨款收入支出决算总表</w:t>
      </w:r>
      <w:bookmarkEnd w:id="64"/>
    </w:p>
    <w:p w14:paraId="3C779D5D">
      <w:pPr>
        <w:pStyle w:val="4"/>
        <w:rPr>
          <w:rStyle w:val="42"/>
          <w:rFonts w:ascii="仿宋" w:hAnsi="仿宋" w:eastAsia="仿宋"/>
          <w:b w:val="0"/>
          <w:bCs w:val="0"/>
          <w:color w:val="auto"/>
          <w:highlight w:val="none"/>
        </w:rPr>
      </w:pPr>
      <w:bookmarkStart w:id="65" w:name="_Toc15396623"/>
      <w:r>
        <w:rPr>
          <w:rStyle w:val="42"/>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42"/>
          <w:rFonts w:hint="eastAsia" w:ascii="仿宋" w:hAnsi="仿宋" w:eastAsia="仿宋"/>
          <w:b w:val="0"/>
          <w:bCs w:val="0"/>
          <w:color w:val="auto"/>
          <w:highlight w:val="none"/>
        </w:rPr>
        <w:t>政拨款支出决算明细表</w:t>
      </w:r>
      <w:bookmarkEnd w:id="65"/>
      <w:bookmarkStart w:id="66" w:name="_Toc15396624"/>
    </w:p>
    <w:p w14:paraId="5D53FD06">
      <w:pPr>
        <w:pStyle w:val="4"/>
        <w:rPr>
          <w:rFonts w:ascii="仿宋" w:hAnsi="仿宋" w:eastAsia="仿宋"/>
          <w:color w:val="auto"/>
          <w:highlight w:val="none"/>
        </w:rPr>
      </w:pPr>
      <w:r>
        <w:rPr>
          <w:rStyle w:val="42"/>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42"/>
          <w:rFonts w:hint="eastAsia" w:ascii="仿宋" w:hAnsi="仿宋" w:eastAsia="仿宋"/>
          <w:b w:val="0"/>
          <w:bCs w:val="0"/>
          <w:color w:val="auto"/>
          <w:highlight w:val="none"/>
        </w:rPr>
        <w:t>般公共预算财政拨款支出决算表</w:t>
      </w:r>
      <w:bookmarkEnd w:id="66"/>
    </w:p>
    <w:p w14:paraId="56774E1B">
      <w:pPr>
        <w:pStyle w:val="4"/>
        <w:rPr>
          <w:rFonts w:ascii="仿宋" w:hAnsi="仿宋" w:eastAsia="仿宋"/>
          <w:color w:val="auto"/>
          <w:highlight w:val="none"/>
        </w:rPr>
      </w:pPr>
      <w:r>
        <w:rPr>
          <w:rStyle w:val="42"/>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42"/>
          <w:rFonts w:hint="eastAsia" w:ascii="仿宋" w:hAnsi="仿宋" w:eastAsia="仿宋"/>
          <w:b w:val="0"/>
          <w:bCs w:val="0"/>
          <w:color w:val="auto"/>
          <w:highlight w:val="none"/>
        </w:rPr>
        <w:t>般公共预算财政拨款支出决算明细表</w:t>
      </w:r>
    </w:p>
    <w:p w14:paraId="61AA3E46">
      <w:pPr>
        <w:pStyle w:val="4"/>
        <w:rPr>
          <w:rFonts w:ascii="仿宋" w:hAnsi="仿宋" w:eastAsia="仿宋"/>
          <w:color w:val="auto"/>
          <w:highlight w:val="none"/>
        </w:rPr>
      </w:pPr>
      <w:bookmarkStart w:id="67" w:name="_Toc15396626"/>
      <w:r>
        <w:rPr>
          <w:rStyle w:val="42"/>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42"/>
          <w:rFonts w:hint="eastAsia" w:ascii="仿宋" w:hAnsi="仿宋" w:eastAsia="仿宋"/>
          <w:b w:val="0"/>
          <w:bCs w:val="0"/>
          <w:color w:val="auto"/>
          <w:highlight w:val="none"/>
        </w:rPr>
        <w:t>般公共预算财政拨款基本支出决算表</w:t>
      </w:r>
      <w:bookmarkEnd w:id="67"/>
    </w:p>
    <w:p w14:paraId="3A07A625">
      <w:pPr>
        <w:pStyle w:val="4"/>
        <w:rPr>
          <w:rFonts w:ascii="仿宋" w:hAnsi="仿宋" w:eastAsia="仿宋"/>
          <w:color w:val="auto"/>
          <w:highlight w:val="none"/>
        </w:rPr>
      </w:pPr>
      <w:bookmarkStart w:id="68" w:name="_Toc15396627"/>
      <w:r>
        <w:rPr>
          <w:rStyle w:val="42"/>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42"/>
          <w:rFonts w:hint="eastAsia" w:ascii="仿宋" w:hAnsi="仿宋" w:eastAsia="仿宋"/>
          <w:b w:val="0"/>
          <w:bCs w:val="0"/>
          <w:color w:val="auto"/>
          <w:highlight w:val="none"/>
        </w:rPr>
        <w:t>般公共预算财政拨款项目支出决算表</w:t>
      </w:r>
      <w:bookmarkEnd w:id="68"/>
    </w:p>
    <w:p w14:paraId="286BDD08">
      <w:pPr>
        <w:pStyle w:val="4"/>
        <w:rPr>
          <w:rFonts w:ascii="仿宋" w:hAnsi="仿宋" w:eastAsia="仿宋"/>
          <w:color w:val="auto"/>
          <w:highlight w:val="none"/>
        </w:rPr>
      </w:pPr>
      <w:bookmarkStart w:id="69" w:name="_Toc15396628"/>
      <w:r>
        <w:rPr>
          <w:rStyle w:val="42"/>
          <w:rFonts w:hint="eastAsia" w:ascii="仿宋" w:hAnsi="仿宋" w:eastAsia="仿宋"/>
          <w:b w:val="0"/>
          <w:bCs w:val="0"/>
          <w:color w:val="auto"/>
          <w:highlight w:val="none"/>
        </w:rPr>
        <w:t>十、</w:t>
      </w:r>
      <w:r>
        <w:rPr>
          <w:rFonts w:hint="eastAsia" w:ascii="仿宋" w:hAnsi="仿宋" w:eastAsia="仿宋"/>
          <w:b w:val="0"/>
          <w:color w:val="auto"/>
          <w:highlight w:val="none"/>
        </w:rPr>
        <w:t>一</w:t>
      </w:r>
      <w:r>
        <w:rPr>
          <w:rStyle w:val="42"/>
          <w:rFonts w:hint="eastAsia" w:ascii="仿宋" w:hAnsi="仿宋" w:eastAsia="仿宋"/>
          <w:b w:val="0"/>
          <w:bCs w:val="0"/>
          <w:color w:val="auto"/>
          <w:highlight w:val="none"/>
        </w:rPr>
        <w:t>般公共预算财政拨款“三公”经费支出决算表</w:t>
      </w:r>
      <w:bookmarkEnd w:id="69"/>
    </w:p>
    <w:p w14:paraId="7351851B">
      <w:pPr>
        <w:pStyle w:val="4"/>
        <w:rPr>
          <w:rFonts w:ascii="仿宋" w:hAnsi="仿宋" w:eastAsia="仿宋"/>
          <w:color w:val="auto"/>
          <w:highlight w:val="none"/>
        </w:rPr>
      </w:pPr>
      <w:bookmarkStart w:id="70" w:name="_Toc15396629"/>
      <w:r>
        <w:rPr>
          <w:rStyle w:val="42"/>
          <w:rFonts w:hint="eastAsia" w:ascii="仿宋" w:hAnsi="仿宋" w:eastAsia="仿宋"/>
          <w:b w:val="0"/>
          <w:bCs w:val="0"/>
          <w:color w:val="auto"/>
          <w:highlight w:val="none"/>
        </w:rPr>
        <w:t>十一、</w:t>
      </w:r>
      <w:r>
        <w:rPr>
          <w:rFonts w:hint="eastAsia" w:ascii="仿宋" w:hAnsi="仿宋" w:eastAsia="仿宋"/>
          <w:b w:val="0"/>
          <w:color w:val="auto"/>
          <w:highlight w:val="none"/>
        </w:rPr>
        <w:t>政</w:t>
      </w:r>
      <w:r>
        <w:rPr>
          <w:rStyle w:val="42"/>
          <w:rFonts w:hint="eastAsia" w:ascii="仿宋" w:hAnsi="仿宋" w:eastAsia="仿宋"/>
          <w:b w:val="0"/>
          <w:bCs w:val="0"/>
          <w:color w:val="auto"/>
          <w:highlight w:val="none"/>
        </w:rPr>
        <w:t>府性基金预算财政拨款收入支出决算表</w:t>
      </w:r>
      <w:bookmarkEnd w:id="70"/>
    </w:p>
    <w:p w14:paraId="310D18C8">
      <w:pPr>
        <w:pStyle w:val="4"/>
        <w:rPr>
          <w:rFonts w:ascii="仿宋" w:hAnsi="仿宋" w:eastAsia="仿宋"/>
          <w:color w:val="auto"/>
          <w:highlight w:val="none"/>
        </w:rPr>
      </w:pPr>
      <w:bookmarkStart w:id="71" w:name="_Toc15396630"/>
      <w:r>
        <w:rPr>
          <w:rStyle w:val="42"/>
          <w:rFonts w:hint="eastAsia" w:ascii="仿宋" w:hAnsi="仿宋" w:eastAsia="仿宋"/>
          <w:b w:val="0"/>
          <w:bCs w:val="0"/>
          <w:color w:val="auto"/>
          <w:highlight w:val="none"/>
        </w:rPr>
        <w:t>十二、</w:t>
      </w:r>
      <w:r>
        <w:rPr>
          <w:rFonts w:hint="eastAsia" w:ascii="仿宋" w:hAnsi="仿宋" w:eastAsia="仿宋"/>
          <w:b w:val="0"/>
          <w:color w:val="auto"/>
          <w:highlight w:val="none"/>
        </w:rPr>
        <w:t>政</w:t>
      </w:r>
      <w:r>
        <w:rPr>
          <w:rStyle w:val="42"/>
          <w:rFonts w:hint="eastAsia" w:ascii="仿宋" w:hAnsi="仿宋" w:eastAsia="仿宋"/>
          <w:b w:val="0"/>
          <w:bCs w:val="0"/>
          <w:color w:val="auto"/>
          <w:highlight w:val="none"/>
        </w:rPr>
        <w:t>府性基金预算财政拨款“三公”经费支出决算表</w:t>
      </w:r>
      <w:bookmarkEnd w:id="71"/>
    </w:p>
    <w:p w14:paraId="5138C136">
      <w:pPr>
        <w:pStyle w:val="4"/>
        <w:rPr>
          <w:rStyle w:val="42"/>
          <w:rFonts w:hint="eastAsia" w:ascii="仿宋" w:hAnsi="仿宋" w:eastAsia="仿宋"/>
          <w:b w:val="0"/>
          <w:bCs w:val="0"/>
          <w:color w:val="auto"/>
          <w:highlight w:val="none"/>
        </w:rPr>
      </w:pPr>
      <w:bookmarkStart w:id="72" w:name="_Toc15396631"/>
      <w:r>
        <w:rPr>
          <w:rStyle w:val="42"/>
          <w:rFonts w:hint="eastAsia" w:ascii="仿宋" w:hAnsi="仿宋" w:eastAsia="仿宋"/>
          <w:b w:val="0"/>
          <w:bCs w:val="0"/>
          <w:color w:val="auto"/>
          <w:highlight w:val="none"/>
        </w:rPr>
        <w:t>十三、</w:t>
      </w:r>
      <w:bookmarkEnd w:id="72"/>
      <w:r>
        <w:rPr>
          <w:rFonts w:hint="eastAsia" w:ascii="仿宋" w:hAnsi="仿宋" w:eastAsia="仿宋"/>
          <w:b w:val="0"/>
          <w:color w:val="auto"/>
          <w:highlight w:val="none"/>
        </w:rPr>
        <w:t>国有资本经营预算财政拨款收入支出决算表</w:t>
      </w:r>
    </w:p>
    <w:p w14:paraId="7562AAF0">
      <w:pPr>
        <w:pStyle w:val="4"/>
        <w:rPr>
          <w:rStyle w:val="42"/>
          <w:rFonts w:hint="eastAsia" w:ascii="仿宋" w:hAnsi="仿宋" w:eastAsia="仿宋"/>
          <w:b w:val="0"/>
          <w:bCs w:val="0"/>
          <w:color w:val="auto"/>
          <w:highlight w:val="none"/>
        </w:rPr>
      </w:pPr>
      <w:r>
        <w:rPr>
          <w:rStyle w:val="42"/>
          <w:rFonts w:hint="eastAsia" w:ascii="仿宋" w:hAnsi="仿宋" w:eastAsia="仿宋"/>
          <w:b w:val="0"/>
          <w:bCs w:val="0"/>
          <w:color w:val="auto"/>
          <w:highlight w:val="none"/>
        </w:rPr>
        <w:t>十</w:t>
      </w:r>
      <w:r>
        <w:rPr>
          <w:rStyle w:val="42"/>
          <w:rFonts w:hint="eastAsia" w:ascii="仿宋" w:hAnsi="仿宋" w:eastAsia="仿宋"/>
          <w:b w:val="0"/>
          <w:bCs w:val="0"/>
          <w:color w:val="auto"/>
          <w:highlight w:val="none"/>
          <w:lang w:val="en-US" w:eastAsia="zh-CN"/>
        </w:rPr>
        <w:t>四</w:t>
      </w:r>
      <w:r>
        <w:rPr>
          <w:rStyle w:val="42"/>
          <w:rFonts w:hint="eastAsia" w:ascii="仿宋" w:hAnsi="仿宋" w:eastAsia="仿宋"/>
          <w:b w:val="0"/>
          <w:bCs w:val="0"/>
          <w:color w:val="auto"/>
          <w:highlight w:val="none"/>
        </w:rPr>
        <w:t>、</w:t>
      </w:r>
      <w:r>
        <w:rPr>
          <w:rFonts w:hint="eastAsia" w:ascii="仿宋" w:hAnsi="仿宋" w:eastAsia="仿宋"/>
          <w:b w:val="0"/>
          <w:color w:val="auto"/>
          <w:highlight w:val="none"/>
        </w:rPr>
        <w:t>国有资本经营预算财政拨款支出决算表</w:t>
      </w:r>
    </w:p>
    <w:p w14:paraId="194F60A2">
      <w:pPr>
        <w:widowControl w:val="0"/>
        <w:wordWrap/>
        <w:adjustRightInd/>
        <w:snapToGrid/>
        <w:spacing w:line="240" w:lineRule="auto"/>
        <w:ind w:left="0" w:leftChars="0" w:right="0" w:firstLine="600" w:firstLineChars="200"/>
        <w:jc w:val="left"/>
        <w:textAlignment w:val="auto"/>
        <w:rPr>
          <w:rFonts w:hint="eastAsia" w:ascii="仿宋_GB2312" w:hAnsi="仿宋_GB2312" w:eastAsia="仿宋_GB2312" w:cs="仿宋_GB2312"/>
          <w:sz w:val="30"/>
          <w:szCs w:val="30"/>
        </w:rPr>
      </w:pPr>
    </w:p>
    <w:bookmarkEnd w:id="62"/>
    <w:p w14:paraId="52F87695">
      <w:pPr>
        <w:rPr>
          <w:rFonts w:ascii="仿宋" w:hAnsi="仿宋" w:eastAsia="仿宋"/>
          <w:color w:val="000000"/>
        </w:rPr>
      </w:pPr>
    </w:p>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B458039A-C3B0-4E72-9D81-718F7421FD5B}"/>
  </w:font>
  <w:font w:name="黑体">
    <w:panose1 w:val="02010609060101010101"/>
    <w:charset w:val="86"/>
    <w:family w:val="auto"/>
    <w:pitch w:val="default"/>
    <w:sig w:usb0="800002BF" w:usb1="38CF7CFA" w:usb2="00000016" w:usb3="00000000" w:csb0="00040001" w:csb1="00000000"/>
    <w:embedRegular r:id="rId2" w:fontKey="{9D32098F-1671-4FE0-93D9-A8E69E73FA6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embedRegular r:id="rId3" w:fontKey="{5FE6CC3F-CFB6-4B03-93FE-BAA9962AAF29}"/>
  </w:font>
  <w:font w:name="仿宋_GB2312">
    <w:altName w:val="仿宋"/>
    <w:panose1 w:val="02010609030101010101"/>
    <w:charset w:val="86"/>
    <w:family w:val="auto"/>
    <w:pitch w:val="default"/>
    <w:sig w:usb0="00000000" w:usb1="00000000" w:usb2="00000000" w:usb3="00000000" w:csb0="00040000" w:csb1="00000000"/>
    <w:embedRegular r:id="rId4" w:fontKey="{681C3216-E92D-40B6-96FE-712FF092F7E7}"/>
  </w:font>
  <w:font w:name="仿宋">
    <w:panose1 w:val="02010609060101010101"/>
    <w:charset w:val="86"/>
    <w:family w:val="auto"/>
    <w:pitch w:val="default"/>
    <w:sig w:usb0="800002BF" w:usb1="38CF7CFA" w:usb2="00000016" w:usb3="00000000" w:csb0="00040001" w:csb1="00000000"/>
    <w:embedRegular r:id="rId5" w:fontKey="{D393A374-E843-486C-AF18-5D30BF644D30}"/>
  </w:font>
  <w:font w:name="方正小标宋简体">
    <w:panose1 w:val="02000000000000000000"/>
    <w:charset w:val="86"/>
    <w:family w:val="auto"/>
    <w:pitch w:val="default"/>
    <w:sig w:usb0="00000001" w:usb1="08000000" w:usb2="00000000" w:usb3="00000000" w:csb0="00040000" w:csb1="00000000"/>
    <w:embedRegular r:id="rId6" w:fontKey="{4514A3E7-1968-4B90-AA0F-BA2A4EEECBE4}"/>
  </w:font>
  <w:font w:name="??_GB2312">
    <w:altName w:val="Times New Roman"/>
    <w:panose1 w:val="00000000000000000000"/>
    <w:charset w:val="00"/>
    <w:family w:val="auto"/>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embedRegular r:id="rId7" w:fontKey="{227B310F-F73F-4DD0-861A-272FE12C671D}"/>
  </w:font>
  <w:font w:name="楷体_GB2312">
    <w:panose1 w:val="02010609030101010101"/>
    <w:charset w:val="86"/>
    <w:family w:val="modern"/>
    <w:pitch w:val="default"/>
    <w:sig w:usb0="00000001" w:usb1="080E0000" w:usb2="00000000" w:usb3="00000000" w:csb0="00040000" w:csb1="00000000"/>
    <w:embedRegular r:id="rId8" w:fontKey="{A04106D7-0AAD-4AE6-9654-0AD02AB8CF0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AD3E08">
    <w:pPr>
      <w:pStyle w:val="11"/>
      <w:jc w:val="center"/>
    </w:pPr>
    <w:r>
      <w:fldChar w:fldCharType="begin"/>
    </w:r>
    <w:r>
      <w:instrText xml:space="preserve">PAGE   \* MERGEFORMAT</w:instrText>
    </w:r>
    <w:r>
      <w:fldChar w:fldCharType="separate"/>
    </w:r>
    <w:r>
      <w:rPr>
        <w:lang w:val="zh-CN"/>
      </w:rPr>
      <w:t>24</w:t>
    </w:r>
    <w:r>
      <w:fldChar w:fldCharType="end"/>
    </w:r>
  </w:p>
  <w:p w14:paraId="3BFD5853">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40CE11">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FA047D"/>
    <w:multiLevelType w:val="singleLevel"/>
    <w:tmpl w:val="E2FA047D"/>
    <w:lvl w:ilvl="0" w:tentative="0">
      <w:start w:val="3"/>
      <w:numFmt w:val="chineseCounting"/>
      <w:suff w:val="space"/>
      <w:lvlText w:val="第%1部分"/>
      <w:lvlJc w:val="left"/>
      <w:rPr>
        <w:rFonts w:hint="eastAsia"/>
      </w:rPr>
    </w:lvl>
  </w:abstractNum>
  <w:abstractNum w:abstractNumId="1">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638D2CE9"/>
    <w:multiLevelType w:val="singleLevel"/>
    <w:tmpl w:val="638D2CE9"/>
    <w:lvl w:ilvl="0" w:tentative="0">
      <w:start w:val="2"/>
      <w:numFmt w:val="chineseCounting"/>
      <w:suff w:val="nothing"/>
      <w:lvlText w:val="（%1）"/>
      <w:lvlJc w:val="left"/>
      <w:rPr>
        <w:rFonts w:hint="eastAsia"/>
      </w:rPr>
    </w:lvl>
  </w:abstractNum>
  <w:abstractNum w:abstractNumId="3">
    <w:nsid w:val="6C435863"/>
    <w:multiLevelType w:val="singleLevel"/>
    <w:tmpl w:val="6C435863"/>
    <w:lvl w:ilvl="0" w:tentative="0">
      <w:start w:val="2"/>
      <w:numFmt w:val="chineseCounting"/>
      <w:suff w:val="nothing"/>
      <w:lvlText w:val="（%1）"/>
      <w:lvlJc w:val="left"/>
      <w:rPr>
        <w:rFonts w:hint="eastAsia"/>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hNTlmMWMwY2NkZGNhOTM0ZTIzOTMwM2UwMjVlYzg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19B0"/>
    <w:rsid w:val="002D6D05"/>
    <w:rsid w:val="002F1818"/>
    <w:rsid w:val="002F567B"/>
    <w:rsid w:val="003216A9"/>
    <w:rsid w:val="00332E7F"/>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16CD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4F403E"/>
    <w:rsid w:val="00505A47"/>
    <w:rsid w:val="00512FDA"/>
    <w:rsid w:val="00520DA0"/>
    <w:rsid w:val="005664BB"/>
    <w:rsid w:val="00566FFA"/>
    <w:rsid w:val="0057481D"/>
    <w:rsid w:val="00575F0B"/>
    <w:rsid w:val="0058486E"/>
    <w:rsid w:val="00585B33"/>
    <w:rsid w:val="0059014D"/>
    <w:rsid w:val="005B5C64"/>
    <w:rsid w:val="005C6BD0"/>
    <w:rsid w:val="005C6C4C"/>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27533"/>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F1991"/>
    <w:rsid w:val="007F2C2F"/>
    <w:rsid w:val="007F55FC"/>
    <w:rsid w:val="007F5665"/>
    <w:rsid w:val="00800112"/>
    <w:rsid w:val="00813348"/>
    <w:rsid w:val="008253BB"/>
    <w:rsid w:val="00833962"/>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E98"/>
    <w:rsid w:val="009C37FB"/>
    <w:rsid w:val="009D3447"/>
    <w:rsid w:val="009D4711"/>
    <w:rsid w:val="009F1185"/>
    <w:rsid w:val="009F18CD"/>
    <w:rsid w:val="009F2A13"/>
    <w:rsid w:val="009F7527"/>
    <w:rsid w:val="00A039ED"/>
    <w:rsid w:val="00A04EB0"/>
    <w:rsid w:val="00A13CC1"/>
    <w:rsid w:val="00A16847"/>
    <w:rsid w:val="00A237D8"/>
    <w:rsid w:val="00A268C4"/>
    <w:rsid w:val="00A307CD"/>
    <w:rsid w:val="00A331C8"/>
    <w:rsid w:val="00A35117"/>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0F83"/>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0E69"/>
    <w:rsid w:val="00C33E72"/>
    <w:rsid w:val="00C354B2"/>
    <w:rsid w:val="00C35554"/>
    <w:rsid w:val="00C42709"/>
    <w:rsid w:val="00C533CC"/>
    <w:rsid w:val="00C5751C"/>
    <w:rsid w:val="00C61BFC"/>
    <w:rsid w:val="00C62B85"/>
    <w:rsid w:val="00C65438"/>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66797"/>
    <w:rsid w:val="00E82267"/>
    <w:rsid w:val="00E853CE"/>
    <w:rsid w:val="00E867B6"/>
    <w:rsid w:val="00E87F08"/>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7350087"/>
    <w:rsid w:val="08AE1E9F"/>
    <w:rsid w:val="0BBA79CC"/>
    <w:rsid w:val="0C0675DB"/>
    <w:rsid w:val="0F746B1B"/>
    <w:rsid w:val="10C055FF"/>
    <w:rsid w:val="135C4F22"/>
    <w:rsid w:val="1677582F"/>
    <w:rsid w:val="16BB723D"/>
    <w:rsid w:val="172B41FD"/>
    <w:rsid w:val="17E43FA0"/>
    <w:rsid w:val="1E2B0D38"/>
    <w:rsid w:val="1EAE3606"/>
    <w:rsid w:val="1EE95587"/>
    <w:rsid w:val="1F527C0E"/>
    <w:rsid w:val="204038CD"/>
    <w:rsid w:val="240371BF"/>
    <w:rsid w:val="26652A36"/>
    <w:rsid w:val="266831B1"/>
    <w:rsid w:val="27315D1D"/>
    <w:rsid w:val="29252372"/>
    <w:rsid w:val="29FD04D3"/>
    <w:rsid w:val="2D355B46"/>
    <w:rsid w:val="2DC771F0"/>
    <w:rsid w:val="2E3445EA"/>
    <w:rsid w:val="2EBA2A9C"/>
    <w:rsid w:val="319F7F4E"/>
    <w:rsid w:val="35340A5F"/>
    <w:rsid w:val="35604029"/>
    <w:rsid w:val="35765E7D"/>
    <w:rsid w:val="36303BCE"/>
    <w:rsid w:val="3ACB675D"/>
    <w:rsid w:val="3FCD33B5"/>
    <w:rsid w:val="41B11F42"/>
    <w:rsid w:val="44180AEB"/>
    <w:rsid w:val="446A1670"/>
    <w:rsid w:val="46CB0F9E"/>
    <w:rsid w:val="4779213C"/>
    <w:rsid w:val="4C6D3096"/>
    <w:rsid w:val="4D510618"/>
    <w:rsid w:val="4D9051CF"/>
    <w:rsid w:val="4ECE2238"/>
    <w:rsid w:val="4F28643A"/>
    <w:rsid w:val="50D94BAC"/>
    <w:rsid w:val="53A96783"/>
    <w:rsid w:val="5BCD0CE7"/>
    <w:rsid w:val="5D4B53F4"/>
    <w:rsid w:val="62AD1E3B"/>
    <w:rsid w:val="6324317D"/>
    <w:rsid w:val="65416AA4"/>
    <w:rsid w:val="69671F94"/>
    <w:rsid w:val="699456BD"/>
    <w:rsid w:val="6A0F18DE"/>
    <w:rsid w:val="6B287E3B"/>
    <w:rsid w:val="6F536A2B"/>
    <w:rsid w:val="72734D90"/>
    <w:rsid w:val="72C05381"/>
    <w:rsid w:val="735212C4"/>
    <w:rsid w:val="73DE7475"/>
    <w:rsid w:val="75E4177A"/>
    <w:rsid w:val="76386B2F"/>
    <w:rsid w:val="76916E59"/>
    <w:rsid w:val="77917E47"/>
    <w:rsid w:val="79134850"/>
    <w:rsid w:val="79FE105C"/>
    <w:rsid w:val="7C1F1332"/>
    <w:rsid w:val="7C9712F4"/>
    <w:rsid w:val="7C9C466D"/>
    <w:rsid w:val="7DBD2FDC"/>
    <w:rsid w:val="7E8E5455"/>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qFormat="1" w:unhideWhenUsed="0" w:uiPriority="99"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99" w:semiHidden="0"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5"/>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44"/>
    <w:unhideWhenUsed/>
    <w:qFormat/>
    <w:uiPriority w:val="9"/>
    <w:pPr>
      <w:keepNext/>
      <w:keepLines/>
      <w:spacing w:before="260" w:after="260" w:line="416" w:lineRule="auto"/>
      <w:outlineLvl w:val="1"/>
    </w:pPr>
    <w:rPr>
      <w:rFonts w:ascii="Cambria" w:hAnsi="Cambria" w:eastAsia="宋体" w:cs="黑体"/>
      <w:b/>
      <w:bCs/>
      <w:sz w:val="32"/>
      <w:szCs w:val="32"/>
    </w:rPr>
  </w:style>
  <w:style w:type="paragraph" w:styleId="5">
    <w:name w:val="heading 3"/>
    <w:basedOn w:val="1"/>
    <w:next w:val="1"/>
    <w:link w:val="39"/>
    <w:unhideWhenUsed/>
    <w:qFormat/>
    <w:uiPriority w:val="9"/>
    <w:pPr>
      <w:keepNext/>
      <w:keepLines/>
      <w:spacing w:before="260" w:after="260" w:line="416" w:lineRule="auto"/>
      <w:outlineLvl w:val="2"/>
    </w:pPr>
    <w:rPr>
      <w:b/>
      <w:bCs/>
      <w:sz w:val="32"/>
      <w:szCs w:val="32"/>
    </w:rPr>
  </w:style>
  <w:style w:type="character" w:default="1" w:styleId="19">
    <w:name w:val="Default Paragraph Font"/>
    <w:unhideWhenUsed/>
    <w:qFormat/>
    <w:uiPriority w:val="1"/>
  </w:style>
  <w:style w:type="table" w:default="1" w:styleId="18">
    <w:name w:val="Normal Table"/>
    <w:unhideWhenUsed/>
    <w:qFormat/>
    <w:uiPriority w:val="99"/>
    <w:tblPr>
      <w:tblCellMar>
        <w:top w:w="0" w:type="dxa"/>
        <w:left w:w="108" w:type="dxa"/>
        <w:bottom w:w="0" w:type="dxa"/>
        <w:right w:w="108" w:type="dxa"/>
      </w:tblCellMar>
    </w:tblPr>
  </w:style>
  <w:style w:type="paragraph" w:styleId="2">
    <w:name w:val="Body Text"/>
    <w:basedOn w:val="1"/>
    <w:link w:val="35"/>
    <w:qFormat/>
    <w:uiPriority w:val="99"/>
    <w:pPr>
      <w:spacing w:beforeLines="30"/>
    </w:pPr>
    <w:rPr>
      <w:rFonts w:ascii="仿宋_GB2312" w:eastAsia="仿宋_GB2312"/>
      <w:kern w:val="0"/>
      <w:sz w:val="30"/>
    </w:rPr>
  </w:style>
  <w:style w:type="paragraph" w:styleId="6">
    <w:name w:val="annotation text"/>
    <w:basedOn w:val="1"/>
    <w:unhideWhenUsed/>
    <w:qFormat/>
    <w:uiPriority w:val="99"/>
    <w:pPr>
      <w:jc w:val="left"/>
    </w:pPr>
  </w:style>
  <w:style w:type="paragraph" w:styleId="7">
    <w:name w:val="Salutation"/>
    <w:basedOn w:val="1"/>
    <w:next w:val="1"/>
    <w:qFormat/>
    <w:uiPriority w:val="99"/>
  </w:style>
  <w:style w:type="paragraph" w:styleId="8">
    <w:name w:val="Body Text Indent"/>
    <w:basedOn w:val="1"/>
    <w:qFormat/>
    <w:uiPriority w:val="99"/>
    <w:pPr>
      <w:ind w:left="420" w:leftChars="200"/>
    </w:pPr>
  </w:style>
  <w:style w:type="paragraph" w:styleId="9">
    <w:name w:val="toc 3"/>
    <w:basedOn w:val="1"/>
    <w:next w:val="1"/>
    <w:unhideWhenUsed/>
    <w:qFormat/>
    <w:uiPriority w:val="39"/>
    <w:pPr>
      <w:tabs>
        <w:tab w:val="right" w:leader="dot" w:pos="8296"/>
      </w:tabs>
      <w:ind w:left="840" w:leftChars="400"/>
    </w:pPr>
  </w:style>
  <w:style w:type="paragraph" w:styleId="10">
    <w:name w:val="Balloon Text"/>
    <w:basedOn w:val="1"/>
    <w:link w:val="38"/>
    <w:unhideWhenUsed/>
    <w:qFormat/>
    <w:uiPriority w:val="99"/>
    <w:rPr>
      <w:sz w:val="18"/>
      <w:szCs w:val="18"/>
    </w:rPr>
  </w:style>
  <w:style w:type="paragraph" w:styleId="11">
    <w:name w:val="footer"/>
    <w:basedOn w:val="1"/>
    <w:link w:val="33"/>
    <w:qFormat/>
    <w:uiPriority w:val="99"/>
    <w:pPr>
      <w:tabs>
        <w:tab w:val="center" w:pos="4153"/>
        <w:tab w:val="right" w:pos="8306"/>
      </w:tabs>
      <w:snapToGrid w:val="0"/>
      <w:jc w:val="left"/>
    </w:pPr>
    <w:rPr>
      <w:rFonts w:ascii="Calibri" w:hAnsi="Calibri"/>
      <w:kern w:val="0"/>
      <w:sz w:val="18"/>
      <w:szCs w:val="18"/>
    </w:rPr>
  </w:style>
  <w:style w:type="paragraph" w:styleId="12">
    <w:name w:val="header"/>
    <w:basedOn w:val="1"/>
    <w:link w:val="3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4">
    <w:name w:val="table of figures"/>
    <w:basedOn w:val="1"/>
    <w:next w:val="1"/>
    <w:qFormat/>
    <w:uiPriority w:val="99"/>
    <w:pPr>
      <w:ind w:left="200" w:leftChars="200" w:hanging="200" w:hangingChars="200"/>
    </w:pPr>
  </w:style>
  <w:style w:type="paragraph" w:styleId="15">
    <w:name w:val="toc 2"/>
    <w:basedOn w:val="1"/>
    <w:next w:val="1"/>
    <w:unhideWhenUsed/>
    <w:qFormat/>
    <w:uiPriority w:val="39"/>
    <w:pPr>
      <w:tabs>
        <w:tab w:val="right" w:leader="dot" w:pos="8296"/>
      </w:tabs>
      <w:ind w:left="420" w:leftChars="200"/>
    </w:pPr>
  </w:style>
  <w:style w:type="paragraph" w:styleId="16">
    <w:name w:val="Normal (Web)"/>
    <w:basedOn w:val="1"/>
    <w:qFormat/>
    <w:uiPriority w:val="0"/>
    <w:pPr>
      <w:spacing w:before="100" w:beforeLines="0" w:beforeAutospacing="1" w:after="100" w:afterLines="0" w:afterAutospacing="1"/>
      <w:ind w:left="0" w:right="0"/>
      <w:jc w:val="left"/>
    </w:pPr>
    <w:rPr>
      <w:kern w:val="0"/>
      <w:sz w:val="24"/>
      <w:lang w:val="en-US" w:eastAsia="zh-CN"/>
    </w:rPr>
  </w:style>
  <w:style w:type="paragraph" w:styleId="17">
    <w:name w:val="Body Text First Indent 2"/>
    <w:basedOn w:val="8"/>
    <w:next w:val="1"/>
    <w:qFormat/>
    <w:uiPriority w:val="99"/>
    <w:pPr>
      <w:ind w:firstLine="420" w:firstLineChars="200"/>
    </w:pPr>
  </w:style>
  <w:style w:type="character" w:styleId="20">
    <w:name w:val="Strong"/>
    <w:basedOn w:val="19"/>
    <w:qFormat/>
    <w:uiPriority w:val="99"/>
    <w:rPr>
      <w:b/>
    </w:rPr>
  </w:style>
  <w:style w:type="character" w:styleId="21">
    <w:name w:val="Emphasis"/>
    <w:basedOn w:val="19"/>
    <w:qFormat/>
    <w:uiPriority w:val="20"/>
    <w:rPr>
      <w:i/>
    </w:rPr>
  </w:style>
  <w:style w:type="character" w:styleId="22">
    <w:name w:val="Hyperlink"/>
    <w:basedOn w:val="19"/>
    <w:unhideWhenUsed/>
    <w:qFormat/>
    <w:uiPriority w:val="99"/>
    <w:rPr>
      <w:color w:val="0000FF"/>
      <w:u w:val="single"/>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24">
    <w:name w:val="List Paragraph"/>
    <w:basedOn w:val="1"/>
    <w:qFormat/>
    <w:uiPriority w:val="34"/>
    <w:pPr>
      <w:ind w:firstLine="420" w:firstLineChars="200"/>
    </w:pPr>
  </w:style>
  <w:style w:type="paragraph" w:customStyle="1" w:styleId="25">
    <w:name w:val="TOC 标题1"/>
    <w:basedOn w:val="3"/>
    <w:next w:val="1"/>
    <w:unhideWhenUsed/>
    <w:qFormat/>
    <w:uiPriority w:val="39"/>
    <w:pPr>
      <w:widowControl/>
      <w:spacing w:before="480" w:after="0" w:line="276" w:lineRule="auto"/>
      <w:jc w:val="left"/>
      <w:outlineLvl w:val="9"/>
    </w:pPr>
    <w:rPr>
      <w:rFonts w:ascii="Cambria" w:hAnsi="Cambria" w:eastAsia="宋体" w:cs="黑体"/>
      <w:color w:val="365F90"/>
      <w:kern w:val="0"/>
      <w:sz w:val="28"/>
      <w:szCs w:val="28"/>
    </w:rPr>
  </w:style>
  <w:style w:type="paragraph" w:customStyle="1" w:styleId="26">
    <w:name w:val="TOC Heading"/>
    <w:basedOn w:val="3"/>
    <w:next w:val="1"/>
    <w:unhideWhenUsed/>
    <w:qFormat/>
    <w:uiPriority w:val="39"/>
    <w:pPr>
      <w:widowControl/>
      <w:spacing w:before="480" w:after="0" w:line="276" w:lineRule="auto"/>
      <w:jc w:val="left"/>
      <w:outlineLvl w:val="9"/>
    </w:pPr>
    <w:rPr>
      <w:rFonts w:ascii="Cambria" w:hAnsi="Cambria" w:eastAsia="宋体" w:cs="黑体"/>
      <w:color w:val="365F90"/>
      <w:kern w:val="0"/>
      <w:sz w:val="28"/>
      <w:szCs w:val="28"/>
    </w:rPr>
  </w:style>
  <w:style w:type="paragraph" w:customStyle="1" w:styleId="27">
    <w:name w:val="WPSOffice手动目录 1"/>
    <w:qFormat/>
    <w:uiPriority w:val="0"/>
    <w:pPr>
      <w:ind w:leftChars="0"/>
    </w:pPr>
    <w:rPr>
      <w:rFonts w:ascii="Times New Roman" w:hAnsi="Times New Roman" w:eastAsia="宋体" w:cs="Times New Roman"/>
      <w:sz w:val="20"/>
      <w:szCs w:val="20"/>
      <w:lang w:val="en-US" w:eastAsia="zh-CN" w:bidi="ar-SA"/>
    </w:rPr>
  </w:style>
  <w:style w:type="paragraph" w:customStyle="1" w:styleId="28">
    <w:name w:val="WPSOffice手动目录 2"/>
    <w:qFormat/>
    <w:uiPriority w:val="0"/>
    <w:pPr>
      <w:ind w:leftChars="200"/>
    </w:pPr>
    <w:rPr>
      <w:rFonts w:ascii="Times New Roman" w:hAnsi="Times New Roman" w:eastAsia="宋体" w:cs="Times New Roman"/>
      <w:sz w:val="20"/>
      <w:szCs w:val="20"/>
      <w:lang w:val="en-US" w:eastAsia="zh-CN" w:bidi="ar-SA"/>
    </w:rPr>
  </w:style>
  <w:style w:type="paragraph" w:customStyle="1" w:styleId="29">
    <w:name w:val="WPSOffice手动目录 3"/>
    <w:qFormat/>
    <w:uiPriority w:val="0"/>
    <w:pPr>
      <w:ind w:leftChars="400"/>
    </w:pPr>
    <w:rPr>
      <w:rFonts w:ascii="Times New Roman" w:hAnsi="Times New Roman" w:eastAsia="宋体" w:cs="Times New Roman"/>
      <w:sz w:val="20"/>
      <w:szCs w:val="20"/>
      <w:lang w:val="en-US" w:eastAsia="zh-CN" w:bidi="ar-SA"/>
    </w:rPr>
  </w:style>
  <w:style w:type="character" w:customStyle="1" w:styleId="30">
    <w:name w:val="Header Char"/>
    <w:basedOn w:val="19"/>
    <w:semiHidden/>
    <w:qFormat/>
    <w:uiPriority w:val="99"/>
    <w:rPr>
      <w:rFonts w:ascii="Times New Roman" w:hAnsi="Times New Roman"/>
      <w:sz w:val="18"/>
      <w:szCs w:val="18"/>
    </w:rPr>
  </w:style>
  <w:style w:type="character" w:customStyle="1" w:styleId="31">
    <w:name w:val="页眉 Char"/>
    <w:link w:val="12"/>
    <w:semiHidden/>
    <w:qFormat/>
    <w:locked/>
    <w:uiPriority w:val="99"/>
    <w:rPr>
      <w:sz w:val="18"/>
    </w:rPr>
  </w:style>
  <w:style w:type="character" w:customStyle="1" w:styleId="32">
    <w:name w:val="Footer Char"/>
    <w:basedOn w:val="19"/>
    <w:semiHidden/>
    <w:qFormat/>
    <w:uiPriority w:val="99"/>
    <w:rPr>
      <w:rFonts w:ascii="Times New Roman" w:hAnsi="Times New Roman"/>
      <w:sz w:val="18"/>
      <w:szCs w:val="18"/>
    </w:rPr>
  </w:style>
  <w:style w:type="character" w:customStyle="1" w:styleId="33">
    <w:name w:val="页脚 Char"/>
    <w:link w:val="11"/>
    <w:qFormat/>
    <w:locked/>
    <w:uiPriority w:val="99"/>
    <w:rPr>
      <w:sz w:val="18"/>
    </w:rPr>
  </w:style>
  <w:style w:type="character" w:customStyle="1" w:styleId="34">
    <w:name w:val="Body Text Char"/>
    <w:basedOn w:val="19"/>
    <w:semiHidden/>
    <w:qFormat/>
    <w:uiPriority w:val="99"/>
    <w:rPr>
      <w:rFonts w:ascii="Times New Roman" w:hAnsi="Times New Roman"/>
      <w:szCs w:val="24"/>
    </w:rPr>
  </w:style>
  <w:style w:type="character" w:customStyle="1" w:styleId="35">
    <w:name w:val="正文文本 Char"/>
    <w:link w:val="2"/>
    <w:qFormat/>
    <w:locked/>
    <w:uiPriority w:val="99"/>
    <w:rPr>
      <w:rFonts w:ascii="仿宋_GB2312" w:hAnsi="Times New Roman" w:eastAsia="仿宋_GB2312"/>
      <w:sz w:val="24"/>
    </w:rPr>
  </w:style>
  <w:style w:type="character" w:customStyle="1" w:styleId="36">
    <w:name w:val="标题 1 Char"/>
    <w:basedOn w:val="19"/>
    <w:link w:val="3"/>
    <w:qFormat/>
    <w:uiPriority w:val="9"/>
    <w:rPr>
      <w:rFonts w:ascii="Times New Roman" w:hAnsi="Times New Roman"/>
      <w:b/>
      <w:bCs/>
      <w:kern w:val="44"/>
      <w:sz w:val="44"/>
      <w:szCs w:val="44"/>
    </w:rPr>
  </w:style>
  <w:style w:type="character" w:customStyle="1" w:styleId="37">
    <w:name w:val="标题 2 Char"/>
    <w:basedOn w:val="19"/>
    <w:link w:val="4"/>
    <w:qFormat/>
    <w:uiPriority w:val="9"/>
    <w:rPr>
      <w:rFonts w:ascii="Cambria" w:hAnsi="Cambria" w:eastAsia="宋体" w:cs="黑体"/>
      <w:b/>
      <w:bCs/>
      <w:kern w:val="2"/>
      <w:sz w:val="32"/>
      <w:szCs w:val="32"/>
    </w:rPr>
  </w:style>
  <w:style w:type="character" w:customStyle="1" w:styleId="38">
    <w:name w:val="批注框文本 Char"/>
    <w:basedOn w:val="19"/>
    <w:link w:val="10"/>
    <w:semiHidden/>
    <w:qFormat/>
    <w:uiPriority w:val="99"/>
    <w:rPr>
      <w:rFonts w:ascii="Times New Roman" w:hAnsi="Times New Roman"/>
      <w:kern w:val="2"/>
      <w:sz w:val="18"/>
      <w:szCs w:val="18"/>
    </w:rPr>
  </w:style>
  <w:style w:type="character" w:customStyle="1" w:styleId="39">
    <w:name w:val="标题 3 Char"/>
    <w:basedOn w:val="19"/>
    <w:link w:val="5"/>
    <w:qFormat/>
    <w:uiPriority w:val="9"/>
    <w:rPr>
      <w:rFonts w:ascii="Times New Roman" w:hAnsi="Times New Roman"/>
      <w:b/>
      <w:bCs/>
      <w:kern w:val="2"/>
      <w:sz w:val="32"/>
      <w:szCs w:val="32"/>
    </w:rPr>
  </w:style>
  <w:style w:type="character" w:customStyle="1" w:styleId="40">
    <w:name w:val="font11"/>
    <w:basedOn w:val="19"/>
    <w:qFormat/>
    <w:uiPriority w:val="0"/>
    <w:rPr>
      <w:rFonts w:hint="eastAsia" w:ascii="宋体" w:hAnsi="宋体" w:eastAsia="宋体" w:cs="宋体"/>
      <w:color w:val="000000"/>
      <w:sz w:val="20"/>
      <w:szCs w:val="20"/>
      <w:u w:val="none"/>
    </w:rPr>
  </w:style>
  <w:style w:type="character" w:customStyle="1" w:styleId="41">
    <w:name w:val="font81"/>
    <w:basedOn w:val="19"/>
    <w:qFormat/>
    <w:uiPriority w:val="0"/>
    <w:rPr>
      <w:rFonts w:hint="eastAsia" w:ascii="宋体" w:hAnsi="宋体" w:eastAsia="宋体" w:cs="宋体"/>
      <w:color w:val="000000"/>
      <w:sz w:val="18"/>
      <w:szCs w:val="18"/>
      <w:u w:val="none"/>
    </w:rPr>
  </w:style>
  <w:style w:type="character" w:customStyle="1" w:styleId="42">
    <w:name w:val=" Char Char5"/>
    <w:basedOn w:val="19"/>
    <w:link w:val="4"/>
    <w:qFormat/>
    <w:locked/>
    <w:uiPriority w:val="9"/>
    <w:rPr>
      <w:rFonts w:ascii="Cambria" w:hAnsi="Cambria" w:eastAsia="宋体" w:cs="Times New Roman"/>
      <w:b/>
      <w:bCs/>
      <w:kern w:val="2"/>
      <w:sz w:val="32"/>
      <w:szCs w:val="32"/>
    </w:rPr>
  </w:style>
  <w:style w:type="character" w:customStyle="1" w:styleId="43">
    <w:name w:val="标题 1 字符"/>
    <w:link w:val="3"/>
    <w:qFormat/>
    <w:locked/>
    <w:uiPriority w:val="0"/>
    <w:rPr>
      <w:rFonts w:eastAsia="宋体"/>
      <w:b/>
      <w:bCs/>
      <w:kern w:val="44"/>
      <w:sz w:val="44"/>
      <w:szCs w:val="44"/>
      <w:lang w:val="en-US" w:eastAsia="zh-CN" w:bidi="ar-SA"/>
    </w:rPr>
  </w:style>
  <w:style w:type="character" w:customStyle="1" w:styleId="44">
    <w:name w:val="标题 2 字符"/>
    <w:link w:val="4"/>
    <w:qFormat/>
    <w:locked/>
    <w:uiPriority w:val="0"/>
    <w:rPr>
      <w:rFonts w:ascii="Cambria" w:hAnsi="Cambria" w:eastAsia="宋体"/>
      <w:b/>
      <w:bCs/>
      <w:kern w:val="2"/>
      <w:sz w:val="32"/>
      <w:szCs w:val="32"/>
      <w:lang w:val="en-US" w:eastAsia="zh-CN" w:bidi="ar-SA"/>
    </w:rPr>
  </w:style>
  <w:style w:type="character" w:customStyle="1" w:styleId="45">
    <w:name w:val=" Char Char6"/>
    <w:basedOn w:val="19"/>
    <w:link w:val="3"/>
    <w:qFormat/>
    <w:locked/>
    <w:uiPriority w:val="9"/>
    <w:rPr>
      <w:rFonts w:ascii="Times New Roman" w:hAnsi="Times New Roman" w:cs="Times New Roman"/>
      <w:b/>
      <w:bCs/>
      <w:kern w:val="44"/>
      <w:sz w:val="44"/>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四川省财政厅</Company>
  <Pages>23</Pages>
  <Words>7361</Words>
  <Characters>7849</Characters>
  <Lines>7</Lines>
  <Paragraphs>17</Paragraphs>
  <TotalTime>2</TotalTime>
  <ScaleCrop>false</ScaleCrop>
  <LinksUpToDate>false</LinksUpToDate>
  <CharactersWithSpaces>7940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2020-08-04T01:49:00Z</dcterms:created>
  <dc:creator>曹颖</dc:creator>
  <cp:lastModifiedBy>昭化融媒体</cp:lastModifiedBy>
  <cp:lastPrinted>2022-09-25T06:17:00Z</cp:lastPrinted>
  <dcterms:modified xsi:type="dcterms:W3CDTF">2024-12-19T07:29:02Z</dcterms:modified>
  <dc:title>四川省***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F95B4D58BFD44911A95A8C760DD779C5</vt:lpwstr>
  </property>
  <property fmtid="{D5CDD505-2E9C-101B-9397-08002B2CF9AE}" pid="4" name="KSOTemplateDocerSaveRecord">
    <vt:lpwstr>eyJoZGlkIjoiMGVhYTg4NGNkZWJkODFjNzcyZDRjM2M4Y2UzNjI5ZmUiLCJ1c2VySWQiOiI2MTE2MzEwMDYifQ==</vt:lpwstr>
  </property>
</Properties>
</file>