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D79A1">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bookmarkStart w:id="0" w:name="_Toc15306267"/>
    </w:p>
    <w:p w14:paraId="03DB6DB0">
      <w:pPr>
        <w:wordWrap/>
        <w:snapToGrid/>
        <w:spacing w:line="240" w:lineRule="auto"/>
        <w:ind w:left="0" w:leftChars="0" w:right="0" w:firstLine="0" w:firstLineChars="0"/>
        <w:jc w:val="left"/>
        <w:outlineLvl w:val="9"/>
        <w:rPr>
          <w:rFonts w:ascii="方正小标宋简体" w:hAnsi="宋体" w:eastAsia="方正小标宋简体"/>
          <w:color w:val="000000"/>
          <w:sz w:val="144"/>
          <w:szCs w:val="144"/>
        </w:rPr>
      </w:pPr>
    </w:p>
    <w:bookmarkEnd w:id="0"/>
    <w:p w14:paraId="3257236B">
      <w:pPr>
        <w:adjustRightInd w:val="0"/>
        <w:snapToGrid w:val="0"/>
        <w:spacing w:line="360" w:lineRule="auto"/>
        <w:jc w:val="center"/>
        <w:outlineLvl w:val="0"/>
        <w:rPr>
          <w:rFonts w:hint="eastAsia" w:ascii="方正小标宋_GBK" w:hAnsi="方正小标宋_GBK" w:eastAsia="方正小标宋_GBK" w:cs="方正小标宋_GBK"/>
          <w:color w:val="000000"/>
          <w:sz w:val="72"/>
          <w:szCs w:val="72"/>
        </w:rPr>
      </w:pPr>
      <w:bookmarkStart w:id="1" w:name="_Toc15378441"/>
      <w:bookmarkStart w:id="2" w:name="_Toc15377425"/>
      <w:bookmarkStart w:id="3" w:name="_Toc15396597"/>
      <w:bookmarkStart w:id="4" w:name="_Toc15396475"/>
      <w:bookmarkStart w:id="5" w:name="_Toc15377193"/>
      <w:r>
        <w:rPr>
          <w:rFonts w:hint="eastAsia" w:ascii="方正小标宋_GBK" w:hAnsi="方正小标宋_GBK" w:eastAsia="方正小标宋_GBK" w:cs="方正小标宋_GBK"/>
          <w:color w:val="000000"/>
          <w:sz w:val="72"/>
          <w:szCs w:val="72"/>
        </w:rPr>
        <w:t>2020年度</w:t>
      </w:r>
      <w:bookmarkEnd w:id="1"/>
      <w:bookmarkEnd w:id="2"/>
      <w:bookmarkEnd w:id="3"/>
      <w:bookmarkEnd w:id="4"/>
      <w:bookmarkEnd w:id="5"/>
    </w:p>
    <w:p w14:paraId="16C92D91">
      <w:pPr>
        <w:adjustRightInd w:val="0"/>
        <w:snapToGrid w:val="0"/>
        <w:spacing w:line="360" w:lineRule="auto"/>
        <w:jc w:val="center"/>
        <w:outlineLvl w:val="0"/>
        <w:rPr>
          <w:rFonts w:hint="eastAsia" w:ascii="方正小标宋_GBK" w:hAnsi="方正小标宋_GBK" w:eastAsia="方正小标宋_GBK" w:cs="方正小标宋_GBK"/>
          <w:color w:val="000000"/>
          <w:w w:val="90"/>
          <w:sz w:val="72"/>
          <w:szCs w:val="72"/>
        </w:rPr>
      </w:pPr>
      <w:bookmarkStart w:id="6" w:name="_Toc15377194"/>
      <w:bookmarkStart w:id="7" w:name="_Toc15396598"/>
      <w:bookmarkStart w:id="8" w:name="_Toc15377426"/>
      <w:bookmarkStart w:id="9" w:name="_Toc15396476"/>
      <w:bookmarkStart w:id="10" w:name="_Toc15306268"/>
      <w:bookmarkStart w:id="11" w:name="_Toc15378442"/>
      <w:r>
        <w:rPr>
          <w:rFonts w:hint="eastAsia" w:ascii="方正小标宋_GBK" w:hAnsi="方正小标宋_GBK" w:eastAsia="方正小标宋_GBK" w:cs="方正小标宋_GBK"/>
          <w:color w:val="000000"/>
          <w:w w:val="90"/>
          <w:sz w:val="72"/>
          <w:szCs w:val="72"/>
        </w:rPr>
        <w:t>广元市昭化区卫子镇</w:t>
      </w:r>
    </w:p>
    <w:p w14:paraId="21F7AF4C">
      <w:pPr>
        <w:adjustRightInd w:val="0"/>
        <w:snapToGrid w:val="0"/>
        <w:spacing w:line="360" w:lineRule="auto"/>
        <w:jc w:val="center"/>
        <w:outlineLvl w:val="0"/>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w w:val="90"/>
          <w:sz w:val="72"/>
          <w:szCs w:val="72"/>
        </w:rPr>
        <w:t>石井小学</w:t>
      </w:r>
      <w:r>
        <w:rPr>
          <w:rFonts w:hint="eastAsia" w:ascii="方正小标宋_GBK" w:hAnsi="方正小标宋_GBK" w:eastAsia="方正小标宋_GBK" w:cs="方正小标宋_GBK"/>
          <w:color w:val="000000"/>
          <w:sz w:val="72"/>
          <w:szCs w:val="72"/>
          <w:lang w:val="en-US" w:eastAsia="zh-CN"/>
        </w:rPr>
        <w:t>部门</w:t>
      </w:r>
      <w:r>
        <w:rPr>
          <w:rFonts w:hint="eastAsia" w:ascii="方正小标宋_GBK" w:hAnsi="方正小标宋_GBK" w:eastAsia="方正小标宋_GBK" w:cs="方正小标宋_GBK"/>
          <w:color w:val="000000"/>
          <w:sz w:val="72"/>
          <w:szCs w:val="72"/>
        </w:rPr>
        <w:t>决算</w:t>
      </w:r>
      <w:bookmarkEnd w:id="6"/>
      <w:bookmarkEnd w:id="7"/>
      <w:bookmarkEnd w:id="8"/>
      <w:bookmarkEnd w:id="9"/>
      <w:bookmarkEnd w:id="10"/>
      <w:bookmarkEnd w:id="11"/>
    </w:p>
    <w:p w14:paraId="3C9235AC">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10A56113">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2C38EFA6">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47E260F0">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487E767E">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56E06C4E">
      <w:pPr>
        <w:pStyle w:val="2"/>
        <w:rPr>
          <w:rFonts w:hint="eastAsia" w:ascii="黑体" w:hAnsi="黑体" w:eastAsia="黑体"/>
          <w:color w:val="000000"/>
          <w:sz w:val="48"/>
          <w:szCs w:val="48"/>
        </w:rPr>
      </w:pPr>
    </w:p>
    <w:p w14:paraId="304E83FA">
      <w:pPr>
        <w:rPr>
          <w:rFonts w:hint="eastAsia" w:ascii="黑体" w:hAnsi="黑体" w:eastAsia="黑体"/>
          <w:color w:val="000000"/>
          <w:sz w:val="48"/>
          <w:szCs w:val="48"/>
        </w:rPr>
      </w:pPr>
    </w:p>
    <w:p w14:paraId="6C916A5D">
      <w:pPr>
        <w:pStyle w:val="2"/>
        <w:rPr>
          <w:rFonts w:hint="eastAsia"/>
        </w:rPr>
      </w:pPr>
    </w:p>
    <w:p w14:paraId="5A86FF22">
      <w:pPr>
        <w:widowControl/>
        <w:jc w:val="center"/>
        <w:rPr>
          <w:rFonts w:ascii="黑体" w:hAnsi="黑体" w:eastAsia="黑体"/>
          <w:color w:val="000000"/>
          <w:sz w:val="48"/>
          <w:szCs w:val="48"/>
        </w:rPr>
      </w:pPr>
      <w:bookmarkStart w:id="12" w:name="_Toc15377196"/>
      <w:bookmarkStart w:id="13" w:name="_Toc15396599"/>
      <w:r>
        <w:rPr>
          <w:rFonts w:hint="eastAsia" w:ascii="黑体" w:hAnsi="黑体" w:eastAsia="黑体"/>
          <w:color w:val="000000"/>
          <w:sz w:val="48"/>
          <w:szCs w:val="48"/>
        </w:rPr>
        <w:t>目录</w:t>
      </w:r>
    </w:p>
    <w:p w14:paraId="10A17578">
      <w:pPr>
        <w:widowControl/>
        <w:jc w:val="center"/>
        <w:rPr>
          <w:rFonts w:ascii="黑体" w:hAnsi="黑体" w:eastAsia="黑体"/>
          <w:sz w:val="28"/>
          <w:szCs w:val="28"/>
        </w:rPr>
      </w:pPr>
    </w:p>
    <w:p w14:paraId="2535665F">
      <w:pPr>
        <w:pStyle w:val="13"/>
      </w:pPr>
      <w:r>
        <w:rPr>
          <w:rFonts w:hint="eastAsia"/>
        </w:rPr>
        <w:t>公开时间：</w:t>
      </w:r>
      <w:r>
        <w:t>2021</w:t>
      </w:r>
      <w:r>
        <w:rPr>
          <w:rFonts w:hint="eastAsia"/>
        </w:rPr>
        <w:t>年9月</w:t>
      </w:r>
      <w:r>
        <w:rPr>
          <w:rFonts w:hint="eastAsia"/>
          <w:lang w:val="en-US" w:eastAsia="zh-CN"/>
        </w:rPr>
        <w:t>30</w:t>
      </w:r>
      <w:r>
        <w:rPr>
          <w:rFonts w:hint="eastAsia"/>
        </w:rPr>
        <w:t>日</w:t>
      </w:r>
    </w:p>
    <w:p w14:paraId="628A98C4"/>
    <w:p w14:paraId="25721B6A">
      <w:pPr>
        <w:pStyle w:val="13"/>
        <w:adjustRightInd w:val="0"/>
        <w:snapToGrid w:val="0"/>
        <w:spacing w:before="0" w:line="440" w:lineRule="exact"/>
        <w:jc w:val="left"/>
        <w:rPr>
          <w:rFonts w:hint="default" w:ascii="Times New Roman" w:hAnsi="Times New Roman" w:eastAsia="宋体"/>
          <w:sz w:val="24"/>
          <w:szCs w:val="24"/>
          <w:lang w:val="en-US" w:eastAsia="zh-CN"/>
        </w:rPr>
      </w:pPr>
      <w:r>
        <w:rPr>
          <w:rFonts w:hint="eastAsia" w:ascii="Times New Roman" w:hAnsi="Times New Roman" w:eastAsia="宋体"/>
          <w:sz w:val="24"/>
          <w:szCs w:val="24"/>
        </w:rPr>
        <w:t>第一部分  单位概况</w:t>
      </w:r>
      <w:r>
        <w:rPr>
          <w:rFonts w:hint="eastAsia" w:ascii="Times New Roman" w:hAnsi="Times New Roman" w:eastAsia="宋体"/>
          <w:sz w:val="24"/>
          <w:szCs w:val="24"/>
          <w:lang w:val="en-US" w:eastAsia="zh-CN"/>
        </w:rPr>
        <w:t>....................................................................................................4</w:t>
      </w:r>
    </w:p>
    <w:p w14:paraId="76C50C6D">
      <w:pPr>
        <w:pStyle w:val="15"/>
        <w:adjustRightInd w:val="0"/>
        <w:snapToGrid w:val="0"/>
        <w:spacing w:line="440" w:lineRule="exact"/>
        <w:jc w:val="left"/>
        <w:rPr>
          <w:sz w:val="24"/>
        </w:rPr>
      </w:pPr>
      <w:r>
        <w:rPr>
          <w:rFonts w:hint="eastAsia"/>
          <w:sz w:val="24"/>
        </w:rPr>
        <w:t>一、基本职能及主要工作</w:t>
      </w:r>
      <w:r>
        <w:rPr>
          <w:sz w:val="24"/>
        </w:rPr>
        <w:tab/>
      </w:r>
      <w:r>
        <w:rPr>
          <w:rFonts w:hint="eastAsia"/>
          <w:sz w:val="24"/>
        </w:rPr>
        <w:t>4</w:t>
      </w:r>
    </w:p>
    <w:p w14:paraId="6436A0C1">
      <w:pPr>
        <w:pStyle w:val="15"/>
        <w:adjustRightInd w:val="0"/>
        <w:snapToGrid w:val="0"/>
        <w:spacing w:line="440" w:lineRule="exact"/>
        <w:jc w:val="left"/>
        <w:rPr>
          <w:rFonts w:hint="eastAsia"/>
          <w:sz w:val="24"/>
        </w:rPr>
      </w:pPr>
      <w:r>
        <w:rPr>
          <w:rFonts w:hint="eastAsia"/>
          <w:sz w:val="24"/>
        </w:rPr>
        <w:t>二、机构设置</w:t>
      </w:r>
      <w:r>
        <w:rPr>
          <w:sz w:val="24"/>
        </w:rPr>
        <w:tab/>
      </w:r>
      <w:r>
        <w:rPr>
          <w:rFonts w:hint="eastAsia"/>
          <w:sz w:val="24"/>
        </w:rPr>
        <w:t>6</w:t>
      </w:r>
    </w:p>
    <w:p w14:paraId="30DBAC65">
      <w:pPr>
        <w:pStyle w:val="13"/>
        <w:adjustRightInd w:val="0"/>
        <w:snapToGrid w:val="0"/>
        <w:spacing w:before="0" w:line="440" w:lineRule="exact"/>
        <w:jc w:val="left"/>
        <w:rPr>
          <w:rFonts w:hint="eastAsia" w:ascii="Times New Roman" w:hAnsi="Times New Roman" w:eastAsia="宋体"/>
          <w:sz w:val="24"/>
          <w:szCs w:val="24"/>
          <w:lang w:val="en-US" w:eastAsia="zh-CN"/>
        </w:rPr>
      </w:pPr>
      <w:r>
        <w:rPr>
          <w:rFonts w:hint="eastAsia" w:ascii="Times New Roman" w:hAnsi="Times New Roman" w:eastAsia="宋体"/>
          <w:sz w:val="24"/>
          <w:szCs w:val="24"/>
        </w:rPr>
        <w:t xml:space="preserve">第二部分  </w:t>
      </w:r>
      <w:r>
        <w:rPr>
          <w:rFonts w:ascii="Times New Roman" w:hAnsi="Times New Roman" w:eastAsia="宋体"/>
          <w:sz w:val="24"/>
          <w:szCs w:val="24"/>
        </w:rPr>
        <w:t>2020</w:t>
      </w:r>
      <w:r>
        <w:rPr>
          <w:rFonts w:hint="eastAsia" w:ascii="Times New Roman" w:hAnsi="Times New Roman" w:eastAsia="宋体"/>
          <w:sz w:val="24"/>
          <w:szCs w:val="24"/>
        </w:rPr>
        <w:t>年单位决算情况说明</w:t>
      </w:r>
      <w:r>
        <w:rPr>
          <w:rFonts w:ascii="Times New Roman" w:hAnsi="Times New Roman" w:eastAsia="宋体"/>
          <w:sz w:val="24"/>
          <w:szCs w:val="24"/>
        </w:rPr>
        <w:tab/>
      </w:r>
      <w:r>
        <w:rPr>
          <w:rFonts w:hint="eastAsia" w:ascii="Times New Roman" w:hAnsi="Times New Roman" w:eastAsia="宋体"/>
          <w:sz w:val="24"/>
          <w:szCs w:val="24"/>
          <w:lang w:val="en-US" w:eastAsia="zh-CN"/>
        </w:rPr>
        <w:t>7</w:t>
      </w:r>
    </w:p>
    <w:p w14:paraId="3A7302C6">
      <w:pPr>
        <w:pStyle w:val="15"/>
        <w:adjustRightInd w:val="0"/>
        <w:snapToGrid w:val="0"/>
        <w:spacing w:line="440" w:lineRule="exact"/>
        <w:jc w:val="left"/>
        <w:rPr>
          <w:rFonts w:hint="eastAsia"/>
          <w:sz w:val="24"/>
        </w:rPr>
      </w:pPr>
      <w:r>
        <w:rPr>
          <w:rFonts w:hint="eastAsia"/>
          <w:sz w:val="24"/>
        </w:rPr>
        <w:t>一、收入支出决算总体情况说明</w:t>
      </w:r>
      <w:r>
        <w:rPr>
          <w:sz w:val="24"/>
        </w:rPr>
        <w:tab/>
      </w:r>
      <w:r>
        <w:rPr>
          <w:sz w:val="24"/>
        </w:rPr>
        <w:t>7</w:t>
      </w:r>
    </w:p>
    <w:p w14:paraId="12D0FB94">
      <w:pPr>
        <w:pStyle w:val="15"/>
        <w:adjustRightInd w:val="0"/>
        <w:snapToGrid w:val="0"/>
        <w:spacing w:line="440" w:lineRule="exact"/>
        <w:jc w:val="left"/>
        <w:rPr>
          <w:rFonts w:hint="eastAsia"/>
          <w:sz w:val="24"/>
        </w:rPr>
      </w:pPr>
      <w:r>
        <w:rPr>
          <w:rFonts w:hint="eastAsia"/>
          <w:sz w:val="24"/>
        </w:rPr>
        <w:t>二、收入决算情况说明</w:t>
      </w:r>
      <w:r>
        <w:rPr>
          <w:sz w:val="24"/>
        </w:rPr>
        <w:tab/>
      </w:r>
      <w:r>
        <w:rPr>
          <w:sz w:val="24"/>
        </w:rPr>
        <w:t>7</w:t>
      </w:r>
    </w:p>
    <w:p w14:paraId="3C536988">
      <w:pPr>
        <w:pStyle w:val="15"/>
        <w:adjustRightInd w:val="0"/>
        <w:snapToGrid w:val="0"/>
        <w:spacing w:line="440" w:lineRule="exact"/>
        <w:jc w:val="left"/>
        <w:rPr>
          <w:rFonts w:hint="eastAsia" w:eastAsia="宋体"/>
          <w:sz w:val="24"/>
          <w:lang w:val="en-US" w:eastAsia="zh-CN"/>
        </w:rPr>
      </w:pPr>
      <w:r>
        <w:rPr>
          <w:rFonts w:hint="eastAsia"/>
          <w:sz w:val="24"/>
        </w:rPr>
        <w:t>三、支出决算情况说明</w:t>
      </w:r>
      <w:r>
        <w:rPr>
          <w:sz w:val="24"/>
        </w:rPr>
        <w:tab/>
      </w:r>
      <w:r>
        <w:rPr>
          <w:rFonts w:hint="eastAsia"/>
          <w:sz w:val="24"/>
          <w:lang w:val="en-US" w:eastAsia="zh-CN"/>
        </w:rPr>
        <w:t>7</w:t>
      </w:r>
    </w:p>
    <w:p w14:paraId="6CF9CBD5">
      <w:pPr>
        <w:pStyle w:val="15"/>
        <w:adjustRightInd w:val="0"/>
        <w:snapToGrid w:val="0"/>
        <w:spacing w:line="440" w:lineRule="exact"/>
        <w:jc w:val="left"/>
        <w:rPr>
          <w:rFonts w:hint="eastAsia" w:eastAsia="宋体"/>
          <w:sz w:val="24"/>
          <w:lang w:val="en-US" w:eastAsia="zh-CN"/>
        </w:rPr>
      </w:pPr>
      <w:r>
        <w:rPr>
          <w:rFonts w:hint="eastAsia"/>
          <w:sz w:val="24"/>
        </w:rPr>
        <w:t>四、财政拨款收入支出决算总体情况说明</w:t>
      </w:r>
      <w:r>
        <w:rPr>
          <w:sz w:val="24"/>
        </w:rPr>
        <w:tab/>
      </w:r>
      <w:r>
        <w:rPr>
          <w:rFonts w:hint="eastAsia"/>
          <w:sz w:val="24"/>
          <w:lang w:val="en-US" w:eastAsia="zh-CN"/>
        </w:rPr>
        <w:t>8</w:t>
      </w:r>
    </w:p>
    <w:p w14:paraId="2E693318">
      <w:pPr>
        <w:pStyle w:val="15"/>
        <w:adjustRightInd w:val="0"/>
        <w:snapToGrid w:val="0"/>
        <w:spacing w:line="440" w:lineRule="exact"/>
        <w:jc w:val="left"/>
        <w:rPr>
          <w:rFonts w:hint="eastAsia" w:eastAsia="宋体"/>
          <w:sz w:val="24"/>
          <w:lang w:val="en-US" w:eastAsia="zh-CN"/>
        </w:rPr>
      </w:pPr>
      <w:r>
        <w:rPr>
          <w:rFonts w:hint="eastAsia"/>
          <w:sz w:val="24"/>
        </w:rPr>
        <w:t>五、一般公共预算财政拨款支出决算情况说明</w:t>
      </w:r>
      <w:r>
        <w:rPr>
          <w:sz w:val="24"/>
        </w:rPr>
        <w:tab/>
      </w:r>
      <w:r>
        <w:rPr>
          <w:rFonts w:hint="eastAsia"/>
          <w:sz w:val="24"/>
          <w:lang w:val="en-US" w:eastAsia="zh-CN"/>
        </w:rPr>
        <w:t>8</w:t>
      </w:r>
    </w:p>
    <w:p w14:paraId="5C5CD23E">
      <w:pPr>
        <w:pStyle w:val="15"/>
        <w:adjustRightInd w:val="0"/>
        <w:snapToGrid w:val="0"/>
        <w:spacing w:line="440" w:lineRule="exact"/>
        <w:jc w:val="left"/>
        <w:rPr>
          <w:rFonts w:hint="default" w:eastAsia="宋体"/>
          <w:sz w:val="24"/>
          <w:lang w:val="en-US" w:eastAsia="zh-CN"/>
        </w:rPr>
      </w:pPr>
      <w:r>
        <w:rPr>
          <w:rFonts w:hint="eastAsia"/>
          <w:sz w:val="24"/>
        </w:rPr>
        <w:t>六、一般公共预算财政拨款基本支出决算情况说明</w:t>
      </w:r>
      <w:r>
        <w:rPr>
          <w:sz w:val="24"/>
        </w:rPr>
        <w:tab/>
      </w:r>
      <w:r>
        <w:rPr>
          <w:rFonts w:hint="eastAsia"/>
          <w:sz w:val="24"/>
          <w:lang w:val="en-US" w:eastAsia="zh-CN"/>
        </w:rPr>
        <w:t>9</w:t>
      </w:r>
    </w:p>
    <w:p w14:paraId="55F823A0">
      <w:pPr>
        <w:pStyle w:val="15"/>
        <w:adjustRightInd w:val="0"/>
        <w:snapToGrid w:val="0"/>
        <w:spacing w:line="440" w:lineRule="exact"/>
        <w:jc w:val="left"/>
        <w:rPr>
          <w:rFonts w:hint="eastAsia" w:eastAsia="宋体"/>
          <w:sz w:val="24"/>
          <w:lang w:val="en-US" w:eastAsia="zh-CN"/>
        </w:rPr>
      </w:pPr>
      <w:r>
        <w:rPr>
          <w:rFonts w:hint="eastAsia"/>
          <w:sz w:val="24"/>
        </w:rPr>
        <w:t>七、“三公”经费财政拨款支出决算情况说明</w:t>
      </w:r>
      <w:r>
        <w:rPr>
          <w:rFonts w:hint="eastAsia"/>
          <w:sz w:val="24"/>
        </w:rPr>
        <w:tab/>
      </w:r>
      <w:r>
        <w:rPr>
          <w:rFonts w:hint="eastAsia"/>
          <w:sz w:val="24"/>
          <w:lang w:val="en-US" w:eastAsia="zh-CN"/>
        </w:rPr>
        <w:t>9</w:t>
      </w:r>
    </w:p>
    <w:p w14:paraId="31E41FF4">
      <w:pPr>
        <w:pStyle w:val="15"/>
        <w:adjustRightInd w:val="0"/>
        <w:snapToGrid w:val="0"/>
        <w:spacing w:line="440" w:lineRule="exact"/>
        <w:jc w:val="left"/>
        <w:rPr>
          <w:rFonts w:hint="default" w:eastAsia="宋体"/>
          <w:sz w:val="24"/>
          <w:lang w:val="en-US" w:eastAsia="zh-CN"/>
        </w:rPr>
      </w:pPr>
      <w:r>
        <w:rPr>
          <w:rFonts w:hint="eastAsia"/>
          <w:sz w:val="24"/>
        </w:rPr>
        <w:t>八、政府性基金预算支出决算情况说明</w:t>
      </w:r>
      <w:r>
        <w:rPr>
          <w:rFonts w:hint="eastAsia"/>
          <w:sz w:val="24"/>
        </w:rPr>
        <w:tab/>
      </w:r>
      <w:r>
        <w:rPr>
          <w:rFonts w:hint="eastAsia"/>
          <w:sz w:val="24"/>
          <w:lang w:val="en-US" w:eastAsia="zh-CN"/>
        </w:rPr>
        <w:t>10</w:t>
      </w:r>
    </w:p>
    <w:p w14:paraId="2EA2F34B">
      <w:pPr>
        <w:pStyle w:val="15"/>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rPr>
        <w:tab/>
      </w:r>
      <w:r>
        <w:rPr>
          <w:rFonts w:hint="eastAsia"/>
          <w:sz w:val="24"/>
          <w:lang w:val="en-US" w:eastAsia="zh-CN"/>
        </w:rPr>
        <w:t>10</w:t>
      </w:r>
    </w:p>
    <w:p w14:paraId="6BE5BE0F">
      <w:pPr>
        <w:pStyle w:val="15"/>
        <w:adjustRightInd w:val="0"/>
        <w:snapToGrid w:val="0"/>
        <w:spacing w:line="440" w:lineRule="exact"/>
        <w:jc w:val="left"/>
        <w:rPr>
          <w:rFonts w:hint="eastAsia" w:eastAsia="宋体"/>
          <w:sz w:val="24"/>
          <w:lang w:val="en-US" w:eastAsia="zh-CN"/>
        </w:rPr>
      </w:pPr>
      <w:r>
        <w:rPr>
          <w:rFonts w:hint="eastAsia"/>
          <w:sz w:val="24"/>
        </w:rPr>
        <w:t>十、其他重要事项的情况说明</w:t>
      </w:r>
      <w:r>
        <w:rPr>
          <w:rFonts w:hint="eastAsia"/>
          <w:sz w:val="24"/>
        </w:rPr>
        <w:tab/>
      </w:r>
      <w:r>
        <w:rPr>
          <w:sz w:val="24"/>
        </w:rPr>
        <w:t>1</w:t>
      </w:r>
      <w:r>
        <w:rPr>
          <w:rFonts w:hint="eastAsia"/>
          <w:sz w:val="24"/>
          <w:lang w:val="en-US" w:eastAsia="zh-CN"/>
        </w:rPr>
        <w:t>0</w:t>
      </w:r>
    </w:p>
    <w:p w14:paraId="7ADAED6F">
      <w:pPr>
        <w:pStyle w:val="13"/>
        <w:adjustRightInd w:val="0"/>
        <w:snapToGrid w:val="0"/>
        <w:spacing w:before="0" w:line="440" w:lineRule="exact"/>
        <w:jc w:val="left"/>
        <w:rPr>
          <w:rFonts w:hint="default" w:ascii="Times New Roman" w:hAnsi="Times New Roman" w:eastAsia="宋体"/>
          <w:sz w:val="24"/>
          <w:szCs w:val="24"/>
          <w:lang w:val="en-US" w:eastAsia="zh-CN"/>
        </w:rPr>
      </w:pPr>
      <w:r>
        <w:rPr>
          <w:rFonts w:hint="eastAsia" w:ascii="Times New Roman" w:hAnsi="Times New Roman" w:eastAsia="宋体"/>
          <w:sz w:val="24"/>
          <w:szCs w:val="24"/>
        </w:rPr>
        <w:t>第三部分  名词解释</w:t>
      </w:r>
      <w:r>
        <w:rPr>
          <w:rFonts w:ascii="Times New Roman" w:hAnsi="Times New Roman" w:eastAsia="宋体"/>
          <w:sz w:val="24"/>
          <w:szCs w:val="24"/>
        </w:rPr>
        <w:tab/>
      </w:r>
      <w:r>
        <w:rPr>
          <w:rFonts w:hint="eastAsia" w:ascii="Times New Roman" w:hAnsi="Times New Roman" w:eastAsia="宋体"/>
          <w:sz w:val="24"/>
          <w:szCs w:val="24"/>
          <w:lang w:val="en-US" w:eastAsia="zh-CN"/>
        </w:rPr>
        <w:t>15</w:t>
      </w:r>
    </w:p>
    <w:p w14:paraId="1062A3B7">
      <w:pPr>
        <w:pStyle w:val="13"/>
        <w:adjustRightInd w:val="0"/>
        <w:snapToGrid w:val="0"/>
        <w:spacing w:before="0" w:line="440" w:lineRule="exact"/>
        <w:jc w:val="left"/>
        <w:rPr>
          <w:rFonts w:hint="default" w:ascii="Times New Roman" w:hAnsi="Times New Roman" w:eastAsia="宋体"/>
          <w:sz w:val="24"/>
          <w:szCs w:val="24"/>
          <w:lang w:val="en-US" w:eastAsia="zh-CN"/>
        </w:rPr>
      </w:pPr>
      <w:r>
        <w:rPr>
          <w:rFonts w:hint="eastAsia" w:ascii="Times New Roman" w:hAnsi="Times New Roman" w:eastAsia="宋体"/>
          <w:sz w:val="24"/>
          <w:szCs w:val="24"/>
        </w:rPr>
        <w:t>第四部分  附件</w:t>
      </w:r>
      <w:r>
        <w:rPr>
          <w:rFonts w:hint="eastAsia" w:ascii="Times New Roman" w:hAnsi="Times New Roman" w:eastAsia="宋体"/>
          <w:sz w:val="24"/>
          <w:szCs w:val="24"/>
          <w:lang w:val="en-US" w:eastAsia="zh-CN"/>
        </w:rPr>
        <w:t>...........</w:t>
      </w:r>
      <w:r>
        <w:rPr>
          <w:rFonts w:ascii="Times New Roman" w:hAnsi="Times New Roman" w:eastAsia="宋体"/>
          <w:sz w:val="24"/>
          <w:szCs w:val="24"/>
        </w:rPr>
        <w:tab/>
      </w:r>
      <w:r>
        <w:rPr>
          <w:rFonts w:hint="eastAsia" w:ascii="Times New Roman" w:hAnsi="Times New Roman" w:eastAsia="宋体"/>
          <w:sz w:val="24"/>
          <w:szCs w:val="24"/>
          <w:lang w:val="en-US" w:eastAsia="zh-CN"/>
        </w:rPr>
        <w:t>18</w:t>
      </w:r>
    </w:p>
    <w:p w14:paraId="157E4605">
      <w:pPr>
        <w:pStyle w:val="2"/>
        <w:pageBreakBefore w:val="0"/>
        <w:widowControl w:val="0"/>
        <w:kinsoku/>
        <w:wordWrap/>
        <w:overflowPunct/>
        <w:topLinePunct w:val="0"/>
        <w:autoSpaceDE/>
        <w:autoSpaceDN/>
        <w:bidi w:val="0"/>
        <w:spacing w:before="0" w:after="0"/>
        <w:textAlignment w:val="auto"/>
        <w:rPr>
          <w:rFonts w:hint="default" w:eastAsia="宋体"/>
          <w:b w:val="0"/>
          <w:bCs w:val="0"/>
          <w:lang w:val="en-US" w:eastAsia="zh-CN"/>
        </w:rPr>
      </w:pPr>
      <w:r>
        <w:rPr>
          <w:rFonts w:hint="eastAsia"/>
          <w:b w:val="0"/>
          <w:bCs w:val="0"/>
          <w:sz w:val="24"/>
          <w:szCs w:val="24"/>
          <w:lang w:val="en-US" w:eastAsia="zh-CN"/>
        </w:rPr>
        <w:t>附件1.....................................................................................................................................................18</w:t>
      </w:r>
      <w:r>
        <w:rPr>
          <w:rFonts w:hint="eastAsia" w:ascii="Times New Roman" w:hAnsi="Times New Roman" w:eastAsia="宋体"/>
          <w:b w:val="0"/>
          <w:bCs w:val="0"/>
          <w:sz w:val="24"/>
          <w:szCs w:val="24"/>
        </w:rPr>
        <w:t>附件</w:t>
      </w:r>
      <w:r>
        <w:rPr>
          <w:rFonts w:hint="eastAsia" w:ascii="Times New Roman" w:hAnsi="Times New Roman"/>
          <w:b w:val="0"/>
          <w:bCs w:val="0"/>
          <w:sz w:val="24"/>
          <w:szCs w:val="24"/>
          <w:lang w:val="en-US" w:eastAsia="zh-CN"/>
        </w:rPr>
        <w:t>2..........................................................................................................................21</w:t>
      </w:r>
    </w:p>
    <w:p w14:paraId="7215BEC3">
      <w:pPr>
        <w:pStyle w:val="13"/>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rPr>
        <w:t>第五部分  附表</w:t>
      </w:r>
      <w:r>
        <w:rPr>
          <w:rFonts w:ascii="Times New Roman" w:hAnsi="Times New Roman" w:eastAsia="宋体"/>
          <w:sz w:val="24"/>
          <w:szCs w:val="24"/>
        </w:rPr>
        <w:tab/>
      </w:r>
      <w:r>
        <w:rPr>
          <w:rFonts w:hint="eastAsia" w:ascii="Times New Roman" w:hAnsi="Times New Roman" w:eastAsia="宋体"/>
          <w:sz w:val="24"/>
          <w:szCs w:val="24"/>
          <w:lang w:val="en-US" w:eastAsia="zh-CN"/>
        </w:rPr>
        <w:t>24</w:t>
      </w:r>
    </w:p>
    <w:p w14:paraId="1C67083B">
      <w:pPr>
        <w:pStyle w:val="15"/>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一、收入支出决算总表</w:t>
      </w:r>
      <w:r>
        <w:rPr>
          <w:sz w:val="24"/>
        </w:rPr>
        <w:tab/>
      </w:r>
      <w:r>
        <w:rPr>
          <w:rFonts w:hint="eastAsia"/>
          <w:sz w:val="24"/>
          <w:lang w:val="en-US" w:eastAsia="zh-CN"/>
        </w:rPr>
        <w:t>24</w:t>
      </w:r>
    </w:p>
    <w:p w14:paraId="364CF9E0">
      <w:pPr>
        <w:pStyle w:val="15"/>
        <w:adjustRightInd w:val="0"/>
        <w:snapToGrid w:val="0"/>
        <w:spacing w:line="440" w:lineRule="exact"/>
        <w:jc w:val="left"/>
        <w:rPr>
          <w:rFonts w:hint="default" w:eastAsia="宋体"/>
          <w:sz w:val="24"/>
          <w:lang w:val="en-US" w:eastAsia="zh-CN"/>
        </w:rPr>
      </w:pPr>
      <w:r>
        <w:rPr>
          <w:rFonts w:hint="eastAsia"/>
          <w:sz w:val="24"/>
        </w:rPr>
        <w:t>二、收入决算表</w:t>
      </w:r>
      <w:r>
        <w:rPr>
          <w:sz w:val="24"/>
        </w:rPr>
        <w:tab/>
      </w:r>
      <w:r>
        <w:rPr>
          <w:rFonts w:hint="eastAsia"/>
          <w:sz w:val="24"/>
          <w:lang w:val="en-US" w:eastAsia="zh-CN"/>
        </w:rPr>
        <w:t>24</w:t>
      </w:r>
    </w:p>
    <w:p w14:paraId="740D27F8">
      <w:pPr>
        <w:pStyle w:val="15"/>
        <w:adjustRightInd w:val="0"/>
        <w:snapToGrid w:val="0"/>
        <w:spacing w:line="440" w:lineRule="exact"/>
        <w:jc w:val="left"/>
        <w:rPr>
          <w:rFonts w:hint="default" w:eastAsia="宋体"/>
          <w:sz w:val="24"/>
          <w:lang w:val="en-US" w:eastAsia="zh-CN"/>
        </w:rPr>
      </w:pPr>
      <w:r>
        <w:rPr>
          <w:rFonts w:hint="eastAsia"/>
          <w:sz w:val="24"/>
        </w:rPr>
        <w:t>三、支出决算表</w:t>
      </w:r>
      <w:r>
        <w:rPr>
          <w:sz w:val="24"/>
        </w:rPr>
        <w:tab/>
      </w:r>
      <w:r>
        <w:rPr>
          <w:rFonts w:hint="eastAsia"/>
          <w:sz w:val="24"/>
          <w:lang w:val="en-US" w:eastAsia="zh-CN"/>
        </w:rPr>
        <w:t>24</w:t>
      </w:r>
    </w:p>
    <w:p w14:paraId="133AEB57">
      <w:pPr>
        <w:pStyle w:val="15"/>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sz w:val="24"/>
        </w:rPr>
        <w:tab/>
      </w:r>
      <w:r>
        <w:rPr>
          <w:rFonts w:hint="eastAsia"/>
          <w:sz w:val="24"/>
          <w:lang w:val="en-US" w:eastAsia="zh-CN"/>
        </w:rPr>
        <w:t>24</w:t>
      </w:r>
    </w:p>
    <w:p w14:paraId="52E3FFDC">
      <w:pPr>
        <w:pStyle w:val="15"/>
        <w:adjustRightInd w:val="0"/>
        <w:snapToGrid w:val="0"/>
        <w:spacing w:line="440" w:lineRule="exact"/>
        <w:jc w:val="left"/>
        <w:rPr>
          <w:rFonts w:hint="default" w:eastAsia="宋体"/>
          <w:sz w:val="24"/>
          <w:lang w:val="en-US" w:eastAsia="zh-CN"/>
        </w:rPr>
      </w:pPr>
      <w:r>
        <w:rPr>
          <w:rFonts w:hint="eastAsia"/>
          <w:sz w:val="24"/>
        </w:rPr>
        <w:t>五、财政拨款支出决算明细表</w:t>
      </w:r>
      <w:r>
        <w:rPr>
          <w:sz w:val="24"/>
        </w:rPr>
        <w:tab/>
      </w:r>
      <w:r>
        <w:rPr>
          <w:rFonts w:hint="eastAsia"/>
          <w:sz w:val="24"/>
          <w:lang w:val="en-US" w:eastAsia="zh-CN"/>
        </w:rPr>
        <w:t>24</w:t>
      </w:r>
    </w:p>
    <w:p w14:paraId="4E3A34A3">
      <w:pPr>
        <w:pStyle w:val="15"/>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sz w:val="24"/>
        </w:rPr>
        <w:tab/>
      </w:r>
      <w:r>
        <w:rPr>
          <w:rFonts w:hint="eastAsia"/>
          <w:sz w:val="24"/>
          <w:lang w:val="en-US" w:eastAsia="zh-CN"/>
        </w:rPr>
        <w:t>24</w:t>
      </w:r>
    </w:p>
    <w:p w14:paraId="1422B515">
      <w:pPr>
        <w:pStyle w:val="15"/>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sz w:val="24"/>
        </w:rPr>
        <w:tab/>
      </w:r>
      <w:r>
        <w:rPr>
          <w:rFonts w:hint="eastAsia"/>
          <w:sz w:val="24"/>
          <w:lang w:val="en-US" w:eastAsia="zh-CN"/>
        </w:rPr>
        <w:t>24</w:t>
      </w:r>
    </w:p>
    <w:p w14:paraId="47A0A152">
      <w:pPr>
        <w:pStyle w:val="15"/>
        <w:adjustRightInd w:val="0"/>
        <w:snapToGrid w:val="0"/>
        <w:spacing w:line="440" w:lineRule="exact"/>
        <w:jc w:val="left"/>
        <w:rPr>
          <w:rFonts w:hint="default" w:eastAsia="宋体"/>
          <w:sz w:val="24"/>
          <w:lang w:val="en-US" w:eastAsia="zh-CN"/>
        </w:rPr>
      </w:pPr>
      <w:r>
        <w:rPr>
          <w:rFonts w:hint="eastAsia"/>
          <w:sz w:val="24"/>
        </w:rPr>
        <w:t>八、一般公共预算财政拨款基本支出决算表</w:t>
      </w:r>
      <w:r>
        <w:rPr>
          <w:sz w:val="24"/>
        </w:rPr>
        <w:tab/>
      </w:r>
      <w:r>
        <w:rPr>
          <w:rFonts w:hint="eastAsia"/>
          <w:sz w:val="24"/>
          <w:lang w:val="en-US" w:eastAsia="zh-CN"/>
        </w:rPr>
        <w:t>24</w:t>
      </w:r>
    </w:p>
    <w:p w14:paraId="23501F48">
      <w:pPr>
        <w:pStyle w:val="15"/>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sz w:val="24"/>
        </w:rPr>
        <w:tab/>
      </w:r>
      <w:r>
        <w:rPr>
          <w:rFonts w:hint="eastAsia"/>
          <w:sz w:val="24"/>
          <w:lang w:val="en-US" w:eastAsia="zh-CN"/>
        </w:rPr>
        <w:t>24</w:t>
      </w:r>
    </w:p>
    <w:p w14:paraId="1251A2DE">
      <w:pPr>
        <w:pStyle w:val="15"/>
        <w:adjustRightInd w:val="0"/>
        <w:snapToGrid w:val="0"/>
        <w:spacing w:line="440" w:lineRule="exact"/>
        <w:jc w:val="left"/>
        <w:rPr>
          <w:rFonts w:hint="default" w:eastAsia="宋体"/>
          <w:sz w:val="24"/>
          <w:lang w:val="en-US" w:eastAsia="zh-CN"/>
        </w:rPr>
      </w:pPr>
      <w:r>
        <w:rPr>
          <w:rFonts w:hint="eastAsia"/>
          <w:sz w:val="24"/>
        </w:rPr>
        <w:t>十、一般公共预算财政拨款“三公”经费支出决算表</w:t>
      </w:r>
      <w:r>
        <w:rPr>
          <w:sz w:val="24"/>
        </w:rPr>
        <w:tab/>
      </w:r>
      <w:r>
        <w:rPr>
          <w:rFonts w:hint="eastAsia"/>
          <w:sz w:val="24"/>
          <w:lang w:val="en-US" w:eastAsia="zh-CN"/>
        </w:rPr>
        <w:t>24</w:t>
      </w:r>
    </w:p>
    <w:p w14:paraId="0CE64583">
      <w:pPr>
        <w:pStyle w:val="15"/>
        <w:adjustRightInd w:val="0"/>
        <w:snapToGrid w:val="0"/>
        <w:spacing w:line="440" w:lineRule="exact"/>
        <w:jc w:val="left"/>
        <w:rPr>
          <w:rFonts w:hint="default" w:eastAsia="宋体"/>
          <w:sz w:val="24"/>
          <w:lang w:val="en-US" w:eastAsia="zh-CN"/>
        </w:rPr>
      </w:pPr>
      <w:r>
        <w:rPr>
          <w:rFonts w:hint="eastAsia"/>
          <w:sz w:val="24"/>
        </w:rPr>
        <w:t>十一、政府性基金预算财政拨款收入支出决算表</w:t>
      </w:r>
      <w:r>
        <w:rPr>
          <w:sz w:val="24"/>
        </w:rPr>
        <w:tab/>
      </w:r>
      <w:r>
        <w:rPr>
          <w:rFonts w:hint="eastAsia"/>
          <w:sz w:val="24"/>
          <w:lang w:val="en-US" w:eastAsia="zh-CN"/>
        </w:rPr>
        <w:t>24</w:t>
      </w:r>
    </w:p>
    <w:p w14:paraId="129D01AB">
      <w:pPr>
        <w:pStyle w:val="15"/>
        <w:adjustRightInd w:val="0"/>
        <w:snapToGrid w:val="0"/>
        <w:spacing w:line="440" w:lineRule="exact"/>
        <w:jc w:val="left"/>
        <w:rPr>
          <w:rFonts w:hint="default" w:eastAsia="宋体"/>
          <w:sz w:val="24"/>
          <w:lang w:val="en-US" w:eastAsia="zh-CN"/>
        </w:rPr>
      </w:pPr>
      <w:r>
        <w:rPr>
          <w:rFonts w:hint="eastAsia"/>
          <w:sz w:val="24"/>
        </w:rPr>
        <w:t>十二、政府性基金预算财政拨款“三公”经费支出决算表</w:t>
      </w:r>
      <w:r>
        <w:rPr>
          <w:sz w:val="24"/>
        </w:rPr>
        <w:tab/>
      </w:r>
      <w:r>
        <w:rPr>
          <w:rFonts w:hint="eastAsia"/>
          <w:sz w:val="24"/>
          <w:lang w:val="en-US" w:eastAsia="zh-CN"/>
        </w:rPr>
        <w:t>24</w:t>
      </w:r>
    </w:p>
    <w:p w14:paraId="298967AA">
      <w:pPr>
        <w:pStyle w:val="15"/>
        <w:adjustRightInd w:val="0"/>
        <w:snapToGrid w:val="0"/>
        <w:spacing w:line="440" w:lineRule="exact"/>
        <w:jc w:val="left"/>
        <w:rPr>
          <w:rFonts w:hint="default" w:eastAsia="宋体"/>
          <w:sz w:val="24"/>
          <w:lang w:val="en-US" w:eastAsia="zh-CN"/>
        </w:rPr>
      </w:pPr>
      <w:r>
        <w:rPr>
          <w:rFonts w:hint="eastAsia"/>
          <w:sz w:val="24"/>
        </w:rPr>
        <w:t>十三、国有资本经营预算财政拨款收入支出决算表</w:t>
      </w:r>
      <w:r>
        <w:rPr>
          <w:sz w:val="24"/>
        </w:rPr>
        <w:tab/>
      </w:r>
      <w:r>
        <w:rPr>
          <w:rFonts w:hint="eastAsia"/>
          <w:sz w:val="24"/>
          <w:lang w:val="en-US" w:eastAsia="zh-CN"/>
        </w:rPr>
        <w:t>24</w:t>
      </w:r>
    </w:p>
    <w:p w14:paraId="1D86994C">
      <w:pPr>
        <w:pStyle w:val="15"/>
        <w:adjustRightInd w:val="0"/>
        <w:snapToGrid w:val="0"/>
        <w:spacing w:line="440" w:lineRule="exact"/>
        <w:jc w:val="left"/>
      </w:pPr>
      <w:r>
        <w:rPr>
          <w:rFonts w:hint="eastAsia"/>
          <w:sz w:val="24"/>
        </w:rPr>
        <w:t>十四、国有资本经营预算财政拨款支出决算表</w:t>
      </w:r>
      <w:r>
        <w:rPr>
          <w:sz w:val="24"/>
        </w:rPr>
        <w:tab/>
      </w:r>
      <w:r>
        <w:rPr>
          <w:rFonts w:hint="eastAsia"/>
          <w:sz w:val="24"/>
          <w:lang w:val="en-US" w:eastAsia="zh-CN"/>
        </w:rPr>
        <w:t>24</w:t>
      </w:r>
      <w:r>
        <w:rPr>
          <w:sz w:val="24"/>
        </w:rPr>
        <w:br w:type="page"/>
      </w:r>
    </w:p>
    <w:bookmarkEnd w:id="12"/>
    <w:bookmarkEnd w:id="13"/>
    <w:p w14:paraId="6CA70B58">
      <w:pPr>
        <w:pStyle w:val="3"/>
        <w:jc w:val="center"/>
        <w:rPr>
          <w:rStyle w:val="43"/>
          <w:rFonts w:ascii="黑体" w:hAnsi="黑体" w:eastAsia="黑体"/>
          <w:b/>
          <w:bCs w:val="0"/>
        </w:rPr>
      </w:pPr>
      <w:r>
        <w:rPr>
          <w:rFonts w:hint="eastAsia" w:ascii="黑体" w:hAnsi="黑体" w:eastAsia="黑体"/>
          <w:b w:val="0"/>
        </w:rPr>
        <w:t>第一部分</w:t>
      </w:r>
      <w:r>
        <w:rPr>
          <w:rStyle w:val="43"/>
          <w:rFonts w:hint="eastAsia" w:ascii="黑体" w:hAnsi="黑体" w:eastAsia="黑体"/>
          <w:b w:val="0"/>
          <w:bCs w:val="0"/>
        </w:rPr>
        <w:t>单位概况</w:t>
      </w:r>
    </w:p>
    <w:p w14:paraId="10531862">
      <w:pPr>
        <w:widowControl/>
        <w:jc w:val="left"/>
        <w:rPr>
          <w:rFonts w:ascii="黑体" w:eastAsia="黑体"/>
          <w:color w:val="000000"/>
          <w:sz w:val="32"/>
          <w:szCs w:val="32"/>
        </w:rPr>
      </w:pPr>
    </w:p>
    <w:p w14:paraId="7DFE0D10">
      <w:pPr>
        <w:pStyle w:val="2"/>
        <w:rPr>
          <w:rStyle w:val="42"/>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42"/>
          <w:rFonts w:hint="eastAsia" w:ascii="黑体" w:hAnsi="黑体" w:eastAsia="黑体"/>
          <w:b w:val="0"/>
          <w:bCs w:val="0"/>
        </w:rPr>
        <w:t>本职能及主要工作</w:t>
      </w:r>
      <w:bookmarkEnd w:id="14"/>
      <w:bookmarkEnd w:id="15"/>
    </w:p>
    <w:p w14:paraId="6E5409EF">
      <w:pPr>
        <w:pStyle w:val="7"/>
        <w:adjustRightInd w:val="0"/>
        <w:spacing w:beforeLines="0" w:line="500" w:lineRule="exact"/>
        <w:ind w:firstLine="643" w:firstLineChars="200"/>
        <w:outlineLvl w:val="2"/>
        <w:rPr>
          <w:rFonts w:ascii="仿宋" w:hAnsi="仿宋" w:eastAsia="仿宋"/>
          <w:b/>
          <w:kern w:val="2"/>
          <w:sz w:val="32"/>
          <w:szCs w:val="32"/>
        </w:rPr>
      </w:pPr>
      <w:bookmarkStart w:id="16" w:name="_Toc15396601"/>
      <w:bookmarkStart w:id="17" w:name="_Toc15377200"/>
      <w:r>
        <w:rPr>
          <w:rFonts w:hint="eastAsia" w:ascii="仿宋" w:hAnsi="仿宋" w:eastAsia="仿宋"/>
          <w:b/>
          <w:kern w:val="2"/>
          <w:sz w:val="32"/>
          <w:szCs w:val="32"/>
        </w:rPr>
        <w:t>（一）基本</w:t>
      </w:r>
      <w:r>
        <w:rPr>
          <w:rFonts w:ascii="仿宋" w:hAnsi="仿宋" w:eastAsia="仿宋"/>
          <w:b/>
          <w:kern w:val="2"/>
          <w:sz w:val="32"/>
          <w:szCs w:val="32"/>
        </w:rPr>
        <w:t>职能</w:t>
      </w:r>
    </w:p>
    <w:p w14:paraId="0B5C040D">
      <w:pPr>
        <w:pStyle w:val="7"/>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1.贯彻党的教育方针，坚持社会主义办学方向，实行教育与生产劳动相结合，对学生进行德、智、体、美、劳等方面的教育。</w:t>
      </w:r>
    </w:p>
    <w:p w14:paraId="68CEDECC">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2.用科学的发展观指导教育教学工作。加强教育科研工作，推动校本教育的健康发展。加强教学管理，不断推进新课程改革，全面提高教育教学质量。</w:t>
      </w:r>
    </w:p>
    <w:p w14:paraId="7ED09946">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3.负责配合各级人民政府依法动员、组织适龄儿童入学，严格控制学生辍学，依法保证适龄儿童接受九年义务教育。</w:t>
      </w:r>
    </w:p>
    <w:p w14:paraId="3C0CF7D3">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4.继续深化人事制度改革，完善学校内部管理，做好后勤保障工作。</w:t>
      </w:r>
    </w:p>
    <w:p w14:paraId="64F46CBA">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5.负责科学管理、合理使用学校的设施设备和经费，并积极筹措资金，改善办学条件。</w:t>
      </w:r>
    </w:p>
    <w:p w14:paraId="7129F85F">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6.负责维护学校、师生的合法权益，有权拒绝任何组织和个人对教育教学活动进行非法干扰。</w:t>
      </w:r>
    </w:p>
    <w:p w14:paraId="3B9A1800">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7.负责创建绿色校园、文明校园和平安校园。</w:t>
      </w:r>
    </w:p>
    <w:p w14:paraId="591BC7B8">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8.负责关心教职工生活，发挥教代会职能作用。</w:t>
      </w:r>
    </w:p>
    <w:p w14:paraId="748712AB">
      <w:pPr>
        <w:ind w:firstLine="640" w:firstLineChars="200"/>
        <w:rPr>
          <w:rFonts w:hint="eastAsia" w:ascii="仿宋" w:hAnsi="仿宋" w:eastAsia="仿宋"/>
          <w:sz w:val="32"/>
          <w:szCs w:val="32"/>
        </w:rPr>
      </w:pPr>
      <w:r>
        <w:rPr>
          <w:rFonts w:hint="eastAsia" w:ascii="仿宋" w:hAnsi="仿宋" w:eastAsia="仿宋"/>
          <w:sz w:val="32"/>
          <w:szCs w:val="32"/>
        </w:rPr>
        <w:t>9.承办上级交办的其他事项。</w:t>
      </w:r>
    </w:p>
    <w:p w14:paraId="7B8421C4">
      <w:pPr>
        <w:pStyle w:val="2"/>
      </w:pPr>
    </w:p>
    <w:p w14:paraId="15255459">
      <w:pPr>
        <w:pStyle w:val="7"/>
        <w:adjustRightInd w:val="0"/>
        <w:spacing w:beforeLines="0" w:line="500" w:lineRule="exact"/>
        <w:ind w:firstLine="643" w:firstLineChars="200"/>
        <w:outlineLvl w:val="2"/>
        <w:rPr>
          <w:rFonts w:ascii="仿宋" w:hAnsi="仿宋" w:eastAsia="仿宋"/>
          <w:b/>
          <w:kern w:val="2"/>
          <w:sz w:val="32"/>
          <w:szCs w:val="32"/>
        </w:rPr>
      </w:pPr>
      <w:r>
        <w:rPr>
          <w:rFonts w:hint="eastAsia" w:ascii="仿宋" w:hAnsi="仿宋" w:eastAsia="仿宋"/>
          <w:b/>
          <w:kern w:val="2"/>
          <w:sz w:val="32"/>
          <w:szCs w:val="32"/>
        </w:rPr>
        <w:t>（二）</w:t>
      </w:r>
      <w:r>
        <w:rPr>
          <w:rFonts w:ascii="仿宋" w:hAnsi="仿宋" w:eastAsia="仿宋"/>
          <w:b/>
          <w:kern w:val="2"/>
          <w:sz w:val="32"/>
          <w:szCs w:val="32"/>
        </w:rPr>
        <w:t>2020 年重点工作完成情况</w:t>
      </w:r>
    </w:p>
    <w:p w14:paraId="20251A67">
      <w:pPr>
        <w:ind w:left="525"/>
        <w:rPr>
          <w:rFonts w:ascii="仿宋" w:hAnsi="仿宋" w:eastAsia="仿宋"/>
          <w:sz w:val="32"/>
          <w:szCs w:val="32"/>
        </w:rPr>
      </w:pPr>
      <w:r>
        <w:rPr>
          <w:rFonts w:hint="eastAsia" w:ascii="仿宋" w:hAnsi="仿宋" w:eastAsia="仿宋"/>
          <w:sz w:val="32"/>
          <w:szCs w:val="32"/>
        </w:rPr>
        <w:t>1、用心主动加强思想政治学习。  　　</w:t>
      </w:r>
    </w:p>
    <w:p w14:paraId="4A6DEFD7">
      <w:pPr>
        <w:ind w:firstLine="640" w:firstLineChars="200"/>
        <w:rPr>
          <w:rFonts w:hint="eastAsia" w:ascii="仿宋" w:hAnsi="仿宋" w:eastAsia="仿宋"/>
          <w:sz w:val="32"/>
          <w:szCs w:val="32"/>
        </w:rPr>
      </w:pPr>
      <w:r>
        <w:rPr>
          <w:rFonts w:hint="eastAsia" w:ascii="仿宋" w:hAnsi="仿宋" w:eastAsia="仿宋"/>
          <w:sz w:val="32"/>
          <w:szCs w:val="32"/>
        </w:rPr>
        <w:t>自己透过自学和组织安排，结合共产党员先进性教育活动，我学习了六大、十七大的精神;领导科学、现代科技;透过对党的路线、方针、政策的不断学习，自己对</w:t>
      </w:r>
      <w:r>
        <w:rPr>
          <w:rFonts w:hint="eastAsia" w:ascii="仿宋" w:hAnsi="仿宋" w:eastAsia="仿宋"/>
          <w:sz w:val="32"/>
          <w:szCs w:val="32"/>
          <w:lang w:eastAsia="zh-CN"/>
        </w:rPr>
        <w:t>“三个代表”重要思想</w:t>
      </w:r>
      <w:r>
        <w:rPr>
          <w:rFonts w:hint="eastAsia" w:ascii="仿宋" w:hAnsi="仿宋" w:eastAsia="仿宋"/>
          <w:sz w:val="32"/>
          <w:szCs w:val="32"/>
        </w:rPr>
        <w:t>和党的十六大、十七大精神有了更进一步的理解和认识，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  　　</w:t>
      </w:r>
    </w:p>
    <w:p w14:paraId="785C79E6">
      <w:pPr>
        <w:ind w:firstLine="640" w:firstLineChars="200"/>
        <w:rPr>
          <w:rFonts w:hint="eastAsia" w:ascii="仿宋" w:hAnsi="仿宋" w:eastAsia="仿宋"/>
          <w:sz w:val="32"/>
          <w:szCs w:val="32"/>
        </w:rPr>
      </w:pPr>
      <w:r>
        <w:rPr>
          <w:rFonts w:hint="eastAsia" w:ascii="仿宋" w:hAnsi="仿宋" w:eastAsia="仿宋"/>
          <w:sz w:val="32"/>
          <w:szCs w:val="32"/>
        </w:rPr>
        <w:t>2、摆正主角，创造性的开展教学工作  　　</w:t>
      </w:r>
    </w:p>
    <w:p w14:paraId="50E89501">
      <w:pPr>
        <w:ind w:firstLine="640" w:firstLineChars="200"/>
        <w:rPr>
          <w:rFonts w:hint="eastAsia" w:ascii="仿宋" w:hAnsi="仿宋" w:eastAsia="仿宋"/>
          <w:sz w:val="32"/>
          <w:szCs w:val="32"/>
        </w:rPr>
      </w:pPr>
      <w:r>
        <w:rPr>
          <w:rFonts w:hint="eastAsia" w:ascii="仿宋" w:hAnsi="仿宋" w:eastAsia="仿宋"/>
          <w:sz w:val="32"/>
          <w:szCs w:val="32"/>
        </w:rPr>
        <w:t>(一)、与时俱进，完善自我，努力学习，用心思考。</w:t>
      </w:r>
    </w:p>
    <w:p w14:paraId="14AA252B">
      <w:pPr>
        <w:ind w:firstLine="640" w:firstLineChars="200"/>
        <w:rPr>
          <w:rFonts w:hint="eastAsia" w:ascii="仿宋" w:hAnsi="仿宋" w:eastAsia="仿宋"/>
          <w:sz w:val="32"/>
          <w:szCs w:val="32"/>
        </w:rPr>
      </w:pPr>
      <w:r>
        <w:rPr>
          <w:rFonts w:hint="eastAsia" w:ascii="仿宋" w:hAnsi="仿宋" w:eastAsia="仿宋"/>
          <w:sz w:val="32"/>
          <w:szCs w:val="32"/>
        </w:rPr>
        <w:t>(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  　　</w:t>
      </w:r>
    </w:p>
    <w:p w14:paraId="1DB3C1A0">
      <w:pPr>
        <w:ind w:firstLine="640" w:firstLineChars="200"/>
        <w:rPr>
          <w:rFonts w:hint="eastAsia" w:ascii="仿宋" w:hAnsi="仿宋" w:eastAsia="仿宋"/>
          <w:sz w:val="32"/>
          <w:szCs w:val="32"/>
        </w:rPr>
      </w:pPr>
      <w:r>
        <w:rPr>
          <w:rFonts w:hint="eastAsia" w:ascii="仿宋" w:hAnsi="仿宋" w:eastAsia="仿宋"/>
          <w:sz w:val="32"/>
          <w:szCs w:val="32"/>
        </w:rPr>
        <w:t>(三)、坚持原则、办事公道。作为一名校长，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对教师学生负责。</w:t>
      </w:r>
    </w:p>
    <w:p w14:paraId="1B4DA72A">
      <w:pPr>
        <w:pStyle w:val="7"/>
        <w:adjustRightInd w:val="0"/>
        <w:spacing w:beforeLines="0" w:line="500" w:lineRule="exact"/>
        <w:ind w:firstLine="640" w:firstLineChars="200"/>
        <w:outlineLvl w:val="2"/>
        <w:rPr>
          <w:rFonts w:ascii="仿宋" w:hAnsi="仿宋" w:eastAsia="仿宋"/>
          <w:kern w:val="2"/>
          <w:sz w:val="32"/>
          <w:szCs w:val="32"/>
        </w:rPr>
      </w:pPr>
      <w:r>
        <w:rPr>
          <w:rFonts w:ascii="仿宋" w:hAnsi="仿宋" w:eastAsia="仿宋"/>
          <w:color w:val="000000"/>
          <w:kern w:val="2"/>
          <w:sz w:val="32"/>
          <w:szCs w:val="32"/>
        </w:rPr>
        <w:t>探索和研究的过程中，成就了老师的快速成长，一年来，教师获得各级各类荣誉及奖项共计</w:t>
      </w:r>
      <w:r>
        <w:rPr>
          <w:rFonts w:hint="eastAsia" w:ascii="仿宋" w:hAnsi="仿宋" w:eastAsia="仿宋"/>
          <w:color w:val="000000"/>
          <w:kern w:val="2"/>
          <w:sz w:val="32"/>
          <w:szCs w:val="32"/>
        </w:rPr>
        <w:t>12</w:t>
      </w:r>
      <w:r>
        <w:rPr>
          <w:rFonts w:ascii="仿宋" w:hAnsi="仿宋" w:eastAsia="仿宋"/>
          <w:color w:val="000000"/>
          <w:kern w:val="2"/>
          <w:sz w:val="32"/>
          <w:szCs w:val="32"/>
        </w:rPr>
        <w:t>人次、发表及获奖论文</w:t>
      </w:r>
      <w:r>
        <w:rPr>
          <w:rFonts w:hint="eastAsia" w:ascii="仿宋" w:hAnsi="仿宋" w:eastAsia="仿宋"/>
          <w:color w:val="000000"/>
          <w:kern w:val="2"/>
          <w:sz w:val="32"/>
          <w:szCs w:val="32"/>
        </w:rPr>
        <w:t>26</w:t>
      </w:r>
      <w:r>
        <w:rPr>
          <w:rFonts w:ascii="仿宋" w:hAnsi="仿宋" w:eastAsia="仿宋"/>
          <w:color w:val="000000"/>
          <w:kern w:val="2"/>
          <w:sz w:val="32"/>
          <w:szCs w:val="32"/>
        </w:rPr>
        <w:t>篇。</w:t>
      </w:r>
    </w:p>
    <w:p w14:paraId="1878625C">
      <w:pPr>
        <w:pStyle w:val="2"/>
        <w:rPr>
          <w:rStyle w:val="42"/>
          <w:b w:val="0"/>
          <w:bCs w:val="0"/>
        </w:rPr>
      </w:pPr>
      <w:r>
        <w:rPr>
          <w:rFonts w:hint="eastAsia" w:ascii="黑体" w:eastAsia="黑体"/>
          <w:b w:val="0"/>
          <w:color w:val="000000"/>
        </w:rPr>
        <w:t>二、</w:t>
      </w:r>
      <w:r>
        <w:rPr>
          <w:rFonts w:hint="eastAsia" w:ascii="黑体" w:hAnsi="黑体" w:eastAsia="黑体"/>
          <w:b w:val="0"/>
          <w:color w:val="000000"/>
        </w:rPr>
        <w:t>机</w:t>
      </w:r>
      <w:r>
        <w:rPr>
          <w:rStyle w:val="42"/>
          <w:rFonts w:hint="eastAsia" w:ascii="黑体" w:hAnsi="黑体" w:eastAsia="黑体"/>
          <w:b w:val="0"/>
          <w:bCs w:val="0"/>
        </w:rPr>
        <w:t>构设置</w:t>
      </w:r>
      <w:bookmarkEnd w:id="16"/>
      <w:bookmarkEnd w:id="17"/>
    </w:p>
    <w:p w14:paraId="2A743B75">
      <w:pPr>
        <w:snapToGrid w:val="0"/>
        <w:spacing w:line="520" w:lineRule="exact"/>
        <w:ind w:firstLine="640" w:firstLineChars="200"/>
        <w:rPr>
          <w:rFonts w:ascii="仿宋" w:hAnsi="仿宋" w:eastAsia="仿宋"/>
          <w:sz w:val="32"/>
          <w:szCs w:val="32"/>
        </w:rPr>
      </w:pPr>
      <w:bookmarkStart w:id="18" w:name="_Toc15378448"/>
      <w:bookmarkStart w:id="19" w:name="_Toc15377434"/>
      <w:bookmarkStart w:id="20" w:name="_Toc15377201"/>
      <w:bookmarkStart w:id="21" w:name="_Toc15378450"/>
      <w:bookmarkStart w:id="22" w:name="_Toc15306275"/>
      <w:bookmarkStart w:id="23" w:name="_Toc15306277"/>
      <w:bookmarkStart w:id="24" w:name="_Toc15377203"/>
      <w:bookmarkStart w:id="25" w:name="_Toc15377432"/>
      <w:r>
        <w:rPr>
          <w:rFonts w:hint="eastAsia" w:ascii="仿宋" w:hAnsi="仿宋" w:eastAsia="仿宋"/>
          <w:color w:val="000000"/>
          <w:sz w:val="32"/>
          <w:szCs w:val="32"/>
        </w:rPr>
        <w:t>本单位为广元市昭化区教育局所属的二级预算单位，单位性质为财政补助事业单位。2020年末共有学生175人，在职教职工20人</w:t>
      </w:r>
      <w:r>
        <w:rPr>
          <w:rFonts w:hint="eastAsia" w:ascii="仿宋" w:hAnsi="仿宋" w:eastAsia="仿宋"/>
          <w:sz w:val="32"/>
          <w:szCs w:val="32"/>
        </w:rPr>
        <w:t>。</w:t>
      </w:r>
    </w:p>
    <w:p w14:paraId="20C648CC">
      <w:pPr>
        <w:pStyle w:val="2"/>
        <w:rPr>
          <w:rFonts w:hint="eastAsia"/>
        </w:rPr>
      </w:pPr>
    </w:p>
    <w:bookmarkEnd w:id="18"/>
    <w:bookmarkEnd w:id="19"/>
    <w:bookmarkEnd w:id="20"/>
    <w:bookmarkEnd w:id="21"/>
    <w:bookmarkEnd w:id="22"/>
    <w:bookmarkEnd w:id="23"/>
    <w:bookmarkEnd w:id="24"/>
    <w:bookmarkEnd w:id="25"/>
    <w:p w14:paraId="76818BD7">
      <w:pPr>
        <w:widowControl/>
        <w:wordWrap/>
        <w:adjustRightInd/>
        <w:snapToGrid/>
        <w:spacing w:line="240" w:lineRule="auto"/>
        <w:ind w:left="0" w:leftChars="0" w:right="0" w:firstLine="600" w:firstLineChars="200"/>
        <w:jc w:val="left"/>
        <w:textAlignment w:val="auto"/>
        <w:rPr>
          <w:rFonts w:hint="eastAsia" w:ascii="仿宋_GB2312" w:hAnsi="仿宋_GB2312" w:eastAsia="仿宋_GB2312" w:cs="仿宋_GB2312"/>
          <w:b w:val="0"/>
          <w:bCs/>
          <w:sz w:val="30"/>
          <w:szCs w:val="30"/>
        </w:rPr>
      </w:pPr>
    </w:p>
    <w:p w14:paraId="03F9729D">
      <w:pPr>
        <w:pStyle w:val="3"/>
        <w:wordWrap/>
        <w:snapToGrid/>
        <w:spacing w:before="0" w:after="0" w:line="240" w:lineRule="auto"/>
        <w:ind w:left="0" w:leftChars="0" w:right="0" w:firstLine="0" w:firstLineChars="0"/>
        <w:jc w:val="center"/>
        <w:rPr>
          <w:rStyle w:val="36"/>
          <w:rFonts w:ascii="黑体" w:hAnsi="黑体" w:eastAsia="黑体"/>
          <w:b w:val="0"/>
          <w:bCs w:val="0"/>
        </w:rPr>
      </w:pPr>
      <w:bookmarkStart w:id="26" w:name="_Toc15396602"/>
      <w:bookmarkStart w:id="27" w:name="_Toc15377204"/>
      <w:bookmarkStart w:id="28" w:name="_Toc5345"/>
      <w:r>
        <w:rPr>
          <w:rFonts w:hint="eastAsia" w:ascii="黑体" w:hAnsi="黑体" w:eastAsia="黑体"/>
          <w:b w:val="0"/>
          <w:color w:val="000000"/>
        </w:rPr>
        <w:t>第二部分</w:t>
      </w:r>
      <w:r>
        <w:rPr>
          <w:rFonts w:hint="eastAsia" w:ascii="黑体" w:hAnsi="黑体" w:eastAsia="黑体"/>
          <w:color w:val="000000"/>
        </w:rPr>
        <w:t xml:space="preserve"> </w:t>
      </w:r>
      <w:r>
        <w:rPr>
          <w:rStyle w:val="36"/>
          <w:rFonts w:hint="eastAsia" w:ascii="黑体" w:hAnsi="黑体" w:eastAsia="黑体"/>
          <w:b w:val="0"/>
          <w:bCs w:val="0"/>
          <w:lang w:eastAsia="zh-CN"/>
        </w:rPr>
        <w:t>2020</w:t>
      </w:r>
      <w:r>
        <w:rPr>
          <w:rStyle w:val="36"/>
          <w:rFonts w:hint="eastAsia" w:ascii="黑体" w:hAnsi="黑体" w:eastAsia="黑体"/>
          <w:b w:val="0"/>
          <w:bCs w:val="0"/>
        </w:rPr>
        <w:t>年度部门决算情况说明</w:t>
      </w:r>
      <w:bookmarkEnd w:id="26"/>
      <w:bookmarkEnd w:id="27"/>
      <w:bookmarkEnd w:id="28"/>
    </w:p>
    <w:p w14:paraId="21C14BAF">
      <w:pPr>
        <w:wordWrap/>
        <w:snapToGrid/>
        <w:spacing w:line="240" w:lineRule="auto"/>
        <w:ind w:left="0" w:leftChars="0" w:right="0" w:firstLine="0" w:firstLineChars="0"/>
        <w:jc w:val="left"/>
      </w:pPr>
    </w:p>
    <w:p w14:paraId="48B8EB03">
      <w:pPr>
        <w:pStyle w:val="24"/>
        <w:widowControl w:val="0"/>
        <w:numPr>
          <w:ilvl w:val="0"/>
          <w:numId w:val="1"/>
        </w:numPr>
        <w:wordWrap/>
        <w:snapToGrid/>
        <w:spacing w:line="240" w:lineRule="auto"/>
        <w:ind w:left="0" w:leftChars="0" w:right="0" w:firstLine="600" w:firstLineChars="200"/>
        <w:jc w:val="left"/>
        <w:textAlignment w:val="auto"/>
        <w:outlineLvl w:val="1"/>
        <w:rPr>
          <w:rStyle w:val="37"/>
          <w:rFonts w:hint="eastAsia" w:ascii="黑体" w:hAnsi="黑体" w:eastAsia="黑体" w:cs="黑体"/>
          <w:b w:val="0"/>
          <w:bCs w:val="0"/>
          <w:sz w:val="30"/>
          <w:szCs w:val="30"/>
        </w:rPr>
      </w:pPr>
      <w:bookmarkStart w:id="29" w:name="_Toc15377205"/>
      <w:bookmarkStart w:id="30" w:name="_Toc15396603"/>
      <w:bookmarkStart w:id="31" w:name="_Toc32302"/>
      <w:r>
        <w:rPr>
          <w:rFonts w:hint="eastAsia" w:ascii="黑体" w:hAnsi="黑体" w:eastAsia="黑体" w:cs="黑体"/>
          <w:b w:val="0"/>
          <w:bCs w:val="0"/>
          <w:color w:val="000000"/>
          <w:sz w:val="30"/>
          <w:szCs w:val="30"/>
        </w:rPr>
        <w:t>收</w:t>
      </w:r>
      <w:r>
        <w:rPr>
          <w:rStyle w:val="37"/>
          <w:rFonts w:hint="eastAsia" w:ascii="黑体" w:hAnsi="黑体" w:eastAsia="黑体" w:cs="黑体"/>
          <w:b w:val="0"/>
          <w:bCs w:val="0"/>
          <w:sz w:val="30"/>
          <w:szCs w:val="30"/>
        </w:rPr>
        <w:t>入支出决算总体情况说明</w:t>
      </w:r>
      <w:bookmarkEnd w:id="29"/>
      <w:bookmarkEnd w:id="30"/>
      <w:bookmarkEnd w:id="31"/>
    </w:p>
    <w:p w14:paraId="50FA8A82">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年度石井铺乡</w:t>
      </w:r>
      <w:r>
        <w:rPr>
          <w:rFonts w:hint="eastAsia" w:ascii="仿宋" w:hAnsi="仿宋" w:eastAsia="仿宋"/>
          <w:sz w:val="32"/>
          <w:szCs w:val="32"/>
        </w:rPr>
        <w:t>小学收、支总计773.8</w:t>
      </w:r>
      <w:r>
        <w:rPr>
          <w:rFonts w:hint="eastAsia" w:ascii="仿宋" w:hAnsi="仿宋" w:eastAsia="仿宋"/>
          <w:sz w:val="32"/>
          <w:szCs w:val="32"/>
          <w:lang w:val="en-US" w:eastAsia="zh-CN"/>
        </w:rPr>
        <w:t>4</w:t>
      </w:r>
      <w:r>
        <w:rPr>
          <w:rFonts w:hint="eastAsia" w:ascii="仿宋" w:hAnsi="仿宋" w:eastAsia="仿宋"/>
          <w:sz w:val="32"/>
          <w:szCs w:val="32"/>
        </w:rPr>
        <w:t>万元。与</w:t>
      </w:r>
      <w:r>
        <w:rPr>
          <w:rFonts w:ascii="仿宋" w:hAnsi="仿宋" w:eastAsia="仿宋"/>
          <w:sz w:val="32"/>
          <w:szCs w:val="32"/>
        </w:rPr>
        <w:t>2019</w:t>
      </w:r>
      <w:r>
        <w:rPr>
          <w:rFonts w:hint="eastAsia" w:ascii="仿宋" w:hAnsi="仿宋" w:eastAsia="仿宋"/>
          <w:sz w:val="32"/>
          <w:szCs w:val="32"/>
        </w:rPr>
        <w:t>年相比收、支总计各增加29.05万元，增长3.90</w:t>
      </w:r>
      <w:r>
        <w:rPr>
          <w:rFonts w:ascii="仿宋" w:hAnsi="仿宋" w:eastAsia="仿宋"/>
          <w:sz w:val="32"/>
          <w:szCs w:val="32"/>
        </w:rPr>
        <w:t>%</w:t>
      </w:r>
      <w:r>
        <w:rPr>
          <w:rFonts w:hint="eastAsia" w:ascii="仿宋" w:hAnsi="仿宋" w:eastAsia="仿宋"/>
          <w:sz w:val="32"/>
          <w:szCs w:val="32"/>
        </w:rPr>
        <w:t>。主要变动原因是教职工资变动和公用</w:t>
      </w:r>
      <w:r>
        <w:rPr>
          <w:rFonts w:ascii="仿宋" w:hAnsi="仿宋" w:eastAsia="仿宋"/>
          <w:sz w:val="32"/>
          <w:szCs w:val="32"/>
        </w:rPr>
        <w:t>支出增加</w:t>
      </w:r>
      <w:r>
        <w:rPr>
          <w:rFonts w:hint="eastAsia" w:ascii="仿宋" w:hAnsi="仿宋" w:eastAsia="仿宋"/>
          <w:sz w:val="32"/>
          <w:szCs w:val="32"/>
        </w:rPr>
        <w:t>。</w:t>
      </w:r>
    </w:p>
    <w:p w14:paraId="51E4F5BD">
      <w:pPr>
        <w:pStyle w:val="7"/>
        <w:rPr>
          <w:rFonts w:hint="eastAsia"/>
        </w:rPr>
      </w:pPr>
    </w:p>
    <w:p w14:paraId="6706E164">
      <w:pPr>
        <w:pStyle w:val="24"/>
        <w:widowControl w:val="0"/>
        <w:numPr>
          <w:ilvl w:val="0"/>
          <w:numId w:val="1"/>
        </w:numPr>
        <w:wordWrap/>
        <w:snapToGrid/>
        <w:spacing w:line="240" w:lineRule="auto"/>
        <w:ind w:left="0" w:leftChars="0" w:right="0" w:firstLine="600" w:firstLineChars="200"/>
        <w:jc w:val="left"/>
        <w:textAlignment w:val="auto"/>
        <w:outlineLvl w:val="1"/>
        <w:rPr>
          <w:rStyle w:val="37"/>
          <w:rFonts w:hint="eastAsia" w:ascii="黑体" w:hAnsi="黑体" w:eastAsia="黑体" w:cs="黑体"/>
          <w:b w:val="0"/>
          <w:bCs w:val="0"/>
          <w:sz w:val="30"/>
          <w:szCs w:val="30"/>
        </w:rPr>
      </w:pPr>
      <w:bookmarkStart w:id="32" w:name="_Toc15377206"/>
      <w:bookmarkStart w:id="33" w:name="_Toc27754"/>
      <w:bookmarkStart w:id="34" w:name="_Toc15396604"/>
      <w:r>
        <w:rPr>
          <w:rFonts w:hint="eastAsia" w:ascii="黑体" w:hAnsi="黑体" w:eastAsia="黑体" w:cs="黑体"/>
          <w:b w:val="0"/>
          <w:bCs w:val="0"/>
          <w:color w:val="000000"/>
          <w:sz w:val="30"/>
          <w:szCs w:val="30"/>
        </w:rPr>
        <w:t>收</w:t>
      </w:r>
      <w:r>
        <w:rPr>
          <w:rStyle w:val="37"/>
          <w:rFonts w:hint="eastAsia" w:ascii="黑体" w:hAnsi="黑体" w:eastAsia="黑体" w:cs="黑体"/>
          <w:b w:val="0"/>
          <w:bCs w:val="0"/>
          <w:sz w:val="30"/>
          <w:szCs w:val="30"/>
        </w:rPr>
        <w:t>入决算情况说明</w:t>
      </w:r>
      <w:bookmarkEnd w:id="32"/>
      <w:bookmarkEnd w:id="33"/>
      <w:bookmarkEnd w:id="34"/>
    </w:p>
    <w:p w14:paraId="7C27D0FF">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sz w:val="32"/>
          <w:szCs w:val="32"/>
        </w:rPr>
        <w:t>773.8</w:t>
      </w:r>
      <w:r>
        <w:rPr>
          <w:rFonts w:hint="eastAsia" w:ascii="仿宋" w:hAnsi="仿宋" w:eastAsia="仿宋"/>
          <w:sz w:val="32"/>
          <w:szCs w:val="32"/>
          <w:lang w:val="en-US" w:eastAsia="zh-CN"/>
        </w:rPr>
        <w:t>4</w:t>
      </w:r>
      <w:r>
        <w:rPr>
          <w:rFonts w:hint="eastAsia" w:ascii="仿宋" w:hAnsi="仿宋" w:eastAsia="仿宋"/>
          <w:color w:val="000000"/>
          <w:sz w:val="32"/>
          <w:szCs w:val="32"/>
        </w:rPr>
        <w:t>万元，其中：一般公共预算财政拨款收入</w:t>
      </w:r>
      <w:r>
        <w:rPr>
          <w:rFonts w:hint="eastAsia" w:ascii="仿宋" w:hAnsi="仿宋" w:eastAsia="仿宋"/>
          <w:sz w:val="32"/>
          <w:szCs w:val="32"/>
        </w:rPr>
        <w:t>773.8</w:t>
      </w:r>
      <w:r>
        <w:rPr>
          <w:rFonts w:hint="eastAsia" w:ascii="仿宋" w:hAnsi="仿宋" w:eastAsia="仿宋"/>
          <w:sz w:val="32"/>
          <w:szCs w:val="32"/>
          <w:lang w:val="en-US" w:eastAsia="zh-CN"/>
        </w:rPr>
        <w:t>4</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；政府性基金预算财政拨款收入0万元，占0.00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5B9834DA">
      <w:pPr>
        <w:widowControl w:val="0"/>
        <w:wordWrap/>
        <w:snapToGrid/>
        <w:spacing w:line="240" w:lineRule="auto"/>
        <w:ind w:left="0" w:leftChars="0" w:right="0" w:firstLine="600" w:firstLineChars="200"/>
        <w:jc w:val="left"/>
        <w:textAlignment w:val="auto"/>
        <w:outlineLvl w:val="9"/>
        <w:rPr>
          <w:rFonts w:hint="eastAsia" w:ascii="仿宋_GB2312" w:hAnsi="仿宋_GB2312" w:eastAsia="仿宋_GB2312" w:cs="仿宋_GB2312"/>
          <w:color w:val="000000"/>
          <w:sz w:val="30"/>
          <w:szCs w:val="30"/>
          <w:lang w:eastAsia="zh-CN"/>
        </w:rPr>
      </w:pPr>
    </w:p>
    <w:p w14:paraId="0B11D4A5">
      <w:pPr>
        <w:pStyle w:val="24"/>
        <w:widowControl w:val="0"/>
        <w:numPr>
          <w:ilvl w:val="0"/>
          <w:numId w:val="1"/>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35" w:name="_Toc15396605"/>
      <w:bookmarkStart w:id="36" w:name="_Toc5113"/>
      <w:bookmarkStart w:id="37" w:name="_Toc15377207"/>
      <w:r>
        <w:rPr>
          <w:rFonts w:hint="eastAsia" w:ascii="黑体" w:hAnsi="黑体" w:eastAsia="黑体" w:cs="黑体"/>
          <w:b w:val="0"/>
          <w:bCs w:val="0"/>
          <w:color w:val="000000"/>
          <w:sz w:val="30"/>
          <w:szCs w:val="30"/>
        </w:rPr>
        <w:t>支出决算情况说明</w:t>
      </w:r>
      <w:bookmarkEnd w:id="35"/>
      <w:bookmarkEnd w:id="36"/>
      <w:bookmarkEnd w:id="37"/>
      <w:bookmarkStart w:id="38" w:name="_Toc15396606"/>
      <w:bookmarkStart w:id="39" w:name="_Toc15377208"/>
    </w:p>
    <w:p w14:paraId="208AA100">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年本年支出合计773.8</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万元，其中：基本支出473.8</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万元，占61.</w:t>
      </w:r>
      <w:r>
        <w:rPr>
          <w:rFonts w:hint="eastAsia" w:ascii="仿宋" w:hAnsi="仿宋" w:eastAsia="仿宋"/>
          <w:color w:val="000000"/>
          <w:sz w:val="32"/>
          <w:szCs w:val="32"/>
          <w:lang w:val="en-US" w:eastAsia="zh-CN"/>
        </w:rPr>
        <w:t>00</w:t>
      </w:r>
      <w:r>
        <w:rPr>
          <w:rFonts w:ascii="仿宋" w:hAnsi="仿宋" w:eastAsia="仿宋"/>
          <w:color w:val="000000"/>
          <w:sz w:val="32"/>
          <w:szCs w:val="32"/>
        </w:rPr>
        <w:t>%</w:t>
      </w:r>
      <w:r>
        <w:rPr>
          <w:rFonts w:hint="eastAsia" w:ascii="仿宋" w:hAnsi="仿宋" w:eastAsia="仿宋"/>
          <w:color w:val="000000"/>
          <w:sz w:val="32"/>
          <w:szCs w:val="32"/>
        </w:rPr>
        <w:t>；项目支出300万元，占3</w:t>
      </w:r>
      <w:r>
        <w:rPr>
          <w:rFonts w:hint="eastAsia" w:ascii="仿宋" w:hAnsi="仿宋" w:eastAsia="仿宋"/>
          <w:color w:val="000000"/>
          <w:sz w:val="32"/>
          <w:szCs w:val="32"/>
          <w:lang w:val="en-US" w:eastAsia="zh-CN"/>
        </w:rPr>
        <w:t>9.00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4B397E0C">
      <w:pPr>
        <w:pStyle w:val="7"/>
        <w:rPr>
          <w:rFonts w:hint="eastAsia"/>
        </w:rPr>
      </w:pPr>
    </w:p>
    <w:p w14:paraId="0812FA29">
      <w:pPr>
        <w:pStyle w:val="24"/>
        <w:widowControl w:val="0"/>
        <w:numPr>
          <w:ilvl w:val="0"/>
          <w:numId w:val="1"/>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40" w:name="_Toc13428"/>
      <w:r>
        <w:rPr>
          <w:rFonts w:hint="eastAsia" w:ascii="黑体" w:hAnsi="黑体" w:eastAsia="黑体" w:cs="黑体"/>
          <w:b w:val="0"/>
          <w:bCs w:val="0"/>
          <w:color w:val="000000"/>
          <w:sz w:val="30"/>
          <w:szCs w:val="30"/>
        </w:rPr>
        <w:t>财政拨款收入支出决算总体情况说明</w:t>
      </w:r>
      <w:bookmarkEnd w:id="38"/>
      <w:bookmarkEnd w:id="39"/>
      <w:bookmarkEnd w:id="40"/>
      <w:bookmarkStart w:id="41" w:name="_Toc15396607"/>
      <w:bookmarkStart w:id="42" w:name="_Toc15377209"/>
    </w:p>
    <w:p w14:paraId="4BD07115">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年财政拨款收、支总计773.8</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w:t>
      </w:r>
      <w:r>
        <w:rPr>
          <w:rFonts w:hint="eastAsia" w:ascii="仿宋" w:hAnsi="仿宋" w:eastAsia="仿宋"/>
          <w:sz w:val="32"/>
          <w:szCs w:val="32"/>
        </w:rPr>
        <w:t>各增加29.05万元，增长3.90</w:t>
      </w:r>
      <w:r>
        <w:rPr>
          <w:rFonts w:ascii="仿宋" w:hAnsi="仿宋" w:eastAsia="仿宋"/>
          <w:sz w:val="32"/>
          <w:szCs w:val="32"/>
        </w:rPr>
        <w:t>%</w:t>
      </w:r>
      <w:r>
        <w:rPr>
          <w:rFonts w:hint="eastAsia" w:ascii="仿宋" w:hAnsi="仿宋" w:eastAsia="仿宋"/>
          <w:sz w:val="32"/>
          <w:szCs w:val="32"/>
        </w:rPr>
        <w:t>。主要变动原因是教职工资变动和公用</w:t>
      </w:r>
      <w:r>
        <w:rPr>
          <w:rFonts w:ascii="仿宋" w:hAnsi="仿宋" w:eastAsia="仿宋"/>
          <w:sz w:val="32"/>
          <w:szCs w:val="32"/>
        </w:rPr>
        <w:t>支出增加</w:t>
      </w:r>
      <w:r>
        <w:rPr>
          <w:rFonts w:hint="eastAsia" w:ascii="仿宋" w:hAnsi="仿宋" w:eastAsia="仿宋"/>
          <w:sz w:val="32"/>
          <w:szCs w:val="32"/>
        </w:rPr>
        <w:t>。</w:t>
      </w:r>
    </w:p>
    <w:p w14:paraId="19D0FF85">
      <w:pPr>
        <w:pStyle w:val="7"/>
        <w:rPr>
          <w:rFonts w:hint="eastAsia"/>
        </w:rPr>
      </w:pPr>
    </w:p>
    <w:p w14:paraId="7FF22CAD">
      <w:pPr>
        <w:pStyle w:val="24"/>
        <w:widowControl w:val="0"/>
        <w:numPr>
          <w:ilvl w:val="0"/>
          <w:numId w:val="1"/>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43" w:name="_Toc957"/>
      <w:r>
        <w:rPr>
          <w:rFonts w:hint="eastAsia" w:ascii="黑体" w:hAnsi="黑体" w:eastAsia="黑体" w:cs="黑体"/>
          <w:b w:val="0"/>
          <w:bCs w:val="0"/>
          <w:color w:val="000000"/>
          <w:sz w:val="30"/>
          <w:szCs w:val="30"/>
        </w:rPr>
        <w:t>一般公共预算财政拨款支出决算情况说明</w:t>
      </w:r>
      <w:bookmarkEnd w:id="41"/>
      <w:bookmarkEnd w:id="42"/>
      <w:bookmarkEnd w:id="43"/>
      <w:bookmarkStart w:id="44" w:name="_Toc15396608"/>
      <w:bookmarkStart w:id="45" w:name="_Toc15377214"/>
    </w:p>
    <w:p w14:paraId="04723F4B">
      <w:pPr>
        <w:spacing w:line="600" w:lineRule="exact"/>
        <w:ind w:firstLine="643" w:firstLineChars="200"/>
        <w:outlineLvl w:val="2"/>
        <w:rPr>
          <w:rFonts w:ascii="仿宋" w:hAnsi="仿宋" w:eastAsia="仿宋"/>
          <w:b/>
          <w:color w:val="000000"/>
          <w:sz w:val="32"/>
          <w:szCs w:val="32"/>
        </w:rPr>
      </w:pPr>
      <w:bookmarkStart w:id="46" w:name="_Toc15377210"/>
      <w:bookmarkStart w:id="47" w:name="_Toc15377211"/>
      <w:bookmarkStart w:id="48" w:name="_Toc3786"/>
      <w:r>
        <w:rPr>
          <w:rFonts w:hint="eastAsia" w:ascii="仿宋" w:hAnsi="仿宋" w:eastAsia="仿宋"/>
          <w:b/>
          <w:color w:val="000000"/>
          <w:sz w:val="32"/>
          <w:szCs w:val="32"/>
        </w:rPr>
        <w:t>（一）一般公共预算财政拨款支出决算总体情况</w:t>
      </w:r>
      <w:bookmarkEnd w:id="46"/>
    </w:p>
    <w:p w14:paraId="4C5D0A87">
      <w:pPr>
        <w:spacing w:line="600" w:lineRule="exact"/>
        <w:ind w:firstLine="640" w:firstLineChars="200"/>
        <w:rPr>
          <w:rFonts w:ascii="仿宋" w:hAnsi="仿宋" w:eastAsia="仿宋"/>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sz w:val="32"/>
          <w:szCs w:val="32"/>
        </w:rPr>
        <w:t>773.8</w:t>
      </w:r>
      <w:r>
        <w:rPr>
          <w:rFonts w:hint="eastAsia" w:ascii="仿宋" w:hAnsi="仿宋" w:eastAsia="仿宋"/>
          <w:sz w:val="32"/>
          <w:szCs w:val="32"/>
          <w:lang w:val="en-US" w:eastAsia="zh-CN"/>
        </w:rPr>
        <w:t>4</w:t>
      </w:r>
      <w:r>
        <w:rPr>
          <w:rFonts w:hint="eastAsia" w:ascii="仿宋" w:hAnsi="仿宋" w:eastAsia="仿宋"/>
          <w:color w:val="000000"/>
          <w:sz w:val="32"/>
          <w:szCs w:val="32"/>
        </w:rPr>
        <w:t>万元，占本年支出合计的1</w:t>
      </w:r>
      <w:r>
        <w:rPr>
          <w:rFonts w:hint="eastAsia" w:ascii="仿宋" w:hAnsi="仿宋" w:eastAsia="仿宋"/>
          <w:sz w:val="32"/>
          <w:szCs w:val="32"/>
        </w:rPr>
        <w:t>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w:t>
      </w:r>
      <w:r>
        <w:rPr>
          <w:rFonts w:hint="eastAsia" w:ascii="仿宋" w:hAnsi="仿宋" w:eastAsia="仿宋"/>
          <w:sz w:val="32"/>
          <w:szCs w:val="32"/>
        </w:rPr>
        <w:t>增加29.05万元</w:t>
      </w:r>
      <w:r>
        <w:rPr>
          <w:rFonts w:hint="eastAsia" w:ascii="仿宋" w:hAnsi="仿宋" w:eastAsia="仿宋"/>
          <w:color w:val="000000"/>
          <w:sz w:val="32"/>
          <w:szCs w:val="32"/>
        </w:rPr>
        <w:t>，</w:t>
      </w:r>
      <w:r>
        <w:rPr>
          <w:rFonts w:hint="eastAsia" w:ascii="仿宋" w:hAnsi="仿宋" w:eastAsia="仿宋"/>
          <w:sz w:val="32"/>
          <w:szCs w:val="32"/>
        </w:rPr>
        <w:t>增长3.90</w:t>
      </w:r>
      <w:r>
        <w:rPr>
          <w:rFonts w:ascii="仿宋" w:hAnsi="仿宋" w:eastAsia="仿宋"/>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教职工资变动和公用</w:t>
      </w:r>
      <w:r>
        <w:rPr>
          <w:rFonts w:ascii="仿宋" w:hAnsi="仿宋" w:eastAsia="仿宋"/>
          <w:sz w:val="32"/>
          <w:szCs w:val="32"/>
        </w:rPr>
        <w:t>支出增加</w:t>
      </w:r>
      <w:r>
        <w:rPr>
          <w:rFonts w:hint="eastAsia" w:ascii="仿宋" w:hAnsi="仿宋" w:eastAsia="仿宋"/>
          <w:sz w:val="32"/>
          <w:szCs w:val="32"/>
        </w:rPr>
        <w:t>。</w:t>
      </w:r>
    </w:p>
    <w:p w14:paraId="018885F0">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（二）一般公共预算财政拨款支出决算结构情况</w:t>
      </w:r>
      <w:bookmarkEnd w:id="47"/>
      <w:bookmarkEnd w:id="48"/>
    </w:p>
    <w:p w14:paraId="3036F3D5">
      <w:pPr>
        <w:pStyle w:val="7"/>
        <w:rPr>
          <w:rFonts w:hint="eastAsia"/>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sz w:val="32"/>
          <w:szCs w:val="32"/>
        </w:rPr>
        <w:t>773.8</w:t>
      </w:r>
      <w:r>
        <w:rPr>
          <w:rFonts w:hint="eastAsia" w:ascii="仿宋" w:hAnsi="仿宋" w:eastAsia="仿宋"/>
          <w:sz w:val="32"/>
          <w:szCs w:val="32"/>
          <w:lang w:val="en-US" w:eastAsia="zh-CN"/>
        </w:rPr>
        <w:t>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sz w:val="32"/>
          <w:szCs w:val="32"/>
        </w:rPr>
        <w:t>773.</w:t>
      </w:r>
      <w:r>
        <w:rPr>
          <w:rFonts w:hint="eastAsia" w:ascii="仿宋" w:hAnsi="仿宋" w:eastAsia="仿宋"/>
          <w:sz w:val="32"/>
          <w:szCs w:val="32"/>
          <w:lang w:val="en-US" w:eastAsia="zh-CN"/>
        </w:rPr>
        <w:t>84</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14:paraId="62E362A7">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auto"/>
          <w:sz w:val="30"/>
          <w:szCs w:val="30"/>
        </w:rPr>
      </w:pPr>
      <w:bookmarkStart w:id="49" w:name="_Toc32054"/>
      <w:bookmarkStart w:id="50" w:name="_Toc15377212"/>
      <w:r>
        <w:rPr>
          <w:rFonts w:hint="eastAsia" w:ascii="仿宋_GB2312" w:hAnsi="仿宋_GB2312" w:eastAsia="仿宋_GB2312" w:cs="仿宋_GB2312"/>
          <w:b/>
          <w:color w:val="auto"/>
          <w:sz w:val="30"/>
          <w:szCs w:val="30"/>
          <w:lang w:eastAsia="zh-CN"/>
        </w:rPr>
        <w:t>（</w:t>
      </w:r>
      <w:r>
        <w:rPr>
          <w:rFonts w:hint="eastAsia" w:ascii="仿宋_GB2312" w:hAnsi="仿宋_GB2312" w:eastAsia="仿宋_GB2312" w:cs="仿宋_GB2312"/>
          <w:b/>
          <w:color w:val="auto"/>
          <w:sz w:val="30"/>
          <w:szCs w:val="30"/>
          <w:lang w:val="en-US" w:eastAsia="zh-CN"/>
        </w:rPr>
        <w:t>三</w:t>
      </w:r>
      <w:r>
        <w:rPr>
          <w:rFonts w:hint="eastAsia" w:ascii="仿宋_GB2312" w:hAnsi="仿宋_GB2312" w:eastAsia="仿宋_GB2312" w:cs="仿宋_GB2312"/>
          <w:b/>
          <w:color w:val="auto"/>
          <w:sz w:val="30"/>
          <w:szCs w:val="30"/>
          <w:lang w:eastAsia="zh-CN"/>
        </w:rPr>
        <w:t>）</w:t>
      </w:r>
      <w:r>
        <w:rPr>
          <w:rFonts w:hint="eastAsia" w:ascii="仿宋_GB2312" w:hAnsi="仿宋_GB2312" w:eastAsia="仿宋_GB2312" w:cs="仿宋_GB2312"/>
          <w:b/>
          <w:color w:val="auto"/>
          <w:sz w:val="30"/>
          <w:szCs w:val="30"/>
        </w:rPr>
        <w:t>一般公共预算财政拨款支出决算具体情况</w:t>
      </w:r>
      <w:bookmarkEnd w:id="49"/>
      <w:bookmarkEnd w:id="50"/>
    </w:p>
    <w:p w14:paraId="7D65951A">
      <w:pPr>
        <w:spacing w:line="600" w:lineRule="exact"/>
        <w:ind w:firstLine="643" w:firstLineChars="200"/>
        <w:outlineLvl w:val="2"/>
        <w:rPr>
          <w:rFonts w:ascii="仿宋" w:hAnsi="仿宋" w:eastAsia="仿宋"/>
          <w:color w:val="FF0000"/>
          <w:sz w:val="32"/>
          <w:szCs w:val="32"/>
        </w:rPr>
      </w:pPr>
      <w:bookmarkStart w:id="51" w:name="_Toc15377213"/>
      <w:bookmarkStart w:id="52" w:name="_Toc15377444"/>
      <w:bookmarkStart w:id="53" w:name="_Toc15378460"/>
      <w:bookmarkStart w:id="54" w:name="_Toc12572"/>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sz w:val="32"/>
          <w:szCs w:val="32"/>
        </w:rPr>
        <w:t>773.8</w:t>
      </w:r>
      <w:r>
        <w:rPr>
          <w:rFonts w:hint="eastAsia" w:ascii="仿宋" w:hAnsi="仿宋" w:eastAsia="仿宋"/>
          <w:sz w:val="32"/>
          <w:szCs w:val="32"/>
          <w:lang w:val="en-US" w:eastAsia="zh-CN"/>
        </w:rPr>
        <w:t>4</w:t>
      </w:r>
      <w:r>
        <w:rPr>
          <w:rFonts w:hint="eastAsia" w:ascii="仿宋" w:hAnsi="仿宋" w:eastAsia="仿宋"/>
          <w:b/>
          <w:color w:val="000000"/>
          <w:sz w:val="32"/>
          <w:szCs w:val="32"/>
        </w:rPr>
        <w:t>万元，</w:t>
      </w:r>
      <w:r>
        <w:rPr>
          <w:rStyle w:val="20"/>
          <w:rFonts w:hint="eastAsia" w:ascii="仿宋" w:hAnsi="仿宋" w:eastAsia="仿宋"/>
          <w:bCs/>
          <w:color w:val="000000"/>
          <w:sz w:val="32"/>
          <w:szCs w:val="32"/>
        </w:rPr>
        <w:t>完成预算100</w:t>
      </w:r>
      <w:r>
        <w:rPr>
          <w:rStyle w:val="20"/>
          <w:rFonts w:ascii="仿宋" w:hAnsi="仿宋" w:eastAsia="仿宋"/>
          <w:bCs/>
          <w:color w:val="000000"/>
          <w:sz w:val="32"/>
          <w:szCs w:val="32"/>
        </w:rPr>
        <w:t>%</w:t>
      </w:r>
      <w:r>
        <w:rPr>
          <w:rStyle w:val="20"/>
          <w:rFonts w:hint="eastAsia" w:ascii="仿宋" w:hAnsi="仿宋" w:eastAsia="仿宋"/>
          <w:bCs/>
          <w:color w:val="000000"/>
          <w:sz w:val="32"/>
          <w:szCs w:val="32"/>
        </w:rPr>
        <w:t>。其中：</w:t>
      </w:r>
      <w:bookmarkEnd w:id="51"/>
      <w:bookmarkEnd w:id="52"/>
      <w:bookmarkEnd w:id="53"/>
    </w:p>
    <w:p w14:paraId="44FA8946">
      <w:pPr>
        <w:spacing w:line="600" w:lineRule="exact"/>
        <w:ind w:firstLine="643" w:firstLineChars="200"/>
        <w:rPr>
          <w:rStyle w:val="20"/>
          <w:rFonts w:hint="eastAsia" w:ascii="仿宋" w:hAnsi="仿宋" w:eastAsia="仿宋"/>
          <w:b w:val="0"/>
          <w:bCs/>
          <w:color w:val="000000"/>
          <w:sz w:val="32"/>
          <w:szCs w:val="32"/>
        </w:rPr>
      </w:pPr>
      <w:r>
        <w:rPr>
          <w:rStyle w:val="20"/>
          <w:rFonts w:ascii="仿宋" w:hAnsi="仿宋" w:eastAsia="仿宋"/>
          <w:bCs/>
          <w:color w:val="000000"/>
          <w:sz w:val="32"/>
          <w:szCs w:val="32"/>
        </w:rPr>
        <w:t>1</w:t>
      </w:r>
      <w:r>
        <w:rPr>
          <w:rStyle w:val="20"/>
          <w:rFonts w:hint="eastAsia" w:ascii="仿宋" w:hAnsi="仿宋" w:eastAsia="仿宋"/>
          <w:bCs/>
          <w:color w:val="000000"/>
          <w:sz w:val="32"/>
          <w:szCs w:val="32"/>
        </w:rPr>
        <w:t>.教育（205）普通教育（20502）小学教育（2050202）</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w:t>
      </w:r>
      <w:r>
        <w:rPr>
          <w:rFonts w:hint="eastAsia" w:ascii="仿宋" w:hAnsi="仿宋" w:eastAsia="仿宋"/>
          <w:sz w:val="32"/>
          <w:szCs w:val="32"/>
        </w:rPr>
        <w:t>473.8</w:t>
      </w:r>
      <w:r>
        <w:rPr>
          <w:rFonts w:hint="eastAsia" w:ascii="仿宋" w:hAnsi="仿宋" w:eastAsia="仿宋"/>
          <w:sz w:val="32"/>
          <w:szCs w:val="32"/>
          <w:lang w:val="en-US" w:eastAsia="zh-CN"/>
        </w:rPr>
        <w:t>4</w:t>
      </w:r>
      <w:r>
        <w:rPr>
          <w:rStyle w:val="20"/>
          <w:rFonts w:hint="eastAsia" w:ascii="仿宋" w:hAnsi="仿宋" w:eastAsia="仿宋"/>
          <w:b w:val="0"/>
          <w:bCs/>
          <w:color w:val="000000"/>
          <w:sz w:val="32"/>
          <w:szCs w:val="32"/>
        </w:rPr>
        <w:t>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14:paraId="1BA3EBCD">
      <w:pPr>
        <w:spacing w:line="600" w:lineRule="exact"/>
        <w:ind w:firstLine="643" w:firstLineChars="200"/>
        <w:rPr>
          <w:rStyle w:val="20"/>
          <w:rFonts w:hint="eastAsia" w:ascii="仿宋" w:hAnsi="仿宋" w:eastAsia="仿宋"/>
          <w:b w:val="0"/>
          <w:bCs/>
          <w:color w:val="000000"/>
          <w:sz w:val="32"/>
          <w:szCs w:val="32"/>
        </w:rPr>
      </w:pPr>
      <w:r>
        <w:rPr>
          <w:rStyle w:val="20"/>
          <w:rFonts w:ascii="仿宋" w:hAnsi="仿宋" w:eastAsia="仿宋"/>
          <w:bCs/>
          <w:color w:val="000000"/>
          <w:sz w:val="32"/>
          <w:szCs w:val="32"/>
        </w:rPr>
        <w:t>2</w:t>
      </w:r>
      <w:r>
        <w:rPr>
          <w:rStyle w:val="20"/>
          <w:rFonts w:hint="eastAsia" w:ascii="仿宋" w:hAnsi="仿宋" w:eastAsia="仿宋"/>
          <w:bCs/>
          <w:color w:val="000000"/>
          <w:sz w:val="32"/>
          <w:szCs w:val="32"/>
        </w:rPr>
        <w:t>.教育（205）普通教育（20502）其他普通教育支出（2050299）</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支出决算为300万元，完成预算100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14:paraId="2C8007D4">
      <w:pPr>
        <w:pStyle w:val="24"/>
        <w:widowControl w:val="0"/>
        <w:numPr>
          <w:ilvl w:val="0"/>
          <w:numId w:val="0"/>
        </w:numPr>
        <w:wordWrap/>
        <w:snapToGrid/>
        <w:spacing w:line="240" w:lineRule="auto"/>
        <w:ind w:leftChars="200" w:right="0" w:rightChars="0"/>
        <w:jc w:val="left"/>
        <w:textAlignment w:val="auto"/>
        <w:outlineLvl w:val="1"/>
        <w:rPr>
          <w:rStyle w:val="37"/>
          <w:rFonts w:hint="eastAsia" w:ascii="黑体" w:hAnsi="黑体" w:eastAsia="黑体" w:cs="黑体"/>
          <w:b w:val="0"/>
          <w:sz w:val="30"/>
          <w:szCs w:val="30"/>
        </w:rPr>
      </w:pPr>
      <w:r>
        <w:rPr>
          <w:rFonts w:hint="eastAsia" w:ascii="黑体" w:hAnsi="黑体" w:eastAsia="黑体" w:cs="黑体"/>
          <w:b/>
          <w:color w:val="000000"/>
          <w:sz w:val="30"/>
          <w:szCs w:val="30"/>
          <w:lang w:val="en-US" w:eastAsia="zh-CN"/>
        </w:rPr>
        <w:t>六</w:t>
      </w:r>
      <w:r>
        <w:rPr>
          <w:rFonts w:hint="eastAsia" w:ascii="黑体" w:hAnsi="黑体" w:eastAsia="黑体" w:cs="黑体"/>
          <w:b w:val="0"/>
          <w:bCs w:val="0"/>
          <w:color w:val="000000"/>
          <w:sz w:val="30"/>
          <w:szCs w:val="30"/>
          <w:lang w:val="en-US" w:eastAsia="zh-CN"/>
        </w:rPr>
        <w:t>、</w:t>
      </w:r>
      <w:r>
        <w:rPr>
          <w:rFonts w:hint="eastAsia" w:ascii="黑体" w:hAnsi="黑体" w:eastAsia="黑体" w:cs="黑体"/>
          <w:b w:val="0"/>
          <w:bCs w:val="0"/>
          <w:color w:val="000000"/>
          <w:sz w:val="30"/>
          <w:szCs w:val="30"/>
        </w:rPr>
        <w:t>一般公共预算财政拨款基本支出决算情况说明</w:t>
      </w:r>
      <w:bookmarkEnd w:id="44"/>
      <w:bookmarkEnd w:id="45"/>
      <w:bookmarkEnd w:id="54"/>
      <w:r>
        <w:rPr>
          <w:rFonts w:hint="eastAsia" w:ascii="黑体" w:hAnsi="黑体" w:eastAsia="黑体" w:cs="黑体"/>
          <w:b w:val="0"/>
          <w:bCs w:val="0"/>
          <w:color w:val="000000"/>
          <w:sz w:val="30"/>
          <w:szCs w:val="30"/>
        </w:rPr>
        <w:tab/>
      </w:r>
      <w:bookmarkStart w:id="55" w:name="_Toc15377215"/>
      <w:bookmarkStart w:id="56" w:name="_Toc15396609"/>
    </w:p>
    <w:p w14:paraId="7473C804">
      <w:pPr>
        <w:widowControl/>
        <w:rPr>
          <w:rFonts w:ascii="仿宋" w:hAnsi="仿宋" w:eastAsia="仿宋"/>
          <w:color w:val="000000"/>
          <w:sz w:val="32"/>
          <w:szCs w:val="32"/>
        </w:rPr>
      </w:pPr>
      <w:bookmarkStart w:id="57" w:name="_Toc10333"/>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sz w:val="32"/>
          <w:szCs w:val="32"/>
        </w:rPr>
        <w:t>473.8</w:t>
      </w:r>
      <w:r>
        <w:rPr>
          <w:rFonts w:hint="eastAsia" w:ascii="仿宋" w:hAnsi="仿宋" w:eastAsia="仿宋"/>
          <w:sz w:val="32"/>
          <w:szCs w:val="32"/>
          <w:lang w:val="en-US" w:eastAsia="zh-CN"/>
        </w:rPr>
        <w:t>4</w:t>
      </w:r>
      <w:r>
        <w:rPr>
          <w:rFonts w:hint="eastAsia" w:ascii="仿宋" w:hAnsi="仿宋" w:eastAsia="仿宋"/>
          <w:color w:val="000000"/>
          <w:sz w:val="32"/>
          <w:szCs w:val="32"/>
        </w:rPr>
        <w:t>万元，其中：</w:t>
      </w:r>
    </w:p>
    <w:p w14:paraId="2AA02CDA">
      <w:pPr>
        <w:pStyle w:val="24"/>
        <w:widowControl w:val="0"/>
        <w:numPr>
          <w:ilvl w:val="0"/>
          <w:numId w:val="0"/>
        </w:numPr>
        <w:wordWrap/>
        <w:snapToGrid/>
        <w:spacing w:line="240" w:lineRule="auto"/>
        <w:ind w:left="0" w:leftChars="0" w:right="0" w:rightChars="0" w:firstLine="640" w:firstLineChars="200"/>
        <w:jc w:val="left"/>
        <w:textAlignment w:val="auto"/>
        <w:outlineLvl w:val="1"/>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ascii="仿宋" w:hAnsi="仿宋" w:eastAsia="仿宋"/>
          <w:color w:val="000000"/>
          <w:sz w:val="32"/>
          <w:szCs w:val="32"/>
        </w:rPr>
        <w:t>379</w:t>
      </w:r>
      <w:r>
        <w:rPr>
          <w:rFonts w:hint="eastAsia" w:ascii="仿宋" w:hAnsi="仿宋" w:eastAsia="仿宋"/>
          <w:color w:val="000000"/>
          <w:sz w:val="32"/>
          <w:szCs w:val="32"/>
        </w:rPr>
        <w:t>.</w:t>
      </w:r>
      <w:r>
        <w:rPr>
          <w:rFonts w:ascii="仿宋" w:hAnsi="仿宋" w:eastAsia="仿宋"/>
          <w:color w:val="000000"/>
          <w:sz w:val="32"/>
          <w:szCs w:val="32"/>
        </w:rPr>
        <w:t>0</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26FB2A94">
      <w:pPr>
        <w:pStyle w:val="24"/>
        <w:widowControl w:val="0"/>
        <w:numPr>
          <w:ilvl w:val="0"/>
          <w:numId w:val="0"/>
        </w:numPr>
        <w:wordWrap/>
        <w:snapToGrid/>
        <w:spacing w:line="240" w:lineRule="auto"/>
        <w:ind w:left="0" w:leftChars="0" w:right="0" w:rightChars="0" w:firstLine="0" w:firstLineChars="0"/>
        <w:jc w:val="left"/>
        <w:textAlignment w:val="auto"/>
        <w:outlineLvl w:val="1"/>
        <w:rPr>
          <w:rFonts w:hint="eastAsia" w:ascii="仿宋" w:hAnsi="仿宋" w:eastAsia="仿宋"/>
          <w:color w:val="000000"/>
          <w:sz w:val="32"/>
          <w:szCs w:val="32"/>
        </w:rPr>
      </w:pPr>
      <w:r>
        <w:rPr>
          <w:rFonts w:hint="eastAsia" w:ascii="仿宋" w:hAnsi="仿宋" w:eastAsia="仿宋"/>
          <w:color w:val="000000"/>
          <w:sz w:val="32"/>
          <w:szCs w:val="32"/>
        </w:rPr>
        <w:t>　　日常公用经费</w:t>
      </w:r>
      <w:r>
        <w:rPr>
          <w:rFonts w:ascii="仿宋" w:hAnsi="仿宋" w:eastAsia="仿宋"/>
          <w:color w:val="000000"/>
          <w:sz w:val="32"/>
          <w:szCs w:val="32"/>
        </w:rPr>
        <w:t>89</w:t>
      </w:r>
      <w:r>
        <w:rPr>
          <w:rFonts w:hint="eastAsia" w:ascii="仿宋" w:hAnsi="仿宋" w:eastAsia="仿宋"/>
          <w:color w:val="000000"/>
          <w:sz w:val="32"/>
          <w:szCs w:val="32"/>
        </w:rPr>
        <w:t>.</w:t>
      </w:r>
      <w:r>
        <w:rPr>
          <w:rFonts w:ascii="仿宋" w:hAnsi="仿宋" w:eastAsia="仿宋"/>
          <w:color w:val="000000"/>
          <w:sz w:val="32"/>
          <w:szCs w:val="32"/>
        </w:rPr>
        <w:t>78</w:t>
      </w:r>
      <w:r>
        <w:rPr>
          <w:rFonts w:hint="eastAsia" w:ascii="仿宋" w:hAnsi="仿宋" w:eastAsia="仿宋"/>
          <w:color w:val="000000"/>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214582F">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七、“三公”经费财政拨款支出决算情况说明</w:t>
      </w:r>
      <w:bookmarkEnd w:id="55"/>
      <w:bookmarkEnd w:id="56"/>
      <w:bookmarkEnd w:id="57"/>
      <w:bookmarkStart w:id="58" w:name="_Toc15377218"/>
      <w:bookmarkStart w:id="59" w:name="_Toc15396610"/>
    </w:p>
    <w:p w14:paraId="38205985">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bookmarkStart w:id="60" w:name="_Toc6255"/>
      <w:bookmarkStart w:id="61" w:name="_Toc15377216"/>
      <w:r>
        <w:rPr>
          <w:rFonts w:hint="eastAsia" w:ascii="仿宋_GB2312" w:hAnsi="仿宋_GB2312" w:eastAsia="仿宋_GB2312" w:cs="仿宋_GB2312"/>
          <w:b/>
          <w:color w:val="000000"/>
          <w:sz w:val="30"/>
          <w:szCs w:val="30"/>
        </w:rPr>
        <w:t>（一）“三公”经费财政拨款支出决算总体情况说明</w:t>
      </w:r>
      <w:bookmarkEnd w:id="60"/>
      <w:bookmarkEnd w:id="61"/>
    </w:p>
    <w:p w14:paraId="36D59510">
      <w:pPr>
        <w:spacing w:line="600" w:lineRule="exact"/>
        <w:ind w:firstLine="640"/>
        <w:rPr>
          <w:rFonts w:hint="eastAsia" w:ascii="仿宋_GB2312" w:hAnsi="仿宋_GB2312" w:eastAsia="仿宋_GB2312" w:cs="仿宋_GB2312"/>
          <w:color w:val="000000"/>
          <w:sz w:val="30"/>
          <w:szCs w:val="30"/>
          <w:lang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年“三公”经费财政拨款支出决算为0.67万元，完成预算</w:t>
      </w:r>
      <w:r>
        <w:rPr>
          <w:rFonts w:ascii="仿宋" w:hAnsi="仿宋" w:eastAsia="仿宋"/>
          <w:color w:val="000000"/>
          <w:sz w:val="32"/>
          <w:szCs w:val="32"/>
        </w:rPr>
        <w:t>9</w:t>
      </w:r>
      <w:r>
        <w:rPr>
          <w:rFonts w:hint="eastAsia" w:ascii="仿宋" w:hAnsi="仿宋" w:eastAsia="仿宋"/>
          <w:color w:val="000000"/>
          <w:sz w:val="32"/>
          <w:szCs w:val="32"/>
        </w:rPr>
        <w:t>8.60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000000"/>
          <w:sz w:val="32"/>
          <w:szCs w:val="32"/>
        </w:rPr>
        <w:t>主要原因是严格执行</w:t>
      </w:r>
      <w:r>
        <w:rPr>
          <w:rFonts w:hint="eastAsia" w:ascii="仿宋_GB2312" w:eastAsia="仿宋_GB2312"/>
          <w:color w:val="000000"/>
          <w:sz w:val="32"/>
          <w:szCs w:val="32"/>
          <w:lang w:val="en-US" w:eastAsia="zh-CN"/>
        </w:rPr>
        <w:t>中央</w:t>
      </w:r>
      <w:bookmarkStart w:id="85" w:name="_GoBack"/>
      <w:bookmarkEnd w:id="85"/>
      <w:r>
        <w:rPr>
          <w:rFonts w:hint="eastAsia" w:ascii="仿宋_GB2312" w:eastAsia="仿宋_GB2312"/>
          <w:color w:val="000000"/>
          <w:sz w:val="32"/>
          <w:szCs w:val="32"/>
        </w:rPr>
        <w:t>八项规定，加强公务接待管理</w:t>
      </w:r>
      <w:r>
        <w:rPr>
          <w:rFonts w:hint="eastAsia" w:ascii="仿宋_GB2312" w:eastAsia="仿宋_GB2312"/>
          <w:color w:val="000000"/>
          <w:sz w:val="32"/>
          <w:szCs w:val="32"/>
          <w:lang w:eastAsia="zh-CN"/>
        </w:rPr>
        <w:t>。</w:t>
      </w:r>
    </w:p>
    <w:p w14:paraId="5BDBECCD">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bookmarkStart w:id="62" w:name="_Toc23211"/>
      <w:bookmarkStart w:id="63" w:name="_Toc15377217"/>
      <w:r>
        <w:rPr>
          <w:rFonts w:hint="eastAsia" w:ascii="仿宋_GB2312" w:hAnsi="仿宋_GB2312" w:eastAsia="仿宋_GB2312" w:cs="仿宋_GB2312"/>
          <w:b/>
          <w:color w:val="000000"/>
          <w:sz w:val="30"/>
          <w:szCs w:val="30"/>
        </w:rPr>
        <w:t>（二）“三公”经费财政拨款支出决算具体情况说明</w:t>
      </w:r>
      <w:bookmarkEnd w:id="62"/>
      <w:bookmarkEnd w:id="63"/>
    </w:p>
    <w:p w14:paraId="46BBC774">
      <w:pPr>
        <w:spacing w:line="600" w:lineRule="exact"/>
        <w:ind w:firstLine="640"/>
        <w:rPr>
          <w:rFonts w:ascii="仿宋" w:hAnsi="仿宋" w:eastAsia="仿宋"/>
          <w:color w:val="000000"/>
          <w:sz w:val="32"/>
          <w:szCs w:val="32"/>
        </w:rPr>
      </w:pPr>
      <w:bookmarkStart w:id="64" w:name="_Toc24782"/>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；公务接待费支出决算0.67万元，占100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18C73E8E">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lang w:val="en-US" w:eastAsia="zh-CN"/>
        </w:rPr>
        <w:t xml:space="preserve"> </w:t>
      </w:r>
    </w:p>
    <w:p w14:paraId="2F3419EA">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7743FC44">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rPr>
        <w:t>0.67</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w:t>
      </w:r>
      <w:r>
        <w:rPr>
          <w:rStyle w:val="20"/>
          <w:rFonts w:ascii="仿宋" w:hAnsi="仿宋" w:eastAsia="仿宋"/>
          <w:b w:val="0"/>
          <w:bCs/>
          <w:color w:val="000000"/>
          <w:sz w:val="32"/>
          <w:szCs w:val="32"/>
        </w:rPr>
        <w:t>9</w:t>
      </w:r>
      <w:r>
        <w:rPr>
          <w:rStyle w:val="20"/>
          <w:rFonts w:hint="eastAsia" w:ascii="仿宋" w:hAnsi="仿宋" w:eastAsia="仿宋"/>
          <w:b w:val="0"/>
          <w:bCs/>
          <w:color w:val="000000"/>
          <w:sz w:val="32"/>
          <w:szCs w:val="32"/>
        </w:rPr>
        <w:t>8.60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sz w:val="32"/>
          <w:szCs w:val="32"/>
        </w:rPr>
        <w:t>2019</w:t>
      </w:r>
      <w:r>
        <w:rPr>
          <w:rFonts w:hint="eastAsia" w:ascii="仿宋_GB2312" w:eastAsia="仿宋_GB2312"/>
          <w:sz w:val="32"/>
          <w:szCs w:val="32"/>
        </w:rPr>
        <w:t>年减少0.03万元，下降5.00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000000"/>
          <w:sz w:val="32"/>
          <w:szCs w:val="32"/>
        </w:rPr>
        <w:t>主要原因是严格执行</w:t>
      </w:r>
      <w:r>
        <w:rPr>
          <w:rFonts w:hint="eastAsia" w:ascii="仿宋_GB2312" w:eastAsia="仿宋_GB2312"/>
          <w:color w:val="000000"/>
          <w:sz w:val="32"/>
          <w:szCs w:val="32"/>
          <w:lang w:val="en-US" w:eastAsia="zh-CN"/>
        </w:rPr>
        <w:t>中央</w:t>
      </w:r>
      <w:r>
        <w:rPr>
          <w:rFonts w:hint="eastAsia" w:ascii="仿宋_GB2312" w:eastAsia="仿宋_GB2312"/>
          <w:color w:val="000000"/>
          <w:sz w:val="32"/>
          <w:szCs w:val="32"/>
        </w:rPr>
        <w:t>八项规定，加强公务接待管理。其中：</w:t>
      </w:r>
    </w:p>
    <w:p w14:paraId="188ABA8F">
      <w:pPr>
        <w:spacing w:line="600" w:lineRule="exact"/>
        <w:ind w:firstLine="640"/>
        <w:rPr>
          <w:rFonts w:ascii="仿宋_GB2312" w:eastAsia="仿宋_GB2312"/>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0.67</w:t>
      </w:r>
      <w:r>
        <w:rPr>
          <w:rFonts w:hint="eastAsia" w:ascii="仿宋_GB2312" w:eastAsia="仿宋_GB2312"/>
          <w:color w:val="000000"/>
          <w:sz w:val="32"/>
          <w:szCs w:val="32"/>
        </w:rPr>
        <w:t>万元，主要用于执行公务、开展业务活动开支的交通费、住宿费、用餐费等。国内公务接待36批次，126人次（不包括陪同人员），共计支出0.67万元，具体内容包括：教育教学业务开支，</w:t>
      </w:r>
      <w:r>
        <w:rPr>
          <w:rFonts w:hint="eastAsia" w:ascii="仿宋_GB2312" w:eastAsia="仿宋_GB2312"/>
          <w:sz w:val="32"/>
          <w:szCs w:val="32"/>
        </w:rPr>
        <w:t>学校及单相邻位来访考察等。</w:t>
      </w:r>
    </w:p>
    <w:p w14:paraId="1BEE1583">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14:paraId="14660027">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八、政府性基金预算支出决算情况说明</w:t>
      </w:r>
      <w:bookmarkEnd w:id="58"/>
      <w:bookmarkEnd w:id="59"/>
      <w:bookmarkEnd w:id="64"/>
      <w:bookmarkStart w:id="65" w:name="_Toc15377219"/>
      <w:bookmarkStart w:id="66" w:name="_Toc15396611"/>
    </w:p>
    <w:p w14:paraId="7BF980C2">
      <w:pPr>
        <w:pStyle w:val="24"/>
        <w:widowControl w:val="0"/>
        <w:numPr>
          <w:ilvl w:val="0"/>
          <w:numId w:val="0"/>
        </w:numPr>
        <w:wordWrap/>
        <w:snapToGrid/>
        <w:spacing w:line="240" w:lineRule="auto"/>
        <w:ind w:leftChars="200" w:right="0" w:rightChars="0"/>
        <w:jc w:val="left"/>
        <w:textAlignment w:val="auto"/>
        <w:outlineLvl w:val="1"/>
        <w:rPr>
          <w:rFonts w:hint="eastAsia" w:ascii="仿宋_GB2312" w:eastAsia="仿宋_GB2312"/>
          <w:color w:val="000000"/>
          <w:sz w:val="32"/>
          <w:szCs w:val="32"/>
        </w:rPr>
      </w:pPr>
      <w:bookmarkStart w:id="67" w:name="_Toc6994"/>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年政府性基金预算拨款支出0万元。2020年本单位未在政府性基金预算拨款安排</w:t>
      </w:r>
      <w:r>
        <w:rPr>
          <w:rFonts w:hint="eastAsia" w:ascii="仿宋_GB2312" w:eastAsia="仿宋_GB2312"/>
          <w:color w:val="000000"/>
          <w:sz w:val="32"/>
          <w:szCs w:val="32"/>
          <w:lang w:eastAsia="zh-CN"/>
        </w:rPr>
        <w:t>“三公”经费</w:t>
      </w:r>
      <w:r>
        <w:rPr>
          <w:rFonts w:hint="eastAsia" w:ascii="仿宋_GB2312" w:eastAsia="仿宋_GB2312"/>
          <w:color w:val="000000"/>
          <w:sz w:val="32"/>
          <w:szCs w:val="32"/>
        </w:rPr>
        <w:t>支出。</w:t>
      </w:r>
    </w:p>
    <w:p w14:paraId="39A682D8">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九、国有资本经营预算支出决算情况说明</w:t>
      </w:r>
      <w:bookmarkEnd w:id="65"/>
      <w:bookmarkEnd w:id="66"/>
      <w:bookmarkEnd w:id="67"/>
      <w:bookmarkStart w:id="68" w:name="_Toc15377221"/>
      <w:bookmarkStart w:id="69" w:name="_Toc15396612"/>
    </w:p>
    <w:p w14:paraId="05F5E2CB">
      <w:pPr>
        <w:widowControl w:val="0"/>
        <w:wordWrap/>
        <w:snapToGrid/>
        <w:spacing w:line="240" w:lineRule="auto"/>
        <w:ind w:left="0" w:leftChars="0" w:right="0" w:firstLine="600" w:firstLineChars="200"/>
        <w:jc w:val="left"/>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color w:val="000000"/>
          <w:sz w:val="30"/>
          <w:szCs w:val="30"/>
          <w:lang w:eastAsia="zh-CN"/>
        </w:rPr>
        <w:t>2020</w:t>
      </w:r>
      <w:r>
        <w:rPr>
          <w:rFonts w:hint="eastAsia" w:ascii="仿宋_GB2312" w:hAnsi="仿宋_GB2312" w:eastAsia="仿宋_GB2312" w:cs="仿宋_GB2312"/>
          <w:b w:val="0"/>
          <w:bCs/>
          <w:color w:val="000000"/>
          <w:sz w:val="30"/>
          <w:szCs w:val="30"/>
        </w:rPr>
        <w:t>年国有资本经营预算拨款支出</w:t>
      </w:r>
      <w:r>
        <w:rPr>
          <w:rFonts w:hint="eastAsia" w:ascii="仿宋_GB2312" w:hAnsi="仿宋_GB2312" w:eastAsia="仿宋_GB2312" w:cs="仿宋_GB2312"/>
          <w:b w:val="0"/>
          <w:bCs/>
          <w:color w:val="000000"/>
          <w:sz w:val="30"/>
          <w:szCs w:val="30"/>
          <w:lang w:val="en-US" w:eastAsia="zh-CN"/>
        </w:rPr>
        <w:t>0</w:t>
      </w:r>
      <w:r>
        <w:rPr>
          <w:rFonts w:hint="eastAsia" w:ascii="仿宋_GB2312" w:hAnsi="仿宋_GB2312" w:eastAsia="仿宋_GB2312" w:cs="仿宋_GB2312"/>
          <w:b w:val="0"/>
          <w:bCs/>
          <w:color w:val="000000"/>
          <w:sz w:val="30"/>
          <w:szCs w:val="30"/>
        </w:rPr>
        <w:t>万元。</w:t>
      </w:r>
    </w:p>
    <w:p w14:paraId="4DA288F8">
      <w:pPr>
        <w:pStyle w:val="24"/>
        <w:widowControl w:val="0"/>
        <w:numPr>
          <w:ilvl w:val="0"/>
          <w:numId w:val="0"/>
        </w:numPr>
        <w:wordWrap/>
        <w:snapToGrid/>
        <w:spacing w:line="240" w:lineRule="auto"/>
        <w:ind w:leftChars="200" w:right="0" w:rightChars="0"/>
        <w:jc w:val="left"/>
        <w:textAlignment w:val="auto"/>
        <w:outlineLvl w:val="1"/>
        <w:rPr>
          <w:rStyle w:val="37"/>
          <w:rFonts w:hint="eastAsia" w:ascii="黑体" w:hAnsi="黑体" w:eastAsia="黑体" w:cs="黑体"/>
          <w:sz w:val="30"/>
          <w:szCs w:val="30"/>
        </w:rPr>
      </w:pPr>
      <w:bookmarkStart w:id="70" w:name="_Toc10925"/>
      <w:r>
        <w:rPr>
          <w:rFonts w:hint="eastAsia" w:ascii="黑体" w:hAnsi="黑体" w:eastAsia="黑体" w:cs="黑体"/>
          <w:b w:val="0"/>
          <w:bCs w:val="0"/>
          <w:color w:val="000000"/>
          <w:sz w:val="30"/>
          <w:szCs w:val="30"/>
          <w:lang w:val="en-US" w:eastAsia="zh-CN"/>
        </w:rPr>
        <w:t>十、其他重要事项的情况说</w:t>
      </w:r>
      <w:r>
        <w:rPr>
          <w:rStyle w:val="37"/>
          <w:rFonts w:hint="eastAsia" w:ascii="黑体" w:hAnsi="黑体" w:eastAsia="黑体" w:cs="黑体"/>
          <w:b w:val="0"/>
          <w:sz w:val="30"/>
          <w:szCs w:val="30"/>
        </w:rPr>
        <w:t>明</w:t>
      </w:r>
      <w:bookmarkEnd w:id="68"/>
      <w:bookmarkEnd w:id="69"/>
      <w:bookmarkEnd w:id="70"/>
    </w:p>
    <w:p w14:paraId="407D9698">
      <w:pPr>
        <w:spacing w:line="600" w:lineRule="exact"/>
        <w:ind w:firstLine="643" w:firstLineChars="200"/>
        <w:outlineLvl w:val="2"/>
        <w:rPr>
          <w:rFonts w:ascii="仿宋" w:hAnsi="仿宋" w:eastAsia="仿宋"/>
          <w:color w:val="000000"/>
          <w:sz w:val="32"/>
          <w:szCs w:val="32"/>
        </w:rPr>
      </w:pPr>
      <w:bookmarkStart w:id="71" w:name="_Toc15377222"/>
      <w:r>
        <w:rPr>
          <w:rFonts w:hint="eastAsia" w:ascii="仿宋" w:hAnsi="仿宋" w:eastAsia="仿宋"/>
          <w:b/>
          <w:color w:val="000000"/>
          <w:sz w:val="32"/>
          <w:szCs w:val="32"/>
        </w:rPr>
        <w:t>（一）机关运行经费支出情况</w:t>
      </w:r>
      <w:bookmarkEnd w:id="71"/>
    </w:p>
    <w:p w14:paraId="77EF8FC4">
      <w:pPr>
        <w:autoSpaceDE w:val="0"/>
        <w:autoSpaceDN w:val="0"/>
        <w:adjustRightInd w:val="0"/>
        <w:spacing w:line="600" w:lineRule="exact"/>
        <w:ind w:firstLine="640" w:firstLineChars="200"/>
        <w:jc w:val="left"/>
        <w:outlineLvl w:val="2"/>
        <w:rPr>
          <w:rFonts w:hint="eastAsia" w:ascii="仿宋_GB2312" w:hAnsi="Times New Roman" w:eastAsia="仿宋_GB2312" w:cs="Times New Roman"/>
          <w:color w:val="000000"/>
          <w:sz w:val="32"/>
          <w:szCs w:val="32"/>
        </w:rPr>
      </w:pPr>
      <w:bookmarkStart w:id="72" w:name="_Toc15377223"/>
      <w:r>
        <w:rPr>
          <w:rFonts w:hint="eastAsia" w:ascii="仿宋_GB2312" w:eastAsia="仿宋_GB2312"/>
          <w:color w:val="000000"/>
          <w:sz w:val="32"/>
          <w:szCs w:val="32"/>
        </w:rPr>
        <w:t>2020年，</w:t>
      </w:r>
      <w:r>
        <w:rPr>
          <w:rFonts w:hint="eastAsia" w:ascii="仿宋_GB2312" w:eastAsia="仿宋_GB2312"/>
          <w:sz w:val="32"/>
          <w:szCs w:val="32"/>
        </w:rPr>
        <w:t>我部门</w:t>
      </w:r>
      <w:r>
        <w:rPr>
          <w:rFonts w:hint="eastAsia" w:ascii="仿宋_GB2312" w:eastAsia="仿宋_GB2312"/>
          <w:color w:val="000000"/>
          <w:sz w:val="32"/>
          <w:szCs w:val="32"/>
        </w:rPr>
        <w:t>运行经费支出0元，比2019年</w:t>
      </w:r>
      <w:r>
        <w:rPr>
          <w:rFonts w:hint="eastAsia" w:ascii="仿宋_GB2312" w:eastAsia="仿宋_GB2312"/>
          <w:color w:val="000000"/>
          <w:sz w:val="32"/>
          <w:szCs w:val="32"/>
          <w:lang w:val="en-US" w:eastAsia="zh-CN"/>
        </w:rPr>
        <w:t>预算持平</w:t>
      </w:r>
      <w:r>
        <w:rPr>
          <w:rFonts w:hint="eastAsia" w:ascii="仿宋_GB2312" w:eastAsia="仿宋_GB2312"/>
          <w:color w:val="000000"/>
          <w:sz w:val="32"/>
          <w:szCs w:val="32"/>
        </w:rPr>
        <w:t>。主要原因是</w:t>
      </w:r>
      <w:r>
        <w:rPr>
          <w:rFonts w:hint="eastAsia" w:ascii="仿宋_GB2312" w:hAnsi="Times New Roman" w:eastAsia="仿宋_GB2312" w:cs="Times New Roman"/>
          <w:color w:val="000000"/>
          <w:sz w:val="32"/>
          <w:szCs w:val="32"/>
        </w:rPr>
        <w:t>本单位为事业单位，无机关运行经费支出。</w:t>
      </w:r>
    </w:p>
    <w:p w14:paraId="0B1BB20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72"/>
    </w:p>
    <w:p w14:paraId="6E104E0F">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165BB28D">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3" w:name="_Toc15377224"/>
      <w:r>
        <w:rPr>
          <w:rFonts w:hint="eastAsia" w:ascii="仿宋" w:hAnsi="仿宋" w:eastAsia="仿宋"/>
          <w:b/>
          <w:color w:val="000000"/>
          <w:sz w:val="32"/>
          <w:szCs w:val="32"/>
        </w:rPr>
        <w:t>（三）国有资产占有使用情况</w:t>
      </w:r>
      <w:bookmarkEnd w:id="73"/>
    </w:p>
    <w:p w14:paraId="013C5DA2">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w:t>
      </w:r>
      <w:r>
        <w:rPr>
          <w:rFonts w:ascii="仿宋_GB2312" w:eastAsia="仿宋_GB2312"/>
          <w:color w:val="000000"/>
          <w:sz w:val="32"/>
          <w:szCs w:val="32"/>
        </w:rPr>
        <w:t>单位</w:t>
      </w:r>
      <w:r>
        <w:rPr>
          <w:rFonts w:hint="eastAsia" w:ascii="仿宋_GB2312" w:eastAsia="仿宋_GB2312"/>
          <w:color w:val="000000"/>
          <w:sz w:val="32"/>
          <w:szCs w:val="32"/>
        </w:rPr>
        <w:t>共有车辆0辆，其中：主要领导干部用车0辆、机要通信用车0辆、应急保障用车0辆、其他用车0辆、单价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14:paraId="1B53BBE1">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5D8E664F">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本部门在年初预算编制阶段，</w:t>
      </w:r>
      <w:r>
        <w:rPr>
          <w:rFonts w:hint="eastAsia" w:ascii="仿宋_GB2312" w:hAnsi="仿宋_GB2312" w:eastAsia="仿宋_GB2312" w:cs="仿宋_GB2312"/>
          <w:color w:val="auto"/>
          <w:sz w:val="32"/>
          <w:szCs w:val="32"/>
          <w:highlight w:val="none"/>
          <w:lang w:eastAsia="zh-CN"/>
        </w:rPr>
        <w:t>无项目，未</w:t>
      </w:r>
      <w:r>
        <w:rPr>
          <w:rFonts w:hint="eastAsia" w:ascii="仿宋_GB2312" w:hAnsi="仿宋_GB2312" w:eastAsia="仿宋_GB2312" w:cs="仿宋_GB2312"/>
          <w:color w:val="auto"/>
          <w:sz w:val="32"/>
          <w:szCs w:val="32"/>
          <w:highlight w:val="none"/>
        </w:rPr>
        <w:t>开展预算事前绩效评估。</w:t>
      </w:r>
    </w:p>
    <w:p w14:paraId="108E1F0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年部门整体支出开展绩效自评，从评价情况来看</w:t>
      </w:r>
      <w:r>
        <w:rPr>
          <w:rFonts w:hint="eastAsia" w:ascii="仿宋" w:hAnsi="仿宋" w:eastAsia="仿宋" w:cs="仿宋_GB2312"/>
          <w:color w:val="auto"/>
          <w:sz w:val="32"/>
          <w:szCs w:val="32"/>
          <w:highlight w:val="none"/>
        </w:rPr>
        <w:t>通过各项经费的使用，保障</w:t>
      </w:r>
      <w:r>
        <w:rPr>
          <w:rFonts w:hint="eastAsia" w:ascii="仿宋" w:hAnsi="仿宋" w:eastAsia="仿宋" w:cs="仿宋_GB2312"/>
          <w:color w:val="auto"/>
          <w:sz w:val="32"/>
          <w:szCs w:val="32"/>
          <w:highlight w:val="none"/>
          <w:lang w:val="en-US" w:eastAsia="zh-CN"/>
        </w:rPr>
        <w:t>教职工</w:t>
      </w:r>
      <w:r>
        <w:rPr>
          <w:rFonts w:hint="eastAsia" w:ascii="仿宋" w:hAnsi="仿宋" w:eastAsia="仿宋" w:cs="仿宋_GB2312"/>
          <w:color w:val="auto"/>
          <w:sz w:val="32"/>
          <w:szCs w:val="32"/>
          <w:highlight w:val="none"/>
        </w:rPr>
        <w:t>的基本利益，提高</w:t>
      </w:r>
      <w:r>
        <w:rPr>
          <w:rFonts w:hint="eastAsia" w:ascii="仿宋" w:hAnsi="仿宋" w:eastAsia="仿宋" w:cs="仿宋_GB2312"/>
          <w:color w:val="auto"/>
          <w:sz w:val="32"/>
          <w:szCs w:val="32"/>
          <w:highlight w:val="none"/>
          <w:lang w:val="en-US" w:eastAsia="zh-CN"/>
        </w:rPr>
        <w:t>教职工</w:t>
      </w:r>
      <w:r>
        <w:rPr>
          <w:rFonts w:hint="eastAsia" w:ascii="仿宋" w:hAnsi="仿宋" w:eastAsia="仿宋" w:cs="仿宋_GB2312"/>
          <w:color w:val="auto"/>
          <w:sz w:val="32"/>
          <w:szCs w:val="32"/>
          <w:highlight w:val="none"/>
        </w:rPr>
        <w:t>的工作积极性；保障</w:t>
      </w:r>
      <w:r>
        <w:rPr>
          <w:rFonts w:hint="eastAsia" w:ascii="仿宋" w:hAnsi="仿宋" w:eastAsia="仿宋" w:cs="仿宋_GB2312"/>
          <w:color w:val="auto"/>
          <w:sz w:val="32"/>
          <w:szCs w:val="32"/>
          <w:highlight w:val="none"/>
          <w:lang w:val="en-US" w:eastAsia="zh-CN"/>
        </w:rPr>
        <w:t>学校教育教学</w:t>
      </w:r>
      <w:r>
        <w:rPr>
          <w:rFonts w:hint="eastAsia" w:ascii="仿宋" w:hAnsi="仿宋" w:eastAsia="仿宋" w:cs="仿宋_GB2312"/>
          <w:color w:val="auto"/>
          <w:sz w:val="32"/>
          <w:szCs w:val="32"/>
          <w:highlight w:val="none"/>
        </w:rPr>
        <w:t>工作的</w:t>
      </w:r>
      <w:r>
        <w:rPr>
          <w:rFonts w:hint="eastAsia" w:ascii="仿宋" w:hAnsi="仿宋" w:eastAsia="仿宋" w:cs="仿宋_GB2312"/>
          <w:color w:val="auto"/>
          <w:sz w:val="32"/>
          <w:szCs w:val="32"/>
          <w:highlight w:val="none"/>
          <w:lang w:val="en-US" w:eastAsia="zh-CN"/>
        </w:rPr>
        <w:t>顺利开展</w:t>
      </w:r>
      <w:r>
        <w:rPr>
          <w:rFonts w:hint="eastAsia" w:ascii="仿宋" w:hAnsi="仿宋" w:eastAsia="仿宋" w:cs="仿宋_GB2312"/>
          <w:color w:val="auto"/>
          <w:sz w:val="32"/>
          <w:szCs w:val="32"/>
          <w:highlight w:val="none"/>
        </w:rPr>
        <w:t>，为本单位的良好运转起到积极推动作用，实现了年初制定的目标，从项目决策、项目管理、项目完成和项目效果来看，都较好地达到了预期的效果。</w:t>
      </w:r>
    </w:p>
    <w:p w14:paraId="4858A284">
      <w:pPr>
        <w:numPr>
          <w:ilvl w:val="0"/>
          <w:numId w:val="2"/>
        </w:numPr>
        <w:spacing w:line="580" w:lineRule="exact"/>
        <w:ind w:firstLine="640" w:firstLineChars="20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项目绩效目标完成情况。</w:t>
      </w:r>
    </w:p>
    <w:p w14:paraId="1F13A47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项目绩效目标</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实际完成情况。</w:t>
      </w:r>
    </w:p>
    <w:p w14:paraId="626A914F">
      <w:pPr>
        <w:pStyle w:val="2"/>
        <w:rPr>
          <w:rFonts w:hint="eastAsia" w:ascii="仿宋_GB2312" w:hAnsi="仿宋_GB2312" w:eastAsia="仿宋_GB2312" w:cs="仿宋_GB2312"/>
          <w:color w:val="auto"/>
          <w:sz w:val="32"/>
          <w:szCs w:val="32"/>
          <w:highlight w:val="none"/>
        </w:rPr>
      </w:pPr>
    </w:p>
    <w:p w14:paraId="024FE063">
      <w:pPr>
        <w:rPr>
          <w:rFonts w:hint="eastAsia" w:ascii="仿宋_GB2312" w:hAnsi="仿宋_GB2312" w:eastAsia="仿宋_GB2312" w:cs="仿宋_GB2312"/>
          <w:color w:val="auto"/>
          <w:sz w:val="32"/>
          <w:szCs w:val="32"/>
          <w:highlight w:val="none"/>
        </w:rPr>
      </w:pPr>
    </w:p>
    <w:p w14:paraId="514E7474">
      <w:pPr>
        <w:pStyle w:val="2"/>
        <w:rPr>
          <w:rFonts w:hint="eastAsia" w:ascii="仿宋_GB2312" w:hAnsi="仿宋_GB2312" w:eastAsia="仿宋_GB2312" w:cs="仿宋_GB2312"/>
          <w:color w:val="auto"/>
          <w:sz w:val="32"/>
          <w:szCs w:val="32"/>
          <w:highlight w:val="none"/>
        </w:rPr>
      </w:pPr>
    </w:p>
    <w:p w14:paraId="21C58CA0">
      <w:pPr>
        <w:rPr>
          <w:rFonts w:hint="eastAsia" w:ascii="仿宋_GB2312" w:hAnsi="仿宋_GB2312" w:eastAsia="仿宋_GB2312" w:cs="仿宋_GB2312"/>
          <w:color w:val="auto"/>
          <w:sz w:val="32"/>
          <w:szCs w:val="32"/>
          <w:highlight w:val="none"/>
        </w:rPr>
      </w:pPr>
    </w:p>
    <w:p w14:paraId="741B30D1">
      <w:pPr>
        <w:pStyle w:val="2"/>
        <w:rPr>
          <w:rFonts w:hint="eastAsia" w:ascii="仿宋_GB2312" w:hAnsi="仿宋_GB2312" w:eastAsia="仿宋_GB2312" w:cs="仿宋_GB2312"/>
          <w:color w:val="auto"/>
          <w:sz w:val="32"/>
          <w:szCs w:val="32"/>
          <w:highlight w:val="none"/>
        </w:rPr>
      </w:pPr>
    </w:p>
    <w:p w14:paraId="6D482BA6">
      <w:pPr>
        <w:rPr>
          <w:rFonts w:hint="eastAsia" w:ascii="仿宋_GB2312" w:hAnsi="仿宋_GB2312" w:eastAsia="仿宋_GB2312" w:cs="仿宋_GB2312"/>
          <w:color w:val="auto"/>
          <w:sz w:val="32"/>
          <w:szCs w:val="32"/>
          <w:highlight w:val="none"/>
        </w:rPr>
      </w:pPr>
    </w:p>
    <w:p w14:paraId="2A90F345">
      <w:pPr>
        <w:pStyle w:val="2"/>
        <w:rPr>
          <w:rFonts w:hint="eastAsia" w:ascii="仿宋_GB2312" w:hAnsi="仿宋_GB2312" w:eastAsia="仿宋_GB2312" w:cs="仿宋_GB2312"/>
          <w:color w:val="auto"/>
          <w:sz w:val="32"/>
          <w:szCs w:val="32"/>
          <w:highlight w:val="none"/>
        </w:rPr>
      </w:pPr>
    </w:p>
    <w:p w14:paraId="68373106">
      <w:pPr>
        <w:rPr>
          <w:rFonts w:hint="eastAsia" w:ascii="仿宋_GB2312" w:hAnsi="仿宋_GB2312" w:eastAsia="仿宋_GB2312" w:cs="仿宋_GB2312"/>
          <w:color w:val="auto"/>
          <w:sz w:val="32"/>
          <w:szCs w:val="32"/>
          <w:highlight w:val="none"/>
        </w:rPr>
      </w:pPr>
    </w:p>
    <w:p w14:paraId="7D46A53A">
      <w:pPr>
        <w:pStyle w:val="2"/>
        <w:rPr>
          <w:rFonts w:hint="eastAsia" w:ascii="仿宋_GB2312" w:hAnsi="仿宋_GB2312" w:eastAsia="仿宋_GB2312" w:cs="仿宋_GB2312"/>
          <w:color w:val="auto"/>
          <w:sz w:val="32"/>
          <w:szCs w:val="32"/>
          <w:highlight w:val="none"/>
        </w:rPr>
      </w:pPr>
    </w:p>
    <w:p w14:paraId="00733BC7">
      <w:pPr>
        <w:rPr>
          <w:rFonts w:hint="eastAsia" w:ascii="仿宋_GB2312" w:hAnsi="仿宋_GB2312" w:eastAsia="仿宋_GB2312" w:cs="仿宋_GB2312"/>
          <w:color w:val="auto"/>
          <w:sz w:val="32"/>
          <w:szCs w:val="32"/>
          <w:highlight w:val="none"/>
        </w:rPr>
      </w:pPr>
    </w:p>
    <w:p w14:paraId="0905D7A4">
      <w:pPr>
        <w:pStyle w:val="2"/>
        <w:rPr>
          <w:rFonts w:hint="eastAsia"/>
        </w:rPr>
      </w:pPr>
    </w:p>
    <w:p w14:paraId="43F03EBE">
      <w:pPr>
        <w:pStyle w:val="2"/>
        <w:rPr>
          <w:rFonts w:hint="eastAsia"/>
          <w:color w:val="auto"/>
          <w:highlight w:val="none"/>
        </w:rPr>
      </w:pPr>
    </w:p>
    <w:p w14:paraId="5DD6064F">
      <w:pPr>
        <w:rPr>
          <w:rFonts w:hint="eastAsia"/>
          <w:color w:val="auto"/>
          <w:highlight w:val="none"/>
        </w:rPr>
      </w:pPr>
    </w:p>
    <w:tbl>
      <w:tblPr>
        <w:tblStyle w:val="18"/>
        <w:tblW w:w="7820" w:type="dxa"/>
        <w:jc w:val="center"/>
        <w:tblLayout w:type="fixed"/>
        <w:tblCellMar>
          <w:top w:w="0" w:type="dxa"/>
          <w:left w:w="0" w:type="dxa"/>
          <w:bottom w:w="0" w:type="dxa"/>
          <w:right w:w="0" w:type="dxa"/>
        </w:tblCellMar>
      </w:tblPr>
      <w:tblGrid>
        <w:gridCol w:w="577"/>
        <w:gridCol w:w="1199"/>
        <w:gridCol w:w="934"/>
        <w:gridCol w:w="1501"/>
        <w:gridCol w:w="1719"/>
        <w:gridCol w:w="1890"/>
      </w:tblGrid>
      <w:tr w14:paraId="271B2DA9">
        <w:tblPrEx>
          <w:tblCellMar>
            <w:top w:w="0" w:type="dxa"/>
            <w:left w:w="0" w:type="dxa"/>
            <w:bottom w:w="0" w:type="dxa"/>
            <w:right w:w="0" w:type="dxa"/>
          </w:tblCellMar>
        </w:tblPrEx>
        <w:trPr>
          <w:trHeight w:val="1294" w:hRule="atLeast"/>
          <w:jc w:val="center"/>
        </w:trPr>
        <w:tc>
          <w:tcPr>
            <w:tcW w:w="7820" w:type="dxa"/>
            <w:gridSpan w:val="6"/>
            <w:tcBorders>
              <w:top w:val="nil"/>
              <w:left w:val="nil"/>
              <w:bottom w:val="nil"/>
              <w:right w:val="nil"/>
            </w:tcBorders>
            <w:noWrap w:val="0"/>
            <w:tcMar>
              <w:top w:w="15" w:type="dxa"/>
              <w:left w:w="15" w:type="dxa"/>
              <w:right w:w="15" w:type="dxa"/>
            </w:tcMar>
            <w:vAlign w:val="center"/>
          </w:tcPr>
          <w:p w14:paraId="1C9646B8">
            <w:pPr>
              <w:widowControl/>
              <w:jc w:val="center"/>
              <w:textAlignment w:val="center"/>
              <w:rPr>
                <w:rFonts w:hint="eastAsia" w:ascii="宋体" w:hAnsi="宋体" w:eastAsia="宋体" w:cs="宋体"/>
                <w:b/>
                <w:bCs/>
                <w:color w:val="auto"/>
                <w:kern w:val="0"/>
                <w:sz w:val="36"/>
                <w:szCs w:val="36"/>
                <w:highlight w:val="none"/>
                <w:lang w:eastAsia="zh-CN" w:bidi="ar"/>
              </w:rPr>
            </w:pPr>
            <w:r>
              <w:rPr>
                <w:rFonts w:hint="eastAsia" w:ascii="宋体" w:hAnsi="宋体" w:cs="宋体"/>
                <w:b/>
                <w:bCs/>
                <w:color w:val="auto"/>
                <w:kern w:val="0"/>
                <w:sz w:val="36"/>
                <w:szCs w:val="36"/>
                <w:highlight w:val="none"/>
                <w:lang w:bidi="ar"/>
              </w:rPr>
              <w:t>项目绩效目标完成情况表</w:t>
            </w:r>
          </w:p>
          <w:p w14:paraId="25FE800A">
            <w:pPr>
              <w:widowControl/>
              <w:jc w:val="center"/>
              <w:textAlignment w:val="center"/>
              <w:rPr>
                <w:rFonts w:ascii="宋体" w:cs="宋体"/>
                <w:color w:val="auto"/>
                <w:sz w:val="36"/>
                <w:szCs w:val="36"/>
                <w:highlight w:val="none"/>
              </w:rPr>
            </w:pPr>
            <w:r>
              <w:rPr>
                <w:rFonts w:ascii="宋体" w:hAnsi="宋体" w:cs="宋体"/>
                <w:color w:val="auto"/>
                <w:kern w:val="0"/>
                <w:sz w:val="36"/>
                <w:szCs w:val="36"/>
                <w:highlight w:val="none"/>
                <w:lang w:bidi="ar"/>
              </w:rPr>
              <w:t>(2020</w:t>
            </w:r>
            <w:r>
              <w:rPr>
                <w:rFonts w:hint="eastAsia" w:ascii="宋体" w:hAnsi="宋体" w:cs="宋体"/>
                <w:color w:val="auto"/>
                <w:kern w:val="0"/>
                <w:sz w:val="36"/>
                <w:szCs w:val="36"/>
                <w:highlight w:val="none"/>
                <w:lang w:bidi="ar"/>
              </w:rPr>
              <w:t>年度</w:t>
            </w:r>
            <w:r>
              <w:rPr>
                <w:rFonts w:ascii="宋体" w:hAnsi="宋体" w:cs="宋体"/>
                <w:color w:val="auto"/>
                <w:kern w:val="0"/>
                <w:sz w:val="36"/>
                <w:szCs w:val="36"/>
                <w:highlight w:val="none"/>
                <w:lang w:bidi="ar"/>
              </w:rPr>
              <w:t>)</w:t>
            </w:r>
          </w:p>
        </w:tc>
      </w:tr>
      <w:tr w14:paraId="1E8D0037">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A1065">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项目名称</w:t>
            </w:r>
          </w:p>
        </w:tc>
        <w:tc>
          <w:tcPr>
            <w:tcW w:w="5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A010C">
            <w:pPr>
              <w:widowControl/>
              <w:jc w:val="center"/>
              <w:textAlignment w:val="center"/>
              <w:rPr>
                <w:rFonts w:ascii="宋体" w:cs="宋体"/>
                <w:color w:val="auto"/>
                <w:sz w:val="24"/>
                <w:highlight w:val="none"/>
              </w:rPr>
            </w:pPr>
          </w:p>
        </w:tc>
      </w:tr>
      <w:tr w14:paraId="50AC18CD">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77B41">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预算单位</w:t>
            </w:r>
          </w:p>
        </w:tc>
        <w:tc>
          <w:tcPr>
            <w:tcW w:w="5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685B3">
            <w:pPr>
              <w:widowControl/>
              <w:jc w:val="center"/>
              <w:textAlignment w:val="center"/>
              <w:rPr>
                <w:rFonts w:ascii="宋体" w:cs="宋体"/>
                <w:color w:val="auto"/>
                <w:sz w:val="24"/>
                <w:highlight w:val="none"/>
              </w:rPr>
            </w:pPr>
          </w:p>
        </w:tc>
      </w:tr>
      <w:tr w14:paraId="2FE1E1AE">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E2356">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预算执行情况</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万元</w:t>
            </w:r>
            <w:r>
              <w:rPr>
                <w:rFonts w:ascii="宋体" w:hAnsi="宋体" w:cs="宋体"/>
                <w:color w:val="auto"/>
                <w:kern w:val="0"/>
                <w:sz w:val="24"/>
                <w:highlight w:val="none"/>
                <w:lang w:bidi="ar"/>
              </w:rPr>
              <w:t>)</w:t>
            </w: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2F2B8">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预算数</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C30B7">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D3D8D">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执行数</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09F34">
            <w:pPr>
              <w:widowControl/>
              <w:jc w:val="center"/>
              <w:textAlignment w:val="center"/>
              <w:rPr>
                <w:rFonts w:ascii="宋体" w:cs="宋体"/>
                <w:color w:val="auto"/>
                <w:sz w:val="24"/>
                <w:highlight w:val="none"/>
              </w:rPr>
            </w:pPr>
          </w:p>
        </w:tc>
      </w:tr>
      <w:tr w14:paraId="2EE81F12">
        <w:tblPrEx>
          <w:tblCellMar>
            <w:top w:w="0" w:type="dxa"/>
            <w:left w:w="0" w:type="dxa"/>
            <w:bottom w:w="0" w:type="dxa"/>
            <w:right w:w="0" w:type="dxa"/>
          </w:tblCellMar>
        </w:tblPrEx>
        <w:trPr>
          <w:trHeight w:val="476"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57983">
            <w:pPr>
              <w:jc w:val="center"/>
              <w:rPr>
                <w:rFonts w:ascii="宋体" w:cs="宋体"/>
                <w:color w:val="auto"/>
                <w:sz w:val="24"/>
                <w:highlight w:val="none"/>
              </w:rPr>
            </w:pP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70A83">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其中</w:t>
            </w:r>
            <w:r>
              <w:rPr>
                <w:rFonts w:ascii="宋体"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88AB1">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7394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其中</w:t>
            </w:r>
            <w:r>
              <w:rPr>
                <w:rFonts w:ascii="宋体"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A261E">
            <w:pPr>
              <w:widowControl/>
              <w:jc w:val="center"/>
              <w:textAlignment w:val="center"/>
              <w:rPr>
                <w:rFonts w:ascii="宋体" w:cs="宋体"/>
                <w:color w:val="auto"/>
                <w:sz w:val="24"/>
                <w:highlight w:val="none"/>
              </w:rPr>
            </w:pPr>
          </w:p>
        </w:tc>
      </w:tr>
      <w:tr w14:paraId="0BAD5CE2">
        <w:tblPrEx>
          <w:tblCellMar>
            <w:top w:w="0" w:type="dxa"/>
            <w:left w:w="0" w:type="dxa"/>
            <w:bottom w:w="0" w:type="dxa"/>
            <w:right w:w="0" w:type="dxa"/>
          </w:tblCellMar>
        </w:tblPrEx>
        <w:trPr>
          <w:trHeight w:val="115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F122A">
            <w:pPr>
              <w:jc w:val="center"/>
              <w:rPr>
                <w:rFonts w:ascii="宋体" w:cs="宋体"/>
                <w:color w:val="auto"/>
                <w:sz w:val="24"/>
                <w:highlight w:val="none"/>
              </w:rPr>
            </w:pP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FDDA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AAE7F">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0DB9F">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F064D">
            <w:pPr>
              <w:jc w:val="center"/>
              <w:rPr>
                <w:rFonts w:ascii="宋体" w:cs="宋体"/>
                <w:color w:val="auto"/>
                <w:sz w:val="24"/>
                <w:highlight w:val="none"/>
              </w:rPr>
            </w:pPr>
          </w:p>
        </w:tc>
      </w:tr>
      <w:tr w14:paraId="2BF21A49">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0F530">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年度目标完成情况</w:t>
            </w:r>
          </w:p>
        </w:tc>
        <w:tc>
          <w:tcPr>
            <w:tcW w:w="36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A02F6">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预期目标</w:t>
            </w:r>
          </w:p>
        </w:tc>
        <w:tc>
          <w:tcPr>
            <w:tcW w:w="3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1DA7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实际完成目标</w:t>
            </w:r>
          </w:p>
        </w:tc>
      </w:tr>
      <w:tr w14:paraId="360F48A2">
        <w:tblPrEx>
          <w:tblCellMar>
            <w:top w:w="0" w:type="dxa"/>
            <w:left w:w="0" w:type="dxa"/>
            <w:bottom w:w="0" w:type="dxa"/>
            <w:right w:w="0" w:type="dxa"/>
          </w:tblCellMar>
        </w:tblPrEx>
        <w:trPr>
          <w:trHeight w:val="118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7E760">
            <w:pPr>
              <w:jc w:val="center"/>
              <w:rPr>
                <w:rFonts w:ascii="宋体" w:cs="宋体"/>
                <w:color w:val="auto"/>
                <w:sz w:val="24"/>
                <w:highlight w:val="none"/>
              </w:rPr>
            </w:pPr>
          </w:p>
        </w:tc>
        <w:tc>
          <w:tcPr>
            <w:tcW w:w="36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0ABC6">
            <w:pPr>
              <w:widowControl/>
              <w:jc w:val="center"/>
              <w:textAlignment w:val="center"/>
              <w:rPr>
                <w:rFonts w:ascii="宋体" w:cs="宋体"/>
                <w:color w:val="auto"/>
                <w:sz w:val="24"/>
                <w:highlight w:val="none"/>
              </w:rPr>
            </w:pPr>
          </w:p>
        </w:tc>
        <w:tc>
          <w:tcPr>
            <w:tcW w:w="3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4EB19">
            <w:pPr>
              <w:widowControl/>
              <w:jc w:val="center"/>
              <w:textAlignment w:val="center"/>
              <w:rPr>
                <w:rFonts w:ascii="宋体" w:cs="宋体"/>
                <w:color w:val="auto"/>
                <w:sz w:val="24"/>
                <w:highlight w:val="none"/>
              </w:rPr>
            </w:pPr>
          </w:p>
        </w:tc>
      </w:tr>
      <w:tr w14:paraId="5323A723">
        <w:tblPrEx>
          <w:tblCellMar>
            <w:top w:w="0" w:type="dxa"/>
            <w:left w:w="0" w:type="dxa"/>
            <w:bottom w:w="0" w:type="dxa"/>
            <w:right w:w="0" w:type="dxa"/>
          </w:tblCellMar>
        </w:tblPrEx>
        <w:trPr>
          <w:trHeight w:val="1214" w:hRule="atLeast"/>
          <w:jc w:val="center"/>
        </w:trPr>
        <w:tc>
          <w:tcPr>
            <w:tcW w:w="57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0C07AAE">
            <w:pPr>
              <w:widowControl/>
              <w:jc w:val="center"/>
              <w:textAlignment w:val="center"/>
              <w:rPr>
                <w:rFonts w:ascii="宋体" w:cs="宋体"/>
                <w:color w:val="auto"/>
                <w:sz w:val="24"/>
                <w:highlight w:val="none"/>
              </w:rPr>
            </w:pPr>
            <w:r>
              <w:rPr>
                <w:rFonts w:hint="eastAsia" w:ascii="宋体" w:hAnsi="宋体" w:cs="宋体"/>
                <w:color w:val="auto"/>
                <w:sz w:val="24"/>
                <w:highlight w:val="none"/>
              </w:rPr>
              <w:t>绩效指标完成情况</w:t>
            </w: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79DFC">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一级指标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DED95">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二级指标</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6E93D">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三级指标</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159FA">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预期指标值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AACB8">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实际完成指标值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r>
      <w:tr w14:paraId="64760B08">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6AB34508">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34426">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18180">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F1B24">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93F45">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5E9E2">
            <w:pPr>
              <w:widowControl/>
              <w:jc w:val="center"/>
              <w:textAlignment w:val="center"/>
              <w:rPr>
                <w:rFonts w:ascii="宋体" w:cs="宋体"/>
                <w:color w:val="auto"/>
                <w:sz w:val="24"/>
                <w:highlight w:val="none"/>
              </w:rPr>
            </w:pPr>
          </w:p>
        </w:tc>
      </w:tr>
      <w:tr w14:paraId="6A17D005">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384F5B84">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83874">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F381C">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4A45">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B36E7">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0E7C6">
            <w:pPr>
              <w:widowControl/>
              <w:jc w:val="center"/>
              <w:textAlignment w:val="center"/>
              <w:rPr>
                <w:rFonts w:ascii="宋体" w:cs="宋体"/>
                <w:color w:val="auto"/>
                <w:sz w:val="24"/>
                <w:highlight w:val="none"/>
              </w:rPr>
            </w:pPr>
          </w:p>
        </w:tc>
      </w:tr>
      <w:tr w14:paraId="0E5E297A">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37F702DD">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08A69">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37453">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2B013">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DF8D1">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EA313">
            <w:pPr>
              <w:widowControl/>
              <w:jc w:val="center"/>
              <w:textAlignment w:val="center"/>
              <w:rPr>
                <w:rFonts w:ascii="宋体" w:cs="宋体"/>
                <w:color w:val="auto"/>
                <w:sz w:val="24"/>
                <w:highlight w:val="none"/>
              </w:rPr>
            </w:pPr>
          </w:p>
        </w:tc>
      </w:tr>
      <w:tr w14:paraId="71631356">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2B30BBE2">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B9ADF">
            <w:pPr>
              <w:widowControl/>
              <w:jc w:val="center"/>
              <w:textAlignment w:val="center"/>
              <w:rPr>
                <w:rFonts w:asci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CA065">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F9EA6">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03E67">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587A2">
            <w:pPr>
              <w:widowControl/>
              <w:jc w:val="center"/>
              <w:textAlignment w:val="center"/>
              <w:rPr>
                <w:rFonts w:ascii="宋体" w:cs="宋体"/>
                <w:color w:val="auto"/>
                <w:sz w:val="24"/>
                <w:highlight w:val="none"/>
              </w:rPr>
            </w:pPr>
          </w:p>
        </w:tc>
      </w:tr>
      <w:tr w14:paraId="03C45EC1">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54BD9BCA">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0D06D">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B7957">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E3325">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78059">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2DA35">
            <w:pPr>
              <w:widowControl/>
              <w:jc w:val="center"/>
              <w:textAlignment w:val="center"/>
              <w:rPr>
                <w:rFonts w:ascii="宋体" w:cs="宋体"/>
                <w:color w:val="auto"/>
                <w:sz w:val="24"/>
                <w:highlight w:val="none"/>
              </w:rPr>
            </w:pPr>
          </w:p>
        </w:tc>
      </w:tr>
      <w:tr w14:paraId="1D2A08A6">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408A9D0E">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B6338">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效益指标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BDA24">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0214C">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4615D">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1F29D">
            <w:pPr>
              <w:widowControl/>
              <w:jc w:val="center"/>
              <w:textAlignment w:val="center"/>
              <w:rPr>
                <w:rFonts w:ascii="宋体" w:cs="宋体"/>
                <w:color w:val="auto"/>
                <w:sz w:val="24"/>
                <w:highlight w:val="none"/>
              </w:rPr>
            </w:pPr>
          </w:p>
        </w:tc>
      </w:tr>
      <w:tr w14:paraId="053B44DE">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28D68FA3">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9B2B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效益指标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F98A2">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9750C">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16195">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60D19">
            <w:pPr>
              <w:widowControl/>
              <w:jc w:val="center"/>
              <w:textAlignment w:val="center"/>
              <w:rPr>
                <w:rFonts w:ascii="宋体" w:cs="宋体"/>
                <w:color w:val="auto"/>
                <w:sz w:val="24"/>
                <w:highlight w:val="none"/>
              </w:rPr>
            </w:pPr>
          </w:p>
        </w:tc>
      </w:tr>
      <w:tr w14:paraId="32B74BF4">
        <w:tblPrEx>
          <w:tblCellMar>
            <w:top w:w="0" w:type="dxa"/>
            <w:left w:w="0" w:type="dxa"/>
            <w:bottom w:w="0" w:type="dxa"/>
            <w:right w:w="0" w:type="dxa"/>
          </w:tblCellMar>
        </w:tblPrEx>
        <w:trPr>
          <w:trHeight w:val="804" w:hRule="atLeast"/>
          <w:jc w:val="center"/>
        </w:trPr>
        <w:tc>
          <w:tcPr>
            <w:tcW w:w="57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84E12E6">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435D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满意度指标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3917C">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5AC9E">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37756">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44D34">
            <w:pPr>
              <w:widowControl/>
              <w:jc w:val="center"/>
              <w:textAlignment w:val="center"/>
              <w:rPr>
                <w:rFonts w:hint="eastAsia" w:ascii="宋体" w:eastAsia="宋体" w:cs="宋体"/>
                <w:color w:val="auto"/>
                <w:sz w:val="24"/>
                <w:highlight w:val="none"/>
                <w:lang w:eastAsia="zh-CN"/>
              </w:rPr>
            </w:pPr>
            <w:r>
              <w:rPr>
                <w:rFonts w:hint="eastAsia" w:ascii="宋体" w:cs="宋体"/>
                <w:color w:val="auto"/>
                <w:sz w:val="24"/>
                <w:highlight w:val="none"/>
                <w:lang w:eastAsia="zh-CN"/>
              </w:rPr>
              <w:t>此表无数据</w:t>
            </w:r>
          </w:p>
        </w:tc>
      </w:tr>
    </w:tbl>
    <w:p w14:paraId="72982950">
      <w:pPr>
        <w:widowControl/>
        <w:jc w:val="left"/>
        <w:rPr>
          <w:rFonts w:ascii="仿宋_GB2312" w:eastAsia="仿宋_GB2312"/>
          <w:b/>
          <w:color w:val="auto"/>
          <w:sz w:val="32"/>
          <w:szCs w:val="32"/>
          <w:highlight w:val="none"/>
        </w:rPr>
      </w:pPr>
    </w:p>
    <w:p w14:paraId="0874194A">
      <w:pPr>
        <w:spacing w:line="580" w:lineRule="exact"/>
        <w:ind w:firstLine="640" w:firstLineChars="200"/>
        <w:rPr>
          <w:rFonts w:ascii="仿宋_GB2312" w:hAnsi="仿宋_GB2312" w:eastAsia="仿宋_GB2312" w:cs="仿宋_GB2312"/>
          <w:color w:val="auto"/>
          <w:sz w:val="32"/>
          <w:szCs w:val="32"/>
          <w:highlight w:val="none"/>
        </w:rPr>
      </w:pPr>
      <w:r>
        <w:rPr>
          <w:rFonts w:ascii="楷体_GB2312" w:hAnsi="楷体_GB2312" w:eastAsia="楷体_GB2312" w:cs="楷体_GB2312"/>
          <w:color w:val="auto"/>
          <w:sz w:val="32"/>
          <w:szCs w:val="32"/>
          <w:highlight w:val="none"/>
        </w:rPr>
        <w:t>2.</w:t>
      </w:r>
      <w:r>
        <w:rPr>
          <w:rFonts w:hint="eastAsia" w:ascii="楷体_GB2312" w:hAnsi="楷体_GB2312" w:eastAsia="楷体_GB2312" w:cs="楷体_GB2312"/>
          <w:color w:val="auto"/>
          <w:sz w:val="32"/>
          <w:szCs w:val="32"/>
          <w:highlight w:val="none"/>
        </w:rPr>
        <w:t>部门绩效评价结果。</w:t>
      </w:r>
    </w:p>
    <w:p w14:paraId="2410C103">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年部门整体支出绩效评价情况开展自评，《</w:t>
      </w:r>
      <w:r>
        <w:rPr>
          <w:rFonts w:hint="eastAsia" w:ascii="仿宋_GB2312" w:hAnsi="仿宋_GB2312" w:eastAsia="仿宋_GB2312" w:cs="仿宋_GB2312"/>
          <w:color w:val="auto"/>
          <w:sz w:val="32"/>
          <w:szCs w:val="32"/>
          <w:highlight w:val="none"/>
          <w:lang w:val="en-US" w:eastAsia="zh-CN"/>
        </w:rPr>
        <w:t>广元市昭化区石井铺乡小学</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年部门整体支出绩效评价报告》见附件（附件</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p>
    <w:p w14:paraId="7C1B165C">
      <w:pPr>
        <w:spacing w:line="58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r>
        <w:rPr>
          <w:rFonts w:hint="eastAsia" w:ascii="仿宋_GB2312" w:hAnsi="仿宋_GB2312" w:eastAsia="仿宋_GB2312" w:cs="仿宋_GB2312"/>
          <w:color w:val="auto"/>
          <w:sz w:val="32"/>
          <w:szCs w:val="32"/>
          <w:highlight w:val="none"/>
        </w:rPr>
        <w:t>《项目</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年绩效评价报告》见附件（附件</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p>
    <w:p w14:paraId="1EB3DB83">
      <w:pPr>
        <w:pStyle w:val="2"/>
        <w:rPr>
          <w:rFonts w:hint="eastAsia"/>
        </w:rPr>
      </w:pPr>
      <w:r>
        <w:rPr>
          <w:rFonts w:ascii="仿宋_GB2312" w:eastAsia="仿宋_GB2312"/>
          <w:b/>
          <w:color w:val="auto"/>
          <w:sz w:val="32"/>
          <w:szCs w:val="32"/>
          <w:highlight w:val="none"/>
        </w:rPr>
        <w:br w:type="page"/>
      </w:r>
    </w:p>
    <w:p w14:paraId="5B088B18">
      <w:pPr>
        <w:rPr>
          <w:rFonts w:hint="eastAsia"/>
        </w:rPr>
      </w:pPr>
    </w:p>
    <w:p w14:paraId="54B94A86">
      <w:pPr>
        <w:numPr>
          <w:ilvl w:val="0"/>
          <w:numId w:val="3"/>
        </w:numPr>
        <w:spacing w:line="600" w:lineRule="exact"/>
        <w:ind w:firstLine="660" w:firstLineChars="150"/>
        <w:jc w:val="center"/>
        <w:outlineLvl w:val="0"/>
        <w:rPr>
          <w:rStyle w:val="43"/>
          <w:rFonts w:ascii="黑体" w:hAnsi="黑体" w:eastAsia="黑体"/>
          <w:b w:val="0"/>
        </w:rPr>
      </w:pPr>
      <w:r>
        <w:rPr>
          <w:rFonts w:hint="eastAsia" w:ascii="黑体" w:hAnsi="黑体" w:eastAsia="黑体"/>
          <w:color w:val="000000"/>
          <w:sz w:val="44"/>
          <w:szCs w:val="44"/>
        </w:rPr>
        <w:t>名</w:t>
      </w:r>
      <w:r>
        <w:rPr>
          <w:rStyle w:val="43"/>
          <w:rFonts w:hint="eastAsia" w:ascii="黑体" w:hAnsi="黑体" w:eastAsia="黑体"/>
          <w:b w:val="0"/>
        </w:rPr>
        <w:t>词解释</w:t>
      </w:r>
    </w:p>
    <w:p w14:paraId="189973A4">
      <w:pPr>
        <w:spacing w:line="600" w:lineRule="exact"/>
        <w:jc w:val="left"/>
        <w:rPr>
          <w:rFonts w:ascii="宋体"/>
          <w:b/>
          <w:color w:val="000000"/>
          <w:sz w:val="44"/>
          <w:szCs w:val="44"/>
        </w:rPr>
      </w:pPr>
    </w:p>
    <w:p w14:paraId="65FF73F3">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财政拨款收入：指单位从同级财政单位取得的财政预算资金。</w:t>
      </w:r>
    </w:p>
    <w:p w14:paraId="7ACD5206">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2FBA32D0">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22D5B72A">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731D2663">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年初结转和结余：指以前年度尚未完成、结转到本年按有关规定继续使用的资金。</w:t>
      </w:r>
    </w:p>
    <w:p w14:paraId="4EA0200F">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6.年末结转和结余：指单位按有关规定结转到下年或以后年度继续使用的资金。</w:t>
      </w:r>
    </w:p>
    <w:p w14:paraId="46FEE9F4">
      <w:pPr>
        <w:widowControl/>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教育支出（类）教育管理事务（款）：</w:t>
      </w:r>
      <w:r>
        <w:rPr>
          <w:rFonts w:ascii="仿宋_GB2312" w:hAnsi="宋体" w:eastAsia="仿宋_GB2312" w:cs="仿宋_GB2312"/>
          <w:color w:val="000000"/>
          <w:kern w:val="0"/>
          <w:sz w:val="30"/>
          <w:szCs w:val="30"/>
        </w:rPr>
        <w:t>反映各类教育</w:t>
      </w:r>
      <w:r>
        <w:rPr>
          <w:rFonts w:hint="eastAsia" w:ascii="仿宋_GB2312" w:hAnsi="宋体" w:eastAsia="仿宋_GB2312" w:cs="仿宋_GB2312"/>
          <w:color w:val="000000"/>
          <w:kern w:val="0"/>
          <w:sz w:val="30"/>
          <w:szCs w:val="30"/>
        </w:rPr>
        <w:t>管理事务</w:t>
      </w:r>
      <w:r>
        <w:rPr>
          <w:rFonts w:ascii="仿宋_GB2312" w:hAnsi="宋体" w:eastAsia="仿宋_GB2312" w:cs="仿宋_GB2312"/>
          <w:color w:val="000000"/>
          <w:kern w:val="0"/>
          <w:sz w:val="30"/>
          <w:szCs w:val="30"/>
        </w:rPr>
        <w:t>支出。</w:t>
      </w:r>
    </w:p>
    <w:p w14:paraId="607EF1F6">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行政运行（项）：指用于行政单位基本运行支出。</w:t>
      </w:r>
    </w:p>
    <w:p w14:paraId="413F5A9E">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其他教育管理事务支出（项）：指用于行政单位其他管理事务的支出。</w:t>
      </w:r>
    </w:p>
    <w:p w14:paraId="356AD1F6">
      <w:pPr>
        <w:rPr>
          <w:rFonts w:hint="eastAsia" w:ascii="仿宋_GB2312" w:eastAsia="仿宋_GB2312"/>
          <w:color w:val="000000"/>
          <w:sz w:val="32"/>
          <w:szCs w:val="32"/>
        </w:rPr>
      </w:pPr>
      <w:r>
        <w:rPr>
          <w:rFonts w:hint="eastAsia" w:ascii="仿宋_GB2312" w:eastAsia="仿宋_GB2312"/>
          <w:color w:val="000000"/>
          <w:sz w:val="32"/>
          <w:szCs w:val="32"/>
        </w:rPr>
        <w:t>7.教育支出（类）普通教育（款）：反映各类普通教育支出。政府各单位对社会中介组织等举办的各类教育的资助，如捐赠、补贴等。</w:t>
      </w:r>
    </w:p>
    <w:p w14:paraId="51CC00B4">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学前教育（项）：反映各单位举办的学前教育支出。</w:t>
      </w:r>
    </w:p>
    <w:p w14:paraId="3870459D">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小学教育（项）：反映各单位举办的小学教育支出。</w:t>
      </w:r>
    </w:p>
    <w:p w14:paraId="2C3FD8C6">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初中教育（项）：反映各单位举办的初级中学教育支出。</w:t>
      </w:r>
    </w:p>
    <w:p w14:paraId="5174CF36">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高中教育（项）：反映各单位举办的高级中学教育支出。</w:t>
      </w:r>
    </w:p>
    <w:p w14:paraId="0ADC2044">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其他普通教育支出（项）：反映除上述项目以外其他用于普通教育方面的支出。</w:t>
      </w:r>
    </w:p>
    <w:p w14:paraId="5E2B8ABE">
      <w:pPr>
        <w:ind w:left="420" w:leftChars="200"/>
        <w:rPr>
          <w:rFonts w:hint="eastAsia" w:ascii="仿宋_GB2312" w:eastAsia="仿宋_GB2312"/>
          <w:color w:val="000000"/>
          <w:sz w:val="32"/>
          <w:szCs w:val="32"/>
        </w:rPr>
      </w:pPr>
      <w:r>
        <w:rPr>
          <w:rFonts w:hint="eastAsia" w:ascii="仿宋_GB2312" w:eastAsia="仿宋_GB2312"/>
          <w:color w:val="000000"/>
          <w:sz w:val="32"/>
          <w:szCs w:val="32"/>
        </w:rPr>
        <w:t>8.教育支出（类）教育费附加安排的支出（款）</w:t>
      </w:r>
    </w:p>
    <w:p w14:paraId="49798D09">
      <w:pPr>
        <w:ind w:firstLine="640" w:firstLineChars="200"/>
        <w:rPr>
          <w:rFonts w:ascii="仿宋_GB2312" w:eastAsia="仿宋_GB2312"/>
          <w:color w:val="000000"/>
          <w:sz w:val="32"/>
          <w:szCs w:val="32"/>
        </w:rPr>
      </w:pPr>
      <w:r>
        <w:rPr>
          <w:rFonts w:hint="eastAsia" w:ascii="仿宋_GB2312" w:eastAsia="仿宋_GB2312"/>
          <w:color w:val="000000"/>
          <w:sz w:val="32"/>
          <w:szCs w:val="32"/>
        </w:rPr>
        <w:t>其他教育费附加安排的支出（项）：指政府各类教育费附加用于安排的教育支出。</w:t>
      </w:r>
    </w:p>
    <w:p w14:paraId="714750E4">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社会保障和就业支出（类）抚恤（款）死亡抚恤（项）：指用于人员死亡发放的抚恤金支出。</w:t>
      </w:r>
    </w:p>
    <w:p w14:paraId="0CEFEF52">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医疗卫生与计划生育支出（类）行政事业单位医疗（款）行政单位医疗（项）是指财政单位集中安排的行政单位基本养老保险缴费经费，未参加养老保险的行政单位的公费医疗经费，按国家规定享受离休人员待遇人员的医疗经费。</w:t>
      </w:r>
    </w:p>
    <w:p w14:paraId="7A6CC7B1">
      <w:pPr>
        <w:ind w:firstLine="640" w:firstLineChars="200"/>
        <w:rPr>
          <w:rFonts w:ascii="仿宋_GB2312" w:eastAsia="仿宋_GB2312"/>
          <w:color w:val="000000"/>
          <w:sz w:val="32"/>
          <w:szCs w:val="32"/>
        </w:rPr>
      </w:pPr>
      <w:r>
        <w:rPr>
          <w:rFonts w:hint="eastAsia" w:ascii="仿宋_GB2312" w:eastAsia="仿宋_GB2312"/>
          <w:color w:val="000000"/>
          <w:sz w:val="32"/>
          <w:szCs w:val="32"/>
        </w:rPr>
        <w:t>11.住房保障（类）住房改革（款）住房公积金（项）:反映行政事业单位按人力资源和社会保障部、财政部规定的基本工资和津贴补贴以及规定比例为职工缴纳的住房公积金。</w:t>
      </w:r>
    </w:p>
    <w:p w14:paraId="1C622A52">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5959A4D1">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2C943B13">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B872F2A">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C8BB31">
      <w:pPr>
        <w:pStyle w:val="23"/>
        <w:spacing w:line="560" w:lineRule="exact"/>
        <w:ind w:firstLine="640" w:firstLineChars="200"/>
        <w:rPr>
          <w:rFonts w:ascii="仿宋_GB2312" w:eastAsia="仿宋_GB2312" w:cs="黑体"/>
          <w:sz w:val="32"/>
          <w:szCs w:val="32"/>
        </w:rPr>
      </w:pPr>
    </w:p>
    <w:p w14:paraId="5AE8667F">
      <w:pPr>
        <w:pStyle w:val="6"/>
        <w:rPr>
          <w:rFonts w:hint="default"/>
          <w:lang w:val="en-US" w:eastAsia="zh-CN"/>
        </w:rPr>
      </w:pPr>
    </w:p>
    <w:p w14:paraId="3D5F6B18">
      <w:pP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br w:type="page"/>
      </w:r>
    </w:p>
    <w:p w14:paraId="18A0986E">
      <w:pPr>
        <w:wordWrap/>
        <w:snapToGrid/>
        <w:spacing w:line="240" w:lineRule="auto"/>
        <w:ind w:left="0" w:leftChars="0" w:right="0" w:firstLine="0" w:firstLineChars="0"/>
        <w:jc w:val="left"/>
        <w:rPr>
          <w:rFonts w:ascii="宋体"/>
          <w:b/>
          <w:color w:val="000000"/>
          <w:sz w:val="44"/>
          <w:szCs w:val="44"/>
        </w:rPr>
      </w:pPr>
    </w:p>
    <w:p w14:paraId="4F16A13E">
      <w:pPr>
        <w:spacing w:line="600" w:lineRule="exact"/>
        <w:jc w:val="center"/>
        <w:outlineLvl w:val="0"/>
        <w:rPr>
          <w:rFonts w:hint="eastAsia" w:ascii="黑体" w:hAnsi="黑体" w:eastAsia="黑体"/>
          <w:bCs/>
          <w:kern w:val="44"/>
          <w:sz w:val="44"/>
          <w:szCs w:val="44"/>
        </w:rPr>
      </w:pPr>
      <w:bookmarkStart w:id="74" w:name="_Toc15396614"/>
      <w:bookmarkStart w:id="75" w:name="_Toc15377226"/>
      <w:r>
        <w:rPr>
          <w:rFonts w:hint="eastAsia" w:ascii="黑体" w:hAnsi="黑体" w:eastAsia="黑体"/>
          <w:color w:val="000000"/>
          <w:sz w:val="44"/>
          <w:szCs w:val="44"/>
        </w:rPr>
        <w:t>第</w:t>
      </w:r>
      <w:r>
        <w:rPr>
          <w:rStyle w:val="43"/>
          <w:rFonts w:hint="eastAsia" w:ascii="黑体" w:hAnsi="黑体" w:eastAsia="黑体"/>
          <w:b w:val="0"/>
        </w:rPr>
        <w:t>四部分附件</w:t>
      </w:r>
      <w:bookmarkEnd w:id="74"/>
    </w:p>
    <w:p w14:paraId="6AB67D08">
      <w:pPr>
        <w:spacing w:line="580" w:lineRule="exact"/>
        <w:jc w:val="center"/>
        <w:rPr>
          <w:rFonts w:ascii="方正小标宋简体" w:hAnsi="方正小标宋简体" w:eastAsia="方正小标宋简体" w:cs="方正小标宋简体"/>
          <w:sz w:val="44"/>
          <w:szCs w:val="44"/>
        </w:rPr>
      </w:pPr>
    </w:p>
    <w:p w14:paraId="2C9B5BAC">
      <w:pPr>
        <w:spacing w:line="58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1EA11EE1">
      <w:pPr>
        <w:spacing w:line="580" w:lineRule="exact"/>
        <w:ind w:firstLine="1600" w:firstLineChars="400"/>
        <w:rPr>
          <w:rFonts w:hint="eastAsia" w:asciiTheme="minorEastAsia" w:hAnsiTheme="minorEastAsia" w:eastAsiaTheme="minorEastAsia" w:cstheme="minorEastAsia"/>
          <w:color w:val="000000"/>
          <w:kern w:val="0"/>
          <w:sz w:val="40"/>
          <w:szCs w:val="44"/>
        </w:rPr>
      </w:pPr>
      <w:r>
        <w:rPr>
          <w:rFonts w:hint="eastAsia" w:asciiTheme="minorEastAsia" w:hAnsiTheme="minorEastAsia" w:eastAsiaTheme="minorEastAsia" w:cstheme="minorEastAsia"/>
          <w:color w:val="000000"/>
          <w:kern w:val="0"/>
          <w:sz w:val="40"/>
          <w:szCs w:val="44"/>
        </w:rPr>
        <w:t>广元市昭化区石井铺乡小学</w:t>
      </w:r>
    </w:p>
    <w:p w14:paraId="044EC046">
      <w:pPr>
        <w:spacing w:line="600" w:lineRule="exact"/>
        <w:jc w:val="center"/>
        <w:rPr>
          <w:rFonts w:hint="eastAsia" w:asciiTheme="minorEastAsia" w:hAnsiTheme="minorEastAsia" w:eastAsiaTheme="minorEastAsia" w:cstheme="minorEastAsia"/>
          <w:color w:val="000000"/>
          <w:kern w:val="0"/>
          <w:sz w:val="40"/>
          <w:szCs w:val="44"/>
          <w:lang w:val="zh-CN"/>
        </w:rPr>
      </w:pPr>
      <w:r>
        <w:rPr>
          <w:rFonts w:hint="eastAsia" w:asciiTheme="minorEastAsia" w:hAnsiTheme="minorEastAsia" w:eastAsiaTheme="minorEastAsia" w:cstheme="minorEastAsia"/>
          <w:color w:val="000000"/>
          <w:kern w:val="0"/>
          <w:sz w:val="40"/>
          <w:szCs w:val="44"/>
        </w:rPr>
        <w:t>2020年单位</w:t>
      </w:r>
      <w:r>
        <w:rPr>
          <w:rFonts w:hint="eastAsia" w:asciiTheme="minorEastAsia" w:hAnsiTheme="minorEastAsia" w:eastAsiaTheme="minorEastAsia" w:cstheme="minorEastAsia"/>
          <w:color w:val="000000"/>
          <w:kern w:val="0"/>
          <w:sz w:val="40"/>
          <w:szCs w:val="44"/>
          <w:lang w:val="zh-CN"/>
        </w:rPr>
        <w:t>整体支出绩效评价报告</w:t>
      </w:r>
    </w:p>
    <w:p w14:paraId="414A42FC">
      <w:pPr>
        <w:widowControl/>
        <w:adjustRightInd w:val="0"/>
        <w:snapToGrid w:val="0"/>
        <w:spacing w:line="580" w:lineRule="exact"/>
        <w:ind w:firstLine="480" w:firstLineChars="200"/>
        <w:contextualSpacing/>
        <w:jc w:val="left"/>
        <w:rPr>
          <w:rFonts w:hint="eastAsia" w:asciiTheme="minorEastAsia" w:hAnsiTheme="minorEastAsia" w:eastAsiaTheme="minorEastAsia" w:cstheme="minorEastAsia"/>
          <w:color w:val="000000"/>
          <w:kern w:val="0"/>
          <w:sz w:val="24"/>
          <w:szCs w:val="32"/>
          <w:shd w:val="clear" w:color="auto" w:fill="FFFFFF"/>
        </w:rPr>
      </w:pPr>
    </w:p>
    <w:p w14:paraId="340439E1">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14:paraId="27C50038">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585FA7C2">
      <w:pPr>
        <w:spacing w:line="560" w:lineRule="exact"/>
        <w:ind w:firstLine="800" w:firstLineChars="250"/>
        <w:rPr>
          <w:rFonts w:ascii="仿宋" w:hAnsi="仿宋" w:eastAsia="仿宋"/>
          <w:sz w:val="32"/>
          <w:szCs w:val="32"/>
        </w:rPr>
      </w:pPr>
      <w:r>
        <w:rPr>
          <w:rFonts w:hint="eastAsia" w:ascii="仿宋" w:hAnsi="仿宋" w:eastAsia="仿宋"/>
          <w:color w:val="000000"/>
          <w:sz w:val="32"/>
          <w:szCs w:val="32"/>
        </w:rPr>
        <w:t>本单位为广元市昭化区教育局所属的二级预算单位，单位性质为财政补助事业单位。</w:t>
      </w:r>
    </w:p>
    <w:p w14:paraId="1A1D939A">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14:paraId="60C32DBF">
      <w:pPr>
        <w:pStyle w:val="7"/>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1.贯彻党的教育方针，坚持社会主义办学方向，实行教育与生产劳动相结合，对学生进行德育、智育、体育、美育和劳动等方面的教育。</w:t>
      </w:r>
    </w:p>
    <w:p w14:paraId="31BC8E2A">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2.用科学的发展观指导教育教学工作。加强教育科研工作，推动校本教育的健康发展。加强教学管理，不断推进新课程改革，全面提高教学质量。</w:t>
      </w:r>
    </w:p>
    <w:p w14:paraId="6D2A768B">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3.负责配合各级人民政府依法动员、组织适龄儿童、少年入学，严格控制学生辍学，依法保证适龄儿童、少年接受九年义务教育。</w:t>
      </w:r>
    </w:p>
    <w:p w14:paraId="20C88B0B">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4.继续深化人事制度改革，完善学校内部管理，做好后勤保障工作。</w:t>
      </w:r>
    </w:p>
    <w:p w14:paraId="323B8725">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5.负责科学管理、合理使用学校的设施和经费，并积极筹措资金，改善办学条件。</w:t>
      </w:r>
    </w:p>
    <w:p w14:paraId="085D69CF">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6.负责维护学校、师生的合法权益，有权拒绝任何组织和个人对教育教学活动进行非法干扰。</w:t>
      </w:r>
    </w:p>
    <w:p w14:paraId="48DF25E3">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7.负责创建绿色校园、文明校园和平安校园。</w:t>
      </w:r>
    </w:p>
    <w:p w14:paraId="712FC472">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8.负责关心教职工生活，发挥教代会职能作用。</w:t>
      </w:r>
    </w:p>
    <w:p w14:paraId="1E75B66F">
      <w:pPr>
        <w:adjustRightInd w:val="0"/>
        <w:snapToGrid w:val="0"/>
        <w:spacing w:before="93" w:beforeLines="30" w:line="560" w:lineRule="exact"/>
        <w:ind w:firstLine="672" w:firstLineChars="210"/>
        <w:rPr>
          <w:rFonts w:hint="eastAsia" w:ascii="仿宋_GB2312" w:eastAsia="仿宋_GB2312"/>
          <w:bCs/>
          <w:color w:val="000000"/>
          <w:kern w:val="0"/>
          <w:sz w:val="32"/>
          <w:szCs w:val="32"/>
        </w:rPr>
      </w:pPr>
      <w:r>
        <w:rPr>
          <w:rFonts w:hint="eastAsia" w:ascii="仿宋" w:hAnsi="仿宋" w:eastAsia="仿宋"/>
          <w:sz w:val="32"/>
          <w:szCs w:val="32"/>
        </w:rPr>
        <w:t>9.承办上级交办的其他事项。</w:t>
      </w:r>
    </w:p>
    <w:p w14:paraId="4F27EAC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66CDDE7D">
      <w:pPr>
        <w:adjustRightInd w:val="0"/>
        <w:snapToGrid w:val="0"/>
        <w:spacing w:before="93" w:beforeLines="30" w:line="560" w:lineRule="exact"/>
        <w:ind w:firstLine="672" w:firstLineChars="210"/>
        <w:rPr>
          <w:rFonts w:hint="eastAsia" w:ascii="仿宋_GB2312" w:eastAsia="仿宋_GB2312"/>
          <w:bCs/>
          <w:color w:val="000000"/>
          <w:kern w:val="0"/>
          <w:sz w:val="32"/>
          <w:szCs w:val="32"/>
          <w:lang w:val="zh-CN"/>
        </w:rPr>
      </w:pPr>
      <w:r>
        <w:rPr>
          <w:rFonts w:hint="eastAsia" w:ascii="仿宋_GB2312" w:eastAsia="仿宋_GB2312"/>
          <w:bCs/>
          <w:color w:val="000000"/>
          <w:kern w:val="0"/>
          <w:sz w:val="32"/>
          <w:szCs w:val="32"/>
        </w:rPr>
        <w:t>2020年事业人员2</w:t>
      </w:r>
      <w:r>
        <w:rPr>
          <w:rFonts w:ascii="仿宋_GB2312" w:eastAsia="仿宋_GB2312"/>
          <w:bCs/>
          <w:color w:val="000000"/>
          <w:kern w:val="0"/>
          <w:sz w:val="32"/>
          <w:szCs w:val="32"/>
        </w:rPr>
        <w:t>1</w:t>
      </w:r>
      <w:r>
        <w:rPr>
          <w:rFonts w:hint="eastAsia" w:ascii="仿宋_GB2312" w:eastAsia="仿宋_GB2312"/>
          <w:bCs/>
          <w:color w:val="000000"/>
          <w:kern w:val="0"/>
          <w:sz w:val="32"/>
          <w:szCs w:val="32"/>
        </w:rPr>
        <w:t>人，其中：专业技术人员21人。</w:t>
      </w:r>
    </w:p>
    <w:p w14:paraId="71B81742">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二、单位财政资金收支情况</w:t>
      </w:r>
    </w:p>
    <w:p w14:paraId="08C7E8A6">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（一）单位财政资金收入情况。</w:t>
      </w:r>
    </w:p>
    <w:p w14:paraId="52CD61D3">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2020年收入</w:t>
      </w:r>
      <w:r>
        <w:rPr>
          <w:rFonts w:hint="eastAsia" w:ascii="仿宋" w:hAnsi="仿宋" w:eastAsia="仿宋"/>
          <w:sz w:val="32"/>
          <w:szCs w:val="32"/>
        </w:rPr>
        <w:t>773.8</w:t>
      </w:r>
      <w:r>
        <w:rPr>
          <w:rFonts w:hint="eastAsia" w:ascii="仿宋" w:hAnsi="仿宋" w:eastAsia="仿宋"/>
          <w:sz w:val="32"/>
          <w:szCs w:val="32"/>
          <w:lang w:val="en-US" w:eastAsia="zh-CN"/>
        </w:rPr>
        <w:t>4</w:t>
      </w:r>
      <w:r>
        <w:rPr>
          <w:rFonts w:hint="eastAsia" w:ascii="仿宋" w:hAnsi="仿宋" w:eastAsia="仿宋"/>
          <w:color w:val="000000"/>
          <w:sz w:val="32"/>
          <w:szCs w:val="32"/>
        </w:rPr>
        <w:t>万元，其中：一般公共预算财政拨款收入</w:t>
      </w:r>
      <w:r>
        <w:rPr>
          <w:rFonts w:hint="eastAsia" w:ascii="仿宋" w:hAnsi="仿宋" w:eastAsia="仿宋"/>
          <w:sz w:val="32"/>
          <w:szCs w:val="32"/>
        </w:rPr>
        <w:t>773.8</w:t>
      </w:r>
      <w:r>
        <w:rPr>
          <w:rFonts w:hint="eastAsia" w:ascii="仿宋" w:hAnsi="仿宋" w:eastAsia="仿宋"/>
          <w:sz w:val="32"/>
          <w:szCs w:val="32"/>
          <w:lang w:val="en-US" w:eastAsia="zh-CN"/>
        </w:rPr>
        <w:t>4</w:t>
      </w:r>
      <w:r>
        <w:rPr>
          <w:rFonts w:hint="eastAsia" w:ascii="仿宋" w:hAnsi="仿宋" w:eastAsia="仿宋"/>
          <w:color w:val="000000"/>
          <w:sz w:val="32"/>
          <w:szCs w:val="32"/>
        </w:rPr>
        <w:t>万元，政府性基金预算财政拨款0万元。</w:t>
      </w:r>
    </w:p>
    <w:p w14:paraId="19DC337D">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单位财政资金支出情况。</w:t>
      </w:r>
    </w:p>
    <w:p w14:paraId="46A85AE6">
      <w:pPr>
        <w:spacing w:line="560" w:lineRule="exact"/>
        <w:ind w:firstLine="640" w:firstLineChars="200"/>
        <w:rPr>
          <w:lang w:val="zh-CN"/>
        </w:rPr>
      </w:pPr>
      <w:r>
        <w:rPr>
          <w:rFonts w:hint="eastAsia" w:ascii="仿宋" w:hAnsi="仿宋" w:eastAsia="仿宋"/>
          <w:color w:val="000000"/>
          <w:sz w:val="32"/>
          <w:szCs w:val="32"/>
        </w:rPr>
        <w:t>2020年支出</w:t>
      </w:r>
      <w:r>
        <w:rPr>
          <w:rFonts w:hint="eastAsia" w:ascii="仿宋" w:hAnsi="仿宋" w:eastAsia="仿宋"/>
          <w:sz w:val="32"/>
          <w:szCs w:val="32"/>
        </w:rPr>
        <w:t>773.8</w:t>
      </w:r>
      <w:r>
        <w:rPr>
          <w:rFonts w:hint="eastAsia" w:ascii="仿宋" w:hAnsi="仿宋" w:eastAsia="仿宋"/>
          <w:sz w:val="32"/>
          <w:szCs w:val="32"/>
          <w:lang w:val="en-US" w:eastAsia="zh-CN"/>
        </w:rPr>
        <w:t>4</w:t>
      </w:r>
      <w:r>
        <w:rPr>
          <w:rFonts w:hint="eastAsia" w:ascii="仿宋" w:hAnsi="仿宋" w:eastAsia="仿宋"/>
          <w:color w:val="000000"/>
          <w:sz w:val="32"/>
          <w:szCs w:val="32"/>
        </w:rPr>
        <w:t>万元，其中：基本支出473.8</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万元，项目支出300万元。</w:t>
      </w:r>
    </w:p>
    <w:p w14:paraId="6B0ED815">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三、单位整体预算绩效管理情况</w:t>
      </w:r>
    </w:p>
    <w:p w14:paraId="6A7E291A">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（一）单位预算管理。</w:t>
      </w:r>
    </w:p>
    <w:p w14:paraId="23F97553">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预算管理情况较好。单位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单位内控制度完整包含了预算资金管理、内部财务管理、会计核算等方面。单位已按照规定时限和内容公开2020年度预算信息；单位财务核算信息及预、决算编制所依据的会计基础信息准确、完善。</w:t>
      </w:r>
    </w:p>
    <w:p w14:paraId="1BDFB11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4DB360A2">
      <w:pPr>
        <w:spacing w:line="580" w:lineRule="exact"/>
        <w:ind w:firstLine="640" w:firstLineChars="200"/>
        <w:rPr>
          <w:rFonts w:hint="eastAsia" w:ascii="仿宋_GB2312" w:hAnsi="宋体" w:eastAsia="仿宋_GB2312" w:cs="仿宋_GB2312"/>
          <w:color w:val="000000"/>
          <w:sz w:val="32"/>
          <w:szCs w:val="32"/>
          <w:shd w:val="clear" w:color="080000" w:fill="FFFFFF"/>
        </w:rPr>
      </w:pPr>
      <w:r>
        <w:rPr>
          <w:rFonts w:hint="eastAsia" w:ascii="仿宋_GB2312" w:hAnsi="宋体" w:eastAsia="仿宋_GB2312" w:cs="仿宋_GB2312"/>
          <w:color w:val="000000"/>
          <w:sz w:val="32"/>
          <w:szCs w:val="32"/>
          <w:shd w:val="clear" w:color="080000" w:fill="FFFFFF"/>
        </w:rPr>
        <w:t>评价结果作为改进预算管理和安排以后年度预算的重要依据。同时根据绩效自评情况，不断补充完善绩效评价指标。      </w:t>
      </w:r>
    </w:p>
    <w:p w14:paraId="1AE7A871">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0FD2FBFE">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66AC4E49">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通过自评，大部分项目实际完成绩效值均已达到预期绩效指标，项目实施效果明显，达到预期要求，提高了资金的使用效益，个别项目绩效指标有待改善。</w:t>
      </w:r>
    </w:p>
    <w:p w14:paraId="57E2807C">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14:paraId="19A99152">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从业</w:t>
      </w:r>
      <w:r>
        <w:rPr>
          <w:rFonts w:hint="eastAsia" w:ascii="仿宋" w:hAnsi="仿宋" w:eastAsia="仿宋"/>
          <w:color w:val="000000"/>
          <w:sz w:val="32"/>
          <w:szCs w:val="32"/>
        </w:rPr>
        <w:t>人员</w:t>
      </w:r>
      <w:r>
        <w:rPr>
          <w:rFonts w:hint="eastAsia" w:ascii="仿宋" w:hAnsi="仿宋" w:eastAsia="仿宋"/>
          <w:color w:val="000000"/>
          <w:sz w:val="32"/>
          <w:szCs w:val="32"/>
          <w:lang w:eastAsia="zh-CN"/>
        </w:rPr>
        <w:t>业务</w:t>
      </w:r>
      <w:r>
        <w:rPr>
          <w:rFonts w:hint="eastAsia" w:ascii="仿宋" w:hAnsi="仿宋" w:eastAsia="仿宋"/>
          <w:color w:val="000000"/>
          <w:sz w:val="32"/>
          <w:szCs w:val="32"/>
        </w:rPr>
        <w:t>素质有待进一步提高。由于预算绩效管理工作培训以往仅限于财务管理人员，且开展时间较短。具体项目预算编制人员多数为非财务人员，对预算绩效管理认识不到位、理解不充分，对预算绩效管理业务不了解、不熟悉，对工作重点把握不到位，对项目预算编制、执行、绩效评价工作还未摆脱财务考评影响。</w:t>
      </w:r>
    </w:p>
    <w:p w14:paraId="51CCAD90">
      <w:pPr>
        <w:spacing w:line="560" w:lineRule="exact"/>
        <w:ind w:firstLine="640" w:firstLineChars="200"/>
        <w:rPr>
          <w:lang w:val="zh-CN"/>
        </w:rPr>
      </w:pPr>
      <w:r>
        <w:rPr>
          <w:rFonts w:hint="eastAsia" w:ascii="仿宋" w:hAnsi="仿宋" w:eastAsia="仿宋"/>
          <w:color w:val="000000"/>
          <w:sz w:val="32"/>
          <w:szCs w:val="32"/>
        </w:rPr>
        <w:t>2.预算绩效管理工作相对滞后。近年来实施财务精细化管理后，预算编制由财务工作者统筹，</w:t>
      </w:r>
      <w:r>
        <w:rPr>
          <w:rFonts w:hint="eastAsia" w:ascii="仿宋" w:hAnsi="仿宋" w:eastAsia="仿宋"/>
          <w:color w:val="000000"/>
          <w:sz w:val="32"/>
          <w:szCs w:val="32"/>
          <w:lang w:eastAsia="zh-CN"/>
        </w:rPr>
        <w:t>学校</w:t>
      </w:r>
      <w:r>
        <w:rPr>
          <w:rFonts w:hint="eastAsia" w:ascii="仿宋" w:hAnsi="仿宋" w:eastAsia="仿宋"/>
          <w:color w:val="000000"/>
          <w:sz w:val="32"/>
          <w:szCs w:val="32"/>
        </w:rPr>
        <w:t>财务工作者除应对单位日常财务管理等外，无更多精力承担预算项目绩效管理培训、预算编制审核和预算管理绩效跟踪管理。</w:t>
      </w:r>
    </w:p>
    <w:p w14:paraId="25B1C7E2">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408D1F91">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1.加强培训，扩大培训范围。由</w:t>
      </w:r>
      <w:r>
        <w:rPr>
          <w:rFonts w:hint="eastAsia" w:ascii="仿宋" w:hAnsi="仿宋" w:eastAsia="仿宋"/>
          <w:color w:val="000000"/>
          <w:sz w:val="32"/>
          <w:szCs w:val="32"/>
          <w:lang w:eastAsia="zh-CN"/>
        </w:rPr>
        <w:t>局</w:t>
      </w:r>
      <w:r>
        <w:rPr>
          <w:rFonts w:hint="eastAsia" w:ascii="仿宋" w:hAnsi="仿宋" w:eastAsia="仿宋"/>
          <w:color w:val="000000"/>
          <w:sz w:val="32"/>
          <w:szCs w:val="32"/>
        </w:rPr>
        <w:t>计财股负责对预算编审人员进行再培训，进一步统一认识，充实业务知识，精准编制预算。</w:t>
      </w:r>
    </w:p>
    <w:p w14:paraId="25B22F49">
      <w:pPr>
        <w:spacing w:line="560" w:lineRule="exact"/>
        <w:ind w:firstLine="640" w:firstLineChars="200"/>
        <w:rPr>
          <w:rFonts w:ascii="仿宋_GB2312" w:hAnsi="仿宋_GB2312" w:eastAsia="仿宋_GB2312" w:cs="仿宋_GB2312"/>
          <w:sz w:val="32"/>
          <w:szCs w:val="32"/>
        </w:rPr>
      </w:pPr>
      <w:r>
        <w:rPr>
          <w:rFonts w:hint="eastAsia" w:ascii="仿宋" w:hAnsi="仿宋" w:eastAsia="仿宋"/>
          <w:color w:val="000000"/>
          <w:sz w:val="32"/>
          <w:szCs w:val="32"/>
        </w:rPr>
        <w:t>2.督促预算项目负责人加强项目管理。在布置预算绩效管理工作时，相关负责人已督促各项目负责人从预算编制开始，收集、汇总项目各个阶段的痕迹资料，做好项目档案管理，提醒和督促加快资金拨付和使用。</w:t>
      </w:r>
    </w:p>
    <w:p w14:paraId="1F43B788">
      <w:pPr>
        <w:spacing w:line="58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2</w:t>
      </w:r>
    </w:p>
    <w:p w14:paraId="0045D8BE">
      <w:pPr>
        <w:spacing w:line="580" w:lineRule="exact"/>
        <w:ind w:firstLine="640" w:firstLineChars="200"/>
        <w:rPr>
          <w:rFonts w:ascii="仿宋_GB2312" w:hAnsi="仿宋_GB2312" w:eastAsia="仿宋_GB2312" w:cs="仿宋_GB2312"/>
          <w:color w:val="auto"/>
          <w:sz w:val="32"/>
          <w:szCs w:val="32"/>
          <w:highlight w:val="none"/>
        </w:rPr>
      </w:pPr>
    </w:p>
    <w:p w14:paraId="31639844">
      <w:pPr>
        <w:spacing w:line="600" w:lineRule="exact"/>
        <w:jc w:val="center"/>
        <w:rPr>
          <w:rFonts w:hint="eastAsia" w:ascii="黑体" w:hAnsi="黑体" w:eastAsia="黑体" w:cs="黑体"/>
          <w:color w:val="auto"/>
          <w:kern w:val="0"/>
          <w:sz w:val="44"/>
          <w:szCs w:val="44"/>
          <w:highlight w:val="none"/>
          <w:lang w:val="zh-CN"/>
        </w:rPr>
      </w:pPr>
      <w:r>
        <w:rPr>
          <w:rFonts w:hint="eastAsia" w:ascii="黑体" w:hAnsi="黑体" w:eastAsia="黑体" w:cs="黑体"/>
          <w:color w:val="auto"/>
          <w:kern w:val="0"/>
          <w:sz w:val="44"/>
          <w:szCs w:val="44"/>
          <w:highlight w:val="none"/>
          <w:lang w:eastAsia="zh-CN"/>
        </w:rPr>
        <w:t>项目</w:t>
      </w:r>
      <w:r>
        <w:rPr>
          <w:rFonts w:hint="eastAsia" w:ascii="黑体" w:hAnsi="黑体" w:eastAsia="黑体" w:cs="黑体"/>
          <w:color w:val="auto"/>
          <w:kern w:val="0"/>
          <w:sz w:val="44"/>
          <w:szCs w:val="44"/>
          <w:highlight w:val="none"/>
        </w:rPr>
        <w:t>2020年</w:t>
      </w:r>
      <w:r>
        <w:rPr>
          <w:rFonts w:hint="eastAsia" w:ascii="黑体" w:hAnsi="黑体" w:eastAsia="黑体" w:cs="黑体"/>
          <w:color w:val="auto"/>
          <w:kern w:val="0"/>
          <w:sz w:val="44"/>
          <w:szCs w:val="44"/>
          <w:highlight w:val="none"/>
          <w:lang w:val="zh-CN"/>
        </w:rPr>
        <w:t>绩效评价报告</w:t>
      </w:r>
    </w:p>
    <w:p w14:paraId="4AE6A893">
      <w:pPr>
        <w:pStyle w:val="2"/>
        <w:rPr>
          <w:color w:val="auto"/>
          <w:highlight w:val="none"/>
          <w:lang w:val="zh-CN"/>
        </w:rPr>
      </w:pPr>
    </w:p>
    <w:p w14:paraId="36868957">
      <w:pPr>
        <w:adjustRightInd w:val="0"/>
        <w:snapToGrid w:val="0"/>
        <w:spacing w:line="600" w:lineRule="exact"/>
        <w:ind w:firstLine="720"/>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14:paraId="0F4BCF80">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（一）项目基本情况。</w:t>
      </w:r>
    </w:p>
    <w:p w14:paraId="75EBE767">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CB6D459">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（二）项目绩效目标。</w:t>
      </w:r>
    </w:p>
    <w:p w14:paraId="20501319">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758632FD">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（三）项目自评步骤及方法。</w:t>
      </w:r>
    </w:p>
    <w:p w14:paraId="531811F2">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8C60429">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二、项目资金申报及使用情况</w:t>
      </w:r>
    </w:p>
    <w:p w14:paraId="08E88B41">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（一）项目资金申报及批复情况。</w:t>
      </w:r>
    </w:p>
    <w:p w14:paraId="76301635">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1A4D0A7">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（二）资金计划、到位及使用情况（可用表格形式反映）。</w:t>
      </w:r>
    </w:p>
    <w:p w14:paraId="094803FA">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BF0B9E1">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（三）项目财务管理情况。</w:t>
      </w:r>
    </w:p>
    <w:p w14:paraId="2BF17731">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1080CA1C">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三、项目实施及管理情况</w:t>
      </w:r>
    </w:p>
    <w:p w14:paraId="0A3C13D0">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197FC4C9">
      <w:p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（一）项目组织架构及实施流程。</w:t>
      </w:r>
    </w:p>
    <w:p w14:paraId="5A5837E7">
      <w:p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7C3EA21A">
      <w:pPr>
        <w:numPr>
          <w:ilvl w:val="0"/>
          <w:numId w:val="6"/>
        </w:num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项目管理情况。</w:t>
      </w:r>
    </w:p>
    <w:p w14:paraId="7477BC6B">
      <w:pPr>
        <w:numPr>
          <w:ilvl w:val="0"/>
          <w:numId w:val="6"/>
        </w:num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4AC05C0D">
      <w:pPr>
        <w:numPr>
          <w:ilvl w:val="0"/>
          <w:numId w:val="6"/>
        </w:numPr>
        <w:adjustRightInd w:val="0"/>
        <w:snapToGrid w:val="0"/>
        <w:spacing w:line="600" w:lineRule="exact"/>
        <w:ind w:left="0" w:leftChars="0" w:firstLine="720" w:firstLineChars="0"/>
        <w:rPr>
          <w:rFonts w:hint="eastAsia" w:ascii="仿宋_GB2312" w:hAnsi="仿宋_GB2312" w:eastAsia="仿宋_GB2312" w:cs="仿宋_GB2312"/>
          <w:color w:val="auto"/>
          <w:sz w:val="32"/>
          <w:szCs w:val="32"/>
          <w:highlight w:val="none"/>
          <w:lang w:eastAsia="zh-CN"/>
        </w:rPr>
      </w:pPr>
      <w:r>
        <w:rPr>
          <w:rFonts w:hint="eastAsia" w:ascii="楷体_GB2312" w:hAnsi="宋体" w:eastAsia="楷体_GB2312"/>
          <w:b/>
          <w:color w:val="auto"/>
          <w:sz w:val="32"/>
          <w:szCs w:val="32"/>
          <w:highlight w:val="none"/>
          <w:lang w:val="zh-CN"/>
        </w:rPr>
        <w:t>项目监管情况。</w:t>
      </w:r>
    </w:p>
    <w:p w14:paraId="270FB9D2">
      <w:pPr>
        <w:numPr>
          <w:ilvl w:val="0"/>
          <w:numId w:val="0"/>
        </w:numPr>
        <w:adjustRightInd w:val="0"/>
        <w:snapToGrid w:val="0"/>
        <w:spacing w:line="600" w:lineRule="exact"/>
        <w:ind w:left="720" w:left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50F0EE1">
      <w:pPr>
        <w:numPr>
          <w:ilvl w:val="0"/>
          <w:numId w:val="0"/>
        </w:numPr>
        <w:adjustRightInd w:val="0"/>
        <w:snapToGrid w:val="0"/>
        <w:spacing w:line="600" w:lineRule="exact"/>
        <w:ind w:left="720" w:leftChars="0"/>
        <w:rPr>
          <w:rFonts w:ascii="仿宋_GB2312" w:hAnsi="宋体" w:eastAsia="仿宋_GB2312"/>
          <w:color w:val="auto"/>
          <w:sz w:val="32"/>
          <w:szCs w:val="32"/>
          <w:highlight w:val="none"/>
          <w:lang w:val="zh-CN"/>
        </w:rPr>
      </w:pPr>
      <w:r>
        <w:rPr>
          <w:rFonts w:hint="eastAsia" w:ascii="黑体" w:hAnsi="宋体" w:eastAsia="黑体"/>
          <w:color w:val="auto"/>
          <w:sz w:val="32"/>
          <w:szCs w:val="32"/>
          <w:highlight w:val="none"/>
        </w:rPr>
        <w:t>四、项目绩效情况</w:t>
      </w:r>
      <w:r>
        <w:rPr>
          <w:rFonts w:ascii="仿宋_GB2312" w:hAnsi="宋体" w:eastAsia="仿宋_GB2312"/>
          <w:color w:val="auto"/>
          <w:sz w:val="32"/>
          <w:szCs w:val="32"/>
          <w:highlight w:val="none"/>
          <w:lang w:val="zh-CN"/>
        </w:rPr>
        <w:tab/>
      </w:r>
    </w:p>
    <w:p w14:paraId="0BD50E30">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（一）项目完成情况。</w:t>
      </w:r>
    </w:p>
    <w:p w14:paraId="5251CC08">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0D5F9BE5">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（二）项目效益情况。</w:t>
      </w:r>
    </w:p>
    <w:p w14:paraId="1BCF0E8E">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DF73231">
      <w:pPr>
        <w:spacing w:line="580" w:lineRule="exact"/>
        <w:ind w:firstLine="640" w:firstLineChars="200"/>
        <w:rPr>
          <w:rFonts w:ascii="仿宋_GB2312" w:hAnsi="仿宋_GB2312" w:eastAsia="仿宋_GB2312" w:cs="仿宋_GB2312"/>
          <w:sz w:val="32"/>
          <w:szCs w:val="32"/>
        </w:rPr>
      </w:pPr>
    </w:p>
    <w:p w14:paraId="5BC78893">
      <w:pPr>
        <w:spacing w:line="580" w:lineRule="exact"/>
        <w:rPr>
          <w:rFonts w:hint="eastAsia" w:ascii="黑体" w:hAnsi="黑体" w:eastAsia="黑体" w:cs="黑体"/>
          <w:sz w:val="32"/>
          <w:szCs w:val="32"/>
        </w:rPr>
      </w:pPr>
    </w:p>
    <w:p w14:paraId="0661EA78">
      <w:pPr>
        <w:spacing w:line="600" w:lineRule="exact"/>
        <w:outlineLvl w:val="0"/>
        <w:rPr>
          <w:rStyle w:val="43"/>
          <w:rFonts w:ascii="黑体" w:hAnsi="黑体" w:eastAsia="黑体"/>
          <w:b w:val="0"/>
        </w:rPr>
      </w:pPr>
    </w:p>
    <w:p w14:paraId="648FD7C1">
      <w:pPr>
        <w:pStyle w:val="2"/>
      </w:pPr>
    </w:p>
    <w:p w14:paraId="2275FE78"/>
    <w:p w14:paraId="264531FD">
      <w:pPr>
        <w:pStyle w:val="2"/>
      </w:pPr>
    </w:p>
    <w:p w14:paraId="42930018"/>
    <w:p w14:paraId="74A52ADD">
      <w:pPr>
        <w:pStyle w:val="2"/>
      </w:pPr>
    </w:p>
    <w:p w14:paraId="3E9C1D68"/>
    <w:p w14:paraId="7016F03C">
      <w:pPr>
        <w:pStyle w:val="2"/>
      </w:pPr>
    </w:p>
    <w:p w14:paraId="75768A1E"/>
    <w:p w14:paraId="4051C2A7">
      <w:pPr>
        <w:pStyle w:val="2"/>
      </w:pPr>
    </w:p>
    <w:p w14:paraId="53314D4D"/>
    <w:p w14:paraId="4CAB551B">
      <w:pPr>
        <w:pStyle w:val="2"/>
      </w:pPr>
    </w:p>
    <w:p w14:paraId="1241B46C"/>
    <w:p w14:paraId="2214AC2B">
      <w:pPr>
        <w:pStyle w:val="2"/>
      </w:pPr>
    </w:p>
    <w:p w14:paraId="11EFB3EA">
      <w:pPr>
        <w:wordWrap/>
        <w:snapToGrid/>
        <w:spacing w:line="240" w:lineRule="auto"/>
        <w:ind w:left="0" w:leftChars="0" w:right="0" w:firstLine="0" w:firstLineChars="0"/>
        <w:jc w:val="left"/>
      </w:pPr>
    </w:p>
    <w:bookmarkEnd w:id="75"/>
    <w:p w14:paraId="7CB08EB8">
      <w:pPr>
        <w:spacing w:line="600" w:lineRule="exact"/>
        <w:jc w:val="center"/>
        <w:outlineLvl w:val="0"/>
        <w:rPr>
          <w:rStyle w:val="43"/>
          <w:rFonts w:hint="eastAsia" w:ascii="黑体" w:hAnsi="黑体" w:eastAsia="黑体"/>
          <w:b w:val="0"/>
          <w:color w:val="auto"/>
          <w:highlight w:val="none"/>
        </w:rPr>
      </w:pPr>
      <w:r>
        <w:rPr>
          <w:rStyle w:val="43"/>
          <w:rFonts w:hint="eastAsia" w:ascii="黑体" w:hAnsi="黑体" w:eastAsia="黑体"/>
          <w:b w:val="0"/>
          <w:color w:val="auto"/>
          <w:highlight w:val="none"/>
          <w:lang w:val="en-US" w:eastAsia="zh-CN"/>
        </w:rPr>
        <w:t xml:space="preserve">第五部分 </w:t>
      </w:r>
      <w:r>
        <w:rPr>
          <w:rStyle w:val="43"/>
          <w:rFonts w:hint="eastAsia" w:ascii="黑体" w:hAnsi="黑体" w:eastAsia="黑体"/>
          <w:b w:val="0"/>
          <w:color w:val="auto"/>
          <w:highlight w:val="none"/>
        </w:rPr>
        <w:t>附表</w:t>
      </w:r>
    </w:p>
    <w:p w14:paraId="2FFF9A49">
      <w:pPr>
        <w:numPr>
          <w:ilvl w:val="0"/>
          <w:numId w:val="0"/>
        </w:numPr>
        <w:spacing w:line="600" w:lineRule="exact"/>
        <w:jc w:val="both"/>
        <w:outlineLvl w:val="0"/>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一、收入支出决算总表</w:t>
      </w:r>
    </w:p>
    <w:p w14:paraId="74792A26">
      <w:pPr>
        <w:numPr>
          <w:ilvl w:val="0"/>
          <w:numId w:val="0"/>
        </w:numPr>
        <w:spacing w:line="600" w:lineRule="exact"/>
        <w:jc w:val="both"/>
        <w:outlineLvl w:val="0"/>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二、收入决算表</w:t>
      </w:r>
    </w:p>
    <w:p w14:paraId="48F55E7F">
      <w:pPr>
        <w:pStyle w:val="2"/>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三、支出决算表</w:t>
      </w:r>
    </w:p>
    <w:p w14:paraId="7FFE33C7">
      <w:pPr>
        <w:pStyle w:val="2"/>
        <w:rPr>
          <w:rFonts w:ascii="仿宋" w:hAnsi="仿宋" w:eastAsia="仿宋"/>
          <w:b w:val="0"/>
          <w:color w:val="auto"/>
          <w:highlight w:val="none"/>
        </w:rPr>
      </w:pPr>
      <w:bookmarkStart w:id="76" w:name="_Toc15396622"/>
      <w:r>
        <w:rPr>
          <w:rStyle w:val="4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42"/>
          <w:rFonts w:hint="eastAsia" w:ascii="仿宋" w:hAnsi="仿宋" w:eastAsia="仿宋"/>
          <w:b w:val="0"/>
          <w:bCs w:val="0"/>
          <w:color w:val="auto"/>
          <w:highlight w:val="none"/>
        </w:rPr>
        <w:t>政拨款收入支出决算总表</w:t>
      </w:r>
      <w:bookmarkEnd w:id="76"/>
    </w:p>
    <w:p w14:paraId="6AFCADCE">
      <w:pPr>
        <w:pStyle w:val="2"/>
        <w:rPr>
          <w:rStyle w:val="42"/>
          <w:rFonts w:ascii="仿宋" w:hAnsi="仿宋" w:eastAsia="仿宋"/>
          <w:b w:val="0"/>
          <w:bCs w:val="0"/>
          <w:color w:val="auto"/>
          <w:highlight w:val="none"/>
        </w:rPr>
      </w:pPr>
      <w:bookmarkStart w:id="77" w:name="_Toc15396623"/>
      <w:r>
        <w:rPr>
          <w:rStyle w:val="4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42"/>
          <w:rFonts w:hint="eastAsia" w:ascii="仿宋" w:hAnsi="仿宋" w:eastAsia="仿宋"/>
          <w:b w:val="0"/>
          <w:bCs w:val="0"/>
          <w:color w:val="auto"/>
          <w:highlight w:val="none"/>
        </w:rPr>
        <w:t>政拨款支出决算明细表</w:t>
      </w:r>
      <w:bookmarkEnd w:id="77"/>
      <w:bookmarkStart w:id="78" w:name="_Toc15396624"/>
    </w:p>
    <w:p w14:paraId="0DE190A1">
      <w:pPr>
        <w:pStyle w:val="2"/>
        <w:rPr>
          <w:rFonts w:ascii="仿宋" w:hAnsi="仿宋" w:eastAsia="仿宋"/>
          <w:color w:val="auto"/>
          <w:highlight w:val="none"/>
        </w:rPr>
      </w:pPr>
      <w:r>
        <w:rPr>
          <w:rStyle w:val="4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般公共预算财政拨款支出决算表</w:t>
      </w:r>
      <w:bookmarkEnd w:id="78"/>
    </w:p>
    <w:p w14:paraId="7727A0E1">
      <w:pPr>
        <w:pStyle w:val="2"/>
        <w:rPr>
          <w:rFonts w:ascii="仿宋" w:hAnsi="仿宋" w:eastAsia="仿宋"/>
          <w:color w:val="auto"/>
          <w:highlight w:val="none"/>
        </w:rPr>
      </w:pPr>
      <w:r>
        <w:rPr>
          <w:rStyle w:val="4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般公共预算财政拨款支出决算明细表</w:t>
      </w:r>
    </w:p>
    <w:p w14:paraId="7A31BBEF">
      <w:pPr>
        <w:pStyle w:val="2"/>
        <w:rPr>
          <w:rFonts w:ascii="仿宋" w:hAnsi="仿宋" w:eastAsia="仿宋"/>
          <w:color w:val="auto"/>
          <w:highlight w:val="none"/>
        </w:rPr>
      </w:pPr>
      <w:bookmarkStart w:id="79" w:name="_Toc15396626"/>
      <w:r>
        <w:rPr>
          <w:rStyle w:val="4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般公共预算财政拨款基本支出决算表</w:t>
      </w:r>
      <w:bookmarkEnd w:id="79"/>
    </w:p>
    <w:p w14:paraId="05CED350">
      <w:pPr>
        <w:pStyle w:val="2"/>
        <w:rPr>
          <w:rFonts w:ascii="仿宋" w:hAnsi="仿宋" w:eastAsia="仿宋"/>
          <w:color w:val="auto"/>
          <w:highlight w:val="none"/>
        </w:rPr>
      </w:pPr>
      <w:bookmarkStart w:id="80" w:name="_Toc15396627"/>
      <w:r>
        <w:rPr>
          <w:rStyle w:val="4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般公共预算财政拨款项目支出决算表</w:t>
      </w:r>
      <w:bookmarkEnd w:id="80"/>
    </w:p>
    <w:p w14:paraId="3C987BE9">
      <w:pPr>
        <w:pStyle w:val="2"/>
        <w:rPr>
          <w:rFonts w:ascii="仿宋" w:hAnsi="仿宋" w:eastAsia="仿宋"/>
          <w:color w:val="auto"/>
          <w:highlight w:val="none"/>
        </w:rPr>
      </w:pPr>
      <w:bookmarkStart w:id="81" w:name="_Toc15396628"/>
      <w:r>
        <w:rPr>
          <w:rStyle w:val="42"/>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般公共预算财政拨款“三公”经费支出决算表</w:t>
      </w:r>
      <w:bookmarkEnd w:id="81"/>
    </w:p>
    <w:p w14:paraId="68CEF59C">
      <w:pPr>
        <w:pStyle w:val="2"/>
        <w:rPr>
          <w:rFonts w:ascii="仿宋" w:hAnsi="仿宋" w:eastAsia="仿宋"/>
          <w:color w:val="auto"/>
          <w:highlight w:val="none"/>
        </w:rPr>
      </w:pPr>
      <w:bookmarkStart w:id="82" w:name="_Toc15396629"/>
      <w:r>
        <w:rPr>
          <w:rStyle w:val="42"/>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42"/>
          <w:rFonts w:hint="eastAsia" w:ascii="仿宋" w:hAnsi="仿宋" w:eastAsia="仿宋"/>
          <w:b w:val="0"/>
          <w:bCs w:val="0"/>
          <w:color w:val="auto"/>
          <w:highlight w:val="none"/>
        </w:rPr>
        <w:t>府性基金预算财政拨款收入支出决算表</w:t>
      </w:r>
      <w:bookmarkEnd w:id="82"/>
    </w:p>
    <w:p w14:paraId="3644B3AF">
      <w:pPr>
        <w:pStyle w:val="2"/>
        <w:rPr>
          <w:rFonts w:ascii="仿宋" w:hAnsi="仿宋" w:eastAsia="仿宋"/>
          <w:color w:val="auto"/>
          <w:highlight w:val="none"/>
        </w:rPr>
      </w:pPr>
      <w:bookmarkStart w:id="83" w:name="_Toc15396630"/>
      <w:r>
        <w:rPr>
          <w:rStyle w:val="42"/>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42"/>
          <w:rFonts w:hint="eastAsia" w:ascii="仿宋" w:hAnsi="仿宋" w:eastAsia="仿宋"/>
          <w:b w:val="0"/>
          <w:bCs w:val="0"/>
          <w:color w:val="auto"/>
          <w:highlight w:val="none"/>
        </w:rPr>
        <w:t>府性基金预算财政拨款“三公”经费支出决算表</w:t>
      </w:r>
      <w:bookmarkEnd w:id="83"/>
    </w:p>
    <w:p w14:paraId="5D47ADE4">
      <w:pPr>
        <w:pStyle w:val="2"/>
        <w:rPr>
          <w:rStyle w:val="42"/>
          <w:rFonts w:hint="eastAsia" w:ascii="仿宋" w:hAnsi="仿宋" w:eastAsia="仿宋"/>
          <w:b w:val="0"/>
          <w:bCs w:val="0"/>
          <w:color w:val="auto"/>
          <w:highlight w:val="none"/>
        </w:rPr>
      </w:pPr>
      <w:bookmarkStart w:id="84" w:name="_Toc15396631"/>
      <w:r>
        <w:rPr>
          <w:rStyle w:val="42"/>
          <w:rFonts w:hint="eastAsia" w:ascii="仿宋" w:hAnsi="仿宋" w:eastAsia="仿宋"/>
          <w:b w:val="0"/>
          <w:bCs w:val="0"/>
          <w:color w:val="auto"/>
          <w:highlight w:val="none"/>
        </w:rPr>
        <w:t>十三、</w:t>
      </w:r>
      <w:bookmarkEnd w:id="84"/>
      <w:r>
        <w:rPr>
          <w:rFonts w:hint="eastAsia" w:ascii="仿宋" w:hAnsi="仿宋" w:eastAsia="仿宋"/>
          <w:b w:val="0"/>
          <w:color w:val="auto"/>
          <w:highlight w:val="none"/>
        </w:rPr>
        <w:t>国有资本经营预算财政拨款收入支出决算表</w:t>
      </w:r>
    </w:p>
    <w:p w14:paraId="7C75631D">
      <w:pPr>
        <w:numPr>
          <w:ilvl w:val="0"/>
          <w:numId w:val="0"/>
        </w:numPr>
        <w:ind w:leftChars="0"/>
        <w:rPr>
          <w:rFonts w:hint="eastAsia" w:ascii="仿宋" w:hAnsi="仿宋" w:eastAsia="仿宋" w:cs="黑体"/>
          <w:b w:val="0"/>
          <w:bCs/>
          <w:color w:val="auto"/>
          <w:kern w:val="2"/>
          <w:sz w:val="32"/>
          <w:szCs w:val="32"/>
          <w:highlight w:val="none"/>
          <w:lang w:val="en-US" w:eastAsia="zh-CN" w:bidi="ar-SA"/>
        </w:rPr>
      </w:pPr>
      <w:r>
        <w:rPr>
          <w:rFonts w:hint="eastAsia" w:ascii="仿宋" w:hAnsi="仿宋" w:eastAsia="仿宋" w:cs="黑体"/>
          <w:b w:val="0"/>
          <w:bCs/>
          <w:color w:val="auto"/>
          <w:kern w:val="2"/>
          <w:sz w:val="32"/>
          <w:szCs w:val="32"/>
          <w:highlight w:val="none"/>
          <w:lang w:val="en-US" w:eastAsia="zh-CN" w:bidi="ar-SA"/>
        </w:rPr>
        <w:t>十四、国有资本经营预算财政拨款支出决算表</w:t>
      </w:r>
    </w:p>
    <w:p w14:paraId="4AE84C57">
      <w:pPr>
        <w:pStyle w:val="2"/>
        <w:wordWrap/>
        <w:snapToGrid/>
        <w:spacing w:before="0" w:after="0" w:line="240" w:lineRule="auto"/>
        <w:ind w:left="0" w:leftChars="0" w:right="0" w:firstLine="0" w:firstLineChars="0"/>
        <w:jc w:val="left"/>
        <w:rPr>
          <w:rFonts w:ascii="仿宋" w:hAnsi="仿宋" w:eastAsia="仿宋"/>
          <w:color w:val="000000"/>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C6255B-F2DF-4592-8EDC-746583FE6A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embedRegular r:id="rId2" w:fontKey="{B8C57A6C-2080-4197-89C1-9E71A30D251C}"/>
  </w:font>
  <w:font w:name="仿宋_GB2312">
    <w:altName w:val="仿宋"/>
    <w:panose1 w:val="02010609030101010101"/>
    <w:charset w:val="86"/>
    <w:family w:val="auto"/>
    <w:pitch w:val="default"/>
    <w:sig w:usb0="00000000" w:usb1="00000000" w:usb2="00000000" w:usb3="00000000" w:csb0="00040000" w:csb1="00000000"/>
    <w:embedRegular r:id="rId3" w:fontKey="{993F99ED-7892-44D5-A6CB-BA3222407400}"/>
  </w:font>
  <w:font w:name="仿宋">
    <w:panose1 w:val="02010609060101010101"/>
    <w:charset w:val="86"/>
    <w:family w:val="auto"/>
    <w:pitch w:val="default"/>
    <w:sig w:usb0="800002BF" w:usb1="38CF7CFA" w:usb2="00000016" w:usb3="00000000" w:csb0="00040001" w:csb1="00000000"/>
    <w:embedRegular r:id="rId4" w:fontKey="{741D263F-203A-46CA-B17F-CF27A3E63529}"/>
  </w:font>
  <w:font w:name="方正小标宋简体">
    <w:panose1 w:val="02000000000000000000"/>
    <w:charset w:val="86"/>
    <w:family w:val="auto"/>
    <w:pitch w:val="default"/>
    <w:sig w:usb0="00000001" w:usb1="08000000" w:usb2="00000000" w:usb3="00000000" w:csb0="00040000" w:csb1="00000000"/>
    <w:embedRegular r:id="rId5" w:fontKey="{D0B82159-2931-47E9-B831-E7782EBB5C93}"/>
  </w:font>
  <w:font w:name="方正小标宋_GBK">
    <w:panose1 w:val="02000000000000000000"/>
    <w:charset w:val="86"/>
    <w:family w:val="auto"/>
    <w:pitch w:val="default"/>
    <w:sig w:usb0="A00002BF" w:usb1="38CF7CFA" w:usb2="00082016" w:usb3="00000000" w:csb0="00040001" w:csb1="00000000"/>
    <w:embedRegular r:id="rId6" w:fontKey="{BA90FF7E-661B-47A6-8397-5532E3A25A8C}"/>
  </w:font>
  <w:font w:name="楷体_GB2312">
    <w:panose1 w:val="02010609030101010101"/>
    <w:charset w:val="86"/>
    <w:family w:val="modern"/>
    <w:pitch w:val="default"/>
    <w:sig w:usb0="00000001" w:usb1="080E0000" w:usb2="00000000" w:usb3="00000000" w:csb0="00040000" w:csb1="00000000"/>
    <w:embedRegular r:id="rId7" w:fontKey="{3D956595-8915-4B9D-A3CE-5EF4076F1C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4067">
    <w:pPr>
      <w:pStyle w:val="11"/>
      <w:jc w:val="center"/>
    </w:pPr>
    <w:r>
      <w:fldChar w:fldCharType="begin"/>
    </w:r>
    <w:r>
      <w:instrText xml:space="preserve">PAGE   \* MERGEFORMAT</w:instrText>
    </w:r>
    <w:r>
      <w:fldChar w:fldCharType="separate"/>
    </w:r>
    <w:r>
      <w:rPr>
        <w:lang w:val="zh-CN"/>
      </w:rPr>
      <w:t>24</w:t>
    </w:r>
    <w:r>
      <w:fldChar w:fldCharType="end"/>
    </w:r>
  </w:p>
  <w:p w14:paraId="2C8154A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54D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C73F9"/>
    <w:multiLevelType w:val="singleLevel"/>
    <w:tmpl w:val="9E4C73F9"/>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5D099EF"/>
    <w:multiLevelType w:val="singleLevel"/>
    <w:tmpl w:val="55D099EF"/>
    <w:lvl w:ilvl="0" w:tentative="0">
      <w:start w:val="2"/>
      <w:numFmt w:val="chineseCounting"/>
      <w:suff w:val="nothing"/>
      <w:lvlText w:val="（%1）"/>
      <w:lvlJc w:val="left"/>
      <w:rPr>
        <w:rFonts w:hint="eastAsia"/>
      </w:rPr>
    </w:lvl>
  </w:abstractNum>
  <w:abstractNum w:abstractNumId="4">
    <w:nsid w:val="638D2CE9"/>
    <w:multiLevelType w:val="singleLevel"/>
    <w:tmpl w:val="638D2CE9"/>
    <w:lvl w:ilvl="0" w:tentative="0">
      <w:start w:val="2"/>
      <w:numFmt w:val="chineseCounting"/>
      <w:suff w:val="nothing"/>
      <w:lvlText w:val="（%1）"/>
      <w:lvlJc w:val="left"/>
      <w:rPr>
        <w:rFonts w:hint="eastAsia"/>
      </w:rPr>
    </w:lvl>
  </w:abstractNum>
  <w:abstractNum w:abstractNumId="5">
    <w:nsid w:val="6C435863"/>
    <w:multiLevelType w:val="singleLevel"/>
    <w:tmpl w:val="6C43586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2E7F"/>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DE1EC4"/>
    <w:rsid w:val="07175294"/>
    <w:rsid w:val="07792A3B"/>
    <w:rsid w:val="0911242E"/>
    <w:rsid w:val="0EE53D1D"/>
    <w:rsid w:val="0F746B1B"/>
    <w:rsid w:val="10C055FF"/>
    <w:rsid w:val="11CA4BC1"/>
    <w:rsid w:val="135C4F22"/>
    <w:rsid w:val="15871135"/>
    <w:rsid w:val="159B13A7"/>
    <w:rsid w:val="16BB723D"/>
    <w:rsid w:val="172B41FD"/>
    <w:rsid w:val="19142691"/>
    <w:rsid w:val="1B7825BE"/>
    <w:rsid w:val="1E2B0D38"/>
    <w:rsid w:val="1EAE3606"/>
    <w:rsid w:val="1ECC7E20"/>
    <w:rsid w:val="1FA25DD9"/>
    <w:rsid w:val="21C341A2"/>
    <w:rsid w:val="240371BF"/>
    <w:rsid w:val="277100F0"/>
    <w:rsid w:val="29FD04D3"/>
    <w:rsid w:val="2E3445EA"/>
    <w:rsid w:val="2FC41F75"/>
    <w:rsid w:val="319F7F4E"/>
    <w:rsid w:val="35340A5F"/>
    <w:rsid w:val="35604029"/>
    <w:rsid w:val="35765E7D"/>
    <w:rsid w:val="36303BCE"/>
    <w:rsid w:val="37405B09"/>
    <w:rsid w:val="3F2A7AF7"/>
    <w:rsid w:val="3FCD33B5"/>
    <w:rsid w:val="4181731E"/>
    <w:rsid w:val="41B11F42"/>
    <w:rsid w:val="42F270BC"/>
    <w:rsid w:val="43365A67"/>
    <w:rsid w:val="446A1670"/>
    <w:rsid w:val="46191F15"/>
    <w:rsid w:val="46710120"/>
    <w:rsid w:val="46C46380"/>
    <w:rsid w:val="4A8458EF"/>
    <w:rsid w:val="4C6D3096"/>
    <w:rsid w:val="4ECE2238"/>
    <w:rsid w:val="4FBA0358"/>
    <w:rsid w:val="4FCA1C2F"/>
    <w:rsid w:val="51256123"/>
    <w:rsid w:val="57B55052"/>
    <w:rsid w:val="591A4CED"/>
    <w:rsid w:val="5AE97C45"/>
    <w:rsid w:val="5CE70A7E"/>
    <w:rsid w:val="5D4B53F4"/>
    <w:rsid w:val="613605EB"/>
    <w:rsid w:val="62605EE5"/>
    <w:rsid w:val="657E4A9E"/>
    <w:rsid w:val="69671F94"/>
    <w:rsid w:val="72734D90"/>
    <w:rsid w:val="735212C4"/>
    <w:rsid w:val="73DE7475"/>
    <w:rsid w:val="77917E47"/>
    <w:rsid w:val="79171BA2"/>
    <w:rsid w:val="7C1F1332"/>
    <w:rsid w:val="7C9C466D"/>
    <w:rsid w:val="7E8E54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2"/>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Salutation"/>
    <w:basedOn w:val="1"/>
    <w:next w:val="1"/>
    <w:qFormat/>
    <w:uiPriority w:val="99"/>
  </w:style>
  <w:style w:type="paragraph" w:styleId="7">
    <w:name w:val="Body Text"/>
    <w:basedOn w:val="1"/>
    <w:link w:val="35"/>
    <w:qFormat/>
    <w:uiPriority w:val="99"/>
    <w:pPr>
      <w:spacing w:beforeLines="30"/>
    </w:pPr>
    <w:rPr>
      <w:rFonts w:ascii="仿宋_GB2312" w:eastAsia="仿宋_GB2312"/>
      <w:kern w:val="0"/>
      <w:sz w:val="30"/>
    </w:rPr>
  </w:style>
  <w:style w:type="paragraph" w:styleId="8">
    <w:name w:val="Body Text Indent"/>
    <w:basedOn w:val="1"/>
    <w:qFormat/>
    <w:uiPriority w:val="99"/>
    <w:pPr>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8"/>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99"/>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7">
    <w:name w:val="Body Text First Indent 2"/>
    <w:basedOn w:val="8"/>
    <w:next w:val="1"/>
    <w:qFormat/>
    <w:uiPriority w:val="99"/>
    <w:pPr>
      <w:ind w:firstLine="420" w:firstLineChars="200"/>
    </w:pPr>
  </w:style>
  <w:style w:type="character" w:styleId="20">
    <w:name w:val="Strong"/>
    <w:basedOn w:val="19"/>
    <w:qFormat/>
    <w:uiPriority w:val="99"/>
    <w:rPr>
      <w:b/>
    </w:rPr>
  </w:style>
  <w:style w:type="character" w:styleId="21">
    <w:name w:val="Emphasis"/>
    <w:basedOn w:val="19"/>
    <w:qFormat/>
    <w:uiPriority w:val="20"/>
    <w:rPr>
      <w:i/>
    </w:rPr>
  </w:style>
  <w:style w:type="character" w:styleId="22">
    <w:name w:val="Hyperlink"/>
    <w:basedOn w:val="19"/>
    <w:unhideWhenUsed/>
    <w:qFormat/>
    <w:uiPriority w:val="99"/>
    <w:rPr>
      <w:color w:val="0000FF"/>
      <w:u w:val="single"/>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paragraph" w:customStyle="1" w:styleId="2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6">
    <w:name w:val="TOC Heading"/>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7">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8">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9">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0">
    <w:name w:val="Header Char"/>
    <w:basedOn w:val="19"/>
    <w:semiHidden/>
    <w:qFormat/>
    <w:uiPriority w:val="99"/>
    <w:rPr>
      <w:rFonts w:ascii="Times New Roman" w:hAnsi="Times New Roman"/>
      <w:sz w:val="18"/>
      <w:szCs w:val="18"/>
    </w:rPr>
  </w:style>
  <w:style w:type="character" w:customStyle="1" w:styleId="31">
    <w:name w:val="页眉 Char"/>
    <w:link w:val="12"/>
    <w:semiHidden/>
    <w:qFormat/>
    <w:locked/>
    <w:uiPriority w:val="99"/>
    <w:rPr>
      <w:sz w:val="18"/>
    </w:rPr>
  </w:style>
  <w:style w:type="character" w:customStyle="1" w:styleId="32">
    <w:name w:val="Footer Char"/>
    <w:basedOn w:val="19"/>
    <w:semiHidden/>
    <w:qFormat/>
    <w:uiPriority w:val="99"/>
    <w:rPr>
      <w:rFonts w:ascii="Times New Roman" w:hAnsi="Times New Roman"/>
      <w:sz w:val="18"/>
      <w:szCs w:val="18"/>
    </w:rPr>
  </w:style>
  <w:style w:type="character" w:customStyle="1" w:styleId="33">
    <w:name w:val="页脚 Char"/>
    <w:link w:val="11"/>
    <w:qFormat/>
    <w:locked/>
    <w:uiPriority w:val="99"/>
    <w:rPr>
      <w:sz w:val="18"/>
    </w:rPr>
  </w:style>
  <w:style w:type="character" w:customStyle="1" w:styleId="34">
    <w:name w:val="Body Text Char"/>
    <w:basedOn w:val="19"/>
    <w:semiHidden/>
    <w:qFormat/>
    <w:uiPriority w:val="99"/>
    <w:rPr>
      <w:rFonts w:ascii="Times New Roman" w:hAnsi="Times New Roman"/>
      <w:szCs w:val="24"/>
    </w:rPr>
  </w:style>
  <w:style w:type="character" w:customStyle="1" w:styleId="35">
    <w:name w:val="正文文本 Char"/>
    <w:link w:val="7"/>
    <w:qFormat/>
    <w:locked/>
    <w:uiPriority w:val="99"/>
    <w:rPr>
      <w:rFonts w:ascii="仿宋_GB2312" w:hAnsi="Times New Roman" w:eastAsia="仿宋_GB2312"/>
      <w:sz w:val="24"/>
    </w:rPr>
  </w:style>
  <w:style w:type="character" w:customStyle="1" w:styleId="36">
    <w:name w:val="标题 1 Char"/>
    <w:basedOn w:val="19"/>
    <w:link w:val="3"/>
    <w:qFormat/>
    <w:uiPriority w:val="9"/>
    <w:rPr>
      <w:rFonts w:ascii="Times New Roman" w:hAnsi="Times New Roman"/>
      <w:b/>
      <w:bCs/>
      <w:kern w:val="44"/>
      <w:sz w:val="44"/>
      <w:szCs w:val="44"/>
    </w:rPr>
  </w:style>
  <w:style w:type="character" w:customStyle="1" w:styleId="37">
    <w:name w:val="标题 2 Char"/>
    <w:basedOn w:val="19"/>
    <w:link w:val="2"/>
    <w:qFormat/>
    <w:uiPriority w:val="9"/>
    <w:rPr>
      <w:rFonts w:ascii="Cambria" w:hAnsi="Cambria" w:eastAsia="宋体" w:cs="黑体"/>
      <w:b/>
      <w:bCs/>
      <w:kern w:val="2"/>
      <w:sz w:val="32"/>
      <w:szCs w:val="32"/>
    </w:rPr>
  </w:style>
  <w:style w:type="character" w:customStyle="1" w:styleId="38">
    <w:name w:val="批注框文本 Char"/>
    <w:basedOn w:val="19"/>
    <w:link w:val="10"/>
    <w:semiHidden/>
    <w:qFormat/>
    <w:uiPriority w:val="99"/>
    <w:rPr>
      <w:rFonts w:ascii="Times New Roman" w:hAnsi="Times New Roman"/>
      <w:kern w:val="2"/>
      <w:sz w:val="18"/>
      <w:szCs w:val="18"/>
    </w:rPr>
  </w:style>
  <w:style w:type="character" w:customStyle="1" w:styleId="39">
    <w:name w:val="标题 3 Char"/>
    <w:basedOn w:val="19"/>
    <w:link w:val="4"/>
    <w:qFormat/>
    <w:uiPriority w:val="9"/>
    <w:rPr>
      <w:rFonts w:ascii="Times New Roman" w:hAnsi="Times New Roman"/>
      <w:b/>
      <w:bCs/>
      <w:kern w:val="2"/>
      <w:sz w:val="32"/>
      <w:szCs w:val="32"/>
    </w:rPr>
  </w:style>
  <w:style w:type="character" w:customStyle="1" w:styleId="40">
    <w:name w:val="font11"/>
    <w:basedOn w:val="19"/>
    <w:qFormat/>
    <w:uiPriority w:val="0"/>
    <w:rPr>
      <w:rFonts w:hint="eastAsia" w:ascii="宋体" w:hAnsi="宋体" w:eastAsia="宋体" w:cs="宋体"/>
      <w:color w:val="000000"/>
      <w:sz w:val="20"/>
      <w:szCs w:val="20"/>
      <w:u w:val="none"/>
    </w:rPr>
  </w:style>
  <w:style w:type="character" w:customStyle="1" w:styleId="41">
    <w:name w:val="font81"/>
    <w:basedOn w:val="19"/>
    <w:qFormat/>
    <w:uiPriority w:val="0"/>
    <w:rPr>
      <w:rFonts w:hint="eastAsia" w:ascii="宋体" w:hAnsi="宋体" w:eastAsia="宋体" w:cs="宋体"/>
      <w:color w:val="000000"/>
      <w:sz w:val="18"/>
      <w:szCs w:val="18"/>
      <w:u w:val="none"/>
    </w:rPr>
  </w:style>
  <w:style w:type="character" w:customStyle="1" w:styleId="42">
    <w:name w:val=" Char Char5"/>
    <w:basedOn w:val="19"/>
    <w:link w:val="2"/>
    <w:qFormat/>
    <w:locked/>
    <w:uiPriority w:val="9"/>
    <w:rPr>
      <w:rFonts w:ascii="Cambria" w:hAnsi="Cambria" w:eastAsia="宋体" w:cs="Times New Roman"/>
      <w:b/>
      <w:bCs/>
      <w:kern w:val="2"/>
      <w:sz w:val="32"/>
      <w:szCs w:val="32"/>
    </w:rPr>
  </w:style>
  <w:style w:type="character" w:customStyle="1" w:styleId="43">
    <w:name w:val=" Char Char6"/>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7549</Words>
  <Characters>8404</Characters>
  <Lines>7</Lines>
  <Paragraphs>17</Paragraphs>
  <TotalTime>1</TotalTime>
  <ScaleCrop>false</ScaleCrop>
  <LinksUpToDate>false</LinksUpToDate>
  <CharactersWithSpaces>8474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2022-09-24T06:59:00Z</cp:lastPrinted>
  <dcterms:modified xsi:type="dcterms:W3CDTF">2024-12-19T07:59:49Z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E9553BE303A24DA2876C82E498F3BBDB</vt:lpwstr>
  </property>
  <property fmtid="{D5CDD505-2E9C-101B-9397-08002B2CF9AE}" pid="4" name="KSOTemplateDocerSaveRecord">
    <vt:lpwstr>eyJoZGlkIjoiMGVhYTg4NGNkZWJkODFjNzcyZDRjM2M4Y2UzNjI5ZmUiLCJ1c2VySWQiOiI2MTE2MzEwMDYifQ==</vt:lpwstr>
  </property>
</Properties>
</file>