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hint="eastAsia" w:ascii="方正小标宋简体" w:hAnsi="宋体" w:eastAsia="方正小标宋简体"/>
          <w:color w:val="000000" w:themeColor="text1"/>
          <w:spacing w:val="0"/>
          <w:sz w:val="72"/>
          <w:szCs w:val="72"/>
          <w:highlight w:val="none"/>
          <w:lang w:val="en-US" w:eastAsia="zh-CN"/>
          <w14:textFill>
            <w14:solidFill>
              <w14:schemeClr w14:val="tx1"/>
            </w14:solidFill>
          </w14:textFill>
        </w:rPr>
      </w:pPr>
      <w:bookmarkStart w:id="0" w:name="_Toc15396597"/>
      <w:bookmarkStart w:id="1" w:name="_Toc15378441"/>
      <w:bookmarkStart w:id="2" w:name="_Toc15396475"/>
      <w:bookmarkStart w:id="3" w:name="_Toc15377193"/>
      <w:bookmarkStart w:id="4" w:name="_Toc15377425"/>
      <w:bookmarkStart w:id="5" w:name="_Toc15306267"/>
      <w:r>
        <w:rPr>
          <w:rFonts w:hint="eastAsia" w:ascii="方正小标宋简体" w:hAnsi="宋体" w:eastAsia="方正小标宋简体"/>
          <w:color w:val="000000" w:themeColor="text1"/>
          <w:spacing w:val="0"/>
          <w:sz w:val="72"/>
          <w:szCs w:val="72"/>
          <w:highlight w:val="none"/>
          <w:lang w:val="en-US" w:eastAsia="zh-CN"/>
          <w14:textFill>
            <w14:solidFill>
              <w14:schemeClr w14:val="tx1"/>
            </w14:solidFill>
          </w14:textFill>
        </w:rPr>
        <w:t xml:space="preserve"> </w:t>
      </w:r>
    </w:p>
    <w:p>
      <w:pPr>
        <w:spacing w:line="600" w:lineRule="exact"/>
        <w:jc w:val="center"/>
        <w:outlineLvl w:val="0"/>
        <w:rPr>
          <w:rFonts w:ascii="方正小标宋简体" w:hAnsi="宋体" w:eastAsia="方正小标宋简体"/>
          <w:color w:val="000000" w:themeColor="text1"/>
          <w:spacing w:val="0"/>
          <w:sz w:val="72"/>
          <w:szCs w:val="72"/>
          <w:highlight w:val="none"/>
          <w14:textFill>
            <w14:solidFill>
              <w14:schemeClr w14:val="tx1"/>
            </w14:solidFill>
          </w14:textFill>
        </w:rPr>
      </w:pPr>
    </w:p>
    <w:p>
      <w:pPr>
        <w:spacing w:line="600" w:lineRule="exact"/>
        <w:jc w:val="center"/>
        <w:outlineLvl w:val="0"/>
        <w:rPr>
          <w:rFonts w:ascii="方正小标宋简体" w:hAnsi="宋体" w:eastAsia="方正小标宋简体"/>
          <w:color w:val="000000" w:themeColor="text1"/>
          <w:spacing w:val="0"/>
          <w:sz w:val="72"/>
          <w:szCs w:val="72"/>
          <w:highlight w:val="none"/>
          <w14:textFill>
            <w14:solidFill>
              <w14:schemeClr w14:val="tx1"/>
            </w14:solidFill>
          </w14:textFill>
        </w:rPr>
      </w:pPr>
    </w:p>
    <w:p>
      <w:pPr>
        <w:adjustRightInd w:val="0"/>
        <w:snapToGrid w:val="0"/>
        <w:spacing w:line="360" w:lineRule="auto"/>
        <w:jc w:val="center"/>
        <w:outlineLvl w:val="0"/>
        <w:rPr>
          <w:rFonts w:hint="eastAsia" w:ascii="方正小标宋简体" w:hAnsi="方正小标宋简体" w:eastAsia="方正小标宋简体" w:cs="方正小标宋简体"/>
          <w:color w:val="000000" w:themeColor="text1"/>
          <w:spacing w:val="0"/>
          <w:sz w:val="72"/>
          <w:szCs w:val="72"/>
          <w:highlight w:val="none"/>
          <w14:textFill>
            <w14:solidFill>
              <w14:schemeClr w14:val="tx1"/>
            </w14:solidFill>
          </w14:textFill>
        </w:rPr>
      </w:pPr>
      <w:r>
        <w:rPr>
          <w:rFonts w:hint="eastAsia" w:ascii="Times New Roman" w:hAnsi="Times New Roman" w:eastAsia="方正小标宋简体" w:cs="方正小标宋简体"/>
          <w:color w:val="000000" w:themeColor="text1"/>
          <w:spacing w:val="0"/>
          <w:sz w:val="72"/>
          <w:szCs w:val="72"/>
          <w:highlight w:val="none"/>
          <w14:textFill>
            <w14:solidFill>
              <w14:schemeClr w14:val="tx1"/>
            </w14:solidFill>
          </w14:textFill>
        </w:rPr>
        <w:t>20</w:t>
      </w:r>
      <w:r>
        <w:rPr>
          <w:rFonts w:hint="eastAsia" w:ascii="Times New Roman" w:hAnsi="Times New Roman" w:eastAsia="方正小标宋简体" w:cs="方正小标宋简体"/>
          <w:color w:val="000000" w:themeColor="text1"/>
          <w:spacing w:val="0"/>
          <w:sz w:val="72"/>
          <w:szCs w:val="72"/>
          <w:highlight w:val="none"/>
          <w:lang w:val="en-US" w:eastAsia="zh-CN"/>
          <w14:textFill>
            <w14:solidFill>
              <w14:schemeClr w14:val="tx1"/>
            </w14:solidFill>
          </w14:textFill>
        </w:rPr>
        <w:t>22</w:t>
      </w:r>
      <w:r>
        <w:rPr>
          <w:rFonts w:hint="eastAsia" w:ascii="方正小标宋简体" w:hAnsi="方正小标宋简体" w:eastAsia="方正小标宋简体" w:cs="方正小标宋简体"/>
          <w:color w:val="000000" w:themeColor="text1"/>
          <w:spacing w:val="0"/>
          <w:sz w:val="72"/>
          <w:szCs w:val="72"/>
          <w:highlight w:val="none"/>
          <w14:textFill>
            <w14:solidFill>
              <w14:schemeClr w14:val="tx1"/>
            </w14:solidFill>
          </w14:textFill>
        </w:rPr>
        <w:t>年度</w:t>
      </w:r>
      <w:bookmarkEnd w:id="0"/>
      <w:bookmarkEnd w:id="1"/>
      <w:bookmarkEnd w:id="2"/>
      <w:bookmarkEnd w:id="3"/>
      <w:bookmarkEnd w:id="4"/>
    </w:p>
    <w:bookmarkEnd w:id="5"/>
    <w:p>
      <w:pPr>
        <w:adjustRightInd w:val="0"/>
        <w:snapToGrid w:val="0"/>
        <w:spacing w:line="360" w:lineRule="auto"/>
        <w:jc w:val="center"/>
        <w:outlineLvl w:val="0"/>
        <w:rPr>
          <w:rFonts w:hint="eastAsia" w:ascii="方正小标宋简体" w:hAnsi="方正小标宋简体" w:eastAsia="方正小标宋简体" w:cs="方正小标宋简体"/>
          <w:color w:val="000000" w:themeColor="text1"/>
          <w:spacing w:val="0"/>
          <w:sz w:val="72"/>
          <w:szCs w:val="72"/>
          <w:highlight w:val="none"/>
          <w14:textFill>
            <w14:solidFill>
              <w14:schemeClr w14:val="tx1"/>
            </w14:solidFill>
          </w14:textFill>
        </w:rPr>
      </w:pPr>
      <w:bookmarkStart w:id="6" w:name="_Toc15377426"/>
      <w:bookmarkStart w:id="7" w:name="_Toc15306268"/>
      <w:bookmarkStart w:id="8" w:name="_Toc15377194"/>
      <w:bookmarkStart w:id="9" w:name="_Toc15396598"/>
      <w:bookmarkStart w:id="10" w:name="_Toc15378442"/>
      <w:bookmarkStart w:id="11" w:name="_Toc15396476"/>
      <w:r>
        <w:rPr>
          <w:rFonts w:hint="eastAsia" w:ascii="方正小标宋简体" w:hAnsi="方正小标宋简体" w:eastAsia="方正小标宋简体" w:cs="方正小标宋简体"/>
          <w:color w:val="000000" w:themeColor="text1"/>
          <w:spacing w:val="0"/>
          <w:sz w:val="72"/>
          <w:szCs w:val="72"/>
          <w:highlight w:val="none"/>
          <w:shd w:val="clear" w:color="auto" w:fill="auto"/>
          <w:lang w:eastAsia="zh-CN"/>
          <w14:textFill>
            <w14:solidFill>
              <w14:schemeClr w14:val="tx1"/>
            </w14:solidFill>
          </w14:textFill>
        </w:rPr>
        <w:t>中共广元市昭化区委统战部</w:t>
      </w:r>
      <w:r>
        <w:rPr>
          <w:rFonts w:hint="eastAsia" w:ascii="方正小标宋简体" w:hAnsi="方正小标宋简体" w:eastAsia="方正小标宋简体" w:cs="方正小标宋简体"/>
          <w:color w:val="000000" w:themeColor="text1"/>
          <w:spacing w:val="0"/>
          <w:sz w:val="72"/>
          <w:szCs w:val="72"/>
          <w:highlight w:val="none"/>
          <w14:textFill>
            <w14:solidFill>
              <w14:schemeClr w14:val="tx1"/>
            </w14:solidFill>
          </w14:textFill>
        </w:rPr>
        <w:t>部门决算</w:t>
      </w:r>
      <w:bookmarkEnd w:id="6"/>
      <w:bookmarkEnd w:id="7"/>
      <w:bookmarkEnd w:id="8"/>
      <w:bookmarkEnd w:id="9"/>
      <w:bookmarkEnd w:id="10"/>
      <w:bookmarkEnd w:id="11"/>
    </w:p>
    <w:p>
      <w:pPr>
        <w:widowControl/>
        <w:jc w:val="center"/>
        <w:rPr>
          <w:rFonts w:ascii="方正小标宋简体" w:hAnsi="宋体" w:eastAsia="方正小标宋简体"/>
          <w:color w:val="000000" w:themeColor="text1"/>
          <w:spacing w:val="0"/>
          <w:sz w:val="36"/>
          <w:szCs w:val="36"/>
          <w:highlight w:val="none"/>
          <w14:textFill>
            <w14:solidFill>
              <w14:schemeClr w14:val="tx1"/>
            </w14:solidFill>
          </w14:textFill>
        </w:rPr>
      </w:pPr>
    </w:p>
    <w:p>
      <w:pPr>
        <w:widowControl/>
        <w:jc w:val="center"/>
        <w:rPr>
          <w:rFonts w:hint="eastAsia" w:ascii="黑体" w:hAnsi="黑体" w:eastAsia="黑体"/>
          <w:color w:val="000000" w:themeColor="text1"/>
          <w:spacing w:val="0"/>
          <w:sz w:val="48"/>
          <w:szCs w:val="48"/>
          <w:highlight w:val="none"/>
          <w14:textFill>
            <w14:solidFill>
              <w14:schemeClr w14:val="tx1"/>
            </w14:solidFill>
          </w14:textFill>
        </w:rPr>
        <w:sectPr>
          <w:footerReference r:id="rId4" w:type="first"/>
          <w:headerReference r:id="rId3" w:type="default"/>
          <w:pgSz w:w="11905" w:h="16838"/>
          <w:pgMar w:top="2098" w:right="1474" w:bottom="1984" w:left="1587" w:header="850" w:footer="1587" w:gutter="0"/>
          <w:pgBorders>
            <w:top w:val="none" w:sz="0" w:space="0"/>
            <w:left w:val="none" w:sz="0" w:space="0"/>
            <w:bottom w:val="none" w:sz="0" w:space="0"/>
            <w:right w:val="none" w:sz="0" w:space="0"/>
          </w:pgBorders>
          <w:pgNumType w:fmt="decimal" w:start="0"/>
          <w:cols w:space="0" w:num="1"/>
          <w:rtlGutter w:val="0"/>
          <w:docGrid w:linePitch="435" w:charSpace="0"/>
        </w:sectPr>
      </w:pPr>
    </w:p>
    <w:p>
      <w:pPr>
        <w:widowControl/>
        <w:jc w:val="center"/>
        <w:rPr>
          <w:rFonts w:ascii="黑体" w:hAnsi="黑体" w:eastAsia="黑体"/>
          <w:color w:val="000000" w:themeColor="text1"/>
          <w:spacing w:val="0"/>
          <w:sz w:val="48"/>
          <w:szCs w:val="48"/>
          <w:highlight w:val="none"/>
          <w14:textFill>
            <w14:solidFill>
              <w14:schemeClr w14:val="tx1"/>
            </w14:solidFill>
          </w14:textFill>
        </w:rPr>
      </w:pPr>
      <w:r>
        <w:rPr>
          <w:rFonts w:hint="eastAsia" w:ascii="黑体" w:hAnsi="黑体" w:eastAsia="黑体"/>
          <w:color w:val="000000" w:themeColor="text1"/>
          <w:spacing w:val="0"/>
          <w:sz w:val="48"/>
          <w:szCs w:val="48"/>
          <w:highlight w:val="none"/>
          <w14:textFill>
            <w14:solidFill>
              <w14:schemeClr w14:val="tx1"/>
            </w14:solidFill>
          </w14:textFill>
        </w:rPr>
        <w:t>目</w:t>
      </w:r>
      <w:r>
        <w:rPr>
          <w:rFonts w:hint="eastAsia" w:ascii="黑体" w:hAnsi="黑体" w:eastAsia="黑体"/>
          <w:color w:val="000000" w:themeColor="text1"/>
          <w:spacing w:val="0"/>
          <w:sz w:val="48"/>
          <w:szCs w:val="48"/>
          <w:highlight w:val="none"/>
          <w:lang w:val="en-US" w:eastAsia="zh-CN"/>
          <w14:textFill>
            <w14:solidFill>
              <w14:schemeClr w14:val="tx1"/>
            </w14:solidFill>
          </w14:textFill>
        </w:rPr>
        <w:t xml:space="preserve">    </w:t>
      </w:r>
      <w:r>
        <w:rPr>
          <w:rFonts w:hint="eastAsia" w:ascii="黑体" w:hAnsi="黑体" w:eastAsia="黑体"/>
          <w:color w:val="000000" w:themeColor="text1"/>
          <w:spacing w:val="0"/>
          <w:sz w:val="48"/>
          <w:szCs w:val="48"/>
          <w:highlight w:val="none"/>
          <w14:textFill>
            <w14:solidFill>
              <w14:schemeClr w14:val="tx1"/>
            </w14:solidFill>
          </w14:textFill>
        </w:rPr>
        <w:t>录</w:t>
      </w:r>
    </w:p>
    <w:p>
      <w:pPr>
        <w:widowControl/>
        <w:jc w:val="center"/>
        <w:rPr>
          <w:rFonts w:ascii="黑体" w:hAnsi="黑体" w:eastAsia="黑体" w:cstheme="minorBidi"/>
          <w:color w:val="000000" w:themeColor="text1"/>
          <w:spacing w:val="0"/>
          <w:sz w:val="28"/>
          <w:szCs w:val="28"/>
          <w:highlight w:val="none"/>
          <w14:textFill>
            <w14:solidFill>
              <w14:schemeClr w14:val="tx1"/>
            </w14:solidFill>
          </w14:textFill>
        </w:rPr>
      </w:pPr>
    </w:p>
    <w:p>
      <w:pPr>
        <w:pStyle w:val="13"/>
        <w:keepNext w:val="0"/>
        <w:keepLines w:val="0"/>
        <w:pageBreakBefore w:val="0"/>
        <w:kinsoku/>
        <w:wordWrap/>
        <w:overflowPunct/>
        <w:topLinePunct w:val="0"/>
        <w:autoSpaceDE/>
        <w:autoSpaceDN/>
        <w:bidi w:val="0"/>
        <w:spacing w:before="0" w:line="576" w:lineRule="exact"/>
        <w:ind w:left="0" w:leftChars="0" w:firstLine="0" w:firstLineChars="0"/>
        <w:textAlignment w:val="auto"/>
        <w:rPr>
          <w:rFonts w:eastAsia="仿宋_GB2312"/>
          <w:color w:val="000000" w:themeColor="text1"/>
          <w:spacing w:val="0"/>
          <w:sz w:val="32"/>
          <w:szCs w:val="32"/>
          <w:highlight w:val="none"/>
          <w14:textFill>
            <w14:solidFill>
              <w14:schemeClr w14:val="tx1"/>
            </w14:solidFill>
          </w14:textFill>
        </w:rPr>
      </w:pPr>
      <w:r>
        <w:rPr>
          <w:rFonts w:hint="eastAsia" w:eastAsia="仿宋_GB2312"/>
          <w:color w:val="000000" w:themeColor="text1"/>
          <w:spacing w:val="0"/>
          <w:sz w:val="32"/>
          <w:szCs w:val="32"/>
          <w:highlight w:val="none"/>
          <w14:textFill>
            <w14:solidFill>
              <w14:schemeClr w14:val="tx1"/>
            </w14:solidFill>
          </w14:textFill>
        </w:rPr>
        <w:t>公开时间：</w:t>
      </w:r>
      <w:r>
        <w:rPr>
          <w:rFonts w:hint="eastAsia"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23</w:t>
      </w:r>
      <w:r>
        <w:rPr>
          <w:rFonts w:hint="eastAsia" w:eastAsia="仿宋_GB2312"/>
          <w:color w:val="000000" w:themeColor="text1"/>
          <w:spacing w:val="0"/>
          <w:sz w:val="32"/>
          <w:szCs w:val="32"/>
          <w:highlight w:val="none"/>
          <w14:textFill>
            <w14:solidFill>
              <w14:schemeClr w14:val="tx1"/>
            </w14:solidFill>
          </w14:textFill>
        </w:rPr>
        <w:t>年</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9</w:t>
      </w:r>
      <w:r>
        <w:rPr>
          <w:rFonts w:hint="eastAsia" w:eastAsia="仿宋_GB2312"/>
          <w:color w:val="000000" w:themeColor="text1"/>
          <w:spacing w:val="0"/>
          <w:sz w:val="32"/>
          <w:szCs w:val="32"/>
          <w:highlight w:val="none"/>
          <w14:textFill>
            <w14:solidFill>
              <w14:schemeClr w14:val="tx1"/>
            </w14:solidFill>
          </w14:textFill>
        </w:rPr>
        <w:t>月</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w:t>
      </w:r>
      <w:r>
        <w:rPr>
          <w:rFonts w:hint="eastAsia" w:eastAsia="仿宋_GB2312"/>
          <w:color w:val="000000" w:themeColor="text1"/>
          <w:spacing w:val="0"/>
          <w:sz w:val="32"/>
          <w:szCs w:val="32"/>
          <w:highlight w:val="none"/>
          <w14:textFill>
            <w14:solidFill>
              <w14:schemeClr w14:val="tx1"/>
            </w14:solidFill>
          </w14:textFill>
        </w:rPr>
        <w:t>日</w:t>
      </w:r>
    </w:p>
    <w:p>
      <w:pPr>
        <w:keepNext w:val="0"/>
        <w:keepLines w:val="0"/>
        <w:pageBreakBefore w:val="0"/>
        <w:kinsoku/>
        <w:wordWrap/>
        <w:overflowPunct/>
        <w:topLinePunct w:val="0"/>
        <w:autoSpaceDE/>
        <w:autoSpaceDN/>
        <w:bidi w:val="0"/>
        <w:spacing w:line="576" w:lineRule="exact"/>
        <w:ind w:left="0" w:leftChars="0" w:firstLine="0" w:firstLineChars="0"/>
        <w:textAlignment w:val="auto"/>
        <w:rPr>
          <w:rFonts w:eastAsia="仿宋_GB2312"/>
          <w:color w:val="000000" w:themeColor="text1"/>
          <w:spacing w:val="0"/>
          <w:sz w:val="32"/>
          <w:szCs w:val="32"/>
          <w:highlight w:val="none"/>
          <w14:textFill>
            <w14:solidFill>
              <w14:schemeClr w14:val="tx1"/>
            </w14:solidFill>
          </w14:textFill>
        </w:rPr>
      </w:pPr>
    </w:p>
    <w:p>
      <w:pPr>
        <w:pStyle w:val="14"/>
        <w:keepNext w:val="0"/>
        <w:keepLines w:val="0"/>
        <w:pageBreakBefore w:val="0"/>
        <w:numPr>
          <w:ilvl w:val="0"/>
          <w:numId w:val="1"/>
        </w:numPr>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pPr>
      <w:r>
        <w:rPr>
          <w:rFonts w:hint="eastAsia" w:ascii="黑体" w:hAnsi="黑体" w:eastAsia="黑体" w:cs="黑体"/>
          <w:color w:val="000000" w:themeColor="text1"/>
          <w:spacing w:val="0"/>
          <w:sz w:val="32"/>
          <w:szCs w:val="32"/>
          <w:highlight w:val="none"/>
          <w:lang w:eastAsia="zh-CN"/>
          <w14:textFill>
            <w14:solidFill>
              <w14:schemeClr w14:val="tx1"/>
            </w14:solidFill>
          </w14:textFill>
        </w:rPr>
        <w:t>部门概况</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一、</w:t>
      </w: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部门职责</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w:t>
      </w:r>
    </w:p>
    <w:p>
      <w:pPr>
        <w:keepNext w:val="0"/>
        <w:keepLines w:val="0"/>
        <w:pageBreakBefore w:val="0"/>
        <w:kinsoku/>
        <w:wordWrap/>
        <w:overflowPunct/>
        <w:topLinePunct w:val="0"/>
        <w:autoSpaceDE/>
        <w:autoSpaceDN/>
        <w:bidi w:val="0"/>
        <w:spacing w:line="576" w:lineRule="exact"/>
        <w:ind w:left="0" w:leftChars="0" w:firstLine="0" w:firstLineChars="0"/>
        <w:jc w:val="distribute"/>
        <w:textAlignment w:val="auto"/>
        <w:rPr>
          <w:rFonts w:eastAsia="仿宋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t>二、机构设置</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4</w:t>
      </w:r>
    </w:p>
    <w:p>
      <w:pPr>
        <w:keepNext w:val="0"/>
        <w:keepLines w:val="0"/>
        <w:pageBreakBefore w:val="0"/>
        <w:kinsoku/>
        <w:wordWrap/>
        <w:overflowPunct/>
        <w:topLinePunct w:val="0"/>
        <w:autoSpaceDE/>
        <w:autoSpaceDN/>
        <w:bidi w:val="0"/>
        <w:spacing w:line="576" w:lineRule="exact"/>
        <w:ind w:left="0" w:leftChars="0" w:firstLine="0" w:firstLineChars="0"/>
        <w:jc w:val="distribute"/>
        <w:textAlignment w:val="auto"/>
        <w:rPr>
          <w:rFonts w:eastAsia="仿宋_GB2312"/>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highlight w:val="none"/>
          <w14:textFill>
            <w14:solidFill>
              <w14:schemeClr w14:val="tx1"/>
            </w14:solidFill>
          </w14:textFill>
        </w:rPr>
        <w:t>第二部分</w:t>
      </w:r>
      <w:r>
        <w:rPr>
          <w:rFonts w:hint="eastAsia" w:ascii="黑体" w:hAnsi="黑体" w:eastAsia="黑体" w:cs="黑体"/>
          <w:color w:val="000000" w:themeColor="text1"/>
          <w:spacing w:val="0"/>
          <w:sz w:val="32"/>
          <w:szCs w:val="32"/>
          <w:highlight w:val="none"/>
          <w:lang w:val="en-US" w:eastAsia="zh-CN"/>
          <w14:textFill>
            <w14:solidFill>
              <w14:schemeClr w14:val="tx1"/>
            </w14:solidFill>
          </w14:textFill>
        </w:rPr>
        <w:t xml:space="preserve"> </w:t>
      </w:r>
      <w:r>
        <w:rPr>
          <w:rFonts w:hint="eastAsia" w:ascii="Times New Roman" w:hAnsi="Times New Roman" w:eastAsia="黑体" w:cs="黑体"/>
          <w:color w:val="000000" w:themeColor="text1"/>
          <w:spacing w:val="0"/>
          <w:sz w:val="32"/>
          <w:szCs w:val="32"/>
          <w:highlight w:val="none"/>
          <w:lang w:val="en-US" w:eastAsia="zh-CN"/>
          <w14:textFill>
            <w14:solidFill>
              <w14:schemeClr w14:val="tx1"/>
            </w14:solidFill>
          </w14:textFill>
        </w:rPr>
        <w:t>2022</w:t>
      </w:r>
      <w:r>
        <w:rPr>
          <w:rFonts w:hint="eastAsia" w:ascii="黑体" w:hAnsi="黑体" w:eastAsia="黑体" w:cs="黑体"/>
          <w:color w:val="000000" w:themeColor="text1"/>
          <w:spacing w:val="0"/>
          <w:sz w:val="32"/>
          <w:szCs w:val="32"/>
          <w:highlight w:val="none"/>
          <w:lang w:val="en-US" w:eastAsia="zh-CN"/>
          <w14:textFill>
            <w14:solidFill>
              <w14:schemeClr w14:val="tx1"/>
            </w14:solidFill>
          </w14:textFill>
        </w:rPr>
        <w:t>年度</w:t>
      </w:r>
      <w:r>
        <w:rPr>
          <w:rFonts w:hint="eastAsia" w:ascii="黑体" w:hAnsi="黑体" w:eastAsia="黑体" w:cs="黑体"/>
          <w:color w:val="000000" w:themeColor="text1"/>
          <w:spacing w:val="0"/>
          <w:sz w:val="32"/>
          <w:szCs w:val="32"/>
          <w:highlight w:val="none"/>
          <w:lang w:eastAsia="zh-CN"/>
          <w14:textFill>
            <w14:solidFill>
              <w14:schemeClr w14:val="tx1"/>
            </w14:solidFill>
          </w14:textFill>
        </w:rPr>
        <w:t>单位</w:t>
      </w:r>
      <w:r>
        <w:rPr>
          <w:rFonts w:hint="eastAsia" w:ascii="黑体" w:hAnsi="黑体" w:eastAsia="黑体" w:cs="黑体"/>
          <w:color w:val="000000" w:themeColor="text1"/>
          <w:spacing w:val="0"/>
          <w:sz w:val="32"/>
          <w:szCs w:val="32"/>
          <w:highlight w:val="none"/>
          <w14:textFill>
            <w14:solidFill>
              <w14:schemeClr w14:val="tx1"/>
            </w14:solidFill>
          </w14:textFill>
        </w:rPr>
        <w:t>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6</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一、收入支出决算总体情况说明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6</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二、收入决算情况说明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6</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三、支出决算情况说明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7</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四、财政拨款收入支出决算总体情况说明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8</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五、一般公共预算财政拨款支出决算情况说明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8</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六、一般公共预算财政拨款基本支出决算情况说明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11</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七、财政拨款</w:t>
      </w: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w:t>
      </w: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三公”经费支出决算情况说明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12</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八、政府性基金预算支出决算情况说明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13</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九、</w:t>
      </w: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国</w:t>
      </w: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有资本经营预算支出决算情况说明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13</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十</w:t>
      </w: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、其他重要事项的情况说明</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楷体_GB2312" w:cs="楷体_GB2312"/>
          <w:color w:val="000000" w:themeColor="text1"/>
          <w:spacing w:val="0"/>
          <w:sz w:val="32"/>
          <w:szCs w:val="32"/>
          <w:highlight w:val="none"/>
          <w:lang w:val="en-US" w:eastAsia="zh-CN"/>
          <w14:textFill>
            <w14:solidFill>
              <w14:schemeClr w14:val="tx1"/>
            </w14:solidFill>
          </w14:textFill>
        </w:rPr>
        <w:t>13</w:t>
      </w:r>
    </w:p>
    <w:p>
      <w:pPr>
        <w:pStyle w:val="13"/>
        <w:keepNext w:val="0"/>
        <w:keepLines w:val="0"/>
        <w:pageBreakBefore w:val="0"/>
        <w:kinsoku/>
        <w:wordWrap/>
        <w:overflowPunct/>
        <w:topLinePunct w:val="0"/>
        <w:autoSpaceDE/>
        <w:autoSpaceDN/>
        <w:bidi w:val="0"/>
        <w:adjustRightInd w:val="0"/>
        <w:snapToGrid w:val="0"/>
        <w:spacing w:before="0" w:line="576" w:lineRule="exact"/>
        <w:ind w:left="0" w:leftChars="0" w:firstLine="0" w:firstLineChars="0"/>
        <w:jc w:val="distribute"/>
        <w:textAlignment w:val="auto"/>
        <w:rPr>
          <w:rFonts w:hint="default" w:ascii="黑体" w:hAnsi="黑体" w:eastAsia="黑体" w:cs="黑体"/>
          <w:color w:val="000000" w:themeColor="text1"/>
          <w:spacing w:val="0"/>
          <w:kern w:val="2"/>
          <w:sz w:val="32"/>
          <w:szCs w:val="32"/>
          <w:highlight w:val="none"/>
          <w:lang w:val="en-US" w:eastAsia="zh-CN" w:bidi="ar-SA"/>
          <w14:textFill>
            <w14:solidFill>
              <w14:schemeClr w14:val="tx1"/>
            </w14:solidFill>
          </w14:textFill>
        </w:rPr>
      </w:pPr>
      <w:r>
        <w:rPr>
          <w:rFonts w:hint="eastAsia" w:ascii="黑体" w:hAnsi="黑体" w:eastAsia="黑体" w:cs="黑体"/>
          <w:color w:val="000000" w:themeColor="text1"/>
          <w:spacing w:val="0"/>
          <w:kern w:val="2"/>
          <w:sz w:val="32"/>
          <w:szCs w:val="32"/>
          <w:highlight w:val="none"/>
          <w:lang w:val="en-US" w:eastAsia="zh-CN" w:bidi="ar-SA"/>
          <w14:textFill>
            <w14:solidFill>
              <w14:schemeClr w14:val="tx1"/>
            </w14:solidFill>
          </w14:textFill>
        </w:rPr>
        <w:t>第三部分 名词解释</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楷体_GB2312" w:cs="楷体_GB2312"/>
          <w:color w:val="000000" w:themeColor="text1"/>
          <w:spacing w:val="0"/>
          <w:kern w:val="2"/>
          <w:sz w:val="32"/>
          <w:szCs w:val="32"/>
          <w:highlight w:val="none"/>
          <w:lang w:val="en-US" w:eastAsia="zh-CN" w:bidi="ar-SA"/>
          <w14:textFill>
            <w14:solidFill>
              <w14:schemeClr w14:val="tx1"/>
            </w14:solidFill>
          </w14:textFill>
        </w:rPr>
        <w:t>16</w:t>
      </w:r>
    </w:p>
    <w:p>
      <w:pPr>
        <w:pStyle w:val="13"/>
        <w:keepNext w:val="0"/>
        <w:keepLines w:val="0"/>
        <w:pageBreakBefore w:val="0"/>
        <w:kinsoku/>
        <w:wordWrap/>
        <w:overflowPunct/>
        <w:topLinePunct w:val="0"/>
        <w:autoSpaceDE/>
        <w:autoSpaceDN/>
        <w:bidi w:val="0"/>
        <w:adjustRightInd w:val="0"/>
        <w:snapToGrid w:val="0"/>
        <w:spacing w:before="0" w:line="576" w:lineRule="exact"/>
        <w:ind w:left="0" w:leftChars="0" w:firstLine="0" w:firstLineChars="0"/>
        <w:jc w:val="distribute"/>
        <w:textAlignment w:val="auto"/>
        <w:rPr>
          <w:rFonts w:hint="default" w:ascii="黑体" w:hAnsi="黑体" w:eastAsia="黑体" w:cs="黑体"/>
          <w:color w:val="000000" w:themeColor="text1"/>
          <w:spacing w:val="0"/>
          <w:kern w:val="2"/>
          <w:sz w:val="32"/>
          <w:szCs w:val="32"/>
          <w:highlight w:val="none"/>
          <w:lang w:val="en-US" w:eastAsia="zh-CN" w:bidi="ar-SA"/>
          <w14:textFill>
            <w14:solidFill>
              <w14:schemeClr w14:val="tx1"/>
            </w14:solidFill>
          </w14:textFill>
        </w:rPr>
      </w:pPr>
      <w:r>
        <w:rPr>
          <w:rFonts w:hint="eastAsia" w:ascii="黑体" w:hAnsi="黑体" w:eastAsia="黑体" w:cs="黑体"/>
          <w:color w:val="000000" w:themeColor="text1"/>
          <w:spacing w:val="0"/>
          <w:kern w:val="2"/>
          <w:sz w:val="32"/>
          <w:szCs w:val="32"/>
          <w:highlight w:val="none"/>
          <w:lang w:val="en-US" w:eastAsia="zh-CN" w:bidi="ar-SA"/>
          <w14:textFill>
            <w14:solidFill>
              <w14:schemeClr w14:val="tx1"/>
            </w14:solidFill>
          </w14:textFill>
        </w:rPr>
        <w:t>第四部分 附件</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楷体_GB2312" w:cs="楷体_GB2312"/>
          <w:color w:val="000000" w:themeColor="text1"/>
          <w:spacing w:val="0"/>
          <w:kern w:val="2"/>
          <w:sz w:val="32"/>
          <w:szCs w:val="32"/>
          <w:highlight w:val="none"/>
          <w:lang w:val="en-US" w:eastAsia="zh-CN" w:bidi="ar-SA"/>
          <w14:textFill>
            <w14:solidFill>
              <w14:schemeClr w14:val="tx1"/>
            </w14:solidFill>
          </w14:textFill>
        </w:rPr>
        <w:t>18</w:t>
      </w:r>
    </w:p>
    <w:p>
      <w:pPr>
        <w:pStyle w:val="13"/>
        <w:keepNext w:val="0"/>
        <w:keepLines w:val="0"/>
        <w:pageBreakBefore w:val="0"/>
        <w:kinsoku/>
        <w:wordWrap/>
        <w:overflowPunct/>
        <w:topLinePunct w:val="0"/>
        <w:autoSpaceDE/>
        <w:autoSpaceDN/>
        <w:bidi w:val="0"/>
        <w:adjustRightInd w:val="0"/>
        <w:snapToGrid w:val="0"/>
        <w:spacing w:before="0" w:line="576" w:lineRule="exact"/>
        <w:ind w:left="0" w:leftChars="0" w:firstLine="0" w:firstLineChars="0"/>
        <w:jc w:val="distribute"/>
        <w:textAlignment w:val="auto"/>
        <w:rPr>
          <w:rFonts w:hint="default" w:ascii="黑体" w:hAnsi="黑体" w:eastAsia="黑体" w:cs="黑体"/>
          <w:color w:val="000000" w:themeColor="text1"/>
          <w:spacing w:val="0"/>
          <w:kern w:val="2"/>
          <w:sz w:val="32"/>
          <w:szCs w:val="32"/>
          <w:highlight w:val="none"/>
          <w:lang w:val="en-US" w:eastAsia="zh-CN" w:bidi="ar-SA"/>
          <w14:textFill>
            <w14:solidFill>
              <w14:schemeClr w14:val="tx1"/>
            </w14:solidFill>
          </w14:textFill>
        </w:rPr>
      </w:pPr>
      <w:r>
        <w:rPr>
          <w:rFonts w:hint="eastAsia" w:ascii="黑体" w:hAnsi="黑体" w:eastAsia="黑体" w:cs="黑体"/>
          <w:color w:val="000000" w:themeColor="text1"/>
          <w:spacing w:val="0"/>
          <w:kern w:val="2"/>
          <w:sz w:val="32"/>
          <w:szCs w:val="32"/>
          <w:highlight w:val="none"/>
          <w:lang w:val="en-US" w:eastAsia="zh-CN" w:bidi="ar-SA"/>
          <w14:textFill>
            <w14:solidFill>
              <w14:schemeClr w14:val="tx1"/>
            </w14:solidFill>
          </w14:textFill>
        </w:rPr>
        <w:t>第五部分 附表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default" w:ascii="楷体_GB2312" w:hAnsi="楷体_GB2312" w:eastAsia="楷体_GB2312" w:cs="楷体_GB2312"/>
          <w:color w:val="000000" w:themeColor="text1"/>
          <w:spacing w:val="0"/>
          <w:sz w:val="32"/>
          <w:szCs w:val="32"/>
          <w:highlight w:val="none"/>
          <w:lang w:val="en-US"/>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一、收入支出决算总表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sectPr>
          <w:footerReference r:id="rId5" w:type="default"/>
          <w:pgSz w:w="11905" w:h="16838"/>
          <w:pgMar w:top="2098" w:right="1474" w:bottom="1984" w:left="1587" w:header="850" w:footer="1587" w:gutter="0"/>
          <w:pgBorders>
            <w:top w:val="none" w:sz="0" w:space="0"/>
            <w:left w:val="none" w:sz="0" w:space="0"/>
            <w:bottom w:val="none" w:sz="0" w:space="0"/>
            <w:right w:val="none" w:sz="0" w:space="0"/>
          </w:pgBorders>
          <w:pgNumType w:fmt="decimal" w:start="0"/>
          <w:cols w:space="0" w:num="1"/>
          <w:rtlGutter w:val="0"/>
          <w:docGrid w:linePitch="435" w:charSpace="0"/>
        </w:sectPr>
      </w:pP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二、收入决算表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三、支出决算表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四、财政拨款收入支出决算总表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五、财政拨款支出决算明细表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六、一般公共预算财政拨款支出决算表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七、一般公共预算财政拨款支出决算明细表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八、一般公共预算财政拨款基本支出决算</w:t>
      </w:r>
      <w:r>
        <w:rPr>
          <w:rFonts w:hint="eastAsia" w:ascii="楷体_GB2312" w:hAnsi="楷体_GB2312" w:eastAsia="楷体_GB2312" w:cs="楷体_GB2312"/>
          <w:color w:val="000000" w:themeColor="text1"/>
          <w:spacing w:val="0"/>
          <w:sz w:val="32"/>
          <w:szCs w:val="32"/>
          <w:highlight w:val="none"/>
          <w:lang w:eastAsia="zh-CN"/>
          <w14:textFill>
            <w14:solidFill>
              <w14:schemeClr w14:val="tx1"/>
            </w14:solidFill>
          </w14:textFill>
        </w:rPr>
        <w:t>明细</w:t>
      </w: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九、一般公共预算财政拨款项目支出决算表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十、政府性基金预算财政拨款收入支出决算表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十一、国有资本经营预算财政拨款收入支出决算表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十二、</w:t>
      </w:r>
      <w:r>
        <w:rPr>
          <w:rFonts w:hint="eastAsia"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t>国有资本经营预算财政拨款支出决算表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Pr>
        <w:pStyle w:val="14"/>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distribute"/>
        <w:textAlignment w:val="auto"/>
        <w:rPr>
          <w:rFonts w:hint="eastAsia" w:ascii="楷体_GB2312" w:hAnsi="楷体_GB2312" w:eastAsia="楷体_GB2312" w:cs="楷体_GB2312"/>
          <w:color w:val="000000" w:themeColor="text1"/>
          <w:spacing w:val="0"/>
          <w:sz w:val="32"/>
          <w:szCs w:val="32"/>
          <w:highlight w:val="none"/>
          <w:lang w:val="en-US" w:eastAsia="zh-CN"/>
          <w14:textFill>
            <w14:solidFill>
              <w14:schemeClr w14:val="tx1"/>
            </w14:solidFill>
          </w14:textFill>
        </w:rPr>
      </w:pPr>
      <w:r>
        <w:rPr>
          <w:rFonts w:hint="eastAsia" w:ascii="楷体_GB2312" w:hAnsi="楷体_GB2312" w:eastAsia="楷体_GB2312" w:cs="楷体_GB2312"/>
          <w:color w:val="000000" w:themeColor="text1"/>
          <w:spacing w:val="0"/>
          <w:sz w:val="32"/>
          <w:szCs w:val="32"/>
          <w:highlight w:val="none"/>
          <w14:textFill>
            <w14:solidFill>
              <w14:schemeClr w14:val="tx1"/>
            </w14:solidFill>
          </w14:textFill>
        </w:rPr>
        <w:t>十三、财政拨款“三公”经费支出决算表</w:t>
      </w:r>
      <w:r>
        <w:rPr>
          <w:rFonts w:hint="eastAsia" w:ascii="微软雅黑" w:hAnsi="微软雅黑" w:eastAsia="微软雅黑" w:cs="微软雅黑"/>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微软雅黑" w:cs="微软雅黑"/>
          <w:color w:val="000000" w:themeColor="text1"/>
          <w:spacing w:val="0"/>
          <w:sz w:val="32"/>
          <w:szCs w:val="32"/>
          <w:highlight w:val="none"/>
          <w:lang w:val="en-US" w:eastAsia="zh-CN"/>
          <w14:textFill>
            <w14:solidFill>
              <w14:schemeClr w14:val="tx1"/>
            </w14:solidFill>
          </w14:textFill>
        </w:rPr>
        <w:t>54</w:t>
      </w:r>
    </w:p>
    <w:p/>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left"/>
        <w:textAlignment w:val="auto"/>
        <w:rPr>
          <w:rFonts w:ascii="仿宋" w:hAnsi="仿宋" w:eastAsia="仿宋_GB2312"/>
          <w:color w:val="000000" w:themeColor="text1"/>
          <w:spacing w:val="0"/>
          <w:sz w:val="32"/>
          <w:szCs w:val="32"/>
          <w:highlight w:val="none"/>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before="0" w:after="0" w:line="576" w:lineRule="exact"/>
        <w:ind w:firstLine="0" w:firstLineChars="0"/>
        <w:jc w:val="center"/>
        <w:textAlignment w:val="auto"/>
        <w:outlineLvl w:val="9"/>
        <w:rPr>
          <w:rFonts w:hint="eastAsia" w:ascii="黑体" w:hAnsi="黑体" w:eastAsia="黑体"/>
          <w:b w:val="0"/>
          <w:color w:val="000000" w:themeColor="text1"/>
          <w:spacing w:val="0"/>
          <w:sz w:val="44"/>
          <w:szCs w:val="44"/>
          <w:highlight w:val="none"/>
          <w14:textFill>
            <w14:solidFill>
              <w14:schemeClr w14:val="tx1"/>
            </w14:solidFill>
          </w14:textFill>
        </w:rPr>
        <w:sectPr>
          <w:footerReference r:id="rId6" w:type="default"/>
          <w:pgSz w:w="11905" w:h="16838"/>
          <w:pgMar w:top="2098" w:right="1474" w:bottom="1984" w:left="1587" w:header="850" w:footer="1587" w:gutter="0"/>
          <w:pgBorders>
            <w:top w:val="none" w:sz="0" w:space="0"/>
            <w:left w:val="none" w:sz="0" w:space="0"/>
            <w:bottom w:val="none" w:sz="0" w:space="0"/>
            <w:right w:val="none" w:sz="0" w:space="0"/>
          </w:pgBorders>
          <w:pgNumType w:fmt="decimal" w:start="0"/>
          <w:cols w:space="0" w:num="1"/>
          <w:rtlGutter w:val="0"/>
          <w:docGrid w:linePitch="435" w:charSpace="0"/>
        </w:sectPr>
      </w:pPr>
      <w:bookmarkStart w:id="12" w:name="_Toc15377196"/>
      <w:bookmarkStart w:id="13" w:name="_Toc15396599"/>
    </w:p>
    <w:p>
      <w:pPr>
        <w:keepNext w:val="0"/>
        <w:keepLines w:val="0"/>
        <w:pageBreakBefore w:val="0"/>
        <w:widowControl w:val="0"/>
        <w:kinsoku/>
        <w:wordWrap/>
        <w:overflowPunct w:val="0"/>
        <w:topLinePunct w:val="0"/>
        <w:autoSpaceDE/>
        <w:autoSpaceDN/>
        <w:bidi w:val="0"/>
        <w:adjustRightInd/>
        <w:snapToGrid/>
        <w:spacing w:before="0" w:after="0" w:line="576" w:lineRule="exact"/>
        <w:ind w:firstLine="0" w:firstLineChars="0"/>
        <w:jc w:val="center"/>
        <w:textAlignment w:val="auto"/>
        <w:outlineLvl w:val="9"/>
        <w:rPr>
          <w:rStyle w:val="28"/>
          <w:rFonts w:hint="eastAsia" w:ascii="黑体" w:hAnsi="黑体" w:eastAsia="黑体"/>
          <w:b w:val="0"/>
          <w:bCs w:val="0"/>
          <w:color w:val="000000" w:themeColor="text1"/>
          <w:spacing w:val="0"/>
          <w:sz w:val="44"/>
          <w:szCs w:val="44"/>
          <w:highlight w:val="none"/>
          <w14:textFill>
            <w14:solidFill>
              <w14:schemeClr w14:val="tx1"/>
            </w14:solidFill>
          </w14:textFill>
        </w:rPr>
      </w:pPr>
      <w:r>
        <w:rPr>
          <w:rFonts w:hint="eastAsia" w:ascii="黑体" w:hAnsi="黑体" w:eastAsia="黑体"/>
          <w:b w:val="0"/>
          <w:color w:val="000000" w:themeColor="text1"/>
          <w:spacing w:val="0"/>
          <w:sz w:val="44"/>
          <w:szCs w:val="44"/>
          <w:highlight w:val="none"/>
          <w14:textFill>
            <w14:solidFill>
              <w14:schemeClr w14:val="tx1"/>
            </w14:solidFill>
          </w14:textFill>
        </w:rPr>
        <w:t xml:space="preserve">第一部分 </w:t>
      </w:r>
      <w:r>
        <w:rPr>
          <w:rStyle w:val="28"/>
          <w:rFonts w:hint="eastAsia" w:ascii="黑体" w:hAnsi="黑体" w:eastAsia="黑体"/>
          <w:b w:val="0"/>
          <w:bCs w:val="0"/>
          <w:color w:val="000000" w:themeColor="text1"/>
          <w:spacing w:val="0"/>
          <w:sz w:val="44"/>
          <w:szCs w:val="44"/>
          <w:highlight w:val="none"/>
          <w14:textFill>
            <w14:solidFill>
              <w14:schemeClr w14:val="tx1"/>
            </w14:solidFill>
          </w14:textFill>
        </w:rPr>
        <w:t>部门概况</w:t>
      </w:r>
      <w:bookmarkEnd w:id="12"/>
      <w:bookmarkEnd w:id="13"/>
    </w:p>
    <w:p>
      <w:pPr>
        <w:keepNext w:val="0"/>
        <w:keepLines w:val="0"/>
        <w:pageBreakBefore w:val="0"/>
        <w:widowControl w:val="0"/>
        <w:kinsoku/>
        <w:wordWrap/>
        <w:overflowPunct w:val="0"/>
        <w:topLinePunct w:val="0"/>
        <w:autoSpaceDE/>
        <w:autoSpaceDN/>
        <w:bidi w:val="0"/>
        <w:adjustRightInd/>
        <w:snapToGrid/>
        <w:spacing w:line="576" w:lineRule="exact"/>
        <w:ind w:firstLine="420" w:firstLineChars="200"/>
        <w:jc w:val="both"/>
        <w:textAlignment w:val="auto"/>
        <w:outlineLvl w:val="9"/>
        <w:rPr>
          <w:rFonts w:eastAsia="仿宋_GB2312"/>
          <w:color w:val="000000" w:themeColor="text1"/>
          <w14:textFill>
            <w14:solidFill>
              <w14:schemeClr w14:val="tx1"/>
            </w14:solidFill>
          </w14:textFill>
        </w:rPr>
      </w:pPr>
    </w:p>
    <w:p>
      <w:pPr>
        <w:keepNext w:val="0"/>
        <w:keepLines w:val="0"/>
        <w:pageBreakBefore w:val="0"/>
        <w:widowControl w:val="0"/>
        <w:numPr>
          <w:ilvl w:val="0"/>
          <w:numId w:val="2"/>
        </w:numPr>
        <w:kinsoku/>
        <w:wordWrap/>
        <w:overflowPunct w:val="0"/>
        <w:topLinePunct w:val="0"/>
        <w:autoSpaceDE/>
        <w:autoSpaceDN/>
        <w:bidi w:val="0"/>
        <w:adjustRightInd/>
        <w:snapToGrid/>
        <w:spacing w:before="0" w:after="0" w:line="576" w:lineRule="exact"/>
        <w:ind w:firstLine="640" w:firstLineChars="200"/>
        <w:jc w:val="both"/>
        <w:textAlignment w:val="auto"/>
        <w:outlineLvl w:val="9"/>
        <w:rPr>
          <w:rFonts w:hint="eastAsia" w:ascii="黑体" w:hAnsi="黑体" w:eastAsia="黑体"/>
          <w:b w:val="0"/>
          <w:color w:val="000000" w:themeColor="text1"/>
          <w:spacing w:val="0"/>
          <w:sz w:val="32"/>
          <w:szCs w:val="32"/>
          <w:highlight w:val="none"/>
          <w:lang w:eastAsia="zh-CN"/>
          <w14:textFill>
            <w14:solidFill>
              <w14:schemeClr w14:val="tx1"/>
            </w14:solidFill>
          </w14:textFill>
        </w:rPr>
      </w:pPr>
      <w:r>
        <w:rPr>
          <w:rFonts w:hint="eastAsia" w:ascii="黑体" w:hAnsi="黑体" w:eastAsia="黑体"/>
          <w:b w:val="0"/>
          <w:color w:val="000000" w:themeColor="text1"/>
          <w:spacing w:val="0"/>
          <w:sz w:val="32"/>
          <w:szCs w:val="32"/>
          <w:highlight w:val="none"/>
          <w:lang w:eastAsia="zh-CN"/>
          <w14:textFill>
            <w14:solidFill>
              <w14:schemeClr w14:val="tx1"/>
            </w14:solidFill>
          </w14:textFill>
        </w:rPr>
        <w:t>部门职责</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仿宋_GB2312" w:hAnsi="仿宋_GB2312" w:eastAsia="仿宋_GB2312" w:cs="仿宋_GB2312"/>
          <w:bCs/>
          <w:color w:val="000000" w:themeColor="text1"/>
          <w:spacing w:val="0"/>
          <w:sz w:val="32"/>
          <w:szCs w:val="32"/>
          <w14:textFill>
            <w14:solidFill>
              <w14:schemeClr w14:val="tx1"/>
            </w14:solidFill>
          </w14:textFill>
        </w:rPr>
        <w:t>中共广元市昭化区委统战部是区委主管统一战线工作的只能部门，主要职责是：</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default" w:ascii="仿宋_GB2312" w:hAnsi="仿宋_GB2312" w:eastAsia="仿宋_GB2312" w:cs="仿宋_GB2312"/>
          <w:bCs/>
          <w:color w:val="000000" w:themeColor="text1"/>
          <w:spacing w:val="0"/>
          <w:sz w:val="32"/>
          <w:szCs w:val="32"/>
          <w14:textFill>
            <w14:solidFill>
              <w14:schemeClr w14:val="tx1"/>
            </w14:solidFill>
          </w14:textFill>
        </w:rPr>
        <w:t>（一）</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加强党对统一战线工作集中统一领导的要求，发挥区委在统战工作方面的参谋机构、组织协调机构、具体执行机构、督促检查机构作用，了解情况、掌握政策、协调关系、安排人事、增进共识、加强团结，协调统一战线各方面关系，组织落实党中央和省委、市委、区委关于统一战线工作重大决策部署，巩固壮大最广泛的统一战线。</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（二）</w:t>
      </w:r>
      <w:r>
        <w:rPr>
          <w:rFonts w:hint="eastAsia" w:ascii="仿宋_GB2312" w:hAnsi="仿宋_GB2312" w:eastAsia="仿宋_GB2312" w:cs="仿宋_GB2312"/>
          <w:bCs/>
          <w:color w:val="000000" w:themeColor="text1"/>
          <w:spacing w:val="0"/>
          <w:sz w:val="32"/>
          <w:szCs w:val="32"/>
          <w14:textFill>
            <w14:solidFill>
              <w14:schemeClr w14:val="tx1"/>
            </w14:solidFill>
          </w14:textFill>
        </w:rPr>
        <w:t>研究拟订统一战线工作的政策草案并推动落实，深入调查研究，及时向区委报告统一战线工作情况并提出建议；统筹协调和指导各乡镇（街道）、各部门（单位）统一战线工作。</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三</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支部（社）、区工商联做好干部管理工作，反映和协调解决党外代表人士工作、生活中的实际困难。</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四</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宣传工作方针，统筹推进全区统一战线宣传和意识形态工作，组织贯彻落实党中央、省委、市委、区委统一战线宣传工作政策和规划，统筹推进网络统战工作，研判涉及统一战线的舆情并协调有关部门应对处置。</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五</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六</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贯彻落实党的民族工作方针，研究拟订民族工作中的政策和重大措施，协调处理民族工作中的重大问题，统筹协调做好少数民族干部工作。依法管理民族事务，全面促进民族事业发展。</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七</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宗教工作基本方针和政策，研究拟订宗教工作的重大政策措施并督促落实。依法管理宗教行政事务，保护公民宗教信仰自由和正常的宗教活动，维护宗教界合法权益，抵御境外利用宗教进行渗透，引导各宗教坚持中国化方向，巩固和发展同宗教界的爱国统一战线。</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八</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规范民间信仰活动，依法管理民间信仰，维护民间信仰信众的合法权益；挖掘民间信仰中的优秀传统文化资源，引导民间信仰信众爱国守法、团结友善、服务社会、维护和谐。</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九</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培养无党派代表人士，支持、帮助无党派人士加强自身建设、发挥作用。调查研究全区党外知识分子情况并提出政策建议，联系、培养党外知识分子代表人士，开展思想政治工作，指导学校、科研院所、国有企业等有关单位开展统战工作。</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培养新的社会阶层代表人士，支持、帮助新的社会阶层人士加强自身建设、发挥作用。调查研究全区新的社会阶层人士情况并提出政策建议，开展思想政治工作，指导社会组织开展新的社会阶层人士统战工作。</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十一</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承担全区非公有制经济协调工作，负责全区非公有制经济代表人士工作，参与制定、推动落实鼓励支持引导非公有制经济发展的政策，调查研究全区非公有制经济人士情况并提出政策建议，了解和反映非公有制经济人士的意见，团结、服务、引导、教育非公有制经济人士，促进非公有制经济健康发展和非公有制经济人士健康成长。</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十二</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领导港澳统战工作。牵头开展港澳统战工作，贯彻落实党的海外统战工作政策和规划并组织协调、督促检查落实，会同有关部门对香港、澳门地区统一战线工作进行调查研究并向区委提出政策建议，联系香港、澳门有关党派、团体及代表人士。做好统一战线外事管理工作。</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十三</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管理台湾事务工作。贯彻落实党的对台工作方针政策，研究、拟订全区对台工作计划及实施意见，经批准后组织实施，开展对台统战工作。指导、协调、检查区级部门（单位）和各乡镇（街道）及相关企业对台工作，指导我区各民主党派、工商联和其他人民团体有关重点人物、重大活动等方面的涉台工作。调查研究台湾形势和两岸关系发展动向及交流合作、人员往来发展情况，提出对策建议。广泛开展交流联络活动，会同有关部门协调指导我区对台经贸工作和金融、文化、学术、体育、科技、卫生等各个领域的交流与合作，以及相关人员往来、考察、研讨等工作。指导全区对台宣传、涉台教育，负责有关台湾工作的新闻发布。统筹协调全区涉台法律事务，会同有关部门依法开展涉台权益保护工作。联系台湾有关党派、团体及代表人士。</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十四</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管理侨务工作，贯彻落实党的侨务工作方针政策，负责起草涉侨地方性规范性文件、拟订全区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区内的合法权利和利益。</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十五</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受区委委托，领导区工商联党组，指导工商联工作。领导区民族宗教工作。管理区侨务工作。管理区委台湾工作办公室（区政府台湾事务办公室）工作。指导区党外知识分子联谊会、区新的社会阶层人士联谊会等工作。做好统一战线有关单位和团体及事业单位的管理工作。</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default" w:ascii="楷体_GB2312" w:hAnsi="楷体_GB2312" w:eastAsia="楷体_GB2312" w:cs="楷体_GB2312"/>
          <w:bCs/>
          <w:color w:val="000000" w:themeColor="text1"/>
          <w:spacing w:val="0"/>
          <w:sz w:val="32"/>
          <w:szCs w:val="32"/>
          <w:lang w:eastAsia="zh-CN"/>
          <w14:textFill>
            <w14:solidFill>
              <w14:schemeClr w14:val="tx1"/>
            </w14:solidFill>
          </w14:textFill>
        </w:rPr>
        <w:t>十六</w:t>
      </w:r>
      <w:r>
        <w:rPr>
          <w:rFonts w:hint="eastAsia" w:ascii="楷体_GB2312" w:hAnsi="楷体_GB2312" w:eastAsia="楷体_GB2312" w:cs="楷体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完成区委交办的其他任务。</w:t>
      </w:r>
    </w:p>
    <w:p>
      <w:pPr>
        <w:keepNext w:val="0"/>
        <w:keepLines w:val="0"/>
        <w:pageBreakBefore w:val="0"/>
        <w:widowControl w:val="0"/>
        <w:kinsoku/>
        <w:wordWrap/>
        <w:overflowPunct w:val="0"/>
        <w:topLinePunct w:val="0"/>
        <w:autoSpaceDE/>
        <w:autoSpaceDN/>
        <w:bidi w:val="0"/>
        <w:adjustRightInd/>
        <w:snapToGrid/>
        <w:spacing w:line="576" w:lineRule="exact"/>
        <w:ind w:firstLine="640" w:firstLineChars="200"/>
        <w:jc w:val="both"/>
        <w:textAlignment w:val="auto"/>
        <w:outlineLvl w:val="9"/>
        <w:rPr>
          <w:rStyle w:val="29"/>
          <w:rFonts w:eastAsia="仿宋_GB2312"/>
          <w:b w:val="0"/>
          <w:bCs w:val="0"/>
          <w:color w:val="000000" w:themeColor="text1"/>
          <w:spacing w:val="0"/>
          <w:sz w:val="32"/>
          <w:szCs w:val="32"/>
          <w:highlight w:val="none"/>
          <w14:textFill>
            <w14:solidFill>
              <w14:schemeClr w14:val="tx1"/>
            </w14:solidFill>
          </w14:textFill>
        </w:rPr>
      </w:pPr>
      <w:bookmarkStart w:id="14" w:name="_Toc15396601"/>
      <w:bookmarkStart w:id="15" w:name="_Toc15377200"/>
      <w:r>
        <w:rPr>
          <w:rFonts w:hint="eastAsia" w:ascii="黑体" w:eastAsia="黑体"/>
          <w:b w:val="0"/>
          <w:color w:val="000000" w:themeColor="text1"/>
          <w:spacing w:val="0"/>
          <w:sz w:val="32"/>
          <w:szCs w:val="32"/>
          <w:highlight w:val="none"/>
          <w14:textFill>
            <w14:solidFill>
              <w14:schemeClr w14:val="tx1"/>
            </w14:solidFill>
          </w14:textFill>
        </w:rPr>
        <w:t>二、</w:t>
      </w:r>
      <w:r>
        <w:rPr>
          <w:rFonts w:hint="eastAsia" w:ascii="黑体" w:hAnsi="黑体" w:eastAsia="黑体"/>
          <w:b w:val="0"/>
          <w:color w:val="000000" w:themeColor="text1"/>
          <w:spacing w:val="0"/>
          <w:sz w:val="32"/>
          <w:szCs w:val="32"/>
          <w:highlight w:val="none"/>
          <w14:textFill>
            <w14:solidFill>
              <w14:schemeClr w14:val="tx1"/>
            </w14:solidFill>
          </w14:textFill>
        </w:rPr>
        <w:t>机</w:t>
      </w:r>
      <w:r>
        <w:rPr>
          <w:rStyle w:val="29"/>
          <w:rFonts w:hint="eastAsia" w:ascii="黑体" w:hAnsi="黑体" w:eastAsia="黑体"/>
          <w:b w:val="0"/>
          <w:bCs w:val="0"/>
          <w:color w:val="000000" w:themeColor="text1"/>
          <w:spacing w:val="0"/>
          <w:sz w:val="32"/>
          <w:szCs w:val="32"/>
          <w:highlight w:val="none"/>
          <w14:textFill>
            <w14:solidFill>
              <w14:schemeClr w14:val="tx1"/>
            </w14:solidFill>
          </w14:textFill>
        </w:rPr>
        <w:t>构设置</w:t>
      </w:r>
      <w:bookmarkEnd w:id="14"/>
      <w:bookmarkEnd w:id="15"/>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default" w:ascii="仿宋_GB2312" w:hAnsi="仿宋_GB2312" w:eastAsia="仿宋_GB2312" w:cs="仿宋_GB2312"/>
          <w:bCs/>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中共广元市昭化区委统战部为一级预算单位，单位性质为行政单位，执行行政单位会计制度，下属二级预算单位</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个。</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202</w:t>
      </w:r>
      <w:r>
        <w:rPr>
          <w:rFonts w:hint="default" w:ascii="Times New Roman" w:hAnsi="Times New Roman" w:eastAsia="仿宋_GB2312" w:cs="仿宋_GB2312"/>
          <w:bCs/>
          <w:color w:val="000000" w:themeColor="text1"/>
          <w:spacing w:val="0"/>
          <w:sz w:val="32"/>
          <w:szCs w:val="32"/>
          <w:lang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年决算实有在职编制内人员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8</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人，其中：行政人员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人，事业人员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人。按财政供给率分，均为财政全额供给。退休人员</w:t>
      </w:r>
      <w:r>
        <w:rPr>
          <w:rFonts w:hint="default" w:ascii="Times New Roman" w:hAnsi="Times New Roman" w:eastAsia="仿宋_GB2312" w:cs="仿宋_GB2312"/>
          <w:bCs/>
          <w:color w:val="000000" w:themeColor="text1"/>
          <w:spacing w:val="0"/>
          <w:sz w:val="32"/>
          <w:szCs w:val="32"/>
          <w:lang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人，均为行政人员。</w:t>
      </w:r>
    </w:p>
    <w:p>
      <w:pPr>
        <w:keepNext w:val="0"/>
        <w:keepLines w:val="0"/>
        <w:pageBreakBefore w:val="0"/>
        <w:widowControl w:val="0"/>
        <w:kinsoku/>
        <w:wordWrap/>
        <w:overflowPunct w:val="0"/>
        <w:topLinePunct w:val="0"/>
        <w:autoSpaceDE/>
        <w:autoSpaceDN/>
        <w:bidi w:val="0"/>
        <w:adjustRightInd/>
        <w:snapToGrid/>
        <w:spacing w:line="576" w:lineRule="exact"/>
        <w:ind w:firstLine="640" w:firstLineChars="200"/>
        <w:jc w:val="both"/>
        <w:textAlignment w:val="auto"/>
        <w:outlineLvl w:val="9"/>
        <w:rPr>
          <w:rFonts w:ascii="仿宋" w:hAnsi="仿宋" w:eastAsia="仿宋_GB2312"/>
          <w:color w:val="000000" w:themeColor="text1"/>
          <w:spacing w:val="0"/>
          <w:sz w:val="32"/>
          <w:szCs w:val="32"/>
          <w:highlight w:val="none"/>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line="576" w:lineRule="exact"/>
        <w:ind w:firstLine="640" w:firstLineChars="200"/>
        <w:jc w:val="both"/>
        <w:textAlignment w:val="auto"/>
        <w:outlineLvl w:val="9"/>
        <w:rPr>
          <w:rFonts w:ascii="仿宋" w:hAnsi="仿宋" w:eastAsia="仿宋_GB2312"/>
          <w:color w:val="000000" w:themeColor="text1"/>
          <w:spacing w:val="0"/>
          <w:kern w:val="0"/>
          <w:sz w:val="32"/>
          <w:szCs w:val="32"/>
          <w:highlight w:val="none"/>
          <w14:textFill>
            <w14:solidFill>
              <w14:schemeClr w14:val="tx1"/>
            </w14:solidFill>
          </w14:textFill>
        </w:rPr>
      </w:pPr>
      <w:r>
        <w:rPr>
          <w:rFonts w:ascii="仿宋" w:hAnsi="仿宋" w:eastAsia="仿宋_GB2312"/>
          <w:color w:val="000000" w:themeColor="text1"/>
          <w:spacing w:val="0"/>
          <w:sz w:val="32"/>
          <w:szCs w:val="32"/>
          <w:highlight w:val="none"/>
          <w14:textFill>
            <w14:solidFill>
              <w14:schemeClr w14:val="tx1"/>
            </w14:solidFill>
          </w14:textFill>
        </w:rPr>
        <w:br w:type="page"/>
      </w:r>
    </w:p>
    <w:p>
      <w:pPr>
        <w:keepNext w:val="0"/>
        <w:keepLines w:val="0"/>
        <w:pageBreakBefore w:val="0"/>
        <w:widowControl w:val="0"/>
        <w:kinsoku/>
        <w:wordWrap/>
        <w:overflowPunct w:val="0"/>
        <w:topLinePunct w:val="0"/>
        <w:autoSpaceDE/>
        <w:autoSpaceDN/>
        <w:bidi w:val="0"/>
        <w:adjustRightInd/>
        <w:snapToGrid/>
        <w:spacing w:before="0" w:after="0" w:line="576" w:lineRule="exact"/>
        <w:ind w:right="0" w:firstLine="880" w:firstLineChars="200"/>
        <w:jc w:val="both"/>
        <w:textAlignment w:val="auto"/>
        <w:outlineLvl w:val="9"/>
        <w:rPr>
          <w:rStyle w:val="28"/>
          <w:rFonts w:ascii="黑体" w:hAnsi="黑体" w:eastAsia="黑体"/>
          <w:b w:val="0"/>
          <w:bCs/>
          <w:color w:val="000000" w:themeColor="text1"/>
          <w:spacing w:val="0"/>
          <w:sz w:val="44"/>
          <w:szCs w:val="44"/>
          <w:highlight w:val="none"/>
          <w14:textFill>
            <w14:solidFill>
              <w14:schemeClr w14:val="tx1"/>
            </w14:solidFill>
          </w14:textFill>
        </w:rPr>
      </w:pPr>
      <w:bookmarkStart w:id="16" w:name="_Toc15377204"/>
      <w:bookmarkStart w:id="17" w:name="_Toc15396602"/>
      <w:r>
        <w:rPr>
          <w:rFonts w:hint="eastAsia" w:ascii="黑体" w:hAnsi="黑体" w:eastAsia="黑体"/>
          <w:b w:val="0"/>
          <w:bCs/>
          <w:color w:val="000000" w:themeColor="text1"/>
          <w:spacing w:val="0"/>
          <w:sz w:val="44"/>
          <w:szCs w:val="44"/>
          <w:highlight w:val="none"/>
          <w14:textFill>
            <w14:solidFill>
              <w14:schemeClr w14:val="tx1"/>
            </w14:solidFill>
          </w14:textFill>
        </w:rPr>
        <w:t xml:space="preserve">第二部分 </w:t>
      </w:r>
      <w:r>
        <w:rPr>
          <w:rFonts w:hint="eastAsia" w:ascii="Times New Roman" w:hAnsi="Times New Roman" w:eastAsia="黑体"/>
          <w:b w:val="0"/>
          <w:bCs/>
          <w:color w:val="000000" w:themeColor="text1"/>
          <w:spacing w:val="0"/>
          <w:sz w:val="44"/>
          <w:szCs w:val="44"/>
          <w:highlight w:val="none"/>
          <w:lang w:val="en-US" w:eastAsia="zh-CN"/>
          <w14:textFill>
            <w14:solidFill>
              <w14:schemeClr w14:val="tx1"/>
            </w14:solidFill>
          </w14:textFill>
        </w:rPr>
        <w:t>2022</w:t>
      </w:r>
      <w:r>
        <w:rPr>
          <w:rFonts w:hint="eastAsia" w:ascii="黑体" w:hAnsi="黑体" w:eastAsia="黑体"/>
          <w:b w:val="0"/>
          <w:bCs/>
          <w:color w:val="000000" w:themeColor="text1"/>
          <w:spacing w:val="0"/>
          <w:sz w:val="44"/>
          <w:szCs w:val="44"/>
          <w:highlight w:val="none"/>
          <w:lang w:val="en-US" w:eastAsia="zh-CN"/>
          <w14:textFill>
            <w14:solidFill>
              <w14:schemeClr w14:val="tx1"/>
            </w14:solidFill>
          </w14:textFill>
        </w:rPr>
        <w:t>年度</w:t>
      </w:r>
      <w:r>
        <w:rPr>
          <w:rStyle w:val="28"/>
          <w:rFonts w:hint="eastAsia" w:ascii="黑体" w:hAnsi="黑体" w:eastAsia="黑体"/>
          <w:b w:val="0"/>
          <w:bCs/>
          <w:color w:val="000000" w:themeColor="text1"/>
          <w:spacing w:val="0"/>
          <w:sz w:val="44"/>
          <w:szCs w:val="44"/>
          <w:highlight w:val="none"/>
          <w14:textFill>
            <w14:solidFill>
              <w14:schemeClr w14:val="tx1"/>
            </w14:solidFill>
          </w14:textFill>
        </w:rPr>
        <w:t>部门决算情况说明</w:t>
      </w:r>
      <w:bookmarkEnd w:id="16"/>
      <w:bookmarkEnd w:id="17"/>
    </w:p>
    <w:p>
      <w:pPr>
        <w:pStyle w:val="27"/>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Chars="0" w:right="0" w:rightChars="0" w:firstLine="640" w:firstLineChars="200"/>
        <w:jc w:val="both"/>
        <w:textAlignment w:val="auto"/>
        <w:outlineLvl w:val="9"/>
        <w:rPr>
          <w:rFonts w:hint="eastAsia" w:ascii="黑体" w:hAnsi="黑体" w:eastAsia="黑体"/>
          <w:color w:val="000000" w:themeColor="text1"/>
          <w:spacing w:val="0"/>
          <w:sz w:val="32"/>
          <w:szCs w:val="32"/>
          <w:highlight w:val="none"/>
          <w:lang w:eastAsia="zh-CN"/>
          <w14:textFill>
            <w14:solidFill>
              <w14:schemeClr w14:val="tx1"/>
            </w14:solidFill>
          </w14:textFill>
        </w:rPr>
      </w:pPr>
      <w:bookmarkStart w:id="18" w:name="_Toc15396603"/>
      <w:bookmarkStart w:id="19" w:name="_Toc15377205"/>
    </w:p>
    <w:p>
      <w:pPr>
        <w:pStyle w:val="27"/>
        <w:keepNext w:val="0"/>
        <w:keepLines w:val="0"/>
        <w:pageBreakBefore w:val="0"/>
        <w:widowControl w:val="0"/>
        <w:numPr>
          <w:ilvl w:val="0"/>
          <w:numId w:val="0"/>
        </w:numPr>
        <w:kinsoku/>
        <w:wordWrap/>
        <w:overflowPunct w:val="0"/>
        <w:topLinePunct w:val="0"/>
        <w:autoSpaceDE/>
        <w:autoSpaceDN/>
        <w:bidi w:val="0"/>
        <w:adjustRightInd/>
        <w:snapToGrid/>
        <w:spacing w:line="576" w:lineRule="exact"/>
        <w:ind w:leftChars="0" w:right="0" w:rightChars="0" w:firstLine="640" w:firstLineChars="200"/>
        <w:jc w:val="both"/>
        <w:textAlignment w:val="auto"/>
        <w:outlineLvl w:val="9"/>
        <w:rPr>
          <w:rStyle w:val="29"/>
          <w:rFonts w:ascii="黑体" w:hAnsi="黑体" w:eastAsia="黑体"/>
          <w:b w:val="0"/>
          <w:color w:val="000000" w:themeColor="text1"/>
          <w:spacing w:val="0"/>
          <w:highlight w:val="none"/>
          <w14:textFill>
            <w14:solidFill>
              <w14:schemeClr w14:val="tx1"/>
            </w14:solidFill>
          </w14:textFill>
        </w:rPr>
      </w:pPr>
      <w:r>
        <w:rPr>
          <w:rFonts w:hint="eastAsia" w:ascii="黑体" w:hAnsi="黑体" w:eastAsia="黑体"/>
          <w:color w:val="000000" w:themeColor="text1"/>
          <w:spacing w:val="0"/>
          <w:sz w:val="32"/>
          <w:szCs w:val="32"/>
          <w:highlight w:val="none"/>
          <w:lang w:eastAsia="zh-CN"/>
          <w14:textFill>
            <w14:solidFill>
              <w14:schemeClr w14:val="tx1"/>
            </w14:solidFill>
          </w14:textFill>
        </w:rPr>
        <w:t>一、</w:t>
      </w:r>
      <w:r>
        <w:rPr>
          <w:rFonts w:hint="eastAsia" w:ascii="黑体" w:hAnsi="黑体" w:eastAsia="黑体"/>
          <w:color w:val="000000" w:themeColor="text1"/>
          <w:spacing w:val="0"/>
          <w:sz w:val="32"/>
          <w:szCs w:val="32"/>
          <w:highlight w:val="none"/>
          <w14:textFill>
            <w14:solidFill>
              <w14:schemeClr w14:val="tx1"/>
            </w14:solidFill>
          </w14:textFill>
        </w:rPr>
        <w:t>收</w:t>
      </w:r>
      <w:r>
        <w:rPr>
          <w:rStyle w:val="29"/>
          <w:rFonts w:hint="eastAsia" w:ascii="黑体" w:hAnsi="黑体" w:eastAsia="黑体"/>
          <w:b w:val="0"/>
          <w:color w:val="000000" w:themeColor="text1"/>
          <w:spacing w:val="0"/>
          <w:highlight w:val="none"/>
          <w14:textFill>
            <w14:solidFill>
              <w14:schemeClr w14:val="tx1"/>
            </w14:solidFill>
          </w14:textFill>
        </w:rPr>
        <w:t>入支出决算总体情况说明</w:t>
      </w:r>
      <w:bookmarkEnd w:id="18"/>
      <w:bookmarkEnd w:id="19"/>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default" w:ascii="仿宋_GB2312" w:hAnsi="Times New Roman" w:eastAsia="仿宋_GB2312" w:cs="Times New Roman"/>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14:textFill>
            <w14:solidFill>
              <w14:schemeClr w14:val="tx1"/>
            </w14:solidFill>
          </w14:textFill>
        </w:rPr>
        <w:t>20</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22</w:t>
      </w:r>
      <w:r>
        <w:rPr>
          <w:rFonts w:hint="eastAsia" w:ascii="仿宋_GB2312" w:hAnsi="Times New Roman" w:eastAsia="仿宋_GB2312" w:cs="Times New Roman"/>
          <w:color w:val="000000" w:themeColor="text1"/>
          <w:spacing w:val="0"/>
          <w:sz w:val="32"/>
          <w:szCs w:val="32"/>
          <w14:textFill>
            <w14:solidFill>
              <w14:schemeClr w14:val="tx1"/>
            </w14:solidFill>
          </w14:textFill>
        </w:rPr>
        <w:t>年区委统战部财政拨款收入合计</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259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26</w:t>
      </w:r>
      <w:r>
        <w:rPr>
          <w:rFonts w:hint="eastAsia" w:ascii="仿宋_GB2312" w:hAnsi="Times New Roman" w:eastAsia="仿宋_GB2312" w:cs="Times New Roman"/>
          <w:color w:val="000000" w:themeColor="text1"/>
          <w:spacing w:val="0"/>
          <w:sz w:val="32"/>
          <w:szCs w:val="32"/>
          <w14:textFill>
            <w14:solidFill>
              <w14:schemeClr w14:val="tx1"/>
            </w14:solidFill>
          </w14:textFill>
        </w:rPr>
        <w:t>万元，均为财政拨款收入，占</w:t>
      </w:r>
      <w:r>
        <w:rPr>
          <w:rFonts w:hint="eastAsia" w:ascii="Times New Roman" w:hAnsi="Times New Roman" w:eastAsia="仿宋_GB2312" w:cs="Times New Roman"/>
          <w:color w:val="000000" w:themeColor="text1"/>
          <w:spacing w:val="0"/>
          <w:sz w:val="32"/>
          <w:szCs w:val="32"/>
          <w14:textFill>
            <w14:solidFill>
              <w14:schemeClr w14:val="tx1"/>
            </w14:solidFill>
          </w14:textFill>
        </w:rPr>
        <w:t>100</w:t>
      </w:r>
      <w:r>
        <w:rPr>
          <w:rFonts w:hint="eastAsia" w:ascii="仿宋_GB2312" w:hAnsi="Times New Roman" w:eastAsia="仿宋_GB2312" w:cs="Times New Roman"/>
          <w:color w:val="000000" w:themeColor="text1"/>
          <w:spacing w:val="0"/>
          <w:sz w:val="32"/>
          <w:szCs w:val="32"/>
          <w14:textFill>
            <w14:solidFill>
              <w14:schemeClr w14:val="tx1"/>
            </w14:solidFill>
          </w14:textFill>
        </w:rPr>
        <w:t>%。</w:t>
      </w:r>
      <w:r>
        <w:rPr>
          <w:rFonts w:hint="eastAsia" w:ascii="仿宋_GB2312" w:eastAsia="仿宋_GB2312" w:cs="Times New Roman"/>
          <w:color w:val="000000" w:themeColor="text1"/>
          <w:spacing w:val="0"/>
          <w:sz w:val="32"/>
          <w:szCs w:val="32"/>
          <w:lang w:eastAsia="zh-CN"/>
          <w14:textFill>
            <w14:solidFill>
              <w14:schemeClr w14:val="tx1"/>
            </w14:solidFill>
          </w14:textFill>
        </w:rPr>
        <w:t>较</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2021</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年相比增加</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19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98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万元，增加了</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w:t>
      </w:r>
      <w:r>
        <w:rPr>
          <w:rFonts w:hint="eastAsia" w:ascii="仿宋_GB2312" w:eastAsia="仿宋_GB2312"/>
          <w:color w:val="000000" w:themeColor="text1"/>
          <w:spacing w:val="0"/>
          <w:sz w:val="32"/>
          <w:szCs w:val="32"/>
          <w14:textFill>
            <w14:solidFill>
              <w14:schemeClr w14:val="tx1"/>
            </w14:solidFill>
          </w14:textFill>
        </w:rPr>
        <w:t>%</w:t>
      </w:r>
      <w:r>
        <w:rPr>
          <w:rFonts w:hint="eastAsia" w:ascii="仿宋_GB2312" w:eastAsia="仿宋_GB2312"/>
          <w:color w:val="000000" w:themeColor="text1"/>
          <w:spacing w:val="0"/>
          <w:sz w:val="32"/>
          <w:szCs w:val="32"/>
          <w:lang w:eastAsia="zh-CN"/>
          <w14:textFill>
            <w14:solidFill>
              <w14:schemeClr w14:val="tx1"/>
            </w14:solidFill>
          </w14:textFill>
        </w:rPr>
        <w:t>，主要原因是</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2022</w:t>
      </w:r>
      <w:r>
        <w:rPr>
          <w:rFonts w:hint="eastAsia" w:ascii="仿宋_GB2312" w:eastAsia="仿宋_GB2312"/>
          <w:color w:val="000000" w:themeColor="text1"/>
          <w:spacing w:val="0"/>
          <w:sz w:val="32"/>
          <w:szCs w:val="32"/>
          <w:lang w:val="en-US" w:eastAsia="zh-CN"/>
          <w14:textFill>
            <w14:solidFill>
              <w14:schemeClr w14:val="tx1"/>
            </w14:solidFill>
          </w14:textFill>
        </w:rPr>
        <w:t>年人员调整，人员经费增加</w:t>
      </w:r>
      <w:r>
        <w:rPr>
          <w:rFonts w:hint="eastAsia" w:ascii="仿宋_GB2312" w:eastAsia="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eastAsia="仿宋_GB2312"/>
          <w:color w:val="000000" w:themeColor="text1"/>
          <w:spacing w:val="0"/>
          <w:sz w:val="32"/>
          <w:szCs w:val="32"/>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351155</wp:posOffset>
            </wp:positionH>
            <wp:positionV relativeFrom="paragraph">
              <wp:posOffset>1094105</wp:posOffset>
            </wp:positionV>
            <wp:extent cx="4543425" cy="3019425"/>
            <wp:effectExtent l="0" t="0" r="9525" b="9525"/>
            <wp:wrapNone/>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2"/>
                    <a:stretch>
                      <a:fillRect/>
                    </a:stretch>
                  </pic:blipFill>
                  <pic:spPr>
                    <a:xfrm>
                      <a:off x="0" y="0"/>
                      <a:ext cx="4543425" cy="3019425"/>
                    </a:xfrm>
                    <a:prstGeom prst="rect">
                      <a:avLst/>
                    </a:prstGeom>
                  </pic:spPr>
                </pic:pic>
              </a:graphicData>
            </a:graphic>
          </wp:anchor>
        </w:drawing>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2022</w:t>
      </w:r>
      <w:r>
        <w:rPr>
          <w:rFonts w:hint="eastAsia" w:ascii="仿宋_GB2312" w:hAnsi="Times New Roman" w:eastAsia="仿宋_GB2312" w:cs="Times New Roman"/>
          <w:color w:val="000000" w:themeColor="text1"/>
          <w:spacing w:val="0"/>
          <w:sz w:val="32"/>
          <w:szCs w:val="32"/>
          <w14:textFill>
            <w14:solidFill>
              <w14:schemeClr w14:val="tx1"/>
            </w14:solidFill>
          </w14:textFill>
        </w:rPr>
        <w:t>年全年支出合计</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259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26</w:t>
      </w:r>
      <w:r>
        <w:rPr>
          <w:rFonts w:hint="eastAsia" w:ascii="仿宋_GB2312" w:hAnsi="Times New Roman" w:eastAsia="仿宋_GB2312" w:cs="Times New Roman"/>
          <w:color w:val="000000" w:themeColor="text1"/>
          <w:spacing w:val="0"/>
          <w:sz w:val="32"/>
          <w:szCs w:val="32"/>
          <w14:textFill>
            <w14:solidFill>
              <w14:schemeClr w14:val="tx1"/>
            </w14:solidFill>
          </w14:textFill>
        </w:rPr>
        <w:t>万</w:t>
      </w:r>
      <w:r>
        <w:rPr>
          <w:rFonts w:hint="eastAsia" w:ascii="仿宋_GB2312" w:eastAsia="仿宋_GB2312"/>
          <w:color w:val="000000" w:themeColor="text1"/>
          <w:spacing w:val="0"/>
          <w:sz w:val="32"/>
          <w:szCs w:val="32"/>
          <w14:textFill>
            <w14:solidFill>
              <w14:schemeClr w14:val="tx1"/>
            </w14:solidFill>
          </w14:textFill>
        </w:rPr>
        <w:t>元，</w:t>
      </w:r>
      <w:r>
        <w:rPr>
          <w:rFonts w:hint="eastAsia" w:ascii="仿宋_GB2312" w:eastAsia="仿宋_GB2312" w:cs="Times New Roman"/>
          <w:color w:val="000000" w:themeColor="text1"/>
          <w:spacing w:val="0"/>
          <w:sz w:val="32"/>
          <w:szCs w:val="32"/>
          <w:lang w:eastAsia="zh-CN"/>
          <w14:textFill>
            <w14:solidFill>
              <w14:schemeClr w14:val="tx1"/>
            </w14:solidFill>
          </w14:textFill>
        </w:rPr>
        <w:t>较</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2021</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年相比增加</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19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98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万元，增加了</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w:t>
      </w:r>
      <w:r>
        <w:rPr>
          <w:rFonts w:hint="eastAsia" w:ascii="仿宋_GB2312" w:eastAsia="仿宋_GB2312"/>
          <w:color w:val="000000" w:themeColor="text1"/>
          <w:spacing w:val="0"/>
          <w:sz w:val="32"/>
          <w:szCs w:val="32"/>
          <w14:textFill>
            <w14:solidFill>
              <w14:schemeClr w14:val="tx1"/>
            </w14:solidFill>
          </w14:textFill>
        </w:rPr>
        <w:t>%</w:t>
      </w:r>
      <w:r>
        <w:rPr>
          <w:rFonts w:hint="eastAsia" w:ascii="仿宋_GB2312" w:eastAsia="仿宋_GB2312"/>
          <w:color w:val="000000" w:themeColor="text1"/>
          <w:spacing w:val="0"/>
          <w:sz w:val="32"/>
          <w:szCs w:val="32"/>
          <w:lang w:eastAsia="zh-CN"/>
          <w14:textFill>
            <w14:solidFill>
              <w14:schemeClr w14:val="tx1"/>
            </w14:solidFill>
          </w14:textFill>
        </w:rPr>
        <w:t>，主要原因是</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2022</w:t>
      </w:r>
      <w:r>
        <w:rPr>
          <w:rFonts w:hint="eastAsia" w:ascii="仿宋_GB2312" w:eastAsia="仿宋_GB2312"/>
          <w:color w:val="000000" w:themeColor="text1"/>
          <w:spacing w:val="0"/>
          <w:sz w:val="32"/>
          <w:szCs w:val="32"/>
          <w:lang w:val="en-US" w:eastAsia="zh-CN"/>
          <w14:textFill>
            <w14:solidFill>
              <w14:schemeClr w14:val="tx1"/>
            </w14:solidFill>
          </w14:textFill>
        </w:rPr>
        <w:t>年人员调整，人员经费增加</w:t>
      </w:r>
      <w:r>
        <w:rPr>
          <w:rFonts w:hint="eastAsia" w:ascii="仿宋_GB2312" w:eastAsia="仿宋_GB2312"/>
          <w:color w:val="000000" w:themeColor="text1"/>
          <w:spacing w:val="0"/>
          <w:sz w:val="32"/>
          <w:szCs w:val="32"/>
          <w14:textFill>
            <w14:solidFill>
              <w14:schemeClr w14:val="tx1"/>
            </w14:solidFill>
          </w14:textFill>
        </w:rPr>
        <w:t>。</w:t>
      </w:r>
    </w:p>
    <w:p>
      <w:pPr>
        <w:spacing w:line="240" w:lineRule="auto"/>
        <w:ind w:firstLine="640" w:firstLineChars="200"/>
        <w:rPr>
          <w:rFonts w:hint="eastAsia" w:ascii="仿宋" w:hAnsi="仿宋" w:eastAsia="仿宋_GB2312"/>
          <w:color w:val="000000" w:themeColor="text1"/>
          <w:spacing w:val="0"/>
          <w:sz w:val="32"/>
          <w:szCs w:val="32"/>
          <w:highlight w:val="none"/>
          <w14:textFill>
            <w14:solidFill>
              <w14:schemeClr w14:val="tx1"/>
            </w14:solidFill>
          </w14:textFill>
        </w:rPr>
      </w:pPr>
    </w:p>
    <w:p>
      <w:pPr>
        <w:spacing w:line="600" w:lineRule="exact"/>
        <w:ind w:firstLine="640" w:firstLineChars="200"/>
        <w:rPr>
          <w:rFonts w:hint="eastAsia" w:ascii="仿宋" w:hAnsi="仿宋" w:eastAsia="仿宋_GB2312"/>
          <w:color w:val="000000" w:themeColor="text1"/>
          <w:spacing w:val="0"/>
          <w:sz w:val="32"/>
          <w:szCs w:val="32"/>
          <w:highlight w:val="none"/>
          <w14:textFill>
            <w14:solidFill>
              <w14:schemeClr w14:val="tx1"/>
            </w14:solidFill>
          </w14:textFill>
        </w:rPr>
      </w:pPr>
    </w:p>
    <w:p>
      <w:pPr>
        <w:spacing w:line="600" w:lineRule="exact"/>
        <w:ind w:firstLine="640" w:firstLineChars="200"/>
        <w:rPr>
          <w:rFonts w:hint="eastAsia" w:ascii="仿宋" w:hAnsi="仿宋" w:eastAsia="仿宋_GB2312"/>
          <w:color w:val="000000" w:themeColor="text1"/>
          <w:spacing w:val="0"/>
          <w:sz w:val="32"/>
          <w:szCs w:val="32"/>
          <w:highlight w:val="none"/>
          <w14:textFill>
            <w14:solidFill>
              <w14:schemeClr w14:val="tx1"/>
            </w14:solidFill>
          </w14:textFill>
        </w:rPr>
      </w:pPr>
    </w:p>
    <w:p>
      <w:pPr>
        <w:spacing w:line="600" w:lineRule="exact"/>
        <w:ind w:firstLine="640" w:firstLineChars="200"/>
        <w:rPr>
          <w:rFonts w:hint="eastAsia" w:ascii="仿宋" w:hAnsi="仿宋" w:eastAsia="仿宋_GB2312"/>
          <w:color w:val="000000" w:themeColor="text1"/>
          <w:spacing w:val="0"/>
          <w:sz w:val="32"/>
          <w:szCs w:val="32"/>
          <w:highlight w:val="none"/>
          <w14:textFill>
            <w14:solidFill>
              <w14:schemeClr w14:val="tx1"/>
            </w14:solidFill>
          </w14:textFill>
        </w:rPr>
      </w:pPr>
    </w:p>
    <w:p>
      <w:pPr>
        <w:pStyle w:val="8"/>
        <w:rPr>
          <w:rFonts w:hint="eastAsia" w:ascii="仿宋" w:hAnsi="仿宋" w:eastAsia="仿宋_GB2312"/>
          <w:color w:val="000000" w:themeColor="text1"/>
          <w:spacing w:val="0"/>
          <w:sz w:val="32"/>
          <w:szCs w:val="32"/>
          <w:highlight w:val="none"/>
          <w14:textFill>
            <w14:solidFill>
              <w14:schemeClr w14:val="tx1"/>
            </w14:solidFill>
          </w14:textFill>
        </w:rPr>
      </w:pPr>
    </w:p>
    <w:p>
      <w:pPr>
        <w:rPr>
          <w:rFonts w:hint="eastAsia" w:ascii="仿宋" w:hAnsi="仿宋" w:eastAsia="仿宋_GB2312"/>
          <w:color w:val="000000" w:themeColor="text1"/>
          <w:spacing w:val="0"/>
          <w:sz w:val="32"/>
          <w:szCs w:val="32"/>
          <w:highlight w:val="none"/>
          <w14:textFill>
            <w14:solidFill>
              <w14:schemeClr w14:val="tx1"/>
            </w14:solidFill>
          </w14:textFill>
        </w:rPr>
      </w:pPr>
    </w:p>
    <w:p>
      <w:pPr>
        <w:pStyle w:val="2"/>
        <w:rPr>
          <w:rFonts w:hint="eastAsia" w:ascii="仿宋" w:hAnsi="仿宋" w:eastAsia="仿宋_GB2312"/>
          <w:color w:val="000000" w:themeColor="text1"/>
          <w:spacing w:val="0"/>
          <w:sz w:val="32"/>
          <w:szCs w:val="32"/>
          <w:highlight w:val="none"/>
          <w14:textFill>
            <w14:solidFill>
              <w14:schemeClr w14:val="tx1"/>
            </w14:solidFill>
          </w14:textFill>
        </w:rPr>
      </w:pPr>
    </w:p>
    <w:p>
      <w:pPr>
        <w:rPr>
          <w:rFonts w:hint="eastAsia" w:eastAsia="仿宋_GB2312"/>
          <w:color w:val="000000" w:themeColor="text1"/>
          <w:spacing w:val="0"/>
          <w14:textFill>
            <w14:solidFill>
              <w14:schemeClr w14:val="tx1"/>
            </w14:solidFill>
          </w14:textFill>
        </w:rPr>
      </w:pPr>
    </w:p>
    <w:p>
      <w:pPr>
        <w:pStyle w:val="8"/>
        <w:rPr>
          <w:rFonts w:hint="eastAsia" w:ascii="仿宋" w:hAnsi="仿宋" w:eastAsia="仿宋_GB2312"/>
          <w:color w:val="000000" w:themeColor="text1"/>
          <w:spacing w:val="0"/>
          <w:sz w:val="32"/>
          <w:szCs w:val="32"/>
          <w:highlight w:val="none"/>
          <w14:textFill>
            <w14:solidFill>
              <w14:schemeClr w14:val="tx1"/>
            </w14:solidFill>
          </w14:textFill>
        </w:rPr>
      </w:pPr>
    </w:p>
    <w:p>
      <w:pPr>
        <w:pStyle w:val="8"/>
        <w:rPr>
          <w:rFonts w:hint="eastAsia" w:ascii="仿宋" w:hAnsi="仿宋" w:eastAsia="仿宋_GB2312"/>
          <w:color w:val="000000" w:themeColor="text1"/>
          <w:spacing w:val="0"/>
          <w:sz w:val="32"/>
          <w:szCs w:val="3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960" w:firstLineChars="300"/>
        <w:textAlignment w:val="auto"/>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ascii="Times New Roman" w:hAnsi="Times New Roman" w:eastAsia="仿宋_GB2312"/>
          <w:color w:val="000000" w:themeColor="text1"/>
          <w:spacing w:val="0"/>
          <w:sz w:val="32"/>
          <w:szCs w:val="32"/>
          <w:highlight w:val="none"/>
          <w14:textFill>
            <w14:solidFill>
              <w14:schemeClr w14:val="tx1"/>
            </w14:solidFill>
          </w14:textFill>
        </w:rPr>
        <w:t>1</w:t>
      </w:r>
      <w:r>
        <w:rPr>
          <w:rFonts w:hint="eastAsia" w:ascii="仿宋" w:hAnsi="仿宋" w:eastAsia="仿宋_GB2312"/>
          <w:color w:val="000000" w:themeColor="text1"/>
          <w:spacing w:val="0"/>
          <w:sz w:val="32"/>
          <w:szCs w:val="32"/>
          <w:highlight w:val="none"/>
          <w14:textFill>
            <w14:solidFill>
              <w14:schemeClr w14:val="tx1"/>
            </w14:solidFill>
          </w14:textFill>
        </w:rPr>
        <w:t>：收、支决算总计变动情况图）（柱状图）</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640" w:leftChars="0"/>
        <w:textAlignment w:val="auto"/>
        <w:outlineLvl w:val="1"/>
        <w:rPr>
          <w:rStyle w:val="29"/>
          <w:rFonts w:ascii="黑体" w:hAnsi="黑体" w:eastAsia="黑体"/>
          <w:b w:val="0"/>
          <w:color w:val="000000" w:themeColor="text1"/>
          <w:spacing w:val="0"/>
          <w:highlight w:val="none"/>
          <w14:textFill>
            <w14:solidFill>
              <w14:schemeClr w14:val="tx1"/>
            </w14:solidFill>
          </w14:textFill>
        </w:rPr>
      </w:pPr>
      <w:bookmarkStart w:id="20" w:name="_Toc15396604"/>
      <w:bookmarkStart w:id="21" w:name="_Toc15377206"/>
      <w:r>
        <w:rPr>
          <w:rFonts w:hint="eastAsia" w:ascii="黑体" w:hAnsi="黑体" w:eastAsia="黑体"/>
          <w:color w:val="000000" w:themeColor="text1"/>
          <w:spacing w:val="0"/>
          <w:sz w:val="32"/>
          <w:szCs w:val="32"/>
          <w:highlight w:val="none"/>
          <w:lang w:eastAsia="zh-CN"/>
          <w14:textFill>
            <w14:solidFill>
              <w14:schemeClr w14:val="tx1"/>
            </w14:solidFill>
          </w14:textFill>
        </w:rPr>
        <w:t>二、</w:t>
      </w:r>
      <w:r>
        <w:rPr>
          <w:rFonts w:hint="eastAsia" w:ascii="黑体" w:hAnsi="黑体" w:eastAsia="黑体"/>
          <w:color w:val="000000" w:themeColor="text1"/>
          <w:spacing w:val="0"/>
          <w:sz w:val="32"/>
          <w:szCs w:val="32"/>
          <w:highlight w:val="none"/>
          <w14:textFill>
            <w14:solidFill>
              <w14:schemeClr w14:val="tx1"/>
            </w14:solidFill>
          </w14:textFill>
        </w:rPr>
        <w:t>收</w:t>
      </w:r>
      <w:r>
        <w:rPr>
          <w:rStyle w:val="29"/>
          <w:rFonts w:hint="eastAsia" w:ascii="黑体" w:hAnsi="黑体" w:eastAsia="黑体"/>
          <w:b w:val="0"/>
          <w:color w:val="000000" w:themeColor="text1"/>
          <w:spacing w:val="0"/>
          <w:highlight w:val="none"/>
          <w14:textFill>
            <w14:solidFill>
              <w14:schemeClr w14:val="tx1"/>
            </w14:solidFill>
          </w14:textFill>
        </w:rPr>
        <w:t>入决算情况说明</w:t>
      </w:r>
      <w:bookmarkEnd w:id="20"/>
      <w:bookmarkEnd w:id="2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年本年收入合计</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万元，其中：一般公共预算财政拨款收入</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100</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p>
    <w:p>
      <w:pPr>
        <w:spacing w:line="600" w:lineRule="exact"/>
        <w:ind w:firstLine="640" w:firstLineChars="200"/>
        <w:outlineLvl w:val="1"/>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align>center</wp:align>
            </wp:positionH>
            <wp:positionV relativeFrom="paragraph">
              <wp:posOffset>107950</wp:posOffset>
            </wp:positionV>
            <wp:extent cx="4145280" cy="2991485"/>
            <wp:effectExtent l="0" t="0" r="7620" b="18415"/>
            <wp:wrapNone/>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3"/>
                    <a:stretch>
                      <a:fillRect/>
                    </a:stretch>
                  </pic:blipFill>
                  <pic:spPr>
                    <a:xfrm>
                      <a:off x="0" y="0"/>
                      <a:ext cx="4145280" cy="2991485"/>
                    </a:xfrm>
                    <a:prstGeom prst="rect">
                      <a:avLst/>
                    </a:prstGeom>
                  </pic:spPr>
                </pic:pic>
              </a:graphicData>
            </a:graphic>
          </wp:anchor>
        </w:drawing>
      </w:r>
    </w:p>
    <w:p>
      <w:pPr>
        <w:pStyle w:val="8"/>
        <w:rPr>
          <w:rFonts w:hint="eastAsia" w:ascii="仿宋" w:hAnsi="仿宋" w:eastAsia="仿宋_GB2312"/>
          <w:color w:val="000000" w:themeColor="text1"/>
          <w:spacing w:val="0"/>
          <w:sz w:val="32"/>
          <w:szCs w:val="32"/>
          <w:highlight w:val="none"/>
          <w:lang w:eastAsia="zh-CN"/>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rPr>
          <w:rFonts w:ascii="仿宋" w:hAnsi="仿宋" w:eastAsia="仿宋_GB2312"/>
          <w:color w:val="000000" w:themeColor="text1"/>
          <w:spacing w:val="0"/>
          <w:sz w:val="32"/>
          <w:szCs w:val="32"/>
          <w:highlight w:val="none"/>
          <w14:textFill>
            <w14:solidFill>
              <w14:schemeClr w14:val="tx1"/>
            </w14:solidFill>
          </w14:textFill>
        </w:rPr>
      </w:pPr>
    </w:p>
    <w:p>
      <w:pPr>
        <w:pStyle w:val="2"/>
        <w:rPr>
          <w:rFonts w:ascii="仿宋" w:hAnsi="仿宋" w:eastAsia="仿宋_GB2312"/>
          <w:color w:val="000000" w:themeColor="text1"/>
          <w:spacing w:val="0"/>
          <w:sz w:val="32"/>
          <w:szCs w:val="32"/>
          <w:highlight w:val="none"/>
          <w14:textFill>
            <w14:solidFill>
              <w14:schemeClr w14:val="tx1"/>
            </w14:solidFill>
          </w14:textFill>
        </w:rPr>
      </w:pPr>
    </w:p>
    <w:p>
      <w:pPr>
        <w:rPr>
          <w:rFonts w:ascii="仿宋" w:hAnsi="仿宋" w:eastAsia="仿宋_GB2312"/>
          <w:color w:val="000000" w:themeColor="text1"/>
          <w:spacing w:val="0"/>
          <w:sz w:val="32"/>
          <w:szCs w:val="32"/>
          <w:highlight w:val="none"/>
          <w14:textFill>
            <w14:solidFill>
              <w14:schemeClr w14:val="tx1"/>
            </w14:solidFill>
          </w14:textFill>
        </w:rPr>
      </w:pPr>
    </w:p>
    <w:p>
      <w:pPr>
        <w:spacing w:line="600" w:lineRule="exact"/>
        <w:ind w:firstLine="1600" w:firstLineChars="500"/>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2</w:t>
      </w:r>
      <w:r>
        <w:rPr>
          <w:rFonts w:hint="eastAsia" w:ascii="仿宋" w:hAnsi="仿宋" w:eastAsia="仿宋_GB2312"/>
          <w:color w:val="000000" w:themeColor="text1"/>
          <w:spacing w:val="0"/>
          <w:sz w:val="32"/>
          <w:szCs w:val="32"/>
          <w:highlight w:val="none"/>
          <w14:textFill>
            <w14:solidFill>
              <w14:schemeClr w14:val="tx1"/>
            </w14:solidFill>
          </w14:textFill>
        </w:rPr>
        <w:t>：收入决算结构图）（饼状图）</w:t>
      </w:r>
    </w:p>
    <w:p>
      <w:pPr>
        <w:pStyle w:val="27"/>
        <w:numPr>
          <w:ilvl w:val="0"/>
          <w:numId w:val="0"/>
        </w:numPr>
        <w:spacing w:line="600" w:lineRule="exact"/>
        <w:ind w:left="640" w:leftChars="0"/>
        <w:outlineLvl w:val="1"/>
        <w:rPr>
          <w:rStyle w:val="29"/>
          <w:rFonts w:ascii="黑体" w:hAnsi="黑体" w:eastAsia="黑体"/>
          <w:b w:val="0"/>
          <w:color w:val="000000" w:themeColor="text1"/>
          <w:spacing w:val="0"/>
          <w:highlight w:val="none"/>
          <w14:textFill>
            <w14:solidFill>
              <w14:schemeClr w14:val="tx1"/>
            </w14:solidFill>
          </w14:textFill>
        </w:rPr>
      </w:pPr>
      <w:bookmarkStart w:id="22" w:name="_Toc15396605"/>
      <w:bookmarkStart w:id="23" w:name="_Toc15377207"/>
      <w:r>
        <w:rPr>
          <w:rFonts w:hint="eastAsia" w:ascii="黑体" w:hAnsi="黑体" w:eastAsia="黑体"/>
          <w:color w:val="000000" w:themeColor="text1"/>
          <w:spacing w:val="0"/>
          <w:sz w:val="32"/>
          <w:szCs w:val="32"/>
          <w:highlight w:val="none"/>
          <w:lang w:eastAsia="zh-CN"/>
          <w14:textFill>
            <w14:solidFill>
              <w14:schemeClr w14:val="tx1"/>
            </w14:solidFill>
          </w14:textFill>
        </w:rPr>
        <w:t>三、</w:t>
      </w:r>
      <w:r>
        <w:rPr>
          <w:rFonts w:hint="eastAsia" w:ascii="黑体" w:hAnsi="黑体" w:eastAsia="黑体"/>
          <w:color w:val="000000" w:themeColor="text1"/>
          <w:spacing w:val="0"/>
          <w:sz w:val="32"/>
          <w:szCs w:val="32"/>
          <w:highlight w:val="none"/>
          <w14:textFill>
            <w14:solidFill>
              <w14:schemeClr w14:val="tx1"/>
            </w14:solidFill>
          </w14:textFill>
        </w:rPr>
        <w:t>支</w:t>
      </w:r>
      <w:r>
        <w:rPr>
          <w:rStyle w:val="29"/>
          <w:rFonts w:hint="eastAsia" w:ascii="黑体" w:hAnsi="黑体" w:eastAsia="黑体"/>
          <w:b w:val="0"/>
          <w:color w:val="000000" w:themeColor="text1"/>
          <w:spacing w:val="0"/>
          <w:highlight w:val="none"/>
          <w14:textFill>
            <w14:solidFill>
              <w14:schemeClr w14:val="tx1"/>
            </w14:solidFill>
          </w14:textFill>
        </w:rPr>
        <w:t>出决算情况说明</w:t>
      </w:r>
      <w:bookmarkEnd w:id="22"/>
      <w:bookmarkEnd w:id="23"/>
    </w:p>
    <w:p>
      <w:pPr>
        <w:spacing w:line="600" w:lineRule="exact"/>
        <w:ind w:firstLine="640" w:firstLineChars="200"/>
        <w:outlineLvl w:val="1"/>
        <w:rPr>
          <w:rFonts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年本年支出合计</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万元，其中：基本支出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151</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58</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3</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；项目支出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108</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41</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7</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p>
    <w:p>
      <w:pPr>
        <w:spacing w:line="240" w:lineRule="auto"/>
        <w:ind w:firstLine="640"/>
        <w:rPr>
          <w:rFonts w:hint="eastAsia" w:ascii="仿宋" w:hAnsi="仿宋" w:eastAsia="仿宋_GB2312"/>
          <w:color w:val="000000" w:themeColor="text1"/>
          <w:spacing w:val="0"/>
          <w:sz w:val="32"/>
          <w:szCs w:val="32"/>
          <w:highlight w:val="none"/>
          <w:shd w:val="pct10" w:color="auto" w:fill="FFFFFF"/>
          <w:lang w:eastAsia="zh-CN"/>
          <w14:textFill>
            <w14:solidFill>
              <w14:schemeClr w14:val="tx1"/>
            </w14:solidFill>
          </w14:textFill>
        </w:rPr>
      </w:pPr>
      <w:r>
        <w:rPr>
          <w:rFonts w:hint="eastAsia" w:ascii="仿宋" w:hAnsi="仿宋" w:eastAsia="仿宋"/>
          <w:color w:val="000000" w:themeColor="text1"/>
          <w:spacing w:val="0"/>
          <w:sz w:val="32"/>
          <w:szCs w:val="32"/>
          <w:highlight w:val="none"/>
          <w:shd w:val="pct10" w:color="auto" w:fill="FFFFFF"/>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align>center</wp:align>
            </wp:positionH>
            <wp:positionV relativeFrom="paragraph">
              <wp:posOffset>50165</wp:posOffset>
            </wp:positionV>
            <wp:extent cx="3767455" cy="3054350"/>
            <wp:effectExtent l="0" t="0" r="4445" b="12700"/>
            <wp:wrapNone/>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4"/>
                    <a:stretch>
                      <a:fillRect/>
                    </a:stretch>
                  </pic:blipFill>
                  <pic:spPr>
                    <a:xfrm>
                      <a:off x="0" y="0"/>
                      <a:ext cx="3767455" cy="3054350"/>
                    </a:xfrm>
                    <a:prstGeom prst="rect">
                      <a:avLst/>
                    </a:prstGeom>
                  </pic:spPr>
                </pic:pic>
              </a:graphicData>
            </a:graphic>
          </wp:anchor>
        </w:drawing>
      </w:r>
    </w:p>
    <w:p>
      <w:pPr>
        <w:pStyle w:val="8"/>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pPr>
        <w:pStyle w:val="8"/>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pPr>
        <w:pStyle w:val="8"/>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pPr>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pPr>
        <w:pStyle w:val="2"/>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pPr>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pPr>
        <w:pStyle w:val="2"/>
        <w:rPr>
          <w:rFonts w:ascii="仿宋" w:hAnsi="仿宋" w:eastAsia="仿宋_GB2312"/>
          <w:color w:val="000000" w:themeColor="text1"/>
          <w:spacing w:val="0"/>
          <w:sz w:val="32"/>
          <w:szCs w:val="32"/>
          <w:highlight w:val="none"/>
          <w:shd w:val="pct10" w:color="auto" w:fill="FFFFFF"/>
          <w14:textFill>
            <w14:solidFill>
              <w14:schemeClr w14:val="tx1"/>
            </w14:solidFill>
          </w14:textFill>
        </w:rPr>
      </w:pPr>
    </w:p>
    <w:p>
      <w:pPr>
        <w:rPr>
          <w:rFonts w:eastAsia="仿宋_GB2312"/>
          <w:color w:val="000000" w:themeColor="text1"/>
          <w:spacing w:val="0"/>
          <w14:textFill>
            <w14:solidFill>
              <w14:schemeClr w14:val="tx1"/>
            </w14:solidFill>
          </w14:textFill>
        </w:rPr>
      </w:pPr>
    </w:p>
    <w:p>
      <w:pPr>
        <w:pStyle w:val="8"/>
        <w:rPr>
          <w:color w:val="000000" w:themeColor="text1"/>
          <w:spacing w:val="0"/>
          <w14:textFill>
            <w14:solidFill>
              <w14:schemeClr w14:val="tx1"/>
            </w14:solidFill>
          </w14:textFill>
        </w:rPr>
      </w:pPr>
    </w:p>
    <w:p>
      <w:pPr>
        <w:rPr>
          <w:rFonts w:eastAsia="仿宋_GB2312"/>
          <w:color w:val="000000" w:themeColor="text1"/>
          <w:spacing w:val="0"/>
          <w14:textFill>
            <w14:solidFill>
              <w14:schemeClr w14:val="tx1"/>
            </w14:solidFill>
          </w14:textFill>
        </w:rPr>
      </w:pPr>
    </w:p>
    <w:p>
      <w:pPr>
        <w:spacing w:line="600" w:lineRule="exact"/>
        <w:ind w:firstLine="1600" w:firstLineChars="500"/>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3</w:t>
      </w:r>
      <w:r>
        <w:rPr>
          <w:rFonts w:hint="eastAsia" w:ascii="仿宋" w:hAnsi="仿宋" w:eastAsia="仿宋_GB2312"/>
          <w:color w:val="000000" w:themeColor="text1"/>
          <w:spacing w:val="0"/>
          <w:sz w:val="32"/>
          <w:szCs w:val="32"/>
          <w:highlight w:val="none"/>
          <w14:textFill>
            <w14:solidFill>
              <w14:schemeClr w14:val="tx1"/>
            </w14:solidFill>
          </w14:textFill>
        </w:rPr>
        <w:t>：支出决算结构图）（饼状图）</w:t>
      </w:r>
    </w:p>
    <w:p>
      <w:pPr>
        <w:rPr>
          <w:rFonts w:eastAsia="仿宋_GB2312"/>
          <w:color w:val="000000" w:themeColor="text1"/>
          <w:spacing w:val="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Style w:val="29"/>
          <w:rFonts w:ascii="黑体" w:hAnsi="黑体" w:eastAsia="黑体"/>
          <w:b w:val="0"/>
          <w:color w:val="000000" w:themeColor="text1"/>
          <w:spacing w:val="0"/>
          <w:highlight w:val="none"/>
          <w14:textFill>
            <w14:solidFill>
              <w14:schemeClr w14:val="tx1"/>
            </w14:solidFill>
          </w14:textFill>
        </w:rPr>
      </w:pPr>
      <w:bookmarkStart w:id="24" w:name="_Toc15377208"/>
      <w:bookmarkStart w:id="25" w:name="_Toc15396606"/>
      <w:r>
        <w:rPr>
          <w:rFonts w:hint="eastAsia" w:ascii="黑体" w:hAnsi="黑体" w:eastAsia="黑体"/>
          <w:color w:val="000000" w:themeColor="text1"/>
          <w:spacing w:val="0"/>
          <w:sz w:val="32"/>
          <w:szCs w:val="32"/>
          <w:highlight w:val="none"/>
          <w14:textFill>
            <w14:solidFill>
              <w14:schemeClr w14:val="tx1"/>
            </w14:solidFill>
          </w14:textFill>
        </w:rPr>
        <w:t>四、财</w:t>
      </w:r>
      <w:r>
        <w:rPr>
          <w:rStyle w:val="29"/>
          <w:rFonts w:hint="eastAsia" w:ascii="黑体" w:hAnsi="黑体" w:eastAsia="黑体"/>
          <w:b w:val="0"/>
          <w:color w:val="000000" w:themeColor="text1"/>
          <w:spacing w:val="0"/>
          <w:highlight w:val="none"/>
          <w14:textFill>
            <w14:solidFill>
              <w14:schemeClr w14:val="tx1"/>
            </w14:solidFill>
          </w14:textFill>
        </w:rPr>
        <w:t>政拨款收入支出决算总体情况说明</w:t>
      </w:r>
      <w:bookmarkEnd w:id="24"/>
      <w:bookmarkEnd w:id="25"/>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 w:hAnsi="仿宋" w:eastAsia="仿宋_GB2312" w:cs="Times New Roman"/>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s="Times New Roman"/>
          <w:color w:val="000000" w:themeColor="text1"/>
          <w:spacing w:val="0"/>
          <w:sz w:val="32"/>
          <w:szCs w:val="32"/>
          <w:highlight w:val="none"/>
          <w14:textFill>
            <w14:solidFill>
              <w14:schemeClr w14:val="tx1"/>
            </w14:solidFill>
          </w14:textFill>
        </w:rPr>
        <w:t>年区委统战部财政拨款收入合计</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s="Times New Roman"/>
          <w:color w:val="000000" w:themeColor="text1"/>
          <w:spacing w:val="0"/>
          <w:sz w:val="32"/>
          <w:szCs w:val="32"/>
          <w:highlight w:val="none"/>
          <w14:textFill>
            <w14:solidFill>
              <w14:schemeClr w14:val="tx1"/>
            </w14:solidFill>
          </w14:textFill>
        </w:rPr>
        <w:t>万元，均为财政拨款收入，占</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100</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较</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2021</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年相比增加</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19</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98</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万元，增加了</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8</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，主要原因是</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2022</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年人员调整，人员经费增加</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 w:hAnsi="仿宋" w:eastAsia="仿宋_GB2312"/>
          <w:color w:val="000000" w:themeColor="text1"/>
          <w:spacing w:val="0"/>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s="Times New Roman"/>
          <w:color w:val="000000" w:themeColor="text1"/>
          <w:spacing w:val="0"/>
          <w:sz w:val="32"/>
          <w:szCs w:val="32"/>
          <w:highlight w:val="none"/>
          <w14:textFill>
            <w14:solidFill>
              <w14:schemeClr w14:val="tx1"/>
            </w14:solidFill>
          </w14:textFill>
        </w:rPr>
        <w:t>年区委统战部财政拨款</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支出</w:t>
      </w:r>
      <w:r>
        <w:rPr>
          <w:rFonts w:hint="eastAsia" w:ascii="仿宋" w:hAnsi="仿宋" w:eastAsia="仿宋_GB2312" w:cs="Times New Roman"/>
          <w:color w:val="000000" w:themeColor="text1"/>
          <w:spacing w:val="0"/>
          <w:sz w:val="32"/>
          <w:szCs w:val="32"/>
          <w:highlight w:val="none"/>
          <w14:textFill>
            <w14:solidFill>
              <w14:schemeClr w14:val="tx1"/>
            </w14:solidFill>
          </w14:textFill>
        </w:rPr>
        <w:t>合计</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s="Times New Roman"/>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s="Times New Roman"/>
          <w:color w:val="000000" w:themeColor="text1"/>
          <w:spacing w:val="0"/>
          <w:sz w:val="32"/>
          <w:szCs w:val="32"/>
          <w:highlight w:val="none"/>
          <w14:textFill>
            <w14:solidFill>
              <w14:schemeClr w14:val="tx1"/>
            </w14:solidFill>
          </w14:textFill>
        </w:rPr>
        <w:t>100</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较</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2021</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年相比增加</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19</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98</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万元，增加了</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8</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r>
        <w:rPr>
          <w:rFonts w:hint="eastAsia" w:ascii="仿宋" w:hAnsi="仿宋" w:eastAsia="仿宋_GB2312" w:cs="Times New Roman"/>
          <w:color w:val="000000" w:themeColor="text1"/>
          <w:spacing w:val="0"/>
          <w:sz w:val="32"/>
          <w:szCs w:val="32"/>
          <w:highlight w:val="none"/>
          <w:lang w:eastAsia="zh-CN"/>
          <w14:textFill>
            <w14:solidFill>
              <w14:schemeClr w14:val="tx1"/>
            </w14:solidFill>
          </w14:textFill>
        </w:rPr>
        <w:t>，主要原因是</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2022</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年人员调整，人员经费增加</w:t>
      </w:r>
      <w:r>
        <w:rPr>
          <w:rFonts w:hint="eastAsia" w:ascii="仿宋" w:hAnsi="仿宋" w:eastAsia="仿宋_GB2312" w:cs="Times New Roman"/>
          <w:color w:val="000000" w:themeColor="text1"/>
          <w:spacing w:val="0"/>
          <w:sz w:val="32"/>
          <w:szCs w:val="32"/>
          <w:highlight w:val="none"/>
          <w14:textFill>
            <w14:solidFill>
              <w14:schemeClr w14:val="tx1"/>
            </w14:solidFill>
          </w14:textFill>
        </w:rPr>
        <w:t>。</w:t>
      </w:r>
    </w:p>
    <w:p>
      <w:pPr>
        <w:spacing w:line="600" w:lineRule="exact"/>
        <w:ind w:firstLine="640"/>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617855</wp:posOffset>
            </wp:positionH>
            <wp:positionV relativeFrom="paragraph">
              <wp:posOffset>190500</wp:posOffset>
            </wp:positionV>
            <wp:extent cx="4364990" cy="3216910"/>
            <wp:effectExtent l="0" t="0" r="16510" b="2540"/>
            <wp:wrapNone/>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5"/>
                    <a:stretch>
                      <a:fillRect/>
                    </a:stretch>
                  </pic:blipFill>
                  <pic:spPr>
                    <a:xfrm>
                      <a:off x="0" y="0"/>
                      <a:ext cx="4364990" cy="3216910"/>
                    </a:xfrm>
                    <a:prstGeom prst="rect">
                      <a:avLst/>
                    </a:prstGeom>
                  </pic:spPr>
                </pic:pic>
              </a:graphicData>
            </a:graphic>
          </wp:anchor>
        </w:drawing>
      </w: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rPr>
          <w:rFonts w:ascii="仿宋" w:hAnsi="仿宋" w:eastAsia="仿宋_GB2312"/>
          <w:color w:val="000000" w:themeColor="text1"/>
          <w:spacing w:val="0"/>
          <w:sz w:val="32"/>
          <w:szCs w:val="32"/>
          <w:highlight w:val="none"/>
          <w14:textFill>
            <w14:solidFill>
              <w14:schemeClr w14:val="tx1"/>
            </w14:solidFill>
          </w14:textFill>
        </w:rPr>
      </w:pPr>
    </w:p>
    <w:p>
      <w:pPr>
        <w:pStyle w:val="2"/>
        <w:rPr>
          <w:rFonts w:ascii="仿宋" w:hAnsi="仿宋" w:eastAsia="仿宋_GB2312"/>
          <w:color w:val="000000" w:themeColor="text1"/>
          <w:spacing w:val="0"/>
          <w:sz w:val="32"/>
          <w:szCs w:val="32"/>
          <w:highlight w:val="none"/>
          <w14:textFill>
            <w14:solidFill>
              <w14:schemeClr w14:val="tx1"/>
            </w14:solidFill>
          </w14:textFill>
        </w:rPr>
      </w:pPr>
    </w:p>
    <w:p>
      <w:pPr>
        <w:rPr>
          <w:rFonts w:ascii="仿宋" w:hAnsi="仿宋" w:eastAsia="仿宋_GB2312"/>
          <w:color w:val="000000" w:themeColor="text1"/>
          <w:spacing w:val="0"/>
          <w:sz w:val="32"/>
          <w:szCs w:val="32"/>
          <w:highlight w:val="none"/>
          <w14:textFill>
            <w14:solidFill>
              <w14:schemeClr w14:val="tx1"/>
            </w14:solidFill>
          </w14:textFill>
        </w:rPr>
      </w:pPr>
    </w:p>
    <w:p>
      <w:pPr>
        <w:pStyle w:val="2"/>
        <w:rPr>
          <w:rFonts w:eastAsia="仿宋_GB2312"/>
          <w:color w:val="000000" w:themeColor="text1"/>
          <w:spacing w:val="0"/>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rPr>
          <w:rFonts w:ascii="仿宋" w:hAnsi="仿宋" w:eastAsia="仿宋_GB2312"/>
          <w:color w:val="000000" w:themeColor="text1"/>
          <w:spacing w:val="0"/>
          <w:sz w:val="32"/>
          <w:szCs w:val="32"/>
          <w:highlight w:val="none"/>
          <w14:textFill>
            <w14:solidFill>
              <w14:schemeClr w14:val="tx1"/>
            </w14:solidFill>
          </w14:textFill>
        </w:rPr>
      </w:pPr>
    </w:p>
    <w:p>
      <w:pPr>
        <w:pStyle w:val="2"/>
        <w:rPr>
          <w:rFonts w:eastAsia="仿宋_GB2312"/>
        </w:rPr>
      </w:pPr>
    </w:p>
    <w:p>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pPr>
        <w:spacing w:line="600" w:lineRule="exact"/>
        <w:ind w:firstLine="640" w:firstLineChars="200"/>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4</w:t>
      </w:r>
      <w:r>
        <w:rPr>
          <w:rFonts w:hint="eastAsia" w:ascii="仿宋" w:hAnsi="仿宋" w:eastAsia="仿宋_GB2312"/>
          <w:color w:val="000000" w:themeColor="text1"/>
          <w:spacing w:val="0"/>
          <w:sz w:val="32"/>
          <w:szCs w:val="32"/>
          <w:highlight w:val="none"/>
          <w14:textFill>
            <w14:solidFill>
              <w14:schemeClr w14:val="tx1"/>
            </w14:solidFill>
          </w14:textFill>
        </w:rPr>
        <w:t>：财政拨款收、支决算总计变动情况）（柱状图）</w:t>
      </w:r>
    </w:p>
    <w:p>
      <w:pPr>
        <w:spacing w:line="600" w:lineRule="exact"/>
        <w:ind w:firstLine="640" w:firstLineChars="200"/>
        <w:outlineLvl w:val="1"/>
        <w:rPr>
          <w:rFonts w:hint="eastAsia" w:ascii="黑体" w:hAnsi="黑体" w:eastAsia="黑体"/>
          <w:color w:val="000000" w:themeColor="text1"/>
          <w:spacing w:val="0"/>
          <w:sz w:val="32"/>
          <w:szCs w:val="32"/>
          <w:highlight w:val="none"/>
          <w14:textFill>
            <w14:solidFill>
              <w14:schemeClr w14:val="tx1"/>
            </w14:solidFill>
          </w14:textFill>
        </w:rPr>
      </w:pPr>
      <w:bookmarkStart w:id="26" w:name="_Toc15377209"/>
      <w:bookmarkStart w:id="27" w:name="_Toc15396607"/>
    </w:p>
    <w:p>
      <w:pPr>
        <w:spacing w:line="600" w:lineRule="exact"/>
        <w:ind w:firstLine="640" w:firstLineChars="200"/>
        <w:outlineLvl w:val="1"/>
        <w:rPr>
          <w:rStyle w:val="29"/>
          <w:rFonts w:ascii="黑体" w:hAnsi="黑体" w:eastAsia="黑体"/>
          <w:b w:val="0"/>
          <w:color w:val="000000" w:themeColor="text1"/>
          <w:spacing w:val="0"/>
          <w:highlight w:val="none"/>
          <w14:textFill>
            <w14:solidFill>
              <w14:schemeClr w14:val="tx1"/>
            </w14:solidFill>
          </w14:textFill>
        </w:rPr>
      </w:pPr>
      <w:r>
        <w:rPr>
          <w:rFonts w:hint="eastAsia" w:ascii="黑体" w:hAnsi="黑体" w:eastAsia="黑体"/>
          <w:color w:val="000000" w:themeColor="text1"/>
          <w:spacing w:val="0"/>
          <w:sz w:val="32"/>
          <w:szCs w:val="32"/>
          <w:highlight w:val="none"/>
          <w14:textFill>
            <w14:solidFill>
              <w14:schemeClr w14:val="tx1"/>
            </w14:solidFill>
          </w14:textFill>
        </w:rPr>
        <w:t>五、</w:t>
      </w:r>
      <w:r>
        <w:rPr>
          <w:rFonts w:hint="eastAsia" w:ascii="黑体" w:hAnsi="黑体" w:eastAsia="黑体"/>
          <w:b/>
          <w:color w:val="000000" w:themeColor="text1"/>
          <w:spacing w:val="0"/>
          <w:sz w:val="32"/>
          <w:szCs w:val="32"/>
          <w:highlight w:val="none"/>
          <w14:textFill>
            <w14:solidFill>
              <w14:schemeClr w14:val="tx1"/>
            </w14:solidFill>
          </w14:textFill>
        </w:rPr>
        <w:t>一</w:t>
      </w:r>
      <w:r>
        <w:rPr>
          <w:rStyle w:val="29"/>
          <w:rFonts w:hint="eastAsia" w:ascii="黑体" w:hAnsi="黑体" w:eastAsia="黑体"/>
          <w:b w:val="0"/>
          <w:color w:val="000000" w:themeColor="text1"/>
          <w:spacing w:val="0"/>
          <w:highlight w:val="none"/>
          <w14:textFill>
            <w14:solidFill>
              <w14:schemeClr w14:val="tx1"/>
            </w14:solidFill>
          </w14:textFill>
        </w:rPr>
        <w:t>般公共预算财政拨款支出决算情况说明</w:t>
      </w:r>
      <w:bookmarkEnd w:id="26"/>
      <w:bookmarkEnd w:id="27"/>
    </w:p>
    <w:p>
      <w:pPr>
        <w:spacing w:line="600" w:lineRule="exact"/>
        <w:ind w:firstLine="640" w:firstLineChars="20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28" w:name="_Toc15377210"/>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（一）一般公共预算财政拨款支出决算总体情况</w:t>
      </w:r>
      <w:bookmarkEnd w:id="28"/>
    </w:p>
    <w:p>
      <w:pPr>
        <w:spacing w:line="600" w:lineRule="exact"/>
        <w:ind w:firstLine="640" w:firstLineChars="200"/>
        <w:rPr>
          <w:rFonts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年一般公共预算财政拨款支出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万元，占本年支出合计的</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100</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。与</w:t>
      </w: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21</w:t>
      </w:r>
      <w:r>
        <w:rPr>
          <w:rFonts w:hint="eastAsia" w:ascii="仿宋" w:hAnsi="仿宋" w:eastAsia="仿宋_GB2312"/>
          <w:color w:val="000000" w:themeColor="text1"/>
          <w:spacing w:val="0"/>
          <w:sz w:val="32"/>
          <w:szCs w:val="32"/>
          <w:highlight w:val="none"/>
          <w14:textFill>
            <w14:solidFill>
              <w14:schemeClr w14:val="tx1"/>
            </w14:solidFill>
          </w14:textFill>
        </w:rPr>
        <w:t>年相比，一般公共预算财政拨款</w:t>
      </w:r>
      <w:r>
        <w:rPr>
          <w:rFonts w:hint="eastAsia" w:ascii="仿宋" w:hAnsi="仿宋" w:eastAsia="仿宋_GB2312"/>
          <w:color w:val="000000" w:themeColor="text1"/>
          <w:spacing w:val="0"/>
          <w:sz w:val="32"/>
          <w:szCs w:val="32"/>
          <w:highlight w:val="none"/>
          <w:lang w:eastAsia="zh-CN"/>
          <w14:textFill>
            <w14:solidFill>
              <w14:schemeClr w14:val="tx1"/>
            </w14:solidFill>
          </w14:textFill>
        </w:rPr>
        <w:t>支出</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增加</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19</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98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万元，增加</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8</w:t>
      </w:r>
      <w:r>
        <w:rPr>
          <w:rFonts w:hint="eastAsia" w:ascii="仿宋_GB2312"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w:t>
      </w:r>
      <w:r>
        <w:rPr>
          <w:rFonts w:hint="eastAsia" w:ascii="仿宋_GB2312" w:eastAsia="仿宋_GB2312"/>
          <w:color w:val="000000" w:themeColor="text1"/>
          <w:spacing w:val="0"/>
          <w:sz w:val="32"/>
          <w:szCs w:val="32"/>
          <w14:textFill>
            <w14:solidFill>
              <w14:schemeClr w14:val="tx1"/>
            </w14:solidFill>
          </w14:textFill>
        </w:rPr>
        <w:t>%</w:t>
      </w:r>
      <w:r>
        <w:rPr>
          <w:rFonts w:hint="eastAsia" w:ascii="仿宋_GB2312" w:eastAsia="仿宋_GB2312"/>
          <w:color w:val="000000" w:themeColor="text1"/>
          <w:spacing w:val="0"/>
          <w:sz w:val="32"/>
          <w:szCs w:val="32"/>
          <w:lang w:eastAsia="zh-CN"/>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主要变动原因是</w:t>
      </w:r>
      <w:r>
        <w:rPr>
          <w:rFonts w:hint="eastAsia" w:ascii="Times New Roman" w:hAnsi="Times New Roman" w:eastAsia="仿宋_GB2312" w:cs="Times New Roman"/>
          <w:color w:val="000000" w:themeColor="text1"/>
          <w:spacing w:val="0"/>
          <w:sz w:val="32"/>
          <w:szCs w:val="32"/>
          <w:highlight w:val="none"/>
          <w:lang w:val="en-US" w:eastAsia="zh-CN"/>
          <w14:textFill>
            <w14:solidFill>
              <w14:schemeClr w14:val="tx1"/>
            </w14:solidFill>
          </w14:textFill>
        </w:rPr>
        <w:t>2022</w:t>
      </w:r>
      <w:r>
        <w:rPr>
          <w:rFonts w:hint="eastAsia" w:ascii="仿宋" w:hAnsi="仿宋" w:eastAsia="仿宋_GB2312" w:cs="Times New Roman"/>
          <w:color w:val="000000" w:themeColor="text1"/>
          <w:spacing w:val="0"/>
          <w:sz w:val="32"/>
          <w:szCs w:val="32"/>
          <w:highlight w:val="none"/>
          <w:lang w:val="en-US" w:eastAsia="zh-CN"/>
          <w14:textFill>
            <w14:solidFill>
              <w14:schemeClr w14:val="tx1"/>
            </w14:solidFill>
          </w14:textFill>
        </w:rPr>
        <w:t>年人员调整，人员经费增加。</w:t>
      </w:r>
    </w:p>
    <w:p>
      <w:pPr>
        <w:spacing w:line="240" w:lineRule="auto"/>
        <w:ind w:firstLine="640" w:firstLineChars="200"/>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693420</wp:posOffset>
            </wp:positionH>
            <wp:positionV relativeFrom="paragraph">
              <wp:posOffset>247015</wp:posOffset>
            </wp:positionV>
            <wp:extent cx="4225290" cy="3328670"/>
            <wp:effectExtent l="0" t="0" r="3810" b="5080"/>
            <wp:wrapNone/>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6"/>
                    <a:stretch>
                      <a:fillRect/>
                    </a:stretch>
                  </pic:blipFill>
                  <pic:spPr>
                    <a:xfrm>
                      <a:off x="0" y="0"/>
                      <a:ext cx="4225290" cy="3328670"/>
                    </a:xfrm>
                    <a:prstGeom prst="rect">
                      <a:avLst/>
                    </a:prstGeom>
                  </pic:spPr>
                </pic:pic>
              </a:graphicData>
            </a:graphic>
          </wp:anchor>
        </w:drawing>
      </w:r>
    </w:p>
    <w:p>
      <w:pPr>
        <w:pStyle w:val="8"/>
        <w:rPr>
          <w:rFonts w:hint="eastAsia"/>
          <w:color w:val="000000" w:themeColor="text1"/>
          <w:spacing w:val="0"/>
          <w:lang w:eastAsia="zh-CN"/>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240"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p>
    <w:p>
      <w:pPr>
        <w:rPr>
          <w:rFonts w:ascii="仿宋" w:hAnsi="仿宋" w:eastAsia="仿宋_GB2312"/>
          <w:color w:val="000000" w:themeColor="text1"/>
          <w:spacing w:val="0"/>
          <w:sz w:val="32"/>
          <w:szCs w:val="32"/>
          <w:highlight w:val="none"/>
          <w14:textFill>
            <w14:solidFill>
              <w14:schemeClr w14:val="tx1"/>
            </w14:solidFill>
          </w14:textFill>
        </w:rPr>
      </w:pPr>
    </w:p>
    <w:p>
      <w:pPr>
        <w:pStyle w:val="2"/>
        <w:rPr>
          <w:rFonts w:ascii="仿宋" w:hAnsi="仿宋" w:eastAsia="仿宋_GB2312"/>
          <w:color w:val="000000" w:themeColor="text1"/>
          <w:spacing w:val="0"/>
          <w:sz w:val="32"/>
          <w:szCs w:val="32"/>
          <w:highlight w:val="none"/>
          <w14:textFill>
            <w14:solidFill>
              <w14:schemeClr w14:val="tx1"/>
            </w14:solidFill>
          </w14:textFill>
        </w:rPr>
      </w:pPr>
    </w:p>
    <w:p>
      <w:pPr>
        <w:rPr>
          <w:rFonts w:eastAsia="仿宋_GB2312"/>
          <w:color w:val="000000" w:themeColor="text1"/>
          <w:spacing w:val="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 w:hAnsi="仿宋" w:eastAsia="仿宋_GB2312"/>
          <w:color w:val="000000" w:themeColor="text1"/>
          <w:spacing w:val="0"/>
          <w:sz w:val="32"/>
          <w:szCs w:val="32"/>
          <w:highlight w:val="none"/>
          <w14:textFill>
            <w14:solidFill>
              <w14:schemeClr w14:val="tx1"/>
            </w14:solidFill>
          </w14:textFill>
        </w:rPr>
      </w:pPr>
    </w:p>
    <w:p>
      <w:pPr>
        <w:pStyle w:val="2"/>
        <w:rPr>
          <w:rFonts w:hint="eastAsia" w:eastAsia="仿宋_GB2312"/>
        </w:rPr>
      </w:pPr>
    </w:p>
    <w:p>
      <w:pPr>
        <w:pStyle w:val="8"/>
        <w:rPr>
          <w:rFonts w:hint="eastAsia"/>
          <w:color w:val="000000" w:themeColor="text1"/>
          <w:spacing w:val="0"/>
          <w14:textFill>
            <w14:solidFill>
              <w14:schemeClr w14:val="tx1"/>
            </w14:solidFill>
          </w14:textFill>
        </w:rPr>
      </w:pPr>
    </w:p>
    <w:p>
      <w:pPr>
        <w:spacing w:line="600" w:lineRule="exact"/>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5</w:t>
      </w:r>
      <w:r>
        <w:rPr>
          <w:rFonts w:hint="eastAsia" w:ascii="仿宋" w:hAnsi="仿宋" w:eastAsia="仿宋_GB2312"/>
          <w:color w:val="000000" w:themeColor="text1"/>
          <w:spacing w:val="0"/>
          <w:sz w:val="32"/>
          <w:szCs w:val="32"/>
          <w:highlight w:val="none"/>
          <w14:textFill>
            <w14:solidFill>
              <w14:schemeClr w14:val="tx1"/>
            </w14:solidFill>
          </w14:textFill>
        </w:rPr>
        <w:t>：一般公共预算财政拨款支出决算变动情况）（柱状图）</w:t>
      </w:r>
    </w:p>
    <w:p>
      <w:pPr>
        <w:spacing w:line="600" w:lineRule="exact"/>
        <w:ind w:firstLine="640" w:firstLineChars="20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p>
    <w:p>
      <w:pPr>
        <w:spacing w:line="600" w:lineRule="exact"/>
        <w:ind w:firstLine="640" w:firstLineChars="20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29" w:name="_Toc15377211"/>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（二）一般公共预算财政拨款支出决算结构情况</w:t>
      </w:r>
      <w:bookmarkEnd w:id="29"/>
    </w:p>
    <w:p>
      <w:pPr>
        <w:spacing w:line="600" w:lineRule="exact"/>
        <w:ind w:firstLine="640"/>
        <w:rPr>
          <w:rFonts w:hint="eastAsia"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年一般公共预算财政拨款支出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万元，主要用于以下方面</w:t>
      </w:r>
      <w:r>
        <w:rPr>
          <w:rFonts w:hint="eastAsia" w:ascii="仿宋" w:hAnsi="仿宋" w:eastAsia="仿宋_GB2312"/>
          <w:color w:val="000000" w:themeColor="text1"/>
          <w:spacing w:val="0"/>
          <w:sz w:val="32"/>
          <w:szCs w:val="32"/>
          <w:highlight w:val="none"/>
          <w:lang w:eastAsia="zh-CN"/>
          <w14:textFill>
            <w14:solidFill>
              <w14:schemeClr w14:val="tx1"/>
            </w14:solidFill>
          </w14:textFill>
        </w:rPr>
        <w:t>：</w:t>
      </w:r>
      <w:r>
        <w:rPr>
          <w:rFonts w:hint="eastAsia" w:ascii="仿宋" w:hAnsi="仿宋" w:eastAsia="仿宋_GB2312"/>
          <w:b/>
          <w:color w:val="000000" w:themeColor="text1"/>
          <w:spacing w:val="0"/>
          <w:sz w:val="32"/>
          <w:szCs w:val="32"/>
          <w:highlight w:val="none"/>
          <w14:textFill>
            <w14:solidFill>
              <w14:schemeClr w14:val="tx1"/>
            </w14:solidFill>
          </w14:textFill>
        </w:rPr>
        <w:t>一般公共服务</w:t>
      </w:r>
      <w:r>
        <w:rPr>
          <w:rFonts w:hint="eastAsia" w:ascii="仿宋" w:hAnsi="仿宋" w:eastAsia="仿宋_GB2312"/>
          <w:b/>
          <w:bCs/>
          <w:color w:val="000000" w:themeColor="text1"/>
          <w:spacing w:val="0"/>
          <w:sz w:val="32"/>
          <w:szCs w:val="32"/>
          <w:highlight w:val="none"/>
          <w14:textFill>
            <w14:solidFill>
              <w14:schemeClr w14:val="tx1"/>
            </w14:solidFill>
          </w14:textFill>
        </w:rPr>
        <w:t>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69</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88</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59</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b/>
          <w:color w:val="000000" w:themeColor="text1"/>
          <w:spacing w:val="0"/>
          <w:sz w:val="32"/>
          <w:szCs w:val="32"/>
          <w:highlight w:val="none"/>
          <w14:textFill>
            <w14:solidFill>
              <w14:schemeClr w14:val="tx1"/>
            </w14:solidFill>
          </w14:textFill>
        </w:rPr>
        <w:t>社会保障和就业</w:t>
      </w:r>
      <w:r>
        <w:rPr>
          <w:rFonts w:hint="eastAsia" w:ascii="仿宋" w:hAnsi="仿宋" w:eastAsia="仿宋_GB2312"/>
          <w:b/>
          <w:bCs/>
          <w:color w:val="000000" w:themeColor="text1"/>
          <w:spacing w:val="0"/>
          <w:sz w:val="32"/>
          <w:szCs w:val="32"/>
          <w:highlight w:val="none"/>
          <w14:textFill>
            <w14:solidFill>
              <w14:schemeClr w14:val="tx1"/>
            </w14:solidFill>
          </w14:textFill>
        </w:rPr>
        <w:t>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9</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47</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3</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65</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b/>
          <w:bCs/>
          <w:color w:val="000000" w:themeColor="text1"/>
          <w:spacing w:val="0"/>
          <w:sz w:val="32"/>
          <w:szCs w:val="32"/>
          <w:highlight w:val="none"/>
          <w14:textFill>
            <w14:solidFill>
              <w14:schemeClr w14:val="tx1"/>
            </w14:solidFill>
          </w14:textFill>
        </w:rPr>
        <w:t>卫生健康支出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90</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28</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b/>
          <w:bCs/>
          <w:color w:val="000000" w:themeColor="text1"/>
          <w:spacing w:val="0"/>
          <w:sz w:val="32"/>
          <w:szCs w:val="32"/>
          <w:highlight w:val="none"/>
          <w14:textFill>
            <w14:solidFill>
              <w14:schemeClr w14:val="tx1"/>
            </w14:solidFill>
          </w14:textFill>
        </w:rPr>
        <w:t>住房保障支出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48</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p>
    <w:p>
      <w:pPr>
        <w:pStyle w:val="8"/>
        <w:rPr>
          <w:rFonts w:ascii="仿宋" w:hAnsi="仿宋" w:eastAsia="仿宋_GB2312"/>
          <w:color w:val="000000" w:themeColor="text1"/>
          <w:spacing w:val="0"/>
          <w:sz w:val="32"/>
          <w:szCs w:val="32"/>
          <w:highlight w:val="none"/>
          <w14:textFill>
            <w14:solidFill>
              <w14:schemeClr w14:val="tx1"/>
            </w14:solidFill>
          </w14:textFill>
        </w:rPr>
      </w:pPr>
    </w:p>
    <w:p>
      <w:pPr>
        <w:rPr>
          <w:rFonts w:eastAsia="仿宋_GB2312"/>
          <w:color w:val="000000" w:themeColor="text1"/>
          <w:spacing w:val="0"/>
          <w14:textFill>
            <w14:solidFill>
              <w14:schemeClr w14:val="tx1"/>
            </w14:solidFill>
          </w14:textFill>
        </w:rPr>
      </w:pPr>
    </w:p>
    <w:p>
      <w:pPr>
        <w:pStyle w:val="8"/>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align>center</wp:align>
            </wp:positionH>
            <wp:positionV relativeFrom="paragraph">
              <wp:posOffset>82550</wp:posOffset>
            </wp:positionV>
            <wp:extent cx="4768215" cy="3529965"/>
            <wp:effectExtent l="0" t="0" r="13335" b="13335"/>
            <wp:wrapNone/>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6"/>
                    <pic:cNvPicPr>
                      <a:picLocks noChangeAspect="1"/>
                    </pic:cNvPicPr>
                  </pic:nvPicPr>
                  <pic:blipFill>
                    <a:blip r:embed="rId17"/>
                    <a:stretch>
                      <a:fillRect/>
                    </a:stretch>
                  </pic:blipFill>
                  <pic:spPr>
                    <a:xfrm>
                      <a:off x="0" y="0"/>
                      <a:ext cx="4768215" cy="3529965"/>
                    </a:xfrm>
                    <a:prstGeom prst="rect">
                      <a:avLst/>
                    </a:prstGeom>
                  </pic:spPr>
                </pic:pic>
              </a:graphicData>
            </a:graphic>
          </wp:anchor>
        </w:drawing>
      </w: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pStyle w:val="8"/>
        <w:rPr>
          <w:rFonts w:ascii="仿宋" w:hAnsi="仿宋" w:eastAsia="仿宋_GB2312"/>
          <w:color w:val="000000" w:themeColor="text1"/>
          <w:spacing w:val="0"/>
          <w:sz w:val="32"/>
          <w:szCs w:val="32"/>
          <w:highlight w:val="none"/>
          <w14:textFill>
            <w14:solidFill>
              <w14:schemeClr w14:val="tx1"/>
            </w14:solidFill>
          </w14:textFill>
        </w:rPr>
      </w:pPr>
    </w:p>
    <w:p>
      <w:pPr>
        <w:rPr>
          <w:rFonts w:ascii="仿宋" w:hAnsi="仿宋" w:eastAsia="仿宋_GB2312"/>
          <w:color w:val="000000" w:themeColor="text1"/>
          <w:spacing w:val="0"/>
          <w:sz w:val="32"/>
          <w:szCs w:val="32"/>
          <w:highlight w:val="none"/>
          <w14:textFill>
            <w14:solidFill>
              <w14:schemeClr w14:val="tx1"/>
            </w14:solidFill>
          </w14:textFill>
        </w:rPr>
      </w:pPr>
    </w:p>
    <w:p>
      <w:pPr>
        <w:pStyle w:val="2"/>
        <w:rPr>
          <w:rFonts w:ascii="仿宋" w:hAnsi="仿宋" w:eastAsia="仿宋_GB2312"/>
          <w:color w:val="000000" w:themeColor="text1"/>
          <w:spacing w:val="0"/>
          <w:sz w:val="32"/>
          <w:szCs w:val="32"/>
          <w:highlight w:val="none"/>
          <w14:textFill>
            <w14:solidFill>
              <w14:schemeClr w14:val="tx1"/>
            </w14:solidFill>
          </w14:textFill>
        </w:rPr>
      </w:pPr>
    </w:p>
    <w:p>
      <w:pPr>
        <w:rPr>
          <w:rFonts w:ascii="仿宋" w:hAnsi="仿宋" w:eastAsia="仿宋_GB2312"/>
          <w:color w:val="000000" w:themeColor="text1"/>
          <w:spacing w:val="0"/>
          <w:sz w:val="32"/>
          <w:szCs w:val="32"/>
          <w:highlight w:val="none"/>
          <w14:textFill>
            <w14:solidFill>
              <w14:schemeClr w14:val="tx1"/>
            </w14:solidFill>
          </w14:textFill>
        </w:rPr>
      </w:pPr>
    </w:p>
    <w:p>
      <w:pPr>
        <w:pStyle w:val="2"/>
        <w:rPr>
          <w:rFonts w:eastAsia="仿宋_GB2312"/>
          <w:color w:val="000000" w:themeColor="text1"/>
          <w:spacing w:val="0"/>
          <w14:textFill>
            <w14:solidFill>
              <w14:schemeClr w14:val="tx1"/>
            </w14:solidFill>
          </w14:textFill>
        </w:rPr>
      </w:pPr>
    </w:p>
    <w:p>
      <w:pPr>
        <w:spacing w:line="600" w:lineRule="exact"/>
        <w:jc w:val="center"/>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6</w:t>
      </w:r>
      <w:r>
        <w:rPr>
          <w:rFonts w:hint="eastAsia" w:ascii="仿宋" w:hAnsi="仿宋" w:eastAsia="仿宋_GB2312"/>
          <w:color w:val="000000" w:themeColor="text1"/>
          <w:spacing w:val="0"/>
          <w:sz w:val="32"/>
          <w:szCs w:val="32"/>
          <w:highlight w:val="none"/>
          <w14:textFill>
            <w14:solidFill>
              <w14:schemeClr w14:val="tx1"/>
            </w14:solidFill>
          </w14:textFill>
        </w:rPr>
        <w:t>：一般公共预算财政拨款支出决算结构）（饼状图）</w:t>
      </w:r>
    </w:p>
    <w:p>
      <w:pPr>
        <w:spacing w:line="600" w:lineRule="exact"/>
        <w:ind w:firstLine="64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p>
    <w:p>
      <w:pPr>
        <w:spacing w:line="600" w:lineRule="exact"/>
        <w:ind w:firstLine="64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30" w:name="_Toc15377212"/>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（三）一般公共预算财政拨款支出决算具体情况</w:t>
      </w:r>
      <w:bookmarkEnd w:id="30"/>
    </w:p>
    <w:p>
      <w:pPr>
        <w:spacing w:line="600" w:lineRule="exact"/>
        <w:ind w:firstLine="643" w:firstLineChars="200"/>
        <w:outlineLvl w:val="2"/>
        <w:rPr>
          <w:rFonts w:ascii="仿宋" w:hAnsi="仿宋" w:eastAsia="仿宋_GB2312"/>
          <w:color w:val="000000" w:themeColor="text1"/>
          <w:spacing w:val="0"/>
          <w:sz w:val="32"/>
          <w:szCs w:val="32"/>
          <w:highlight w:val="none"/>
          <w14:textFill>
            <w14:solidFill>
              <w14:schemeClr w14:val="tx1"/>
            </w14:solidFill>
          </w14:textFill>
        </w:rPr>
      </w:pPr>
      <w:bookmarkStart w:id="31" w:name="_Toc15378460"/>
      <w:bookmarkStart w:id="32" w:name="_Toc15377213"/>
      <w:bookmarkStart w:id="33" w:name="_Toc15377444"/>
      <w:r>
        <w:rPr>
          <w:rFonts w:hint="eastAsia" w:ascii="Times New Roman" w:hAnsi="Times New Roman" w:eastAsia="仿宋_GB2312"/>
          <w:b/>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b/>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b/>
          <w:color w:val="000000" w:themeColor="text1"/>
          <w:spacing w:val="0"/>
          <w:sz w:val="32"/>
          <w:szCs w:val="32"/>
          <w:highlight w:val="none"/>
          <w14:textFill>
            <w14:solidFill>
              <w14:schemeClr w14:val="tx1"/>
            </w14:solidFill>
          </w14:textFill>
        </w:rPr>
        <w:t>年</w:t>
      </w:r>
      <w:r>
        <w:rPr>
          <w:rFonts w:hint="eastAsia" w:ascii="仿宋" w:hAnsi="仿宋" w:eastAsia="仿宋_GB2312"/>
          <w:b/>
          <w:color w:val="000000" w:themeColor="text1"/>
          <w:spacing w:val="0"/>
          <w:sz w:val="32"/>
          <w:szCs w:val="32"/>
          <w:highlight w:val="none"/>
          <w:lang w:eastAsia="zh-CN"/>
          <w14:textFill>
            <w14:solidFill>
              <w14:schemeClr w14:val="tx1"/>
            </w14:solidFill>
          </w14:textFill>
        </w:rPr>
        <w:t>一</w:t>
      </w:r>
      <w:r>
        <w:rPr>
          <w:rFonts w:hint="eastAsia" w:ascii="仿宋" w:hAnsi="仿宋" w:eastAsia="仿宋_GB2312"/>
          <w:b/>
          <w:color w:val="000000" w:themeColor="text1"/>
          <w:spacing w:val="0"/>
          <w:sz w:val="32"/>
          <w:szCs w:val="32"/>
          <w:highlight w:val="none"/>
          <w14:textFill>
            <w14:solidFill>
              <w14:schemeClr w14:val="tx1"/>
            </w14:solidFill>
          </w14:textFill>
        </w:rPr>
        <w:t>般公共预算支出决算数为</w:t>
      </w:r>
      <w:r>
        <w:rPr>
          <w:rFonts w:hint="eastAsia" w:ascii="Times New Roman" w:hAnsi="Times New Roman" w:eastAsia="仿宋_GB2312"/>
          <w:b/>
          <w:color w:val="000000" w:themeColor="text1"/>
          <w:spacing w:val="0"/>
          <w:sz w:val="32"/>
          <w:szCs w:val="32"/>
          <w:highlight w:val="none"/>
          <w:lang w:val="en-US" w:eastAsia="zh-CN"/>
          <w14:textFill>
            <w14:solidFill>
              <w14:schemeClr w14:val="tx1"/>
            </w14:solidFill>
          </w14:textFill>
        </w:rPr>
        <w:t>259</w:t>
      </w:r>
      <w:r>
        <w:rPr>
          <w:rFonts w:hint="eastAsia" w:ascii="仿宋" w:hAnsi="仿宋" w:eastAsia="仿宋_GB2312"/>
          <w:b/>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b/>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完成预算</w:t>
      </w: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100</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。其中：</w:t>
      </w:r>
      <w:bookmarkEnd w:id="31"/>
      <w:bookmarkEnd w:id="32"/>
      <w:bookmarkEnd w:id="33"/>
    </w:p>
    <w:p>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ascii="Times New Roman" w:hAnsi="Times New Roman" w:eastAsia="仿宋_GB2312"/>
          <w:bCs/>
          <w:color w:val="000000" w:themeColor="text1"/>
          <w:spacing w:val="0"/>
          <w:sz w:val="32"/>
          <w:szCs w:val="32"/>
          <w:highlight w:val="none"/>
          <w14:textFill>
            <w14:solidFill>
              <w14:schemeClr w14:val="tx1"/>
            </w14:solidFill>
          </w14:textFill>
        </w:rPr>
        <w:t>1</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一般公共服务（类）</w:t>
      </w:r>
      <w:r>
        <w:rPr>
          <w:rStyle w:val="17"/>
          <w:rFonts w:hint="eastAsia" w:ascii="仿宋" w:hAnsi="仿宋" w:eastAsia="仿宋_GB2312"/>
          <w:bCs/>
          <w:color w:val="000000" w:themeColor="text1"/>
          <w:spacing w:val="0"/>
          <w:sz w:val="32"/>
          <w:szCs w:val="32"/>
          <w:lang w:eastAsia="zh-CN"/>
          <w14:textFill>
            <w14:solidFill>
              <w14:schemeClr w14:val="tx1"/>
            </w14:solidFill>
          </w14:textFill>
        </w:rPr>
        <w:t>民族事务</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eastAsia="zh-CN"/>
          <w14:textFill>
            <w14:solidFill>
              <w14:schemeClr w14:val="tx1"/>
            </w14:solidFill>
          </w14:textFill>
        </w:rPr>
        <w:t>其他民族事务支出</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20</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2</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一般公共服务（类）</w:t>
      </w:r>
      <w:r>
        <w:rPr>
          <w:rStyle w:val="17"/>
          <w:rFonts w:hint="eastAsia" w:ascii="仿宋" w:hAnsi="仿宋" w:eastAsia="仿宋_GB2312"/>
          <w:bCs/>
          <w:color w:val="000000" w:themeColor="text1"/>
          <w:spacing w:val="0"/>
          <w:sz w:val="32"/>
          <w:szCs w:val="32"/>
          <w:lang w:eastAsia="zh-CN"/>
          <w14:textFill>
            <w14:solidFill>
              <w14:schemeClr w14:val="tx1"/>
            </w14:solidFill>
          </w14:textFill>
        </w:rPr>
        <w:t>民主党派及工商联事务</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eastAsia="zh-CN"/>
          <w14:textFill>
            <w14:solidFill>
              <w14:schemeClr w14:val="tx1"/>
            </w14:solidFill>
          </w14:textFill>
        </w:rPr>
        <w:t>人一般行政管理事务</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25</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3</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一般公共服务（类）</w:t>
      </w:r>
      <w:r>
        <w:rPr>
          <w:rStyle w:val="17"/>
          <w:rFonts w:hint="eastAsia" w:ascii="仿宋" w:hAnsi="仿宋" w:eastAsia="仿宋_GB2312"/>
          <w:bCs/>
          <w:color w:val="000000" w:themeColor="text1"/>
          <w:spacing w:val="0"/>
          <w:sz w:val="32"/>
          <w:szCs w:val="32"/>
          <w:lang w:eastAsia="zh-CN"/>
          <w14:textFill>
            <w14:solidFill>
              <w14:schemeClr w14:val="tx1"/>
            </w14:solidFill>
          </w14:textFill>
        </w:rPr>
        <w:t>统战事务</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eastAsia="zh-CN"/>
          <w14:textFill>
            <w14:solidFill>
              <w14:schemeClr w14:val="tx1"/>
            </w14:solidFill>
          </w14:textFill>
        </w:rPr>
        <w:t>行政运行</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121</w:t>
      </w:r>
      <w:r>
        <w:rPr>
          <w:rStyle w:val="17"/>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69</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4</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一般公共服务（类）</w:t>
      </w:r>
      <w:r>
        <w:rPr>
          <w:rStyle w:val="17"/>
          <w:rFonts w:hint="eastAsia" w:ascii="仿宋" w:hAnsi="仿宋" w:eastAsia="仿宋_GB2312"/>
          <w:bCs/>
          <w:color w:val="000000" w:themeColor="text1"/>
          <w:spacing w:val="0"/>
          <w:sz w:val="32"/>
          <w:szCs w:val="32"/>
          <w:lang w:eastAsia="zh-CN"/>
          <w14:textFill>
            <w14:solidFill>
              <w14:schemeClr w14:val="tx1"/>
            </w14:solidFill>
          </w14:textFill>
        </w:rPr>
        <w:t>统战事务</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eastAsia="zh-CN"/>
          <w14:textFill>
            <w14:solidFill>
              <w14:schemeClr w14:val="tx1"/>
            </w14:solidFill>
          </w14:textFill>
        </w:rPr>
        <w:t>机关服务</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63</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ascii="Times New Roman" w:hAnsi="Times New Roman" w:eastAsia="仿宋_GB2312"/>
          <w:bCs/>
          <w:color w:val="000000" w:themeColor="text1"/>
          <w:spacing w:val="0"/>
          <w:sz w:val="32"/>
          <w:szCs w:val="32"/>
          <w:highlight w:val="none"/>
          <w:lang w:val="en-US" w:eastAsia="zh-CN"/>
          <w14:textFill>
            <w14:solidFill>
              <w14:schemeClr w14:val="tx1"/>
            </w14:solidFill>
          </w14:textFill>
        </w:rPr>
        <w:t>5</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Cs/>
          <w:color w:val="000000" w:themeColor="text1"/>
          <w:spacing w:val="0"/>
          <w:sz w:val="32"/>
          <w:szCs w:val="32"/>
          <w:highlight w:val="none"/>
          <w14:textFill>
            <w14:solidFill>
              <w14:schemeClr w14:val="tx1"/>
            </w14:solidFill>
          </w14:textFill>
        </w:rPr>
        <w:t>社会保障和就业（类）行政事业单位养老支出（款）机关事业单位基本养老保险缴费支出（项）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9</w:t>
      </w:r>
      <w:r>
        <w:rPr>
          <w:rStyle w:val="17"/>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47</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eastAsia="仿宋_GB2312"/>
          <w:bCs/>
          <w:color w:val="000000" w:themeColor="text1"/>
          <w:spacing w:val="0"/>
          <w:sz w:val="32"/>
          <w:szCs w:val="32"/>
          <w:highlight w:val="none"/>
          <w:lang w:val="en-US" w:eastAsia="zh-CN"/>
          <w14:textFill>
            <w14:solidFill>
              <w14:schemeClr w14:val="tx1"/>
            </w14:solidFill>
          </w14:textFill>
        </w:rPr>
        <w:t>6</w:t>
      </w:r>
      <w:r>
        <w:rPr>
          <w:rStyle w:val="17"/>
          <w:rFonts w:ascii="仿宋" w:hAnsi="仿宋" w:eastAsia="仿宋_GB2312"/>
          <w:bCs/>
          <w:color w:val="000000" w:themeColor="text1"/>
          <w:spacing w:val="0"/>
          <w:sz w:val="32"/>
          <w:szCs w:val="32"/>
          <w:highlight w:val="none"/>
          <w14:textFill>
            <w14:solidFill>
              <w14:schemeClr w14:val="tx1"/>
            </w14:solidFill>
          </w14:textFill>
        </w:rPr>
        <w:t>.</w:t>
      </w:r>
      <w:r>
        <w:rPr>
          <w:rFonts w:hint="eastAsia" w:ascii="仿宋" w:hAnsi="仿宋" w:eastAsia="仿宋_GB2312"/>
          <w:b/>
          <w:bCs/>
          <w:color w:val="000000" w:themeColor="text1"/>
          <w:spacing w:val="0"/>
          <w:sz w:val="32"/>
          <w:szCs w:val="32"/>
          <w:highlight w:val="none"/>
          <w14:textFill>
            <w14:solidFill>
              <w14:schemeClr w14:val="tx1"/>
            </w14:solidFill>
          </w14:textFill>
        </w:rPr>
        <w:t>卫生健康</w:t>
      </w:r>
      <w:r>
        <w:rPr>
          <w:rStyle w:val="17"/>
          <w:rFonts w:hint="eastAsia" w:ascii="仿宋" w:hAnsi="仿宋" w:eastAsia="仿宋_GB2312"/>
          <w:bCs/>
          <w:color w:val="000000" w:themeColor="text1"/>
          <w:spacing w:val="0"/>
          <w:sz w:val="32"/>
          <w:szCs w:val="32"/>
          <w:highlight w:val="none"/>
          <w14:textFill>
            <w14:solidFill>
              <w14:schemeClr w14:val="tx1"/>
            </w14:solidFill>
          </w14:textFill>
        </w:rPr>
        <w:t>（类）行政事业单位医疗（款）行政事业单位医疗（项）</w:t>
      </w:r>
      <w:r>
        <w:rPr>
          <w:rStyle w:val="17"/>
          <w:rFonts w:hint="eastAsia" w:ascii="仿宋" w:hAnsi="仿宋" w:eastAsia="仿宋_GB2312"/>
          <w:bCs/>
          <w:color w:val="000000" w:themeColor="text1"/>
          <w:spacing w:val="0"/>
          <w:sz w:val="32"/>
          <w:szCs w:val="32"/>
          <w:highlight w:val="none"/>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5</w:t>
      </w:r>
      <w:r>
        <w:rPr>
          <w:rStyle w:val="17"/>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90</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pPr>
        <w:spacing w:line="600" w:lineRule="exact"/>
        <w:ind w:firstLine="643" w:firstLineChars="200"/>
        <w:rPr>
          <w:rFonts w:ascii="仿宋" w:hAnsi="仿宋" w:eastAsia="仿宋_GB2312"/>
          <w:b/>
          <w:color w:val="000000" w:themeColor="text1"/>
          <w:spacing w:val="0"/>
          <w:sz w:val="32"/>
          <w:szCs w:val="32"/>
          <w14:textFill>
            <w14:solidFill>
              <w14:schemeClr w14:val="tx1"/>
            </w14:solidFill>
          </w14:textFill>
        </w:rPr>
      </w:pPr>
      <w:r>
        <w:rPr>
          <w:rStyle w:val="17"/>
          <w:rFonts w:hint="eastAsia" w:eastAsia="仿宋_GB2312"/>
          <w:bCs/>
          <w:color w:val="000000" w:themeColor="text1"/>
          <w:spacing w:val="0"/>
          <w:sz w:val="32"/>
          <w:szCs w:val="32"/>
          <w:lang w:val="en-US" w:eastAsia="zh-CN"/>
          <w14:textFill>
            <w14:solidFill>
              <w14:schemeClr w14:val="tx1"/>
            </w14:solidFill>
          </w14:textFill>
        </w:rPr>
        <w:t>7</w:t>
      </w:r>
      <w:r>
        <w:rPr>
          <w:rStyle w:val="17"/>
          <w:rFonts w:ascii="仿宋" w:hAnsi="仿宋" w:eastAsia="仿宋_GB2312"/>
          <w:bCs/>
          <w:color w:val="000000" w:themeColor="text1"/>
          <w:spacing w:val="0"/>
          <w:sz w:val="32"/>
          <w:szCs w:val="32"/>
          <w14:textFill>
            <w14:solidFill>
              <w14:schemeClr w14:val="tx1"/>
            </w14:solidFill>
          </w14:textFill>
        </w:rPr>
        <w:t>.</w:t>
      </w:r>
      <w:r>
        <w:rPr>
          <w:rFonts w:hint="eastAsia" w:ascii="仿宋" w:hAnsi="仿宋" w:eastAsia="仿宋_GB2312"/>
          <w:b/>
          <w:bCs/>
          <w:color w:val="000000" w:themeColor="text1"/>
          <w:spacing w:val="0"/>
          <w:sz w:val="32"/>
          <w:szCs w:val="32"/>
          <w:lang w:val="en-US" w:eastAsia="zh-CN"/>
          <w14:textFill>
            <w14:solidFill>
              <w14:schemeClr w14:val="tx1"/>
            </w14:solidFill>
          </w14:textFill>
        </w:rPr>
        <w:t>住房保障支出</w:t>
      </w:r>
      <w:r>
        <w:rPr>
          <w:rStyle w:val="17"/>
          <w:rFonts w:hint="eastAsia" w:ascii="仿宋" w:hAnsi="仿宋" w:eastAsia="仿宋_GB2312"/>
          <w:bCs/>
          <w:color w:val="000000" w:themeColor="text1"/>
          <w:spacing w:val="0"/>
          <w:sz w:val="32"/>
          <w:szCs w:val="32"/>
          <w14:textFill>
            <w14:solidFill>
              <w14:schemeClr w14:val="tx1"/>
            </w14:solidFill>
          </w14:textFill>
        </w:rPr>
        <w:t>（类）</w:t>
      </w:r>
      <w:r>
        <w:rPr>
          <w:rStyle w:val="17"/>
          <w:rFonts w:hint="eastAsia" w:ascii="仿宋" w:hAnsi="仿宋" w:eastAsia="仿宋_GB2312"/>
          <w:bCs/>
          <w:color w:val="000000" w:themeColor="text1"/>
          <w:spacing w:val="0"/>
          <w:sz w:val="32"/>
          <w:szCs w:val="32"/>
          <w:lang w:val="en-US" w:eastAsia="zh-CN"/>
          <w14:textFill>
            <w14:solidFill>
              <w14:schemeClr w14:val="tx1"/>
            </w14:solidFill>
          </w14:textFill>
        </w:rPr>
        <w:t>住房改革支出</w:t>
      </w:r>
      <w:r>
        <w:rPr>
          <w:rStyle w:val="17"/>
          <w:rFonts w:hint="eastAsia" w:ascii="仿宋" w:hAnsi="仿宋" w:eastAsia="仿宋_GB2312"/>
          <w:bCs/>
          <w:color w:val="000000" w:themeColor="text1"/>
          <w:spacing w:val="0"/>
          <w:sz w:val="32"/>
          <w:szCs w:val="32"/>
          <w14:textFill>
            <w14:solidFill>
              <w14:schemeClr w14:val="tx1"/>
            </w14:solidFill>
          </w14:textFill>
        </w:rPr>
        <w:t>（款）</w:t>
      </w:r>
      <w:r>
        <w:rPr>
          <w:rStyle w:val="17"/>
          <w:rFonts w:hint="eastAsia" w:ascii="仿宋" w:hAnsi="仿宋" w:eastAsia="仿宋_GB2312"/>
          <w:bCs/>
          <w:color w:val="000000" w:themeColor="text1"/>
          <w:spacing w:val="0"/>
          <w:sz w:val="32"/>
          <w:szCs w:val="32"/>
          <w:lang w:val="en-US" w:eastAsia="zh-CN"/>
          <w14:textFill>
            <w14:solidFill>
              <w14:schemeClr w14:val="tx1"/>
            </w14:solidFill>
          </w14:textFill>
        </w:rPr>
        <w:t>住房公积金</w:t>
      </w:r>
      <w:r>
        <w:rPr>
          <w:rStyle w:val="17"/>
          <w:rFonts w:hint="eastAsia" w:ascii="仿宋" w:hAnsi="仿宋" w:eastAsia="仿宋_GB2312"/>
          <w:bCs/>
          <w:color w:val="000000" w:themeColor="text1"/>
          <w:spacing w:val="0"/>
          <w:sz w:val="32"/>
          <w:szCs w:val="32"/>
          <w14:textFill>
            <w14:solidFill>
              <w14:schemeClr w14:val="tx1"/>
            </w14:solidFill>
          </w14:textFill>
        </w:rPr>
        <w:t>（项）</w:t>
      </w:r>
      <w:r>
        <w:rPr>
          <w:rStyle w:val="17"/>
          <w:rFonts w:hint="eastAsia" w:ascii="仿宋" w:hAnsi="仿宋" w:eastAsia="仿宋_GB2312"/>
          <w:bCs/>
          <w:color w:val="000000" w:themeColor="text1"/>
          <w:spacing w:val="0"/>
          <w:sz w:val="32"/>
          <w:szCs w:val="32"/>
          <w:lang w:eastAsia="zh-CN"/>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支出决算为</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14</w:t>
      </w:r>
      <w:r>
        <w:rPr>
          <w:rStyle w:val="17"/>
          <w:rFonts w:hint="eastAsia" w:ascii="仿宋" w:hAnsi="仿宋" w:eastAsia="仿宋_GB2312"/>
          <w:b w:val="0"/>
          <w:bCs/>
          <w:color w:val="000000" w:themeColor="text1"/>
          <w:spacing w:val="0"/>
          <w:sz w:val="32"/>
          <w:szCs w:val="32"/>
          <w:lang w:val="en-US" w:eastAsia="zh-CN"/>
          <w14:textFill>
            <w14:solidFill>
              <w14:schemeClr w14:val="tx1"/>
            </w14:solidFill>
          </w14:textFill>
        </w:rPr>
        <w:t>.</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20</w:t>
      </w:r>
      <w:r>
        <w:rPr>
          <w:rStyle w:val="17"/>
          <w:rFonts w:hint="eastAsia" w:ascii="仿宋" w:hAnsi="仿宋" w:eastAsia="仿宋_GB2312"/>
          <w:b w:val="0"/>
          <w:bCs/>
          <w:color w:val="000000" w:themeColor="text1"/>
          <w:spacing w:val="0"/>
          <w:sz w:val="32"/>
          <w:szCs w:val="32"/>
          <w14:textFill>
            <w14:solidFill>
              <w14:schemeClr w14:val="tx1"/>
            </w14:solidFill>
          </w14:textFill>
        </w:rPr>
        <w:t>万元，完成预算</w:t>
      </w:r>
      <w:r>
        <w:rPr>
          <w:rStyle w:val="17"/>
          <w:rFonts w:hint="eastAsia" w:ascii="Times New Roman" w:hAnsi="Times New Roman" w:eastAsia="仿宋_GB2312"/>
          <w:b w:val="0"/>
          <w:bCs/>
          <w:color w:val="000000" w:themeColor="text1"/>
          <w:spacing w:val="0"/>
          <w:sz w:val="32"/>
          <w:szCs w:val="32"/>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14:textFill>
            <w14:solidFill>
              <w14:schemeClr w14:val="tx1"/>
            </w14:solidFill>
          </w14:textFill>
        </w:rPr>
        <w:t>%</w:t>
      </w:r>
      <w:r>
        <w:rPr>
          <w:rStyle w:val="17"/>
          <w:rFonts w:hint="eastAsia" w:ascii="仿宋" w:hAnsi="仿宋" w:eastAsia="仿宋_GB2312"/>
          <w:b w:val="0"/>
          <w:bCs/>
          <w:color w:val="000000" w:themeColor="text1"/>
          <w:spacing w:val="0"/>
          <w:sz w:val="32"/>
          <w:szCs w:val="32"/>
          <w14:textFill>
            <w14:solidFill>
              <w14:schemeClr w14:val="tx1"/>
            </w14:solidFill>
          </w14:textFill>
        </w:rPr>
        <w:t>，决算数等于预算数。</w:t>
      </w:r>
    </w:p>
    <w:p>
      <w:pPr>
        <w:tabs>
          <w:tab w:val="right" w:pos="8306"/>
        </w:tabs>
        <w:spacing w:line="600" w:lineRule="exact"/>
        <w:ind w:firstLine="640"/>
        <w:outlineLvl w:val="1"/>
        <w:rPr>
          <w:rStyle w:val="29"/>
          <w:rFonts w:eastAsia="仿宋_GB2312"/>
          <w:color w:val="000000" w:themeColor="text1"/>
          <w:spacing w:val="0"/>
          <w:highlight w:val="none"/>
          <w14:textFill>
            <w14:solidFill>
              <w14:schemeClr w14:val="tx1"/>
            </w14:solidFill>
          </w14:textFill>
        </w:rPr>
      </w:pPr>
      <w:bookmarkStart w:id="34" w:name="_Toc15396608"/>
      <w:bookmarkStart w:id="35" w:name="_Toc15377214"/>
      <w:r>
        <w:rPr>
          <w:rFonts w:hint="eastAsia" w:ascii="黑体" w:eastAsia="黑体"/>
          <w:color w:val="000000" w:themeColor="text1"/>
          <w:spacing w:val="0"/>
          <w:sz w:val="32"/>
          <w:szCs w:val="32"/>
          <w:highlight w:val="none"/>
          <w14:textFill>
            <w14:solidFill>
              <w14:schemeClr w14:val="tx1"/>
            </w14:solidFill>
          </w14:textFill>
        </w:rPr>
        <w:t>六</w:t>
      </w:r>
      <w:r>
        <w:rPr>
          <w:rFonts w:hint="eastAsia" w:ascii="黑体" w:eastAsia="黑体"/>
          <w:b/>
          <w:color w:val="000000" w:themeColor="text1"/>
          <w:spacing w:val="0"/>
          <w:sz w:val="32"/>
          <w:szCs w:val="32"/>
          <w:highlight w:val="none"/>
          <w14:textFill>
            <w14:solidFill>
              <w14:schemeClr w14:val="tx1"/>
            </w14:solidFill>
          </w14:textFill>
        </w:rPr>
        <w:t>、</w:t>
      </w:r>
      <w:r>
        <w:rPr>
          <w:rFonts w:hint="eastAsia" w:ascii="黑体" w:hAnsi="黑体" w:eastAsia="黑体"/>
          <w:b/>
          <w:color w:val="000000" w:themeColor="text1"/>
          <w:spacing w:val="0"/>
          <w:sz w:val="32"/>
          <w:szCs w:val="32"/>
          <w:highlight w:val="none"/>
          <w14:textFill>
            <w14:solidFill>
              <w14:schemeClr w14:val="tx1"/>
            </w14:solidFill>
          </w14:textFill>
        </w:rPr>
        <w:t>一</w:t>
      </w:r>
      <w:r>
        <w:rPr>
          <w:rStyle w:val="29"/>
          <w:rFonts w:hint="eastAsia" w:ascii="黑体" w:hAnsi="黑体" w:eastAsia="黑体"/>
          <w:b w:val="0"/>
          <w:color w:val="000000" w:themeColor="text1"/>
          <w:spacing w:val="0"/>
          <w:highlight w:val="none"/>
          <w14:textFill>
            <w14:solidFill>
              <w14:schemeClr w14:val="tx1"/>
            </w14:solidFill>
          </w14:textFill>
        </w:rPr>
        <w:t>般公共预算财政拨款基本支出决算情况说明</w:t>
      </w:r>
      <w:bookmarkEnd w:id="34"/>
      <w:bookmarkEnd w:id="35"/>
      <w:r>
        <w:rPr>
          <w:rStyle w:val="29"/>
          <w:rFonts w:ascii="黑体" w:hAnsi="黑体" w:eastAsia="黑体"/>
          <w:b w:val="0"/>
          <w:color w:val="000000" w:themeColor="text1"/>
          <w:spacing w:val="0"/>
          <w:highlight w:val="none"/>
          <w14:textFill>
            <w14:solidFill>
              <w14:schemeClr w14:val="tx1"/>
            </w14:solidFill>
          </w14:textFill>
        </w:rPr>
        <w:tab/>
      </w:r>
    </w:p>
    <w:p>
      <w:pPr>
        <w:spacing w:line="600" w:lineRule="exact"/>
        <w:ind w:firstLine="645"/>
        <w:rPr>
          <w:rFonts w:ascii="仿宋" w:hAnsi="仿宋"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 w:hAnsi="仿宋" w:eastAsia="仿宋_GB2312"/>
          <w:color w:val="000000" w:themeColor="text1"/>
          <w:spacing w:val="0"/>
          <w:sz w:val="32"/>
          <w:szCs w:val="32"/>
          <w:highlight w:val="none"/>
          <w14:textFill>
            <w14:solidFill>
              <w14:schemeClr w14:val="tx1"/>
            </w14:solidFill>
          </w14:textFill>
        </w:rPr>
        <w:t>年一般公共预算财政拨款基本支出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151</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26</w:t>
      </w:r>
      <w:r>
        <w:rPr>
          <w:rFonts w:hint="eastAsia" w:ascii="仿宋" w:hAnsi="仿宋" w:eastAsia="仿宋_GB2312"/>
          <w:color w:val="000000" w:themeColor="text1"/>
          <w:spacing w:val="0"/>
          <w:sz w:val="32"/>
          <w:szCs w:val="32"/>
          <w:highlight w:val="none"/>
          <w14:textFill>
            <w14:solidFill>
              <w14:schemeClr w14:val="tx1"/>
            </w14:solidFill>
          </w14:textFill>
        </w:rPr>
        <w:t>万元，其中：</w:t>
      </w:r>
    </w:p>
    <w:p>
      <w:pPr>
        <w:spacing w:line="600" w:lineRule="exact"/>
        <w:ind w:firstLine="645"/>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人员经费</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126</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80</w:t>
      </w:r>
      <w:r>
        <w:rPr>
          <w:rFonts w:hint="eastAsia" w:ascii="仿宋" w:hAnsi="仿宋" w:eastAsia="仿宋_GB2312"/>
          <w:color w:val="000000" w:themeColor="text1"/>
          <w:spacing w:val="0"/>
          <w:sz w:val="32"/>
          <w:szCs w:val="32"/>
          <w:highlight w:val="none"/>
          <w14:textFill>
            <w14:solidFill>
              <w14:schemeClr w14:val="tx1"/>
            </w14:solidFill>
          </w14:textFill>
        </w:rPr>
        <w:t>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pPr>
        <w:spacing w:line="600" w:lineRule="exact"/>
        <w:ind w:firstLine="645"/>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公用经费</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46</w:t>
      </w:r>
      <w:r>
        <w:rPr>
          <w:rFonts w:hint="eastAsia" w:ascii="仿宋" w:hAnsi="仿宋" w:eastAsia="仿宋_GB2312"/>
          <w:color w:val="000000" w:themeColor="text1"/>
          <w:spacing w:val="0"/>
          <w:sz w:val="32"/>
          <w:szCs w:val="32"/>
          <w:highlight w:val="none"/>
          <w14:textFill>
            <w14:solidFill>
              <w14:schemeClr w14:val="tx1"/>
            </w14:solidFill>
          </w14:textFill>
        </w:rPr>
        <w:t>万元，主要包括：办公费、印刷费、咨询费、邮电费、差旅费、维修（护）费、租赁费、会议费、公务接待费、劳务费、工会经费、其他交通费、其他商品和服务支出等。</w:t>
      </w:r>
    </w:p>
    <w:p>
      <w:pPr>
        <w:spacing w:line="600" w:lineRule="exact"/>
        <w:ind w:firstLine="640"/>
        <w:outlineLvl w:val="1"/>
        <w:rPr>
          <w:rStyle w:val="29"/>
          <w:rFonts w:ascii="黑体" w:hAnsi="黑体" w:eastAsia="黑体"/>
          <w:b w:val="0"/>
          <w:color w:val="000000" w:themeColor="text1"/>
          <w:spacing w:val="0"/>
          <w:highlight w:val="none"/>
          <w14:textFill>
            <w14:solidFill>
              <w14:schemeClr w14:val="tx1"/>
            </w14:solidFill>
          </w14:textFill>
        </w:rPr>
      </w:pPr>
      <w:bookmarkStart w:id="36" w:name="_Toc15377215"/>
      <w:bookmarkStart w:id="37" w:name="_Toc15396609"/>
      <w:r>
        <w:rPr>
          <w:rFonts w:hint="eastAsia" w:ascii="黑体" w:eastAsia="黑体"/>
          <w:color w:val="000000" w:themeColor="text1"/>
          <w:spacing w:val="0"/>
          <w:sz w:val="32"/>
          <w:szCs w:val="32"/>
          <w:highlight w:val="none"/>
          <w14:textFill>
            <w14:solidFill>
              <w14:schemeClr w14:val="tx1"/>
            </w14:solidFill>
          </w14:textFill>
        </w:rPr>
        <w:t>七、</w:t>
      </w:r>
      <w:r>
        <w:rPr>
          <w:rStyle w:val="29"/>
          <w:rFonts w:hint="eastAsia" w:ascii="黑体" w:hAnsi="黑体" w:eastAsia="黑体"/>
          <w:b w:val="0"/>
          <w:color w:val="000000" w:themeColor="text1"/>
          <w:spacing w:val="0"/>
          <w:highlight w:val="none"/>
          <w14:textFill>
            <w14:solidFill>
              <w14:schemeClr w14:val="tx1"/>
            </w14:solidFill>
          </w14:textFill>
        </w:rPr>
        <w:t>财政拨款</w:t>
      </w:r>
      <w:r>
        <w:rPr>
          <w:rStyle w:val="29"/>
          <w:rFonts w:hint="eastAsia" w:ascii="黑体" w:hAnsi="黑体" w:eastAsia="黑体"/>
          <w:color w:val="000000" w:themeColor="text1"/>
          <w:spacing w:val="0"/>
          <w:highlight w:val="none"/>
          <w14:textFill>
            <w14:solidFill>
              <w14:schemeClr w14:val="tx1"/>
            </w14:solidFill>
          </w14:textFill>
        </w:rPr>
        <w:t>“</w:t>
      </w:r>
      <w:r>
        <w:rPr>
          <w:rStyle w:val="29"/>
          <w:rFonts w:hint="eastAsia" w:ascii="黑体" w:hAnsi="黑体" w:eastAsia="黑体"/>
          <w:b w:val="0"/>
          <w:color w:val="000000" w:themeColor="text1"/>
          <w:spacing w:val="0"/>
          <w:highlight w:val="none"/>
          <w14:textFill>
            <w14:solidFill>
              <w14:schemeClr w14:val="tx1"/>
            </w14:solidFill>
          </w14:textFill>
        </w:rPr>
        <w:t>三公”经费支出决算情况说明</w:t>
      </w:r>
      <w:bookmarkEnd w:id="36"/>
      <w:bookmarkEnd w:id="37"/>
    </w:p>
    <w:p>
      <w:pPr>
        <w:spacing w:line="600" w:lineRule="exact"/>
        <w:ind w:firstLine="64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38" w:name="_Toc15377216"/>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（一）“三公”经费财政拨款支出决算总体情况说明</w:t>
      </w:r>
      <w:bookmarkEnd w:id="38"/>
    </w:p>
    <w:p>
      <w:pPr>
        <w:spacing w:line="600" w:lineRule="exact"/>
        <w:ind w:firstLine="640"/>
        <w:rPr>
          <w:rFonts w:ascii="仿宋" w:hAnsi="仿宋" w:eastAsia="仿宋_GB2312"/>
          <w:color w:val="000000" w:themeColor="text1"/>
          <w:spacing w:val="0"/>
          <w:sz w:val="32"/>
          <w:szCs w:val="32"/>
          <w:highlight w:val="none"/>
          <w14:textFill>
            <w14:solidFill>
              <w14:schemeClr w14:val="tx1"/>
            </w14:solidFill>
          </w14:textFill>
        </w:rPr>
      </w:pPr>
      <w:r>
        <w:rPr>
          <w:rFonts w:hint="eastAsia" w:ascii="Times New Roman" w:hAnsi="Times New Roman" w:eastAsia="仿宋_GB2312"/>
          <w:color w:val="000000" w:themeColor="text1"/>
          <w:spacing w:val="0"/>
          <w:sz w:val="32"/>
          <w:szCs w:val="32"/>
          <w:highlight w:val="none"/>
          <w:lang w:eastAsia="zh-CN"/>
          <w14:textFill>
            <w14:solidFill>
              <w14:schemeClr w14:val="tx1"/>
            </w14:solidFill>
          </w14:textFill>
        </w:rPr>
        <w:t>2022</w:t>
      </w:r>
      <w:r>
        <w:rPr>
          <w:rFonts w:hint="eastAsia" w:ascii="仿宋" w:hAnsi="仿宋" w:eastAsia="仿宋_GB2312"/>
          <w:color w:val="000000" w:themeColor="text1"/>
          <w:spacing w:val="0"/>
          <w:sz w:val="32"/>
          <w:szCs w:val="32"/>
          <w:highlight w:val="none"/>
          <w14:textFill>
            <w14:solidFill>
              <w14:schemeClr w14:val="tx1"/>
            </w14:solidFill>
          </w14:textFill>
        </w:rPr>
        <w:t>年“三公”经费财政拨款支出决算为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 w:hAnsi="仿宋" w:eastAsia="仿宋_GB2312"/>
          <w:color w:val="000000" w:themeColor="text1"/>
          <w:spacing w:val="0"/>
          <w:sz w:val="32"/>
          <w:szCs w:val="32"/>
          <w:highlight w:val="none"/>
          <w14:textFill>
            <w14:solidFill>
              <w14:schemeClr w14:val="tx1"/>
            </w14:solidFill>
          </w14:textFill>
        </w:rPr>
        <w:t>万元，完成预算</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100</w:t>
      </w:r>
      <w:r>
        <w:rPr>
          <w:rFonts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w:t>
      </w:r>
      <w:r>
        <w:rPr>
          <w:rFonts w:hint="eastAsia" w:ascii="仿宋" w:hAnsi="仿宋" w:eastAsia="仿宋_GB2312"/>
          <w:color w:val="000000" w:themeColor="text1"/>
          <w:spacing w:val="0"/>
          <w:sz w:val="32"/>
          <w:szCs w:val="32"/>
          <w:highlight w:val="none"/>
          <w:lang w:eastAsia="zh-CN"/>
          <w14:textFill>
            <w14:solidFill>
              <w14:schemeClr w14:val="tx1"/>
            </w14:solidFill>
          </w14:textFill>
        </w:rPr>
        <w:t>较上年</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减少</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万元，下降</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8</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仿宋" w:hAnsi="仿宋" w:eastAsia="仿宋_GB2312"/>
          <w:color w:val="000000" w:themeColor="text1"/>
          <w:spacing w:val="0"/>
          <w:sz w:val="32"/>
          <w:szCs w:val="32"/>
          <w:highlight w:val="none"/>
          <w14:textFill>
            <w14:solidFill>
              <w14:schemeClr w14:val="tx1"/>
            </w14:solidFill>
          </w14:textFill>
        </w:rPr>
        <w:t>决算数与预算数持平。</w:t>
      </w:r>
    </w:p>
    <w:p>
      <w:pPr>
        <w:spacing w:line="600" w:lineRule="exact"/>
        <w:ind w:firstLine="640"/>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39" w:name="_Toc15377217"/>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（二）“三公”经费财政拨款支出决算具体情况说明</w:t>
      </w:r>
      <w:bookmarkEnd w:id="39"/>
    </w:p>
    <w:p>
      <w:pPr>
        <w:spacing w:line="600" w:lineRule="exact"/>
        <w:ind w:firstLine="640"/>
        <w:rPr>
          <w:rFonts w:hint="eastAsia" w:ascii="仿宋" w:hAnsi="仿宋"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
          <w:color w:val="000000" w:themeColor="text1"/>
          <w:spacing w:val="0"/>
          <w:sz w:val="32"/>
          <w:szCs w:val="32"/>
          <w:highlight w:val="none"/>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align>center</wp:align>
            </wp:positionH>
            <wp:positionV relativeFrom="paragraph">
              <wp:posOffset>1504950</wp:posOffset>
            </wp:positionV>
            <wp:extent cx="5005705" cy="3053715"/>
            <wp:effectExtent l="0" t="0" r="4445" b="13335"/>
            <wp:wrapNone/>
            <wp:docPr id="9" name="图片 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7"/>
                    <pic:cNvPicPr>
                      <a:picLocks noChangeAspect="1"/>
                    </pic:cNvPicPr>
                  </pic:nvPicPr>
                  <pic:blipFill>
                    <a:blip r:embed="rId18"/>
                    <a:stretch>
                      <a:fillRect/>
                    </a:stretch>
                  </pic:blipFill>
                  <pic:spPr>
                    <a:xfrm>
                      <a:off x="0" y="0"/>
                      <a:ext cx="5005705" cy="3053715"/>
                    </a:xfrm>
                    <a:prstGeom prst="rect">
                      <a:avLst/>
                    </a:prstGeom>
                  </pic:spPr>
                </pic:pic>
              </a:graphicData>
            </a:graphic>
          </wp:anchor>
        </w:drawing>
      </w:r>
      <w:r>
        <w:rPr>
          <w:rFonts w:hint="eastAsia" w:ascii="Times New Roman" w:hAnsi="Times New Roman" w:eastAsia="仿宋_GB2312"/>
          <w:color w:val="000000" w:themeColor="text1"/>
          <w:spacing w:val="0"/>
          <w:sz w:val="32"/>
          <w:szCs w:val="32"/>
          <w:highlight w:val="none"/>
          <w:lang w:eastAsia="zh-CN"/>
          <w14:textFill>
            <w14:solidFill>
              <w14:schemeClr w14:val="tx1"/>
            </w14:solidFill>
          </w14:textFill>
        </w:rPr>
        <w:t>2022</w:t>
      </w:r>
      <w:r>
        <w:rPr>
          <w:rFonts w:hint="eastAsia" w:ascii="仿宋" w:hAnsi="仿宋" w:eastAsia="仿宋_GB2312"/>
          <w:color w:val="000000" w:themeColor="text1"/>
          <w:spacing w:val="0"/>
          <w:sz w:val="32"/>
          <w:szCs w:val="32"/>
          <w:highlight w:val="none"/>
          <w14:textFill>
            <w14:solidFill>
              <w14:schemeClr w14:val="tx1"/>
            </w14:solidFill>
          </w14:textFill>
        </w:rPr>
        <w:t>年“三公”经费财政拨款支出决算中，因公出国（境）费支出决算</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 w:hAnsi="仿宋" w:eastAsia="仿宋_GB2312"/>
          <w:color w:val="000000" w:themeColor="text1"/>
          <w:spacing w:val="0"/>
          <w:sz w:val="32"/>
          <w:szCs w:val="32"/>
          <w:highlight w:val="none"/>
          <w14:textFill>
            <w14:solidFill>
              <w14:schemeClr w14:val="tx1"/>
            </w14:solidFill>
          </w14:textFill>
        </w:rPr>
        <w:t>万元；公务用车购置及运行维护费支出决算</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 w:hAnsi="仿宋" w:eastAsia="仿宋_GB2312"/>
          <w:color w:val="000000" w:themeColor="text1"/>
          <w:spacing w:val="0"/>
          <w:sz w:val="32"/>
          <w:szCs w:val="32"/>
          <w:highlight w:val="none"/>
          <w14:textFill>
            <w14:solidFill>
              <w14:schemeClr w14:val="tx1"/>
            </w14:solidFill>
          </w14:textFill>
        </w:rPr>
        <w:t>万元；公务接待费支出决算</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 w:hAnsi="仿宋" w:eastAsia="仿宋_GB2312"/>
          <w:color w:val="000000" w:themeColor="text1"/>
          <w:spacing w:val="0"/>
          <w:sz w:val="32"/>
          <w:szCs w:val="32"/>
          <w:highlight w:val="none"/>
          <w14:textFill>
            <w14:solidFill>
              <w14:schemeClr w14:val="tx1"/>
            </w14:solidFill>
          </w14:textFill>
        </w:rPr>
        <w:t>万元，占</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100</w:t>
      </w:r>
      <w:r>
        <w:rPr>
          <w:rFonts w:hint="eastAsia" w:ascii="仿宋" w:hAnsi="仿宋" w:eastAsia="仿宋_GB2312"/>
          <w:color w:val="000000" w:themeColor="text1"/>
          <w:spacing w:val="0"/>
          <w:sz w:val="32"/>
          <w:szCs w:val="32"/>
          <w:highlight w:val="none"/>
          <w14:textFill>
            <w14:solidFill>
              <w14:schemeClr w14:val="tx1"/>
            </w14:solidFill>
          </w14:textFill>
        </w:rPr>
        <w:t>%。具体情况如下：</w:t>
      </w: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2"/>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2"/>
        <w:rPr>
          <w:rFonts w:hint="eastAsia" w:eastAsia="仿宋_GB2312"/>
          <w:color w:val="000000" w:themeColor="text1"/>
          <w:spacing w:val="0"/>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2"/>
        <w:rPr>
          <w:rFonts w:hint="eastAsia"/>
          <w:lang w:eastAsia="zh-CN"/>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beforeLines="0" w:line="160" w:lineRule="exact"/>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p>
    <w:p>
      <w:pPr>
        <w:spacing w:line="600" w:lineRule="exact"/>
        <w:jc w:val="center"/>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color w:val="000000" w:themeColor="text1"/>
          <w:spacing w:val="0"/>
          <w:sz w:val="32"/>
          <w:szCs w:val="32"/>
          <w:highlight w:val="none"/>
          <w14:textFill>
            <w14:solidFill>
              <w14:schemeClr w14:val="tx1"/>
            </w14:solidFill>
          </w14:textFill>
        </w:rPr>
        <w:t>（图</w:t>
      </w:r>
      <w:r>
        <w:rPr>
          <w:rFonts w:hint="eastAsia" w:ascii="Times New Roman" w:hAnsi="Times New Roman" w:eastAsia="仿宋_GB2312"/>
          <w:color w:val="000000" w:themeColor="text1"/>
          <w:spacing w:val="0"/>
          <w:sz w:val="32"/>
          <w:szCs w:val="32"/>
          <w:highlight w:val="none"/>
          <w14:textFill>
            <w14:solidFill>
              <w14:schemeClr w14:val="tx1"/>
            </w14:solidFill>
          </w14:textFill>
        </w:rPr>
        <w:t>7</w:t>
      </w:r>
      <w:r>
        <w:rPr>
          <w:rFonts w:hint="eastAsia" w:ascii="仿宋" w:hAnsi="仿宋" w:eastAsia="仿宋_GB2312"/>
          <w:color w:val="000000" w:themeColor="text1"/>
          <w:spacing w:val="0"/>
          <w:sz w:val="32"/>
          <w:szCs w:val="32"/>
          <w:highlight w:val="none"/>
          <w14:textFill>
            <w14:solidFill>
              <w14:schemeClr w14:val="tx1"/>
            </w14:solidFill>
          </w14:textFill>
        </w:rPr>
        <w:t>：“三公”经费财政拨款支出结构）（饼状图）</w:t>
      </w:r>
    </w:p>
    <w:p>
      <w:pPr>
        <w:keepNext w:val="0"/>
        <w:keepLines w:val="0"/>
        <w:pageBreakBefore w:val="0"/>
        <w:kinsoku/>
        <w:wordWrap/>
        <w:overflowPunct/>
        <w:topLinePunct w:val="0"/>
        <w:bidi w:val="0"/>
        <w:snapToGrid/>
        <w:spacing w:line="600" w:lineRule="exact"/>
        <w:ind w:firstLine="643" w:firstLineChars="200"/>
        <w:textAlignment w:val="auto"/>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pPr>
      <w:bookmarkStart w:id="40" w:name="_Toc15396610"/>
      <w:bookmarkStart w:id="41" w:name="_Toc15377218"/>
      <w:r>
        <w:rPr>
          <w:rFonts w:hint="eastAsia" w:ascii="Times New Roman" w:hAnsi="Times New Roman" w:eastAsia="仿宋_GB2312"/>
          <w:b/>
          <w:color w:val="000000" w:themeColor="text1"/>
          <w:spacing w:val="0"/>
          <w:sz w:val="32"/>
          <w:szCs w:val="32"/>
          <w:highlight w:val="none"/>
          <w:lang w:val="en-US" w:eastAsia="zh-CN"/>
          <w14:textFill>
            <w14:solidFill>
              <w14:schemeClr w14:val="tx1"/>
            </w14:solidFill>
          </w14:textFill>
        </w:rPr>
        <w:t>1</w:t>
      </w:r>
      <w:r>
        <w:rPr>
          <w:rFonts w:hint="eastAsia" w:ascii="仿宋_GB2312" w:eastAsia="仿宋_GB2312"/>
          <w:b/>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b/>
          <w:color w:val="000000" w:themeColor="text1"/>
          <w:spacing w:val="0"/>
          <w:sz w:val="32"/>
          <w:szCs w:val="32"/>
          <w:highlight w:val="none"/>
          <w14:textFill>
            <w14:solidFill>
              <w14:schemeClr w14:val="tx1"/>
            </w14:solidFill>
          </w14:textFill>
        </w:rPr>
        <w:t>因公出国（境）经费支出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年初未安排预算，因公出国</w:t>
      </w:r>
      <w:r>
        <w:rPr>
          <w:rFonts w:hint="eastAsia" w:ascii="仿宋_GB2312" w:eastAsia="仿宋_GB2312"/>
          <w:b w:val="0"/>
          <w:bCs/>
          <w:color w:val="000000" w:themeColor="text1"/>
          <w:spacing w:val="0"/>
          <w:sz w:val="32"/>
          <w:szCs w:val="32"/>
          <w:highlight w:val="none"/>
          <w14:textFill>
            <w14:solidFill>
              <w14:schemeClr w14:val="tx1"/>
            </w14:solidFill>
          </w14:textFill>
        </w:rPr>
        <w:t>（境）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支出决算较</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2021</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年无变化。</w:t>
      </w:r>
    </w:p>
    <w:p>
      <w:pPr>
        <w:keepNext w:val="0"/>
        <w:keepLines w:val="0"/>
        <w:pageBreakBefore w:val="0"/>
        <w:kinsoku/>
        <w:wordWrap/>
        <w:overflowPunct/>
        <w:topLinePunct w:val="0"/>
        <w:bidi w:val="0"/>
        <w:snapToGrid/>
        <w:spacing w:line="600" w:lineRule="exact"/>
        <w:ind w:firstLine="643" w:firstLineChars="200"/>
        <w:textAlignment w:val="auto"/>
        <w:rPr>
          <w:rFonts w:ascii="仿宋_GB2312" w:eastAsia="仿宋_GB2312"/>
          <w:b/>
          <w:color w:val="000000" w:themeColor="text1"/>
          <w:spacing w:val="0"/>
          <w:sz w:val="32"/>
          <w:szCs w:val="32"/>
          <w:highlight w:val="none"/>
          <w14:textFill>
            <w14:solidFill>
              <w14:schemeClr w14:val="tx1"/>
            </w14:solidFill>
          </w14:textFill>
        </w:rPr>
      </w:pPr>
      <w:r>
        <w:rPr>
          <w:rFonts w:ascii="Times New Roman" w:hAnsi="Times New Roman" w:eastAsia="仿宋_GB2312"/>
          <w:b/>
          <w:color w:val="000000" w:themeColor="text1"/>
          <w:spacing w:val="0"/>
          <w:sz w:val="32"/>
          <w:szCs w:val="32"/>
          <w:highlight w:val="none"/>
          <w14:textFill>
            <w14:solidFill>
              <w14:schemeClr w14:val="tx1"/>
            </w14:solidFill>
          </w14:textFill>
        </w:rPr>
        <w:t>2</w:t>
      </w:r>
      <w:r>
        <w:rPr>
          <w:rFonts w:ascii="仿宋_GB2312" w:eastAsia="仿宋_GB2312"/>
          <w:b/>
          <w:color w:val="000000" w:themeColor="text1"/>
          <w:spacing w:val="0"/>
          <w:sz w:val="32"/>
          <w:szCs w:val="32"/>
          <w:highlight w:val="none"/>
          <w14:textFill>
            <w14:solidFill>
              <w14:schemeClr w14:val="tx1"/>
            </w14:solidFill>
          </w14:textFill>
        </w:rPr>
        <w:t>.</w:t>
      </w:r>
      <w:r>
        <w:rPr>
          <w:rFonts w:hint="eastAsia" w:ascii="仿宋_GB2312" w:eastAsia="仿宋_GB2312"/>
          <w:b/>
          <w:color w:val="000000" w:themeColor="text1"/>
          <w:spacing w:val="0"/>
          <w:sz w:val="32"/>
          <w:szCs w:val="32"/>
          <w:highlight w:val="none"/>
          <w14:textFill>
            <w14:solidFill>
              <w14:schemeClr w14:val="tx1"/>
            </w14:solidFill>
          </w14:textFill>
        </w:rPr>
        <w:t>公务用车购置及运行维护费支出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年初未安排预算，因公出国</w:t>
      </w:r>
      <w:r>
        <w:rPr>
          <w:rFonts w:hint="eastAsia" w:ascii="仿宋_GB2312" w:eastAsia="仿宋_GB2312"/>
          <w:b w:val="0"/>
          <w:bCs/>
          <w:color w:val="000000" w:themeColor="text1"/>
          <w:spacing w:val="0"/>
          <w:sz w:val="32"/>
          <w:szCs w:val="32"/>
          <w:highlight w:val="none"/>
          <w14:textFill>
            <w14:solidFill>
              <w14:schemeClr w14:val="tx1"/>
            </w14:solidFill>
          </w14:textFill>
        </w:rPr>
        <w:t>（境）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支出决算较</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2021</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年无变化</w:t>
      </w:r>
      <w:r>
        <w:rPr>
          <w:rFonts w:hint="eastAsia" w:ascii="仿宋" w:hAnsi="仿宋" w:eastAsia="仿宋_GB2312"/>
          <w:b/>
          <w:color w:val="000000" w:themeColor="text1"/>
          <w:spacing w:val="0"/>
          <w:sz w:val="32"/>
          <w:szCs w:val="32"/>
          <w:highlight w:val="none"/>
          <w:lang w:val="en-US" w:eastAsia="zh-CN"/>
          <w14:textFill>
            <w14:solidFill>
              <w14:schemeClr w14:val="tx1"/>
            </w14:solidFill>
          </w14:textFill>
        </w:rPr>
        <w:t>。</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在公务用车制度改革后，不允许单位购买公务用车。因公出差向机关事务局申请公务用车，公务用车有保障。</w:t>
      </w:r>
    </w:p>
    <w:p>
      <w:pPr>
        <w:keepNext w:val="0"/>
        <w:keepLines w:val="0"/>
        <w:pageBreakBefore w:val="0"/>
        <w:kinsoku/>
        <w:wordWrap/>
        <w:overflowPunct/>
        <w:topLinePunct w:val="0"/>
        <w:bidi w:val="0"/>
        <w:snapToGrid/>
        <w:spacing w:line="600" w:lineRule="exact"/>
        <w:ind w:firstLine="64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b/>
          <w:color w:val="000000" w:themeColor="text1"/>
          <w:spacing w:val="0"/>
          <w:sz w:val="32"/>
          <w:szCs w:val="32"/>
          <w:highlight w:val="none"/>
          <w14:textFill>
            <w14:solidFill>
              <w14:schemeClr w14:val="tx1"/>
            </w14:solidFill>
          </w14:textFill>
        </w:rPr>
        <w:t>3</w:t>
      </w:r>
      <w:r>
        <w:rPr>
          <w:rFonts w:ascii="仿宋_GB2312" w:eastAsia="仿宋_GB2312"/>
          <w:b/>
          <w:color w:val="000000" w:themeColor="text1"/>
          <w:spacing w:val="0"/>
          <w:sz w:val="32"/>
          <w:szCs w:val="32"/>
          <w:highlight w:val="none"/>
          <w14:textFill>
            <w14:solidFill>
              <w14:schemeClr w14:val="tx1"/>
            </w14:solidFill>
          </w14:textFill>
        </w:rPr>
        <w:t>.</w:t>
      </w:r>
      <w:r>
        <w:rPr>
          <w:rFonts w:hint="eastAsia" w:ascii="仿宋_GB2312" w:eastAsia="仿宋_GB2312"/>
          <w:b/>
          <w:color w:val="000000" w:themeColor="text1"/>
          <w:spacing w:val="0"/>
          <w:sz w:val="32"/>
          <w:szCs w:val="32"/>
          <w:highlight w:val="none"/>
          <w14:textFill>
            <w14:solidFill>
              <w14:schemeClr w14:val="tx1"/>
            </w14:solidFill>
          </w14:textFill>
        </w:rPr>
        <w:t>公务接待费支出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_GB2312" w:eastAsia="仿宋_GB2312"/>
          <w:color w:val="000000" w:themeColor="text1"/>
          <w:spacing w:val="0"/>
          <w:sz w:val="32"/>
          <w:szCs w:val="32"/>
          <w:highlight w:val="none"/>
          <w14:textFill>
            <w14:solidFill>
              <w14:schemeClr w14:val="tx1"/>
            </w14:solidFill>
          </w14:textFill>
        </w:rPr>
        <w:t>万元，</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完成预算</w:t>
      </w:r>
      <w:r>
        <w:rPr>
          <w:rStyle w:val="17"/>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100</w:t>
      </w:r>
      <w:r>
        <w:rPr>
          <w:rStyle w:val="17"/>
          <w:rFonts w:ascii="仿宋" w:hAnsi="仿宋" w:eastAsia="仿宋_GB2312"/>
          <w:b w:val="0"/>
          <w:bCs/>
          <w:color w:val="000000" w:themeColor="text1"/>
          <w:spacing w:val="0"/>
          <w:sz w:val="32"/>
          <w:szCs w:val="32"/>
          <w:highlight w:val="none"/>
          <w14:textFill>
            <w14:solidFill>
              <w14:schemeClr w14:val="tx1"/>
            </w14:solidFill>
          </w14:textFill>
        </w:rPr>
        <w:t>%</w:t>
      </w:r>
      <w:r>
        <w:rPr>
          <w:rStyle w:val="17"/>
          <w:rFonts w:hint="eastAsia" w:ascii="仿宋" w:hAnsi="仿宋" w:eastAsia="仿宋_GB2312"/>
          <w:b w:val="0"/>
          <w:bCs/>
          <w:color w:val="000000" w:themeColor="text1"/>
          <w:spacing w:val="0"/>
          <w:sz w:val="32"/>
          <w:szCs w:val="32"/>
          <w:highlight w:val="none"/>
          <w14:textFill>
            <w14:solidFill>
              <w14:schemeClr w14:val="tx1"/>
            </w14:solidFill>
          </w14:textFill>
        </w:rPr>
        <w:t>。</w:t>
      </w:r>
      <w:r>
        <w:rPr>
          <w:rFonts w:hint="eastAsia" w:ascii="仿宋_GB2312" w:eastAsia="仿宋_GB2312"/>
          <w:color w:val="000000" w:themeColor="text1"/>
          <w:spacing w:val="0"/>
          <w:sz w:val="32"/>
          <w:szCs w:val="32"/>
          <w:highlight w:val="none"/>
          <w14:textFill>
            <w14:solidFill>
              <w14:schemeClr w14:val="tx1"/>
            </w14:solidFill>
          </w14:textFill>
        </w:rPr>
        <w:t>公务接待费支出决算比</w:t>
      </w:r>
      <w:r>
        <w:rPr>
          <w:rFonts w:hint="eastAsia" w:ascii="Times New Roman" w:hAnsi="Times New Roman" w:eastAsia="仿宋_GB2312"/>
          <w:color w:val="000000" w:themeColor="text1"/>
          <w:spacing w:val="0"/>
          <w:sz w:val="32"/>
          <w:szCs w:val="32"/>
          <w:highlight w:val="none"/>
          <w:lang w:eastAsia="zh-CN"/>
          <w14:textFill>
            <w14:solidFill>
              <w14:schemeClr w14:val="tx1"/>
            </w14:solidFill>
          </w14:textFill>
        </w:rPr>
        <w:t>2021</w:t>
      </w:r>
      <w:r>
        <w:rPr>
          <w:rFonts w:hint="eastAsia" w:ascii="仿宋_GB2312" w:eastAsia="仿宋_GB2312"/>
          <w:color w:val="000000" w:themeColor="text1"/>
          <w:spacing w:val="0"/>
          <w:sz w:val="32"/>
          <w:szCs w:val="32"/>
          <w:highlight w:val="none"/>
          <w14:textFill>
            <w14:solidFill>
              <w14:schemeClr w14:val="tx1"/>
            </w14:solidFill>
          </w14:textFill>
        </w:rPr>
        <w:t>年</w:t>
      </w:r>
      <w:r>
        <w:rPr>
          <w:rFonts w:hint="eastAsia" w:ascii="仿宋_GB2312" w:eastAsia="仿宋_GB2312"/>
          <w:color w:val="000000" w:themeColor="text1"/>
          <w:spacing w:val="0"/>
          <w:sz w:val="32"/>
          <w:szCs w:val="32"/>
          <w:highlight w:val="none"/>
          <w:lang w:eastAsia="zh-CN"/>
          <w14:textFill>
            <w14:solidFill>
              <w14:schemeClr w14:val="tx1"/>
            </w14:solidFill>
          </w14:textFill>
        </w:rPr>
        <w:t>略有下降</w:t>
      </w:r>
      <w:r>
        <w:rPr>
          <w:rFonts w:hint="eastAsia" w:ascii="仿宋_GB2312" w:eastAsia="仿宋_GB2312"/>
          <w:color w:val="000000" w:themeColor="text1"/>
          <w:spacing w:val="0"/>
          <w:sz w:val="32"/>
          <w:szCs w:val="32"/>
          <w:highlight w:val="none"/>
          <w14:textFill>
            <w14:solidFill>
              <w14:schemeClr w14:val="tx1"/>
            </w14:solidFill>
          </w14:textFill>
        </w:rPr>
        <w:t>。主要原因是</w:t>
      </w:r>
      <w:r>
        <w:rPr>
          <w:rFonts w:hint="eastAsia" w:ascii="仿宋_GB2312" w:eastAsia="仿宋_GB2312"/>
          <w:color w:val="000000" w:themeColor="text1"/>
          <w:spacing w:val="0"/>
          <w:sz w:val="32"/>
          <w:szCs w:val="32"/>
          <w:highlight w:val="none"/>
          <w:lang w:eastAsia="zh-CN"/>
          <w14:textFill>
            <w14:solidFill>
              <w14:schemeClr w14:val="tx1"/>
            </w14:solidFill>
          </w14:textFill>
        </w:rPr>
        <w:t>严格控制公务接待</w:t>
      </w:r>
      <w:r>
        <w:rPr>
          <w:rFonts w:hint="eastAsia" w:ascii="仿宋_GB2312" w:eastAsia="仿宋_GB2312"/>
          <w:color w:val="000000" w:themeColor="text1"/>
          <w:spacing w:val="0"/>
          <w:sz w:val="32"/>
          <w:szCs w:val="32"/>
          <w:highlight w:val="none"/>
          <w14:textFill>
            <w14:solidFill>
              <w14:schemeClr w14:val="tx1"/>
            </w14:solidFill>
          </w14:textFill>
        </w:rPr>
        <w:t>。其中：</w:t>
      </w:r>
    </w:p>
    <w:p>
      <w:pPr>
        <w:keepNext w:val="0"/>
        <w:keepLines w:val="0"/>
        <w:pageBreakBefore w:val="0"/>
        <w:kinsoku/>
        <w:wordWrap/>
        <w:overflowPunct/>
        <w:topLinePunct w:val="0"/>
        <w:bidi w:val="0"/>
        <w:snapToGrid/>
        <w:spacing w:line="600" w:lineRule="exact"/>
        <w:ind w:firstLine="640"/>
        <w:textAlignment w:val="auto"/>
        <w:rPr>
          <w:rFonts w:hint="eastAsia" w:ascii="仿宋_GB2312"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b/>
          <w:color w:val="000000" w:themeColor="text1"/>
          <w:spacing w:val="0"/>
          <w:sz w:val="32"/>
          <w:szCs w:val="32"/>
          <w:highlight w:val="none"/>
          <w14:textFill>
            <w14:solidFill>
              <w14:schemeClr w14:val="tx1"/>
            </w14:solidFill>
          </w14:textFill>
        </w:rPr>
        <w:t>国内公务接待支出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 w:hAnsi="仿宋"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_GB2312" w:eastAsia="仿宋_GB2312"/>
          <w:color w:val="000000" w:themeColor="text1"/>
          <w:spacing w:val="0"/>
          <w:sz w:val="32"/>
          <w:szCs w:val="32"/>
          <w:highlight w:val="none"/>
          <w14:textFill>
            <w14:solidFill>
              <w14:schemeClr w14:val="tx1"/>
            </w14:solidFill>
          </w14:textFill>
        </w:rPr>
        <w:t>万元，主要用于开展业务活动开支的交通费、住宿费、用餐费等。国内公务接待</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58</w:t>
      </w:r>
      <w:r>
        <w:rPr>
          <w:rFonts w:hint="eastAsia" w:ascii="仿宋_GB2312" w:eastAsia="仿宋_GB2312"/>
          <w:color w:val="000000" w:themeColor="text1"/>
          <w:spacing w:val="0"/>
          <w:sz w:val="32"/>
          <w:szCs w:val="32"/>
          <w:highlight w:val="none"/>
          <w14:textFill>
            <w14:solidFill>
              <w14:schemeClr w14:val="tx1"/>
            </w14:solidFill>
          </w14:textFill>
        </w:rPr>
        <w:t>批次，</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600</w:t>
      </w:r>
      <w:r>
        <w:rPr>
          <w:rFonts w:hint="eastAsia" w:ascii="仿宋_GB2312" w:eastAsia="仿宋_GB2312"/>
          <w:color w:val="000000" w:themeColor="text1"/>
          <w:spacing w:val="0"/>
          <w:sz w:val="32"/>
          <w:szCs w:val="32"/>
          <w:highlight w:val="none"/>
          <w14:textFill>
            <w14:solidFill>
              <w14:schemeClr w14:val="tx1"/>
            </w14:solidFill>
          </w14:textFill>
        </w:rPr>
        <w:t>人次（不包括陪同人员），共计支出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4</w:t>
      </w:r>
      <w:r>
        <w:rPr>
          <w:rFonts w:hint="eastAsia" w:ascii="仿宋_GB2312" w:eastAsia="仿宋_GB2312"/>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6</w:t>
      </w:r>
      <w:r>
        <w:rPr>
          <w:rFonts w:hint="eastAsia" w:ascii="仿宋_GB2312" w:eastAsia="仿宋_GB2312"/>
          <w:color w:val="000000" w:themeColor="text1"/>
          <w:spacing w:val="0"/>
          <w:sz w:val="32"/>
          <w:szCs w:val="32"/>
          <w:highlight w:val="none"/>
          <w14:textFill>
            <w14:solidFill>
              <w14:schemeClr w14:val="tx1"/>
            </w14:solidFill>
          </w14:textFill>
        </w:rPr>
        <w:t>万元。</w:t>
      </w:r>
    </w:p>
    <w:p>
      <w:pPr>
        <w:keepNext w:val="0"/>
        <w:keepLines w:val="0"/>
        <w:pageBreakBefore w:val="0"/>
        <w:kinsoku/>
        <w:wordWrap/>
        <w:overflowPunct/>
        <w:topLinePunct w:val="0"/>
        <w:bidi w:val="0"/>
        <w:snapToGrid/>
        <w:spacing w:line="600" w:lineRule="exact"/>
        <w:ind w:firstLine="640"/>
        <w:textAlignment w:val="auto"/>
        <w:rPr>
          <w:rFonts w:hint="eastAsia" w:ascii="仿宋_GB2312" w:eastAsia="仿宋_GB2312"/>
          <w:color w:val="000000" w:themeColor="text1"/>
          <w:spacing w:val="0"/>
          <w:sz w:val="32"/>
          <w:szCs w:val="32"/>
          <w:highlight w:val="none"/>
          <w:lang w:eastAsia="zh-CN"/>
          <w14:textFill>
            <w14:solidFill>
              <w14:schemeClr w14:val="tx1"/>
            </w14:solidFill>
          </w14:textFill>
        </w:rPr>
      </w:pPr>
      <w:r>
        <w:rPr>
          <w:rFonts w:hint="eastAsia" w:ascii="仿宋" w:hAnsi="仿宋" w:eastAsia="仿宋_GB2312"/>
          <w:b/>
          <w:color w:val="000000" w:themeColor="text1"/>
          <w:spacing w:val="0"/>
          <w:sz w:val="32"/>
          <w:szCs w:val="32"/>
          <w:highlight w:val="none"/>
          <w14:textFill>
            <w14:solidFill>
              <w14:schemeClr w14:val="tx1"/>
            </w14:solidFill>
          </w14:textFill>
        </w:rPr>
        <w:t>外事接待支出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r>
        <w:rPr>
          <w:rFonts w:hint="eastAsia" w:ascii="仿宋_GB2312" w:eastAsia="仿宋_GB2312"/>
          <w:color w:val="000000" w:themeColor="text1"/>
          <w:spacing w:val="0"/>
          <w:sz w:val="32"/>
          <w:szCs w:val="32"/>
          <w:highlight w:val="none"/>
          <w:lang w:eastAsia="zh-CN"/>
          <w14:textFill>
            <w14:solidFill>
              <w14:schemeClr w14:val="tx1"/>
            </w14:solidFill>
          </w14:textFill>
        </w:rPr>
        <w:t>无外</w:t>
      </w:r>
      <w:r>
        <w:rPr>
          <w:rFonts w:hint="eastAsia" w:eastAsia="仿宋_GB2312"/>
          <w:color w:val="000000" w:themeColor="text1"/>
          <w:spacing w:val="0"/>
          <w:sz w:val="32"/>
          <w:szCs w:val="32"/>
          <w:highlight w:val="none"/>
          <w:lang w:eastAsia="zh-CN"/>
          <w14:textFill>
            <w14:solidFill>
              <w14:schemeClr w14:val="tx1"/>
            </w14:solidFill>
          </w14:textFill>
        </w:rPr>
        <w:t>事</w:t>
      </w:r>
      <w:r>
        <w:rPr>
          <w:rFonts w:hint="eastAsia" w:ascii="仿宋_GB2312" w:eastAsia="仿宋_GB2312"/>
          <w:color w:val="000000" w:themeColor="text1"/>
          <w:spacing w:val="0"/>
          <w:sz w:val="32"/>
          <w:szCs w:val="32"/>
          <w:highlight w:val="none"/>
          <w:lang w:eastAsia="zh-CN"/>
          <w14:textFill>
            <w14:solidFill>
              <w14:schemeClr w14:val="tx1"/>
            </w14:solidFill>
          </w14:textFill>
        </w:rPr>
        <w:t>接待支出</w:t>
      </w:r>
    </w:p>
    <w:p>
      <w:pPr>
        <w:keepNext w:val="0"/>
        <w:keepLines w:val="0"/>
        <w:pageBreakBefore w:val="0"/>
        <w:kinsoku/>
        <w:wordWrap/>
        <w:overflowPunct/>
        <w:topLinePunct w:val="0"/>
        <w:bidi w:val="0"/>
        <w:snapToGrid/>
        <w:spacing w:line="600" w:lineRule="exact"/>
        <w:ind w:firstLine="640"/>
        <w:textAlignment w:val="auto"/>
        <w:outlineLvl w:val="1"/>
        <w:rPr>
          <w:rStyle w:val="29"/>
          <w:rFonts w:ascii="黑体" w:hAnsi="黑体" w:eastAsia="黑体"/>
          <w:color w:val="000000" w:themeColor="text1"/>
          <w:spacing w:val="0"/>
          <w:highlight w:val="none"/>
          <w14:textFill>
            <w14:solidFill>
              <w14:schemeClr w14:val="tx1"/>
            </w14:solidFill>
          </w14:textFill>
        </w:rPr>
      </w:pPr>
      <w:r>
        <w:rPr>
          <w:rFonts w:hint="eastAsia" w:ascii="黑体" w:eastAsia="黑体"/>
          <w:color w:val="000000" w:themeColor="text1"/>
          <w:spacing w:val="0"/>
          <w:sz w:val="32"/>
          <w:szCs w:val="32"/>
          <w:highlight w:val="none"/>
          <w14:textFill>
            <w14:solidFill>
              <w14:schemeClr w14:val="tx1"/>
            </w14:solidFill>
          </w14:textFill>
        </w:rPr>
        <w:t>八、</w:t>
      </w:r>
      <w:r>
        <w:rPr>
          <w:rStyle w:val="29"/>
          <w:rFonts w:hint="eastAsia" w:ascii="黑体" w:hAnsi="黑体" w:eastAsia="黑体"/>
          <w:b w:val="0"/>
          <w:color w:val="000000" w:themeColor="text1"/>
          <w:spacing w:val="0"/>
          <w:highlight w:val="none"/>
          <w14:textFill>
            <w14:solidFill>
              <w14:schemeClr w14:val="tx1"/>
            </w14:solidFill>
          </w14:textFill>
        </w:rPr>
        <w:t>政府性基金预算支出决算情况说明</w:t>
      </w:r>
      <w:bookmarkEnd w:id="40"/>
      <w:bookmarkEnd w:id="41"/>
    </w:p>
    <w:p>
      <w:pPr>
        <w:keepNext w:val="0"/>
        <w:keepLines w:val="0"/>
        <w:pageBreakBefore w:val="0"/>
        <w:kinsoku/>
        <w:wordWrap/>
        <w:overflowPunct/>
        <w:topLinePunct w:val="0"/>
        <w:bidi w:val="0"/>
        <w:snapToGrid/>
        <w:spacing w:line="600" w:lineRule="exact"/>
        <w:ind w:firstLine="640"/>
        <w:textAlignment w:val="auto"/>
        <w:rPr>
          <w:rFonts w:ascii="仿宋_GB2312"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_GB2312" w:eastAsia="仿宋_GB2312"/>
          <w:color w:val="000000" w:themeColor="text1"/>
          <w:spacing w:val="0"/>
          <w:sz w:val="32"/>
          <w:szCs w:val="32"/>
          <w:highlight w:val="none"/>
          <w14:textFill>
            <w14:solidFill>
              <w14:schemeClr w14:val="tx1"/>
            </w14:solidFill>
          </w14:textFill>
        </w:rPr>
        <w:t>年政府性基金预算</w:t>
      </w:r>
      <w:r>
        <w:rPr>
          <w:rFonts w:hint="eastAsia" w:ascii="仿宋_GB2312" w:eastAsia="仿宋_GB2312"/>
          <w:color w:val="000000" w:themeColor="text1"/>
          <w:spacing w:val="0"/>
          <w:sz w:val="32"/>
          <w:szCs w:val="32"/>
          <w:highlight w:val="none"/>
          <w:lang w:eastAsia="zh-CN"/>
          <w14:textFill>
            <w14:solidFill>
              <w14:schemeClr w14:val="tx1"/>
            </w14:solidFill>
          </w14:textFill>
        </w:rPr>
        <w:t>财政</w:t>
      </w:r>
      <w:r>
        <w:rPr>
          <w:rFonts w:hint="eastAsia" w:ascii="仿宋_GB2312" w:eastAsia="仿宋_GB2312"/>
          <w:color w:val="000000" w:themeColor="text1"/>
          <w:spacing w:val="0"/>
          <w:sz w:val="32"/>
          <w:szCs w:val="32"/>
          <w:highlight w:val="none"/>
          <w14:textFill>
            <w14:solidFill>
              <w14:schemeClr w14:val="tx1"/>
            </w14:solidFill>
          </w14:textFill>
        </w:rPr>
        <w:t>拨款支出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p>
    <w:p>
      <w:pPr>
        <w:keepNext w:val="0"/>
        <w:keepLines w:val="0"/>
        <w:pageBreakBefore w:val="0"/>
        <w:numPr>
          <w:ilvl w:val="0"/>
          <w:numId w:val="3"/>
        </w:numPr>
        <w:kinsoku/>
        <w:wordWrap/>
        <w:overflowPunct/>
        <w:topLinePunct w:val="0"/>
        <w:bidi w:val="0"/>
        <w:snapToGrid/>
        <w:spacing w:line="600" w:lineRule="exact"/>
        <w:ind w:firstLine="640"/>
        <w:textAlignment w:val="auto"/>
        <w:outlineLvl w:val="1"/>
        <w:rPr>
          <w:rStyle w:val="29"/>
          <w:rFonts w:ascii="黑体" w:hAnsi="黑体" w:eastAsia="黑体"/>
          <w:b w:val="0"/>
          <w:color w:val="000000" w:themeColor="text1"/>
          <w:spacing w:val="0"/>
          <w:highlight w:val="none"/>
          <w14:textFill>
            <w14:solidFill>
              <w14:schemeClr w14:val="tx1"/>
            </w14:solidFill>
          </w14:textFill>
        </w:rPr>
      </w:pPr>
      <w:bookmarkStart w:id="42" w:name="_Toc15396611"/>
      <w:bookmarkStart w:id="43" w:name="_Toc15377219"/>
      <w:r>
        <w:rPr>
          <w:rStyle w:val="29"/>
          <w:rFonts w:hint="eastAsia" w:ascii="黑体" w:hAnsi="黑体" w:eastAsia="黑体"/>
          <w:b w:val="0"/>
          <w:color w:val="000000" w:themeColor="text1"/>
          <w:spacing w:val="0"/>
          <w:highlight w:val="none"/>
          <w14:textFill>
            <w14:solidFill>
              <w14:schemeClr w14:val="tx1"/>
            </w14:solidFill>
          </w14:textFill>
        </w:rPr>
        <w:t>国有资本经营预算支出决算情况说明</w:t>
      </w:r>
      <w:bookmarkEnd w:id="42"/>
      <w:bookmarkEnd w:id="43"/>
    </w:p>
    <w:p>
      <w:pPr>
        <w:keepNext w:val="0"/>
        <w:keepLines w:val="0"/>
        <w:pageBreakBefore w:val="0"/>
        <w:kinsoku/>
        <w:wordWrap/>
        <w:overflowPunct/>
        <w:topLinePunct w:val="0"/>
        <w:bidi w:val="0"/>
        <w:snapToGrid/>
        <w:spacing w:line="600" w:lineRule="exact"/>
        <w:ind w:firstLine="640"/>
        <w:textAlignment w:val="auto"/>
        <w:rPr>
          <w:rFonts w:ascii="仿宋_GB2312" w:eastAsia="仿宋_GB2312"/>
          <w:color w:val="000000" w:themeColor="text1"/>
          <w:spacing w:val="0"/>
          <w:sz w:val="32"/>
          <w:szCs w:val="32"/>
          <w:highlight w:val="none"/>
          <w14:textFill>
            <w14:solidFill>
              <w14:schemeClr w14:val="tx1"/>
            </w14:solidFill>
          </w14:textFill>
        </w:rPr>
      </w:pPr>
      <w:r>
        <w:rPr>
          <w:rFonts w:ascii="Times New Roman" w:hAnsi="Times New Roman" w:eastAsia="仿宋_GB2312"/>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22</w:t>
      </w:r>
      <w:r>
        <w:rPr>
          <w:rFonts w:hint="eastAsia" w:ascii="仿宋_GB2312" w:eastAsia="仿宋_GB2312"/>
          <w:color w:val="000000" w:themeColor="text1"/>
          <w:spacing w:val="0"/>
          <w:sz w:val="32"/>
          <w:szCs w:val="32"/>
          <w:highlight w:val="none"/>
          <w14:textFill>
            <w14:solidFill>
              <w14:schemeClr w14:val="tx1"/>
            </w14:solidFill>
          </w14:textFill>
        </w:rPr>
        <w:t>年国有资本经营预算</w:t>
      </w:r>
      <w:r>
        <w:rPr>
          <w:rFonts w:hint="eastAsia" w:ascii="仿宋_GB2312" w:eastAsia="仿宋_GB2312"/>
          <w:color w:val="000000" w:themeColor="text1"/>
          <w:spacing w:val="0"/>
          <w:sz w:val="32"/>
          <w:szCs w:val="32"/>
          <w:highlight w:val="none"/>
          <w:lang w:eastAsia="zh-CN"/>
          <w14:textFill>
            <w14:solidFill>
              <w14:schemeClr w14:val="tx1"/>
            </w14:solidFill>
          </w14:textFill>
        </w:rPr>
        <w:t>财政</w:t>
      </w:r>
      <w:r>
        <w:rPr>
          <w:rFonts w:hint="eastAsia" w:ascii="仿宋_GB2312" w:eastAsia="仿宋_GB2312"/>
          <w:color w:val="000000" w:themeColor="text1"/>
          <w:spacing w:val="0"/>
          <w:sz w:val="32"/>
          <w:szCs w:val="32"/>
          <w:highlight w:val="none"/>
          <w14:textFill>
            <w14:solidFill>
              <w14:schemeClr w14:val="tx1"/>
            </w14:solidFill>
          </w14:textFill>
        </w:rPr>
        <w:t>拨款支出</w:t>
      </w:r>
      <w:r>
        <w:rPr>
          <w:rFonts w:hint="eastAsia" w:ascii="Times New Roman" w:hAnsi="Times New Roman" w:eastAsia="仿宋_GB2312"/>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color w:val="000000" w:themeColor="text1"/>
          <w:spacing w:val="0"/>
          <w:sz w:val="32"/>
          <w:szCs w:val="32"/>
          <w:highlight w:val="none"/>
          <w14:textFill>
            <w14:solidFill>
              <w14:schemeClr w14:val="tx1"/>
            </w14:solidFill>
          </w14:textFill>
        </w:rPr>
        <w:t>万元。</w:t>
      </w:r>
    </w:p>
    <w:p>
      <w:pPr>
        <w:keepNext w:val="0"/>
        <w:keepLines w:val="0"/>
        <w:pageBreakBefore w:val="0"/>
        <w:numPr>
          <w:ilvl w:val="0"/>
          <w:numId w:val="3"/>
        </w:numPr>
        <w:kinsoku/>
        <w:wordWrap/>
        <w:overflowPunct/>
        <w:topLinePunct w:val="0"/>
        <w:bidi w:val="0"/>
        <w:snapToGrid/>
        <w:spacing w:line="600" w:lineRule="exact"/>
        <w:ind w:firstLine="640"/>
        <w:textAlignment w:val="auto"/>
        <w:outlineLvl w:val="1"/>
        <w:rPr>
          <w:rStyle w:val="29"/>
          <w:rFonts w:hint="eastAsia" w:ascii="黑体" w:hAnsi="黑体" w:eastAsia="黑体"/>
          <w:b w:val="0"/>
          <w:color w:val="000000" w:themeColor="text1"/>
          <w:spacing w:val="0"/>
          <w:highlight w:val="none"/>
          <w14:textFill>
            <w14:solidFill>
              <w14:schemeClr w14:val="tx1"/>
            </w14:solidFill>
          </w14:textFill>
        </w:rPr>
      </w:pPr>
      <w:bookmarkStart w:id="44" w:name="_Toc15377221"/>
      <w:bookmarkStart w:id="45" w:name="_Toc15396612"/>
      <w:r>
        <w:rPr>
          <w:rStyle w:val="29"/>
          <w:rFonts w:hint="eastAsia" w:ascii="黑体" w:hAnsi="黑体" w:eastAsia="黑体"/>
          <w:b w:val="0"/>
          <w:color w:val="000000" w:themeColor="text1"/>
          <w:spacing w:val="0"/>
          <w:highlight w:val="none"/>
          <w14:textFill>
            <w14:solidFill>
              <w14:schemeClr w14:val="tx1"/>
            </w14:solidFill>
          </w14:textFill>
        </w:rPr>
        <w:t>其他重要事项的情况说明</w:t>
      </w:r>
      <w:bookmarkEnd w:id="44"/>
      <w:bookmarkEnd w:id="45"/>
    </w:p>
    <w:p>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46" w:name="_Toc15377222"/>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（一）机关运行经费支出情况</w:t>
      </w:r>
      <w:bookmarkEnd w:id="46"/>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eastAsia="仿宋_GB2312"/>
          <w:b w:val="0"/>
          <w:bCs/>
          <w:color w:val="000000" w:themeColor="text1"/>
          <w:spacing w:val="0"/>
          <w:sz w:val="32"/>
          <w:szCs w:val="32"/>
          <w:highlight w:val="none"/>
          <w:lang w:eastAsia="zh-CN"/>
          <w14:textFill>
            <w14:solidFill>
              <w14:schemeClr w14:val="tx1"/>
            </w14:solidFill>
          </w14:textFill>
        </w:rPr>
      </w:pPr>
      <w:r>
        <w:rPr>
          <w:rFonts w:ascii="Times New Roman" w:hAnsi="Times New Roman" w:eastAsia="仿宋_GB2312"/>
          <w:b w:val="0"/>
          <w:bCs/>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22</w:t>
      </w:r>
      <w:r>
        <w:rPr>
          <w:rFonts w:hint="eastAsia" w:ascii="仿宋_GB2312" w:eastAsia="仿宋_GB2312"/>
          <w:b w:val="0"/>
          <w:bCs/>
          <w:color w:val="000000" w:themeColor="text1"/>
          <w:spacing w:val="0"/>
          <w:sz w:val="32"/>
          <w:szCs w:val="32"/>
          <w:highlight w:val="none"/>
          <w14:textFill>
            <w14:solidFill>
              <w14:schemeClr w14:val="tx1"/>
            </w14:solidFill>
          </w14:textFill>
        </w:rPr>
        <w:t>年，</w:t>
      </w:r>
      <w:r>
        <w:rPr>
          <w:rFonts w:hint="eastAsia" w:ascii="仿宋_GB2312" w:eastAsia="仿宋_GB2312"/>
          <w:b w:val="0"/>
          <w:bCs/>
          <w:color w:val="000000" w:themeColor="text1"/>
          <w:spacing w:val="0"/>
          <w:sz w:val="32"/>
          <w:szCs w:val="32"/>
          <w14:textFill>
            <w14:solidFill>
              <w14:schemeClr w14:val="tx1"/>
            </w14:solidFill>
          </w14:textFill>
        </w:rPr>
        <w:t>中共广元市昭化区委</w:t>
      </w:r>
      <w:r>
        <w:rPr>
          <w:rFonts w:hint="eastAsia" w:ascii="仿宋_GB2312" w:eastAsia="仿宋_GB2312"/>
          <w:b w:val="0"/>
          <w:bCs/>
          <w:color w:val="000000" w:themeColor="text1"/>
          <w:spacing w:val="0"/>
          <w:sz w:val="32"/>
          <w:szCs w:val="32"/>
          <w:lang w:eastAsia="zh-CN"/>
          <w14:textFill>
            <w14:solidFill>
              <w14:schemeClr w14:val="tx1"/>
            </w14:solidFill>
          </w14:textFill>
        </w:rPr>
        <w:t>统战部</w:t>
      </w:r>
      <w:r>
        <w:rPr>
          <w:rFonts w:hint="eastAsia" w:ascii="仿宋_GB2312" w:eastAsia="仿宋_GB2312"/>
          <w:b w:val="0"/>
          <w:bCs/>
          <w:color w:val="000000" w:themeColor="text1"/>
          <w:spacing w:val="0"/>
          <w:sz w:val="32"/>
          <w:szCs w:val="32"/>
          <w:highlight w:val="none"/>
          <w14:textFill>
            <w14:solidFill>
              <w14:schemeClr w14:val="tx1"/>
            </w14:solidFill>
          </w14:textFill>
        </w:rPr>
        <w:t>机关运行经费支出</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24</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46</w:t>
      </w:r>
      <w:r>
        <w:rPr>
          <w:rFonts w:hint="eastAsia" w:ascii="仿宋_GB2312" w:eastAsia="仿宋_GB2312"/>
          <w:b w:val="0"/>
          <w:bCs/>
          <w:color w:val="000000" w:themeColor="text1"/>
          <w:spacing w:val="0"/>
          <w:sz w:val="32"/>
          <w:szCs w:val="32"/>
          <w:highlight w:val="none"/>
          <w14:textFill>
            <w14:solidFill>
              <w14:schemeClr w14:val="tx1"/>
            </w14:solidFill>
          </w14:textFill>
        </w:rPr>
        <w:t>万元，比</w:t>
      </w:r>
      <w:r>
        <w:rPr>
          <w:rFonts w:ascii="Times New Roman" w:hAnsi="Times New Roman" w:eastAsia="仿宋_GB2312"/>
          <w:b w:val="0"/>
          <w:bCs/>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21</w:t>
      </w:r>
      <w:r>
        <w:rPr>
          <w:rFonts w:hint="eastAsia" w:ascii="仿宋_GB2312" w:eastAsia="仿宋_GB2312"/>
          <w:b w:val="0"/>
          <w:bCs/>
          <w:color w:val="000000" w:themeColor="text1"/>
          <w:spacing w:val="0"/>
          <w:sz w:val="32"/>
          <w:szCs w:val="32"/>
          <w:highlight w:val="none"/>
          <w14:textFill>
            <w14:solidFill>
              <w14:schemeClr w14:val="tx1"/>
            </w14:solidFill>
          </w14:textFill>
        </w:rPr>
        <w:t>年减少</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49</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05</w:t>
      </w:r>
      <w:r>
        <w:rPr>
          <w:rFonts w:hint="eastAsia" w:ascii="仿宋_GB2312" w:eastAsia="仿宋_GB2312"/>
          <w:b w:val="0"/>
          <w:bCs/>
          <w:color w:val="000000" w:themeColor="text1"/>
          <w:spacing w:val="0"/>
          <w:sz w:val="32"/>
          <w:szCs w:val="32"/>
          <w:highlight w:val="none"/>
          <w14:textFill>
            <w14:solidFill>
              <w14:schemeClr w14:val="tx1"/>
            </w14:solidFill>
          </w14:textFill>
        </w:rPr>
        <w:t>万元，下降</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66</w:t>
      </w:r>
      <w:r>
        <w:rPr>
          <w:rFonts w:hint="eastAsia" w:ascii="仿宋_GB2312" w:eastAsia="仿宋_GB2312"/>
          <w:b w:val="0"/>
          <w:bCs/>
          <w:color w:val="000000" w:themeColor="text1"/>
          <w:spacing w:val="0"/>
          <w:sz w:val="32"/>
          <w:szCs w:val="32"/>
          <w:highlight w:val="none"/>
          <w:lang w:val="en-US" w:eastAsia="zh-CN"/>
          <w14:textFill>
            <w14:solidFill>
              <w14:schemeClr w14:val="tx1"/>
            </w14:solidFill>
          </w14:textFill>
        </w:rPr>
        <w:t>.</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7</w:t>
      </w:r>
      <w:r>
        <w:rPr>
          <w:rFonts w:ascii="仿宋_GB2312" w:eastAsia="仿宋_GB2312"/>
          <w:b w:val="0"/>
          <w:bCs/>
          <w:color w:val="000000" w:themeColor="text1"/>
          <w:spacing w:val="0"/>
          <w:sz w:val="32"/>
          <w:szCs w:val="32"/>
          <w:highlight w:val="none"/>
          <w14:textFill>
            <w14:solidFill>
              <w14:schemeClr w14:val="tx1"/>
            </w14:solidFill>
          </w14:textFill>
        </w:rPr>
        <w:t>%</w:t>
      </w:r>
      <w:r>
        <w:rPr>
          <w:rFonts w:hint="eastAsia" w:ascii="仿宋_GB2312" w:eastAsia="仿宋_GB2312"/>
          <w:b w:val="0"/>
          <w:bCs/>
          <w:color w:val="000000" w:themeColor="text1"/>
          <w:spacing w:val="0"/>
          <w:sz w:val="32"/>
          <w:szCs w:val="32"/>
          <w:highlight w:val="none"/>
          <w14:textFill>
            <w14:solidFill>
              <w14:schemeClr w14:val="tx1"/>
            </w14:solidFill>
          </w14:textFill>
        </w:rPr>
        <w:t>。主要原因是</w:t>
      </w:r>
      <w:r>
        <w:rPr>
          <w:rFonts w:hint="eastAsia" w:ascii="仿宋_GB2312" w:eastAsia="仿宋_GB2312"/>
          <w:b w:val="0"/>
          <w:bCs/>
          <w:color w:val="000000" w:themeColor="text1"/>
          <w:spacing w:val="0"/>
          <w:sz w:val="32"/>
          <w:szCs w:val="32"/>
          <w:highlight w:val="none"/>
          <w:lang w:eastAsia="zh-CN"/>
          <w14:textFill>
            <w14:solidFill>
              <w14:schemeClr w14:val="tx1"/>
            </w14:solidFill>
          </w14:textFill>
        </w:rPr>
        <w:t>人员减少与项目调整。</w:t>
      </w:r>
    </w:p>
    <w:p>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47" w:name="_Toc15377223"/>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（二）政府采购支出情况</w:t>
      </w:r>
      <w:bookmarkEnd w:id="47"/>
    </w:p>
    <w:p>
      <w:pPr>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b w:val="0"/>
          <w:bCs/>
          <w:color w:val="000000" w:themeColor="text1"/>
          <w:spacing w:val="0"/>
          <w:sz w:val="32"/>
          <w:szCs w:val="32"/>
          <w:highlight w:val="none"/>
          <w14:textFill>
            <w14:solidFill>
              <w14:schemeClr w14:val="tx1"/>
            </w14:solidFill>
          </w14:textFill>
        </w:rPr>
      </w:pPr>
      <w:r>
        <w:rPr>
          <w:rFonts w:hint="eastAsia" w:ascii="Times New Roman" w:hAnsi="Times New Roman" w:eastAsia="仿宋_GB2312"/>
          <w:b w:val="0"/>
          <w:bCs/>
          <w:color w:val="000000" w:themeColor="text1"/>
          <w:spacing w:val="0"/>
          <w:sz w:val="32"/>
          <w:szCs w:val="32"/>
          <w:highlight w:val="none"/>
          <w:lang w:eastAsia="zh-CN"/>
          <w14:textFill>
            <w14:solidFill>
              <w14:schemeClr w14:val="tx1"/>
            </w14:solidFill>
          </w14:textFill>
        </w:rPr>
        <w:t>2022</w:t>
      </w:r>
      <w:r>
        <w:rPr>
          <w:rFonts w:hint="eastAsia" w:ascii="仿宋_GB2312" w:eastAsia="仿宋_GB2312"/>
          <w:b w:val="0"/>
          <w:bCs/>
          <w:color w:val="000000" w:themeColor="text1"/>
          <w:spacing w:val="0"/>
          <w:sz w:val="32"/>
          <w:szCs w:val="32"/>
          <w:highlight w:val="none"/>
          <w14:textFill>
            <w14:solidFill>
              <w14:schemeClr w14:val="tx1"/>
            </w14:solidFill>
          </w14:textFill>
        </w:rPr>
        <w:t>年，</w:t>
      </w:r>
      <w:r>
        <w:rPr>
          <w:rFonts w:hint="eastAsia" w:ascii="仿宋_GB2312" w:eastAsia="仿宋_GB2312"/>
          <w:b w:val="0"/>
          <w:bCs/>
          <w:color w:val="000000" w:themeColor="text1"/>
          <w:spacing w:val="0"/>
          <w:sz w:val="32"/>
          <w:szCs w:val="32"/>
          <w:highlight w:val="none"/>
          <w:lang w:eastAsia="zh-CN"/>
          <w14:textFill>
            <w14:solidFill>
              <w14:schemeClr w14:val="tx1"/>
            </w14:solidFill>
          </w14:textFill>
        </w:rPr>
        <w:t>本单位</w:t>
      </w:r>
      <w:r>
        <w:rPr>
          <w:rFonts w:hint="eastAsia" w:ascii="仿宋_GB2312" w:eastAsia="仿宋_GB2312"/>
          <w:b w:val="0"/>
          <w:bCs/>
          <w:color w:val="000000" w:themeColor="text1"/>
          <w:spacing w:val="0"/>
          <w:sz w:val="32"/>
          <w:szCs w:val="32"/>
          <w:highlight w:val="none"/>
          <w14:textFill>
            <w14:solidFill>
              <w14:schemeClr w14:val="tx1"/>
            </w14:solidFill>
          </w14:textFill>
        </w:rPr>
        <w:t>政府采购支出总额</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0</w:t>
      </w:r>
      <w:r>
        <w:rPr>
          <w:rFonts w:hint="eastAsia" w:ascii="仿宋_GB2312" w:eastAsia="仿宋_GB2312"/>
          <w:b w:val="0"/>
          <w:bCs/>
          <w:color w:val="000000" w:themeColor="text1"/>
          <w:spacing w:val="0"/>
          <w:sz w:val="32"/>
          <w:szCs w:val="32"/>
          <w:highlight w:val="none"/>
          <w14:textFill>
            <w14:solidFill>
              <w14:schemeClr w14:val="tx1"/>
            </w14:solidFill>
          </w14:textFill>
        </w:rPr>
        <w:t>万元，</w:t>
      </w:r>
      <w:r>
        <w:rPr>
          <w:rFonts w:hint="eastAsia" w:ascii="仿宋" w:hAnsi="仿宋" w:eastAsia="仿宋_GB2312"/>
          <w:b w:val="0"/>
          <w:bCs/>
          <w:color w:val="000000" w:themeColor="text1"/>
          <w:spacing w:val="0"/>
          <w:sz w:val="32"/>
          <w:szCs w:val="32"/>
          <w:highlight w:val="none"/>
          <w:lang w:val="en-US" w:eastAsia="zh-CN"/>
          <w14:textFill>
            <w14:solidFill>
              <w14:schemeClr w14:val="tx1"/>
            </w14:solidFill>
          </w14:textFill>
        </w:rPr>
        <w:t>年初未安排预算。</w:t>
      </w:r>
    </w:p>
    <w:p>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bookmarkStart w:id="48" w:name="_Toc15377224"/>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（三）国有资产占有使用情况</w:t>
      </w:r>
      <w:bookmarkEnd w:id="48"/>
    </w:p>
    <w:p>
      <w:pPr>
        <w:keepNext w:val="0"/>
        <w:keepLines w:val="0"/>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eastAsia="仿宋_GB2312"/>
          <w:b w:val="0"/>
          <w:bCs/>
          <w:color w:val="000000" w:themeColor="text1"/>
          <w:spacing w:val="0"/>
          <w:sz w:val="32"/>
          <w:szCs w:val="32"/>
          <w:highlight w:val="none"/>
          <w14:textFill>
            <w14:solidFill>
              <w14:schemeClr w14:val="tx1"/>
            </w14:solidFill>
          </w14:textFill>
        </w:rPr>
      </w:pPr>
      <w:r>
        <w:rPr>
          <w:rFonts w:hint="eastAsia" w:ascii="仿宋_GB2312" w:eastAsia="仿宋_GB2312"/>
          <w:b w:val="0"/>
          <w:bCs/>
          <w:color w:val="000000" w:themeColor="text1"/>
          <w:spacing w:val="0"/>
          <w:sz w:val="32"/>
          <w:szCs w:val="32"/>
          <w:highlight w:val="none"/>
          <w14:textFill>
            <w14:solidFill>
              <w14:schemeClr w14:val="tx1"/>
            </w14:solidFill>
          </w14:textFill>
        </w:rPr>
        <w:t>截至</w:t>
      </w:r>
      <w:r>
        <w:rPr>
          <w:rFonts w:ascii="Times New Roman" w:hAnsi="Times New Roman" w:eastAsia="仿宋_GB2312"/>
          <w:b w:val="0"/>
          <w:bCs/>
          <w:color w:val="000000" w:themeColor="text1"/>
          <w:spacing w:val="0"/>
          <w:sz w:val="32"/>
          <w:szCs w:val="32"/>
          <w:highlight w:val="none"/>
          <w14:textFill>
            <w14:solidFill>
              <w14:schemeClr w14:val="tx1"/>
            </w14:solidFill>
          </w14:textFill>
        </w:rPr>
        <w:t>20</w:t>
      </w:r>
      <w:r>
        <w:rPr>
          <w:rFonts w:hint="eastAsia" w:ascii="Times New Roman" w:hAnsi="Times New Roman" w:eastAsia="仿宋_GB2312"/>
          <w:b w:val="0"/>
          <w:bCs/>
          <w:color w:val="000000" w:themeColor="text1"/>
          <w:spacing w:val="0"/>
          <w:sz w:val="32"/>
          <w:szCs w:val="32"/>
          <w:highlight w:val="none"/>
          <w:lang w:val="en-US" w:eastAsia="zh-CN"/>
          <w14:textFill>
            <w14:solidFill>
              <w14:schemeClr w14:val="tx1"/>
            </w14:solidFill>
          </w14:textFill>
        </w:rPr>
        <w:t>22</w:t>
      </w:r>
      <w:r>
        <w:rPr>
          <w:rFonts w:hint="eastAsia" w:ascii="仿宋_GB2312" w:eastAsia="仿宋_GB2312"/>
          <w:b w:val="0"/>
          <w:bCs/>
          <w:color w:val="000000" w:themeColor="text1"/>
          <w:spacing w:val="0"/>
          <w:sz w:val="32"/>
          <w:szCs w:val="32"/>
          <w:highlight w:val="none"/>
          <w14:textFill>
            <w14:solidFill>
              <w14:schemeClr w14:val="tx1"/>
            </w14:solidFill>
          </w14:textFill>
        </w:rPr>
        <w:t>年</w:t>
      </w:r>
      <w:r>
        <w:rPr>
          <w:rFonts w:ascii="Times New Roman" w:hAnsi="Times New Roman" w:eastAsia="仿宋_GB2312"/>
          <w:b w:val="0"/>
          <w:bCs/>
          <w:color w:val="000000" w:themeColor="text1"/>
          <w:spacing w:val="0"/>
          <w:sz w:val="32"/>
          <w:szCs w:val="32"/>
          <w:highlight w:val="none"/>
          <w14:textFill>
            <w14:solidFill>
              <w14:schemeClr w14:val="tx1"/>
            </w14:solidFill>
          </w14:textFill>
        </w:rPr>
        <w:t>12</w:t>
      </w:r>
      <w:r>
        <w:rPr>
          <w:rFonts w:hint="eastAsia" w:ascii="仿宋_GB2312" w:eastAsia="仿宋_GB2312"/>
          <w:b w:val="0"/>
          <w:bCs/>
          <w:color w:val="000000" w:themeColor="text1"/>
          <w:spacing w:val="0"/>
          <w:sz w:val="32"/>
          <w:szCs w:val="32"/>
          <w:highlight w:val="none"/>
          <w14:textFill>
            <w14:solidFill>
              <w14:schemeClr w14:val="tx1"/>
            </w14:solidFill>
          </w14:textFill>
        </w:rPr>
        <w:t>月</w:t>
      </w:r>
      <w:r>
        <w:rPr>
          <w:rFonts w:ascii="Times New Roman" w:hAnsi="Times New Roman" w:eastAsia="仿宋_GB2312"/>
          <w:b w:val="0"/>
          <w:bCs/>
          <w:color w:val="000000" w:themeColor="text1"/>
          <w:spacing w:val="0"/>
          <w:sz w:val="32"/>
          <w:szCs w:val="32"/>
          <w:highlight w:val="none"/>
          <w14:textFill>
            <w14:solidFill>
              <w14:schemeClr w14:val="tx1"/>
            </w14:solidFill>
          </w14:textFill>
        </w:rPr>
        <w:t>31</w:t>
      </w:r>
      <w:r>
        <w:rPr>
          <w:rFonts w:hint="eastAsia" w:ascii="仿宋_GB2312" w:eastAsia="仿宋_GB2312"/>
          <w:b w:val="0"/>
          <w:bCs/>
          <w:color w:val="000000" w:themeColor="text1"/>
          <w:spacing w:val="0"/>
          <w:sz w:val="32"/>
          <w:szCs w:val="32"/>
          <w:highlight w:val="none"/>
          <w14:textFill>
            <w14:solidFill>
              <w14:schemeClr w14:val="tx1"/>
            </w14:solidFill>
          </w14:textFill>
        </w:rPr>
        <w:t>日，</w:t>
      </w:r>
      <w:r>
        <w:rPr>
          <w:rFonts w:hint="eastAsia" w:ascii="仿宋_GB2312" w:eastAsia="仿宋_GB2312"/>
          <w:b w:val="0"/>
          <w:bCs/>
          <w:color w:val="000000" w:themeColor="text1"/>
          <w:spacing w:val="0"/>
          <w:sz w:val="32"/>
          <w:szCs w:val="32"/>
          <w:lang w:eastAsia="zh-CN"/>
          <w14:textFill>
            <w14:solidFill>
              <w14:schemeClr w14:val="tx1"/>
            </w14:solidFill>
          </w14:textFill>
        </w:rPr>
        <w:t>无国有资产占有使用情况</w:t>
      </w:r>
      <w:r>
        <w:rPr>
          <w:rFonts w:hint="eastAsia" w:ascii="仿宋_GB2312" w:eastAsia="仿宋_GB2312"/>
          <w:b w:val="0"/>
          <w:bCs/>
          <w:color w:val="000000" w:themeColor="text1"/>
          <w:spacing w:val="0"/>
          <w:sz w:val="32"/>
          <w:szCs w:val="32"/>
          <w:highlight w:val="none"/>
          <w14:textFill>
            <w14:solidFill>
              <w14:schemeClr w14:val="tx1"/>
            </w14:solidFill>
          </w14:textFill>
        </w:rPr>
        <w:t>。</w:t>
      </w:r>
    </w:p>
    <w:p>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highlight w:val="none"/>
          <w14:textFill>
            <w14:solidFill>
              <w14:schemeClr w14:val="tx1"/>
            </w14:solidFill>
          </w14:textFill>
        </w:rPr>
        <w:t>（四）预算绩效管理情况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根据预算绩效管理要求，本部门(单位）在</w:t>
      </w:r>
      <w:r>
        <w:rPr>
          <w:rFonts w:hint="eastAsia" w:ascii="Times New Roman" w:hAnsi="Times New Roman" w:eastAsia="仿宋_GB2312" w:cs="仿宋_GB2312"/>
          <w:b w:val="0"/>
          <w:bCs/>
          <w:color w:val="000000" w:themeColor="text1"/>
          <w:spacing w:val="0"/>
          <w:sz w:val="32"/>
          <w:szCs w:val="32"/>
          <w:highlight w:val="none"/>
          <w14:textFill>
            <w14:solidFill>
              <w14:schemeClr w14:val="tx1"/>
            </w14:solidFill>
          </w14:textFill>
        </w:rPr>
        <w:t>2022</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年度预算编制阶段，组织对</w:t>
      </w:r>
      <w:r>
        <w:rPr>
          <w:rFonts w:hint="eastAsia" w:ascii="仿宋_GB2312" w:hAnsi="仿宋_GB2312" w:eastAsia="仿宋_GB2312" w:cs="仿宋_GB2312"/>
          <w:b w:val="0"/>
          <w:bCs/>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民族宗教工作经费</w:t>
      </w:r>
      <w:r>
        <w:rPr>
          <w:rFonts w:hint="eastAsia" w:ascii="仿宋_GB2312" w:hAnsi="仿宋_GB2312" w:eastAsia="仿宋_GB2312" w:cs="仿宋_GB2312"/>
          <w:b w:val="0"/>
          <w:bCs/>
          <w:color w:val="000000" w:themeColor="text1"/>
          <w:spacing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等</w:t>
      </w:r>
      <w:r>
        <w:rPr>
          <w:rFonts w:hint="eastAsia" w:ascii="Times New Roman" w:hAnsi="Times New Roman" w:eastAsia="仿宋_GB2312" w:cs="仿宋_GB2312"/>
          <w:b w:val="0"/>
          <w:bCs/>
          <w:color w:val="000000" w:themeColor="text1"/>
          <w:spacing w:val="0"/>
          <w:sz w:val="32"/>
          <w:szCs w:val="32"/>
          <w:highlight w:val="none"/>
          <w:lang w:val="en-US" w:eastAsia="zh-CN"/>
          <w14:textFill>
            <w14:solidFill>
              <w14:schemeClr w14:val="tx1"/>
            </w14:solidFill>
          </w14:textFill>
        </w:rPr>
        <w:t>9</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个</w:t>
      </w:r>
      <w:r>
        <w:rPr>
          <w:rFonts w:hint="eastAsia" w:ascii="仿宋_GB2312" w:hAnsi="仿宋_GB2312" w:eastAsia="仿宋_GB2312" w:cs="仿宋_GB2312"/>
          <w:b w:val="0"/>
          <w:bCs/>
          <w:color w:val="000000" w:themeColor="text1"/>
          <w:spacing w:val="0"/>
          <w:sz w:val="32"/>
          <w:szCs w:val="32"/>
          <w:highlight w:val="none"/>
          <w:lang w:eastAsia="zh-CN"/>
          <w14:textFill>
            <w14:solidFill>
              <w14:schemeClr w14:val="tx1"/>
            </w14:solidFill>
          </w14:textFill>
        </w:rPr>
        <w:t>项目</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开展了预算事前绩效评估；对部门整体和所有项目支出编制了绩效目标，预算执行中，按照财政要求全面开展了绩效运行监控；组织对</w:t>
      </w:r>
      <w:r>
        <w:rPr>
          <w:rFonts w:hint="eastAsia" w:ascii="Times New Roman" w:hAnsi="Times New Roman" w:eastAsia="仿宋_GB2312" w:cs="仿宋_GB2312"/>
          <w:b w:val="0"/>
          <w:bCs/>
          <w:color w:val="000000" w:themeColor="text1"/>
          <w:spacing w:val="0"/>
          <w:sz w:val="32"/>
          <w:szCs w:val="32"/>
          <w:highlight w:val="none"/>
          <w14:textFill>
            <w14:solidFill>
              <w14:schemeClr w14:val="tx1"/>
            </w14:solidFill>
          </w14:textFill>
        </w:rPr>
        <w:t>2022</w:t>
      </w:r>
      <w:r>
        <w:rPr>
          <w:rFonts w:hint="eastAsia" w:ascii="仿宋_GB2312" w:hAnsi="仿宋_GB2312" w:eastAsia="仿宋_GB2312" w:cs="仿宋_GB2312"/>
          <w:b w:val="0"/>
          <w:bCs/>
          <w:color w:val="000000" w:themeColor="text1"/>
          <w:spacing w:val="0"/>
          <w:sz w:val="32"/>
          <w:szCs w:val="32"/>
          <w:highlight w:val="none"/>
          <w14:textFill>
            <w14:solidFill>
              <w14:schemeClr w14:val="tx1"/>
            </w14:solidFill>
          </w14:textFill>
        </w:rPr>
        <w:t>年度一般公共预算支出等全覆</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盖开展了绩效自评，形成了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中共广元市昭化区委统战部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部门整体绩效自评报告（表)、民族宗教工作经费等</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w:t>
      </w:r>
      <w:r>
        <w:rPr>
          <w:rFonts w:hint="eastAsia" w:ascii="仿宋_GB2312" w:hAnsi="仿宋_GB2312" w:eastAsia="仿宋_GB2312" w:cs="仿宋_GB2312"/>
          <w:color w:val="000000" w:themeColor="text1"/>
          <w:spacing w:val="0"/>
          <w:sz w:val="32"/>
          <w:szCs w:val="32"/>
          <w:highlight w:val="none"/>
          <w:lang w:val="en-US" w:eastAsia="zh-CN"/>
          <w14:textFill>
            <w14:solidFill>
              <w14:schemeClr w14:val="tx1"/>
            </w14:solidFill>
          </w14:textFill>
        </w:rPr>
        <w:t>个</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专项预算项目绩效自评报告，其中，部门整体绩效自评得分为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 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民族宗教</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，侨务工作办公经费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、新的社会阶层人士工作经费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、民主党派工作经费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、对台工作办公经费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、非公经济工作办公经费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、小寺山爱国主义教育基地日常管护费用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、统战部工作经费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98</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、九广合作办公室工作经费</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专项预算项目绩效自评得分为</w:t>
      </w:r>
      <w:r>
        <w:rPr>
          <w:rFonts w:hint="eastAsia" w:ascii="Times New Roman" w:hAnsi="Times New Roman" w:eastAsia="仿宋_GB2312" w:cs="仿宋_GB2312"/>
          <w:color w:val="000000" w:themeColor="text1"/>
          <w:spacing w:val="0"/>
          <w:sz w:val="32"/>
          <w:szCs w:val="32"/>
          <w:highlight w:val="none"/>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分。《</w:t>
      </w:r>
      <w:r>
        <w:rPr>
          <w:rFonts w:hint="eastAsia" w:ascii="Times New Roman" w:hAnsi="Times New Roman" w:eastAsia="仿宋_GB2312" w:cs="仿宋_GB2312"/>
          <w:color w:val="000000" w:themeColor="text1"/>
          <w:spacing w:val="0"/>
          <w:sz w:val="32"/>
          <w:szCs w:val="32"/>
          <w:highlight w:val="none"/>
          <w14:textFill>
            <w14:solidFill>
              <w14:schemeClr w14:val="tx1"/>
            </w14:solidFill>
          </w14:textFill>
        </w:rPr>
        <w:t>2022</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pacing w:val="0"/>
          <w:sz w:val="32"/>
          <w:szCs w:val="32"/>
          <w:highlight w:val="none"/>
          <w:lang w:eastAsia="zh-CN"/>
          <w14:textFill>
            <w14:solidFill>
              <w14:schemeClr w14:val="tx1"/>
            </w14:solidFill>
          </w14:textFill>
        </w:rPr>
        <w:t>中共广元市昭化区委统战部</w:t>
      </w:r>
      <w:r>
        <w:rPr>
          <w:rFonts w:hint="eastAsia" w:ascii="仿宋_GB2312" w:hAnsi="仿宋_GB2312" w:eastAsia="仿宋_GB2312" w:cs="仿宋_GB2312"/>
          <w:color w:val="000000" w:themeColor="text1"/>
          <w:spacing w:val="0"/>
          <w:sz w:val="32"/>
          <w:szCs w:val="32"/>
          <w:highlight w:val="none"/>
          <w14:textFill>
            <w14:solidFill>
              <w14:schemeClr w14:val="tx1"/>
            </w14:solidFill>
          </w14:textFill>
        </w:rPr>
        <w:t>部门整体绩效自评报告（表）》和《项目支出绩效自评报告（表）》详见附件。</w:t>
      </w:r>
    </w:p>
    <w:p>
      <w:pPr>
        <w:widowControl/>
        <w:ind w:firstLine="643" w:firstLineChars="200"/>
        <w:jc w:val="left"/>
        <w:rPr>
          <w:rFonts w:ascii="仿宋_GB2312" w:eastAsia="仿宋_GB2312"/>
          <w:b/>
          <w:color w:val="000000" w:themeColor="text1"/>
          <w:spacing w:val="0"/>
          <w:sz w:val="32"/>
          <w:szCs w:val="32"/>
          <w:highlight w:val="none"/>
          <w14:textFill>
            <w14:solidFill>
              <w14:schemeClr w14:val="tx1"/>
            </w14:solidFill>
          </w14:textFill>
        </w:rPr>
      </w:pPr>
      <w:r>
        <w:rPr>
          <w:rFonts w:ascii="仿宋_GB2312" w:eastAsia="仿宋_GB2312"/>
          <w:b/>
          <w:color w:val="000000" w:themeColor="text1"/>
          <w:spacing w:val="0"/>
          <w:sz w:val="32"/>
          <w:szCs w:val="32"/>
          <w:highlight w:val="none"/>
          <w14:textFill>
            <w14:solidFill>
              <w14:schemeClr w14:val="tx1"/>
            </w14:solidFill>
          </w14:textFill>
        </w:rPr>
        <w:br w:type="page"/>
      </w:r>
    </w:p>
    <w:p>
      <w:pPr>
        <w:keepNext w:val="0"/>
        <w:keepLines w:val="0"/>
        <w:pageBreakBefore w:val="0"/>
        <w:numPr>
          <w:ilvl w:val="0"/>
          <w:numId w:val="4"/>
        </w:numPr>
        <w:kinsoku/>
        <w:wordWrap/>
        <w:overflowPunct/>
        <w:topLinePunct w:val="0"/>
        <w:bidi w:val="0"/>
        <w:spacing w:line="576" w:lineRule="exact"/>
        <w:ind w:firstLine="660" w:firstLineChars="150"/>
        <w:jc w:val="center"/>
        <w:textAlignment w:val="auto"/>
        <w:outlineLvl w:val="0"/>
        <w:rPr>
          <w:rStyle w:val="28"/>
          <w:rFonts w:ascii="黑体" w:hAnsi="黑体" w:eastAsia="黑体"/>
          <w:b w:val="0"/>
          <w:color w:val="000000" w:themeColor="text1"/>
          <w:spacing w:val="0"/>
          <w:highlight w:val="none"/>
          <w14:textFill>
            <w14:solidFill>
              <w14:schemeClr w14:val="tx1"/>
            </w14:solidFill>
          </w14:textFill>
        </w:rPr>
      </w:pPr>
      <w:bookmarkStart w:id="49" w:name="_Toc15396613"/>
      <w:bookmarkStart w:id="50" w:name="_Toc15377225"/>
      <w:r>
        <w:rPr>
          <w:rFonts w:hint="eastAsia" w:ascii="黑体" w:hAnsi="黑体" w:eastAsia="黑体"/>
          <w:color w:val="000000" w:themeColor="text1"/>
          <w:spacing w:val="0"/>
          <w:sz w:val="44"/>
          <w:szCs w:val="44"/>
          <w:highlight w:val="none"/>
          <w14:textFill>
            <w14:solidFill>
              <w14:schemeClr w14:val="tx1"/>
            </w14:solidFill>
          </w14:textFill>
        </w:rPr>
        <w:t>名</w:t>
      </w:r>
      <w:r>
        <w:rPr>
          <w:rStyle w:val="28"/>
          <w:rFonts w:hint="eastAsia" w:ascii="黑体" w:hAnsi="黑体" w:eastAsia="黑体"/>
          <w:b w:val="0"/>
          <w:color w:val="000000" w:themeColor="text1"/>
          <w:spacing w:val="0"/>
          <w:highlight w:val="none"/>
          <w14:textFill>
            <w14:solidFill>
              <w14:schemeClr w14:val="tx1"/>
            </w14:solidFill>
          </w14:textFill>
        </w:rPr>
        <w:t>词解释</w:t>
      </w:r>
      <w:bookmarkEnd w:id="49"/>
      <w:bookmarkEnd w:id="50"/>
    </w:p>
    <w:p>
      <w:pPr>
        <w:keepNext w:val="0"/>
        <w:keepLines w:val="0"/>
        <w:pageBreakBefore w:val="0"/>
        <w:kinsoku/>
        <w:wordWrap/>
        <w:overflowPunct/>
        <w:topLinePunct w:val="0"/>
        <w:bidi w:val="0"/>
        <w:spacing w:line="576" w:lineRule="exact"/>
        <w:jc w:val="left"/>
        <w:textAlignment w:val="auto"/>
        <w:rPr>
          <w:rFonts w:ascii="宋体" w:eastAsia="仿宋_GB2312"/>
          <w:b/>
          <w:color w:val="000000" w:themeColor="text1"/>
          <w:spacing w:val="0"/>
          <w:sz w:val="44"/>
          <w:szCs w:val="44"/>
          <w:highlight w:val="none"/>
          <w14:textFill>
            <w14:solidFill>
              <w14:schemeClr w14:val="tx1"/>
            </w14:solidFill>
          </w14:textFill>
        </w:rPr>
      </w:pP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1</w:t>
      </w:r>
      <w:r>
        <w:rPr>
          <w:rFonts w:hint="eastAsia" w:ascii="仿宋_GB2312" w:eastAsia="仿宋_GB2312"/>
          <w:color w:val="000000" w:themeColor="text1"/>
          <w:spacing w:val="0"/>
          <w:sz w:val="32"/>
          <w:szCs w:val="32"/>
          <w14:textFill>
            <w14:solidFill>
              <w14:schemeClr w14:val="tx1"/>
            </w14:solidFill>
          </w14:textFill>
        </w:rPr>
        <w:t>.财政拨款收入：指单位从同级财政部门取得的财政预算资金。</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2</w:t>
      </w:r>
      <w:r>
        <w:rPr>
          <w:rFonts w:hint="eastAsia" w:ascii="仿宋_GB2312" w:eastAsia="仿宋_GB2312"/>
          <w:color w:val="000000" w:themeColor="text1"/>
          <w:spacing w:val="0"/>
          <w:sz w:val="32"/>
          <w:szCs w:val="32"/>
          <w14:textFill>
            <w14:solidFill>
              <w14:schemeClr w14:val="tx1"/>
            </w14:solidFill>
          </w14:textFill>
        </w:rPr>
        <w:t>.事业收入：指事业单位开展专业业务活动及辅助活动取得的收入。</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3</w:t>
      </w:r>
      <w:r>
        <w:rPr>
          <w:rFonts w:hint="eastAsia" w:ascii="仿宋_GB2312" w:eastAsia="仿宋_GB2312"/>
          <w:color w:val="000000" w:themeColor="text1"/>
          <w:spacing w:val="0"/>
          <w:sz w:val="32"/>
          <w:szCs w:val="32"/>
          <w14:textFill>
            <w14:solidFill>
              <w14:schemeClr w14:val="tx1"/>
            </w14:solidFill>
          </w14:textFill>
        </w:rPr>
        <w:t xml:space="preserve">.年初结转和结余：指以前年度尚未完成、结转到本年按有关规定继续使用的资金。 </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4</w:t>
      </w:r>
      <w:r>
        <w:rPr>
          <w:rFonts w:hint="eastAsia" w:ascii="仿宋_GB2312" w:eastAsia="仿宋_GB2312"/>
          <w:color w:val="000000" w:themeColor="text1"/>
          <w:spacing w:val="0"/>
          <w:sz w:val="32"/>
          <w:szCs w:val="32"/>
          <w14:textFill>
            <w14:solidFill>
              <w14:schemeClr w14:val="tx1"/>
            </w14:solidFill>
          </w14:textFill>
        </w:rPr>
        <w:t>.结余分配：指事业单位按照会计制度规定缴纳的所得税、提取的专用结余以及转入非财政拨款结余的金额等。</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5</w:t>
      </w:r>
      <w:r>
        <w:rPr>
          <w:rFonts w:hint="eastAsia" w:ascii="仿宋_GB2312" w:eastAsia="仿宋_GB2312"/>
          <w:color w:val="000000" w:themeColor="text1"/>
          <w:spacing w:val="0"/>
          <w:sz w:val="32"/>
          <w:szCs w:val="32"/>
          <w14:textFill>
            <w14:solidFill>
              <w14:schemeClr w14:val="tx1"/>
            </w14:solidFill>
          </w14:textFill>
        </w:rPr>
        <w:t>、年末结转和结余：指单位按有关规定结转到下年或以后年度继续使用的资金。</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6</w:t>
      </w:r>
      <w:r>
        <w:rPr>
          <w:rFonts w:hint="eastAsia" w:ascii="仿宋_GB2312" w:eastAsia="仿宋_GB2312"/>
          <w:color w:val="000000" w:themeColor="text1"/>
          <w:spacing w:val="0"/>
          <w:sz w:val="32"/>
          <w:szCs w:val="32"/>
          <w14:textFill>
            <w14:solidFill>
              <w14:schemeClr w14:val="tx1"/>
            </w14:solidFill>
          </w14:textFill>
        </w:rPr>
        <w:t>.一般公共服务（类）人大事务（款）行政运行（项）：指人大机关开展会议、监督、调研、视察等工作需要用于购买货物和服务的各项支出。</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7</w:t>
      </w:r>
      <w:r>
        <w:rPr>
          <w:rFonts w:hint="eastAsia" w:ascii="仿宋_GB2312" w:eastAsia="仿宋_GB2312"/>
          <w:color w:val="000000" w:themeColor="text1"/>
          <w:spacing w:val="0"/>
          <w:sz w:val="32"/>
          <w:szCs w:val="32"/>
          <w14:textFill>
            <w14:solidFill>
              <w14:schemeClr w14:val="tx1"/>
            </w14:solidFill>
          </w14:textFill>
        </w:rPr>
        <w:t>.社会保障和就业（类）行政事业单位养老支出（款）机关事业单位基本养老保险缴费支出（项）：指机关事业单位实施养老保险制度由单位缴纳的基本养老保险费支出。</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8</w:t>
      </w:r>
      <w:r>
        <w:rPr>
          <w:rFonts w:hint="eastAsia" w:ascii="仿宋_GB2312" w:eastAsia="仿宋_GB2312"/>
          <w:color w:val="000000" w:themeColor="text1"/>
          <w:spacing w:val="0"/>
          <w:sz w:val="32"/>
          <w:szCs w:val="32"/>
          <w14:textFill>
            <w14:solidFill>
              <w14:schemeClr w14:val="tx1"/>
            </w14:solidFill>
          </w14:textFill>
        </w:rPr>
        <w:t>.医疗卫生与计划生育（类）行政事业单位医疗（款）行政事业单位医疗（项）：指财政部门安排的行政事业单位基本医疗保险缴费经费。</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9</w:t>
      </w:r>
      <w:r>
        <w:rPr>
          <w:rFonts w:hint="eastAsia" w:ascii="仿宋_GB2312" w:eastAsia="仿宋_GB2312"/>
          <w:color w:val="000000" w:themeColor="text1"/>
          <w:spacing w:val="0"/>
          <w:sz w:val="32"/>
          <w:szCs w:val="32"/>
          <w14:textFill>
            <w14:solidFill>
              <w14:schemeClr w14:val="tx1"/>
            </w14:solidFill>
          </w14:textFill>
        </w:rPr>
        <w:t>.住房保障（类）住房改革支出（款）住房公积金（项）：指反映行政事业单位按人力资源和社会保障部、财政部规定的基本工资和津贴补贴以及规定比例为职工缴纳的住房公积金。</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10</w:t>
      </w:r>
      <w:r>
        <w:rPr>
          <w:rFonts w:hint="eastAsia" w:ascii="仿宋_GB2312" w:eastAsia="仿宋_GB2312"/>
          <w:color w:val="000000" w:themeColor="text1"/>
          <w:spacing w:val="0"/>
          <w:sz w:val="32"/>
          <w:szCs w:val="32"/>
          <w14:textFill>
            <w14:solidFill>
              <w14:schemeClr w14:val="tx1"/>
            </w14:solidFill>
          </w14:textFill>
        </w:rPr>
        <w:t>.基本支出：指为保障机构正常运转、完成日常工作任务而发生的人员支出和公用支出。</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1</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1</w:t>
      </w:r>
      <w:r>
        <w:rPr>
          <w:rFonts w:hint="eastAsia" w:ascii="仿宋_GB2312" w:eastAsia="仿宋_GB2312"/>
          <w:color w:val="000000" w:themeColor="text1"/>
          <w:spacing w:val="0"/>
          <w:sz w:val="32"/>
          <w:szCs w:val="32"/>
          <w14:textFill>
            <w14:solidFill>
              <w14:schemeClr w14:val="tx1"/>
            </w14:solidFill>
          </w14:textFill>
        </w:rPr>
        <w:t xml:space="preserve">.项目支出：指在基本支出之外为完成特定行政任务和事业发展目标所发生的支出。 </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1</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2</w:t>
      </w:r>
      <w:r>
        <w:rPr>
          <w:rFonts w:hint="eastAsia" w:ascii="仿宋_GB2312" w:eastAsia="仿宋_GB2312"/>
          <w:color w:val="000000" w:themeColor="text1"/>
          <w:spacing w:val="0"/>
          <w:sz w:val="32"/>
          <w:szCs w:val="32"/>
          <w14:textFill>
            <w14:solidFill>
              <w14:schemeClr w14:val="tx1"/>
            </w14:solidFill>
          </w14:textFill>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6"/>
        <w:keepNext w:val="0"/>
        <w:keepLines w:val="0"/>
        <w:pageBreakBefore w:val="0"/>
        <w:kinsoku/>
        <w:wordWrap/>
        <w:overflowPunct/>
        <w:topLinePunct w:val="0"/>
        <w:bidi w:val="0"/>
        <w:spacing w:line="576" w:lineRule="exact"/>
        <w:ind w:firstLine="640" w:firstLineChars="200"/>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Times New Roman" w:hAnsi="Times New Roman" w:eastAsia="仿宋_GB2312"/>
          <w:color w:val="000000" w:themeColor="text1"/>
          <w:spacing w:val="0"/>
          <w:sz w:val="32"/>
          <w:szCs w:val="32"/>
          <w14:textFill>
            <w14:solidFill>
              <w14:schemeClr w14:val="tx1"/>
            </w14:solidFill>
          </w14:textFill>
        </w:rPr>
        <w:t>1</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3</w:t>
      </w:r>
      <w:r>
        <w:rPr>
          <w:rFonts w:hint="eastAsia" w:ascii="仿宋_GB2312" w:eastAsia="仿宋_GB2312"/>
          <w:color w:val="000000" w:themeColor="text1"/>
          <w:spacing w:val="0"/>
          <w:sz w:val="32"/>
          <w:szCs w:val="32"/>
          <w14:textFill>
            <w14:solidFill>
              <w14:schemeClr w14:val="tx1"/>
            </w14:solidFill>
          </w14:textFill>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pPr>
        <w:keepNext w:val="0"/>
        <w:keepLines w:val="0"/>
        <w:pageBreakBefore w:val="0"/>
        <w:kinsoku/>
        <w:wordWrap/>
        <w:overflowPunct/>
        <w:topLinePunct w:val="0"/>
        <w:bidi w:val="0"/>
        <w:spacing w:line="576" w:lineRule="exact"/>
        <w:textAlignment w:val="auto"/>
        <w:rPr>
          <w:rFonts w:hint="eastAsia" w:ascii="仿宋_GB2312" w:eastAsia="仿宋_GB2312"/>
          <w:color w:val="000000" w:themeColor="text1"/>
          <w:spacing w:val="0"/>
          <w:sz w:val="32"/>
          <w:szCs w:val="32"/>
          <w14:textFill>
            <w14:solidFill>
              <w14:schemeClr w14:val="tx1"/>
            </w14:solidFill>
          </w14:textFill>
        </w:rPr>
      </w:pPr>
      <w:r>
        <w:rPr>
          <w:rFonts w:hint="eastAsia" w:ascii="仿宋_GB2312" w:eastAsia="仿宋_GB2312"/>
          <w:color w:val="000000" w:themeColor="text1"/>
          <w:spacing w:val="0"/>
          <w:sz w:val="32"/>
          <w:szCs w:val="32"/>
          <w14:textFill>
            <w14:solidFill>
              <w14:schemeClr w14:val="tx1"/>
            </w14:solidFill>
          </w14:textFill>
        </w:rPr>
        <w:br w:type="page"/>
      </w:r>
    </w:p>
    <w:p>
      <w:pPr>
        <w:keepNext w:val="0"/>
        <w:keepLines w:val="0"/>
        <w:pageBreakBefore w:val="0"/>
        <w:numPr>
          <w:ilvl w:val="0"/>
          <w:numId w:val="4"/>
        </w:numPr>
        <w:kinsoku/>
        <w:wordWrap/>
        <w:overflowPunct/>
        <w:topLinePunct w:val="0"/>
        <w:autoSpaceDE/>
        <w:autoSpaceDN/>
        <w:bidi w:val="0"/>
        <w:spacing w:line="576" w:lineRule="exact"/>
        <w:ind w:left="0" w:leftChars="0" w:firstLine="660" w:firstLineChars="150"/>
        <w:jc w:val="center"/>
        <w:textAlignment w:val="auto"/>
        <w:outlineLvl w:val="0"/>
        <w:rPr>
          <w:rStyle w:val="28"/>
          <w:rFonts w:hint="eastAsia" w:ascii="黑体" w:hAnsi="黑体" w:eastAsia="黑体"/>
          <w:b w:val="0"/>
          <w:color w:val="000000" w:themeColor="text1"/>
          <w:spacing w:val="0"/>
          <w:highlight w:val="none"/>
          <w14:textFill>
            <w14:solidFill>
              <w14:schemeClr w14:val="tx1"/>
            </w14:solidFill>
          </w14:textFill>
        </w:rPr>
      </w:pPr>
      <w:bookmarkStart w:id="51" w:name="_Toc15396614"/>
      <w:bookmarkStart w:id="52" w:name="_Toc15377226"/>
      <w:r>
        <w:rPr>
          <w:rStyle w:val="28"/>
          <w:rFonts w:hint="eastAsia" w:ascii="黑体" w:hAnsi="黑体" w:eastAsia="黑体"/>
          <w:b w:val="0"/>
          <w:color w:val="000000" w:themeColor="text1"/>
          <w:spacing w:val="0"/>
          <w:highlight w:val="none"/>
          <w14:textFill>
            <w14:solidFill>
              <w14:schemeClr w14:val="tx1"/>
            </w14:solidFill>
          </w14:textFill>
        </w:rPr>
        <w:t>附件</w:t>
      </w:r>
      <w:bookmarkEnd w:id="51"/>
    </w:p>
    <w:p>
      <w:pPr>
        <w:pStyle w:val="2"/>
        <w:keepNext w:val="0"/>
        <w:keepLines w:val="0"/>
        <w:pageBreakBefore w:val="0"/>
        <w:numPr>
          <w:ilvl w:val="0"/>
          <w:numId w:val="0"/>
        </w:numPr>
        <w:kinsoku/>
        <w:wordWrap/>
        <w:overflowPunct/>
        <w:topLinePunct w:val="0"/>
        <w:autoSpaceDE/>
        <w:autoSpaceDN/>
        <w:bidi w:val="0"/>
        <w:spacing w:after="0" w:line="576" w:lineRule="exact"/>
        <w:ind w:leftChars="0"/>
        <w:jc w:val="center"/>
        <w:textAlignment w:val="auto"/>
        <w:rPr>
          <w:rFonts w:hint="eastAsia" w:eastAsia="仿宋_GB2312"/>
          <w:color w:val="000000" w:themeColor="text1"/>
          <w:spacing w:val="0"/>
          <w:lang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576" w:lineRule="exact"/>
        <w:ind w:leftChars="0"/>
        <w:contextualSpacing/>
        <w:jc w:val="center"/>
        <w:textAlignment w:val="auto"/>
        <w:rPr>
          <w:rFonts w:hint="eastAsia" w:ascii="方正小标宋简体" w:hAnsi="方正小标宋简体" w:eastAsia="方正小标宋简体" w:cs="方正小标宋简体"/>
          <w:b w:val="0"/>
          <w:bCs/>
          <w:color w:val="000000" w:themeColor="text1"/>
          <w:spacing w:val="0"/>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pacing w:val="0"/>
          <w:sz w:val="44"/>
          <w:szCs w:val="44"/>
          <w:lang w:eastAsia="zh-CN"/>
          <w14:textFill>
            <w14:solidFill>
              <w14:schemeClr w14:val="tx1"/>
            </w14:solidFill>
          </w14:textFill>
        </w:rPr>
        <w:t>中共广元市昭化区委统战部</w:t>
      </w:r>
    </w:p>
    <w:p>
      <w:pPr>
        <w:keepNext w:val="0"/>
        <w:keepLines w:val="0"/>
        <w:pageBreakBefore w:val="0"/>
        <w:widowControl/>
        <w:kinsoku/>
        <w:wordWrap/>
        <w:overflowPunct/>
        <w:topLinePunct w:val="0"/>
        <w:autoSpaceDE/>
        <w:autoSpaceDN/>
        <w:bidi w:val="0"/>
        <w:adjustRightInd w:val="0"/>
        <w:snapToGrid w:val="0"/>
        <w:spacing w:line="576" w:lineRule="exact"/>
        <w:ind w:leftChars="0"/>
        <w:contextualSpacing/>
        <w:jc w:val="center"/>
        <w:textAlignment w:val="auto"/>
        <w:rPr>
          <w:rFonts w:hint="eastAsia" w:ascii="方正小标宋简体" w:hAnsi="方正小标宋简体" w:eastAsia="方正小标宋简体" w:cs="方正小标宋简体"/>
          <w:b w:val="0"/>
          <w:bCs/>
          <w:color w:val="000000" w:themeColor="text1"/>
          <w:spacing w:val="0"/>
          <w:sz w:val="44"/>
          <w:szCs w:val="44"/>
          <w14:textFill>
            <w14:solidFill>
              <w14:schemeClr w14:val="tx1"/>
            </w14:solidFill>
          </w14:textFill>
        </w:rPr>
      </w:pPr>
      <w:r>
        <w:rPr>
          <w:rFonts w:hint="eastAsia" w:ascii="方正小标宋简体" w:hAnsi="方正小标宋简体" w:eastAsia="方正小标宋简体" w:cs="方正小标宋简体"/>
          <w:b w:val="0"/>
          <w:bCs/>
          <w:color w:val="000000" w:themeColor="text1"/>
          <w:spacing w:val="0"/>
          <w:sz w:val="44"/>
          <w:szCs w:val="44"/>
          <w:lang w:val="en-US" w:eastAsia="zh-CN"/>
          <w14:textFill>
            <w14:solidFill>
              <w14:schemeClr w14:val="tx1"/>
            </w14:solidFill>
          </w14:textFill>
        </w:rPr>
        <w:t>关于</w:t>
      </w:r>
      <w:r>
        <w:rPr>
          <w:rFonts w:hint="eastAsia" w:ascii="Times New Roman" w:hAnsi="Times New Roman" w:eastAsia="方正小标宋简体" w:cs="方正小标宋简体"/>
          <w:b w:val="0"/>
          <w:bCs/>
          <w:color w:val="000000" w:themeColor="text1"/>
          <w:spacing w:val="0"/>
          <w:sz w:val="44"/>
          <w:szCs w:val="44"/>
          <w:lang w:val="en-US" w:eastAsia="zh-CN"/>
          <w14:textFill>
            <w14:solidFill>
              <w14:schemeClr w14:val="tx1"/>
            </w14:solidFill>
          </w14:textFill>
        </w:rPr>
        <w:t>2022</w:t>
      </w:r>
      <w:r>
        <w:rPr>
          <w:rFonts w:hint="eastAsia" w:ascii="方正小标宋简体" w:hAnsi="方正小标宋简体" w:eastAsia="方正小标宋简体" w:cs="方正小标宋简体"/>
          <w:b w:val="0"/>
          <w:bCs/>
          <w:color w:val="000000" w:themeColor="text1"/>
          <w:spacing w:val="0"/>
          <w:sz w:val="44"/>
          <w:szCs w:val="44"/>
          <w:lang w:val="en-US" w:eastAsia="zh-CN"/>
          <w14:textFill>
            <w14:solidFill>
              <w14:schemeClr w14:val="tx1"/>
            </w14:solidFill>
          </w14:textFill>
        </w:rPr>
        <w:t>年</w:t>
      </w:r>
      <w:r>
        <w:rPr>
          <w:rFonts w:hint="eastAsia" w:ascii="方正小标宋简体" w:hAnsi="方正小标宋简体" w:eastAsia="方正小标宋简体" w:cs="方正小标宋简体"/>
          <w:b w:val="0"/>
          <w:bCs/>
          <w:color w:val="000000" w:themeColor="text1"/>
          <w:spacing w:val="0"/>
          <w:sz w:val="44"/>
          <w:szCs w:val="44"/>
          <w14:textFill>
            <w14:solidFill>
              <w14:schemeClr w14:val="tx1"/>
            </w14:solidFill>
          </w14:textFill>
        </w:rPr>
        <w:t>部门</w:t>
      </w:r>
      <w:r>
        <w:rPr>
          <w:rFonts w:hint="eastAsia" w:ascii="方正小标宋简体" w:hAnsi="方正小标宋简体" w:eastAsia="方正小标宋简体" w:cs="方正小标宋简体"/>
          <w:b w:val="0"/>
          <w:bCs/>
          <w:color w:val="000000" w:themeColor="text1"/>
          <w:spacing w:val="0"/>
          <w:sz w:val="44"/>
          <w:szCs w:val="44"/>
          <w:lang w:eastAsia="zh-CN"/>
          <w14:textFill>
            <w14:solidFill>
              <w14:schemeClr w14:val="tx1"/>
            </w14:solidFill>
          </w14:textFill>
        </w:rPr>
        <w:t>整体支出</w:t>
      </w:r>
      <w:r>
        <w:rPr>
          <w:rFonts w:hint="eastAsia" w:ascii="方正小标宋简体" w:hAnsi="方正小标宋简体" w:eastAsia="方正小标宋简体" w:cs="方正小标宋简体"/>
          <w:b w:val="0"/>
          <w:bCs/>
          <w:color w:val="000000" w:themeColor="text1"/>
          <w:spacing w:val="0"/>
          <w:sz w:val="44"/>
          <w:szCs w:val="44"/>
          <w14:textFill>
            <w14:solidFill>
              <w14:schemeClr w14:val="tx1"/>
            </w14:solidFill>
          </w14:textFill>
        </w:rPr>
        <w:t>绩效自评报告</w:t>
      </w:r>
    </w:p>
    <w:p>
      <w:pPr>
        <w:pStyle w:val="2"/>
        <w:keepNext w:val="0"/>
        <w:keepLines w:val="0"/>
        <w:pageBreakBefore w:val="0"/>
        <w:kinsoku/>
        <w:wordWrap/>
        <w:overflowPunct/>
        <w:topLinePunct w:val="0"/>
        <w:bidi w:val="0"/>
        <w:spacing w:after="0" w:line="576" w:lineRule="exact"/>
        <w:textAlignment w:val="auto"/>
        <w:rPr>
          <w:rFonts w:eastAsia="仿宋_GB2312"/>
          <w:color w:val="000000" w:themeColor="text1"/>
          <w:spacing w:val="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仿宋_GB2312" w:hAnsi="仿宋_GB2312" w:eastAsia="仿宋_GB2312" w:cs="仿宋_GB2312"/>
          <w:bCs/>
          <w:color w:val="000000" w:themeColor="text1"/>
          <w:spacing w:val="0"/>
          <w:sz w:val="32"/>
          <w:szCs w:val="32"/>
          <w14:textFill>
            <w14:solidFill>
              <w14:schemeClr w14:val="tx1"/>
            </w14:solidFill>
          </w14:textFill>
        </w:rPr>
        <w:t>区财政局：</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仿宋_GB2312" w:hAnsi="仿宋_GB2312" w:eastAsia="仿宋_GB2312" w:cs="仿宋_GB2312"/>
          <w:bCs/>
          <w:color w:val="000000" w:themeColor="text1"/>
          <w:spacing w:val="0"/>
          <w:sz w:val="32"/>
          <w:szCs w:val="32"/>
          <w:lang w:val="zh-CN"/>
          <w14:textFill>
            <w14:solidFill>
              <w14:schemeClr w14:val="tx1"/>
            </w14:solidFill>
          </w14:textFill>
        </w:rPr>
        <w:t>根据关于开展</w:t>
      </w:r>
      <w:r>
        <w:rPr>
          <w:rFonts w:hint="eastAsia" w:ascii="Times New Roman" w:hAnsi="Times New Roman" w:eastAsia="仿宋_GB2312" w:cs="仿宋_GB2312"/>
          <w:bCs/>
          <w:color w:val="000000" w:themeColor="text1"/>
          <w:spacing w:val="0"/>
          <w:sz w:val="32"/>
          <w:szCs w:val="32"/>
          <w:lang w:val="zh-CN"/>
          <w14:textFill>
            <w14:solidFill>
              <w14:schemeClr w14:val="tx1"/>
            </w14:solidFill>
          </w14:textFill>
        </w:rPr>
        <w:t>202</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zh-CN"/>
          <w14:textFill>
            <w14:solidFill>
              <w14:schemeClr w14:val="tx1"/>
            </w14:solidFill>
          </w14:textFill>
        </w:rPr>
        <w:t>年部门、政策和项目支出绩效评价工作的通知（昭财发〔</w:t>
      </w:r>
      <w:r>
        <w:rPr>
          <w:rFonts w:hint="eastAsia" w:ascii="Times New Roman" w:hAnsi="Times New Roman" w:eastAsia="仿宋_GB2312" w:cs="仿宋_GB2312"/>
          <w:bCs/>
          <w:color w:val="000000" w:themeColor="text1"/>
          <w:spacing w:val="0"/>
          <w:sz w:val="32"/>
          <w:szCs w:val="32"/>
          <w:lang w:val="zh-CN"/>
          <w14:textFill>
            <w14:solidFill>
              <w14:schemeClr w14:val="tx1"/>
            </w14:solidFill>
          </w14:textFill>
        </w:rPr>
        <w:t>202</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zh-CN"/>
          <w14:textFill>
            <w14:solidFill>
              <w14:schemeClr w14:val="tx1"/>
            </w14:solidFill>
          </w14:textFill>
        </w:rPr>
        <w:t>〕</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12</w:t>
      </w:r>
      <w:r>
        <w:rPr>
          <w:rFonts w:hint="eastAsia" w:ascii="仿宋_GB2312" w:hAnsi="仿宋_GB2312" w:eastAsia="仿宋_GB2312" w:cs="仿宋_GB2312"/>
          <w:bCs/>
          <w:color w:val="000000" w:themeColor="text1"/>
          <w:spacing w:val="0"/>
          <w:sz w:val="32"/>
          <w:szCs w:val="32"/>
          <w:lang w:val="zh-CN"/>
          <w14:textFill>
            <w14:solidFill>
              <w14:schemeClr w14:val="tx1"/>
            </w14:solidFill>
          </w14:textFill>
        </w:rPr>
        <w:t>号）文件精神，我部开展了部门整体支出绩效评价，</w:t>
      </w:r>
      <w:r>
        <w:rPr>
          <w:rFonts w:hint="eastAsia" w:ascii="仿宋_GB2312" w:hAnsi="仿宋_GB2312" w:eastAsia="仿宋_GB2312" w:cs="仿宋_GB2312"/>
          <w:bCs/>
          <w:color w:val="000000" w:themeColor="text1"/>
          <w:spacing w:val="0"/>
          <w:sz w:val="32"/>
          <w:szCs w:val="32"/>
          <w14:textFill>
            <w14:solidFill>
              <w14:schemeClr w14:val="tx1"/>
            </w14:solidFill>
          </w14:textFill>
        </w:rPr>
        <w:t>现将</w:t>
      </w:r>
      <w:r>
        <w:rPr>
          <w:rFonts w:hint="eastAsia" w:ascii="Times New Roman" w:hAnsi="Times New Roman" w:eastAsia="仿宋_GB2312" w:cs="仿宋_GB2312"/>
          <w:bCs/>
          <w:color w:val="000000" w:themeColor="text1"/>
          <w:spacing w:val="0"/>
          <w:sz w:val="32"/>
          <w:szCs w:val="32"/>
          <w14:textFill>
            <w14:solidFill>
              <w14:schemeClr w14:val="tx1"/>
            </w14:solidFill>
          </w14:textFill>
        </w:rPr>
        <w:t>202</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14:textFill>
            <w14:solidFill>
              <w14:schemeClr w14:val="tx1"/>
            </w14:solidFill>
          </w14:textFill>
        </w:rPr>
        <w:t>年部门整体支出绩效自评情况报告如下：</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color w:val="000000" w:themeColor="text1"/>
          <w:spacing w:val="0"/>
          <w:sz w:val="32"/>
          <w:szCs w:val="32"/>
          <w14:textFill>
            <w14:solidFill>
              <w14:schemeClr w14:val="tx1"/>
            </w14:solidFill>
          </w14:textFill>
        </w:rPr>
      </w:pPr>
      <w:r>
        <w:rPr>
          <w:rFonts w:hint="default" w:ascii="Times New Roman" w:hAnsi="Times New Roman" w:eastAsia="黑体" w:cs="Times New Roman"/>
          <w:color w:val="000000" w:themeColor="text1"/>
          <w:spacing w:val="0"/>
          <w:sz w:val="32"/>
          <w:szCs w:val="32"/>
          <w14:textFill>
            <w14:solidFill>
              <w14:schemeClr w14:val="tx1"/>
            </w14:solidFill>
          </w14:textFill>
        </w:rPr>
        <w:t>一、</w:t>
      </w:r>
      <w:r>
        <w:rPr>
          <w:rFonts w:hint="eastAsia" w:eastAsia="黑体" w:cs="Times New Roman"/>
          <w:color w:val="000000" w:themeColor="text1"/>
          <w:spacing w:val="0"/>
          <w:sz w:val="32"/>
          <w:szCs w:val="32"/>
          <w:lang w:eastAsia="zh-CN"/>
          <w14:textFill>
            <w14:solidFill>
              <w14:schemeClr w14:val="tx1"/>
            </w14:solidFill>
          </w14:textFill>
        </w:rPr>
        <w:t>预算单位</w:t>
      </w:r>
      <w:r>
        <w:rPr>
          <w:rFonts w:hint="default" w:ascii="Times New Roman" w:hAnsi="Times New Roman" w:eastAsia="黑体" w:cs="Times New Roman"/>
          <w:color w:val="000000" w:themeColor="text1"/>
          <w:spacing w:val="0"/>
          <w:sz w:val="32"/>
          <w:szCs w:val="32"/>
          <w14:textFill>
            <w14:solidFill>
              <w14:schemeClr w14:val="tx1"/>
            </w14:solidFill>
          </w14:textFill>
        </w:rPr>
        <w:t>概况</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14:textFill>
            <w14:solidFill>
              <w14:schemeClr w14:val="tx1"/>
            </w14:solidFill>
          </w14:textFill>
        </w:rPr>
        <w:t>（</w:t>
      </w: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一</w:t>
      </w:r>
      <w:r>
        <w:rPr>
          <w:rFonts w:hint="eastAsia" w:ascii="楷体_GB2312" w:hAnsi="楷体_GB2312" w:eastAsia="楷体_GB2312" w:cs="楷体_GB2312"/>
          <w:b w:val="0"/>
          <w:bCs/>
          <w:color w:val="000000" w:themeColor="text1"/>
          <w:spacing w:val="0"/>
          <w:sz w:val="32"/>
          <w:szCs w:val="32"/>
          <w14:textFill>
            <w14:solidFill>
              <w14:schemeClr w14:val="tx1"/>
            </w14:solidFill>
          </w14:textFill>
        </w:rPr>
        <w:t>）机构</w:t>
      </w: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组成</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ascii="仿宋_GB2312" w:hAnsi="仿宋" w:eastAsia="仿宋_GB2312"/>
          <w:color w:val="000000" w:themeColor="text1"/>
          <w:spacing w:val="0"/>
          <w:sz w:val="32"/>
          <w:szCs w:val="32"/>
          <w14:textFill>
            <w14:solidFill>
              <w14:schemeClr w14:val="tx1"/>
            </w14:solidFill>
          </w14:textFill>
        </w:rPr>
      </w:pPr>
      <w:r>
        <w:rPr>
          <w:rFonts w:hint="eastAsia" w:ascii="仿宋_GB2312" w:hAnsi="仿宋_GB2312" w:eastAsia="仿宋_GB2312" w:cs="仿宋_GB2312"/>
          <w:bCs/>
          <w:color w:val="000000" w:themeColor="text1"/>
          <w:spacing w:val="0"/>
          <w:sz w:val="32"/>
          <w:szCs w:val="32"/>
          <w14:textFill>
            <w14:solidFill>
              <w14:schemeClr w14:val="tx1"/>
            </w14:solidFill>
          </w14:textFill>
        </w:rPr>
        <w:t>中共广元市昭化区委统一战线工作部（简称区委统战部）是区委主管统一战线工作的职能部门，为正科级，列区委工作机关序列。区委统战部统一领导民族宗教工作。区民族宗教事务局（简称区民族宗教局）与区委统战部合署办公，实行一套工作机构、两个机关名称。区委统战部统一管理侨务、台湾事务工作，对外挂广元市昭化区侨务办公室、中共广元市昭化区委台湾工作办公室（广元市昭化区政府台湾事务办公室）牌子，分别简称区侨务办、区委台办（区台办）。一级预算单位。</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（二）区委统战部主要职能</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贯彻落实加强党对统一战线工作集中统一领导的要求，发挥</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委在统战工作方面的参谋机构、组织协调机构、具体执行机构、督促检查机构作用，了解情况、掌握政策、协调关系、安排人事、增进共识、加强团结，协调统一战线各方面关系，组织落实党中央和省委、市委</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、区委</w:t>
      </w:r>
      <w:r>
        <w:rPr>
          <w:rFonts w:hint="eastAsia" w:ascii="仿宋_GB2312" w:hAnsi="仿宋_GB2312" w:eastAsia="仿宋_GB2312" w:cs="仿宋_GB2312"/>
          <w:bCs/>
          <w:color w:val="000000" w:themeColor="text1"/>
          <w:spacing w:val="0"/>
          <w:sz w:val="32"/>
          <w:szCs w:val="32"/>
          <w14:textFill>
            <w14:solidFill>
              <w14:schemeClr w14:val="tx1"/>
            </w14:solidFill>
          </w14:textFill>
        </w:rPr>
        <w:t>关于统一战线工作重大决策部署，巩固壮大最广泛的统一战线。</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研究拟订统一战线工作的政策和法规草案并推动落实，深入调查研究，及时向</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委报告统一战线工作情况并提出建议，统筹协调和指导各</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乡镇（街道）</w:t>
      </w:r>
      <w:r>
        <w:rPr>
          <w:rFonts w:hint="eastAsia" w:ascii="仿宋_GB2312" w:hAnsi="仿宋_GB2312" w:eastAsia="仿宋_GB2312" w:cs="仿宋_GB2312"/>
          <w:bCs/>
          <w:color w:val="000000" w:themeColor="text1"/>
          <w:spacing w:val="0"/>
          <w:sz w:val="32"/>
          <w:szCs w:val="32"/>
          <w14:textFill>
            <w14:solidFill>
              <w14:schemeClr w14:val="tx1"/>
            </w14:solidFill>
          </w14:textFill>
        </w:rPr>
        <w:t>、各部门（单位）统一战线工作。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发现、培养党外代表人士，制定党外干部培养规划，负责党外人士的政治安排，会同有关部门做好安排党外人士担任政府和司法机关等领导职务的工作，推动学校、人民团体、科研院所、国有企业党外干部安排工作。协助民主党派</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支部（社）</w:t>
      </w:r>
      <w:r>
        <w:rPr>
          <w:rFonts w:hint="eastAsia" w:ascii="仿宋_GB2312" w:hAnsi="仿宋_GB2312" w:eastAsia="仿宋_GB2312" w:cs="仿宋_GB2312"/>
          <w:bCs/>
          <w:color w:val="000000" w:themeColor="text1"/>
          <w:spacing w:val="0"/>
          <w:sz w:val="32"/>
          <w:szCs w:val="32"/>
          <w14:textFill>
            <w14:solidFill>
              <w14:schemeClr w14:val="tx1"/>
            </w14:solidFill>
          </w14:textFill>
        </w:rPr>
        <w:t>、</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工商联做好干部管理工作，反映和协调解决党外代表人士工作生活中的实际困难。</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4</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贯彻落实党的宣传工作方针，统筹推进全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统一战线宣传和意识形态工作，组织贯彻落实党中央、省委、市委</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、区委</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统一战线宣传工作政策和规划，统筹推进网络统战工作，研判涉及统一战线的舆情并协调有关部门应对处置。</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5</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各民主党派，通报情况、反映意见、制定年度政党协商计划，贯彻落实中国共产党领导的多党合作和政治协商制度以及对民主党派的方针政策，支持、帮助民主党派加强自身建设，做好支持民主党派履行职责、发挥作用的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贯彻落实党的民族工作方针，研究拟订民族工作中的政策和重大措施，协调处理民族工作中的重大问题，协调做好少数民族干部工作</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依法管理民族事务，全面促进民族事业发展。</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7</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贯彻落实党的宗教工作基本方针和政策，研究拟订宗教工作的重大政策措施并督促落实。依法管理宗教事务，保护公民宗教信仰自由和正常的宗教活动，维护宗教界合法权益，抵御境外利用宗教进行渗透，引导各宗教坚持中国化方向，巩固和发展同宗教界的爱国统一战线。</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8</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规范民间信仰活动，依法管理民间信仰，维护民间信仰信众的合法权益；挖掘民间信仰中的优秀传统文化资源，引导民间信仰信众爱国守法、团结友善，服务社会、维护和谐。</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9</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负责联系、培养无党派代表人士，支持、帮助无党派人士加强自身建设、发挥作用。调查研究全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党外知识分子情况并提出政策建议，联系、培养党外知识分子代表人士，开展思想政治工作，指导学校、科研院所、国有企业等有关单位开展统战工作。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10</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负责联系、培养新的社会阶层代表人士，支持、帮助新的社会阶层人士加强自身建设、发挥作用。调查研究全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新的社会阶层人士情况并提出政策建议，开展思想政治工作，指导社会组织开展新的社会阶层人士统战工作。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承担全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非公有制经济协调工作，负责全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非公有制经济代表人士工作，参与制定、推动落实鼓励支持引导非公有制经济发展的政策，调查研究全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非公有制经济人士情况并提出政策建议，了解和反映非公有制经济人士的意见，团结、服务、引导、教育非公有制经济人士，促进非公有制经济健康发展和非公有制经济人士健康成长。</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领导港澳统战工作。牵头开展港澳统战工作，贯彻落实党的海外统战工作政策和规划并组织协调、督促检查落实，会同有关部门对香港、澳门地区统一战线工作进行调查研究并提出政策建议，联系香港、澳门有关党派、团体及代表人士。</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统一管理台湾事务工作。贯彻落实党的对台工作方针政策，研究、拟订全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对台工作计划，经批准后组织实施。组织、指导、管理、协调</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级部门（单位）和各</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乡镇（街道）</w:t>
      </w:r>
      <w:r>
        <w:rPr>
          <w:rFonts w:hint="eastAsia" w:ascii="仿宋_GB2312" w:hAnsi="仿宋_GB2312" w:eastAsia="仿宋_GB2312" w:cs="仿宋_GB2312"/>
          <w:bCs/>
          <w:color w:val="000000" w:themeColor="text1"/>
          <w:spacing w:val="0"/>
          <w:sz w:val="32"/>
          <w:szCs w:val="32"/>
          <w14:textFill>
            <w14:solidFill>
              <w14:schemeClr w14:val="tx1"/>
            </w14:solidFill>
          </w14:textFill>
        </w:rPr>
        <w:t>对台工作，指导我</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各民主党派、工商联和其他人民团体有关重点人物、重大活动等方面的涉台工作。调查研究台湾形势和两岸关系发展动向及交流合作、人员往来发展情况，提出对策建议。</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广泛</w:t>
      </w:r>
      <w:r>
        <w:rPr>
          <w:rFonts w:hint="eastAsia" w:ascii="仿宋_GB2312" w:hAnsi="仿宋_GB2312" w:eastAsia="仿宋_GB2312" w:cs="仿宋_GB2312"/>
          <w:bCs/>
          <w:color w:val="000000" w:themeColor="text1"/>
          <w:spacing w:val="0"/>
          <w:sz w:val="32"/>
          <w:szCs w:val="32"/>
          <w14:textFill>
            <w14:solidFill>
              <w14:schemeClr w14:val="tx1"/>
            </w14:solidFill>
          </w14:textFill>
        </w:rPr>
        <w:t>开展交流联络活动，会同有关部门协调指导我</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对台经贸工作和金融、文化、学术、体育、科技、卫生等各个领域的交流与合作，以及</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相关</w:t>
      </w:r>
      <w:r>
        <w:rPr>
          <w:rFonts w:hint="eastAsia" w:ascii="仿宋_GB2312" w:hAnsi="仿宋_GB2312" w:eastAsia="仿宋_GB2312" w:cs="仿宋_GB2312"/>
          <w:bCs/>
          <w:color w:val="000000" w:themeColor="text1"/>
          <w:spacing w:val="0"/>
          <w:sz w:val="32"/>
          <w:szCs w:val="32"/>
          <w14:textFill>
            <w14:solidFill>
              <w14:schemeClr w14:val="tx1"/>
            </w14:solidFill>
          </w14:textFill>
        </w:rPr>
        <w:t>人员往来、考察、研讨等工作。指导全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对台宣传、涉台教育，负责有关台湾工作的新闻发布。统筹协调全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涉台法律事务，会同有关部门依法开展涉台权益保护工作。负责</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委对台工作领导小组办公室日常工作。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14</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统一管理侨务工作，贯彻落实党的侨务工作方针政策，负责起草涉侨地方性法规草案、拟订全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侨务工作规划并组织协调、督促检查落实，调查研究侨情和侨务工作情况，管理侨务事务，统筹协调有关部门和社会团体涉侨工作，联系海外有关侨团和代表人士，负责海外侨胞代表人士在相关统战团体的安排，指导推动涉侨宣传、文化交流、华文教育工作等，保护华侨和归侨侨眷在</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内的合法权利和利益。</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15</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受</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委委托，领导</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工商联党组，指导工商联工作。统一领导</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民族宗教工作。做好统一战线有关单位和团体及事业单位的管理工作。</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16</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14:textFill>
            <w14:solidFill>
              <w14:schemeClr w14:val="tx1"/>
            </w14:solidFill>
          </w14:textFill>
        </w:rPr>
        <w:t>完成</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区</w:t>
      </w:r>
      <w:r>
        <w:rPr>
          <w:rFonts w:hint="eastAsia" w:ascii="仿宋_GB2312" w:hAnsi="仿宋_GB2312" w:eastAsia="仿宋_GB2312" w:cs="仿宋_GB2312"/>
          <w:bCs/>
          <w:color w:val="000000" w:themeColor="text1"/>
          <w:spacing w:val="0"/>
          <w:sz w:val="32"/>
          <w:szCs w:val="32"/>
          <w14:textFill>
            <w14:solidFill>
              <w14:schemeClr w14:val="tx1"/>
            </w14:solidFill>
          </w14:textFill>
        </w:rPr>
        <w:t>委</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和上级统战部门</w:t>
      </w:r>
      <w:r>
        <w:rPr>
          <w:rFonts w:hint="eastAsia" w:ascii="仿宋_GB2312" w:hAnsi="仿宋_GB2312" w:eastAsia="仿宋_GB2312" w:cs="仿宋_GB2312"/>
          <w:bCs/>
          <w:color w:val="000000" w:themeColor="text1"/>
          <w:spacing w:val="0"/>
          <w:sz w:val="32"/>
          <w:szCs w:val="32"/>
          <w14:textFill>
            <w14:solidFill>
              <w14:schemeClr w14:val="tx1"/>
            </w14:solidFill>
          </w14:textFill>
        </w:rPr>
        <w:t>交办的其他任务。</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14:textFill>
            <w14:solidFill>
              <w14:schemeClr w14:val="tx1"/>
            </w14:solidFill>
          </w14:textFill>
        </w:rPr>
        <w:t>（</w:t>
      </w: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三</w:t>
      </w:r>
      <w:r>
        <w:rPr>
          <w:rFonts w:hint="eastAsia" w:ascii="楷体_GB2312" w:hAnsi="楷体_GB2312" w:eastAsia="楷体_GB2312" w:cs="楷体_GB2312"/>
          <w:b w:val="0"/>
          <w:bCs/>
          <w:color w:val="000000" w:themeColor="text1"/>
          <w:spacing w:val="0"/>
          <w:sz w:val="32"/>
          <w:szCs w:val="32"/>
          <w14:textFill>
            <w14:solidFill>
              <w14:schemeClr w14:val="tx1"/>
            </w14:solidFill>
          </w14:textFill>
        </w:rPr>
        <w:t>）人员概况</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bCs/>
          <w:color w:val="000000" w:themeColor="text1"/>
          <w:spacing w:val="0"/>
          <w:sz w:val="32"/>
          <w:szCs w:val="32"/>
          <w14:textFill>
            <w14:solidFill>
              <w14:schemeClr w14:val="tx1"/>
            </w14:solidFill>
          </w14:textFill>
        </w:rPr>
      </w:pP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中共广元市昭化区委统战部属一级预算单位，下设一室两股，分别是办公室</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、统战股</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和</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民宗股</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。与区民族宗教事务局合署办公。总编制</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10</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名，其中行政编制</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7</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名</w:t>
      </w:r>
      <w:r>
        <w:rPr>
          <w:rFonts w:hint="eastAsia" w:ascii="仿宋_GB2312" w:hAnsi="仿宋_GB2312" w:eastAsia="仿宋_GB2312" w:cs="仿宋_GB2312"/>
          <w:bCs/>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事业编制</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在职人员总数</w:t>
      </w:r>
      <w:r>
        <w:rPr>
          <w:rFonts w:hint="eastAsia" w:eastAsia="仿宋_GB2312" w:cs="仿宋_GB2312"/>
          <w:bCs/>
          <w:color w:val="000000" w:themeColor="text1"/>
          <w:spacing w:val="0"/>
          <w:sz w:val="32"/>
          <w:szCs w:val="32"/>
          <w:lang w:val="en-US" w:eastAsia="zh-CN"/>
          <w14:textFill>
            <w14:solidFill>
              <w14:schemeClr w14:val="tx1"/>
            </w14:solidFill>
          </w14:textFill>
        </w:rPr>
        <w:t>8</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人，其中行政人员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6</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人，事业人员</w:t>
      </w:r>
      <w:r>
        <w:rPr>
          <w:rFonts w:hint="eastAsia" w:eastAsia="仿宋_GB2312" w:cs="仿宋_GB2312"/>
          <w:bCs/>
          <w:color w:val="000000" w:themeColor="text1"/>
          <w:spacing w:val="0"/>
          <w:sz w:val="32"/>
          <w:szCs w:val="32"/>
          <w:lang w:val="en-US" w:eastAsia="zh-CN"/>
          <w14:textFill>
            <w14:solidFill>
              <w14:schemeClr w14:val="tx1"/>
            </w14:solidFill>
          </w14:textFill>
        </w:rPr>
        <w:t>2</w:t>
      </w:r>
      <w:r>
        <w:rPr>
          <w:rFonts w:hint="default" w:ascii="仿宋_GB2312" w:hAnsi="仿宋_GB2312" w:eastAsia="仿宋_GB2312" w:cs="仿宋_GB2312"/>
          <w:bCs/>
          <w:color w:val="000000" w:themeColor="text1"/>
          <w:spacing w:val="0"/>
          <w:sz w:val="32"/>
          <w:szCs w:val="32"/>
          <w:lang w:val="en-US" w:eastAsia="zh-CN"/>
          <w14:textFill>
            <w14:solidFill>
              <w14:schemeClr w14:val="tx1"/>
            </w14:solidFill>
          </w14:textFill>
        </w:rPr>
        <w:t>人</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；退休人员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default" w:ascii="仿宋_GB2312" w:hAnsi="仿宋_GB2312" w:eastAsia="仿宋_GB2312" w:cs="仿宋_GB2312"/>
          <w:bCs/>
          <w:color w:val="000000" w:themeColor="text1"/>
          <w:spacing w:val="0"/>
          <w:sz w:val="32"/>
          <w:szCs w:val="32"/>
          <w:lang w:eastAsia="zh-CN"/>
          <w14:textFill>
            <w14:solidFill>
              <w14:schemeClr w14:val="tx1"/>
            </w14:solidFill>
          </w14:textFill>
        </w:rPr>
        <w:t>人。</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年末实有在职编制内人员</w:t>
      </w:r>
      <w:r>
        <w:rPr>
          <w:rFonts w:hint="eastAsia" w:eastAsia="仿宋_GB2312" w:cs="仿宋_GB2312"/>
          <w:bCs/>
          <w:color w:val="000000" w:themeColor="text1"/>
          <w:spacing w:val="0"/>
          <w:sz w:val="32"/>
          <w:szCs w:val="32"/>
          <w:lang w:val="en-US" w:eastAsia="zh-CN"/>
          <w14:textFill>
            <w14:solidFill>
              <w14:schemeClr w14:val="tx1"/>
            </w14:solidFill>
          </w14:textFill>
        </w:rPr>
        <w:t>8</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人，其中行政编制</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人（副县级领导干部</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人，四级调研员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人，一级主任科员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人，副科级领导干部</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人，四级主任科员</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人），事业编制</w:t>
      </w:r>
      <w:r>
        <w:rPr>
          <w:rFonts w:hint="eastAsia" w:eastAsia="仿宋_GB2312" w:cs="仿宋_GB2312"/>
          <w:bCs/>
          <w:color w:val="000000" w:themeColor="text1"/>
          <w:spacing w:val="0"/>
          <w:sz w:val="32"/>
          <w:szCs w:val="32"/>
          <w:lang w:val="en-US" w:eastAsia="zh-CN"/>
          <w14:textFill>
            <w14:solidFill>
              <w14:schemeClr w14:val="tx1"/>
            </w14:solidFill>
          </w14:textFill>
        </w:rPr>
        <w:t>2</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人，均为财政全额供给行政人员。退休</w:t>
      </w:r>
      <w:r>
        <w:rPr>
          <w:rFonts w:hint="eastAsia" w:ascii="Times New Roman" w:hAnsi="Times New Roman" w:eastAsia="仿宋_GB2312" w:cs="仿宋_GB2312"/>
          <w:bCs/>
          <w:color w:val="000000" w:themeColor="text1"/>
          <w:spacing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pacing w:val="0"/>
          <w:sz w:val="32"/>
          <w:szCs w:val="32"/>
          <w:lang w:val="en-US" w:eastAsia="zh-CN"/>
          <w14:textFill>
            <w14:solidFill>
              <w14:schemeClr w14:val="tx1"/>
            </w14:solidFill>
          </w14:textFill>
        </w:rPr>
        <w:t>人，系行政人员。</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color w:val="000000" w:themeColor="text1"/>
          <w:spacing w:val="0"/>
          <w:sz w:val="32"/>
          <w:szCs w:val="32"/>
          <w14:textFill>
            <w14:solidFill>
              <w14:schemeClr w14:val="tx1"/>
            </w14:solidFill>
          </w14:textFill>
        </w:rPr>
      </w:pPr>
      <w:r>
        <w:rPr>
          <w:rFonts w:hint="default" w:ascii="Times New Roman" w:hAnsi="Times New Roman" w:eastAsia="黑体" w:cs="Times New Roman"/>
          <w:color w:val="000000" w:themeColor="text1"/>
          <w:spacing w:val="0"/>
          <w:sz w:val="32"/>
          <w:szCs w:val="32"/>
          <w14:textFill>
            <w14:solidFill>
              <w14:schemeClr w14:val="tx1"/>
            </w14:solidFill>
          </w14:textFill>
        </w:rPr>
        <w:t>二、</w:t>
      </w:r>
      <w:r>
        <w:rPr>
          <w:rFonts w:hint="eastAsia" w:eastAsia="黑体" w:cs="Times New Roman"/>
          <w:color w:val="000000" w:themeColor="text1"/>
          <w:spacing w:val="0"/>
          <w:sz w:val="32"/>
          <w:szCs w:val="32"/>
          <w:lang w:eastAsia="zh-CN"/>
          <w14:textFill>
            <w14:solidFill>
              <w14:schemeClr w14:val="tx1"/>
            </w14:solidFill>
          </w14:textFill>
        </w:rPr>
        <w:t>预算单位</w:t>
      </w:r>
      <w:r>
        <w:rPr>
          <w:rFonts w:hint="default" w:ascii="Times New Roman" w:hAnsi="Times New Roman" w:eastAsia="黑体" w:cs="Times New Roman"/>
          <w:color w:val="000000" w:themeColor="text1"/>
          <w:spacing w:val="0"/>
          <w:sz w:val="32"/>
          <w:szCs w:val="32"/>
          <w14:textFill>
            <w14:solidFill>
              <w14:schemeClr w14:val="tx1"/>
            </w14:solidFill>
          </w14:textFill>
        </w:rPr>
        <w:t>财政</w:t>
      </w:r>
      <w:r>
        <w:rPr>
          <w:rFonts w:hint="eastAsia" w:eastAsia="黑体" w:cs="Times New Roman"/>
          <w:color w:val="000000" w:themeColor="text1"/>
          <w:spacing w:val="0"/>
          <w:sz w:val="32"/>
          <w:szCs w:val="32"/>
          <w:lang w:eastAsia="zh-CN"/>
          <w14:textFill>
            <w14:solidFill>
              <w14:schemeClr w14:val="tx1"/>
            </w14:solidFill>
          </w14:textFill>
        </w:rPr>
        <w:t>收支</w:t>
      </w:r>
      <w:r>
        <w:rPr>
          <w:rFonts w:hint="default" w:ascii="Times New Roman" w:hAnsi="Times New Roman" w:eastAsia="黑体" w:cs="Times New Roman"/>
          <w:color w:val="000000" w:themeColor="text1"/>
          <w:spacing w:val="0"/>
          <w:sz w:val="32"/>
          <w:szCs w:val="32"/>
          <w14:textFill>
            <w14:solidFill>
              <w14:schemeClr w14:val="tx1"/>
            </w14:solidFill>
          </w14:textFill>
        </w:rPr>
        <w:t>情况</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t>（一）单位财政资金收入情况</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2022年区委统战部年初预算收入合计222.73万元，其中：一般公共预算财政拨款收入222.73万元。中途追加一般公共预算财政拨款收入36.53万元，追加政府性基本预算财政拨款收入36.53万元。最终，</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202</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年</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区委统战部年初</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预算收入合计</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259.26</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（其中项目</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108</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万元）万元，一般公共预算</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财政拨款收入259.26（其中项目108万元）万元。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t>（二）单位财政支出情况</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区委统战部2022年年初预算支出合计259.26万元，其中：一般公共预算财政拨款支出259.26万元。中途追加一般公共预算财政拨款支出36.53万元，最终，2022年本年支出合计259.26万元，其中：人员经费支出126.8万元，日常公用经费支出24.46万元，项目支出108万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eastAsia="仿宋_GB2312"/>
          <w:color w:val="000000" w:themeColor="text1"/>
          <w:spacing w:val="0"/>
          <w:lang w:eastAsia="zh-CN"/>
          <w14:textFill>
            <w14:solidFill>
              <w14:schemeClr w14:val="tx1"/>
            </w14:solidFill>
          </w14:textFill>
        </w:rPr>
      </w:pPr>
      <w:r>
        <w:rPr>
          <w:rFonts w:hint="eastAsia" w:ascii="黑体" w:hAnsi="黑体" w:eastAsia="黑体" w:cs="黑体"/>
          <w:i w:val="0"/>
          <w:caps w:val="0"/>
          <w:color w:val="000000" w:themeColor="text1"/>
          <w:spacing w:val="0"/>
          <w:kern w:val="0"/>
          <w:sz w:val="32"/>
          <w:szCs w:val="32"/>
          <w:shd w:val="clear" w:color="auto" w:fill="FFFFFF"/>
          <w:lang w:val="en-US" w:eastAsia="zh-CN" w:bidi="ar"/>
          <w14:textFill>
            <w14:solidFill>
              <w14:schemeClr w14:val="tx1"/>
            </w14:solidFill>
          </w14:textFill>
        </w:rPr>
        <w:t>三、</w:t>
      </w:r>
      <w:r>
        <w:rPr>
          <w:rFonts w:hint="eastAsia" w:ascii="黑体" w:hAnsi="黑体" w:eastAsia="黑体" w:cs="黑体"/>
          <w:color w:val="000000" w:themeColor="text1"/>
          <w:spacing w:val="0"/>
          <w:sz w:val="32"/>
          <w:szCs w:val="32"/>
          <w:lang w:eastAsia="zh-CN"/>
          <w14:textFill>
            <w14:solidFill>
              <w14:schemeClr w14:val="tx1"/>
            </w14:solidFill>
          </w14:textFill>
        </w:rPr>
        <w:t>部门整体预算绩效管理情况</w:t>
      </w:r>
      <w:r>
        <w:rPr>
          <w:rFonts w:hint="eastAsia" w:eastAsia="仿宋_GB2312" w:cs="Times New Roman"/>
          <w:b w:val="0"/>
          <w:bCs w:val="0"/>
          <w:color w:val="000000" w:themeColor="text1"/>
          <w:spacing w:val="0"/>
          <w:sz w:val="32"/>
          <w:szCs w:val="32"/>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_GB2312" w:hAnsi="楷体_GB2312" w:eastAsia="楷体_GB2312" w:cs="楷体_GB2312"/>
          <w:b w:val="0"/>
          <w:bCs/>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t>（一）部门预算项目绩效管理</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仿宋_GB2312" w:eastAsia="仿宋_GB2312" w:cs="仿宋_GB2312"/>
          <w:b w:val="0"/>
          <w:bCs w:val="0"/>
          <w:color w:val="000000" w:themeColor="text1"/>
          <w:spacing w:val="0"/>
          <w:sz w:val="32"/>
          <w:szCs w:val="32"/>
          <w:lang w:eastAsia="zh-CN"/>
          <w14:textFill>
            <w14:solidFill>
              <w14:schemeClr w14:val="tx1"/>
            </w14:solidFill>
          </w14:textFill>
        </w:rPr>
      </w:pPr>
      <w:r>
        <w:rPr>
          <w:rFonts w:hint="eastAsia" w:ascii="Times New Roman" w:hAnsi="Times New Roman" w:eastAsia="仿宋_GB2312" w:cs="仿宋_GB2312"/>
          <w:b w:val="0"/>
          <w:bCs w:val="0"/>
          <w:color w:val="000000" w:themeColor="text1"/>
          <w:spacing w:val="0"/>
          <w:sz w:val="32"/>
          <w:szCs w:val="32"/>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pacing w:val="0"/>
          <w:sz w:val="32"/>
          <w:szCs w:val="32"/>
          <w:lang w:val="en-US" w:eastAsia="zh-CN"/>
          <w14:textFill>
            <w14:solidFill>
              <w14:schemeClr w14:val="tx1"/>
            </w14:solidFill>
          </w14:textFill>
        </w:rPr>
        <w:t>.部门绩效目标制定其情况</w:t>
      </w:r>
      <w:r>
        <w:rPr>
          <w:rFonts w:hint="eastAsia" w:ascii="仿宋_GB2312" w:hAnsi="仿宋_GB2312" w:eastAsia="仿宋_GB2312" w:cs="仿宋_GB2312"/>
          <w:b w:val="0"/>
          <w:bCs w:val="0"/>
          <w:color w:val="000000" w:themeColor="text1"/>
          <w:spacing w:val="0"/>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仿宋_GB2312" w:hAnsi="仿宋_GB2312" w:eastAsia="仿宋_GB2312" w:cs="仿宋_GB2312"/>
          <w:b w:val="0"/>
          <w:bCs w:val="0"/>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b w:val="0"/>
          <w:bCs w:val="0"/>
          <w:color w:val="000000" w:themeColor="text1"/>
          <w:spacing w:val="0"/>
          <w:sz w:val="32"/>
          <w:szCs w:val="32"/>
          <w:lang w:eastAsia="zh-CN"/>
          <w14:textFill>
            <w14:solidFill>
              <w14:schemeClr w14:val="tx1"/>
            </w14:solidFill>
          </w14:textFill>
        </w:rPr>
        <w:t>我部高度重视预算绩效管理工作，</w:t>
      </w:r>
      <w:r>
        <w:rPr>
          <w:rFonts w:hint="default"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依据</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区委区政府下达的年度综合目标任务</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结合我部</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职能职责，从产出指标、效益指标、满意度指标</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等方面</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制定了绩效目标，全面实现了要素完整、指标细化量化的</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具体</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要求，</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部务会议讨论通过后进行了申报</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，绩效目标具体如下：</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促进民族宗教和顺稳定，持续开展民族团结进步宣传教育和宗教工作法制化建设，促进民族宗教发展和顺和睦，加强对昭化15各宗教场所规范化管理，加大非法宗教活动、非法宣传活动打击力度，提高防邪、反恐、禁毒知识专题培训和反恐演练开展频次；做好民主党派、新联会、知联会等工作，全年继续对5个民主党派、新联会、知联会等持续深化党史学习教育，召开各类专题学习培训30余次，强化对统战成员的政治动员、政治引领、政治教育，引导全区统一战线坚定不移听党话、跟党走，做到思想一致、声音一致、步调一致；做好港澳台侨等海外统战工作，坚持从政治高度重视新时代统一战线法宝作用，聚焦聚力昭化经济社会发展战略部署，充分发挥统一战线人才荟萃、智力密集、联系广泛优势，做好港澳台侨等海外统战工作，不断提升统一战线对全局工作的贡献率；打造好示范基地，以“五大建设”为着力点，以示范创建为抓手，注重守正创新，推动昭化7个基层统战工作高质量发展，打造1—2个“五好”基层商会，打造1个新的社会阶层人士实践创新基地，继续打造小寺山基地；发放在职人员工资，缴纳职工保险及住房公积金等，充分保障机关9名职工的工资及社会保障缴费、日常办公所需支出，保证工作正常开展。</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2.部门绩效目标实现情况。一是人员类绩效目标实现情况，人员类支出126.8万元，</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主要包括</w:t>
      </w:r>
      <w:r>
        <w:rPr>
          <w:rFonts w:hint="eastAsia" w:eastAsia="仿宋_GB2312" w:cs="Times New Roman"/>
          <w:color w:val="000000" w:themeColor="text1"/>
          <w:spacing w:val="0"/>
          <w:sz w:val="32"/>
          <w:szCs w:val="32"/>
          <w:shd w:val="clear" w:color="auto" w:fill="FFFFFF"/>
          <w:lang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基本工资、津贴补贴、奖金、机关事业单位基本养老保险缴费、职业年金缴费、职工基本医疗保险缴费、其他社会保障缴费、住房公积金、其他工资福利支出</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和对个人和家庭的补助。该项经费有效保障了区委统战部共有在职人员9人的工资福利和对个人家庭的补助资金，人员经费发放及时，单位职工满意度为100%，圆满完成了人员经费的绩效目标任务。二是运转类经费绩效目标实现情况，单位定额公用经费及其他运转类经费，共计支出24.46万元，主要用于保障单位运转及工作开展的水电、办公、打印、差旅等费用支出，</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部门</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运转类目标绩效</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良好，各项指标均达到预期效果。民族宗教事务，民主党派、港澳台侨、</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民营经济</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等工作开展顺利开展。</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常态化实施乡村振兴联村帮扶、“红色星期六”党员志愿服务等活动，对城区公共区域进行环境卫生综合整治。三是项目类绩效目标实现情况，项目类支出108万元。</w:t>
      </w:r>
      <w:r>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项目通过</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区委统战部</w:t>
      </w:r>
      <w:r>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实施，持续推进民族宗教工作，确保民族宗教领域和睦和顺</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区海外统战工作协作机制高效有序运转；区新联会经常开展献爱心活动，从实际上帮助困难群众解决很多问题，得到一致好评；发挥民主党派建言献策直通车作用，高质量撰写提案、建议、社情民意等100余件，调研报告10余篇，提高建言献策质量；对小寺山爱国主义教育基地及周边环境卫生管理、安全隐患防控、日常秩序维持日常管护，得到了社会各界高度赞誉；成立“九广合作”办公室，“九广合作”的深度和广度进一步拓展。</w:t>
      </w:r>
      <w:r>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项目具有良好的经济、社会、生态效益。提升了人居环境质量，广大群众满意度较高。</w:t>
      </w:r>
    </w:p>
    <w:p>
      <w:pPr>
        <w:keepNext w:val="0"/>
        <w:keepLines w:val="0"/>
        <w:pageBreakBefore w:val="0"/>
        <w:widowControl w:val="0"/>
        <w:kinsoku/>
        <w:wordWrap/>
        <w:overflowPunct/>
        <w:topLinePunct w:val="0"/>
        <w:autoSpaceDE/>
        <w:autoSpaceDN/>
        <w:bidi w:val="0"/>
        <w:adjustRightInd/>
        <w:snapToGrid/>
        <w:spacing w:line="576" w:lineRule="exact"/>
        <w:ind w:left="0" w:firstLine="640" w:firstLineChars="200"/>
        <w:jc w:val="both"/>
        <w:textAlignment w:val="auto"/>
        <w:rPr>
          <w:rFonts w:hint="default"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3.</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支出控制</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firstLine="640" w:firstLineChars="200"/>
        <w:jc w:val="both"/>
        <w:textAlignment w:val="auto"/>
        <w:rPr>
          <w:color w:val="000000" w:themeColor="text1"/>
          <w:spacing w:val="0"/>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通过预算数与决算数对比，公用经费相关科目偏差度如下：</w:t>
      </w:r>
    </w:p>
    <w:tbl>
      <w:tblPr>
        <w:tblStyle w:val="15"/>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78"/>
        <w:gridCol w:w="1921"/>
        <w:gridCol w:w="1796"/>
        <w:gridCol w:w="20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科目</w:t>
            </w:r>
          </w:p>
        </w:tc>
        <w:tc>
          <w:tcPr>
            <w:tcW w:w="10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预算数</w:t>
            </w:r>
          </w:p>
        </w:tc>
        <w:tc>
          <w:tcPr>
            <w:tcW w:w="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决算数</w:t>
            </w:r>
          </w:p>
        </w:tc>
        <w:tc>
          <w:tcPr>
            <w:tcW w:w="11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偏差度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办公费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67</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95</w:t>
            </w:r>
          </w:p>
        </w:tc>
        <w:tc>
          <w:tcPr>
            <w:tcW w:w="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63</w:t>
            </w:r>
            <w:r>
              <w:rPr>
                <w:rFonts w:hint="eastAsia" w:ascii="仿宋_GB2312" w:hAnsi="Calibri"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99</w:t>
            </w:r>
          </w:p>
        </w:tc>
        <w:tc>
          <w:tcPr>
            <w:tcW w:w="11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5</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8</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印刷费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15</w:t>
            </w:r>
          </w:p>
        </w:tc>
        <w:tc>
          <w:tcPr>
            <w:tcW w:w="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37</w:t>
            </w:r>
            <w:r>
              <w:rPr>
                <w:rFonts w:hint="eastAsia" w:ascii="仿宋_GB2312" w:hAnsi="Calibri"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highlight w:val="none"/>
                <w:u w:val="none"/>
                <w:lang w:val="en-US" w:eastAsia="zh-CN" w:bidi="ar"/>
                <w14:textFill>
                  <w14:solidFill>
                    <w14:schemeClr w14:val="tx1"/>
                  </w14:solidFill>
                </w14:textFill>
              </w:rPr>
              <w:t>59</w:t>
            </w:r>
          </w:p>
        </w:tc>
        <w:tc>
          <w:tcPr>
            <w:tcW w:w="11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default" w:ascii="仿宋_GB2312" w:hAnsi="Calibri"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150</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差旅费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20</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p>
        </w:tc>
        <w:tc>
          <w:tcPr>
            <w:tcW w:w="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11</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15</w:t>
            </w:r>
          </w:p>
        </w:tc>
        <w:tc>
          <w:tcPr>
            <w:tcW w:w="11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45</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3</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会议费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14</w:t>
            </w:r>
          </w:p>
        </w:tc>
        <w:tc>
          <w:tcPr>
            <w:tcW w:w="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9</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92</w:t>
            </w:r>
          </w:p>
        </w:tc>
        <w:tc>
          <w:tcPr>
            <w:tcW w:w="11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29</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培训费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17</w:t>
            </w:r>
          </w:p>
        </w:tc>
        <w:tc>
          <w:tcPr>
            <w:tcW w:w="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0</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21</w:t>
            </w:r>
          </w:p>
        </w:tc>
        <w:tc>
          <w:tcPr>
            <w:tcW w:w="11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98</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8</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公务接待费</w:t>
            </w:r>
          </w:p>
        </w:tc>
        <w:tc>
          <w:tcPr>
            <w:tcW w:w="10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6</w:t>
            </w:r>
          </w:p>
        </w:tc>
        <w:tc>
          <w:tcPr>
            <w:tcW w:w="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6</w:t>
            </w:r>
          </w:p>
        </w:tc>
        <w:tc>
          <w:tcPr>
            <w:tcW w:w="11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0</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8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cs="仿宋_GB2312"/>
                <w:i w:val="0"/>
                <w:iCs w:val="0"/>
                <w:color w:val="000000" w:themeColor="text1"/>
                <w:spacing w:val="0"/>
                <w:sz w:val="21"/>
                <w:szCs w:val="21"/>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对个人和家庭的补助</w:t>
            </w:r>
          </w:p>
        </w:tc>
        <w:tc>
          <w:tcPr>
            <w:tcW w:w="10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01</w:t>
            </w:r>
          </w:p>
        </w:tc>
        <w:tc>
          <w:tcPr>
            <w:tcW w:w="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4</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5</w:t>
            </w:r>
          </w:p>
        </w:tc>
        <w:tc>
          <w:tcPr>
            <w:tcW w:w="11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pP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12</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highlight w:val="none"/>
                <w:u w:val="none"/>
                <w:lang w:val="en-US" w:eastAsia="zh-CN"/>
                <w14:textFill>
                  <w14:solidFill>
                    <w14:schemeClr w14:val="tx1"/>
                  </w14:solidFill>
                </w14:textFill>
              </w:rPr>
              <w:t>2</w:t>
            </w:r>
            <w:r>
              <w:rPr>
                <w:rFonts w:hint="eastAsia" w:ascii="仿宋_GB2312" w:hAnsi="Calibri" w:eastAsia="仿宋_GB2312" w:cs="仿宋_GB2312"/>
                <w:i w:val="0"/>
                <w:iCs w:val="0"/>
                <w:color w:val="000000" w:themeColor="text1"/>
                <w:spacing w:val="0"/>
                <w:sz w:val="21"/>
                <w:szCs w:val="21"/>
                <w:highlight w:val="none"/>
                <w:u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09"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仿宋_GB2312" w:hAnsi="Calibri"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Calibri" w:eastAsia="仿宋_GB2312" w:cs="仿宋_GB2312"/>
                <w:i w:val="0"/>
                <w:iCs w:val="0"/>
                <w:color w:val="000000" w:themeColor="text1"/>
                <w:spacing w:val="0"/>
                <w:kern w:val="0"/>
                <w:sz w:val="21"/>
                <w:szCs w:val="21"/>
                <w:u w:val="none"/>
                <w:lang w:val="en-US" w:eastAsia="zh-CN" w:bidi="ar"/>
                <w14:textFill>
                  <w14:solidFill>
                    <w14:schemeClr w14:val="tx1"/>
                  </w14:solidFill>
                </w14:textFill>
              </w:rPr>
              <w:t>合计</w:t>
            </w:r>
          </w:p>
        </w:tc>
        <w:tc>
          <w:tcPr>
            <w:tcW w:w="106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142</w:t>
            </w: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96</w:t>
            </w:r>
          </w:p>
        </w:tc>
        <w:tc>
          <w:tcPr>
            <w:tcW w:w="9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default"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131</w:t>
            </w: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96</w:t>
            </w:r>
          </w:p>
        </w:tc>
        <w:tc>
          <w:tcPr>
            <w:tcW w:w="113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right"/>
              <w:textAlignment w:val="center"/>
              <w:rPr>
                <w:rFonts w:hint="default"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7</w:t>
            </w: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7</w:t>
            </w:r>
            <w:r>
              <w:rPr>
                <w:rFonts w:hint="eastAsia" w:ascii="仿宋_GB2312" w:hAnsi="Calibri" w:eastAsia="仿宋_GB2312" w:cs="仿宋_GB2312"/>
                <w:i w:val="0"/>
                <w:iCs w:val="0"/>
                <w:color w:val="000000" w:themeColor="text1"/>
                <w:spacing w:val="0"/>
                <w:sz w:val="21"/>
                <w:szCs w:val="21"/>
                <w:u w:val="none"/>
                <w:lang w:val="en-US"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按照权重不同综合计算，预决算偏差度为：7</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7%</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4.</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及时处置</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我</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部</w:t>
      </w:r>
      <w:r>
        <w:rPr>
          <w:rFonts w:hint="eastAsia" w:ascii="仿宋_GB2312" w:hAnsi="仿宋_GB2312" w:eastAsia="仿宋_GB2312" w:cs="仿宋_GB2312"/>
          <w:color w:val="000000" w:themeColor="text1"/>
          <w:spacing w:val="0"/>
          <w:sz w:val="32"/>
          <w:szCs w:val="32"/>
          <w14:textFill>
            <w14:solidFill>
              <w14:schemeClr w14:val="tx1"/>
            </w14:solidFill>
          </w14:textFill>
        </w:rPr>
        <w:t>绩效监控调整取消额与结余注销额</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均为零</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5.</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执行进度</w:t>
      </w:r>
    </w:p>
    <w:tbl>
      <w:tblPr>
        <w:tblStyle w:val="15"/>
        <w:tblW w:w="50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62"/>
        <w:gridCol w:w="1255"/>
        <w:gridCol w:w="1349"/>
        <w:gridCol w:w="1068"/>
        <w:gridCol w:w="1427"/>
        <w:gridCol w:w="1286"/>
        <w:gridCol w:w="15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5000" w:type="pct"/>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预算执行进度表（单位：万元）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vMerge w:val="restart"/>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p>
        </w:tc>
        <w:tc>
          <w:tcPr>
            <w:tcW w:w="1434"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人员经费</w:t>
            </w:r>
          </w:p>
        </w:tc>
        <w:tc>
          <w:tcPr>
            <w:tcW w:w="1374"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日常公用经费</w:t>
            </w:r>
          </w:p>
        </w:tc>
        <w:tc>
          <w:tcPr>
            <w:tcW w:w="1550"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vMerge w:val="continue"/>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p>
        </w:tc>
        <w:tc>
          <w:tcPr>
            <w:tcW w:w="6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金额</w:t>
            </w:r>
          </w:p>
        </w:tc>
        <w:tc>
          <w:tcPr>
            <w:tcW w:w="7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进度</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金额</w:t>
            </w:r>
          </w:p>
        </w:tc>
        <w:tc>
          <w:tcPr>
            <w:tcW w:w="7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进度</w:t>
            </w:r>
          </w:p>
        </w:tc>
        <w:tc>
          <w:tcPr>
            <w:tcW w:w="70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金额</w:t>
            </w:r>
          </w:p>
        </w:tc>
        <w:tc>
          <w:tcPr>
            <w:tcW w:w="8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iCs w:val="0"/>
                <w:color w:val="000000" w:themeColor="text1"/>
                <w:spacing w:val="0"/>
                <w:sz w:val="21"/>
                <w:szCs w:val="21"/>
                <w:u w:val="none"/>
                <w14:textFill>
                  <w14:solidFill>
                    <w14:schemeClr w14:val="tx1"/>
                  </w14:solidFill>
                </w14:textFill>
              </w:rPr>
            </w:pPr>
            <w:r>
              <w:rPr>
                <w:rFonts w:hint="eastAsia" w:ascii="黑体" w:hAnsi="黑体" w:eastAsia="黑体" w:cs="黑体"/>
                <w:i w:val="0"/>
                <w:iCs w:val="0"/>
                <w:color w:val="000000" w:themeColor="text1"/>
                <w:spacing w:val="0"/>
                <w:kern w:val="0"/>
                <w:sz w:val="21"/>
                <w:szCs w:val="21"/>
                <w:u w:val="none"/>
                <w:lang w:val="en-US" w:eastAsia="zh-CN" w:bidi="ar"/>
                <w14:textFill>
                  <w14:solidFill>
                    <w14:schemeClr w14:val="tx1"/>
                  </w14:solidFill>
                </w14:textFill>
              </w:rPr>
              <w:t>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tcBorders>
              <w:top w:val="single" w:color="000000" w:sz="4" w:space="0"/>
              <w:left w:val="single" w:color="000000" w:sz="4" w:space="0"/>
              <w:bottom w:val="nil"/>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预算</w:t>
            </w:r>
          </w:p>
        </w:tc>
        <w:tc>
          <w:tcPr>
            <w:tcW w:w="6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126</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8</w:t>
            </w:r>
          </w:p>
        </w:tc>
        <w:tc>
          <w:tcPr>
            <w:tcW w:w="7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24</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46</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 xml:space="preserve"> </w:t>
            </w:r>
          </w:p>
        </w:tc>
        <w:tc>
          <w:tcPr>
            <w:tcW w:w="7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p>
        </w:tc>
        <w:tc>
          <w:tcPr>
            <w:tcW w:w="70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151</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26</w:t>
            </w:r>
          </w:p>
        </w:tc>
        <w:tc>
          <w:tcPr>
            <w:tcW w:w="8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6</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月</w:t>
            </w:r>
          </w:p>
        </w:tc>
        <w:tc>
          <w:tcPr>
            <w:tcW w:w="6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27</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79</w:t>
            </w:r>
          </w:p>
        </w:tc>
        <w:tc>
          <w:tcPr>
            <w:tcW w:w="7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21</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9</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6</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36</w:t>
            </w:r>
          </w:p>
        </w:tc>
        <w:tc>
          <w:tcPr>
            <w:tcW w:w="7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26</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70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34</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15</w:t>
            </w:r>
          </w:p>
        </w:tc>
        <w:tc>
          <w:tcPr>
            <w:tcW w:w="8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22</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58</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9</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月</w:t>
            </w:r>
          </w:p>
        </w:tc>
        <w:tc>
          <w:tcPr>
            <w:tcW w:w="6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68</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79</w:t>
            </w:r>
          </w:p>
        </w:tc>
        <w:tc>
          <w:tcPr>
            <w:tcW w:w="7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54</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25</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12</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81</w:t>
            </w:r>
          </w:p>
        </w:tc>
        <w:tc>
          <w:tcPr>
            <w:tcW w:w="7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52</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37</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70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81</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6</w:t>
            </w:r>
          </w:p>
        </w:tc>
        <w:tc>
          <w:tcPr>
            <w:tcW w:w="8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53</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95</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6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i w:val="0"/>
                <w:iCs w:val="0"/>
                <w:color w:val="000000" w:themeColor="text1"/>
                <w:spacing w:val="0"/>
                <w:sz w:val="21"/>
                <w:szCs w:val="21"/>
                <w:u w:val="none"/>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11</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月</w:t>
            </w:r>
          </w:p>
        </w:tc>
        <w:tc>
          <w:tcPr>
            <w:tcW w:w="69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104</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74</w:t>
            </w:r>
          </w:p>
        </w:tc>
        <w:tc>
          <w:tcPr>
            <w:tcW w:w="7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82</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6</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58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14:textFill>
                  <w14:solidFill>
                    <w14:schemeClr w14:val="tx1"/>
                  </w14:solidFill>
                </w14:textFill>
              </w:rPr>
            </w:pP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26</w:t>
            </w:r>
            <w:r>
              <w:rPr>
                <w:rFonts w:hint="eastAsia" w:ascii="仿宋_GB2312" w:hAnsi="仿宋_GB2312" w:eastAsia="仿宋_GB2312" w:cs="仿宋_GB2312"/>
                <w:i w:val="0"/>
                <w:iCs w:val="0"/>
                <w:color w:val="000000" w:themeColor="text1"/>
                <w:spacing w:val="0"/>
                <w:kern w:val="0"/>
                <w:sz w:val="21"/>
                <w:szCs w:val="21"/>
                <w:u w:val="none"/>
                <w:lang w:val="en-US" w:eastAsia="zh-CN" w:bidi="ar"/>
                <w14:textFill>
                  <w14:solidFill>
                    <w14:schemeClr w14:val="tx1"/>
                  </w14:solidFill>
                </w14:textFill>
              </w:rPr>
              <w:t>.</w:t>
            </w:r>
            <w:r>
              <w:rPr>
                <w:rFonts w:hint="eastAsia" w:ascii="Times New Roman" w:hAnsi="Times New Roman" w:eastAsia="仿宋_GB2312" w:cs="仿宋_GB2312"/>
                <w:i w:val="0"/>
                <w:iCs w:val="0"/>
                <w:color w:val="000000" w:themeColor="text1"/>
                <w:spacing w:val="0"/>
                <w:kern w:val="0"/>
                <w:sz w:val="21"/>
                <w:szCs w:val="21"/>
                <w:u w:val="none"/>
                <w:lang w:val="en-US" w:eastAsia="zh-CN" w:bidi="ar"/>
                <w14:textFill>
                  <w14:solidFill>
                    <w14:schemeClr w14:val="tx1"/>
                  </w14:solidFill>
                </w14:textFill>
              </w:rPr>
              <w:t>85</w:t>
            </w:r>
          </w:p>
        </w:tc>
        <w:tc>
          <w:tcPr>
            <w:tcW w:w="785"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109</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77</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c>
          <w:tcPr>
            <w:tcW w:w="70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131</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59</w:t>
            </w:r>
          </w:p>
        </w:tc>
        <w:tc>
          <w:tcPr>
            <w:tcW w:w="84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pPr>
            <w:r>
              <w:rPr>
                <w:rFonts w:hint="eastAsia" w:ascii="Times New Roman" w:hAnsi="Times New Roman" w:eastAsia="仿宋_GB2312" w:cs="仿宋_GB2312"/>
                <w:i w:val="0"/>
                <w:iCs w:val="0"/>
                <w:color w:val="000000" w:themeColor="text1"/>
                <w:spacing w:val="0"/>
                <w:sz w:val="21"/>
                <w:szCs w:val="21"/>
                <w:u w:val="none"/>
                <w:lang w:val="en-US" w:eastAsia="zh-CN"/>
                <w14:textFill>
                  <w14:solidFill>
                    <w14:schemeClr w14:val="tx1"/>
                  </w14:solidFill>
                </w14:textFill>
              </w:rPr>
              <w:t>87</w:t>
            </w:r>
            <w:r>
              <w:rPr>
                <w:rFonts w:hint="eastAsia" w:ascii="仿宋_GB2312" w:hAnsi="仿宋_GB2312" w:eastAsia="仿宋_GB2312" w:cs="仿宋_GB2312"/>
                <w:i w:val="0"/>
                <w:iCs w:val="0"/>
                <w:color w:val="000000" w:themeColor="text1"/>
                <w:spacing w:val="0"/>
                <w:sz w:val="21"/>
                <w:szCs w:val="21"/>
                <w:u w:val="none"/>
                <w:lang w:val="en-US"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如上表，我</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部</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预算执行进度符合量化指标要求</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6.</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预算完成情况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年本单位年初预算收入执行总额为</w:t>
      </w:r>
      <w:r>
        <w:rPr>
          <w:rFonts w:hint="eastAsia" w:ascii="Times New Roman" w:hAnsi="Times New Roman" w:eastAsia="仿宋_GB2312" w:cs="仿宋_GB2312"/>
          <w:color w:val="000000" w:themeColor="text1"/>
          <w:spacing w:val="0"/>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万元，其中：当年财政拨款收入</w:t>
      </w:r>
      <w:r>
        <w:rPr>
          <w:rFonts w:hint="eastAsia" w:ascii="Times New Roman" w:hAnsi="Times New Roman" w:eastAsia="仿宋_GB2312" w:cs="仿宋_GB2312"/>
          <w:color w:val="000000" w:themeColor="text1"/>
          <w:spacing w:val="0"/>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万元，事业收入</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万元，其他收入</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万元，上年结转收入</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年本单位年初预算支出执行总额为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万元，其中：当年一般公共预算财政拨款支出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万元,政府性基金预算财政拨款支出为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万元，上年结转</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7.</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资金结余</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年度我单位预算金额为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259</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26</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万元，预算执行金额为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218</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11</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万元，指标结转金额为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41</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万元，资金结余率为</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15</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87</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%。资金结余的主要原因一是机关事业单位养老保险财政预算基数与社保缴纳基础不同,导致预算金额大于实际缴纳金额；二是项目资金结转。</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8.</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违规记录</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pPr>
      <w:r>
        <w:rPr>
          <w:rFonts w:hint="eastAsia" w:ascii="楷体_GB2312" w:hAnsi="楷体_GB2312" w:eastAsia="楷体_GB2312" w:cs="楷体_GB2312"/>
          <w:b w:val="0"/>
          <w:bCs/>
          <w:color w:val="000000" w:themeColor="text1"/>
          <w:spacing w:val="0"/>
          <w:sz w:val="32"/>
          <w:szCs w:val="32"/>
          <w:lang w:val="en-US" w:eastAsia="zh-CN"/>
          <w14:textFill>
            <w14:solidFill>
              <w14:schemeClr w14:val="tx1"/>
            </w14:solidFill>
          </w14:textFill>
        </w:rPr>
        <w:t>（二）结果应用公开情况</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内部应用：我</w:t>
      </w:r>
      <w:r>
        <w:rPr>
          <w:rFonts w:hint="eastAsia" w:eastAsia="仿宋_GB2312" w:cs="Times New Roman"/>
          <w:color w:val="000000" w:themeColor="text1"/>
          <w:spacing w:val="0"/>
          <w:sz w:val="32"/>
          <w:szCs w:val="32"/>
          <w:lang w:val="en-US" w:eastAsia="zh-CN"/>
          <w14:textFill>
            <w14:solidFill>
              <w14:schemeClr w14:val="tx1"/>
            </w14:solidFill>
          </w14:textFill>
        </w:rPr>
        <w:t>部</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制定了《</w:t>
      </w:r>
      <w:r>
        <w:rPr>
          <w:rFonts w:hint="eastAsia" w:eastAsia="仿宋_GB2312" w:cs="Times New Roman"/>
          <w:color w:val="000000" w:themeColor="text1"/>
          <w:spacing w:val="0"/>
          <w:sz w:val="32"/>
          <w:szCs w:val="32"/>
          <w:lang w:val="en-US" w:eastAsia="zh-CN"/>
          <w14:textFill>
            <w14:solidFill>
              <w14:schemeClr w14:val="tx1"/>
            </w14:solidFill>
          </w14:textFill>
        </w:rPr>
        <w:t>区委统战部</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项目绩效管理制度及考核办法》，根据单位年度总体绩效目标，按照</w:t>
      </w:r>
      <w:r>
        <w:rPr>
          <w:rFonts w:hint="eastAsia" w:eastAsia="仿宋_GB2312" w:cs="Times New Roman"/>
          <w:color w:val="000000" w:themeColor="text1"/>
          <w:spacing w:val="0"/>
          <w:sz w:val="32"/>
          <w:szCs w:val="32"/>
          <w:lang w:val="en-US" w:eastAsia="zh-CN"/>
          <w14:textFill>
            <w14:solidFill>
              <w14:schemeClr w14:val="tx1"/>
            </w14:solidFill>
          </w14:textFill>
        </w:rPr>
        <w:t>各</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股室</w:t>
      </w:r>
      <w:r>
        <w:rPr>
          <w:rFonts w:hint="eastAsia" w:eastAsia="仿宋_GB2312" w:cs="Times New Roman"/>
          <w:color w:val="000000" w:themeColor="text1"/>
          <w:spacing w:val="0"/>
          <w:sz w:val="32"/>
          <w:szCs w:val="32"/>
          <w:lang w:val="en-US" w:eastAsia="zh-CN"/>
          <w14:textFill>
            <w14:solidFill>
              <w14:schemeClr w14:val="tx1"/>
            </w14:solidFill>
          </w14:textFill>
        </w:rPr>
        <w:t>、中心</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的分工不同，我单位对各股室</w:t>
      </w:r>
      <w:r>
        <w:rPr>
          <w:rFonts w:hint="eastAsia" w:eastAsia="仿宋_GB2312" w:cs="Times New Roman"/>
          <w:color w:val="000000" w:themeColor="text1"/>
          <w:spacing w:val="0"/>
          <w:sz w:val="32"/>
          <w:szCs w:val="32"/>
          <w:lang w:val="en-US" w:eastAsia="zh-CN"/>
          <w14:textFill>
            <w14:solidFill>
              <w14:schemeClr w14:val="tx1"/>
            </w14:solidFill>
          </w14:textFill>
        </w:rPr>
        <w:t>、中心</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设定了绩效目标，制定了相匹配的考核办法，并在年终考核汇总后，成为单位绩效目标完成情况的基础。</w:t>
      </w:r>
      <w:r>
        <w:rPr>
          <w:rFonts w:hint="eastAsia" w:eastAsia="仿宋_GB2312" w:cs="Times New Roman"/>
          <w:color w:val="000000" w:themeColor="text1"/>
          <w:spacing w:val="0"/>
          <w:sz w:val="32"/>
          <w:szCs w:val="32"/>
          <w:lang w:val="en-US" w:eastAsia="zh-CN"/>
          <w14:textFill>
            <w14:solidFill>
              <w14:schemeClr w14:val="tx1"/>
            </w14:solidFill>
          </w14:textFill>
        </w:rPr>
        <w:t>并为下年的绩效目标申报提供了可参考的指标。</w:t>
      </w:r>
    </w:p>
    <w:p>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2.</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自评公开：按区财政局照财政统一安排，我</w:t>
      </w:r>
      <w:r>
        <w:rPr>
          <w:rFonts w:hint="eastAsia" w:eastAsia="仿宋_GB2312" w:cs="Times New Roman"/>
          <w:color w:val="000000" w:themeColor="text1"/>
          <w:spacing w:val="0"/>
          <w:sz w:val="32"/>
          <w:szCs w:val="32"/>
          <w:lang w:val="en-US" w:eastAsia="zh-CN"/>
          <w14:textFill>
            <w14:solidFill>
              <w14:schemeClr w14:val="tx1"/>
            </w14:solidFill>
          </w14:textFill>
        </w:rPr>
        <w:t>部</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将相关绩效信息随同</w:t>
      </w:r>
      <w:r>
        <w:rPr>
          <w:rFonts w:hint="eastAsia" w:eastAsia="仿宋_GB2312" w:cs="Times New Roman"/>
          <w:color w:val="000000" w:themeColor="text1"/>
          <w:spacing w:val="0"/>
          <w:sz w:val="32"/>
          <w:szCs w:val="32"/>
          <w:lang w:val="en-US" w:eastAsia="zh-CN"/>
          <w14:textFill>
            <w14:solidFill>
              <w14:schemeClr w14:val="tx1"/>
            </w14:solidFill>
          </w14:textFill>
        </w:rPr>
        <w:t>预算、</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决算公开在政府门户网站进行了公开</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default" w:eastAsia="仿宋_GB2312"/>
          <w:color w:val="000000" w:themeColor="text1"/>
          <w:spacing w:val="0"/>
          <w:lang w:val="en-US" w:eastAsia="zh-CN"/>
          <w14:textFill>
            <w14:solidFill>
              <w14:schemeClr w14:val="tx1"/>
            </w14:solidFill>
          </w14:textFill>
        </w:rPr>
      </w:pP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3.</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问题整改</w:t>
      </w:r>
      <w:r>
        <w:rPr>
          <w:rFonts w:hint="eastAsia"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根据上年度第三方绩效评价提出的</w:t>
      </w:r>
      <w:r>
        <w:rPr>
          <w:rFonts w:hint="eastAsia" w:eastAsia="仿宋_GB2312" w:cs="Times New Roman"/>
          <w:color w:val="000000" w:themeColor="text1"/>
          <w:spacing w:val="0"/>
          <w:sz w:val="32"/>
          <w:szCs w:val="32"/>
          <w:lang w:val="en-US" w:eastAsia="zh-CN"/>
          <w14:textFill>
            <w14:solidFill>
              <w14:schemeClr w14:val="tx1"/>
            </w14:solidFill>
          </w14:textFill>
        </w:rPr>
        <w:t xml:space="preserve">项目实施进度缓慢的情况，我部加强了和项目方的对接，确保项目施工进度。           </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应用反馈</w:t>
      </w:r>
      <w:r>
        <w:rPr>
          <w:rFonts w:hint="eastAsia"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根据自评及第三方现场评价发现的问题及情况，我</w:t>
      </w:r>
      <w:r>
        <w:rPr>
          <w:rFonts w:hint="eastAsia" w:eastAsia="仿宋_GB2312" w:cs="Times New Roman"/>
          <w:color w:val="000000" w:themeColor="text1"/>
          <w:spacing w:val="0"/>
          <w:sz w:val="32"/>
          <w:szCs w:val="32"/>
          <w:lang w:val="en-US" w:eastAsia="zh-CN"/>
          <w14:textFill>
            <w14:solidFill>
              <w14:schemeClr w14:val="tx1"/>
            </w14:solidFill>
          </w14:textFill>
        </w:rPr>
        <w:t>部</w:t>
      </w:r>
      <w:r>
        <w:rPr>
          <w:rFonts w:hint="eastAsia" w:ascii="Times New Roman" w:hAnsi="Times New Roman" w:eastAsia="仿宋_GB2312" w:cs="Times New Roman"/>
          <w:color w:val="000000" w:themeColor="text1"/>
          <w:spacing w:val="0"/>
          <w:sz w:val="32"/>
          <w:szCs w:val="32"/>
          <w:lang w:val="en-US" w:eastAsia="zh-CN"/>
          <w14:textFill>
            <w14:solidFill>
              <w14:schemeClr w14:val="tx1"/>
            </w14:solidFill>
          </w14:textFill>
        </w:rPr>
        <w:t>及时进行了完善整改，目前单位绩效目标设置合理规范，绩效管理高效有序，绩效运行监督机制运行流畅。</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t>（三）</w:t>
      </w:r>
      <w:r>
        <w:rPr>
          <w:rFonts w:hint="eastAsia" w:ascii="楷体_GB2312" w:hAnsi="楷体_GB2312" w:eastAsia="楷体_GB2312" w:cs="楷体_GB2312"/>
          <w:b w:val="0"/>
          <w:bCs/>
          <w:color w:val="000000" w:themeColor="text1"/>
          <w:spacing w:val="0"/>
          <w:sz w:val="32"/>
          <w:szCs w:val="32"/>
          <w:lang w:eastAsia="zh-CN"/>
          <w14:textFill>
            <w14:solidFill>
              <w14:schemeClr w14:val="tx1"/>
            </w14:solidFill>
          </w14:textFill>
        </w:rPr>
        <w:t>自评质量</w:t>
      </w:r>
    </w:p>
    <w:p>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按照</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2022年单位预算收支执行情况及单位绩效目标的</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编制、实施</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过程及完成情况，结合</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我部</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2022</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年</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综合目标任务的完成情况</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，区委统战部</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对绩效</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管理</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工作做了</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客观合理</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的自评。</w:t>
      </w:r>
    </w:p>
    <w:p>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eastAsia" w:ascii="黑体" w:hAnsi="黑体" w:eastAsia="黑体" w:cs="黑体"/>
          <w:color w:val="000000" w:themeColor="text1"/>
          <w:spacing w:val="0"/>
          <w:sz w:val="32"/>
          <w:szCs w:val="32"/>
          <w:lang w:eastAsia="zh-CN"/>
          <w14:textFill>
            <w14:solidFill>
              <w14:schemeClr w14:val="tx1"/>
            </w14:solidFill>
          </w14:textFill>
        </w:rPr>
      </w:pPr>
      <w:r>
        <w:rPr>
          <w:rFonts w:hint="eastAsia" w:ascii="黑体" w:hAnsi="黑体" w:eastAsia="黑体" w:cs="黑体"/>
          <w:color w:val="000000" w:themeColor="text1"/>
          <w:spacing w:val="0"/>
          <w:sz w:val="32"/>
          <w:szCs w:val="32"/>
          <w:lang w:eastAsia="zh-CN"/>
          <w14:textFill>
            <w14:solidFill>
              <w14:schemeClr w14:val="tx1"/>
            </w14:solidFill>
          </w14:textFill>
        </w:rPr>
        <w:t>四</w:t>
      </w:r>
      <w:r>
        <w:rPr>
          <w:rFonts w:hint="eastAsia" w:ascii="黑体" w:hAnsi="黑体" w:eastAsia="黑体" w:cs="黑体"/>
          <w:color w:val="000000" w:themeColor="text1"/>
          <w:spacing w:val="0"/>
          <w:sz w:val="32"/>
          <w:szCs w:val="32"/>
          <w14:textFill>
            <w14:solidFill>
              <w14:schemeClr w14:val="tx1"/>
            </w14:solidFill>
          </w14:textFill>
        </w:rPr>
        <w:t>、</w:t>
      </w:r>
      <w:r>
        <w:rPr>
          <w:rFonts w:hint="eastAsia" w:ascii="黑体" w:hAnsi="黑体" w:eastAsia="黑体" w:cs="黑体"/>
          <w:color w:val="000000" w:themeColor="text1"/>
          <w:spacing w:val="0"/>
          <w:sz w:val="32"/>
          <w:szCs w:val="32"/>
          <w:lang w:eastAsia="zh-CN"/>
          <w14:textFill>
            <w14:solidFill>
              <w14:schemeClr w14:val="tx1"/>
            </w14:solidFill>
          </w14:textFill>
        </w:rPr>
        <w:t>部门整体预算绩效管理情况</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t>（一）自评结论</w:t>
      </w:r>
    </w:p>
    <w:p>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default"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202</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2</w:t>
      </w:r>
      <w:r>
        <w:rPr>
          <w:rFonts w:hint="default" w:ascii="Times New Roman" w:hAnsi="Times New Roman" w:eastAsia="仿宋_GB2312" w:cs="Times New Roman"/>
          <w:color w:val="000000" w:themeColor="text1"/>
          <w:spacing w:val="0"/>
          <w:sz w:val="32"/>
          <w:szCs w:val="32"/>
          <w:shd w:val="clear" w:color="auto" w:fill="FFFFFF"/>
          <w14:textFill>
            <w14:solidFill>
              <w14:schemeClr w14:val="tx1"/>
            </w14:solidFill>
          </w14:textFill>
        </w:rPr>
        <w:t>年我</w:t>
      </w: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部</w:t>
      </w:r>
      <w:r>
        <w:rPr>
          <w:rFonts w:hint="default" w:ascii="Times New Roman" w:hAnsi="Times New Roman" w:eastAsia="仿宋_GB2312" w:cs="Times New Roman"/>
          <w:color w:val="000000" w:themeColor="text1"/>
          <w:spacing w:val="0"/>
          <w:sz w:val="32"/>
          <w:szCs w:val="32"/>
          <w:shd w:val="clear" w:color="auto" w:fill="FFFFFF"/>
          <w14:textFill>
            <w14:solidFill>
              <w14:schemeClr w14:val="tx1"/>
            </w14:solidFill>
          </w14:textFill>
        </w:rPr>
        <w:t>部门整体支出绩效评价自查自评结果良好，全年基本支出</w:t>
      </w:r>
      <w:r>
        <w:rPr>
          <w:rFonts w:hint="default"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保证了单位的正常运行和日常工作的正常开展，达到预期绩效目标。</w:t>
      </w: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自评得分97分。</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pPr>
      <w:r>
        <w:rPr>
          <w:rFonts w:hint="default" w:ascii="楷体_GB2312" w:hAnsi="楷体_GB2312" w:eastAsia="楷体_GB2312" w:cs="楷体_GB2312"/>
          <w:b w:val="0"/>
          <w:bCs/>
          <w:color w:val="000000" w:themeColor="text1"/>
          <w:spacing w:val="0"/>
          <w:sz w:val="32"/>
          <w:szCs w:val="32"/>
          <w:lang w:eastAsia="zh-CN"/>
          <w14:textFill>
            <w14:solidFill>
              <w14:schemeClr w14:val="tx1"/>
            </w14:solidFill>
          </w14:textFill>
        </w:rPr>
        <w:t>（二）存在问题</w:t>
      </w:r>
    </w:p>
    <w:p>
      <w:pPr>
        <w:keepNext w:val="0"/>
        <w:keepLines w:val="0"/>
        <w:pageBreakBefore w:val="0"/>
        <w:kinsoku/>
        <w:overflowPunct/>
        <w:topLinePunct w:val="0"/>
        <w:bidi w:val="0"/>
        <w:adjustRightInd/>
        <w:snapToGrid/>
        <w:spacing w:line="600" w:lineRule="exact"/>
        <w:ind w:left="0" w:firstLine="640" w:firstLineChars="200"/>
        <w:textAlignment w:val="auto"/>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pPr>
      <w:r>
        <w:rPr>
          <w:rFonts w:hint="eastAsia" w:ascii="Times New Roman" w:hAnsi="Times New Roman" w:eastAsia="仿宋_GB2312" w:cs="Times New Roman"/>
          <w:color w:val="000000" w:themeColor="text1"/>
          <w:spacing w:val="0"/>
          <w:sz w:val="32"/>
          <w:szCs w:val="32"/>
          <w:shd w:val="clear" w:color="auto" w:fill="FFFFFF"/>
          <w:lang w:val="en-US" w:eastAsia="zh-CN"/>
          <w14:textFill>
            <w14:solidFill>
              <w14:schemeClr w14:val="tx1"/>
            </w14:solidFill>
          </w14:textFill>
        </w:rPr>
        <w:t>各股室、中心对于预算编制的重视程度有待提高；对于预算编制的精准性把握不够;因</w:t>
      </w:r>
      <w:r>
        <w:rPr>
          <w:rFonts w:hint="eastAsia" w:ascii="Times New Roman" w:hAnsi="Times New Roman" w:eastAsia="仿宋_GB2312" w:cs="Times New Roman"/>
          <w:color w:val="000000" w:themeColor="text1"/>
          <w:spacing w:val="0"/>
          <w:sz w:val="32"/>
          <w:szCs w:val="32"/>
          <w:shd w:val="clear" w:color="auto" w:fill="FFFFFF"/>
          <w:lang w:eastAsia="zh-CN"/>
          <w14:textFill>
            <w14:solidFill>
              <w14:schemeClr w14:val="tx1"/>
            </w14:solidFill>
          </w14:textFill>
        </w:rPr>
        <w:t>全区5大民主党派工作经费、民族宗教工作经费、对台工作经费、九广合作工作经费、新联会工作经费、知联会</w:t>
      </w:r>
      <w:r>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t>工作经费在统战部列支，</w:t>
      </w:r>
      <w:r>
        <w:rPr>
          <w:rFonts w:hint="eastAsia" w:ascii="Times New Roman" w:hAnsi="Times New Roman" w:eastAsia="仿宋_GB2312" w:cs="Times New Roman"/>
          <w:b w:val="0"/>
          <w:bCs w:val="0"/>
          <w:color w:val="000000" w:themeColor="text1"/>
          <w:spacing w:val="0"/>
          <w:sz w:val="32"/>
          <w:szCs w:val="32"/>
          <w:lang w:val="en-US" w:eastAsia="zh-CN"/>
          <w14:textFill>
            <w14:solidFill>
              <w14:schemeClr w14:val="tx1"/>
            </w14:solidFill>
          </w14:textFill>
        </w:rPr>
        <w:t>采取报账制度，</w:t>
      </w:r>
      <w:r>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t>且要求采取报账式方式当年报完当年产生的工作经费，所以，年底就存在集中支付会议费和培训费情况</w:t>
      </w:r>
      <w:r>
        <w:rPr>
          <w:rFonts w:hint="eastAsia" w:eastAsia="仿宋_GB2312" w:cs="Times New Roman"/>
          <w:color w:val="000000" w:themeColor="text1"/>
          <w:spacing w:val="0"/>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pacing w:val="0"/>
          <w:sz w:val="32"/>
          <w:szCs w:val="32"/>
          <w:lang w:eastAsia="zh-CN"/>
          <w14:textFill>
            <w14:solidFill>
              <w14:schemeClr w14:val="tx1"/>
            </w14:solidFill>
          </w14:textFill>
        </w:rPr>
        <w:t>造成成本指标控制不均衡，年底资金支出压力大。</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楷体_GB2312" w:hAnsi="楷体_GB2312" w:eastAsia="楷体_GB2312" w:cs="楷体_GB2312"/>
          <w:b w:val="0"/>
          <w:bCs/>
          <w:color w:val="000000" w:themeColor="text1"/>
          <w:spacing w:val="0"/>
          <w:sz w:val="32"/>
          <w:szCs w:val="32"/>
          <w14:textFill>
            <w14:solidFill>
              <w14:schemeClr w14:val="tx1"/>
            </w14:solidFill>
          </w14:textFill>
        </w:rPr>
      </w:pPr>
      <w:r>
        <w:rPr>
          <w:rFonts w:hint="default" w:ascii="楷体_GB2312" w:hAnsi="楷体_GB2312" w:eastAsia="楷体_GB2312" w:cs="楷体_GB2312"/>
          <w:b w:val="0"/>
          <w:bCs/>
          <w:color w:val="000000" w:themeColor="text1"/>
          <w:spacing w:val="0"/>
          <w:sz w:val="32"/>
          <w:szCs w:val="32"/>
          <w14:textFill>
            <w14:solidFill>
              <w14:schemeClr w14:val="tx1"/>
            </w14:solidFill>
          </w14:textFill>
        </w:rPr>
        <w:t>（三）改进建议</w:t>
      </w:r>
    </w:p>
    <w:p>
      <w:pPr>
        <w:keepNext w:val="0"/>
        <w:keepLines w:val="0"/>
        <w:pageBreakBefore w:val="0"/>
        <w:widowControl w:val="0"/>
        <w:kinsoku/>
        <w:wordWrap/>
        <w:overflowPunct/>
        <w:topLinePunct w:val="0"/>
        <w:autoSpaceDE/>
        <w:autoSpaceDN/>
        <w:bidi w:val="0"/>
        <w:adjustRightInd/>
        <w:snapToGrid/>
        <w:spacing w:line="576" w:lineRule="exact"/>
        <w:ind w:leftChars="0" w:firstLine="640" w:firstLineChars="200"/>
        <w:jc w:val="both"/>
        <w:textAlignment w:val="auto"/>
        <w:rPr>
          <w:rFonts w:hint="default" w:ascii="Times New Roman" w:hAnsi="Times New Roman" w:eastAsia="仿宋_GB2312" w:cs="Times New Roman"/>
          <w:color w:val="000000" w:themeColor="text1"/>
          <w:spacing w:val="0"/>
          <w:sz w:val="32"/>
          <w:szCs w:val="32"/>
          <w:shd w:val="clear" w:color="auto" w:fill="FFFFFF"/>
          <w14:textFill>
            <w14:solidFill>
              <w14:schemeClr w14:val="tx1"/>
            </w14:solidFill>
          </w14:textFill>
        </w:rPr>
      </w:pPr>
      <w:r>
        <w:rPr>
          <w:rFonts w:hint="eastAsia" w:eastAsia="仿宋_GB2312" w:cs="Times New Roman"/>
          <w:color w:val="000000" w:themeColor="text1"/>
          <w:spacing w:val="0"/>
          <w:sz w:val="32"/>
          <w:szCs w:val="32"/>
          <w:shd w:val="clear" w:color="auto" w:fill="FFFFFF"/>
          <w:lang w:val="en-US" w:eastAsia="zh-CN"/>
          <w14:textFill>
            <w14:solidFill>
              <w14:schemeClr w14:val="tx1"/>
            </w14:solidFill>
          </w14:textFill>
        </w:rPr>
        <w:t>在今后的工作中，我部</w:t>
      </w:r>
      <w:r>
        <w:rPr>
          <w:rFonts w:hint="default" w:ascii="Times New Roman" w:hAnsi="Times New Roman" w:eastAsia="仿宋_GB2312" w:cs="Times New Roman"/>
          <w:color w:val="000000" w:themeColor="text1"/>
          <w:spacing w:val="0"/>
          <w:sz w:val="32"/>
          <w:szCs w:val="32"/>
          <w:shd w:val="clear" w:color="auto" w:fill="FFFFFF"/>
          <w14:textFill>
            <w14:solidFill>
              <w14:schemeClr w14:val="tx1"/>
            </w14:solidFill>
          </w14:textFill>
        </w:rPr>
        <w:t>将</w:t>
      </w:r>
      <w:r>
        <w:rPr>
          <w:rFonts w:hint="eastAsia" w:ascii="仿宋_GB2312" w:hAnsi="仿宋_GB2312" w:eastAsia="仿宋_GB2312" w:cs="仿宋_GB2312"/>
          <w:b w:val="0"/>
          <w:bCs w:val="0"/>
          <w:color w:val="000000" w:themeColor="text1"/>
          <w:spacing w:val="0"/>
          <w:sz w:val="32"/>
          <w:szCs w:val="32"/>
          <w:lang w:val="en-US" w:eastAsia="zh-CN"/>
          <w14:textFill>
            <w14:solidFill>
              <w14:schemeClr w14:val="tx1"/>
            </w14:solidFill>
          </w14:textFill>
        </w:rPr>
        <w:t>强化预算执行，提高预算完成率。严格按项目和进度执行预算，合理安排资金支出，增强预算执行的规范性和严肃性；完善项目责任制，业务股室为项目实施责任单位，应加强与财务部门的沟通协调和项目实施，定期做好预算执行分析，及时了解预算执行差异，合理调整、纠正预算执行偏差，加快预算的执行进度，减少存量资金，切实提高预算完成率及资金使用效益。</w:t>
      </w:r>
    </w:p>
    <w:p>
      <w:pPr>
        <w:pStyle w:val="8"/>
        <w:keepNext w:val="0"/>
        <w:keepLines w:val="0"/>
        <w:pageBreakBefore w:val="0"/>
        <w:widowControl w:val="0"/>
        <w:kinsoku/>
        <w:wordWrap/>
        <w:overflowPunct/>
        <w:topLinePunct w:val="0"/>
        <w:autoSpaceDE/>
        <w:autoSpaceDN/>
        <w:bidi w:val="0"/>
        <w:adjustRightInd/>
        <w:snapToGrid/>
        <w:spacing w:after="0" w:line="576" w:lineRule="exact"/>
        <w:ind w:firstLine="640" w:firstLineChars="200"/>
        <w:jc w:val="left"/>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p>
    <w:p>
      <w:pPr>
        <w:pStyle w:val="8"/>
        <w:keepNext w:val="0"/>
        <w:keepLines w:val="0"/>
        <w:pageBreakBefore w:val="0"/>
        <w:widowControl w:val="0"/>
        <w:kinsoku/>
        <w:wordWrap/>
        <w:overflowPunct/>
        <w:topLinePunct w:val="0"/>
        <w:autoSpaceDE/>
        <w:autoSpaceDN/>
        <w:bidi w:val="0"/>
        <w:adjustRightInd/>
        <w:snapToGrid/>
        <w:spacing w:after="0" w:line="576" w:lineRule="exact"/>
        <w:ind w:firstLine="640" w:firstLineChars="200"/>
        <w:jc w:val="left"/>
        <w:textAlignment w:val="auto"/>
        <w:rPr>
          <w:rFonts w:hint="eastAsia" w:ascii="仿宋_GB2312" w:hAnsi="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附件</w:t>
      </w:r>
      <w:r>
        <w:rPr>
          <w:rFonts w:hint="eastAsia" w:ascii="仿宋_GB2312" w:hAnsi="仿宋_GB2312" w:cs="仿宋_GB2312"/>
          <w:color w:val="000000" w:themeColor="text1"/>
          <w:spacing w:val="0"/>
          <w:sz w:val="32"/>
          <w:szCs w:val="32"/>
          <w:lang w:val="en-US" w:eastAsia="zh-CN"/>
          <w14:textFill>
            <w14:solidFill>
              <w14:schemeClr w14:val="tx1"/>
            </w14:solidFill>
          </w14:textFill>
        </w:rPr>
        <w:t>：中共广元市昭化区委统战部</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年部门整体支出</w:t>
      </w:r>
      <w:r>
        <w:rPr>
          <w:rFonts w:hint="eastAsia" w:ascii="仿宋_GB2312" w:hAnsi="仿宋_GB2312" w:cs="仿宋_GB2312"/>
          <w:color w:val="000000" w:themeColor="text1"/>
          <w:spacing w:val="0"/>
          <w:sz w:val="32"/>
          <w:szCs w:val="32"/>
          <w:lang w:val="en-US" w:eastAsia="zh-CN"/>
          <w14:textFill>
            <w14:solidFill>
              <w14:schemeClr w14:val="tx1"/>
            </w14:solidFill>
          </w14:textFill>
        </w:rPr>
        <w:t>绩</w:t>
      </w:r>
    </w:p>
    <w:p>
      <w:pPr>
        <w:pStyle w:val="8"/>
        <w:keepNext w:val="0"/>
        <w:keepLines w:val="0"/>
        <w:pageBreakBefore w:val="0"/>
        <w:widowControl w:val="0"/>
        <w:kinsoku/>
        <w:wordWrap/>
        <w:overflowPunct/>
        <w:topLinePunct w:val="0"/>
        <w:autoSpaceDE/>
        <w:autoSpaceDN/>
        <w:bidi w:val="0"/>
        <w:adjustRightInd/>
        <w:snapToGrid/>
        <w:spacing w:after="0" w:line="576" w:lineRule="exact"/>
        <w:ind w:firstLine="1600" w:firstLineChars="500"/>
        <w:jc w:val="left"/>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cs="仿宋_GB2312"/>
          <w:color w:val="000000" w:themeColor="text1"/>
          <w:spacing w:val="0"/>
          <w:sz w:val="32"/>
          <w:szCs w:val="32"/>
          <w:lang w:val="en-US" w:eastAsia="zh-CN"/>
          <w14:textFill>
            <w14:solidFill>
              <w14:schemeClr w14:val="tx1"/>
            </w14:solidFill>
          </w14:textFill>
        </w:rPr>
        <w:t>效</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自评表</w:t>
      </w:r>
    </w:p>
    <w:p>
      <w:pPr>
        <w:pStyle w:val="8"/>
        <w:keepNext w:val="0"/>
        <w:keepLines w:val="0"/>
        <w:pageBreakBefore w:val="0"/>
        <w:widowControl w:val="0"/>
        <w:kinsoku/>
        <w:wordWrap/>
        <w:overflowPunct/>
        <w:topLinePunct w:val="0"/>
        <w:autoSpaceDE/>
        <w:autoSpaceDN/>
        <w:bidi w:val="0"/>
        <w:adjustRightInd/>
        <w:snapToGrid/>
        <w:spacing w:line="400" w:lineRule="exact"/>
        <w:ind w:left="4800" w:hanging="4800" w:hangingChars="1500"/>
        <w:jc w:val="left"/>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 xml:space="preserve">                        </w:t>
      </w:r>
    </w:p>
    <w:p>
      <w:pPr>
        <w:pStyle w:val="8"/>
        <w:keepNext w:val="0"/>
        <w:keepLines w:val="0"/>
        <w:pageBreakBefore w:val="0"/>
        <w:widowControl w:val="0"/>
        <w:kinsoku/>
        <w:wordWrap/>
        <w:overflowPunct/>
        <w:topLinePunct w:val="0"/>
        <w:autoSpaceDE/>
        <w:autoSpaceDN/>
        <w:bidi w:val="0"/>
        <w:adjustRightInd/>
        <w:snapToGrid/>
        <w:spacing w:line="400" w:lineRule="exact"/>
        <w:ind w:left="4800" w:hanging="4800" w:hangingChars="1500"/>
        <w:jc w:val="left"/>
        <w:textAlignment w:val="auto"/>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p>
    <w:p>
      <w:pPr>
        <w:pStyle w:val="8"/>
        <w:keepNext w:val="0"/>
        <w:keepLines w:val="0"/>
        <w:pageBreakBefore w:val="0"/>
        <w:widowControl w:val="0"/>
        <w:kinsoku/>
        <w:wordWrap w:val="0"/>
        <w:overflowPunct/>
        <w:topLinePunct w:val="0"/>
        <w:autoSpaceDE/>
        <w:autoSpaceDN/>
        <w:bidi w:val="0"/>
        <w:adjustRightInd/>
        <w:snapToGrid/>
        <w:spacing w:line="400" w:lineRule="exact"/>
        <w:ind w:left="4800" w:hanging="4800" w:hangingChars="1500"/>
        <w:jc w:val="right"/>
        <w:textAlignment w:val="auto"/>
        <w:rPr>
          <w:rFonts w:hint="eastAsia" w:ascii="仿宋_GB2312" w:hAnsi="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cs="仿宋_GB2312"/>
          <w:color w:val="000000" w:themeColor="text1"/>
          <w:spacing w:val="0"/>
          <w:sz w:val="32"/>
          <w:szCs w:val="32"/>
          <w:lang w:val="en-US" w:eastAsia="zh-CN"/>
          <w14:textFill>
            <w14:solidFill>
              <w14:schemeClr w14:val="tx1"/>
            </w14:solidFill>
          </w14:textFill>
        </w:rPr>
        <w:t>　　　　</w:t>
      </w:r>
    </w:p>
    <w:p>
      <w:pP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br w:type="page"/>
      </w:r>
    </w:p>
    <w:p>
      <w:pPr>
        <w:pStyle w:val="8"/>
        <w:rPr>
          <w:rFonts w:hint="eastAsia" w:ascii="仿宋_GB2312" w:hAnsi="仿宋_GB2312" w:cs="仿宋_GB2312"/>
          <w:color w:val="000000" w:themeColor="text1"/>
          <w:spacing w:val="0"/>
          <w:sz w:val="32"/>
          <w:szCs w:val="32"/>
          <w:lang w:val="en-US" w:eastAsia="zh-CN"/>
          <w14:textFill>
            <w14:solidFill>
              <w14:schemeClr w14:val="tx1"/>
            </w14:solidFill>
          </w14:textFill>
        </w:rPr>
        <w:sectPr>
          <w:footerReference r:id="rId7" w:type="default"/>
          <w:pgSz w:w="11905" w:h="16838"/>
          <w:pgMar w:top="2098" w:right="1474" w:bottom="1984" w:left="1587" w:header="850" w:footer="1587" w:gutter="0"/>
          <w:pgBorders>
            <w:top w:val="none" w:sz="0" w:space="0"/>
            <w:left w:val="none" w:sz="0" w:space="0"/>
            <w:bottom w:val="none" w:sz="0" w:space="0"/>
            <w:right w:val="none" w:sz="0" w:space="0"/>
          </w:pgBorders>
          <w:pgNumType w:fmt="decimal" w:start="1"/>
          <w:cols w:space="0" w:num="1"/>
          <w:rtlGutter w:val="0"/>
          <w:docGrid w:linePitch="435" w:charSpace="0"/>
        </w:sect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黑体" w:hAnsi="黑体" w:eastAsia="黑体" w:cs="黑体"/>
          <w:color w:val="000000" w:themeColor="text1"/>
          <w:spacing w:val="0"/>
          <w:sz w:val="32"/>
          <w:szCs w:val="32"/>
          <w:lang w:val="en-US" w:eastAsia="zh-CN"/>
          <w14:textFill>
            <w14:solidFill>
              <w14:schemeClr w14:val="tx1"/>
            </w14:solidFill>
          </w14:textFill>
        </w:rPr>
      </w:pPr>
      <w:r>
        <w:rPr>
          <w:rFonts w:hint="eastAsia" w:ascii="黑体" w:hAnsi="黑体" w:eastAsia="黑体" w:cs="黑体"/>
          <w:color w:val="000000" w:themeColor="text1"/>
          <w:spacing w:val="0"/>
          <w:sz w:val="32"/>
          <w:szCs w:val="32"/>
          <w:lang w:val="en-US" w:eastAsia="zh-CN"/>
          <w14:textFill>
            <w14:solidFill>
              <w14:schemeClr w14:val="tx1"/>
            </w14:solidFill>
          </w14:textFill>
        </w:rPr>
        <w:t>附件</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i w:val="0"/>
          <w:iCs w:val="0"/>
          <w:color w:val="000000" w:themeColor="text1"/>
          <w:spacing w:val="0"/>
          <w:kern w:val="0"/>
          <w:sz w:val="44"/>
          <w:szCs w:val="44"/>
          <w:u w:val="none"/>
          <w:lang w:val="en-US" w:eastAsia="zh-CN" w:bidi="ar"/>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4"/>
          <w:szCs w:val="44"/>
          <w:u w:val="none"/>
          <w:lang w:val="en-US" w:eastAsia="zh-CN" w:bidi="ar"/>
          <w14:textFill>
            <w14:solidFill>
              <w14:schemeClr w14:val="tx1"/>
            </w14:solidFill>
          </w14:textFill>
        </w:rPr>
        <w:t>中共广元市昭化区委统战部</w:t>
      </w:r>
      <w:r>
        <w:rPr>
          <w:rFonts w:hint="eastAsia" w:ascii="Times New Roman" w:hAnsi="Times New Roman" w:eastAsia="方正小标宋简体" w:cs="方正小标宋简体"/>
          <w:i w:val="0"/>
          <w:iCs w:val="0"/>
          <w:color w:val="000000" w:themeColor="text1"/>
          <w:spacing w:val="0"/>
          <w:kern w:val="0"/>
          <w:sz w:val="44"/>
          <w:szCs w:val="44"/>
          <w:u w:val="none"/>
          <w:lang w:val="en-US" w:eastAsia="zh-CN" w:bidi="ar"/>
          <w14:textFill>
            <w14:solidFill>
              <w14:schemeClr w14:val="tx1"/>
            </w14:solidFill>
          </w14:textFill>
        </w:rPr>
        <w:t>2022</w:t>
      </w:r>
      <w:r>
        <w:rPr>
          <w:rFonts w:hint="eastAsia" w:ascii="方正小标宋简体" w:hAnsi="方正小标宋简体" w:eastAsia="方正小标宋简体" w:cs="方正小标宋简体"/>
          <w:i w:val="0"/>
          <w:iCs w:val="0"/>
          <w:color w:val="000000" w:themeColor="text1"/>
          <w:spacing w:val="0"/>
          <w:kern w:val="0"/>
          <w:sz w:val="44"/>
          <w:szCs w:val="44"/>
          <w:u w:val="none"/>
          <w:lang w:val="en-US" w:eastAsia="zh-CN" w:bidi="ar"/>
          <w14:textFill>
            <w14:solidFill>
              <w14:schemeClr w14:val="tx1"/>
            </w14:solidFill>
          </w14:textFill>
        </w:rPr>
        <w:t>年部门整体支出绩效目标自评表</w:t>
      </w:r>
    </w:p>
    <w:p>
      <w:pPr>
        <w:pStyle w:val="8"/>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楷体_GB2312" w:hAnsi="楷体_GB2312" w:eastAsia="楷体_GB2312" w:cs="楷体_GB2312"/>
          <w:color w:val="000000" w:themeColor="text1"/>
          <w:spacing w:val="0"/>
          <w:lang w:val="en-US" w:eastAsia="zh-CN"/>
          <w14:textFill>
            <w14:solidFill>
              <w14:schemeClr w14:val="tx1"/>
            </w14:solidFill>
          </w14:textFill>
        </w:rPr>
      </w:pPr>
      <w:r>
        <w:rPr>
          <w:rFonts w:hint="eastAsia" w:ascii="楷体_GB2312" w:hAnsi="楷体_GB2312" w:eastAsia="楷体_GB2312" w:cs="楷体_GB2312"/>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楷体_GB2312" w:cs="楷体_GB2312"/>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楷体_GB2312" w:hAnsi="楷体_GB2312" w:eastAsia="楷体_GB2312" w:cs="楷体_GB2312"/>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2"/>
        <w:gridCol w:w="734"/>
        <w:gridCol w:w="1239"/>
        <w:gridCol w:w="491"/>
        <w:gridCol w:w="802"/>
        <w:gridCol w:w="1221"/>
        <w:gridCol w:w="1465"/>
        <w:gridCol w:w="24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blHeader/>
          <w:jc w:val="center"/>
        </w:trPr>
        <w:tc>
          <w:tcPr>
            <w:tcW w:w="77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黑体" w:hAnsi="黑体" w:eastAsia="黑体" w:cs="黑体"/>
                <w:i w:val="0"/>
                <w:iCs w:val="0"/>
                <w:color w:val="000000" w:themeColor="text1"/>
                <w:spacing w:val="0"/>
                <w:sz w:val="18"/>
                <w:szCs w:val="18"/>
                <w:u w:val="none"/>
                <w14:textFill>
                  <w14:solidFill>
                    <w14:schemeClr w14:val="tx1"/>
                  </w14:solidFill>
                </w14:textFill>
              </w:rPr>
            </w:pPr>
            <w:r>
              <w:rPr>
                <w:rFonts w:hint="eastAsia" w:ascii="黑体" w:hAnsi="黑体" w:eastAsia="黑体" w:cs="黑体"/>
                <w:i w:val="0"/>
                <w:iCs w:val="0"/>
                <w:color w:val="000000" w:themeColor="text1"/>
                <w:spacing w:val="0"/>
                <w:kern w:val="0"/>
                <w:sz w:val="18"/>
                <w:szCs w:val="18"/>
                <w:u w:val="none"/>
                <w:lang w:val="en-US" w:eastAsia="zh-CN" w:bidi="ar"/>
                <w14:textFill>
                  <w14:solidFill>
                    <w14:schemeClr w14:val="tx1"/>
                  </w14:solidFill>
                </w14:textFill>
              </w:rPr>
              <w:t>主管部门</w:t>
            </w:r>
          </w:p>
        </w:tc>
        <w:tc>
          <w:tcPr>
            <w:tcW w:w="139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黑体" w:hAnsi="黑体" w:eastAsia="黑体" w:cs="黑体"/>
                <w:i w:val="0"/>
                <w:iCs w:val="0"/>
                <w:color w:val="000000" w:themeColor="text1"/>
                <w:spacing w:val="0"/>
                <w:sz w:val="18"/>
                <w:szCs w:val="18"/>
                <w:u w:val="none"/>
                <w14:textFill>
                  <w14:solidFill>
                    <w14:schemeClr w14:val="tx1"/>
                  </w14:solidFill>
                </w14:textFill>
              </w:rPr>
            </w:pPr>
            <w:r>
              <w:rPr>
                <w:rFonts w:hint="eastAsia" w:ascii="黑体" w:hAnsi="黑体" w:eastAsia="黑体" w:cs="黑体"/>
                <w:i w:val="0"/>
                <w:iCs w:val="0"/>
                <w:color w:val="000000" w:themeColor="text1"/>
                <w:spacing w:val="0"/>
                <w:kern w:val="0"/>
                <w:sz w:val="18"/>
                <w:szCs w:val="18"/>
                <w:u w:val="none"/>
                <w:lang w:val="en-US" w:eastAsia="zh-CN" w:bidi="ar"/>
                <w14:textFill>
                  <w14:solidFill>
                    <w14:schemeClr w14:val="tx1"/>
                  </w14:solidFill>
                </w14:textFill>
              </w:rPr>
              <w:t>区委统战部</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黑体" w:hAnsi="黑体" w:eastAsia="黑体" w:cs="黑体"/>
                <w:i w:val="0"/>
                <w:iCs w:val="0"/>
                <w:color w:val="000000" w:themeColor="text1"/>
                <w:spacing w:val="0"/>
                <w:sz w:val="18"/>
                <w:szCs w:val="18"/>
                <w:u w:val="none"/>
                <w14:textFill>
                  <w14:solidFill>
                    <w14:schemeClr w14:val="tx1"/>
                  </w14:solidFill>
                </w14:textFill>
              </w:rPr>
            </w:pPr>
            <w:r>
              <w:rPr>
                <w:rFonts w:hint="eastAsia" w:ascii="黑体" w:hAnsi="黑体" w:eastAsia="黑体" w:cs="黑体"/>
                <w:i w:val="0"/>
                <w:iCs w:val="0"/>
                <w:color w:val="000000" w:themeColor="text1"/>
                <w:spacing w:val="0"/>
                <w:kern w:val="0"/>
                <w:sz w:val="18"/>
                <w:szCs w:val="18"/>
                <w:u w:val="none"/>
                <w:lang w:val="en-US" w:eastAsia="zh-CN" w:bidi="ar"/>
                <w14:textFill>
                  <w14:solidFill>
                    <w14:schemeClr w14:val="tx1"/>
                  </w14:solidFill>
                </w14:textFill>
              </w:rPr>
              <w:t>实施单位</w:t>
            </w:r>
          </w:p>
        </w:tc>
        <w:tc>
          <w:tcPr>
            <w:tcW w:w="2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黑体" w:hAnsi="黑体" w:eastAsia="黑体" w:cs="黑体"/>
                <w:i w:val="0"/>
                <w:iCs w:val="0"/>
                <w:color w:val="000000" w:themeColor="text1"/>
                <w:spacing w:val="0"/>
                <w:sz w:val="18"/>
                <w:szCs w:val="18"/>
                <w:u w:val="none"/>
                <w14:textFill>
                  <w14:solidFill>
                    <w14:schemeClr w14:val="tx1"/>
                  </w14:solidFill>
                </w14:textFill>
              </w:rPr>
            </w:pPr>
            <w:r>
              <w:rPr>
                <w:rFonts w:hint="eastAsia" w:ascii="黑体" w:hAnsi="黑体" w:eastAsia="黑体" w:cs="黑体"/>
                <w:i w:val="0"/>
                <w:iCs w:val="0"/>
                <w:color w:val="000000" w:themeColor="text1"/>
                <w:spacing w:val="0"/>
                <w:kern w:val="0"/>
                <w:sz w:val="18"/>
                <w:szCs w:val="18"/>
                <w:u w:val="none"/>
                <w:lang w:val="en-US" w:eastAsia="zh-CN" w:bidi="ar"/>
                <w14:textFill>
                  <w14:solidFill>
                    <w14:schemeClr w14:val="tx1"/>
                  </w14:solidFill>
                </w14:textFill>
              </w:rPr>
              <w:t>区委统战部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项目（政策）资金（万元）</w:t>
            </w:r>
          </w:p>
        </w:tc>
        <w:tc>
          <w:tcPr>
            <w:tcW w:w="955" w:type="pct"/>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4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67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80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34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both"/>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134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134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p>
        </w:tc>
        <w:tc>
          <w:tcPr>
            <w:tcW w:w="134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4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left"/>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4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left"/>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4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771"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955" w:type="pct"/>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44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7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80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46" w:type="pct"/>
            <w:tcBorders>
              <w:top w:val="nil"/>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整体</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br w:type="textWrapping"/>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目标</w:t>
            </w:r>
          </w:p>
        </w:tc>
        <w:tc>
          <w:tcPr>
            <w:tcW w:w="247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年度目标</w:t>
            </w:r>
          </w:p>
        </w:tc>
        <w:tc>
          <w:tcPr>
            <w:tcW w:w="2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6"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47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贯彻落实中国共产党领导的多党合作和政治协商制度以及对民主党派和无党派代表人士，做好支持工作履职尽责、发挥作用的工作;调查研究全区新的社会阶层人士情况提出政策建议，开展思想政治工作，指导社会组织开展新的社会阶层人士统战工作。负责海外侨胞代表人士在相关统战团体的安排，保护华侨和归侨侨眷在区内的合法权利和利益;为昭化乡村振兴和经济社会发展提供智力支撑和资金支持。团结、服务、引导、教育非公有制经济人士，促进非公有制经济健康发展和非公有制经济人士健康成长。贯彻落实党的宗教工作基本方针和政策，研究拟订宗教工作的重大政策措施并督促落实。贯彻落实党的民族工作方针，协调处理工作中的重大问题，开展好民族示范创建活动。统一领导港澳台统战工作，联系有关党派、团体及代表人士做好统一战线外事管理工作;贯彻做好党的统一战线、对台、侨务、民族宗教、民主党派、非公经济等相关协调和联系工作。充分保障全部职工的工资及社会保障缴费、日常办公所需支出，保证工作正常开展。</w:t>
            </w:r>
          </w:p>
        </w:tc>
        <w:tc>
          <w:tcPr>
            <w:tcW w:w="2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有效保障了区委统战部共有在职人员</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人的工资福利和对个人家庭的补助资金，人员经费发放及时，单位职工满意度为</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圆满完成了人员经费的绩效目标任务；保障单位运转及工作开展的水电、办公、打印、差旅等费用支出，部门运转类目标绩效良好，各项指标均达到预期效果；常态化实施乡村振兴联村帮扶、“红色星期六”党员志愿服务等活动，对城区公共区域进行环境卫生综合整治；持续推进民族宗教工作，确保民族宗教领域和睦和顺；区海外统战工作协作机制高效有序运转；区新联会经常开展献爱心活动，从实际上帮助困难群众解决很多问题，得到一致好评；发挥民主党派建言献策直通车作用，高质量撰写提案、建议、社情民意等</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余件，调研报告</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余篇，提高建言献策质量；对小寺山爱国主义教育基地及周边环境卫生管理、安全隐患防控、日常秩序维持日常管护，得到了社会各界高度赞誉；成立“九广合作”办公室，“九广合作”的深度和广度进一步拓展。项目具有良好的经济、社会、生态效益。提升了人居环境质量，广大群众满意度较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部门整体绩效指标</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346" w:type="pct"/>
            <w:tcBorders>
              <w:top w:val="nil"/>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68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714" w:type="pct"/>
            <w:gridSpan w:val="2"/>
            <w:tcBorders>
              <w:top w:val="nil"/>
              <w:left w:val="single" w:color="000000" w:sz="4" w:space="0"/>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部门全体职工人数</w:t>
            </w:r>
          </w:p>
        </w:tc>
        <w:tc>
          <w:tcPr>
            <w:tcW w:w="674" w:type="pct"/>
            <w:tcBorders>
              <w:top w:val="single" w:color="000000" w:sz="4" w:space="0"/>
              <w:left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w:t>
            </w:r>
          </w:p>
        </w:tc>
        <w:tc>
          <w:tcPr>
            <w:tcW w:w="80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召开各专项会议及培训人次</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全年统战各项工作完成率</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全年工作完成时间控制</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人员经费及日常运转费用控制额度。</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134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126</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做好港澳台侨、民族宗教、打造基地等工作经费控制</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万元，后市民宗局下达民族事业发展专项资金</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充分发挥统一战线人才荟萃、智力</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优良中低差</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04"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7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各民主党派人士、宗教界人士等满意度</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 xml:space="preserve"> </w:t>
            </w:r>
          </w:p>
        </w:tc>
        <w:tc>
          <w:tcPr>
            <w:tcW w:w="1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0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bl>
    <w:p>
      <w:pP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pPr>
      <w:bookmarkStart w:id="53" w:name="_Toc15396618"/>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br w:type="page"/>
      </w:r>
    </w:p>
    <w:p>
      <w:pPr>
        <w:keepNext w:val="0"/>
        <w:keepLines w:val="0"/>
        <w:pageBreakBefore w:val="0"/>
        <w:widowControl w:val="0"/>
        <w:tabs>
          <w:tab w:val="left" w:pos="2963"/>
        </w:tabs>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中共广元市昭化区委统战部</w:t>
      </w:r>
    </w:p>
    <w:p>
      <w:pPr>
        <w:keepNext w:val="0"/>
        <w:keepLines w:val="0"/>
        <w:pageBreakBefore w:val="0"/>
        <w:widowControl w:val="0"/>
        <w:kinsoku/>
        <w:wordWrap/>
        <w:overflowPunct/>
        <w:topLinePunct w:val="0"/>
        <w:autoSpaceDE w:val="0"/>
        <w:autoSpaceDN w:val="0"/>
        <w:bidi w:val="0"/>
        <w:adjustRightInd/>
        <w:snapToGrid/>
        <w:spacing w:line="576" w:lineRule="exact"/>
        <w:ind w:left="3128" w:right="232" w:hanging="3020"/>
        <w:jc w:val="center"/>
        <w:textAlignment w:val="auto"/>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关于</w:t>
      </w:r>
      <w:r>
        <w:rPr>
          <w:rFonts w:hint="eastAsia" w:ascii="Times New Roman" w:hAnsi="Times New Roman" w:eastAsia="方正小标宋简体" w:cs="方正小标宋简体"/>
          <w:color w:val="000000" w:themeColor="text1"/>
          <w:spacing w:val="0"/>
          <w:sz w:val="44"/>
          <w:szCs w:val="44"/>
          <w:lang w:val="en-US" w:eastAsia="zh-CN"/>
          <w14:textFill>
            <w14:solidFill>
              <w14:schemeClr w14:val="tx1"/>
            </w14:solidFill>
          </w14:textFill>
        </w:rPr>
        <w:t>2022</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年</w:t>
      </w:r>
      <w:r>
        <w:rPr>
          <w:rFonts w:hint="eastAsia" w:ascii="方正小标宋简体" w:hAnsi="方正小标宋简体" w:eastAsia="方正小标宋简体" w:cs="方正小标宋简体"/>
          <w:color w:val="000000" w:themeColor="text1"/>
          <w:spacing w:val="0"/>
          <w:sz w:val="44"/>
          <w:szCs w:val="44"/>
          <w14:textFill>
            <w14:solidFill>
              <w14:schemeClr w14:val="tx1"/>
            </w14:solidFill>
          </w14:textFill>
        </w:rPr>
        <w:t>民族宗教工作经费</w:t>
      </w:r>
      <w:r>
        <w:rPr>
          <w:rFonts w:hint="eastAsia" w:ascii="方正小标宋简体" w:hAnsi="方正小标宋简体" w:eastAsia="方正小标宋简体" w:cs="方正小标宋简体"/>
          <w:color w:val="000000" w:themeColor="text1"/>
          <w:spacing w:val="0"/>
          <w:sz w:val="44"/>
          <w:szCs w:val="44"/>
          <w:lang w:eastAsia="zh-CN"/>
          <w14:textFill>
            <w14:solidFill>
              <w14:schemeClr w14:val="tx1"/>
            </w14:solidFill>
          </w14:textFill>
        </w:rPr>
        <w:t>等</w:t>
      </w:r>
      <w:r>
        <w:rPr>
          <w:rFonts w:hint="eastAsia" w:ascii="Times New Roman" w:hAnsi="Times New Roman" w:eastAsia="方正小标宋简体" w:cs="方正小标宋简体"/>
          <w:color w:val="000000" w:themeColor="text1"/>
          <w:spacing w:val="0"/>
          <w:sz w:val="44"/>
          <w:szCs w:val="44"/>
          <w:lang w:val="en-US" w:eastAsia="zh-CN"/>
          <w14:textFill>
            <w14:solidFill>
              <w14:schemeClr w14:val="tx1"/>
            </w14:solidFill>
          </w14:textFill>
        </w:rPr>
        <w:t>9</w:t>
      </w: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个</w:t>
      </w:r>
    </w:p>
    <w:p>
      <w:pPr>
        <w:keepNext w:val="0"/>
        <w:keepLines w:val="0"/>
        <w:pageBreakBefore w:val="0"/>
        <w:widowControl w:val="0"/>
        <w:kinsoku/>
        <w:wordWrap/>
        <w:overflowPunct/>
        <w:topLinePunct w:val="0"/>
        <w:autoSpaceDE w:val="0"/>
        <w:autoSpaceDN w:val="0"/>
        <w:bidi w:val="0"/>
        <w:adjustRightInd/>
        <w:snapToGrid/>
        <w:spacing w:line="576" w:lineRule="exact"/>
        <w:ind w:left="3128" w:right="232" w:hanging="3020"/>
        <w:jc w:val="center"/>
        <w:textAlignment w:val="auto"/>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pacing w:val="0"/>
          <w:sz w:val="44"/>
          <w:szCs w:val="44"/>
          <w:lang w:val="en-US" w:eastAsia="zh-CN"/>
          <w14:textFill>
            <w14:solidFill>
              <w14:schemeClr w14:val="tx1"/>
            </w14:solidFill>
          </w14:textFill>
        </w:rPr>
        <w:t>项目支出绩效自评报告</w:t>
      </w:r>
    </w:p>
    <w:p>
      <w:pPr>
        <w:keepNext w:val="0"/>
        <w:keepLines w:val="0"/>
        <w:pageBreakBefore w:val="0"/>
        <w:widowControl w:val="0"/>
        <w:kinsoku/>
        <w:wordWrap/>
        <w:overflowPunct/>
        <w:topLinePunct w:val="0"/>
        <w:autoSpaceDE/>
        <w:autoSpaceDN/>
        <w:bidi w:val="0"/>
        <w:adjustRightInd/>
        <w:snapToGrid/>
        <w:spacing w:line="576" w:lineRule="exact"/>
        <w:ind w:firstLine="420" w:firstLineChars="200"/>
        <w:textAlignment w:val="auto"/>
        <w:rPr>
          <w:rFonts w:hint="default" w:ascii="Times New Roman" w:hAnsi="Times New Roman" w:eastAsia="黑体" w:cs="Times New Roman"/>
          <w:color w:val="000000" w:themeColor="text1"/>
          <w:spacing w:val="0"/>
          <w14:textFill>
            <w14:solidFill>
              <w14:schemeClr w14:val="tx1"/>
            </w14:solidFill>
          </w14:textFill>
        </w:rPr>
      </w:pPr>
    </w:p>
    <w:p>
      <w:pPr>
        <w:pStyle w:val="27"/>
        <w:keepNext w:val="0"/>
        <w:keepLines w:val="0"/>
        <w:pageBreakBefore w:val="0"/>
        <w:widowControl w:val="0"/>
        <w:numPr>
          <w:ilvl w:val="0"/>
          <w:numId w:val="0"/>
        </w:numPr>
        <w:tabs>
          <w:tab w:val="left" w:pos="1076"/>
        </w:tabs>
        <w:kinsoku/>
        <w:wordWrap/>
        <w:overflowPunct/>
        <w:topLinePunct w:val="0"/>
        <w:autoSpaceDE w:val="0"/>
        <w:autoSpaceDN w:val="0"/>
        <w:bidi w:val="0"/>
        <w:adjustRightInd/>
        <w:snapToGrid/>
        <w:spacing w:after="0" w:line="576" w:lineRule="exact"/>
        <w:ind w:right="0" w:rightChars="0"/>
        <w:jc w:val="left"/>
        <w:textAlignment w:val="auto"/>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区财政局：</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为了进一步加强财政支付预算管理，提高财政资金使用效益，根据《关于开展</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2023</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年部门、政策和项目支出绩效评价工作的通知》(昭财发〔</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2023</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号)的要求，现将我部</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年民族宗教工作经费等</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个项目支出绩效自评报告如下：</w:t>
      </w:r>
    </w:p>
    <w:p>
      <w:pPr>
        <w:pStyle w:val="8"/>
        <w:keepNext w:val="0"/>
        <w:keepLines w:val="0"/>
        <w:pageBreakBefore w:val="0"/>
        <w:widowControl w:val="0"/>
        <w:kinsoku/>
        <w:wordWrap/>
        <w:overflowPunct w:val="0"/>
        <w:topLinePunct w:val="0"/>
        <w:bidi w:val="0"/>
        <w:adjustRightInd/>
        <w:snapToGrid/>
        <w:spacing w:beforeLines="0" w:line="576" w:lineRule="exact"/>
        <w:ind w:left="0" w:right="0" w:firstLine="600" w:firstLineChars="200"/>
        <w:jc w:val="both"/>
        <w:textAlignment w:val="auto"/>
        <w:outlineLvl w:val="9"/>
        <w:rPr>
          <w:rFonts w:hint="eastAsia" w:ascii="黑体" w:eastAsia="黑体"/>
          <w:color w:val="000000" w:themeColor="text1"/>
          <w:spacing w:val="0"/>
          <w14:textFill>
            <w14:solidFill>
              <w14:schemeClr w14:val="tx1"/>
            </w14:solidFill>
          </w14:textFill>
        </w:rPr>
      </w:pPr>
      <w:r>
        <w:rPr>
          <w:rFonts w:hint="eastAsia" w:ascii="黑体" w:eastAsia="黑体"/>
          <w:color w:val="000000" w:themeColor="text1"/>
          <w:spacing w:val="0"/>
          <w14:textFill>
            <w14:solidFill>
              <w14:schemeClr w14:val="tx1"/>
            </w14:solidFill>
          </w14:textFill>
        </w:rPr>
        <w:t>一、项目概况</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本单位</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年预算的有</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民族宗教工作经费、侨务工作办公经费、新的社会阶层人士工作经费、民主党派工作经费、对台工作办公经费、非公经济工作办公经费、小寺山爱国主义教育基地日常管护费用、统战部工作经费、九广合作办公室工作经费等</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个项目，这些项目都是基本运转类项目。</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（一）项目资金申报及批复情况</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个项目均是</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年预算的项目，该项目长期使用，以</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年预算批复为准。</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（二）项目绩效目标</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民族宗教工作经费。该项目资金主要用于全面推进民族团结进步创建。构建“互嵌式”社会结构管理体制机制，搭建少数民族流动人口服务管理体系，对少数民族群众和少数民族干部信息进行普查登记，建立少数民族人口信息台账，会同公安、民政部门建立民族工作联络员制度，确保工作衔接紧密、落到实处</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加强对宗教政策的宣传，积极和谐寺观教堂”的创建活动，严厉打击非法宗教活动，抵御境外渗透，妥善处理因民族宗教引起的突发事件，做好小寺山爱国主义教育基地、民族团结进步示范基地工作。</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.侨务工作办公经费。</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该项目资金主要用于</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健全完善工作体制机制，贯彻落实《中共中央关于加强新时代海外统战工作的意见》，确保区海外统战工作协作机制高效有序运转。深化为侨服务，积极宣传、贯彻落实《四川省华侨权益保护条例》。凝聚侨智侨力服务大局，积极开展“暖侨行动”，主动融入“大侨务”工作格局，引导海内外侨胞积极参与社会主义现代化昭化建设。完成区侨联成立和侨胞之家建设，积极开展归侨、侨眷走访慰问活动，帮助解决生活中遇到的困难问题。</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eastAsia="仿宋_GB2312"/>
          <w:color w:val="000000" w:themeColor="text1"/>
          <w:spacing w:val="0"/>
          <w:lang w:val="en-US" w:eastAsia="zh-CN"/>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.新的社会阶层人士工作经费。</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项目资金主要用于完善代表人士分级分类管理信息库，探索新阶代表人士培养路径，加强新阶层人士的引导和培训工作，开展能力提升培训。加强新的社会阶层人士统战工作联席会议制度和新联会规范化建设，打造</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个新的社会阶层人士实践创新基地。开展与其他县区新联会联络联谊活动，学习借鉴先进经验。拓展新阶层人士的政治参与渠道，结合换届，将符合条件的代表人士推荐担任人大代表、政协委员及社会团体任职。</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4</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.民主党派工作经费。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该项目资金主要用于协助区委制定并组织实施</w:t>
      </w:r>
      <w:r>
        <w:rPr>
          <w:rFonts w:hint="eastAsia" w:ascii="Times New Roman" w:hAnsi="Times New Roman" w:eastAsia="仿宋_GB2312" w:cs="仿宋_GB2312"/>
          <w:color w:val="000000" w:themeColor="text1"/>
          <w:spacing w:val="0"/>
          <w:kern w:val="2"/>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年度政党协商（会议协商）计划，结合“十四五”规划开局之年，引导民主党派成员紧紧围绕我区高质量发展、乡村振兴、建设高质量发展新区、基层治理体系和能力建设等重点工作，深入开展调查研究，高质量建言资政，发挥民主党派建言献策直通车作用。支持党外特邀监察员履职政风行风评议、阳光问政、阳光政</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务热线和行政效能监督。</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.对台工作办公经费。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确保对台工作稳妥有序。认真组织学习习近平总书记在纪念辛亥革命</w:t>
      </w: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110</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周年大会上的讲话精神，全面贯彻落实党中央和省委、市委关于新形势下加强对台工作的意见，进一</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步凝聚起广大党员干部对台工作共识。持续走访慰问台属台胞，及时协调帮助解决实际困难。</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6</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.非公经济工作办公经费。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用于一是抓思想提升聚共识。组织全区非公经济人士深入学习习近平总书记在民营企业座谈会、企业家座谈会上的重要讲话和对民营经济统战工作及工商联工作的重要指示精神，引导民营经济人士听党话、跟党走。大力推行领导干部讲党课，采取座谈交流、集中培训等形式，常态开展民营经济</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人士理想信念教育和培训提能。二是抓环境优化强服务。建立区“四大班子”主要领导联系异地商会制度和区工商联机关班子成员、兼职副主席、副会长联系异地商会、民营企业制度，刚性要求相关领导干部每季度到联系商会、企业开展调研、纾难解困</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次以上。集中开展企业“大走访”活动。</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7</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.小寺山爱国主义教育基地日常管护费用。</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小寺山天主教堂作为全国第一批、全省首批爱国主义教育示范基地，四川统一战线中国特色社会主义教育基地，第三批省民族团结进步教育基地，随着基地的完善，前来学习的人流量增加，加强教堂、天主教爱国实际陈列馆及周边环境卫生管理、安全隐患防控、日常秩序维持日常管护非常必要。</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.统战部工作经费。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确保</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坚持用党的创新理论武装全区统一战线，持续深化党史学习教育、“爱国爱教爱家乡”等主题教育，强化对统战成员的政治动员、政治引领、政治教育，引导全区统一战线坚定不移听党话、跟党走，做到思想一致、声音一致、步调一致；坚持从政治高度重视新时代统一战线法宝作用，聚焦聚力</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昭化经济社会发展战略部署，充分发挥统一战线人才荟萃、智力密集、联系广泛优势，不断提升统一战线对全局工作的贡献率；深入贯彻落实全省基层统战工作高质量发展视频会议精神，以“五大建设”为着力点，以示范创建为抓手，注重守正创新，推动基层统战工作高质量发展；常态化抓好矛盾风险防范化解和疫情防控，切实维护统一战线意识形态安全。持续开展民族团结进步宣传教育和宗教工作</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法治化</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建设，促进民族宗教发展和顺和睦。加强非法宗教活动、非法宣传活动打击力度，提高防邪、反恐、禁毒知识专题培训和反恐演练开展频次；加强海外统战工作和民主党派、党外人士队伍建设，持续发展壮大一切爱国统一力量。</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default" w:eastAsia="仿宋_GB2312"/>
          <w:color w:val="000000" w:themeColor="text1"/>
          <w:spacing w:val="0"/>
          <w:lang w:val="en-US"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.九广合作办公室工作经费。</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该项目资金主要用于成立“九广合作”办公室，</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使</w:t>
      </w:r>
      <w:r>
        <w:rPr>
          <w:rFonts w:hint="eastAsia" w:ascii="仿宋_GB2312" w:hAnsi="仿宋_GB2312" w:eastAsia="仿宋_GB2312" w:cs="仿宋_GB2312"/>
          <w:color w:val="000000" w:themeColor="text1"/>
          <w:spacing w:val="0"/>
          <w:kern w:val="2"/>
          <w:sz w:val="32"/>
          <w:szCs w:val="32"/>
          <w:lang w:val="en-US" w:eastAsia="en-US" w:bidi="ar-SA"/>
          <w14:textFill>
            <w14:solidFill>
              <w14:schemeClr w14:val="tx1"/>
            </w14:solidFill>
          </w14:textFill>
        </w:rPr>
        <w:t>“九广合作”的深度和广度进一步拓展。推动“拱·昭”林下生态循环示范园项目落地生根</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。打造全国林下经济及附属林下产品循环产业示范园区。</w:t>
      </w:r>
    </w:p>
    <w:p>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00" w:firstLineChars="200"/>
        <w:jc w:val="both"/>
        <w:textAlignment w:val="auto"/>
        <w:outlineLvl w:val="9"/>
        <w:rPr>
          <w:rFonts w:hint="eastAsia" w:ascii="楷体_GB2312" w:hAnsi="楷体_GB2312" w:eastAsia="楷体_GB2312" w:cs="楷体_GB2312"/>
          <w:color w:val="000000" w:themeColor="text1"/>
          <w:spacing w:val="0"/>
          <w14:textFill>
            <w14:solidFill>
              <w14:schemeClr w14:val="tx1"/>
            </w14:solidFill>
          </w14:textFill>
        </w:rPr>
      </w:pPr>
      <w:r>
        <w:rPr>
          <w:rFonts w:hint="eastAsia" w:ascii="楷体_GB2312" w:hAnsi="楷体_GB2312" w:eastAsia="楷体_GB2312" w:cs="楷体_GB2312"/>
          <w:color w:val="000000" w:themeColor="text1"/>
          <w:spacing w:val="0"/>
          <w14:textFill>
            <w14:solidFill>
              <w14:schemeClr w14:val="tx1"/>
            </w14:solidFill>
          </w14:textFill>
        </w:rPr>
        <w:t>（三）项目资金申报相符性</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项目，每一笔经费开支在核定的支出限额和范围内实行据实凭票报账制，严格资金审批制度，附件完整齐全，经层层把关，审核签字，财务通过一体化平台支付款项。每笔资金都用于相关业务，申报内容与具体实施内容相符，申报目标具体量化、合理可行。</w:t>
      </w:r>
    </w:p>
    <w:p>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00" w:firstLineChars="200"/>
        <w:jc w:val="both"/>
        <w:textAlignment w:val="auto"/>
        <w:outlineLvl w:val="9"/>
        <w:rPr>
          <w:rFonts w:hint="eastAsia" w:ascii="楷体_GB2312" w:hAnsi="楷体_GB2312" w:eastAsia="楷体_GB2312" w:cs="楷体_GB2312"/>
          <w:color w:val="000000" w:themeColor="text1"/>
          <w:spacing w:val="0"/>
          <w14:textFill>
            <w14:solidFill>
              <w14:schemeClr w14:val="tx1"/>
            </w14:solidFill>
          </w14:textFill>
        </w:rPr>
      </w:pPr>
      <w:r>
        <w:rPr>
          <w:rFonts w:hint="eastAsia" w:ascii="楷体_GB2312" w:hAnsi="楷体_GB2312" w:eastAsia="楷体_GB2312" w:cs="楷体_GB2312"/>
          <w:color w:val="000000" w:themeColor="text1"/>
          <w:spacing w:val="0"/>
          <w14:textFill>
            <w14:solidFill>
              <w14:schemeClr w14:val="tx1"/>
            </w14:solidFill>
          </w14:textFill>
        </w:rPr>
        <w:t>（四）自评步骤及方法</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通过撰写自评报告、结合自评表和自评打分体系表打分，查漏补缺，</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做到有计划、有安排。按照</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区财政局</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下达的项目支出绩效评价指标体系，针对申报内容、实施情况、资金支付、财务管理、经济效益、社会效益等评价内容作出自我评价，形成自评报告，并向区财政局报送电子和纸质资料。</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黑体" w:eastAsia="黑体"/>
          <w:color w:val="000000" w:themeColor="text1"/>
          <w:spacing w:val="0"/>
          <w:sz w:val="32"/>
          <w:szCs w:val="32"/>
          <w14:textFill>
            <w14:solidFill>
              <w14:schemeClr w14:val="tx1"/>
            </w14:solidFill>
          </w14:textFill>
        </w:rPr>
      </w:pPr>
      <w:r>
        <w:rPr>
          <w:rFonts w:hint="eastAsia" w:ascii="黑体" w:eastAsia="黑体"/>
          <w:color w:val="000000" w:themeColor="text1"/>
          <w:spacing w:val="0"/>
          <w:sz w:val="32"/>
          <w:szCs w:val="32"/>
          <w14:textFill>
            <w14:solidFill>
              <w14:schemeClr w14:val="tx1"/>
            </w14:solidFill>
          </w14:textFill>
        </w:rPr>
        <w:t>二、项目实施及管理情况</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（一）资金计划、到位及使用情况</w:t>
      </w:r>
    </w:p>
    <w:p>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3</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月</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日，资金预算批复全部到位，资金到位率</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100</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%、资金到位及时。截止</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月</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31</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日支付</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民族宗教工作经费共计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10</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万元；侨务工作办公经费共计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万元；新的社会阶层人士工作经费共计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万元；民主党派工作经费共计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25</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万元；对台工作办公经费共计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万元；非公经济工作办公经费共计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万元；小寺山爱国主义教育基地日常管护费用共计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万元；统战部工作经费共计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15</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万元；九广合作办公室工作经费共计</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万元。</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支付依据合规合法，资金支付与预算、追加相符。严格审核费用的标准、范围及其合规性。对每一笔经费开支在核定的支出限额和范围内实行据实凭票报账制，严格资金审批制度，附件完整齐全，通过层层把关，审核签字，通过一体化平台支付款项，支出完成率达</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100</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（二）项目财务管理情况</w:t>
      </w:r>
    </w:p>
    <w:p>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严格按照财务规定和程序实行国库集中支付方式实施项目资金分配,并进行严格监督检查，在资金使用过程中无截留、挤占、挪用、虚列支出等情况，做到了专款专用，提高了资金使用效率，并在项目实施完成后及时开展绩效自评，按规定按月及时处理账务，账务核算规范准确。</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（三）项目组织实施情况</w:t>
      </w:r>
    </w:p>
    <w:p>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该</w:t>
      </w: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个项目基本运转类项目，是长期使用的项目。这些项目开始时间为</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月，完成时间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年</w:t>
      </w:r>
      <w:r>
        <w:rPr>
          <w:rFonts w:hint="eastAsia" w:ascii="Times New Roman" w:hAnsi="Times New Roman" w:eastAsia="仿宋_GB2312" w:cs="仿宋_GB2312"/>
          <w:color w:val="000000" w:themeColor="text1"/>
          <w:spacing w:val="0"/>
          <w:sz w:val="32"/>
          <w:szCs w:val="32"/>
          <w:lang w:val="en-US" w:eastAsia="en-US" w:bidi="ar-SA"/>
          <w14:textFill>
            <w14:solidFill>
              <w14:schemeClr w14:val="tx1"/>
            </w14:solidFill>
          </w14:textFill>
        </w:rPr>
        <w:t>12</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月。根据项目申报有关要求，编制项目支出计划。在对各项目申报材料和项目支出预算合理性、可行性和必要性进行审核的基础上，并按照部门预算管理程序和要求编制项目支出预算。在项目组织的过程中</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能做到有依有据，合理合法，监管与审核并重，项目绩效与预决算一同在区人民政府网上公开。</w:t>
      </w:r>
    </w:p>
    <w:p>
      <w:pPr>
        <w:pStyle w:val="8"/>
        <w:keepNext w:val="0"/>
        <w:keepLines w:val="0"/>
        <w:pageBreakBefore w:val="0"/>
        <w:widowControl w:val="0"/>
        <w:numPr>
          <w:ilvl w:val="0"/>
          <w:numId w:val="5"/>
        </w:numPr>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黑体" w:hAnsi="黑体" w:eastAsia="黑体" w:cs="黑体"/>
          <w:color w:val="000000" w:themeColor="text1"/>
          <w:spacing w:val="0"/>
          <w:sz w:val="32"/>
          <w:szCs w:val="32"/>
          <w14:textFill>
            <w14:solidFill>
              <w14:schemeClr w14:val="tx1"/>
            </w14:solidFill>
          </w14:textFill>
        </w:rPr>
      </w:pPr>
      <w:r>
        <w:rPr>
          <w:rFonts w:hint="eastAsia" w:ascii="黑体" w:hAnsi="黑体" w:eastAsia="黑体" w:cs="黑体"/>
          <w:color w:val="000000" w:themeColor="text1"/>
          <w:spacing w:val="0"/>
          <w:sz w:val="32"/>
          <w:szCs w:val="32"/>
          <w14:textFill>
            <w14:solidFill>
              <w14:schemeClr w14:val="tx1"/>
            </w14:solidFill>
          </w14:textFill>
        </w:rPr>
        <w:t>项目绩效情况</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（一）项目完成情况</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sz w:val="32"/>
          <w:szCs w:val="32"/>
          <w:lang w:val="en-US" w:eastAsia="zh-CN" w:bidi="ar-SA"/>
          <w14:textFill>
            <w14:solidFill>
              <w14:schemeClr w14:val="tx1"/>
            </w14:solidFill>
          </w14:textFill>
        </w:rPr>
        <w:t>1</w:t>
      </w:r>
      <w:r>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民族宗教工作经费。</w:t>
      </w:r>
      <w:r>
        <w:rPr>
          <w:rFonts w:hint="eastAsia" w:ascii="仿宋_GB2312" w:hAnsi="仿宋_GB2312" w:eastAsia="仿宋_GB2312" w:cs="仿宋_GB2312"/>
          <w:b/>
          <w:bCs/>
          <w:color w:val="000000" w:themeColor="text1"/>
          <w:spacing w:val="0"/>
          <w:sz w:val="32"/>
          <w:szCs w:val="32"/>
          <w14:textFill>
            <w14:solidFill>
              <w14:schemeClr w14:val="tx1"/>
            </w14:solidFill>
          </w14:textFill>
        </w:rPr>
        <w:t>一是</w:t>
      </w:r>
      <w:r>
        <w:rPr>
          <w:rFonts w:hint="eastAsia" w:ascii="仿宋_GB2312" w:hAnsi="仿宋_GB2312" w:eastAsia="仿宋_GB2312" w:cs="仿宋_GB2312"/>
          <w:color w:val="000000" w:themeColor="text1"/>
          <w:spacing w:val="0"/>
          <w:sz w:val="32"/>
          <w:szCs w:val="32"/>
          <w14:textFill>
            <w14:solidFill>
              <w14:schemeClr w14:val="tx1"/>
            </w14:solidFill>
          </w14:textFill>
        </w:rPr>
        <w:t>全面推进民族团结进步创建。印发了《广元市创建全国民族团结进步示范市昭化区工作方案》,从指导思想、工作内容等五个方面为推进创建工作提供遵循和参考。深入民族团结进步宣传，在全区交通要道制作大型广告标语</w:t>
      </w:r>
      <w:r>
        <w:rPr>
          <w:rFonts w:hint="eastAsia" w:ascii="Times New Roman" w:hAnsi="Times New Roman" w:eastAsia="仿宋_GB2312" w:cs="仿宋_GB2312"/>
          <w:color w:val="000000" w:themeColor="text1"/>
          <w:spacing w:val="0"/>
          <w:sz w:val="32"/>
          <w:szCs w:val="32"/>
          <w14:textFill>
            <w14:solidFill>
              <w14:schemeClr w14:val="tx1"/>
            </w14:solidFill>
          </w14:textFill>
        </w:rPr>
        <w:t>21</w:t>
      </w:r>
      <w:r>
        <w:rPr>
          <w:rFonts w:hint="eastAsia" w:ascii="仿宋_GB2312" w:hAnsi="仿宋_GB2312" w:eastAsia="仿宋_GB2312" w:cs="仿宋_GB2312"/>
          <w:color w:val="000000" w:themeColor="text1"/>
          <w:spacing w:val="0"/>
          <w:sz w:val="32"/>
          <w:szCs w:val="32"/>
          <w14:textFill>
            <w14:solidFill>
              <w14:schemeClr w14:val="tx1"/>
            </w14:solidFill>
          </w14:textFill>
        </w:rPr>
        <w:t>副、固定式墙面标语</w:t>
      </w:r>
      <w:r>
        <w:rPr>
          <w:rFonts w:hint="eastAsia" w:ascii="Times New Roman" w:hAnsi="Times New Roman" w:eastAsia="仿宋_GB2312" w:cs="仿宋_GB2312"/>
          <w:color w:val="000000" w:themeColor="text1"/>
          <w:spacing w:val="0"/>
          <w:sz w:val="32"/>
          <w:szCs w:val="32"/>
          <w14:textFill>
            <w14:solidFill>
              <w14:schemeClr w14:val="tx1"/>
            </w14:solidFill>
          </w14:textFill>
        </w:rPr>
        <w:t>46</w:t>
      </w:r>
      <w:r>
        <w:rPr>
          <w:rFonts w:hint="eastAsia" w:ascii="仿宋_GB2312" w:hAnsi="仿宋_GB2312" w:eastAsia="仿宋_GB2312" w:cs="仿宋_GB2312"/>
          <w:color w:val="000000" w:themeColor="text1"/>
          <w:spacing w:val="0"/>
          <w:sz w:val="32"/>
          <w:szCs w:val="32"/>
          <w14:textFill>
            <w14:solidFill>
              <w14:schemeClr w14:val="tx1"/>
            </w14:solidFill>
          </w14:textFill>
        </w:rPr>
        <w:t>副，启动LED、公交招呼站、海报等形式宣传</w:t>
      </w:r>
      <w:r>
        <w:rPr>
          <w:rFonts w:hint="eastAsia" w:ascii="Times New Roman" w:hAnsi="Times New Roman" w:eastAsia="仿宋_GB2312" w:cs="仿宋_GB2312"/>
          <w:color w:val="000000" w:themeColor="text1"/>
          <w:spacing w:val="0"/>
          <w:sz w:val="32"/>
          <w:szCs w:val="32"/>
          <w14:textFill>
            <w14:solidFill>
              <w14:schemeClr w14:val="tx1"/>
            </w14:solidFill>
          </w14:textFill>
        </w:rPr>
        <w:t>226</w:t>
      </w:r>
      <w:r>
        <w:rPr>
          <w:rFonts w:hint="eastAsia" w:ascii="仿宋_GB2312" w:hAnsi="仿宋_GB2312" w:eastAsia="仿宋_GB2312" w:cs="仿宋_GB2312"/>
          <w:color w:val="000000" w:themeColor="text1"/>
          <w:spacing w:val="0"/>
          <w:sz w:val="32"/>
          <w:szCs w:val="32"/>
          <w14:textFill>
            <w14:solidFill>
              <w14:schemeClr w14:val="tx1"/>
            </w14:solidFill>
          </w14:textFill>
        </w:rPr>
        <w:t>副，利用电视、广播宣传</w:t>
      </w:r>
      <w:r>
        <w:rPr>
          <w:rFonts w:hint="eastAsia" w:ascii="Times New Roman" w:hAnsi="Times New Roman" w:eastAsia="仿宋_GB2312" w:cs="仿宋_GB2312"/>
          <w:color w:val="000000" w:themeColor="text1"/>
          <w:spacing w:val="0"/>
          <w:sz w:val="32"/>
          <w:szCs w:val="32"/>
          <w14:textFill>
            <w14:solidFill>
              <w14:schemeClr w14:val="tx1"/>
            </w14:solidFill>
          </w14:textFill>
        </w:rPr>
        <w:t>270</w:t>
      </w:r>
      <w:r>
        <w:rPr>
          <w:rFonts w:hint="eastAsia" w:ascii="仿宋_GB2312" w:hAnsi="仿宋_GB2312" w:eastAsia="仿宋_GB2312" w:cs="仿宋_GB2312"/>
          <w:color w:val="000000" w:themeColor="text1"/>
          <w:spacing w:val="0"/>
          <w:sz w:val="32"/>
          <w:szCs w:val="32"/>
          <w14:textFill>
            <w14:solidFill>
              <w14:schemeClr w14:val="tx1"/>
            </w14:solidFill>
          </w14:textFill>
        </w:rPr>
        <w:t>场次，召开坝坝会宣传</w:t>
      </w:r>
      <w:r>
        <w:rPr>
          <w:rFonts w:hint="eastAsia" w:ascii="Times New Roman" w:hAnsi="Times New Roman" w:eastAsia="仿宋_GB2312" w:cs="仿宋_GB2312"/>
          <w:color w:val="000000" w:themeColor="text1"/>
          <w:spacing w:val="0"/>
          <w:sz w:val="32"/>
          <w:szCs w:val="32"/>
          <w14:textFill>
            <w14:solidFill>
              <w14:schemeClr w14:val="tx1"/>
            </w14:solidFill>
          </w14:textFill>
        </w:rPr>
        <w:t>310</w:t>
      </w:r>
      <w:r>
        <w:rPr>
          <w:rFonts w:hint="eastAsia" w:ascii="仿宋_GB2312" w:hAnsi="仿宋_GB2312" w:eastAsia="仿宋_GB2312" w:cs="仿宋_GB2312"/>
          <w:color w:val="000000" w:themeColor="text1"/>
          <w:spacing w:val="0"/>
          <w:sz w:val="32"/>
          <w:szCs w:val="32"/>
          <w14:textFill>
            <w14:solidFill>
              <w14:schemeClr w14:val="tx1"/>
            </w14:solidFill>
          </w14:textFill>
        </w:rPr>
        <w:t>场次，开展集中培训</w:t>
      </w:r>
      <w:r>
        <w:rPr>
          <w:rFonts w:hint="eastAsia" w:ascii="Times New Roman" w:hAnsi="Times New Roman" w:eastAsia="仿宋_GB2312" w:cs="仿宋_GB2312"/>
          <w:color w:val="000000" w:themeColor="text1"/>
          <w:spacing w:val="0"/>
          <w:sz w:val="32"/>
          <w:szCs w:val="32"/>
          <w14:textFill>
            <w14:solidFill>
              <w14:schemeClr w14:val="tx1"/>
            </w14:solidFill>
          </w14:textFill>
        </w:rPr>
        <w:t>6</w:t>
      </w:r>
      <w:r>
        <w:rPr>
          <w:rFonts w:hint="eastAsia" w:ascii="仿宋_GB2312" w:hAnsi="仿宋_GB2312" w:eastAsia="仿宋_GB2312" w:cs="仿宋_GB2312"/>
          <w:color w:val="000000" w:themeColor="text1"/>
          <w:spacing w:val="0"/>
          <w:sz w:val="32"/>
          <w:szCs w:val="32"/>
          <w14:textFill>
            <w14:solidFill>
              <w14:schemeClr w14:val="tx1"/>
            </w14:solidFill>
          </w14:textFill>
        </w:rPr>
        <w:t>场次。</w:t>
      </w:r>
      <w:r>
        <w:rPr>
          <w:rFonts w:hint="eastAsia" w:ascii="仿宋_GB2312" w:hAnsi="仿宋_GB2312" w:eastAsia="仿宋_GB2312" w:cs="仿宋_GB2312"/>
          <w:bCs/>
          <w:color w:val="000000" w:themeColor="text1"/>
          <w:spacing w:val="0"/>
          <w:sz w:val="32"/>
          <w:szCs w:val="32"/>
          <w14:textFill>
            <w14:solidFill>
              <w14:schemeClr w14:val="tx1"/>
            </w14:solidFill>
          </w14:textFill>
        </w:rPr>
        <w:t>投入</w:t>
      </w:r>
      <w:r>
        <w:rPr>
          <w:rFonts w:hint="eastAsia" w:ascii="Times New Roman" w:hAnsi="Times New Roman" w:eastAsia="仿宋_GB2312" w:cs="仿宋_GB2312"/>
          <w:bCs/>
          <w:color w:val="000000" w:themeColor="text1"/>
          <w:spacing w:val="0"/>
          <w:sz w:val="32"/>
          <w:szCs w:val="32"/>
          <w14:textFill>
            <w14:solidFill>
              <w14:schemeClr w14:val="tx1"/>
            </w14:solidFill>
          </w14:textFill>
        </w:rPr>
        <w:t>50</w:t>
      </w:r>
      <w:r>
        <w:rPr>
          <w:rFonts w:hint="eastAsia" w:ascii="仿宋_GB2312" w:hAnsi="仿宋_GB2312" w:eastAsia="仿宋_GB2312" w:cs="仿宋_GB2312"/>
          <w:bCs/>
          <w:color w:val="000000" w:themeColor="text1"/>
          <w:spacing w:val="0"/>
          <w:sz w:val="32"/>
          <w:szCs w:val="32"/>
          <w14:textFill>
            <w14:solidFill>
              <w14:schemeClr w14:val="tx1"/>
            </w14:solidFill>
          </w14:textFill>
        </w:rPr>
        <w:t>余万元，对小寺山天主教堂民族团结进步教育基地品牌进行了全面提升改造，受到国家民委在广元市创建全国民族团结进步示范市现场验收工作中高度肯定。</w:t>
      </w:r>
      <w:r>
        <w:rPr>
          <w:rFonts w:hint="eastAsia" w:ascii="仿宋_GB2312" w:hAnsi="仿宋_GB2312" w:eastAsia="仿宋_GB2312" w:cs="仿宋_GB2312"/>
          <w:color w:val="000000" w:themeColor="text1"/>
          <w:spacing w:val="0"/>
          <w:sz w:val="32"/>
          <w:szCs w:val="32"/>
          <w14:textFill>
            <w14:solidFill>
              <w14:schemeClr w14:val="tx1"/>
            </w14:solidFill>
          </w14:textFill>
        </w:rPr>
        <w:t>二是创新机制加强宗教事务规范化管理。围绕全省“坚定文化自信，坚持中国化方向”工作部署，探索“五个同心”、“五种文化”创建昭化方案，构建 “五大意识”以及“管人三自”和“管事三常”的</w:t>
      </w:r>
      <w:r>
        <w:rPr>
          <w:rFonts w:hint="eastAsia" w:ascii="Times New Roman" w:hAnsi="Times New Roman" w:eastAsia="仿宋_GB2312" w:cs="仿宋_GB2312"/>
          <w:color w:val="000000" w:themeColor="text1"/>
          <w:spacing w:val="0"/>
          <w:sz w:val="32"/>
          <w:szCs w:val="32"/>
          <w14:textFill>
            <w14:solidFill>
              <w14:schemeClr w14:val="tx1"/>
            </w14:solidFill>
          </w14:textFill>
        </w:rPr>
        <w:t>18</w:t>
      </w:r>
      <w:r>
        <w:rPr>
          <w:rFonts w:hint="eastAsia" w:ascii="仿宋_GB2312" w:hAnsi="仿宋_GB2312" w:eastAsia="仿宋_GB2312" w:cs="仿宋_GB2312"/>
          <w:color w:val="000000" w:themeColor="text1"/>
          <w:spacing w:val="0"/>
          <w:sz w:val="32"/>
          <w:szCs w:val="32"/>
          <w14:textFill>
            <w14:solidFill>
              <w14:schemeClr w14:val="tx1"/>
            </w14:solidFill>
          </w14:textFill>
        </w:rPr>
        <w:t>项制度规范，成功建成小寺山教堂、平乐寺、天雄观宗教中国化示范场所，成功承接全市宗教中国化方向现场会在昭化区召开并在会上作经验交流发言。不断加强宗教领域意识形态建设，坚决查处宗教领域非法出版物，不定期进行专项检查整治。召开场所负责人会议</w:t>
      </w:r>
      <w:r>
        <w:rPr>
          <w:rFonts w:hint="eastAsia" w:ascii="Times New Roman" w:hAnsi="Times New Roman" w:eastAsia="仿宋_GB2312" w:cs="仿宋_GB2312"/>
          <w:color w:val="000000" w:themeColor="text1"/>
          <w:spacing w:val="0"/>
          <w:sz w:val="32"/>
          <w:szCs w:val="32"/>
          <w14:textFill>
            <w14:solidFill>
              <w14:schemeClr w14:val="tx1"/>
            </w14:solidFill>
          </w14:textFill>
        </w:rPr>
        <w:t>2</w:t>
      </w:r>
      <w:r>
        <w:rPr>
          <w:rFonts w:hint="eastAsia" w:ascii="仿宋_GB2312" w:hAnsi="仿宋_GB2312" w:eastAsia="仿宋_GB2312" w:cs="仿宋_GB2312"/>
          <w:color w:val="000000" w:themeColor="text1"/>
          <w:spacing w:val="0"/>
          <w:sz w:val="32"/>
          <w:szCs w:val="32"/>
          <w14:textFill>
            <w14:solidFill>
              <w14:schemeClr w14:val="tx1"/>
            </w14:solidFill>
          </w14:textFill>
        </w:rPr>
        <w:t>次，传达学习了党的二十大、十九届六中全会精神，并专题培训宗教事务法律法规，增强宗教教职人员爱国爱教意识，不断健全和深化长效机制。</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eastAsia="仿宋_GB2312"/>
          <w:color w:val="000000" w:themeColor="text1"/>
          <w:spacing w:val="0"/>
          <w:lang w:val="en-US"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.侨务工作办公经费。</w:t>
      </w:r>
      <w:r>
        <w:rPr>
          <w:rFonts w:hint="eastAsia" w:ascii="Times New Roman" w:hAnsi="Times New Roman" w:eastAsia="仿宋_GB2312"/>
          <w:color w:val="000000" w:themeColor="text1"/>
          <w:spacing w:val="0"/>
          <w:sz w:val="32"/>
          <w:szCs w:val="32"/>
          <w14:textFill>
            <w14:solidFill>
              <w14:schemeClr w14:val="tx1"/>
            </w14:solidFill>
          </w14:textFill>
        </w:rPr>
        <w:t>全面普查华侨、归侨、侨眷信息，建立侨务资源统计台账，高规格召开区侨联成立大会，选举产生区侨联第一届委员会领导班子，高标准建设“侨胞之家”，侨界助力经济社会发展桥梁和纽带进一步巩固。</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eastAsia="仿宋_GB2312"/>
          <w:color w:val="000000" w:themeColor="text1"/>
          <w:spacing w:val="0"/>
          <w:lang w:val="en-US"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.新的社会阶层人士工作经费。</w:t>
      </w:r>
      <w:r>
        <w:rPr>
          <w:rFonts w:hint="eastAsia" w:ascii="Times New Roman" w:hAnsi="Times New Roman" w:eastAsia="仿宋_GB2312"/>
          <w:color w:val="000000" w:themeColor="text1"/>
          <w:spacing w:val="0"/>
          <w:sz w:val="32"/>
          <w:szCs w:val="32"/>
          <w14:textFill>
            <w14:solidFill>
              <w14:schemeClr w14:val="tx1"/>
            </w14:solidFill>
          </w14:textFill>
        </w:rPr>
        <w:t>新阶会、知联会工作稳步推进。组织新的社会阶层联谊会、知识分子联谊会开展活动，切实开展支援浙江龙泉、陕西郑州抗洪、助力高考、大学生圆梦、抗疫捐物资等活动，捐款捐物达20余万元。</w:t>
      </w:r>
    </w:p>
    <w:p>
      <w:pPr>
        <w:pStyle w:val="8"/>
        <w:keepNext w:val="0"/>
        <w:keepLines w:val="0"/>
        <w:pageBreakBefore w:val="0"/>
        <w:widowControl w:val="0"/>
        <w:kinsoku/>
        <w:wordWrap/>
        <w:overflowPunct w:val="0"/>
        <w:topLinePunct w:val="0"/>
        <w:bidi w:val="0"/>
        <w:adjustRightInd/>
        <w:snapToGrid/>
        <w:spacing w:beforeLines="0"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4</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.民主党派工作经费。</w:t>
      </w:r>
      <w:r>
        <w:rPr>
          <w:rFonts w:hint="eastAsia" w:ascii="仿宋_GB2312" w:hAnsi="仿宋_GB2312" w:eastAsia="仿宋_GB2312" w:cs="仿宋_GB2312"/>
          <w:color w:val="000000" w:themeColor="text1"/>
          <w:spacing w:val="0"/>
          <w:sz w:val="32"/>
          <w:szCs w:val="32"/>
          <w14:textFill>
            <w14:solidFill>
              <w14:schemeClr w14:val="tx1"/>
            </w14:solidFill>
          </w14:textFill>
        </w:rPr>
        <w:t>一是高质量完成换届后续工作。民革、民盟、民建、民进昭化组织圆满完成换届或届中调整后，加强班子队伍思想建设，采取多种形式开展“不忘合作初心、继续携手前进”主题教育活动，强化理论武装和纪律意识教育，不断增强向心力、凝聚力和战斗力。</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年，</w:t>
      </w:r>
      <w:r>
        <w:rPr>
          <w:rFonts w:hint="eastAsia" w:ascii="仿宋_GB2312" w:hAnsi="仿宋_GB2312" w:eastAsia="仿宋_GB2312" w:cs="仿宋_GB2312"/>
          <w:color w:val="000000" w:themeColor="text1"/>
          <w:spacing w:val="0"/>
          <w:sz w:val="32"/>
          <w:szCs w:val="32"/>
          <w14:textFill>
            <w14:solidFill>
              <w14:schemeClr w14:val="tx1"/>
            </w14:solidFill>
          </w14:textFill>
        </w:rPr>
        <w:t>民革昭化支部被表彰为“</w:t>
      </w:r>
      <w:r>
        <w:rPr>
          <w:rFonts w:hint="eastAsia" w:ascii="Times New Roman" w:hAnsi="Times New Roman" w:eastAsia="仿宋_GB2312" w:cs="仿宋_GB2312"/>
          <w:color w:val="000000" w:themeColor="text1"/>
          <w:spacing w:val="0"/>
          <w:sz w:val="32"/>
          <w:szCs w:val="32"/>
          <w14:textFill>
            <w14:solidFill>
              <w14:schemeClr w14:val="tx1"/>
            </w14:solidFill>
          </w14:textFill>
        </w:rPr>
        <w:t>2022</w:t>
      </w:r>
      <w:r>
        <w:rPr>
          <w:rFonts w:hint="eastAsia" w:ascii="仿宋_GB2312" w:hAnsi="仿宋_GB2312" w:eastAsia="仿宋_GB2312" w:cs="仿宋_GB2312"/>
          <w:color w:val="000000" w:themeColor="text1"/>
          <w:spacing w:val="0"/>
          <w:sz w:val="32"/>
          <w:szCs w:val="32"/>
          <w14:textFill>
            <w14:solidFill>
              <w14:schemeClr w14:val="tx1"/>
            </w14:solidFill>
          </w14:textFill>
        </w:rPr>
        <w:t>年度优秀基层组织”</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民进昭化支部被表彰为“先进基层组织”</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14:textFill>
            <w14:solidFill>
              <w14:schemeClr w14:val="tx1"/>
            </w14:solidFill>
          </w14:textFill>
        </w:rPr>
        <w:t xml:space="preserve">二是提高参政议政能力。各民主党派全年撰写优质提案、建议、社情民意等 </w:t>
      </w:r>
      <w:r>
        <w:rPr>
          <w:rFonts w:hint="eastAsia" w:ascii="Times New Roman" w:hAnsi="Times New Roman" w:eastAsia="仿宋_GB2312" w:cs="仿宋_GB2312"/>
          <w:color w:val="000000" w:themeColor="text1"/>
          <w:spacing w:val="0"/>
          <w:sz w:val="32"/>
          <w:szCs w:val="32"/>
          <w14:textFill>
            <w14:solidFill>
              <w14:schemeClr w14:val="tx1"/>
            </w14:solidFill>
          </w14:textFill>
        </w:rPr>
        <w:t>100</w:t>
      </w:r>
      <w:r>
        <w:rPr>
          <w:rFonts w:hint="eastAsia" w:ascii="仿宋_GB2312" w:hAnsi="仿宋_GB2312" w:eastAsia="仿宋_GB2312" w:cs="仿宋_GB2312"/>
          <w:color w:val="000000" w:themeColor="text1"/>
          <w:spacing w:val="0"/>
          <w:sz w:val="32"/>
          <w:szCs w:val="32"/>
          <w14:textFill>
            <w14:solidFill>
              <w14:schemeClr w14:val="tx1"/>
            </w14:solidFill>
          </w14:textFill>
        </w:rPr>
        <w:t>余件，高质量调研报告和论文</w:t>
      </w:r>
      <w:r>
        <w:rPr>
          <w:rFonts w:hint="eastAsia" w:ascii="Times New Roman" w:hAnsi="Times New Roman" w:eastAsia="仿宋_GB2312" w:cs="仿宋_GB2312"/>
          <w:color w:val="000000" w:themeColor="text1"/>
          <w:spacing w:val="0"/>
          <w:sz w:val="32"/>
          <w:szCs w:val="32"/>
          <w14:textFill>
            <w14:solidFill>
              <w14:schemeClr w14:val="tx1"/>
            </w14:solidFill>
          </w14:textFill>
        </w:rPr>
        <w:t>10</w:t>
      </w:r>
      <w:r>
        <w:rPr>
          <w:rFonts w:hint="eastAsia" w:ascii="仿宋_GB2312" w:hAnsi="仿宋_GB2312" w:eastAsia="仿宋_GB2312" w:cs="仿宋_GB2312"/>
          <w:color w:val="000000" w:themeColor="text1"/>
          <w:spacing w:val="0"/>
          <w:sz w:val="32"/>
          <w:szCs w:val="32"/>
          <w14:textFill>
            <w14:solidFill>
              <w14:schemeClr w14:val="tx1"/>
            </w14:solidFill>
          </w14:textFill>
        </w:rPr>
        <w:t>余篇，市人大代表的《创新打造广元特色营商环境》建议登上</w:t>
      </w:r>
      <w:r>
        <w:rPr>
          <w:rFonts w:hint="eastAsia" w:ascii="Times New Roman" w:hAnsi="Times New Roman" w:eastAsia="仿宋_GB2312" w:cs="仿宋_GB2312"/>
          <w:color w:val="000000" w:themeColor="text1"/>
          <w:spacing w:val="0"/>
          <w:sz w:val="32"/>
          <w:szCs w:val="32"/>
          <w14:textFill>
            <w14:solidFill>
              <w14:schemeClr w14:val="tx1"/>
            </w14:solidFill>
          </w14:textFill>
        </w:rPr>
        <w:t>1</w:t>
      </w:r>
      <w:r>
        <w:rPr>
          <w:rFonts w:hint="eastAsia" w:ascii="仿宋_GB2312" w:hAnsi="仿宋_GB2312" w:eastAsia="仿宋_GB2312" w:cs="仿宋_GB2312"/>
          <w:color w:val="000000" w:themeColor="text1"/>
          <w:spacing w:val="0"/>
          <w:sz w:val="32"/>
          <w:szCs w:val="32"/>
          <w14:textFill>
            <w14:solidFill>
              <w14:schemeClr w14:val="tx1"/>
            </w14:solidFill>
          </w14:textFill>
        </w:rPr>
        <w:t>月</w:t>
      </w:r>
      <w:r>
        <w:rPr>
          <w:rFonts w:hint="eastAsia" w:ascii="Times New Roman" w:hAnsi="Times New Roman" w:eastAsia="仿宋_GB2312" w:cs="仿宋_GB2312"/>
          <w:color w:val="000000" w:themeColor="text1"/>
          <w:spacing w:val="0"/>
          <w:sz w:val="32"/>
          <w:szCs w:val="32"/>
          <w14:textFill>
            <w14:solidFill>
              <w14:schemeClr w14:val="tx1"/>
            </w14:solidFill>
          </w14:textFill>
        </w:rPr>
        <w:t>27</w:t>
      </w:r>
      <w:r>
        <w:rPr>
          <w:rFonts w:hint="eastAsia" w:ascii="仿宋_GB2312" w:hAnsi="仿宋_GB2312" w:eastAsia="仿宋_GB2312" w:cs="仿宋_GB2312"/>
          <w:color w:val="000000" w:themeColor="text1"/>
          <w:spacing w:val="0"/>
          <w:sz w:val="32"/>
          <w:szCs w:val="32"/>
          <w14:textFill>
            <w14:solidFill>
              <w14:schemeClr w14:val="tx1"/>
            </w14:solidFill>
          </w14:textFill>
        </w:rPr>
        <w:t>日的广元日报第三版。三是聚焦高质量选人导向，涵养梯次配备“蓄水池”，坚持把党外干部储备培养纳入党政领导干部队伍建设总体规划，不断完善党外干部储备机制，加强调研摸底，建立党外干部育才计划、储才计划，信息实时更新、进行动态管理，做到手中有人、心中有底。四是聚焦专业化培养历练，搭建素质提升“大平台”。开展党外干部专题培训会，将党的二十大精神、习近平总书记关于做好新时代党的统一战线工作的重要思想纳入培训内容，持续提升党外干部的政治把握能力、参政议政能力、组织领导能力和合作共事能力。开展党外干部座谈会，交流探讨、采纳意见，摸清了解党外干部思想动态，不断完善党外干部工作机制，引导党外干部紧紧围绕推进“十四五”规划，为全区经济社会发展献良策、出高招。五是聚焦体系化考核评价，树立选任用人“风向标”。以届中调整为契机，把党外干部纳入党政领导干部交流总体安排，提前谋划、充分考虑，必配部门的党外干部全部配备到位，结合日常调研、民主测评和年度考核等情况，把实绩突出、群众认可、发展潜力大的党外干部适时选拔到领导岗位上，有效激发党外干部干事热情和创业激情。</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5</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.对台工作办公经费。</w:t>
      </w:r>
      <w:r>
        <w:rPr>
          <w:rFonts w:hint="eastAsia" w:ascii="仿宋_GB2312" w:hAnsi="仿宋_GB2312" w:eastAsia="仿宋_GB2312" w:cs="仿宋_GB2312"/>
          <w:color w:val="000000" w:themeColor="text1"/>
          <w:spacing w:val="0"/>
          <w:sz w:val="32"/>
          <w:szCs w:val="32"/>
          <w14:textFill>
            <w14:solidFill>
              <w14:schemeClr w14:val="tx1"/>
            </w14:solidFill>
          </w14:textFill>
        </w:rPr>
        <w:t>对台工作稳妥</w:t>
      </w:r>
      <w:r>
        <w:rPr>
          <w:rFonts w:hint="eastAsia" w:ascii="Times New Roman" w:hAnsi="Times New Roman" w:eastAsia="仿宋_GB2312"/>
          <w:color w:val="000000" w:themeColor="text1"/>
          <w:spacing w:val="0"/>
          <w:sz w:val="32"/>
          <w:szCs w:val="32"/>
          <w14:textFill>
            <w14:solidFill>
              <w14:schemeClr w14:val="tx1"/>
            </w14:solidFill>
          </w14:textFill>
        </w:rPr>
        <w:t>有序。认真组织学习习近平总书记在纪念辛亥革命11</w:t>
      </w:r>
      <w:r>
        <w:rPr>
          <w:rFonts w:hint="eastAsia" w:ascii="Times New Roman" w:hAnsi="Times New Roman" w:eastAsia="仿宋_GB2312"/>
          <w:color w:val="000000" w:themeColor="text1"/>
          <w:spacing w:val="0"/>
          <w:sz w:val="32"/>
          <w:szCs w:val="32"/>
          <w:lang w:val="en-US" w:eastAsia="zh-CN"/>
          <w14:textFill>
            <w14:solidFill>
              <w14:schemeClr w14:val="tx1"/>
            </w14:solidFill>
          </w14:textFill>
        </w:rPr>
        <w:t>0</w:t>
      </w:r>
      <w:r>
        <w:rPr>
          <w:rFonts w:hint="eastAsia" w:ascii="Times New Roman" w:hAnsi="Times New Roman" w:eastAsia="仿宋_GB2312"/>
          <w:color w:val="000000" w:themeColor="text1"/>
          <w:spacing w:val="0"/>
          <w:sz w:val="32"/>
          <w:szCs w:val="32"/>
          <w14:textFill>
            <w14:solidFill>
              <w14:schemeClr w14:val="tx1"/>
            </w14:solidFill>
          </w14:textFill>
        </w:rPr>
        <w:t>周年大会上的重要讲话精神，全面贯彻落实党中央和省委、市委关于新形势下加强对台工作的意见，进一步凝聚起广大党员干部对台工作共识。持续走访慰问台属台胞，及时协调帮助解决实际困难。</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6</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.非公经济工作办公经费。</w:t>
      </w:r>
      <w:r>
        <w:rPr>
          <w:rFonts w:hint="eastAsia" w:ascii="黑体" w:hAnsi="黑体" w:eastAsia="黑体" w:cs="黑体"/>
          <w:color w:val="000000" w:themeColor="text1"/>
          <w:spacing w:val="0"/>
          <w:sz w:val="32"/>
          <w:szCs w:val="32"/>
          <w14:textFill>
            <w14:solidFill>
              <w14:schemeClr w14:val="tx1"/>
            </w14:solidFill>
          </w14:textFill>
        </w:rPr>
        <w:t>一是</w:t>
      </w:r>
      <w:r>
        <w:rPr>
          <w:rFonts w:hint="eastAsia" w:ascii="Times New Roman" w:hAnsi="Times New Roman" w:eastAsia="仿宋_GB2312"/>
          <w:color w:val="000000" w:themeColor="text1"/>
          <w:spacing w:val="0"/>
          <w:sz w:val="32"/>
          <w:szCs w:val="32"/>
          <w14:textFill>
            <w14:solidFill>
              <w14:schemeClr w14:val="tx1"/>
            </w14:solidFill>
          </w14:textFill>
        </w:rPr>
        <w:t>全力以赴为企业纾困解难。</w:t>
      </w:r>
      <w:r>
        <w:rPr>
          <w:rFonts w:ascii="Times New Roman" w:hAnsi="Times New Roman" w:eastAsia="仿宋_GB2312"/>
          <w:color w:val="000000" w:themeColor="text1"/>
          <w:spacing w:val="0"/>
          <w:sz w:val="32"/>
          <w:szCs w:val="32"/>
          <w14:textFill>
            <w14:solidFill>
              <w14:schemeClr w14:val="tx1"/>
            </w14:solidFill>
          </w14:textFill>
        </w:rPr>
        <w:t>积极向企业宣传国家</w:t>
      </w:r>
      <w:r>
        <w:rPr>
          <w:rFonts w:hint="eastAsia" w:ascii="Times New Roman" w:hAnsi="Times New Roman" w:eastAsia="仿宋_GB2312"/>
          <w:color w:val="000000" w:themeColor="text1"/>
          <w:spacing w:val="0"/>
          <w:sz w:val="32"/>
          <w:szCs w:val="32"/>
          <w14:textFill>
            <w14:solidFill>
              <w14:schemeClr w14:val="tx1"/>
            </w14:solidFill>
          </w14:textFill>
        </w:rPr>
        <w:t>和</w:t>
      </w:r>
      <w:r>
        <w:rPr>
          <w:rFonts w:ascii="Times New Roman" w:hAnsi="Times New Roman" w:eastAsia="仿宋_GB2312"/>
          <w:color w:val="000000" w:themeColor="text1"/>
          <w:spacing w:val="0"/>
          <w:sz w:val="32"/>
          <w:szCs w:val="32"/>
          <w14:textFill>
            <w14:solidFill>
              <w14:schemeClr w14:val="tx1"/>
            </w14:solidFill>
          </w14:textFill>
        </w:rPr>
        <w:t>省市</w:t>
      </w:r>
      <w:r>
        <w:rPr>
          <w:rFonts w:hint="eastAsia" w:ascii="Times New Roman" w:hAnsi="Times New Roman" w:eastAsia="仿宋_GB2312"/>
          <w:color w:val="000000" w:themeColor="text1"/>
          <w:spacing w:val="0"/>
          <w:sz w:val="32"/>
          <w:szCs w:val="32"/>
          <w14:textFill>
            <w14:solidFill>
              <w14:schemeClr w14:val="tx1"/>
            </w14:solidFill>
          </w14:textFill>
        </w:rPr>
        <w:t>区</w:t>
      </w:r>
      <w:r>
        <w:rPr>
          <w:rFonts w:ascii="Times New Roman" w:hAnsi="Times New Roman" w:eastAsia="仿宋_GB2312"/>
          <w:color w:val="000000" w:themeColor="text1"/>
          <w:spacing w:val="0"/>
          <w:sz w:val="32"/>
          <w:szCs w:val="32"/>
          <w14:textFill>
            <w14:solidFill>
              <w14:schemeClr w14:val="tx1"/>
            </w14:solidFill>
          </w14:textFill>
        </w:rPr>
        <w:t>出台的稳增长政策措施</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及时将党委和政府的关怀及时传达到企业一线，提升民营企业坚定发展的信心和决心。持续擦亮</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企业家座谈会</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金字招牌</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牵头组织召开浙江籍企业家、家居产业城落户企业、建筑行业等座谈会4次，区委</w:t>
      </w:r>
      <w:r>
        <w:rPr>
          <w:rFonts w:hint="eastAsia" w:ascii="Times New Roman" w:hAnsi="Times New Roman" w:eastAsia="仿宋_GB2312"/>
          <w:color w:val="000000" w:themeColor="text1"/>
          <w:spacing w:val="0"/>
          <w:sz w:val="32"/>
          <w:szCs w:val="32"/>
          <w14:textFill>
            <w14:solidFill>
              <w14:schemeClr w14:val="tx1"/>
            </w14:solidFill>
          </w14:textFill>
        </w:rPr>
        <w:t>区</w:t>
      </w:r>
      <w:r>
        <w:rPr>
          <w:rFonts w:ascii="Times New Roman" w:hAnsi="Times New Roman" w:eastAsia="仿宋_GB2312"/>
          <w:color w:val="000000" w:themeColor="text1"/>
          <w:spacing w:val="0"/>
          <w:sz w:val="32"/>
          <w:szCs w:val="32"/>
          <w14:textFill>
            <w14:solidFill>
              <w14:schemeClr w14:val="tx1"/>
            </w14:solidFill>
          </w14:textFill>
        </w:rPr>
        <w:t>政府主要领导</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面对面</w:t>
      </w:r>
      <w:r>
        <w:rPr>
          <w:rFonts w:hint="eastAsia" w:ascii="Times New Roman" w:hAnsi="Times New Roman" w:eastAsia="仿宋_GB2312"/>
          <w:color w:val="000000" w:themeColor="text1"/>
          <w:spacing w:val="0"/>
          <w:sz w:val="32"/>
          <w:szCs w:val="32"/>
          <w14:textFill>
            <w14:solidFill>
              <w14:schemeClr w14:val="tx1"/>
            </w14:solidFill>
          </w14:textFill>
        </w:rPr>
        <w:t>、键对键”</w:t>
      </w:r>
      <w:r>
        <w:rPr>
          <w:rFonts w:ascii="Times New Roman" w:hAnsi="Times New Roman" w:eastAsia="仿宋_GB2312"/>
          <w:color w:val="000000" w:themeColor="text1"/>
          <w:spacing w:val="0"/>
          <w:sz w:val="32"/>
          <w:szCs w:val="32"/>
          <w14:textFill>
            <w14:solidFill>
              <w14:schemeClr w14:val="tx1"/>
            </w14:solidFill>
          </w14:textFill>
        </w:rPr>
        <w:t>给企业鼓劲加油，对提出的融资贷款、产品销售、物流运输、原辅材料供应、用工难等40余个方面的意见建议分现场落实、签批相关部门解决以及纳入中长期政策制定参考。</w:t>
      </w:r>
      <w:r>
        <w:rPr>
          <w:rFonts w:hint="eastAsia" w:ascii="黑体" w:hAnsi="黑体" w:eastAsia="黑体" w:cs="黑体"/>
          <w:color w:val="000000" w:themeColor="text1"/>
          <w:spacing w:val="0"/>
          <w:sz w:val="32"/>
          <w:szCs w:val="32"/>
          <w14:textFill>
            <w14:solidFill>
              <w14:schemeClr w14:val="tx1"/>
            </w14:solidFill>
          </w14:textFill>
        </w:rPr>
        <w:t>二是</w:t>
      </w:r>
      <w:r>
        <w:rPr>
          <w:rFonts w:ascii="Times New Roman" w:hAnsi="Times New Roman" w:eastAsia="仿宋_GB2312"/>
          <w:color w:val="000000" w:themeColor="text1"/>
          <w:spacing w:val="0"/>
          <w:sz w:val="32"/>
          <w:szCs w:val="32"/>
          <w14:textFill>
            <w14:solidFill>
              <w14:schemeClr w14:val="tx1"/>
            </w14:solidFill>
          </w14:textFill>
        </w:rPr>
        <w:t>用好参政议程平台。市区“两会”期间，工商联界别的市区人大代表、政协委员提交建议和提案50余件，其中集体提案2件，区政协大会发言材料《关于增强我区民营企业发展活力的建议》被区委刘自强书记签批。向市区上报《关于优化执法监管环境的建议》《关于稳定生猪产能、降低周期性波动、引导生猪产业平稳升级的建议》等社情民意15条。 “徐丕模委员工作室”被市政协评为</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先进工作室</w:t>
      </w:r>
      <w:r>
        <w:rPr>
          <w:rFonts w:hint="eastAsia" w:ascii="Times New Roman" w:hAnsi="Times New Roman" w:eastAsia="仿宋_GB2312"/>
          <w:color w:val="000000" w:themeColor="text1"/>
          <w:spacing w:val="0"/>
          <w:sz w:val="32"/>
          <w:szCs w:val="32"/>
          <w14:textFill>
            <w14:solidFill>
              <w14:schemeClr w14:val="tx1"/>
            </w14:solidFill>
          </w14:textFill>
        </w:rPr>
        <w:t>”</w:t>
      </w:r>
      <w:r>
        <w:rPr>
          <w:rFonts w:ascii="Times New Roman" w:hAnsi="Times New Roman" w:eastAsia="仿宋_GB2312"/>
          <w:color w:val="000000" w:themeColor="text1"/>
          <w:spacing w:val="0"/>
          <w:sz w:val="32"/>
          <w:szCs w:val="32"/>
          <w14:textFill>
            <w14:solidFill>
              <w14:schemeClr w14:val="tx1"/>
            </w14:solidFill>
          </w14:textFill>
        </w:rPr>
        <w:t>。省政协副主席杨克宁、广元市“有事来协商”工作现场推进会先后到区政协工商联系统“委员之家”参观考察。</w:t>
      </w:r>
      <w:r>
        <w:rPr>
          <w:rFonts w:hint="eastAsia" w:ascii="黑体" w:hAnsi="黑体" w:eastAsia="黑体" w:cs="黑体"/>
          <w:color w:val="000000" w:themeColor="text1"/>
          <w:spacing w:val="0"/>
          <w:sz w:val="32"/>
          <w:szCs w:val="32"/>
          <w14:textFill>
            <w14:solidFill>
              <w14:schemeClr w14:val="tx1"/>
            </w14:solidFill>
          </w14:textFill>
        </w:rPr>
        <w:t>三是</w:t>
      </w:r>
      <w:r>
        <w:rPr>
          <w:rFonts w:ascii="Times New Roman" w:hAnsi="Times New Roman" w:eastAsia="仿宋_GB2312"/>
          <w:color w:val="000000" w:themeColor="text1"/>
          <w:spacing w:val="0"/>
          <w:sz w:val="32"/>
          <w:szCs w:val="32"/>
          <w14:textFill>
            <w14:solidFill>
              <w14:schemeClr w14:val="tx1"/>
            </w14:solidFill>
          </w14:textFill>
        </w:rPr>
        <w:t>聚力开放合作。</w:t>
      </w:r>
      <w:r>
        <w:rPr>
          <w:rFonts w:hint="eastAsia" w:ascii="Times New Roman" w:hAnsi="Times New Roman" w:eastAsia="仿宋_GB2312"/>
          <w:color w:val="000000" w:themeColor="text1"/>
          <w:spacing w:val="0"/>
          <w:sz w:val="32"/>
          <w:szCs w:val="32"/>
          <w14:textFill>
            <w14:solidFill>
              <w14:schemeClr w14:val="tx1"/>
            </w14:solidFill>
          </w14:textFill>
        </w:rPr>
        <w:t>借新一轮东西部协东风，牵头开展东西部协作“五助三帮”为核心的“春风行动”，在昭化古城景区建立广元市首个AAAA景区红十字救护站。引导拱墅区城建集团为元坝镇中梁村捐款77万元。拱墅区科技工业园区管委会等为我区中小学捐赠教学设备和生活用品等。动员社会力量捐赠帮扶资金269.5万元，捐物折款248.3万元。组织东部地区采购、帮助销售昭化特色农产品额达9454.8万元。积极</w:t>
      </w:r>
      <w:r>
        <w:rPr>
          <w:rFonts w:ascii="Times New Roman" w:hAnsi="Times New Roman" w:eastAsia="仿宋_GB2312"/>
          <w:color w:val="000000" w:themeColor="text1"/>
          <w:spacing w:val="0"/>
          <w:sz w:val="32"/>
          <w:szCs w:val="32"/>
          <w14:textFill>
            <w14:solidFill>
              <w14:schemeClr w14:val="tx1"/>
            </w14:solidFill>
          </w14:textFill>
        </w:rPr>
        <w:t>开展“我为家乡招一企”活动，</w:t>
      </w:r>
      <w:r>
        <w:rPr>
          <w:rFonts w:hint="eastAsia" w:ascii="Times New Roman" w:hAnsi="Times New Roman" w:eastAsia="仿宋_GB2312"/>
          <w:color w:val="000000" w:themeColor="text1"/>
          <w:spacing w:val="0"/>
          <w:sz w:val="32"/>
          <w:szCs w:val="32"/>
          <w14:textFill>
            <w14:solidFill>
              <w14:schemeClr w14:val="tx1"/>
            </w14:solidFill>
          </w14:textFill>
        </w:rPr>
        <w:t>引荐</w:t>
      </w:r>
      <w:r>
        <w:rPr>
          <w:rFonts w:ascii="Times New Roman" w:hAnsi="Times New Roman" w:eastAsia="仿宋_GB2312"/>
          <w:color w:val="000000" w:themeColor="text1"/>
          <w:spacing w:val="0"/>
          <w:sz w:val="32"/>
          <w:szCs w:val="32"/>
          <w14:textFill>
            <w14:solidFill>
              <w14:schemeClr w14:val="tx1"/>
            </w14:solidFill>
          </w14:textFill>
        </w:rPr>
        <w:t>四川山西商会、杭州市工商联、泸州老窖新酒业集团等到我区考察，洽谈矿泉水、果酒等投资项目。</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7</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.小寺山爱国主义教育基地日常管护费用。</w:t>
      </w:r>
      <w:r>
        <w:rPr>
          <w:rFonts w:hint="eastAsia" w:ascii="仿宋_GB2312" w:hAnsi="仿宋_GB2312" w:eastAsia="仿宋_GB2312" w:cs="仿宋_GB2312"/>
          <w:color w:val="000000" w:themeColor="text1"/>
          <w:spacing w:val="0"/>
          <w:sz w:val="32"/>
          <w:szCs w:val="32"/>
          <w:lang w:val="en-US" w:eastAsia="en-US" w:bidi="ar-SA"/>
          <w14:textFill>
            <w14:solidFill>
              <w14:schemeClr w14:val="tx1"/>
            </w14:solidFill>
          </w14:textFill>
        </w:rPr>
        <w:t>通过对基地及周边环境卫生管理、安全隐患防控、日常秩序维持日常管护，得到了社会各界高度赞誉。</w:t>
      </w:r>
      <w:r>
        <w:rPr>
          <w:rFonts w:hint="eastAsia" w:ascii="仿宋_GB2312" w:hAnsi="仿宋_GB2312" w:eastAsia="仿宋_GB2312" w:cs="仿宋_GB2312"/>
          <w:color w:val="000000" w:themeColor="text1"/>
          <w:spacing w:val="0"/>
          <w:sz w:val="32"/>
          <w:szCs w:val="32"/>
          <w14:textFill>
            <w14:solidFill>
              <w14:schemeClr w14:val="tx1"/>
            </w14:solidFill>
          </w14:textFill>
        </w:rPr>
        <w:t>成功创建以小寺山为重点的中国化示范宗教场所</w:t>
      </w:r>
      <w:r>
        <w:rPr>
          <w:rFonts w:hint="eastAsia" w:ascii="Times New Roman" w:hAnsi="Times New Roman" w:eastAsia="仿宋_GB2312" w:cs="仿宋_GB2312"/>
          <w:color w:val="000000" w:themeColor="text1"/>
          <w:spacing w:val="0"/>
          <w:sz w:val="32"/>
          <w:szCs w:val="32"/>
          <w14:textFill>
            <w14:solidFill>
              <w14:schemeClr w14:val="tx1"/>
            </w14:solidFill>
          </w14:textFill>
        </w:rPr>
        <w:t>3</w:t>
      </w:r>
      <w:r>
        <w:rPr>
          <w:rFonts w:hint="eastAsia" w:ascii="仿宋_GB2312" w:hAnsi="仿宋_GB2312" w:eastAsia="仿宋_GB2312" w:cs="仿宋_GB2312"/>
          <w:color w:val="000000" w:themeColor="text1"/>
          <w:spacing w:val="0"/>
          <w:sz w:val="32"/>
          <w:szCs w:val="32"/>
          <w14:textFill>
            <w14:solidFill>
              <w14:schemeClr w14:val="tx1"/>
            </w14:solidFill>
          </w14:textFill>
        </w:rPr>
        <w:t>个，全市“坚定文化自信、坚持中国化方向”现场会在昭化区召开并作了交流发言，小寺山教育基地作为全市创建民族团结进步示范市现场验收点，</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国家民委、省委统战部分别前来调研并给予高度评价，</w:t>
      </w:r>
      <w:r>
        <w:rPr>
          <w:rFonts w:hint="eastAsia" w:ascii="仿宋_GB2312" w:hAnsi="仿宋_GB2312" w:eastAsia="仿宋_GB2312" w:cs="仿宋_GB2312"/>
          <w:color w:val="000000" w:themeColor="text1"/>
          <w:spacing w:val="0"/>
          <w:sz w:val="32"/>
          <w:szCs w:val="32"/>
          <w14:textFill>
            <w14:solidFill>
              <w14:schemeClr w14:val="tx1"/>
            </w14:solidFill>
          </w14:textFill>
        </w:rPr>
        <w:t>小寺山</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天主教堂获评首届全国宗教界先进集体殊荣</w:t>
      </w:r>
      <w:r>
        <w:rPr>
          <w:rFonts w:hint="eastAsia" w:ascii="仿宋_GB2312" w:hAnsi="仿宋_GB2312" w:eastAsia="仿宋_GB2312" w:cs="仿宋_GB2312"/>
          <w:color w:val="000000" w:themeColor="text1"/>
          <w:spacing w:val="0"/>
          <w:sz w:val="32"/>
          <w:szCs w:val="32"/>
          <w14:textFill>
            <w14:solidFill>
              <w14:schemeClr w14:val="tx1"/>
            </w14:solidFill>
          </w14:textFill>
        </w:rPr>
        <w:t>。</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仿宋_GB2312" w:hAnsi="仿宋_GB2312" w:eastAsia="仿宋_GB2312" w:cs="仿宋_GB2312"/>
          <w:color w:val="000000" w:themeColor="text1"/>
          <w:spacing w:val="0"/>
          <w:lang w:eastAsia="zh-CN"/>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8</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.统战部工作经费。</w:t>
      </w:r>
      <w:r>
        <w:rPr>
          <w:rFonts w:hint="eastAsia" w:ascii="仿宋_GB2312" w:hAnsi="仿宋_GB2312" w:eastAsia="仿宋_GB2312" w:cs="仿宋_GB2312"/>
          <w:color w:val="000000" w:themeColor="text1"/>
          <w:spacing w:val="0"/>
          <w:sz w:val="32"/>
          <w:szCs w:val="32"/>
          <w14:textFill>
            <w14:solidFill>
              <w14:schemeClr w14:val="tx1"/>
            </w14:solidFill>
          </w14:textFill>
        </w:rPr>
        <w:t>坚持把学习贯彻《中国共产党统一战线工作条例》作为履行统战工作主体责任的根本遵循，将统一战线理论方针政策纳入区委党校教学内容，</w:t>
      </w:r>
      <w:r>
        <w:rPr>
          <w:rFonts w:hint="eastAsia" w:ascii="Times New Roman" w:hAnsi="Times New Roman" w:eastAsia="仿宋_GB2312" w:cs="仿宋_GB2312"/>
          <w:color w:val="000000" w:themeColor="text1"/>
          <w:spacing w:val="0"/>
          <w:sz w:val="32"/>
          <w:szCs w:val="32"/>
          <w14:textFill>
            <w14:solidFill>
              <w14:schemeClr w14:val="tx1"/>
            </w14:solidFill>
          </w14:textFill>
        </w:rPr>
        <w:t>2022</w:t>
      </w:r>
      <w:r>
        <w:rPr>
          <w:rFonts w:hint="eastAsia" w:ascii="仿宋_GB2312" w:hAnsi="仿宋_GB2312" w:eastAsia="仿宋_GB2312" w:cs="仿宋_GB2312"/>
          <w:color w:val="000000" w:themeColor="text1"/>
          <w:spacing w:val="0"/>
          <w:sz w:val="32"/>
          <w:szCs w:val="32"/>
          <w14:textFill>
            <w14:solidFill>
              <w14:schemeClr w14:val="tx1"/>
            </w14:solidFill>
          </w14:textFill>
        </w:rPr>
        <w:t>年区级层面传达学习《条例》</w:t>
      </w:r>
      <w:r>
        <w:rPr>
          <w:rFonts w:hint="eastAsia" w:ascii="Times New Roman" w:hAnsi="Times New Roman" w:eastAsia="仿宋_GB2312" w:cs="仿宋_GB2312"/>
          <w:color w:val="000000" w:themeColor="text1"/>
          <w:spacing w:val="0"/>
          <w:sz w:val="32"/>
          <w:szCs w:val="32"/>
          <w14:textFill>
            <w14:solidFill>
              <w14:schemeClr w14:val="tx1"/>
            </w14:solidFill>
          </w14:textFill>
        </w:rPr>
        <w:t>5</w:t>
      </w:r>
      <w:r>
        <w:rPr>
          <w:rFonts w:hint="eastAsia" w:ascii="仿宋_GB2312" w:hAnsi="仿宋_GB2312" w:eastAsia="仿宋_GB2312" w:cs="仿宋_GB2312"/>
          <w:color w:val="000000" w:themeColor="text1"/>
          <w:spacing w:val="0"/>
          <w:sz w:val="32"/>
          <w:szCs w:val="32"/>
          <w14:textFill>
            <w14:solidFill>
              <w14:schemeClr w14:val="tx1"/>
            </w14:solidFill>
          </w14:textFill>
        </w:rPr>
        <w:t>次，培训党政干部</w:t>
      </w:r>
      <w:r>
        <w:rPr>
          <w:rFonts w:hint="eastAsia" w:ascii="Times New Roman" w:hAnsi="Times New Roman" w:eastAsia="仿宋_GB2312" w:cs="仿宋_GB2312"/>
          <w:color w:val="000000" w:themeColor="text1"/>
          <w:spacing w:val="0"/>
          <w:sz w:val="32"/>
          <w:szCs w:val="32"/>
          <w14:textFill>
            <w14:solidFill>
              <w14:schemeClr w14:val="tx1"/>
            </w14:solidFill>
          </w14:textFill>
        </w:rPr>
        <w:t>426</w:t>
      </w:r>
      <w:r>
        <w:rPr>
          <w:rFonts w:hint="eastAsia" w:ascii="仿宋_GB2312" w:hAnsi="仿宋_GB2312" w:eastAsia="仿宋_GB2312" w:cs="仿宋_GB2312"/>
          <w:color w:val="000000" w:themeColor="text1"/>
          <w:spacing w:val="0"/>
          <w:sz w:val="32"/>
          <w:szCs w:val="32"/>
          <w14:textFill>
            <w14:solidFill>
              <w14:schemeClr w14:val="tx1"/>
            </w14:solidFill>
          </w14:textFill>
        </w:rPr>
        <w:t>人次，培训党外人士</w:t>
      </w:r>
      <w:r>
        <w:rPr>
          <w:rFonts w:hint="eastAsia" w:ascii="Times New Roman" w:hAnsi="Times New Roman" w:eastAsia="仿宋_GB2312" w:cs="仿宋_GB2312"/>
          <w:color w:val="000000" w:themeColor="text1"/>
          <w:spacing w:val="0"/>
          <w:sz w:val="32"/>
          <w:szCs w:val="32"/>
          <w14:textFill>
            <w14:solidFill>
              <w14:schemeClr w14:val="tx1"/>
            </w14:solidFill>
          </w14:textFill>
        </w:rPr>
        <w:t>98</w:t>
      </w:r>
      <w:r>
        <w:rPr>
          <w:rFonts w:hint="eastAsia" w:ascii="仿宋_GB2312" w:hAnsi="仿宋_GB2312" w:eastAsia="仿宋_GB2312" w:cs="仿宋_GB2312"/>
          <w:color w:val="000000" w:themeColor="text1"/>
          <w:spacing w:val="0"/>
          <w:sz w:val="32"/>
          <w:szCs w:val="32"/>
          <w14:textFill>
            <w14:solidFill>
              <w14:schemeClr w14:val="tx1"/>
            </w14:solidFill>
          </w14:textFill>
        </w:rPr>
        <w:t>人次</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14:textFill>
            <w14:solidFill>
              <w14:schemeClr w14:val="tx1"/>
            </w14:solidFill>
          </w14:textFill>
        </w:rPr>
        <w:t>以参观革命圣地、知识竞赛、辅导讲座、专题研读，征文比赛等多种形式在统战各领域开展主题教育</w:t>
      </w:r>
      <w:r>
        <w:rPr>
          <w:rFonts w:hint="eastAsia" w:ascii="Times New Roman" w:hAnsi="Times New Roman" w:eastAsia="仿宋_GB2312" w:cs="仿宋_GB2312"/>
          <w:color w:val="000000" w:themeColor="text1"/>
          <w:spacing w:val="0"/>
          <w:sz w:val="32"/>
          <w:szCs w:val="32"/>
          <w14:textFill>
            <w14:solidFill>
              <w14:schemeClr w14:val="tx1"/>
            </w14:solidFill>
          </w14:textFill>
        </w:rPr>
        <w:t>16</w:t>
      </w:r>
      <w:r>
        <w:rPr>
          <w:rFonts w:hint="eastAsia" w:ascii="仿宋_GB2312" w:hAnsi="仿宋_GB2312" w:eastAsia="仿宋_GB2312" w:cs="仿宋_GB2312"/>
          <w:color w:val="000000" w:themeColor="text1"/>
          <w:spacing w:val="0"/>
          <w:sz w:val="32"/>
          <w:szCs w:val="32"/>
          <w14:textFill>
            <w14:solidFill>
              <w14:schemeClr w14:val="tx1"/>
            </w14:solidFill>
          </w14:textFill>
        </w:rPr>
        <w:t>场次，在各民主党派中开展“矢志不渝跟党走、携手奋进新时代”主题宣传教育</w:t>
      </w:r>
      <w:r>
        <w:rPr>
          <w:rFonts w:hint="eastAsia" w:ascii="Times New Roman" w:hAnsi="Times New Roman" w:eastAsia="仿宋_GB2312" w:cs="仿宋_GB2312"/>
          <w:color w:val="000000" w:themeColor="text1"/>
          <w:spacing w:val="0"/>
          <w:sz w:val="32"/>
          <w:szCs w:val="32"/>
          <w14:textFill>
            <w14:solidFill>
              <w14:schemeClr w14:val="tx1"/>
            </w14:solidFill>
          </w14:textFill>
        </w:rPr>
        <w:t>6</w:t>
      </w:r>
      <w:r>
        <w:rPr>
          <w:rFonts w:hint="eastAsia" w:ascii="仿宋_GB2312" w:hAnsi="仿宋_GB2312" w:eastAsia="仿宋_GB2312" w:cs="仿宋_GB2312"/>
          <w:color w:val="000000" w:themeColor="text1"/>
          <w:spacing w:val="0"/>
          <w:sz w:val="32"/>
          <w:szCs w:val="32"/>
          <w14:textFill>
            <w14:solidFill>
              <w14:schemeClr w14:val="tx1"/>
            </w14:solidFill>
          </w14:textFill>
        </w:rPr>
        <w:t>次，在新的社会阶层人士中开展“凝聚新力量·筑梦新时代”主题教育</w:t>
      </w:r>
      <w:r>
        <w:rPr>
          <w:rFonts w:hint="eastAsia" w:ascii="Times New Roman" w:hAnsi="Times New Roman" w:eastAsia="仿宋_GB2312" w:cs="仿宋_GB2312"/>
          <w:color w:val="000000" w:themeColor="text1"/>
          <w:spacing w:val="0"/>
          <w:sz w:val="32"/>
          <w:szCs w:val="32"/>
          <w14:textFill>
            <w14:solidFill>
              <w14:schemeClr w14:val="tx1"/>
            </w14:solidFill>
          </w14:textFill>
        </w:rPr>
        <w:t>3</w:t>
      </w:r>
      <w:r>
        <w:rPr>
          <w:rFonts w:hint="eastAsia" w:ascii="仿宋_GB2312" w:hAnsi="仿宋_GB2312" w:eastAsia="仿宋_GB2312" w:cs="仿宋_GB2312"/>
          <w:color w:val="000000" w:themeColor="text1"/>
          <w:spacing w:val="0"/>
          <w:sz w:val="32"/>
          <w:szCs w:val="32"/>
          <w14:textFill>
            <w14:solidFill>
              <w14:schemeClr w14:val="tx1"/>
            </w14:solidFill>
          </w14:textFill>
        </w:rPr>
        <w:t>次，在非公有制代表人士中开展理想信念、“光彩事业”主题教育</w:t>
      </w:r>
      <w:r>
        <w:rPr>
          <w:rFonts w:hint="eastAsia" w:ascii="Times New Roman" w:hAnsi="Times New Roman" w:eastAsia="仿宋_GB2312" w:cs="仿宋_GB2312"/>
          <w:color w:val="000000" w:themeColor="text1"/>
          <w:spacing w:val="0"/>
          <w:sz w:val="32"/>
          <w:szCs w:val="32"/>
          <w14:textFill>
            <w14:solidFill>
              <w14:schemeClr w14:val="tx1"/>
            </w14:solidFill>
          </w14:textFill>
        </w:rPr>
        <w:t>2</w:t>
      </w:r>
      <w:r>
        <w:rPr>
          <w:rFonts w:hint="eastAsia" w:ascii="仿宋_GB2312" w:hAnsi="仿宋_GB2312" w:eastAsia="仿宋_GB2312" w:cs="仿宋_GB2312"/>
          <w:color w:val="000000" w:themeColor="text1"/>
          <w:spacing w:val="0"/>
          <w:sz w:val="32"/>
          <w:szCs w:val="32"/>
          <w14:textFill>
            <w14:solidFill>
              <w14:schemeClr w14:val="tx1"/>
            </w14:solidFill>
          </w14:textFill>
        </w:rPr>
        <w:t>次，各统战团体、统战对象共同体意识明显增强。</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zh-CN" w:bidi="ar-SA"/>
          <w14:textFill>
            <w14:solidFill>
              <w14:schemeClr w14:val="tx1"/>
            </w14:solidFill>
          </w14:textFill>
        </w:rPr>
      </w:pPr>
      <w:r>
        <w:rPr>
          <w:rFonts w:hint="eastAsia" w:ascii="Times New Roman" w:hAnsi="Times New Roman" w:eastAsia="仿宋_GB2312" w:cs="仿宋_GB2312"/>
          <w:color w:val="000000" w:themeColor="text1"/>
          <w:spacing w:val="0"/>
          <w:kern w:val="2"/>
          <w:sz w:val="32"/>
          <w:szCs w:val="32"/>
          <w:lang w:val="en-US" w:eastAsia="zh-CN" w:bidi="ar-SA"/>
          <w14:textFill>
            <w14:solidFill>
              <w14:schemeClr w14:val="tx1"/>
            </w14:solidFill>
          </w14:textFill>
        </w:rPr>
        <w:t>9</w:t>
      </w:r>
      <w:r>
        <w:rPr>
          <w:rFonts w:hint="eastAsia" w:ascii="仿宋_GB2312" w:hAnsi="仿宋_GB2312" w:eastAsia="仿宋_GB2312" w:cs="仿宋_GB2312"/>
          <w:color w:val="000000" w:themeColor="text1"/>
          <w:spacing w:val="0"/>
          <w:kern w:val="2"/>
          <w:sz w:val="32"/>
          <w:szCs w:val="32"/>
          <w:lang w:val="en-US" w:eastAsia="zh-CN" w:bidi="ar-SA"/>
          <w14:textFill>
            <w14:solidFill>
              <w14:schemeClr w14:val="tx1"/>
            </w14:solidFill>
          </w14:textFill>
        </w:rPr>
        <w:t>.九广合作办公室工作经费。</w:t>
      </w:r>
      <w:r>
        <w:rPr>
          <w:rFonts w:hint="eastAsia" w:ascii="仿宋_GB2312" w:hAnsi="仿宋_GB2312" w:eastAsia="仿宋_GB2312" w:cs="仿宋_GB2312"/>
          <w:color w:val="000000" w:themeColor="text1"/>
          <w:spacing w:val="0"/>
          <w:sz w:val="32"/>
          <w:szCs w:val="32"/>
          <w14:textFill>
            <w14:solidFill>
              <w14:schemeClr w14:val="tx1"/>
            </w14:solidFill>
          </w14:textFill>
        </w:rPr>
        <w:t>积极与九三学社浙江省委、九三拱墅区委、九三南浔区委等加强沟通协作，签订合作协议</w:t>
      </w:r>
      <w:r>
        <w:rPr>
          <w:rFonts w:hint="eastAsia" w:ascii="Times New Roman" w:hAnsi="Times New Roman" w:eastAsia="仿宋_GB2312" w:cs="仿宋_GB2312"/>
          <w:color w:val="000000" w:themeColor="text1"/>
          <w:spacing w:val="0"/>
          <w:sz w:val="32"/>
          <w:szCs w:val="32"/>
          <w14:textFill>
            <w14:solidFill>
              <w14:schemeClr w14:val="tx1"/>
            </w14:solidFill>
          </w14:textFill>
        </w:rPr>
        <w:t>2</w:t>
      </w:r>
      <w:r>
        <w:rPr>
          <w:rFonts w:hint="eastAsia" w:ascii="仿宋_GB2312" w:hAnsi="仿宋_GB2312" w:eastAsia="仿宋_GB2312" w:cs="仿宋_GB2312"/>
          <w:color w:val="000000" w:themeColor="text1"/>
          <w:spacing w:val="0"/>
          <w:sz w:val="32"/>
          <w:szCs w:val="32"/>
          <w14:textFill>
            <w14:solidFill>
              <w14:schemeClr w14:val="tx1"/>
            </w14:solidFill>
          </w14:textFill>
        </w:rPr>
        <w:t>个，在此基础上有针对性实施招商引资攻坚行动，密切接触、深入洽谈了一批家居制造、文旅企业来昭投资发展，在九三学社浙江省委、上海市委的帮助下，捕捉长三角有对外投资意向的家居制造企业</w:t>
      </w:r>
      <w:r>
        <w:rPr>
          <w:rFonts w:hint="eastAsia" w:ascii="Times New Roman" w:hAnsi="Times New Roman" w:eastAsia="仿宋_GB2312" w:cs="仿宋_GB2312"/>
          <w:color w:val="000000" w:themeColor="text1"/>
          <w:spacing w:val="0"/>
          <w:sz w:val="32"/>
          <w:szCs w:val="32"/>
          <w14:textFill>
            <w14:solidFill>
              <w14:schemeClr w14:val="tx1"/>
            </w14:solidFill>
          </w14:textFill>
        </w:rPr>
        <w:t>200</w:t>
      </w:r>
      <w:r>
        <w:rPr>
          <w:rFonts w:hint="eastAsia" w:ascii="仿宋_GB2312" w:hAnsi="仿宋_GB2312" w:eastAsia="仿宋_GB2312" w:cs="仿宋_GB2312"/>
          <w:color w:val="000000" w:themeColor="text1"/>
          <w:spacing w:val="0"/>
          <w:sz w:val="32"/>
          <w:szCs w:val="32"/>
          <w14:textFill>
            <w14:solidFill>
              <w14:schemeClr w14:val="tx1"/>
            </w14:solidFill>
          </w14:textFill>
        </w:rPr>
        <w:t>余家，其中知名企业近</w:t>
      </w:r>
      <w:r>
        <w:rPr>
          <w:rFonts w:hint="eastAsia" w:ascii="Times New Roman" w:hAnsi="Times New Roman" w:eastAsia="仿宋_GB2312" w:cs="仿宋_GB2312"/>
          <w:color w:val="000000" w:themeColor="text1"/>
          <w:spacing w:val="0"/>
          <w:sz w:val="32"/>
          <w:szCs w:val="32"/>
          <w14:textFill>
            <w14:solidFill>
              <w14:schemeClr w14:val="tx1"/>
            </w14:solidFill>
          </w14:textFill>
        </w:rPr>
        <w:t>30</w:t>
      </w:r>
      <w:r>
        <w:rPr>
          <w:rFonts w:hint="eastAsia" w:ascii="仿宋_GB2312" w:hAnsi="仿宋_GB2312" w:eastAsia="仿宋_GB2312" w:cs="仿宋_GB2312"/>
          <w:color w:val="000000" w:themeColor="text1"/>
          <w:spacing w:val="0"/>
          <w:sz w:val="32"/>
          <w:szCs w:val="32"/>
          <w14:textFill>
            <w14:solidFill>
              <w14:schemeClr w14:val="tx1"/>
            </w14:solidFill>
          </w14:textFill>
        </w:rPr>
        <w:t>家，积极开展拜访、接洽工作</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pPr>
      <w:r>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t>（二）项目效益情况</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sz w:val="32"/>
          <w:szCs w:val="32"/>
          <w:lang w:val="en-US" w:eastAsia="en-US"/>
          <w14:textFill>
            <w14:solidFill>
              <w14:schemeClr w14:val="tx1"/>
            </w14:solidFill>
          </w14:textFill>
        </w:rPr>
        <w:t>通该项目实施后，使我</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部</w:t>
      </w:r>
      <w:r>
        <w:rPr>
          <w:rFonts w:hint="eastAsia" w:ascii="仿宋_GB2312" w:hAnsi="仿宋_GB2312" w:eastAsia="仿宋_GB2312" w:cs="仿宋_GB2312"/>
          <w:color w:val="000000" w:themeColor="text1"/>
          <w:spacing w:val="0"/>
          <w:sz w:val="32"/>
          <w:szCs w:val="32"/>
          <w:lang w:val="en-US" w:eastAsia="en-US"/>
          <w14:textFill>
            <w14:solidFill>
              <w14:schemeClr w14:val="tx1"/>
            </w14:solidFill>
          </w14:textFill>
        </w:rPr>
        <w:t>各项业务工作得到了较好保障，</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促进民族宗教和顺稳定</w:t>
      </w:r>
      <w:r>
        <w:rPr>
          <w:rFonts w:hint="eastAsia" w:ascii="仿宋_GB2312" w:hAnsi="仿宋_GB2312" w:eastAsia="仿宋_GB2312" w:cs="仿宋_GB2312"/>
          <w:color w:val="000000" w:themeColor="text1"/>
          <w:spacing w:val="0"/>
          <w:sz w:val="32"/>
          <w:szCs w:val="32"/>
          <w:lang w:val="en-US" w:eastAsia="en-US"/>
          <w14:textFill>
            <w14:solidFill>
              <w14:schemeClr w14:val="tx1"/>
            </w14:solidFill>
          </w14:textFill>
        </w:rPr>
        <w:t>，</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引导全区统一战线坚定不移听党话、跟党走，做到思想一致、声音一致、步调一致，</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从经济效益分析，</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聚焦聚力昭化经济社会发展战略部署，</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圆满完成全年工作目标，为昭化的高质量发展贡献了智慧和力量。从社会效益分析，</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充分发挥统一战线人才荟萃、智力密集、联系广泛优势</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。从生态效益分析，助推了城乡环境的改善。从可持续影响分析，</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不断提升统一战线对全局工作的贡献率</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，提升了各项工作水平。</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各项工作按期完成率达到</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%，各部门及群众满意度</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w:t>
      </w:r>
    </w:p>
    <w:p>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黑体" w:hAnsi="黑体" w:eastAsia="黑体" w:cs="黑体"/>
          <w:color w:val="000000" w:themeColor="text1"/>
          <w:spacing w:val="0"/>
          <w:kern w:val="2"/>
          <w:sz w:val="32"/>
          <w:szCs w:val="32"/>
          <w:lang w:val="en-US" w:eastAsia="en-US" w:bidi="ar-SA"/>
          <w14:textFill>
            <w14:solidFill>
              <w14:schemeClr w14:val="tx1"/>
            </w14:solidFill>
          </w14:textFill>
        </w:rPr>
      </w:pPr>
      <w:r>
        <w:rPr>
          <w:rFonts w:hint="eastAsia" w:ascii="黑体" w:hAnsi="黑体" w:eastAsia="黑体" w:cs="黑体"/>
          <w:color w:val="000000" w:themeColor="text1"/>
          <w:spacing w:val="0"/>
          <w:kern w:val="2"/>
          <w:sz w:val="32"/>
          <w:szCs w:val="32"/>
          <w:lang w:val="en-US" w:eastAsia="en-US" w:bidi="ar-SA"/>
          <w14:textFill>
            <w14:solidFill>
              <w14:schemeClr w14:val="tx1"/>
            </w14:solidFill>
          </w14:textFill>
        </w:rPr>
        <w:t>四、评价结论及问题建议</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pPr>
      <w:r>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t>（一）评价结论</w:t>
      </w:r>
    </w:p>
    <w:p>
      <w:pPr>
        <w:pStyle w:val="27"/>
        <w:keepNext w:val="0"/>
        <w:keepLines w:val="0"/>
        <w:pageBreakBefore w:val="0"/>
        <w:widowControl w:val="0"/>
        <w:numPr>
          <w:ilvl w:val="0"/>
          <w:numId w:val="0"/>
        </w:numPr>
        <w:tabs>
          <w:tab w:val="left" w:pos="1076"/>
        </w:tabs>
        <w:kinsoku/>
        <w:wordWrap/>
        <w:overflowPunct w:val="0"/>
        <w:topLinePunct w:val="0"/>
        <w:autoSpaceDE w:val="0"/>
        <w:autoSpaceDN w:val="0"/>
        <w:bidi w:val="0"/>
        <w:adjustRightInd/>
        <w:snapToGrid/>
        <w:spacing w:after="0" w:line="576" w:lineRule="exact"/>
        <w:ind w:left="0" w:right="0" w:rightChars="0" w:firstLine="640" w:firstLineChars="200"/>
        <w:jc w:val="both"/>
        <w:textAlignment w:val="auto"/>
        <w:outlineLvl w:val="9"/>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通过对</w:t>
      </w:r>
      <w:r>
        <w:rPr>
          <w:rFonts w:hint="default" w:ascii="Times New Roman" w:hAnsi="Times New Roman" w:eastAsia="仿宋_GB2312" w:cs="仿宋_GB2312"/>
          <w:color w:val="000000" w:themeColor="text1"/>
          <w:spacing w:val="0"/>
          <w:sz w:val="32"/>
          <w:szCs w:val="32"/>
          <w:lang w:val="en-US" w:eastAsia="zh-CN"/>
          <w14:textFill>
            <w14:solidFill>
              <w14:schemeClr w14:val="tx1"/>
            </w14:solidFill>
          </w14:textFill>
        </w:rPr>
        <w:t>2022</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年度项目工作经费的使用，实施绩效进行了评价，各项项目工作经费为</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统战事务</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的发展提供了有效资金保障，</w:t>
      </w: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超额完成全年各项工作，运转正常，</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代表</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及群众满意度达</w:t>
      </w:r>
      <w:r>
        <w:rPr>
          <w:rFonts w:hint="default" w:ascii="Times New Roman" w:hAnsi="Times New Roman" w:eastAsia="仿宋_GB2312" w:cs="仿宋_GB2312"/>
          <w:color w:val="000000" w:themeColor="text1"/>
          <w:spacing w:val="0"/>
          <w:sz w:val="32"/>
          <w:szCs w:val="32"/>
          <w:lang w:val="en-US" w:eastAsia="zh-CN"/>
          <w14:textFill>
            <w14:solidFill>
              <w14:schemeClr w14:val="tx1"/>
            </w14:solidFill>
          </w14:textFill>
        </w:rPr>
        <w:t>100</w:t>
      </w:r>
      <w:r>
        <w:rPr>
          <w:rFonts w:hint="default" w:ascii="仿宋_GB2312" w:hAnsi="仿宋_GB2312" w:eastAsia="仿宋_GB2312" w:cs="仿宋_GB2312"/>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自评平均得分</w:t>
      </w:r>
      <w:r>
        <w:rPr>
          <w:rFonts w:hint="eastAsia" w:ascii="Times New Roman" w:hAnsi="Times New Roman" w:eastAsia="仿宋_GB2312" w:cs="仿宋_GB2312"/>
          <w:color w:val="000000" w:themeColor="text1"/>
          <w:spacing w:val="0"/>
          <w:sz w:val="32"/>
          <w:szCs w:val="32"/>
          <w:lang w:val="en-US" w:eastAsia="zh-CN"/>
          <w14:textFill>
            <w14:solidFill>
              <w14:schemeClr w14:val="tx1"/>
            </w14:solidFill>
          </w14:textFill>
        </w:rPr>
        <w:t>97</w:t>
      </w:r>
      <w:r>
        <w:rPr>
          <w:rFonts w:hint="eastAsia" w:ascii="仿宋_GB2312" w:hAnsi="仿宋_GB2312" w:eastAsia="仿宋_GB2312" w:cs="仿宋_GB2312"/>
          <w:color w:val="000000" w:themeColor="text1"/>
          <w:spacing w:val="0"/>
          <w:sz w:val="32"/>
          <w:szCs w:val="32"/>
          <w:lang w:val="en-US" w:eastAsia="zh-CN"/>
          <w14:textFill>
            <w14:solidFill>
              <w14:schemeClr w14:val="tx1"/>
            </w14:solidFill>
          </w14:textFill>
        </w:rPr>
        <w:t>分。</w:t>
      </w:r>
    </w:p>
    <w:p>
      <w:pPr>
        <w:pStyle w:val="8"/>
        <w:keepNext w:val="0"/>
        <w:keepLines w:val="0"/>
        <w:pageBreakBefore w:val="0"/>
        <w:widowControl w:val="0"/>
        <w:kinsoku/>
        <w:wordWrap/>
        <w:overflowPunct w:val="0"/>
        <w:topLinePunct w:val="0"/>
        <w:autoSpaceDE w:val="0"/>
        <w:autoSpaceDN w:val="0"/>
        <w:bidi w:val="0"/>
        <w:adjustRightInd/>
        <w:snapToGrid/>
        <w:spacing w:beforeLines="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pPr>
      <w:r>
        <w:rPr>
          <w:rFonts w:hint="eastAsia" w:ascii="楷体_GB2312" w:hAnsi="楷体_GB2312" w:eastAsia="楷体_GB2312" w:cs="楷体_GB2312"/>
          <w:color w:val="000000" w:themeColor="text1"/>
          <w:spacing w:val="0"/>
          <w:sz w:val="32"/>
          <w:szCs w:val="32"/>
          <w:lang w:val="en-US" w:eastAsia="en-US"/>
          <w14:textFill>
            <w14:solidFill>
              <w14:schemeClr w14:val="tx1"/>
            </w14:solidFill>
          </w14:textFill>
        </w:rPr>
        <w:t>（二）存在的问题</w:t>
      </w:r>
    </w:p>
    <w:p>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default" w:ascii="Times New Roman" w:hAnsi="Times New Roman" w:eastAsia="仿宋_GB2312" w:cs="Times New Roman"/>
          <w:color w:val="000000" w:themeColor="text1"/>
          <w:spacing w:val="0"/>
          <w:positio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pacing w:val="0"/>
          <w:position w:val="0"/>
          <w:sz w:val="32"/>
          <w:szCs w:val="32"/>
          <w:lang w:eastAsia="zh-CN"/>
          <w14:textFill>
            <w14:solidFill>
              <w14:schemeClr w14:val="tx1"/>
            </w14:solidFill>
          </w14:textFill>
        </w:rPr>
        <w:t>绩效目标编制</w:t>
      </w:r>
      <w:r>
        <w:rPr>
          <w:rFonts w:hint="eastAsia" w:ascii="Times New Roman" w:hAnsi="Times New Roman" w:eastAsia="仿宋_GB2312" w:cs="Times New Roman"/>
          <w:color w:val="000000" w:themeColor="text1"/>
          <w:spacing w:val="0"/>
          <w:position w:val="0"/>
          <w:sz w:val="32"/>
          <w:szCs w:val="32"/>
          <w:lang w:eastAsia="zh-CN"/>
          <w14:textFill>
            <w14:solidFill>
              <w14:schemeClr w14:val="tx1"/>
            </w14:solidFill>
          </w14:textFill>
        </w:rPr>
        <w:t>质量</w:t>
      </w:r>
      <w:r>
        <w:rPr>
          <w:rFonts w:hint="default" w:ascii="Times New Roman" w:hAnsi="Times New Roman" w:eastAsia="仿宋_GB2312" w:cs="Times New Roman"/>
          <w:color w:val="000000" w:themeColor="text1"/>
          <w:spacing w:val="0"/>
          <w:position w:val="0"/>
          <w:sz w:val="32"/>
          <w:szCs w:val="32"/>
          <w:lang w:eastAsia="zh-CN"/>
          <w14:textFill>
            <w14:solidFill>
              <w14:schemeClr w14:val="tx1"/>
            </w14:solidFill>
          </w14:textFill>
        </w:rPr>
        <w:t>有待进一步</w:t>
      </w:r>
      <w:r>
        <w:rPr>
          <w:rFonts w:hint="eastAsia" w:ascii="Times New Roman" w:hAnsi="Times New Roman" w:eastAsia="仿宋_GB2312" w:cs="Times New Roman"/>
          <w:color w:val="000000" w:themeColor="text1"/>
          <w:spacing w:val="0"/>
          <w:position w:val="0"/>
          <w:sz w:val="32"/>
          <w:szCs w:val="32"/>
          <w:lang w:eastAsia="zh-CN"/>
          <w14:textFill>
            <w14:solidFill>
              <w14:schemeClr w14:val="tx1"/>
            </w14:solidFill>
          </w14:textFill>
        </w:rPr>
        <w:t>提高。</w:t>
      </w:r>
    </w:p>
    <w:p>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rFonts w:hint="eastAsia" w:ascii="楷体_GB2312" w:hAnsi="楷体_GB2312" w:eastAsia="楷体_GB2312" w:cs="楷体_GB2312"/>
          <w:color w:val="000000" w:themeColor="text1"/>
          <w:spacing w:val="0"/>
          <w:sz w:val="32"/>
          <w:szCs w:val="32"/>
          <w14:textFill>
            <w14:solidFill>
              <w14:schemeClr w14:val="tx1"/>
            </w14:solidFill>
          </w14:textFill>
        </w:rPr>
      </w:pPr>
      <w:r>
        <w:rPr>
          <w:rFonts w:hint="eastAsia" w:ascii="楷体_GB2312" w:hAnsi="楷体_GB2312" w:eastAsia="楷体_GB2312" w:cs="楷体_GB2312"/>
          <w:color w:val="000000" w:themeColor="text1"/>
          <w:spacing w:val="0"/>
          <w:sz w:val="32"/>
          <w:szCs w:val="32"/>
          <w14:textFill>
            <w14:solidFill>
              <w14:schemeClr w14:val="tx1"/>
            </w14:solidFill>
          </w14:textFill>
        </w:rPr>
        <w:t>（三）相关措施建议</w:t>
      </w:r>
    </w:p>
    <w:p>
      <w:pPr>
        <w:pStyle w:val="8"/>
        <w:keepNext w:val="0"/>
        <w:keepLines w:val="0"/>
        <w:pageBreakBefore w:val="0"/>
        <w:widowControl w:val="0"/>
        <w:kinsoku/>
        <w:wordWrap/>
        <w:overflowPunct w:val="0"/>
        <w:topLinePunct w:val="0"/>
        <w:autoSpaceDE w:val="0"/>
        <w:autoSpaceDN w:val="0"/>
        <w:bidi w:val="0"/>
        <w:adjustRightInd/>
        <w:snapToGrid/>
        <w:spacing w:beforeLines="0" w:after="0" w:line="576" w:lineRule="exact"/>
        <w:ind w:left="0" w:right="0" w:firstLine="640" w:firstLineChars="200"/>
        <w:jc w:val="both"/>
        <w:textAlignment w:val="auto"/>
        <w:outlineLvl w:val="9"/>
        <w:rPr>
          <w:color w:val="000000" w:themeColor="text1"/>
          <w:spacing w:val="0"/>
          <w14:textFill>
            <w14:solidFill>
              <w14:schemeClr w14:val="tx1"/>
            </w14:solidFill>
          </w14:textFill>
        </w:rPr>
      </w:pPr>
      <w:r>
        <w:rPr>
          <w:rFonts w:hint="eastAsia" w:ascii="仿宋_GB2312" w:hAnsi="仿宋_GB2312" w:eastAsia="仿宋_GB2312" w:cs="仿宋_GB2312"/>
          <w:color w:val="000000" w:themeColor="text1"/>
          <w:spacing w:val="0"/>
          <w:sz w:val="32"/>
          <w:szCs w:val="32"/>
          <w:lang w:eastAsia="zh-CN"/>
          <w14:textFill>
            <w14:solidFill>
              <w14:schemeClr w14:val="tx1"/>
            </w14:solidFill>
          </w14:textFill>
        </w:rPr>
        <w:t>建议</w:t>
      </w:r>
      <w:r>
        <w:rPr>
          <w:rFonts w:hint="eastAsia" w:ascii="仿宋_GB2312" w:hAnsi="仿宋_GB2312" w:eastAsia="仿宋_GB2312" w:cs="仿宋_GB2312"/>
          <w:color w:val="000000" w:themeColor="text1"/>
          <w:spacing w:val="0"/>
          <w:sz w:val="32"/>
          <w:szCs w:val="32"/>
          <w14:textFill>
            <w14:solidFill>
              <w14:schemeClr w14:val="tx1"/>
            </w14:solidFill>
          </w14:textFill>
        </w:rPr>
        <w:t>加强对项目绩效评价工作的指导和培训，使项目编制更加符合绩效评价相关要求。</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Times New Roman" w:hAnsi="Times New Roman" w:eastAsia="仿宋_GB2312" w:cs="Times New Roman"/>
          <w:color w:val="000000" w:themeColor="text1"/>
          <w:spacing w:val="0"/>
          <w:position w:val="0"/>
          <w:sz w:val="32"/>
          <w:szCs w:val="32"/>
          <w:lang w:val="en-US" w:eastAsia="zh-CN" w:bidi="ar-SA"/>
          <w14:textFill>
            <w14:solidFill>
              <w14:schemeClr w14:val="tx1"/>
            </w14:solidFill>
          </w14:textFill>
        </w:rPr>
      </w:pP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Times New Roman" w:hAnsi="Times New Roman" w:eastAsia="仿宋_GB2312" w:cs="Times New Roman"/>
          <w:color w:val="000000" w:themeColor="text1"/>
          <w:spacing w:val="-17"/>
          <w:position w:val="0"/>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spacing w:val="0"/>
          <w:position w:val="0"/>
          <w:sz w:val="32"/>
          <w:szCs w:val="32"/>
          <w:lang w:val="en-US" w:eastAsia="zh-CN" w:bidi="ar-SA"/>
          <w14:textFill>
            <w14:solidFill>
              <w14:schemeClr w14:val="tx1"/>
            </w14:solidFill>
          </w14:textFill>
        </w:rPr>
        <w:t>附件：</w:t>
      </w:r>
      <w:r>
        <w:rPr>
          <w:rFonts w:hint="eastAsia" w:ascii="Times New Roman" w:hAnsi="Times New Roman" w:eastAsia="仿宋_GB2312" w:cs="Times New Roman"/>
          <w:color w:val="000000" w:themeColor="text1"/>
          <w:spacing w:val="-17"/>
          <w:position w:val="0"/>
          <w:sz w:val="32"/>
          <w:szCs w:val="32"/>
          <w:lang w:val="en-US" w:eastAsia="zh-CN" w:bidi="ar-SA"/>
          <w14:textFill>
            <w14:solidFill>
              <w14:schemeClr w14:val="tx1"/>
            </w14:solidFill>
          </w14:textFill>
        </w:rPr>
        <w:t>广元市昭化区2022年度财政项目（政策）支出绩效自评表</w:t>
      </w:r>
    </w:p>
    <w:p>
      <w:pPr>
        <w:keepNext w:val="0"/>
        <w:keepLines w:val="0"/>
        <w:pageBreakBefore w:val="0"/>
        <w:widowControl w:val="0"/>
        <w:kinsoku/>
        <w:wordWrap/>
        <w:overflowPunct w:val="0"/>
        <w:topLinePunct w:val="0"/>
        <w:bidi w:val="0"/>
        <w:adjustRightInd/>
        <w:snapToGrid/>
        <w:spacing w:line="576" w:lineRule="exact"/>
        <w:ind w:left="0" w:right="0" w:firstLine="640" w:firstLineChars="200"/>
        <w:jc w:val="both"/>
        <w:textAlignment w:val="auto"/>
        <w:outlineLvl w:val="9"/>
        <w:rPr>
          <w:rFonts w:hint="eastAsia" w:ascii="Times New Roman" w:hAnsi="Times New Roman" w:eastAsia="仿宋_GB2312" w:cs="Times New Roman"/>
          <w:color w:val="000000" w:themeColor="text1"/>
          <w:spacing w:val="0"/>
          <w:position w:val="0"/>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spacing w:val="0"/>
          <w:position w:val="0"/>
          <w:sz w:val="32"/>
          <w:szCs w:val="32"/>
          <w:lang w:val="en-US" w:eastAsia="zh-CN" w:bidi="ar-SA"/>
          <w14:textFill>
            <w14:solidFill>
              <w14:schemeClr w14:val="tx1"/>
            </w14:solidFill>
          </w14:textFill>
        </w:rPr>
        <w:br w:type="page"/>
      </w:r>
    </w:p>
    <w:p>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pPr>
        <w:jc w:val="center"/>
        <w:rPr>
          <w:rFonts w:hint="eastAsia" w:eastAsia="仿宋_GB2312"/>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527"/>
        <w:gridCol w:w="868"/>
        <w:gridCol w:w="1652"/>
        <w:gridCol w:w="1072"/>
        <w:gridCol w:w="1047"/>
        <w:gridCol w:w="1116"/>
        <w:gridCol w:w="2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7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民族宗教工作经费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6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9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620"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20"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3"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5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5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5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是全面推进民族团结进步创建。构建“互嵌式”社会结构管理体制机制，搭建少数民族流动人口服务管理体系，对少数民族群众和少数民族干部信息进行普查登记，建立少数民族人口信息台账，会同公安、民政部门建立民族工作联络员制度，确保工作衔接紧密、落到实处，二是加强对宗教政策的宣传，积极和谐寺观教堂”的创建活动，严厉打击非法宗教活动，抵御境外渗透，妥善处理因民族宗教引起的突发事件，做好小寺山爱国主义教育基地、民族团结进步示范基地工作。</w:t>
            </w:r>
          </w:p>
        </w:tc>
        <w:tc>
          <w:tcPr>
            <w:tcW w:w="181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5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面推进民族团结进步创建。构建“互嵌式”社会结构管理体制机制，搭建少数民族流动人口服务管理体系，对少数民族群众和少数民族干部信息进行普查登记，建立少数民族人口信息台账，会同公安、民政部门建立民族工作联络员制度，确保工作衔接紧密、落到实处，加强对宗教政策的宣传，积极和谐寺观教堂”的创建活动，严厉打击非法宗教活动，抵御境外渗透，妥善处理因民族宗教引起的突发事件，做好小寺山爱国主义教育基地、民族团结进步示范基地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2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产出指标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成本指标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厉行节约，经费控制。</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时效指标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全年民族宗教相关工作任务按时完成。</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365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天</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365</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数量指标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召开专题培训会、专项检查场次。</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质量指标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加强非法宗教活动、非法宣传活动打击力度，提高防邪、反恐、禁毒</w:t>
            </w:r>
            <w:r>
              <w:rPr>
                <w:rStyle w:val="35"/>
                <w:rFonts w:hint="eastAsia" w:asciiTheme="minorEastAsia" w:hAnsiTheme="minorEastAsia" w:eastAsiaTheme="minorEastAsia" w:cstheme="minorEastAsia"/>
                <w:color w:val="000000" w:themeColor="text1"/>
                <w:spacing w:val="-6"/>
                <w:sz w:val="18"/>
                <w:lang w:val="en-US" w:eastAsia="zh-CN" w:bidi="ar"/>
                <w14:textFill>
                  <w14:solidFill>
                    <w14:schemeClr w14:val="tx1"/>
                  </w14:solidFill>
                </w14:textFill>
              </w:rPr>
              <w:t>知识专题培训和反恐演练开展频次</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效益指标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社会效益指标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铸牢中华民族共同体意识，加强宗教治理能力现代化。</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可持续发展指标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持续推进民族宗教工作，确保民族宗教领域和睦和顺。</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3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71" w:leftChars="-34" w:right="-71" w:rightChars="-34"/>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满意度指标</w:t>
            </w:r>
          </w:p>
        </w:tc>
        <w:tc>
          <w:tcPr>
            <w:tcW w:w="4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71" w:leftChars="-34" w:right="-71" w:rightChars="-34"/>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服务对象满意度指标</w:t>
            </w:r>
          </w:p>
        </w:tc>
        <w:tc>
          <w:tcPr>
            <w:tcW w:w="15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Style w:val="35"/>
                <w:rFonts w:hint="eastAsia" w:asciiTheme="minorEastAsia" w:hAnsiTheme="minorEastAsia" w:eastAsiaTheme="minorEastAsia" w:cstheme="minorEastAsia"/>
                <w:color w:val="000000" w:themeColor="text1"/>
                <w:spacing w:val="0"/>
                <w:lang w:val="en-US" w:eastAsia="zh-CN" w:bidi="ar"/>
                <w14:textFill>
                  <w14:solidFill>
                    <w14:schemeClr w14:val="tx1"/>
                  </w14:solidFill>
                </w14:textFill>
              </w:rPr>
              <w:t>引导全区各族人民铸牢中华民族共同体意识，维护宗教领域和顺。</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jc w:val="center"/>
        </w:trPr>
        <w:tc>
          <w:tcPr>
            <w:tcW w:w="3798"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2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97</w:t>
            </w:r>
          </w:p>
        </w:tc>
      </w:tr>
    </w:tbl>
    <w:p>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9"/>
        <w:gridCol w:w="513"/>
        <w:gridCol w:w="1243"/>
        <w:gridCol w:w="1275"/>
        <w:gridCol w:w="1161"/>
        <w:gridCol w:w="1018"/>
        <w:gridCol w:w="1086"/>
        <w:gridCol w:w="2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75" w:type="pct"/>
            <w:gridSpan w:val="6"/>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侨务工作办公经费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2031" w:type="pct"/>
            <w:gridSpan w:val="3"/>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782"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390" w:type="pct"/>
            <w:gridSpan w:val="2"/>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40"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40"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40"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40"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40"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1"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9"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40"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1"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9"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40"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1"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9"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624" w:type="pct"/>
            <w:gridSpan w:val="2"/>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390"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40"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1"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9"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341"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76" w:type="pct"/>
            <w:gridSpan w:val="5"/>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782"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60" w:hRule="atLeast"/>
          <w:jc w:val="center"/>
        </w:trPr>
        <w:tc>
          <w:tcPr>
            <w:tcW w:w="341"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76" w:type="pct"/>
            <w:gridSpan w:val="5"/>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健全完善工作体制机制，贯彻落实《中共中央关于加强新时代海外统战工作的意见》，确保区海外统战工作协作机制高效有序运转。深化为侨服务，积极宣传、贯彻落实《四川省华侨权益保护条例》。凝聚侨智侨力服务大局，积极开展“暖侨行动”，主动融入“大侨务”工作格局，引导海内外侨胞积极参与社会主义现代化昭化建设。完成区侨联成立和侨胞之家建设，积极开展归侨、侨眷走访慰问活动，帮助解决生活中遇到的困难问题。</w:t>
            </w:r>
          </w:p>
        </w:tc>
        <w:tc>
          <w:tcPr>
            <w:tcW w:w="1782"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健全完善工作体制机制，贯彻落实《中共中央关于加强新时代海外统战工作的意见》，确保区海外统战工作协作机制高效有序运转。深化为侨服务，积极宣传、贯彻落实《四川省华侨权益保护条例》。凝聚侨智侨力服务大局，积极开展“暖侨行动”，主动融入“大侨务”工作格局，引导海内外侨胞积极参与社会主义现代化昭化建设。完成区侨联成立和侨胞之家建设，积极开展归侨、侨眷走访慰问活动，帮助解决生活中遇到的困难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0" w:hRule="atLeast"/>
          <w:jc w:val="center"/>
        </w:trPr>
        <w:tc>
          <w:tcPr>
            <w:tcW w:w="341" w:type="pct"/>
            <w:vMerge w:val="restart"/>
            <w:tcBorders>
              <w:tl2br w:val="nil"/>
              <w:tr2bl w:val="nil"/>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34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341" w:type="pct"/>
            <w:vMerge w:val="continue"/>
            <w:tcBorders>
              <w:tl2br w:val="nil"/>
              <w:tr2bl w:val="nil"/>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34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大力开展华侨、归侨、侨眷普查，组织召开区侨联会议及培训人次。</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70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341" w:type="pct"/>
            <w:vMerge w:val="continue"/>
            <w:tcBorders>
              <w:tl2br w:val="nil"/>
              <w:tr2bl w:val="nil"/>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34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凝聚侨智侨力服务大局，开展好侨务工作，帮助解决生活中遇到的困难问题件数。</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41" w:type="pct"/>
            <w:vMerge w:val="continue"/>
            <w:tcBorders>
              <w:tl2br w:val="nil"/>
              <w:tr2bl w:val="nil"/>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34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全年侨务工作在规定时间内按时按量完成。</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341" w:type="pct"/>
            <w:vMerge w:val="continue"/>
            <w:tcBorders>
              <w:tl2br w:val="nil"/>
              <w:tr2bl w:val="nil"/>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vMerge w:val="continue"/>
            <w:tcBorders>
              <w:tl2br w:val="nil"/>
              <w:tr2bl w:val="nil"/>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34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6"/>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全年的侨务工作经费成本控制。</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341" w:type="pct"/>
            <w:vMerge w:val="continue"/>
            <w:tcBorders>
              <w:tl2br w:val="nil"/>
              <w:tr2bl w:val="nil"/>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34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6"/>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确保区海外统战工作协作机制高效有序运转。深化为侨服务，</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0" w:hRule="atLeast"/>
          <w:jc w:val="center"/>
        </w:trPr>
        <w:tc>
          <w:tcPr>
            <w:tcW w:w="341" w:type="pct"/>
            <w:vMerge w:val="continue"/>
            <w:tcBorders>
              <w:tl2br w:val="nil"/>
              <w:tr2bl w:val="nil"/>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3"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686"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344" w:type="pct"/>
            <w:gridSpan w:val="2"/>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加强联系侨胞侨属，维护侨胞侨属权利和利益，凝聚侨智，服务大局，</w:t>
            </w:r>
          </w:p>
        </w:tc>
        <w:tc>
          <w:tcPr>
            <w:tcW w:w="561"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99"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82" w:type="pct"/>
            <w:tcBorders>
              <w:tl2br w:val="nil"/>
              <w:tr2bl w:val="nil"/>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bl>
    <w:p>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1"/>
        <w:gridCol w:w="533"/>
        <w:gridCol w:w="1204"/>
        <w:gridCol w:w="947"/>
        <w:gridCol w:w="1323"/>
        <w:gridCol w:w="1145"/>
        <w:gridCol w:w="1203"/>
        <w:gridCol w:w="2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40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新的社会阶层人士工作经费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91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p>
        </w:tc>
        <w:tc>
          <w:tcPr>
            <w:tcW w:w="118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9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7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4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37"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4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完善代表人士分级分类管理信息库，探索新阶代表人士培养路径，加强新阶层人士的引导和培训工作，开展能力提升培训。加强新的社会阶层人士统战工作联席会议制度和新联会规范化建设，打造</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个新的社会阶层人士实践创新基地。开展与其他县区新联会联络联谊活动，学习借鉴先进经验。拓展新阶层人士的政治参与渠道，结合换届，将符合条件的代表人士推荐担任人大代表、政协委员及社会团体任职。</w:t>
            </w:r>
          </w:p>
        </w:tc>
        <w:tc>
          <w:tcPr>
            <w:tcW w:w="185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完善代表人士分级分类管理信息库，探索新阶代表人士培养路径，加强新阶层人士的引导和培训工作，开展能力提升培训。加强新的社会阶层人士统战工作联席会议制度和新联会规范化建设，打造</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个新的社会阶层人士实践创新基地。开展与其他县区新联会联络联谊活动，学习借鉴先进经验。拓展新阶层人士的政治参与渠道，结合换届，将符合条件的代表人士推荐担任人大代表、政协委员及社会团体任职。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04"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召开专题座谈会、组织</w:t>
            </w:r>
            <w:bookmarkStart w:id="67" w:name="_GoBack"/>
            <w:bookmarkEnd w:id="67"/>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党史学习教育专题学习人次。</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3"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新的社会阶层人士统战工作联席会议制度和新联会规范化建设，打造</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个新的社会阶层人士实践创新基地。</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处</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处</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在规定时间内完成全年新阶会相关工作任务目标。</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全年工作成本控制在</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万元以内。</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助力</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名贫困毕业生顺利上岗。争取中华职教社携手杭州力高控股有限公司向我区</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名困难学生捐赠价值</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万余元的爱心书包。</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名</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名</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jc w:val="center"/>
        </w:trPr>
        <w:tc>
          <w:tcPr>
            <w:tcW w:w="304"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2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区新联会经常开展献爱心活动，从实际上帮助困难群众解决很多问题，得到一致好评。</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3812"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98</w:t>
            </w:r>
          </w:p>
        </w:tc>
      </w:tr>
    </w:tbl>
    <w:p>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572"/>
        <w:gridCol w:w="1303"/>
        <w:gridCol w:w="1234"/>
        <w:gridCol w:w="1161"/>
        <w:gridCol w:w="1059"/>
        <w:gridCol w:w="1085"/>
        <w:gridCol w:w="2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jc w:val="center"/>
        </w:trPr>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8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民主党派工作经费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6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204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7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3" w:type="pct"/>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w:t>
            </w:r>
          </w:p>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116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116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p>
        </w:tc>
        <w:tc>
          <w:tcPr>
            <w:tcW w:w="116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61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6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jc w:val="center"/>
        </w:trPr>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94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7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4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协助区委制定并组织实施</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政党协商（会议协商）计划，结合“十四五”规划开局之年，引导民主党派成员紧紧围绕我区高质量发展、乡村振兴、建设高质量发展新区、基层治理体系和能力建设等重点工作，深入开展调查研究，高质量建言资政，发挥民主党派建言献策直通车作用。支持党外特邀监察员履职政风行风评议、阳光问政、阳光政务热线和行政效能监督。</w:t>
            </w:r>
          </w:p>
        </w:tc>
        <w:tc>
          <w:tcPr>
            <w:tcW w:w="17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协助区委制定并组织实施</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政党协商（会议协商）计划，结合“十四五”规划开局之年，引导民主党派成员紧紧围绕我区高质量发展、乡村振兴、建设高质量发展新区、基层治理体系和能力建设等重点工作，深入开展调查研究，高质量建言资政，发挥民主党派建言献策直通车作用。支持党外特邀监察员履职政风行风评议、阳光问政、阳光政务热线和行政效能监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298"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发挥民主党派建言献策直通车作用。撰写提案、建议、社情民意等件数。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2022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月底内完成全年工作任务。</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组织各民主党派召开集中研学、召开专题会议次数。</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全年成本控制。</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深入开展调查研究，高质量建言资政，发挥民主党派建言献策直通车作用。</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298"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3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both"/>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发挥民主党派建言献策直通车作用。高质量撰写提案、建</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议、社情民意等</w:t>
            </w:r>
            <w:r>
              <w:rPr>
                <w:rFonts w:hint="eastAsia" w:ascii="Times New Roman" w:hAnsi="Times New Roman"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件，调研报告</w:t>
            </w:r>
            <w:r>
              <w:rPr>
                <w:rFonts w:hint="eastAsia" w:ascii="Times New Roman" w:hAnsi="Times New Roman"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篇，提高建言献策质量。</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3839"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98</w:t>
            </w:r>
          </w:p>
        </w:tc>
      </w:tr>
    </w:tbl>
    <w:p>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1"/>
        <w:gridCol w:w="1042"/>
        <w:gridCol w:w="1023"/>
        <w:gridCol w:w="1014"/>
        <w:gridCol w:w="1161"/>
        <w:gridCol w:w="1049"/>
        <w:gridCol w:w="1106"/>
        <w:gridCol w:w="20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10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对台工作办公经费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76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7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15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15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15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890"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5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3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9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7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3" w:hRule="atLeast"/>
          <w:jc w:val="center"/>
        </w:trPr>
        <w:tc>
          <w:tcPr>
            <w:tcW w:w="3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9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对台工作稳妥有序。认真组织学习习近平总书记在纪念辛亥革命</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周年大会上的讲话精神，全面贯彻落实党中央和省委、市委关于新形势下加强对台工作的意见，进一步凝聚起广大党员干部对台工作共识。持续走访慰问台属台胞，及时协调帮助解决实际困难。</w:t>
            </w:r>
          </w:p>
        </w:tc>
        <w:tc>
          <w:tcPr>
            <w:tcW w:w="17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对台工作稳妥有序。认真组织学习习近平总书记在纪念辛亥革命</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周年大会上的讲话精神，全面贯彻落实党中央和省委、市委关于新形势下加强对台工作的意见，进一步凝聚起广大党员干部对台工作共识。持续走访慰问台属台胞，及时协调帮助解决实际困难。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15"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厉行节俭，成本控制。</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解决台胞台属实际困难问题条数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条</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条</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全年组织各镇各部门召开对台工作专题会议及培训人次。</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持续走访慰问台属台胞</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户，及时协调帮助解决实际困难件数。</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件</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15"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2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台胞台属满对侨务工作意度</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84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97</w:t>
            </w:r>
          </w:p>
        </w:tc>
      </w:tr>
    </w:tbl>
    <w:p>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0"/>
        <w:gridCol w:w="611"/>
        <w:gridCol w:w="1105"/>
        <w:gridCol w:w="1086"/>
        <w:gridCol w:w="1204"/>
        <w:gridCol w:w="1105"/>
        <w:gridCol w:w="1204"/>
        <w:gridCol w:w="2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3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非公经济工作办公经费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87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4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1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1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p>
        </w:tc>
        <w:tc>
          <w:tcPr>
            <w:tcW w:w="118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668"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0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6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jc w:val="center"/>
        </w:trPr>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2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4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2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24"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是抓思想提升聚共识。组织全区非公经济人士深入学习习近平总书记在民营企业座谈会、企业家座谈会上的重要讲话和对民营经济统战工作及工商联工作的重要指示精神，引导民营经济人士听党话、跟党走。大力推行领导干部讲党课，采取座谈交流、集中培训等形式，常态开展民营经济人士理想信念教育和培训提能。二是抓环境优化强服务。建立区“四大班子”主要领导联系异地商会制度和区工商联机关班子成员、兼职副主席、副会长联系异地商会、民营企业制度，刚性要求相关领导干部每季度到联系商会、企业开展调研、纾难解困</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次以上。集中开展企业“大走访”活动。</w:t>
            </w:r>
          </w:p>
        </w:tc>
        <w:tc>
          <w:tcPr>
            <w:tcW w:w="184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24"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是抓思想提升聚共识。组织全区非公经济人士深入学习习近平总书记在民营企业座谈会、企业家座谈会上的重要讲话和对民营经济统战工作及工商联工作的重要指示精神，引导民营经济人士听党话、跟党走。大力推行领导干部讲党课，采取座谈交流、集中培训等形式，常态开展民营经济人士理想信念教育和培训提能。二是抓环境优化强服务。建立区“四大班子”主要领导联系异地商会制度和区工商联机关班子成员、兼职副主席、副会长联系异地商会、民营企业制度，刚性要求相关领导干部每季度到联系商会、企业开展调研、纾难解困</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次以上。集中开展企业“大走访”活动。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全年按时完成相关工作任务</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365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天</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365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天</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全年高规格召开企业家座谈会人次。</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撰写社情民意</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篇。全年高规格召开企业家座</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次，集中协调解决问题条数。</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条</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条</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全年厉行节约，成本控制。</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采取座谈交流、集中培训等形式，常态开展民营经济人</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士理想信念教育和培训促能。</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26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让企业家们对统战工作满意度。</w:t>
            </w:r>
          </w:p>
        </w:tc>
        <w:tc>
          <w:tcPr>
            <w:tcW w:w="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3817"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97</w:t>
            </w:r>
          </w:p>
        </w:tc>
      </w:tr>
    </w:tbl>
    <w:p>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1"/>
        <w:gridCol w:w="652"/>
        <w:gridCol w:w="631"/>
        <w:gridCol w:w="1500"/>
        <w:gridCol w:w="1185"/>
        <w:gridCol w:w="1282"/>
        <w:gridCol w:w="1145"/>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4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小寺山爱国主义教育基地日常管护费用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83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117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117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p>
        </w:tc>
        <w:tc>
          <w:tcPr>
            <w:tcW w:w="117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3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7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89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89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小寺山天主教堂作为全国第一批、全省首批爱国主义教育示范基地，四川统一战线中国特色社会主义教育基地，第三批省民族团结进步教育基地，随着基地的完善，前来学习的人流量增加，加强教堂、天主教爱国实际陈列馆及周边环境卫生管理、安全隐患防控、日常秩序维持日常管护非常必要。</w:t>
            </w:r>
          </w:p>
        </w:tc>
        <w:tc>
          <w:tcPr>
            <w:tcW w:w="180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小寺山天主教堂作为全国第一批、全省首批爱国主义教育示范基地，四川统一战线中国特色社会主义教育基地，第三批省民族团结进步教育基地，随着基地的完善，前来学习的人流量增加，加强教堂、天主教爱国实际陈列馆及周边环境卫生管理、安全隐患防控、日常秩序维持日常管护非常必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通过增加日常管环境卫生优良，日常秩序稳定，承接全国各地参观学习人次。</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15000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30000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日常管护基地面积</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亩</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48</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亩</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全年管护费成本控制。</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按时完成全年工作任务。</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生态效益指标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教堂、天主教爱国实际陈列馆及周边环境卫生管理、安全隐患防控、日常秩序维持日常管护</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293"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4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通过对基地及周边环境卫生管理、安全隐患防控、日常秩序维持日常管护，得到了社会各界高度赞誉</w:t>
            </w:r>
          </w:p>
        </w:tc>
        <w:tc>
          <w:tcPr>
            <w:tcW w:w="7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1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823"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1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4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98</w:t>
            </w:r>
          </w:p>
        </w:tc>
      </w:tr>
    </w:tbl>
    <w:p>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9"/>
        <w:gridCol w:w="544"/>
        <w:gridCol w:w="631"/>
        <w:gridCol w:w="1509"/>
        <w:gridCol w:w="1125"/>
        <w:gridCol w:w="1066"/>
        <w:gridCol w:w="1314"/>
        <w:gridCol w:w="22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34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统战部工作经费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80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53" w:type="pct"/>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123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123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p>
        </w:tc>
        <w:tc>
          <w:tcPr>
            <w:tcW w:w="1230"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5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72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3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69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2"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69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71" w:leftChars="-34" w:right="-71" w:rightChars="-34"/>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是突出思想引领画好同心圆。坚持用党的创新理论武装全区统一战线，持续深化党史学习教育、“爱国爱教爱家乡”等主题教育，强化对统战成员的政治动员、政治引领、政治教育，引导全区统一战线坚定不移听党话、跟党走，做到思想一致、声音一致、步调一致。二是突出服务大局提升贡献率。坚持从政治高度重视新时代统一战线法宝作用，聚焦聚力昭化经济社会发展战略部署，充分发挥统一战线人才荟萃、智力密集、联系广泛优势，不断提升统一战线对全局工作的贡献率。三是突出系统观念做好大文章。深入贯彻落实全省基层统战工作高质量发展视频会议精神，以“五大建设”为着力点，以示范创建为抓手，注重守正创新，推动基层统战工作高质量发展。四是突出风险防控守好安全底线。常态化抓好矛盾风险防范化解和疫情防控，切实维护统一战线意识形态安全。持续开展民族团结进步宣传教育和宗教工作法制化建设，促进民族宗教发展和顺和睦。加强非法宗教活动、非法宣传活动打击力度，提高防邪、反恐、禁毒知识专题培训和反恐演练开展频次；加强海外统战工作和民主党派、党外人士队伍建设，持续发展壮大一切爱国统一力量。</w:t>
            </w:r>
          </w:p>
        </w:tc>
        <w:tc>
          <w:tcPr>
            <w:tcW w:w="19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71" w:leftChars="-34" w:right="-71" w:rightChars="-34"/>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坚持用党的创新理论武装全区统一战线，持续深化党史学习教育、“爱国爱教爱家乡”等主题教育，强化对统战成员的政治动员、政治引领、政治教育，引导全区统一战线坚定不移听党话、跟党走，做到思想一致、声音一致、步调一致；坚持从政治高度重视新时代统一战线法宝作用，聚焦聚力昭化经济社会发展战略部署，充分发挥统一战线人才荟萃、智力密集、联系广泛优势，不断提升统一战线对全局工作的贡献率；深入贯彻落实全省基层统战工作高质量发展视频会议精神，以“五大建设”为着力点，以示范创建为抓手，注重守正创新，推动基层统战工作高质量发展；常态化抓好矛盾风险防范化解和疫情防控，切实维护统一战线意识形态安全。持续开展民族团结进步宣传教育和宗教工作法制化建设，促进民族宗教发展和顺和睦。加强非法宗教活动、非法宣传活动打击力度，提高防邪、反恐、禁毒知识专题培训和反恐演练开展频次；加强海外统战工作和民主党派、党外人士队伍建设，持续发展壮大一切爱国统一力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7"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w:t>
            </w:r>
          </w:p>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组织各广大统战成员</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余人次集中研学</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次，召开会议</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余次，下乡调研及乡村振兴帮扶工作持续推进，</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w:t>
            </w:r>
          </w:p>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统战领域各项工作有序推进</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w:t>
            </w:r>
          </w:p>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统战工作经费全年成本控制在</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万元以内。</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w:t>
            </w:r>
          </w:p>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年底完成全年各项工作任务。</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7"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社会效益指标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充分发挥统一战线人才荟萃、智力密集、联系广泛优势，不断提升统一战线对全局工作的贡献率</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优</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jc w:val="center"/>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84" w:leftChars="-40" w:right="-84" w:rightChars="-40"/>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45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搭建好统战桥梁，各统战对象满意度</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3769"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98</w:t>
            </w:r>
          </w:p>
        </w:tc>
      </w:tr>
    </w:tbl>
    <w:p>
      <w:pP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br w:type="page"/>
      </w:r>
    </w:p>
    <w:p>
      <w:pPr>
        <w:jc w:val="center"/>
        <w:rPr>
          <w:rFonts w:hint="eastAsia" w:eastAsia="仿宋_GB2312"/>
          <w:color w:val="000000" w:themeColor="text1"/>
          <w:spacing w:val="0"/>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spacing w:val="0"/>
          <w:kern w:val="0"/>
          <w:sz w:val="40"/>
          <w:szCs w:val="40"/>
          <w:u w:val="none"/>
          <w:lang w:val="en-US" w:eastAsia="zh-CN" w:bidi="ar"/>
          <w14:textFill>
            <w14:solidFill>
              <w14:schemeClr w14:val="tx1"/>
            </w14:solidFill>
          </w14:textFill>
        </w:rPr>
        <w:t>广元市昭化区财政项目支出绩效自评表</w:t>
      </w:r>
    </w:p>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w:t>
      </w:r>
      <w:r>
        <w:rPr>
          <w:rFonts w:hint="eastAsia" w:ascii="Times New Roman" w:hAnsi="Times New Roman" w:eastAsia="仿宋_GB2312" w:cs="宋体"/>
          <w:i w:val="0"/>
          <w:iCs w:val="0"/>
          <w:color w:val="000000" w:themeColor="text1"/>
          <w:spacing w:val="0"/>
          <w:kern w:val="0"/>
          <w:sz w:val="22"/>
          <w:szCs w:val="22"/>
          <w:u w:val="none"/>
          <w:lang w:val="en-US" w:eastAsia="zh-CN" w:bidi="ar"/>
          <w14:textFill>
            <w14:solidFill>
              <w14:schemeClr w14:val="tx1"/>
            </w14:solidFill>
          </w14:textFill>
        </w:rPr>
        <w:t>2022</w:t>
      </w:r>
      <w:r>
        <w:rPr>
          <w:rFonts w:hint="eastAsia" w:ascii="宋体" w:hAnsi="宋体" w:eastAsia="仿宋_GB2312" w:cs="宋体"/>
          <w:i w:val="0"/>
          <w:iCs w:val="0"/>
          <w:color w:val="000000" w:themeColor="text1"/>
          <w:spacing w:val="0"/>
          <w:kern w:val="0"/>
          <w:sz w:val="22"/>
          <w:szCs w:val="22"/>
          <w:u w:val="none"/>
          <w:lang w:val="en-US" w:eastAsia="zh-CN" w:bidi="ar"/>
          <w14:textFill>
            <w14:solidFill>
              <w14:schemeClr w14:val="tx1"/>
            </w14:solidFill>
          </w14:textFill>
        </w:rPr>
        <w:t>年度）</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6"/>
        <w:gridCol w:w="763"/>
        <w:gridCol w:w="1020"/>
        <w:gridCol w:w="1022"/>
        <w:gridCol w:w="1060"/>
        <w:gridCol w:w="1069"/>
        <w:gridCol w:w="1067"/>
        <w:gridCol w:w="2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项目（政策）名称</w:t>
            </w:r>
          </w:p>
        </w:tc>
        <w:tc>
          <w:tcPr>
            <w:tcW w:w="411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九广合作办公室工作经费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主管部门</w:t>
            </w:r>
          </w:p>
        </w:tc>
        <w:tc>
          <w:tcPr>
            <w:tcW w:w="171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实施单位</w:t>
            </w:r>
          </w:p>
        </w:tc>
        <w:tc>
          <w:tcPr>
            <w:tcW w:w="1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中共广元市昭化区委统战部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项目资金（万元）</w:t>
            </w: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年初预算数</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全年预算数</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全年执行数</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执行率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年度资金总额</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（一）财政拨款小计</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22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.一般公共预算</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p>
        </w:tc>
        <w:tc>
          <w:tcPr>
            <w:tcW w:w="122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.政府性基金</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.国有资本经营预算</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4</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.社保基金</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883" w:type="pct"/>
            <w:gridSpan w:val="2"/>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12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（二）其他资金</w:t>
            </w:r>
          </w:p>
        </w:tc>
        <w:tc>
          <w:tcPr>
            <w:tcW w:w="5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8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122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年度总体目标</w:t>
            </w:r>
          </w:p>
        </w:tc>
        <w:tc>
          <w:tcPr>
            <w:tcW w:w="272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预期目标</w:t>
            </w:r>
          </w:p>
        </w:tc>
        <w:tc>
          <w:tcPr>
            <w:tcW w:w="1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272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成立“九广合作”办公室，“九广合作”的深度和广度进一步拓展。从南充农科院引进济</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号、南紫薯</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号等非主要农作物</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万余苗。推动“拱·昭”林下生态循环示范园项目落地生根。采取“林禽+林菌+林药”农业生态循环模式建设</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万羽生态放养鸡养殖园、</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万亩林下中药材与菌根型共生菌种植园，成功打造全国林下经济及附属林下产品循环产业示范园区。</w:t>
            </w:r>
          </w:p>
        </w:tc>
        <w:tc>
          <w:tcPr>
            <w:tcW w:w="1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成立“九广合作”办公室，“九广合作”的深度和广度进一步拓展。从南充农科院引进济</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26</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号、南紫薯</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020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号等非主要农作物</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万余苗。推动“拱·昭”林下生态循环示范园项目落地生根。采取“林禽+林菌+林药”农业生态循环模式建设</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万羽生态放养鸡养殖园、</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63</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万亩林下中药材与菌根型共生菌种植园，成功打造全国林下经济及附属林下产品循环产业示范园区。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62"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绩效指标</w:t>
            </w: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一级</w:t>
            </w:r>
          </w:p>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二级指标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三级指标</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年度指标值</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实际完成值</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产出</w:t>
            </w:r>
          </w:p>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时效指标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全年工作在年底全面完成。</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月</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质量指标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“拱·昭”林下生态循环示范园项目落地生根，增加种养殖户收入。</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数量指标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召开专题会议及产业培训人次</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60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100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人次</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成本指标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全年工作经费成本控制。</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万元</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效益</w:t>
            </w:r>
          </w:p>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经济效益</w:t>
            </w:r>
          </w:p>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增加种养殖户收入</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32</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462" w:type="pct"/>
            <w:vMerge w:val="continue"/>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p>
        </w:tc>
        <w:tc>
          <w:tcPr>
            <w:tcW w:w="4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满意度指标</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服务对象满意度指标</w:t>
            </w:r>
          </w:p>
        </w:tc>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left"/>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采取“林禽+林菌+林药”农业生态循环模式建设</w:t>
            </w:r>
            <w:r>
              <w:rPr>
                <w:rFonts w:hint="eastAsia" w:ascii="Times New Roman" w:hAnsi="Times New Roman"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50</w:t>
            </w:r>
            <w:r>
              <w:rPr>
                <w:rFonts w:hint="eastAsia" w:asciiTheme="minorEastAsia" w:hAnsiTheme="minorEastAsia" w:eastAsiaTheme="minorEastAsia" w:cstheme="minorEastAsia"/>
                <w:i w:val="0"/>
                <w:iCs w:val="0"/>
                <w:color w:val="000000" w:themeColor="text1"/>
                <w:spacing w:val="-6"/>
                <w:kern w:val="0"/>
                <w:sz w:val="18"/>
                <w:szCs w:val="18"/>
                <w:u w:val="none"/>
                <w:lang w:val="en-US" w:eastAsia="zh-CN" w:bidi="ar"/>
                <w14:textFill>
                  <w14:solidFill>
                    <w14:schemeClr w14:val="tx1"/>
                  </w14:solidFill>
                </w14:textFill>
              </w:rPr>
              <w:t>万羽生态放养鸡养殖园。</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90</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95</w:t>
            </w: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w:t>
            </w:r>
          </w:p>
        </w:tc>
        <w:tc>
          <w:tcPr>
            <w:tcW w:w="12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18"/>
                <w:szCs w:val="18"/>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18"/>
                <w:szCs w:val="18"/>
                <w:u w:val="none"/>
                <w:lang w:val="en-US" w:eastAsia="zh-CN" w:bidi="ar"/>
                <w14:textFill>
                  <w14:solidFill>
                    <w14:schemeClr w14:val="tx1"/>
                  </w14:solidFill>
                </w14:textFill>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774"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总分</w:t>
            </w:r>
          </w:p>
        </w:tc>
        <w:tc>
          <w:tcPr>
            <w:tcW w:w="1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suppressLineNumbers w:val="0"/>
              <w:kinsoku/>
              <w:wordWrap/>
              <w:overflowPunct w:val="0"/>
              <w:topLinePunct w:val="0"/>
              <w:autoSpaceDE/>
              <w:autoSpaceDN/>
              <w:bidi w:val="0"/>
              <w:adjustRightInd/>
              <w:snapToGrid/>
              <w:spacing w:line="270" w:lineRule="exact"/>
              <w:ind w:left="-53" w:leftChars="-25" w:right="-53" w:rightChars="-25"/>
              <w:jc w:val="center"/>
              <w:textAlignment w:val="center"/>
              <w:rPr>
                <w:rFonts w:hint="eastAsia" w:asciiTheme="minorEastAsia" w:hAnsiTheme="minorEastAsia" w:eastAsiaTheme="minorEastAsia" w:cstheme="minorEastAsia"/>
                <w:i w:val="0"/>
                <w:iCs w:val="0"/>
                <w:color w:val="000000" w:themeColor="text1"/>
                <w:spacing w:val="0"/>
                <w:sz w:val="20"/>
                <w:szCs w:val="20"/>
                <w:u w:val="none"/>
                <w14:textFill>
                  <w14:solidFill>
                    <w14:schemeClr w14:val="tx1"/>
                  </w14:solidFill>
                </w14:textFill>
              </w:rPr>
            </w:pPr>
            <w:r>
              <w:rPr>
                <w:rFonts w:hint="eastAsia" w:ascii="Times New Roman" w:hAnsi="Times New Roman" w:eastAsiaTheme="minorEastAsia" w:cstheme="minorEastAsia"/>
                <w:i w:val="0"/>
                <w:iCs w:val="0"/>
                <w:color w:val="000000" w:themeColor="text1"/>
                <w:spacing w:val="0"/>
                <w:kern w:val="0"/>
                <w:sz w:val="20"/>
                <w:szCs w:val="20"/>
                <w:u w:val="none"/>
                <w:lang w:val="en-US" w:eastAsia="zh-CN" w:bidi="ar"/>
                <w14:textFill>
                  <w14:solidFill>
                    <w14:schemeClr w14:val="tx1"/>
                  </w14:solidFill>
                </w14:textFill>
              </w:rPr>
              <w:t>97</w:t>
            </w:r>
          </w:p>
        </w:tc>
      </w:tr>
    </w:tbl>
    <w:p>
      <w:pPr>
        <w:keepNext w:val="0"/>
        <w:keepLines w:val="0"/>
        <w:pageBreakBefore w:val="0"/>
        <w:widowControl w:val="0"/>
        <w:kinsoku/>
        <w:wordWrap/>
        <w:overflowPunct w:val="0"/>
        <w:topLinePunct w:val="0"/>
        <w:autoSpaceDE/>
        <w:autoSpaceDN/>
        <w:bidi w:val="0"/>
        <w:adjustRightInd/>
        <w:snapToGrid/>
        <w:spacing w:line="270" w:lineRule="exact"/>
        <w:ind w:left="-53" w:leftChars="-25" w:right="-53" w:rightChars="-25"/>
        <w:jc w:val="cente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lang w:val="en-US" w:eastAsia="zh-CN"/>
          <w14:textFill>
            <w14:solidFill>
              <w14:schemeClr w14:val="tx1"/>
            </w14:solidFill>
          </w14:textFill>
        </w:rPr>
        <w:br w:type="page"/>
      </w:r>
    </w:p>
    <w:p>
      <w:pPr>
        <w:spacing w:line="600" w:lineRule="exact"/>
        <w:jc w:val="center"/>
        <w:outlineLvl w:val="0"/>
        <w:rPr>
          <w:rStyle w:val="28"/>
          <w:rFonts w:hint="eastAsia" w:ascii="黑体" w:hAnsi="黑体" w:eastAsia="黑体"/>
          <w:b w:val="0"/>
          <w:color w:val="000000" w:themeColor="text1"/>
          <w:spacing w:val="0"/>
          <w:highlight w:val="none"/>
          <w14:textFill>
            <w14:solidFill>
              <w14:schemeClr w14:val="tx1"/>
            </w14:solidFill>
          </w14:textFill>
        </w:rPr>
      </w:pPr>
      <w:r>
        <w:rPr>
          <w:rFonts w:hint="eastAsia" w:ascii="黑体" w:hAnsi="黑体" w:eastAsia="黑体"/>
          <w:color w:val="000000" w:themeColor="text1"/>
          <w:spacing w:val="0"/>
          <w:sz w:val="44"/>
          <w:szCs w:val="44"/>
          <w:highlight w:val="none"/>
          <w14:textFill>
            <w14:solidFill>
              <w14:schemeClr w14:val="tx1"/>
            </w14:solidFill>
          </w14:textFill>
        </w:rPr>
        <w:t>第</w:t>
      </w:r>
      <w:r>
        <w:rPr>
          <w:rStyle w:val="28"/>
          <w:rFonts w:hint="eastAsia" w:ascii="黑体" w:hAnsi="黑体" w:eastAsia="黑体"/>
          <w:b w:val="0"/>
          <w:color w:val="000000" w:themeColor="text1"/>
          <w:spacing w:val="0"/>
          <w:highlight w:val="none"/>
          <w14:textFill>
            <w14:solidFill>
              <w14:schemeClr w14:val="tx1"/>
            </w14:solidFill>
          </w14:textFill>
        </w:rPr>
        <w:t>五部分 附表</w:t>
      </w:r>
      <w:bookmarkEnd w:id="52"/>
      <w:bookmarkEnd w:id="53"/>
      <w:bookmarkStart w:id="54" w:name="_Toc15396619"/>
    </w:p>
    <w:p>
      <w:pPr>
        <w:pStyle w:val="2"/>
        <w:keepNext w:val="0"/>
        <w:keepLines w:val="0"/>
        <w:pageBreakBefore w:val="0"/>
        <w:widowControl w:val="0"/>
        <w:kinsoku/>
        <w:wordWrap/>
        <w:overflowPunct w:val="0"/>
        <w:topLinePunct w:val="0"/>
        <w:autoSpaceDE/>
        <w:autoSpaceDN/>
        <w:bidi w:val="0"/>
        <w:adjustRightInd/>
        <w:snapToGrid/>
        <w:spacing w:after="0" w:line="576" w:lineRule="exact"/>
        <w:textAlignment w:val="auto"/>
        <w:rPr>
          <w:rFonts w:hint="eastAsia"/>
          <w:sz w:val="32"/>
          <w:szCs w:val="32"/>
        </w:rPr>
      </w:pPr>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r>
        <w:rPr>
          <w:rFonts w:hint="eastAsia" w:ascii="仿宋" w:hAnsi="仿宋" w:eastAsia="仿宋_GB2312"/>
          <w:b w:val="0"/>
          <w:color w:val="000000" w:themeColor="text1"/>
          <w:spacing w:val="0"/>
          <w:sz w:val="32"/>
          <w:szCs w:val="32"/>
          <w:highlight w:val="none"/>
          <w14:textFill>
            <w14:solidFill>
              <w14:schemeClr w14:val="tx1"/>
            </w14:solidFill>
          </w14:textFill>
        </w:rPr>
        <w:t>一、收</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入支出决算总表</w:t>
      </w:r>
      <w:bookmarkEnd w:id="54"/>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55" w:name="_Toc15396620"/>
      <w:r>
        <w:rPr>
          <w:rFonts w:hint="eastAsia" w:ascii="仿宋" w:hAnsi="仿宋" w:eastAsia="仿宋_GB2312"/>
          <w:b w:val="0"/>
          <w:color w:val="000000" w:themeColor="text1"/>
          <w:spacing w:val="0"/>
          <w:sz w:val="32"/>
          <w:szCs w:val="32"/>
          <w:highlight w:val="none"/>
          <w14:textFill>
            <w14:solidFill>
              <w14:schemeClr w14:val="tx1"/>
            </w14:solidFill>
          </w14:textFill>
        </w:rPr>
        <w:t>二、收</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入决算表</w:t>
      </w:r>
      <w:bookmarkEnd w:id="55"/>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56" w:name="_Toc15396621"/>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三、</w:t>
      </w:r>
      <w:r>
        <w:rPr>
          <w:rFonts w:hint="eastAsia" w:ascii="仿宋" w:hAnsi="仿宋" w:eastAsia="仿宋_GB2312"/>
          <w:b w:val="0"/>
          <w:color w:val="000000" w:themeColor="text1"/>
          <w:spacing w:val="0"/>
          <w:sz w:val="32"/>
          <w:szCs w:val="32"/>
          <w:highlight w:val="none"/>
          <w14:textFill>
            <w14:solidFill>
              <w14:schemeClr w14:val="tx1"/>
            </w14:solidFill>
          </w14:textFill>
        </w:rPr>
        <w:t>支</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出决算表</w:t>
      </w:r>
      <w:bookmarkEnd w:id="56"/>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b w:val="0"/>
          <w:color w:val="000000" w:themeColor="text1"/>
          <w:spacing w:val="0"/>
          <w:sz w:val="32"/>
          <w:szCs w:val="32"/>
          <w:highlight w:val="none"/>
          <w14:textFill>
            <w14:solidFill>
              <w14:schemeClr w14:val="tx1"/>
            </w14:solidFill>
          </w14:textFill>
        </w:rPr>
      </w:pPr>
      <w:bookmarkStart w:id="57" w:name="_Toc15396622"/>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四、</w:t>
      </w:r>
      <w:r>
        <w:rPr>
          <w:rFonts w:hint="eastAsia" w:ascii="仿宋" w:hAnsi="仿宋" w:eastAsia="仿宋_GB2312"/>
          <w:b w:val="0"/>
          <w:color w:val="000000" w:themeColor="text1"/>
          <w:spacing w:val="0"/>
          <w:sz w:val="32"/>
          <w:szCs w:val="32"/>
          <w:highlight w:val="none"/>
          <w14:textFill>
            <w14:solidFill>
              <w14:schemeClr w14:val="tx1"/>
            </w14:solidFill>
          </w14:textFill>
        </w:rPr>
        <w:t>财</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政拨款收入支出决算总表</w:t>
      </w:r>
      <w:bookmarkEnd w:id="57"/>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Style w:val="29"/>
          <w:rFonts w:ascii="仿宋" w:hAnsi="仿宋" w:eastAsia="仿宋_GB2312"/>
          <w:b w:val="0"/>
          <w:bCs w:val="0"/>
          <w:color w:val="000000" w:themeColor="text1"/>
          <w:spacing w:val="0"/>
          <w:sz w:val="32"/>
          <w:szCs w:val="32"/>
          <w:highlight w:val="none"/>
          <w14:textFill>
            <w14:solidFill>
              <w14:schemeClr w14:val="tx1"/>
            </w14:solidFill>
          </w14:textFill>
        </w:rPr>
      </w:pPr>
      <w:bookmarkStart w:id="58" w:name="_Toc15396623"/>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五、</w:t>
      </w:r>
      <w:r>
        <w:rPr>
          <w:rFonts w:hint="eastAsia" w:ascii="仿宋" w:hAnsi="仿宋" w:eastAsia="仿宋_GB2312"/>
          <w:b w:val="0"/>
          <w:color w:val="000000" w:themeColor="text1"/>
          <w:spacing w:val="0"/>
          <w:sz w:val="32"/>
          <w:szCs w:val="32"/>
          <w:highlight w:val="none"/>
          <w14:textFill>
            <w14:solidFill>
              <w14:schemeClr w14:val="tx1"/>
            </w14:solidFill>
          </w14:textFill>
        </w:rPr>
        <w:t>财</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政拨款支出决算明细表</w:t>
      </w:r>
      <w:bookmarkEnd w:id="58"/>
      <w:bookmarkStart w:id="59" w:name="_Toc15396624"/>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六、</w:t>
      </w:r>
      <w:r>
        <w:rPr>
          <w:rFonts w:hint="eastAsia" w:ascii="仿宋" w:hAnsi="仿宋" w:eastAsia="仿宋_GB2312"/>
          <w:b w:val="0"/>
          <w:color w:val="000000" w:themeColor="text1"/>
          <w:spacing w:val="0"/>
          <w:sz w:val="32"/>
          <w:szCs w:val="32"/>
          <w:highlight w:val="none"/>
          <w14:textFill>
            <w14:solidFill>
              <w14:schemeClr w14:val="tx1"/>
            </w14:solidFill>
          </w14:textFill>
        </w:rPr>
        <w:t>一</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般公共预算财政拨款支出决算表</w:t>
      </w:r>
      <w:bookmarkEnd w:id="59"/>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0" w:name="_Toc15396625"/>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七、</w:t>
      </w:r>
      <w:r>
        <w:rPr>
          <w:rFonts w:hint="eastAsia" w:ascii="仿宋" w:hAnsi="仿宋" w:eastAsia="仿宋_GB2312"/>
          <w:b w:val="0"/>
          <w:color w:val="000000" w:themeColor="text1"/>
          <w:spacing w:val="0"/>
          <w:sz w:val="32"/>
          <w:szCs w:val="32"/>
          <w:highlight w:val="none"/>
          <w14:textFill>
            <w14:solidFill>
              <w14:schemeClr w14:val="tx1"/>
            </w14:solidFill>
          </w14:textFill>
        </w:rPr>
        <w:t>一</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般公共预算财政拨款支出决算明细表</w:t>
      </w:r>
      <w:bookmarkEnd w:id="60"/>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1" w:name="_Toc15396626"/>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八、</w:t>
      </w:r>
      <w:r>
        <w:rPr>
          <w:rFonts w:hint="eastAsia" w:ascii="仿宋" w:hAnsi="仿宋" w:eastAsia="仿宋_GB2312"/>
          <w:b w:val="0"/>
          <w:color w:val="000000" w:themeColor="text1"/>
          <w:spacing w:val="0"/>
          <w:sz w:val="32"/>
          <w:szCs w:val="32"/>
          <w:highlight w:val="none"/>
          <w14:textFill>
            <w14:solidFill>
              <w14:schemeClr w14:val="tx1"/>
            </w14:solidFill>
          </w14:textFill>
        </w:rPr>
        <w:t>一</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般公共预算财政拨款基本支出决算表</w:t>
      </w:r>
      <w:bookmarkEnd w:id="61"/>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2" w:name="_Toc15396627"/>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九、</w:t>
      </w:r>
      <w:r>
        <w:rPr>
          <w:rFonts w:hint="eastAsia" w:ascii="仿宋" w:hAnsi="仿宋" w:eastAsia="仿宋_GB2312"/>
          <w:b w:val="0"/>
          <w:color w:val="000000" w:themeColor="text1"/>
          <w:spacing w:val="0"/>
          <w:sz w:val="32"/>
          <w:szCs w:val="32"/>
          <w:highlight w:val="none"/>
          <w14:textFill>
            <w14:solidFill>
              <w14:schemeClr w14:val="tx1"/>
            </w14:solidFill>
          </w14:textFill>
        </w:rPr>
        <w:t>一</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般公共预算财政拨款项目支出决算表</w:t>
      </w:r>
      <w:bookmarkEnd w:id="62"/>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3" w:name="_Toc15396628"/>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十、</w:t>
      </w:r>
      <w:bookmarkEnd w:id="63"/>
      <w:r>
        <w:rPr>
          <w:rFonts w:hint="eastAsia" w:ascii="仿宋" w:hAnsi="仿宋" w:eastAsia="仿宋_GB2312"/>
          <w:b w:val="0"/>
          <w:color w:val="000000" w:themeColor="text1"/>
          <w:spacing w:val="0"/>
          <w:sz w:val="32"/>
          <w:szCs w:val="32"/>
          <w:highlight w:val="none"/>
          <w14:textFill>
            <w14:solidFill>
              <w14:schemeClr w14:val="tx1"/>
            </w14:solidFill>
          </w14:textFill>
        </w:rPr>
        <w:t>政</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府性基金预算财政拨款收入支出决算表</w:t>
      </w:r>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4" w:name="_Toc15396629"/>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十一、</w:t>
      </w:r>
      <w:bookmarkEnd w:id="64"/>
      <w:r>
        <w:rPr>
          <w:rFonts w:hint="eastAsia" w:ascii="仿宋" w:hAnsi="仿宋" w:eastAsia="仿宋_GB2312"/>
          <w:b w:val="0"/>
          <w:color w:val="000000" w:themeColor="text1"/>
          <w:spacing w:val="0"/>
          <w:sz w:val="32"/>
          <w:szCs w:val="32"/>
          <w:highlight w:val="none"/>
          <w14:textFill>
            <w14:solidFill>
              <w14:schemeClr w14:val="tx1"/>
            </w14:solidFill>
          </w14:textFill>
        </w:rPr>
        <w:t>国</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有资本经营预算</w:t>
      </w:r>
      <w:r>
        <w:rPr>
          <w:rStyle w:val="29"/>
          <w:rFonts w:hint="eastAsia" w:ascii="仿宋" w:hAnsi="仿宋" w:eastAsia="仿宋_GB2312"/>
          <w:b w:val="0"/>
          <w:bCs w:val="0"/>
          <w:color w:val="000000" w:themeColor="text1"/>
          <w:spacing w:val="0"/>
          <w:sz w:val="32"/>
          <w:szCs w:val="32"/>
          <w:highlight w:val="none"/>
          <w:lang w:eastAsia="zh-CN"/>
          <w14:textFill>
            <w14:solidFill>
              <w14:schemeClr w14:val="tx1"/>
            </w14:solidFill>
          </w14:textFill>
        </w:rPr>
        <w:t>财政拨款收入</w:t>
      </w:r>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支出决算表</w:t>
      </w:r>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ascii="仿宋" w:hAnsi="仿宋" w:eastAsia="仿宋_GB2312"/>
          <w:color w:val="000000" w:themeColor="text1"/>
          <w:spacing w:val="0"/>
          <w:sz w:val="32"/>
          <w:szCs w:val="32"/>
          <w:highlight w:val="none"/>
          <w14:textFill>
            <w14:solidFill>
              <w14:schemeClr w14:val="tx1"/>
            </w14:solidFill>
          </w14:textFill>
        </w:rPr>
      </w:pPr>
      <w:bookmarkStart w:id="65" w:name="_Toc15396630"/>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十二、</w:t>
      </w:r>
      <w:bookmarkEnd w:id="65"/>
      <w:r>
        <w:rPr>
          <w:rStyle w:val="29"/>
          <w:rFonts w:hint="eastAsia" w:ascii="仿宋" w:hAnsi="仿宋" w:eastAsia="仿宋_GB2312"/>
          <w:b w:val="0"/>
          <w:bCs w:val="0"/>
          <w:color w:val="000000" w:themeColor="text1"/>
          <w:spacing w:val="0"/>
          <w:sz w:val="32"/>
          <w:szCs w:val="32"/>
          <w:highlight w:val="none"/>
          <w:lang w:eastAsia="zh-CN"/>
          <w14:textFill>
            <w14:solidFill>
              <w14:schemeClr w14:val="tx1"/>
            </w14:solidFill>
          </w14:textFill>
        </w:rPr>
        <w:t>国有资本经营预算财政拨款支出决算表</w:t>
      </w:r>
    </w:p>
    <w:p>
      <w:pPr>
        <w:pStyle w:val="5"/>
        <w:keepNext w:val="0"/>
        <w:keepLines w:val="0"/>
        <w:pageBreakBefore w:val="0"/>
        <w:widowControl w:val="0"/>
        <w:kinsoku/>
        <w:wordWrap/>
        <w:overflowPunct w:val="0"/>
        <w:topLinePunct w:val="0"/>
        <w:autoSpaceDE/>
        <w:autoSpaceDN/>
        <w:bidi w:val="0"/>
        <w:adjustRightInd/>
        <w:snapToGrid/>
        <w:spacing w:before="0" w:after="0" w:line="576" w:lineRule="exact"/>
        <w:textAlignment w:val="auto"/>
        <w:rPr>
          <w:rFonts w:hint="eastAsia" w:eastAsia="仿宋_GB2312"/>
          <w:color w:val="000000" w:themeColor="text1"/>
          <w:spacing w:val="0"/>
          <w:sz w:val="32"/>
          <w:szCs w:val="32"/>
          <w:highlight w:val="none"/>
          <w:lang w:eastAsia="zh-CN"/>
          <w14:textFill>
            <w14:solidFill>
              <w14:schemeClr w14:val="tx1"/>
            </w14:solidFill>
          </w14:textFill>
        </w:rPr>
      </w:pPr>
      <w:bookmarkStart w:id="66" w:name="_Toc15396631"/>
      <w:r>
        <w:rPr>
          <w:rStyle w:val="29"/>
          <w:rFonts w:hint="eastAsia" w:ascii="仿宋" w:hAnsi="仿宋" w:eastAsia="仿宋_GB2312"/>
          <w:b w:val="0"/>
          <w:bCs w:val="0"/>
          <w:color w:val="000000" w:themeColor="text1"/>
          <w:spacing w:val="0"/>
          <w:sz w:val="32"/>
          <w:szCs w:val="32"/>
          <w:highlight w:val="none"/>
          <w14:textFill>
            <w14:solidFill>
              <w14:schemeClr w14:val="tx1"/>
            </w14:solidFill>
          </w14:textFill>
        </w:rPr>
        <w:t>十三、</w:t>
      </w:r>
      <w:bookmarkEnd w:id="66"/>
      <w:r>
        <w:rPr>
          <w:rStyle w:val="29"/>
          <w:rFonts w:hint="eastAsia" w:ascii="仿宋" w:hAnsi="仿宋" w:eastAsia="仿宋_GB2312"/>
          <w:b w:val="0"/>
          <w:bCs w:val="0"/>
          <w:color w:val="000000" w:themeColor="text1"/>
          <w:spacing w:val="0"/>
          <w:sz w:val="32"/>
          <w:szCs w:val="32"/>
          <w:highlight w:val="none"/>
          <w:lang w:eastAsia="zh-CN"/>
          <w14:textFill>
            <w14:solidFill>
              <w14:schemeClr w14:val="tx1"/>
            </w14:solidFill>
          </w14:textFill>
        </w:rPr>
        <w:t>财政拨款“三公”经费支出决算表</w:t>
      </w:r>
    </w:p>
    <w:sectPr>
      <w:footerReference r:id="rId10" w:type="first"/>
      <w:headerReference r:id="rId8" w:type="default"/>
      <w:footerReference r:id="rId9" w:type="default"/>
      <w:pgSz w:w="11906" w:h="16838"/>
      <w:pgMar w:top="2098" w:right="1474" w:bottom="1984" w:left="1587" w:header="850" w:footer="1587" w:gutter="0"/>
      <w:pgBorders>
        <w:top w:val="none" w:sz="0" w:space="0"/>
        <w:left w:val="none" w:sz="0" w:space="0"/>
        <w:bottom w:val="none" w:sz="0" w:space="0"/>
        <w:right w:val="none" w:sz="0" w:space="0"/>
      </w:pgBorders>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eastAsia="仿宋_GB2312"/>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仿宋_GB2312" w:asciiTheme="majorEastAsia" w:hAnsiTheme="majorEastAsia" w:cstheme="majorEastAsia"/>
                              <w:sz w:val="28"/>
                              <w:szCs w:val="28"/>
                              <w:lang w:eastAsia="zh-CN"/>
                            </w:rPr>
                          </w:pPr>
                          <w:r>
                            <w:rPr>
                              <w:rFonts w:hint="eastAsia" w:eastAsia="仿宋_GB2312" w:asciiTheme="majorEastAsia" w:hAnsiTheme="majorEastAsia" w:cstheme="majorEastAsia"/>
                              <w:sz w:val="28"/>
                              <w:szCs w:val="28"/>
                              <w:lang w:eastAsia="zh-CN"/>
                            </w:rPr>
                            <w:t xml:space="preserve">— </w:t>
                          </w:r>
                          <w:r>
                            <w:rPr>
                              <w:rFonts w:hint="eastAsia" w:eastAsia="仿宋_GB2312" w:asciiTheme="majorEastAsia" w:hAnsiTheme="majorEastAsia" w:cstheme="majorEastAsia"/>
                              <w:sz w:val="28"/>
                              <w:szCs w:val="28"/>
                              <w:lang w:eastAsia="zh-CN"/>
                            </w:rPr>
                            <w:fldChar w:fldCharType="begin"/>
                          </w:r>
                          <w:r>
                            <w:rPr>
                              <w:rFonts w:hint="eastAsia" w:eastAsia="仿宋_GB2312" w:asciiTheme="majorEastAsia" w:hAnsiTheme="majorEastAsia" w:cstheme="majorEastAsia"/>
                              <w:sz w:val="28"/>
                              <w:szCs w:val="28"/>
                              <w:lang w:eastAsia="zh-CN"/>
                            </w:rPr>
                            <w:instrText xml:space="preserve"> PAGE  \* MERGEFORMAT </w:instrText>
                          </w:r>
                          <w:r>
                            <w:rPr>
                              <w:rFonts w:hint="eastAsia" w:eastAsia="仿宋_GB2312" w:asciiTheme="majorEastAsia" w:hAnsiTheme="majorEastAsia" w:cstheme="majorEastAsia"/>
                              <w:sz w:val="28"/>
                              <w:szCs w:val="28"/>
                              <w:lang w:eastAsia="zh-CN"/>
                            </w:rPr>
                            <w:fldChar w:fldCharType="separate"/>
                          </w:r>
                          <w:r>
                            <w:rPr>
                              <w:rFonts w:hint="eastAsia" w:eastAsia="仿宋_GB2312" w:asciiTheme="majorEastAsia" w:hAnsiTheme="majorEastAsia" w:cstheme="majorEastAsia"/>
                              <w:sz w:val="28"/>
                              <w:szCs w:val="28"/>
                              <w:lang w:eastAsia="zh-CN"/>
                            </w:rPr>
                            <w:t>1</w:t>
                          </w:r>
                          <w:r>
                            <w:rPr>
                              <w:rFonts w:hint="eastAsia" w:eastAsia="仿宋_GB2312" w:asciiTheme="majorEastAsia" w:hAnsiTheme="majorEastAsia" w:cstheme="majorEastAsia"/>
                              <w:sz w:val="28"/>
                              <w:szCs w:val="28"/>
                              <w:lang w:eastAsia="zh-CN"/>
                            </w:rPr>
                            <w:fldChar w:fldCharType="end"/>
                          </w:r>
                          <w:r>
                            <w:rPr>
                              <w:rFonts w:hint="eastAsia" w:eastAsia="仿宋_GB2312" w:asciiTheme="majorEastAsia" w:hAnsiTheme="majorEastAsia" w:cstheme="majorEastAsia"/>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仿宋_GB2312" w:asciiTheme="majorEastAsia" w:hAnsiTheme="majorEastAsia" w:cstheme="majorEastAsia"/>
                        <w:sz w:val="28"/>
                        <w:szCs w:val="28"/>
                        <w:lang w:eastAsia="zh-CN"/>
                      </w:rPr>
                    </w:pPr>
                    <w:r>
                      <w:rPr>
                        <w:rFonts w:hint="eastAsia" w:eastAsia="仿宋_GB2312" w:asciiTheme="majorEastAsia" w:hAnsiTheme="majorEastAsia" w:cstheme="majorEastAsia"/>
                        <w:sz w:val="28"/>
                        <w:szCs w:val="28"/>
                        <w:lang w:eastAsia="zh-CN"/>
                      </w:rPr>
                      <w:t xml:space="preserve">— </w:t>
                    </w:r>
                    <w:r>
                      <w:rPr>
                        <w:rFonts w:hint="eastAsia" w:eastAsia="仿宋_GB2312" w:asciiTheme="majorEastAsia" w:hAnsiTheme="majorEastAsia" w:cstheme="majorEastAsia"/>
                        <w:sz w:val="28"/>
                        <w:szCs w:val="28"/>
                        <w:lang w:eastAsia="zh-CN"/>
                      </w:rPr>
                      <w:fldChar w:fldCharType="begin"/>
                    </w:r>
                    <w:r>
                      <w:rPr>
                        <w:rFonts w:hint="eastAsia" w:eastAsia="仿宋_GB2312" w:asciiTheme="majorEastAsia" w:hAnsiTheme="majorEastAsia" w:cstheme="majorEastAsia"/>
                        <w:sz w:val="28"/>
                        <w:szCs w:val="28"/>
                        <w:lang w:eastAsia="zh-CN"/>
                      </w:rPr>
                      <w:instrText xml:space="preserve"> PAGE  \* MERGEFORMAT </w:instrText>
                    </w:r>
                    <w:r>
                      <w:rPr>
                        <w:rFonts w:hint="eastAsia" w:eastAsia="仿宋_GB2312" w:asciiTheme="majorEastAsia" w:hAnsiTheme="majorEastAsia" w:cstheme="majorEastAsia"/>
                        <w:sz w:val="28"/>
                        <w:szCs w:val="28"/>
                        <w:lang w:eastAsia="zh-CN"/>
                      </w:rPr>
                      <w:fldChar w:fldCharType="separate"/>
                    </w:r>
                    <w:r>
                      <w:rPr>
                        <w:rFonts w:hint="eastAsia" w:eastAsia="仿宋_GB2312" w:asciiTheme="majorEastAsia" w:hAnsiTheme="majorEastAsia" w:cstheme="majorEastAsia"/>
                        <w:sz w:val="28"/>
                        <w:szCs w:val="28"/>
                        <w:lang w:eastAsia="zh-CN"/>
                      </w:rPr>
                      <w:t>1</w:t>
                    </w:r>
                    <w:r>
                      <w:rPr>
                        <w:rFonts w:hint="eastAsia" w:eastAsia="仿宋_GB2312" w:asciiTheme="majorEastAsia" w:hAnsiTheme="majorEastAsia" w:cstheme="majorEastAsia"/>
                        <w:sz w:val="28"/>
                        <w:szCs w:val="28"/>
                        <w:lang w:eastAsia="zh-CN"/>
                      </w:rPr>
                      <w:fldChar w:fldCharType="end"/>
                    </w:r>
                    <w:r>
                      <w:rPr>
                        <w:rFonts w:hint="eastAsia" w:eastAsia="仿宋_GB2312" w:asciiTheme="majorEastAsia" w:hAnsiTheme="majorEastAsia" w:cstheme="majorEastAsia"/>
                        <w:sz w:val="28"/>
                        <w:szCs w:val="28"/>
                        <w:lang w:eastAsia="zh-CN"/>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bidi w:val="0"/>
                            <w:adjustRightInd/>
                            <w:snapToGrid w:val="0"/>
                            <w:ind w:left="210" w:leftChars="100" w:right="210" w:rightChars="1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bidi w:val="0"/>
                      <w:adjustRightInd/>
                      <w:snapToGrid w:val="0"/>
                      <w:ind w:left="210" w:leftChars="100" w:right="210" w:rightChars="1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bidi w:val="0"/>
                            <w:adjustRightInd/>
                            <w:snapToGrid w:val="0"/>
                            <w:ind w:left="210" w:leftChars="100" w:right="210" w:rightChars="1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bidi w:val="0"/>
                      <w:adjustRightInd/>
                      <w:snapToGrid w:val="0"/>
                      <w:ind w:left="210" w:leftChars="100" w:right="210" w:rightChars="1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939D98"/>
    <w:multiLevelType w:val="singleLevel"/>
    <w:tmpl w:val="C7939D98"/>
    <w:lvl w:ilvl="0" w:tentative="0">
      <w:start w:val="1"/>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31577F91"/>
    <w:multiLevelType w:val="singleLevel"/>
    <w:tmpl w:val="31577F91"/>
    <w:lvl w:ilvl="0" w:tentative="0">
      <w:start w:val="1"/>
      <w:numFmt w:val="chineseCounting"/>
      <w:suff w:val="space"/>
      <w:lvlText w:val="第%1部分"/>
      <w:lvlJc w:val="left"/>
      <w:rPr>
        <w:rFonts w:hint="eastAsia"/>
      </w:rPr>
    </w:lvl>
  </w:abstractNum>
  <w:abstractNum w:abstractNumId="4">
    <w:nsid w:val="5EA99F7E"/>
    <w:multiLevelType w:val="singleLevel"/>
    <w:tmpl w:val="5EA99F7E"/>
    <w:lvl w:ilvl="0" w:tentative="0">
      <w:start w:val="3"/>
      <w:numFmt w:val="chineseCounting"/>
      <w:suff w:val="nothing"/>
      <w:lvlText w:val="%1、"/>
      <w:lvlJc w:val="left"/>
      <w:rPr>
        <w:rFonts w:hint="eastAsia"/>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143E91"/>
    <w:rsid w:val="066E0107"/>
    <w:rsid w:val="06726EFB"/>
    <w:rsid w:val="07996F6E"/>
    <w:rsid w:val="0A2032A3"/>
    <w:rsid w:val="0BBA2C84"/>
    <w:rsid w:val="0F98263C"/>
    <w:rsid w:val="101860EC"/>
    <w:rsid w:val="105E5ADF"/>
    <w:rsid w:val="10C055FF"/>
    <w:rsid w:val="118107EC"/>
    <w:rsid w:val="13D50BC4"/>
    <w:rsid w:val="16BB723D"/>
    <w:rsid w:val="17AB1B1A"/>
    <w:rsid w:val="194E7425"/>
    <w:rsid w:val="1BE8440E"/>
    <w:rsid w:val="1D155CEE"/>
    <w:rsid w:val="1FC1672E"/>
    <w:rsid w:val="1FF35744"/>
    <w:rsid w:val="23860B96"/>
    <w:rsid w:val="240371BF"/>
    <w:rsid w:val="2608699C"/>
    <w:rsid w:val="29FD04D3"/>
    <w:rsid w:val="2C8A61B5"/>
    <w:rsid w:val="2DF04E50"/>
    <w:rsid w:val="2F040D46"/>
    <w:rsid w:val="30110A30"/>
    <w:rsid w:val="319F7F4E"/>
    <w:rsid w:val="3304709D"/>
    <w:rsid w:val="34AF6AD4"/>
    <w:rsid w:val="36AA5135"/>
    <w:rsid w:val="376D39B2"/>
    <w:rsid w:val="37E16F03"/>
    <w:rsid w:val="3879661F"/>
    <w:rsid w:val="38D469F0"/>
    <w:rsid w:val="3D7A4E86"/>
    <w:rsid w:val="3D98207C"/>
    <w:rsid w:val="3E78745D"/>
    <w:rsid w:val="40D8548F"/>
    <w:rsid w:val="44E268DA"/>
    <w:rsid w:val="453C7C06"/>
    <w:rsid w:val="47DD3140"/>
    <w:rsid w:val="485D2922"/>
    <w:rsid w:val="49D210BA"/>
    <w:rsid w:val="4A627F82"/>
    <w:rsid w:val="4B0E749A"/>
    <w:rsid w:val="4B4F25DA"/>
    <w:rsid w:val="4BE068DB"/>
    <w:rsid w:val="4D577224"/>
    <w:rsid w:val="4EAB630A"/>
    <w:rsid w:val="4ECE2238"/>
    <w:rsid w:val="4F115E3F"/>
    <w:rsid w:val="51B8633F"/>
    <w:rsid w:val="5235451F"/>
    <w:rsid w:val="52D70E4D"/>
    <w:rsid w:val="535652AE"/>
    <w:rsid w:val="537E6D0A"/>
    <w:rsid w:val="560D4601"/>
    <w:rsid w:val="564429FF"/>
    <w:rsid w:val="57C27028"/>
    <w:rsid w:val="5AF92295"/>
    <w:rsid w:val="5CD71FC4"/>
    <w:rsid w:val="62556D8B"/>
    <w:rsid w:val="63994545"/>
    <w:rsid w:val="63E41081"/>
    <w:rsid w:val="681160EF"/>
    <w:rsid w:val="68A76AB2"/>
    <w:rsid w:val="6C4A05C8"/>
    <w:rsid w:val="6E6708CE"/>
    <w:rsid w:val="6E7E3605"/>
    <w:rsid w:val="6FF5CC65"/>
    <w:rsid w:val="715C0E4B"/>
    <w:rsid w:val="72734D90"/>
    <w:rsid w:val="73AD73D5"/>
    <w:rsid w:val="73B6EB34"/>
    <w:rsid w:val="744731E5"/>
    <w:rsid w:val="76E3355F"/>
    <w:rsid w:val="778769C8"/>
    <w:rsid w:val="78F65199"/>
    <w:rsid w:val="79610156"/>
    <w:rsid w:val="79EE5BA4"/>
    <w:rsid w:val="7A894339"/>
    <w:rsid w:val="7C9C5BA5"/>
    <w:rsid w:val="7E2A2B5D"/>
    <w:rsid w:val="7EEF11D3"/>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qFormat/>
    <w:uiPriority w:val="0"/>
    <w:pPr>
      <w:spacing w:after="120"/>
      <w:ind w:leftChars="200"/>
    </w:pPr>
    <w:rPr>
      <w:rFonts w:ascii="仿宋_GB2312"/>
      <w:szCs w:val="32"/>
    </w:rPr>
  </w:style>
  <w:style w:type="paragraph" w:styleId="7">
    <w:name w:val="Salutation"/>
    <w:basedOn w:val="1"/>
    <w:next w:val="1"/>
    <w:qFormat/>
    <w:uiPriority w:val="99"/>
  </w:style>
  <w:style w:type="paragraph" w:styleId="8">
    <w:name w:val="Body Text"/>
    <w:basedOn w:val="1"/>
    <w:next w:val="1"/>
    <w:link w:val="25"/>
    <w:qFormat/>
    <w:uiPriority w:val="99"/>
    <w:pPr>
      <w:spacing w:beforeLines="30"/>
    </w:pPr>
    <w:rPr>
      <w:rFonts w:ascii="仿宋_GB2312" w:eastAsia="仿宋_GB2312"/>
      <w:kern w:val="0"/>
      <w:sz w:val="30"/>
    </w:r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1"/>
    <w:semiHidden/>
    <w:unhideWhenUsed/>
    <w:qFormat/>
    <w:uiPriority w:val="99"/>
    <w:rPr>
      <w:sz w:val="18"/>
      <w:szCs w:val="18"/>
    </w:rPr>
  </w:style>
  <w:style w:type="paragraph" w:styleId="11">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2"/>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11"/>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8"/>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4"/>
    <w:qFormat/>
    <w:uiPriority w:val="9"/>
    <w:rPr>
      <w:rFonts w:ascii="Times New Roman" w:hAnsi="Times New Roman"/>
      <w:b/>
      <w:bCs/>
      <w:kern w:val="44"/>
      <w:sz w:val="44"/>
      <w:szCs w:val="44"/>
    </w:rPr>
  </w:style>
  <w:style w:type="character" w:customStyle="1" w:styleId="29">
    <w:name w:val="标题 2 Char"/>
    <w:basedOn w:val="16"/>
    <w:link w:val="5"/>
    <w:qFormat/>
    <w:uiPriority w:val="9"/>
    <w:rPr>
      <w:rFonts w:asciiTheme="majorHAnsi" w:hAnsiTheme="majorHAnsi" w:eastAsiaTheme="majorEastAsia" w:cstheme="majorBidi"/>
      <w:b/>
      <w:bCs/>
      <w:kern w:val="2"/>
      <w:sz w:val="32"/>
      <w:szCs w:val="32"/>
    </w:rPr>
  </w:style>
  <w:style w:type="paragraph" w:customStyle="1" w:styleId="30">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6"/>
    <w:link w:val="10"/>
    <w:semiHidden/>
    <w:qFormat/>
    <w:uiPriority w:val="99"/>
    <w:rPr>
      <w:rFonts w:ascii="Times New Roman" w:hAnsi="Times New Roman"/>
      <w:kern w:val="2"/>
      <w:sz w:val="18"/>
      <w:szCs w:val="18"/>
    </w:rPr>
  </w:style>
  <w:style w:type="character" w:customStyle="1" w:styleId="32">
    <w:name w:val="标题 3 Char"/>
    <w:basedOn w:val="16"/>
    <w:link w:val="6"/>
    <w:qFormat/>
    <w:uiPriority w:val="9"/>
    <w:rPr>
      <w:rFonts w:ascii="Times New Roman" w:hAnsi="Times New Roman"/>
      <w:b/>
      <w:bCs/>
      <w:kern w:val="2"/>
      <w:sz w:val="32"/>
      <w:szCs w:val="32"/>
    </w:rPr>
  </w:style>
  <w:style w:type="paragraph" w:customStyle="1" w:styleId="33">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eastAsia="宋体"/>
      <w:color w:val="000000"/>
      <w:kern w:val="0"/>
      <w:sz w:val="28"/>
      <w:szCs w:val="21"/>
      <w:lang w:val="zh-CN" w:eastAsia="zh-CN"/>
    </w:rPr>
  </w:style>
  <w:style w:type="character" w:customStyle="1" w:styleId="35">
    <w:name w:val="font31"/>
    <w:basedOn w:val="16"/>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59</Pages>
  <Words>27679</Words>
  <Characters>29075</Characters>
  <Lines>61</Lines>
  <Paragraphs>17</Paragraphs>
  <TotalTime>102</TotalTime>
  <ScaleCrop>false</ScaleCrop>
  <LinksUpToDate>false</LinksUpToDate>
  <CharactersWithSpaces>29147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DELL</cp:lastModifiedBy>
  <cp:lastPrinted>2023-07-31T02:35:00Z</cp:lastPrinted>
  <dcterms:modified xsi:type="dcterms:W3CDTF">2023-09-28T11:01:21Z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AF3584A0A207413785809E2223004C72_13</vt:lpwstr>
  </property>
</Properties>
</file>