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auto"/>
          <w:sz w:val="72"/>
          <w:szCs w:val="72"/>
          <w:highlight w:val="none"/>
        </w:rPr>
      </w:pPr>
      <w:bookmarkStart w:id="0" w:name="_Toc15377193"/>
      <w:bookmarkStart w:id="1" w:name="_Toc15378441"/>
      <w:bookmarkStart w:id="2" w:name="_Toc15306267"/>
      <w:bookmarkStart w:id="3" w:name="_Toc15396475"/>
      <w:bookmarkStart w:id="4" w:name="_Toc15377425"/>
      <w:bookmarkStart w:id="5" w:name="_Toc1539659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5"/>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color w:val="auto"/>
          <w:sz w:val="66"/>
          <w:szCs w:val="66"/>
          <w:highlight w:val="none"/>
        </w:rPr>
      </w:pPr>
      <w:bookmarkStart w:id="6" w:name="_Toc15396598"/>
      <w:bookmarkStart w:id="7" w:name="_Toc15306268"/>
      <w:bookmarkStart w:id="8" w:name="_Toc15377194"/>
      <w:bookmarkStart w:id="9" w:name="_Toc15396476"/>
      <w:bookmarkStart w:id="10" w:name="_Toc15377426"/>
      <w:bookmarkStart w:id="11" w:name="_Toc15378442"/>
      <w:r>
        <w:rPr>
          <w:rFonts w:hint="eastAsia" w:ascii="方正小标宋简体" w:hAnsi="方正小标宋简体" w:eastAsia="方正小标宋简体" w:cs="方正小标宋简体"/>
          <w:color w:val="auto"/>
          <w:sz w:val="66"/>
          <w:szCs w:val="66"/>
          <w:highlight w:val="none"/>
        </w:rPr>
        <w:t>中共四川省广元市昭化区委</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color w:val="auto"/>
          <w:sz w:val="66"/>
          <w:szCs w:val="66"/>
          <w:highlight w:val="none"/>
        </w:rPr>
      </w:pPr>
      <w:r>
        <w:rPr>
          <w:rFonts w:hint="eastAsia" w:ascii="方正小标宋简体" w:hAnsi="方正小标宋简体" w:eastAsia="方正小标宋简体" w:cs="方正小标宋简体"/>
          <w:color w:val="auto"/>
          <w:sz w:val="66"/>
          <w:szCs w:val="66"/>
          <w:highlight w:val="none"/>
        </w:rPr>
        <w:t>机构编制委员会办公室</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0"/>
        <w:rPr>
          <w:rFonts w:hint="eastAsia" w:ascii="方正小标宋简体" w:hAnsi="方正小标宋简体" w:eastAsia="方正小标宋简体" w:cs="方正小标宋简体"/>
          <w:color w:val="auto"/>
          <w:sz w:val="66"/>
          <w:szCs w:val="66"/>
          <w:highlight w:val="none"/>
        </w:rPr>
        <w:sectPr>
          <w:footerReference r:id="rId4" w:type="first"/>
          <w:headerReference r:id="rId3" w:type="default"/>
          <w:pgSz w:w="11905" w:h="16838"/>
          <w:pgMar w:top="2098" w:right="1474" w:bottom="1984" w:left="1587" w:header="850" w:footer="1531" w:gutter="0"/>
          <w:pgNumType w:fmt="decimal" w:start="1"/>
          <w:cols w:space="0" w:num="1"/>
          <w:rtlGutter w:val="0"/>
          <w:docGrid w:linePitch="312" w:charSpace="0"/>
        </w:sectPr>
      </w:pPr>
      <w:r>
        <w:rPr>
          <w:rFonts w:hint="eastAsia" w:ascii="方正小标宋简体" w:hAnsi="方正小标宋简体" w:eastAsia="方正小标宋简体" w:cs="方正小标宋简体"/>
          <w:color w:val="auto"/>
          <w:sz w:val="66"/>
          <w:szCs w:val="66"/>
          <w:highlight w:val="none"/>
        </w:rPr>
        <w:t>部门决算</w:t>
      </w:r>
      <w:bookmarkEnd w:id="6"/>
      <w:bookmarkEnd w:id="7"/>
      <w:bookmarkEnd w:id="8"/>
      <w:bookmarkEnd w:id="9"/>
      <w:bookmarkEnd w:id="10"/>
      <w:bookmarkEnd w:id="11"/>
    </w:p>
    <w:p>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outlineLvl w:val="0"/>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color w:val="auto"/>
          <w:sz w:val="44"/>
          <w:szCs w:val="44"/>
          <w:highlight w:val="none"/>
        </w:rPr>
        <w:t>目</w:t>
      </w:r>
      <w:r>
        <w:rPr>
          <w:rFonts w:hint="eastAsia" w:ascii="方正小标宋_GBK" w:hAnsi="方正小标宋_GBK" w:eastAsia="方正小标宋_GBK" w:cs="方正小标宋_GBK"/>
          <w:color w:val="auto"/>
          <w:sz w:val="44"/>
          <w:szCs w:val="44"/>
          <w:highlight w:val="none"/>
          <w:lang w:val="en-US" w:eastAsia="zh-CN"/>
        </w:rPr>
        <w:t xml:space="preserve">        </w:t>
      </w:r>
      <w:r>
        <w:rPr>
          <w:rFonts w:hint="eastAsia" w:ascii="方正小标宋_GBK" w:hAnsi="方正小标宋_GBK" w:eastAsia="方正小标宋_GBK" w:cs="方正小标宋_GBK"/>
          <w:color w:val="auto"/>
          <w:sz w:val="44"/>
          <w:szCs w:val="44"/>
          <w:highlight w:val="none"/>
        </w:rPr>
        <w:t>录</w:t>
      </w:r>
    </w:p>
    <w:p>
      <w:pPr>
        <w:keepNext w:val="0"/>
        <w:keepLines w:val="0"/>
        <w:pageBreakBefore w:val="0"/>
        <w:widowControl/>
        <w:kinsoku/>
        <w:wordWrap/>
        <w:overflowPunct/>
        <w:topLinePunct w:val="0"/>
        <w:autoSpaceDE/>
        <w:autoSpaceDN/>
        <w:bidi w:val="0"/>
        <w:spacing w:line="576" w:lineRule="exact"/>
        <w:jc w:val="center"/>
        <w:textAlignment w:val="auto"/>
        <w:rPr>
          <w:rFonts w:ascii="黑体" w:hAnsi="黑体" w:eastAsia="黑体" w:cstheme="minorBidi"/>
          <w:color w:val="auto"/>
          <w:sz w:val="28"/>
          <w:szCs w:val="28"/>
          <w:highlight w:val="none"/>
        </w:rPr>
      </w:pPr>
    </w:p>
    <w:p>
      <w:pPr>
        <w:pStyle w:val="13"/>
        <w:keepNext w:val="0"/>
        <w:keepLines w:val="0"/>
        <w:pageBreakBefore w:val="0"/>
        <w:kinsoku/>
        <w:wordWrap/>
        <w:overflowPunct/>
        <w:topLinePunct w:val="0"/>
        <w:autoSpaceDE/>
        <w:autoSpaceDN/>
        <w:bidi w:val="0"/>
        <w:spacing w:before="0" w:line="576" w:lineRule="exac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公开时间：20</w:t>
      </w:r>
      <w:r>
        <w:rPr>
          <w:rFonts w:hint="default" w:ascii="Times New Roman" w:hAnsi="Times New Roman" w:eastAsia="仿宋_GB2312" w:cs="Times New Roman"/>
          <w:color w:val="auto"/>
          <w:sz w:val="32"/>
          <w:szCs w:val="32"/>
          <w:highlight w:val="none"/>
          <w:lang w:val="en-US" w:eastAsia="zh-CN"/>
        </w:rPr>
        <w:t>23</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lang w:val="en-US" w:eastAsia="zh-CN"/>
        </w:rPr>
        <w:t>25</w:t>
      </w:r>
      <w:r>
        <w:rPr>
          <w:rFonts w:hint="default" w:ascii="Times New Roman" w:hAnsi="Times New Roman" w:eastAsia="仿宋_GB2312" w:cs="Times New Roman"/>
          <w:color w:val="auto"/>
          <w:sz w:val="32"/>
          <w:szCs w:val="32"/>
          <w:highlight w:val="none"/>
        </w:rPr>
        <w:t>日</w:t>
      </w:r>
    </w:p>
    <w:p>
      <w:pPr>
        <w:keepNext w:val="0"/>
        <w:keepLines w:val="0"/>
        <w:pageBreakBefore w:val="0"/>
        <w:kinsoku/>
        <w:wordWrap/>
        <w:overflowPunct/>
        <w:topLinePunct w:val="0"/>
        <w:autoSpaceDE/>
        <w:autoSpaceDN/>
        <w:bidi w:val="0"/>
        <w:spacing w:line="576" w:lineRule="exact"/>
        <w:textAlignment w:val="auto"/>
        <w:rPr>
          <w:rFonts w:hint="default" w:ascii="Times New Roman" w:hAnsi="Times New Roman" w:eastAsia="仿宋_GB2312" w:cs="Times New Roman"/>
          <w:color w:val="auto"/>
          <w:sz w:val="32"/>
          <w:szCs w:val="32"/>
          <w:highlight w:val="none"/>
        </w:rPr>
      </w:pPr>
    </w:p>
    <w:p>
      <w:pPr>
        <w:pStyle w:val="13"/>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第一部分 部门概况</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w:t>
      </w:r>
    </w:p>
    <w:p>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color w:val="auto"/>
          <w:sz w:val="32"/>
          <w:szCs w:val="32"/>
          <w:highlight w:val="none"/>
        </w:rPr>
        <w:t>一、</w:t>
      </w:r>
      <w:r>
        <w:rPr>
          <w:rFonts w:hint="default" w:ascii="Times New Roman" w:hAnsi="Times New Roman" w:eastAsia="仿宋_GB2312" w:cs="Times New Roman"/>
          <w:color w:val="auto"/>
          <w:sz w:val="32"/>
          <w:szCs w:val="32"/>
          <w:highlight w:val="none"/>
          <w:lang w:eastAsia="zh-CN"/>
        </w:rPr>
        <w:t>部门职责</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w:t>
      </w:r>
    </w:p>
    <w:p>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二、机构设置</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2</w:t>
      </w:r>
    </w:p>
    <w:p>
      <w:pPr>
        <w:pStyle w:val="13"/>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第二部分</w:t>
      </w:r>
      <w:r>
        <w:rPr>
          <w:rFonts w:hint="default" w:ascii="Times New Roman" w:hAnsi="Times New Roman" w:eastAsia="仿宋_GB2312" w:cs="Times New Roman"/>
          <w:color w:val="auto"/>
          <w:sz w:val="32"/>
          <w:szCs w:val="32"/>
          <w:highlight w:val="none"/>
          <w:lang w:val="en-US" w:eastAsia="zh-CN"/>
        </w:rPr>
        <w:t xml:space="preserve"> 2022年度</w:t>
      </w:r>
      <w:r>
        <w:rPr>
          <w:rFonts w:hint="default" w:ascii="Times New Roman" w:hAnsi="Times New Roman" w:eastAsia="仿宋_GB2312" w:cs="Times New Roman"/>
          <w:color w:val="auto"/>
          <w:sz w:val="32"/>
          <w:szCs w:val="32"/>
          <w:highlight w:val="none"/>
        </w:rPr>
        <w:t>部门决算情况说明</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p>
    <w:p>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一、收入支出决算总体情况说明</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p>
    <w:p>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二、收入决算情况说明</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3</w:t>
      </w:r>
    </w:p>
    <w:p>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三、支出决算情况说明</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4</w:t>
      </w:r>
    </w:p>
    <w:p>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四、财政拨款收入支出决算总体情况说明</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4</w:t>
      </w:r>
    </w:p>
    <w:p>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五、一般公共预算财政拨款支出决算情况说明</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5</w:t>
      </w:r>
    </w:p>
    <w:p>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六、一般公共预算财政拨款基本支出决算情况说明</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7</w:t>
      </w:r>
    </w:p>
    <w:p>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七、财政拨款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三公”经费支出决算情况说明</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7</w:t>
      </w:r>
    </w:p>
    <w:p>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八、政府性基金预算支出决算情况说明</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9</w:t>
      </w:r>
    </w:p>
    <w:p>
      <w:pPr>
        <w:pStyle w:val="15"/>
        <w:keepNext w:val="0"/>
        <w:keepLines w:val="0"/>
        <w:pageBreakBefore w:val="0"/>
        <w:kinsoku/>
        <w:wordWrap/>
        <w:overflowPunct/>
        <w:topLinePunct w:val="0"/>
        <w:autoSpaceDE/>
        <w:autoSpaceDN/>
        <w:bidi w:val="0"/>
        <w:adjustRightInd w:val="0"/>
        <w:snapToGrid w:val="0"/>
        <w:spacing w:line="576" w:lineRule="exact"/>
        <w:ind w:leftChars="0"/>
        <w:jc w:val="distribute"/>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九、</w:t>
      </w:r>
      <w:r>
        <w:rPr>
          <w:rFonts w:hint="default" w:ascii="Times New Roman" w:hAnsi="Times New Roman" w:eastAsia="仿宋_GB2312" w:cs="Times New Roman"/>
          <w:color w:val="auto"/>
          <w:sz w:val="32"/>
          <w:szCs w:val="32"/>
          <w:highlight w:val="none"/>
          <w:lang w:eastAsia="zh-CN"/>
        </w:rPr>
        <w:t>国</w:t>
      </w:r>
      <w:r>
        <w:rPr>
          <w:rFonts w:hint="default" w:ascii="Times New Roman" w:hAnsi="Times New Roman" w:eastAsia="仿宋_GB2312" w:cs="Times New Roman"/>
          <w:color w:val="auto"/>
          <w:sz w:val="32"/>
          <w:szCs w:val="32"/>
          <w:highlight w:val="none"/>
        </w:rPr>
        <w:t>有资本经营预算支出决算情况说明</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9</w:t>
      </w:r>
    </w:p>
    <w:p>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560" w:firstLineChars="175"/>
        <w:jc w:val="distribute"/>
        <w:textAlignment w:val="auto"/>
        <w:rPr>
          <w:rFonts w:hint="default" w:ascii="Times New Roman" w:hAnsi="Times New Roman" w:eastAsia="仿宋_GB2312" w:cs="Times New Roman"/>
          <w:color w:val="auto"/>
          <w:sz w:val="32"/>
          <w:szCs w:val="32"/>
          <w:highlight w:val="none"/>
          <w:lang w:val="en-US" w:eastAsia="zh-CN"/>
        </w:rPr>
      </w:pPr>
      <w:r>
        <w:rPr>
          <w:rStyle w:val="22"/>
          <w:rFonts w:hint="default" w:ascii="Times New Roman" w:hAnsi="Times New Roman" w:eastAsia="仿宋_GB2312" w:cs="Times New Roman"/>
          <w:color w:val="auto"/>
          <w:sz w:val="32"/>
          <w:szCs w:val="32"/>
          <w:highlight w:val="none"/>
          <w:u w:val="none"/>
          <w:lang w:eastAsia="zh-CN"/>
        </w:rPr>
        <w:t>十</w:t>
      </w:r>
      <w:r>
        <w:rPr>
          <w:rStyle w:val="22"/>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rPr>
        <w:t>其他重要事项的情况说明</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9</w:t>
      </w:r>
    </w:p>
    <w:p>
      <w:pPr>
        <w:pStyle w:val="13"/>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第三部分 名词解释</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11</w:t>
      </w:r>
    </w:p>
    <w:p>
      <w:pPr>
        <w:pStyle w:val="13"/>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第四部分 附件</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14</w:t>
      </w:r>
    </w:p>
    <w:p>
      <w:pPr>
        <w:pStyle w:val="13"/>
        <w:keepNext w:val="0"/>
        <w:keepLines w:val="0"/>
        <w:pageBreakBefore w:val="0"/>
        <w:kinsoku/>
        <w:wordWrap/>
        <w:overflowPunct/>
        <w:topLinePunct w:val="0"/>
        <w:autoSpaceDE/>
        <w:autoSpaceDN/>
        <w:bidi w:val="0"/>
        <w:adjustRightInd w:val="0"/>
        <w:snapToGrid w:val="0"/>
        <w:spacing w:before="0" w:line="576" w:lineRule="exact"/>
        <w:jc w:val="distribute"/>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第五部分 附表</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41</w:t>
      </w:r>
    </w:p>
    <w:p>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一、收入支出决算总表</w:t>
      </w:r>
      <w:r>
        <w:rPr>
          <w:rFonts w:hint="eastAsia"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…41</w:t>
      </w:r>
      <w:r>
        <w:rPr>
          <w:rFonts w:hint="default" w:ascii="Times New Roman" w:hAnsi="Times New Roman" w:eastAsia="仿宋_GB2312" w:cs="Times New Roman"/>
          <w:color w:val="auto"/>
          <w:sz w:val="32"/>
          <w:szCs w:val="32"/>
          <w:highlight w:val="none"/>
        </w:rPr>
        <w:t>二、收入决算表</w:t>
      </w:r>
      <w:r>
        <w:rPr>
          <w:rFonts w:hint="eastAsia"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…41</w:t>
      </w:r>
      <w:r>
        <w:rPr>
          <w:rFonts w:hint="default" w:ascii="Times New Roman" w:hAnsi="Times New Roman" w:eastAsia="仿宋_GB2312" w:cs="Times New Roman"/>
          <w:color w:val="auto"/>
          <w:sz w:val="32"/>
          <w:szCs w:val="32"/>
          <w:highlight w:val="none"/>
        </w:rPr>
        <w:t>三、支出决算表</w:t>
      </w:r>
      <w:r>
        <w:rPr>
          <w:rFonts w:hint="eastAsia"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…41</w:t>
      </w:r>
      <w:r>
        <w:rPr>
          <w:rFonts w:hint="default" w:ascii="Times New Roman" w:hAnsi="Times New Roman" w:eastAsia="仿宋_GB2312" w:cs="Times New Roman"/>
          <w:color w:val="auto"/>
          <w:sz w:val="32"/>
          <w:szCs w:val="32"/>
          <w:highlight w:val="none"/>
        </w:rPr>
        <w:t>四、财政拨款收入支出决算总表</w:t>
      </w:r>
      <w:r>
        <w:rPr>
          <w:rFonts w:hint="eastAsia"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…41</w:t>
      </w:r>
      <w:r>
        <w:rPr>
          <w:rFonts w:hint="default" w:ascii="Times New Roman" w:hAnsi="Times New Roman" w:eastAsia="仿宋_GB2312" w:cs="Times New Roman"/>
          <w:color w:val="auto"/>
          <w:sz w:val="32"/>
          <w:szCs w:val="32"/>
          <w:highlight w:val="none"/>
        </w:rPr>
        <w:t>五、财政拨款支出决算明细表</w:t>
      </w:r>
      <w:r>
        <w:rPr>
          <w:rFonts w:hint="eastAsia"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…41</w:t>
      </w:r>
    </w:p>
    <w:p>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六、一般公共预算财政拨款支出决算表</w:t>
      </w:r>
      <w:r>
        <w:rPr>
          <w:rFonts w:hint="eastAsia"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…41</w:t>
      </w:r>
      <w:r>
        <w:rPr>
          <w:rFonts w:hint="default" w:ascii="Times New Roman" w:hAnsi="Times New Roman" w:eastAsia="仿宋_GB2312" w:cs="Times New Roman"/>
          <w:color w:val="auto"/>
          <w:sz w:val="32"/>
          <w:szCs w:val="32"/>
          <w:highlight w:val="none"/>
        </w:rPr>
        <w:t>七、一般公共预算财政拨款支出决算明细表</w:t>
      </w:r>
      <w:r>
        <w:rPr>
          <w:rFonts w:hint="eastAsia"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…41</w:t>
      </w:r>
      <w:r>
        <w:rPr>
          <w:rFonts w:hint="default" w:ascii="Times New Roman" w:hAnsi="Times New Roman" w:eastAsia="仿宋_GB2312" w:cs="Times New Roman"/>
          <w:color w:val="auto"/>
          <w:sz w:val="32"/>
          <w:szCs w:val="32"/>
          <w:highlight w:val="none"/>
        </w:rPr>
        <w:t>八、一般公共预算财政拨款基本支出决算</w:t>
      </w:r>
      <w:r>
        <w:rPr>
          <w:rFonts w:hint="default" w:ascii="Times New Roman" w:hAnsi="Times New Roman" w:eastAsia="仿宋_GB2312" w:cs="Times New Roman"/>
          <w:color w:val="auto"/>
          <w:sz w:val="32"/>
          <w:szCs w:val="32"/>
          <w:highlight w:val="none"/>
          <w:lang w:eastAsia="zh-CN"/>
        </w:rPr>
        <w:t>明细</w:t>
      </w:r>
      <w:r>
        <w:rPr>
          <w:rFonts w:hint="default" w:ascii="Times New Roman" w:hAnsi="Times New Roman" w:eastAsia="仿宋_GB2312" w:cs="Times New Roman"/>
          <w:color w:val="auto"/>
          <w:sz w:val="32"/>
          <w:szCs w:val="32"/>
          <w:highlight w:val="none"/>
        </w:rPr>
        <w:t>表</w:t>
      </w:r>
      <w:r>
        <w:rPr>
          <w:rFonts w:hint="eastAsia"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…41</w:t>
      </w:r>
    </w:p>
    <w:p>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九、一般公共预算财政拨款项目支出决算表</w:t>
      </w:r>
      <w:r>
        <w:rPr>
          <w:rFonts w:hint="eastAsia"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…41</w:t>
      </w:r>
      <w:r>
        <w:rPr>
          <w:rFonts w:hint="default" w:ascii="Times New Roman" w:hAnsi="Times New Roman" w:eastAsia="仿宋_GB2312" w:cs="Times New Roman"/>
          <w:color w:val="auto"/>
          <w:sz w:val="32"/>
          <w:szCs w:val="32"/>
          <w:highlight w:val="none"/>
        </w:rPr>
        <w:t>十、政府性基金预算财政拨款收入支出决算表</w:t>
      </w:r>
      <w:r>
        <w:rPr>
          <w:rFonts w:hint="eastAsia"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…41</w:t>
      </w:r>
      <w:r>
        <w:rPr>
          <w:rFonts w:hint="default" w:ascii="Times New Roman" w:hAnsi="Times New Roman" w:eastAsia="仿宋_GB2312" w:cs="Times New Roman"/>
          <w:color w:val="auto"/>
          <w:sz w:val="32"/>
          <w:szCs w:val="32"/>
          <w:highlight w:val="none"/>
        </w:rPr>
        <w:t>十一、国有资本经营预算财政拨款收入支出决算表</w:t>
      </w:r>
      <w:r>
        <w:rPr>
          <w:rFonts w:hint="eastAsia"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…41</w:t>
      </w:r>
      <w:r>
        <w:rPr>
          <w:rFonts w:hint="default" w:ascii="Times New Roman" w:hAnsi="Times New Roman" w:eastAsia="仿宋_GB2312" w:cs="Times New Roman"/>
          <w:color w:val="auto"/>
          <w:sz w:val="32"/>
          <w:szCs w:val="32"/>
          <w:highlight w:val="none"/>
        </w:rPr>
        <w:t>十二、</w:t>
      </w:r>
      <w:r>
        <w:rPr>
          <w:rFonts w:hint="default" w:ascii="Times New Roman" w:hAnsi="Times New Roman" w:eastAsia="仿宋_GB2312" w:cs="Times New Roman"/>
          <w:color w:val="auto"/>
          <w:sz w:val="32"/>
          <w:szCs w:val="32"/>
          <w:highlight w:val="none"/>
          <w:lang w:val="en-US" w:eastAsia="zh-CN"/>
        </w:rPr>
        <w:t>国有资本经营预算财政拨款支出决算表</w:t>
      </w: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…41</w:t>
      </w:r>
    </w:p>
    <w:p>
      <w:pPr>
        <w:pStyle w:val="15"/>
        <w:keepNext w:val="0"/>
        <w:keepLines w:val="0"/>
        <w:pageBreakBefore w:val="0"/>
        <w:kinsoku/>
        <w:wordWrap/>
        <w:overflowPunct/>
        <w:topLinePunct w:val="0"/>
        <w:autoSpaceDE/>
        <w:autoSpaceDN/>
        <w:bidi w:val="0"/>
        <w:adjustRightInd w:val="0"/>
        <w:snapToGrid w:val="0"/>
        <w:spacing w:line="576" w:lineRule="exact"/>
        <w:jc w:val="distribute"/>
        <w:textAlignment w:val="auto"/>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十三、财政拨款“三公”经费支出决算表</w:t>
      </w:r>
      <w:r>
        <w:rPr>
          <w:rFonts w:hint="eastAsia"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eastAsia="zh-CN"/>
        </w:rPr>
        <w:t>…41</w:t>
      </w:r>
    </w:p>
    <w:p>
      <w:pPr>
        <w:widowControl/>
        <w:adjustRightInd w:val="0"/>
        <w:snapToGrid w:val="0"/>
        <w:spacing w:line="440" w:lineRule="exact"/>
        <w:ind w:firstLine="1320" w:firstLineChars="550"/>
        <w:jc w:val="left"/>
        <w:rPr>
          <w:rFonts w:ascii="仿宋" w:hAnsi="仿宋" w:eastAsia="仿宋"/>
          <w:color w:val="auto"/>
          <w:sz w:val="24"/>
          <w:highlight w:val="none"/>
        </w:rPr>
      </w:pPr>
    </w:p>
    <w:p>
      <w:pPr>
        <w:pStyle w:val="3"/>
        <w:keepNext w:val="0"/>
        <w:keepLines w:val="0"/>
        <w:pageBreakBefore w:val="0"/>
        <w:widowControl w:val="0"/>
        <w:kinsoku/>
        <w:wordWrap/>
        <w:overflowPunct/>
        <w:topLinePunct w:val="0"/>
        <w:autoSpaceDE/>
        <w:autoSpaceDN/>
        <w:bidi w:val="0"/>
        <w:spacing w:before="0" w:after="0" w:line="576" w:lineRule="exact"/>
        <w:ind w:left="0" w:leftChars="0" w:firstLine="0" w:firstLineChars="0"/>
        <w:jc w:val="center"/>
        <w:textAlignment w:val="auto"/>
        <w:rPr>
          <w:rFonts w:hint="eastAsia" w:ascii="黑体" w:hAnsi="黑体" w:eastAsia="黑体"/>
          <w:b w:val="0"/>
          <w:color w:val="auto"/>
          <w:highlight w:val="none"/>
        </w:rPr>
        <w:sectPr>
          <w:footerReference r:id="rId5" w:type="default"/>
          <w:pgSz w:w="11905" w:h="16838"/>
          <w:pgMar w:top="2098" w:right="1474" w:bottom="1984" w:left="1587" w:header="850" w:footer="1531" w:gutter="0"/>
          <w:pgNumType w:fmt="decimal" w:start="1"/>
          <w:cols w:space="0" w:num="1"/>
          <w:rtlGutter w:val="0"/>
          <w:docGrid w:linePitch="312" w:charSpace="0"/>
        </w:sectPr>
      </w:pPr>
      <w:bookmarkStart w:id="12" w:name="_Toc15396599"/>
      <w:bookmarkStart w:id="13" w:name="_Toc15377196"/>
    </w:p>
    <w:p>
      <w:pPr>
        <w:pStyle w:val="3"/>
        <w:keepNext w:val="0"/>
        <w:keepLines w:val="0"/>
        <w:pageBreakBefore w:val="0"/>
        <w:widowControl w:val="0"/>
        <w:kinsoku/>
        <w:wordWrap/>
        <w:overflowPunct/>
        <w:topLinePunct w:val="0"/>
        <w:autoSpaceDE/>
        <w:autoSpaceDN/>
        <w:bidi w:val="0"/>
        <w:spacing w:before="0" w:after="0" w:line="576" w:lineRule="exact"/>
        <w:ind w:left="0" w:leftChars="0" w:firstLine="0" w:firstLineChars="0"/>
        <w:jc w:val="center"/>
        <w:textAlignment w:val="auto"/>
        <w:rPr>
          <w:rStyle w:val="31"/>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Style w:val="31"/>
          <w:rFonts w:hint="eastAsia" w:ascii="黑体" w:hAnsi="黑体" w:eastAsia="黑体"/>
          <w:b w:val="0"/>
          <w:bCs w:val="0"/>
          <w:color w:val="auto"/>
          <w:highlight w:val="none"/>
        </w:rPr>
        <w:t>部门概况</w:t>
      </w:r>
      <w:bookmarkEnd w:id="12"/>
      <w:bookmarkEnd w:id="13"/>
    </w:p>
    <w:p>
      <w:pPr>
        <w:keepNext w:val="0"/>
        <w:keepLines w:val="0"/>
        <w:pageBreakBefore w:val="0"/>
        <w:widowControl w:val="0"/>
        <w:kinsoku/>
        <w:wordWrap/>
        <w:overflowPunct/>
        <w:topLinePunct w:val="0"/>
        <w:autoSpaceDE/>
        <w:autoSpaceDN/>
        <w:bidi w:val="0"/>
        <w:spacing w:line="576" w:lineRule="exact"/>
        <w:ind w:firstLine="640" w:firstLineChars="200"/>
        <w:jc w:val="both"/>
        <w:textAlignment w:val="auto"/>
        <w:rPr>
          <w:rFonts w:ascii="黑体" w:eastAsia="黑体"/>
          <w:color w:val="auto"/>
          <w:sz w:val="32"/>
          <w:szCs w:val="32"/>
          <w:highlight w:val="none"/>
        </w:rPr>
      </w:pPr>
    </w:p>
    <w:p>
      <w:pPr>
        <w:pStyle w:val="4"/>
        <w:keepNext w:val="0"/>
        <w:keepLines w:val="0"/>
        <w:pageBreakBefore w:val="0"/>
        <w:widowControl w:val="0"/>
        <w:numPr>
          <w:ilvl w:val="0"/>
          <w:numId w:val="1"/>
        </w:numPr>
        <w:kinsoku/>
        <w:wordWrap/>
        <w:overflowPunct/>
        <w:topLinePunct w:val="0"/>
        <w:autoSpaceDE/>
        <w:autoSpaceDN/>
        <w:bidi w:val="0"/>
        <w:spacing w:before="0" w:after="0" w:line="576" w:lineRule="exact"/>
        <w:ind w:firstLine="640" w:firstLineChars="200"/>
        <w:jc w:val="both"/>
        <w:textAlignment w:val="auto"/>
        <w:rPr>
          <w:rFonts w:hint="eastAsia" w:ascii="黑体" w:hAnsi="黑体" w:eastAsia="黑体"/>
          <w:b w:val="0"/>
          <w:color w:val="auto"/>
          <w:highlight w:val="none"/>
          <w:lang w:eastAsia="zh-CN"/>
        </w:rPr>
      </w:pPr>
      <w:r>
        <w:rPr>
          <w:rFonts w:hint="eastAsia" w:ascii="黑体" w:hAnsi="黑体" w:eastAsia="黑体"/>
          <w:b w:val="0"/>
          <w:color w:val="auto"/>
          <w:highlight w:val="none"/>
          <w:lang w:eastAsia="zh-CN"/>
        </w:rPr>
        <w:t>部门职责</w:t>
      </w:r>
    </w:p>
    <w:p>
      <w:pPr>
        <w:pStyle w:val="16"/>
        <w:keepNext w:val="0"/>
        <w:keepLines w:val="0"/>
        <w:pageBreakBefore w:val="0"/>
        <w:widowControl w:val="0"/>
        <w:kinsoku/>
        <w:wordWrap/>
        <w:overflowPunct/>
        <w:topLinePunct w:val="0"/>
        <w:autoSpaceDE/>
        <w:autoSpaceDN/>
        <w:bidi w:val="0"/>
        <w:spacing w:before="0" w:beforeAutospacing="0" w:after="0" w:afterAutospacing="0" w:line="576" w:lineRule="exact"/>
        <w:ind w:firstLine="640" w:firstLineChars="200"/>
        <w:jc w:val="both"/>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1、贯彻执行中央关于行政管理体制改革和机构改革、事业单位改革及机构编制管理的方针政策、法律法规规章，研究起草规章草案、规范性文件，制定相关政策并监督实施。</w:t>
      </w:r>
    </w:p>
    <w:p>
      <w:pPr>
        <w:pStyle w:val="16"/>
        <w:keepNext w:val="0"/>
        <w:keepLines w:val="0"/>
        <w:pageBreakBefore w:val="0"/>
        <w:widowControl w:val="0"/>
        <w:kinsoku/>
        <w:wordWrap/>
        <w:overflowPunct/>
        <w:topLinePunct w:val="0"/>
        <w:autoSpaceDE/>
        <w:autoSpaceDN/>
        <w:bidi w:val="0"/>
        <w:spacing w:before="0" w:beforeAutospacing="0" w:after="0" w:afterAutospacing="0" w:line="576" w:lineRule="exact"/>
        <w:ind w:firstLine="640" w:firstLineChars="200"/>
        <w:jc w:val="both"/>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2、研究拟订全区行政管理体制改革和机构改革方案，审核区级部门“三定”规定和乡镇（街道）机构改革方案，指导各乡镇（街道）、各部门行政管理体制改革和机构改革，评估改革效果，参与行政审批制度改革和行政区划调整的有关工作。</w:t>
      </w:r>
    </w:p>
    <w:p>
      <w:pPr>
        <w:pStyle w:val="16"/>
        <w:keepNext w:val="0"/>
        <w:keepLines w:val="0"/>
        <w:pageBreakBefore w:val="0"/>
        <w:widowControl w:val="0"/>
        <w:kinsoku/>
        <w:wordWrap/>
        <w:overflowPunct/>
        <w:topLinePunct w:val="0"/>
        <w:autoSpaceDE/>
        <w:autoSpaceDN/>
        <w:bidi w:val="0"/>
        <w:spacing w:before="0" w:beforeAutospacing="0" w:after="0" w:afterAutospacing="0" w:line="576" w:lineRule="exact"/>
        <w:ind w:firstLine="640" w:firstLineChars="200"/>
        <w:jc w:val="both"/>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3、拟订全区各级行政编制总额分配方案，分配政法专项编制。负责全区行政事业编制总量控制和机关事业单位机构编制实名制管理工作，对区直机关和区属事业单位使用空缺编制补充人员进行核批。</w:t>
      </w:r>
    </w:p>
    <w:p>
      <w:pPr>
        <w:pStyle w:val="16"/>
        <w:keepNext w:val="0"/>
        <w:keepLines w:val="0"/>
        <w:pageBreakBefore w:val="0"/>
        <w:widowControl w:val="0"/>
        <w:kinsoku/>
        <w:wordWrap/>
        <w:overflowPunct/>
        <w:topLinePunct w:val="0"/>
        <w:autoSpaceDE/>
        <w:autoSpaceDN/>
        <w:bidi w:val="0"/>
        <w:spacing w:before="0" w:beforeAutospacing="0" w:after="0" w:afterAutospacing="0" w:line="576" w:lineRule="exact"/>
        <w:ind w:firstLine="640" w:firstLineChars="200"/>
        <w:jc w:val="both"/>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4、负责区委、区政府各部门，区人大、区政协机关，区法院、区检察院机关，各民主党派区委机关、区人民团体机关的机构编制管理工作。协调区级部门之间的职责分工。</w:t>
      </w:r>
    </w:p>
    <w:p>
      <w:pPr>
        <w:pStyle w:val="16"/>
        <w:keepNext w:val="0"/>
        <w:keepLines w:val="0"/>
        <w:pageBreakBefore w:val="0"/>
        <w:widowControl w:val="0"/>
        <w:kinsoku/>
        <w:wordWrap/>
        <w:overflowPunct/>
        <w:topLinePunct w:val="0"/>
        <w:autoSpaceDE/>
        <w:autoSpaceDN/>
        <w:bidi w:val="0"/>
        <w:spacing w:before="0" w:beforeAutospacing="0" w:after="0" w:afterAutospacing="0" w:line="576" w:lineRule="exact"/>
        <w:ind w:firstLine="640" w:firstLineChars="200"/>
        <w:jc w:val="both"/>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5、给市委编委呈报副科级或按照副科级及以上规格管理机构的设置、调整。</w:t>
      </w:r>
    </w:p>
    <w:p>
      <w:pPr>
        <w:pStyle w:val="16"/>
        <w:keepNext w:val="0"/>
        <w:keepLines w:val="0"/>
        <w:pageBreakBefore w:val="0"/>
        <w:widowControl w:val="0"/>
        <w:kinsoku/>
        <w:wordWrap/>
        <w:overflowPunct/>
        <w:topLinePunct w:val="0"/>
        <w:autoSpaceDE/>
        <w:autoSpaceDN/>
        <w:bidi w:val="0"/>
        <w:spacing w:before="0" w:beforeAutospacing="0" w:after="0" w:afterAutospacing="0" w:line="576" w:lineRule="exact"/>
        <w:ind w:firstLine="640" w:firstLineChars="200"/>
        <w:jc w:val="both"/>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6、研究拟订全区事业单位改革方案和事业单位编制标准及实施意见，负责区属事业单位机构编制管理，审核区属事业单位的机构编制方案，负责参照《</w:t>
      </w:r>
      <w:r>
        <w:rPr>
          <w:rFonts w:hint="default" w:ascii="Times New Roman" w:hAnsi="Times New Roman" w:eastAsia="仿宋_GB2312" w:cs="Times New Roman"/>
          <w:color w:val="auto"/>
          <w:sz w:val="32"/>
          <w:szCs w:val="32"/>
        </w:rPr>
        <w:t>中华人民共和国公务员法</w:t>
      </w:r>
      <w:r>
        <w:rPr>
          <w:rFonts w:hint="default" w:ascii="Times New Roman" w:hAnsi="Times New Roman" w:eastAsia="仿宋" w:cs="Times New Roman"/>
          <w:color w:val="auto"/>
          <w:kern w:val="2"/>
          <w:sz w:val="32"/>
          <w:szCs w:val="32"/>
          <w:highlight w:val="none"/>
          <w:lang w:val="en-US" w:eastAsia="zh-CN" w:bidi="ar-SA"/>
        </w:rPr>
        <w:t>》管理事业单位职责的审核工作。</w:t>
      </w:r>
    </w:p>
    <w:p>
      <w:pPr>
        <w:pStyle w:val="16"/>
        <w:keepNext w:val="0"/>
        <w:keepLines w:val="0"/>
        <w:pageBreakBefore w:val="0"/>
        <w:widowControl w:val="0"/>
        <w:kinsoku/>
        <w:wordWrap/>
        <w:overflowPunct/>
        <w:topLinePunct w:val="0"/>
        <w:autoSpaceDE/>
        <w:autoSpaceDN/>
        <w:bidi w:val="0"/>
        <w:spacing w:before="0" w:beforeAutospacing="0" w:after="0" w:afterAutospacing="0" w:line="576" w:lineRule="exact"/>
        <w:ind w:firstLine="640" w:firstLineChars="200"/>
        <w:jc w:val="both"/>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7、监督检查全区行政管理体制改革和机构改革方案及机构编制规定执行情况，按照市委编委的要求，建立机构编制工作考核评估制度，会同有关部门查处机构编制违法违纪行为。</w:t>
      </w:r>
    </w:p>
    <w:p>
      <w:pPr>
        <w:pStyle w:val="16"/>
        <w:keepNext w:val="0"/>
        <w:keepLines w:val="0"/>
        <w:pageBreakBefore w:val="0"/>
        <w:widowControl w:val="0"/>
        <w:kinsoku/>
        <w:wordWrap/>
        <w:overflowPunct/>
        <w:topLinePunct w:val="0"/>
        <w:autoSpaceDE/>
        <w:autoSpaceDN/>
        <w:bidi w:val="0"/>
        <w:spacing w:before="0" w:beforeAutospacing="0" w:after="0" w:afterAutospacing="0" w:line="576" w:lineRule="exact"/>
        <w:ind w:firstLine="640" w:firstLineChars="200"/>
        <w:jc w:val="both"/>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8、负责全区事业单位登记管理工作。</w:t>
      </w:r>
    </w:p>
    <w:p>
      <w:pPr>
        <w:pStyle w:val="16"/>
        <w:keepNext w:val="0"/>
        <w:keepLines w:val="0"/>
        <w:pageBreakBefore w:val="0"/>
        <w:widowControl w:val="0"/>
        <w:kinsoku/>
        <w:wordWrap/>
        <w:overflowPunct/>
        <w:topLinePunct w:val="0"/>
        <w:autoSpaceDE/>
        <w:autoSpaceDN/>
        <w:bidi w:val="0"/>
        <w:spacing w:before="0" w:beforeAutospacing="0" w:after="0" w:afterAutospacing="0" w:line="576" w:lineRule="exact"/>
        <w:ind w:firstLine="640" w:firstLineChars="200"/>
        <w:jc w:val="both"/>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9、承办区委、区政府和区委编委交办的其他事项。</w:t>
      </w:r>
    </w:p>
    <w:p>
      <w:pPr>
        <w:pStyle w:val="4"/>
        <w:keepNext w:val="0"/>
        <w:keepLines w:val="0"/>
        <w:pageBreakBefore w:val="0"/>
        <w:widowControl w:val="0"/>
        <w:kinsoku/>
        <w:wordWrap/>
        <w:overflowPunct/>
        <w:topLinePunct w:val="0"/>
        <w:autoSpaceDE/>
        <w:autoSpaceDN/>
        <w:bidi w:val="0"/>
        <w:spacing w:before="0" w:after="0" w:line="576" w:lineRule="exact"/>
        <w:ind w:firstLine="640" w:firstLineChars="200"/>
        <w:jc w:val="both"/>
        <w:textAlignment w:val="auto"/>
        <w:rPr>
          <w:rStyle w:val="32"/>
          <w:b w:val="0"/>
          <w:bCs w:val="0"/>
          <w:color w:val="auto"/>
          <w:highlight w:val="none"/>
        </w:rPr>
      </w:pPr>
      <w:bookmarkStart w:id="14" w:name="_Toc15396601"/>
      <w:bookmarkStart w:id="15" w:name="_Toc15377200"/>
      <w:r>
        <w:rPr>
          <w:rFonts w:hint="eastAsia" w:ascii="黑体" w:eastAsia="黑体"/>
          <w:b w:val="0"/>
          <w:color w:val="auto"/>
          <w:highlight w:val="none"/>
        </w:rPr>
        <w:t>二、</w:t>
      </w:r>
      <w:r>
        <w:rPr>
          <w:rFonts w:hint="eastAsia" w:ascii="黑体" w:hAnsi="黑体" w:eastAsia="黑体"/>
          <w:b w:val="0"/>
          <w:color w:val="auto"/>
          <w:highlight w:val="none"/>
        </w:rPr>
        <w:t>机</w:t>
      </w:r>
      <w:r>
        <w:rPr>
          <w:rStyle w:val="32"/>
          <w:rFonts w:hint="eastAsia" w:ascii="黑体" w:hAnsi="黑体" w:eastAsia="黑体"/>
          <w:b w:val="0"/>
          <w:bCs w:val="0"/>
          <w:color w:val="auto"/>
          <w:highlight w:val="none"/>
        </w:rPr>
        <w:t>构设置</w:t>
      </w:r>
      <w:bookmarkEnd w:id="14"/>
      <w:bookmarkEnd w:id="15"/>
    </w:p>
    <w:p>
      <w:pPr>
        <w:pStyle w:val="16"/>
        <w:keepNext w:val="0"/>
        <w:keepLines w:val="0"/>
        <w:pageBreakBefore w:val="0"/>
        <w:widowControl w:val="0"/>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Times New Roman" w:hAnsi="Times New Roman" w:eastAsia="仿宋" w:cs="Times New Roman"/>
          <w:color w:val="auto"/>
          <w:kern w:val="2"/>
          <w:sz w:val="32"/>
          <w:szCs w:val="32"/>
          <w:highlight w:val="none"/>
          <w:lang w:val="en-US" w:eastAsia="zh-CN" w:bidi="ar-SA"/>
        </w:rPr>
      </w:pPr>
      <w:r>
        <w:rPr>
          <w:rFonts w:hint="eastAsia" w:ascii="Times New Roman" w:hAnsi="Times New Roman" w:eastAsia="仿宋" w:cs="Times New Roman"/>
          <w:color w:val="auto"/>
          <w:kern w:val="2"/>
          <w:sz w:val="32"/>
          <w:szCs w:val="32"/>
          <w:highlight w:val="none"/>
          <w:lang w:val="en-US" w:eastAsia="zh-CN" w:bidi="ar-SA"/>
        </w:rPr>
        <w:t>区委编办属于一级预算单位，参照公务员法管理的事业单位1个，其他事业单位1个，分别是：昭化区事业单位登记服务中心、昭化区机构编制信息中心。</w:t>
      </w:r>
    </w:p>
    <w:p>
      <w:pPr>
        <w:pStyle w:val="16"/>
        <w:keepNext w:val="0"/>
        <w:keepLines w:val="0"/>
        <w:pageBreakBefore w:val="0"/>
        <w:widowControl w:val="0"/>
        <w:kinsoku/>
        <w:wordWrap/>
        <w:overflowPunct/>
        <w:topLinePunct w:val="0"/>
        <w:autoSpaceDE/>
        <w:autoSpaceDN/>
        <w:bidi w:val="0"/>
        <w:spacing w:before="0" w:beforeAutospacing="0" w:after="0" w:afterAutospacing="0" w:line="576" w:lineRule="exact"/>
        <w:ind w:firstLine="640" w:firstLineChars="200"/>
        <w:jc w:val="both"/>
        <w:textAlignment w:val="auto"/>
        <w:rPr>
          <w:rFonts w:hint="default" w:ascii="Times New Roman" w:hAnsi="Times New Roman" w:eastAsia="仿宋" w:cs="Times New Roman"/>
          <w:color w:val="auto"/>
          <w:kern w:val="2"/>
          <w:sz w:val="32"/>
          <w:szCs w:val="32"/>
          <w:highlight w:val="none"/>
          <w:lang w:val="en-US" w:eastAsia="zh-CN" w:bidi="ar-SA"/>
        </w:rPr>
      </w:pPr>
      <w:r>
        <w:rPr>
          <w:rFonts w:hint="default" w:ascii="Times New Roman" w:hAnsi="Times New Roman" w:eastAsia="仿宋" w:cs="Times New Roman"/>
          <w:color w:val="auto"/>
          <w:kern w:val="2"/>
          <w:sz w:val="32"/>
          <w:szCs w:val="32"/>
          <w:highlight w:val="none"/>
          <w:lang w:val="en-US" w:eastAsia="zh-CN" w:bidi="ar-SA"/>
        </w:rPr>
        <w:t>纳入</w:t>
      </w:r>
      <w:r>
        <w:rPr>
          <w:rFonts w:hint="eastAsia" w:ascii="Times New Roman" w:hAnsi="Times New Roman" w:eastAsia="仿宋" w:cs="Times New Roman"/>
          <w:color w:val="auto"/>
          <w:kern w:val="2"/>
          <w:sz w:val="32"/>
          <w:szCs w:val="32"/>
          <w:highlight w:val="none"/>
          <w:lang w:val="en-US" w:eastAsia="zh-CN" w:bidi="ar-SA"/>
        </w:rPr>
        <w:t>区委编办</w:t>
      </w:r>
      <w:r>
        <w:rPr>
          <w:rFonts w:hint="default" w:ascii="Times New Roman" w:hAnsi="Times New Roman" w:eastAsia="仿宋" w:cs="Times New Roman"/>
          <w:color w:val="auto"/>
          <w:kern w:val="2"/>
          <w:sz w:val="32"/>
          <w:szCs w:val="32"/>
          <w:highlight w:val="none"/>
          <w:lang w:val="en-US" w:eastAsia="zh-CN" w:bidi="ar-SA"/>
        </w:rPr>
        <w:t>2022年度部门决算编制范围的二级预算单位0个。</w:t>
      </w:r>
    </w:p>
    <w:p>
      <w:pPr>
        <w:pStyle w:val="16"/>
        <w:keepNext w:val="0"/>
        <w:keepLines w:val="0"/>
        <w:pageBreakBefore w:val="0"/>
        <w:widowControl w:val="0"/>
        <w:kinsoku/>
        <w:wordWrap/>
        <w:overflowPunct/>
        <w:topLinePunct w:val="0"/>
        <w:autoSpaceDE/>
        <w:autoSpaceDN/>
        <w:bidi w:val="0"/>
        <w:spacing w:before="0" w:beforeAutospacing="0" w:after="0" w:afterAutospacing="0" w:line="576" w:lineRule="exact"/>
        <w:ind w:firstLine="640" w:firstLineChars="200"/>
        <w:jc w:val="both"/>
        <w:textAlignment w:val="auto"/>
        <w:rPr>
          <w:rFonts w:hint="eastAsia" w:ascii="仿宋" w:hAnsi="仿宋" w:eastAsia="仿宋" w:cs="Times New Roman"/>
          <w:color w:val="auto"/>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576" w:lineRule="exact"/>
        <w:ind w:firstLine="420" w:firstLineChars="200"/>
        <w:jc w:val="both"/>
        <w:textAlignment w:val="auto"/>
        <w:rPr>
          <w:rFonts w:ascii="仿宋" w:hAnsi="仿宋" w:eastAsia="仿宋"/>
          <w:color w:val="auto"/>
          <w:kern w:val="0"/>
          <w:sz w:val="32"/>
          <w:szCs w:val="32"/>
          <w:highlight w:val="none"/>
        </w:rPr>
      </w:pPr>
      <w:r>
        <w:br w:type="page"/>
      </w:r>
    </w:p>
    <w:p>
      <w:pPr>
        <w:pStyle w:val="3"/>
        <w:keepNext w:val="0"/>
        <w:keepLines w:val="0"/>
        <w:pageBreakBefore w:val="0"/>
        <w:widowControl w:val="0"/>
        <w:kinsoku/>
        <w:wordWrap/>
        <w:overflowPunct/>
        <w:topLinePunct w:val="0"/>
        <w:autoSpaceDE/>
        <w:autoSpaceDN/>
        <w:bidi w:val="0"/>
        <w:adjustRightInd/>
        <w:snapToGrid/>
        <w:spacing w:before="0" w:after="0" w:line="540" w:lineRule="exact"/>
        <w:ind w:left="0" w:right="0" w:firstLine="880" w:firstLineChars="200"/>
        <w:jc w:val="both"/>
        <w:textAlignment w:val="auto"/>
        <w:rPr>
          <w:rStyle w:val="31"/>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31"/>
          <w:rFonts w:hint="eastAsia" w:ascii="黑体" w:hAnsi="黑体" w:eastAsia="黑体"/>
          <w:b w:val="0"/>
          <w:bCs/>
          <w:color w:val="auto"/>
          <w:highlight w:val="none"/>
        </w:rPr>
        <w:t>部门决算情况说明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540" w:lineRule="exact"/>
        <w:ind w:left="0" w:right="0" w:firstLine="420" w:firstLineChars="200"/>
        <w:jc w:val="both"/>
        <w:textAlignment w:val="auto"/>
        <w:rPr>
          <w:color w:val="auto"/>
          <w:highlight w:val="none"/>
        </w:rPr>
      </w:pP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right="0" w:rightChars="0" w:firstLine="640" w:firstLineChars="200"/>
        <w:jc w:val="both"/>
        <w:textAlignment w:val="auto"/>
        <w:outlineLvl w:val="1"/>
        <w:rPr>
          <w:rStyle w:val="32"/>
          <w:rFonts w:ascii="黑体" w:hAnsi="黑体" w:eastAsia="黑体"/>
          <w:b w:val="0"/>
          <w:color w:val="auto"/>
          <w:highlight w:val="none"/>
        </w:rPr>
      </w:pPr>
      <w:bookmarkStart w:id="18" w:name="_Toc15396603"/>
      <w:bookmarkStart w:id="19" w:name="_Toc15377205"/>
      <w:r>
        <w:rPr>
          <w:rFonts w:hint="eastAsia" w:ascii="黑体" w:hAnsi="黑体" w:eastAsia="黑体"/>
          <w:color w:val="auto"/>
          <w:sz w:val="32"/>
          <w:szCs w:val="32"/>
          <w:highlight w:val="none"/>
          <w:lang w:val="en-US" w:eastAsia="zh-CN"/>
        </w:rPr>
        <w:t>一、</w:t>
      </w:r>
      <w:r>
        <w:rPr>
          <w:rFonts w:hint="eastAsia" w:ascii="黑体" w:hAnsi="黑体" w:eastAsia="黑体"/>
          <w:color w:val="auto"/>
          <w:sz w:val="32"/>
          <w:szCs w:val="32"/>
          <w:highlight w:val="none"/>
        </w:rPr>
        <w:t>收</w:t>
      </w:r>
      <w:r>
        <w:rPr>
          <w:rStyle w:val="32"/>
          <w:rFonts w:hint="eastAsia" w:ascii="黑体" w:hAnsi="黑体" w:eastAsia="黑体"/>
          <w:b w:val="0"/>
          <w:color w:val="auto"/>
          <w:highlight w:val="none"/>
        </w:rPr>
        <w:t>入支出决算总体情况说明</w:t>
      </w:r>
      <w:bookmarkEnd w:id="18"/>
      <w:bookmarkEnd w:id="19"/>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202</w:t>
      </w:r>
      <w:r>
        <w:rPr>
          <w:rFonts w:hint="eastAsia" w:eastAsia="仿宋_GB2312" w:cs="Times New Roman"/>
          <w:b w:val="0"/>
          <w:bCs w:val="0"/>
          <w:kern w:val="2"/>
          <w:sz w:val="32"/>
          <w:szCs w:val="32"/>
          <w:lang w:val="en-US" w:eastAsia="zh-CN" w:bidi="ar-SA"/>
        </w:rPr>
        <w:t>2</w:t>
      </w:r>
      <w:r>
        <w:rPr>
          <w:rFonts w:hint="default" w:ascii="Times New Roman" w:hAnsi="Times New Roman" w:eastAsia="仿宋_GB2312" w:cs="Times New Roman"/>
          <w:b w:val="0"/>
          <w:bCs w:val="0"/>
          <w:kern w:val="2"/>
          <w:sz w:val="32"/>
          <w:szCs w:val="32"/>
          <w:lang w:val="en-US" w:eastAsia="zh-CN" w:bidi="ar-SA"/>
        </w:rPr>
        <w:t>年全年收入合计</w:t>
      </w:r>
      <w:r>
        <w:rPr>
          <w:rFonts w:hint="eastAsia" w:eastAsia="仿宋_GB2312" w:cs="Times New Roman"/>
          <w:b w:val="0"/>
          <w:bCs w:val="0"/>
          <w:kern w:val="2"/>
          <w:sz w:val="32"/>
          <w:szCs w:val="32"/>
          <w:lang w:val="en-US" w:eastAsia="zh-CN" w:bidi="ar-SA"/>
        </w:rPr>
        <w:t>240.97</w:t>
      </w:r>
      <w:r>
        <w:rPr>
          <w:rFonts w:hint="default" w:ascii="Times New Roman" w:hAnsi="Times New Roman" w:eastAsia="仿宋_GB2312" w:cs="Times New Roman"/>
          <w:b w:val="0"/>
          <w:bCs w:val="0"/>
          <w:kern w:val="2"/>
          <w:sz w:val="32"/>
          <w:szCs w:val="32"/>
          <w:lang w:val="en-US" w:eastAsia="zh-CN" w:bidi="ar-SA"/>
        </w:rPr>
        <w:t>万元，全年支出总计</w:t>
      </w:r>
      <w:r>
        <w:rPr>
          <w:rFonts w:hint="eastAsia" w:eastAsia="仿宋_GB2312" w:cs="Times New Roman"/>
          <w:b w:val="0"/>
          <w:bCs w:val="0"/>
          <w:kern w:val="2"/>
          <w:sz w:val="32"/>
          <w:szCs w:val="32"/>
          <w:lang w:val="en-US" w:eastAsia="zh-CN" w:bidi="ar-SA"/>
        </w:rPr>
        <w:t>240.97</w:t>
      </w:r>
      <w:r>
        <w:rPr>
          <w:rFonts w:hint="default" w:ascii="Times New Roman" w:hAnsi="Times New Roman" w:eastAsia="仿宋_GB2312" w:cs="Times New Roman"/>
          <w:b w:val="0"/>
          <w:bCs w:val="0"/>
          <w:kern w:val="2"/>
          <w:sz w:val="32"/>
          <w:szCs w:val="32"/>
          <w:lang w:val="en-US" w:eastAsia="zh-CN" w:bidi="ar-SA"/>
        </w:rPr>
        <w:t>万元。与202</w:t>
      </w:r>
      <w:r>
        <w:rPr>
          <w:rFonts w:hint="eastAsia" w:eastAsia="仿宋_GB2312" w:cs="Times New Roman"/>
          <w:b w:val="0"/>
          <w:bCs w:val="0"/>
          <w:kern w:val="2"/>
          <w:sz w:val="32"/>
          <w:szCs w:val="32"/>
          <w:lang w:val="en-US" w:eastAsia="zh-CN" w:bidi="ar-SA"/>
        </w:rPr>
        <w:t>1</w:t>
      </w:r>
      <w:r>
        <w:rPr>
          <w:rFonts w:hint="default" w:ascii="Times New Roman" w:hAnsi="Times New Roman" w:eastAsia="仿宋_GB2312" w:cs="Times New Roman"/>
          <w:b w:val="0"/>
          <w:bCs w:val="0"/>
          <w:kern w:val="2"/>
          <w:sz w:val="32"/>
          <w:szCs w:val="32"/>
          <w:lang w:val="en-US" w:eastAsia="zh-CN" w:bidi="ar-SA"/>
        </w:rPr>
        <w:t>年相比，收入增加</w:t>
      </w:r>
      <w:r>
        <w:rPr>
          <w:rFonts w:hint="eastAsia" w:eastAsia="仿宋_GB2312" w:cs="Times New Roman"/>
          <w:b w:val="0"/>
          <w:bCs w:val="0"/>
          <w:kern w:val="2"/>
          <w:sz w:val="32"/>
          <w:szCs w:val="32"/>
          <w:lang w:val="en-US" w:eastAsia="zh-CN" w:bidi="ar-SA"/>
        </w:rPr>
        <w:t>33.01</w:t>
      </w:r>
      <w:r>
        <w:rPr>
          <w:rFonts w:hint="default" w:ascii="Times New Roman" w:hAnsi="Times New Roman" w:eastAsia="仿宋_GB2312" w:cs="Times New Roman"/>
          <w:b w:val="0"/>
          <w:bCs w:val="0"/>
          <w:kern w:val="2"/>
          <w:sz w:val="32"/>
          <w:szCs w:val="32"/>
          <w:lang w:val="en-US" w:eastAsia="zh-CN" w:bidi="ar-SA"/>
        </w:rPr>
        <w:t>万元，增长</w:t>
      </w:r>
      <w:r>
        <w:rPr>
          <w:rFonts w:hint="eastAsia" w:eastAsia="仿宋_GB2312" w:cs="Times New Roman"/>
          <w:b w:val="0"/>
          <w:bCs w:val="0"/>
          <w:kern w:val="2"/>
          <w:sz w:val="32"/>
          <w:szCs w:val="32"/>
          <w:lang w:val="en-US" w:eastAsia="zh-CN" w:bidi="ar-SA"/>
        </w:rPr>
        <w:t>15.9</w:t>
      </w:r>
      <w:r>
        <w:rPr>
          <w:rFonts w:hint="default" w:ascii="Times New Roman" w:hAnsi="Times New Roman" w:eastAsia="仿宋_GB2312" w:cs="Times New Roman"/>
          <w:b w:val="0"/>
          <w:bCs w:val="0"/>
          <w:kern w:val="2"/>
          <w:sz w:val="32"/>
          <w:szCs w:val="32"/>
          <w:lang w:val="en-US" w:eastAsia="zh-CN" w:bidi="ar-SA"/>
        </w:rPr>
        <w:t>%，支出增加</w:t>
      </w:r>
      <w:r>
        <w:rPr>
          <w:rFonts w:hint="eastAsia" w:eastAsia="仿宋_GB2312" w:cs="Times New Roman"/>
          <w:b w:val="0"/>
          <w:bCs w:val="0"/>
          <w:kern w:val="2"/>
          <w:sz w:val="32"/>
          <w:szCs w:val="32"/>
          <w:lang w:val="en-US" w:eastAsia="zh-CN" w:bidi="ar-SA"/>
        </w:rPr>
        <w:t>33.01</w:t>
      </w:r>
      <w:r>
        <w:rPr>
          <w:rFonts w:hint="default" w:ascii="Times New Roman" w:hAnsi="Times New Roman" w:eastAsia="仿宋_GB2312" w:cs="Times New Roman"/>
          <w:b w:val="0"/>
          <w:bCs w:val="0"/>
          <w:kern w:val="2"/>
          <w:sz w:val="32"/>
          <w:szCs w:val="32"/>
          <w:lang w:val="en-US" w:eastAsia="zh-CN" w:bidi="ar-SA"/>
        </w:rPr>
        <w:t>万元，增长</w:t>
      </w:r>
      <w:r>
        <w:rPr>
          <w:rFonts w:hint="eastAsia" w:eastAsia="仿宋_GB2312" w:cs="Times New Roman"/>
          <w:b w:val="0"/>
          <w:bCs w:val="0"/>
          <w:kern w:val="2"/>
          <w:sz w:val="32"/>
          <w:szCs w:val="32"/>
          <w:lang w:val="en-US" w:eastAsia="zh-CN" w:bidi="ar-SA"/>
        </w:rPr>
        <w:t>15.9</w:t>
      </w:r>
      <w:r>
        <w:rPr>
          <w:rFonts w:hint="default" w:ascii="Times New Roman" w:hAnsi="Times New Roman" w:eastAsia="仿宋_GB2312" w:cs="Times New Roman"/>
          <w:b w:val="0"/>
          <w:bCs w:val="0"/>
          <w:kern w:val="2"/>
          <w:sz w:val="32"/>
          <w:szCs w:val="32"/>
          <w:lang w:val="en-US" w:eastAsia="zh-CN" w:bidi="ar-SA"/>
        </w:rPr>
        <w:t>%；主要变动原因是人员调入及人员正常工资晋薪级、职务晋升调资。</w:t>
      </w:r>
    </w:p>
    <w:p>
      <w:pPr>
        <w:pStyle w:val="17"/>
        <w:rPr>
          <w:rFonts w:hint="eastAsia" w:ascii="仿宋_GB2312" w:eastAsia="仿宋_GB2312"/>
          <w:color w:val="auto"/>
          <w:sz w:val="32"/>
          <w:szCs w:val="32"/>
          <w:highlight w:val="none"/>
          <w:lang w:eastAsia="zh-CN"/>
        </w:rPr>
      </w:pPr>
      <w:r>
        <w:rPr>
          <w:rFonts w:hint="eastAsia" w:ascii="仿宋" w:hAnsi="仿宋" w:eastAsia="仿宋"/>
          <w:color w:val="auto"/>
          <w:sz w:val="32"/>
          <w:szCs w:val="32"/>
          <w:highlight w:val="none"/>
          <w:lang w:eastAsia="zh-CN"/>
        </w:rPr>
        <w:drawing>
          <wp:inline distT="0" distB="0" distL="114300" distR="114300">
            <wp:extent cx="4804410" cy="2245360"/>
            <wp:effectExtent l="4445" t="4445" r="10795" b="17145"/>
            <wp:docPr id="14"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left="640" w:leftChars="0"/>
        <w:textAlignment w:val="auto"/>
        <w:outlineLvl w:val="1"/>
        <w:rPr>
          <w:rStyle w:val="32"/>
          <w:rFonts w:ascii="黑体" w:hAnsi="黑体" w:eastAsia="黑体"/>
          <w:b w:val="0"/>
          <w:color w:val="auto"/>
          <w:highlight w:val="none"/>
        </w:rPr>
      </w:pPr>
      <w:bookmarkStart w:id="20" w:name="_Toc15396604"/>
      <w:bookmarkStart w:id="21" w:name="_Toc15377206"/>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收</w:t>
      </w:r>
      <w:r>
        <w:rPr>
          <w:rStyle w:val="32"/>
          <w:rFonts w:hint="eastAsia" w:ascii="黑体" w:hAnsi="黑体" w:eastAsia="黑体"/>
          <w:b w:val="0"/>
          <w:color w:val="auto"/>
          <w:highlight w:val="none"/>
        </w:rPr>
        <w:t>入决算情况说明</w:t>
      </w:r>
      <w:bookmarkEnd w:id="20"/>
      <w:bookmarkEnd w:id="21"/>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eastAsia="仿宋"/>
          <w:lang w:eastAsia="zh-CN"/>
        </w:rPr>
      </w:pPr>
      <w:r>
        <w:rPr>
          <w:rFonts w:hint="default" w:ascii="Times New Roman" w:hAnsi="Times New Roman" w:eastAsia="仿宋_GB2312" w:cs="Times New Roman"/>
          <w:b w:val="0"/>
          <w:bCs w:val="0"/>
          <w:kern w:val="2"/>
          <w:sz w:val="32"/>
          <w:szCs w:val="32"/>
          <w:lang w:val="en-US" w:eastAsia="zh-CN" w:bidi="ar-SA"/>
        </w:rPr>
        <w:t>20</w:t>
      </w:r>
      <w:r>
        <w:rPr>
          <w:rFonts w:hint="eastAsia" w:ascii="Times New Roman" w:hAnsi="Times New Roman" w:eastAsia="仿宋_GB2312" w:cs="Times New Roman"/>
          <w:b w:val="0"/>
          <w:bCs w:val="0"/>
          <w:kern w:val="2"/>
          <w:sz w:val="32"/>
          <w:szCs w:val="32"/>
          <w:lang w:val="en-US" w:eastAsia="zh-CN" w:bidi="ar-SA"/>
        </w:rPr>
        <w:t>22年本年收入合计2</w:t>
      </w:r>
      <w:r>
        <w:rPr>
          <w:rFonts w:hint="eastAsia" w:eastAsia="仿宋_GB2312" w:cs="Times New Roman"/>
          <w:b w:val="0"/>
          <w:bCs w:val="0"/>
          <w:kern w:val="2"/>
          <w:sz w:val="32"/>
          <w:szCs w:val="32"/>
          <w:lang w:val="en-US" w:eastAsia="zh-CN" w:bidi="ar-SA"/>
        </w:rPr>
        <w:t>40</w:t>
      </w:r>
      <w:r>
        <w:rPr>
          <w:rFonts w:hint="eastAsia" w:ascii="Times New Roman" w:hAnsi="Times New Roman" w:eastAsia="仿宋_GB2312" w:cs="Times New Roman"/>
          <w:b w:val="0"/>
          <w:bCs w:val="0"/>
          <w:kern w:val="2"/>
          <w:sz w:val="32"/>
          <w:szCs w:val="32"/>
          <w:lang w:val="en-US" w:eastAsia="zh-CN" w:bidi="ar-SA"/>
        </w:rPr>
        <w:t>.97万元，其中：一般公共预算财政拨款收入2</w:t>
      </w:r>
      <w:r>
        <w:rPr>
          <w:rFonts w:hint="eastAsia" w:eastAsia="仿宋_GB2312" w:cs="Times New Roman"/>
          <w:b w:val="0"/>
          <w:bCs w:val="0"/>
          <w:kern w:val="2"/>
          <w:sz w:val="32"/>
          <w:szCs w:val="32"/>
          <w:lang w:val="en-US" w:eastAsia="zh-CN" w:bidi="ar-SA"/>
        </w:rPr>
        <w:t>40</w:t>
      </w:r>
      <w:r>
        <w:rPr>
          <w:rFonts w:hint="eastAsia" w:ascii="Times New Roman" w:hAnsi="Times New Roman" w:eastAsia="仿宋_GB2312" w:cs="Times New Roman"/>
          <w:b w:val="0"/>
          <w:bCs w:val="0"/>
          <w:kern w:val="2"/>
          <w:sz w:val="32"/>
          <w:szCs w:val="32"/>
          <w:lang w:val="en-US" w:eastAsia="zh-CN" w:bidi="ar-SA"/>
        </w:rPr>
        <w:t>.97万元，占100</w:t>
      </w:r>
      <w:r>
        <w:rPr>
          <w:rFonts w:hint="default"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w:t>
      </w:r>
    </w:p>
    <w:p>
      <w:pPr>
        <w:spacing w:line="600" w:lineRule="exact"/>
        <w:rPr>
          <w:rFonts w:ascii="仿宋_GB2312" w:eastAsia="仿宋_GB2312"/>
          <w:color w:val="auto"/>
          <w:sz w:val="32"/>
          <w:szCs w:val="32"/>
          <w:highlight w:val="none"/>
        </w:rPr>
      </w:pPr>
      <w:r>
        <w:rPr>
          <w:rFonts w:hint="eastAsia" w:eastAsia="仿宋"/>
          <w:lang w:eastAsia="zh-CN"/>
        </w:rPr>
        <w:drawing>
          <wp:anchor distT="0" distB="0" distL="114300" distR="114300" simplePos="0" relativeHeight="251659264" behindDoc="1" locked="0" layoutInCell="1" allowOverlap="1">
            <wp:simplePos x="0" y="0"/>
            <wp:positionH relativeFrom="column">
              <wp:posOffset>594995</wp:posOffset>
            </wp:positionH>
            <wp:positionV relativeFrom="paragraph">
              <wp:posOffset>130175</wp:posOffset>
            </wp:positionV>
            <wp:extent cx="4687570" cy="2223135"/>
            <wp:effectExtent l="4445" t="4445" r="13335" b="20320"/>
            <wp:wrapTight wrapText="bothSides">
              <wp:wrapPolygon>
                <wp:start x="-20" y="-43"/>
                <wp:lineTo x="-20" y="21427"/>
                <wp:lineTo x="21574" y="21427"/>
                <wp:lineTo x="21574" y="-43"/>
                <wp:lineTo x="-20" y="-43"/>
              </wp:wrapPolygon>
            </wp:wrapTight>
            <wp:docPr id="15"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rPr>
          <w:rFonts w:hint="eastAsia" w:ascii="黑体" w:hAnsi="黑体" w:eastAsia="黑体"/>
          <w:color w:val="auto"/>
          <w:sz w:val="32"/>
          <w:szCs w:val="32"/>
          <w:highlight w:val="none"/>
          <w:lang w:val="en-US" w:eastAsia="zh-CN"/>
        </w:rPr>
      </w:pPr>
      <w:bookmarkStart w:id="22" w:name="_Toc15396605"/>
      <w:bookmarkStart w:id="23" w:name="_Toc15377207"/>
      <w:r>
        <w:br w:type="page"/>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50" w:lineRule="exact"/>
        <w:ind w:left="640" w:leftChars="0"/>
        <w:textAlignment w:val="auto"/>
        <w:outlineLvl w:val="1"/>
        <w:rPr>
          <w:rStyle w:val="32"/>
          <w:rFonts w:ascii="黑体" w:hAnsi="黑体" w:eastAsia="黑体"/>
          <w:b w:val="0"/>
          <w:color w:val="auto"/>
          <w:highlight w:val="none"/>
        </w:rPr>
      </w:pPr>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支</w:t>
      </w:r>
      <w:r>
        <w:rPr>
          <w:rStyle w:val="32"/>
          <w:rFonts w:hint="eastAsia" w:ascii="黑体" w:hAnsi="黑体" w:eastAsia="黑体"/>
          <w:b w:val="0"/>
          <w:color w:val="auto"/>
          <w:highlight w:val="none"/>
        </w:rPr>
        <w:t>出决算情况说明</w:t>
      </w:r>
      <w:bookmarkEnd w:id="22"/>
      <w:bookmarkEnd w:id="23"/>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1"/>
        <w:rPr>
          <w:rFonts w:hint="eastAsia" w:ascii="仿宋" w:hAnsi="仿宋" w:eastAsia="仿宋"/>
          <w:color w:val="auto"/>
          <w:sz w:val="32"/>
          <w:szCs w:val="32"/>
          <w:highlight w:val="none"/>
          <w:shd w:val="pct10" w:color="auto" w:fill="FFFFFF"/>
          <w:lang w:eastAsia="zh-CN"/>
        </w:rPr>
      </w:pPr>
      <w:r>
        <w:rPr>
          <w:rFonts w:hint="default" w:ascii="Times New Roman" w:hAnsi="Times New Roman" w:eastAsia="仿宋_GB2312" w:cs="Times New Roman"/>
          <w:b w:val="0"/>
          <w:bCs w:val="0"/>
          <w:kern w:val="2"/>
          <w:sz w:val="32"/>
          <w:szCs w:val="32"/>
          <w:lang w:val="en-US" w:eastAsia="zh-CN" w:bidi="ar-SA"/>
        </w:rPr>
        <w:t>20</w:t>
      </w:r>
      <w:r>
        <w:rPr>
          <w:rFonts w:hint="eastAsia" w:ascii="Times New Roman" w:hAnsi="Times New Roman" w:eastAsia="仿宋_GB2312" w:cs="Times New Roman"/>
          <w:b w:val="0"/>
          <w:bCs w:val="0"/>
          <w:kern w:val="2"/>
          <w:sz w:val="32"/>
          <w:szCs w:val="32"/>
          <w:lang w:val="en-US" w:eastAsia="zh-CN" w:bidi="ar-SA"/>
        </w:rPr>
        <w:t>22年本年支出合计2</w:t>
      </w:r>
      <w:r>
        <w:rPr>
          <w:rFonts w:hint="eastAsia" w:eastAsia="仿宋_GB2312" w:cs="Times New Roman"/>
          <w:b w:val="0"/>
          <w:bCs w:val="0"/>
          <w:kern w:val="2"/>
          <w:sz w:val="32"/>
          <w:szCs w:val="32"/>
          <w:lang w:val="en-US" w:eastAsia="zh-CN" w:bidi="ar-SA"/>
        </w:rPr>
        <w:t>40</w:t>
      </w:r>
      <w:r>
        <w:rPr>
          <w:rFonts w:hint="eastAsia" w:ascii="Times New Roman" w:hAnsi="Times New Roman" w:eastAsia="仿宋_GB2312" w:cs="Times New Roman"/>
          <w:b w:val="0"/>
          <w:bCs w:val="0"/>
          <w:kern w:val="2"/>
          <w:sz w:val="32"/>
          <w:szCs w:val="32"/>
          <w:lang w:val="en-US" w:eastAsia="zh-CN" w:bidi="ar-SA"/>
        </w:rPr>
        <w:t>.97万元，其中：基本支出2</w:t>
      </w:r>
      <w:r>
        <w:rPr>
          <w:rFonts w:hint="eastAsia" w:eastAsia="仿宋_GB2312" w:cs="Times New Roman"/>
          <w:b w:val="0"/>
          <w:bCs w:val="0"/>
          <w:kern w:val="2"/>
          <w:sz w:val="32"/>
          <w:szCs w:val="32"/>
          <w:lang w:val="en-US" w:eastAsia="zh-CN" w:bidi="ar-SA"/>
        </w:rPr>
        <w:t>40</w:t>
      </w:r>
      <w:r>
        <w:rPr>
          <w:rFonts w:hint="eastAsia" w:ascii="Times New Roman" w:hAnsi="Times New Roman" w:eastAsia="仿宋_GB2312" w:cs="Times New Roman"/>
          <w:b w:val="0"/>
          <w:bCs w:val="0"/>
          <w:kern w:val="2"/>
          <w:sz w:val="32"/>
          <w:szCs w:val="32"/>
          <w:lang w:val="en-US" w:eastAsia="zh-CN" w:bidi="ar-SA"/>
        </w:rPr>
        <w:t>.97万元，占100</w:t>
      </w:r>
      <w:r>
        <w:rPr>
          <w:rFonts w:hint="default"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；项目支出0万元，年初未安排预算。</w:t>
      </w:r>
    </w:p>
    <w:p>
      <w:pPr>
        <w:pStyle w:val="17"/>
        <w:rPr>
          <w:rFonts w:ascii="仿宋_GB2312" w:eastAsia="仿宋_GB2312"/>
          <w:color w:val="auto"/>
          <w:sz w:val="32"/>
          <w:szCs w:val="32"/>
          <w:highlight w:val="none"/>
        </w:rPr>
      </w:pPr>
      <w:r>
        <w:rPr>
          <w:rFonts w:hint="eastAsia" w:eastAsia="宋体"/>
          <w:lang w:eastAsia="zh-CN"/>
        </w:rPr>
        <w:drawing>
          <wp:inline distT="0" distB="0" distL="114300" distR="114300">
            <wp:extent cx="4947920" cy="2551430"/>
            <wp:effectExtent l="4445" t="4445" r="19685" b="15875"/>
            <wp:docPr id="16" name="图表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outlineLvl w:val="1"/>
        <w:rPr>
          <w:rStyle w:val="32"/>
          <w:rFonts w:ascii="黑体" w:hAnsi="黑体" w:eastAsia="黑体"/>
          <w:b w:val="0"/>
          <w:color w:val="auto"/>
          <w:highlight w:val="none"/>
        </w:rPr>
      </w:pPr>
      <w:bookmarkStart w:id="24" w:name="_Toc15396606"/>
      <w:bookmarkStart w:id="25" w:name="_Toc15377208"/>
      <w:r>
        <w:rPr>
          <w:rFonts w:hint="eastAsia" w:ascii="黑体" w:hAnsi="黑体" w:eastAsia="黑体"/>
          <w:color w:val="auto"/>
          <w:sz w:val="32"/>
          <w:szCs w:val="32"/>
          <w:highlight w:val="none"/>
        </w:rPr>
        <w:t>四、财</w:t>
      </w:r>
      <w:r>
        <w:rPr>
          <w:rStyle w:val="32"/>
          <w:rFonts w:hint="eastAsia" w:ascii="黑体" w:hAnsi="黑体" w:eastAsia="黑体"/>
          <w:b w:val="0"/>
          <w:color w:val="auto"/>
          <w:highlight w:val="none"/>
        </w:rPr>
        <w:t>政拨款收入支出决算总体情况说明</w:t>
      </w:r>
      <w:bookmarkEnd w:id="24"/>
      <w:bookmarkEnd w:id="25"/>
    </w:p>
    <w:p>
      <w:pPr>
        <w:keepNext w:val="0"/>
        <w:keepLines w:val="0"/>
        <w:pageBreakBefore w:val="0"/>
        <w:widowControl w:val="0"/>
        <w:kinsoku/>
        <w:wordWrap/>
        <w:overflowPunct/>
        <w:topLinePunct w:val="0"/>
        <w:autoSpaceDE/>
        <w:autoSpaceDN/>
        <w:bidi w:val="0"/>
        <w:adjustRightInd/>
        <w:snapToGrid/>
        <w:spacing w:line="550"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ascii="仿宋" w:hAnsi="仿宋" w:eastAsia="仿宋"/>
          <w:color w:val="auto"/>
          <w:sz w:val="32"/>
          <w:szCs w:val="32"/>
          <w:highlight w:val="none"/>
          <w:lang w:eastAsia="zh-CN"/>
        </w:rPr>
        <w:drawing>
          <wp:anchor distT="0" distB="0" distL="114300" distR="114300" simplePos="0" relativeHeight="251660288" behindDoc="1" locked="0" layoutInCell="1" allowOverlap="1">
            <wp:simplePos x="0" y="0"/>
            <wp:positionH relativeFrom="column">
              <wp:posOffset>480695</wp:posOffset>
            </wp:positionH>
            <wp:positionV relativeFrom="paragraph">
              <wp:posOffset>1447800</wp:posOffset>
            </wp:positionV>
            <wp:extent cx="4804410" cy="2559050"/>
            <wp:effectExtent l="4445" t="4445" r="10795" b="8255"/>
            <wp:wrapTight wrapText="bothSides">
              <wp:wrapPolygon>
                <wp:start x="-20" y="-38"/>
                <wp:lineTo x="-20" y="21509"/>
                <wp:lineTo x="21563" y="21509"/>
                <wp:lineTo x="21563" y="-38"/>
                <wp:lineTo x="-20" y="-38"/>
              </wp:wrapPolygon>
            </wp:wrapTight>
            <wp:docPr id="17" name="图表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default" w:ascii="Times New Roman" w:hAnsi="Times New Roman" w:eastAsia="仿宋_GB2312" w:cs="Times New Roman"/>
          <w:b w:val="0"/>
          <w:bCs w:val="0"/>
          <w:kern w:val="2"/>
          <w:sz w:val="32"/>
          <w:szCs w:val="32"/>
          <w:lang w:val="en-US" w:eastAsia="zh-CN" w:bidi="ar-SA"/>
        </w:rPr>
        <w:t>202</w:t>
      </w:r>
      <w:r>
        <w:rPr>
          <w:rFonts w:hint="eastAsia" w:eastAsia="仿宋_GB2312" w:cs="Times New Roman"/>
          <w:b w:val="0"/>
          <w:bCs w:val="0"/>
          <w:kern w:val="2"/>
          <w:sz w:val="32"/>
          <w:szCs w:val="32"/>
          <w:lang w:val="en-US" w:eastAsia="zh-CN" w:bidi="ar-SA"/>
        </w:rPr>
        <w:t>2</w:t>
      </w:r>
      <w:r>
        <w:rPr>
          <w:rFonts w:hint="default" w:ascii="Times New Roman" w:hAnsi="Times New Roman" w:eastAsia="仿宋_GB2312" w:cs="Times New Roman"/>
          <w:b w:val="0"/>
          <w:bCs w:val="0"/>
          <w:kern w:val="2"/>
          <w:sz w:val="32"/>
          <w:szCs w:val="32"/>
          <w:lang w:val="en-US" w:eastAsia="zh-CN" w:bidi="ar-SA"/>
        </w:rPr>
        <w:t>年全年收入合计</w:t>
      </w:r>
      <w:r>
        <w:rPr>
          <w:rFonts w:hint="eastAsia" w:eastAsia="仿宋_GB2312" w:cs="Times New Roman"/>
          <w:b w:val="0"/>
          <w:bCs w:val="0"/>
          <w:kern w:val="2"/>
          <w:sz w:val="32"/>
          <w:szCs w:val="32"/>
          <w:lang w:val="en-US" w:eastAsia="zh-CN" w:bidi="ar-SA"/>
        </w:rPr>
        <w:t>240.97</w:t>
      </w:r>
      <w:r>
        <w:rPr>
          <w:rFonts w:hint="default" w:ascii="Times New Roman" w:hAnsi="Times New Roman" w:eastAsia="仿宋_GB2312" w:cs="Times New Roman"/>
          <w:b w:val="0"/>
          <w:bCs w:val="0"/>
          <w:kern w:val="2"/>
          <w:sz w:val="32"/>
          <w:szCs w:val="32"/>
          <w:lang w:val="en-US" w:eastAsia="zh-CN" w:bidi="ar-SA"/>
        </w:rPr>
        <w:t>万元，全年支出总计207.96万元。与202</w:t>
      </w:r>
      <w:r>
        <w:rPr>
          <w:rFonts w:hint="eastAsia" w:eastAsia="仿宋_GB2312" w:cs="Times New Roman"/>
          <w:b w:val="0"/>
          <w:bCs w:val="0"/>
          <w:kern w:val="2"/>
          <w:sz w:val="32"/>
          <w:szCs w:val="32"/>
          <w:lang w:val="en-US" w:eastAsia="zh-CN" w:bidi="ar-SA"/>
        </w:rPr>
        <w:t>1</w:t>
      </w:r>
      <w:r>
        <w:rPr>
          <w:rFonts w:hint="default" w:ascii="Times New Roman" w:hAnsi="Times New Roman" w:eastAsia="仿宋_GB2312" w:cs="Times New Roman"/>
          <w:b w:val="0"/>
          <w:bCs w:val="0"/>
          <w:kern w:val="2"/>
          <w:sz w:val="32"/>
          <w:szCs w:val="32"/>
          <w:lang w:val="en-US" w:eastAsia="zh-CN" w:bidi="ar-SA"/>
        </w:rPr>
        <w:t>年相比，收入增加</w:t>
      </w:r>
      <w:r>
        <w:rPr>
          <w:rFonts w:hint="eastAsia" w:eastAsia="仿宋_GB2312" w:cs="Times New Roman"/>
          <w:b w:val="0"/>
          <w:bCs w:val="0"/>
          <w:kern w:val="2"/>
          <w:sz w:val="32"/>
          <w:szCs w:val="32"/>
          <w:lang w:val="en-US" w:eastAsia="zh-CN" w:bidi="ar-SA"/>
        </w:rPr>
        <w:t>33.01</w:t>
      </w:r>
      <w:r>
        <w:rPr>
          <w:rFonts w:hint="default" w:ascii="Times New Roman" w:hAnsi="Times New Roman" w:eastAsia="仿宋_GB2312" w:cs="Times New Roman"/>
          <w:b w:val="0"/>
          <w:bCs w:val="0"/>
          <w:kern w:val="2"/>
          <w:sz w:val="32"/>
          <w:szCs w:val="32"/>
          <w:lang w:val="en-US" w:eastAsia="zh-CN" w:bidi="ar-SA"/>
        </w:rPr>
        <w:t>万元，增长</w:t>
      </w:r>
      <w:r>
        <w:rPr>
          <w:rFonts w:hint="eastAsia" w:eastAsia="仿宋_GB2312" w:cs="Times New Roman"/>
          <w:b w:val="0"/>
          <w:bCs w:val="0"/>
          <w:kern w:val="2"/>
          <w:sz w:val="32"/>
          <w:szCs w:val="32"/>
          <w:lang w:val="en-US" w:eastAsia="zh-CN" w:bidi="ar-SA"/>
        </w:rPr>
        <w:t>15.9</w:t>
      </w:r>
      <w:r>
        <w:rPr>
          <w:rFonts w:hint="default" w:ascii="Times New Roman" w:hAnsi="Times New Roman" w:eastAsia="仿宋_GB2312" w:cs="Times New Roman"/>
          <w:b w:val="0"/>
          <w:bCs w:val="0"/>
          <w:kern w:val="2"/>
          <w:sz w:val="32"/>
          <w:szCs w:val="32"/>
          <w:lang w:val="en-US" w:eastAsia="zh-CN" w:bidi="ar-SA"/>
        </w:rPr>
        <w:t>%，支出增加</w:t>
      </w:r>
      <w:r>
        <w:rPr>
          <w:rFonts w:hint="eastAsia" w:eastAsia="仿宋_GB2312" w:cs="Times New Roman"/>
          <w:b w:val="0"/>
          <w:bCs w:val="0"/>
          <w:kern w:val="2"/>
          <w:sz w:val="32"/>
          <w:szCs w:val="32"/>
          <w:lang w:val="en-US" w:eastAsia="zh-CN" w:bidi="ar-SA"/>
        </w:rPr>
        <w:t>33.01</w:t>
      </w:r>
      <w:r>
        <w:rPr>
          <w:rFonts w:hint="default" w:ascii="Times New Roman" w:hAnsi="Times New Roman" w:eastAsia="仿宋_GB2312" w:cs="Times New Roman"/>
          <w:b w:val="0"/>
          <w:bCs w:val="0"/>
          <w:kern w:val="2"/>
          <w:sz w:val="32"/>
          <w:szCs w:val="32"/>
          <w:lang w:val="en-US" w:eastAsia="zh-CN" w:bidi="ar-SA"/>
        </w:rPr>
        <w:t>万元，增长</w:t>
      </w:r>
      <w:r>
        <w:rPr>
          <w:rFonts w:hint="eastAsia" w:eastAsia="仿宋_GB2312" w:cs="Times New Roman"/>
          <w:b w:val="0"/>
          <w:bCs w:val="0"/>
          <w:kern w:val="2"/>
          <w:sz w:val="32"/>
          <w:szCs w:val="32"/>
          <w:lang w:val="en-US" w:eastAsia="zh-CN" w:bidi="ar-SA"/>
        </w:rPr>
        <w:t>15.9</w:t>
      </w:r>
      <w:r>
        <w:rPr>
          <w:rFonts w:hint="default" w:ascii="Times New Roman" w:hAnsi="Times New Roman" w:eastAsia="仿宋_GB2312" w:cs="Times New Roman"/>
          <w:b w:val="0"/>
          <w:bCs w:val="0"/>
          <w:kern w:val="2"/>
          <w:sz w:val="32"/>
          <w:szCs w:val="32"/>
          <w:lang w:val="en-US" w:eastAsia="zh-CN" w:bidi="ar-SA"/>
        </w:rPr>
        <w:t>%；主要变动原因是人员调入及人员正常工资晋薪级、职务晋升调资。</w:t>
      </w:r>
    </w:p>
    <w:p>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1"/>
        <w:rPr>
          <w:rStyle w:val="32"/>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32"/>
          <w:rFonts w:hint="eastAsia" w:ascii="黑体" w:hAnsi="黑体" w:eastAsia="黑体"/>
          <w:b w:val="0"/>
          <w:color w:val="auto"/>
          <w:highlight w:val="none"/>
        </w:rPr>
        <w:t>般公共预算财政拨款支出决算情况说明</w:t>
      </w:r>
      <w:bookmarkEnd w:id="26"/>
      <w:bookmarkEnd w:id="27"/>
    </w:p>
    <w:p>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2"/>
        <w:rPr>
          <w:rFonts w:hint="eastAsia" w:ascii="楷体_GB2312" w:hAnsi="楷体_GB2312" w:eastAsia="楷体_GB2312" w:cs="楷体_GB2312"/>
          <w:b w:val="0"/>
          <w:bCs/>
          <w:color w:val="auto"/>
          <w:sz w:val="32"/>
          <w:szCs w:val="32"/>
          <w:highlight w:val="none"/>
        </w:rPr>
      </w:pPr>
      <w:bookmarkStart w:id="28" w:name="_Toc15377210"/>
      <w:r>
        <w:rPr>
          <w:rFonts w:hint="eastAsia" w:ascii="楷体_GB2312" w:hAnsi="楷体_GB2312" w:eastAsia="楷体_GB2312" w:cs="楷体_GB2312"/>
          <w:b w:val="0"/>
          <w:bCs/>
          <w:color w:val="auto"/>
          <w:sz w:val="32"/>
          <w:szCs w:val="32"/>
          <w:highlight w:val="none"/>
        </w:rPr>
        <w:t>（一）一般公共预算财政拨款支出决算总体情况</w:t>
      </w:r>
      <w:bookmarkEnd w:id="28"/>
    </w:p>
    <w:p>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rPr>
          <w:rFonts w:hint="default" w:ascii="Times New Roman" w:hAnsi="Times New Roman" w:cs="Times New Roman"/>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年一般公共预算财政拨款支出</w:t>
      </w:r>
      <w:r>
        <w:rPr>
          <w:rFonts w:hint="default" w:ascii="Times New Roman" w:hAnsi="Times New Roman" w:eastAsia="仿宋" w:cs="Times New Roman"/>
          <w:color w:val="auto"/>
          <w:sz w:val="32"/>
          <w:szCs w:val="32"/>
          <w:highlight w:val="none"/>
          <w:lang w:val="en-US" w:eastAsia="zh-CN"/>
        </w:rPr>
        <w:t>2</w:t>
      </w:r>
      <w:r>
        <w:rPr>
          <w:rFonts w:hint="eastAsia" w:eastAsia="仿宋" w:cs="Times New Roman"/>
          <w:color w:val="auto"/>
          <w:sz w:val="32"/>
          <w:szCs w:val="32"/>
          <w:highlight w:val="none"/>
          <w:lang w:val="en-US" w:eastAsia="zh-CN"/>
        </w:rPr>
        <w:t>40</w:t>
      </w:r>
      <w:r>
        <w:rPr>
          <w:rFonts w:hint="default" w:ascii="Times New Roman" w:hAnsi="Times New Roman" w:eastAsia="仿宋" w:cs="Times New Roman"/>
          <w:color w:val="auto"/>
          <w:sz w:val="32"/>
          <w:szCs w:val="32"/>
          <w:highlight w:val="none"/>
          <w:lang w:val="en-US" w:eastAsia="zh-CN"/>
        </w:rPr>
        <w:t>.97</w:t>
      </w:r>
      <w:r>
        <w:rPr>
          <w:rFonts w:hint="default" w:ascii="Times New Roman" w:hAnsi="Times New Roman" w:eastAsia="仿宋" w:cs="Times New Roman"/>
          <w:color w:val="auto"/>
          <w:sz w:val="32"/>
          <w:szCs w:val="32"/>
          <w:highlight w:val="none"/>
        </w:rPr>
        <w:t>万元，占本年支出合计的</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%。与20</w:t>
      </w:r>
      <w:r>
        <w:rPr>
          <w:rFonts w:hint="default" w:ascii="Times New Roman" w:hAnsi="Times New Roman" w:eastAsia="仿宋" w:cs="Times New Roman"/>
          <w:color w:val="auto"/>
          <w:sz w:val="32"/>
          <w:szCs w:val="32"/>
          <w:highlight w:val="none"/>
          <w:lang w:val="en-US" w:eastAsia="zh-CN"/>
        </w:rPr>
        <w:t>21</w:t>
      </w:r>
      <w:r>
        <w:rPr>
          <w:rFonts w:hint="default" w:ascii="Times New Roman" w:hAnsi="Times New Roman" w:eastAsia="仿宋" w:cs="Times New Roman"/>
          <w:color w:val="auto"/>
          <w:sz w:val="32"/>
          <w:szCs w:val="32"/>
          <w:highlight w:val="none"/>
        </w:rPr>
        <w:t>年相比，一般公共预算财政拨款</w:t>
      </w:r>
      <w:r>
        <w:rPr>
          <w:rFonts w:hint="default" w:ascii="Times New Roman" w:hAnsi="Times New Roman" w:eastAsia="仿宋" w:cs="Times New Roman"/>
          <w:color w:val="auto"/>
          <w:sz w:val="32"/>
          <w:szCs w:val="32"/>
          <w:highlight w:val="none"/>
          <w:lang w:eastAsia="zh-CN"/>
        </w:rPr>
        <w:t>支出</w:t>
      </w:r>
      <w:r>
        <w:rPr>
          <w:rFonts w:hint="default" w:ascii="Times New Roman" w:hAnsi="Times New Roman" w:eastAsia="仿宋" w:cs="Times New Roman"/>
          <w:color w:val="auto"/>
          <w:sz w:val="32"/>
          <w:szCs w:val="32"/>
          <w:highlight w:val="none"/>
        </w:rPr>
        <w:t>增加</w:t>
      </w:r>
      <w:r>
        <w:rPr>
          <w:rFonts w:hint="default" w:ascii="Times New Roman" w:hAnsi="Times New Roman" w:eastAsia="仿宋" w:cs="Times New Roman"/>
          <w:color w:val="auto"/>
          <w:sz w:val="32"/>
          <w:szCs w:val="32"/>
          <w:highlight w:val="none"/>
          <w:lang w:val="en-US" w:eastAsia="zh-CN"/>
        </w:rPr>
        <w:t>33.01</w:t>
      </w:r>
      <w:r>
        <w:rPr>
          <w:rFonts w:hint="default" w:ascii="Times New Roman" w:hAnsi="Times New Roman" w:eastAsia="仿宋" w:cs="Times New Roman"/>
          <w:color w:val="auto"/>
          <w:sz w:val="32"/>
          <w:szCs w:val="32"/>
          <w:highlight w:val="none"/>
        </w:rPr>
        <w:t>万元，增长</w:t>
      </w:r>
      <w:r>
        <w:rPr>
          <w:rFonts w:hint="default" w:ascii="Times New Roman" w:hAnsi="Times New Roman" w:eastAsia="仿宋" w:cs="Times New Roman"/>
          <w:color w:val="auto"/>
          <w:sz w:val="32"/>
          <w:szCs w:val="32"/>
          <w:highlight w:val="none"/>
          <w:lang w:val="en-US" w:eastAsia="zh-CN"/>
        </w:rPr>
        <w:t>15.9</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b w:val="0"/>
          <w:bCs w:val="0"/>
          <w:kern w:val="2"/>
          <w:sz w:val="32"/>
          <w:szCs w:val="32"/>
          <w:lang w:val="en-US" w:eastAsia="zh-CN" w:bidi="ar-SA"/>
        </w:rPr>
        <w:t>主要变动原因是人员调入及人员正常工资晋薪级、职务晋升调资。</w:t>
      </w:r>
    </w:p>
    <w:p>
      <w:pPr>
        <w:pStyle w:val="17"/>
        <w:keepNext w:val="0"/>
        <w:keepLines w:val="0"/>
        <w:pageBreakBefore w:val="0"/>
        <w:widowControl w:val="0"/>
        <w:kinsoku/>
        <w:wordWrap/>
        <w:overflowPunct/>
        <w:topLinePunct w:val="0"/>
        <w:autoSpaceDE/>
        <w:autoSpaceDN/>
        <w:bidi w:val="0"/>
        <w:adjustRightInd/>
        <w:snapToGrid/>
        <w:spacing w:after="0" w:line="604" w:lineRule="exact"/>
        <w:ind w:left="0" w:leftChars="0" w:firstLine="640" w:firstLineChars="200"/>
        <w:textAlignment w:val="auto"/>
        <w:rPr>
          <w:rFonts w:hint="eastAsia" w:ascii="楷体_GB2312" w:hAnsi="楷体_GB2312" w:eastAsia="楷体_GB2312" w:cs="楷体_GB2312"/>
          <w:b w:val="0"/>
          <w:bCs/>
          <w:color w:val="auto"/>
          <w:kern w:val="2"/>
          <w:sz w:val="32"/>
          <w:szCs w:val="32"/>
          <w:highlight w:val="none"/>
          <w:lang w:val="en-US" w:eastAsia="zh-CN" w:bidi="ar-SA"/>
        </w:rPr>
      </w:pPr>
      <w:r>
        <w:rPr>
          <w:rFonts w:hint="default" w:ascii="楷体_GB2312" w:hAnsi="楷体_GB2312" w:eastAsia="楷体_GB2312" w:cs="楷体_GB2312"/>
          <w:b w:val="0"/>
          <w:bCs/>
          <w:color w:val="auto"/>
          <w:kern w:val="2"/>
          <w:sz w:val="32"/>
          <w:szCs w:val="32"/>
          <w:highlight w:val="none"/>
          <w:lang w:val="en-US" w:eastAsia="zh-CN" w:bidi="ar-SA"/>
        </w:rPr>
        <w:drawing>
          <wp:anchor distT="0" distB="0" distL="114300" distR="114300" simplePos="0" relativeHeight="251661312" behindDoc="0" locked="0" layoutInCell="1" allowOverlap="1">
            <wp:simplePos x="0" y="0"/>
            <wp:positionH relativeFrom="column">
              <wp:posOffset>185420</wp:posOffset>
            </wp:positionH>
            <wp:positionV relativeFrom="paragraph">
              <wp:posOffset>52070</wp:posOffset>
            </wp:positionV>
            <wp:extent cx="5080000" cy="3810000"/>
            <wp:effectExtent l="4445" t="4445" r="20955" b="14605"/>
            <wp:wrapSquare wrapText="bothSides"/>
            <wp:docPr id="18" name="图表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bookmarkStart w:id="29" w:name="_Toc15377211"/>
      <w:r>
        <w:rPr>
          <w:rFonts w:hint="eastAsia" w:ascii="楷体_GB2312" w:hAnsi="楷体_GB2312" w:eastAsia="楷体_GB2312" w:cs="楷体_GB2312"/>
          <w:b w:val="0"/>
          <w:bCs/>
          <w:color w:val="auto"/>
          <w:kern w:val="2"/>
          <w:sz w:val="32"/>
          <w:szCs w:val="32"/>
          <w:highlight w:val="none"/>
          <w:lang w:val="en-US" w:eastAsia="zh-CN" w:bidi="ar-SA"/>
        </w:rPr>
        <w:t>（二）一般公共预算财政拨款支出决算结构情况</w:t>
      </w:r>
      <w:bookmarkEnd w:id="29"/>
    </w:p>
    <w:p>
      <w:pPr>
        <w:keepNext w:val="0"/>
        <w:keepLines w:val="0"/>
        <w:pageBreakBefore w:val="0"/>
        <w:widowControl w:val="0"/>
        <w:kinsoku/>
        <w:wordWrap/>
        <w:overflowPunct/>
        <w:topLinePunct w:val="0"/>
        <w:autoSpaceDE/>
        <w:autoSpaceDN/>
        <w:bidi w:val="0"/>
        <w:adjustRightInd/>
        <w:snapToGrid/>
        <w:spacing w:line="604" w:lineRule="exact"/>
        <w:ind w:firstLine="64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年一般公共预算财政拨款支出</w:t>
      </w:r>
      <w:r>
        <w:rPr>
          <w:rFonts w:hint="default" w:ascii="Times New Roman" w:hAnsi="Times New Roman" w:eastAsia="仿宋" w:cs="Times New Roman"/>
          <w:color w:val="auto"/>
          <w:sz w:val="32"/>
          <w:szCs w:val="32"/>
          <w:highlight w:val="none"/>
          <w:lang w:val="en-US" w:eastAsia="zh-CN"/>
        </w:rPr>
        <w:t>2</w:t>
      </w:r>
      <w:r>
        <w:rPr>
          <w:rFonts w:hint="eastAsia" w:eastAsia="仿宋" w:cs="Times New Roman"/>
          <w:color w:val="auto"/>
          <w:sz w:val="32"/>
          <w:szCs w:val="32"/>
          <w:highlight w:val="none"/>
          <w:lang w:val="en-US" w:eastAsia="zh-CN"/>
        </w:rPr>
        <w:t>40</w:t>
      </w:r>
      <w:r>
        <w:rPr>
          <w:rFonts w:hint="default" w:ascii="Times New Roman" w:hAnsi="Times New Roman" w:eastAsia="仿宋" w:cs="Times New Roman"/>
          <w:color w:val="auto"/>
          <w:sz w:val="32"/>
          <w:szCs w:val="32"/>
          <w:highlight w:val="none"/>
          <w:lang w:val="en-US" w:eastAsia="zh-CN"/>
        </w:rPr>
        <w:t>.97</w:t>
      </w:r>
      <w:r>
        <w:rPr>
          <w:rFonts w:hint="default" w:ascii="Times New Roman" w:hAnsi="Times New Roman" w:eastAsia="仿宋" w:cs="Times New Roman"/>
          <w:color w:val="auto"/>
          <w:sz w:val="32"/>
          <w:szCs w:val="32"/>
          <w:highlight w:val="none"/>
        </w:rPr>
        <w:t>万元，主要用于以下方面:</w:t>
      </w:r>
      <w:r>
        <w:rPr>
          <w:rFonts w:hint="default" w:ascii="Times New Roman" w:hAnsi="Times New Roman" w:eastAsia="仿宋" w:cs="Times New Roman"/>
          <w:b/>
          <w:color w:val="auto"/>
          <w:sz w:val="32"/>
          <w:szCs w:val="32"/>
          <w:highlight w:val="none"/>
        </w:rPr>
        <w:t>一般公共服务</w:t>
      </w:r>
      <w:r>
        <w:rPr>
          <w:rFonts w:hint="default" w:ascii="Times New Roman" w:hAnsi="Times New Roman" w:eastAsia="仿宋" w:cs="Times New Roman"/>
          <w:b/>
          <w:bCs/>
          <w:color w:val="auto"/>
          <w:sz w:val="32"/>
          <w:szCs w:val="32"/>
          <w:highlight w:val="none"/>
        </w:rPr>
        <w:t>支出</w:t>
      </w:r>
      <w:r>
        <w:rPr>
          <w:rFonts w:hint="default" w:ascii="Times New Roman" w:hAnsi="Times New Roman" w:eastAsia="仿宋" w:cs="Times New Roman"/>
          <w:color w:val="auto"/>
          <w:sz w:val="32"/>
          <w:szCs w:val="32"/>
          <w:highlight w:val="none"/>
          <w:lang w:val="en-US" w:eastAsia="zh-CN"/>
        </w:rPr>
        <w:t>197.1</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81.79</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color w:val="auto"/>
          <w:sz w:val="32"/>
          <w:szCs w:val="32"/>
          <w:highlight w:val="none"/>
        </w:rPr>
        <w:t>社会保障和就业</w:t>
      </w:r>
      <w:r>
        <w:rPr>
          <w:rFonts w:hint="default" w:ascii="Times New Roman" w:hAnsi="Times New Roman" w:eastAsia="仿宋" w:cs="Times New Roman"/>
          <w:b/>
          <w:bCs/>
          <w:color w:val="auto"/>
          <w:sz w:val="32"/>
          <w:szCs w:val="32"/>
          <w:highlight w:val="none"/>
        </w:rPr>
        <w:t>支出</w:t>
      </w:r>
      <w:r>
        <w:rPr>
          <w:rFonts w:hint="default" w:ascii="Times New Roman" w:hAnsi="Times New Roman" w:eastAsia="仿宋" w:cs="Times New Roman"/>
          <w:color w:val="auto"/>
          <w:sz w:val="32"/>
          <w:szCs w:val="32"/>
          <w:highlight w:val="none"/>
          <w:lang w:val="en-US" w:eastAsia="zh-CN"/>
        </w:rPr>
        <w:t>22.49</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9.33</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卫生健康支出</w:t>
      </w:r>
      <w:r>
        <w:rPr>
          <w:rFonts w:hint="default" w:ascii="Times New Roman" w:hAnsi="Times New Roman" w:eastAsia="仿宋" w:cs="Times New Roman"/>
          <w:color w:val="auto"/>
          <w:sz w:val="32"/>
          <w:szCs w:val="32"/>
          <w:highlight w:val="none"/>
          <w:lang w:val="en-US" w:eastAsia="zh-CN"/>
        </w:rPr>
        <w:t>7.05</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2.93</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b/>
          <w:bCs/>
          <w:color w:val="auto"/>
          <w:sz w:val="32"/>
          <w:szCs w:val="32"/>
          <w:highlight w:val="none"/>
        </w:rPr>
        <w:t>住房保障支出</w:t>
      </w:r>
      <w:r>
        <w:rPr>
          <w:rFonts w:hint="default" w:ascii="Times New Roman" w:hAnsi="Times New Roman" w:eastAsia="仿宋" w:cs="Times New Roman"/>
          <w:color w:val="auto"/>
          <w:sz w:val="32"/>
          <w:szCs w:val="32"/>
          <w:highlight w:val="none"/>
          <w:lang w:val="en-US" w:eastAsia="zh-CN"/>
        </w:rPr>
        <w:t>14.33</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5.95</w:t>
      </w:r>
      <w:r>
        <w:rPr>
          <w:rFonts w:hint="default" w:ascii="Times New Roman" w:hAnsi="Times New Roman" w:eastAsia="仿宋" w:cs="Times New Roman"/>
          <w:color w:val="auto"/>
          <w:sz w:val="32"/>
          <w:szCs w:val="32"/>
          <w:highlight w:val="none"/>
        </w:rPr>
        <w:t>%。</w:t>
      </w:r>
    </w:p>
    <w:p>
      <w:pPr>
        <w:pStyle w:val="17"/>
        <w:rPr>
          <w:rFonts w:ascii="仿宋" w:hAnsi="仿宋" w:eastAsia="仿宋"/>
          <w:color w:val="auto"/>
          <w:sz w:val="32"/>
          <w:szCs w:val="32"/>
          <w:highlight w:val="none"/>
        </w:rPr>
      </w:pPr>
      <w:r>
        <w:rPr>
          <w:rFonts w:hint="default"/>
          <w:lang w:eastAsia="zh-CN"/>
        </w:rPr>
        <w:drawing>
          <wp:inline distT="0" distB="0" distL="114300" distR="114300">
            <wp:extent cx="4350385" cy="3191510"/>
            <wp:effectExtent l="4445" t="4445" r="7620" b="23495"/>
            <wp:docPr id="19" name="图表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pageBreakBefore w:val="0"/>
        <w:widowControl w:val="0"/>
        <w:kinsoku/>
        <w:wordWrap/>
        <w:overflowPunct/>
        <w:topLinePunct w:val="0"/>
        <w:autoSpaceDE/>
        <w:autoSpaceDN/>
        <w:bidi w:val="0"/>
        <w:adjustRightInd/>
        <w:snapToGrid/>
        <w:spacing w:line="604" w:lineRule="exact"/>
        <w:ind w:firstLine="640" w:firstLineChars="200"/>
        <w:textAlignment w:val="auto"/>
        <w:outlineLvl w:val="2"/>
        <w:rPr>
          <w:rFonts w:hint="eastAsia" w:ascii="楷体_GB2312" w:hAnsi="楷体_GB2312" w:eastAsia="楷体_GB2312" w:cs="楷体_GB2312"/>
          <w:b w:val="0"/>
          <w:bCs/>
          <w:color w:val="auto"/>
          <w:sz w:val="32"/>
          <w:szCs w:val="32"/>
          <w:highlight w:val="none"/>
        </w:rPr>
      </w:pPr>
      <w:bookmarkStart w:id="30" w:name="_Toc15377212"/>
      <w:r>
        <w:rPr>
          <w:rFonts w:hint="eastAsia" w:ascii="楷体_GB2312" w:hAnsi="楷体_GB2312" w:eastAsia="楷体_GB2312" w:cs="楷体_GB2312"/>
          <w:b w:val="0"/>
          <w:bCs/>
          <w:color w:val="auto"/>
          <w:sz w:val="32"/>
          <w:szCs w:val="32"/>
          <w:highlight w:val="none"/>
        </w:rPr>
        <w:t>（三）一般公共预算财政拨款支出决算具体情况</w:t>
      </w:r>
      <w:bookmarkEnd w:id="30"/>
    </w:p>
    <w:p>
      <w:pPr>
        <w:spacing w:line="600" w:lineRule="exact"/>
        <w:ind w:firstLine="643" w:firstLineChars="200"/>
        <w:outlineLvl w:val="2"/>
        <w:rPr>
          <w:rFonts w:hint="default" w:ascii="Times New Roman" w:hAnsi="Times New Roman" w:eastAsia="仿宋" w:cs="Times New Roman"/>
          <w:color w:val="auto"/>
          <w:sz w:val="32"/>
          <w:szCs w:val="32"/>
          <w:highlight w:val="none"/>
        </w:rPr>
      </w:pPr>
      <w:bookmarkStart w:id="31" w:name="_Toc15378460"/>
      <w:bookmarkStart w:id="32" w:name="_Toc15377444"/>
      <w:bookmarkStart w:id="33" w:name="_Toc15377213"/>
      <w:r>
        <w:rPr>
          <w:rFonts w:hint="default" w:ascii="Times New Roman" w:hAnsi="Times New Roman" w:eastAsia="仿宋" w:cs="Times New Roman"/>
          <w:b/>
          <w:color w:val="auto"/>
          <w:sz w:val="32"/>
          <w:szCs w:val="32"/>
          <w:highlight w:val="none"/>
        </w:rPr>
        <w:t>20</w:t>
      </w:r>
      <w:r>
        <w:rPr>
          <w:rFonts w:hint="default" w:ascii="Times New Roman" w:hAnsi="Times New Roman" w:eastAsia="仿宋" w:cs="Times New Roman"/>
          <w:b/>
          <w:color w:val="auto"/>
          <w:sz w:val="32"/>
          <w:szCs w:val="32"/>
          <w:highlight w:val="none"/>
          <w:lang w:val="en-US" w:eastAsia="zh-CN"/>
        </w:rPr>
        <w:t>22</w:t>
      </w:r>
      <w:r>
        <w:rPr>
          <w:rFonts w:hint="default" w:ascii="Times New Roman" w:hAnsi="Times New Roman" w:eastAsia="仿宋" w:cs="Times New Roman"/>
          <w:b/>
          <w:color w:val="auto"/>
          <w:sz w:val="32"/>
          <w:szCs w:val="32"/>
          <w:highlight w:val="none"/>
        </w:rPr>
        <w:t>年</w:t>
      </w:r>
      <w:r>
        <w:rPr>
          <w:rFonts w:hint="default" w:ascii="Times New Roman" w:hAnsi="Times New Roman" w:eastAsia="仿宋" w:cs="Times New Roman"/>
          <w:b/>
          <w:color w:val="auto"/>
          <w:sz w:val="32"/>
          <w:szCs w:val="32"/>
          <w:highlight w:val="none"/>
          <w:lang w:eastAsia="zh-CN"/>
        </w:rPr>
        <w:t>一</w:t>
      </w:r>
      <w:r>
        <w:rPr>
          <w:rFonts w:hint="default" w:ascii="Times New Roman" w:hAnsi="Times New Roman" w:eastAsia="仿宋" w:cs="Times New Roman"/>
          <w:b/>
          <w:color w:val="auto"/>
          <w:sz w:val="32"/>
          <w:szCs w:val="32"/>
          <w:highlight w:val="none"/>
        </w:rPr>
        <w:t>般公共预算支出决算数为</w:t>
      </w:r>
      <w:r>
        <w:rPr>
          <w:rFonts w:hint="default" w:ascii="Times New Roman" w:hAnsi="Times New Roman" w:eastAsia="仿宋" w:cs="Times New Roman"/>
          <w:b/>
          <w:color w:val="auto"/>
          <w:sz w:val="32"/>
          <w:szCs w:val="32"/>
          <w:highlight w:val="none"/>
          <w:lang w:val="en-US" w:eastAsia="zh-CN"/>
        </w:rPr>
        <w:t>2</w:t>
      </w:r>
      <w:r>
        <w:rPr>
          <w:rFonts w:hint="eastAsia" w:eastAsia="仿宋" w:cs="Times New Roman"/>
          <w:b/>
          <w:color w:val="auto"/>
          <w:sz w:val="32"/>
          <w:szCs w:val="32"/>
          <w:highlight w:val="none"/>
          <w:lang w:val="en-US" w:eastAsia="zh-CN"/>
        </w:rPr>
        <w:t>40</w:t>
      </w:r>
      <w:r>
        <w:rPr>
          <w:rFonts w:hint="default" w:ascii="Times New Roman" w:hAnsi="Times New Roman" w:eastAsia="仿宋" w:cs="Times New Roman"/>
          <w:b/>
          <w:color w:val="auto"/>
          <w:sz w:val="32"/>
          <w:szCs w:val="32"/>
          <w:highlight w:val="none"/>
          <w:lang w:val="en-US" w:eastAsia="zh-CN"/>
        </w:rPr>
        <w:t>.97</w:t>
      </w:r>
      <w:r>
        <w:rPr>
          <w:rFonts w:hint="default" w:ascii="Times New Roman" w:hAnsi="Times New Roman" w:eastAsia="仿宋" w:cs="Times New Roman"/>
          <w:color w:val="auto"/>
          <w:sz w:val="32"/>
          <w:szCs w:val="32"/>
          <w:highlight w:val="none"/>
        </w:rPr>
        <w:t>，</w:t>
      </w:r>
      <w:r>
        <w:rPr>
          <w:rStyle w:val="21"/>
          <w:rFonts w:hint="default" w:ascii="Times New Roman" w:hAnsi="Times New Roman" w:eastAsia="仿宋" w:cs="Times New Roman"/>
          <w:bCs/>
          <w:color w:val="auto"/>
          <w:sz w:val="32"/>
          <w:szCs w:val="32"/>
          <w:highlight w:val="none"/>
        </w:rPr>
        <w:t>完成预算</w:t>
      </w:r>
      <w:r>
        <w:rPr>
          <w:rStyle w:val="21"/>
          <w:rFonts w:hint="default" w:ascii="Times New Roman" w:hAnsi="Times New Roman" w:eastAsia="仿宋" w:cs="Times New Roman"/>
          <w:bCs/>
          <w:color w:val="auto"/>
          <w:sz w:val="32"/>
          <w:szCs w:val="32"/>
          <w:highlight w:val="none"/>
          <w:lang w:val="en-US" w:eastAsia="zh-CN"/>
        </w:rPr>
        <w:t>100</w:t>
      </w:r>
      <w:r>
        <w:rPr>
          <w:rStyle w:val="21"/>
          <w:rFonts w:hint="default" w:ascii="Times New Roman" w:hAnsi="Times New Roman" w:eastAsia="仿宋" w:cs="Times New Roman"/>
          <w:bCs/>
          <w:color w:val="auto"/>
          <w:sz w:val="32"/>
          <w:szCs w:val="32"/>
          <w:highlight w:val="none"/>
        </w:rPr>
        <w:t>%。其中：</w:t>
      </w:r>
      <w:bookmarkEnd w:id="31"/>
      <w:bookmarkEnd w:id="32"/>
      <w:bookmarkEnd w:id="33"/>
    </w:p>
    <w:p>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1.一般公共服务（类）党委办公厅（室）及相关机构事务（款）行政事业运行（项）: 支出决算为</w:t>
      </w:r>
      <w:r>
        <w:rPr>
          <w:rFonts w:hint="eastAsia" w:eastAsia="仿宋_GB2312" w:cs="Times New Roman"/>
          <w:b w:val="0"/>
          <w:bCs w:val="0"/>
          <w:kern w:val="2"/>
          <w:sz w:val="32"/>
          <w:szCs w:val="32"/>
          <w:lang w:val="en-US" w:eastAsia="zh-CN" w:bidi="ar-SA"/>
        </w:rPr>
        <w:t>197.1</w:t>
      </w:r>
      <w:r>
        <w:rPr>
          <w:rFonts w:hint="default" w:ascii="Times New Roman" w:hAnsi="Times New Roman" w:eastAsia="仿宋_GB2312" w:cs="Times New Roman"/>
          <w:b w:val="0"/>
          <w:bCs w:val="0"/>
          <w:kern w:val="2"/>
          <w:sz w:val="32"/>
          <w:szCs w:val="32"/>
          <w:lang w:val="en-US" w:eastAsia="zh-CN" w:bidi="ar-SA"/>
        </w:rPr>
        <w:t>万元，完成预算100%</w:t>
      </w:r>
      <w:r>
        <w:rPr>
          <w:rFonts w:hint="eastAsia" w:eastAsia="仿宋_GB2312" w:cs="Times New Roman"/>
          <w:b w:val="0"/>
          <w:bCs w:val="0"/>
          <w:kern w:val="2"/>
          <w:sz w:val="32"/>
          <w:szCs w:val="32"/>
          <w:lang w:val="en-US" w:eastAsia="zh-CN" w:bidi="ar-SA"/>
        </w:rPr>
        <w:t>,与预算数持平</w:t>
      </w:r>
      <w:r>
        <w:rPr>
          <w:rFonts w:hint="default"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2.社会保障和就业（类）行政事业单位养老支出（款）机关事业单位基本养老保险缴费支出（项）: 支出决算为</w:t>
      </w:r>
      <w:r>
        <w:rPr>
          <w:rFonts w:hint="eastAsia" w:eastAsia="仿宋_GB2312" w:cs="Times New Roman"/>
          <w:b w:val="0"/>
          <w:bCs w:val="0"/>
          <w:kern w:val="2"/>
          <w:sz w:val="32"/>
          <w:szCs w:val="32"/>
          <w:lang w:val="en-US" w:eastAsia="zh-CN" w:bidi="ar-SA"/>
        </w:rPr>
        <w:t>22.49</w:t>
      </w:r>
      <w:r>
        <w:rPr>
          <w:rFonts w:hint="default" w:ascii="Times New Roman" w:hAnsi="Times New Roman" w:eastAsia="仿宋_GB2312" w:cs="Times New Roman"/>
          <w:b w:val="0"/>
          <w:bCs w:val="0"/>
          <w:kern w:val="2"/>
          <w:sz w:val="32"/>
          <w:szCs w:val="32"/>
          <w:lang w:val="en-US" w:eastAsia="zh-CN" w:bidi="ar-SA"/>
        </w:rPr>
        <w:t>万元，完成预算100%</w:t>
      </w:r>
      <w:r>
        <w:rPr>
          <w:rFonts w:hint="eastAsia" w:eastAsia="仿宋_GB2312" w:cs="Times New Roman"/>
          <w:b w:val="0"/>
          <w:bCs w:val="0"/>
          <w:kern w:val="2"/>
          <w:sz w:val="32"/>
          <w:szCs w:val="32"/>
          <w:lang w:val="en-US" w:eastAsia="zh-CN" w:bidi="ar-SA"/>
        </w:rPr>
        <w:t>，与预算数持平</w:t>
      </w:r>
      <w:r>
        <w:rPr>
          <w:rFonts w:hint="default"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3.社会保障和就业（类）其他社会保障和就业支出（款）其他社会保障和就业支出（项）: 支出决算为</w:t>
      </w:r>
      <w:r>
        <w:rPr>
          <w:rFonts w:hint="eastAsia" w:eastAsia="仿宋_GB2312" w:cs="Times New Roman"/>
          <w:b w:val="0"/>
          <w:bCs w:val="0"/>
          <w:kern w:val="2"/>
          <w:sz w:val="32"/>
          <w:szCs w:val="32"/>
          <w:lang w:val="en-US" w:eastAsia="zh-CN" w:bidi="ar-SA"/>
        </w:rPr>
        <w:t>1.61</w:t>
      </w:r>
      <w:r>
        <w:rPr>
          <w:rFonts w:hint="default" w:ascii="Times New Roman" w:hAnsi="Times New Roman" w:eastAsia="仿宋_GB2312" w:cs="Times New Roman"/>
          <w:b w:val="0"/>
          <w:bCs w:val="0"/>
          <w:kern w:val="2"/>
          <w:sz w:val="32"/>
          <w:szCs w:val="32"/>
          <w:lang w:val="en-US" w:eastAsia="zh-CN" w:bidi="ar-SA"/>
        </w:rPr>
        <w:t>万元，完成预算100%</w:t>
      </w:r>
      <w:r>
        <w:rPr>
          <w:rFonts w:hint="eastAsia" w:eastAsia="仿宋_GB2312" w:cs="Times New Roman"/>
          <w:b w:val="0"/>
          <w:bCs w:val="0"/>
          <w:kern w:val="2"/>
          <w:sz w:val="32"/>
          <w:szCs w:val="32"/>
          <w:lang w:val="en-US" w:eastAsia="zh-CN" w:bidi="ar-SA"/>
        </w:rPr>
        <w:t>，与预算数持平</w:t>
      </w:r>
      <w:r>
        <w:rPr>
          <w:rFonts w:hint="default"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kinsoku/>
        <w:wordWrap/>
        <w:overflowPunct/>
        <w:topLinePunct w:val="0"/>
        <w:bidi w:val="0"/>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4.卫生健康（类）行政事业单位医疗（款）行政事业单位医疗（项）:支出决算为</w:t>
      </w:r>
      <w:r>
        <w:rPr>
          <w:rFonts w:hint="eastAsia" w:eastAsia="仿宋_GB2312" w:cs="Times New Roman"/>
          <w:b w:val="0"/>
          <w:bCs w:val="0"/>
          <w:kern w:val="2"/>
          <w:sz w:val="32"/>
          <w:szCs w:val="32"/>
          <w:lang w:val="en-US" w:eastAsia="zh-CN" w:bidi="ar-SA"/>
        </w:rPr>
        <w:t>5.44</w:t>
      </w:r>
      <w:r>
        <w:rPr>
          <w:rFonts w:hint="default" w:ascii="Times New Roman" w:hAnsi="Times New Roman" w:eastAsia="仿宋_GB2312" w:cs="Times New Roman"/>
          <w:b w:val="0"/>
          <w:bCs w:val="0"/>
          <w:kern w:val="2"/>
          <w:sz w:val="32"/>
          <w:szCs w:val="32"/>
          <w:lang w:val="en-US" w:eastAsia="zh-CN" w:bidi="ar-SA"/>
        </w:rPr>
        <w:t>万元，完成预算100%</w:t>
      </w:r>
      <w:r>
        <w:rPr>
          <w:rFonts w:hint="eastAsia" w:eastAsia="仿宋_GB2312" w:cs="Times New Roman"/>
          <w:b w:val="0"/>
          <w:bCs w:val="0"/>
          <w:kern w:val="2"/>
          <w:sz w:val="32"/>
          <w:szCs w:val="32"/>
          <w:lang w:val="en-US" w:eastAsia="zh-CN" w:bidi="ar-SA"/>
        </w:rPr>
        <w:t>，与预算数持平</w:t>
      </w:r>
      <w:r>
        <w:rPr>
          <w:rFonts w:hint="default"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ascii="仿宋" w:hAnsi="仿宋" w:eastAsia="仿宋"/>
          <w:b/>
          <w:color w:val="auto"/>
          <w:sz w:val="32"/>
          <w:szCs w:val="32"/>
          <w:highlight w:val="none"/>
        </w:rPr>
      </w:pPr>
      <w:r>
        <w:rPr>
          <w:rFonts w:hint="default" w:ascii="Times New Roman" w:hAnsi="Times New Roman" w:eastAsia="仿宋_GB2312" w:cs="Times New Roman"/>
          <w:b w:val="0"/>
          <w:bCs w:val="0"/>
          <w:kern w:val="2"/>
          <w:sz w:val="32"/>
          <w:szCs w:val="32"/>
          <w:lang w:val="en-US" w:eastAsia="zh-CN" w:bidi="ar-SA"/>
        </w:rPr>
        <w:t>5.住房保障支出（类）住房改革支出（款）住房公积金（项）:支出决算数为</w:t>
      </w:r>
      <w:r>
        <w:rPr>
          <w:rFonts w:hint="eastAsia" w:eastAsia="仿宋_GB2312" w:cs="Times New Roman"/>
          <w:b w:val="0"/>
          <w:bCs w:val="0"/>
          <w:kern w:val="2"/>
          <w:sz w:val="32"/>
          <w:szCs w:val="32"/>
          <w:lang w:val="en-US" w:eastAsia="zh-CN" w:bidi="ar-SA"/>
        </w:rPr>
        <w:t>14.33</w:t>
      </w:r>
      <w:r>
        <w:rPr>
          <w:rFonts w:hint="default" w:ascii="Times New Roman" w:hAnsi="Times New Roman" w:eastAsia="仿宋_GB2312" w:cs="Times New Roman"/>
          <w:b w:val="0"/>
          <w:bCs w:val="0"/>
          <w:kern w:val="2"/>
          <w:sz w:val="32"/>
          <w:szCs w:val="32"/>
          <w:lang w:val="en-US" w:eastAsia="zh-CN" w:bidi="ar-SA"/>
        </w:rPr>
        <w:t>万元，完成预算100%</w:t>
      </w:r>
      <w:r>
        <w:rPr>
          <w:rFonts w:hint="eastAsia" w:eastAsia="仿宋_GB2312" w:cs="Times New Roman"/>
          <w:b w:val="0"/>
          <w:bCs w:val="0"/>
          <w:kern w:val="2"/>
          <w:sz w:val="32"/>
          <w:szCs w:val="32"/>
          <w:lang w:val="en-US" w:eastAsia="zh-CN" w:bidi="ar-SA"/>
        </w:rPr>
        <w:t>，与预算数持平</w:t>
      </w:r>
      <w:r>
        <w:rPr>
          <w:rFonts w:hint="default" w:ascii="Times New Roman" w:hAnsi="Times New Roman" w:eastAsia="仿宋_GB2312" w:cs="Times New Roman"/>
          <w:b w:val="0"/>
          <w:bCs w:val="0"/>
          <w:kern w:val="2"/>
          <w:sz w:val="32"/>
          <w:szCs w:val="32"/>
          <w:lang w:val="en-US" w:eastAsia="zh-CN" w:bidi="ar-SA"/>
        </w:rPr>
        <w:t>。</w:t>
      </w:r>
    </w:p>
    <w:p>
      <w:pPr>
        <w:keepNext w:val="0"/>
        <w:keepLines w:val="0"/>
        <w:pageBreakBefore w:val="0"/>
        <w:widowControl w:val="0"/>
        <w:tabs>
          <w:tab w:val="right" w:pos="8306"/>
        </w:tabs>
        <w:kinsoku/>
        <w:wordWrap/>
        <w:overflowPunct/>
        <w:topLinePunct w:val="0"/>
        <w:autoSpaceDE/>
        <w:autoSpaceDN/>
        <w:bidi w:val="0"/>
        <w:adjustRightInd/>
        <w:snapToGrid/>
        <w:spacing w:line="576" w:lineRule="exact"/>
        <w:ind w:firstLine="640"/>
        <w:textAlignment w:val="auto"/>
        <w:outlineLvl w:val="1"/>
        <w:rPr>
          <w:rStyle w:val="32"/>
          <w:color w:val="auto"/>
          <w:highlight w:val="none"/>
        </w:rPr>
      </w:pPr>
      <w:bookmarkStart w:id="34" w:name="_Toc15377214"/>
      <w:bookmarkStart w:id="35" w:name="_Toc15396608"/>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32"/>
          <w:rFonts w:hint="eastAsia" w:ascii="黑体" w:hAnsi="黑体" w:eastAsia="黑体"/>
          <w:b w:val="0"/>
          <w:color w:val="auto"/>
          <w:highlight w:val="none"/>
        </w:rPr>
        <w:t>般公共预算财政拨款基本支出决算情况说明</w:t>
      </w:r>
      <w:bookmarkEnd w:id="34"/>
      <w:bookmarkEnd w:id="35"/>
      <w:r>
        <w:rPr>
          <w:rStyle w:val="32"/>
          <w:rFonts w:ascii="黑体" w:hAnsi="黑体" w:eastAsia="黑体"/>
          <w:b w:val="0"/>
          <w:color w:val="auto"/>
          <w:highlight w:val="none"/>
        </w:rPr>
        <w:tab/>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2022年一般公共预算财政拨款基本支出2</w:t>
      </w:r>
      <w:r>
        <w:rPr>
          <w:rFonts w:hint="eastAsia" w:eastAsia="仿宋_GB2312" w:cs="Times New Roman"/>
          <w:b w:val="0"/>
          <w:bCs w:val="0"/>
          <w:kern w:val="2"/>
          <w:sz w:val="32"/>
          <w:szCs w:val="32"/>
          <w:lang w:val="en-US" w:eastAsia="zh-CN" w:bidi="ar-SA"/>
        </w:rPr>
        <w:t>40</w:t>
      </w:r>
      <w:r>
        <w:rPr>
          <w:rFonts w:hint="default" w:ascii="Times New Roman" w:hAnsi="Times New Roman" w:eastAsia="仿宋_GB2312" w:cs="Times New Roman"/>
          <w:b w:val="0"/>
          <w:bCs w:val="0"/>
          <w:kern w:val="2"/>
          <w:sz w:val="32"/>
          <w:szCs w:val="32"/>
          <w:lang w:val="en-US" w:eastAsia="zh-CN" w:bidi="ar-SA"/>
        </w:rPr>
        <w:t>.97万元，其中：</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人员经费176.1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仿宋_GB2312" w:cs="Times New Roman"/>
          <w:b w:val="0"/>
          <w:bCs w:val="0"/>
          <w:kern w:val="2"/>
          <w:sz w:val="32"/>
          <w:szCs w:val="32"/>
          <w:lang w:val="en-US" w:eastAsia="zh-CN" w:bidi="ar-SA"/>
        </w:rPr>
        <w:br w:type="textWrapping"/>
      </w:r>
      <w:r>
        <w:rPr>
          <w:rFonts w:hint="default" w:ascii="Times New Roman" w:hAnsi="Times New Roman" w:eastAsia="仿宋_GB2312" w:cs="Times New Roman"/>
          <w:b w:val="0"/>
          <w:bCs w:val="0"/>
          <w:kern w:val="2"/>
          <w:sz w:val="32"/>
          <w:szCs w:val="32"/>
          <w:lang w:val="en-US" w:eastAsia="zh-CN" w:bidi="ar-SA"/>
        </w:rPr>
        <w:t>　　公用经费64.87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1"/>
        <w:rPr>
          <w:rStyle w:val="32"/>
          <w:rFonts w:ascii="黑体" w:hAnsi="黑体" w:eastAsia="黑体"/>
          <w:b w:val="0"/>
          <w:color w:val="auto"/>
          <w:highlight w:val="none"/>
        </w:rPr>
      </w:pPr>
      <w:bookmarkStart w:id="36" w:name="_Toc15396609"/>
      <w:bookmarkStart w:id="37" w:name="_Toc15377215"/>
      <w:r>
        <w:rPr>
          <w:rFonts w:hint="eastAsia" w:ascii="黑体" w:eastAsia="黑体"/>
          <w:color w:val="auto"/>
          <w:sz w:val="32"/>
          <w:szCs w:val="32"/>
          <w:highlight w:val="none"/>
        </w:rPr>
        <w:t>七、</w:t>
      </w:r>
      <w:r>
        <w:rPr>
          <w:rStyle w:val="32"/>
          <w:rFonts w:hint="eastAsia" w:ascii="黑体" w:hAnsi="黑体" w:eastAsia="黑体"/>
          <w:b w:val="0"/>
          <w:color w:val="auto"/>
          <w:highlight w:val="none"/>
        </w:rPr>
        <w:t>财政拨款</w:t>
      </w:r>
      <w:r>
        <w:rPr>
          <w:rStyle w:val="32"/>
          <w:rFonts w:hint="eastAsia" w:ascii="黑体" w:hAnsi="黑体" w:eastAsia="黑体"/>
          <w:color w:val="auto"/>
          <w:highlight w:val="none"/>
        </w:rPr>
        <w:t>“</w:t>
      </w:r>
      <w:r>
        <w:rPr>
          <w:rStyle w:val="32"/>
          <w:rFonts w:hint="eastAsia" w:ascii="黑体" w:hAnsi="黑体" w:eastAsia="黑体"/>
          <w:b w:val="0"/>
          <w:color w:val="auto"/>
          <w:highlight w:val="none"/>
        </w:rPr>
        <w:t>三公”经费支出决算情况说明</w:t>
      </w:r>
      <w:bookmarkEnd w:id="36"/>
      <w:bookmarkEnd w:id="37"/>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outlineLvl w:val="2"/>
        <w:rPr>
          <w:rFonts w:ascii="仿宋" w:hAnsi="仿宋" w:eastAsia="仿宋"/>
          <w:b/>
          <w:color w:val="auto"/>
          <w:sz w:val="32"/>
          <w:szCs w:val="32"/>
          <w:highlight w:val="none"/>
        </w:rPr>
      </w:pPr>
      <w:bookmarkStart w:id="38" w:name="_Toc15377216"/>
      <w:r>
        <w:rPr>
          <w:rFonts w:hint="eastAsia" w:ascii="楷体_GB2312" w:hAnsi="楷体_GB2312" w:eastAsia="楷体_GB2312" w:cs="楷体_GB2312"/>
          <w:b w:val="0"/>
          <w:bCs/>
          <w:color w:val="auto"/>
          <w:sz w:val="32"/>
          <w:szCs w:val="32"/>
          <w:highlight w:val="none"/>
        </w:rPr>
        <w:t>（一）“三公”经费财政拨款支出决算总体情况说明</w:t>
      </w:r>
      <w:bookmarkEnd w:id="38"/>
    </w:p>
    <w:p>
      <w:pPr>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default"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年“三公”经费财政拨款支出决算为</w:t>
      </w:r>
      <w:r>
        <w:rPr>
          <w:rFonts w:hint="default" w:ascii="Times New Roman" w:hAnsi="Times New Roman" w:eastAsia="仿宋" w:cs="Times New Roman"/>
          <w:color w:val="auto"/>
          <w:sz w:val="32"/>
          <w:szCs w:val="32"/>
          <w:highlight w:val="none"/>
          <w:lang w:val="en-US" w:eastAsia="zh-CN"/>
        </w:rPr>
        <w:t>0.8</w:t>
      </w:r>
      <w:r>
        <w:rPr>
          <w:rFonts w:hint="default" w:ascii="Times New Roman" w:hAnsi="Times New Roman" w:eastAsia="仿宋" w:cs="Times New Roman"/>
          <w:color w:val="auto"/>
          <w:sz w:val="32"/>
          <w:szCs w:val="32"/>
          <w:highlight w:val="none"/>
        </w:rPr>
        <w:t>万元，完成预算</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w:t>
      </w:r>
      <w:r>
        <w:rPr>
          <w:rFonts w:hint="default" w:ascii="Times New Roman" w:hAnsi="Times New Roman" w:eastAsia="仿宋" w:cs="Times New Roman"/>
          <w:color w:val="auto"/>
          <w:sz w:val="32"/>
          <w:szCs w:val="32"/>
          <w:highlight w:val="none"/>
          <w:lang w:eastAsia="zh-CN"/>
        </w:rPr>
        <w:t>与上年持平</w:t>
      </w:r>
      <w:r>
        <w:rPr>
          <w:rFonts w:hint="default" w:ascii="Times New Roman" w:hAnsi="Times New Roman" w:eastAsia="仿宋" w:cs="Times New Roman"/>
          <w:color w:val="auto"/>
          <w:sz w:val="32"/>
          <w:szCs w:val="32"/>
          <w:highlight w:val="none"/>
          <w:lang w:val="en-US" w:eastAsia="zh-CN"/>
        </w:rPr>
        <w:t>，</w:t>
      </w:r>
      <w:r>
        <w:rPr>
          <w:rFonts w:hint="default" w:ascii="Times New Roman" w:hAnsi="Times New Roman" w:eastAsia="仿宋" w:cs="Times New Roman"/>
          <w:color w:val="auto"/>
          <w:sz w:val="32"/>
          <w:szCs w:val="32"/>
          <w:highlight w:val="none"/>
        </w:rPr>
        <w:t>决算数与预算数持平</w:t>
      </w:r>
      <w:r>
        <w:rPr>
          <w:rFonts w:hint="default" w:ascii="Times New Roman" w:hAnsi="Times New Roman" w:eastAsia="仿宋" w:cs="Times New Roman"/>
          <w:color w:val="auto"/>
          <w:sz w:val="32"/>
          <w:szCs w:val="32"/>
          <w:highlight w:val="none"/>
          <w:lang w:eastAsia="zh-CN"/>
        </w:rPr>
        <w:t>。</w:t>
      </w:r>
    </w:p>
    <w:p>
      <w:pPr>
        <w:spacing w:line="600" w:lineRule="exact"/>
        <w:ind w:firstLine="640"/>
        <w:outlineLvl w:val="2"/>
        <w:rPr>
          <w:rFonts w:hint="eastAsia" w:ascii="楷体_GB2312" w:hAnsi="楷体_GB2312" w:eastAsia="楷体_GB2312" w:cs="楷体_GB2312"/>
          <w:b w:val="0"/>
          <w:bCs/>
          <w:color w:val="auto"/>
          <w:sz w:val="32"/>
          <w:szCs w:val="32"/>
          <w:highlight w:val="none"/>
        </w:rPr>
      </w:pPr>
      <w:bookmarkStart w:id="39" w:name="_Toc15377217"/>
      <w:r>
        <w:rPr>
          <w:rFonts w:hint="eastAsia" w:ascii="楷体_GB2312" w:hAnsi="楷体_GB2312" w:eastAsia="楷体_GB2312" w:cs="楷体_GB2312"/>
          <w:b w:val="0"/>
          <w:bCs/>
          <w:color w:val="auto"/>
          <w:sz w:val="32"/>
          <w:szCs w:val="32"/>
          <w:highlight w:val="none"/>
        </w:rPr>
        <w:t>（二）“三公”经费财政拨款支出决算具体情况说明</w:t>
      </w:r>
      <w:bookmarkEnd w:id="39"/>
    </w:p>
    <w:p>
      <w:pPr>
        <w:spacing w:line="600" w:lineRule="exact"/>
        <w:ind w:firstLine="64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20</w:t>
      </w:r>
      <w:r>
        <w:rPr>
          <w:rFonts w:hint="default" w:ascii="Times New Roman" w:hAnsi="Times New Roman" w:eastAsia="仿宋" w:cs="Times New Roman"/>
          <w:color w:val="auto"/>
          <w:sz w:val="32"/>
          <w:szCs w:val="32"/>
          <w:highlight w:val="none"/>
          <w:lang w:val="en-US" w:eastAsia="zh-CN"/>
        </w:rPr>
        <w:t>22</w:t>
      </w:r>
      <w:r>
        <w:rPr>
          <w:rFonts w:hint="default" w:ascii="Times New Roman" w:hAnsi="Times New Roman" w:eastAsia="仿宋" w:cs="Times New Roman"/>
          <w:color w:val="auto"/>
          <w:sz w:val="32"/>
          <w:szCs w:val="32"/>
          <w:highlight w:val="none"/>
        </w:rPr>
        <w:t>年“三公”经费财政拨款支出决算中，因公出国（境）费支出决算</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w:t>
      </w:r>
      <w:r>
        <w:rPr>
          <w:rFonts w:hint="default" w:ascii="Times New Roman" w:hAnsi="Times New Roman" w:eastAsia="仿宋_GB2312" w:cs="Times New Roman"/>
          <w:sz w:val="32"/>
          <w:szCs w:val="32"/>
          <w:highlight w:val="none"/>
          <w:lang w:val="en-US" w:eastAsia="zh-CN"/>
        </w:rPr>
        <w:t>年初未安排预算，与上年数持平</w:t>
      </w:r>
      <w:r>
        <w:rPr>
          <w:rFonts w:hint="default" w:ascii="Times New Roman" w:hAnsi="Times New Roman" w:eastAsia="仿宋" w:cs="Times New Roman"/>
          <w:color w:val="auto"/>
          <w:sz w:val="32"/>
          <w:szCs w:val="32"/>
          <w:highlight w:val="none"/>
        </w:rPr>
        <w:t>；公务用车购置及运行维护费支出决算</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 w:cs="Times New Roman"/>
          <w:color w:val="auto"/>
          <w:sz w:val="32"/>
          <w:szCs w:val="32"/>
          <w:highlight w:val="none"/>
        </w:rPr>
        <w:t>万元，</w:t>
      </w:r>
      <w:r>
        <w:rPr>
          <w:rFonts w:hint="default" w:ascii="Times New Roman" w:hAnsi="Times New Roman" w:eastAsia="仿宋_GB2312" w:cs="Times New Roman"/>
          <w:sz w:val="32"/>
          <w:szCs w:val="32"/>
          <w:highlight w:val="none"/>
          <w:lang w:val="en-US" w:eastAsia="zh-CN"/>
        </w:rPr>
        <w:t>年初未安排预算，与上年数持平</w:t>
      </w:r>
      <w:r>
        <w:rPr>
          <w:rFonts w:hint="default" w:ascii="Times New Roman" w:hAnsi="Times New Roman" w:eastAsia="仿宋" w:cs="Times New Roman"/>
          <w:color w:val="auto"/>
          <w:sz w:val="32"/>
          <w:szCs w:val="32"/>
          <w:highlight w:val="none"/>
        </w:rPr>
        <w:t>；公务接待费支出决算</w:t>
      </w:r>
      <w:r>
        <w:rPr>
          <w:rFonts w:hint="default" w:ascii="Times New Roman" w:hAnsi="Times New Roman" w:eastAsia="仿宋" w:cs="Times New Roman"/>
          <w:color w:val="auto"/>
          <w:sz w:val="32"/>
          <w:szCs w:val="32"/>
          <w:highlight w:val="none"/>
          <w:lang w:val="en-US" w:eastAsia="zh-CN"/>
        </w:rPr>
        <w:t>0.8</w:t>
      </w:r>
      <w:r>
        <w:rPr>
          <w:rFonts w:hint="default" w:ascii="Times New Roman" w:hAnsi="Times New Roman" w:eastAsia="仿宋" w:cs="Times New Roman"/>
          <w:color w:val="auto"/>
          <w:sz w:val="32"/>
          <w:szCs w:val="32"/>
          <w:highlight w:val="none"/>
        </w:rPr>
        <w:t>万元，占</w:t>
      </w:r>
      <w:r>
        <w:rPr>
          <w:rFonts w:hint="default" w:ascii="Times New Roman" w:hAnsi="Times New Roman" w:eastAsia="仿宋" w:cs="Times New Roman"/>
          <w:color w:val="auto"/>
          <w:sz w:val="32"/>
          <w:szCs w:val="32"/>
          <w:highlight w:val="none"/>
          <w:lang w:val="en-US" w:eastAsia="zh-CN"/>
        </w:rPr>
        <w:t>100</w:t>
      </w:r>
      <w:r>
        <w:rPr>
          <w:rFonts w:hint="default" w:ascii="Times New Roman" w:hAnsi="Times New Roman" w:eastAsia="仿宋" w:cs="Times New Roman"/>
          <w:color w:val="auto"/>
          <w:sz w:val="32"/>
          <w:szCs w:val="32"/>
          <w:highlight w:val="none"/>
        </w:rPr>
        <w:t>%。具体情况如下：</w:t>
      </w:r>
    </w:p>
    <w:p>
      <w:pPr>
        <w:pStyle w:val="17"/>
        <w:rPr>
          <w:rFonts w:hint="eastAsia" w:ascii="仿宋" w:hAnsi="仿宋" w:eastAsia="仿宋"/>
          <w:color w:val="auto"/>
          <w:sz w:val="32"/>
          <w:szCs w:val="32"/>
          <w:highlight w:val="none"/>
        </w:rPr>
      </w:pPr>
      <w:r>
        <w:rPr>
          <w:rFonts w:hint="default"/>
          <w:lang w:eastAsia="zh-CN"/>
        </w:rPr>
        <w:drawing>
          <wp:inline distT="0" distB="0" distL="114300" distR="114300">
            <wp:extent cx="5080000" cy="3810000"/>
            <wp:effectExtent l="4445" t="4445" r="20955" b="14605"/>
            <wp:docPr id="20" name="图表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600" w:lineRule="exact"/>
        <w:ind w:firstLine="64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1.因公出国（境）经费支出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sz w:val="32"/>
          <w:szCs w:val="32"/>
          <w:highlight w:val="none"/>
          <w:lang w:val="en-US" w:eastAsia="zh-CN"/>
        </w:rPr>
        <w:t>年初未安排预算，与上年数持平</w:t>
      </w:r>
      <w:r>
        <w:rPr>
          <w:rFonts w:hint="default" w:ascii="Times New Roman" w:hAnsi="Times New Roman" w:eastAsia="仿宋_GB2312" w:cs="Times New Roman"/>
          <w:color w:val="auto"/>
          <w:sz w:val="32"/>
          <w:szCs w:val="32"/>
          <w:highlight w:val="none"/>
        </w:rPr>
        <w:t>。</w:t>
      </w:r>
    </w:p>
    <w:p>
      <w:pPr>
        <w:spacing w:line="600" w:lineRule="exact"/>
        <w:ind w:firstLine="64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2.公务用车购置及运行维护费支出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sz w:val="32"/>
          <w:szCs w:val="32"/>
          <w:highlight w:val="none"/>
          <w:lang w:val="en-US" w:eastAsia="zh-CN"/>
        </w:rPr>
        <w:t>年初未安排预算，与上年数持平。</w:t>
      </w:r>
    </w:p>
    <w:p>
      <w:pPr>
        <w:spacing w:line="600" w:lineRule="exact"/>
        <w:ind w:firstLine="64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其中：</w:t>
      </w:r>
      <w:r>
        <w:rPr>
          <w:rFonts w:hint="default" w:ascii="Times New Roman" w:hAnsi="Times New Roman" w:eastAsia="仿宋_GB2312" w:cs="Times New Roman"/>
          <w:b/>
          <w:color w:val="auto"/>
          <w:sz w:val="32"/>
          <w:szCs w:val="32"/>
          <w:highlight w:val="none"/>
        </w:rPr>
        <w:t>公务用车购置支出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highlight w:val="none"/>
          <w:lang w:val="en-US" w:eastAsia="zh-CN"/>
        </w:rPr>
        <w:t>年初未安排预算，与上年数持平。</w:t>
      </w:r>
    </w:p>
    <w:p>
      <w:pPr>
        <w:spacing w:line="600" w:lineRule="exact"/>
        <w:ind w:firstLine="640"/>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b/>
          <w:color w:val="auto"/>
          <w:sz w:val="32"/>
          <w:szCs w:val="32"/>
          <w:highlight w:val="none"/>
        </w:rPr>
        <w:t>公务用车运行维护费支出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sz w:val="32"/>
          <w:szCs w:val="32"/>
          <w:highlight w:val="none"/>
          <w:lang w:val="en-US" w:eastAsia="zh-CN"/>
        </w:rPr>
        <w:t>年初未安排预算，与上年数持平。</w:t>
      </w:r>
    </w:p>
    <w:p>
      <w:pPr>
        <w:numPr>
          <w:ilvl w:val="0"/>
          <w:numId w:val="0"/>
        </w:numPr>
        <w:spacing w:line="600" w:lineRule="exact"/>
        <w:ind w:firstLine="643" w:firstLineChars="200"/>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color w:val="auto"/>
          <w:sz w:val="32"/>
          <w:szCs w:val="32"/>
          <w:highlight w:val="none"/>
          <w:lang w:val="en-US" w:eastAsia="zh-CN"/>
        </w:rPr>
        <w:t>3.</w:t>
      </w:r>
      <w:r>
        <w:rPr>
          <w:rFonts w:hint="default" w:ascii="Times New Roman" w:hAnsi="Times New Roman" w:eastAsia="仿宋_GB2312" w:cs="Times New Roman"/>
          <w:b/>
          <w:color w:val="auto"/>
          <w:sz w:val="32"/>
          <w:szCs w:val="32"/>
          <w:highlight w:val="none"/>
        </w:rPr>
        <w:t>公务接待费支出</w:t>
      </w:r>
      <w:r>
        <w:rPr>
          <w:rFonts w:hint="default" w:ascii="Times New Roman" w:hAnsi="Times New Roman" w:eastAsia="仿宋_GB2312" w:cs="Times New Roman"/>
          <w:b/>
          <w:color w:val="auto"/>
          <w:sz w:val="32"/>
          <w:szCs w:val="32"/>
          <w:highlight w:val="none"/>
          <w:lang w:val="en-US" w:eastAsia="zh-CN"/>
        </w:rPr>
        <w:t>0.8</w:t>
      </w:r>
      <w:r>
        <w:rPr>
          <w:rFonts w:hint="default" w:ascii="Times New Roman" w:hAnsi="Times New Roman" w:eastAsia="仿宋_GB2312" w:cs="Times New Roman"/>
          <w:color w:val="auto"/>
          <w:sz w:val="32"/>
          <w:szCs w:val="32"/>
          <w:highlight w:val="none"/>
        </w:rPr>
        <w:t>万元，</w:t>
      </w:r>
      <w:r>
        <w:rPr>
          <w:rStyle w:val="21"/>
          <w:rFonts w:hint="default" w:ascii="Times New Roman" w:hAnsi="Times New Roman" w:eastAsia="仿宋" w:cs="Times New Roman"/>
          <w:b w:val="0"/>
          <w:bCs/>
          <w:color w:val="auto"/>
          <w:sz w:val="32"/>
          <w:szCs w:val="32"/>
          <w:highlight w:val="none"/>
        </w:rPr>
        <w:t>完成预算</w:t>
      </w:r>
      <w:r>
        <w:rPr>
          <w:rStyle w:val="21"/>
          <w:rFonts w:hint="default" w:ascii="Times New Roman" w:hAnsi="Times New Roman" w:eastAsia="仿宋" w:cs="Times New Roman"/>
          <w:b w:val="0"/>
          <w:bCs/>
          <w:color w:val="auto"/>
          <w:sz w:val="32"/>
          <w:szCs w:val="32"/>
          <w:highlight w:val="none"/>
          <w:lang w:val="en-US" w:eastAsia="zh-CN"/>
        </w:rPr>
        <w:t>100</w:t>
      </w:r>
      <w:r>
        <w:rPr>
          <w:rStyle w:val="21"/>
          <w:rFonts w:hint="default" w:ascii="Times New Roman" w:hAnsi="Times New Roman" w:eastAsia="仿宋" w:cs="Times New Roman"/>
          <w:b w:val="0"/>
          <w:bCs/>
          <w:color w:val="auto"/>
          <w:sz w:val="32"/>
          <w:szCs w:val="32"/>
          <w:highlight w:val="none"/>
        </w:rPr>
        <w:t>%。</w:t>
      </w:r>
      <w:r>
        <w:rPr>
          <w:rFonts w:hint="default" w:ascii="Times New Roman" w:hAnsi="Times New Roman" w:eastAsia="仿宋_GB2312" w:cs="Times New Roman"/>
          <w:color w:val="auto"/>
          <w:sz w:val="32"/>
          <w:szCs w:val="32"/>
          <w:highlight w:val="none"/>
        </w:rPr>
        <w:t>公务接待费支出决算</w:t>
      </w:r>
      <w:r>
        <w:rPr>
          <w:rFonts w:hint="default" w:ascii="Times New Roman" w:hAnsi="Times New Roman" w:eastAsia="仿宋_GB2312" w:cs="Times New Roman"/>
          <w:color w:val="auto"/>
          <w:sz w:val="32"/>
          <w:szCs w:val="32"/>
          <w:highlight w:val="none"/>
          <w:lang w:eastAsia="zh-CN"/>
        </w:rPr>
        <w:t>比</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eastAsia="zh-CN"/>
        </w:rPr>
        <w:t>减少</w:t>
      </w:r>
      <w:r>
        <w:rPr>
          <w:rFonts w:hint="default" w:ascii="Times New Roman" w:hAnsi="Times New Roman" w:eastAsia="仿宋_GB2312" w:cs="Times New Roman"/>
          <w:color w:val="auto"/>
          <w:sz w:val="32"/>
          <w:szCs w:val="32"/>
          <w:highlight w:val="none"/>
          <w:lang w:val="en-US" w:eastAsia="zh-CN"/>
        </w:rPr>
        <w:t>0.2万元，减少的主要原因是厉行节约，减少运行成本。</w:t>
      </w:r>
    </w:p>
    <w:p>
      <w:pPr>
        <w:numPr>
          <w:ilvl w:val="0"/>
          <w:numId w:val="0"/>
        </w:numPr>
        <w:spacing w:line="600" w:lineRule="exact"/>
        <w:ind w:firstLine="643" w:firstLineChars="200"/>
        <w:rPr>
          <w:rFonts w:hint="default" w:ascii="Times New Roman" w:hAnsi="Times New Roman" w:eastAsia="仿宋_GB2312" w:cs="Times New Roman"/>
          <w:color w:val="0000FF"/>
          <w:sz w:val="32"/>
          <w:szCs w:val="32"/>
          <w:highlight w:val="none"/>
        </w:rPr>
      </w:pPr>
      <w:r>
        <w:rPr>
          <w:rFonts w:hint="default" w:ascii="Times New Roman" w:hAnsi="Times New Roman" w:eastAsia="仿宋" w:cs="Times New Roman"/>
          <w:b/>
          <w:color w:val="auto"/>
          <w:sz w:val="32"/>
          <w:szCs w:val="32"/>
          <w:highlight w:val="none"/>
        </w:rPr>
        <w:t>国内公务接待支出</w:t>
      </w:r>
      <w:r>
        <w:rPr>
          <w:rFonts w:hint="default" w:ascii="Times New Roman" w:hAnsi="Times New Roman" w:eastAsia="仿宋" w:cs="Times New Roman"/>
          <w:color w:val="auto"/>
          <w:sz w:val="32"/>
          <w:szCs w:val="32"/>
          <w:highlight w:val="none"/>
          <w:lang w:val="en-US" w:eastAsia="zh-CN"/>
        </w:rPr>
        <w:t>0.8</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b w:val="0"/>
          <w:bCs w:val="0"/>
          <w:kern w:val="2"/>
          <w:sz w:val="32"/>
          <w:szCs w:val="32"/>
          <w:lang w:val="en-US" w:eastAsia="zh-CN" w:bidi="ar-SA"/>
        </w:rPr>
        <w:t>主要用于开展机构改革、事业单位登记公示抽查等业务活动的交通费、住宿费、用餐费等。国内公务接待18批次，69人次（不包括陪同人员），共计支出0.8万元，具体内容包括：接待市委编办调研、检查4320元、县区编办检查2160元等</w:t>
      </w:r>
      <w:r>
        <w:rPr>
          <w:rFonts w:hint="default" w:ascii="Times New Roman" w:hAnsi="Times New Roman" w:eastAsia="仿宋_GB2312" w:cs="Times New Roman"/>
          <w:color w:val="0000FF"/>
          <w:sz w:val="32"/>
          <w:szCs w:val="32"/>
          <w:highlight w:val="none"/>
        </w:rPr>
        <w:t>。</w:t>
      </w:r>
    </w:p>
    <w:p>
      <w:pPr>
        <w:spacing w:line="600" w:lineRule="exact"/>
        <w:ind w:firstLine="640"/>
        <w:rPr>
          <w:rFonts w:ascii="黑体" w:eastAsia="黑体"/>
          <w:color w:val="auto"/>
          <w:sz w:val="32"/>
          <w:szCs w:val="32"/>
          <w:highlight w:val="none"/>
        </w:rPr>
      </w:pPr>
      <w:r>
        <w:rPr>
          <w:rFonts w:hint="default" w:ascii="Times New Roman" w:hAnsi="Times New Roman" w:eastAsia="仿宋" w:cs="Times New Roman"/>
          <w:b/>
          <w:color w:val="auto"/>
          <w:sz w:val="32"/>
          <w:szCs w:val="32"/>
          <w:highlight w:val="none"/>
        </w:rPr>
        <w:t>外事接待支出</w:t>
      </w:r>
      <w:r>
        <w:rPr>
          <w:rFonts w:hint="default" w:ascii="Times New Roman" w:hAnsi="Times New Roman" w:eastAsia="仿宋"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年初未安排预算，与上年数持平。</w:t>
      </w:r>
      <w:bookmarkStart w:id="40" w:name="_Toc15396610"/>
      <w:bookmarkStart w:id="41" w:name="_Toc15377218"/>
    </w:p>
    <w:p>
      <w:pPr>
        <w:spacing w:line="600" w:lineRule="exact"/>
        <w:ind w:firstLine="640"/>
        <w:outlineLvl w:val="1"/>
        <w:rPr>
          <w:rStyle w:val="32"/>
          <w:rFonts w:ascii="黑体" w:hAnsi="黑体" w:eastAsia="黑体"/>
          <w:color w:val="auto"/>
          <w:highlight w:val="none"/>
        </w:rPr>
      </w:pPr>
      <w:r>
        <w:rPr>
          <w:rFonts w:hint="eastAsia" w:ascii="黑体" w:eastAsia="黑体"/>
          <w:color w:val="auto"/>
          <w:sz w:val="32"/>
          <w:szCs w:val="32"/>
          <w:highlight w:val="none"/>
        </w:rPr>
        <w:t>八、</w:t>
      </w:r>
      <w:r>
        <w:rPr>
          <w:rStyle w:val="32"/>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年政府性基金预算</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拨款支出</w:t>
      </w:r>
      <w:r>
        <w:rPr>
          <w:rFonts w:hint="default"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rPr>
        <w:t>万元。</w:t>
      </w:r>
    </w:p>
    <w:p>
      <w:pPr>
        <w:numPr>
          <w:ilvl w:val="0"/>
          <w:numId w:val="2"/>
        </w:numPr>
        <w:spacing w:line="600" w:lineRule="exact"/>
        <w:ind w:firstLine="640"/>
        <w:outlineLvl w:val="1"/>
        <w:rPr>
          <w:rStyle w:val="32"/>
          <w:rFonts w:ascii="黑体" w:hAnsi="黑体" w:eastAsia="黑体"/>
          <w:b w:val="0"/>
          <w:color w:val="auto"/>
          <w:highlight w:val="none"/>
        </w:rPr>
      </w:pPr>
      <w:bookmarkStart w:id="42" w:name="_Toc15396611"/>
      <w:bookmarkStart w:id="43" w:name="_Toc15377219"/>
      <w:r>
        <w:rPr>
          <w:rStyle w:val="32"/>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color w:val="auto"/>
          <w:sz w:val="44"/>
          <w:szCs w:val="44"/>
          <w:highlight w:val="none"/>
        </w:rPr>
      </w:pPr>
      <w:r>
        <w:rPr>
          <w:rFonts w:hint="default"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lang w:val="en-US" w:eastAsia="zh-CN"/>
        </w:rPr>
        <w:t>22</w:t>
      </w:r>
      <w:r>
        <w:rPr>
          <w:rFonts w:hint="eastAsia" w:ascii="Times New Roman" w:hAnsi="Times New Roman" w:eastAsia="仿宋_GB2312" w:cs="Times New Roman"/>
          <w:color w:val="auto"/>
          <w:sz w:val="32"/>
          <w:szCs w:val="32"/>
          <w:highlight w:val="none"/>
        </w:rPr>
        <w:t>年国有资本经营预算</w:t>
      </w:r>
      <w:r>
        <w:rPr>
          <w:rFonts w:hint="eastAsia" w:ascii="Times New Roman" w:hAnsi="Times New Roman" w:eastAsia="仿宋_GB2312" w:cs="Times New Roman"/>
          <w:color w:val="auto"/>
          <w:sz w:val="32"/>
          <w:szCs w:val="32"/>
          <w:highlight w:val="none"/>
          <w:lang w:eastAsia="zh-CN"/>
        </w:rPr>
        <w:t>财政</w:t>
      </w:r>
      <w:r>
        <w:rPr>
          <w:rFonts w:hint="eastAsia" w:ascii="Times New Roman" w:hAnsi="Times New Roman" w:eastAsia="仿宋_GB2312" w:cs="Times New Roman"/>
          <w:color w:val="auto"/>
          <w:sz w:val="32"/>
          <w:szCs w:val="32"/>
          <w:highlight w:val="none"/>
        </w:rPr>
        <w:t>拨款支出</w:t>
      </w:r>
      <w:r>
        <w:rPr>
          <w:rFonts w:hint="eastAsia" w:ascii="Times New Roman" w:hAnsi="Times New Roman" w:eastAsia="仿宋_GB2312"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rPr>
        <w:t>万元。</w:t>
      </w:r>
    </w:p>
    <w:p>
      <w:pPr>
        <w:numPr>
          <w:ilvl w:val="0"/>
          <w:numId w:val="2"/>
        </w:numPr>
        <w:spacing w:line="600" w:lineRule="exact"/>
        <w:ind w:firstLine="640"/>
        <w:outlineLvl w:val="1"/>
        <w:rPr>
          <w:rStyle w:val="32"/>
          <w:rFonts w:hint="eastAsia" w:ascii="黑体" w:hAnsi="黑体" w:eastAsia="黑体"/>
          <w:b w:val="0"/>
          <w:color w:val="auto"/>
          <w:highlight w:val="none"/>
        </w:rPr>
      </w:pPr>
      <w:bookmarkStart w:id="44" w:name="_Toc15396612"/>
      <w:bookmarkStart w:id="45" w:name="_Toc15377221"/>
      <w:r>
        <w:rPr>
          <w:rStyle w:val="32"/>
          <w:rFonts w:hint="eastAsia" w:ascii="黑体" w:hAnsi="黑体" w:eastAsia="黑体"/>
          <w:b w:val="0"/>
          <w:color w:val="auto"/>
          <w:highlight w:val="none"/>
        </w:rPr>
        <w:t>其他重要事项的情况说明</w:t>
      </w:r>
      <w:bookmarkEnd w:id="44"/>
      <w:bookmarkEnd w:id="45"/>
    </w:p>
    <w:p>
      <w:pPr>
        <w:spacing w:line="600" w:lineRule="exact"/>
        <w:ind w:firstLine="640"/>
        <w:outlineLvl w:val="2"/>
        <w:rPr>
          <w:rFonts w:hint="eastAsia" w:ascii="楷体_GB2312" w:hAnsi="楷体_GB2312" w:eastAsia="楷体_GB2312" w:cs="楷体_GB2312"/>
          <w:b w:val="0"/>
          <w:bCs/>
          <w:color w:val="auto"/>
          <w:sz w:val="32"/>
          <w:szCs w:val="32"/>
          <w:highlight w:val="none"/>
        </w:rPr>
      </w:pPr>
      <w:bookmarkStart w:id="46" w:name="_Toc15377222"/>
      <w:r>
        <w:rPr>
          <w:rFonts w:hint="eastAsia" w:ascii="楷体_GB2312" w:hAnsi="楷体_GB2312" w:eastAsia="楷体_GB2312" w:cs="楷体_GB2312"/>
          <w:b w:val="0"/>
          <w:bCs/>
          <w:color w:val="auto"/>
          <w:sz w:val="32"/>
          <w:szCs w:val="32"/>
          <w:highlight w:val="none"/>
        </w:rPr>
        <w:t>（一）机关运行经费支出情况</w:t>
      </w:r>
      <w:bookmarkEnd w:id="46"/>
    </w:p>
    <w:p>
      <w:pPr>
        <w:spacing w:line="600" w:lineRule="exact"/>
        <w:ind w:firstLine="640"/>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lang w:val="en-US" w:eastAsia="zh-CN"/>
        </w:rPr>
        <w:t>22</w:t>
      </w:r>
      <w:r>
        <w:rPr>
          <w:rFonts w:hint="eastAsia" w:ascii="Times New Roman" w:hAnsi="Times New Roman" w:eastAsia="仿宋_GB2312" w:cs="Times New Roman"/>
          <w:color w:val="auto"/>
          <w:sz w:val="32"/>
          <w:szCs w:val="32"/>
          <w:highlight w:val="none"/>
        </w:rPr>
        <w:t>年，</w:t>
      </w:r>
      <w:r>
        <w:rPr>
          <w:rFonts w:hint="eastAsia" w:ascii="Times New Roman" w:hAnsi="Times New Roman" w:eastAsia="仿宋_GB2312" w:cs="Times New Roman"/>
          <w:color w:val="auto"/>
          <w:sz w:val="32"/>
          <w:szCs w:val="32"/>
          <w:highlight w:val="none"/>
          <w:lang w:eastAsia="zh-CN"/>
        </w:rPr>
        <w:t>区委编办</w:t>
      </w:r>
      <w:r>
        <w:rPr>
          <w:rFonts w:hint="eastAsia" w:ascii="Times New Roman" w:hAnsi="Times New Roman" w:eastAsia="仿宋_GB2312" w:cs="Times New Roman"/>
          <w:color w:val="auto"/>
          <w:sz w:val="32"/>
          <w:szCs w:val="32"/>
          <w:highlight w:val="none"/>
        </w:rPr>
        <w:t>机关运行经费支出</w:t>
      </w:r>
      <w:r>
        <w:rPr>
          <w:rFonts w:hint="eastAsia" w:ascii="Times New Roman" w:hAnsi="Times New Roman" w:eastAsia="仿宋_GB2312" w:cs="Times New Roman"/>
          <w:color w:val="auto"/>
          <w:sz w:val="32"/>
          <w:szCs w:val="32"/>
          <w:highlight w:val="none"/>
          <w:lang w:val="en-US" w:eastAsia="zh-CN"/>
        </w:rPr>
        <w:t>64.87</w:t>
      </w:r>
      <w:r>
        <w:rPr>
          <w:rFonts w:hint="eastAsia" w:ascii="Times New Roman" w:hAnsi="Times New Roman" w:eastAsia="仿宋_GB2312" w:cs="Times New Roman"/>
          <w:color w:val="auto"/>
          <w:sz w:val="32"/>
          <w:szCs w:val="32"/>
          <w:highlight w:val="none"/>
        </w:rPr>
        <w:t>万元，比</w:t>
      </w:r>
      <w:r>
        <w:rPr>
          <w:rFonts w:hint="default"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lang w:val="en-US" w:eastAsia="zh-CN"/>
        </w:rPr>
        <w:t>21</w:t>
      </w:r>
      <w:r>
        <w:rPr>
          <w:rFonts w:hint="eastAsia" w:ascii="Times New Roman" w:hAnsi="Times New Roman" w:eastAsia="仿宋_GB2312" w:cs="Times New Roman"/>
          <w:color w:val="auto"/>
          <w:sz w:val="32"/>
          <w:szCs w:val="32"/>
          <w:highlight w:val="none"/>
        </w:rPr>
        <w:t>年增加</w:t>
      </w:r>
      <w:r>
        <w:rPr>
          <w:rFonts w:hint="eastAsia" w:ascii="Times New Roman" w:hAnsi="Times New Roman" w:eastAsia="仿宋_GB2312" w:cs="Times New Roman"/>
          <w:color w:val="auto"/>
          <w:sz w:val="32"/>
          <w:szCs w:val="32"/>
          <w:highlight w:val="none"/>
          <w:lang w:val="en-US" w:eastAsia="zh-CN"/>
        </w:rPr>
        <w:t>7.87</w:t>
      </w:r>
      <w:r>
        <w:rPr>
          <w:rFonts w:hint="eastAsia" w:ascii="Times New Roman" w:hAnsi="Times New Roman" w:eastAsia="仿宋_GB2312" w:cs="Times New Roman"/>
          <w:color w:val="auto"/>
          <w:sz w:val="32"/>
          <w:szCs w:val="32"/>
          <w:highlight w:val="none"/>
        </w:rPr>
        <w:t>万元，增长</w:t>
      </w:r>
      <w:r>
        <w:rPr>
          <w:rFonts w:hint="eastAsia" w:ascii="Times New Roman" w:hAnsi="Times New Roman" w:eastAsia="仿宋_GB2312" w:cs="Times New Roman"/>
          <w:color w:val="auto"/>
          <w:sz w:val="32"/>
          <w:szCs w:val="32"/>
          <w:highlight w:val="none"/>
          <w:lang w:val="en-US" w:eastAsia="zh-CN"/>
        </w:rPr>
        <w:t>13.8</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rPr>
        <w:t>主要原因是</w:t>
      </w:r>
      <w:r>
        <w:rPr>
          <w:rFonts w:hint="eastAsia" w:ascii="Times New Roman" w:hAnsi="Times New Roman" w:eastAsia="仿宋_GB2312" w:cs="Times New Roman"/>
          <w:color w:val="auto"/>
          <w:sz w:val="32"/>
          <w:szCs w:val="32"/>
          <w:highlight w:val="none"/>
          <w:lang w:eastAsia="zh-CN"/>
        </w:rPr>
        <w:t>人员新增及改革任务增加。</w:t>
      </w:r>
    </w:p>
    <w:p>
      <w:pPr>
        <w:spacing w:line="600" w:lineRule="exact"/>
        <w:ind w:firstLine="640"/>
        <w:outlineLvl w:val="2"/>
        <w:rPr>
          <w:rFonts w:hint="eastAsia" w:ascii="楷体_GB2312" w:hAnsi="楷体_GB2312" w:eastAsia="楷体_GB2312" w:cs="楷体_GB2312"/>
          <w:b w:val="0"/>
          <w:bCs/>
          <w:color w:val="auto"/>
          <w:sz w:val="32"/>
          <w:szCs w:val="32"/>
          <w:highlight w:val="none"/>
        </w:rPr>
      </w:pPr>
      <w:bookmarkStart w:id="47" w:name="_Toc15377223"/>
      <w:r>
        <w:rPr>
          <w:rFonts w:hint="eastAsia" w:ascii="楷体_GB2312" w:hAnsi="楷体_GB2312" w:eastAsia="楷体_GB2312" w:cs="楷体_GB2312"/>
          <w:b w:val="0"/>
          <w:bCs/>
          <w:color w:val="auto"/>
          <w:sz w:val="32"/>
          <w:szCs w:val="32"/>
          <w:highlight w:val="none"/>
        </w:rPr>
        <w:t>（二）政府采购支出情况</w:t>
      </w:r>
      <w:bookmarkEnd w:id="47"/>
    </w:p>
    <w:p>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lang w:val="en-US" w:eastAsia="zh-CN"/>
        </w:rPr>
        <w:t>区委编办</w:t>
      </w:r>
      <w:r>
        <w:rPr>
          <w:rFonts w:hint="default" w:ascii="Times New Roman" w:hAnsi="Times New Roman" w:eastAsia="仿宋_GB2312" w:cs="Times New Roman"/>
          <w:sz w:val="32"/>
          <w:szCs w:val="32"/>
          <w:highlight w:val="none"/>
          <w:lang w:val="en-US" w:eastAsia="zh-CN"/>
        </w:rPr>
        <w:t>未发生政府采购。</w:t>
      </w:r>
    </w:p>
    <w:p>
      <w:pPr>
        <w:spacing w:line="600" w:lineRule="exact"/>
        <w:ind w:firstLine="640"/>
        <w:outlineLvl w:val="2"/>
        <w:rPr>
          <w:rFonts w:hint="eastAsia" w:ascii="楷体_GB2312" w:hAnsi="楷体_GB2312" w:eastAsia="楷体_GB2312" w:cs="楷体_GB2312"/>
          <w:b w:val="0"/>
          <w:bCs/>
          <w:color w:val="auto"/>
          <w:sz w:val="32"/>
          <w:szCs w:val="32"/>
          <w:highlight w:val="none"/>
        </w:rPr>
      </w:pPr>
      <w:bookmarkStart w:id="48" w:name="_Toc15377224"/>
      <w:r>
        <w:rPr>
          <w:rFonts w:hint="eastAsia" w:ascii="楷体_GB2312" w:hAnsi="楷体_GB2312" w:eastAsia="楷体_GB2312" w:cs="楷体_GB2312"/>
          <w:b w:val="0"/>
          <w:bCs/>
          <w:color w:val="auto"/>
          <w:sz w:val="32"/>
          <w:szCs w:val="32"/>
          <w:highlight w:val="none"/>
        </w:rPr>
        <w:t>（三）国有资产占有使用情况</w:t>
      </w:r>
      <w:bookmarkEnd w:id="48"/>
    </w:p>
    <w:p>
      <w:pPr>
        <w:spacing w:line="60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截至</w:t>
      </w:r>
      <w:r>
        <w:rPr>
          <w:rFonts w:hint="default"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lang w:val="en-US" w:eastAsia="zh-CN"/>
        </w:rPr>
        <w:t>22</w:t>
      </w:r>
      <w:r>
        <w:rPr>
          <w:rFonts w:hint="eastAsia" w:ascii="Times New Roman" w:hAnsi="Times New Roman" w:eastAsia="仿宋_GB2312" w:cs="Times New Roman"/>
          <w:color w:val="auto"/>
          <w:sz w:val="32"/>
          <w:szCs w:val="32"/>
          <w:highlight w:val="none"/>
        </w:rPr>
        <w:t>年</w:t>
      </w:r>
      <w:r>
        <w:rPr>
          <w:rFonts w:hint="default" w:ascii="Times New Roman" w:hAnsi="Times New Roman" w:eastAsia="仿宋_GB2312" w:cs="Times New Roman"/>
          <w:color w:val="auto"/>
          <w:sz w:val="32"/>
          <w:szCs w:val="32"/>
          <w:highlight w:val="none"/>
        </w:rPr>
        <w:t>12</w:t>
      </w:r>
      <w:r>
        <w:rPr>
          <w:rFonts w:hint="eastAsia" w:ascii="Times New Roman" w:hAnsi="Times New Roman" w:eastAsia="仿宋_GB2312" w:cs="Times New Roman"/>
          <w:color w:val="auto"/>
          <w:sz w:val="32"/>
          <w:szCs w:val="32"/>
          <w:highlight w:val="none"/>
        </w:rPr>
        <w:t>月</w:t>
      </w:r>
      <w:r>
        <w:rPr>
          <w:rFonts w:hint="default" w:ascii="Times New Roman" w:hAnsi="Times New Roman" w:eastAsia="仿宋_GB2312" w:cs="Times New Roman"/>
          <w:color w:val="auto"/>
          <w:sz w:val="32"/>
          <w:szCs w:val="32"/>
          <w:highlight w:val="none"/>
        </w:rPr>
        <w:t>31</w:t>
      </w:r>
      <w:r>
        <w:rPr>
          <w:rFonts w:hint="eastAsia" w:ascii="Times New Roman" w:hAnsi="Times New Roman" w:eastAsia="仿宋_GB2312" w:cs="Times New Roman"/>
          <w:color w:val="auto"/>
          <w:sz w:val="32"/>
          <w:szCs w:val="32"/>
          <w:highlight w:val="none"/>
        </w:rPr>
        <w:t>日，</w:t>
      </w:r>
      <w:r>
        <w:rPr>
          <w:rFonts w:hint="eastAsia" w:ascii="Times New Roman" w:hAnsi="Times New Roman" w:eastAsia="仿宋_GB2312" w:cs="Times New Roman"/>
          <w:color w:val="auto"/>
          <w:sz w:val="32"/>
          <w:szCs w:val="32"/>
          <w:highlight w:val="none"/>
          <w:lang w:eastAsia="zh-CN"/>
        </w:rPr>
        <w:t>区委编办</w:t>
      </w:r>
      <w:r>
        <w:rPr>
          <w:rFonts w:hint="eastAsia" w:ascii="Times New Roman" w:hAnsi="Times New Roman" w:eastAsia="仿宋_GB2312" w:cs="Times New Roman"/>
          <w:color w:val="auto"/>
          <w:sz w:val="32"/>
          <w:szCs w:val="32"/>
          <w:highlight w:val="none"/>
        </w:rPr>
        <w:t>共有车辆</w:t>
      </w:r>
      <w:r>
        <w:rPr>
          <w:rFonts w:hint="eastAsia" w:ascii="Times New Roman" w:hAnsi="Times New Roman" w:eastAsia="仿宋_GB2312"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rPr>
        <w:t>辆，其中：主要领导干部用车</w:t>
      </w:r>
      <w:r>
        <w:rPr>
          <w:rFonts w:hint="eastAsia" w:ascii="Times New Roman" w:hAnsi="Times New Roman" w:eastAsia="仿宋_GB2312"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rPr>
        <w:t>辆、机要通信用车</w:t>
      </w:r>
      <w:r>
        <w:rPr>
          <w:rFonts w:hint="eastAsia" w:ascii="Times New Roman" w:hAnsi="Times New Roman" w:eastAsia="仿宋_GB2312"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rPr>
        <w:t>辆、应急保障用车</w:t>
      </w:r>
      <w:r>
        <w:rPr>
          <w:rFonts w:hint="eastAsia" w:ascii="Times New Roman" w:hAnsi="Times New Roman" w:eastAsia="仿宋_GB2312"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rPr>
        <w:t>辆、其他用车</w:t>
      </w:r>
      <w:r>
        <w:rPr>
          <w:rFonts w:hint="eastAsia" w:ascii="Times New Roman" w:hAnsi="Times New Roman" w:eastAsia="仿宋_GB2312"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rPr>
        <w:t>辆</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rPr>
        <w:t>单价</w:t>
      </w:r>
      <w:r>
        <w:rPr>
          <w:rFonts w:hint="default" w:ascii="Times New Roman" w:hAnsi="Times New Roman" w:eastAsia="仿宋_GB2312" w:cs="Times New Roman"/>
          <w:color w:val="auto"/>
          <w:sz w:val="32"/>
          <w:szCs w:val="32"/>
          <w:highlight w:val="none"/>
        </w:rPr>
        <w:t>100</w:t>
      </w:r>
      <w:r>
        <w:rPr>
          <w:rFonts w:hint="eastAsia" w:ascii="Times New Roman" w:hAnsi="Times New Roman" w:eastAsia="仿宋_GB2312" w:cs="Times New Roman"/>
          <w:color w:val="auto"/>
          <w:sz w:val="32"/>
          <w:szCs w:val="32"/>
          <w:highlight w:val="none"/>
        </w:rPr>
        <w:t>万元以上专用设备</w:t>
      </w:r>
      <w:r>
        <w:rPr>
          <w:rFonts w:hint="eastAsia" w:ascii="Times New Roman" w:hAnsi="Times New Roman" w:eastAsia="仿宋_GB2312" w:cs="Times New Roman"/>
          <w:color w:val="auto"/>
          <w:sz w:val="32"/>
          <w:szCs w:val="32"/>
          <w:highlight w:val="none"/>
          <w:lang w:val="en-US" w:eastAsia="zh-CN"/>
        </w:rPr>
        <w:t>0</w:t>
      </w:r>
      <w:r>
        <w:rPr>
          <w:rFonts w:hint="eastAsia" w:ascii="Times New Roman" w:hAnsi="Times New Roman" w:eastAsia="仿宋_GB2312" w:cs="Times New Roman"/>
          <w:color w:val="auto"/>
          <w:sz w:val="32"/>
          <w:szCs w:val="32"/>
          <w:highlight w:val="none"/>
        </w:rPr>
        <w:t>台（套）。</w:t>
      </w:r>
    </w:p>
    <w:p>
      <w:pPr>
        <w:spacing w:line="600" w:lineRule="exact"/>
        <w:ind w:firstLine="640"/>
        <w:outlineLvl w:val="2"/>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（四）预算绩效管理情况</w:t>
      </w:r>
    </w:p>
    <w:p>
      <w:pPr>
        <w:spacing w:line="60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根据预算绩效管理要求，本部门在2022年度预算编制阶段，组织对“</w:t>
      </w:r>
      <w:r>
        <w:rPr>
          <w:rFonts w:hint="eastAsia" w:ascii="Times New Roman" w:hAnsi="Times New Roman" w:eastAsia="仿宋_GB2312" w:cs="Times New Roman"/>
          <w:color w:val="auto"/>
          <w:sz w:val="32"/>
          <w:szCs w:val="32"/>
          <w:highlight w:val="none"/>
          <w:lang w:eastAsia="zh-CN"/>
        </w:rPr>
        <w:t>中文域名注册经费</w:t>
      </w:r>
      <w:r>
        <w:rPr>
          <w:rFonts w:hint="eastAsia" w:ascii="Times New Roman" w:hAnsi="Times New Roman" w:eastAsia="仿宋_GB2312" w:cs="Times New Roman"/>
          <w:color w:val="auto"/>
          <w:sz w:val="32"/>
          <w:szCs w:val="32"/>
          <w:highlight w:val="none"/>
        </w:rPr>
        <w:t>”开展了预算事前绩效评估；对部门整体和所有项目（政策）支出编制了绩效目标，预算执行中，按照财政要求全面开展了绩效运行监控；</w:t>
      </w:r>
    </w:p>
    <w:p>
      <w:pPr>
        <w:spacing w:line="600" w:lineRule="exact"/>
        <w:ind w:firstLine="640" w:firstLineChars="200"/>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组织对2022年度一般公共预算支出开展了绩效自评 ，形成了</w:t>
      </w:r>
      <w:r>
        <w:rPr>
          <w:rFonts w:hint="eastAsia" w:ascii="Times New Roman" w:hAnsi="Times New Roman" w:eastAsia="仿宋_GB2312" w:cs="Times New Roman"/>
          <w:color w:val="auto"/>
          <w:sz w:val="32"/>
          <w:szCs w:val="32"/>
          <w:highlight w:val="none"/>
          <w:lang w:eastAsia="zh-CN"/>
        </w:rPr>
        <w:t>区委编办</w:t>
      </w:r>
      <w:r>
        <w:rPr>
          <w:rFonts w:hint="eastAsia" w:ascii="Times New Roman" w:hAnsi="Times New Roman" w:eastAsia="仿宋_GB2312" w:cs="Times New Roman"/>
          <w:color w:val="auto"/>
          <w:sz w:val="32"/>
          <w:szCs w:val="32"/>
          <w:highlight w:val="none"/>
        </w:rPr>
        <w:t>部门整体绩效自评报告（表)、</w:t>
      </w:r>
      <w:r>
        <w:rPr>
          <w:rFonts w:hint="eastAsia" w:ascii="Times New Roman" w:hAnsi="Times New Roman" w:eastAsia="仿宋_GB2312" w:cs="Times New Roman"/>
          <w:color w:val="auto"/>
          <w:sz w:val="32"/>
          <w:szCs w:val="32"/>
          <w:highlight w:val="none"/>
          <w:lang w:val="en-US" w:eastAsia="zh-CN"/>
        </w:rPr>
        <w:t>审改办、事业单位年检</w:t>
      </w:r>
      <w:r>
        <w:rPr>
          <w:rFonts w:hint="eastAsia" w:ascii="Times New Roman" w:hAnsi="Times New Roman" w:eastAsia="仿宋_GB2312" w:cs="Times New Roman"/>
          <w:color w:val="auto"/>
          <w:sz w:val="32"/>
          <w:szCs w:val="32"/>
          <w:highlight w:val="none"/>
          <w:lang w:eastAsia="zh-CN"/>
        </w:rPr>
        <w:t>等项目</w:t>
      </w:r>
      <w:r>
        <w:rPr>
          <w:rFonts w:hint="eastAsia" w:ascii="Times New Roman" w:hAnsi="Times New Roman" w:eastAsia="仿宋_GB2312" w:cs="Times New Roman"/>
          <w:color w:val="auto"/>
          <w:sz w:val="32"/>
          <w:szCs w:val="32"/>
          <w:highlight w:val="none"/>
        </w:rPr>
        <w:t>绩效自评报告，其中，部门整体绩效自评得分为</w:t>
      </w:r>
      <w:r>
        <w:rPr>
          <w:rFonts w:hint="eastAsia" w:ascii="Times New Roman" w:hAnsi="Times New Roman" w:eastAsia="仿宋_GB2312" w:cs="Times New Roman"/>
          <w:color w:val="auto"/>
          <w:sz w:val="32"/>
          <w:szCs w:val="32"/>
          <w:highlight w:val="none"/>
          <w:lang w:val="en-US" w:eastAsia="zh-CN"/>
        </w:rPr>
        <w:t>95</w:t>
      </w:r>
      <w:r>
        <w:rPr>
          <w:rFonts w:hint="eastAsia" w:ascii="Times New Roman" w:hAnsi="Times New Roman" w:eastAsia="仿宋_GB2312" w:cs="Times New Roman"/>
          <w:color w:val="auto"/>
          <w:sz w:val="32"/>
          <w:szCs w:val="32"/>
          <w:highlight w:val="none"/>
        </w:rPr>
        <w:t>分；</w:t>
      </w:r>
      <w:r>
        <w:rPr>
          <w:rFonts w:hint="eastAsia" w:ascii="Times New Roman" w:hAnsi="Times New Roman" w:eastAsia="仿宋_GB2312" w:cs="Times New Roman"/>
          <w:color w:val="auto"/>
          <w:sz w:val="32"/>
          <w:szCs w:val="32"/>
          <w:highlight w:val="none"/>
          <w:lang w:val="en-US" w:eastAsia="zh-CN"/>
        </w:rPr>
        <w:t>审改办、事业单位年检</w:t>
      </w:r>
      <w:r>
        <w:rPr>
          <w:rFonts w:hint="eastAsia" w:ascii="Times New Roman" w:hAnsi="Times New Roman" w:eastAsia="仿宋_GB2312" w:cs="Times New Roman"/>
          <w:color w:val="auto"/>
          <w:sz w:val="32"/>
          <w:szCs w:val="32"/>
          <w:highlight w:val="none"/>
          <w:lang w:eastAsia="zh-CN"/>
        </w:rPr>
        <w:t>等项目</w:t>
      </w:r>
      <w:r>
        <w:rPr>
          <w:rFonts w:hint="eastAsia" w:ascii="Times New Roman" w:hAnsi="Times New Roman" w:eastAsia="仿宋_GB2312" w:cs="Times New Roman"/>
          <w:color w:val="auto"/>
          <w:sz w:val="32"/>
          <w:szCs w:val="32"/>
          <w:highlight w:val="none"/>
        </w:rPr>
        <w:t>绩效自评得分为 </w:t>
      </w:r>
      <w:r>
        <w:rPr>
          <w:rFonts w:hint="eastAsia" w:ascii="Times New Roman" w:hAnsi="Times New Roman" w:eastAsia="仿宋_GB2312" w:cs="Times New Roman"/>
          <w:color w:val="auto"/>
          <w:sz w:val="32"/>
          <w:szCs w:val="32"/>
          <w:highlight w:val="none"/>
          <w:lang w:val="en-US" w:eastAsia="zh-CN"/>
        </w:rPr>
        <w:t>97</w:t>
      </w:r>
      <w:r>
        <w:rPr>
          <w:rFonts w:hint="eastAsia" w:ascii="Times New Roman" w:hAnsi="Times New Roman" w:eastAsia="仿宋_GB2312" w:cs="Times New Roman"/>
          <w:color w:val="auto"/>
          <w:sz w:val="32"/>
          <w:szCs w:val="32"/>
          <w:highlight w:val="none"/>
        </w:rPr>
        <w:t>分。《2022年</w:t>
      </w:r>
      <w:r>
        <w:rPr>
          <w:rFonts w:hint="eastAsia" w:ascii="Times New Roman" w:hAnsi="Times New Roman" w:eastAsia="仿宋_GB2312" w:cs="Times New Roman"/>
          <w:color w:val="auto"/>
          <w:sz w:val="32"/>
          <w:szCs w:val="32"/>
          <w:highlight w:val="none"/>
          <w:lang w:eastAsia="zh-CN"/>
        </w:rPr>
        <w:t>区委编办</w:t>
      </w:r>
      <w:r>
        <w:rPr>
          <w:rFonts w:hint="eastAsia" w:ascii="Times New Roman" w:hAnsi="Times New Roman" w:eastAsia="仿宋_GB2312" w:cs="Times New Roman"/>
          <w:color w:val="auto"/>
          <w:sz w:val="32"/>
          <w:szCs w:val="32"/>
          <w:highlight w:val="none"/>
        </w:rPr>
        <w:t>部门整体绩效自评报告（表）》和《项目支出绩效自评报告（表）》详见附件</w:t>
      </w:r>
    </w:p>
    <w:p>
      <w:pPr>
        <w:spacing w:line="600" w:lineRule="exact"/>
        <w:ind w:firstLine="640" w:firstLineChars="200"/>
        <w:rPr>
          <w:rFonts w:hint="eastAsia" w:ascii="Times New Roman" w:hAnsi="Times New Roman" w:eastAsia="仿宋_GB2312" w:cs="Times New Roman"/>
          <w:color w:val="auto"/>
          <w:sz w:val="32"/>
          <w:szCs w:val="32"/>
          <w:highlight w:val="none"/>
        </w:rPr>
      </w:pPr>
    </w:p>
    <w:p>
      <w:pPr>
        <w:spacing w:line="600" w:lineRule="exact"/>
        <w:ind w:firstLine="420" w:firstLineChars="200"/>
        <w:rPr>
          <w:rFonts w:hint="eastAsia" w:ascii="Times New Roman" w:hAnsi="Times New Roman" w:eastAsia="仿宋_GB2312" w:cs="Times New Roman"/>
          <w:color w:val="auto"/>
          <w:sz w:val="32"/>
          <w:szCs w:val="32"/>
          <w:highlight w:val="none"/>
        </w:rPr>
      </w:pPr>
      <w:bookmarkStart w:id="49" w:name="_Toc15377225"/>
      <w:bookmarkStart w:id="50" w:name="_Toc15396613"/>
      <w:r>
        <w:br w:type="page"/>
      </w:r>
    </w:p>
    <w:p>
      <w:pPr>
        <w:keepNext w:val="0"/>
        <w:keepLines w:val="0"/>
        <w:pageBreakBefore w:val="0"/>
        <w:widowControl w:val="0"/>
        <w:numPr>
          <w:ilvl w:val="0"/>
          <w:numId w:val="3"/>
        </w:numPr>
        <w:kinsoku/>
        <w:wordWrap/>
        <w:overflowPunct/>
        <w:topLinePunct w:val="0"/>
        <w:bidi w:val="0"/>
        <w:snapToGrid/>
        <w:spacing w:line="604" w:lineRule="exact"/>
        <w:ind w:left="0" w:leftChars="0" w:firstLine="0" w:firstLineChars="0"/>
        <w:jc w:val="center"/>
        <w:textAlignment w:val="auto"/>
        <w:outlineLvl w:val="0"/>
        <w:rPr>
          <w:rStyle w:val="31"/>
          <w:rFonts w:ascii="黑体" w:hAnsi="黑体" w:eastAsia="黑体"/>
          <w:b w:val="0"/>
          <w:color w:val="auto"/>
          <w:highlight w:val="none"/>
        </w:rPr>
      </w:pPr>
      <w:r>
        <w:rPr>
          <w:rFonts w:hint="eastAsia" w:ascii="黑体" w:hAnsi="黑体" w:eastAsia="黑体"/>
          <w:color w:val="auto"/>
          <w:sz w:val="44"/>
          <w:szCs w:val="44"/>
          <w:highlight w:val="none"/>
        </w:rPr>
        <w:t>名</w:t>
      </w:r>
      <w:r>
        <w:rPr>
          <w:rStyle w:val="31"/>
          <w:rFonts w:hint="eastAsia" w:ascii="黑体" w:hAnsi="黑体" w:eastAsia="黑体"/>
          <w:b w:val="0"/>
          <w:color w:val="auto"/>
          <w:highlight w:val="none"/>
        </w:rPr>
        <w:t>词解释</w:t>
      </w:r>
      <w:bookmarkEnd w:id="49"/>
      <w:bookmarkEnd w:id="50"/>
    </w:p>
    <w:p>
      <w:pPr>
        <w:keepNext w:val="0"/>
        <w:keepLines w:val="0"/>
        <w:pageBreakBefore w:val="0"/>
        <w:widowControl w:val="0"/>
        <w:kinsoku/>
        <w:wordWrap/>
        <w:overflowPunct/>
        <w:topLinePunct w:val="0"/>
        <w:bidi w:val="0"/>
        <w:snapToGrid/>
        <w:spacing w:line="604" w:lineRule="exact"/>
        <w:jc w:val="left"/>
        <w:textAlignment w:val="auto"/>
        <w:rPr>
          <w:rFonts w:ascii="宋体"/>
          <w:b/>
          <w:color w:val="auto"/>
          <w:sz w:val="44"/>
          <w:szCs w:val="44"/>
          <w:highlight w:val="none"/>
        </w:rPr>
      </w:pPr>
    </w:p>
    <w:p>
      <w:pPr>
        <w:keepNext w:val="0"/>
        <w:keepLines w:val="0"/>
        <w:pageBreakBefore w:val="0"/>
        <w:widowControl w:val="0"/>
        <w:kinsoku/>
        <w:wordWrap/>
        <w:overflowPunct/>
        <w:topLinePunct w:val="0"/>
        <w:autoSpaceDE w:val="0"/>
        <w:autoSpaceDN w:val="0"/>
        <w:bidi w:val="0"/>
        <w:adjustRightInd w:val="0"/>
        <w:snapToGrid/>
        <w:spacing w:line="604"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1.财政拨款收入：指单位从同级财政部门取得的财政预算资金。</w:t>
      </w:r>
    </w:p>
    <w:p>
      <w:pPr>
        <w:keepNext w:val="0"/>
        <w:keepLines w:val="0"/>
        <w:pageBreakBefore w:val="0"/>
        <w:widowControl w:val="0"/>
        <w:kinsoku/>
        <w:wordWrap/>
        <w:overflowPunct/>
        <w:topLinePunct w:val="0"/>
        <w:autoSpaceDE w:val="0"/>
        <w:autoSpaceDN w:val="0"/>
        <w:bidi w:val="0"/>
        <w:adjustRightInd w:val="0"/>
        <w:snapToGrid/>
        <w:spacing w:line="604"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2.一般公共预算拨款收入：指区级财政当年拨付的资金。</w:t>
      </w:r>
    </w:p>
    <w:p>
      <w:pPr>
        <w:keepNext w:val="0"/>
        <w:keepLines w:val="0"/>
        <w:pageBreakBefore w:val="0"/>
        <w:widowControl w:val="0"/>
        <w:kinsoku/>
        <w:wordWrap/>
        <w:overflowPunct/>
        <w:topLinePunct w:val="0"/>
        <w:autoSpaceDE w:val="0"/>
        <w:autoSpaceDN w:val="0"/>
        <w:bidi w:val="0"/>
        <w:adjustRightInd w:val="0"/>
        <w:snapToGrid/>
        <w:spacing w:line="604"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3.一般公共服务（类）党委办公厅（室）及相关机构事务（款）行政运行（项）：指区委编办及下属事业单位用于保障机构正常运行、开展日常工作的基本支出。</w:t>
      </w:r>
    </w:p>
    <w:p>
      <w:pPr>
        <w:keepNext w:val="0"/>
        <w:keepLines w:val="0"/>
        <w:pageBreakBefore w:val="0"/>
        <w:widowControl w:val="0"/>
        <w:kinsoku/>
        <w:wordWrap/>
        <w:overflowPunct/>
        <w:topLinePunct w:val="0"/>
        <w:autoSpaceDE w:val="0"/>
        <w:autoSpaceDN w:val="0"/>
        <w:bidi w:val="0"/>
        <w:adjustRightInd w:val="0"/>
        <w:snapToGrid/>
        <w:spacing w:line="604"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4.社会保障和就业（类）行政事业单位养老支出（款）机关事业单位基本养老保险缴费支出（项）：指保障编办及参公管理事业单位和其他事业单位人员养老保险单位部分经费支出。  </w:t>
      </w:r>
    </w:p>
    <w:p>
      <w:pPr>
        <w:keepNext w:val="0"/>
        <w:keepLines w:val="0"/>
        <w:pageBreakBefore w:val="0"/>
        <w:widowControl w:val="0"/>
        <w:kinsoku/>
        <w:wordWrap/>
        <w:overflowPunct/>
        <w:topLinePunct w:val="0"/>
        <w:autoSpaceDE w:val="0"/>
        <w:autoSpaceDN w:val="0"/>
        <w:bidi w:val="0"/>
        <w:adjustRightInd w:val="0"/>
        <w:snapToGrid/>
        <w:spacing w:line="604"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5.卫生健康支出（类）行政事业单位医疗（款）行政单位医疗（项）：指保障编办及参公管理事业单位和其他事业单位人员按规定由单位缴纳的基本医疗保险、工伤保险、生育保险、失业保险单位部分支出。</w:t>
      </w:r>
    </w:p>
    <w:p>
      <w:pPr>
        <w:keepNext w:val="0"/>
        <w:keepLines w:val="0"/>
        <w:pageBreakBefore w:val="0"/>
        <w:widowControl w:val="0"/>
        <w:kinsoku/>
        <w:wordWrap/>
        <w:overflowPunct/>
        <w:topLinePunct w:val="0"/>
        <w:autoSpaceDE w:val="0"/>
        <w:autoSpaceDN w:val="0"/>
        <w:bidi w:val="0"/>
        <w:adjustRightInd w:val="0"/>
        <w:snapToGrid/>
        <w:spacing w:line="604" w:lineRule="exact"/>
        <w:ind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6.住房保障（类）住房改革支出（款）住房公积金（项）：指部门按人力资源和社会保障部、财政部规定的基本工资和津贴补贴以及规定比例为职工缴纳的住房公积金单位部分支出。</w:t>
      </w:r>
    </w:p>
    <w:p>
      <w:pPr>
        <w:keepNext w:val="0"/>
        <w:keepLines w:val="0"/>
        <w:pageBreakBefore w:val="0"/>
        <w:widowControl w:val="0"/>
        <w:kinsoku/>
        <w:wordWrap/>
        <w:overflowPunct/>
        <w:topLinePunct w:val="0"/>
        <w:autoSpaceDE w:val="0"/>
        <w:autoSpaceDN w:val="0"/>
        <w:bidi w:val="0"/>
        <w:adjustRightInd w:val="0"/>
        <w:snapToGrid/>
        <w:spacing w:line="604"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.“三公”经费：指</w:t>
      </w:r>
      <w:r>
        <w:rPr>
          <w:rFonts w:hint="default" w:ascii="Times New Roman" w:hAnsi="Times New Roman" w:eastAsia="仿宋_GB2312" w:cs="Times New Roman"/>
          <w:color w:val="auto"/>
          <w:sz w:val="32"/>
          <w:szCs w:val="32"/>
          <w:highlight w:val="none"/>
          <w:lang w:eastAsia="zh-CN"/>
        </w:rPr>
        <w:t>单位</w:t>
      </w:r>
      <w:r>
        <w:rPr>
          <w:rFonts w:hint="default" w:ascii="Times New Roman" w:hAnsi="Times New Roman" w:eastAsia="仿宋_GB2312" w:cs="Times New Roman"/>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val="0"/>
        <w:autoSpaceDN w:val="0"/>
        <w:bidi w:val="0"/>
        <w:adjustRightInd w:val="0"/>
        <w:snapToGrid/>
        <w:spacing w:line="604"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napToGrid/>
        <w:spacing w:line="604"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9</w:t>
      </w:r>
      <w:r>
        <w:rPr>
          <w:rFonts w:hint="default" w:ascii="Times New Roman" w:hAnsi="Times New Roman" w:eastAsia="仿宋_GB2312" w:cs="Times New Roman"/>
          <w:color w:val="auto"/>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604"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10</w:t>
      </w:r>
      <w:r>
        <w:rPr>
          <w:rFonts w:hint="default" w:ascii="Times New Roman" w:hAnsi="Times New Roman" w:eastAsia="仿宋_GB2312" w:cs="Times New Roman"/>
          <w:color w:val="auto"/>
          <w:sz w:val="32"/>
          <w:szCs w:val="32"/>
          <w:highlight w:val="none"/>
        </w:rPr>
        <w:t xml:space="preserve">.项目支出：指在基本支出之外为完成特定行政任务和事业发展目标所发生的支出。 </w:t>
      </w:r>
    </w:p>
    <w:p>
      <w:pPr>
        <w:keepNext w:val="0"/>
        <w:keepLines w:val="0"/>
        <w:pageBreakBefore w:val="0"/>
        <w:widowControl w:val="0"/>
        <w:kinsoku/>
        <w:wordWrap/>
        <w:overflowPunct/>
        <w:topLinePunct w:val="0"/>
        <w:autoSpaceDE w:val="0"/>
        <w:autoSpaceDN w:val="0"/>
        <w:bidi w:val="0"/>
        <w:adjustRightInd w:val="0"/>
        <w:snapToGrid/>
        <w:spacing w:line="604"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val="0"/>
        <w:autoSpaceDN w:val="0"/>
        <w:bidi w:val="0"/>
        <w:adjustRightInd w:val="0"/>
        <w:snapToGrid/>
        <w:spacing w:line="604" w:lineRule="exact"/>
        <w:ind w:firstLine="640" w:firstLineChars="20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pacing w:line="576" w:lineRule="exact"/>
        <w:ind w:left="0" w:leftChars="0" w:right="0" w:firstLine="0" w:firstLineChars="0"/>
        <w:jc w:val="center"/>
        <w:textAlignment w:val="auto"/>
        <w:rPr>
          <w:rStyle w:val="31"/>
          <w:rFonts w:hint="default" w:ascii="Times New Roman" w:hAnsi="Times New Roman" w:eastAsia="黑体" w:cs="Times New Roman"/>
          <w:b w:val="0"/>
          <w:color w:val="auto"/>
          <w:highlight w:val="none"/>
        </w:rPr>
      </w:pPr>
      <w:bookmarkStart w:id="51" w:name="_Toc15377226"/>
      <w:r>
        <w:br w:type="page"/>
      </w:r>
      <w:bookmarkStart w:id="52" w:name="_Toc15396614"/>
      <w:r>
        <w:rPr>
          <w:rFonts w:hint="default" w:ascii="Times New Roman" w:hAnsi="Times New Roman" w:eastAsia="黑体" w:cs="Times New Roman"/>
          <w:color w:val="auto"/>
          <w:sz w:val="44"/>
          <w:szCs w:val="44"/>
          <w:highlight w:val="none"/>
        </w:rPr>
        <w:t>第</w:t>
      </w:r>
      <w:r>
        <w:rPr>
          <w:rStyle w:val="31"/>
          <w:rFonts w:hint="default" w:ascii="Times New Roman" w:hAnsi="Times New Roman" w:eastAsia="黑体" w:cs="Times New Roman"/>
          <w:b w:val="0"/>
          <w:color w:val="auto"/>
          <w:highlight w:val="none"/>
        </w:rPr>
        <w:t>四部分 附件</w:t>
      </w:r>
      <w:bookmarkEnd w:id="52"/>
    </w:p>
    <w:p>
      <w:pPr>
        <w:pStyle w:val="7"/>
        <w:keepNext w:val="0"/>
        <w:keepLines w:val="0"/>
        <w:pageBreakBefore w:val="0"/>
        <w:widowControl w:val="0"/>
        <w:kinsoku/>
        <w:wordWrap/>
        <w:overflowPunct/>
        <w:topLinePunct w:val="0"/>
        <w:bidi w:val="0"/>
        <w:spacing w:beforeLines="0" w:line="576" w:lineRule="exact"/>
        <w:ind w:left="0" w:right="0" w:firstLine="600" w:firstLineChars="200"/>
        <w:jc w:val="both"/>
        <w:textAlignment w:val="auto"/>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spacing w:line="576" w:lineRule="exact"/>
        <w:ind w:left="0" w:right="0" w:firstLine="640" w:firstLineChars="200"/>
        <w:jc w:val="both"/>
        <w:textAlignment w:val="auto"/>
        <w:outlineLvl w:val="0"/>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1</w:t>
      </w:r>
    </w:p>
    <w:p>
      <w:pPr>
        <w:pStyle w:val="7"/>
        <w:keepNext w:val="0"/>
        <w:keepLines w:val="0"/>
        <w:pageBreakBefore w:val="0"/>
        <w:widowControl w:val="0"/>
        <w:kinsoku/>
        <w:wordWrap/>
        <w:overflowPunct/>
        <w:topLinePunct w:val="0"/>
        <w:bidi w:val="0"/>
        <w:spacing w:beforeLines="0" w:line="576" w:lineRule="exact"/>
        <w:ind w:left="0" w:right="0" w:firstLine="600" w:firstLineChars="200"/>
        <w:jc w:val="both"/>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spacing w:line="576" w:lineRule="exact"/>
        <w:ind w:left="0" w:leftChars="0" w:right="0" w:firstLine="0" w:firstLineChars="0"/>
        <w:contextualSpacing/>
        <w:jc w:val="center"/>
        <w:textAlignment w:val="auto"/>
        <w:rPr>
          <w:rFonts w:hint="eastAsia" w:ascii="方正小标宋_GBK" w:hAnsi="方正小标宋_GBK" w:eastAsia="方正小标宋_GBK" w:cs="方正小标宋_GBK"/>
          <w:b w:val="0"/>
          <w:bCs/>
          <w:color w:val="auto"/>
          <w:sz w:val="44"/>
          <w:szCs w:val="44"/>
          <w:highlight w:val="none"/>
          <w:shd w:val="clear" w:color="auto" w:fill="FFFFFF"/>
          <w:lang w:val="en-US" w:eastAsia="zh-CN"/>
        </w:rPr>
      </w:pPr>
      <w:r>
        <w:rPr>
          <w:rFonts w:hint="eastAsia" w:ascii="方正小标宋_GBK" w:hAnsi="方正小标宋_GBK" w:eastAsia="方正小标宋_GBK" w:cs="方正小标宋_GBK"/>
          <w:b w:val="0"/>
          <w:bCs/>
          <w:color w:val="auto"/>
          <w:sz w:val="44"/>
          <w:szCs w:val="44"/>
          <w:highlight w:val="none"/>
          <w:shd w:val="clear" w:color="auto" w:fill="FFFFFF"/>
          <w:lang w:val="en-US" w:eastAsia="zh-CN"/>
        </w:rPr>
        <w:t>中共广元市昭化区委机构编制委员会办公室</w:t>
      </w:r>
    </w:p>
    <w:p>
      <w:pPr>
        <w:keepNext w:val="0"/>
        <w:keepLines w:val="0"/>
        <w:pageBreakBefore w:val="0"/>
        <w:widowControl w:val="0"/>
        <w:kinsoku/>
        <w:wordWrap/>
        <w:overflowPunct/>
        <w:topLinePunct w:val="0"/>
        <w:autoSpaceDE/>
        <w:autoSpaceDN/>
        <w:bidi w:val="0"/>
        <w:spacing w:line="576" w:lineRule="exact"/>
        <w:ind w:left="0" w:leftChars="0" w:right="0" w:firstLine="0" w:firstLineChars="0"/>
        <w:contextualSpacing/>
        <w:jc w:val="center"/>
        <w:textAlignment w:val="auto"/>
        <w:rPr>
          <w:rFonts w:hint="eastAsia" w:ascii="方正小标宋_GBK" w:hAnsi="方正小标宋_GBK" w:eastAsia="方正小标宋_GBK" w:cs="方正小标宋_GBK"/>
          <w:b w:val="0"/>
          <w:bCs/>
          <w:color w:val="auto"/>
          <w:sz w:val="44"/>
          <w:szCs w:val="44"/>
          <w:highlight w:val="none"/>
          <w:shd w:val="clear" w:color="auto" w:fill="FFFFFF"/>
        </w:rPr>
      </w:pPr>
      <w:r>
        <w:rPr>
          <w:rFonts w:hint="eastAsia" w:ascii="方正小标宋_GBK" w:hAnsi="方正小标宋_GBK" w:eastAsia="方正小标宋_GBK" w:cs="方正小标宋_GBK"/>
          <w:b w:val="0"/>
          <w:bCs/>
          <w:color w:val="auto"/>
          <w:sz w:val="44"/>
          <w:szCs w:val="44"/>
          <w:highlight w:val="none"/>
          <w:shd w:val="clear" w:color="auto" w:fill="FFFFFF"/>
        </w:rPr>
        <w:t>20</w:t>
      </w:r>
      <w:r>
        <w:rPr>
          <w:rFonts w:hint="eastAsia" w:ascii="方正小标宋_GBK" w:hAnsi="方正小标宋_GBK" w:eastAsia="方正小标宋_GBK" w:cs="方正小标宋_GBK"/>
          <w:b w:val="0"/>
          <w:bCs/>
          <w:color w:val="auto"/>
          <w:sz w:val="44"/>
          <w:szCs w:val="44"/>
          <w:highlight w:val="none"/>
          <w:shd w:val="clear" w:color="auto" w:fill="FFFFFF"/>
          <w:lang w:val="en-US" w:eastAsia="zh-CN"/>
        </w:rPr>
        <w:t>23</w:t>
      </w:r>
      <w:r>
        <w:rPr>
          <w:rFonts w:hint="eastAsia" w:ascii="方正小标宋_GBK" w:hAnsi="方正小标宋_GBK" w:eastAsia="方正小标宋_GBK" w:cs="方正小标宋_GBK"/>
          <w:b w:val="0"/>
          <w:bCs/>
          <w:color w:val="auto"/>
          <w:sz w:val="44"/>
          <w:szCs w:val="44"/>
          <w:highlight w:val="none"/>
          <w:shd w:val="clear" w:color="auto" w:fill="FFFFFF"/>
        </w:rPr>
        <w:t>年整体绩效评价报告</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contextualSpacing/>
        <w:jc w:val="both"/>
        <w:textAlignment w:val="auto"/>
        <w:rPr>
          <w:rFonts w:hint="default" w:ascii="Times New Roman" w:hAnsi="Times New Roman" w:eastAsia="黑体" w:cs="Times New Roman"/>
          <w:color w:val="auto"/>
          <w:kern w:val="0"/>
          <w:sz w:val="32"/>
          <w:szCs w:val="32"/>
          <w:highlight w:val="none"/>
          <w:shd w:val="clear" w:color="auto" w:fill="FFFFFF"/>
        </w:rPr>
      </w:pPr>
    </w:p>
    <w:p>
      <w:pPr>
        <w:keepNext w:val="0"/>
        <w:keepLines w:val="0"/>
        <w:pageBreakBefore w:val="0"/>
        <w:widowControl w:val="0"/>
        <w:numPr>
          <w:ilvl w:val="0"/>
          <w:numId w:val="4"/>
        </w:numPr>
        <w:kinsoku/>
        <w:wordWrap/>
        <w:overflowPunct/>
        <w:topLinePunct w:val="0"/>
        <w:autoSpaceDE/>
        <w:autoSpaceDN/>
        <w:bidi w:val="0"/>
        <w:adjustRightInd w:val="0"/>
        <w:snapToGrid w:val="0"/>
        <w:spacing w:line="576" w:lineRule="exact"/>
        <w:ind w:left="0" w:right="0" w:firstLine="640" w:firstLineChars="200"/>
        <w:contextualSpacing/>
        <w:jc w:val="both"/>
        <w:textAlignment w:val="auto"/>
        <w:rPr>
          <w:rFonts w:hint="default" w:ascii="Times New Roman" w:hAnsi="Times New Roman" w:eastAsia="黑体" w:cs="Times New Roman"/>
          <w:color w:val="auto"/>
          <w:kern w:val="0"/>
          <w:sz w:val="32"/>
          <w:szCs w:val="32"/>
          <w:highlight w:val="none"/>
          <w:shd w:val="clear" w:color="auto" w:fill="FFFFFF"/>
          <w:lang w:val="zh-CN"/>
        </w:rPr>
      </w:pPr>
      <w:r>
        <w:rPr>
          <w:rFonts w:hint="default" w:ascii="Times New Roman" w:hAnsi="Times New Roman" w:eastAsia="黑体" w:cs="Times New Roman"/>
          <w:color w:val="auto"/>
          <w:kern w:val="0"/>
          <w:sz w:val="32"/>
          <w:szCs w:val="32"/>
          <w:highlight w:val="none"/>
          <w:shd w:val="clear" w:color="auto" w:fill="FFFFFF"/>
          <w:lang w:val="zh-CN"/>
        </w:rPr>
        <w:t>部门（单位）基本情况</w:t>
      </w:r>
    </w:p>
    <w:p>
      <w:pPr>
        <w:keepNext w:val="0"/>
        <w:keepLines w:val="0"/>
        <w:pageBreakBefore w:val="0"/>
        <w:widowControl w:val="0"/>
        <w:numPr>
          <w:ilvl w:val="0"/>
          <w:numId w:val="5"/>
        </w:numPr>
        <w:kinsoku/>
        <w:wordWrap/>
        <w:overflowPunct/>
        <w:topLinePunct w:val="0"/>
        <w:autoSpaceDE/>
        <w:autoSpaceDN/>
        <w:bidi w:val="0"/>
        <w:adjustRightInd w:val="0"/>
        <w:snapToGrid w:val="0"/>
        <w:spacing w:line="576" w:lineRule="exact"/>
        <w:ind w:left="0" w:right="0" w:firstLine="640" w:firstLineChars="200"/>
        <w:contextualSpacing/>
        <w:jc w:val="both"/>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机构组成。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cs="Times New Roman"/>
          <w:lang w:val="zh-CN"/>
        </w:rPr>
      </w:pPr>
      <w:r>
        <w:rPr>
          <w:rFonts w:hint="default" w:ascii="Times New Roman" w:hAnsi="Times New Roman" w:eastAsia="仿宋_GB2312" w:cs="Times New Roman"/>
          <w:kern w:val="2"/>
          <w:sz w:val="32"/>
          <w:szCs w:val="32"/>
          <w:lang w:val="en-US" w:eastAsia="zh-CN" w:bidi="ar-SA"/>
        </w:rPr>
        <w:t>区委编办属于一级预算单位，参照公务员法管理的事业单位1个，其他事业单位1个。主要包括：昭化区事业单位登记服务中心、昭化区机构编制信息中心。</w:t>
      </w:r>
    </w:p>
    <w:p>
      <w:pPr>
        <w:keepNext w:val="0"/>
        <w:keepLines w:val="0"/>
        <w:pageBreakBefore w:val="0"/>
        <w:widowControl w:val="0"/>
        <w:numPr>
          <w:ilvl w:val="0"/>
          <w:numId w:val="5"/>
        </w:numPr>
        <w:kinsoku/>
        <w:wordWrap/>
        <w:overflowPunct/>
        <w:topLinePunct w:val="0"/>
        <w:autoSpaceDE/>
        <w:autoSpaceDN/>
        <w:bidi w:val="0"/>
        <w:adjustRightInd w:val="0"/>
        <w:snapToGrid w:val="0"/>
        <w:spacing w:line="576" w:lineRule="exact"/>
        <w:ind w:left="0" w:leftChars="0" w:right="0" w:firstLine="640" w:firstLineChars="200"/>
        <w:contextualSpacing/>
        <w:jc w:val="both"/>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机构职能和人员概况。</w:t>
      </w:r>
    </w:p>
    <w:p>
      <w:pPr>
        <w:keepNext w:val="0"/>
        <w:keepLines w:val="0"/>
        <w:pageBreakBefore w:val="0"/>
        <w:widowControl w:val="0"/>
        <w:kinsoku/>
        <w:wordWrap/>
        <w:overflowPunct/>
        <w:topLinePunct w:val="0"/>
        <w:autoSpaceDE/>
        <w:autoSpaceDN/>
        <w:bidi w:val="0"/>
        <w:spacing w:line="576" w:lineRule="exact"/>
        <w:ind w:left="0" w:leftChars="0" w:right="0" w:firstLine="640"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lang w:eastAsia="zh-CN"/>
        </w:rPr>
        <w:t>一是</w:t>
      </w:r>
      <w:r>
        <w:rPr>
          <w:rFonts w:hint="default" w:ascii="Times New Roman" w:hAnsi="Times New Roman" w:eastAsia="仿宋_GB2312" w:cs="Times New Roman"/>
          <w:color w:val="auto"/>
          <w:sz w:val="32"/>
          <w:szCs w:val="32"/>
        </w:rPr>
        <w:t>贯彻执行中央关于行政管理体制改革和机构改革、事业单位改革及机构编制管理的方针政策、法律法规规章，研究起草规章草案、规范性文件，制定相关政策并监督实施</w:t>
      </w:r>
      <w:r>
        <w:rPr>
          <w:rFonts w:hint="default" w:ascii="Times New Roman" w:hAnsi="Times New Roman" w:eastAsia="仿宋_GB2312" w:cs="Times New Roman"/>
          <w:color w:val="auto"/>
          <w:sz w:val="32"/>
          <w:szCs w:val="32"/>
          <w:lang w:eastAsia="zh-CN"/>
        </w:rPr>
        <w:t>；二是</w:t>
      </w:r>
      <w:r>
        <w:rPr>
          <w:rFonts w:hint="default" w:ascii="Times New Roman" w:hAnsi="Times New Roman" w:eastAsia="仿宋_GB2312" w:cs="Times New Roman"/>
          <w:color w:val="auto"/>
          <w:sz w:val="32"/>
          <w:szCs w:val="32"/>
        </w:rPr>
        <w:t>研究拟订全区行政管理体制改革和机构改革方案，审核区级部门“三定”规定和乡镇（街道）机构改革方案，指导各乡镇（街道）、各部门行政管理体制改革和机构改革，评估改革效果，参与行政审批制度改革和行政区划调整的有关工作</w:t>
      </w:r>
      <w:r>
        <w:rPr>
          <w:rFonts w:hint="default" w:ascii="Times New Roman" w:hAnsi="Times New Roman" w:eastAsia="仿宋_GB2312" w:cs="Times New Roman"/>
          <w:color w:val="auto"/>
          <w:sz w:val="32"/>
          <w:szCs w:val="32"/>
          <w:lang w:eastAsia="zh-CN"/>
        </w:rPr>
        <w:t>；三是</w:t>
      </w:r>
      <w:r>
        <w:rPr>
          <w:rFonts w:hint="default" w:ascii="Times New Roman" w:hAnsi="Times New Roman" w:eastAsia="仿宋_GB2312" w:cs="Times New Roman"/>
          <w:color w:val="auto"/>
          <w:sz w:val="32"/>
          <w:szCs w:val="32"/>
        </w:rPr>
        <w:t>拟订全区各级行政编制总额分配方案，分配政法专项编制。负责全区行政事业编制总量控制和机关事业单位机构编制实名制管理工作，对区直机关和区属事业单位使用空缺编制补充人员进行核批</w:t>
      </w:r>
      <w:r>
        <w:rPr>
          <w:rFonts w:hint="default" w:ascii="Times New Roman" w:hAnsi="Times New Roman" w:eastAsia="仿宋_GB2312" w:cs="Times New Roman"/>
          <w:color w:val="auto"/>
          <w:sz w:val="32"/>
          <w:szCs w:val="32"/>
          <w:lang w:eastAsia="zh-CN"/>
        </w:rPr>
        <w:t>；四是</w:t>
      </w:r>
      <w:r>
        <w:rPr>
          <w:rFonts w:hint="default" w:ascii="Times New Roman" w:hAnsi="Times New Roman" w:eastAsia="仿宋_GB2312" w:cs="Times New Roman"/>
          <w:color w:val="auto"/>
          <w:sz w:val="32"/>
          <w:szCs w:val="32"/>
        </w:rPr>
        <w:t>负责区委、区政府各部门，区人大、区政协机关，区法院、区检察院机关，各民主党派区委机关、区人民团体机关的机构编制管理工作。协调区级部门之间的职责分工</w:t>
      </w:r>
      <w:r>
        <w:rPr>
          <w:rFonts w:hint="default" w:ascii="Times New Roman" w:hAnsi="Times New Roman" w:eastAsia="仿宋_GB2312" w:cs="Times New Roman"/>
          <w:color w:val="auto"/>
          <w:sz w:val="32"/>
          <w:szCs w:val="32"/>
          <w:lang w:eastAsia="zh-CN"/>
        </w:rPr>
        <w:t>；五是</w:t>
      </w:r>
      <w:r>
        <w:rPr>
          <w:rFonts w:hint="default" w:ascii="Times New Roman" w:hAnsi="Times New Roman" w:eastAsia="仿宋_GB2312" w:cs="Times New Roman"/>
          <w:color w:val="auto"/>
          <w:sz w:val="32"/>
          <w:szCs w:val="32"/>
        </w:rPr>
        <w:t>给市委编委呈报副科级或按照副科级及以上规格管理机构的设置、调整</w:t>
      </w:r>
      <w:r>
        <w:rPr>
          <w:rFonts w:hint="default" w:ascii="Times New Roman" w:hAnsi="Times New Roman" w:eastAsia="仿宋_GB2312" w:cs="Times New Roman"/>
          <w:color w:val="auto"/>
          <w:sz w:val="32"/>
          <w:szCs w:val="32"/>
          <w:lang w:eastAsia="zh-CN"/>
        </w:rPr>
        <w:t>；六是</w:t>
      </w:r>
      <w:r>
        <w:rPr>
          <w:rFonts w:hint="default" w:ascii="Times New Roman" w:hAnsi="Times New Roman" w:eastAsia="仿宋_GB2312" w:cs="Times New Roman"/>
          <w:color w:val="auto"/>
          <w:sz w:val="32"/>
          <w:szCs w:val="32"/>
        </w:rPr>
        <w:t>研究拟订全区事业单位改革方案和事业单位编制标准及实施意见，负责区属事业单位机构编制管理，审核区属事业单位的机构编制方案，负责参照《中华人民共和国公务员法》管理事业单位职责的审核工作</w:t>
      </w:r>
      <w:r>
        <w:rPr>
          <w:rFonts w:hint="default" w:ascii="Times New Roman" w:hAnsi="Times New Roman" w:eastAsia="仿宋_GB2312" w:cs="Times New Roman"/>
          <w:color w:val="auto"/>
          <w:sz w:val="32"/>
          <w:szCs w:val="32"/>
          <w:lang w:eastAsia="zh-CN"/>
        </w:rPr>
        <w:t>；七是</w:t>
      </w:r>
      <w:r>
        <w:rPr>
          <w:rFonts w:hint="default" w:ascii="Times New Roman" w:hAnsi="Times New Roman" w:eastAsia="仿宋_GB2312" w:cs="Times New Roman"/>
          <w:color w:val="auto"/>
          <w:sz w:val="32"/>
          <w:szCs w:val="32"/>
        </w:rPr>
        <w:t>监督检查全区行政管理体制改革和机构改革方案及机构编制规定执行情况，按照市委编委的要求，建立机构编制工作考核评估制度，会同有关部门查处机构编制违法违纪行为</w:t>
      </w:r>
      <w:r>
        <w:rPr>
          <w:rFonts w:hint="default" w:ascii="Times New Roman" w:hAnsi="Times New Roman" w:eastAsia="仿宋_GB2312" w:cs="Times New Roman"/>
          <w:color w:val="auto"/>
          <w:sz w:val="32"/>
          <w:szCs w:val="32"/>
          <w:lang w:eastAsia="zh-CN"/>
        </w:rPr>
        <w:t>；八是</w:t>
      </w:r>
      <w:r>
        <w:rPr>
          <w:rFonts w:hint="default" w:ascii="Times New Roman" w:hAnsi="Times New Roman" w:eastAsia="仿宋_GB2312" w:cs="Times New Roman"/>
          <w:color w:val="auto"/>
          <w:sz w:val="32"/>
          <w:szCs w:val="32"/>
        </w:rPr>
        <w:t>负责全区事业单位登记管理工作</w:t>
      </w:r>
      <w:r>
        <w:rPr>
          <w:rFonts w:hint="default" w:ascii="Times New Roman" w:hAnsi="Times New Roman" w:eastAsia="仿宋_GB2312" w:cs="Times New Roman"/>
          <w:color w:val="auto"/>
          <w:sz w:val="32"/>
          <w:szCs w:val="32"/>
          <w:lang w:eastAsia="zh-CN"/>
        </w:rPr>
        <w:t>；九是</w:t>
      </w:r>
      <w:r>
        <w:rPr>
          <w:rFonts w:hint="default" w:ascii="Times New Roman" w:hAnsi="Times New Roman" w:eastAsia="仿宋_GB2312" w:cs="Times New Roman"/>
          <w:color w:val="auto"/>
          <w:sz w:val="32"/>
          <w:szCs w:val="32"/>
        </w:rPr>
        <w:t>承办区委、区政府和区委编委交办的其他事项。</w:t>
      </w:r>
    </w:p>
    <w:p>
      <w:pPr>
        <w:keepNext w:val="0"/>
        <w:keepLines w:val="0"/>
        <w:pageBreakBefore w:val="0"/>
        <w:widowControl w:val="0"/>
        <w:kinsoku/>
        <w:wordWrap/>
        <w:overflowPunct/>
        <w:topLinePunct w:val="0"/>
        <w:autoSpaceDE/>
        <w:autoSpaceDN/>
        <w:bidi w:val="0"/>
        <w:spacing w:line="576" w:lineRule="exact"/>
        <w:ind w:left="0" w:leftChars="0" w:right="0" w:firstLine="640" w:firstLineChars="200"/>
        <w:jc w:val="both"/>
        <w:textAlignment w:val="auto"/>
        <w:rPr>
          <w:rFonts w:hint="default" w:ascii="Times New Roman" w:hAnsi="Times New Roman" w:cs="Times New Roman"/>
          <w:lang w:val="zh-CN"/>
        </w:rPr>
      </w:pPr>
      <w:r>
        <w:rPr>
          <w:rFonts w:hint="default" w:ascii="Times New Roman" w:hAnsi="Times New Roman" w:eastAsia="仿宋_GB2312" w:cs="Times New Roman"/>
          <w:color w:val="auto"/>
          <w:sz w:val="32"/>
          <w:szCs w:val="32"/>
        </w:rPr>
        <w:t>人员概况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区</w:t>
      </w:r>
      <w:r>
        <w:rPr>
          <w:rFonts w:hint="default" w:ascii="Times New Roman" w:hAnsi="Times New Roman" w:cs="Times New Roman"/>
          <w:color w:val="auto"/>
          <w:sz w:val="32"/>
          <w:szCs w:val="32"/>
          <w:lang w:eastAsia="zh-CN"/>
        </w:rPr>
        <w:t>委编</w:t>
      </w:r>
      <w:r>
        <w:rPr>
          <w:rFonts w:hint="default" w:ascii="Times New Roman" w:hAnsi="Times New Roman" w:eastAsia="仿宋_GB2312" w:cs="Times New Roman"/>
          <w:color w:val="auto"/>
          <w:sz w:val="32"/>
          <w:szCs w:val="32"/>
        </w:rPr>
        <w:t>办共有编制</w:t>
      </w:r>
      <w:r>
        <w:rPr>
          <w:rFonts w:hint="default" w:ascii="Times New Roman" w:hAnsi="Times New Roman" w:cs="Times New Roman"/>
          <w:color w:val="auto"/>
          <w:sz w:val="32"/>
          <w:szCs w:val="32"/>
          <w:lang w:val="en-US" w:eastAsia="zh-CN"/>
        </w:rPr>
        <w:t>13</w:t>
      </w:r>
      <w:r>
        <w:rPr>
          <w:rFonts w:hint="default" w:ascii="Times New Roman" w:hAnsi="Times New Roman" w:eastAsia="仿宋_GB2312" w:cs="Times New Roman"/>
          <w:color w:val="auto"/>
          <w:sz w:val="32"/>
          <w:szCs w:val="32"/>
        </w:rPr>
        <w:t>人，其中：行政编制</w:t>
      </w:r>
      <w:r>
        <w:rPr>
          <w:rFonts w:hint="default" w:ascii="Times New Roman" w:hAnsi="Times New Roman" w:cs="Times New Roman"/>
          <w:color w:val="auto"/>
          <w:sz w:val="32"/>
          <w:szCs w:val="32"/>
          <w:lang w:val="en-US" w:eastAsia="zh-CN"/>
        </w:rPr>
        <w:t>5</w:t>
      </w:r>
      <w:r>
        <w:rPr>
          <w:rFonts w:hint="default" w:ascii="Times New Roman" w:hAnsi="Times New Roman" w:eastAsia="仿宋_GB2312" w:cs="Times New Roman"/>
          <w:color w:val="auto"/>
          <w:sz w:val="32"/>
          <w:szCs w:val="32"/>
        </w:rPr>
        <w:t>人，其他事业编制</w:t>
      </w:r>
      <w:r>
        <w:rPr>
          <w:rFonts w:hint="default" w:ascii="Times New Roman" w:hAnsi="Times New Roman" w:cs="Times New Roman"/>
          <w:color w:val="auto"/>
          <w:sz w:val="32"/>
          <w:szCs w:val="32"/>
          <w:lang w:val="en-US" w:eastAsia="zh-CN"/>
        </w:rPr>
        <w:t>8</w:t>
      </w:r>
      <w:r>
        <w:rPr>
          <w:rFonts w:hint="default" w:ascii="Times New Roman" w:hAnsi="Times New Roman" w:eastAsia="仿宋_GB2312" w:cs="Times New Roman"/>
          <w:color w:val="auto"/>
          <w:sz w:val="32"/>
          <w:szCs w:val="32"/>
        </w:rPr>
        <w:t>人。20</w:t>
      </w:r>
      <w:r>
        <w:rPr>
          <w:rFonts w:hint="default" w:ascii="Times New Roman" w:hAnsi="Times New Roman" w:eastAsia="仿宋_GB2312" w:cs="Times New Roman"/>
          <w:color w:val="auto"/>
          <w:sz w:val="32"/>
          <w:szCs w:val="32"/>
          <w:lang w:val="en-US" w:eastAsia="zh-CN"/>
        </w:rPr>
        <w:t>2</w:t>
      </w:r>
      <w:r>
        <w:rPr>
          <w:rFonts w:hint="default"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rPr>
        <w:t>年实有在职编制内人员</w:t>
      </w:r>
      <w:r>
        <w:rPr>
          <w:rFonts w:hint="default" w:ascii="Times New Roman" w:hAnsi="Times New Roman" w:cs="Times New Roman"/>
          <w:color w:val="auto"/>
          <w:sz w:val="32"/>
          <w:szCs w:val="32"/>
          <w:lang w:val="en-US" w:eastAsia="zh-CN"/>
        </w:rPr>
        <w:t>13</w:t>
      </w:r>
      <w:r>
        <w:rPr>
          <w:rFonts w:hint="default" w:ascii="Times New Roman" w:hAnsi="Times New Roman" w:eastAsia="仿宋_GB2312" w:cs="Times New Roman"/>
          <w:color w:val="auto"/>
          <w:sz w:val="32"/>
          <w:szCs w:val="32"/>
        </w:rPr>
        <w:t>人，其中：行政人员</w:t>
      </w:r>
      <w:r>
        <w:rPr>
          <w:rFonts w:hint="default" w:ascii="Times New Roman" w:hAnsi="Times New Roman" w:cs="Times New Roman"/>
          <w:color w:val="auto"/>
          <w:sz w:val="32"/>
          <w:szCs w:val="32"/>
          <w:lang w:val="en-US" w:eastAsia="zh-CN"/>
        </w:rPr>
        <w:t>5</w:t>
      </w:r>
      <w:r>
        <w:rPr>
          <w:rFonts w:hint="default" w:ascii="Times New Roman" w:hAnsi="Times New Roman" w:eastAsia="仿宋_GB2312" w:cs="Times New Roman"/>
          <w:color w:val="auto"/>
          <w:sz w:val="32"/>
          <w:szCs w:val="32"/>
        </w:rPr>
        <w:t>人，其他事业人员</w:t>
      </w:r>
      <w:r>
        <w:rPr>
          <w:rFonts w:hint="default" w:ascii="Times New Roman" w:hAnsi="Times New Roman" w:cs="Times New Roman"/>
          <w:color w:val="auto"/>
          <w:sz w:val="32"/>
          <w:szCs w:val="32"/>
          <w:lang w:val="en-US" w:eastAsia="zh-CN"/>
        </w:rPr>
        <w:t>8</w:t>
      </w:r>
      <w:r>
        <w:rPr>
          <w:rFonts w:hint="default" w:ascii="Times New Roman" w:hAnsi="Times New Roman" w:eastAsia="仿宋_GB2312" w:cs="Times New Roman"/>
          <w:color w:val="auto"/>
          <w:sz w:val="32"/>
          <w:szCs w:val="32"/>
        </w:rPr>
        <w:t>人</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rPr>
        <w:t>均为财政全额供养人员。</w:t>
      </w:r>
    </w:p>
    <w:p>
      <w:pPr>
        <w:keepNext w:val="0"/>
        <w:keepLines w:val="0"/>
        <w:pageBreakBefore w:val="0"/>
        <w:widowControl w:val="0"/>
        <w:numPr>
          <w:ilvl w:val="0"/>
          <w:numId w:val="5"/>
        </w:numPr>
        <w:kinsoku/>
        <w:wordWrap/>
        <w:overflowPunct/>
        <w:topLinePunct w:val="0"/>
        <w:autoSpaceDE/>
        <w:autoSpaceDN/>
        <w:bidi w:val="0"/>
        <w:adjustRightInd w:val="0"/>
        <w:snapToGrid w:val="0"/>
        <w:spacing w:line="576" w:lineRule="exact"/>
        <w:ind w:left="0" w:leftChars="0" w:right="0" w:firstLine="640" w:firstLineChars="200"/>
        <w:contextualSpacing/>
        <w:jc w:val="both"/>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年度主要工作任务。</w:t>
      </w:r>
    </w:p>
    <w:p>
      <w:pPr>
        <w:pStyle w:val="17"/>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学懂弄通做实习近平新时代中国特色社会主义思想。把贯彻落实习近平新时代中国特色社会主义思想作为首要政治任务，从机构职能体系上保障党的全面统一领导更加坚强有力，让党的集中统一领导贯彻到机构编制工作的全方位全过程各方面。</w:t>
      </w:r>
    </w:p>
    <w:p>
      <w:pPr>
        <w:pStyle w:val="17"/>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持续学习习近平总书记关于机构编制工作系列重要论述精神。准确把握新时代机构编制工作的战略定位、目标使命、原则导向和任务要求，不断提高政治站位和工作站位，更好发挥参谋助手作用。持续深化机构编制政策法规的学习研究和宣传贯彻，争做机构编制工作“行家里手”。</w:t>
      </w:r>
    </w:p>
    <w:p>
      <w:pPr>
        <w:pStyle w:val="17"/>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3.认真学习贯彻党的二十大和省第十二次党代会精神。党的二十大和省第十二次党代会召开后，要迅速掀起学习贯彻热潮，持续深化机构编制部门的政治属性。</w:t>
      </w:r>
    </w:p>
    <w:p>
      <w:pPr>
        <w:pStyle w:val="17"/>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4.不断完善加强党的全面领导的制度安排。围绕坚持和加强党的全面领导，进一步理顺设在有关部门的区级议事协调机构、办事机构与所在部门的关系，研究完善、充分发挥体制机制优势。</w:t>
      </w:r>
    </w:p>
    <w:p>
      <w:pPr>
        <w:pStyle w:val="17"/>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5.服务保障区第八次党代会决策部署。围绕区委“生态立区、工业强区、文旅兴区、创新活区”总战略，“两翼两带一片”总布局，聚力“四城新区”建设，科学配置职能职责、统筹推进机构设置、用好用活编制资源。</w:t>
      </w:r>
    </w:p>
    <w:p>
      <w:pPr>
        <w:pStyle w:val="17"/>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6.持续抓好“三定”规定制定修订和组织实施工作。跟踪了解部门（单位）“三定”规定执行情况，对应省、市部门“三定” 修订情况，对区级部门沿用多年、部门职责任务发生重大调整的“三定”规定予以修订。</w:t>
      </w:r>
    </w:p>
    <w:p>
      <w:pPr>
        <w:pStyle w:val="17"/>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7.做深做实调查研究。</w:t>
      </w:r>
      <w:r>
        <w:rPr>
          <w:rFonts w:hint="eastAsia" w:ascii="Times New Roman" w:eastAsia="仿宋_GB2312" w:cs="Times New Roman"/>
          <w:color w:val="auto"/>
          <w:kern w:val="2"/>
          <w:sz w:val="32"/>
          <w:szCs w:val="32"/>
          <w:lang w:val="en-US" w:eastAsia="zh-CN" w:bidi="ar-SA"/>
        </w:rPr>
        <w:t>以</w:t>
      </w:r>
      <w:r>
        <w:rPr>
          <w:rFonts w:hint="default" w:ascii="Times New Roman" w:hAnsi="Times New Roman" w:eastAsia="仿宋_GB2312" w:cs="Times New Roman"/>
          <w:color w:val="auto"/>
          <w:kern w:val="2"/>
          <w:sz w:val="32"/>
          <w:szCs w:val="32"/>
          <w:lang w:val="en-US" w:eastAsia="zh-CN" w:bidi="ar-SA"/>
        </w:rPr>
        <w:t>坚持</w:t>
      </w:r>
      <w:r>
        <w:rPr>
          <w:rFonts w:hint="eastAsia" w:ascii="Times New Roman" w:eastAsia="仿宋_GB2312" w:cs="Times New Roman"/>
          <w:color w:val="auto"/>
          <w:kern w:val="2"/>
          <w:sz w:val="32"/>
          <w:szCs w:val="32"/>
          <w:lang w:val="en-US" w:eastAsia="zh-CN" w:bidi="ar-SA"/>
        </w:rPr>
        <w:t>和</w:t>
      </w:r>
      <w:r>
        <w:rPr>
          <w:rFonts w:hint="default" w:ascii="Times New Roman" w:hAnsi="Times New Roman" w:eastAsia="仿宋_GB2312" w:cs="Times New Roman"/>
          <w:color w:val="auto"/>
          <w:kern w:val="2"/>
          <w:sz w:val="32"/>
          <w:szCs w:val="32"/>
          <w:lang w:val="en-US" w:eastAsia="zh-CN" w:bidi="ar-SA"/>
        </w:rPr>
        <w:t>加强党的全面领导为重点、以推进基层治理体系和治理能力现代化为导向，以落实机构职能体系优化协同高效为着力点，聚焦全区中心大局和制约、影响高质量发展突出问题开展调查研究，形成一批适应改革发展要求、有理论深度和指导作用的调查研究成果。</w:t>
      </w:r>
    </w:p>
    <w:p>
      <w:pPr>
        <w:pStyle w:val="17"/>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8.持续做好两项改革“后半篇”文章机构编制保障工作。围绕国土空间规划调整，加快建立与片区经济发展相匹配的编制资源动态调整体系，全面推动编制资源向中心镇聚集。</w:t>
      </w:r>
    </w:p>
    <w:p>
      <w:pPr>
        <w:pStyle w:val="17"/>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9.持续深化综合行政执法改革。继续对行政执法队伍锁定的编制严格管理，持续深化区镇两级综合执法改革。扎实开展综合执法改革后续跟踪调研，进一步推动区级综合执法部门相对集中行使执法权，健全完善综合执法机构和相关行业管理部门协作配合机制。</w:t>
      </w:r>
    </w:p>
    <w:p>
      <w:pPr>
        <w:pStyle w:val="17"/>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10.持续深化权责清单制度建设。有序推动《四川省赋予乡镇（街道）县级行政权力事项指导目录（第二批）》落实落地，按照省市部署推进向区行政审批局和区综合行政执法局赋权，理顺审批监管执法关系。</w:t>
      </w:r>
    </w:p>
    <w:p>
      <w:pPr>
        <w:pStyle w:val="17"/>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11.稳步推进事业单位改革。按照中央、省、市统一部署，积极做好深化事业单位改革相关工作。聚焦相关行业领域事业单位 管理突出问题，推动“行业大块” “用编大户”改革，整合重复设置、职责交叉、职能相近事业单位，厘清职责边界，强化事业单位公益属性。持续推进事业单位分类改革，积极推进公益二类事业单位政府购买服务改革。</w:t>
      </w:r>
    </w:p>
    <w:p>
      <w:pPr>
        <w:pStyle w:val="17"/>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12.深化开发区管理体制改革创新。围绕“工业强区”发展思路和“一区三园”总体布局，积极配合做好昭化经开区扩区调位工作，进一步调整规范开发区（园区）管理机构设置，优化完善管理考核指标，持续跟踪了解开发区（园区）管理运行情况。</w:t>
      </w:r>
    </w:p>
    <w:p>
      <w:pPr>
        <w:pStyle w:val="17"/>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13.深化重点行业领域体制机制改革。持续深化纪检监察派 驻机构、公安机关、国家安全、国防动员、疾病预防控制、消防安全基层治理试点体系体制改革，不断完善应急管理、安全生产等领域职责分工，厘清与重点领域、新行业、新业态有关的部门安全监管职责边界。</w:t>
      </w:r>
    </w:p>
    <w:p>
      <w:pPr>
        <w:pStyle w:val="17"/>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14.争取上级更多的政策红利。围绕全区机构编制现状，瞄准市内同类机构各县区不同规格和重点单位无科级事业机构的实际，加强对接汇报，进一步做大我区编制资源总量，保障重点部门岗位编制需求。</w:t>
      </w:r>
    </w:p>
    <w:p>
      <w:pPr>
        <w:pStyle w:val="17"/>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15.强化编制总量管理。继续落实“过紧日子”的要求，加大机构编制内部挖潜创新力度，推动机构编制资源集约利用。按照事业发展需要科学配置编制资源。</w:t>
      </w:r>
    </w:p>
    <w:p>
      <w:pPr>
        <w:pStyle w:val="17"/>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16.健全编制动态调整长效机制。加强对部门履职情况的监 测分析，持续探索统筹使用各类编制资源的有效途径，推动编制 资源跨部门、按要求跨层级动态调整。</w:t>
      </w:r>
    </w:p>
    <w:p>
      <w:pPr>
        <w:pStyle w:val="17"/>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17.深化机构编制管理评估工作。按照省市统一部署，适时探索开展机构编制执行情况和使用效益评估试点，合理设置、调整优化符合本地实际的评估指标体系，完善评估流程和方法步骤，推进机构编制申请事项、执行情况、使用效益评估。持续强化评估结果应用，作为改进机构编制管理统筹使用和优化配置、动态调整编制资源的重要依据，进一步提升机构编制使用效益。</w:t>
      </w:r>
    </w:p>
    <w:p>
      <w:pPr>
        <w:pStyle w:val="17"/>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18.加强机构编制实名制管理。加强机构编制数字化建设， 拓展机构编制大数据应用。抓好机构编制实名制管理台账完善及应用，增强实名制数据运用实效。探索</w:t>
      </w:r>
      <w:r>
        <w:rPr>
          <w:rFonts w:hint="eastAsia" w:ascii="Times New Roman" w:eastAsia="仿宋_GB2312" w:cs="Times New Roman"/>
          <w:color w:val="auto"/>
          <w:kern w:val="2"/>
          <w:sz w:val="32"/>
          <w:szCs w:val="32"/>
          <w:lang w:val="en-US" w:eastAsia="zh-CN" w:bidi="ar-SA"/>
        </w:rPr>
        <w:t>线</w:t>
      </w:r>
      <w:r>
        <w:rPr>
          <w:rFonts w:hint="default" w:ascii="Times New Roman" w:hAnsi="Times New Roman" w:eastAsia="仿宋_GB2312" w:cs="Times New Roman"/>
          <w:color w:val="auto"/>
          <w:kern w:val="2"/>
          <w:sz w:val="32"/>
          <w:szCs w:val="32"/>
          <w:lang w:val="en-US" w:eastAsia="zh-CN" w:bidi="ar-SA"/>
        </w:rPr>
        <w:t>上下编“不见面”办理试点。不断完善实名制管理制度，进一步强化编制使用计划、核编登记等措施，严控财政供养人员增长。</w:t>
      </w:r>
    </w:p>
    <w:p>
      <w:pPr>
        <w:pStyle w:val="17"/>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19.持续优化事业单位登记管理服务。健全完善事业单位事中事后联动监管工作机制，严格实施事业单位法人年度报告公示制度，开展“双随机、一公开”信息抽查工作。持续做好全区党政群机关及事业单位统一社会信用代码赋码颁证、事业单位中文域名管理和网站挂</w:t>
      </w:r>
      <w:r>
        <w:rPr>
          <w:rFonts w:hint="eastAsia" w:ascii="Times New Roman" w:eastAsia="仿宋_GB2312" w:cs="Times New Roman"/>
          <w:color w:val="auto"/>
          <w:kern w:val="2"/>
          <w:sz w:val="32"/>
          <w:szCs w:val="32"/>
          <w:lang w:val="en-US" w:eastAsia="zh-CN" w:bidi="ar-SA"/>
        </w:rPr>
        <w:t>牌</w:t>
      </w:r>
      <w:r>
        <w:rPr>
          <w:rFonts w:hint="default" w:ascii="Times New Roman" w:hAnsi="Times New Roman" w:eastAsia="仿宋_GB2312" w:cs="Times New Roman"/>
          <w:color w:val="auto"/>
          <w:kern w:val="2"/>
          <w:sz w:val="32"/>
          <w:szCs w:val="32"/>
          <w:lang w:val="en-US" w:eastAsia="zh-CN" w:bidi="ar-SA"/>
        </w:rPr>
        <w:t>清理规范工作。</w:t>
      </w:r>
    </w:p>
    <w:p>
      <w:pPr>
        <w:pStyle w:val="17"/>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20.抓好机构编制法规制度落实。认真贯彻《中国共产党机构编制工作条例》及《四川省贯彻〈中国共产党机构编制工作条例〉实施办法》，严格执行机构编制重要事项请示报告制度，强化请示报告主体责任。</w:t>
      </w:r>
    </w:p>
    <w:p>
      <w:pPr>
        <w:pStyle w:val="17"/>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21.健全完善机构编制配套流程制度。抓好机构编制配套流程制度体系建设，统筹推进“立改废释”工作。推行机构编制重大决策论证咨询制度，进一步规范重大改革政策出台前社会稳定风险评估流程。</w:t>
      </w:r>
    </w:p>
    <w:p>
      <w:pPr>
        <w:pStyle w:val="17"/>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22.加强机构编制监督检查。开展“条条干预”专项整治工作。持续加强议事协调机构监督管理。强化机构编制监督检查力度和反馈问题整改与目标考核挂钩制度。常态化做好12310的举报受理工作。</w:t>
      </w:r>
    </w:p>
    <w:p>
      <w:pPr>
        <w:pStyle w:val="17"/>
        <w:keepNext w:val="0"/>
        <w:keepLines w:val="0"/>
        <w:pageBreakBefore w:val="0"/>
        <w:widowControl w:val="0"/>
        <w:kinsoku/>
        <w:wordWrap/>
        <w:overflowPunct/>
        <w:topLinePunct w:val="0"/>
        <w:autoSpaceDE/>
        <w:autoSpaceDN/>
        <w:bidi w:val="0"/>
        <w:adjustRightInd/>
        <w:snapToGrid/>
        <w:spacing w:after="0" w:line="576" w:lineRule="exact"/>
        <w:ind w:left="0" w:leftChars="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23.坚持把政治建设摆在首位，加快推动服务效能全面提升。</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contextualSpacing/>
        <w:jc w:val="both"/>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（四）部门整体支出绩效目标。</w:t>
      </w:r>
    </w:p>
    <w:p>
      <w:pPr>
        <w:keepNext w:val="0"/>
        <w:keepLines w:val="0"/>
        <w:pageBreakBefore w:val="0"/>
        <w:widowControl w:val="0"/>
        <w:kinsoku/>
        <w:wordWrap/>
        <w:overflowPunct w:val="0"/>
        <w:topLinePunct w:val="0"/>
        <w:bidi w:val="0"/>
        <w:adjustRightInd w:val="0"/>
        <w:snapToGrid w:val="0"/>
        <w:spacing w:line="576" w:lineRule="exact"/>
        <w:ind w:left="0" w:leftChars="0" w:firstLine="640" w:firstLineChars="200"/>
        <w:contextualSpacing/>
        <w:jc w:val="both"/>
        <w:textAlignment w:val="auto"/>
        <w:outlineLvl w:val="9"/>
        <w:rPr>
          <w:rFonts w:hint="eastAsia"/>
          <w:b w:val="0"/>
          <w:bCs w:val="0"/>
          <w:color w:val="0000FF"/>
          <w:spacing w:val="0"/>
          <w:lang w:val="zh-CN"/>
        </w:rPr>
      </w:pPr>
      <w:r>
        <w:rPr>
          <w:rFonts w:hint="eastAsia" w:ascii="仿宋" w:hAnsi="仿宋" w:eastAsia="仿宋_GB2312" w:cs="仿宋"/>
          <w:b w:val="0"/>
          <w:bCs w:val="0"/>
          <w:color w:val="000000" w:themeColor="text1"/>
          <w:spacing w:val="0"/>
          <w:kern w:val="0"/>
          <w:sz w:val="32"/>
          <w:szCs w:val="32"/>
          <w:highlight w:val="none"/>
          <w:shd w:val="clear" w:color="auto" w:fill="FFFFFF"/>
          <w:lang w:val="zh-CN" w:eastAsia="zh-CN"/>
          <w14:textFill>
            <w14:solidFill>
              <w14:schemeClr w14:val="tx1"/>
            </w14:solidFill>
          </w14:textFill>
        </w:rPr>
        <w:t>完成全区机关事业单位中文域名新注册、更新、核销；分类推进扩权赋能，健全完善乡镇机构管理体制，优化调整各镇编制资源，建立动态调整机制。完成其他领域综合行政执法改革，务实推进乡镇综合行政执法改革工作，研制各部门所属事业单位改革方案，规范事业单位工作职责，盘活编制资源。落实事业单位法人公示信息抽查工作；对更新后的事业单位重新登记，每年3月份之前完成上年度年检，并予以公示公告；完善部门清单动态管理机制，做好行政权力事项下放乡镇（街道），整合基层审批服务和执法力量，明确各机构的职能职责，优化各类资源要素配置，提升乡镇公共服务效能，保障机关干部出差、培训、会议等日常工作所需，及时</w:t>
      </w:r>
      <w:r>
        <w:rPr>
          <w:rFonts w:hint="eastAsia" w:ascii="仿宋" w:hAnsi="仿宋" w:eastAsia="仿宋_GB2312" w:cs="仿宋"/>
          <w:b w:val="0"/>
          <w:bCs w:val="0"/>
          <w:color w:val="000000" w:themeColor="text1"/>
          <w:spacing w:val="0"/>
          <w:kern w:val="0"/>
          <w:sz w:val="32"/>
          <w:szCs w:val="32"/>
          <w:highlight w:val="none"/>
          <w:shd w:val="clear" w:color="auto" w:fill="FFFFFF"/>
          <w:lang w:val="zh-CN"/>
          <w14:textFill>
            <w14:solidFill>
              <w14:schemeClr w14:val="tx1"/>
            </w14:solidFill>
          </w14:textFill>
        </w:rPr>
        <w:t>完成区委区政府下达的各类年度目标任务，做好机构编制昭化品牌。</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contextualSpacing/>
        <w:jc w:val="both"/>
        <w:textAlignment w:val="auto"/>
        <w:rPr>
          <w:rFonts w:hint="default" w:ascii="Times New Roman" w:hAnsi="Times New Roman" w:eastAsia="黑体" w:cs="Times New Roman"/>
          <w:color w:val="auto"/>
          <w:kern w:val="0"/>
          <w:sz w:val="32"/>
          <w:szCs w:val="32"/>
          <w:highlight w:val="none"/>
          <w:shd w:val="clear" w:color="auto" w:fill="FFFFFF"/>
        </w:rPr>
      </w:pPr>
      <w:r>
        <w:rPr>
          <w:rFonts w:hint="default" w:ascii="Times New Roman" w:hAnsi="Times New Roman" w:eastAsia="黑体" w:cs="Times New Roman"/>
          <w:color w:val="auto"/>
          <w:kern w:val="0"/>
          <w:sz w:val="32"/>
          <w:szCs w:val="32"/>
          <w:highlight w:val="none"/>
          <w:shd w:val="clear" w:color="auto" w:fill="FFFFFF"/>
        </w:rPr>
        <w:t>二、</w:t>
      </w:r>
      <w:r>
        <w:rPr>
          <w:rFonts w:hint="default" w:ascii="Times New Roman" w:hAnsi="Times New Roman" w:eastAsia="黑体" w:cs="Times New Roman"/>
          <w:color w:val="auto"/>
          <w:kern w:val="0"/>
          <w:sz w:val="32"/>
          <w:szCs w:val="32"/>
          <w:highlight w:val="none"/>
          <w:shd w:val="clear" w:color="auto" w:fill="FFFFFF"/>
          <w:lang w:eastAsia="zh-CN"/>
        </w:rPr>
        <w:t>部门</w:t>
      </w:r>
      <w:r>
        <w:rPr>
          <w:rFonts w:hint="default" w:ascii="Times New Roman" w:hAnsi="Times New Roman" w:eastAsia="黑体" w:cs="Times New Roman"/>
          <w:color w:val="auto"/>
          <w:kern w:val="0"/>
          <w:sz w:val="32"/>
          <w:szCs w:val="32"/>
          <w:highlight w:val="none"/>
          <w:shd w:val="clear" w:color="auto" w:fill="FFFFFF"/>
        </w:rPr>
        <w:t>资金收支情况</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contextualSpacing/>
        <w:jc w:val="both"/>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（一）部门总体收支情况。</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1.部门总体收入情况。</w:t>
      </w:r>
      <w:r>
        <w:rPr>
          <w:rFonts w:hint="default" w:ascii="Times New Roman" w:hAnsi="Times New Roman" w:eastAsia="仿宋_GB2312" w:cs="Times New Roman"/>
          <w:color w:val="auto"/>
          <w:kern w:val="2"/>
          <w:sz w:val="32"/>
          <w:szCs w:val="32"/>
          <w:lang w:val="en-US" w:eastAsia="zh-CN" w:bidi="ar-SA"/>
        </w:rPr>
        <w:t>2022年初财政批复预算收入225.2万元（其中：基本支出225.2万元、项目支出0万元）；年度执行中追加人员经费15.77万元，全年收入合计2</w:t>
      </w:r>
      <w:r>
        <w:rPr>
          <w:rFonts w:hint="eastAsia" w:eastAsia="仿宋_GB2312" w:cs="Times New Roman"/>
          <w:color w:val="auto"/>
          <w:kern w:val="2"/>
          <w:sz w:val="32"/>
          <w:szCs w:val="32"/>
          <w:lang w:val="en-US" w:eastAsia="zh-CN" w:bidi="ar-SA"/>
        </w:rPr>
        <w:t>40</w:t>
      </w:r>
      <w:r>
        <w:rPr>
          <w:rFonts w:hint="default" w:ascii="Times New Roman" w:hAnsi="Times New Roman" w:eastAsia="仿宋_GB2312" w:cs="Times New Roman"/>
          <w:color w:val="auto"/>
          <w:kern w:val="2"/>
          <w:sz w:val="32"/>
          <w:szCs w:val="32"/>
          <w:lang w:val="en-US" w:eastAsia="zh-CN" w:bidi="ar-SA"/>
        </w:rPr>
        <w:t>.97万元，其中：一般公共预算财政拨款收入2</w:t>
      </w:r>
      <w:r>
        <w:rPr>
          <w:rFonts w:hint="eastAsia" w:eastAsia="仿宋_GB2312" w:cs="Times New Roman"/>
          <w:color w:val="auto"/>
          <w:kern w:val="2"/>
          <w:sz w:val="32"/>
          <w:szCs w:val="32"/>
          <w:lang w:val="en-US" w:eastAsia="zh-CN" w:bidi="ar-SA"/>
        </w:rPr>
        <w:t>40</w:t>
      </w:r>
      <w:r>
        <w:rPr>
          <w:rFonts w:hint="default" w:ascii="Times New Roman" w:hAnsi="Times New Roman" w:eastAsia="仿宋_GB2312" w:cs="Times New Roman"/>
          <w:color w:val="auto"/>
          <w:kern w:val="2"/>
          <w:sz w:val="32"/>
          <w:szCs w:val="32"/>
          <w:lang w:val="en-US" w:eastAsia="zh-CN" w:bidi="ar-SA"/>
        </w:rPr>
        <w:t>.97万元，占100%。</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contextualSpacing/>
        <w:jc w:val="both"/>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2.部门总体支出情况，</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2"/>
          <w:sz w:val="32"/>
          <w:szCs w:val="32"/>
          <w:lang w:val="en-US" w:eastAsia="zh-CN" w:bidi="ar-SA"/>
        </w:rPr>
        <w:t>2022年度本年支出合计2</w:t>
      </w:r>
      <w:r>
        <w:rPr>
          <w:rFonts w:hint="eastAsia" w:eastAsia="仿宋_GB2312" w:cs="Times New Roman"/>
          <w:color w:val="auto"/>
          <w:kern w:val="2"/>
          <w:sz w:val="32"/>
          <w:szCs w:val="32"/>
          <w:lang w:val="en-US" w:eastAsia="zh-CN" w:bidi="ar-SA"/>
        </w:rPr>
        <w:t>40</w:t>
      </w:r>
      <w:r>
        <w:rPr>
          <w:rFonts w:hint="default" w:ascii="Times New Roman" w:hAnsi="Times New Roman" w:eastAsia="仿宋_GB2312" w:cs="Times New Roman"/>
          <w:color w:val="auto"/>
          <w:kern w:val="2"/>
          <w:sz w:val="32"/>
          <w:szCs w:val="32"/>
          <w:lang w:val="en-US" w:eastAsia="zh-CN" w:bidi="ar-SA"/>
        </w:rPr>
        <w:t>.97万元，其中：基本支出2</w:t>
      </w:r>
      <w:r>
        <w:rPr>
          <w:rFonts w:hint="eastAsia" w:eastAsia="仿宋_GB2312" w:cs="Times New Roman"/>
          <w:color w:val="auto"/>
          <w:kern w:val="2"/>
          <w:sz w:val="32"/>
          <w:szCs w:val="32"/>
          <w:lang w:val="en-US" w:eastAsia="zh-CN" w:bidi="ar-SA"/>
        </w:rPr>
        <w:t>40</w:t>
      </w:r>
      <w:r>
        <w:rPr>
          <w:rFonts w:hint="default" w:ascii="Times New Roman" w:hAnsi="Times New Roman" w:eastAsia="仿宋_GB2312" w:cs="Times New Roman"/>
          <w:color w:val="auto"/>
          <w:kern w:val="2"/>
          <w:sz w:val="32"/>
          <w:szCs w:val="32"/>
          <w:lang w:val="en-US" w:eastAsia="zh-CN" w:bidi="ar-SA"/>
        </w:rPr>
        <w:t>.97万元，占100%，项目支出0万元。</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contextualSpacing/>
        <w:jc w:val="both"/>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3.部门总体结转结余情况。本年度收支金额平衡，无结转结余。</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contextualSpacing/>
        <w:jc w:val="both"/>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（二）部门财政拨款收支情况。</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contextualSpacing/>
        <w:jc w:val="both"/>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1.部门财政拨款收入情况</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1.部门总体收入情况。</w:t>
      </w:r>
      <w:r>
        <w:rPr>
          <w:rFonts w:hint="default" w:ascii="Times New Roman" w:hAnsi="Times New Roman" w:eastAsia="仿宋_GB2312" w:cs="Times New Roman"/>
          <w:color w:val="auto"/>
          <w:kern w:val="2"/>
          <w:sz w:val="32"/>
          <w:szCs w:val="32"/>
          <w:lang w:val="en-US" w:eastAsia="zh-CN" w:bidi="ar-SA"/>
        </w:rPr>
        <w:t>2022年初财政批复预算收入225.2万元（其中：基本支出225.2万元、项目支出0万元）；年度执行中追加人员经费15.77万元，全年收入合计2</w:t>
      </w:r>
      <w:r>
        <w:rPr>
          <w:rFonts w:hint="eastAsia" w:eastAsia="仿宋_GB2312" w:cs="Times New Roman"/>
          <w:color w:val="auto"/>
          <w:kern w:val="2"/>
          <w:sz w:val="32"/>
          <w:szCs w:val="32"/>
          <w:lang w:val="en-US" w:eastAsia="zh-CN" w:bidi="ar-SA"/>
        </w:rPr>
        <w:t>40</w:t>
      </w:r>
      <w:r>
        <w:rPr>
          <w:rFonts w:hint="default" w:ascii="Times New Roman" w:hAnsi="Times New Roman" w:eastAsia="仿宋_GB2312" w:cs="Times New Roman"/>
          <w:color w:val="auto"/>
          <w:kern w:val="2"/>
          <w:sz w:val="32"/>
          <w:szCs w:val="32"/>
          <w:lang w:val="en-US" w:eastAsia="zh-CN" w:bidi="ar-SA"/>
        </w:rPr>
        <w:t>.97万元，其中：一般公共预算财政拨款收入2</w:t>
      </w:r>
      <w:r>
        <w:rPr>
          <w:rFonts w:hint="eastAsia" w:eastAsia="仿宋_GB2312" w:cs="Times New Roman"/>
          <w:color w:val="auto"/>
          <w:kern w:val="2"/>
          <w:sz w:val="32"/>
          <w:szCs w:val="32"/>
          <w:lang w:val="en-US" w:eastAsia="zh-CN" w:bidi="ar-SA"/>
        </w:rPr>
        <w:t>40</w:t>
      </w:r>
      <w:r>
        <w:rPr>
          <w:rFonts w:hint="default" w:ascii="Times New Roman" w:hAnsi="Times New Roman" w:eastAsia="仿宋_GB2312" w:cs="Times New Roman"/>
          <w:color w:val="auto"/>
          <w:kern w:val="2"/>
          <w:sz w:val="32"/>
          <w:szCs w:val="32"/>
          <w:lang w:val="en-US" w:eastAsia="zh-CN" w:bidi="ar-SA"/>
        </w:rPr>
        <w:t>.97万元，占100%。</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2.部门财政拨款支出情况。</w:t>
      </w:r>
      <w:r>
        <w:rPr>
          <w:rFonts w:hint="default" w:ascii="Times New Roman" w:hAnsi="Times New Roman" w:eastAsia="仿宋_GB2312" w:cs="Times New Roman"/>
          <w:color w:val="auto"/>
          <w:kern w:val="2"/>
          <w:sz w:val="32"/>
          <w:szCs w:val="32"/>
          <w:lang w:val="en-US" w:eastAsia="zh-CN" w:bidi="ar-SA"/>
        </w:rPr>
        <w:t>2022年度本年支出合计2</w:t>
      </w:r>
      <w:r>
        <w:rPr>
          <w:rFonts w:hint="eastAsia" w:eastAsia="仿宋_GB2312" w:cs="Times New Roman"/>
          <w:color w:val="auto"/>
          <w:kern w:val="2"/>
          <w:sz w:val="32"/>
          <w:szCs w:val="32"/>
          <w:lang w:val="en-US" w:eastAsia="zh-CN" w:bidi="ar-SA"/>
        </w:rPr>
        <w:t>40</w:t>
      </w:r>
      <w:r>
        <w:rPr>
          <w:rFonts w:hint="default" w:ascii="Times New Roman" w:hAnsi="Times New Roman" w:eastAsia="仿宋_GB2312" w:cs="Times New Roman"/>
          <w:color w:val="auto"/>
          <w:kern w:val="2"/>
          <w:sz w:val="32"/>
          <w:szCs w:val="32"/>
          <w:lang w:val="en-US" w:eastAsia="zh-CN" w:bidi="ar-SA"/>
        </w:rPr>
        <w:t>.97万元，其中：基本支出2</w:t>
      </w:r>
      <w:r>
        <w:rPr>
          <w:rFonts w:hint="eastAsia" w:eastAsia="仿宋_GB2312" w:cs="Times New Roman"/>
          <w:color w:val="auto"/>
          <w:kern w:val="2"/>
          <w:sz w:val="32"/>
          <w:szCs w:val="32"/>
          <w:lang w:val="en-US" w:eastAsia="zh-CN" w:bidi="ar-SA"/>
        </w:rPr>
        <w:t>40</w:t>
      </w:r>
      <w:r>
        <w:rPr>
          <w:rFonts w:hint="default" w:ascii="Times New Roman" w:hAnsi="Times New Roman" w:eastAsia="仿宋_GB2312" w:cs="Times New Roman"/>
          <w:color w:val="auto"/>
          <w:kern w:val="2"/>
          <w:sz w:val="32"/>
          <w:szCs w:val="32"/>
          <w:lang w:val="en-US" w:eastAsia="zh-CN" w:bidi="ar-SA"/>
        </w:rPr>
        <w:t>.97万元，占100%，项目支出0万元。</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contextualSpacing/>
        <w:jc w:val="both"/>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3.部门财政拨款结转结余情况。本年度收支金额平衡，无结转结余。</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contextualSpacing/>
        <w:jc w:val="both"/>
        <w:textAlignment w:val="auto"/>
        <w:rPr>
          <w:rFonts w:hint="default" w:ascii="Times New Roman" w:hAnsi="Times New Roman" w:eastAsia="黑体" w:cs="Times New Roman"/>
          <w:color w:val="auto"/>
          <w:kern w:val="0"/>
          <w:sz w:val="32"/>
          <w:szCs w:val="32"/>
          <w:highlight w:val="none"/>
          <w:shd w:val="clear" w:color="auto" w:fill="FFFFFF"/>
        </w:rPr>
      </w:pPr>
      <w:r>
        <w:rPr>
          <w:rFonts w:hint="default" w:ascii="Times New Roman" w:hAnsi="Times New Roman" w:eastAsia="黑体" w:cs="Times New Roman"/>
          <w:color w:val="auto"/>
          <w:kern w:val="0"/>
          <w:sz w:val="32"/>
          <w:szCs w:val="32"/>
          <w:highlight w:val="none"/>
          <w:shd w:val="clear" w:color="auto" w:fill="FFFFFF"/>
        </w:rPr>
        <w:t>三、</w:t>
      </w:r>
      <w:r>
        <w:rPr>
          <w:rFonts w:hint="default" w:ascii="Times New Roman" w:hAnsi="Times New Roman" w:eastAsia="黑体" w:cs="Times New Roman"/>
          <w:color w:val="auto"/>
          <w:kern w:val="0"/>
          <w:sz w:val="32"/>
          <w:szCs w:val="32"/>
          <w:highlight w:val="none"/>
          <w:u w:val="none"/>
          <w:shd w:val="clear" w:color="auto" w:fill="FFFFFF"/>
        </w:rPr>
        <w:t>部门整体绩效</w:t>
      </w:r>
      <w:r>
        <w:rPr>
          <w:rFonts w:hint="default" w:ascii="Times New Roman" w:hAnsi="Times New Roman" w:eastAsia="黑体" w:cs="Times New Roman"/>
          <w:color w:val="auto"/>
          <w:kern w:val="0"/>
          <w:sz w:val="32"/>
          <w:szCs w:val="32"/>
          <w:highlight w:val="none"/>
          <w:u w:val="none"/>
          <w:shd w:val="clear" w:color="auto" w:fill="FFFFFF"/>
          <w:lang w:eastAsia="zh-CN"/>
        </w:rPr>
        <w:t>分析</w:t>
      </w:r>
      <w:r>
        <w:rPr>
          <w:rFonts w:hint="default" w:ascii="Times New Roman" w:hAnsi="Times New Roman" w:eastAsia="黑体" w:cs="Times New Roman"/>
          <w:color w:val="auto"/>
          <w:kern w:val="0"/>
          <w:sz w:val="32"/>
          <w:szCs w:val="32"/>
          <w:highlight w:val="none"/>
          <w:shd w:val="clear" w:color="auto" w:fill="FFFFFF"/>
        </w:rPr>
        <w:t>（根据适用指标体系进行调整</w:t>
      </w:r>
      <w:r>
        <w:rPr>
          <w:rFonts w:hint="default" w:ascii="Times New Roman" w:hAnsi="Times New Roman" w:eastAsia="黑体" w:cs="Times New Roman"/>
          <w:color w:val="auto"/>
          <w:kern w:val="0"/>
          <w:sz w:val="32"/>
          <w:szCs w:val="32"/>
          <w:highlight w:val="none"/>
          <w:shd w:val="clear" w:color="auto" w:fill="FFFFFF"/>
          <w:lang w:eastAsia="zh-CN"/>
        </w:rPr>
        <w:t>，涉及有专项资金预算项目的部门，专项资金预算项目自评报告作为本报告附件一并公开</w:t>
      </w:r>
      <w:r>
        <w:rPr>
          <w:rFonts w:hint="default" w:ascii="Times New Roman" w:hAnsi="Times New Roman" w:eastAsia="黑体" w:cs="Times New Roman"/>
          <w:color w:val="auto"/>
          <w:kern w:val="0"/>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contextualSpacing/>
        <w:jc w:val="both"/>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（一）部门预算项目绩效分析。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3" w:firstLineChars="200"/>
        <w:contextualSpacing/>
        <w:jc w:val="both"/>
        <w:textAlignment w:val="auto"/>
        <w:rPr>
          <w:rFonts w:hint="default" w:ascii="Times New Roman" w:hAnsi="Times New Roman" w:eastAsia="仿宋_GB2312" w:cs="Times New Roman"/>
          <w:b/>
          <w:bCs/>
          <w:color w:val="auto"/>
          <w:kern w:val="0"/>
          <w:sz w:val="32"/>
          <w:szCs w:val="32"/>
          <w:highlight w:val="none"/>
          <w:shd w:val="clear" w:color="auto" w:fill="FFFFFF"/>
          <w:lang w:val="en-US" w:eastAsia="zh-CN"/>
        </w:rPr>
      </w:pPr>
      <w:r>
        <w:rPr>
          <w:rFonts w:hint="default" w:ascii="Times New Roman" w:hAnsi="Times New Roman" w:eastAsia="仿宋_GB2312" w:cs="Times New Roman"/>
          <w:b/>
          <w:bCs/>
          <w:color w:val="auto"/>
          <w:kern w:val="0"/>
          <w:sz w:val="32"/>
          <w:szCs w:val="32"/>
          <w:highlight w:val="none"/>
          <w:shd w:val="clear" w:color="auto" w:fill="FFFFFF"/>
          <w:lang w:val="en-US" w:eastAsia="zh-CN"/>
        </w:rPr>
        <w:t>1.人员类项目绩效分析</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contextualSpacing/>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我办2022年全年收入合计2</w:t>
      </w:r>
      <w:r>
        <w:rPr>
          <w:rFonts w:hint="eastAsia" w:eastAsia="仿宋_GB2312" w:cs="Times New Roman"/>
          <w:color w:val="auto"/>
          <w:sz w:val="32"/>
          <w:szCs w:val="32"/>
          <w:lang w:val="en-US" w:eastAsia="zh-CN"/>
        </w:rPr>
        <w:t>40</w:t>
      </w:r>
      <w:r>
        <w:rPr>
          <w:rFonts w:hint="default" w:ascii="Times New Roman" w:hAnsi="Times New Roman" w:eastAsia="仿宋_GB2312" w:cs="Times New Roman"/>
          <w:color w:val="auto"/>
          <w:sz w:val="32"/>
          <w:szCs w:val="32"/>
          <w:lang w:val="en-US" w:eastAsia="zh-CN"/>
        </w:rPr>
        <w:t>.97万元。一是人员类资金176.11万元，主要用于支付办内职工基本工资、津贴补贴、奖金、绩效工资、其他工资福利支出、奖励金、其他对个人和家庭的补助支出等，均按月按时将工资福利支出打卡到位，合理计算缴纳职工单位和个人部分五险一金，涉及职工工资调标、人员晋升等方面资金缺口，财政预算年中追加人员经费15.77万元，均按照相关标准执行并完成。年初预算与支出无偏差，其中：</w:t>
      </w:r>
      <w:r>
        <w:rPr>
          <w:rFonts w:hint="default" w:ascii="Times New Roman" w:hAnsi="Times New Roman" w:eastAsia="仿宋_GB2312" w:cs="Times New Roman"/>
          <w:color w:val="auto"/>
          <w:sz w:val="32"/>
          <w:szCs w:val="32"/>
        </w:rPr>
        <w:t>一般公共服务支出</w:t>
      </w:r>
      <w:r>
        <w:rPr>
          <w:rFonts w:hint="default" w:ascii="Times New Roman" w:hAnsi="Times New Roman" w:eastAsia="仿宋_GB2312" w:cs="Times New Roman"/>
          <w:color w:val="auto"/>
          <w:sz w:val="32"/>
          <w:szCs w:val="32"/>
          <w:lang w:eastAsia="zh-CN"/>
        </w:rPr>
        <w:t>类工资福利支出</w:t>
      </w:r>
      <w:r>
        <w:rPr>
          <w:rFonts w:hint="default" w:ascii="Times New Roman" w:hAnsi="Times New Roman" w:eastAsia="仿宋_GB2312" w:cs="Times New Roman"/>
          <w:color w:val="auto"/>
          <w:sz w:val="32"/>
          <w:szCs w:val="32"/>
          <w:lang w:val="en-US" w:eastAsia="zh-CN"/>
        </w:rPr>
        <w:t>132.24</w:t>
      </w:r>
      <w:r>
        <w:rPr>
          <w:rFonts w:hint="default" w:ascii="Times New Roman" w:hAnsi="Times New Roman" w:eastAsia="仿宋_GB2312" w:cs="Times New Roman"/>
          <w:color w:val="auto"/>
          <w:sz w:val="32"/>
          <w:szCs w:val="32"/>
        </w:rPr>
        <w:t>万元，社会保障和就业支出</w:t>
      </w:r>
      <w:r>
        <w:rPr>
          <w:rFonts w:hint="default" w:ascii="Times New Roman" w:hAnsi="Times New Roman" w:eastAsia="仿宋_GB2312" w:cs="Times New Roman"/>
          <w:color w:val="auto"/>
          <w:sz w:val="32"/>
          <w:szCs w:val="32"/>
          <w:lang w:val="en-US" w:eastAsia="zh-CN"/>
        </w:rPr>
        <w:t>22.49</w:t>
      </w:r>
      <w:r>
        <w:rPr>
          <w:rFonts w:hint="default" w:ascii="Times New Roman" w:hAnsi="Times New Roman" w:eastAsia="仿宋_GB2312" w:cs="Times New Roman"/>
          <w:color w:val="auto"/>
          <w:sz w:val="32"/>
          <w:szCs w:val="32"/>
        </w:rPr>
        <w:t>万元，卫生健康支</w:t>
      </w:r>
      <w:r>
        <w:rPr>
          <w:rFonts w:hint="eastAsia" w:eastAsia="仿宋_GB2312" w:cs="Times New Roman"/>
          <w:color w:val="auto"/>
          <w:sz w:val="32"/>
          <w:szCs w:val="32"/>
          <w:lang w:eastAsia="zh-CN"/>
        </w:rPr>
        <w:t>出</w:t>
      </w:r>
      <w:r>
        <w:rPr>
          <w:rFonts w:hint="default" w:ascii="Times New Roman" w:hAnsi="Times New Roman" w:eastAsia="仿宋_GB2312" w:cs="Times New Roman"/>
          <w:color w:val="auto"/>
          <w:sz w:val="32"/>
          <w:szCs w:val="32"/>
          <w:lang w:val="en-US" w:eastAsia="zh-CN"/>
        </w:rPr>
        <w:t>7.05</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住房保障支出</w:t>
      </w:r>
      <w:r>
        <w:rPr>
          <w:rFonts w:hint="default" w:ascii="Times New Roman" w:hAnsi="Times New Roman" w:eastAsia="仿宋_GB2312" w:cs="Times New Roman"/>
          <w:color w:val="auto"/>
          <w:sz w:val="32"/>
          <w:szCs w:val="32"/>
          <w:lang w:val="en-US" w:eastAsia="zh-CN"/>
        </w:rPr>
        <w:t>14.33</w:t>
      </w:r>
      <w:r>
        <w:rPr>
          <w:rFonts w:hint="default" w:ascii="Times New Roman" w:hAnsi="Times New Roman" w:eastAsia="仿宋_GB2312" w:cs="Times New Roman"/>
          <w:color w:val="auto"/>
          <w:sz w:val="32"/>
          <w:szCs w:val="32"/>
        </w:rPr>
        <w:t>万元，</w:t>
      </w:r>
      <w:r>
        <w:rPr>
          <w:rFonts w:hint="default" w:ascii="Times New Roman" w:hAnsi="Times New Roman" w:eastAsia="仿宋_GB2312" w:cs="Times New Roman"/>
          <w:color w:val="auto"/>
          <w:sz w:val="32"/>
          <w:szCs w:val="32"/>
          <w:lang w:val="en-US" w:eastAsia="zh-CN"/>
        </w:rPr>
        <w:t>实际完成情况与预期绩效目标偏离度小于等于0；截</w:t>
      </w:r>
      <w:r>
        <w:rPr>
          <w:rFonts w:hint="eastAsia" w:eastAsia="仿宋_GB2312" w:cs="Times New Roman"/>
          <w:color w:val="auto"/>
          <w:sz w:val="32"/>
          <w:szCs w:val="32"/>
          <w:lang w:val="en-US" w:eastAsia="zh-CN"/>
        </w:rPr>
        <w:t>至</w:t>
      </w:r>
      <w:r>
        <w:rPr>
          <w:rFonts w:hint="default" w:ascii="Times New Roman" w:hAnsi="Times New Roman" w:eastAsia="仿宋_GB2312" w:cs="Times New Roman"/>
          <w:color w:val="auto"/>
          <w:sz w:val="32"/>
          <w:szCs w:val="32"/>
          <w:lang w:val="en-US" w:eastAsia="zh-CN"/>
        </w:rPr>
        <w:t xml:space="preserve">目前，未发现相关违规违纪记录。    </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3" w:firstLineChars="200"/>
        <w:contextualSpacing/>
        <w:jc w:val="both"/>
        <w:textAlignment w:val="auto"/>
        <w:rPr>
          <w:rFonts w:hint="default" w:ascii="Times New Roman" w:hAnsi="Times New Roman" w:eastAsia="仿宋_GB2312" w:cs="Times New Roman"/>
          <w:b/>
          <w:bCs/>
          <w:color w:val="auto"/>
          <w:kern w:val="0"/>
          <w:sz w:val="32"/>
          <w:szCs w:val="32"/>
          <w:highlight w:val="none"/>
          <w:shd w:val="clear" w:color="auto" w:fill="FFFFFF"/>
          <w:lang w:val="en-US" w:eastAsia="zh-CN"/>
        </w:rPr>
      </w:pPr>
      <w:r>
        <w:rPr>
          <w:rFonts w:hint="default" w:ascii="Times New Roman" w:hAnsi="Times New Roman" w:eastAsia="仿宋_GB2312" w:cs="Times New Roman"/>
          <w:b/>
          <w:bCs/>
          <w:color w:val="auto"/>
          <w:kern w:val="0"/>
          <w:sz w:val="32"/>
          <w:szCs w:val="32"/>
          <w:highlight w:val="none"/>
          <w:shd w:val="clear" w:color="auto" w:fill="FFFFFF"/>
          <w:lang w:val="en-US" w:eastAsia="zh-CN"/>
        </w:rPr>
        <w:t>2.运转类项目绩效分析</w:t>
      </w:r>
    </w:p>
    <w:p>
      <w:pPr>
        <w:pStyle w:val="38"/>
        <w:keepNext w:val="0"/>
        <w:keepLines w:val="0"/>
        <w:pageBreakBefore w:val="0"/>
        <w:widowControl w:val="0"/>
        <w:kinsoku/>
        <w:wordWrap/>
        <w:overflowPunct/>
        <w:topLinePunct w:val="0"/>
        <w:autoSpaceDE/>
        <w:autoSpaceDN/>
        <w:bidi w:val="0"/>
        <w:adjustRightInd/>
        <w:snapToGrid/>
        <w:spacing w:beforeLines="0" w:line="576" w:lineRule="exact"/>
        <w:ind w:left="0" w:right="0" w:firstLine="640" w:firstLineChars="200"/>
        <w:jc w:val="both"/>
        <w:textAlignment w:val="auto"/>
        <w:rPr>
          <w:rFonts w:hint="default" w:ascii="Times New Roman" w:hAnsi="Times New Roman" w:cs="Times New Roman"/>
          <w:lang w:eastAsia="zh-CN"/>
        </w:rPr>
      </w:pPr>
      <w:r>
        <w:rPr>
          <w:rFonts w:hint="default" w:ascii="Times New Roman" w:hAnsi="Times New Roman" w:eastAsia="仿宋_GB2312" w:cs="Times New Roman"/>
          <w:sz w:val="32"/>
          <w:szCs w:val="32"/>
          <w:lang w:val="zh-CN" w:eastAsia="zh-CN"/>
        </w:rPr>
        <w:t>按照相关要求，区委编办制定了202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eastAsia="zh-CN"/>
        </w:rPr>
        <w:t>年度部门整体支出绩效目标</w:t>
      </w:r>
      <w:r>
        <w:rPr>
          <w:rFonts w:hint="default" w:ascii="Times New Roman" w:hAnsi="Times New Roman" w:eastAsia="仿宋_GB2312" w:cs="Times New Roman"/>
          <w:sz w:val="32"/>
          <w:szCs w:val="32"/>
          <w:lang w:val="en-US" w:eastAsia="zh-CN"/>
        </w:rPr>
        <w:t>（含运转类绩效目标）</w:t>
      </w:r>
      <w:r>
        <w:rPr>
          <w:rFonts w:hint="default" w:ascii="Times New Roman" w:hAnsi="Times New Roman" w:eastAsia="仿宋_GB2312" w:cs="Times New Roman"/>
          <w:sz w:val="32"/>
          <w:szCs w:val="32"/>
          <w:lang w:val="zh-CN" w:eastAsia="zh-CN"/>
        </w:rPr>
        <w:t>，目标反映了相应工作任务，其要素较为完整，且从数量指标、质量指标、满意度等指标的细化上达到绩效管理的细化量化。</w:t>
      </w:r>
      <w:r>
        <w:rPr>
          <w:rFonts w:hint="default" w:ascii="Times New Roman" w:hAnsi="Times New Roman" w:eastAsia="仿宋_GB2312" w:cs="Times New Roman"/>
          <w:spacing w:val="4"/>
          <w:sz w:val="31"/>
          <w:szCs w:val="31"/>
          <w:lang w:val="en-US" w:eastAsia="zh-CN"/>
        </w:rPr>
        <w:t>2022年，全年预算运转类项目</w:t>
      </w:r>
      <w:r>
        <w:rPr>
          <w:rFonts w:hint="eastAsia" w:ascii="Times New Roman" w:hAnsi="Times New Roman" w:eastAsia="仿宋_GB2312" w:cs="Times New Roman"/>
          <w:spacing w:val="4"/>
          <w:sz w:val="31"/>
          <w:szCs w:val="31"/>
          <w:lang w:val="en-US" w:eastAsia="zh-CN"/>
        </w:rPr>
        <w:t>64.86</w:t>
      </w:r>
      <w:r>
        <w:rPr>
          <w:rFonts w:hint="default" w:ascii="Times New Roman" w:hAnsi="Times New Roman" w:eastAsia="仿宋_GB2312" w:cs="Times New Roman"/>
          <w:spacing w:val="4"/>
          <w:sz w:val="31"/>
          <w:szCs w:val="31"/>
          <w:lang w:val="en-US" w:eastAsia="zh-CN"/>
        </w:rPr>
        <w:t>万元，支出</w:t>
      </w:r>
      <w:r>
        <w:rPr>
          <w:rFonts w:hint="eastAsia" w:ascii="Times New Roman" w:hAnsi="Times New Roman" w:eastAsia="仿宋_GB2312" w:cs="Times New Roman"/>
          <w:spacing w:val="4"/>
          <w:sz w:val="31"/>
          <w:szCs w:val="31"/>
          <w:lang w:val="en-US" w:eastAsia="zh-CN"/>
        </w:rPr>
        <w:t>64.86</w:t>
      </w:r>
      <w:r>
        <w:rPr>
          <w:rFonts w:hint="default" w:ascii="Times New Roman" w:hAnsi="Times New Roman" w:eastAsia="仿宋_GB2312" w:cs="Times New Roman"/>
          <w:spacing w:val="4"/>
          <w:sz w:val="31"/>
          <w:szCs w:val="31"/>
          <w:lang w:val="en-US" w:eastAsia="zh-CN"/>
        </w:rPr>
        <w:t>万元，</w:t>
      </w:r>
      <w:r>
        <w:rPr>
          <w:rFonts w:hint="default" w:ascii="Times New Roman" w:hAnsi="Times New Roman" w:eastAsia="仿宋_GB2312" w:cs="Times New Roman"/>
          <w:b w:val="0"/>
          <w:bCs w:val="0"/>
          <w:color w:val="auto"/>
          <w:sz w:val="32"/>
          <w:szCs w:val="32"/>
          <w:lang w:val="en-US" w:eastAsia="zh-CN"/>
        </w:rPr>
        <w:t>完成预算的100%</w:t>
      </w:r>
      <w:r>
        <w:rPr>
          <w:rFonts w:hint="default" w:ascii="Times New Roman" w:hAnsi="Times New Roman" w:eastAsia="仿宋_GB2312" w:cs="Times New Roman"/>
          <w:spacing w:val="4"/>
          <w:sz w:val="31"/>
          <w:szCs w:val="31"/>
        </w:rPr>
        <w:t>。</w:t>
      </w:r>
      <w:r>
        <w:rPr>
          <w:rFonts w:hint="default" w:ascii="Times New Roman" w:hAnsi="Times New Roman" w:eastAsia="仿宋_GB2312" w:cs="Times New Roman"/>
          <w:spacing w:val="4"/>
          <w:sz w:val="31"/>
          <w:szCs w:val="31"/>
          <w:lang w:eastAsia="zh-CN"/>
        </w:rPr>
        <w:t>在</w:t>
      </w:r>
      <w:r>
        <w:rPr>
          <w:rFonts w:hint="default" w:ascii="Times New Roman" w:hAnsi="Times New Roman" w:eastAsia="仿宋_GB2312" w:cs="Times New Roman"/>
          <w:b w:val="0"/>
          <w:bCs w:val="0"/>
          <w:color w:val="auto"/>
          <w:kern w:val="2"/>
          <w:sz w:val="32"/>
          <w:szCs w:val="32"/>
          <w:lang w:val="en-US" w:eastAsia="zh-CN" w:bidi="ar-SA"/>
        </w:rPr>
        <w:t>执行进度上，区委编办</w:t>
      </w:r>
      <w:r>
        <w:rPr>
          <w:rFonts w:hint="default" w:ascii="Times New Roman" w:hAnsi="Times New Roman" w:eastAsia="仿宋_GB2312" w:cs="Times New Roman"/>
          <w:b w:val="0"/>
          <w:bCs w:val="0"/>
          <w:color w:val="auto"/>
          <w:sz w:val="32"/>
          <w:szCs w:val="32"/>
          <w:lang w:val="en-US" w:eastAsia="zh-CN"/>
        </w:rPr>
        <w:t>支付各类资金时，严格按照财政局上半年支付</w:t>
      </w:r>
      <w:r>
        <w:rPr>
          <w:rFonts w:hint="eastAsia" w:ascii="Times New Roman" w:hAnsi="Times New Roman" w:eastAsia="仿宋_GB2312" w:cs="Times New Roman"/>
          <w:b w:val="0"/>
          <w:bCs w:val="0"/>
          <w:color w:val="auto"/>
          <w:sz w:val="32"/>
          <w:szCs w:val="32"/>
          <w:lang w:val="en-US" w:eastAsia="zh-CN"/>
        </w:rPr>
        <w:t>40</w:t>
      </w:r>
      <w:r>
        <w:rPr>
          <w:rFonts w:hint="default" w:ascii="Times New Roman" w:hAnsi="Times New Roman" w:eastAsia="仿宋_GB2312" w:cs="Times New Roman"/>
          <w:b w:val="0"/>
          <w:bCs w:val="0"/>
          <w:color w:val="auto"/>
          <w:sz w:val="32"/>
          <w:szCs w:val="32"/>
          <w:lang w:val="en-US" w:eastAsia="zh-CN"/>
        </w:rPr>
        <w:t>%，下半年支付60%的要求申请财政支付计划，及时支付各类资金，同时确保无违规违纪事项发生。</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3" w:firstLineChars="200"/>
        <w:contextualSpacing/>
        <w:jc w:val="both"/>
        <w:textAlignment w:val="auto"/>
        <w:rPr>
          <w:rFonts w:hint="default" w:ascii="Times New Roman" w:hAnsi="Times New Roman" w:eastAsia="仿宋_GB2312" w:cs="Times New Roman"/>
          <w:b/>
          <w:bCs/>
          <w:color w:val="auto"/>
          <w:kern w:val="0"/>
          <w:sz w:val="32"/>
          <w:szCs w:val="32"/>
          <w:highlight w:val="none"/>
          <w:shd w:val="clear" w:color="auto" w:fill="FFFFFF"/>
          <w:lang w:val="en-US" w:eastAsia="zh-CN"/>
        </w:rPr>
      </w:pPr>
      <w:r>
        <w:rPr>
          <w:rFonts w:hint="default" w:ascii="Times New Roman" w:hAnsi="Times New Roman" w:eastAsia="仿宋_GB2312" w:cs="Times New Roman"/>
          <w:b/>
          <w:bCs/>
          <w:color w:val="auto"/>
          <w:kern w:val="0"/>
          <w:sz w:val="32"/>
          <w:szCs w:val="32"/>
          <w:highlight w:val="none"/>
          <w:shd w:val="clear" w:color="auto" w:fill="FFFFFF"/>
          <w:lang w:val="en-US" w:eastAsia="zh-CN"/>
        </w:rPr>
        <w:t>3.特定目标类项目绩效分析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right="0" w:firstLine="640" w:firstLineChars="200"/>
        <w:contextualSpacing/>
        <w:jc w:val="both"/>
        <w:textAlignment w:val="auto"/>
        <w:rPr>
          <w:rFonts w:hint="default" w:ascii="Times New Roman" w:hAnsi="Times New Roman" w:cs="Times New Roman"/>
          <w:lang w:val="zh-CN"/>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rPr>
        <w:t>无特定目标类项目。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left="0" w:right="0" w:firstLine="640" w:firstLineChars="200"/>
        <w:contextualSpacing/>
        <w:jc w:val="both"/>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（二）部门整体履职绩效分析。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right="0" w:firstLine="643"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b/>
          <w:bCs/>
          <w:color w:val="auto"/>
          <w:spacing w:val="0"/>
          <w:sz w:val="32"/>
          <w:szCs w:val="32"/>
          <w:lang w:val="en-US" w:eastAsia="zh-CN"/>
        </w:rPr>
        <w:t>1.坚持体制机制创新，在不断推进治理体系和治理能力现代化建设中见实效。</w:t>
      </w:r>
      <w:r>
        <w:rPr>
          <w:rFonts w:hint="default" w:ascii="Times New Roman" w:hAnsi="Times New Roman" w:eastAsia="仿宋_GB2312" w:cs="Times New Roman"/>
          <w:color w:val="auto"/>
          <w:spacing w:val="0"/>
          <w:sz w:val="32"/>
          <w:szCs w:val="32"/>
          <w:lang w:val="en-US" w:eastAsia="zh-CN"/>
        </w:rPr>
        <w:t>深化重点行业领域体制机制改革。有序推动国家安全、国防动员、行政复议、党组织领导下的校（院）长负责制、消防安全基层治理试点等重点改革任务的落实见效。不断完善应急管理、安全生产等领域职责分工，厘清与重点领域、新行业、新业态有关的部门安全监管职责边界；扎实推进综合行政执法改革。</w:t>
      </w:r>
      <w:r>
        <w:rPr>
          <w:rFonts w:hint="default" w:ascii="Times New Roman" w:hAnsi="Times New Roman" w:eastAsia="仿宋_GB2312" w:cs="Times New Roman"/>
          <w:color w:val="auto"/>
          <w:sz w:val="32"/>
          <w:szCs w:val="32"/>
          <w:lang w:val="en-US" w:eastAsia="zh-CN"/>
        </w:rPr>
        <w:t>把深化综合行政执法改革纳入机构改革“后半篇文章”加紧部署和推进，成立了区综合行政执法局，组建了区市场监管、文化市场、交通运输、卫生健康、应急管理、劳动监察等10支综合行政执法队伍，理顺了职能配置，基本建立起了职责明确、边界清晰、运转高效的综合行政执法体制；</w:t>
      </w:r>
      <w:r>
        <w:rPr>
          <w:rFonts w:hint="default" w:ascii="Times New Roman" w:hAnsi="Times New Roman" w:eastAsia="仿宋_GB2312" w:cs="Times New Roman"/>
          <w:color w:val="auto"/>
          <w:spacing w:val="0"/>
          <w:sz w:val="32"/>
          <w:szCs w:val="32"/>
          <w:lang w:val="en-US" w:eastAsia="zh-CN"/>
        </w:rPr>
        <w:t>全面推行“一办一队三中心+”昭化模式。</w:t>
      </w:r>
      <w:r>
        <w:rPr>
          <w:rFonts w:hint="default" w:ascii="Times New Roman" w:hAnsi="Times New Roman" w:eastAsia="仿宋_GB2312" w:cs="Times New Roman"/>
          <w:color w:val="auto"/>
          <w:sz w:val="32"/>
          <w:szCs w:val="32"/>
          <w:lang w:eastAsia="zh-CN"/>
        </w:rPr>
        <w:t>通过采取人员统筹使用、编制分类管理、“动人不动编”原则，将除镇党政领导班子成员以外</w:t>
      </w:r>
      <w:r>
        <w:rPr>
          <w:rFonts w:hint="default" w:ascii="Times New Roman" w:hAnsi="Times New Roman" w:eastAsia="仿宋_GB2312" w:cs="Times New Roman"/>
          <w:sz w:val="32"/>
          <w:szCs w:val="32"/>
          <w:lang w:eastAsia="zh-CN"/>
        </w:rPr>
        <w:t>的干部安排到相应模块岗位。通过机构大整合、部门大放权、构建大机制，建立了“五统一、三分开”“六联”“三个一”工作运行机制，实现了人员统筹、效能提升；</w:t>
      </w:r>
      <w:r>
        <w:rPr>
          <w:rFonts w:hint="default" w:ascii="Times New Roman" w:hAnsi="Times New Roman" w:eastAsia="仿宋_GB2312" w:cs="Times New Roman"/>
          <w:color w:val="auto"/>
          <w:spacing w:val="0"/>
          <w:sz w:val="32"/>
          <w:szCs w:val="32"/>
          <w:lang w:val="en-US" w:eastAsia="zh-CN"/>
        </w:rPr>
        <w:t>探索构建基层消防安全治理能力昭化方法和路径。聚焦解决基层火灾防范、灭火救援难题，探索形成了“三级共建共管”基层消防安全治理机制，围绕职责界定、机构设置、队伍建设、运行机制等相关方面着力，逐步提升基层消防治理体系和治理能力现代化水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right="0" w:firstLine="643" w:firstLineChars="200"/>
        <w:jc w:val="both"/>
        <w:textAlignment w:val="auto"/>
        <w:rPr>
          <w:rFonts w:hint="default" w:ascii="Times New Roman" w:hAnsi="Times New Roman" w:cs="Times New Roman"/>
          <w:lang w:val="en-US"/>
        </w:rPr>
      </w:pPr>
      <w:r>
        <w:rPr>
          <w:rFonts w:hint="default" w:ascii="Times New Roman" w:hAnsi="Times New Roman" w:eastAsia="仿宋_GB2312" w:cs="Times New Roman"/>
          <w:b/>
          <w:bCs/>
          <w:color w:val="auto"/>
          <w:spacing w:val="0"/>
          <w:sz w:val="32"/>
          <w:szCs w:val="32"/>
          <w:lang w:val="en-US" w:eastAsia="zh-CN"/>
        </w:rPr>
        <w:t>2.坚持围绕中心大局，在充分发挥机构编制资源保障作用上见实效。</w:t>
      </w:r>
      <w:r>
        <w:rPr>
          <w:rFonts w:hint="default" w:ascii="Times New Roman" w:hAnsi="Times New Roman" w:eastAsia="仿宋_GB2312" w:cs="Times New Roman"/>
          <w:color w:val="auto"/>
          <w:spacing w:val="0"/>
          <w:sz w:val="32"/>
          <w:szCs w:val="32"/>
          <w:lang w:val="en-US" w:eastAsia="zh-CN"/>
        </w:rPr>
        <w:t>聚焦中心大局抓统筹调配。</w:t>
      </w:r>
      <w:r>
        <w:rPr>
          <w:rFonts w:hint="default" w:ascii="Times New Roman" w:hAnsi="Times New Roman" w:eastAsia="仿宋_GB2312" w:cs="Times New Roman"/>
          <w:color w:val="auto"/>
          <w:kern w:val="2"/>
          <w:sz w:val="32"/>
          <w:szCs w:val="32"/>
          <w:lang w:val="en-US" w:eastAsia="zh-CN" w:bidi="ar-SA"/>
        </w:rPr>
        <w:t>紧扣“绿色家居产业优城”和工业经济发展，组建区绿色家居产业推进中心、经济合作和外事中心、优化营商环境服务中心等事业单位，为区经信科技、商务和经济合作、经济开发区等重点经济部门所属事业单位增核事业编制22名，为区绿色家居产业推进中心等事业单位增核科级领导职数5个</w:t>
      </w:r>
      <w:r>
        <w:rPr>
          <w:rFonts w:hint="default" w:ascii="Times New Roman" w:hAnsi="Times New Roman" w:eastAsia="仿宋_GB2312" w:cs="Times New Roman"/>
          <w:color w:val="auto"/>
          <w:spacing w:val="0"/>
          <w:sz w:val="32"/>
          <w:szCs w:val="32"/>
          <w:lang w:val="en-US" w:eastAsia="zh-CN"/>
        </w:rPr>
        <w:t>为“工业强区”提供强有力的机构编制保障；</w:t>
      </w:r>
      <w:r>
        <w:rPr>
          <w:rFonts w:hint="default" w:ascii="Times New Roman" w:hAnsi="Times New Roman" w:eastAsia="仿宋_GB2312" w:cs="Times New Roman"/>
          <w:color w:val="auto"/>
          <w:kern w:val="2"/>
          <w:sz w:val="32"/>
          <w:szCs w:val="32"/>
          <w:lang w:val="en-US" w:eastAsia="zh-CN" w:bidi="ar-SA"/>
        </w:rPr>
        <w:t>持续深化开发区管理体制创新。坚持问题导向，在园区机构设置、职能配置、编制保障、机制优化等方面持续发力，出台了《关于进一步明确昭化经开区职责边界等有关事项的通知》，建立“吹哨报到”工作运行机制，进一步理顺了经开区管委会与区政府职能部门和属地镇的关系，着力消除制约发展的体制机制壁垒，不断激发开发区发展活力；</w:t>
      </w:r>
      <w:r>
        <w:rPr>
          <w:rFonts w:hint="default" w:ascii="Times New Roman" w:hAnsi="Times New Roman" w:eastAsia="仿宋_GB2312" w:cs="Times New Roman"/>
          <w:color w:val="auto"/>
          <w:spacing w:val="0"/>
          <w:sz w:val="32"/>
          <w:szCs w:val="32"/>
          <w:lang w:val="en-US" w:eastAsia="zh-CN"/>
        </w:rPr>
        <w:t>用活空缺编制优</w:t>
      </w:r>
      <w:r>
        <w:rPr>
          <w:rFonts w:hint="eastAsia" w:eastAsia="仿宋_GB2312" w:cs="Times New Roman"/>
          <w:color w:val="auto"/>
          <w:spacing w:val="0"/>
          <w:sz w:val="32"/>
          <w:szCs w:val="32"/>
          <w:lang w:val="en-US" w:eastAsia="zh-CN"/>
        </w:rPr>
        <w:t>化</w:t>
      </w:r>
      <w:r>
        <w:rPr>
          <w:rFonts w:hint="default" w:ascii="Times New Roman" w:hAnsi="Times New Roman" w:eastAsia="仿宋_GB2312" w:cs="Times New Roman"/>
          <w:color w:val="auto"/>
          <w:spacing w:val="0"/>
          <w:sz w:val="32"/>
          <w:szCs w:val="32"/>
          <w:lang w:val="en-US" w:eastAsia="zh-CN"/>
        </w:rPr>
        <w:t>资源配置。近两年</w:t>
      </w:r>
      <w:r>
        <w:rPr>
          <w:rFonts w:hint="default" w:ascii="Times New Roman" w:hAnsi="Times New Roman" w:eastAsia="仿宋_GB2312" w:cs="Times New Roman"/>
          <w:color w:val="auto"/>
          <w:spacing w:val="0"/>
          <w:sz w:val="32"/>
          <w:szCs w:val="32"/>
        </w:rPr>
        <w:t>共计招考</w:t>
      </w:r>
      <w:r>
        <w:rPr>
          <w:rFonts w:hint="default" w:ascii="Times New Roman" w:hAnsi="Times New Roman" w:eastAsia="仿宋_GB2312" w:cs="Times New Roman"/>
          <w:color w:val="auto"/>
          <w:spacing w:val="0"/>
          <w:sz w:val="32"/>
          <w:szCs w:val="32"/>
          <w:lang w:val="en-US" w:eastAsia="zh-CN"/>
        </w:rPr>
        <w:t>公务员99人、</w:t>
      </w:r>
      <w:r>
        <w:rPr>
          <w:rFonts w:hint="default" w:ascii="Times New Roman" w:hAnsi="Times New Roman" w:eastAsia="仿宋_GB2312" w:cs="Times New Roman"/>
          <w:color w:val="auto"/>
          <w:spacing w:val="0"/>
          <w:sz w:val="32"/>
          <w:szCs w:val="32"/>
        </w:rPr>
        <w:t>事业干部</w:t>
      </w:r>
      <w:r>
        <w:rPr>
          <w:rFonts w:hint="default" w:ascii="Times New Roman" w:hAnsi="Times New Roman" w:eastAsia="仿宋_GB2312" w:cs="Times New Roman"/>
          <w:color w:val="auto"/>
          <w:spacing w:val="0"/>
          <w:sz w:val="32"/>
          <w:szCs w:val="32"/>
          <w:lang w:val="en-US" w:eastAsia="zh-CN"/>
        </w:rPr>
        <w:t>160</w:t>
      </w:r>
      <w:r>
        <w:rPr>
          <w:rFonts w:hint="default" w:ascii="Times New Roman" w:hAnsi="Times New Roman" w:eastAsia="仿宋_GB2312" w:cs="Times New Roman"/>
          <w:color w:val="auto"/>
          <w:spacing w:val="0"/>
          <w:sz w:val="32"/>
          <w:szCs w:val="32"/>
        </w:rPr>
        <w:t>人</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val="en-US" w:eastAsia="zh-CN"/>
        </w:rPr>
        <w:t>其中7人参公管理</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，引进急需紧缺高层次人才</w:t>
      </w:r>
      <w:r>
        <w:rPr>
          <w:rFonts w:hint="default" w:ascii="Times New Roman" w:hAnsi="Times New Roman" w:eastAsia="仿宋_GB2312" w:cs="Times New Roman"/>
          <w:color w:val="auto"/>
          <w:spacing w:val="0"/>
          <w:sz w:val="32"/>
          <w:szCs w:val="32"/>
          <w:lang w:val="en-US" w:eastAsia="zh-CN"/>
        </w:rPr>
        <w:t>118</w:t>
      </w:r>
      <w:r>
        <w:rPr>
          <w:rFonts w:hint="default" w:ascii="Times New Roman" w:hAnsi="Times New Roman" w:eastAsia="仿宋_GB2312" w:cs="Times New Roman"/>
          <w:color w:val="auto"/>
          <w:spacing w:val="0"/>
          <w:sz w:val="32"/>
          <w:szCs w:val="32"/>
        </w:rPr>
        <w:t>人，</w:t>
      </w:r>
      <w:r>
        <w:rPr>
          <w:rFonts w:hint="default" w:ascii="Times New Roman" w:hAnsi="Times New Roman" w:eastAsia="仿宋_GB2312" w:cs="Times New Roman"/>
          <w:color w:val="auto"/>
          <w:spacing w:val="0"/>
          <w:sz w:val="32"/>
          <w:szCs w:val="32"/>
          <w:lang w:val="en-US" w:eastAsia="zh-CN"/>
        </w:rPr>
        <w:t>安置“三支一扶”和西部志愿者27人</w:t>
      </w:r>
      <w:r>
        <w:rPr>
          <w:rFonts w:hint="default" w:ascii="Times New Roman" w:hAnsi="Times New Roman" w:eastAsia="仿宋_GB2312" w:cs="Times New Roman"/>
          <w:color w:val="auto"/>
          <w:spacing w:val="0"/>
          <w:sz w:val="32"/>
          <w:szCs w:val="32"/>
          <w:lang w:eastAsia="zh-CN"/>
        </w:rPr>
        <w:t>，安置医学生</w:t>
      </w:r>
      <w:r>
        <w:rPr>
          <w:rFonts w:hint="default" w:ascii="Times New Roman" w:hAnsi="Times New Roman" w:eastAsia="仿宋_GB2312" w:cs="Times New Roman"/>
          <w:color w:val="auto"/>
          <w:spacing w:val="0"/>
          <w:sz w:val="32"/>
          <w:szCs w:val="32"/>
          <w:lang w:val="en-US" w:eastAsia="zh-CN"/>
        </w:rPr>
        <w:t>3人，安置退伍军人6人，一线工作力量进一步得到保障，不断优化科级机构及职数设置；</w:t>
      </w:r>
      <w:r>
        <w:rPr>
          <w:rFonts w:hint="default" w:ascii="Times New Roman" w:hAnsi="Times New Roman" w:eastAsia="仿宋_GB2312" w:cs="Times New Roman"/>
          <w:color w:val="auto"/>
          <w:kern w:val="2"/>
          <w:sz w:val="32"/>
          <w:szCs w:val="32"/>
          <w:lang w:val="en-US" w:eastAsia="zh-CN" w:bidi="ar-SA"/>
        </w:rPr>
        <w:t>探索建立人才专编管理制度。紧紧围绕人才强区战略，充分发挥事业编制招才、引才和留住人才的蓄水池功能，有效破解引进高层次急需紧缺专业人才难的“瓶颈”。</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Lines="0" w:line="576" w:lineRule="exact"/>
        <w:ind w:left="0" w:right="0" w:firstLine="643"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bCs/>
          <w:color w:val="auto"/>
          <w:spacing w:val="0"/>
          <w:kern w:val="2"/>
          <w:sz w:val="32"/>
          <w:szCs w:val="32"/>
          <w:lang w:val="en-US" w:eastAsia="zh-CN" w:bidi="ar-SA"/>
        </w:rPr>
        <w:t>3.坚持推动机构编制资源挖潜增效，在持续发展社会事业提升民生福祉能力上见实效。</w:t>
      </w:r>
      <w:r>
        <w:rPr>
          <w:rFonts w:hint="default" w:ascii="Times New Roman" w:hAnsi="Times New Roman" w:eastAsia="仿宋_GB2312" w:cs="Times New Roman"/>
          <w:color w:val="auto"/>
          <w:kern w:val="2"/>
          <w:sz w:val="32"/>
          <w:szCs w:val="32"/>
          <w:lang w:val="en-US" w:eastAsia="zh-CN" w:bidi="ar-SA"/>
        </w:rPr>
        <w:t>教育提质增效。采取“基本编制+附加编制+调剂编制”方式，全面完成了38所中小学教职工编制动态调整工作。狠抓学前教育布局规划、办园条件改善和学前教师队伍建设，新成立东城、葭萌2个公办幼儿园，增加学前教育人员力量，新增学位近500个，切实保障学前教育普及普惠安全优质发展需要</w:t>
      </w:r>
      <w:r>
        <w:rPr>
          <w:rFonts w:hint="default"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社会保障坚强有力。整合各有关养老服务工作机构，做大做强养老服务中心，对全区公办敬老院和养老院实施统一管理、指导服务和人员考核。增核相应工勤编制，确保每个敬老院有1名正式在编人员负责日常管理服务，为促进全区养老事业均衡协调健康发展提供机构编制保障</w:t>
      </w:r>
      <w:r>
        <w:rPr>
          <w:rFonts w:hint="default" w:ascii="Times New Roman" w:hAnsi="Times New Roman"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医疗服务能力显著提升。在解决好3个区级医院主要负责人职级的基础上，协同推动“三医联动”改革，合理规划推进卫子、虎跳等区域医疗次中心建设。按照“三个一批”原则对现有人员进行优化重组，累计调整基层卫生院领导班子成员62人、医护人员17人，促进人员合理流动，</w:t>
      </w:r>
      <w:r>
        <w:rPr>
          <w:rFonts w:hint="default" w:ascii="Times New Roman" w:hAnsi="Times New Roman" w:eastAsia="仿宋_GB2312" w:cs="Times New Roman"/>
          <w:b w:val="0"/>
          <w:bCs w:val="0"/>
          <w:color w:val="auto"/>
          <w:kern w:val="0"/>
          <w:sz w:val="32"/>
          <w:szCs w:val="32"/>
          <w:highlight w:val="none"/>
          <w:lang w:val="en-US" w:eastAsia="zh-CN" w:bidi="ar-SA"/>
        </w:rPr>
        <w:t>充分调动基层医疗卫生机构医务人员的工作积极性，进一步提高医疗服务质量和效率</w:t>
      </w:r>
      <w:r>
        <w:rPr>
          <w:rFonts w:hint="default" w:ascii="Times New Roman" w:hAnsi="Times New Roman" w:cs="Times New Roman"/>
          <w:b w:val="0"/>
          <w:bCs w:val="0"/>
          <w:color w:val="auto"/>
          <w:kern w:val="0"/>
          <w:sz w:val="32"/>
          <w:szCs w:val="32"/>
          <w:highlight w:val="none"/>
          <w:lang w:val="en-US" w:eastAsia="zh-CN" w:bidi="ar-SA"/>
        </w:rPr>
        <w:t>；</w:t>
      </w:r>
      <w:r>
        <w:rPr>
          <w:rFonts w:hint="default" w:ascii="Times New Roman" w:hAnsi="Times New Roman" w:eastAsia="仿宋_GB2312" w:cs="Times New Roman"/>
          <w:color w:val="auto"/>
          <w:spacing w:val="0"/>
          <w:sz w:val="32"/>
          <w:szCs w:val="32"/>
          <w:lang w:val="en-US" w:eastAsia="zh-CN"/>
        </w:rPr>
        <w:t>便民服务通畅高效。</w:t>
      </w:r>
      <w:r>
        <w:rPr>
          <w:rFonts w:hint="default" w:ascii="Times New Roman" w:hAnsi="Times New Roman" w:eastAsia="仿宋_GB2312" w:cs="Times New Roman"/>
          <w:sz w:val="32"/>
          <w:szCs w:val="32"/>
          <w:lang w:val="en-US" w:eastAsia="zh-CN"/>
        </w:rPr>
        <w:t>整合完善镇、村两级便民服务平台，覆盖设置镇便民服务中心12个、便民服务站16个、村（社区）便民服务室150个，构建纵横贯通、功能集中的“5公里服务圈”，</w:t>
      </w:r>
      <w:r>
        <w:rPr>
          <w:rFonts w:hint="default" w:ascii="Times New Roman" w:hAnsi="Times New Roman" w:eastAsia="仿宋_GB2312" w:cs="Times New Roman"/>
          <w:color w:val="auto"/>
          <w:spacing w:val="0"/>
          <w:sz w:val="32"/>
          <w:szCs w:val="32"/>
          <w:lang w:val="en-US" w:eastAsia="zh-CN"/>
        </w:rPr>
        <w:t>打造覆盖全区的“村能办”“园能办”服务体系，全面提升“村能办”审批便民化服务模式，有效解决了镇村便民服务事项办理权责不清，办事不透明，群众办事成本高、办事效率低等问题，提升群众幸福指数。</w:t>
      </w:r>
    </w:p>
    <w:p>
      <w:pPr>
        <w:pStyle w:val="7"/>
        <w:keepNext w:val="0"/>
        <w:keepLines w:val="0"/>
        <w:pageBreakBefore w:val="0"/>
        <w:widowControl w:val="0"/>
        <w:numPr>
          <w:ilvl w:val="0"/>
          <w:numId w:val="0"/>
        </w:numPr>
        <w:kinsoku/>
        <w:wordWrap/>
        <w:overflowPunct/>
        <w:topLinePunct w:val="0"/>
        <w:autoSpaceDE/>
        <w:autoSpaceDN/>
        <w:bidi w:val="0"/>
        <w:adjustRightInd/>
        <w:snapToGrid/>
        <w:spacing w:beforeLines="0" w:line="576" w:lineRule="exact"/>
        <w:ind w:left="0" w:right="0"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spacing w:val="0"/>
          <w:kern w:val="2"/>
          <w:sz w:val="32"/>
          <w:szCs w:val="32"/>
          <w:lang w:val="en-US" w:eastAsia="zh-CN" w:bidi="ar-SA"/>
        </w:rPr>
        <w:t>4.强化机构编制刚性约束，在严肃机构编制纪律推动机构编制法定化上见实效。</w:t>
      </w:r>
      <w:r>
        <w:rPr>
          <w:rFonts w:hint="default" w:ascii="Times New Roman" w:hAnsi="Times New Roman" w:eastAsia="仿宋_GB2312" w:cs="Times New Roman"/>
          <w:sz w:val="32"/>
          <w:szCs w:val="32"/>
          <w:lang w:val="en-US" w:eastAsia="zh-CN"/>
        </w:rPr>
        <w:t>严格执行动议、论证、审议决定、组织实施、监督问责各环节具体规定。修订完善《区委编委会工作规则》和《区委编办工作细则》，研制出台《乡镇编制动态管理</w:t>
      </w:r>
      <w:r>
        <w:rPr>
          <w:rFonts w:hint="default" w:ascii="Times New Roman" w:hAnsi="Times New Roman" w:eastAsia="仿宋_GB2312" w:cs="Times New Roman"/>
          <w:color w:val="auto"/>
          <w:sz w:val="32"/>
          <w:szCs w:val="32"/>
          <w:lang w:val="en-US" w:eastAsia="zh-CN"/>
        </w:rPr>
        <w:t>办法（</w:t>
      </w:r>
      <w:r>
        <w:rPr>
          <w:rFonts w:hint="default" w:ascii="Times New Roman" w:hAnsi="Times New Roman" w:eastAsia="仿宋_GB2312" w:cs="Times New Roman"/>
          <w:sz w:val="32"/>
          <w:szCs w:val="32"/>
          <w:lang w:val="en-US" w:eastAsia="zh-CN"/>
        </w:rPr>
        <w:t>试行）》《区级部门派出（驻）镇机构及工作人员管理办法》《机关事业单位抽（借）调和外派工作人员管理办法》等系列配套制度</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color w:val="auto"/>
          <w:kern w:val="2"/>
          <w:sz w:val="32"/>
          <w:szCs w:val="32"/>
          <w:lang w:val="en-US" w:eastAsia="zh-CN" w:bidi="ar-SA"/>
        </w:rPr>
        <w:t>有序推进法规制度落实情况的监督检查。结合机构编制事项申请、议事协调机构设立审查等工作，通过“即时+随时”方式，不定期抽检机构编制法规制度落实情况</w:t>
      </w:r>
      <w:r>
        <w:rPr>
          <w:rFonts w:hint="default" w:ascii="Times New Roman" w:hAnsi="Times New Roman" w:cs="Times New Roman"/>
          <w:color w:val="auto"/>
          <w:kern w:val="0"/>
          <w:sz w:val="32"/>
          <w:szCs w:val="32"/>
          <w:lang w:eastAsia="zh-CN"/>
        </w:rPr>
        <w:t>，</w:t>
      </w:r>
      <w:r>
        <w:rPr>
          <w:rFonts w:hint="default" w:ascii="Times New Roman" w:hAnsi="Times New Roman" w:eastAsia="仿宋_GB2312" w:cs="Times New Roman"/>
          <w:color w:val="auto"/>
          <w:kern w:val="0"/>
          <w:sz w:val="32"/>
          <w:szCs w:val="32"/>
        </w:rPr>
        <w:t>重点围绕是否“超审</w:t>
      </w:r>
      <w:r>
        <w:rPr>
          <w:rFonts w:hint="default" w:ascii="Times New Roman" w:hAnsi="Times New Roman" w:eastAsia="仿宋_GB2312" w:cs="Times New Roman"/>
          <w:color w:val="auto"/>
          <w:kern w:val="2"/>
          <w:sz w:val="32"/>
          <w:szCs w:val="32"/>
          <w:lang w:val="en-US" w:eastAsia="zh-CN" w:bidi="ar-SA"/>
        </w:rPr>
        <w:t>批权限设置机构”“超规格超职数配备干部”“自行设置领导职务名称”等机构编制问题，对各机关事业单位全覆盖实地检查，建立整改任务清单，下发整改通知书16份，有效提高监督检查针对性和精准度，促进问题整改，强化机构编制刚性约束。</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contextualSpacing/>
        <w:jc w:val="both"/>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（三）结果应用情况。</w:t>
      </w:r>
    </w:p>
    <w:p>
      <w:pPr>
        <w:pStyle w:val="7"/>
        <w:keepNext w:val="0"/>
        <w:keepLines w:val="0"/>
        <w:pageBreakBefore w:val="0"/>
        <w:widowControl w:val="0"/>
        <w:kinsoku/>
        <w:wordWrap/>
        <w:overflowPunct/>
        <w:topLinePunct w:val="0"/>
        <w:autoSpaceDE/>
        <w:autoSpaceDN/>
        <w:bidi w:val="0"/>
        <w:spacing w:beforeLines="0" w:line="576" w:lineRule="exact"/>
        <w:ind w:left="0" w:leftChars="0" w:right="0" w:firstLine="640" w:firstLineChars="200"/>
        <w:jc w:val="both"/>
        <w:textAlignment w:val="auto"/>
        <w:rPr>
          <w:rFonts w:hint="default" w:ascii="Times New Roman" w:hAnsi="Times New Roman" w:eastAsia="仿宋_GB2312" w:cs="Times New Roman"/>
          <w:b w:val="0"/>
          <w:bCs w:val="0"/>
          <w:color w:val="auto"/>
          <w:kern w:val="0"/>
          <w:sz w:val="32"/>
          <w:szCs w:val="32"/>
          <w:highlight w:val="none"/>
          <w:shd w:val="clear" w:color="auto" w:fill="FFFFFF"/>
          <w:lang w:val="zh-CN" w:eastAsia="zh-CN"/>
        </w:rPr>
      </w:pPr>
      <w:r>
        <w:rPr>
          <w:rFonts w:hint="default" w:ascii="Times New Roman" w:hAnsi="Times New Roman" w:cs="Times New Roman"/>
          <w:color w:val="auto"/>
          <w:sz w:val="32"/>
          <w:szCs w:val="32"/>
          <w:lang w:val="en-US" w:eastAsia="zh-CN"/>
        </w:rPr>
        <w:t>一是将绩效结果运用在单位内部。</w:t>
      </w:r>
      <w:r>
        <w:rPr>
          <w:rFonts w:hint="default" w:ascii="Times New Roman" w:hAnsi="Times New Roman" w:eastAsia="仿宋_GB2312" w:cs="Times New Roman"/>
          <w:b w:val="0"/>
          <w:bCs w:val="0"/>
          <w:color w:val="auto"/>
          <w:kern w:val="2"/>
          <w:sz w:val="32"/>
          <w:szCs w:val="32"/>
          <w:lang w:val="en-US" w:eastAsia="zh-CN" w:bidi="ar-SA"/>
        </w:rPr>
        <w:t>将内设机构和下属单位绩效自评纳入单位内部考核体系，建立对内设机构和下属单位预算与绩效挂钩机制，将绩效成果呈现给单位、职工，促进资金使用高效合理，减少预算支出的随意性和盲目性，提高预算管理水平；二是绩效自评公开。按照财务信息公开相关制度，将部门预算安</w:t>
      </w:r>
      <w:r>
        <w:rPr>
          <w:rFonts w:hint="default" w:ascii="Times New Roman" w:hAnsi="Times New Roman" w:cs="Times New Roman"/>
          <w:color w:val="auto"/>
          <w:sz w:val="32"/>
          <w:szCs w:val="32"/>
          <w:lang w:val="en-US" w:eastAsia="zh-CN"/>
        </w:rPr>
        <w:t>排情况、预算绩效目标和完成情况随部门预算、决算在区政府门户网站公开（2021年度绩效评价随决算公开），提高预算绩效的公开透明度，加大对各项支出特别是项目支出的监督和激励，确保职工对项目进度和支出的知情权；三是及时整改绩效反馈问题，对全面开展的事前绩效评估、事中绩效监控、事后绩效评价反馈的问题及时进行整改，并形成整改报告报送区财政局绩效管理股并及时将绩效应用结果（如绩效监控需要调整事项）反馈给财政部门。</w:t>
      </w:r>
    </w:p>
    <w:p>
      <w:pPr>
        <w:keepNext w:val="0"/>
        <w:keepLines w:val="0"/>
        <w:pageBreakBefore w:val="0"/>
        <w:widowControl w:val="0"/>
        <w:numPr>
          <w:ilvl w:val="0"/>
          <w:numId w:val="6"/>
        </w:numPr>
        <w:kinsoku/>
        <w:wordWrap/>
        <w:overflowPunct/>
        <w:topLinePunct w:val="0"/>
        <w:autoSpaceDE/>
        <w:autoSpaceDN/>
        <w:bidi w:val="0"/>
        <w:adjustRightInd w:val="0"/>
        <w:snapToGrid w:val="0"/>
        <w:spacing w:line="576" w:lineRule="exact"/>
        <w:ind w:left="0" w:right="0" w:firstLine="640" w:firstLineChars="200"/>
        <w:contextualSpacing/>
        <w:jc w:val="both"/>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自评质量。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firstLine="640" w:firstLineChars="200"/>
        <w:jc w:val="both"/>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rPr>
      </w:pPr>
      <w:r>
        <w:rPr>
          <w:rFonts w:hint="default" w:ascii="Times New Roman" w:hAnsi="Times New Roman" w:eastAsia="仿宋_GB2312" w:cs="Times New Roman"/>
          <w:b w:val="0"/>
          <w:bCs w:val="0"/>
          <w:color w:val="auto"/>
          <w:kern w:val="2"/>
          <w:sz w:val="32"/>
          <w:szCs w:val="32"/>
          <w:lang w:val="en-US" w:eastAsia="zh-CN" w:bidi="ar-SA"/>
        </w:rPr>
        <w:t>按照预算绩效管理要求，整体支出绩效自评围绕人员类、公用经费类、其他运转类年初预算、支出时间和产出效益等方面开展自评，科学</w:t>
      </w:r>
      <w:r>
        <w:rPr>
          <w:rFonts w:hint="eastAsia" w:eastAsia="仿宋_GB2312" w:cs="Times New Roman"/>
          <w:b w:val="0"/>
          <w:bCs w:val="0"/>
          <w:color w:val="auto"/>
          <w:kern w:val="2"/>
          <w:sz w:val="32"/>
          <w:szCs w:val="32"/>
          <w:lang w:val="en-US" w:eastAsia="zh-CN" w:bidi="ar-SA"/>
        </w:rPr>
        <w:t>地</w:t>
      </w:r>
      <w:r>
        <w:rPr>
          <w:rFonts w:hint="default" w:ascii="Times New Roman" w:hAnsi="Times New Roman" w:eastAsia="仿宋_GB2312" w:cs="Times New Roman"/>
          <w:b w:val="0"/>
          <w:bCs w:val="0"/>
          <w:color w:val="auto"/>
          <w:kern w:val="2"/>
          <w:sz w:val="32"/>
          <w:szCs w:val="32"/>
          <w:lang w:val="en-US" w:eastAsia="zh-CN" w:bidi="ar-SA"/>
        </w:rPr>
        <w:t>监测部门整体支出情况，根据各类明细项目打分，有效合理</w:t>
      </w:r>
      <w:r>
        <w:rPr>
          <w:rFonts w:hint="eastAsia" w:eastAsia="仿宋_GB2312" w:cs="Times New Roman"/>
          <w:b w:val="0"/>
          <w:bCs w:val="0"/>
          <w:color w:val="auto"/>
          <w:kern w:val="2"/>
          <w:sz w:val="32"/>
          <w:szCs w:val="32"/>
          <w:lang w:val="en-US" w:eastAsia="zh-CN" w:bidi="ar-SA"/>
        </w:rPr>
        <w:t>地</w:t>
      </w:r>
      <w:r>
        <w:rPr>
          <w:rFonts w:hint="default" w:ascii="Times New Roman" w:hAnsi="Times New Roman" w:eastAsia="仿宋_GB2312" w:cs="Times New Roman"/>
          <w:b w:val="0"/>
          <w:bCs w:val="0"/>
          <w:color w:val="auto"/>
          <w:kern w:val="2"/>
          <w:sz w:val="32"/>
          <w:szCs w:val="32"/>
          <w:lang w:val="en-US" w:eastAsia="zh-CN" w:bidi="ar-SA"/>
        </w:rPr>
        <w:t>评价支出</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contextualSpacing/>
        <w:jc w:val="both"/>
        <w:textAlignment w:val="auto"/>
        <w:rPr>
          <w:rFonts w:hint="default" w:ascii="Times New Roman" w:hAnsi="Times New Roman" w:eastAsia="黑体" w:cs="Times New Roman"/>
          <w:color w:val="auto"/>
          <w:kern w:val="0"/>
          <w:sz w:val="32"/>
          <w:szCs w:val="32"/>
          <w:highlight w:val="none"/>
          <w:shd w:val="clear" w:color="auto" w:fill="FFFFFF"/>
        </w:rPr>
      </w:pPr>
      <w:r>
        <w:rPr>
          <w:rFonts w:hint="default" w:ascii="Times New Roman" w:hAnsi="Times New Roman" w:eastAsia="黑体" w:cs="Times New Roman"/>
          <w:color w:val="auto"/>
          <w:kern w:val="0"/>
          <w:sz w:val="32"/>
          <w:szCs w:val="32"/>
          <w:highlight w:val="none"/>
          <w:shd w:val="clear" w:color="auto" w:fill="FFFFFF"/>
        </w:rPr>
        <w:t>四、评价结论及建议</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contextualSpacing/>
        <w:jc w:val="both"/>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（一）评价结论。</w:t>
      </w:r>
    </w:p>
    <w:p>
      <w:pPr>
        <w:pStyle w:val="7"/>
        <w:keepNext w:val="0"/>
        <w:keepLines w:val="0"/>
        <w:pageBreakBefore w:val="0"/>
        <w:widowControl w:val="0"/>
        <w:kinsoku/>
        <w:wordWrap/>
        <w:overflowPunct/>
        <w:topLinePunct w:val="0"/>
        <w:bidi w:val="0"/>
        <w:spacing w:beforeLines="0" w:line="576" w:lineRule="exact"/>
        <w:ind w:left="0" w:right="0" w:firstLine="600" w:firstLineChars="200"/>
        <w:jc w:val="both"/>
        <w:textAlignment w:val="auto"/>
        <w:rPr>
          <w:rFonts w:hint="default" w:ascii="Times New Roman" w:hAnsi="Times New Roman" w:cs="Times New Roman"/>
          <w:lang w:val="zh-CN"/>
        </w:rPr>
      </w:pPr>
      <w:r>
        <w:rPr>
          <w:rFonts w:hint="default" w:ascii="Times New Roman" w:hAnsi="Times New Roman" w:cs="Times New Roman"/>
          <w:lang w:val="zh-CN" w:eastAsia="zh-CN"/>
        </w:rPr>
        <w:t>区委编办严格</w:t>
      </w:r>
      <w:r>
        <w:rPr>
          <w:rFonts w:hint="default" w:ascii="Times New Roman" w:hAnsi="Times New Roman" w:cs="Times New Roman"/>
          <w:lang w:val="zh-CN"/>
        </w:rPr>
        <w:t>按照《广元市昭化区人民政府办公室关于印发&lt;广元市昭化区财政</w:t>
      </w:r>
      <w:r>
        <w:rPr>
          <w:rFonts w:hint="default" w:ascii="Times New Roman" w:hAnsi="Times New Roman" w:cs="Times New Roman"/>
          <w:lang w:val="zh-CN" w:eastAsia="zh-CN"/>
        </w:rPr>
        <w:t>支出事后绩效评价管理办法</w:t>
      </w:r>
      <w:r>
        <w:rPr>
          <w:rFonts w:hint="default" w:ascii="Times New Roman" w:hAnsi="Times New Roman" w:cs="Times New Roman"/>
          <w:lang w:val="zh-CN"/>
        </w:rPr>
        <w:t>&gt;的通知》(昭府办函〔20</w:t>
      </w:r>
      <w:r>
        <w:rPr>
          <w:rFonts w:hint="default" w:ascii="Times New Roman" w:hAnsi="Times New Roman" w:cs="Times New Roman"/>
          <w:lang w:val="zh-CN" w:eastAsia="zh-CN"/>
        </w:rPr>
        <w:t>22</w:t>
      </w:r>
      <w:r>
        <w:rPr>
          <w:rFonts w:hint="default" w:ascii="Times New Roman" w:hAnsi="Times New Roman" w:cs="Times New Roman"/>
          <w:lang w:val="zh-CN"/>
        </w:rPr>
        <w:t>〕</w:t>
      </w:r>
      <w:r>
        <w:rPr>
          <w:rFonts w:hint="default" w:ascii="Times New Roman" w:hAnsi="Times New Roman" w:cs="Times New Roman"/>
          <w:lang w:val="zh-CN" w:eastAsia="zh-CN"/>
        </w:rPr>
        <w:t>37</w:t>
      </w:r>
      <w:r>
        <w:rPr>
          <w:rFonts w:hint="default" w:ascii="Times New Roman" w:hAnsi="Times New Roman" w:cs="Times New Roman"/>
          <w:lang w:val="zh-CN"/>
        </w:rPr>
        <w:t>号)</w:t>
      </w:r>
      <w:r>
        <w:rPr>
          <w:rFonts w:hint="default" w:ascii="Times New Roman" w:hAnsi="Times New Roman" w:cs="Times New Roman"/>
          <w:lang w:val="zh-CN" w:eastAsia="zh-CN"/>
        </w:rPr>
        <w:t>附件的《部门整体支出</w:t>
      </w:r>
      <w:r>
        <w:rPr>
          <w:rFonts w:hint="default" w:ascii="Times New Roman" w:hAnsi="Times New Roman" w:cs="Times New Roman"/>
          <w:lang w:val="zh-CN"/>
        </w:rPr>
        <w:t>绩效评价指标体系</w:t>
      </w:r>
      <w:r>
        <w:rPr>
          <w:rFonts w:hint="default" w:ascii="Times New Roman" w:hAnsi="Times New Roman" w:cs="Times New Roman"/>
          <w:lang w:val="zh-CN" w:eastAsia="zh-CN"/>
        </w:rPr>
        <w:t>》</w:t>
      </w:r>
      <w:r>
        <w:rPr>
          <w:rFonts w:hint="default" w:ascii="Times New Roman" w:hAnsi="Times New Roman" w:cs="Times New Roman"/>
          <w:lang w:val="zh-CN"/>
        </w:rPr>
        <w:t>开展绩效评价</w:t>
      </w:r>
      <w:r>
        <w:rPr>
          <w:rFonts w:hint="default" w:ascii="Times New Roman" w:hAnsi="Times New Roman" w:cs="Times New Roman"/>
          <w:lang w:val="zh-CN" w:eastAsia="zh-CN"/>
        </w:rPr>
        <w:t>，</w:t>
      </w:r>
      <w:r>
        <w:rPr>
          <w:rFonts w:hint="default" w:ascii="Times New Roman" w:hAnsi="Times New Roman" w:cs="Times New Roman"/>
          <w:lang w:val="zh-CN"/>
        </w:rPr>
        <w:t>自评得分为</w:t>
      </w:r>
      <w:r>
        <w:rPr>
          <w:rFonts w:hint="default" w:ascii="Times New Roman" w:hAnsi="Times New Roman" w:cs="Times New Roman"/>
          <w:lang w:val="zh-CN" w:eastAsia="zh-CN"/>
        </w:rPr>
        <w:t>95</w:t>
      </w:r>
      <w:r>
        <w:rPr>
          <w:rFonts w:hint="default" w:ascii="Times New Roman" w:hAnsi="Times New Roman" w:cs="Times New Roman"/>
          <w:lang w:val="zh-CN"/>
        </w:rPr>
        <w:t>分，根据（昭府办函〔20</w:t>
      </w:r>
      <w:r>
        <w:rPr>
          <w:rFonts w:hint="default" w:ascii="Times New Roman" w:hAnsi="Times New Roman" w:cs="Times New Roman"/>
          <w:lang w:val="zh-CN" w:eastAsia="zh-CN"/>
        </w:rPr>
        <w:t>22</w:t>
      </w:r>
      <w:r>
        <w:rPr>
          <w:rFonts w:hint="default" w:ascii="Times New Roman" w:hAnsi="Times New Roman" w:cs="Times New Roman"/>
          <w:lang w:val="zh-CN"/>
        </w:rPr>
        <w:t>〕</w:t>
      </w:r>
      <w:r>
        <w:rPr>
          <w:rFonts w:hint="default" w:ascii="Times New Roman" w:hAnsi="Times New Roman" w:cs="Times New Roman"/>
          <w:lang w:val="zh-CN" w:eastAsia="zh-CN"/>
        </w:rPr>
        <w:t>37</w:t>
      </w:r>
      <w:r>
        <w:rPr>
          <w:rFonts w:hint="default" w:ascii="Times New Roman" w:hAnsi="Times New Roman" w:cs="Times New Roman"/>
          <w:lang w:val="zh-CN"/>
        </w:rPr>
        <w:t>号）文件规定，考核得分在90分至100分的为优），因此我单位202</w:t>
      </w:r>
      <w:r>
        <w:rPr>
          <w:rFonts w:hint="default" w:ascii="Times New Roman" w:hAnsi="Times New Roman" w:cs="Times New Roman"/>
          <w:lang w:val="zh-CN" w:eastAsia="zh-CN"/>
        </w:rPr>
        <w:t>2</w:t>
      </w:r>
      <w:r>
        <w:rPr>
          <w:rFonts w:hint="default" w:ascii="Times New Roman" w:hAnsi="Times New Roman" w:cs="Times New Roman"/>
          <w:lang w:val="zh-CN"/>
        </w:rPr>
        <w:t>年部门整体支出绩效评价为优秀。</w:t>
      </w:r>
    </w:p>
    <w:p>
      <w:pPr>
        <w:keepNext w:val="0"/>
        <w:keepLines w:val="0"/>
        <w:pageBreakBefore w:val="0"/>
        <w:widowControl w:val="0"/>
        <w:kinsoku/>
        <w:wordWrap/>
        <w:overflowPunct/>
        <w:topLinePunct w:val="0"/>
        <w:autoSpaceDE/>
        <w:autoSpaceDN/>
        <w:bidi w:val="0"/>
        <w:adjustRightInd w:val="0"/>
        <w:snapToGrid w:val="0"/>
        <w:spacing w:line="576" w:lineRule="exact"/>
        <w:ind w:left="0" w:right="0" w:firstLine="640" w:firstLineChars="200"/>
        <w:contextualSpacing/>
        <w:jc w:val="both"/>
        <w:textAlignment w:val="auto"/>
        <w:rPr>
          <w:rFonts w:hint="default" w:ascii="Times New Roman" w:hAnsi="Times New Roman" w:cs="Times New Roman"/>
          <w:b w:val="0"/>
          <w:bCs w:val="0"/>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（二）存在问题。</w:t>
      </w:r>
    </w:p>
    <w:p>
      <w:pPr>
        <w:pStyle w:val="7"/>
        <w:keepNext w:val="0"/>
        <w:keepLines w:val="0"/>
        <w:pageBreakBefore w:val="0"/>
        <w:widowControl w:val="0"/>
        <w:kinsoku/>
        <w:wordWrap/>
        <w:overflowPunct/>
        <w:topLinePunct w:val="0"/>
        <w:autoSpaceDE/>
        <w:autoSpaceDN/>
        <w:bidi w:val="0"/>
        <w:spacing w:beforeLines="0" w:line="576" w:lineRule="exact"/>
        <w:ind w:left="0" w:leftChars="0" w:right="0" w:firstLine="640" w:firstLineChars="200"/>
        <w:jc w:val="both"/>
        <w:textAlignment w:val="auto"/>
        <w:rPr>
          <w:rFonts w:hint="default" w:ascii="Times New Roman" w:hAnsi="Times New Roman" w:cs="Times New Roman"/>
          <w:lang w:val="zh-CN"/>
        </w:rPr>
      </w:pPr>
      <w:r>
        <w:rPr>
          <w:rFonts w:hint="default" w:ascii="Times New Roman" w:hAnsi="Times New Roman" w:cs="Times New Roman"/>
          <w:b w:val="0"/>
          <w:bCs w:val="0"/>
          <w:color w:val="auto"/>
          <w:sz w:val="32"/>
          <w:szCs w:val="32"/>
          <w:lang w:val="en-US" w:eastAsia="zh-CN"/>
        </w:rPr>
        <w:t>因财政资金紧张，需财政审核后支付的公用经费、特定运转类项目资金支付进度缓慢，年度内预算执行率低</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5"/>
        </w:numPr>
        <w:kinsoku/>
        <w:wordWrap/>
        <w:overflowPunct/>
        <w:topLinePunct w:val="0"/>
        <w:autoSpaceDE/>
        <w:autoSpaceDN/>
        <w:bidi w:val="0"/>
        <w:adjustRightInd w:val="0"/>
        <w:snapToGrid w:val="0"/>
        <w:spacing w:line="576" w:lineRule="exact"/>
        <w:ind w:left="0" w:leftChars="0" w:right="0" w:firstLine="640" w:firstLineChars="200"/>
        <w:contextualSpacing/>
        <w:jc w:val="both"/>
        <w:textAlignment w:val="auto"/>
        <w:rPr>
          <w:rFonts w:hint="default" w:ascii="Times New Roman" w:hAnsi="Times New Roman" w:eastAsia="楷体_GB2312" w:cs="Times New Roman"/>
          <w:b w:val="0"/>
          <w:bCs w:val="0"/>
          <w:color w:val="auto"/>
          <w:kern w:val="0"/>
          <w:sz w:val="32"/>
          <w:szCs w:val="32"/>
          <w:highlight w:val="none"/>
          <w:shd w:val="clear" w:color="auto" w:fill="FFFFFF"/>
          <w:lang w:val="zh-CN"/>
        </w:rPr>
      </w:pPr>
      <w:r>
        <w:rPr>
          <w:rFonts w:hint="default" w:ascii="Times New Roman" w:hAnsi="Times New Roman" w:eastAsia="楷体_GB2312" w:cs="Times New Roman"/>
          <w:b w:val="0"/>
          <w:bCs w:val="0"/>
          <w:color w:val="auto"/>
          <w:kern w:val="0"/>
          <w:sz w:val="32"/>
          <w:szCs w:val="32"/>
          <w:highlight w:val="none"/>
          <w:shd w:val="clear" w:color="auto" w:fill="FFFFFF"/>
          <w:lang w:val="zh-CN"/>
        </w:rPr>
        <w:t>改进建议。</w:t>
      </w:r>
    </w:p>
    <w:p>
      <w:pPr>
        <w:pStyle w:val="7"/>
        <w:keepNext w:val="0"/>
        <w:keepLines w:val="0"/>
        <w:pageBreakBefore w:val="0"/>
        <w:widowControl w:val="0"/>
        <w:kinsoku/>
        <w:wordWrap/>
        <w:overflowPunct/>
        <w:topLinePunct w:val="0"/>
        <w:autoSpaceDE/>
        <w:autoSpaceDN/>
        <w:bidi w:val="0"/>
        <w:spacing w:beforeLines="0" w:line="576" w:lineRule="exact"/>
        <w:ind w:left="0" w:leftChars="0" w:right="0" w:firstLine="640" w:firstLineChars="200"/>
        <w:jc w:val="both"/>
        <w:textAlignment w:val="auto"/>
        <w:rPr>
          <w:rFonts w:hint="default" w:ascii="Times New Roman" w:hAnsi="Times New Roman" w:cs="Times New Roman"/>
          <w:b w:val="0"/>
          <w:bCs w:val="0"/>
          <w:color w:val="auto"/>
          <w:sz w:val="32"/>
          <w:szCs w:val="32"/>
          <w:lang w:val="zh-CN" w:eastAsia="zh-CN"/>
        </w:rPr>
      </w:pPr>
      <w:r>
        <w:rPr>
          <w:rFonts w:hint="default" w:ascii="Times New Roman" w:hAnsi="Times New Roman" w:cs="Times New Roman"/>
          <w:b w:val="0"/>
          <w:bCs w:val="0"/>
          <w:color w:val="auto"/>
          <w:sz w:val="32"/>
          <w:szCs w:val="32"/>
          <w:lang w:val="zh-CN" w:eastAsia="zh-CN"/>
        </w:rPr>
        <w:t>根据财政要求，按照“上四下六”原则，及时审批计划申请，加快预算执行进度。</w:t>
      </w:r>
    </w:p>
    <w:p>
      <w:pPr>
        <w:pStyle w:val="17"/>
        <w:keepNext w:val="0"/>
        <w:keepLines w:val="0"/>
        <w:pageBreakBefore w:val="0"/>
        <w:numPr>
          <w:ilvl w:val="0"/>
          <w:numId w:val="0"/>
        </w:numPr>
        <w:kinsoku/>
        <w:wordWrap/>
        <w:overflowPunct/>
        <w:topLinePunct w:val="0"/>
        <w:autoSpaceDE/>
        <w:autoSpaceDN/>
        <w:bidi w:val="0"/>
        <w:spacing w:line="560" w:lineRule="exact"/>
        <w:textAlignment w:val="auto"/>
        <w:rPr>
          <w:rFonts w:hint="eastAsia" w:hAnsi="Times New Roman" w:cs="Times New Roman"/>
          <w:color w:val="auto"/>
          <w:sz w:val="32"/>
          <w:szCs w:val="32"/>
          <w:highlight w:val="none"/>
          <w:lang w:val="zh-CN" w:eastAsia="zh-CN"/>
        </w:rPr>
      </w:pPr>
    </w:p>
    <w:p>
      <w:pPr>
        <w:pStyle w:val="7"/>
        <w:rPr>
          <w:rFonts w:hint="default" w:hAnsi="宋体" w:eastAsia="仿宋_GB2312"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 xml:space="preserve">    附表：区委编办2022年部门整体支出绩效目标自评表</w:t>
      </w:r>
    </w:p>
    <w:p>
      <w:pPr>
        <w:spacing w:line="600" w:lineRule="exact"/>
        <w:jc w:val="center"/>
        <w:outlineLvl w:val="0"/>
        <w:rPr>
          <w:rFonts w:hint="eastAsia" w:ascii="黑体" w:hAnsi="黑体" w:eastAsia="黑体"/>
          <w:color w:val="auto"/>
          <w:sz w:val="44"/>
          <w:szCs w:val="44"/>
          <w:highlight w:val="none"/>
        </w:rPr>
      </w:pPr>
      <w:bookmarkStart w:id="53" w:name="_Toc15396618"/>
    </w:p>
    <w:p>
      <w:pPr>
        <w:spacing w:line="600" w:lineRule="exact"/>
        <w:jc w:val="center"/>
        <w:outlineLvl w:val="0"/>
        <w:rPr>
          <w:rFonts w:hint="default" w:ascii="仿宋_GB2312" w:hAnsi="宋体" w:eastAsia="仿宋_GB2312" w:cs="宋体"/>
          <w:color w:val="auto"/>
          <w:kern w:val="0"/>
          <w:sz w:val="32"/>
          <w:szCs w:val="32"/>
          <w:highlight w:val="none"/>
          <w:shd w:val="clear" w:color="auto" w:fill="FFFFFF"/>
          <w:lang w:val="en-US" w:eastAsia="zh-CN" w:bidi="ar-SA"/>
        </w:rPr>
      </w:pPr>
      <w:r>
        <w:rPr>
          <w:rFonts w:hint="eastAsia" w:ascii="仿宋_GB2312" w:hAnsi="宋体" w:eastAsia="仿宋_GB2312" w:cs="宋体"/>
          <w:color w:val="auto"/>
          <w:kern w:val="0"/>
          <w:sz w:val="32"/>
          <w:szCs w:val="32"/>
          <w:highlight w:val="none"/>
          <w:shd w:val="clear" w:color="auto" w:fill="FFFFFF"/>
          <w:lang w:val="en-US" w:eastAsia="zh-CN" w:bidi="ar-SA"/>
        </w:rPr>
        <w:t xml:space="preserve">                         2023年9月25日</w:t>
      </w:r>
    </w:p>
    <w:p>
      <w:pPr>
        <w:spacing w:line="600" w:lineRule="exact"/>
        <w:jc w:val="both"/>
        <w:outlineLvl w:val="0"/>
        <w:rPr>
          <w:rFonts w:hint="eastAsia" w:ascii="黑体" w:hAnsi="黑体" w:eastAsia="黑体"/>
          <w:color w:val="auto"/>
          <w:sz w:val="44"/>
          <w:szCs w:val="44"/>
          <w:highlight w:val="none"/>
        </w:rPr>
      </w:pPr>
    </w:p>
    <w:tbl>
      <w:tblPr>
        <w:tblStyle w:val="18"/>
        <w:tblW w:w="9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6"/>
        <w:gridCol w:w="662"/>
        <w:gridCol w:w="932"/>
        <w:gridCol w:w="384"/>
        <w:gridCol w:w="816"/>
        <w:gridCol w:w="680"/>
        <w:gridCol w:w="816"/>
        <w:gridCol w:w="1944"/>
        <w:gridCol w:w="1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9120" w:type="dxa"/>
            <w:gridSpan w:val="9"/>
            <w:tcBorders>
              <w:top w:val="nil"/>
              <w:left w:val="nil"/>
              <w:bottom w:val="nil"/>
              <w:right w:val="nil"/>
            </w:tcBorders>
            <w:shd w:val="clear" w:color="auto" w:fill="auto"/>
            <w:vAlign w:val="center"/>
          </w:tcPr>
          <w:p>
            <w:pPr>
              <w:keepNext w:val="0"/>
              <w:keepLines w:val="0"/>
              <w:widowControl/>
              <w:suppressLineNumbers w:val="0"/>
              <w:jc w:val="both"/>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rPr>
            </w:pPr>
            <w:r>
              <w:rPr>
                <w:rFonts w:hint="eastAsia" w:ascii="仿宋_GB2312" w:hAnsi="仿宋_GB2312" w:eastAsia="仿宋_GB2312" w:cs="仿宋_GB2312"/>
                <w:i w:val="0"/>
                <w:iCs w:val="0"/>
                <w:color w:val="000000"/>
                <w:kern w:val="0"/>
                <w:sz w:val="32"/>
                <w:szCs w:val="32"/>
                <w:u w:val="none"/>
                <w:lang w:val="en-US" w:eastAsia="zh-CN"/>
              </w:rPr>
              <w:t>附表</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rPr>
              <w:t>广元市昭化区部门整体支出绩效目标自评表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9120" w:type="dxa"/>
            <w:gridSpan w:val="9"/>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主管部门</w:t>
            </w:r>
          </w:p>
        </w:tc>
        <w:tc>
          <w:tcPr>
            <w:tcW w:w="2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中共广元市昭化区委机构编制委员会办公室</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实施单位</w:t>
            </w:r>
          </w:p>
        </w:tc>
        <w:tc>
          <w:tcPr>
            <w:tcW w:w="4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中共广元市昭化区委机构编制委员会办公室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524"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项目（政策）资金（万元）</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年初预算</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全年预算数</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全年执行数</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52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年度资金总额</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240.97</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240.97</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240.97</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52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（一）财政拨款小计</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240.97</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240.97</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240.97</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52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1.一般公共预算</w:t>
            </w: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240.97</w:t>
            </w: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240.97</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240.97</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152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2.政府性基金</w:t>
            </w:r>
          </w:p>
        </w:tc>
        <w:tc>
          <w:tcPr>
            <w:tcW w:w="713"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52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3.国有资本经营预算</w:t>
            </w:r>
          </w:p>
        </w:tc>
        <w:tc>
          <w:tcPr>
            <w:tcW w:w="713"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52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 xml:space="preserve">   4.社保基金</w:t>
            </w:r>
          </w:p>
        </w:tc>
        <w:tc>
          <w:tcPr>
            <w:tcW w:w="713" w:type="dxa"/>
            <w:tcBorders>
              <w:top w:val="single" w:color="000000" w:sz="4" w:space="0"/>
              <w:left w:val="nil"/>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152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（二）其他资金</w:t>
            </w:r>
          </w:p>
        </w:tc>
        <w:tc>
          <w:tcPr>
            <w:tcW w:w="713" w:type="dxa"/>
            <w:tcBorders>
              <w:top w:val="single" w:color="000000" w:sz="4" w:space="0"/>
              <w:left w:val="nil"/>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年度总体目标</w:t>
            </w:r>
          </w:p>
        </w:tc>
        <w:tc>
          <w:tcPr>
            <w:tcW w:w="42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预期目标</w:t>
            </w:r>
          </w:p>
        </w:tc>
        <w:tc>
          <w:tcPr>
            <w:tcW w:w="4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42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月打卡发放工资，及时缴纳养老、医疗保险，公积金等；完成全区机关事业单位中文域名新注册、更新、核销；分类推进扩权赋能，健全完善乡镇机构管理体制，优化调整各镇编制资源，建立动态调整机制。完成其他领域综合行政执法改革，务实推进乡镇综合行政执法改革工作，研制各部门所属事业单位改革方案，规范事业单位工作职责，盘活编制资源。落实事业单位法人公示信息抽查工作；对更新后的事业单位重新登记，每年3月份之前完成上年度年检，并予以公示公告；完善部门清单动态管理机制，做好行政权力事项下放乡镇（街道），整合基层审批服务和执法力量，明确各机构的职能职责，优化各类资源要素配置，提升乡镇公共服务效能，保障机关干部出差、培训、会议等日常工作所需。</w:t>
            </w:r>
          </w:p>
        </w:tc>
        <w:tc>
          <w:tcPr>
            <w:tcW w:w="40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深化重点行业领域体制机制改革，有序推动国家安全、国防动员、行政复议等重点改革任务的落实见效;扎实推进综合行政执法改革。全面推行“一办一队三中心+”昭化模式和探索构建基层消防安全治理能力昭化方法和路径;聚焦中心大局，紧扣“绿色家居产业优城”和工业经济发展，组建区绿色家居产业推进中心等事业单位，重点经济部门所属事业单位增核事业编制和科级领导职数；用活空缺编制优</w:t>
            </w:r>
            <w:r>
              <w:rPr>
                <w:rFonts w:hint="eastAsia" w:ascii="宋体" w:hAnsi="宋体" w:cs="宋体"/>
                <w:i w:val="0"/>
                <w:iCs w:val="0"/>
                <w:color w:val="000000"/>
                <w:kern w:val="0"/>
                <w:sz w:val="20"/>
                <w:szCs w:val="20"/>
                <w:u w:val="none"/>
                <w:lang w:val="en-US" w:eastAsia="zh-CN"/>
              </w:rPr>
              <w:t>化</w:t>
            </w:r>
            <w:r>
              <w:rPr>
                <w:rFonts w:hint="eastAsia" w:ascii="宋体" w:hAnsi="宋体" w:eastAsia="宋体" w:cs="宋体"/>
                <w:i w:val="0"/>
                <w:iCs w:val="0"/>
                <w:color w:val="000000"/>
                <w:kern w:val="0"/>
                <w:sz w:val="20"/>
                <w:szCs w:val="20"/>
                <w:u w:val="none"/>
                <w:lang w:val="en-US" w:eastAsia="zh-CN"/>
              </w:rPr>
              <w:t>资源配置。共计招考公务员99人、事业干部160人，引进急需紧缺高层次人才118人，安置“三支一扶”和西部志愿者等29人，保障一线工作力量；围绕人才强区战略，研究出台《引进高层次人才专项事业编制管理办法(试行)》，明确30名事业编制作为人才专项编制管理；教育提质增效，全面完成了38所中小学教职工编制动态调整工作，新成立东城、葭萌2个公办幼儿园，增加学前教育人员力量，新增学位近500个；整合各有关养老服务工作机构，做大做强养老服务中心；解决好3个区级医院主要负责人职级，协同推动“三医联动”改革，合理规划推进卫子、虎跳等区域医疗次中心建设，对现有人员进行优化重组，进一步提高医疗服务质量和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绩效指标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一级</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二级指标</w:t>
            </w: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三级指标</w:t>
            </w:r>
          </w:p>
        </w:tc>
        <w:tc>
          <w:tcPr>
            <w:tcW w:w="6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年度指标值</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实际完成值</w:t>
            </w:r>
          </w:p>
        </w:tc>
        <w:tc>
          <w:tcPr>
            <w:tcW w:w="201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952" w:type="dxa"/>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全年发放工资在职人员数量</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13人</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13人</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重点经济部门所属事业单位增核事业编制</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10名</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28名</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增核科级领导职数</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1个</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5个</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完成信息调研文章</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15篇</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18篇</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Arial" w:hAnsi="Arial" w:eastAsia="宋体" w:cs="Arial"/>
                <w:i w:val="0"/>
                <w:iCs w:val="0"/>
                <w:color w:val="000000"/>
                <w:sz w:val="20"/>
                <w:szCs w:val="20"/>
                <w:u w:val="none"/>
              </w:rPr>
            </w:pPr>
            <w:r>
              <w:rPr>
                <w:rStyle w:val="39"/>
                <w:rFonts w:eastAsia="宋体"/>
                <w:lang w:val="en-US" w:eastAsia="zh-CN"/>
              </w:rPr>
              <w:t xml:space="preserve"> </w:t>
            </w:r>
            <w:r>
              <w:rPr>
                <w:rStyle w:val="40"/>
                <w:lang w:val="en-US" w:eastAsia="zh-CN"/>
              </w:rPr>
              <w:t>梳理明确区级</w:t>
            </w:r>
            <w:r>
              <w:rPr>
                <w:rStyle w:val="39"/>
                <w:rFonts w:eastAsia="宋体"/>
                <w:lang w:val="en-US" w:eastAsia="zh-CN"/>
              </w:rPr>
              <w:t>35</w:t>
            </w:r>
            <w:r>
              <w:rPr>
                <w:rStyle w:val="40"/>
                <w:lang w:val="en-US" w:eastAsia="zh-CN"/>
              </w:rPr>
              <w:t>个部门（单位）行政权力</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5213项</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5213项</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新增赋予乡镇县级行政权力事项</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112项</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112项</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事业单位法人年度报告公示</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159家</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159家</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2"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事业单位信用等级评定</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10家</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10家</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Style w:val="41"/>
                <w:rFonts w:eastAsia="宋体"/>
                <w:lang w:val="en-US" w:eastAsia="zh-CN"/>
              </w:rPr>
              <w:t xml:space="preserve"> </w:t>
            </w:r>
            <w:r>
              <w:rPr>
                <w:rStyle w:val="42"/>
                <w:lang w:val="en-US" w:eastAsia="zh-CN"/>
              </w:rPr>
              <w:t>理顺全区安全生产监管责任</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Style w:val="41"/>
                <w:rFonts w:eastAsia="宋体"/>
                <w:lang w:val="en-US" w:eastAsia="zh-CN"/>
              </w:rPr>
              <w:t xml:space="preserve"> </w:t>
            </w:r>
            <w:r>
              <w:rPr>
                <w:rStyle w:val="42"/>
                <w:lang w:val="en-US" w:eastAsia="zh-CN"/>
              </w:rPr>
              <w:t>推动机构编制法定化</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有序推进法规制度落实情况的监督检查</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2" w:type="dxa"/>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时效指标</w:t>
            </w: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一般性、重要性任务完成及时率</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高中低</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高</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人员及日常公用经费</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185.01万元</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185.01万元</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nil"/>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开展机关编制工作运行成本</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40.2万元</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40.2万元</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指标</w:t>
            </w: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Arial" w:hAnsi="Arial" w:eastAsia="宋体" w:cs="Arial"/>
                <w:i w:val="0"/>
                <w:iCs w:val="0"/>
                <w:color w:val="000000"/>
                <w:sz w:val="20"/>
                <w:szCs w:val="20"/>
                <w:u w:val="none"/>
              </w:rPr>
            </w:pPr>
            <w:r>
              <w:rPr>
                <w:rStyle w:val="41"/>
                <w:rFonts w:eastAsia="宋体"/>
                <w:lang w:val="en-US" w:eastAsia="zh-CN"/>
              </w:rPr>
              <w:t xml:space="preserve"> </w:t>
            </w:r>
            <w:r>
              <w:rPr>
                <w:rStyle w:val="42"/>
                <w:lang w:val="en-US" w:eastAsia="zh-CN"/>
              </w:rPr>
              <w:t>盘活用好机构编制资源</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高中低</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高</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机构职能优化</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高中低</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高</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满意度</w:t>
            </w:r>
            <w:r>
              <w:rPr>
                <w:rFonts w:hint="eastAsia" w:ascii="宋体" w:hAnsi="宋体" w:eastAsia="宋体" w:cs="宋体"/>
                <w:i w:val="0"/>
                <w:iCs w:val="0"/>
                <w:color w:val="000000"/>
                <w:kern w:val="0"/>
                <w:sz w:val="20"/>
                <w:szCs w:val="20"/>
                <w:u w:val="none"/>
                <w:lang w:val="en-US" w:eastAsia="zh-CN"/>
              </w:rPr>
              <w:br w:type="textWrapping"/>
            </w:r>
            <w:r>
              <w:rPr>
                <w:rFonts w:hint="eastAsia" w:ascii="宋体" w:hAnsi="宋体" w:eastAsia="宋体" w:cs="宋体"/>
                <w:i w:val="0"/>
                <w:iCs w:val="0"/>
                <w:color w:val="000000"/>
                <w:kern w:val="0"/>
                <w:sz w:val="20"/>
                <w:szCs w:val="20"/>
                <w:u w:val="none"/>
                <w:lang w:val="en-US" w:eastAsia="zh-CN"/>
              </w:rPr>
              <w:t>指标</w:t>
            </w:r>
          </w:p>
        </w:tc>
        <w:tc>
          <w:tcPr>
            <w:tcW w:w="9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服务对象满意度指标</w:t>
            </w: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服务单位满意度</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受益群众满意度</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eastAsia="zh-CN"/>
              </w:rPr>
              <w:t>无</w:t>
            </w:r>
          </w:p>
        </w:tc>
      </w:tr>
    </w:tbl>
    <w:p>
      <w:pPr>
        <w:keepNext w:val="0"/>
        <w:keepLines w:val="0"/>
        <w:pageBreakBefore w:val="0"/>
        <w:widowControl w:val="0"/>
        <w:kinsoku/>
        <w:wordWrap/>
        <w:overflowPunct/>
        <w:topLinePunct w:val="0"/>
        <w:autoSpaceDE/>
        <w:autoSpaceDN/>
        <w:bidi w:val="0"/>
        <w:adjustRightInd/>
        <w:spacing w:line="576" w:lineRule="exact"/>
        <w:jc w:val="both"/>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eastAsia" w:ascii="方正小标宋_GBK" w:hAnsi="方正小标宋_GBK" w:eastAsia="方正小标宋_GBK" w:cs="方正小标宋_GBK"/>
          <w:color w:val="auto"/>
          <w:sz w:val="44"/>
          <w:szCs w:val="44"/>
          <w:lang w:val="en-US" w:eastAsia="zh-CN"/>
        </w:rPr>
      </w:pPr>
    </w:p>
    <w:p>
      <w:pPr>
        <w:pStyle w:val="7"/>
        <w:keepNext w:val="0"/>
        <w:keepLines w:val="0"/>
        <w:pageBreakBefore w:val="0"/>
        <w:widowControl w:val="0"/>
        <w:kinsoku/>
        <w:wordWrap/>
        <w:overflowPunct w:val="0"/>
        <w:topLinePunct w:val="0"/>
        <w:bidi w:val="0"/>
        <w:spacing w:beforeLines="0" w:line="576" w:lineRule="exact"/>
        <w:ind w:right="0"/>
        <w:jc w:val="both"/>
        <w:textAlignment w:val="auto"/>
        <w:outlineLvl w:val="9"/>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kern w:val="0"/>
          <w:sz w:val="32"/>
          <w:szCs w:val="32"/>
          <w:highlight w:val="none"/>
          <w:shd w:val="clear" w:color="auto" w:fill="FFFFFF"/>
          <w:lang w:val="zh-CN"/>
        </w:rPr>
        <w:t>附件</w:t>
      </w:r>
      <w:r>
        <w:rPr>
          <w:rFonts w:hint="eastAsia" w:ascii="Times New Roman" w:hAnsi="Times New Roman" w:eastAsia="黑体" w:cs="黑体"/>
          <w:b w:val="0"/>
          <w:bCs w:val="0"/>
          <w:color w:val="auto"/>
          <w:kern w:val="0"/>
          <w:sz w:val="32"/>
          <w:szCs w:val="32"/>
          <w:highlight w:val="none"/>
          <w:shd w:val="clear" w:color="auto" w:fill="FFFFFF"/>
          <w:lang w:val="en-US" w:eastAsia="zh-CN"/>
        </w:rPr>
        <w:t>2</w:t>
      </w:r>
    </w:p>
    <w:p>
      <w:pPr>
        <w:keepNext w:val="0"/>
        <w:keepLines w:val="0"/>
        <w:pageBreakBefore w:val="0"/>
        <w:widowControl w:val="0"/>
        <w:kinsoku/>
        <w:wordWrap/>
        <w:overflowPunct/>
        <w:topLinePunct w:val="0"/>
        <w:autoSpaceDE/>
        <w:autoSpaceDN/>
        <w:bidi w:val="0"/>
        <w:adjustRightInd/>
        <w:spacing w:line="576" w:lineRule="exact"/>
        <w:jc w:val="both"/>
        <w:textAlignment w:val="auto"/>
        <w:rPr>
          <w:rFonts w:hint="eastAsia" w:ascii="方正小标宋_GBK" w:hAnsi="方正小标宋_GBK" w:eastAsia="方正小标宋_GBK" w:cs="方正小标宋_GBK"/>
          <w:color w:val="auto"/>
          <w:sz w:val="44"/>
          <w:szCs w:val="44"/>
          <w:lang w:val="en-US" w:eastAsia="zh-CN"/>
        </w:rPr>
      </w:pPr>
    </w:p>
    <w:p>
      <w:pPr>
        <w:keepNext w:val="0"/>
        <w:keepLines w:val="0"/>
        <w:pageBreakBefore w:val="0"/>
        <w:widowControl w:val="0"/>
        <w:kinsoku/>
        <w:wordWrap/>
        <w:overflowPunct/>
        <w:topLinePunct w:val="0"/>
        <w:autoSpaceDE/>
        <w:autoSpaceDN/>
        <w:bidi w:val="0"/>
        <w:adjustRightInd/>
        <w:spacing w:line="576" w:lineRule="exact"/>
        <w:jc w:val="center"/>
        <w:textAlignment w:val="auto"/>
        <w:rPr>
          <w:rFonts w:hint="default" w:eastAsia="黑体" w:cs="Times New Roman"/>
          <w:sz w:val="32"/>
          <w:szCs w:val="32"/>
          <w:lang w:val="en-US" w:eastAsia="zh-CN"/>
        </w:rPr>
      </w:pPr>
      <w:r>
        <w:rPr>
          <w:rFonts w:hint="eastAsia" w:ascii="方正小标宋_GBK" w:hAnsi="方正小标宋_GBK" w:eastAsia="方正小标宋_GBK" w:cs="方正小标宋_GBK"/>
          <w:color w:val="auto"/>
          <w:sz w:val="44"/>
          <w:szCs w:val="44"/>
          <w:lang w:val="en-US" w:eastAsia="zh-CN"/>
        </w:rPr>
        <w:t>中共广元市昭化区委机构编制委员会办公室</w:t>
      </w:r>
    </w:p>
    <w:p>
      <w:pPr>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eastAsia" w:eastAsia="方正小标宋简体" w:cs="Times New Roman"/>
          <w:sz w:val="44"/>
          <w:szCs w:val="44"/>
          <w:lang w:eastAsia="zh-CN"/>
        </w:rPr>
        <w:t>关于</w:t>
      </w:r>
      <w:r>
        <w:rPr>
          <w:rFonts w:hint="eastAsia" w:eastAsia="方正小标宋简体" w:cs="Times New Roman"/>
          <w:sz w:val="44"/>
          <w:szCs w:val="44"/>
          <w:lang w:val="en-US" w:eastAsia="zh-CN"/>
        </w:rPr>
        <w:t>2022年审改办、事业单位年检等</w:t>
      </w:r>
      <w:r>
        <w:rPr>
          <w:rFonts w:hint="default" w:ascii="Times New Roman" w:hAnsi="Times New Roman" w:eastAsia="方正小标宋简体" w:cs="Times New Roman"/>
          <w:sz w:val="44"/>
          <w:szCs w:val="44"/>
        </w:rPr>
        <w:t>项目支出绩效自评报告</w:t>
      </w:r>
    </w:p>
    <w:p>
      <w:pPr>
        <w:keepNext w:val="0"/>
        <w:keepLines w:val="0"/>
        <w:pageBreakBefore w:val="0"/>
        <w:widowControl w:val="0"/>
        <w:numPr>
          <w:ilvl w:val="0"/>
          <w:numId w:val="7"/>
        </w:numPr>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黑体" w:cs="Times New Roman"/>
          <w:sz w:val="32"/>
          <w:szCs w:val="32"/>
          <w:lang w:val="zh-CN"/>
        </w:rPr>
      </w:pPr>
      <w:r>
        <w:rPr>
          <w:rFonts w:hint="default" w:ascii="Times New Roman" w:hAnsi="Times New Roman" w:eastAsia="黑体" w:cs="Times New Roman"/>
          <w:sz w:val="32"/>
          <w:szCs w:val="32"/>
          <w:lang w:val="zh-CN"/>
        </w:rPr>
        <w:t>项目概况</w:t>
      </w:r>
    </w:p>
    <w:p>
      <w:pPr>
        <w:keepNext w:val="0"/>
        <w:keepLines w:val="0"/>
        <w:pageBreakBefore w:val="0"/>
        <w:widowControl w:val="0"/>
        <w:numPr>
          <w:ilvl w:val="0"/>
          <w:numId w:val="8"/>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eastAsia="楷体_GB2312" w:cs="Times New Roman"/>
          <w:b/>
          <w:sz w:val="32"/>
          <w:szCs w:val="32"/>
          <w:lang w:val="zh-CN"/>
        </w:rPr>
      </w:pPr>
      <w:r>
        <w:rPr>
          <w:rFonts w:hint="default" w:ascii="Times New Roman" w:hAnsi="Times New Roman" w:eastAsia="楷体_GB2312" w:cs="Times New Roman"/>
          <w:b/>
          <w:sz w:val="32"/>
          <w:szCs w:val="32"/>
          <w:lang w:val="zh-CN"/>
        </w:rPr>
        <w:t>项目</w:t>
      </w:r>
      <w:r>
        <w:rPr>
          <w:rFonts w:hint="eastAsia" w:eastAsia="楷体_GB2312" w:cs="Times New Roman"/>
          <w:b/>
          <w:sz w:val="32"/>
          <w:szCs w:val="32"/>
          <w:lang w:val="zh-CN"/>
        </w:rPr>
        <w:t>资金申报及批复情况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sz w:val="32"/>
          <w:szCs w:val="32"/>
          <w:lang w:val="en-US" w:eastAsia="zh-CN"/>
        </w:rPr>
        <w:t>区委编办2022年项目支出均为其他运转类支出，</w:t>
      </w:r>
      <w:r>
        <w:rPr>
          <w:rFonts w:hint="eastAsia" w:ascii="仿宋_GB2312" w:hAnsi="仿宋_GB2312" w:eastAsia="仿宋_GB2312" w:cs="仿宋_GB2312"/>
          <w:snapToGrid w:val="0"/>
          <w:color w:val="000000"/>
          <w:spacing w:val="4"/>
          <w:kern w:val="0"/>
          <w:sz w:val="31"/>
          <w:szCs w:val="31"/>
          <w:lang w:val="en-US" w:eastAsia="zh-CN"/>
        </w:rPr>
        <w:t>按照预算报批流程，年初预算</w:t>
      </w:r>
      <w:r>
        <w:rPr>
          <w:rFonts w:hint="eastAsia" w:ascii="仿宋_GB2312" w:hAnsi="仿宋_GB2312" w:eastAsia="仿宋_GB2312" w:cs="仿宋_GB2312"/>
          <w:b w:val="0"/>
          <w:bCs w:val="0"/>
          <w:sz w:val="32"/>
          <w:szCs w:val="32"/>
          <w:lang w:val="en-US" w:eastAsia="zh-CN"/>
        </w:rPr>
        <w:t>金额40.2万元，分别是：机构编制运行评估办法1.2万元，中文域名注册经费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4万元，审改办经费15万元，机构改革经费10万元，事业单位年检、登记工作经费10万元。预算批复40.2万元，根据“三公”经费压减政策，追减机构改革经费2万元，总预算38.2万元，预算项目</w:t>
      </w:r>
      <w:r>
        <w:rPr>
          <w:rFonts w:hint="eastAsia" w:ascii="仿宋_GB2312" w:hAnsi="仿宋_GB2312" w:eastAsia="仿宋_GB2312" w:cs="仿宋_GB2312"/>
          <w:sz w:val="32"/>
          <w:szCs w:val="32"/>
          <w:lang w:val="zh-CN"/>
        </w:rPr>
        <w:t>符合资金管理办法等相关规定</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cs="Times New Roman"/>
          <w:sz w:val="32"/>
          <w:szCs w:val="32"/>
          <w:lang w:val="zh-CN"/>
        </w:rPr>
      </w:pPr>
      <w:r>
        <w:rPr>
          <w:rFonts w:hint="default" w:ascii="Times New Roman" w:hAnsi="Times New Roman" w:eastAsia="楷体_GB2312" w:cs="Times New Roman"/>
          <w:b/>
          <w:sz w:val="32"/>
          <w:szCs w:val="32"/>
          <w:lang w:val="zh-CN"/>
        </w:rPr>
        <w:t>（二）项目绩效目标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机构编制运行评估主要通过</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对全区12个乡镇及区级部门三分之一数量单位的机构编制管理进行实地走访、问卷调查，</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就</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机构编制执行情况和使用效益进行客观评估，</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将</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评估结果作为改进机构编制管理、优化编制资源配置的重要依据</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cs="Times New Roman"/>
          <w:b w:val="0"/>
          <w:bCs w:val="0"/>
          <w:color w:val="000000" w:themeColor="text1"/>
          <w:sz w:val="32"/>
          <w:szCs w:val="32"/>
          <w:lang w:eastAsia="zh-CN"/>
          <w14:textFill>
            <w14:solidFill>
              <w14:schemeClr w14:val="tx1"/>
            </w14:solidFill>
          </w14:textFill>
        </w:rPr>
        <w:t>全年计划</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机构编制评估完成单位数量</w:t>
      </w:r>
      <w:r>
        <w:rPr>
          <w:rFonts w:hint="eastAsia" w:cs="Times New Roman"/>
          <w:b w:val="0"/>
          <w:bCs w:val="0"/>
          <w:color w:val="000000" w:themeColor="text1"/>
          <w:sz w:val="32"/>
          <w:szCs w:val="32"/>
          <w:lang w:val="en-US" w:eastAsia="zh-CN"/>
          <w14:textFill>
            <w14:solidFill>
              <w14:schemeClr w14:val="tx1"/>
            </w14:solidFill>
          </w14:textFill>
        </w:rPr>
        <w:t>40</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个单位，评估覆盖率超过</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20</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%，机构编制运行平稳有序，被评估单位对运行较为满意,各项指标完成</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率</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）中文域名注册</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经费要求</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全区机关事业单位中文域名注册全覆盖，并根据单位实际情况对域名进行更新或核销，对新增单位进行新注册，积极推动机构编制信息化工作，保证注册对象满意度较高。</w:t>
      </w:r>
      <w:r>
        <w:rPr>
          <w:rFonts w:hint="eastAsia" w:ascii="Times New Roman" w:hAnsi="Times New Roman" w:cs="Times New Roman"/>
          <w:b w:val="0"/>
          <w:bCs w:val="0"/>
          <w:color w:val="000000" w:themeColor="text1"/>
          <w:sz w:val="32"/>
          <w:szCs w:val="32"/>
          <w:lang w:eastAsia="zh-CN"/>
          <w14:textFill>
            <w14:solidFill>
              <w14:schemeClr w14:val="tx1"/>
            </w14:solidFill>
          </w14:textFill>
        </w:rPr>
        <w:t>全年计划</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单位注册覆盖率</w:t>
      </w:r>
      <w:r>
        <w:rPr>
          <w:rFonts w:hint="eastAsia" w:ascii="Times New Roman" w:hAnsi="Times New Roman" w:cs="Times New Roman"/>
          <w:b w:val="0"/>
          <w:bCs w:val="0"/>
          <w:color w:val="000000" w:themeColor="text1"/>
          <w:sz w:val="32"/>
          <w:szCs w:val="32"/>
          <w:lang w:eastAsia="zh-CN"/>
          <w14:textFill>
            <w14:solidFill>
              <w14:schemeClr w14:val="tx1"/>
            </w14:solidFill>
          </w14:textFill>
        </w:rPr>
        <w:t>达到</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100</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%且质量较高，全区机关事业单位网上名称管理较为规范，注册对象满意度高，进一步推动了机构编制管理的信息化建设程度，各项指标完成</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率</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（3）审改办经费主要是持</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续深化审批制度改革，实现改革单位全覆盖，社会评价度高，改革对象满意度高。</w:t>
      </w:r>
      <w:r>
        <w:rPr>
          <w:rFonts w:hint="eastAsia" w:ascii="Times New Roman" w:hAnsi="Times New Roman" w:cs="Times New Roman"/>
          <w:b w:val="0"/>
          <w:bCs w:val="0"/>
          <w:color w:val="000000" w:themeColor="text1"/>
          <w:sz w:val="32"/>
          <w:szCs w:val="32"/>
          <w:lang w:eastAsia="zh-CN"/>
          <w14:textFill>
            <w14:solidFill>
              <w14:schemeClr w14:val="tx1"/>
            </w14:solidFill>
          </w14:textFill>
        </w:rPr>
        <w:t>全年计划</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审批制度改革覆盖率</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超过</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95</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%，下放行政权力清单事项</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274</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余项，审批制度改革深入程度较高，群众社会评价较高改革对象满意度较高，各项指标完成</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率</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（4）机构改革经费主要为</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稳步推进事业单位分类改革，各项专项改革和重点领域体制机制调整，规范与创新机构编制管理，充分发挥机构编制资源效益。加强和完善两项改革“后半篇”文章重点任务和内容，优化机构编制资源配置，提高机构编制使用效益。</w:t>
      </w:r>
      <w:r>
        <w:rPr>
          <w:rFonts w:hint="eastAsia" w:ascii="Times New Roman" w:hAnsi="Times New Roman" w:cs="Times New Roman"/>
          <w:b w:val="0"/>
          <w:bCs w:val="0"/>
          <w:color w:val="000000" w:themeColor="text1"/>
          <w:sz w:val="32"/>
          <w:szCs w:val="32"/>
          <w:lang w:eastAsia="zh-CN"/>
          <w14:textFill>
            <w14:solidFill>
              <w14:schemeClr w14:val="tx1"/>
            </w14:solidFill>
          </w14:textFill>
        </w:rPr>
        <w:t>全年计划</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机构改革完成数量</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16</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处，改革对象运转通畅</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改革对象满意度较高</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，机构改革顺利平稳，基层服务效率</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得到提升，</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社会群众评价较高</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各项指标完成</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率</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100%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lang w:val="zh-CN"/>
        </w:rPr>
      </w:pP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事业单位年检、登记工作经费</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主要是</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对符合法定条件的登记申请核准登记</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并</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向核准设立登记的事业单位颁发《事业单位法人证书》，通过年度报告书，掌握事业单位的运转情况，对事业单位进行动态管理。</w:t>
      </w:r>
      <w:r>
        <w:rPr>
          <w:rFonts w:hint="eastAsia" w:ascii="Times New Roman" w:hAnsi="Times New Roman" w:cs="Times New Roman"/>
          <w:b w:val="0"/>
          <w:bCs w:val="0"/>
          <w:color w:val="000000" w:themeColor="text1"/>
          <w:sz w:val="32"/>
          <w:szCs w:val="32"/>
          <w:lang w:eastAsia="zh-CN"/>
          <w14:textFill>
            <w14:solidFill>
              <w14:schemeClr w14:val="tx1"/>
            </w14:solidFill>
          </w14:textFill>
        </w:rPr>
        <w:t>全年计划</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全区</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机关事业单位登记、年检覆盖率超过</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且质量较高</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公示公告完成单位超过</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家；且社会评价度好，</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年检注册单位</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满意度较高</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各项指标完成</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率</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textAlignment w:val="baseline"/>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（三）项目资金申报相符性</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项目支出经费</w:t>
      </w:r>
      <w:r>
        <w:rPr>
          <w:rFonts w:hint="eastAsia" w:ascii="仿宋_GB2312" w:hAnsi="仿宋_GB2312" w:eastAsia="仿宋_GB2312" w:cs="仿宋_GB2312"/>
          <w:sz w:val="32"/>
        </w:rPr>
        <w:t>申报内容与具体实施内容相符、申报目标合理可行。</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ascii="Times New Roman" w:hAnsi="Times New Roman" w:eastAsia="楷体_GB2312" w:cs="Times New Roman"/>
          <w:b/>
          <w:sz w:val="32"/>
          <w:szCs w:val="32"/>
          <w:lang w:val="zh-CN"/>
        </w:rPr>
      </w:pPr>
      <w:r>
        <w:rPr>
          <w:rFonts w:hint="eastAsia" w:ascii="Times New Roman" w:hAnsi="Times New Roman" w:eastAsia="楷体_GB2312" w:cs="Times New Roman"/>
          <w:b/>
          <w:sz w:val="32"/>
          <w:szCs w:val="32"/>
          <w:lang w:val="zh-CN"/>
        </w:rPr>
        <w:t>（四）自评步骤及方法</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项目支出经费依据</w:t>
      </w:r>
      <w:r>
        <w:rPr>
          <w:rFonts w:hint="eastAsia" w:ascii="仿宋_GB2312" w:hAnsi="仿宋_GB2312" w:eastAsia="仿宋_GB2312" w:cs="仿宋_GB2312"/>
          <w:spacing w:val="-3"/>
          <w:sz w:val="31"/>
          <w:szCs w:val="31"/>
        </w:rPr>
        <w:t>《广元市昭化区人民政府办公室关于印发&lt;广元市</w:t>
      </w:r>
      <w:r>
        <w:rPr>
          <w:rFonts w:hint="eastAsia" w:ascii="仿宋_GB2312" w:hAnsi="仿宋_GB2312" w:eastAsia="仿宋_GB2312" w:cs="仿宋_GB2312"/>
          <w:spacing w:val="1"/>
          <w:sz w:val="31"/>
          <w:szCs w:val="31"/>
        </w:rPr>
        <w:t xml:space="preserve"> </w:t>
      </w:r>
      <w:r>
        <w:rPr>
          <w:rFonts w:hint="eastAsia" w:ascii="仿宋_GB2312" w:hAnsi="仿宋_GB2312" w:eastAsia="仿宋_GB2312" w:cs="仿宋_GB2312"/>
          <w:spacing w:val="25"/>
          <w:sz w:val="31"/>
          <w:szCs w:val="31"/>
        </w:rPr>
        <w:t>昭化区财政支出事后绩效评价管理办法&gt;的通知》(昭府办函</w:t>
      </w:r>
      <w:r>
        <w:rPr>
          <w:rFonts w:hint="eastAsia" w:ascii="仿宋_GB2312" w:hAnsi="仿宋_GB2312" w:eastAsia="仿宋_GB2312" w:cs="仿宋_GB2312"/>
          <w:spacing w:val="4"/>
          <w:sz w:val="31"/>
          <w:szCs w:val="31"/>
        </w:rPr>
        <w:t>〔2022〕37号)</w:t>
      </w:r>
      <w:r>
        <w:rPr>
          <w:rFonts w:hint="eastAsia" w:ascii="仿宋_GB2312" w:hAnsi="仿宋_GB2312" w:eastAsia="仿宋_GB2312" w:cs="仿宋_GB2312"/>
          <w:spacing w:val="4"/>
          <w:sz w:val="31"/>
          <w:szCs w:val="31"/>
          <w:lang w:val="en-US" w:eastAsia="zh-CN"/>
        </w:rPr>
        <w:t>文件自评且逐项量分。</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二、项目实施及管理情况</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（一）资金计划、到位及使用情况</w:t>
      </w:r>
      <w:r>
        <w:rPr>
          <w:rFonts w:hint="eastAsia" w:eastAsia="楷体_GB2312" w:cs="Times New Roman"/>
          <w:b/>
          <w:sz w:val="32"/>
          <w:szCs w:val="32"/>
          <w:lang w:val="zh-CN"/>
        </w:rPr>
        <w:t>（可用表格形式反映）</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eastAsia" w:ascii="仿宋_GB2312" w:hAnsi="仿宋_GB2312" w:cs="仿宋_GB2312"/>
          <w:spacing w:val="4"/>
          <w:sz w:val="31"/>
          <w:szCs w:val="31"/>
          <w:lang w:val="en-US" w:eastAsia="zh-CN"/>
        </w:rPr>
      </w:pPr>
      <w:r>
        <w:rPr>
          <w:rFonts w:hint="default" w:ascii="Times New Roman" w:hAnsi="Times New Roman" w:cs="Times New Roman"/>
          <w:sz w:val="32"/>
          <w:szCs w:val="32"/>
          <w:lang w:val="zh-CN"/>
        </w:rPr>
        <w:t>1</w:t>
      </w:r>
      <w:r>
        <w:rPr>
          <w:rFonts w:hint="default" w:ascii="Times New Roman" w:hAnsi="Times New Roman" w:cs="Times New Roman"/>
          <w:sz w:val="32"/>
          <w:szCs w:val="32"/>
        </w:rPr>
        <w:t>.</w:t>
      </w:r>
      <w:r>
        <w:rPr>
          <w:rFonts w:hint="default" w:ascii="Times New Roman" w:hAnsi="Times New Roman" w:cs="Times New Roman"/>
          <w:sz w:val="32"/>
          <w:szCs w:val="32"/>
          <w:lang w:val="zh-CN"/>
        </w:rPr>
        <w:t>资金计划及到位。</w:t>
      </w:r>
      <w:r>
        <w:rPr>
          <w:rFonts w:hint="eastAsia" w:ascii="仿宋_GB2312" w:hAnsi="仿宋_GB2312" w:eastAsia="仿宋_GB2312" w:cs="仿宋_GB2312"/>
          <w:sz w:val="32"/>
        </w:rPr>
        <w:t>资金计划</w:t>
      </w:r>
      <w:r>
        <w:rPr>
          <w:rFonts w:hint="eastAsia" w:ascii="仿宋_GB2312" w:hAnsi="仿宋_GB2312" w:cs="仿宋_GB2312"/>
          <w:sz w:val="32"/>
          <w:lang w:eastAsia="zh-CN"/>
        </w:rPr>
        <w:t>及时</w:t>
      </w:r>
      <w:r>
        <w:rPr>
          <w:rFonts w:hint="eastAsia" w:ascii="仿宋_GB2312" w:hAnsi="仿宋_GB2312" w:eastAsia="仿宋_GB2312" w:cs="仿宋_GB2312"/>
          <w:sz w:val="32"/>
        </w:rPr>
        <w:t>到位</w:t>
      </w:r>
      <w:r>
        <w:rPr>
          <w:rFonts w:hint="eastAsia" w:ascii="仿宋_GB2312" w:hAnsi="仿宋_GB2312" w:eastAsia="仿宋_GB2312" w:cs="仿宋_GB2312"/>
          <w:sz w:val="32"/>
          <w:lang w:eastAsia="zh-CN"/>
        </w:rPr>
        <w:t>，</w:t>
      </w:r>
      <w:r>
        <w:rPr>
          <w:rFonts w:hint="eastAsia" w:ascii="仿宋_GB2312" w:hAnsi="仿宋_GB2312" w:eastAsia="仿宋_GB2312" w:cs="仿宋_GB2312"/>
          <w:spacing w:val="4"/>
          <w:sz w:val="31"/>
          <w:szCs w:val="31"/>
          <w:lang w:val="en-US" w:eastAsia="zh-CN"/>
        </w:rPr>
        <w:t>项目支出经费</w:t>
      </w:r>
      <w:r>
        <w:rPr>
          <w:rFonts w:hint="eastAsia" w:ascii="仿宋_GB2312" w:hAnsi="仿宋_GB2312" w:eastAsia="仿宋_GB2312" w:cs="仿宋_GB2312"/>
          <w:spacing w:val="4"/>
          <w:sz w:val="31"/>
          <w:szCs w:val="31"/>
        </w:rPr>
        <w:t>预算财政拨款资金为</w:t>
      </w:r>
      <w:r>
        <w:rPr>
          <w:rFonts w:hint="eastAsia" w:ascii="仿宋_GB2312" w:hAnsi="仿宋_GB2312" w:cs="仿宋_GB2312"/>
          <w:spacing w:val="4"/>
          <w:sz w:val="31"/>
          <w:szCs w:val="31"/>
          <w:lang w:val="en-US" w:eastAsia="zh-CN"/>
        </w:rPr>
        <w:t>38.2万</w:t>
      </w:r>
      <w:r>
        <w:rPr>
          <w:rFonts w:hint="eastAsia" w:ascii="仿宋_GB2312" w:hAnsi="仿宋_GB2312" w:eastAsia="仿宋_GB2312" w:cs="仿宋_GB2312"/>
          <w:spacing w:val="4"/>
          <w:sz w:val="31"/>
          <w:szCs w:val="31"/>
        </w:rPr>
        <w:t>元，</w:t>
      </w:r>
      <w:r>
        <w:rPr>
          <w:rFonts w:hint="eastAsia" w:ascii="仿宋_GB2312" w:hAnsi="仿宋_GB2312" w:eastAsia="仿宋_GB2312" w:cs="仿宋_GB2312"/>
          <w:spacing w:val="4"/>
          <w:sz w:val="31"/>
          <w:szCs w:val="31"/>
          <w:lang w:eastAsia="zh-CN"/>
        </w:rPr>
        <w:t>资金到位情况与资金计划相符，到位率</w:t>
      </w:r>
      <w:r>
        <w:rPr>
          <w:rFonts w:hint="eastAsia" w:ascii="仿宋_GB2312" w:hAnsi="仿宋_GB2312" w:eastAsia="仿宋_GB2312" w:cs="仿宋_GB2312"/>
          <w:spacing w:val="4"/>
          <w:sz w:val="31"/>
          <w:szCs w:val="31"/>
          <w:lang w:val="en-US" w:eastAsia="zh-CN"/>
        </w:rPr>
        <w:t>100%</w:t>
      </w:r>
      <w:r>
        <w:rPr>
          <w:rFonts w:hint="eastAsia" w:ascii="仿宋_GB2312" w:hAnsi="仿宋_GB2312" w:cs="仿宋_GB2312"/>
          <w:spacing w:val="4"/>
          <w:sz w:val="31"/>
          <w:szCs w:val="31"/>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pacing w:val="4"/>
          <w:sz w:val="31"/>
          <w:szCs w:val="31"/>
        </w:rPr>
      </w:pPr>
      <w:r>
        <w:rPr>
          <w:rFonts w:hint="default" w:ascii="Times New Roman" w:hAnsi="Times New Roman" w:cs="Times New Roman"/>
          <w:sz w:val="32"/>
          <w:szCs w:val="32"/>
          <w:lang w:val="zh-CN"/>
        </w:rPr>
        <w:t>2</w:t>
      </w:r>
      <w:r>
        <w:rPr>
          <w:rFonts w:hint="default" w:ascii="Times New Roman" w:hAnsi="Times New Roman" w:cs="Times New Roman"/>
          <w:sz w:val="32"/>
          <w:szCs w:val="32"/>
        </w:rPr>
        <w:t>.</w:t>
      </w:r>
      <w:r>
        <w:rPr>
          <w:rFonts w:hint="default" w:ascii="Times New Roman" w:hAnsi="Times New Roman" w:cs="Times New Roman"/>
          <w:sz w:val="32"/>
          <w:szCs w:val="32"/>
          <w:lang w:val="zh-CN"/>
        </w:rPr>
        <w:t>资金使用。</w:t>
      </w:r>
      <w:r>
        <w:rPr>
          <w:rFonts w:hint="eastAsia" w:ascii="仿宋_GB2312" w:hAnsi="仿宋_GB2312" w:eastAsia="仿宋_GB2312" w:cs="仿宋_GB2312"/>
          <w:spacing w:val="4"/>
          <w:sz w:val="31"/>
          <w:szCs w:val="31"/>
          <w:lang w:eastAsia="zh-CN"/>
        </w:rPr>
        <w:t>截至</w:t>
      </w:r>
      <w:r>
        <w:rPr>
          <w:rFonts w:hint="eastAsia" w:ascii="仿宋_GB2312" w:hAnsi="仿宋_GB2312" w:eastAsia="仿宋_GB2312" w:cs="仿宋_GB2312"/>
          <w:spacing w:val="4"/>
          <w:sz w:val="31"/>
          <w:szCs w:val="31"/>
          <w:lang w:val="en-US" w:eastAsia="zh-CN"/>
        </w:rPr>
        <w:t>2022年12月31日，该项目资金已支付38.2万元，完成预算的100%</w:t>
      </w:r>
      <w:r>
        <w:rPr>
          <w:rFonts w:hint="eastAsia" w:ascii="仿宋_GB2312" w:hAnsi="仿宋_GB2312" w:eastAsia="仿宋_GB2312" w:cs="仿宋_GB2312"/>
          <w:spacing w:val="4"/>
          <w:sz w:val="31"/>
          <w:szCs w:val="31"/>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（二）项目财务管理情况</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财务管理制度健全，严格执行财务管理制度</w:t>
      </w:r>
      <w:r>
        <w:rPr>
          <w:rFonts w:hint="eastAsia" w:ascii="仿宋_GB2312" w:hAnsi="仿宋_GB2312" w:eastAsia="仿宋_GB2312" w:cs="仿宋_GB2312"/>
          <w:sz w:val="32"/>
        </w:rPr>
        <w:t>收付项目资金</w:t>
      </w:r>
      <w:r>
        <w:rPr>
          <w:rFonts w:hint="eastAsia" w:ascii="仿宋_GB2312" w:hAnsi="仿宋_GB2312" w:eastAsia="仿宋_GB2312" w:cs="仿宋_GB2312"/>
          <w:sz w:val="32"/>
          <w:szCs w:val="32"/>
          <w:lang w:val="zh-CN"/>
        </w:rPr>
        <w:t>、财务处理及时、会计核算规范，</w:t>
      </w:r>
      <w:r>
        <w:rPr>
          <w:rFonts w:hint="eastAsia" w:ascii="仿宋_GB2312" w:hAnsi="仿宋_GB2312" w:eastAsia="仿宋_GB2312" w:cs="仿宋_GB2312"/>
          <w:sz w:val="32"/>
        </w:rPr>
        <w:t>做到了财务公开透明守法守规。</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（三）项目组织实施</w:t>
      </w:r>
      <w:r>
        <w:rPr>
          <w:rFonts w:hint="eastAsia" w:eastAsia="楷体_GB2312" w:cs="Times New Roman"/>
          <w:b/>
          <w:sz w:val="32"/>
          <w:szCs w:val="32"/>
          <w:lang w:val="zh-CN"/>
        </w:rPr>
        <w:t>及管理</w:t>
      </w:r>
      <w:r>
        <w:rPr>
          <w:rFonts w:hint="default" w:ascii="Times New Roman" w:hAnsi="Times New Roman" w:eastAsia="楷体_GB2312" w:cs="Times New Roman"/>
          <w:b/>
          <w:sz w:val="32"/>
          <w:szCs w:val="32"/>
          <w:lang w:val="zh-CN"/>
        </w:rPr>
        <w:t>情况</w:t>
      </w:r>
    </w:p>
    <w:p>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rPr>
      </w:pPr>
      <w:r>
        <w:rPr>
          <w:rFonts w:hint="eastAsia" w:ascii="仿宋_GB2312" w:hAnsi="仿宋_GB2312" w:eastAsia="仿宋_GB2312" w:cs="仿宋_GB2312"/>
          <w:sz w:val="32"/>
          <w:lang w:eastAsia="zh-CN"/>
        </w:rPr>
        <w:t>我办按照内部控制相关制度</w:t>
      </w:r>
      <w:r>
        <w:rPr>
          <w:rFonts w:hint="eastAsia" w:ascii="仿宋_GB2312" w:hAnsi="仿宋_GB2312" w:eastAsia="仿宋_GB2312" w:cs="仿宋_GB2312"/>
          <w:sz w:val="32"/>
        </w:rPr>
        <w:t>，成立了以主任为组长，分管领导为副组长，</w:t>
      </w:r>
      <w:r>
        <w:rPr>
          <w:rFonts w:hint="eastAsia" w:ascii="仿宋_GB2312" w:hAnsi="仿宋_GB2312" w:eastAsia="仿宋_GB2312" w:cs="仿宋_GB2312"/>
          <w:sz w:val="32"/>
          <w:lang w:eastAsia="zh-CN"/>
        </w:rPr>
        <w:t>相关股室以及</w:t>
      </w:r>
      <w:r>
        <w:rPr>
          <w:rFonts w:hint="eastAsia" w:ascii="仿宋_GB2312" w:hAnsi="仿宋_GB2312" w:eastAsia="仿宋_GB2312" w:cs="仿宋_GB2312"/>
          <w:sz w:val="32"/>
        </w:rPr>
        <w:t>财务人员为组员的项目实施小组，依法</w:t>
      </w:r>
      <w:r>
        <w:rPr>
          <w:rFonts w:hint="eastAsia" w:ascii="仿宋_GB2312" w:hAnsi="仿宋_GB2312" w:eastAsia="仿宋_GB2312" w:cs="仿宋_GB2312"/>
          <w:sz w:val="32"/>
          <w:lang w:eastAsia="zh-CN"/>
        </w:rPr>
        <w:t>依</w:t>
      </w:r>
      <w:r>
        <w:rPr>
          <w:rFonts w:hint="eastAsia" w:ascii="仿宋_GB2312" w:hAnsi="仿宋_GB2312" w:eastAsia="仿宋_GB2312" w:cs="仿宋_GB2312"/>
          <w:sz w:val="32"/>
        </w:rPr>
        <w:t>规</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合理管控开支，按照</w:t>
      </w:r>
      <w:r>
        <w:rPr>
          <w:rFonts w:hint="eastAsia" w:ascii="仿宋_GB2312" w:hAnsi="仿宋_GB2312" w:eastAsia="仿宋_GB2312" w:cs="仿宋_GB2312"/>
          <w:sz w:val="32"/>
          <w:lang w:eastAsia="zh-CN"/>
        </w:rPr>
        <w:t>预算计划，</w:t>
      </w:r>
      <w:r>
        <w:rPr>
          <w:rFonts w:hint="eastAsia" w:ascii="仿宋_GB2312" w:hAnsi="仿宋_GB2312" w:eastAsia="仿宋_GB2312" w:cs="仿宋_GB2312"/>
          <w:sz w:val="32"/>
        </w:rPr>
        <w:t>做到申请、审核、支付依规合法，全力</w:t>
      </w:r>
      <w:r>
        <w:rPr>
          <w:rFonts w:hint="eastAsia" w:ascii="仿宋_GB2312" w:hAnsi="仿宋_GB2312" w:eastAsia="仿宋_GB2312" w:cs="仿宋_GB2312"/>
          <w:sz w:val="32"/>
          <w:lang w:val="en-US" w:eastAsia="zh-CN"/>
        </w:rPr>
        <w:t>保障工作的正常运转</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cs="Times New Roman"/>
          <w:sz w:val="32"/>
          <w:szCs w:val="32"/>
          <w:lang w:val="zh-CN"/>
        </w:rPr>
      </w:pPr>
      <w:r>
        <w:rPr>
          <w:rFonts w:hint="default" w:ascii="Times New Roman" w:hAnsi="Times New Roman" w:eastAsia="黑体" w:cs="Times New Roman"/>
          <w:sz w:val="32"/>
          <w:szCs w:val="32"/>
        </w:rPr>
        <w:t>三、项目绩效情况</w:t>
      </w:r>
      <w:r>
        <w:rPr>
          <w:rFonts w:hint="default" w:ascii="Times New Roman" w:hAnsi="Times New Roman" w:cs="Times New Roman"/>
          <w:sz w:val="32"/>
          <w:szCs w:val="32"/>
          <w:lang w:val="zh-CN"/>
        </w:rPr>
        <w:tab/>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default" w:ascii="Times New Roman" w:hAnsi="Times New Roman" w:eastAsia="楷体_GB2312" w:cs="Times New Roman"/>
          <w:b/>
          <w:sz w:val="32"/>
          <w:szCs w:val="32"/>
          <w:lang w:val="zh-CN"/>
        </w:rPr>
      </w:pPr>
      <w:r>
        <w:rPr>
          <w:rFonts w:hint="default" w:ascii="Times New Roman" w:hAnsi="Times New Roman" w:eastAsia="楷体_GB2312" w:cs="Times New Roman"/>
          <w:b/>
          <w:sz w:val="32"/>
          <w:szCs w:val="32"/>
          <w:lang w:val="zh-CN"/>
        </w:rPr>
        <w:t>（一）项目完成情况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机构编制运行评估</w:t>
      </w:r>
      <w:r>
        <w:rPr>
          <w:rFonts w:hint="eastAsia" w:cs="Times New Roman"/>
          <w:b w:val="0"/>
          <w:bCs w:val="0"/>
          <w:color w:val="000000" w:themeColor="text1"/>
          <w:sz w:val="32"/>
          <w:szCs w:val="32"/>
          <w:lang w:val="en-US" w:eastAsia="zh-CN"/>
          <w14:textFill>
            <w14:solidFill>
              <w14:schemeClr w14:val="tx1"/>
            </w14:solidFill>
          </w14:textFill>
        </w:rPr>
        <w:t>经费。</w:t>
      </w:r>
      <w:r>
        <w:rPr>
          <w:rFonts w:hint="eastAsia" w:ascii="仿宋_GB2312" w:hAnsi="仿宋_GB2312" w:eastAsia="仿宋_GB2312" w:cs="仿宋_GB2312"/>
          <w:spacing w:val="4"/>
          <w:sz w:val="31"/>
          <w:szCs w:val="31"/>
          <w:lang w:val="en-US" w:eastAsia="zh-CN"/>
        </w:rPr>
        <w:t>截止评价时点</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，机构编制评估完成单位数量</w:t>
      </w:r>
      <w:r>
        <w:rPr>
          <w:rFonts w:hint="eastAsia" w:cs="Times New Roman"/>
          <w:b w:val="0"/>
          <w:bCs w:val="0"/>
          <w:color w:val="000000" w:themeColor="text1"/>
          <w:sz w:val="32"/>
          <w:szCs w:val="32"/>
          <w:lang w:val="en-US" w:eastAsia="zh-CN"/>
          <w14:textFill>
            <w14:solidFill>
              <w14:schemeClr w14:val="tx1"/>
            </w14:solidFill>
          </w14:textFill>
        </w:rPr>
        <w:t>40</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个单位，评估覆盖率超过</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20</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%，机构编制运行平稳有序，被评估单位对运行较为满意,各项指标完成</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全年</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计划的100%；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）中文域名注册</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经费</w:t>
      </w:r>
      <w:r>
        <w:rPr>
          <w:rFonts w:hint="eastAsia" w:cs="Times New Roman"/>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pacing w:val="4"/>
          <w:sz w:val="31"/>
          <w:szCs w:val="31"/>
          <w:lang w:val="en-US" w:eastAsia="zh-CN"/>
        </w:rPr>
        <w:t>截至评价时点</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，单位注册覆盖率</w:t>
      </w:r>
      <w:r>
        <w:rPr>
          <w:rFonts w:hint="eastAsia" w:ascii="Times New Roman" w:hAnsi="Times New Roman" w:cs="Times New Roman"/>
          <w:b w:val="0"/>
          <w:bCs w:val="0"/>
          <w:color w:val="000000" w:themeColor="text1"/>
          <w:sz w:val="32"/>
          <w:szCs w:val="32"/>
          <w:lang w:eastAsia="zh-CN"/>
          <w14:textFill>
            <w14:solidFill>
              <w14:schemeClr w14:val="tx1"/>
            </w14:solidFill>
          </w14:textFill>
        </w:rPr>
        <w:t>达到</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100</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%且质量较高，全区机关事业单位网上名称管理较为规范，注册对象满意度高，进一步推动了机构编制管理的信息化建设程度，各项指标完成</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全年</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计划的100%；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（3）审改办经费</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spacing w:val="4"/>
          <w:sz w:val="31"/>
          <w:szCs w:val="31"/>
          <w:lang w:val="en-US" w:eastAsia="zh-CN"/>
        </w:rPr>
        <w:t>截止评价时点</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，审批制度改革覆盖率</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超过</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95</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%，下放行政权力清单事项</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274</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余项，审批制度改革深入程度较高，群众社会评价较高改革对象满意度较高，各项指标完成</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全年</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计划的100%；</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（4）机构改革经费</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spacing w:val="4"/>
          <w:sz w:val="31"/>
          <w:szCs w:val="31"/>
          <w:lang w:val="en-US" w:eastAsia="zh-CN"/>
        </w:rPr>
        <w:t>截止评价时点</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机构改革完成数量</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16</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处，改革对象运转通畅</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改革对象满意度较高</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，机构改革顺利平稳，基层服务效率</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得到提升，</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社会群众评价较高</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各项指标完成</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全年</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计划的100%</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lang w:val="zh-CN"/>
        </w:rPr>
      </w:pP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5</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事业单位年检、登记工作经费。</w:t>
      </w:r>
      <w:r>
        <w:rPr>
          <w:rFonts w:hint="eastAsia" w:ascii="仿宋_GB2312" w:hAnsi="仿宋_GB2312" w:eastAsia="仿宋_GB2312" w:cs="仿宋_GB2312"/>
          <w:spacing w:val="4"/>
          <w:sz w:val="31"/>
          <w:szCs w:val="31"/>
          <w:lang w:val="en-US" w:eastAsia="zh-CN"/>
        </w:rPr>
        <w:t>截止评价时点</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全区</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机关事业单位登记、年检覆盖率超过</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且质量较高</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公示公告完成单位超过</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家；且社会评价度好，</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年检注册单位</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满意度较高</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各项指标完成</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全年</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计划的100%</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default" w:ascii="Times New Roman" w:hAnsi="Times New Roman" w:eastAsia="楷体_GB2312" w:cs="Times New Roman"/>
          <w:b/>
          <w:sz w:val="32"/>
          <w:szCs w:val="32"/>
          <w:lang w:val="zh-CN"/>
        </w:rPr>
        <w:t>（二）项目效益情况。</w:t>
      </w:r>
      <w:r>
        <w:rPr>
          <w:rFonts w:hint="eastAsia" w:ascii="Times New Roman" w:hAnsi="Times New Roman" w:eastAsia="仿宋_GB2312" w:cs="Times New Roman"/>
          <w:b w:val="0"/>
          <w:bCs w:val="0"/>
          <w:color w:val="000000" w:themeColor="text1"/>
          <w:sz w:val="32"/>
          <w:szCs w:val="32"/>
          <w:lang w:val="zh-CN" w:eastAsia="zh-CN"/>
          <w14:textFill>
            <w14:solidFill>
              <w14:schemeClr w14:val="tx1"/>
            </w14:solidFill>
          </w14:textFill>
        </w:rPr>
        <w:t>开展机构编制运行评估</w:t>
      </w:r>
      <w:r>
        <w:rPr>
          <w:rFonts w:hint="eastAsia" w:ascii="Times New Roman" w:hAnsi="Times New Roman" w:cs="Times New Roman"/>
          <w:b w:val="0"/>
          <w:bCs w:val="0"/>
          <w:color w:val="000000" w:themeColor="text1"/>
          <w:sz w:val="32"/>
          <w:szCs w:val="32"/>
          <w:lang w:val="zh-CN"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通过</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实地走访、问卷调查，</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就</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机构编制执行情况和使用效益进行客观评估，</w:t>
      </w:r>
      <w:r>
        <w:rPr>
          <w:rFonts w:hint="eastAsia" w:ascii="Times New Roman" w:hAnsi="Times New Roman" w:cs="Times New Roman"/>
          <w:b w:val="0"/>
          <w:bCs w:val="0"/>
          <w:color w:val="000000" w:themeColor="text1"/>
          <w:sz w:val="32"/>
          <w:szCs w:val="32"/>
          <w:lang w:eastAsia="zh-CN"/>
          <w14:textFill>
            <w14:solidFill>
              <w14:schemeClr w14:val="tx1"/>
            </w14:solidFill>
          </w14:textFill>
        </w:rPr>
        <w:t>促使</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机构编制运行平稳有序，</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提高被</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评估单位满意</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度</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cs="Times New Roman"/>
          <w:b w:val="0"/>
          <w:bCs w:val="0"/>
          <w:color w:val="000000" w:themeColor="text1"/>
          <w:sz w:val="32"/>
          <w:szCs w:val="32"/>
          <w:lang w:eastAsia="zh-CN"/>
          <w14:textFill>
            <w14:solidFill>
              <w14:schemeClr w14:val="tx1"/>
            </w14:solidFill>
          </w14:textFill>
        </w:rPr>
        <w:t>开展</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中文域名注册</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根据单位实际情况对域名进行更新或核销，对新增单位进行新注册，</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规范全区机关事业单位网上名称管理，注册对象满意度高，推动了机构编制管理的信息化建设；</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开展</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审改办</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工作，</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持</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续深化审批制度改革，</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下放行政权力清单事项</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274</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余项，</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提高</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审批制度改革深入程度，群众社会评价较高</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改革对象满意度较高；</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机构改革</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工作，</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稳步推进事业单位分类改革，各项专项改革和重点领域体制机制调整，规范与创新机构编制管理，充分发挥机构编制资源效益。加强和完善两项改革“后半篇”文章重点任务和内容，优化机构编制资源配置，提高机构编制使用效益。</w:t>
      </w:r>
      <w:r>
        <w:rPr>
          <w:rFonts w:hint="eastAsia" w:ascii="Times New Roman" w:hAnsi="Times New Roman" w:cs="Times New Roman"/>
          <w:b w:val="0"/>
          <w:bCs w:val="0"/>
          <w:color w:val="000000" w:themeColor="text1"/>
          <w:sz w:val="32"/>
          <w:szCs w:val="32"/>
          <w:lang w:eastAsia="zh-CN"/>
          <w14:textFill>
            <w14:solidFill>
              <w14:schemeClr w14:val="tx1"/>
            </w14:solidFill>
          </w14:textFill>
        </w:rPr>
        <w:t>全年计划</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机构改革完成数量</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16</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处，</w:t>
      </w:r>
      <w:r>
        <w:rPr>
          <w:rFonts w:hint="eastAsia" w:ascii="Times New Roman" w:hAnsi="Times New Roman" w:cs="Times New Roman"/>
          <w:b w:val="0"/>
          <w:bCs w:val="0"/>
          <w:color w:val="000000" w:themeColor="text1"/>
          <w:sz w:val="32"/>
          <w:szCs w:val="32"/>
          <w:lang w:eastAsia="zh-CN"/>
          <w14:textFill>
            <w14:solidFill>
              <w14:schemeClr w14:val="tx1"/>
            </w14:solidFill>
          </w14:textFill>
        </w:rPr>
        <w:t>确保</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改革对象运转通畅</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改革对象满意度较高</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，机构改革顺利平稳，基层服务效率</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得到提升，</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社会群众评价较高</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楷体_GB2312" w:cs="Times New Roman"/>
          <w:b/>
          <w:sz w:val="32"/>
          <w:szCs w:val="32"/>
          <w:lang w:val="zh-CN"/>
        </w:rPr>
      </w:pP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事业单位年检、登记工作</w:t>
      </w:r>
      <w:r>
        <w:rPr>
          <w:rFonts w:hint="eastAsia" w:ascii="Times New Roman" w:hAnsi="Times New Roman"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对符合法定条件的登记申请核准登记</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并</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向核准设立登记的事业单位颁发《事业单位法人证书》，通过年度报告书，掌握事业单位的运转情况，对事业单位进行动态管理。</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区</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机关事业单位登记、年检覆盖率超过</w:t>
      </w:r>
      <w:r>
        <w:rPr>
          <w:rFonts w:hint="eastAsia" w:ascii="Times New Roman" w:hAnsi="Times New Roman" w:cs="Times New Roman"/>
          <w:b w:val="0"/>
          <w:bCs w:val="0"/>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且质量较高</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公示公告完成单位超过</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100</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家且社会评价度好，</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年检注册单位</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满意度较高。</w:t>
      </w:r>
    </w:p>
    <w:p>
      <w:pPr>
        <w:keepNext w:val="0"/>
        <w:keepLines w:val="0"/>
        <w:pageBreakBefore w:val="0"/>
        <w:widowControl w:val="0"/>
        <w:numPr>
          <w:ilvl w:val="0"/>
          <w:numId w:val="9"/>
        </w:numPr>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黑体" w:cs="Times New Roman"/>
          <w:sz w:val="32"/>
          <w:szCs w:val="32"/>
        </w:rPr>
      </w:pPr>
      <w:r>
        <w:rPr>
          <w:rFonts w:hint="eastAsia" w:eastAsia="黑体" w:cs="Times New Roman"/>
          <w:sz w:val="32"/>
          <w:szCs w:val="32"/>
          <w:lang w:eastAsia="zh-CN"/>
        </w:rPr>
        <w:t>自评结论及</w:t>
      </w:r>
      <w:r>
        <w:rPr>
          <w:rFonts w:hint="default" w:ascii="Times New Roman" w:hAnsi="Times New Roman" w:eastAsia="黑体" w:cs="Times New Roman"/>
          <w:sz w:val="32"/>
          <w:szCs w:val="32"/>
        </w:rPr>
        <w:t>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3" w:firstLineChars="200"/>
        <w:textAlignment w:val="auto"/>
        <w:rPr>
          <w:rFonts w:hint="eastAsia" w:ascii="仿宋_GB2312" w:hAnsi="仿宋_GB2312" w:eastAsia="仿宋_GB2312" w:cs="仿宋_GB2312"/>
          <w:spacing w:val="4"/>
          <w:sz w:val="31"/>
          <w:szCs w:val="31"/>
          <w:lang w:val="en-US" w:eastAsia="zh-CN"/>
        </w:rPr>
      </w:pPr>
      <w:r>
        <w:rPr>
          <w:rFonts w:hint="eastAsia" w:ascii="Times New Roman" w:hAnsi="Times New Roman" w:eastAsia="楷体_GB2312" w:cs="Times New Roman"/>
          <w:b/>
          <w:sz w:val="32"/>
          <w:szCs w:val="32"/>
          <w:lang w:val="zh-CN" w:eastAsia="zh-CN"/>
        </w:rPr>
        <w:t>（一）评价结论。</w:t>
      </w:r>
      <w:r>
        <w:rPr>
          <w:rFonts w:hint="default" w:ascii="Times New Roman" w:hAnsi="Times New Roman" w:eastAsia="仿宋_GB2312" w:cs="Times New Roman"/>
          <w:b w:val="0"/>
          <w:bCs w:val="0"/>
          <w:color w:val="000000" w:themeColor="text1"/>
          <w:sz w:val="32"/>
          <w:szCs w:val="32"/>
          <w:lang w:eastAsia="zh-CN"/>
          <w14:textFill>
            <w14:solidFill>
              <w14:schemeClr w14:val="tx1"/>
            </w14:solidFill>
          </w14:textFill>
        </w:rPr>
        <w:t>事业单位年检、登记</w:t>
      </w:r>
      <w:r>
        <w:rPr>
          <w:rFonts w:hint="eastAsia" w:ascii="Times New Roman" w:hAnsi="Times New Roman" w:eastAsia="仿宋_GB2312" w:cs="Times New Roman"/>
          <w:b w:val="0"/>
          <w:bCs w:val="0"/>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snapToGrid w:val="0"/>
          <w:color w:val="000000"/>
          <w:spacing w:val="4"/>
          <w:kern w:val="0"/>
          <w:sz w:val="31"/>
          <w:szCs w:val="31"/>
          <w:lang w:val="en-US" w:eastAsia="zh-CN"/>
        </w:rPr>
        <w:t>项目经费</w:t>
      </w:r>
      <w:r>
        <w:rPr>
          <w:rFonts w:hint="eastAsia" w:ascii="仿宋_GB2312" w:hAnsi="仿宋_GB2312" w:eastAsia="仿宋_GB2312" w:cs="仿宋_GB2312"/>
          <w:spacing w:val="4"/>
          <w:sz w:val="31"/>
          <w:szCs w:val="31"/>
          <w:lang w:val="en-US" w:eastAsia="zh-CN"/>
        </w:rPr>
        <w:t>资金计划、安排合规合法，对标项目支出绩效评价指标体系，我部对本项目进行总体自评，评价结果为：优，得分97分。</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cs="Times New Roman"/>
          <w:sz w:val="32"/>
          <w:szCs w:val="32"/>
          <w:lang w:val="zh-CN"/>
        </w:rPr>
      </w:pPr>
      <w:r>
        <w:rPr>
          <w:rFonts w:hint="eastAsia" w:ascii="Times New Roman" w:hAnsi="Times New Roman" w:eastAsia="楷体_GB2312" w:cs="Times New Roman"/>
          <w:b/>
          <w:sz w:val="32"/>
          <w:szCs w:val="32"/>
          <w:lang w:val="zh-CN"/>
        </w:rPr>
        <w:t>（二）存在的问题。</w:t>
      </w:r>
      <w:r>
        <w:rPr>
          <w:rFonts w:hint="eastAsia" w:cs="Times New Roman"/>
          <w:sz w:val="32"/>
          <w:szCs w:val="32"/>
          <w:lang w:val="zh-CN"/>
        </w:rPr>
        <w:t>无</w:t>
      </w:r>
    </w:p>
    <w:p>
      <w:pPr>
        <w:keepNext w:val="0"/>
        <w:keepLines w:val="0"/>
        <w:pageBreakBefore w:val="0"/>
        <w:widowControl w:val="0"/>
        <w:kinsoku/>
        <w:wordWrap/>
        <w:overflowPunct/>
        <w:topLinePunct w:val="0"/>
        <w:autoSpaceDE/>
        <w:autoSpaceDN/>
        <w:bidi w:val="0"/>
        <w:adjustRightInd w:val="0"/>
        <w:snapToGrid w:val="0"/>
        <w:spacing w:line="576" w:lineRule="exact"/>
        <w:ind w:firstLine="643" w:firstLineChars="200"/>
        <w:textAlignment w:val="auto"/>
        <w:rPr>
          <w:rFonts w:hint="eastAsia" w:cs="Times New Roman"/>
          <w:sz w:val="32"/>
          <w:szCs w:val="32"/>
          <w:lang w:val="zh-CN"/>
        </w:rPr>
      </w:pPr>
      <w:r>
        <w:rPr>
          <w:rFonts w:hint="eastAsia" w:ascii="Times New Roman" w:hAnsi="Times New Roman" w:eastAsia="楷体_GB2312" w:cs="Times New Roman"/>
          <w:b/>
          <w:sz w:val="32"/>
          <w:szCs w:val="32"/>
          <w:lang w:val="zh-CN"/>
        </w:rPr>
        <w:t>（三）相关建议。</w:t>
      </w:r>
      <w:r>
        <w:rPr>
          <w:rFonts w:hint="eastAsia" w:cs="Times New Roman"/>
          <w:sz w:val="32"/>
          <w:szCs w:val="32"/>
          <w:lang w:val="zh-CN"/>
        </w:rPr>
        <w:t>无</w:t>
      </w:r>
    </w:p>
    <w:p>
      <w:pPr>
        <w:pStyle w:val="7"/>
        <w:rPr>
          <w:rFonts w:hint="eastAsia" w:cs="Times New Roman"/>
          <w:sz w:val="32"/>
          <w:szCs w:val="32"/>
          <w:lang w:val="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36" w:firstLineChars="200"/>
        <w:textAlignment w:val="auto"/>
        <w:rPr>
          <w:rFonts w:hint="eastAsia" w:ascii="仿宋_GB2312" w:hAnsi="仿宋_GB2312" w:eastAsia="仿宋_GB2312" w:cs="仿宋_GB2312"/>
          <w:spacing w:val="4"/>
          <w:sz w:val="31"/>
          <w:szCs w:val="31"/>
          <w:lang w:val="en-US" w:eastAsia="zh-CN"/>
        </w:rPr>
      </w:pPr>
      <w:r>
        <w:rPr>
          <w:rFonts w:hint="eastAsia" w:ascii="仿宋_GB2312" w:hAnsi="仿宋_GB2312" w:eastAsia="仿宋_GB2312" w:cs="仿宋_GB2312"/>
          <w:spacing w:val="4"/>
          <w:sz w:val="31"/>
          <w:szCs w:val="31"/>
          <w:lang w:val="en-US" w:eastAsia="zh-CN"/>
        </w:rPr>
        <w:t>附表1：机构改革经费项目支出绩效自评表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36" w:firstLineChars="200"/>
        <w:textAlignment w:val="auto"/>
        <w:rPr>
          <w:rFonts w:hint="eastAsia" w:ascii="仿宋_GB2312" w:hAnsi="仿宋_GB2312" w:eastAsia="仿宋_GB2312" w:cs="仿宋_GB2312"/>
          <w:spacing w:val="4"/>
          <w:sz w:val="31"/>
          <w:szCs w:val="31"/>
          <w:lang w:val="en-US" w:eastAsia="zh-CN"/>
        </w:rPr>
      </w:pPr>
      <w:r>
        <w:rPr>
          <w:rFonts w:hint="eastAsia" w:ascii="仿宋_GB2312" w:hAnsi="仿宋_GB2312" w:eastAsia="仿宋_GB2312" w:cs="仿宋_GB2312"/>
          <w:spacing w:val="4"/>
          <w:sz w:val="31"/>
          <w:szCs w:val="31"/>
          <w:lang w:val="en-US" w:eastAsia="zh-CN"/>
        </w:rPr>
        <w:t>附表2：审改办经费项目支出绩效自评表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36" w:firstLineChars="200"/>
        <w:textAlignment w:val="auto"/>
        <w:rPr>
          <w:rFonts w:hint="eastAsia" w:ascii="仿宋_GB2312" w:hAnsi="仿宋_GB2312" w:eastAsia="仿宋_GB2312" w:cs="仿宋_GB2312"/>
          <w:spacing w:val="4"/>
          <w:sz w:val="31"/>
          <w:szCs w:val="31"/>
          <w:lang w:val="en-US" w:eastAsia="zh-CN"/>
        </w:rPr>
      </w:pPr>
      <w:r>
        <w:rPr>
          <w:rFonts w:hint="eastAsia" w:ascii="仿宋_GB2312" w:hAnsi="仿宋_GB2312" w:eastAsia="仿宋_GB2312" w:cs="仿宋_GB2312"/>
          <w:spacing w:val="4"/>
          <w:sz w:val="31"/>
          <w:szCs w:val="31"/>
          <w:lang w:val="en-US" w:eastAsia="zh-CN"/>
        </w:rPr>
        <w:t>附表3：事业单位年检、登记工作经费项目支出绩效自评表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36" w:firstLineChars="200"/>
        <w:textAlignment w:val="auto"/>
        <w:rPr>
          <w:rFonts w:hint="eastAsia" w:ascii="仿宋_GB2312" w:hAnsi="仿宋_GB2312" w:eastAsia="仿宋_GB2312" w:cs="仿宋_GB2312"/>
          <w:spacing w:val="4"/>
          <w:sz w:val="31"/>
          <w:szCs w:val="31"/>
          <w:lang w:val="en-US" w:eastAsia="zh-CN"/>
        </w:rPr>
      </w:pPr>
      <w:r>
        <w:rPr>
          <w:rFonts w:hint="eastAsia" w:ascii="仿宋_GB2312" w:hAnsi="仿宋_GB2312" w:eastAsia="仿宋_GB2312" w:cs="仿宋_GB2312"/>
          <w:spacing w:val="4"/>
          <w:sz w:val="31"/>
          <w:szCs w:val="31"/>
          <w:lang w:val="en-US" w:eastAsia="zh-CN"/>
        </w:rPr>
        <w:t>附表4：中文域名注册经费项目支出绩效自评表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36" w:firstLineChars="200"/>
        <w:textAlignment w:val="auto"/>
        <w:rPr>
          <w:rFonts w:hint="eastAsia" w:ascii="仿宋_GB2312" w:hAnsi="仿宋_GB2312" w:eastAsia="仿宋_GB2312" w:cs="仿宋_GB2312"/>
          <w:spacing w:val="4"/>
          <w:sz w:val="31"/>
          <w:szCs w:val="31"/>
          <w:lang w:val="en-US" w:eastAsia="zh-CN"/>
        </w:rPr>
      </w:pPr>
      <w:r>
        <w:rPr>
          <w:rFonts w:hint="eastAsia" w:ascii="仿宋_GB2312" w:hAnsi="仿宋_GB2312" w:eastAsia="仿宋_GB2312" w:cs="仿宋_GB2312"/>
          <w:spacing w:val="4"/>
          <w:sz w:val="31"/>
          <w:szCs w:val="31"/>
          <w:lang w:val="en-US" w:eastAsia="zh-CN"/>
        </w:rPr>
        <w:t>附表5：机构编制运行评估办法经费项目支出绩效自评表</w:t>
      </w:r>
    </w:p>
    <w:p>
      <w:pPr>
        <w:keepNext w:val="0"/>
        <w:keepLines w:val="0"/>
        <w:pageBreakBefore w:val="0"/>
        <w:widowControl w:val="0"/>
        <w:kinsoku/>
        <w:wordWrap w:val="0"/>
        <w:overflowPunct/>
        <w:topLinePunct w:val="0"/>
        <w:autoSpaceDE/>
        <w:autoSpaceDN/>
        <w:bidi w:val="0"/>
        <w:spacing w:line="576"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spacing w:line="576" w:lineRule="exact"/>
        <w:ind w:firstLine="640" w:firstLineChars="2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20</w:t>
      </w:r>
      <w:r>
        <w:rPr>
          <w:rFonts w:hint="default" w:ascii="Times New Roman" w:hAnsi="Times New Roman" w:eastAsia="仿宋_GB2312" w:cs="Times New Roman"/>
          <w:color w:val="auto"/>
          <w:sz w:val="32"/>
          <w:szCs w:val="32"/>
          <w:lang w:val="en-US" w:eastAsia="zh-CN"/>
        </w:rPr>
        <w:t>2</w:t>
      </w:r>
      <w:r>
        <w:rPr>
          <w:rFonts w:hint="eastAsia" w:cs="Times New Roman"/>
          <w:color w:val="auto"/>
          <w:sz w:val="32"/>
          <w:szCs w:val="32"/>
          <w:lang w:val="en-US" w:eastAsia="zh-CN"/>
        </w:rPr>
        <w:t>3</w:t>
      </w:r>
      <w:r>
        <w:rPr>
          <w:rFonts w:hint="default" w:ascii="Times New Roman" w:hAnsi="Times New Roman" w:eastAsia="仿宋_GB2312" w:cs="Times New Roman"/>
          <w:color w:val="auto"/>
          <w:sz w:val="32"/>
          <w:szCs w:val="32"/>
        </w:rPr>
        <w:t>年</w:t>
      </w:r>
      <w:r>
        <w:rPr>
          <w:rFonts w:hint="eastAsia"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eastAsia" w:cs="Times New Roman"/>
          <w:color w:val="auto"/>
          <w:sz w:val="32"/>
          <w:szCs w:val="32"/>
          <w:lang w:val="en-US" w:eastAsia="zh-CN"/>
        </w:rPr>
        <w:t>25</w:t>
      </w:r>
      <w:r>
        <w:rPr>
          <w:rFonts w:hint="default" w:ascii="Times New Roman" w:hAnsi="Times New Roman" w:eastAsia="仿宋_GB2312" w:cs="Times New Roman"/>
          <w:color w:val="auto"/>
          <w:sz w:val="32"/>
          <w:szCs w:val="32"/>
        </w:rPr>
        <w:t>日</w:t>
      </w:r>
    </w:p>
    <w:p>
      <w:pPr>
        <w:spacing w:line="600" w:lineRule="exact"/>
        <w:jc w:val="both"/>
        <w:outlineLvl w:val="0"/>
        <w:rPr>
          <w:rFonts w:hint="eastAsia" w:ascii="黑体" w:hAnsi="黑体" w:eastAsia="黑体"/>
          <w:color w:val="auto"/>
          <w:sz w:val="44"/>
          <w:szCs w:val="44"/>
          <w:highlight w:val="none"/>
        </w:rPr>
      </w:pPr>
    </w:p>
    <w:tbl>
      <w:tblPr>
        <w:tblStyle w:val="18"/>
        <w:tblW w:w="935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533"/>
        <w:gridCol w:w="1018"/>
        <w:gridCol w:w="1018"/>
        <w:gridCol w:w="1158"/>
        <w:gridCol w:w="1576"/>
        <w:gridCol w:w="1469"/>
        <w:gridCol w:w="16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1469"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rPr>
              <w:t>附表1</w:t>
            </w:r>
          </w:p>
        </w:tc>
        <w:tc>
          <w:tcPr>
            <w:tcW w:w="101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1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5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57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46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64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9356"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8" w:hRule="atLeast"/>
        </w:trPr>
        <w:tc>
          <w:tcPr>
            <w:tcW w:w="9356" w:type="dxa"/>
            <w:gridSpan w:val="8"/>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项目（政策）名称</w:t>
            </w:r>
          </w:p>
        </w:tc>
        <w:tc>
          <w:tcPr>
            <w:tcW w:w="78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机构改革经费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主管部门</w:t>
            </w:r>
          </w:p>
        </w:tc>
        <w:tc>
          <w:tcPr>
            <w:tcW w:w="3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中共广元市昭化区委机构编制委员会办公室</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实施单位</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中共广元市昭化区委机构编制委员会办公室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69"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项目（政策）资金（万元）</w:t>
            </w:r>
          </w:p>
        </w:tc>
        <w:tc>
          <w:tcPr>
            <w:tcW w:w="2036"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5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年初预算数</w:t>
            </w:r>
          </w:p>
        </w:tc>
        <w:tc>
          <w:tcPr>
            <w:tcW w:w="157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全年预算数</w:t>
            </w:r>
          </w:p>
        </w:tc>
        <w:tc>
          <w:tcPr>
            <w:tcW w:w="146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w:t>
            </w:r>
          </w:p>
        </w:tc>
        <w:tc>
          <w:tcPr>
            <w:tcW w:w="164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6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年度资金总额</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c>
          <w:tcPr>
            <w:tcW w:w="164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6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（一）财政拨款小计</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c>
          <w:tcPr>
            <w:tcW w:w="164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6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1.一般公共预算</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w:t>
            </w:r>
          </w:p>
        </w:tc>
        <w:tc>
          <w:tcPr>
            <w:tcW w:w="164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6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2.政府性基金</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46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3.国有资本经营预算</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6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4.社保基金</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146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（二）其他资金</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6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8"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年度总体目标</w:t>
            </w:r>
          </w:p>
        </w:tc>
        <w:tc>
          <w:tcPr>
            <w:tcW w:w="53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预期目标</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7"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3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机构与职能的整合，人员划转工作。稳步推进事业单位分类改革，各项专项改革和重点领域体制机制调整，规范与创新机构编制管理，充分发挥机构编制资源效益。加强和完善两项改革“后半篇”文章重点任务和内容，优化机构编制资源配置，提高机构编制使用效益。</w:t>
            </w:r>
          </w:p>
        </w:tc>
        <w:tc>
          <w:tcPr>
            <w:tcW w:w="31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机构改革完成数量16处，完成时效不晚于当年12月；机构改革完成后，社会群众评价较高，改革对象运转通畅，改革对象满意度较高。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2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三级指标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年度指标值</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实际完成值</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机构改革完成数量</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15处</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16处</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机构改革顺利平稳</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高中低</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高</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机构改革完成及时率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高中低</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高</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经费成本控制</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r>
              <w:rPr>
                <w:rFonts w:hint="eastAsia" w:ascii="宋体" w:hAnsi="宋体" w:cs="宋体"/>
                <w:i w:val="0"/>
                <w:iCs w:val="0"/>
                <w:color w:val="000000"/>
                <w:kern w:val="0"/>
                <w:sz w:val="18"/>
                <w:szCs w:val="18"/>
                <w:u w:val="none"/>
                <w:lang w:val="en-US" w:eastAsia="zh-CN"/>
              </w:rPr>
              <w:t>万</w:t>
            </w:r>
            <w:r>
              <w:rPr>
                <w:rFonts w:hint="eastAsia" w:ascii="宋体" w:hAnsi="宋体" w:eastAsia="宋体" w:cs="宋体"/>
                <w:i w:val="0"/>
                <w:iCs w:val="0"/>
                <w:color w:val="000000"/>
                <w:kern w:val="0"/>
                <w:sz w:val="18"/>
                <w:szCs w:val="18"/>
                <w:u w:val="none"/>
                <w:lang w:val="en-US" w:eastAsia="zh-CN"/>
              </w:rPr>
              <w:t>元</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10万</w:t>
            </w:r>
            <w:r>
              <w:rPr>
                <w:rFonts w:hint="eastAsia" w:ascii="宋体" w:hAnsi="宋体" w:eastAsia="宋体" w:cs="宋体"/>
                <w:i w:val="0"/>
                <w:iCs w:val="0"/>
                <w:color w:val="000000"/>
                <w:kern w:val="0"/>
                <w:sz w:val="18"/>
                <w:szCs w:val="18"/>
                <w:u w:val="none"/>
                <w:lang w:val="en-US" w:eastAsia="zh-CN"/>
              </w:rPr>
              <w:t>元</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101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指标</w:t>
            </w:r>
          </w:p>
        </w:tc>
        <w:tc>
          <w:tcPr>
            <w:tcW w:w="101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15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提升基层服务效率</w:t>
            </w:r>
          </w:p>
        </w:tc>
        <w:tc>
          <w:tcPr>
            <w:tcW w:w="157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高中低</w:t>
            </w:r>
          </w:p>
        </w:tc>
        <w:tc>
          <w:tcPr>
            <w:tcW w:w="146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服务效率高</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10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改革对象满意度</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16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pPr>
        <w:pStyle w:val="2"/>
        <w:rPr>
          <w:rFonts w:hint="eastAsia"/>
        </w:rPr>
      </w:pPr>
    </w:p>
    <w:tbl>
      <w:tblPr>
        <w:tblStyle w:val="18"/>
        <w:tblW w:w="101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658"/>
        <w:gridCol w:w="1105"/>
        <w:gridCol w:w="1105"/>
        <w:gridCol w:w="1257"/>
        <w:gridCol w:w="1711"/>
        <w:gridCol w:w="1594"/>
        <w:gridCol w:w="1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3" w:hRule="atLeast"/>
        </w:trPr>
        <w:tc>
          <w:tcPr>
            <w:tcW w:w="1594"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rPr>
              <w:t>附表2</w:t>
            </w:r>
          </w:p>
        </w:tc>
        <w:tc>
          <w:tcPr>
            <w:tcW w:w="110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0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25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1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59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78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15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10155" w:type="dxa"/>
            <w:gridSpan w:val="8"/>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项目（政策）名称</w:t>
            </w:r>
          </w:p>
        </w:tc>
        <w:tc>
          <w:tcPr>
            <w:tcW w:w="856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审改办经费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5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主管部门</w:t>
            </w:r>
          </w:p>
        </w:tc>
        <w:tc>
          <w:tcPr>
            <w:tcW w:w="34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中共广元市昭化区委机构编制委员会办公室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实施单位</w:t>
            </w:r>
          </w:p>
        </w:tc>
        <w:tc>
          <w:tcPr>
            <w:tcW w:w="3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中共广元市昭化区委机构编制委员会办公室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594" w:type="dxa"/>
            <w:gridSpan w:val="2"/>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项目（政策）资金（万元）</w:t>
            </w:r>
          </w:p>
        </w:tc>
        <w:tc>
          <w:tcPr>
            <w:tcW w:w="2210"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57"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年初预算数</w:t>
            </w:r>
          </w:p>
        </w:tc>
        <w:tc>
          <w:tcPr>
            <w:tcW w:w="171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全年预算数</w:t>
            </w:r>
          </w:p>
        </w:tc>
        <w:tc>
          <w:tcPr>
            <w:tcW w:w="159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w:t>
            </w:r>
          </w:p>
        </w:tc>
        <w:tc>
          <w:tcPr>
            <w:tcW w:w="178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5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年度资金总额</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178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5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（一）财政拨款小计</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178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5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1.一般公共预算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5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2.政府性基金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5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3.国有资本经营预算</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5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4.社保基金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594" w:type="dxa"/>
            <w:gridSpan w:val="2"/>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（二）其他资金</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9"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年度总体目标</w:t>
            </w:r>
          </w:p>
        </w:tc>
        <w:tc>
          <w:tcPr>
            <w:tcW w:w="58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预期目标</w:t>
            </w:r>
          </w:p>
        </w:tc>
        <w:tc>
          <w:tcPr>
            <w:tcW w:w="3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4" w:hRule="atLeast"/>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8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持续深化</w:t>
            </w:r>
            <w:r>
              <w:rPr>
                <w:rFonts w:hint="eastAsia" w:ascii="宋体" w:hAnsi="宋体" w:cs="宋体"/>
                <w:i w:val="0"/>
                <w:iCs w:val="0"/>
                <w:color w:val="000000"/>
                <w:kern w:val="0"/>
                <w:sz w:val="18"/>
                <w:szCs w:val="18"/>
                <w:u w:val="none"/>
                <w:lang w:val="en-US" w:eastAsia="zh-CN"/>
              </w:rPr>
              <w:t>行政</w:t>
            </w:r>
            <w:r>
              <w:rPr>
                <w:rFonts w:hint="eastAsia" w:ascii="宋体" w:hAnsi="宋体" w:eastAsia="宋体" w:cs="宋体"/>
                <w:i w:val="0"/>
                <w:iCs w:val="0"/>
                <w:color w:val="000000"/>
                <w:kern w:val="0"/>
                <w:sz w:val="18"/>
                <w:szCs w:val="18"/>
                <w:u w:val="none"/>
                <w:lang w:val="en-US" w:eastAsia="zh-CN"/>
              </w:rPr>
              <w:t>审批制度</w:t>
            </w:r>
            <w:bookmarkStart w:id="67" w:name="_GoBack"/>
            <w:bookmarkEnd w:id="67"/>
            <w:r>
              <w:rPr>
                <w:rFonts w:hint="eastAsia" w:ascii="宋体" w:hAnsi="宋体" w:eastAsia="宋体" w:cs="宋体"/>
                <w:i w:val="0"/>
                <w:iCs w:val="0"/>
                <w:color w:val="000000"/>
                <w:kern w:val="0"/>
                <w:sz w:val="18"/>
                <w:szCs w:val="18"/>
                <w:u w:val="none"/>
                <w:lang w:val="en-US" w:eastAsia="zh-CN"/>
              </w:rPr>
              <w:t>改革，实现改革单位全覆盖，社会评价度高，改革对象满意度高。全年计划审批制度改革覆盖率超过95%，下放行政权力清单事项274余项，审批制度改革深入程度较高，群众社会评价较高改革对象满意度较高，各项指标完成率100%</w:t>
            </w:r>
          </w:p>
        </w:tc>
        <w:tc>
          <w:tcPr>
            <w:tcW w:w="33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审批制度改革覆盖率超过95%，下放行政权力清单事项274余项，审批制度改革深入程度较高，群众社会评价较高改革对象满意度较高，各项指标完成全年计划的100%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23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三级指标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年度指标值</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实际完成值</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审批制度改革覆盖率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审批制度改革程度</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高中低</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高</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年度改革及时率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高中低</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高</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审批制度改革成本控制</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r>
              <w:rPr>
                <w:rFonts w:hint="eastAsia" w:ascii="宋体" w:hAnsi="宋体" w:cs="宋体"/>
                <w:i w:val="0"/>
                <w:iCs w:val="0"/>
                <w:color w:val="000000"/>
                <w:kern w:val="0"/>
                <w:sz w:val="18"/>
                <w:szCs w:val="18"/>
                <w:u w:val="none"/>
                <w:lang w:val="en-US" w:eastAsia="zh-CN"/>
              </w:rPr>
              <w:t>万</w:t>
            </w:r>
            <w:r>
              <w:rPr>
                <w:rFonts w:hint="eastAsia" w:ascii="宋体" w:hAnsi="宋体" w:eastAsia="宋体" w:cs="宋体"/>
                <w:i w:val="0"/>
                <w:iCs w:val="0"/>
                <w:color w:val="000000"/>
                <w:kern w:val="0"/>
                <w:sz w:val="18"/>
                <w:szCs w:val="18"/>
                <w:u w:val="none"/>
                <w:lang w:val="en-US" w:eastAsia="zh-CN"/>
              </w:rPr>
              <w:t>元</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15</w:t>
            </w:r>
            <w:r>
              <w:rPr>
                <w:rFonts w:hint="eastAsia" w:ascii="宋体" w:hAnsi="宋体" w:cs="宋体"/>
                <w:i w:val="0"/>
                <w:iCs w:val="0"/>
                <w:color w:val="000000"/>
                <w:kern w:val="0"/>
                <w:sz w:val="18"/>
                <w:szCs w:val="18"/>
                <w:u w:val="none"/>
                <w:lang w:val="en-US" w:eastAsia="zh-CN"/>
              </w:rPr>
              <w:t>万</w:t>
            </w:r>
            <w:r>
              <w:rPr>
                <w:rFonts w:hint="eastAsia" w:ascii="宋体" w:hAnsi="宋体" w:eastAsia="宋体" w:cs="宋体"/>
                <w:i w:val="0"/>
                <w:iCs w:val="0"/>
                <w:color w:val="000000"/>
                <w:kern w:val="0"/>
                <w:sz w:val="18"/>
                <w:szCs w:val="18"/>
                <w:u w:val="none"/>
                <w:lang w:val="en-US" w:eastAsia="zh-CN"/>
              </w:rPr>
              <w:t>元</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11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指标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指标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社会效益指标</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提高群众社会评价</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社会评价高</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指标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改革对象满意度</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178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总分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pPr>
        <w:rPr>
          <w:rFonts w:hint="eastAsia" w:ascii="黑体" w:hAnsi="黑体" w:eastAsia="黑体"/>
          <w:color w:val="auto"/>
          <w:sz w:val="44"/>
          <w:szCs w:val="44"/>
          <w:highlight w:val="none"/>
        </w:rPr>
      </w:pPr>
    </w:p>
    <w:tbl>
      <w:tblPr>
        <w:tblStyle w:val="18"/>
        <w:tblW w:w="17639" w:type="dxa"/>
        <w:tblInd w:w="32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8"/>
        <w:gridCol w:w="74"/>
        <w:gridCol w:w="57"/>
        <w:gridCol w:w="583"/>
        <w:gridCol w:w="106"/>
        <w:gridCol w:w="106"/>
        <w:gridCol w:w="781"/>
        <w:gridCol w:w="99"/>
        <w:gridCol w:w="260"/>
        <w:gridCol w:w="634"/>
        <w:gridCol w:w="139"/>
        <w:gridCol w:w="367"/>
        <w:gridCol w:w="622"/>
        <w:gridCol w:w="187"/>
        <w:gridCol w:w="487"/>
        <w:gridCol w:w="863"/>
        <w:gridCol w:w="251"/>
        <w:gridCol w:w="650"/>
        <w:gridCol w:w="531"/>
        <w:gridCol w:w="1113"/>
        <w:gridCol w:w="427"/>
        <w:gridCol w:w="68"/>
        <w:gridCol w:w="1350"/>
        <w:gridCol w:w="700"/>
        <w:gridCol w:w="1674"/>
        <w:gridCol w:w="1674"/>
        <w:gridCol w:w="1674"/>
        <w:gridCol w:w="1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6"/>
          <w:wAfter w:w="8746" w:type="dxa"/>
          <w:trHeight w:val="541" w:hRule="atLeast"/>
        </w:trPr>
        <w:tc>
          <w:tcPr>
            <w:tcW w:w="1202" w:type="dxa"/>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rPr>
              <w:t>附表3</w:t>
            </w:r>
          </w:p>
        </w:tc>
        <w:tc>
          <w:tcPr>
            <w:tcW w:w="99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9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28"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537"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432"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608"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746" w:type="dxa"/>
          <w:trHeight w:val="609" w:hRule="atLeast"/>
        </w:trPr>
        <w:tc>
          <w:tcPr>
            <w:tcW w:w="8893" w:type="dxa"/>
            <w:gridSpan w:val="2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746" w:type="dxa"/>
          <w:trHeight w:val="445" w:hRule="atLeast"/>
        </w:trPr>
        <w:tc>
          <w:tcPr>
            <w:tcW w:w="8893" w:type="dxa"/>
            <w:gridSpan w:val="22"/>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746" w:type="dxa"/>
          <w:trHeight w:val="467" w:hRule="atLeast"/>
        </w:trPr>
        <w:tc>
          <w:tcPr>
            <w:tcW w:w="12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项目（政策）名称</w:t>
            </w:r>
          </w:p>
        </w:tc>
        <w:tc>
          <w:tcPr>
            <w:tcW w:w="7691"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事业单位年检、登记工作经费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746" w:type="dxa"/>
          <w:trHeight w:val="480" w:hRule="atLeast"/>
        </w:trPr>
        <w:tc>
          <w:tcPr>
            <w:tcW w:w="12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主管部门</w:t>
            </w:r>
          </w:p>
        </w:tc>
        <w:tc>
          <w:tcPr>
            <w:tcW w:w="3114"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中共广元市昭化区委机构编制委员会办公室</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实施单位</w:t>
            </w:r>
          </w:p>
        </w:tc>
        <w:tc>
          <w:tcPr>
            <w:tcW w:w="30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中共广元市昭化区委机构编制委员会办公室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746" w:type="dxa"/>
          <w:trHeight w:val="378" w:hRule="atLeast"/>
        </w:trPr>
        <w:tc>
          <w:tcPr>
            <w:tcW w:w="1202" w:type="dxa"/>
            <w:gridSpan w:val="4"/>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项目（政策）资金（万元）</w:t>
            </w:r>
          </w:p>
        </w:tc>
        <w:tc>
          <w:tcPr>
            <w:tcW w:w="1986" w:type="dxa"/>
            <w:gridSpan w:val="6"/>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2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年初预算数</w:t>
            </w:r>
          </w:p>
        </w:tc>
        <w:tc>
          <w:tcPr>
            <w:tcW w:w="1537"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全年预算数</w:t>
            </w:r>
          </w:p>
        </w:tc>
        <w:tc>
          <w:tcPr>
            <w:tcW w:w="1432"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w:t>
            </w:r>
          </w:p>
        </w:tc>
        <w:tc>
          <w:tcPr>
            <w:tcW w:w="16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746" w:type="dxa"/>
          <w:trHeight w:val="378" w:hRule="atLeast"/>
        </w:trPr>
        <w:tc>
          <w:tcPr>
            <w:tcW w:w="1202" w:type="dxa"/>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年度资金总额</w:t>
            </w: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10</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10</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10</w:t>
            </w:r>
          </w:p>
        </w:tc>
        <w:tc>
          <w:tcPr>
            <w:tcW w:w="16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746" w:type="dxa"/>
          <w:trHeight w:val="378" w:hRule="atLeast"/>
        </w:trPr>
        <w:tc>
          <w:tcPr>
            <w:tcW w:w="1202" w:type="dxa"/>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（一）财政拨款小计</w:t>
            </w: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10</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10</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10</w:t>
            </w:r>
          </w:p>
        </w:tc>
        <w:tc>
          <w:tcPr>
            <w:tcW w:w="16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746" w:type="dxa"/>
          <w:trHeight w:val="378" w:hRule="atLeast"/>
        </w:trPr>
        <w:tc>
          <w:tcPr>
            <w:tcW w:w="1202" w:type="dxa"/>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1.一般公共预算</w:t>
            </w: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10</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10</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10</w:t>
            </w:r>
          </w:p>
        </w:tc>
        <w:tc>
          <w:tcPr>
            <w:tcW w:w="1608"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746" w:type="dxa"/>
          <w:trHeight w:val="378" w:hRule="atLeast"/>
        </w:trPr>
        <w:tc>
          <w:tcPr>
            <w:tcW w:w="1202" w:type="dxa"/>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2.政府性基金</w:t>
            </w: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746" w:type="dxa"/>
          <w:trHeight w:val="455" w:hRule="atLeast"/>
        </w:trPr>
        <w:tc>
          <w:tcPr>
            <w:tcW w:w="1202" w:type="dxa"/>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3.国有资本经营预算</w:t>
            </w: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746" w:type="dxa"/>
          <w:trHeight w:val="378" w:hRule="atLeast"/>
        </w:trPr>
        <w:tc>
          <w:tcPr>
            <w:tcW w:w="1202" w:type="dxa"/>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4.社保基金</w:t>
            </w: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746" w:type="dxa"/>
          <w:trHeight w:val="378" w:hRule="atLeast"/>
        </w:trPr>
        <w:tc>
          <w:tcPr>
            <w:tcW w:w="1202" w:type="dxa"/>
            <w:gridSpan w:val="4"/>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8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（二）其他资金</w:t>
            </w: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32"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08"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746" w:type="dxa"/>
          <w:trHeight w:val="455" w:hRule="atLeast"/>
        </w:trPr>
        <w:tc>
          <w:tcPr>
            <w:tcW w:w="6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年度总体目标</w:t>
            </w:r>
          </w:p>
        </w:tc>
        <w:tc>
          <w:tcPr>
            <w:tcW w:w="5234"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预期目标</w:t>
            </w:r>
          </w:p>
        </w:tc>
        <w:tc>
          <w:tcPr>
            <w:tcW w:w="30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746" w:type="dxa"/>
          <w:trHeight w:val="1455" w:hRule="atLeast"/>
        </w:trPr>
        <w:tc>
          <w:tcPr>
            <w:tcW w:w="6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234"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符合法定条件的登记申请核准登记并向核准设立登记的事业单位颁发《事业单位法人证书》，通过年度报告书，掌握事业单位的运转情况，对事业单位进行动态管理。全年计划全区机关事业单位登记、年检覆盖率超过100%且质量较高，公示公告完成单位超过100家；且社会评价度好，年检注册单位满意度较高，各项指标完成率100%</w:t>
            </w:r>
          </w:p>
        </w:tc>
        <w:tc>
          <w:tcPr>
            <w:tcW w:w="30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全区机关事业单位登记、年检覆盖率超过100%且质量较高，公示公告完成单位超过100家；且社会评价度好，年检注册单位满意度较高，各项指标完成全年计划的100%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746" w:type="dxa"/>
          <w:trHeight w:val="531" w:hRule="atLeast"/>
        </w:trPr>
        <w:tc>
          <w:tcPr>
            <w:tcW w:w="61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21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三级指标</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年度指标值</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实际完成值</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746" w:type="dxa"/>
          <w:trHeight w:val="480" w:hRule="atLeast"/>
        </w:trPr>
        <w:tc>
          <w:tcPr>
            <w:tcW w:w="6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99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公示公告完成单位</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≥100处</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102处</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746" w:type="dxa"/>
          <w:trHeight w:val="480" w:hRule="atLeast"/>
        </w:trPr>
        <w:tc>
          <w:tcPr>
            <w:tcW w:w="6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指标2：</w:t>
            </w: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年检注册单位覆盖率</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746" w:type="dxa"/>
          <w:trHeight w:val="480" w:hRule="atLeast"/>
        </w:trPr>
        <w:tc>
          <w:tcPr>
            <w:tcW w:w="6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年检注册登记质量</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高中低</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高</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746" w:type="dxa"/>
          <w:trHeight w:val="480" w:hRule="atLeast"/>
        </w:trPr>
        <w:tc>
          <w:tcPr>
            <w:tcW w:w="6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登记、公示完成及时率</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高中低</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高</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746" w:type="dxa"/>
          <w:trHeight w:val="473" w:hRule="atLeast"/>
        </w:trPr>
        <w:tc>
          <w:tcPr>
            <w:tcW w:w="6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经费成本控制</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w:t>
            </w:r>
            <w:r>
              <w:rPr>
                <w:rFonts w:hint="eastAsia" w:ascii="宋体" w:hAnsi="宋体" w:cs="宋体"/>
                <w:i w:val="0"/>
                <w:iCs w:val="0"/>
                <w:color w:val="000000"/>
                <w:kern w:val="0"/>
                <w:sz w:val="18"/>
                <w:szCs w:val="18"/>
                <w:u w:val="none"/>
                <w:lang w:val="en-US" w:eastAsia="zh-CN"/>
              </w:rPr>
              <w:t>万</w:t>
            </w:r>
            <w:r>
              <w:rPr>
                <w:rFonts w:hint="eastAsia" w:ascii="宋体" w:hAnsi="宋体" w:eastAsia="宋体" w:cs="宋体"/>
                <w:i w:val="0"/>
                <w:iCs w:val="0"/>
                <w:color w:val="000000"/>
                <w:kern w:val="0"/>
                <w:sz w:val="18"/>
                <w:szCs w:val="18"/>
                <w:u w:val="none"/>
                <w:lang w:val="en-US" w:eastAsia="zh-CN"/>
              </w:rPr>
              <w:t>元</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10万</w:t>
            </w:r>
            <w:r>
              <w:rPr>
                <w:rFonts w:hint="eastAsia" w:ascii="宋体" w:hAnsi="宋体" w:eastAsia="宋体" w:cs="宋体"/>
                <w:i w:val="0"/>
                <w:iCs w:val="0"/>
                <w:color w:val="000000"/>
                <w:kern w:val="0"/>
                <w:sz w:val="18"/>
                <w:szCs w:val="18"/>
                <w:u w:val="none"/>
                <w:lang w:val="en-US" w:eastAsia="zh-CN"/>
              </w:rPr>
              <w:t>元</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746" w:type="dxa"/>
          <w:trHeight w:val="480" w:hRule="atLeast"/>
        </w:trPr>
        <w:tc>
          <w:tcPr>
            <w:tcW w:w="6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99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指标</w:t>
            </w: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746" w:type="dxa"/>
          <w:trHeight w:val="480" w:hRule="atLeast"/>
        </w:trPr>
        <w:tc>
          <w:tcPr>
            <w:tcW w:w="6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3"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指标</w:t>
            </w: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提高社会评价</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好坏</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评价好</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746" w:type="dxa"/>
          <w:trHeight w:val="480" w:hRule="atLeast"/>
        </w:trPr>
        <w:tc>
          <w:tcPr>
            <w:tcW w:w="61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指标</w:t>
            </w: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9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1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年检注册单位满意度</w:t>
            </w:r>
          </w:p>
        </w:tc>
        <w:tc>
          <w:tcPr>
            <w:tcW w:w="15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14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6"/>
          <w:wAfter w:w="8746" w:type="dxa"/>
          <w:trHeight w:val="314" w:hRule="atLeast"/>
        </w:trPr>
        <w:tc>
          <w:tcPr>
            <w:tcW w:w="7285" w:type="dxa"/>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总分</w:t>
            </w: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814" w:type="dxa"/>
          <w:trHeight w:val="564" w:hRule="atLeast"/>
        </w:trPr>
        <w:tc>
          <w:tcPr>
            <w:tcW w:w="1308" w:type="dxa"/>
            <w:gridSpan w:val="5"/>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rPr>
              <w:t>附表4</w:t>
            </w:r>
          </w:p>
        </w:tc>
        <w:tc>
          <w:tcPr>
            <w:tcW w:w="986"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033"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76"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601"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181"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54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814" w:type="dxa"/>
          <w:trHeight w:val="609" w:hRule="atLeast"/>
        </w:trPr>
        <w:tc>
          <w:tcPr>
            <w:tcW w:w="8825" w:type="dxa"/>
            <w:gridSpan w:val="2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814" w:type="dxa"/>
          <w:trHeight w:val="448" w:hRule="atLeast"/>
        </w:trPr>
        <w:tc>
          <w:tcPr>
            <w:tcW w:w="8825" w:type="dxa"/>
            <w:gridSpan w:val="21"/>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814" w:type="dxa"/>
          <w:trHeight w:val="370" w:hRule="atLeast"/>
        </w:trPr>
        <w:tc>
          <w:tcPr>
            <w:tcW w:w="13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项目（政策）名称</w:t>
            </w:r>
          </w:p>
        </w:tc>
        <w:tc>
          <w:tcPr>
            <w:tcW w:w="7517"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中文域名注册经费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814" w:type="dxa"/>
          <w:trHeight w:val="473" w:hRule="atLeast"/>
        </w:trPr>
        <w:tc>
          <w:tcPr>
            <w:tcW w:w="13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主管部门</w:t>
            </w:r>
          </w:p>
        </w:tc>
        <w:tc>
          <w:tcPr>
            <w:tcW w:w="319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中共广元市昭化区委机构编制委员会办公室</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实施单位</w:t>
            </w:r>
          </w:p>
        </w:tc>
        <w:tc>
          <w:tcPr>
            <w:tcW w:w="27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中共广元市昭化区委机构编制委员会办公室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814" w:type="dxa"/>
          <w:trHeight w:val="370" w:hRule="atLeast"/>
        </w:trPr>
        <w:tc>
          <w:tcPr>
            <w:tcW w:w="1308" w:type="dxa"/>
            <w:gridSpan w:val="5"/>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项目（政策）资金（万元）</w:t>
            </w:r>
          </w:p>
        </w:tc>
        <w:tc>
          <w:tcPr>
            <w:tcW w:w="2019" w:type="dxa"/>
            <w:gridSpan w:val="6"/>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年初预算数</w:t>
            </w:r>
          </w:p>
        </w:tc>
        <w:tc>
          <w:tcPr>
            <w:tcW w:w="1601"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全年预算数</w:t>
            </w:r>
          </w:p>
        </w:tc>
        <w:tc>
          <w:tcPr>
            <w:tcW w:w="1181"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w:t>
            </w:r>
          </w:p>
        </w:tc>
        <w:tc>
          <w:tcPr>
            <w:tcW w:w="15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814" w:type="dxa"/>
          <w:trHeight w:val="370" w:hRule="atLeast"/>
        </w:trPr>
        <w:tc>
          <w:tcPr>
            <w:tcW w:w="1308" w:type="dxa"/>
            <w:gridSpan w:val="5"/>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年度资金总额</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4</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4</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4</w:t>
            </w:r>
          </w:p>
        </w:tc>
        <w:tc>
          <w:tcPr>
            <w:tcW w:w="15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814" w:type="dxa"/>
          <w:trHeight w:val="370" w:hRule="atLeast"/>
        </w:trPr>
        <w:tc>
          <w:tcPr>
            <w:tcW w:w="1308" w:type="dxa"/>
            <w:gridSpan w:val="5"/>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（一）财政拨款小计</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4</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4</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4</w:t>
            </w:r>
          </w:p>
        </w:tc>
        <w:tc>
          <w:tcPr>
            <w:tcW w:w="15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814" w:type="dxa"/>
          <w:trHeight w:val="370" w:hRule="atLeast"/>
        </w:trPr>
        <w:tc>
          <w:tcPr>
            <w:tcW w:w="1308" w:type="dxa"/>
            <w:gridSpan w:val="5"/>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1.一般公共预算</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4</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4</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4</w:t>
            </w:r>
          </w:p>
        </w:tc>
        <w:tc>
          <w:tcPr>
            <w:tcW w:w="1540"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814" w:type="dxa"/>
          <w:trHeight w:val="370" w:hRule="atLeast"/>
        </w:trPr>
        <w:tc>
          <w:tcPr>
            <w:tcW w:w="1308" w:type="dxa"/>
            <w:gridSpan w:val="5"/>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2.政府性基金</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814" w:type="dxa"/>
          <w:trHeight w:val="338" w:hRule="atLeast"/>
        </w:trPr>
        <w:tc>
          <w:tcPr>
            <w:tcW w:w="1308" w:type="dxa"/>
            <w:gridSpan w:val="5"/>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3.国有资本经营预算</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814" w:type="dxa"/>
          <w:trHeight w:val="370" w:hRule="atLeast"/>
        </w:trPr>
        <w:tc>
          <w:tcPr>
            <w:tcW w:w="1308" w:type="dxa"/>
            <w:gridSpan w:val="5"/>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4.社保基金</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814" w:type="dxa"/>
          <w:trHeight w:val="370" w:hRule="atLeast"/>
        </w:trPr>
        <w:tc>
          <w:tcPr>
            <w:tcW w:w="1308" w:type="dxa"/>
            <w:gridSpan w:val="5"/>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01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（二）其他资金</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1"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40"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814" w:type="dxa"/>
          <w:trHeight w:val="448"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年度总体目标</w:t>
            </w:r>
          </w:p>
        </w:tc>
        <w:tc>
          <w:tcPr>
            <w:tcW w:w="561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预期目标</w:t>
            </w:r>
          </w:p>
        </w:tc>
        <w:tc>
          <w:tcPr>
            <w:tcW w:w="27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814" w:type="dxa"/>
          <w:trHeight w:val="1457"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16"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全区机关事业单位中文域名注册全覆盖，并根据单位实际情况对域名进行更新或核销，对新增单位进行新注册，积极推动机构编制信息化工作，保证注册对象满意度较高</w:t>
            </w:r>
          </w:p>
        </w:tc>
        <w:tc>
          <w:tcPr>
            <w:tcW w:w="27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单位注册覆盖率达到100%且质量较高，全区机关事业单位网上名称管理较为规范，注册对象满意度高，进一步推动了机构编制管理的信息化建设程度，各项指标完成全年计划的100%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814" w:type="dxa"/>
          <w:trHeight w:val="525" w:hRule="atLeast"/>
        </w:trPr>
        <w:tc>
          <w:tcPr>
            <w:tcW w:w="48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w:t>
            </w:r>
          </w:p>
        </w:tc>
        <w:tc>
          <w:tcPr>
            <w:tcW w:w="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220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三级指标</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年度指标值</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实际完成值</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814" w:type="dxa"/>
          <w:trHeight w:val="473"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98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指标2：</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注册单位覆盖率</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814" w:type="dxa"/>
          <w:trHeight w:val="473"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中文域名注册</w:t>
            </w:r>
            <w:r>
              <w:rPr>
                <w:rFonts w:hint="eastAsia" w:ascii="宋体" w:hAnsi="宋体" w:cs="宋体"/>
                <w:i w:val="0"/>
                <w:iCs w:val="0"/>
                <w:color w:val="000000"/>
                <w:kern w:val="0"/>
                <w:sz w:val="18"/>
                <w:szCs w:val="18"/>
                <w:u w:val="none"/>
                <w:lang w:val="en-US" w:eastAsia="zh-CN"/>
              </w:rPr>
              <w:t>登</w:t>
            </w:r>
            <w:r>
              <w:rPr>
                <w:rFonts w:hint="eastAsia" w:ascii="宋体" w:hAnsi="宋体" w:eastAsia="宋体" w:cs="宋体"/>
                <w:i w:val="0"/>
                <w:iCs w:val="0"/>
                <w:color w:val="000000"/>
                <w:kern w:val="0"/>
                <w:sz w:val="18"/>
                <w:szCs w:val="18"/>
                <w:u w:val="none"/>
                <w:lang w:val="en-US" w:eastAsia="zh-CN"/>
              </w:rPr>
              <w:t>记质量</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高中低</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高</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814" w:type="dxa"/>
          <w:trHeight w:val="473"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指标2：</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网上名称管理规范程度</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高中低</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高</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814" w:type="dxa"/>
          <w:trHeight w:val="298"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完成及时率</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高中低</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高</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814" w:type="dxa"/>
          <w:trHeight w:val="473"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域名注册成本控制</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w:t>
            </w:r>
            <w:r>
              <w:rPr>
                <w:rFonts w:hint="eastAsia" w:ascii="宋体" w:hAnsi="宋体" w:cs="宋体"/>
                <w:i w:val="0"/>
                <w:iCs w:val="0"/>
                <w:color w:val="000000"/>
                <w:kern w:val="0"/>
                <w:sz w:val="18"/>
                <w:szCs w:val="18"/>
                <w:u w:val="none"/>
                <w:lang w:val="en-US" w:eastAsia="zh-CN"/>
              </w:rPr>
              <w:t>万</w:t>
            </w:r>
            <w:r>
              <w:rPr>
                <w:rFonts w:hint="eastAsia" w:ascii="宋体" w:hAnsi="宋体" w:eastAsia="宋体" w:cs="宋体"/>
                <w:i w:val="0"/>
                <w:iCs w:val="0"/>
                <w:color w:val="000000"/>
                <w:kern w:val="0"/>
                <w:sz w:val="18"/>
                <w:szCs w:val="18"/>
                <w:u w:val="none"/>
                <w:lang w:val="en-US" w:eastAsia="zh-CN"/>
              </w:rPr>
              <w:t>元</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4万</w:t>
            </w:r>
            <w:r>
              <w:rPr>
                <w:rFonts w:hint="eastAsia" w:ascii="宋体" w:hAnsi="宋体" w:eastAsia="宋体" w:cs="宋体"/>
                <w:i w:val="0"/>
                <w:iCs w:val="0"/>
                <w:color w:val="000000"/>
                <w:kern w:val="0"/>
                <w:sz w:val="18"/>
                <w:szCs w:val="18"/>
                <w:u w:val="none"/>
                <w:lang w:val="en-US" w:eastAsia="zh-CN"/>
              </w:rPr>
              <w:t>元</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814" w:type="dxa"/>
          <w:trHeight w:val="946"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986"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指标</w:t>
            </w:r>
          </w:p>
        </w:tc>
        <w:tc>
          <w:tcPr>
            <w:tcW w:w="1033"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176"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社会效益指标</w:t>
            </w:r>
          </w:p>
        </w:tc>
        <w:tc>
          <w:tcPr>
            <w:tcW w:w="1601"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机构编制管理信息化程度</w:t>
            </w:r>
          </w:p>
        </w:tc>
        <w:tc>
          <w:tcPr>
            <w:tcW w:w="1181"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高</w:t>
            </w:r>
          </w:p>
        </w:tc>
        <w:tc>
          <w:tcPr>
            <w:tcW w:w="15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7"/>
          <w:wAfter w:w="8814" w:type="dxa"/>
          <w:trHeight w:val="473" w:hRule="atLeast"/>
        </w:trPr>
        <w:tc>
          <w:tcPr>
            <w:tcW w:w="48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指标</w:t>
            </w:r>
          </w:p>
        </w:tc>
        <w:tc>
          <w:tcPr>
            <w:tcW w:w="986"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10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1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年检注册单位满意度</w:t>
            </w:r>
          </w:p>
        </w:tc>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1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1540"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7285" w:type="dxa"/>
            <w:gridSpan w:val="19"/>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总分</w:t>
            </w:r>
          </w:p>
        </w:tc>
        <w:tc>
          <w:tcPr>
            <w:tcW w:w="15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hint="eastAsia" w:ascii="宋体" w:hAnsi="宋体" w:eastAsia="宋体" w:cs="宋体"/>
                <w:i w:val="0"/>
                <w:iCs w:val="0"/>
                <w:color w:val="000000"/>
                <w:sz w:val="20"/>
                <w:szCs w:val="20"/>
                <w:u w:val="none"/>
              </w:rPr>
            </w:pPr>
          </w:p>
        </w:tc>
        <w:tc>
          <w:tcPr>
            <w:tcW w:w="2118" w:type="dxa"/>
            <w:gridSpan w:val="3"/>
            <w:tcBorders>
              <w:top w:val="nil"/>
              <w:left w:val="single" w:color="auto" w:sz="4" w:space="0"/>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6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6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6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0"/>
                <w:szCs w:val="20"/>
                <w:u w:val="none"/>
              </w:rPr>
            </w:pPr>
          </w:p>
        </w:tc>
        <w:tc>
          <w:tcPr>
            <w:tcW w:w="1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285" w:type="dxa"/>
            <w:gridSpan w:val="1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rPr>
              <w:t>附表5</w:t>
            </w:r>
          </w:p>
        </w:tc>
        <w:tc>
          <w:tcPr>
            <w:tcW w:w="1540" w:type="dxa"/>
            <w:gridSpan w:val="2"/>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2118" w:type="dxa"/>
            <w:gridSpan w:val="3"/>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6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6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6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16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396" w:type="dxa"/>
          <w:trHeight w:val="600" w:hRule="atLeast"/>
        </w:trPr>
        <w:tc>
          <w:tcPr>
            <w:tcW w:w="10243" w:type="dxa"/>
            <w:gridSpan w:val="2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rPr>
              <w:t>广元市昭化区财政项目（政策）支出绩效自评表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396" w:type="dxa"/>
          <w:trHeight w:val="460" w:hRule="atLeast"/>
        </w:trPr>
        <w:tc>
          <w:tcPr>
            <w:tcW w:w="10243" w:type="dxa"/>
            <w:gridSpan w:val="23"/>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2022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396" w:type="dxa"/>
          <w:trHeight w:val="360" w:hRule="atLeast"/>
        </w:trPr>
        <w:tc>
          <w:tcPr>
            <w:tcW w:w="14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项目（政策）名称</w:t>
            </w:r>
          </w:p>
        </w:tc>
        <w:tc>
          <w:tcPr>
            <w:tcW w:w="8829"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机构编制运行评估办法经费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396" w:type="dxa"/>
          <w:trHeight w:val="360" w:hRule="atLeast"/>
        </w:trPr>
        <w:tc>
          <w:tcPr>
            <w:tcW w:w="14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主管部门</w:t>
            </w:r>
          </w:p>
        </w:tc>
        <w:tc>
          <w:tcPr>
            <w:tcW w:w="357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中共广元市昭化区委机构编制委员会办公室</w:t>
            </w:r>
          </w:p>
        </w:tc>
        <w:tc>
          <w:tcPr>
            <w:tcW w:w="17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实施单位</w:t>
            </w:r>
          </w:p>
        </w:tc>
        <w:tc>
          <w:tcPr>
            <w:tcW w:w="34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中共广元市昭化区委机构编制委员会办公室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396" w:type="dxa"/>
          <w:trHeight w:val="360" w:hRule="atLeast"/>
        </w:trPr>
        <w:tc>
          <w:tcPr>
            <w:tcW w:w="1414" w:type="dxa"/>
            <w:gridSpan w:val="6"/>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项目（政策）资金（万元）</w:t>
            </w:r>
          </w:p>
        </w:tc>
        <w:tc>
          <w:tcPr>
            <w:tcW w:w="2280" w:type="dxa"/>
            <w:gridSpan w:val="6"/>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96"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年初预算数</w:t>
            </w:r>
          </w:p>
        </w:tc>
        <w:tc>
          <w:tcPr>
            <w:tcW w:w="1764"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全年预算数</w:t>
            </w:r>
          </w:p>
        </w:tc>
        <w:tc>
          <w:tcPr>
            <w:tcW w:w="1644" w:type="dxa"/>
            <w:gridSpan w:val="2"/>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w:t>
            </w:r>
          </w:p>
        </w:tc>
        <w:tc>
          <w:tcPr>
            <w:tcW w:w="184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执行率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396" w:type="dxa"/>
          <w:trHeight w:val="360" w:hRule="atLeast"/>
        </w:trPr>
        <w:tc>
          <w:tcPr>
            <w:tcW w:w="1414" w:type="dxa"/>
            <w:gridSpan w:val="6"/>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年度资金总额</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rPr>
              <w:t>1</w:t>
            </w:r>
            <w:r>
              <w:rPr>
                <w:rFonts w:hint="eastAsia" w:ascii="宋体" w:hAnsi="宋体" w:cs="宋体"/>
                <w:i w:val="0"/>
                <w:iCs w:val="0"/>
                <w:color w:val="000000"/>
                <w:kern w:val="0"/>
                <w:sz w:val="18"/>
                <w:szCs w:val="18"/>
                <w:u w:val="none"/>
                <w:lang w:val="en-US" w:eastAsia="zh-CN"/>
              </w:rPr>
              <w:t>.2</w:t>
            </w:r>
          </w:p>
        </w:tc>
        <w:tc>
          <w:tcPr>
            <w:tcW w:w="17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1.2</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rPr>
              <w:t>1.2</w:t>
            </w:r>
          </w:p>
        </w:tc>
        <w:tc>
          <w:tcPr>
            <w:tcW w:w="184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396" w:type="dxa"/>
          <w:trHeight w:val="360" w:hRule="atLeast"/>
        </w:trPr>
        <w:tc>
          <w:tcPr>
            <w:tcW w:w="1414" w:type="dxa"/>
            <w:gridSpan w:val="6"/>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（一）财政拨款小计</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r>
              <w:rPr>
                <w:rFonts w:hint="eastAsia" w:ascii="宋体" w:hAnsi="宋体" w:cs="宋体"/>
                <w:i w:val="0"/>
                <w:iCs w:val="0"/>
                <w:color w:val="000000"/>
                <w:kern w:val="0"/>
                <w:sz w:val="18"/>
                <w:szCs w:val="18"/>
                <w:u w:val="none"/>
                <w:lang w:val="en-US" w:eastAsia="zh-CN"/>
              </w:rPr>
              <w:t>.2</w:t>
            </w:r>
          </w:p>
        </w:tc>
        <w:tc>
          <w:tcPr>
            <w:tcW w:w="17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1.2</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1.2</w:t>
            </w:r>
          </w:p>
        </w:tc>
        <w:tc>
          <w:tcPr>
            <w:tcW w:w="184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396" w:type="dxa"/>
          <w:trHeight w:val="360" w:hRule="atLeast"/>
        </w:trPr>
        <w:tc>
          <w:tcPr>
            <w:tcW w:w="1414" w:type="dxa"/>
            <w:gridSpan w:val="6"/>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1.一般公共预算</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r>
              <w:rPr>
                <w:rFonts w:hint="eastAsia" w:ascii="宋体" w:hAnsi="宋体" w:cs="宋体"/>
                <w:i w:val="0"/>
                <w:iCs w:val="0"/>
                <w:color w:val="000000"/>
                <w:kern w:val="0"/>
                <w:sz w:val="18"/>
                <w:szCs w:val="18"/>
                <w:u w:val="none"/>
                <w:lang w:val="en-US" w:eastAsia="zh-CN"/>
              </w:rPr>
              <w:t>.2</w:t>
            </w:r>
          </w:p>
        </w:tc>
        <w:tc>
          <w:tcPr>
            <w:tcW w:w="17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1.2</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1.2</w:t>
            </w:r>
          </w:p>
        </w:tc>
        <w:tc>
          <w:tcPr>
            <w:tcW w:w="1845" w:type="dxa"/>
            <w:gridSpan w:val="3"/>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396" w:type="dxa"/>
          <w:trHeight w:val="360" w:hRule="atLeast"/>
        </w:trPr>
        <w:tc>
          <w:tcPr>
            <w:tcW w:w="1414" w:type="dxa"/>
            <w:gridSpan w:val="6"/>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2.政府性基金</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396" w:type="dxa"/>
          <w:trHeight w:val="440" w:hRule="atLeast"/>
        </w:trPr>
        <w:tc>
          <w:tcPr>
            <w:tcW w:w="1414" w:type="dxa"/>
            <w:gridSpan w:val="6"/>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3.国有资本经营预算</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396" w:type="dxa"/>
          <w:trHeight w:val="360" w:hRule="atLeast"/>
        </w:trPr>
        <w:tc>
          <w:tcPr>
            <w:tcW w:w="1414" w:type="dxa"/>
            <w:gridSpan w:val="6"/>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 xml:space="preserve">  4.社保基金</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7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396" w:type="dxa"/>
          <w:trHeight w:val="360" w:hRule="atLeast"/>
        </w:trPr>
        <w:tc>
          <w:tcPr>
            <w:tcW w:w="1414" w:type="dxa"/>
            <w:gridSpan w:val="6"/>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（二）其他资金</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644"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5" w:type="dxa"/>
            <w:gridSpan w:val="3"/>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396" w:type="dxa"/>
          <w:trHeight w:val="440" w:hRule="atLeast"/>
        </w:trPr>
        <w:tc>
          <w:tcPr>
            <w:tcW w:w="5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年度总体目标</w:t>
            </w:r>
          </w:p>
        </w:tc>
        <w:tc>
          <w:tcPr>
            <w:tcW w:w="619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预期目标</w:t>
            </w:r>
          </w:p>
        </w:tc>
        <w:tc>
          <w:tcPr>
            <w:tcW w:w="34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396" w:type="dxa"/>
          <w:trHeight w:val="1480" w:hRule="atLeast"/>
        </w:trPr>
        <w:tc>
          <w:tcPr>
            <w:tcW w:w="5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192"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对符合法定条件的登记申请核准登记并向核准设立登记的事业单位颁发《事业单位法人证书》，通过年度报告书，掌握事业单位的运转情况，对事业单位进行动态管理。全年计划全区机关事业单位登记、年检覆盖率超过100%且质量较高，公示公告完成单位超过100家；且社会评价度好，年检注册单位满意度较高，各项指标完成率100%</w:t>
            </w:r>
          </w:p>
        </w:tc>
        <w:tc>
          <w:tcPr>
            <w:tcW w:w="34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全区机关事业单位登记、年检覆盖率超过100%且质量较高，公示公告完成单位超过100家；且社会评价度好，年检注册单位满意度较高，各项指标完成全年计划的100%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396" w:type="dxa"/>
          <w:trHeight w:val="520" w:hRule="atLeast"/>
        </w:trPr>
        <w:tc>
          <w:tcPr>
            <w:tcW w:w="56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绩效指标</w:t>
            </w:r>
          </w:p>
        </w:tc>
        <w:tc>
          <w:tcPr>
            <w:tcW w:w="8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一级指标</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二级指标</w:t>
            </w:r>
          </w:p>
        </w:tc>
        <w:tc>
          <w:tcPr>
            <w:tcW w:w="243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三级指标</w:t>
            </w:r>
          </w:p>
        </w:tc>
        <w:tc>
          <w:tcPr>
            <w:tcW w:w="17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年度指标值</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实际完成值</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396" w:type="dxa"/>
          <w:trHeight w:val="450" w:hRule="atLeast"/>
        </w:trPr>
        <w:tc>
          <w:tcPr>
            <w:tcW w:w="5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5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w:t>
            </w:r>
          </w:p>
        </w:tc>
        <w:tc>
          <w:tcPr>
            <w:tcW w:w="11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数量指标</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机构编制评估完成单位数量</w:t>
            </w:r>
          </w:p>
        </w:tc>
        <w:tc>
          <w:tcPr>
            <w:tcW w:w="17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≥40处</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43处</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396" w:type="dxa"/>
          <w:trHeight w:val="285" w:hRule="atLeast"/>
        </w:trPr>
        <w:tc>
          <w:tcPr>
            <w:tcW w:w="5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5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质量指标</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评估覆盖面</w:t>
            </w:r>
          </w:p>
        </w:tc>
        <w:tc>
          <w:tcPr>
            <w:tcW w:w="17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≥20%</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396" w:type="dxa"/>
          <w:trHeight w:val="450" w:hRule="atLeast"/>
        </w:trPr>
        <w:tc>
          <w:tcPr>
            <w:tcW w:w="5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5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时效指标</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评估完成及时率</w:t>
            </w:r>
          </w:p>
        </w:tc>
        <w:tc>
          <w:tcPr>
            <w:tcW w:w="17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高中低</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高</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396" w:type="dxa"/>
          <w:trHeight w:val="285" w:hRule="atLeast"/>
        </w:trPr>
        <w:tc>
          <w:tcPr>
            <w:tcW w:w="5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5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经费成本控制</w:t>
            </w:r>
          </w:p>
        </w:tc>
        <w:tc>
          <w:tcPr>
            <w:tcW w:w="17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≤1</w:t>
            </w:r>
            <w:r>
              <w:rPr>
                <w:rFonts w:hint="eastAsia" w:ascii="宋体" w:hAnsi="宋体" w:cs="宋体"/>
                <w:i w:val="0"/>
                <w:iCs w:val="0"/>
                <w:color w:val="000000"/>
                <w:kern w:val="0"/>
                <w:sz w:val="18"/>
                <w:szCs w:val="18"/>
                <w:u w:val="none"/>
                <w:lang w:val="en-US" w:eastAsia="zh-CN"/>
              </w:rPr>
              <w:t>.2万</w:t>
            </w:r>
            <w:r>
              <w:rPr>
                <w:rFonts w:hint="eastAsia" w:ascii="宋体" w:hAnsi="宋体" w:eastAsia="宋体" w:cs="宋体"/>
                <w:i w:val="0"/>
                <w:iCs w:val="0"/>
                <w:color w:val="000000"/>
                <w:kern w:val="0"/>
                <w:sz w:val="18"/>
                <w:szCs w:val="18"/>
                <w:u w:val="none"/>
                <w:lang w:val="en-US" w:eastAsia="zh-CN"/>
              </w:rPr>
              <w:t>元</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rPr>
              <w:t>1.2万</w:t>
            </w:r>
            <w:r>
              <w:rPr>
                <w:rFonts w:hint="eastAsia" w:ascii="宋体" w:hAnsi="宋体" w:eastAsia="宋体" w:cs="宋体"/>
                <w:i w:val="0"/>
                <w:iCs w:val="0"/>
                <w:color w:val="000000"/>
                <w:kern w:val="0"/>
                <w:sz w:val="18"/>
                <w:szCs w:val="18"/>
                <w:u w:val="none"/>
                <w:lang w:val="en-US" w:eastAsia="zh-CN"/>
              </w:rPr>
              <w:t>元</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396" w:type="dxa"/>
          <w:trHeight w:val="450" w:hRule="atLeast"/>
        </w:trPr>
        <w:tc>
          <w:tcPr>
            <w:tcW w:w="5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5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w:t>
            </w:r>
          </w:p>
        </w:tc>
        <w:tc>
          <w:tcPr>
            <w:tcW w:w="11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经济效益</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指标</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396" w:type="dxa"/>
          <w:trHeight w:val="450" w:hRule="atLeast"/>
        </w:trPr>
        <w:tc>
          <w:tcPr>
            <w:tcW w:w="5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5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社会效益</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指标</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机构编制运行平稳高效</w:t>
            </w:r>
          </w:p>
        </w:tc>
        <w:tc>
          <w:tcPr>
            <w:tcW w:w="17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好坏</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好</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396" w:type="dxa"/>
          <w:trHeight w:val="450" w:hRule="atLeast"/>
        </w:trPr>
        <w:tc>
          <w:tcPr>
            <w:tcW w:w="56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w:t>
            </w:r>
            <w:r>
              <w:rPr>
                <w:rFonts w:hint="eastAsia" w:ascii="宋体" w:hAnsi="宋体" w:eastAsia="宋体" w:cs="宋体"/>
                <w:i w:val="0"/>
                <w:iCs w:val="0"/>
                <w:color w:val="000000"/>
                <w:kern w:val="0"/>
                <w:sz w:val="18"/>
                <w:szCs w:val="18"/>
                <w:u w:val="none"/>
                <w:lang w:val="en-US" w:eastAsia="zh-CN"/>
              </w:rPr>
              <w:br w:type="textWrapping"/>
            </w:r>
            <w:r>
              <w:rPr>
                <w:rFonts w:hint="eastAsia" w:ascii="宋体" w:hAnsi="宋体" w:eastAsia="宋体" w:cs="宋体"/>
                <w:i w:val="0"/>
                <w:iCs w:val="0"/>
                <w:color w:val="000000"/>
                <w:kern w:val="0"/>
                <w:sz w:val="18"/>
                <w:szCs w:val="18"/>
                <w:u w:val="none"/>
                <w:lang w:val="en-US" w:eastAsia="zh-CN"/>
              </w:rPr>
              <w:t>指标</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服务对象满意度指标</w:t>
            </w:r>
          </w:p>
        </w:tc>
        <w:tc>
          <w:tcPr>
            <w:tcW w:w="11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指标1：</w:t>
            </w:r>
          </w:p>
        </w:tc>
        <w:tc>
          <w:tcPr>
            <w:tcW w:w="12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被评估运行机构满意度</w:t>
            </w:r>
          </w:p>
        </w:tc>
        <w:tc>
          <w:tcPr>
            <w:tcW w:w="17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≥90%</w:t>
            </w:r>
          </w:p>
        </w:tc>
        <w:tc>
          <w:tcPr>
            <w:tcW w:w="16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95%</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396" w:type="dxa"/>
          <w:trHeight w:val="123" w:hRule="atLeast"/>
        </w:trPr>
        <w:tc>
          <w:tcPr>
            <w:tcW w:w="8398" w:type="dxa"/>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总分</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bl>
    <w:p>
      <w:pPr>
        <w:pStyle w:val="2"/>
        <w:rPr>
          <w:rFonts w:hint="eastAsia" w:ascii="黑体" w:hAnsi="黑体" w:eastAsia="黑体"/>
          <w:color w:val="auto"/>
          <w:sz w:val="44"/>
          <w:szCs w:val="44"/>
          <w:highlight w:val="none"/>
        </w:rPr>
      </w:pPr>
    </w:p>
    <w:p>
      <w:pPr>
        <w:pStyle w:val="2"/>
        <w:rPr>
          <w:rFonts w:hint="eastAsia" w:ascii="黑体" w:hAnsi="黑体" w:eastAsia="黑体"/>
          <w:color w:val="auto"/>
          <w:sz w:val="44"/>
          <w:szCs w:val="44"/>
          <w:highlight w:val="none"/>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outlineLvl w:val="0"/>
        <w:rPr>
          <w:rStyle w:val="31"/>
          <w:rFonts w:hint="eastAsia" w:ascii="黑体" w:hAnsi="黑体" w:eastAsia="黑体"/>
          <w:b w:val="0"/>
          <w:color w:val="auto"/>
          <w:highlight w:val="none"/>
        </w:rPr>
      </w:pPr>
      <w:r>
        <w:rPr>
          <w:rFonts w:hint="eastAsia" w:ascii="黑体" w:hAnsi="黑体" w:eastAsia="黑体"/>
          <w:color w:val="auto"/>
          <w:sz w:val="44"/>
          <w:szCs w:val="44"/>
          <w:highlight w:val="none"/>
        </w:rPr>
        <w:t>第</w:t>
      </w:r>
      <w:r>
        <w:rPr>
          <w:rStyle w:val="31"/>
          <w:rFonts w:hint="eastAsia" w:ascii="黑体" w:hAnsi="黑体" w:eastAsia="黑体"/>
          <w:b w:val="0"/>
          <w:color w:val="auto"/>
          <w:highlight w:val="none"/>
        </w:rPr>
        <w:t xml:space="preserve">五部分 </w:t>
      </w:r>
      <w:r>
        <w:rPr>
          <w:rStyle w:val="31"/>
          <w:rFonts w:hint="eastAsia" w:ascii="黑体" w:hAnsi="黑体" w:eastAsia="黑体"/>
          <w:b w:val="0"/>
          <w:color w:val="auto"/>
          <w:highlight w:val="none"/>
          <w:lang w:val="en-US" w:eastAsia="zh-CN"/>
        </w:rPr>
        <w:t xml:space="preserve"> </w:t>
      </w:r>
      <w:r>
        <w:rPr>
          <w:rStyle w:val="31"/>
          <w:rFonts w:hint="eastAsia" w:ascii="黑体" w:hAnsi="黑体" w:eastAsia="黑体"/>
          <w:b w:val="0"/>
          <w:color w:val="auto"/>
          <w:highlight w:val="none"/>
        </w:rPr>
        <w:t>附表</w:t>
      </w:r>
      <w:bookmarkEnd w:id="51"/>
      <w:bookmarkEnd w:id="53"/>
      <w:bookmarkStart w:id="54" w:name="_Toc15396619"/>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0"/>
        <w:rPr>
          <w:rFonts w:hint="default" w:ascii="Times New Roman" w:hAnsi="Times New Roman" w:eastAsia="仿宋" w:cs="Times New Roman"/>
          <w:b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outlineLvl w:val="0"/>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b w:val="0"/>
          <w:color w:val="auto"/>
          <w:sz w:val="32"/>
          <w:szCs w:val="32"/>
          <w:highlight w:val="none"/>
        </w:rPr>
        <w:t>一、收</w:t>
      </w:r>
      <w:r>
        <w:rPr>
          <w:rStyle w:val="32"/>
          <w:rFonts w:hint="default" w:ascii="Times New Roman" w:hAnsi="Times New Roman" w:eastAsia="仿宋" w:cs="Times New Roman"/>
          <w:b w:val="0"/>
          <w:bCs w:val="0"/>
          <w:color w:val="auto"/>
          <w:sz w:val="32"/>
          <w:szCs w:val="32"/>
          <w:highlight w:val="none"/>
        </w:rPr>
        <w:t>入支出决算总表</w:t>
      </w:r>
      <w:bookmarkEnd w:id="54"/>
    </w:p>
    <w:p>
      <w:pPr>
        <w:pStyle w:val="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default" w:ascii="Times New Roman" w:hAnsi="Times New Roman" w:eastAsia="仿宋" w:cs="Times New Roman"/>
          <w:color w:val="auto"/>
          <w:sz w:val="32"/>
          <w:szCs w:val="32"/>
          <w:highlight w:val="none"/>
        </w:rPr>
      </w:pPr>
      <w:bookmarkStart w:id="55" w:name="_Toc15396620"/>
      <w:r>
        <w:rPr>
          <w:rFonts w:hint="default" w:ascii="Times New Roman" w:hAnsi="Times New Roman" w:eastAsia="仿宋" w:cs="Times New Roman"/>
          <w:b w:val="0"/>
          <w:color w:val="auto"/>
          <w:sz w:val="32"/>
          <w:szCs w:val="32"/>
          <w:highlight w:val="none"/>
        </w:rPr>
        <w:t>二、收</w:t>
      </w:r>
      <w:r>
        <w:rPr>
          <w:rStyle w:val="32"/>
          <w:rFonts w:hint="default" w:ascii="Times New Roman" w:hAnsi="Times New Roman" w:eastAsia="仿宋" w:cs="Times New Roman"/>
          <w:b w:val="0"/>
          <w:bCs w:val="0"/>
          <w:color w:val="auto"/>
          <w:sz w:val="32"/>
          <w:szCs w:val="32"/>
          <w:highlight w:val="none"/>
        </w:rPr>
        <w:t>入决算表</w:t>
      </w:r>
      <w:bookmarkEnd w:id="55"/>
    </w:p>
    <w:p>
      <w:pPr>
        <w:pStyle w:val="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default" w:ascii="Times New Roman" w:hAnsi="Times New Roman" w:eastAsia="仿宋" w:cs="Times New Roman"/>
          <w:color w:val="auto"/>
          <w:sz w:val="32"/>
          <w:szCs w:val="32"/>
          <w:highlight w:val="none"/>
        </w:rPr>
      </w:pPr>
      <w:bookmarkStart w:id="56" w:name="_Toc15396621"/>
      <w:r>
        <w:rPr>
          <w:rStyle w:val="32"/>
          <w:rFonts w:hint="default" w:ascii="Times New Roman" w:hAnsi="Times New Roman" w:eastAsia="仿宋" w:cs="Times New Roman"/>
          <w:b w:val="0"/>
          <w:bCs w:val="0"/>
          <w:color w:val="auto"/>
          <w:sz w:val="32"/>
          <w:szCs w:val="32"/>
          <w:highlight w:val="none"/>
        </w:rPr>
        <w:t>三、</w:t>
      </w:r>
      <w:r>
        <w:rPr>
          <w:rFonts w:hint="default" w:ascii="Times New Roman" w:hAnsi="Times New Roman" w:eastAsia="仿宋" w:cs="Times New Roman"/>
          <w:b w:val="0"/>
          <w:color w:val="auto"/>
          <w:sz w:val="32"/>
          <w:szCs w:val="32"/>
          <w:highlight w:val="none"/>
        </w:rPr>
        <w:t>支</w:t>
      </w:r>
      <w:r>
        <w:rPr>
          <w:rStyle w:val="32"/>
          <w:rFonts w:hint="default" w:ascii="Times New Roman" w:hAnsi="Times New Roman" w:eastAsia="仿宋" w:cs="Times New Roman"/>
          <w:b w:val="0"/>
          <w:bCs w:val="0"/>
          <w:color w:val="auto"/>
          <w:sz w:val="32"/>
          <w:szCs w:val="32"/>
          <w:highlight w:val="none"/>
        </w:rPr>
        <w:t>出决算表</w:t>
      </w:r>
      <w:bookmarkEnd w:id="56"/>
    </w:p>
    <w:p>
      <w:pPr>
        <w:pStyle w:val="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default" w:ascii="Times New Roman" w:hAnsi="Times New Roman" w:eastAsia="仿宋" w:cs="Times New Roman"/>
          <w:b w:val="0"/>
          <w:color w:val="auto"/>
          <w:sz w:val="32"/>
          <w:szCs w:val="32"/>
          <w:highlight w:val="none"/>
        </w:rPr>
      </w:pPr>
      <w:bookmarkStart w:id="57" w:name="_Toc15396622"/>
      <w:r>
        <w:rPr>
          <w:rStyle w:val="32"/>
          <w:rFonts w:hint="default" w:ascii="Times New Roman" w:hAnsi="Times New Roman" w:eastAsia="仿宋" w:cs="Times New Roman"/>
          <w:b w:val="0"/>
          <w:bCs w:val="0"/>
          <w:color w:val="auto"/>
          <w:sz w:val="32"/>
          <w:szCs w:val="32"/>
          <w:highlight w:val="none"/>
        </w:rPr>
        <w:t>四、</w:t>
      </w:r>
      <w:r>
        <w:rPr>
          <w:rFonts w:hint="default" w:ascii="Times New Roman" w:hAnsi="Times New Roman" w:eastAsia="仿宋" w:cs="Times New Roman"/>
          <w:b w:val="0"/>
          <w:color w:val="auto"/>
          <w:sz w:val="32"/>
          <w:szCs w:val="32"/>
          <w:highlight w:val="none"/>
        </w:rPr>
        <w:t>财</w:t>
      </w:r>
      <w:r>
        <w:rPr>
          <w:rStyle w:val="32"/>
          <w:rFonts w:hint="default" w:ascii="Times New Roman" w:hAnsi="Times New Roman" w:eastAsia="仿宋" w:cs="Times New Roman"/>
          <w:b w:val="0"/>
          <w:bCs w:val="0"/>
          <w:color w:val="auto"/>
          <w:sz w:val="32"/>
          <w:szCs w:val="32"/>
          <w:highlight w:val="none"/>
        </w:rPr>
        <w:t>政拨款收入支出决算总表</w:t>
      </w:r>
      <w:bookmarkEnd w:id="57"/>
    </w:p>
    <w:p>
      <w:pPr>
        <w:pStyle w:val="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Style w:val="32"/>
          <w:rFonts w:hint="default" w:ascii="Times New Roman" w:hAnsi="Times New Roman" w:eastAsia="仿宋" w:cs="Times New Roman"/>
          <w:b w:val="0"/>
          <w:bCs w:val="0"/>
          <w:color w:val="auto"/>
          <w:sz w:val="32"/>
          <w:szCs w:val="32"/>
          <w:highlight w:val="none"/>
        </w:rPr>
      </w:pPr>
      <w:bookmarkStart w:id="58" w:name="_Toc15396623"/>
      <w:r>
        <w:rPr>
          <w:rStyle w:val="32"/>
          <w:rFonts w:hint="default" w:ascii="Times New Roman" w:hAnsi="Times New Roman" w:eastAsia="仿宋" w:cs="Times New Roman"/>
          <w:b w:val="0"/>
          <w:bCs w:val="0"/>
          <w:color w:val="auto"/>
          <w:sz w:val="32"/>
          <w:szCs w:val="32"/>
          <w:highlight w:val="none"/>
        </w:rPr>
        <w:t>五、</w:t>
      </w:r>
      <w:r>
        <w:rPr>
          <w:rFonts w:hint="default" w:ascii="Times New Roman" w:hAnsi="Times New Roman" w:eastAsia="仿宋" w:cs="Times New Roman"/>
          <w:b w:val="0"/>
          <w:color w:val="auto"/>
          <w:sz w:val="32"/>
          <w:szCs w:val="32"/>
          <w:highlight w:val="none"/>
        </w:rPr>
        <w:t>财</w:t>
      </w:r>
      <w:r>
        <w:rPr>
          <w:rStyle w:val="32"/>
          <w:rFonts w:hint="default" w:ascii="Times New Roman" w:hAnsi="Times New Roman" w:eastAsia="仿宋" w:cs="Times New Roman"/>
          <w:b w:val="0"/>
          <w:bCs w:val="0"/>
          <w:color w:val="auto"/>
          <w:sz w:val="32"/>
          <w:szCs w:val="32"/>
          <w:highlight w:val="none"/>
        </w:rPr>
        <w:t>政拨款支出决算明细表</w:t>
      </w:r>
      <w:bookmarkEnd w:id="58"/>
      <w:bookmarkStart w:id="59" w:name="_Toc15396624"/>
    </w:p>
    <w:p>
      <w:pPr>
        <w:pStyle w:val="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default" w:ascii="Times New Roman" w:hAnsi="Times New Roman" w:eastAsia="仿宋" w:cs="Times New Roman"/>
          <w:color w:val="auto"/>
          <w:sz w:val="32"/>
          <w:szCs w:val="32"/>
          <w:highlight w:val="none"/>
        </w:rPr>
      </w:pPr>
      <w:r>
        <w:rPr>
          <w:rStyle w:val="32"/>
          <w:rFonts w:hint="default" w:ascii="Times New Roman" w:hAnsi="Times New Roman" w:eastAsia="仿宋" w:cs="Times New Roman"/>
          <w:b w:val="0"/>
          <w:bCs w:val="0"/>
          <w:color w:val="auto"/>
          <w:sz w:val="32"/>
          <w:szCs w:val="32"/>
          <w:highlight w:val="none"/>
        </w:rPr>
        <w:t>六、</w:t>
      </w:r>
      <w:r>
        <w:rPr>
          <w:rFonts w:hint="default" w:ascii="Times New Roman" w:hAnsi="Times New Roman" w:eastAsia="仿宋" w:cs="Times New Roman"/>
          <w:b w:val="0"/>
          <w:color w:val="auto"/>
          <w:sz w:val="32"/>
          <w:szCs w:val="32"/>
          <w:highlight w:val="none"/>
        </w:rPr>
        <w:t>一</w:t>
      </w:r>
      <w:r>
        <w:rPr>
          <w:rStyle w:val="32"/>
          <w:rFonts w:hint="default" w:ascii="Times New Roman" w:hAnsi="Times New Roman" w:eastAsia="仿宋" w:cs="Times New Roman"/>
          <w:b w:val="0"/>
          <w:bCs w:val="0"/>
          <w:color w:val="auto"/>
          <w:sz w:val="32"/>
          <w:szCs w:val="32"/>
          <w:highlight w:val="none"/>
        </w:rPr>
        <w:t>般公共预算财政拨款支出决算表</w:t>
      </w:r>
      <w:bookmarkEnd w:id="59"/>
    </w:p>
    <w:p>
      <w:pPr>
        <w:pStyle w:val="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default" w:ascii="Times New Roman" w:hAnsi="Times New Roman" w:eastAsia="仿宋" w:cs="Times New Roman"/>
          <w:color w:val="auto"/>
          <w:sz w:val="32"/>
          <w:szCs w:val="32"/>
          <w:highlight w:val="none"/>
        </w:rPr>
      </w:pPr>
      <w:bookmarkStart w:id="60" w:name="_Toc15396625"/>
      <w:r>
        <w:rPr>
          <w:rStyle w:val="32"/>
          <w:rFonts w:hint="default" w:ascii="Times New Roman" w:hAnsi="Times New Roman" w:eastAsia="仿宋" w:cs="Times New Roman"/>
          <w:b w:val="0"/>
          <w:bCs w:val="0"/>
          <w:color w:val="auto"/>
          <w:sz w:val="32"/>
          <w:szCs w:val="32"/>
          <w:highlight w:val="none"/>
        </w:rPr>
        <w:t>七、</w:t>
      </w:r>
      <w:r>
        <w:rPr>
          <w:rFonts w:hint="default" w:ascii="Times New Roman" w:hAnsi="Times New Roman" w:eastAsia="仿宋" w:cs="Times New Roman"/>
          <w:b w:val="0"/>
          <w:color w:val="auto"/>
          <w:sz w:val="32"/>
          <w:szCs w:val="32"/>
          <w:highlight w:val="none"/>
        </w:rPr>
        <w:t>一</w:t>
      </w:r>
      <w:r>
        <w:rPr>
          <w:rStyle w:val="32"/>
          <w:rFonts w:hint="default" w:ascii="Times New Roman" w:hAnsi="Times New Roman" w:eastAsia="仿宋" w:cs="Times New Roman"/>
          <w:b w:val="0"/>
          <w:bCs w:val="0"/>
          <w:color w:val="auto"/>
          <w:sz w:val="32"/>
          <w:szCs w:val="32"/>
          <w:highlight w:val="none"/>
        </w:rPr>
        <w:t>般公共预算财政拨款支出决算明细表</w:t>
      </w:r>
      <w:bookmarkEnd w:id="60"/>
    </w:p>
    <w:p>
      <w:pPr>
        <w:pStyle w:val="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default" w:ascii="Times New Roman" w:hAnsi="Times New Roman" w:eastAsia="仿宋" w:cs="Times New Roman"/>
          <w:color w:val="auto"/>
          <w:sz w:val="32"/>
          <w:szCs w:val="32"/>
          <w:highlight w:val="none"/>
        </w:rPr>
      </w:pPr>
      <w:bookmarkStart w:id="61" w:name="_Toc15396626"/>
      <w:r>
        <w:rPr>
          <w:rStyle w:val="32"/>
          <w:rFonts w:hint="default" w:ascii="Times New Roman" w:hAnsi="Times New Roman" w:eastAsia="仿宋" w:cs="Times New Roman"/>
          <w:b w:val="0"/>
          <w:bCs w:val="0"/>
          <w:color w:val="auto"/>
          <w:sz w:val="32"/>
          <w:szCs w:val="32"/>
          <w:highlight w:val="none"/>
        </w:rPr>
        <w:t>八、</w:t>
      </w:r>
      <w:r>
        <w:rPr>
          <w:rFonts w:hint="default" w:ascii="Times New Roman" w:hAnsi="Times New Roman" w:eastAsia="仿宋" w:cs="Times New Roman"/>
          <w:b w:val="0"/>
          <w:color w:val="auto"/>
          <w:sz w:val="32"/>
          <w:szCs w:val="32"/>
          <w:highlight w:val="none"/>
        </w:rPr>
        <w:t>一</w:t>
      </w:r>
      <w:r>
        <w:rPr>
          <w:rStyle w:val="32"/>
          <w:rFonts w:hint="default" w:ascii="Times New Roman" w:hAnsi="Times New Roman" w:eastAsia="仿宋" w:cs="Times New Roman"/>
          <w:b w:val="0"/>
          <w:bCs w:val="0"/>
          <w:color w:val="auto"/>
          <w:sz w:val="32"/>
          <w:szCs w:val="32"/>
          <w:highlight w:val="none"/>
        </w:rPr>
        <w:t>般公共预算财政拨款基本支出决算表</w:t>
      </w:r>
      <w:bookmarkEnd w:id="61"/>
    </w:p>
    <w:p>
      <w:pPr>
        <w:pStyle w:val="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default" w:ascii="Times New Roman" w:hAnsi="Times New Roman" w:eastAsia="仿宋" w:cs="Times New Roman"/>
          <w:color w:val="auto"/>
          <w:sz w:val="32"/>
          <w:szCs w:val="32"/>
          <w:highlight w:val="none"/>
        </w:rPr>
      </w:pPr>
      <w:bookmarkStart w:id="62" w:name="_Toc15396627"/>
      <w:r>
        <w:rPr>
          <w:rStyle w:val="32"/>
          <w:rFonts w:hint="default" w:ascii="Times New Roman" w:hAnsi="Times New Roman" w:eastAsia="仿宋" w:cs="Times New Roman"/>
          <w:b w:val="0"/>
          <w:bCs w:val="0"/>
          <w:color w:val="auto"/>
          <w:sz w:val="32"/>
          <w:szCs w:val="32"/>
          <w:highlight w:val="none"/>
        </w:rPr>
        <w:t>九、</w:t>
      </w:r>
      <w:r>
        <w:rPr>
          <w:rFonts w:hint="default" w:ascii="Times New Roman" w:hAnsi="Times New Roman" w:eastAsia="仿宋" w:cs="Times New Roman"/>
          <w:b w:val="0"/>
          <w:color w:val="auto"/>
          <w:sz w:val="32"/>
          <w:szCs w:val="32"/>
          <w:highlight w:val="none"/>
        </w:rPr>
        <w:t>一</w:t>
      </w:r>
      <w:r>
        <w:rPr>
          <w:rStyle w:val="32"/>
          <w:rFonts w:hint="default" w:ascii="Times New Roman" w:hAnsi="Times New Roman" w:eastAsia="仿宋" w:cs="Times New Roman"/>
          <w:b w:val="0"/>
          <w:bCs w:val="0"/>
          <w:color w:val="auto"/>
          <w:sz w:val="32"/>
          <w:szCs w:val="32"/>
          <w:highlight w:val="none"/>
        </w:rPr>
        <w:t>般公共预算财政拨款项目支出决算表</w:t>
      </w:r>
      <w:bookmarkEnd w:id="62"/>
    </w:p>
    <w:p>
      <w:pPr>
        <w:pStyle w:val="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default" w:ascii="Times New Roman" w:hAnsi="Times New Roman" w:eastAsia="仿宋" w:cs="Times New Roman"/>
          <w:color w:val="auto"/>
          <w:sz w:val="32"/>
          <w:szCs w:val="32"/>
          <w:highlight w:val="none"/>
        </w:rPr>
      </w:pPr>
      <w:bookmarkStart w:id="63" w:name="_Toc15396628"/>
      <w:r>
        <w:rPr>
          <w:rStyle w:val="32"/>
          <w:rFonts w:hint="default" w:ascii="Times New Roman" w:hAnsi="Times New Roman" w:eastAsia="仿宋" w:cs="Times New Roman"/>
          <w:b w:val="0"/>
          <w:bCs w:val="0"/>
          <w:color w:val="auto"/>
          <w:sz w:val="32"/>
          <w:szCs w:val="32"/>
          <w:highlight w:val="none"/>
        </w:rPr>
        <w:t>十、</w:t>
      </w:r>
      <w:bookmarkEnd w:id="63"/>
      <w:r>
        <w:rPr>
          <w:rFonts w:hint="default" w:ascii="Times New Roman" w:hAnsi="Times New Roman" w:eastAsia="仿宋" w:cs="Times New Roman"/>
          <w:b w:val="0"/>
          <w:color w:val="auto"/>
          <w:sz w:val="32"/>
          <w:szCs w:val="32"/>
          <w:highlight w:val="none"/>
        </w:rPr>
        <w:t>政</w:t>
      </w:r>
      <w:r>
        <w:rPr>
          <w:rStyle w:val="32"/>
          <w:rFonts w:hint="default" w:ascii="Times New Roman" w:hAnsi="Times New Roman" w:eastAsia="仿宋" w:cs="Times New Roman"/>
          <w:b w:val="0"/>
          <w:bCs w:val="0"/>
          <w:color w:val="auto"/>
          <w:sz w:val="32"/>
          <w:szCs w:val="32"/>
          <w:highlight w:val="none"/>
        </w:rPr>
        <w:t>府性基金预算财政拨款收入支出决算表</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default" w:ascii="Times New Roman" w:hAnsi="Times New Roman" w:eastAsia="仿宋" w:cs="Times New Roman"/>
          <w:color w:val="auto"/>
          <w:sz w:val="32"/>
          <w:szCs w:val="32"/>
          <w:highlight w:val="none"/>
        </w:rPr>
      </w:pPr>
      <w:bookmarkStart w:id="64" w:name="_Toc15396629"/>
      <w:r>
        <w:rPr>
          <w:rStyle w:val="32"/>
          <w:rFonts w:hint="default" w:ascii="Times New Roman" w:hAnsi="Times New Roman" w:eastAsia="仿宋" w:cs="Times New Roman"/>
          <w:b w:val="0"/>
          <w:bCs w:val="0"/>
          <w:color w:val="auto"/>
          <w:sz w:val="32"/>
          <w:szCs w:val="32"/>
          <w:highlight w:val="none"/>
        </w:rPr>
        <w:t>十一、</w:t>
      </w:r>
      <w:bookmarkEnd w:id="64"/>
      <w:r>
        <w:rPr>
          <w:rFonts w:hint="default" w:ascii="Times New Roman" w:hAnsi="Times New Roman" w:eastAsia="仿宋" w:cs="Times New Roman"/>
          <w:b w:val="0"/>
          <w:color w:val="auto"/>
          <w:sz w:val="32"/>
          <w:szCs w:val="32"/>
          <w:highlight w:val="none"/>
        </w:rPr>
        <w:t>国</w:t>
      </w:r>
      <w:r>
        <w:rPr>
          <w:rStyle w:val="32"/>
          <w:rFonts w:hint="default" w:ascii="Times New Roman" w:hAnsi="Times New Roman" w:eastAsia="仿宋" w:cs="Times New Roman"/>
          <w:b w:val="0"/>
          <w:bCs w:val="0"/>
          <w:color w:val="auto"/>
          <w:sz w:val="32"/>
          <w:szCs w:val="32"/>
          <w:highlight w:val="none"/>
        </w:rPr>
        <w:t>有资本经营预算</w:t>
      </w:r>
      <w:r>
        <w:rPr>
          <w:rStyle w:val="32"/>
          <w:rFonts w:hint="default" w:ascii="Times New Roman" w:hAnsi="Times New Roman" w:eastAsia="仿宋" w:cs="Times New Roman"/>
          <w:b w:val="0"/>
          <w:bCs w:val="0"/>
          <w:color w:val="auto"/>
          <w:sz w:val="32"/>
          <w:szCs w:val="32"/>
          <w:highlight w:val="none"/>
          <w:lang w:eastAsia="zh-CN"/>
        </w:rPr>
        <w:t>财政拨款收入</w:t>
      </w:r>
      <w:r>
        <w:rPr>
          <w:rStyle w:val="32"/>
          <w:rFonts w:hint="default" w:ascii="Times New Roman" w:hAnsi="Times New Roman" w:eastAsia="仿宋" w:cs="Times New Roman"/>
          <w:b w:val="0"/>
          <w:bCs w:val="0"/>
          <w:color w:val="auto"/>
          <w:sz w:val="32"/>
          <w:szCs w:val="32"/>
          <w:highlight w:val="none"/>
        </w:rPr>
        <w:t>支出决算表</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default" w:ascii="Times New Roman" w:hAnsi="Times New Roman" w:eastAsia="仿宋" w:cs="Times New Roman"/>
          <w:color w:val="auto"/>
          <w:sz w:val="32"/>
          <w:szCs w:val="32"/>
          <w:highlight w:val="none"/>
        </w:rPr>
      </w:pPr>
      <w:bookmarkStart w:id="65" w:name="_Toc15396630"/>
      <w:r>
        <w:rPr>
          <w:rStyle w:val="32"/>
          <w:rFonts w:hint="default" w:ascii="Times New Roman" w:hAnsi="Times New Roman" w:eastAsia="仿宋" w:cs="Times New Roman"/>
          <w:b w:val="0"/>
          <w:bCs w:val="0"/>
          <w:color w:val="auto"/>
          <w:sz w:val="32"/>
          <w:szCs w:val="32"/>
          <w:highlight w:val="none"/>
        </w:rPr>
        <w:t>十二、</w:t>
      </w:r>
      <w:bookmarkEnd w:id="65"/>
      <w:r>
        <w:rPr>
          <w:rStyle w:val="32"/>
          <w:rFonts w:hint="default" w:ascii="Times New Roman" w:hAnsi="Times New Roman" w:eastAsia="仿宋" w:cs="Times New Roman"/>
          <w:b w:val="0"/>
          <w:bCs w:val="0"/>
          <w:color w:val="auto"/>
          <w:sz w:val="32"/>
          <w:szCs w:val="32"/>
          <w:highlight w:val="none"/>
          <w:lang w:eastAsia="zh-CN"/>
        </w:rPr>
        <w:t>国有资本经营预算财政拨款支出决算表</w:t>
      </w:r>
    </w:p>
    <w:p>
      <w:pPr>
        <w:pStyle w:val="4"/>
        <w:keepNext w:val="0"/>
        <w:keepLines w:val="0"/>
        <w:pageBreakBefore w:val="0"/>
        <w:widowControl w:val="0"/>
        <w:kinsoku/>
        <w:wordWrap/>
        <w:overflowPunct/>
        <w:topLinePunct w:val="0"/>
        <w:autoSpaceDE/>
        <w:autoSpaceDN/>
        <w:bidi w:val="0"/>
        <w:adjustRightInd/>
        <w:snapToGrid/>
        <w:spacing w:before="0" w:after="0" w:line="576" w:lineRule="exact"/>
        <w:ind w:firstLine="640" w:firstLineChars="200"/>
        <w:jc w:val="both"/>
        <w:textAlignment w:val="auto"/>
        <w:rPr>
          <w:rFonts w:hint="default" w:ascii="Times New Roman" w:hAnsi="Times New Roman" w:eastAsia="仿宋" w:cs="Times New Roman"/>
          <w:color w:val="auto"/>
          <w:sz w:val="32"/>
          <w:szCs w:val="32"/>
          <w:highlight w:val="none"/>
          <w:lang w:eastAsia="zh-CN"/>
        </w:rPr>
      </w:pPr>
      <w:bookmarkStart w:id="66" w:name="_Toc15396631"/>
      <w:r>
        <w:rPr>
          <w:rStyle w:val="32"/>
          <w:rFonts w:hint="default" w:ascii="Times New Roman" w:hAnsi="Times New Roman" w:eastAsia="仿宋" w:cs="Times New Roman"/>
          <w:b w:val="0"/>
          <w:bCs w:val="0"/>
          <w:color w:val="auto"/>
          <w:sz w:val="32"/>
          <w:szCs w:val="32"/>
          <w:highlight w:val="none"/>
        </w:rPr>
        <w:t>十三、</w:t>
      </w:r>
      <w:bookmarkEnd w:id="66"/>
      <w:r>
        <w:rPr>
          <w:rStyle w:val="32"/>
          <w:rFonts w:hint="default" w:ascii="Times New Roman" w:hAnsi="Times New Roman" w:eastAsia="仿宋" w:cs="Times New Roman"/>
          <w:b w:val="0"/>
          <w:bCs w:val="0"/>
          <w:color w:val="auto"/>
          <w:sz w:val="32"/>
          <w:szCs w:val="32"/>
          <w:highlight w:val="none"/>
          <w:lang w:eastAsia="zh-CN"/>
        </w:rPr>
        <w:t>财政拨款“三公”经费支出决算表</w:t>
      </w:r>
    </w:p>
    <w:sectPr>
      <w:headerReference r:id="rId6" w:type="default"/>
      <w:footerReference r:id="rId7" w:type="default"/>
      <w:pgSz w:w="11905" w:h="16838"/>
      <w:pgMar w:top="2098" w:right="1474" w:bottom="1984" w:left="1587" w:header="850" w:footer="1531" w:gutter="0"/>
      <w:pgNumType w:fmt="decimal"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11"/>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0" o:spid="_x0000_s1026" o:spt="1"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5dblS0AAAAAUBAAAPAAAAAAAAAAEAIAAAACIAAABkcnMvZG93bnJldi54bWxQ&#10;SwECFAAUAAAACACHTuJAb2OlX/8BAAALBAAADgAAAAAAAAABACAAAAAfAQAAZHJzL2Uyb0RvYy54&#10;bWxQSwUGAAAAAAYABgBZAQAAkAUAAAAA&#10;">
              <v:fill on="f" focussize="0,0"/>
              <v:stroke on="f"/>
              <v:imagedata o:title=""/>
              <o:lock v:ext="edit" aspectratio="f"/>
              <v:textbox inset="0mm,0mm,0mm,0mm" style="mso-fit-shape-to-text:t;">
                <w:txbxContent>
                  <w:p>
                    <w:pPr>
                      <w:pStyle w:val="11"/>
                      <w:keepNext w:val="0"/>
                      <w:keepLines w:val="0"/>
                      <w:pageBreakBefore w:val="0"/>
                      <w:widowControl w:val="0"/>
                      <w:kinsoku/>
                      <w:wordWrap/>
                      <w:overflowPunct/>
                      <w:topLinePunct w:val="0"/>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chineseCounting"/>
      <w:suff w:val="nothing"/>
      <w:lvlText w:val="（%1）"/>
      <w:lvlJc w:val="left"/>
      <w:rPr>
        <w:rFonts w:hint="eastAsia"/>
      </w:rPr>
    </w:lvl>
  </w:abstractNum>
  <w:abstractNum w:abstractNumId="1">
    <w:nsid w:val="BF205925"/>
    <w:multiLevelType w:val="singleLevel"/>
    <w:tmpl w:val="BF205925"/>
    <w:lvl w:ilvl="0" w:tentative="0">
      <w:start w:val="1"/>
      <w:numFmt w:val="chineseCounting"/>
      <w:suff w:val="nothing"/>
      <w:lvlText w:val="%1、"/>
      <w:lvlJc w:val="left"/>
      <w:rPr>
        <w:rFonts w:hint="eastAsia"/>
      </w:rPr>
    </w:lvl>
  </w:abstractNum>
  <w:abstractNum w:abstractNumId="2">
    <w:nsid w:val="CF092B84"/>
    <w:multiLevelType w:val="singleLevel"/>
    <w:tmpl w:val="CF092B84"/>
    <w:lvl w:ilvl="0" w:tentative="0">
      <w:start w:val="9"/>
      <w:numFmt w:val="chineseCounting"/>
      <w:suff w:val="nothing"/>
      <w:lvlText w:val="%1、"/>
      <w:lvlJc w:val="left"/>
      <w:rPr>
        <w:rFonts w:hint="eastAsia"/>
      </w:rPr>
    </w:lvl>
  </w:abstractNum>
  <w:abstractNum w:abstractNumId="3">
    <w:nsid w:val="0053208E"/>
    <w:multiLevelType w:val="singleLevel"/>
    <w:tmpl w:val="0053208E"/>
    <w:lvl w:ilvl="0" w:tentative="0">
      <w:start w:val="1"/>
      <w:numFmt w:val="chineseCounting"/>
      <w:suff w:val="nothing"/>
      <w:lvlText w:val="%1、"/>
      <w:lvlJc w:val="left"/>
      <w:rPr>
        <w:rFonts w:hint="eastAsia"/>
      </w:rPr>
    </w:lvl>
  </w:abstractNum>
  <w:abstractNum w:abstractNumId="4">
    <w:nsid w:val="0248C179"/>
    <w:multiLevelType w:val="singleLevel"/>
    <w:tmpl w:val="0248C179"/>
    <w:lvl w:ilvl="0" w:tentative="0">
      <w:start w:val="4"/>
      <w:numFmt w:val="chineseCounting"/>
      <w:suff w:val="nothing"/>
      <w:lvlText w:val="%1、"/>
      <w:lvlJc w:val="left"/>
      <w:rPr>
        <w:rFonts w:hint="eastAsia"/>
      </w:rPr>
    </w:lvl>
  </w:abstractNum>
  <w:abstractNum w:abstractNumId="5">
    <w:nsid w:val="03D62ECE"/>
    <w:multiLevelType w:val="singleLevel"/>
    <w:tmpl w:val="03D62ECE"/>
    <w:lvl w:ilvl="0" w:tentative="0">
      <w:start w:val="4"/>
      <w:numFmt w:val="chineseCounting"/>
      <w:suff w:val="nothing"/>
      <w:lvlText w:val="（%1）"/>
      <w:lvlJc w:val="left"/>
      <w:rPr>
        <w:rFonts w:hint="eastAsia"/>
      </w:rPr>
    </w:lvl>
  </w:abstractNum>
  <w:abstractNum w:abstractNumId="6">
    <w:nsid w:val="25B654F3"/>
    <w:multiLevelType w:val="singleLevel"/>
    <w:tmpl w:val="25B654F3"/>
    <w:lvl w:ilvl="0" w:tentative="0">
      <w:start w:val="1"/>
      <w:numFmt w:val="chineseCounting"/>
      <w:suff w:val="nothing"/>
      <w:lvlText w:val="%1、"/>
      <w:lvlJc w:val="left"/>
    </w:lvl>
  </w:abstractNum>
  <w:abstractNum w:abstractNumId="7">
    <w:nsid w:val="59ADCABA"/>
    <w:multiLevelType w:val="singleLevel"/>
    <w:tmpl w:val="59ADCABA"/>
    <w:lvl w:ilvl="0" w:tentative="0">
      <w:start w:val="3"/>
      <w:numFmt w:val="chineseCounting"/>
      <w:suff w:val="space"/>
      <w:lvlText w:val="第%1部分"/>
      <w:lvlJc w:val="left"/>
      <w:rPr>
        <w:rFonts w:hint="eastAsia"/>
      </w:rPr>
    </w:lvl>
  </w:abstractNum>
  <w:abstractNum w:abstractNumId="8">
    <w:nsid w:val="72183CF9"/>
    <w:multiLevelType w:val="singleLevel"/>
    <w:tmpl w:val="72183CF9"/>
    <w:lvl w:ilvl="0" w:tentative="0">
      <w:start w:val="1"/>
      <w:numFmt w:val="chineseCounting"/>
      <w:suff w:val="nothing"/>
      <w:lvlText w:val="（%1）"/>
      <w:lvlJc w:val="left"/>
      <w:rPr>
        <w:rFonts w:hint="eastAsia"/>
      </w:rPr>
    </w:lvl>
  </w:abstractNum>
  <w:num w:numId="1">
    <w:abstractNumId w:val="3"/>
  </w:num>
  <w:num w:numId="2">
    <w:abstractNumId w:val="2"/>
  </w:num>
  <w:num w:numId="3">
    <w:abstractNumId w:val="7"/>
  </w:num>
  <w:num w:numId="4">
    <w:abstractNumId w:val="1"/>
  </w:num>
  <w:num w:numId="5">
    <w:abstractNumId w:val="0"/>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210"/>
  <w:drawingGridVerticalSpacing w:val="9999999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MzA3ODczZTMyNTE1MjljZDY4N2YxOTA4NDY2OTMifQ=="/>
  </w:docVars>
  <w:rsids>
    <w:rsidRoot w:val="00000000"/>
    <w:rsid w:val="08EC3A1E"/>
    <w:rsid w:val="12A7331B"/>
    <w:rsid w:val="23B7040A"/>
    <w:rsid w:val="3191526C"/>
    <w:rsid w:val="73AE2948"/>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20">
    <w:name w:val="Default Paragraph Font"/>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6">
    <w:name w:val="index 8"/>
    <w:basedOn w:val="1"/>
    <w:next w:val="1"/>
    <w:unhideWhenUsed/>
    <w:qFormat/>
    <w:uiPriority w:val="99"/>
    <w:pPr>
      <w:ind w:left="2940"/>
    </w:pPr>
    <w:rPr>
      <w:rFonts w:cs="黑体"/>
      <w:szCs w:val="22"/>
    </w:rPr>
  </w:style>
  <w:style w:type="paragraph" w:styleId="7">
    <w:name w:val="Body Text"/>
    <w:basedOn w:val="1"/>
    <w:link w:val="29"/>
    <w:qFormat/>
    <w:uiPriority w:val="99"/>
    <w:pPr>
      <w:spacing w:beforeLines="30"/>
    </w:pPr>
    <w:rPr>
      <w:rFonts w:ascii="仿宋_GB2312" w:eastAsia="仿宋_GB2312"/>
      <w:kern w:val="0"/>
      <w:sz w:val="30"/>
    </w:rPr>
  </w:style>
  <w:style w:type="paragraph" w:styleId="8">
    <w:name w:val="Body Text Indent"/>
    <w:basedOn w:val="1"/>
    <w:qFormat/>
    <w:uiPriority w:val="0"/>
    <w:pPr>
      <w:spacing w:after="120"/>
      <w:ind w:leftChars="200"/>
    </w:pPr>
    <w:rPr>
      <w:rFonts w:ascii="仿宋_GB2312"/>
      <w:szCs w:val="32"/>
    </w:rPr>
  </w:style>
  <w:style w:type="paragraph" w:styleId="9">
    <w:name w:val="toc 3"/>
    <w:basedOn w:val="1"/>
    <w:next w:val="1"/>
    <w:unhideWhenUsed/>
    <w:qFormat/>
    <w:uiPriority w:val="39"/>
    <w:pPr>
      <w:tabs>
        <w:tab w:val="right" w:leader="dot" w:pos="8296"/>
      </w:tabs>
      <w:ind w:left="840" w:leftChars="400"/>
    </w:pPr>
  </w:style>
  <w:style w:type="paragraph" w:styleId="10">
    <w:name w:val="Balloon Text"/>
    <w:basedOn w:val="1"/>
    <w:link w:val="34"/>
    <w:semiHidden/>
    <w:unhideWhenUsed/>
    <w:qFormat/>
    <w:uiPriority w:val="99"/>
    <w:rPr>
      <w:sz w:val="18"/>
      <w:szCs w:val="18"/>
    </w:rPr>
  </w:style>
  <w:style w:type="paragraph" w:styleId="11">
    <w:name w:val="footer"/>
    <w:basedOn w:val="1"/>
    <w:link w:val="27"/>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25"/>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4">
    <w:name w:val="table of figures"/>
    <w:basedOn w:val="1"/>
    <w:next w:val="1"/>
    <w:qFormat/>
    <w:uiPriority w:val="0"/>
    <w:pPr>
      <w:ind w:left="200" w:leftChars="200" w:hanging="200" w:hangingChars="200"/>
    </w:pPr>
  </w:style>
  <w:style w:type="paragraph" w:styleId="15">
    <w:name w:val="toc 2"/>
    <w:basedOn w:val="1"/>
    <w:next w:val="1"/>
    <w:unhideWhenUsed/>
    <w:qFormat/>
    <w:uiPriority w:val="39"/>
    <w:pPr>
      <w:tabs>
        <w:tab w:val="right" w:leader="dot" w:pos="8296"/>
      </w:tabs>
      <w:ind w:left="420" w:leftChars="200"/>
    </w:pPr>
  </w:style>
  <w:style w:type="paragraph" w:styleId="1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rPr>
  </w:style>
  <w:style w:type="paragraph" w:styleId="17">
    <w:name w:val="Body Text First Indent 2"/>
    <w:basedOn w:val="8"/>
    <w:next w:val="1"/>
    <w:unhideWhenUsed/>
    <w:qFormat/>
    <w:uiPriority w:val="99"/>
    <w:pPr>
      <w:ind w:firstLine="420" w:firstLineChars="200"/>
    </w:pPr>
  </w:style>
  <w:style w:type="table" w:styleId="1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Strong"/>
    <w:basedOn w:val="20"/>
    <w:qFormat/>
    <w:uiPriority w:val="99"/>
    <w:rPr>
      <w:b/>
    </w:rPr>
  </w:style>
  <w:style w:type="character" w:styleId="22">
    <w:name w:val="Hyperlink"/>
    <w:basedOn w:val="20"/>
    <w:unhideWhenUsed/>
    <w:qFormat/>
    <w:uiPriority w:val="99"/>
    <w:rPr>
      <w:color w:val="0000FF" w:themeColor="hyperlink"/>
      <w:u w:val="single"/>
      <w14:textFill>
        <w14:solidFill>
          <w14:schemeClr w14:val="hlink"/>
        </w14:solidFill>
      </w14:textFill>
    </w:rPr>
  </w:style>
  <w:style w:type="paragraph" w:customStyle="1" w:styleId="23">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4">
    <w:name w:val="Header Char"/>
    <w:basedOn w:val="20"/>
    <w:semiHidden/>
    <w:qFormat/>
    <w:uiPriority w:val="99"/>
    <w:rPr>
      <w:rFonts w:ascii="Times New Roman" w:hAnsi="Times New Roman"/>
      <w:sz w:val="18"/>
      <w:szCs w:val="18"/>
    </w:rPr>
  </w:style>
  <w:style w:type="character" w:customStyle="1" w:styleId="25">
    <w:name w:val="页眉 Char"/>
    <w:link w:val="12"/>
    <w:semiHidden/>
    <w:qFormat/>
    <w:locked/>
    <w:uiPriority w:val="99"/>
    <w:rPr>
      <w:sz w:val="18"/>
    </w:rPr>
  </w:style>
  <w:style w:type="character" w:customStyle="1" w:styleId="26">
    <w:name w:val="Footer Char"/>
    <w:basedOn w:val="20"/>
    <w:semiHidden/>
    <w:qFormat/>
    <w:uiPriority w:val="99"/>
    <w:rPr>
      <w:rFonts w:ascii="Times New Roman" w:hAnsi="Times New Roman"/>
      <w:sz w:val="18"/>
      <w:szCs w:val="18"/>
    </w:rPr>
  </w:style>
  <w:style w:type="character" w:customStyle="1" w:styleId="27">
    <w:name w:val="页脚 Char"/>
    <w:link w:val="11"/>
    <w:qFormat/>
    <w:locked/>
    <w:uiPriority w:val="99"/>
    <w:rPr>
      <w:sz w:val="18"/>
    </w:rPr>
  </w:style>
  <w:style w:type="character" w:customStyle="1" w:styleId="28">
    <w:name w:val="Body Text Char"/>
    <w:basedOn w:val="20"/>
    <w:semiHidden/>
    <w:qFormat/>
    <w:uiPriority w:val="99"/>
    <w:rPr>
      <w:rFonts w:ascii="Times New Roman" w:hAnsi="Times New Roman"/>
      <w:szCs w:val="24"/>
    </w:rPr>
  </w:style>
  <w:style w:type="character" w:customStyle="1" w:styleId="29">
    <w:name w:val="正文文本 Char"/>
    <w:link w:val="7"/>
    <w:qFormat/>
    <w:locked/>
    <w:uiPriority w:val="99"/>
    <w:rPr>
      <w:rFonts w:ascii="仿宋_GB2312" w:hAnsi="Times New Roman" w:eastAsia="仿宋_GB2312"/>
      <w:sz w:val="24"/>
    </w:rPr>
  </w:style>
  <w:style w:type="paragraph" w:styleId="30">
    <w:name w:val="List Paragraph"/>
    <w:basedOn w:val="1"/>
    <w:qFormat/>
    <w:uiPriority w:val="34"/>
    <w:pPr>
      <w:ind w:firstLine="420" w:firstLineChars="200"/>
    </w:pPr>
  </w:style>
  <w:style w:type="character" w:customStyle="1" w:styleId="31">
    <w:name w:val="标题 1 Char"/>
    <w:basedOn w:val="20"/>
    <w:link w:val="3"/>
    <w:qFormat/>
    <w:uiPriority w:val="9"/>
    <w:rPr>
      <w:rFonts w:ascii="Times New Roman" w:hAnsi="Times New Roman"/>
      <w:b/>
      <w:bCs/>
      <w:kern w:val="44"/>
      <w:sz w:val="44"/>
      <w:szCs w:val="44"/>
    </w:rPr>
  </w:style>
  <w:style w:type="character" w:customStyle="1" w:styleId="32">
    <w:name w:val="标题 2 Char"/>
    <w:basedOn w:val="20"/>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Char"/>
    <w:basedOn w:val="20"/>
    <w:link w:val="10"/>
    <w:semiHidden/>
    <w:qFormat/>
    <w:uiPriority w:val="99"/>
    <w:rPr>
      <w:rFonts w:ascii="Times New Roman" w:hAnsi="Times New Roman"/>
      <w:kern w:val="2"/>
      <w:sz w:val="18"/>
      <w:szCs w:val="18"/>
    </w:rPr>
  </w:style>
  <w:style w:type="character" w:customStyle="1" w:styleId="35">
    <w:name w:val="标题 3 Char"/>
    <w:basedOn w:val="20"/>
    <w:link w:val="5"/>
    <w:qFormat/>
    <w:uiPriority w:val="9"/>
    <w:rPr>
      <w:rFonts w:ascii="Times New Roman" w:hAnsi="Times New Roman"/>
      <w:b/>
      <w:bCs/>
      <w:kern w:val="2"/>
      <w:sz w:val="32"/>
      <w:szCs w:val="32"/>
    </w:rPr>
  </w:style>
  <w:style w:type="paragraph" w:customStyle="1" w:styleId="36">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eastAsia="宋体"/>
      <w:color w:val="000000"/>
      <w:kern w:val="0"/>
      <w:sz w:val="28"/>
      <w:szCs w:val="21"/>
      <w:lang w:val="zh-CN" w:eastAsia="zh-CN"/>
    </w:rPr>
  </w:style>
  <w:style w:type="paragraph" w:customStyle="1" w:styleId="38">
    <w:name w:val="正文-啊"/>
    <w:basedOn w:val="1"/>
    <w:qFormat/>
    <w:uiPriority w:val="0"/>
    <w:pPr>
      <w:spacing w:beforeLines="100" w:line="276" w:lineRule="auto"/>
      <w:ind w:left="210" w:right="210" w:firstLine="600"/>
      <w:contextualSpacing/>
    </w:pPr>
    <w:rPr>
      <w:rFonts w:ascii="微软雅黑" w:hAnsi="微软雅黑"/>
      <w:color w:val="000000"/>
      <w:sz w:val="24"/>
      <w:szCs w:val="21"/>
    </w:rPr>
  </w:style>
  <w:style w:type="character" w:customStyle="1" w:styleId="39">
    <w:name w:val="font61"/>
    <w:basedOn w:val="20"/>
    <w:qFormat/>
    <w:uiPriority w:val="0"/>
    <w:rPr>
      <w:rFonts w:hint="default" w:ascii="Arial" w:hAnsi="Arial" w:cs="Arial"/>
      <w:color w:val="000000"/>
      <w:sz w:val="20"/>
      <w:szCs w:val="20"/>
      <w:u w:val="none"/>
    </w:rPr>
  </w:style>
  <w:style w:type="character" w:customStyle="1" w:styleId="40">
    <w:name w:val="font51"/>
    <w:basedOn w:val="20"/>
    <w:qFormat/>
    <w:uiPriority w:val="0"/>
    <w:rPr>
      <w:rFonts w:hint="eastAsia" w:ascii="宋体" w:hAnsi="宋体" w:eastAsia="宋体" w:cs="宋体"/>
      <w:color w:val="000000"/>
      <w:sz w:val="20"/>
      <w:szCs w:val="20"/>
      <w:u w:val="none"/>
    </w:rPr>
  </w:style>
  <w:style w:type="character" w:customStyle="1" w:styleId="41">
    <w:name w:val="font71"/>
    <w:basedOn w:val="20"/>
    <w:qFormat/>
    <w:uiPriority w:val="0"/>
    <w:rPr>
      <w:rFonts w:hint="default" w:ascii="Arial" w:hAnsi="Arial" w:cs="Arial"/>
      <w:color w:val="000000"/>
      <w:sz w:val="20"/>
      <w:szCs w:val="20"/>
      <w:u w:val="none"/>
    </w:rPr>
  </w:style>
  <w:style w:type="character" w:customStyle="1" w:styleId="42">
    <w:name w:val="font4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4.xml"/><Relationship Id="rId2" Type="http://schemas.openxmlformats.org/officeDocument/2006/relationships/settings" Target="settings.xml"/><Relationship Id="rId19" Type="http://schemas.openxmlformats.org/officeDocument/2006/relationships/customXml" Target="../customXml/item3.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收、支决算总计变动情况图</a:t>
            </a:r>
          </a:p>
        </c:rich>
      </c:tx>
      <c:layout>
        <c:manualLayout>
          <c:xMode val="edge"/>
          <c:yMode val="edge"/>
          <c:x val="0.270552471583399"/>
          <c:y val="0.0317119694802098"/>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收入决算(万)</c:v>
                </c:pt>
                <c:pt idx="1">
                  <c:v>支出决算（万）</c:v>
                </c:pt>
              </c:strCache>
            </c:strRef>
          </c:cat>
          <c:val>
            <c:numRef>
              <c:f>Sheet1!$B$2:$B$3</c:f>
              <c:numCache>
                <c:formatCode>General</c:formatCode>
                <c:ptCount val="2"/>
                <c:pt idx="0">
                  <c:v>207.96</c:v>
                </c:pt>
                <c:pt idx="1">
                  <c:v>207.96</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收入决算(万)</c:v>
                </c:pt>
                <c:pt idx="1">
                  <c:v>支出决算（万）</c:v>
                </c:pt>
              </c:strCache>
            </c:strRef>
          </c:cat>
          <c:val>
            <c:numRef>
              <c:f>Sheet1!$C$2:$C$3</c:f>
              <c:numCache>
                <c:formatCode>General</c:formatCode>
                <c:ptCount val="2"/>
                <c:pt idx="0">
                  <c:v>240.97</c:v>
                </c:pt>
                <c:pt idx="1">
                  <c:v>240.97</c:v>
                </c:pt>
              </c:numCache>
            </c:numRef>
          </c:val>
        </c:ser>
        <c:dLbls>
          <c:showLegendKey val="0"/>
          <c:showVal val="1"/>
          <c:showCatName val="0"/>
          <c:showSerName val="0"/>
          <c:showPercent val="0"/>
          <c:showBubbleSize val="0"/>
        </c:dLbls>
        <c:gapWidth val="246"/>
        <c:overlap val="-28"/>
        <c:axId val="273213911"/>
        <c:axId val="603446174"/>
      </c:barChart>
      <c:catAx>
        <c:axId val="27321391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3446174"/>
        <c:crosses val="autoZero"/>
        <c:auto val="1"/>
        <c:lblAlgn val="ctr"/>
        <c:lblOffset val="100"/>
        <c:noMultiLvlLbl val="0"/>
      </c:catAx>
      <c:valAx>
        <c:axId val="603446174"/>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3213911"/>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收入决算</c:v>
                </c:pt>
              </c:strCache>
            </c:strRef>
          </c:tx>
          <c:explosion val="0"/>
          <c:dPt>
            <c:idx val="0"/>
            <c:bubble3D val="0"/>
            <c:spPr>
              <a:solidFill>
                <a:schemeClr val="accent1"/>
              </a:solidFill>
              <a:ln>
                <a:solidFill>
                  <a:schemeClr val="bg1"/>
                </a:solidFill>
              </a:ln>
              <a:effectLst/>
            </c:spPr>
          </c:dPt>
          <c:dLbls>
            <c:dLbl>
              <c:idx val="0"/>
              <c:layout>
                <c:manualLayout>
                  <c:x val="0.0174578042274203"/>
                  <c:y val="-0.29723801610352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2200" b="0" i="0" u="none" strike="noStrike" kern="1200" baseline="0">
                      <a:solidFill>
                        <a:srgbClr val="FFFF00"/>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204056055599863"/>
                      <c:h val="0.222404259676428"/>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FFFF00"/>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一般公共预算财政拨款收入(万元)</c:v>
                </c:pt>
              </c:strCache>
            </c:strRef>
          </c:cat>
          <c:val>
            <c:numRef>
              <c:f>Sheet1!$B$2</c:f>
              <c:numCache>
                <c:formatCode>General</c:formatCode>
                <c:ptCount val="1"/>
                <c:pt idx="0">
                  <c:v>240.97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55262427103582"/>
          <c:y val="0.853119180633147"/>
          <c:w val="0.406414884754235"/>
          <c:h val="0.077979515828677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支出决算</c:v>
                </c:pt>
              </c:strCache>
            </c:strRef>
          </c:tx>
          <c:explosion val="0"/>
          <c:dPt>
            <c:idx val="0"/>
            <c:bubble3D val="0"/>
            <c:spPr>
              <a:solidFill>
                <a:schemeClr val="accent1"/>
              </a:solidFill>
              <a:ln>
                <a:solidFill>
                  <a:schemeClr val="bg1"/>
                </a:solidFill>
              </a:ln>
              <a:effectLst/>
            </c:spPr>
          </c:dPt>
          <c:dLbls>
            <c:dLbl>
              <c:idx val="0"/>
              <c:layout>
                <c:manualLayout>
                  <c:x val="-0.00302072838192183"/>
                  <c:y val="-0.32865345657192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zh-CN" sz="1600" b="0" i="0" u="none" strike="noStrike" kern="1200" baseline="0">
                      <a:solidFill>
                        <a:srgbClr val="FFFF00"/>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manualLayout>
                      <c:w val="0.150036240637835"/>
                      <c:h val="0.111559711007225"/>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基本支出（万）</c:v>
                </c:pt>
              </c:strCache>
            </c:strRef>
          </c:cat>
          <c:val>
            <c:numRef>
              <c:f>Sheet1!$B$2</c:f>
              <c:numCache>
                <c:formatCode>General</c:formatCode>
                <c:ptCount val="1"/>
                <c:pt idx="0">
                  <c:v>240.97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manualLayout>
          <c:xMode val="edge"/>
          <c:yMode val="edge"/>
          <c:x val="0.680961584923895"/>
          <c:y val="0.8648533786655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财政拨款收、支决算总计变动情况图</a:t>
            </a:r>
          </a:p>
        </c:rich>
      </c:tx>
      <c:layout>
        <c:manualLayout>
          <c:xMode val="edge"/>
          <c:yMode val="edge"/>
          <c:x val="0.270552471583399"/>
          <c:y val="0.0317119694802098"/>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收入决算(万)</c:v>
                </c:pt>
                <c:pt idx="1">
                  <c:v>支出决算（万）</c:v>
                </c:pt>
              </c:strCache>
            </c:strRef>
          </c:cat>
          <c:val>
            <c:numRef>
              <c:f>Sheet1!$B$2:$B$3</c:f>
              <c:numCache>
                <c:formatCode>General</c:formatCode>
                <c:ptCount val="2"/>
                <c:pt idx="0">
                  <c:v>207.96</c:v>
                </c:pt>
                <c:pt idx="1">
                  <c:v>207.96</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收入决算(万)</c:v>
                </c:pt>
                <c:pt idx="1">
                  <c:v>支出决算（万）</c:v>
                </c:pt>
              </c:strCache>
            </c:strRef>
          </c:cat>
          <c:val>
            <c:numRef>
              <c:f>Sheet1!$C$2:$C$3</c:f>
              <c:numCache>
                <c:formatCode>General</c:formatCode>
                <c:ptCount val="2"/>
                <c:pt idx="0">
                  <c:v>240.97</c:v>
                </c:pt>
                <c:pt idx="1">
                  <c:v>240.97</c:v>
                </c:pt>
              </c:numCache>
            </c:numRef>
          </c:val>
        </c:ser>
        <c:dLbls>
          <c:showLegendKey val="0"/>
          <c:showVal val="1"/>
          <c:showCatName val="0"/>
          <c:showSerName val="0"/>
          <c:showPercent val="0"/>
          <c:showBubbleSize val="0"/>
        </c:dLbls>
        <c:gapWidth val="246"/>
        <c:overlap val="-28"/>
        <c:axId val="273213911"/>
        <c:axId val="603446174"/>
      </c:barChart>
      <c:catAx>
        <c:axId val="27321391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3446174"/>
        <c:crosses val="autoZero"/>
        <c:auto val="1"/>
        <c:lblAlgn val="ctr"/>
        <c:lblOffset val="100"/>
        <c:noMultiLvlLbl val="0"/>
      </c:catAx>
      <c:valAx>
        <c:axId val="603446174"/>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3213911"/>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一般公共预算财政拨款支出决算（万）</c:v>
                </c:pt>
              </c:strCache>
            </c:strRef>
          </c:cat>
          <c:val>
            <c:numRef>
              <c:f>Sheet1!$B$2</c:f>
              <c:numCache>
                <c:formatCode>General</c:formatCode>
                <c:ptCount val="1"/>
                <c:pt idx="0">
                  <c:v>207.96</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trendline>
            <c:spPr>
              <a:ln w="19050" cap="rnd" cmpd="sng" algn="ctr">
                <a:solidFill>
                  <a:schemeClr val="accent2"/>
                </a:solidFill>
                <a:prstDash val="sysDot"/>
                <a:round/>
              </a:ln>
              <a:effectLst/>
            </c:spPr>
            <c:trendlineType val="linear"/>
            <c:dispRSqr val="0"/>
            <c:dispEq val="0"/>
          </c:trendline>
          <c:trendline>
            <c:spPr>
              <a:ln w="19050" cap="rnd" cmpd="sng" algn="ctr">
                <a:solidFill>
                  <a:schemeClr val="accent2"/>
                </a:solidFill>
                <a:prstDash val="sysDot"/>
                <a:round/>
              </a:ln>
              <a:effectLst/>
            </c:spPr>
            <c:trendlineType val="linear"/>
            <c:dispRSqr val="0"/>
            <c:dispEq val="0"/>
          </c:trendline>
          <c:cat>
            <c:strRef>
              <c:f>Sheet1!$A$2</c:f>
              <c:strCache>
                <c:ptCount val="1"/>
                <c:pt idx="0">
                  <c:v>一般公共预算财政拨款支出决算（万）</c:v>
                </c:pt>
              </c:strCache>
            </c:strRef>
          </c:cat>
          <c:val>
            <c:numRef>
              <c:f>Sheet1!$C$2</c:f>
              <c:numCache>
                <c:formatCode>General</c:formatCode>
                <c:ptCount val="1"/>
                <c:pt idx="0">
                  <c:v>240.97</c:v>
                </c:pt>
              </c:numCache>
            </c:numRef>
          </c:val>
        </c:ser>
        <c:dLbls>
          <c:showLegendKey val="0"/>
          <c:showVal val="1"/>
          <c:showCatName val="0"/>
          <c:showSerName val="0"/>
          <c:showPercent val="0"/>
          <c:showBubbleSize val="0"/>
        </c:dLbls>
        <c:gapWidth val="219"/>
        <c:overlap val="-27"/>
        <c:axId val="995820991"/>
        <c:axId val="60232198"/>
      </c:barChart>
      <c:catAx>
        <c:axId val="995820991"/>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232198"/>
        <c:crosses val="autoZero"/>
        <c:auto val="1"/>
        <c:lblAlgn val="ctr"/>
        <c:lblOffset val="100"/>
        <c:noMultiLvlLbl val="0"/>
      </c:catAx>
      <c:valAx>
        <c:axId val="6023219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5820991"/>
        <c:crosses val="autoZero"/>
        <c:crossBetween val="between"/>
      </c:valAx>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一般公共预算财政拨款支出决算结构</a:t>
            </a:r>
          </a:p>
        </c:rich>
      </c:tx>
      <c:layout/>
      <c:overlay val="0"/>
      <c:spPr>
        <a:noFill/>
        <a:ln>
          <a:noFill/>
        </a:ln>
        <a:effectLst/>
      </c:spPr>
    </c:title>
    <c:autoTitleDeleted val="0"/>
    <c:plotArea>
      <c:layout/>
      <c:pieChart>
        <c:varyColors val="1"/>
        <c:ser>
          <c:idx val="0"/>
          <c:order val="0"/>
          <c:tx>
            <c:strRef>
              <c:f>Sheet1!$B$1</c:f>
              <c:strCache>
                <c:ptCount val="1"/>
                <c:pt idx="0">
                  <c:v>一般公共预算财政拨款支出（万）</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81.79</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9</a:t>
                    </a:r>
                    <a:r>
                      <a:rPr lang="en-US" altLang="zh-CN"/>
                      <a:t>.33</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2.93</a:t>
                    </a:r>
                    <a:r>
                      <a:t>%</a:t>
                    </a:r>
                  </a:p>
                </c:rich>
              </c:tx>
              <c:dLblPos val="inEnd"/>
              <c:showLegendKey val="0"/>
              <c:showVal val="0"/>
              <c:showCatName val="0"/>
              <c:showSerName val="0"/>
              <c:showPercent val="1"/>
              <c:showBubbleSize val="0"/>
              <c:extLst>
                <c:ext xmlns:c15="http://schemas.microsoft.com/office/drawing/2012/chart" uri="{CE6537A1-D6FC-4f65-9D91-7224C49458BB}">
                  <c15:layout>
                    <c:manualLayout>
                      <c:w val="0.08325"/>
                      <c:h val="0.0788333333333333"/>
                    </c:manualLayout>
                  </c15:layout>
                </c:ext>
              </c:extLst>
            </c:dLbl>
            <c:dLbl>
              <c:idx val="3"/>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a:t>5.95</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一般公共服务（类）支出</c:v>
                </c:pt>
                <c:pt idx="1">
                  <c:v>社会保障和就业（类）支出</c:v>
                </c:pt>
                <c:pt idx="2">
                  <c:v>卫生健康支出</c:v>
                </c:pt>
                <c:pt idx="3">
                  <c:v>住房保障支出</c:v>
                </c:pt>
              </c:strCache>
            </c:strRef>
          </c:cat>
          <c:val>
            <c:numRef>
              <c:f>Sheet1!$B$2:$B$5</c:f>
              <c:numCache>
                <c:formatCode>General</c:formatCode>
                <c:ptCount val="4"/>
                <c:pt idx="0">
                  <c:v>197.1</c:v>
                </c:pt>
                <c:pt idx="1">
                  <c:v>22.49</c:v>
                </c:pt>
                <c:pt idx="2">
                  <c:v>14.33</c:v>
                </c:pt>
                <c:pt idx="3">
                  <c:v>13.99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explosion val="0"/>
          <c:dPt>
            <c:idx val="0"/>
            <c:bubble3D val="0"/>
            <c:spPr>
              <a:solidFill>
                <a:schemeClr val="accent1"/>
              </a:solidFill>
              <a:ln w="19050">
                <a:solidFill>
                  <a:schemeClr val="lt1"/>
                </a:solidFill>
              </a:ln>
              <a:effectLst/>
            </c:spPr>
          </c:dPt>
          <c:dLbls>
            <c:dLbl>
              <c:idx val="0"/>
              <c:layout>
                <c:manualLayout>
                  <c:x val="0.111374167045277"/>
                  <c:y val="-0.40372049523660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rPr lang="en-US" altLang="zh-CN" sz="1600">
                        <a:solidFill>
                          <a:srgbClr val="FFFF00"/>
                        </a:solidFill>
                        <a:latin typeface="+mj-ea"/>
                        <a:cs typeface="+mj-ea"/>
                      </a:rPr>
                      <a:t>0.8</a:t>
                    </a:r>
                    <a:endParaRPr lang="en-US" altLang="zh-CN" sz="1600">
                      <a:solidFill>
                        <a:srgbClr val="FFFF00"/>
                      </a:solidFill>
                      <a:latin typeface="+mj-ea"/>
                      <a:cs typeface="+mj-ea"/>
                    </a:endParaRPr>
                  </a:p>
                </c:rich>
              </c:tx>
              <c:dLblPos val="bestFit"/>
              <c:showLegendKey val="0"/>
              <c:showVal val="1"/>
              <c:showCatName val="0"/>
              <c:showSerName val="0"/>
              <c:showPercent val="0"/>
              <c:showBubbleSize val="0"/>
              <c:extLst>
                <c:ext xmlns:c15="http://schemas.microsoft.com/office/drawing/2012/chart" uri="{CE6537A1-D6FC-4f65-9D91-7224C49458BB}">
                  <c15:layout>
                    <c:manualLayout>
                      <c:w val="0.153"/>
                      <c:h val="0.147333333333333"/>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公务接待费支出（万）</c:v>
                </c:pt>
              </c:strCache>
            </c:strRef>
          </c:cat>
          <c:val>
            <c:numRef>
              <c:f>Sheet1!$B$2</c:f>
              <c:numCache>
                <c:formatCode>General</c:formatCode>
                <c:ptCount val="1"/>
                <c:pt idx="0">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FAF70F49279B4017B8A06D7E606AB684_13</vt:lpwstr>
  </property>
</Properties>
</file>

<file path=customXml/item3.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6</TotalTime>
  <ScaleCrop>false</ScaleCrop>
  <LinksUpToDate>false</LinksUpToDate>
  <CharactersWithSpaces>8692</CharactersWithSpaces>
  <Application>WPS Office_12.1.0.15374_F1E327BC-269C-435d-A152-05C5408002CA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笃定</cp:lastModifiedBy>
  <cp:lastPrinted>2023-10-07T02:58:00Z</cp:lastPrinted>
  <dcterms:modified xsi:type="dcterms:W3CDTF">2023-10-07T09:20:03Z</dcterms:modified>
  <dc:title>四川省***</dc:title>
  <cp:revision>32</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e55219-93f8-42f7-a703-582eb87d9e82}">
  <ds:schemaRefs/>
</ds:datastoreItem>
</file>

<file path=customXml/itemProps3.xml><?xml version="1.0" encoding="utf-8"?>
<ds:datastoreItem xmlns:ds="http://schemas.openxmlformats.org/officeDocument/2006/customXml" ds:itemID="{748aa1dc-6428-4575-9b73-48dcdf727989}">
  <ds:schemaRefs/>
</ds:datastoreItem>
</file>

<file path=customXml/itemProps4.xml><?xml version="1.0" encoding="utf-8"?>
<ds:datastoreItem xmlns:ds="http://schemas.openxmlformats.org/officeDocument/2006/customXml" ds:itemID="{26dad005-3c84-4a4a-9100-fd45284dffc0}">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44</Pages>
  <Words>19309</Words>
  <Characters>20411</Characters>
  <Lines>61</Lines>
  <Paragraphs>17</Paragraphs>
  <TotalTime>16</TotalTime>
  <ScaleCrop>false</ScaleCrop>
  <LinksUpToDate>false</LinksUpToDate>
  <CharactersWithSpaces>20589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笃定</cp:lastModifiedBy>
  <cp:lastPrinted>2023-10-07T02:58:00Z</cp:lastPrinted>
  <dcterms:modified xsi:type="dcterms:W3CDTF">2023-10-08T02:16:24Z</dcterms:modified>
  <dc:title>四川省_x002A__x002A__x002A_</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FAF70F49279B4017B8A06D7E606AB684_13</vt:lpwstr>
  </property>
</Properties>
</file>