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rPr>
          <w:rFonts w:hint="eastAsia" w:ascii="方正小标宋简体" w:hAnsi="方正小标宋简体" w:eastAsia="方正小标宋简体" w:cs="方正小标宋简体"/>
          <w:b w:val="0"/>
          <w:bCs w:val="0"/>
          <w:i w:val="0"/>
          <w:caps w:val="0"/>
          <w:color w:val="000000" w:themeColor="text1"/>
          <w:spacing w:val="0"/>
          <w:sz w:val="44"/>
          <w:szCs w:val="44"/>
          <w:highlight w:val="none"/>
          <w:lang w:val="en-US"/>
          <w14:textFill>
            <w14:solidFill>
              <w14:schemeClr w14:val="tx1"/>
            </w14:solidFill>
          </w14:textFill>
        </w:rPr>
      </w:pPr>
      <w:r>
        <w:rPr>
          <w:rFonts w:hint="eastAsia" w:ascii="方正小标宋简体" w:hAnsi="方正小标宋简体" w:eastAsia="方正小标宋简体" w:cs="方正小标宋简体"/>
          <w:i w:val="0"/>
          <w:caps w:val="0"/>
          <w:color w:val="333333"/>
          <w:spacing w:val="0"/>
          <w:kern w:val="0"/>
          <w:sz w:val="44"/>
          <w:szCs w:val="44"/>
          <w:shd w:val="clear" w:color="auto" w:fill="FFFFFF"/>
          <w:lang w:val="en-US" w:eastAsia="zh-CN" w:bidi="ar"/>
        </w:rPr>
        <w:t>中共广元市昭化区委政法委员会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2024年部门预算编制说明</w:t>
      </w:r>
    </w:p>
    <w:p>
      <w:pP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p>
    <w:p>
      <w:pPr>
        <w:jc w:val="center"/>
        <w:rPr>
          <w:rFonts w:hint="eastAsia" w:ascii="黑体" w:hAnsi="黑体" w:eastAsia="黑体" w:cs="黑体"/>
          <w:b/>
          <w:bCs/>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目   录</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一、基本职能及主要工作.............................(</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3)</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（一）单位职能简介.................................(</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3)</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（二）单位2024年重点工作...........................(4</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二、部门预算单位构成................................(6</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三、收支预算情况说明................................(6</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（一）收入预算情况..................................(</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6)</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（二）支出预算情况..................................(6</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四、财政拨款收支预算情况说明........................(</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6)</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五、一般公共预算当年拨款情况说明....................(</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7)</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（一）一般公共预算当年拨款规模变化情况..............(</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7)</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（二）一般公共预算当年拨款结构情况..................(7</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（三）一般公共预算当年拨款具体使用情况..............(</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7)</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六、一般公共预算基本支出情况说明....................(8</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七、“三公”经费财政拨款预算安排情况说明............(</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8)</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八、政府性基金预算支出情况说明......................(9</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九、国有资本经营预算支出情况说明....................(</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9)</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十、其他重要事项的情况说明........................(9</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sz w:val="32"/>
          <w:szCs w:val="32"/>
          <w:highlight w:val="none"/>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十一、名词解释....................................(</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10)</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0"/>
        <w:jc w:val="both"/>
        <w:rPr>
          <w:rFonts w:hint="default" w:ascii="宋体" w:hAnsi="宋体" w:eastAsia="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pPr>
      <w:r>
        <w:rPr>
          <w:rFonts w:hint="eastAsia" w:ascii="宋体" w:hAnsi="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t xml:space="preserve">     </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一、基本职能及主要工作</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674"/>
        <w:jc w:val="both"/>
        <w:rPr>
          <w:rFonts w:hint="eastAsia" w:ascii="楷体_GB2312" w:eastAsia="楷体_GB2312" w:cs="楷体_GB2312"/>
          <w:b/>
          <w:i w:val="0"/>
          <w:caps w:val="0"/>
          <w:color w:val="333333"/>
          <w:spacing w:val="0"/>
          <w:sz w:val="32"/>
          <w:szCs w:val="32"/>
          <w:shd w:val="clear" w:color="auto" w:fill="FFFFFF"/>
        </w:rPr>
      </w:pPr>
      <w:r>
        <w:rPr>
          <w:rFonts w:ascii="楷体_GB2312" w:eastAsia="楷体_GB2312" w:cs="楷体_GB2312"/>
          <w:b/>
          <w:i w:val="0"/>
          <w:caps w:val="0"/>
          <w:color w:val="333333"/>
          <w:spacing w:val="0"/>
          <w:sz w:val="32"/>
          <w:szCs w:val="32"/>
          <w:shd w:val="clear" w:color="auto" w:fill="FFFFFF"/>
        </w:rPr>
        <w:t>（一）</w:t>
      </w:r>
      <w:r>
        <w:rPr>
          <w:rFonts w:hint="eastAsia" w:ascii="楷体_GB2312" w:eastAsia="楷体_GB2312" w:cs="楷体_GB2312"/>
          <w:b/>
          <w:i w:val="0"/>
          <w:caps w:val="0"/>
          <w:color w:val="333333"/>
          <w:spacing w:val="0"/>
          <w:sz w:val="32"/>
          <w:szCs w:val="32"/>
          <w:shd w:val="clear" w:color="auto" w:fill="FFFFFF"/>
          <w:lang w:val="en-US" w:eastAsia="zh-CN"/>
        </w:rPr>
        <w:t>区委政法委</w:t>
      </w:r>
      <w:r>
        <w:rPr>
          <w:rFonts w:hint="eastAsia" w:ascii="楷体_GB2312" w:eastAsia="楷体_GB2312" w:cs="楷体_GB2312"/>
          <w:b/>
          <w:i w:val="0"/>
          <w:caps w:val="0"/>
          <w:color w:val="333333"/>
          <w:spacing w:val="0"/>
          <w:sz w:val="32"/>
          <w:szCs w:val="32"/>
          <w:shd w:val="clear" w:color="auto" w:fill="FFFFFF"/>
        </w:rPr>
        <w:t>职能简介</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rPr>
        <w:t>深入贯彻执行党的路线方针政策和决策部署，统一政法单位思想和行动，坚持党对政法工作的绝对领导，坚决维护党中央权威和集中统一领导。</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２</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深入贯彻党中央、省委、市委和区委决定，对政法工作研究提出全局性部署，推进平安昭化、法治昭化建设，加强过硬队伍建设，深化智能化建设，坚决维护国家政治安全、确保社会大局稳定、促进社会公平正义、保障人民安居乐业、护航经济社会发展。完善和落实政治督察、执法监督、纪律作风督查等工作制度机制。</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３</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了解掌握和分析研判全区政治安全、反邪教形势动态，协调和指导政法单位、相关部门和乡镇（街道）做好政治安全、反邪教工作。</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４</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了解掌握和分析研判全区社会稳定形势，协调指导政法单位、相关部门和乡镇（街道）开展社会稳定风险评估，协调推动预防、化解影响稳定的各类风险，协调应对和完善处置重大突发事件。</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５</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了解掌握和分析研判全区社会治安形势、社会治理情况动态，创新完善多部门参与平安建设工作机制，推动开展基层平安创建、基层社会治理和网格化服务管理工作，统筹指导区、乡镇（街道）、村（社区）三级综治中心建设；构建矛盾纠纷多元化解体系和机制，指导推动预防、化解各类社会矛盾；负责见义勇为宣传、表彰、奖励等工作；负责指导辖区内铁路护路联防工作。</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６</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加强对政法工作的督查，统筹协调全区维护政治安全、社会治安综合治理、维护社会稳定、反邪教有关法律法规政策的实施工作。</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７</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支持和监督政法单位依法行使职权，检查政法单位执行党的路线方针政策、重大决策部署等情况，指导和协调政法单位密切配合，研究和协调重大、疑难案件，完善与纪检监察机关工作衔接和协作配合机制，推进严格执法、公正司法。</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８</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掌握分析政法舆情动态，指导协调政法单位媒体网络宣传工作，指导政法单位做好涉及政法工作的重大宣传和舆论引导工作，指导政法单位网络安全和智能化建设工作，统筹政法宣传和舆情引导工作。</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９</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组织开展政法领域调查研究，研究拟定全区政法工作的政策措施，及时向区委提出建议；组织研究政法改革中带有方向性、倾向性和普遍性的重大问题，深化政法改革。</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10.</w:t>
      </w:r>
      <w:r>
        <w:rPr>
          <w:rFonts w:hint="default" w:ascii="Times New Roman" w:hAnsi="Times New Roman" w:eastAsia="仿宋_GB2312" w:cs="Times New Roman"/>
          <w:color w:val="auto"/>
          <w:sz w:val="32"/>
          <w:szCs w:val="32"/>
        </w:rPr>
        <w:t>指导推动政法系统党的建设和政法队伍建设，协助区级有关职能部门管理监督政法领导干部，代管广元市昭化区法学会。</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74"/>
        <w:jc w:val="both"/>
        <w:textAlignment w:val="auto"/>
        <w:rPr>
          <w:rFonts w:hint="eastAsia" w:ascii="楷体_GB2312" w:hAnsi="楷体_GB2312" w:eastAsia="楷体_GB2312" w:cs="楷体_GB2312"/>
          <w:sz w:val="32"/>
          <w:szCs w:val="32"/>
        </w:rPr>
      </w:pPr>
      <w:r>
        <w:rPr>
          <w:rFonts w:hint="eastAsia" w:ascii="Times New Roman" w:hAnsi="Times New Roman" w:eastAsia="仿宋_GB2312" w:cs="Times New Roman"/>
          <w:color w:val="auto"/>
          <w:sz w:val="32"/>
          <w:szCs w:val="32"/>
          <w:lang w:val="en-US" w:eastAsia="zh-CN"/>
        </w:rPr>
        <w:t>11.</w:t>
      </w:r>
      <w:r>
        <w:rPr>
          <w:rFonts w:hint="default" w:ascii="Times New Roman" w:hAnsi="Times New Roman" w:eastAsia="仿宋_GB2312" w:cs="Times New Roman"/>
          <w:color w:val="auto"/>
          <w:sz w:val="32"/>
          <w:szCs w:val="32"/>
        </w:rPr>
        <w:t>完成区委交办的其他任务。</w:t>
      </w:r>
      <w:bookmarkStart w:id="0" w:name="_GoBack"/>
      <w:bookmarkEnd w:id="0"/>
    </w:p>
    <w:p>
      <w:pPr>
        <w:pStyle w:val="9"/>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674"/>
        <w:jc w:val="both"/>
        <w:rPr>
          <w:rFonts w:hint="eastAsia" w:ascii="楷体_GB2312" w:eastAsia="楷体_GB2312" w:cs="楷体_GB2312"/>
          <w:b/>
          <w:i w:val="0"/>
          <w:caps w:val="0"/>
          <w:color w:val="auto"/>
          <w:spacing w:val="0"/>
          <w:sz w:val="32"/>
          <w:szCs w:val="32"/>
          <w:shd w:val="clear" w:color="auto" w:fill="FFFFFF"/>
        </w:rPr>
      </w:pPr>
      <w:r>
        <w:rPr>
          <w:rFonts w:hint="eastAsia" w:ascii="楷体_GB2312" w:eastAsia="楷体_GB2312" w:cs="楷体_GB2312"/>
          <w:b/>
          <w:i w:val="0"/>
          <w:caps w:val="0"/>
          <w:color w:val="auto"/>
          <w:spacing w:val="0"/>
          <w:sz w:val="32"/>
          <w:szCs w:val="32"/>
          <w:shd w:val="clear" w:color="auto" w:fill="FFFFFF"/>
          <w:lang w:val="en-US" w:eastAsia="zh-CN"/>
        </w:rPr>
        <w:t>区委政法委</w:t>
      </w:r>
      <w:r>
        <w:rPr>
          <w:rFonts w:hint="eastAsia" w:ascii="楷体_GB2312" w:eastAsia="楷体_GB2312" w:cs="楷体_GB2312"/>
          <w:b/>
          <w:i w:val="0"/>
          <w:caps w:val="0"/>
          <w:color w:val="auto"/>
          <w:spacing w:val="0"/>
          <w:sz w:val="32"/>
          <w:szCs w:val="32"/>
          <w:shd w:val="clear" w:color="auto" w:fill="FFFFFF"/>
        </w:rPr>
        <w:t>202</w:t>
      </w:r>
      <w:r>
        <w:rPr>
          <w:rFonts w:hint="eastAsia" w:ascii="楷体_GB2312" w:eastAsia="楷体_GB2312" w:cs="楷体_GB2312"/>
          <w:b/>
          <w:i w:val="0"/>
          <w:caps w:val="0"/>
          <w:color w:val="auto"/>
          <w:spacing w:val="0"/>
          <w:sz w:val="32"/>
          <w:szCs w:val="32"/>
          <w:shd w:val="clear" w:color="auto" w:fill="FFFFFF"/>
          <w:lang w:val="en-US" w:eastAsia="zh-CN"/>
        </w:rPr>
        <w:t>4</w:t>
      </w:r>
      <w:r>
        <w:rPr>
          <w:rFonts w:hint="eastAsia" w:ascii="楷体_GB2312" w:eastAsia="楷体_GB2312" w:cs="楷体_GB2312"/>
          <w:b/>
          <w:i w:val="0"/>
          <w:caps w:val="0"/>
          <w:color w:val="auto"/>
          <w:spacing w:val="0"/>
          <w:sz w:val="32"/>
          <w:szCs w:val="32"/>
          <w:shd w:val="clear" w:color="auto" w:fill="FFFFFF"/>
        </w:rPr>
        <w:t>年重点工作</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pPr>
      <w:r>
        <w:rPr>
          <w:rFonts w:hint="eastAsia" w:ascii="Times New Roman" w:hAnsi="Times New Roman" w:eastAsia="楷体" w:cs="Times New Roman"/>
          <w:color w:val="000000" w:themeColor="text1"/>
          <w:kern w:val="2"/>
          <w:sz w:val="32"/>
          <w:szCs w:val="32"/>
          <w:lang w:val="en-US" w:eastAsia="zh-CN" w:bidi="ar-SA"/>
          <w14:textFill>
            <w14:solidFill>
              <w14:schemeClr w14:val="tx1"/>
            </w14:solidFill>
          </w14:textFill>
        </w:rPr>
        <w:t>1.</w:t>
      </w:r>
      <w:r>
        <w:rPr>
          <w:rFonts w:hint="default" w:ascii="Times New Roman" w:hAnsi="Times New Roman" w:eastAsia="楷体" w:cs="Times New Roman"/>
          <w:color w:val="000000" w:themeColor="text1"/>
          <w:kern w:val="2"/>
          <w:sz w:val="32"/>
          <w:szCs w:val="32"/>
          <w:lang w:val="en-US" w:eastAsia="zh-CN" w:bidi="ar-SA"/>
          <w14:textFill>
            <w14:solidFill>
              <w14:schemeClr w14:val="tx1"/>
            </w14:solidFill>
          </w14:textFill>
        </w:rPr>
        <w:t>理论学习再加压。</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扎实开展好学习贯彻习近平新时代中国特色社会主义思想主题教育，常态化开展政法队伍教育整顿，全面落实好政治轮训制度，不断增强</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四个意识</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、坚定</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四个自信</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，全面筑牢政法姓党思想根基，持续提升干事创业能力水平，推动全区政法工作高质量发展。</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楷体" w:cs="Times New Roman"/>
          <w:color w:val="000000" w:themeColor="text1"/>
          <w:kern w:val="2"/>
          <w:sz w:val="32"/>
          <w:szCs w:val="32"/>
          <w:lang w:val="en-US" w:eastAsia="zh-CN" w:bidi="ar-SA"/>
          <w14:textFill>
            <w14:solidFill>
              <w14:schemeClr w14:val="tx1"/>
            </w14:solidFill>
          </w14:textFill>
        </w:rPr>
      </w:pPr>
      <w:r>
        <w:rPr>
          <w:rFonts w:hint="eastAsia" w:ascii="Times New Roman" w:hAnsi="Times New Roman" w:eastAsia="楷体" w:cs="Times New Roman"/>
          <w:color w:val="000000" w:themeColor="text1"/>
          <w:kern w:val="2"/>
          <w:sz w:val="32"/>
          <w:szCs w:val="32"/>
          <w:lang w:val="en-US" w:eastAsia="zh-CN" w:bidi="ar-SA"/>
          <w14:textFill>
            <w14:solidFill>
              <w14:schemeClr w14:val="tx1"/>
            </w14:solidFill>
          </w14:textFill>
        </w:rPr>
        <w:t>2.</w:t>
      </w:r>
      <w:r>
        <w:rPr>
          <w:rFonts w:hint="default" w:ascii="Times New Roman" w:hAnsi="Times New Roman" w:eastAsia="楷体" w:cs="Times New Roman"/>
          <w:color w:val="000000" w:themeColor="text1"/>
          <w:kern w:val="2"/>
          <w:sz w:val="32"/>
          <w:szCs w:val="32"/>
          <w:lang w:val="en-US" w:eastAsia="zh-CN" w:bidi="ar-SA"/>
          <w14:textFill>
            <w14:solidFill>
              <w14:schemeClr w14:val="tx1"/>
            </w14:solidFill>
          </w14:textFill>
        </w:rPr>
        <w:t>工作责任再压实。</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将政法工作现代化建设</w:t>
      </w:r>
      <w:r>
        <w:rPr>
          <w:rFonts w:hint="default" w:ascii="Times New Roman" w:hAnsi="Times New Roman" w:eastAsia="仿宋_GB2312" w:cs="Times New Roman"/>
          <w:b w:val="0"/>
          <w:bCs w:val="0"/>
          <w:sz w:val="32"/>
          <w:szCs w:val="32"/>
          <w:lang w:val="en-US" w:eastAsia="zh-CN"/>
        </w:rPr>
        <w:t>纳入全区大局统筹考量，充分</w:t>
      </w:r>
      <w:r>
        <w:rPr>
          <w:rFonts w:hint="default" w:ascii="Times New Roman" w:hAnsi="Times New Roman" w:eastAsia="仿宋_GB2312" w:cs="Times New Roman"/>
          <w:b w:val="0"/>
          <w:bCs w:val="0"/>
          <w:color w:val="auto"/>
          <w:kern w:val="2"/>
          <w:sz w:val="32"/>
          <w:szCs w:val="32"/>
          <w:lang w:val="en" w:eastAsia="zh-CN" w:bidi="ar-SA"/>
        </w:rPr>
        <w:t>发挥依法治区委员会</w:t>
      </w:r>
      <w:r>
        <w:rPr>
          <w:rFonts w:hint="eastAsia" w:ascii="Times New Roman" w:hAnsi="Times New Roman" w:eastAsia="仿宋_GB2312" w:cs="Times New Roman"/>
          <w:b w:val="0"/>
          <w:bCs w:val="0"/>
          <w:color w:val="auto"/>
          <w:kern w:val="2"/>
          <w:sz w:val="32"/>
          <w:szCs w:val="32"/>
          <w:lang w:val="en" w:eastAsia="zh-CN" w:bidi="ar-SA"/>
        </w:rPr>
        <w:t>“</w:t>
      </w:r>
      <w:r>
        <w:rPr>
          <w:rFonts w:hint="default" w:ascii="Times New Roman" w:hAnsi="Times New Roman" w:eastAsia="仿宋_GB2312" w:cs="Times New Roman"/>
          <w:b w:val="0"/>
          <w:bCs w:val="0"/>
          <w:color w:val="auto"/>
          <w:kern w:val="2"/>
          <w:sz w:val="32"/>
          <w:szCs w:val="32"/>
          <w:lang w:val="en-US" w:eastAsia="zh-CN" w:bidi="ar-SA"/>
        </w:rPr>
        <w:t>1+3+N</w:t>
      </w:r>
      <w:r>
        <w:rPr>
          <w:rFonts w:hint="eastAsia" w:ascii="Times New Roman" w:hAnsi="Times New Roman" w:eastAsia="仿宋_GB2312" w:cs="Times New Roman"/>
          <w:b w:val="0"/>
          <w:bCs w:val="0"/>
          <w:color w:val="auto"/>
          <w:kern w:val="2"/>
          <w:sz w:val="32"/>
          <w:szCs w:val="32"/>
          <w:lang w:val="en" w:eastAsia="zh-CN" w:bidi="ar-SA"/>
        </w:rPr>
        <w:t>”</w:t>
      </w:r>
      <w:r>
        <w:rPr>
          <w:rFonts w:hint="default" w:ascii="Times New Roman" w:hAnsi="Times New Roman" w:eastAsia="仿宋_GB2312" w:cs="Times New Roman"/>
          <w:b w:val="0"/>
          <w:bCs w:val="0"/>
          <w:color w:val="auto"/>
          <w:kern w:val="2"/>
          <w:sz w:val="32"/>
          <w:szCs w:val="32"/>
          <w:lang w:val="en" w:eastAsia="zh-CN" w:bidi="ar-SA"/>
        </w:rPr>
        <w:t>组织领导体系作用，</w:t>
      </w:r>
      <w:r>
        <w:rPr>
          <w:rFonts w:hint="default" w:ascii="Times New Roman" w:hAnsi="Times New Roman" w:eastAsia="仿宋_GB2312" w:cs="Times New Roman"/>
          <w:b w:val="0"/>
          <w:bCs w:val="0"/>
          <w:sz w:val="32"/>
          <w:szCs w:val="32"/>
          <w:lang w:val="en-US" w:eastAsia="zh-CN"/>
        </w:rPr>
        <w:t>不断强化平安建设</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1+9</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运行机制建设，深化落实牵头单位统筹责任和成员单位主体责任，加强</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区镇村（社区）三级</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综治中心实体化实战化运行，完善三级网</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格运行管理机制，确保各项工作有力有序推进。</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pPr>
      <w:r>
        <w:rPr>
          <w:rFonts w:hint="eastAsia" w:ascii="Times New Roman" w:hAnsi="Times New Roman" w:eastAsia="楷体" w:cs="Times New Roman"/>
          <w:color w:val="000000" w:themeColor="text1"/>
          <w:kern w:val="2"/>
          <w:sz w:val="32"/>
          <w:szCs w:val="32"/>
          <w:lang w:val="en-US" w:eastAsia="zh-CN" w:bidi="ar-SA"/>
          <w14:textFill>
            <w14:solidFill>
              <w14:schemeClr w14:val="tx1"/>
            </w14:solidFill>
          </w14:textFill>
        </w:rPr>
        <w:t>3.</w:t>
      </w:r>
      <w:r>
        <w:rPr>
          <w:rFonts w:hint="default" w:ascii="Times New Roman" w:hAnsi="Times New Roman" w:eastAsia="楷体" w:cs="Times New Roman"/>
          <w:color w:val="000000" w:themeColor="text1"/>
          <w:kern w:val="2"/>
          <w:sz w:val="32"/>
          <w:szCs w:val="32"/>
          <w:lang w:val="en-US" w:eastAsia="zh-CN" w:bidi="ar-SA"/>
          <w14:textFill>
            <w14:solidFill>
              <w14:schemeClr w14:val="tx1"/>
            </w14:solidFill>
          </w14:textFill>
        </w:rPr>
        <w:t>平安建设再发力。</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坚定不移贯彻落实习近平总书记关于总体国家安全观的重要论述，认真落实政治安全保卫和反奸防谍工作，严厉打击各类违法犯罪，深入开展专项整治行动，坚持和发展新时代</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枫桥经验</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，规范区</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一站式</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联调中心高效运行，深化矛盾纠纷多元化解体制机制建设，</w:t>
      </w:r>
      <w:r>
        <w:rPr>
          <w:rFonts w:hint="default"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深入开展政法干警</w:t>
      </w: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入网格、进企业、联项目，保平安、优环境、促发展</w:t>
      </w: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活动，</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全力推动更高水平的平安昭化建设。</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76" w:lineRule="exact"/>
        <w:ind w:firstLine="640" w:firstLineChars="200"/>
        <w:textAlignment w:val="auto"/>
        <w:rPr>
          <w:rFonts w:hint="eastAsia" w:ascii="楷体_GB2312" w:eastAsia="楷体_GB2312" w:cs="楷体_GB2312"/>
          <w:b/>
          <w:i w:val="0"/>
          <w:caps w:val="0"/>
          <w:color w:val="auto"/>
          <w:spacing w:val="0"/>
          <w:sz w:val="32"/>
          <w:szCs w:val="32"/>
          <w:shd w:val="clear" w:color="auto" w:fill="FFFFFF"/>
        </w:rPr>
      </w:pPr>
      <w:r>
        <w:rPr>
          <w:rFonts w:hint="eastAsia" w:ascii="Times New Roman" w:hAnsi="Times New Roman" w:eastAsia="楷体" w:cs="Times New Roman"/>
          <w:color w:val="000000" w:themeColor="text1"/>
          <w:kern w:val="2"/>
          <w:sz w:val="32"/>
          <w:szCs w:val="32"/>
          <w:lang w:val="en-US" w:eastAsia="zh-CN" w:bidi="ar-SA"/>
          <w14:textFill>
            <w14:solidFill>
              <w14:schemeClr w14:val="tx1"/>
            </w14:solidFill>
          </w14:textFill>
        </w:rPr>
        <w:t>4.</w:t>
      </w:r>
      <w:r>
        <w:rPr>
          <w:rFonts w:hint="default" w:ascii="Times New Roman" w:hAnsi="Times New Roman" w:eastAsia="楷体" w:cs="Times New Roman"/>
          <w:color w:val="000000" w:themeColor="text1"/>
          <w:kern w:val="2"/>
          <w:sz w:val="32"/>
          <w:szCs w:val="32"/>
          <w:lang w:val="en-US" w:eastAsia="zh-CN" w:bidi="ar-SA"/>
          <w14:textFill>
            <w14:solidFill>
              <w14:schemeClr w14:val="tx1"/>
            </w14:solidFill>
          </w14:textFill>
        </w:rPr>
        <w:t>队伍锻造再提质。</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严格执行</w:t>
      </w:r>
      <w:r>
        <w:rPr>
          <w:rFonts w:hint="default" w:ascii="Times New Roman" w:hAnsi="Times New Roman" w:eastAsia="仿宋_GB2312" w:cs="Times New Roman"/>
          <w:b w:val="0"/>
          <w:bCs/>
          <w:color w:val="000000" w:themeColor="text1"/>
          <w:sz w:val="32"/>
          <w:szCs w:val="32"/>
          <w:lang w:val="en-US" w:eastAsia="zh-CN"/>
          <w14:textFill>
            <w14:solidFill>
              <w14:schemeClr w14:val="tx1"/>
            </w14:solidFill>
          </w14:textFill>
        </w:rPr>
        <w:t>《中国共产党政法工作条例》和四川省实施细则</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，逗硬执行政治巡察、综治督导、执法监督、请示报告等制度机制，压紧压实政法单位全面从严管党治警政治责任，持续锻造</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四个铁一般</w:t>
      </w:r>
      <w:r>
        <w:rPr>
          <w:rFonts w:hint="eastAsia" w:ascii="Times New Roman" w:hAnsi="Times New Roman" w:eastAsia="仿宋_GB2312" w:cs="Times New Roman"/>
          <w:color w:val="000000" w:themeColor="text1"/>
          <w:kern w:val="2"/>
          <w:sz w:val="32"/>
          <w:szCs w:val="32"/>
          <w:lang w:val="en-US" w:eastAsia="zh-CN" w:bidi="ar-SA"/>
          <w14:textFill>
            <w14:solidFill>
              <w14:schemeClr w14:val="tx1"/>
            </w14:solidFill>
          </w14:textFill>
        </w:rPr>
        <w:t>”</w:t>
      </w:r>
      <w:r>
        <w:rPr>
          <w:rFonts w:hint="default" w:ascii="Times New Roman" w:hAnsi="Times New Roman" w:eastAsia="仿宋_GB2312" w:cs="Times New Roman"/>
          <w:color w:val="000000" w:themeColor="text1"/>
          <w:kern w:val="2"/>
          <w:sz w:val="32"/>
          <w:szCs w:val="32"/>
          <w:lang w:val="en-US" w:eastAsia="zh-CN" w:bidi="ar-SA"/>
          <w14:textFill>
            <w14:solidFill>
              <w14:schemeClr w14:val="tx1"/>
            </w14:solidFill>
          </w14:textFill>
        </w:rPr>
        <w:t>政法铁军，</w:t>
      </w:r>
      <w:r>
        <w:rPr>
          <w:rFonts w:hint="default"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切实推进全区政法工作高质量发展，努力</w:t>
      </w: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在社会主义现代化“四城新区”建设中</w:t>
      </w:r>
      <w:r>
        <w:rPr>
          <w:rFonts w:hint="default"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彰显出更多的昭化担当。</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二、部门预算单位构成</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sz w:val="32"/>
          <w:szCs w:val="32"/>
          <w:lang w:val="en-US" w:eastAsia="zh-CN"/>
        </w:rPr>
        <w:t>区委政法委为一级预算单位，下属二级预算单位0个</w:t>
      </w: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。设有内设机构6个。</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三、收支预算情况说明</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76" w:lineRule="exact"/>
        <w:ind w:firstLine="640" w:firstLineChars="200"/>
        <w:textAlignment w:val="auto"/>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按照综合预算的原则，区委政法委所有收入和支出均纳入部门预算管理。收入包括：一般公共预算拨款收入；支出包括：一般公共服务支出、</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bidi="ar"/>
        </w:rPr>
        <w:t>公共安全支出</w:t>
      </w:r>
      <w:r>
        <w:rPr>
          <w:rFonts w:hint="eastAsia" w:ascii="仿宋_GB2312" w:hAnsi="Times New Roman" w:eastAsia="仿宋_GB2312" w:cs="仿宋_GB2312"/>
          <w:i w:val="0"/>
          <w:caps w:val="0"/>
          <w:color w:val="333333"/>
          <w:spacing w:val="0"/>
          <w:kern w:val="0"/>
          <w:sz w:val="32"/>
          <w:szCs w:val="32"/>
          <w:highlight w:val="none"/>
          <w:shd w:val="clear" w:color="auto" w:fill="FFFFFF"/>
          <w:lang w:val="en-US" w:eastAsia="zh-CN" w:bidi="ar"/>
        </w:rPr>
        <w:t>、社会保障和就业支出。</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区委政法委2024年收支总预算</w:t>
      </w:r>
      <w:r>
        <w:rPr>
          <w:rFonts w:hint="eastAsia" w:ascii="Times New Roman" w:hAnsi="Times New Roman" w:eastAsia="仿宋_GB2312" w:cs="Times New Roman"/>
          <w:i w:val="0"/>
          <w:caps w:val="0"/>
          <w:color w:val="333333"/>
          <w:spacing w:val="0"/>
          <w:kern w:val="0"/>
          <w:sz w:val="32"/>
          <w:szCs w:val="32"/>
          <w:shd w:val="clear" w:color="auto" w:fill="FFFFFF"/>
          <w:lang w:val="en-US" w:eastAsia="zh-CN" w:bidi="ar"/>
        </w:rPr>
        <w:t>1254.32</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万元,比2023年收支预算总数增加</w:t>
      </w:r>
      <w:r>
        <w:rPr>
          <w:rFonts w:hint="eastAsia" w:ascii="Times New Roman" w:hAnsi="Times New Roman" w:eastAsia="仿宋_GB2312" w:cs="Times New Roman"/>
          <w:i w:val="0"/>
          <w:caps w:val="0"/>
          <w:color w:val="333333"/>
          <w:spacing w:val="0"/>
          <w:kern w:val="0"/>
          <w:sz w:val="32"/>
          <w:szCs w:val="32"/>
          <w:shd w:val="clear" w:color="auto" w:fill="FFFFFF"/>
          <w:lang w:val="en-US" w:eastAsia="zh-CN" w:bidi="ar"/>
        </w:rPr>
        <w:t>3.7</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万元，主</w:t>
      </w: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要原因是增加人员经费。</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76" w:lineRule="exact"/>
        <w:ind w:firstLine="640" w:firstLineChars="200"/>
        <w:textAlignment w:val="auto"/>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pP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（一）收入预算情况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区委政法委2024年收入预算1254.32万元，其中：</w:t>
      </w:r>
      <w:r>
        <w:rPr>
          <w:rFonts w:hint="eastAsia" w:ascii="仿宋_GB2312" w:hAnsi="仿宋_GB2312" w:eastAsia="仿宋_GB2312" w:cs="仿宋_GB2312"/>
          <w:sz w:val="32"/>
          <w:szCs w:val="32"/>
          <w:lang w:val="en-US" w:eastAsia="zh-CN"/>
        </w:rPr>
        <w:t>一般公共预算拨款收入1254.32万元，占100%.</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（二）支出预算情况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区委政法委</w:t>
      </w:r>
      <w:r>
        <w:rPr>
          <w:rFonts w:hint="eastAsia" w:ascii="仿宋_GB2312" w:hAnsi="仿宋_GB2312" w:eastAsia="仿宋_GB2312" w:cs="仿宋_GB2312"/>
          <w:sz w:val="32"/>
          <w:szCs w:val="32"/>
          <w:lang w:val="en-US" w:eastAsia="zh-CN"/>
        </w:rPr>
        <w:t>2024年支出预算1254.32万元，其中：基本支出329.19万元，占26.24%；项目支出925.13万元，占73.76%</w:t>
      </w:r>
      <w:r>
        <w:rPr>
          <w:rFonts w:hint="eastAsia" w:ascii="仿宋_GB2312" w:hAnsi="仿宋_GB2312" w:eastAsia="仿宋_GB2312" w:cs="仿宋_GB2312"/>
          <w:b w:val="0"/>
          <w:b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四、财政拨款收支预算情况说明</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区委政法委</w:t>
      </w:r>
      <w:r>
        <w:rPr>
          <w:rFonts w:hint="eastAsia" w:ascii="仿宋_GB2312" w:hAnsi="仿宋_GB2312" w:eastAsia="仿宋_GB2312" w:cs="仿宋_GB2312"/>
          <w:sz w:val="32"/>
          <w:szCs w:val="32"/>
          <w:lang w:val="en-US" w:eastAsia="zh-CN"/>
        </w:rPr>
        <w:t>2024年财政拨款收支预算总数1254.32万元,比2023年财政拨款收支预算总数增加3.7万元，</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主</w:t>
      </w: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要原因是增加人员经费。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收入包括：本年一般公共预算拨款收入1254.32万元；支出包括：</w:t>
      </w:r>
      <w:r>
        <w:rPr>
          <w:rFonts w:hint="eastAsia" w:ascii="仿宋_GB2312" w:hAnsi="Times New Roman" w:eastAsia="仿宋_GB2312" w:cs="仿宋_GB2312"/>
          <w:i w:val="0"/>
          <w:caps w:val="0"/>
          <w:color w:val="auto"/>
          <w:spacing w:val="0"/>
          <w:kern w:val="0"/>
          <w:sz w:val="32"/>
          <w:szCs w:val="32"/>
          <w:shd w:val="clear" w:color="auto" w:fill="FFFFFF"/>
          <w:lang w:val="en-US" w:eastAsia="zh-CN" w:bidi="ar"/>
        </w:rPr>
        <w:t>一般公共服务支出</w:t>
      </w:r>
      <w:r>
        <w:rPr>
          <w:rFonts w:hint="eastAsia" w:ascii="Times New Roman" w:hAnsi="Times New Roman" w:cs="Times New Roman"/>
          <w:i w:val="0"/>
          <w:caps w:val="0"/>
          <w:color w:val="auto"/>
          <w:spacing w:val="0"/>
          <w:kern w:val="0"/>
          <w:sz w:val="32"/>
          <w:szCs w:val="32"/>
          <w:shd w:val="clear" w:color="auto" w:fill="FFFFFF"/>
          <w:lang w:val="en-US" w:eastAsia="zh-CN" w:bidi="ar"/>
        </w:rPr>
        <w:t>673.32</w:t>
      </w:r>
      <w:r>
        <w:rPr>
          <w:rFonts w:hint="eastAsia" w:ascii="仿宋_GB2312" w:hAnsi="Times New Roman" w:eastAsia="仿宋_GB2312" w:cs="仿宋_GB2312"/>
          <w:i w:val="0"/>
          <w:caps w:val="0"/>
          <w:color w:val="auto"/>
          <w:spacing w:val="0"/>
          <w:kern w:val="0"/>
          <w:sz w:val="32"/>
          <w:szCs w:val="32"/>
          <w:shd w:val="clear" w:color="auto" w:fill="FFFFFF"/>
          <w:lang w:val="en-US" w:eastAsia="zh-CN" w:bidi="ar"/>
        </w:rPr>
        <w:t>万元、公共安全支575万元、社会保障和就业支出</w:t>
      </w:r>
      <w:r>
        <w:rPr>
          <w:rFonts w:hint="eastAsia" w:ascii="Times New Roman" w:hAnsi="Times New Roman" w:cs="Times New Roman"/>
          <w:i w:val="0"/>
          <w:caps w:val="0"/>
          <w:color w:val="auto"/>
          <w:spacing w:val="0"/>
          <w:kern w:val="0"/>
          <w:sz w:val="32"/>
          <w:szCs w:val="32"/>
          <w:shd w:val="clear" w:color="auto" w:fill="FFFFFF"/>
          <w:lang w:val="en-US" w:eastAsia="zh-CN" w:bidi="ar"/>
        </w:rPr>
        <w:t>6</w:t>
      </w:r>
      <w:r>
        <w:rPr>
          <w:rFonts w:hint="eastAsia" w:ascii="仿宋_GB2312" w:hAnsi="Times New Roman" w:eastAsia="仿宋_GB2312" w:cs="仿宋_GB2312"/>
          <w:i w:val="0"/>
          <w:caps w:val="0"/>
          <w:color w:val="auto"/>
          <w:spacing w:val="0"/>
          <w:kern w:val="0"/>
          <w:sz w:val="32"/>
          <w:szCs w:val="32"/>
          <w:shd w:val="clear" w:color="auto" w:fill="FFFFFF"/>
          <w:lang w:val="en-US" w:eastAsia="zh-CN" w:bidi="ar"/>
        </w:rPr>
        <w:t>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五、一般公共预算当年拨款情况说明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（一）一般公共预算当年拨款规模变化情况</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区委政法委2024年一般公共预算当年拨款1254.32万元，比2023年预算数增加3.7万元，主要原因是</w:t>
      </w:r>
      <w:r>
        <w:rPr>
          <w:rFonts w:hint="eastAsia"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t>增加人员经费。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（二）一般公共预算当年拨款结构情况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一般公共服务支出673.32万元，占53.68%；社会保障和就业支出6万元，占0.48%；</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bidi="ar"/>
        </w:rPr>
        <w:t>公共安全支出575万元，占45.84%。</w:t>
      </w:r>
    </w:p>
    <w:p>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left="0" w:leftChars="0" w:firstLine="674" w:firstLineChars="0"/>
        <w:textAlignment w:val="auto"/>
        <w:rPr>
          <w:rFonts w:hint="eastAsia" w:ascii="楷体_GB2312" w:hAnsi="楷体_GB2312" w:eastAsia="楷体_GB2312" w:cs="楷体_GB2312"/>
          <w:color w:val="auto"/>
          <w:sz w:val="32"/>
          <w:szCs w:val="32"/>
          <w:lang w:val="en-US" w:eastAsia="zh-CN"/>
        </w:rPr>
      </w:pPr>
      <w:r>
        <w:rPr>
          <w:rFonts w:hint="eastAsia" w:ascii="楷体_GB2312" w:hAnsi="楷体_GB2312" w:eastAsia="楷体_GB2312" w:cs="楷体_GB2312"/>
          <w:color w:val="auto"/>
          <w:sz w:val="32"/>
          <w:szCs w:val="32"/>
          <w:lang w:val="en-US" w:eastAsia="zh-CN"/>
        </w:rPr>
        <w:t>一般公共预算当年拨款具体使用情况</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1.一般公共服务（类）党委办公厅及相关机构事务（款）行政运行（项）2024年预算数为</w:t>
      </w:r>
      <w:r>
        <w:rPr>
          <w:rFonts w:hint="eastAsia" w:ascii="Times New Roman" w:hAnsi="Times New Roman" w:eastAsia="仿宋_GB2312" w:cs="Times New Roman"/>
          <w:i w:val="0"/>
          <w:caps w:val="0"/>
          <w:color w:val="333333"/>
          <w:spacing w:val="0"/>
          <w:kern w:val="0"/>
          <w:sz w:val="32"/>
          <w:szCs w:val="32"/>
          <w:shd w:val="clear" w:color="auto" w:fill="FFFFFF"/>
          <w:lang w:val="en-US" w:eastAsia="zh-CN" w:bidi="ar"/>
        </w:rPr>
        <w:t>274.78</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xml:space="preserve">万元，主要用于：公务员基本工资、津贴补贴等人员经费    </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2.一般公共服务（类）党委办公厅及相关机构事务（款）一般行政事务管理（项）2024年预算数为</w:t>
      </w:r>
      <w:r>
        <w:rPr>
          <w:rFonts w:hint="eastAsia" w:ascii="Times New Roman" w:hAnsi="Times New Roman" w:eastAsia="仿宋_GB2312" w:cs="Times New Roman"/>
          <w:i w:val="0"/>
          <w:caps w:val="0"/>
          <w:color w:val="333333"/>
          <w:spacing w:val="0"/>
          <w:kern w:val="0"/>
          <w:sz w:val="32"/>
          <w:szCs w:val="32"/>
          <w:shd w:val="clear" w:color="auto" w:fill="FFFFFF"/>
          <w:lang w:val="en-US" w:eastAsia="zh-CN" w:bidi="ar"/>
        </w:rPr>
        <w:t>254.13</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万元，主要用于：机关正常运转的基本支出，包括办公费、印刷费、水电费等日常公用经费，保证部门正常运转。</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eastAsia"/>
          <w:lang w:val="en-US" w:eastAsia="zh-CN"/>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3.一般公共服务（类）党委办公厅及相关机构事务（款）行政运行（项）2024年预算数为</w:t>
      </w:r>
      <w:r>
        <w:rPr>
          <w:rFonts w:hint="eastAsia" w:ascii="Times New Roman" w:hAnsi="Times New Roman" w:eastAsia="仿宋_GB2312" w:cs="Times New Roman"/>
          <w:i w:val="0"/>
          <w:caps w:val="0"/>
          <w:color w:val="333333"/>
          <w:spacing w:val="0"/>
          <w:kern w:val="0"/>
          <w:sz w:val="32"/>
          <w:szCs w:val="32"/>
          <w:shd w:val="clear" w:color="auto" w:fill="FFFFFF"/>
          <w:lang w:val="en-US" w:eastAsia="zh-CN" w:bidi="ar"/>
        </w:rPr>
        <w:t>144.41</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万元，主要用于：失业人员基本工资、津贴补贴等人员经费。</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240" w:lineRule="auto"/>
        <w:ind w:right="0" w:righ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4.行政运行（类）其他公共安全支出（款）国家司法救助支出（项）2024年预算为15万元，主要用于：司法救助。</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240" w:lineRule="auto"/>
        <w:ind w:right="0" w:righ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5.公共安全支出（类）其他公共安全支出（款）其他公共安全支出（项）2024年预算数为560万元，主要用于：雪亮工程建设及运维费用。</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240" w:lineRule="auto"/>
        <w:ind w:right="0" w:righ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6.社会保障和就业（类）行政事业单位养老支出（款）机关事业单位基本养老保险缴费支出（项）2024年预算数为6万元，主要用于：实施养老保险制度由单位缴纳的基本养老保险支出。</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六、一般公共预算基本支出情况说明</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240" w:lineRule="auto"/>
        <w:ind w:right="0" w:rightChars="0"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区委政法委2024年一般公共预算基本支出329.19万元，其中：人员经费280.98万元，主要包括：基本工资、津贴补贴、奖金、社会保险缴费、住房公积金等支出。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公用经费48.21万元，主要包括：办公费、印刷费、水费、电费、邮电费、公务接待费、工会经费、其他交通费用等支出。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七、“三公”经费财政拨款预算安排情况说明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区委政法委2024年“三公”经费财政拨款预算数10万元，其中：公务接待费10万元，公务用车购置及运行维护费0万元，因公出国（境）经费0万元。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（一）公务接待费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公务接待费与2023年预算相比下降1.7万元，主要原因是严格执行接待标准，严控接待费用。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2024年公务接待费计划用于执行接待考察调研、检查指导等公务活动开支的交通费、住宿费、用餐费等。</w:t>
      </w:r>
    </w:p>
    <w:p>
      <w:pPr>
        <w:keepNext w:val="0"/>
        <w:keepLines w:val="0"/>
        <w:pageBreakBefore w:val="0"/>
        <w:widowControl w:val="0"/>
        <w:numPr>
          <w:ilvl w:val="0"/>
          <w:numId w:val="2"/>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公务用车购置及运行维护费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公务用车购置及运行维护费与2023年预算相比持平。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2024年未安排公务用车购置费。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2024年安排公务用车运行维护费0万元。</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三）因公出国（境）经费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因公出国（境）经费与2023年预算相比持平。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八、政府性基金预算支出情况说明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区委政法委2024年无政府性基金预算拨款安排的支出。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九、国有资本经营预算支出情况说明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区委政法委2024年无国有资本经营预算拨款安排的支出。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十、其他重要事项的情况说明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（一）机关运行经费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2024年，区委政法委的机关运行经费财政拨款预算为673.32万元，比2023年预算增加79.56万元，增长13.4%。主要原因人员增加。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（二）政府采购情况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2024年，区委政法委无政府采购预算。</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（三）国有资产占有使用情况</w:t>
      </w:r>
    </w:p>
    <w:p>
      <w:pPr>
        <w:keepNext w:val="0"/>
        <w:keepLines w:val="0"/>
        <w:pageBreakBefore w:val="0"/>
        <w:widowControl w:val="0"/>
        <w:kinsoku/>
        <w:wordWrap/>
        <w:overflowPunct w:val="0"/>
        <w:topLinePunct w:val="0"/>
        <w:autoSpaceDE/>
        <w:autoSpaceDN/>
        <w:bidi w:val="0"/>
        <w:adjustRightInd/>
        <w:snapToGrid/>
        <w:spacing w:line="576" w:lineRule="exact"/>
        <w:ind w:left="0" w:firstLine="640" w:firstLineChars="200"/>
        <w:textAlignment w:val="auto"/>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pPr>
      <w:r>
        <w:rPr>
          <w:rFonts w:hint="eastAsia" w:ascii="仿宋_GB2312" w:hAnsi="仿宋_GB2312" w:eastAsia="仿宋_GB2312" w:cs="仿宋_GB2312"/>
          <w:sz w:val="32"/>
          <w:szCs w:val="32"/>
          <w:lang w:val="en-US" w:eastAsia="zh-CN"/>
        </w:rPr>
        <w:t>截至2023年底，区委政法委共有车辆0辆，其中，领导干部用车0辆、定向保障用车0辆、执法执勤用车0辆，</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单位价值</w:t>
      </w:r>
      <w:r>
        <w:rPr>
          <w:rFonts w:hint="eastAsia" w:ascii="Times New Roman" w:hAnsi="Times New Roman" w:eastAsia="仿宋_GB2312" w:cs="仿宋_GB2312"/>
          <w:i w:val="0"/>
          <w:caps w:val="0"/>
          <w:color w:val="333333"/>
          <w:spacing w:val="0"/>
          <w:kern w:val="0"/>
          <w:sz w:val="32"/>
          <w:szCs w:val="32"/>
          <w:shd w:val="clear" w:color="auto" w:fill="FFFFFF"/>
          <w:lang w:val="en-US" w:eastAsia="zh-CN" w:bidi="ar"/>
        </w:rPr>
        <w:t>200</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万元以上大型设备</w:t>
      </w:r>
      <w:r>
        <w:rPr>
          <w:rFonts w:hint="eastAsia" w:ascii="Times New Roman" w:hAnsi="Times New Roman" w:eastAsia="仿宋_GB2312" w:cs="Times New Roman"/>
          <w:i w:val="0"/>
          <w:caps w:val="0"/>
          <w:color w:val="333333"/>
          <w:spacing w:val="0"/>
          <w:kern w:val="0"/>
          <w:sz w:val="32"/>
          <w:szCs w:val="32"/>
          <w:shd w:val="clear" w:color="auto" w:fill="FFFFFF"/>
          <w:lang w:val="en-US" w:eastAsia="zh-CN" w:bidi="ar"/>
        </w:rPr>
        <w:t>0</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台（套）。</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val="0"/>
        <w:topLinePunct w:val="0"/>
        <w:autoSpaceDE/>
        <w:autoSpaceDN/>
        <w:bidi w:val="0"/>
        <w:adjustRightInd/>
        <w:snapToGrid/>
        <w:spacing w:line="576" w:lineRule="exact"/>
        <w:ind w:left="0" w:firstLine="640" w:firstLineChars="200"/>
        <w:textAlignment w:val="auto"/>
        <w:rPr>
          <w:rFonts w:hint="default" w:ascii="仿宋_GB2312" w:hAnsi="仿宋_GB2312" w:eastAsia="仿宋_GB2312" w:cs="仿宋_GB2312"/>
          <w:sz w:val="32"/>
          <w:szCs w:val="32"/>
          <w:lang w:val="en-US" w:eastAsia="zh-CN"/>
        </w:rPr>
      </w:pPr>
      <w:r>
        <w:rPr>
          <w:rFonts w:hint="eastAsia" w:ascii="Times New Roman" w:hAnsi="Times New Roman" w:eastAsia="仿宋_GB2312" w:cs="仿宋_GB2312"/>
          <w:sz w:val="32"/>
          <w:szCs w:val="32"/>
          <w:lang w:val="en-US" w:eastAsia="zh-CN"/>
        </w:rPr>
        <w:t>2024</w:t>
      </w:r>
      <w:r>
        <w:rPr>
          <w:rFonts w:hint="eastAsia" w:ascii="仿宋_GB2312" w:hAnsi="仿宋_GB2312" w:eastAsia="仿宋_GB2312" w:cs="仿宋_GB2312"/>
          <w:sz w:val="32"/>
          <w:szCs w:val="32"/>
          <w:lang w:val="en-US" w:eastAsia="zh-CN"/>
        </w:rPr>
        <w:t>年部门预算安排车辆购置经费及大型设备购置经费0万元。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（四）绩效目标设置情况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区委政法委开展绩效目标管理的项目13个，涉及预算973.34万元。其中：人员类项目3个，涉及预算48.2万元；运转类项目6个，涉及预算298.13万元；特定目标类项目4个，涉及预算627万元。因部分项目内容涉密，不予公开。</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十一、名词解释</w:t>
      </w:r>
    </w:p>
    <w:p>
      <w:pPr>
        <w:keepNext w:val="0"/>
        <w:keepLines w:val="0"/>
        <w:pageBreakBefore w:val="0"/>
        <w:widowControl/>
        <w:numPr>
          <w:ilvl w:val="0"/>
          <w:numId w:val="3"/>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default" w:ascii="仿宋_GB2312" w:hAnsi="微软雅黑" w:eastAsia="仿宋_GB2312" w:cs="仿宋_GB2312"/>
          <w:color w:val="auto"/>
          <w:sz w:val="31"/>
          <w:szCs w:val="31"/>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一般公共预算拨款收入：指区级财政当年拨付的资金。</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br w:type="textWrapping"/>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（二）</w:t>
      </w:r>
      <w:r>
        <w:rPr>
          <w:rFonts w:hint="eastAsia" w:ascii="仿宋_GB2312" w:hAnsi="微软雅黑" w:eastAsia="仿宋_GB2312" w:cs="仿宋_GB2312"/>
          <w:color w:val="auto"/>
          <w:sz w:val="31"/>
          <w:szCs w:val="31"/>
          <w:lang w:val="en-US" w:eastAsia="zh-CN"/>
        </w:rPr>
        <w:t>一般</w:t>
      </w:r>
      <w:r>
        <w:rPr>
          <w:rFonts w:hint="default" w:ascii="仿宋_GB2312" w:hAnsi="微软雅黑" w:eastAsia="仿宋_GB2312" w:cs="仿宋_GB2312"/>
          <w:color w:val="auto"/>
          <w:sz w:val="31"/>
          <w:szCs w:val="31"/>
        </w:rPr>
        <w:t>公共</w:t>
      </w:r>
      <w:r>
        <w:rPr>
          <w:rFonts w:hint="eastAsia" w:ascii="仿宋_GB2312" w:hAnsi="微软雅黑" w:eastAsia="仿宋_GB2312" w:cs="仿宋_GB2312"/>
          <w:color w:val="auto"/>
          <w:sz w:val="31"/>
          <w:szCs w:val="31"/>
          <w:lang w:eastAsia="zh-CN"/>
        </w:rPr>
        <w:t>服务</w:t>
      </w:r>
      <w:r>
        <w:rPr>
          <w:rFonts w:hint="default" w:ascii="仿宋_GB2312" w:hAnsi="微软雅黑" w:eastAsia="仿宋_GB2312" w:cs="仿宋_GB2312"/>
          <w:color w:val="auto"/>
          <w:sz w:val="31"/>
          <w:szCs w:val="31"/>
        </w:rPr>
        <w:t>（类）</w:t>
      </w:r>
      <w:r>
        <w:rPr>
          <w:rFonts w:hint="eastAsia" w:ascii="仿宋_GB2312" w:hAnsi="微软雅黑" w:eastAsia="仿宋_GB2312" w:cs="仿宋_GB2312"/>
          <w:color w:val="auto"/>
          <w:sz w:val="31"/>
          <w:szCs w:val="31"/>
          <w:lang w:eastAsia="zh-CN"/>
        </w:rPr>
        <w:t>党委办公厅（室）及相关机构事务</w:t>
      </w:r>
      <w:r>
        <w:rPr>
          <w:rFonts w:hint="default" w:ascii="仿宋_GB2312" w:hAnsi="微软雅黑" w:eastAsia="仿宋_GB2312" w:cs="仿宋_GB2312"/>
          <w:color w:val="auto"/>
          <w:sz w:val="31"/>
          <w:szCs w:val="31"/>
        </w:rPr>
        <w:t>（款）行政运行（项）</w:t>
      </w:r>
      <w:r>
        <w:rPr>
          <w:rFonts w:hint="eastAsia" w:ascii="仿宋_GB2312" w:hAnsi="微软雅黑" w:eastAsia="仿宋_GB2312" w:cs="仿宋_GB2312"/>
          <w:color w:val="auto"/>
          <w:sz w:val="31"/>
          <w:szCs w:val="31"/>
          <w:lang w:eastAsia="zh-CN"/>
        </w:rPr>
        <w:t>：</w:t>
      </w:r>
      <w:r>
        <w:rPr>
          <w:rFonts w:hint="default" w:ascii="仿宋_GB2312" w:hAnsi="微软雅黑" w:eastAsia="仿宋_GB2312" w:cs="仿宋_GB2312"/>
          <w:color w:val="auto"/>
          <w:sz w:val="31"/>
          <w:szCs w:val="31"/>
        </w:rPr>
        <w:t>指机关用于保障机构正常运行、开展日常工作的基本支出。</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（三）公共安全支出（类）其他公共安全支出（款）其他公共安全支出（项）：主要指用于保障雪亮工程建设及运维的项目支出。　</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（四）社会保障和就业（类）行政事业单位养老支出（款）事业单位离退休（项）：指事业单位离退休人员的支出。</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br w:type="textWrapping"/>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（五）社会保障和就业（类）行政事业单位养老支出（款）行政单位离退休（项）：指行政及参公管理事业单位离退休人员的支出。</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br w:type="textWrapping"/>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（六）社会保障和就业（类）行政事业单位养老支出（款）机关事业单位基本养老保险缴费支出（项）：指部门实施养老保险制度由单位缴纳的养老保险的支出。</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br w:type="textWrapping"/>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（七）社会保障和就业（类）行政事业单位养老支出（款）机关事业单位职业年金缴费支出（项）：指部门实施养老保险制度由单位缴纳的职业年金的支出。</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br w:type="textWrapping"/>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（八）基本支出：指为保证机构正常运转，完成日常工作任务而发生的人员支出和公用支出。</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br w:type="textWrapping"/>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（九）项目支出：指在基本支出之外为完成特定行政任务和事业发展目标所发生的支出。</w:t>
      </w:r>
    </w:p>
    <w:p>
      <w:pPr>
        <w:keepNext w:val="0"/>
        <w:keepLines w:val="0"/>
        <w:pageBreakBefore w:val="0"/>
        <w:widowControl/>
        <w:numPr>
          <w:ilvl w:val="0"/>
          <w:numId w:val="0"/>
        </w:numPr>
        <w:suppressLineNumbers w:val="0"/>
        <w:pBdr>
          <w:top w:val="none" w:color="auto" w:sz="0" w:space="0"/>
          <w:left w:val="none" w:color="auto" w:sz="0" w:space="0"/>
          <w:bottom w:val="single" w:color="FFFFFF" w:sz="8" w:space="31"/>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十）“三公”经费：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br w:type="textWrapping"/>
      </w: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　　（十一）机关运行经费：为保障行政单位（包括参照公务员法管理的事业单位）运行用于购买货物和服务的各项资金，包括办公及印刷费、邮电费、差旅费、会议费、培训费、日常维修费、专用材料及一般设备购置费、办公用房水电费、办公用房物业管理费、公务用车运行维护费以及其他费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附件：1.部门预算公开表</w:t>
      </w:r>
    </w:p>
    <w:p>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1600" w:leftChars="0"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项目支出绩效目标表</w:t>
      </w:r>
    </w:p>
    <w:p>
      <w:pPr>
        <w:keepNext w:val="0"/>
        <w:keepLines w:val="0"/>
        <w:pageBreakBefore w:val="0"/>
        <w:widowControl w:val="0"/>
        <w:numPr>
          <w:ilvl w:val="0"/>
          <w:numId w:val="4"/>
        </w:numPr>
        <w:kinsoku/>
        <w:wordWrap/>
        <w:overflowPunct/>
        <w:topLinePunct w:val="0"/>
        <w:autoSpaceDE/>
        <w:autoSpaceDN/>
        <w:bidi w:val="0"/>
        <w:adjustRightInd/>
        <w:snapToGrid/>
        <w:spacing w:line="576" w:lineRule="exact"/>
        <w:ind w:left="1600" w:leftChars="0" w:firstLine="0" w:firstLineChars="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部门整体支出绩效目标表</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eastAsia="zh-CN"/>
        </w:rPr>
      </w:pPr>
    </w:p>
    <w:sectPr>
      <w:footerReference r:id="rId3" w:type="default"/>
      <w:pgSz w:w="11906" w:h="16838"/>
      <w:pgMar w:top="2098" w:right="1474" w:bottom="1984" w:left="1587" w:header="720" w:footer="1559"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iberation Sans">
    <w:altName w:val="Vijaya"/>
    <w:panose1 w:val="020B0604020202020204"/>
    <w:charset w:val="00"/>
    <w:family w:val="swiss"/>
    <w:pitch w:val="default"/>
    <w:sig w:usb0="00000000" w:usb1="00000000" w:usb2="00000000" w:usb3="00000000" w:csb0="6000009F" w:csb1="DFD7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2000000000000000000"/>
    <w:charset w:val="86"/>
    <w:family w:val="auto"/>
    <w:pitch w:val="default"/>
    <w:sig w:usb0="00000001" w:usb1="08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468C65"/>
    <w:multiLevelType w:val="singleLevel"/>
    <w:tmpl w:val="B1468C65"/>
    <w:lvl w:ilvl="0" w:tentative="0">
      <w:start w:val="2"/>
      <w:numFmt w:val="chineseCounting"/>
      <w:suff w:val="nothing"/>
      <w:lvlText w:val="（%1）"/>
      <w:lvlJc w:val="left"/>
      <w:rPr>
        <w:rFonts w:hint="eastAsia"/>
      </w:rPr>
    </w:lvl>
  </w:abstractNum>
  <w:abstractNum w:abstractNumId="1">
    <w:nsid w:val="CCE5C1D6"/>
    <w:multiLevelType w:val="singleLevel"/>
    <w:tmpl w:val="CCE5C1D6"/>
    <w:lvl w:ilvl="0" w:tentative="0">
      <w:start w:val="1"/>
      <w:numFmt w:val="chineseCounting"/>
      <w:suff w:val="nothing"/>
      <w:lvlText w:val="（%1）"/>
      <w:lvlJc w:val="left"/>
      <w:rPr>
        <w:rFonts w:hint="eastAsia"/>
      </w:rPr>
    </w:lvl>
  </w:abstractNum>
  <w:abstractNum w:abstractNumId="2">
    <w:nsid w:val="3516E233"/>
    <w:multiLevelType w:val="singleLevel"/>
    <w:tmpl w:val="3516E233"/>
    <w:lvl w:ilvl="0" w:tentative="0">
      <w:start w:val="2"/>
      <w:numFmt w:val="decimal"/>
      <w:lvlText w:val="%1."/>
      <w:lvlJc w:val="left"/>
      <w:pPr>
        <w:tabs>
          <w:tab w:val="left" w:pos="312"/>
        </w:tabs>
        <w:ind w:left="1600" w:leftChars="0" w:firstLine="0" w:firstLineChars="0"/>
      </w:pPr>
    </w:lvl>
  </w:abstractNum>
  <w:abstractNum w:abstractNumId="3">
    <w:nsid w:val="5BFCE1D6"/>
    <w:multiLevelType w:val="singleLevel"/>
    <w:tmpl w:val="5BFCE1D6"/>
    <w:lvl w:ilvl="0" w:tentative="0">
      <w:start w:val="2"/>
      <w:numFmt w:val="chineseCounting"/>
      <w:suff w:val="nothing"/>
      <w:lvlText w:val="（%1）"/>
      <w:lvlJc w:val="left"/>
      <w:rPr>
        <w:rFonts w:hint="eastAsi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3ZmU5YjE4NTZkNDZhZGJhYzYzNWFjYzQ3ZWQ2MjgifQ=="/>
  </w:docVars>
  <w:rsids>
    <w:rsidRoot w:val="00000000"/>
    <w:rsid w:val="012352D1"/>
    <w:rsid w:val="01DD59FB"/>
    <w:rsid w:val="02954528"/>
    <w:rsid w:val="06074103"/>
    <w:rsid w:val="08386081"/>
    <w:rsid w:val="0B941820"/>
    <w:rsid w:val="0CC41F2E"/>
    <w:rsid w:val="0DDC300B"/>
    <w:rsid w:val="0E3D40ED"/>
    <w:rsid w:val="0EFE5203"/>
    <w:rsid w:val="13954BA6"/>
    <w:rsid w:val="13AD63F3"/>
    <w:rsid w:val="14E629C1"/>
    <w:rsid w:val="156B09F5"/>
    <w:rsid w:val="16EB0762"/>
    <w:rsid w:val="189310B2"/>
    <w:rsid w:val="19346C3C"/>
    <w:rsid w:val="19680B28"/>
    <w:rsid w:val="196953A5"/>
    <w:rsid w:val="1BA5605D"/>
    <w:rsid w:val="1C0C09BC"/>
    <w:rsid w:val="1C3E3591"/>
    <w:rsid w:val="1E6A6411"/>
    <w:rsid w:val="1F240CB5"/>
    <w:rsid w:val="1F7BF06F"/>
    <w:rsid w:val="1FEE4B73"/>
    <w:rsid w:val="20795D5C"/>
    <w:rsid w:val="20D364F9"/>
    <w:rsid w:val="210D32B3"/>
    <w:rsid w:val="22DE117B"/>
    <w:rsid w:val="23CE9849"/>
    <w:rsid w:val="26C568DA"/>
    <w:rsid w:val="26FB466D"/>
    <w:rsid w:val="29BB3FC4"/>
    <w:rsid w:val="29E11C7D"/>
    <w:rsid w:val="2A8D718F"/>
    <w:rsid w:val="2AC11AAE"/>
    <w:rsid w:val="2B2F4C6A"/>
    <w:rsid w:val="301663F8"/>
    <w:rsid w:val="314131F4"/>
    <w:rsid w:val="32D210D5"/>
    <w:rsid w:val="32D87995"/>
    <w:rsid w:val="3337030F"/>
    <w:rsid w:val="35DE4DAB"/>
    <w:rsid w:val="386E033C"/>
    <w:rsid w:val="39F304DD"/>
    <w:rsid w:val="3A5C0EAC"/>
    <w:rsid w:val="3ADB1971"/>
    <w:rsid w:val="3B70021C"/>
    <w:rsid w:val="3B7F30A4"/>
    <w:rsid w:val="3C2B7E10"/>
    <w:rsid w:val="3C4B567C"/>
    <w:rsid w:val="3CCF5047"/>
    <w:rsid w:val="41553829"/>
    <w:rsid w:val="447A2AD1"/>
    <w:rsid w:val="448E07FB"/>
    <w:rsid w:val="491E5440"/>
    <w:rsid w:val="4BF07658"/>
    <w:rsid w:val="4D1E3A2B"/>
    <w:rsid w:val="52956DB6"/>
    <w:rsid w:val="54014B46"/>
    <w:rsid w:val="54244390"/>
    <w:rsid w:val="54662A63"/>
    <w:rsid w:val="55C768B9"/>
    <w:rsid w:val="565105C7"/>
    <w:rsid w:val="57560D05"/>
    <w:rsid w:val="578F360F"/>
    <w:rsid w:val="57D374DC"/>
    <w:rsid w:val="58064E12"/>
    <w:rsid w:val="5A845B89"/>
    <w:rsid w:val="5BFEE015"/>
    <w:rsid w:val="5E361890"/>
    <w:rsid w:val="5E391380"/>
    <w:rsid w:val="5FC558CA"/>
    <w:rsid w:val="618704AA"/>
    <w:rsid w:val="63D538F9"/>
    <w:rsid w:val="63EDCF55"/>
    <w:rsid w:val="63FBFBCF"/>
    <w:rsid w:val="64CD1FC7"/>
    <w:rsid w:val="662446C4"/>
    <w:rsid w:val="669360FD"/>
    <w:rsid w:val="67144738"/>
    <w:rsid w:val="68CB7079"/>
    <w:rsid w:val="68FF6A83"/>
    <w:rsid w:val="6A9512FA"/>
    <w:rsid w:val="6D546314"/>
    <w:rsid w:val="6FB143FB"/>
    <w:rsid w:val="6FBBC9CF"/>
    <w:rsid w:val="705E3AF7"/>
    <w:rsid w:val="72BDE561"/>
    <w:rsid w:val="73025C98"/>
    <w:rsid w:val="750923F8"/>
    <w:rsid w:val="78462278"/>
    <w:rsid w:val="79140DD9"/>
    <w:rsid w:val="792A1B99"/>
    <w:rsid w:val="79313CA7"/>
    <w:rsid w:val="79826D29"/>
    <w:rsid w:val="7997EA6C"/>
    <w:rsid w:val="7A574C10"/>
    <w:rsid w:val="7AEAE675"/>
    <w:rsid w:val="7BAFCE5D"/>
    <w:rsid w:val="7C523723"/>
    <w:rsid w:val="7D46598C"/>
    <w:rsid w:val="7DFB240B"/>
    <w:rsid w:val="7E0935ED"/>
    <w:rsid w:val="7FCF2AF7"/>
    <w:rsid w:val="9FEF033D"/>
    <w:rsid w:val="A27FF1E5"/>
    <w:rsid w:val="AFDEB5A7"/>
    <w:rsid w:val="AFEA7FBF"/>
    <w:rsid w:val="B83F4767"/>
    <w:rsid w:val="BF930F07"/>
    <w:rsid w:val="BFCE8436"/>
    <w:rsid w:val="C3F7EB7A"/>
    <w:rsid w:val="CFF5FEEC"/>
    <w:rsid w:val="D3DD9064"/>
    <w:rsid w:val="D6F76A0C"/>
    <w:rsid w:val="D7ECE8D2"/>
    <w:rsid w:val="DFDD4FB5"/>
    <w:rsid w:val="E7F748B5"/>
    <w:rsid w:val="EE5F3713"/>
    <w:rsid w:val="EFC9D62C"/>
    <w:rsid w:val="F6BE9755"/>
    <w:rsid w:val="F6FFA89B"/>
    <w:rsid w:val="FAE4EFE1"/>
    <w:rsid w:val="FB9B6F12"/>
    <w:rsid w:val="FBB66A4A"/>
    <w:rsid w:val="FDEE6989"/>
    <w:rsid w:val="FF5E7DB8"/>
    <w:rsid w:val="FF77E367"/>
    <w:rsid w:val="FFD576EB"/>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1">
    <w:name w:val="Default Paragraph Font"/>
    <w:autoRedefine/>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table of figures"/>
    <w:basedOn w:val="1"/>
    <w:next w:val="1"/>
    <w:autoRedefine/>
    <w:qFormat/>
    <w:uiPriority w:val="0"/>
    <w:pPr>
      <w:ind w:left="400" w:leftChars="200" w:hanging="200" w:hangingChars="200"/>
    </w:pPr>
    <w:rPr>
      <w:rFonts w:ascii="Times New Roman" w:hAnsi="Times New Roman" w:cs="Calibri"/>
      <w:szCs w:val="21"/>
    </w:rPr>
  </w:style>
  <w:style w:type="paragraph" w:styleId="3">
    <w:name w:val="caption"/>
    <w:basedOn w:val="1"/>
    <w:autoRedefine/>
    <w:qFormat/>
    <w:uiPriority w:val="0"/>
    <w:pPr>
      <w:widowControl w:val="0"/>
      <w:suppressLineNumbers/>
      <w:suppressAutoHyphens/>
      <w:spacing w:before="120" w:after="120"/>
    </w:pPr>
    <w:rPr>
      <w:i/>
      <w:iCs/>
      <w:sz w:val="24"/>
      <w:szCs w:val="24"/>
    </w:rPr>
  </w:style>
  <w:style w:type="paragraph" w:styleId="4">
    <w:name w:val="annotation text"/>
    <w:basedOn w:val="1"/>
    <w:autoRedefine/>
    <w:qFormat/>
    <w:uiPriority w:val="0"/>
    <w:pPr>
      <w:jc w:val="left"/>
    </w:pPr>
  </w:style>
  <w:style w:type="paragraph" w:styleId="5">
    <w:name w:val="Body Text"/>
    <w:basedOn w:val="1"/>
    <w:next w:val="1"/>
    <w:autoRedefine/>
    <w:qFormat/>
    <w:uiPriority w:val="0"/>
    <w:pPr>
      <w:spacing w:before="0" w:after="140" w:line="276" w:lineRule="auto"/>
    </w:p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List"/>
    <w:basedOn w:val="5"/>
    <w:autoRedefine/>
    <w:qFormat/>
    <w:uiPriority w:val="0"/>
  </w:style>
  <w:style w:type="paragraph" w:styleId="9">
    <w:name w:val="Normal (Web)"/>
    <w:basedOn w:val="1"/>
    <w:autoRedefine/>
    <w:qFormat/>
    <w:uiPriority w:val="0"/>
    <w:rPr>
      <w:sz w:val="24"/>
    </w:rPr>
  </w:style>
  <w:style w:type="character" w:customStyle="1" w:styleId="12">
    <w:name w:val="默认段落字体1"/>
    <w:autoRedefine/>
    <w:qFormat/>
    <w:uiPriority w:val="0"/>
  </w:style>
  <w:style w:type="paragraph" w:customStyle="1" w:styleId="13">
    <w:name w:val="Heading"/>
    <w:basedOn w:val="1"/>
    <w:next w:val="5"/>
    <w:autoRedefine/>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4">
    <w:name w:val="Index"/>
    <w:basedOn w:val="1"/>
    <w:autoRedefine/>
    <w:qFormat/>
    <w:uiPriority w:val="0"/>
    <w:pPr>
      <w:widowControl w:val="0"/>
      <w:suppressLineNumbers/>
      <w:suppressAutoHyphens/>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Office_12.1.0.16388_F1E327BC-269C-435d-A152-05C5408002CA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2018-11-29T09:47:00Z</dcterms:created>
  <dc:creator>admin</dc:creator>
  <cp:lastModifiedBy>成娟</cp:lastModifiedBy>
  <dcterms:modified xsi:type="dcterms:W3CDTF">2024-03-27T07:53:34Z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C994ED8141F6432985D08A0451C94959_13</vt:lpwstr>
  </property>
</Properties>
</file>